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BE1BC8">
      <w:pPr>
        <w:shd w:val="clear"/>
        <w:tabs>
          <w:tab w:val="left" w:pos="2131"/>
        </w:tabs>
        <w:jc w:val="center"/>
        <w:rPr>
          <w:rFonts w:ascii="黑体" w:hAnsi="黑体" w:eastAsia="黑体"/>
          <w:bCs/>
          <w:color w:val="auto"/>
          <w:sz w:val="52"/>
          <w:szCs w:val="72"/>
          <w:highlight w:val="none"/>
        </w:rPr>
      </w:pPr>
    </w:p>
    <w:p w14:paraId="438C74E8">
      <w:pPr>
        <w:shd w:val="clear"/>
        <w:tabs>
          <w:tab w:val="left" w:pos="2131"/>
        </w:tabs>
        <w:jc w:val="center"/>
        <w:rPr>
          <w:rFonts w:hint="eastAsia" w:ascii="黑体" w:hAnsi="黑体" w:eastAsia="宋体"/>
          <w:bCs/>
          <w:color w:val="auto"/>
          <w:sz w:val="44"/>
          <w:szCs w:val="52"/>
          <w:highlight w:val="none"/>
          <w:lang w:eastAsia="zh-CN"/>
        </w:rPr>
      </w:pPr>
      <w:r>
        <w:rPr>
          <w:rFonts w:hint="eastAsia" w:ascii="宋体" w:hAnsi="宋体" w:cs="宋体"/>
          <w:b/>
          <w:bCs/>
          <w:snapToGrid w:val="0"/>
          <w:color w:val="auto"/>
          <w:kern w:val="21"/>
          <w:sz w:val="44"/>
          <w:szCs w:val="44"/>
          <w:highlight w:val="none"/>
          <w:lang w:eastAsia="zh-CN"/>
        </w:rPr>
        <w:t>昆明市妇幼保健院鼻窦负压置换仪、脉冲磁场刺激仪等医疗设备采购项目（二次）</w:t>
      </w:r>
    </w:p>
    <w:p w14:paraId="1CBC7AC7">
      <w:pPr>
        <w:shd w:val="clear"/>
        <w:spacing w:line="360" w:lineRule="auto"/>
        <w:jc w:val="center"/>
        <w:rPr>
          <w:rFonts w:ascii="黑体" w:hAnsi="黑体" w:eastAsia="黑体"/>
          <w:bCs/>
          <w:color w:val="auto"/>
          <w:sz w:val="30"/>
          <w:highlight w:val="none"/>
        </w:rPr>
      </w:pPr>
    </w:p>
    <w:p w14:paraId="169F1D64">
      <w:pPr>
        <w:shd w:val="clear"/>
        <w:spacing w:line="360" w:lineRule="auto"/>
        <w:jc w:val="center"/>
        <w:rPr>
          <w:rFonts w:ascii="黑体" w:hAnsi="黑体" w:eastAsia="黑体"/>
          <w:bCs/>
          <w:color w:val="auto"/>
          <w:sz w:val="30"/>
          <w:highlight w:val="none"/>
        </w:rPr>
      </w:pPr>
    </w:p>
    <w:p w14:paraId="7EFF7EFB">
      <w:pPr>
        <w:shd w:val="clear"/>
        <w:spacing w:line="360" w:lineRule="auto"/>
        <w:jc w:val="center"/>
        <w:rPr>
          <w:rFonts w:ascii="黑体" w:hAnsi="黑体" w:eastAsia="黑体"/>
          <w:bCs/>
          <w:color w:val="auto"/>
          <w:sz w:val="30"/>
          <w:highlight w:val="none"/>
        </w:rPr>
      </w:pPr>
    </w:p>
    <w:p w14:paraId="3353EB02">
      <w:pPr>
        <w:shd w:val="clear"/>
        <w:spacing w:line="360" w:lineRule="auto"/>
        <w:jc w:val="center"/>
        <w:rPr>
          <w:rFonts w:ascii="黑体" w:hAnsi="黑体" w:eastAsia="黑体"/>
          <w:bCs/>
          <w:color w:val="auto"/>
          <w:sz w:val="30"/>
          <w:highlight w:val="none"/>
        </w:rPr>
      </w:pPr>
    </w:p>
    <w:p w14:paraId="39CE5FE0">
      <w:pPr>
        <w:shd w:val="clear"/>
        <w:spacing w:line="360" w:lineRule="auto"/>
        <w:jc w:val="center"/>
        <w:rPr>
          <w:rFonts w:ascii="黑体" w:hAnsi="黑体" w:eastAsia="黑体"/>
          <w:bCs/>
          <w:color w:val="auto"/>
          <w:sz w:val="30"/>
          <w:highlight w:val="none"/>
        </w:rPr>
      </w:pPr>
    </w:p>
    <w:p w14:paraId="6B833570">
      <w:pPr>
        <w:shd w:val="clear"/>
        <w:spacing w:line="360" w:lineRule="auto"/>
        <w:jc w:val="center"/>
        <w:rPr>
          <w:rFonts w:ascii="黑体" w:hAnsi="黑体" w:eastAsia="黑体"/>
          <w:bCs/>
          <w:color w:val="auto"/>
          <w:sz w:val="30"/>
          <w:highlight w:val="none"/>
        </w:rPr>
      </w:pPr>
    </w:p>
    <w:p w14:paraId="2042FBA2">
      <w:pPr>
        <w:shd w:val="clear"/>
        <w:spacing w:line="360" w:lineRule="auto"/>
        <w:jc w:val="center"/>
        <w:rPr>
          <w:rFonts w:ascii="黑体" w:hAnsi="黑体" w:eastAsia="黑体"/>
          <w:bCs/>
          <w:color w:val="auto"/>
          <w:sz w:val="72"/>
          <w:szCs w:val="56"/>
          <w:highlight w:val="none"/>
        </w:rPr>
      </w:pPr>
      <w:r>
        <w:rPr>
          <w:rFonts w:hint="eastAsia" w:ascii="黑体" w:hAnsi="黑体" w:eastAsia="黑体"/>
          <w:bCs/>
          <w:color w:val="auto"/>
          <w:sz w:val="72"/>
          <w:szCs w:val="56"/>
          <w:highlight w:val="none"/>
        </w:rPr>
        <w:t>招</w:t>
      </w:r>
      <w:r>
        <w:rPr>
          <w:rFonts w:ascii="黑体" w:hAnsi="黑体" w:eastAsia="黑体"/>
          <w:bCs/>
          <w:color w:val="auto"/>
          <w:sz w:val="72"/>
          <w:szCs w:val="56"/>
          <w:highlight w:val="none"/>
        </w:rPr>
        <w:t xml:space="preserve"> </w:t>
      </w:r>
      <w:r>
        <w:rPr>
          <w:rFonts w:hint="eastAsia" w:ascii="黑体" w:hAnsi="黑体" w:eastAsia="黑体"/>
          <w:bCs/>
          <w:color w:val="auto"/>
          <w:sz w:val="72"/>
          <w:szCs w:val="56"/>
          <w:highlight w:val="none"/>
        </w:rPr>
        <w:t>标</w:t>
      </w:r>
      <w:r>
        <w:rPr>
          <w:rFonts w:ascii="黑体" w:hAnsi="黑体" w:eastAsia="黑体"/>
          <w:bCs/>
          <w:color w:val="auto"/>
          <w:sz w:val="72"/>
          <w:szCs w:val="56"/>
          <w:highlight w:val="none"/>
        </w:rPr>
        <w:t xml:space="preserve"> </w:t>
      </w:r>
      <w:r>
        <w:rPr>
          <w:rFonts w:hint="eastAsia" w:ascii="黑体" w:hAnsi="黑体" w:eastAsia="黑体"/>
          <w:bCs/>
          <w:color w:val="auto"/>
          <w:sz w:val="72"/>
          <w:szCs w:val="56"/>
          <w:highlight w:val="none"/>
        </w:rPr>
        <w:t>文</w:t>
      </w:r>
      <w:r>
        <w:rPr>
          <w:rFonts w:ascii="黑体" w:hAnsi="黑体" w:eastAsia="黑体"/>
          <w:bCs/>
          <w:color w:val="auto"/>
          <w:sz w:val="72"/>
          <w:szCs w:val="56"/>
          <w:highlight w:val="none"/>
        </w:rPr>
        <w:t xml:space="preserve"> </w:t>
      </w:r>
      <w:r>
        <w:rPr>
          <w:rFonts w:hint="eastAsia" w:ascii="黑体" w:hAnsi="黑体" w:eastAsia="黑体"/>
          <w:bCs/>
          <w:color w:val="auto"/>
          <w:sz w:val="72"/>
          <w:szCs w:val="56"/>
          <w:highlight w:val="none"/>
        </w:rPr>
        <w:t>件</w:t>
      </w:r>
    </w:p>
    <w:p w14:paraId="35369C01">
      <w:pPr>
        <w:shd w:val="clear"/>
        <w:spacing w:line="360" w:lineRule="auto"/>
        <w:jc w:val="center"/>
        <w:rPr>
          <w:rFonts w:hint="eastAsia" w:ascii="黑体" w:hAnsi="黑体" w:eastAsia="黑体"/>
          <w:bCs/>
          <w:color w:val="auto"/>
          <w:sz w:val="30"/>
          <w:highlight w:val="none"/>
          <w:lang w:eastAsia="zh-CN"/>
        </w:rPr>
      </w:pPr>
      <w:r>
        <w:rPr>
          <w:rFonts w:hint="eastAsia" w:ascii="黑体" w:hAnsi="黑体" w:eastAsia="黑体"/>
          <w:bCs/>
          <w:color w:val="auto"/>
          <w:sz w:val="28"/>
          <w:szCs w:val="32"/>
          <w:highlight w:val="none"/>
        </w:rPr>
        <w:t>项目编号：</w:t>
      </w:r>
      <w:r>
        <w:rPr>
          <w:rFonts w:hint="eastAsia" w:ascii="黑体" w:hAnsi="黑体" w:eastAsia="黑体"/>
          <w:bCs/>
          <w:color w:val="auto"/>
          <w:sz w:val="28"/>
          <w:szCs w:val="32"/>
          <w:highlight w:val="none"/>
          <w:lang w:eastAsia="zh-CN"/>
        </w:rPr>
        <w:t>KMZC2024-G1-02008-YNCK-0059</w:t>
      </w:r>
    </w:p>
    <w:p w14:paraId="47AE788D">
      <w:pPr>
        <w:shd w:val="clear"/>
        <w:spacing w:line="360" w:lineRule="auto"/>
        <w:jc w:val="center"/>
        <w:rPr>
          <w:rFonts w:ascii="黑体" w:hAnsi="黑体" w:eastAsia="黑体"/>
          <w:bCs/>
          <w:color w:val="auto"/>
          <w:sz w:val="30"/>
          <w:highlight w:val="none"/>
        </w:rPr>
      </w:pPr>
    </w:p>
    <w:p w14:paraId="6FF1B1F4">
      <w:pPr>
        <w:shd w:val="clear"/>
        <w:spacing w:line="360" w:lineRule="auto"/>
        <w:jc w:val="center"/>
        <w:rPr>
          <w:rFonts w:ascii="黑体" w:hAnsi="黑体" w:eastAsia="黑体"/>
          <w:bCs/>
          <w:color w:val="auto"/>
          <w:sz w:val="30"/>
          <w:highlight w:val="none"/>
        </w:rPr>
      </w:pPr>
    </w:p>
    <w:p w14:paraId="43A4A66F">
      <w:pPr>
        <w:shd w:val="clear"/>
        <w:spacing w:line="360" w:lineRule="auto"/>
        <w:jc w:val="center"/>
        <w:rPr>
          <w:rFonts w:ascii="黑体" w:hAnsi="黑体" w:eastAsia="黑体"/>
          <w:bCs/>
          <w:color w:val="auto"/>
          <w:sz w:val="30"/>
          <w:highlight w:val="none"/>
        </w:rPr>
      </w:pPr>
    </w:p>
    <w:p w14:paraId="1A5B99F1">
      <w:pPr>
        <w:shd w:val="clear"/>
        <w:spacing w:line="360" w:lineRule="auto"/>
        <w:rPr>
          <w:rFonts w:ascii="黑体" w:hAnsi="黑体" w:eastAsia="黑体"/>
          <w:bCs/>
          <w:color w:val="auto"/>
          <w:sz w:val="30"/>
          <w:highlight w:val="none"/>
        </w:rPr>
      </w:pPr>
    </w:p>
    <w:p w14:paraId="6675C4F3">
      <w:pPr>
        <w:shd w:val="clear"/>
        <w:spacing w:line="360" w:lineRule="auto"/>
        <w:rPr>
          <w:rFonts w:ascii="黑体" w:hAnsi="黑体" w:eastAsia="黑体"/>
          <w:bCs/>
          <w:color w:val="auto"/>
          <w:sz w:val="30"/>
          <w:highlight w:val="none"/>
        </w:rPr>
      </w:pPr>
    </w:p>
    <w:p w14:paraId="75A6FB5E">
      <w:pPr>
        <w:shd w:val="clear"/>
        <w:spacing w:line="360" w:lineRule="auto"/>
        <w:rPr>
          <w:rFonts w:ascii="黑体" w:hAnsi="黑体" w:eastAsia="黑体"/>
          <w:bCs/>
          <w:color w:val="auto"/>
          <w:sz w:val="30"/>
          <w:highlight w:val="none"/>
        </w:rPr>
      </w:pPr>
    </w:p>
    <w:p w14:paraId="4499C0EF">
      <w:pPr>
        <w:shd w:val="clear"/>
        <w:spacing w:line="360" w:lineRule="auto"/>
        <w:jc w:val="center"/>
        <w:rPr>
          <w:rFonts w:ascii="黑体" w:hAnsi="黑体" w:eastAsia="黑体"/>
          <w:bCs/>
          <w:color w:val="auto"/>
          <w:sz w:val="30"/>
          <w:highlight w:val="none"/>
        </w:rPr>
      </w:pPr>
    </w:p>
    <w:p w14:paraId="617F48CC">
      <w:pPr>
        <w:shd w:val="clear"/>
        <w:spacing w:line="480" w:lineRule="auto"/>
        <w:ind w:firstLine="1560" w:firstLineChars="520"/>
        <w:rPr>
          <w:rFonts w:ascii="黑体" w:hAnsi="黑体" w:eastAsia="黑体"/>
          <w:bCs/>
          <w:color w:val="auto"/>
          <w:sz w:val="30"/>
          <w:highlight w:val="none"/>
        </w:rPr>
      </w:pPr>
      <w:r>
        <w:rPr>
          <w:rFonts w:hint="eastAsia" w:ascii="黑体" w:hAnsi="黑体" w:eastAsia="黑体"/>
          <w:bCs/>
          <w:color w:val="auto"/>
          <w:sz w:val="30"/>
          <w:highlight w:val="none"/>
        </w:rPr>
        <w:t xml:space="preserve">采  </w:t>
      </w:r>
      <w:r>
        <w:rPr>
          <w:rFonts w:ascii="黑体" w:hAnsi="黑体" w:eastAsia="黑体"/>
          <w:bCs/>
          <w:color w:val="auto"/>
          <w:sz w:val="30"/>
          <w:highlight w:val="none"/>
        </w:rPr>
        <w:t xml:space="preserve"> </w:t>
      </w:r>
      <w:r>
        <w:rPr>
          <w:rFonts w:hint="eastAsia" w:ascii="黑体" w:hAnsi="黑体" w:eastAsia="黑体"/>
          <w:bCs/>
          <w:color w:val="auto"/>
          <w:sz w:val="30"/>
          <w:highlight w:val="none"/>
        </w:rPr>
        <w:t xml:space="preserve">购 </w:t>
      </w:r>
      <w:r>
        <w:rPr>
          <w:rFonts w:ascii="黑体" w:hAnsi="黑体" w:eastAsia="黑体"/>
          <w:bCs/>
          <w:color w:val="auto"/>
          <w:sz w:val="30"/>
          <w:highlight w:val="none"/>
        </w:rPr>
        <w:t xml:space="preserve">  </w:t>
      </w:r>
      <w:r>
        <w:rPr>
          <w:rFonts w:hint="eastAsia" w:ascii="黑体" w:hAnsi="黑体" w:eastAsia="黑体"/>
          <w:bCs/>
          <w:color w:val="auto"/>
          <w:sz w:val="30"/>
          <w:highlight w:val="none"/>
        </w:rPr>
        <w:t>人：昆明市妇幼保健院</w:t>
      </w:r>
    </w:p>
    <w:p w14:paraId="3E6C9819">
      <w:pPr>
        <w:shd w:val="clear"/>
        <w:spacing w:line="480" w:lineRule="auto"/>
        <w:ind w:firstLine="1560" w:firstLineChars="520"/>
        <w:rPr>
          <w:rFonts w:ascii="黑体" w:hAnsi="黑体" w:eastAsia="黑体"/>
          <w:bCs/>
          <w:color w:val="auto"/>
          <w:sz w:val="30"/>
          <w:highlight w:val="none"/>
        </w:rPr>
      </w:pPr>
      <w:r>
        <w:rPr>
          <w:rFonts w:hint="eastAsia" w:ascii="黑体" w:hAnsi="黑体" w:eastAsia="黑体"/>
          <w:bCs/>
          <w:color w:val="auto"/>
          <w:sz w:val="30"/>
          <w:highlight w:val="none"/>
        </w:rPr>
        <w:t>采购代理机构：云南宸凯招标信息咨询有限公司</w:t>
      </w:r>
    </w:p>
    <w:p w14:paraId="1ACAD932">
      <w:pPr>
        <w:shd w:val="clear"/>
        <w:spacing w:line="480" w:lineRule="auto"/>
        <w:jc w:val="center"/>
        <w:rPr>
          <w:rFonts w:ascii="黑体" w:hAnsi="黑体" w:eastAsia="黑体"/>
          <w:bCs/>
          <w:color w:val="auto"/>
          <w:sz w:val="30"/>
          <w:highlight w:val="none"/>
        </w:rPr>
        <w:sectPr>
          <w:headerReference r:id="rId4" w:type="first"/>
          <w:headerReference r:id="rId3" w:type="default"/>
          <w:footerReference r:id="rId5" w:type="default"/>
          <w:footerReference r:id="rId6" w:type="even"/>
          <w:pgSz w:w="11906" w:h="16838"/>
          <w:pgMar w:top="1134" w:right="1134" w:bottom="1134" w:left="1276" w:header="680" w:footer="992" w:gutter="0"/>
          <w:cols w:space="720" w:num="1"/>
          <w:titlePg/>
          <w:docGrid w:type="lines" w:linePitch="312" w:charSpace="0"/>
        </w:sectPr>
      </w:pPr>
      <w:r>
        <w:rPr>
          <w:rFonts w:hint="eastAsia" w:ascii="黑体" w:hAnsi="黑体" w:eastAsia="黑体"/>
          <w:bCs/>
          <w:color w:val="auto"/>
          <w:sz w:val="30"/>
          <w:highlight w:val="none"/>
        </w:rPr>
        <w:t>2</w:t>
      </w:r>
      <w:r>
        <w:rPr>
          <w:rFonts w:ascii="黑体" w:hAnsi="黑体" w:eastAsia="黑体"/>
          <w:bCs/>
          <w:color w:val="auto"/>
          <w:sz w:val="30"/>
          <w:highlight w:val="none"/>
        </w:rPr>
        <w:t>02</w:t>
      </w:r>
      <w:r>
        <w:rPr>
          <w:rFonts w:hint="eastAsia" w:ascii="黑体" w:hAnsi="黑体" w:eastAsia="黑体"/>
          <w:bCs/>
          <w:color w:val="auto"/>
          <w:sz w:val="30"/>
          <w:highlight w:val="none"/>
        </w:rPr>
        <w:t>4年</w:t>
      </w:r>
      <w:r>
        <w:rPr>
          <w:rFonts w:hint="eastAsia" w:ascii="黑体" w:hAnsi="黑体" w:eastAsia="黑体"/>
          <w:bCs/>
          <w:color w:val="auto"/>
          <w:sz w:val="30"/>
          <w:highlight w:val="none"/>
          <w:lang w:val="en-US" w:eastAsia="zh-CN"/>
        </w:rPr>
        <w:t>8</w:t>
      </w:r>
      <w:r>
        <w:rPr>
          <w:rFonts w:hint="eastAsia" w:ascii="黑体" w:hAnsi="黑体" w:eastAsia="黑体"/>
          <w:bCs/>
          <w:color w:val="auto"/>
          <w:sz w:val="30"/>
          <w:highlight w:val="none"/>
        </w:rPr>
        <w:t>月</w:t>
      </w:r>
    </w:p>
    <w:p w14:paraId="7330E83D">
      <w:pPr>
        <w:shd w:val="clear"/>
        <w:rPr>
          <w:color w:val="auto"/>
          <w:highlight w:val="none"/>
        </w:rPr>
      </w:pPr>
    </w:p>
    <w:p w14:paraId="49669B42">
      <w:pPr>
        <w:pStyle w:val="61"/>
        <w:shd w:val="clear"/>
        <w:snapToGrid w:val="0"/>
        <w:spacing w:line="360" w:lineRule="auto"/>
        <w:ind w:right="111" w:rightChars="53" w:firstLine="0" w:firstLineChars="0"/>
        <w:jc w:val="center"/>
        <w:rPr>
          <w:rFonts w:ascii="黑体" w:hAnsi="黑体" w:eastAsia="黑体"/>
          <w:bCs/>
          <w:color w:val="auto"/>
          <w:sz w:val="32"/>
          <w:szCs w:val="32"/>
          <w:highlight w:val="none"/>
        </w:rPr>
      </w:pPr>
      <w:r>
        <w:rPr>
          <w:rFonts w:hint="eastAsia" w:ascii="黑体" w:hAnsi="黑体" w:eastAsia="黑体"/>
          <w:bCs/>
          <w:color w:val="auto"/>
          <w:sz w:val="32"/>
          <w:szCs w:val="32"/>
          <w:highlight w:val="none"/>
        </w:rPr>
        <w:t>目  录</w:t>
      </w:r>
    </w:p>
    <w:p w14:paraId="73CC8F85">
      <w:pPr>
        <w:pStyle w:val="20"/>
        <w:shd w:val="clear"/>
        <w:tabs>
          <w:tab w:val="right" w:leader="dot" w:pos="9072"/>
          <w:tab w:val="clear" w:pos="9628"/>
        </w:tabs>
        <w:spacing w:line="500" w:lineRule="exact"/>
        <w:rPr>
          <w:rFonts w:ascii="黑体" w:hAnsi="黑体" w:eastAsia="黑体" w:cs="黑体"/>
          <w:color w:val="auto"/>
          <w:sz w:val="24"/>
          <w:highlight w:val="none"/>
        </w:rPr>
      </w:pPr>
      <w:r>
        <w:rPr>
          <w:rFonts w:hint="eastAsia" w:ascii="黑体" w:hAnsi="黑体" w:eastAsia="黑体" w:cs="黑体"/>
          <w:bCs/>
          <w:color w:val="auto"/>
          <w:sz w:val="24"/>
          <w:highlight w:val="none"/>
        </w:rPr>
        <w:fldChar w:fldCharType="begin"/>
      </w:r>
      <w:r>
        <w:rPr>
          <w:rFonts w:hint="eastAsia" w:ascii="黑体" w:hAnsi="黑体" w:eastAsia="黑体" w:cs="黑体"/>
          <w:bCs/>
          <w:color w:val="auto"/>
          <w:sz w:val="24"/>
          <w:highlight w:val="none"/>
        </w:rPr>
        <w:instrText xml:space="preserve"> TOC \o "1-4" \h \z \u </w:instrText>
      </w:r>
      <w:r>
        <w:rPr>
          <w:rFonts w:hint="eastAsia" w:ascii="黑体" w:hAnsi="黑体" w:eastAsia="黑体" w:cs="黑体"/>
          <w:bCs/>
          <w:color w:val="auto"/>
          <w:sz w:val="24"/>
          <w:highlight w:val="none"/>
        </w:rPr>
        <w:fldChar w:fldCharType="separate"/>
      </w:r>
      <w:r>
        <w:rPr>
          <w:color w:val="auto"/>
          <w:highlight w:val="none"/>
        </w:rPr>
        <w:fldChar w:fldCharType="begin"/>
      </w:r>
      <w:r>
        <w:rPr>
          <w:color w:val="auto"/>
          <w:highlight w:val="none"/>
        </w:rPr>
        <w:instrText xml:space="preserve"> HYPERLINK \l "_Toc25484" </w:instrText>
      </w:r>
      <w:r>
        <w:rPr>
          <w:color w:val="auto"/>
          <w:highlight w:val="none"/>
        </w:rPr>
        <w:fldChar w:fldCharType="separate"/>
      </w:r>
      <w:r>
        <w:rPr>
          <w:rFonts w:hint="eastAsia" w:ascii="黑体" w:hAnsi="黑体" w:eastAsia="黑体" w:cs="黑体"/>
          <w:color w:val="auto"/>
          <w:sz w:val="24"/>
          <w:highlight w:val="none"/>
        </w:rPr>
        <w:t>第一章  招标公告</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_Toc25484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3973ED1">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"_Toc19673" </w:instrText>
      </w:r>
      <w:r>
        <w:rPr>
          <w:color w:val="auto"/>
          <w:highlight w:val="none"/>
        </w:rPr>
        <w:fldChar w:fldCharType="separate"/>
      </w:r>
      <w:r>
        <w:rPr>
          <w:rFonts w:hint="eastAsia" w:ascii="黑体" w:hAnsi="黑体" w:eastAsia="黑体" w:cs="黑体"/>
          <w:color w:val="auto"/>
          <w:sz w:val="24"/>
          <w:highlight w:val="none"/>
        </w:rPr>
        <w:t>第二章  投标人须知</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_Toc19673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86FF400">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"_Toc28854" </w:instrText>
      </w:r>
      <w:r>
        <w:rPr>
          <w:color w:val="auto"/>
          <w:highlight w:val="none"/>
        </w:rPr>
        <w:fldChar w:fldCharType="separate"/>
      </w:r>
      <w:r>
        <w:rPr>
          <w:rFonts w:hint="eastAsia" w:ascii="黑体" w:hAnsi="黑体" w:eastAsia="黑体" w:cs="黑体"/>
          <w:color w:val="auto"/>
          <w:kern w:val="0"/>
          <w:sz w:val="24"/>
          <w:highlight w:val="none"/>
        </w:rPr>
        <w:t>1. 总则</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_Toc28854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93D50B9">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"_Toc5441" </w:instrText>
      </w:r>
      <w:r>
        <w:rPr>
          <w:color w:val="auto"/>
          <w:highlight w:val="none"/>
        </w:rPr>
        <w:fldChar w:fldCharType="separate"/>
      </w:r>
      <w:r>
        <w:rPr>
          <w:rFonts w:hint="eastAsia" w:ascii="黑体" w:hAnsi="黑体" w:eastAsia="黑体" w:cs="黑体"/>
          <w:color w:val="auto"/>
          <w:kern w:val="0"/>
          <w:sz w:val="24"/>
          <w:highlight w:val="none"/>
        </w:rPr>
        <w:t>2. 招标文件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_Toc5441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8D0F8C1">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"_Toc10476" </w:instrText>
      </w:r>
      <w:r>
        <w:rPr>
          <w:color w:val="auto"/>
          <w:highlight w:val="none"/>
        </w:rPr>
        <w:fldChar w:fldCharType="separate"/>
      </w:r>
      <w:r>
        <w:rPr>
          <w:rFonts w:hint="eastAsia" w:ascii="黑体" w:hAnsi="黑体" w:eastAsia="黑体" w:cs="黑体"/>
          <w:color w:val="auto"/>
          <w:kern w:val="0"/>
          <w:sz w:val="24"/>
          <w:highlight w:val="none"/>
        </w:rPr>
        <w:t>3. 投标文件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_Toc10476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A1CA73A">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"_Toc5361" </w:instrText>
      </w:r>
      <w:r>
        <w:rPr>
          <w:color w:val="auto"/>
          <w:highlight w:val="none"/>
        </w:rPr>
        <w:fldChar w:fldCharType="separate"/>
      </w:r>
      <w:r>
        <w:rPr>
          <w:rFonts w:hint="eastAsia" w:ascii="黑体" w:hAnsi="黑体" w:eastAsia="黑体" w:cs="黑体"/>
          <w:color w:val="auto"/>
          <w:kern w:val="0"/>
          <w:sz w:val="24"/>
          <w:highlight w:val="none"/>
        </w:rPr>
        <w:t>4. 投标文件的递交</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_Toc5361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51091B8">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"_Toc6913" </w:instrText>
      </w:r>
      <w:r>
        <w:rPr>
          <w:color w:val="auto"/>
          <w:highlight w:val="none"/>
        </w:rPr>
        <w:fldChar w:fldCharType="separate"/>
      </w:r>
      <w:r>
        <w:rPr>
          <w:rFonts w:hint="eastAsia" w:ascii="黑体" w:hAnsi="黑体" w:eastAsia="黑体" w:cs="黑体"/>
          <w:color w:val="auto"/>
          <w:kern w:val="0"/>
          <w:sz w:val="24"/>
          <w:highlight w:val="none"/>
        </w:rPr>
        <w:t>5. 开标</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_Toc6913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8EAC626">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"_Toc11497" </w:instrText>
      </w:r>
      <w:r>
        <w:rPr>
          <w:color w:val="auto"/>
          <w:highlight w:val="none"/>
        </w:rPr>
        <w:fldChar w:fldCharType="separate"/>
      </w:r>
      <w:r>
        <w:rPr>
          <w:rFonts w:hint="eastAsia" w:ascii="黑体" w:hAnsi="黑体" w:eastAsia="黑体" w:cs="黑体"/>
          <w:color w:val="auto"/>
          <w:kern w:val="0"/>
          <w:sz w:val="24"/>
          <w:highlight w:val="none"/>
        </w:rPr>
        <w:t>6. 资格审查</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_Toc11497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476CBB85">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"_Toc17309" </w:instrText>
      </w:r>
      <w:r>
        <w:rPr>
          <w:color w:val="auto"/>
          <w:highlight w:val="none"/>
        </w:rPr>
        <w:fldChar w:fldCharType="separate"/>
      </w:r>
      <w:r>
        <w:rPr>
          <w:rFonts w:hint="eastAsia" w:ascii="黑体" w:hAnsi="黑体" w:eastAsia="黑体" w:cs="黑体"/>
          <w:color w:val="auto"/>
          <w:kern w:val="0"/>
          <w:sz w:val="24"/>
          <w:highlight w:val="none"/>
        </w:rPr>
        <w:t>7. 评标</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_Toc17309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AA060FB">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"_Toc12331" </w:instrText>
      </w:r>
      <w:r>
        <w:rPr>
          <w:color w:val="auto"/>
          <w:highlight w:val="none"/>
        </w:rPr>
        <w:fldChar w:fldCharType="separate"/>
      </w:r>
      <w:r>
        <w:rPr>
          <w:rFonts w:hint="eastAsia" w:ascii="黑体" w:hAnsi="黑体" w:eastAsia="黑体" w:cs="黑体"/>
          <w:color w:val="auto"/>
          <w:kern w:val="0"/>
          <w:sz w:val="24"/>
          <w:highlight w:val="none"/>
        </w:rPr>
        <w:t>8. 合同授予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_Toc12331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0FFA79B9">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"_Toc22194" </w:instrText>
      </w:r>
      <w:r>
        <w:rPr>
          <w:color w:val="auto"/>
          <w:highlight w:val="none"/>
        </w:rPr>
        <w:fldChar w:fldCharType="separate"/>
      </w:r>
      <w:r>
        <w:rPr>
          <w:rFonts w:hint="eastAsia" w:ascii="黑体" w:hAnsi="黑体" w:eastAsia="黑体" w:cs="黑体"/>
          <w:color w:val="auto"/>
          <w:kern w:val="0"/>
          <w:sz w:val="24"/>
          <w:highlight w:val="none"/>
        </w:rPr>
        <w:t>9. 纪律和监督</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_Toc22194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4A194728">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"_Toc25591" </w:instrText>
      </w:r>
      <w:r>
        <w:rPr>
          <w:color w:val="auto"/>
          <w:highlight w:val="none"/>
        </w:rPr>
        <w:fldChar w:fldCharType="separate"/>
      </w:r>
      <w:r>
        <w:rPr>
          <w:rFonts w:hint="eastAsia" w:ascii="黑体" w:hAnsi="黑体" w:eastAsia="黑体" w:cs="黑体"/>
          <w:color w:val="auto"/>
          <w:kern w:val="0"/>
          <w:sz w:val="24"/>
          <w:highlight w:val="none"/>
        </w:rPr>
        <w:t>10. 质疑接收、回复</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_Toc25591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23</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058B3462">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"_Toc10573" </w:instrText>
      </w:r>
      <w:r>
        <w:rPr>
          <w:color w:val="auto"/>
          <w:highlight w:val="none"/>
        </w:rPr>
        <w:fldChar w:fldCharType="separate"/>
      </w:r>
      <w:r>
        <w:rPr>
          <w:rFonts w:hint="eastAsia" w:ascii="黑体" w:hAnsi="黑体" w:eastAsia="黑体" w:cs="黑体"/>
          <w:color w:val="auto"/>
          <w:kern w:val="0"/>
          <w:sz w:val="24"/>
          <w:highlight w:val="none"/>
        </w:rPr>
        <w:t>11. 需要补充的其他内容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_Toc10573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23</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3D7ADB56">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"_Toc709" </w:instrText>
      </w:r>
      <w:r>
        <w:rPr>
          <w:color w:val="auto"/>
          <w:highlight w:val="none"/>
        </w:rPr>
        <w:fldChar w:fldCharType="separate"/>
      </w:r>
      <w:r>
        <w:rPr>
          <w:rFonts w:hint="eastAsia" w:ascii="黑体" w:hAnsi="黑体" w:eastAsia="黑体" w:cs="黑体"/>
          <w:color w:val="auto"/>
          <w:sz w:val="24"/>
          <w:highlight w:val="none"/>
        </w:rPr>
        <w:t>第三章  评标办法</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_Toc709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6173EEC8">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"_Toc26402" </w:instrText>
      </w:r>
      <w:r>
        <w:rPr>
          <w:color w:val="auto"/>
          <w:highlight w:val="none"/>
        </w:rPr>
        <w:fldChar w:fldCharType="separate"/>
      </w:r>
      <w:r>
        <w:rPr>
          <w:rFonts w:hint="eastAsia" w:ascii="黑体" w:hAnsi="黑体" w:eastAsia="黑体" w:cs="黑体"/>
          <w:color w:val="auto"/>
          <w:sz w:val="24"/>
          <w:highlight w:val="none"/>
        </w:rPr>
        <w:t>资格审查前附表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_Toc26402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62D91344">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"_Toc24623" </w:instrText>
      </w:r>
      <w:r>
        <w:rPr>
          <w:color w:val="auto"/>
          <w:highlight w:val="none"/>
        </w:rPr>
        <w:fldChar w:fldCharType="separate"/>
      </w:r>
      <w:r>
        <w:rPr>
          <w:rFonts w:hint="eastAsia" w:ascii="黑体" w:hAnsi="黑体" w:eastAsia="黑体" w:cs="黑体"/>
          <w:color w:val="auto"/>
          <w:sz w:val="24"/>
          <w:highlight w:val="none"/>
        </w:rPr>
        <w:t>评审办法前附表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_Toc24623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6AE3EB9">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"_Toc22854" </w:instrText>
      </w:r>
      <w:r>
        <w:rPr>
          <w:color w:val="auto"/>
          <w:highlight w:val="none"/>
        </w:rPr>
        <w:fldChar w:fldCharType="separate"/>
      </w:r>
      <w:r>
        <w:rPr>
          <w:rFonts w:hint="eastAsia" w:ascii="黑体" w:hAnsi="黑体" w:eastAsia="黑体" w:cs="黑体"/>
          <w:color w:val="auto"/>
          <w:kern w:val="0"/>
          <w:sz w:val="24"/>
          <w:highlight w:val="none"/>
        </w:rPr>
        <w:t>1.总则</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_Toc22854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0954676">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"_Toc32055" </w:instrText>
      </w:r>
      <w:r>
        <w:rPr>
          <w:color w:val="auto"/>
          <w:highlight w:val="none"/>
        </w:rPr>
        <w:fldChar w:fldCharType="separate"/>
      </w:r>
      <w:r>
        <w:rPr>
          <w:rFonts w:hint="eastAsia" w:ascii="黑体" w:hAnsi="黑体" w:eastAsia="黑体" w:cs="黑体"/>
          <w:color w:val="auto"/>
          <w:kern w:val="0"/>
          <w:sz w:val="24"/>
          <w:highlight w:val="none"/>
        </w:rPr>
        <w:t>2.评审机构</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_Toc32055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0264E21D">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"_Toc28661" </w:instrText>
      </w:r>
      <w:r>
        <w:rPr>
          <w:color w:val="auto"/>
          <w:highlight w:val="none"/>
        </w:rPr>
        <w:fldChar w:fldCharType="separate"/>
      </w:r>
      <w:r>
        <w:rPr>
          <w:rFonts w:hint="eastAsia" w:ascii="黑体" w:hAnsi="黑体" w:eastAsia="黑体" w:cs="黑体"/>
          <w:color w:val="auto"/>
          <w:kern w:val="0"/>
          <w:sz w:val="24"/>
          <w:highlight w:val="none"/>
        </w:rPr>
        <w:t>3.评审原则</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_Toc28661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387A47CC">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"_Toc6011" </w:instrText>
      </w:r>
      <w:r>
        <w:rPr>
          <w:color w:val="auto"/>
          <w:highlight w:val="none"/>
        </w:rPr>
        <w:fldChar w:fldCharType="separate"/>
      </w:r>
      <w:r>
        <w:rPr>
          <w:rFonts w:hint="eastAsia" w:ascii="黑体" w:hAnsi="黑体" w:eastAsia="黑体" w:cs="黑体"/>
          <w:color w:val="auto"/>
          <w:kern w:val="0"/>
          <w:sz w:val="24"/>
          <w:highlight w:val="none"/>
        </w:rPr>
        <w:t>4.评审纪律</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_Toc6011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DAFD36C">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"_Toc3929" </w:instrText>
      </w:r>
      <w:r>
        <w:rPr>
          <w:color w:val="auto"/>
          <w:highlight w:val="none"/>
        </w:rPr>
        <w:fldChar w:fldCharType="separate"/>
      </w:r>
      <w:r>
        <w:rPr>
          <w:rFonts w:hint="eastAsia" w:ascii="黑体" w:hAnsi="黑体" w:eastAsia="黑体" w:cs="黑体"/>
          <w:color w:val="auto"/>
          <w:kern w:val="0"/>
          <w:sz w:val="24"/>
          <w:highlight w:val="none"/>
        </w:rPr>
        <w:t>5.评标程序及标准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_Toc3929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4FB2B43">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"_Toc21342" </w:instrText>
      </w:r>
      <w:r>
        <w:rPr>
          <w:color w:val="auto"/>
          <w:highlight w:val="none"/>
        </w:rPr>
        <w:fldChar w:fldCharType="separate"/>
      </w:r>
      <w:r>
        <w:rPr>
          <w:rFonts w:hint="eastAsia" w:ascii="黑体" w:hAnsi="黑体" w:eastAsia="黑体" w:cs="黑体"/>
          <w:color w:val="auto"/>
          <w:kern w:val="0"/>
          <w:sz w:val="24"/>
          <w:highlight w:val="none"/>
        </w:rPr>
        <w:t>6.投标文件的澄清</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_Toc21342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6182B3C">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"_Toc24487" </w:instrText>
      </w:r>
      <w:r>
        <w:rPr>
          <w:color w:val="auto"/>
          <w:highlight w:val="none"/>
        </w:rPr>
        <w:fldChar w:fldCharType="separate"/>
      </w:r>
      <w:r>
        <w:rPr>
          <w:rFonts w:hint="eastAsia" w:ascii="黑体" w:hAnsi="黑体" w:eastAsia="黑体" w:cs="黑体"/>
          <w:color w:val="auto"/>
          <w:kern w:val="0"/>
          <w:sz w:val="24"/>
          <w:highlight w:val="none"/>
        </w:rPr>
        <w:t>7.评标结果</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_Toc24487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33</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308DE16C">
      <w:pPr>
        <w:pStyle w:val="14"/>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"_Toc24624" </w:instrText>
      </w:r>
      <w:r>
        <w:rPr>
          <w:color w:val="auto"/>
          <w:highlight w:val="none"/>
        </w:rPr>
        <w:fldChar w:fldCharType="separate"/>
      </w:r>
      <w:r>
        <w:rPr>
          <w:rFonts w:hint="eastAsia" w:ascii="黑体" w:hAnsi="黑体" w:eastAsia="黑体" w:cs="黑体"/>
          <w:color w:val="auto"/>
          <w:kern w:val="0"/>
          <w:sz w:val="24"/>
          <w:highlight w:val="none"/>
        </w:rPr>
        <w:t>8.政府采购政策</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_Toc24624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3B5E090">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"_Toc8980" </w:instrText>
      </w:r>
      <w:r>
        <w:rPr>
          <w:color w:val="auto"/>
          <w:highlight w:val="none"/>
        </w:rPr>
        <w:fldChar w:fldCharType="separate"/>
      </w:r>
      <w:r>
        <w:rPr>
          <w:rFonts w:hint="eastAsia" w:ascii="黑体" w:hAnsi="黑体" w:eastAsia="黑体" w:cs="黑体"/>
          <w:color w:val="auto"/>
          <w:sz w:val="24"/>
          <w:highlight w:val="none"/>
        </w:rPr>
        <w:t>第四章  合同主要条款及格式</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_Toc8980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36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9386EE3">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"_Toc30968" </w:instrText>
      </w:r>
      <w:r>
        <w:rPr>
          <w:color w:val="auto"/>
          <w:highlight w:val="none"/>
        </w:rPr>
        <w:fldChar w:fldCharType="separate"/>
      </w:r>
      <w:r>
        <w:rPr>
          <w:rFonts w:hint="eastAsia" w:ascii="黑体" w:hAnsi="黑体" w:eastAsia="黑体" w:cs="黑体"/>
          <w:color w:val="auto"/>
          <w:sz w:val="24"/>
          <w:highlight w:val="none"/>
        </w:rPr>
        <w:t>第五章  采购需求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_Toc30968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44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24A1DFC">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"_Toc12538" </w:instrText>
      </w:r>
      <w:r>
        <w:rPr>
          <w:color w:val="auto"/>
          <w:highlight w:val="none"/>
        </w:rPr>
        <w:fldChar w:fldCharType="separate"/>
      </w:r>
      <w:r>
        <w:rPr>
          <w:rFonts w:hint="eastAsia" w:ascii="黑体" w:hAnsi="黑体" w:eastAsia="黑体" w:cs="黑体"/>
          <w:color w:val="auto"/>
          <w:sz w:val="24"/>
          <w:highlight w:val="none"/>
        </w:rPr>
        <w:t>第六章  投标文件格式</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_Toc12538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73</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010C7646">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"_Toc21064" </w:instrText>
      </w:r>
      <w:r>
        <w:rPr>
          <w:color w:val="auto"/>
          <w:highlight w:val="none"/>
        </w:rPr>
        <w:fldChar w:fldCharType="separate"/>
      </w:r>
      <w:r>
        <w:rPr>
          <w:rFonts w:hint="eastAsia" w:ascii="黑体" w:hAnsi="黑体" w:eastAsia="黑体" w:cs="黑体"/>
          <w:color w:val="auto"/>
          <w:sz w:val="24"/>
          <w:highlight w:val="none"/>
        </w:rPr>
        <w:t>（一）报价部分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_Toc21064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46B14392">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"_Toc21841" </w:instrText>
      </w:r>
      <w:r>
        <w:rPr>
          <w:color w:val="auto"/>
          <w:highlight w:val="none"/>
        </w:rPr>
        <w:fldChar w:fldCharType="separate"/>
      </w:r>
      <w:r>
        <w:rPr>
          <w:rFonts w:hint="eastAsia" w:ascii="黑体" w:hAnsi="黑体" w:eastAsia="黑体" w:cs="黑体"/>
          <w:color w:val="auto"/>
          <w:sz w:val="24"/>
          <w:highlight w:val="none"/>
        </w:rPr>
        <w:t>一、开标一览表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_Toc21841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BFE4514">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"_Toc3721" </w:instrText>
      </w:r>
      <w:r>
        <w:rPr>
          <w:color w:val="auto"/>
          <w:highlight w:val="none"/>
        </w:rPr>
        <w:fldChar w:fldCharType="separate"/>
      </w:r>
      <w:r>
        <w:rPr>
          <w:rFonts w:hint="eastAsia" w:ascii="黑体" w:hAnsi="黑体" w:eastAsia="黑体" w:cs="黑体"/>
          <w:color w:val="auto"/>
          <w:sz w:val="24"/>
          <w:highlight w:val="none"/>
        </w:rPr>
        <w:t>（二）资格审查部分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_Toc3721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721003F">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"_Toc30294" </w:instrText>
      </w:r>
      <w:r>
        <w:rPr>
          <w:color w:val="auto"/>
          <w:highlight w:val="none"/>
        </w:rPr>
        <w:fldChar w:fldCharType="separate"/>
      </w:r>
      <w:r>
        <w:rPr>
          <w:rFonts w:hint="eastAsia" w:ascii="黑体" w:hAnsi="黑体" w:eastAsia="黑体" w:cs="黑体"/>
          <w:color w:val="auto"/>
          <w:sz w:val="24"/>
          <w:highlight w:val="none"/>
        </w:rPr>
        <w:t>一、具有独立承担民事责任的能力</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_Toc30294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E86369F">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"_Toc13632" </w:instrText>
      </w:r>
      <w:r>
        <w:rPr>
          <w:color w:val="auto"/>
          <w:highlight w:val="none"/>
        </w:rPr>
        <w:fldChar w:fldCharType="separate"/>
      </w:r>
      <w:r>
        <w:rPr>
          <w:rFonts w:hint="eastAsia" w:ascii="黑体" w:hAnsi="黑体" w:eastAsia="黑体" w:cs="黑体"/>
          <w:color w:val="auto"/>
          <w:sz w:val="24"/>
          <w:highlight w:val="none"/>
        </w:rPr>
        <w:t>二、具有良好的商业信誉和健全的财务会计制度</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_Toc13632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27395A0">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黑体" w:hAnsi="黑体" w:eastAsia="黑体" w:cs="黑体"/>
          <w:color w:val="auto"/>
          <w:sz w:val="24"/>
          <w:highlight w:val="none"/>
        </w:rPr>
        <w:t>三、具有履行合同所必需的设备和专业技术能力</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_Toc17275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C72B200">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"_Toc28181" </w:instrText>
      </w:r>
      <w:r>
        <w:rPr>
          <w:color w:val="auto"/>
          <w:highlight w:val="none"/>
        </w:rPr>
        <w:fldChar w:fldCharType="separate"/>
      </w:r>
      <w:r>
        <w:rPr>
          <w:rFonts w:hint="eastAsia" w:ascii="黑体" w:hAnsi="黑体" w:eastAsia="黑体" w:cs="黑体"/>
          <w:color w:val="auto"/>
          <w:sz w:val="24"/>
          <w:highlight w:val="none"/>
        </w:rPr>
        <w:t>四、有依法缴纳税收和社会保障资金的良好记录</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_Toc28181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7BCF8AF">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"_Toc3036" </w:instrText>
      </w:r>
      <w:r>
        <w:rPr>
          <w:color w:val="auto"/>
          <w:highlight w:val="none"/>
        </w:rPr>
        <w:fldChar w:fldCharType="separate"/>
      </w:r>
      <w:r>
        <w:rPr>
          <w:rFonts w:hint="eastAsia" w:ascii="黑体" w:hAnsi="黑体" w:eastAsia="黑体" w:cs="黑体"/>
          <w:color w:val="auto"/>
          <w:sz w:val="24"/>
          <w:highlight w:val="none"/>
        </w:rPr>
        <w:t>五、参加本次采购活动前三年内，在经营活动中没有重大违法记录</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_Toc3036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4E6EE906">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"_Toc16755" </w:instrText>
      </w:r>
      <w:r>
        <w:rPr>
          <w:color w:val="auto"/>
          <w:highlight w:val="none"/>
        </w:rPr>
        <w:fldChar w:fldCharType="separate"/>
      </w:r>
      <w:r>
        <w:rPr>
          <w:rFonts w:hint="eastAsia" w:ascii="黑体" w:hAnsi="黑体" w:eastAsia="黑体" w:cs="黑体"/>
          <w:color w:val="auto"/>
          <w:sz w:val="24"/>
          <w:highlight w:val="none"/>
        </w:rPr>
        <w:t>六、特定资格要求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_Toc16755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1F683AD">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"_Toc31958" </w:instrText>
      </w:r>
      <w:r>
        <w:rPr>
          <w:color w:val="auto"/>
          <w:highlight w:val="none"/>
        </w:rPr>
        <w:fldChar w:fldCharType="separate"/>
      </w:r>
      <w:r>
        <w:rPr>
          <w:rFonts w:hint="eastAsia" w:ascii="黑体" w:hAnsi="黑体" w:eastAsia="黑体" w:cs="黑体"/>
          <w:color w:val="auto"/>
          <w:sz w:val="24"/>
          <w:highlight w:val="none"/>
        </w:rPr>
        <w:t>七、其他要求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_Toc31958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79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0C4E085">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"_Toc23399" </w:instrText>
      </w:r>
      <w:r>
        <w:rPr>
          <w:color w:val="auto"/>
          <w:highlight w:val="none"/>
        </w:rPr>
        <w:fldChar w:fldCharType="separate"/>
      </w:r>
      <w:r>
        <w:rPr>
          <w:rFonts w:hint="eastAsia" w:ascii="黑体" w:hAnsi="黑体" w:eastAsia="黑体" w:cs="黑体"/>
          <w:color w:val="auto"/>
          <w:sz w:val="24"/>
          <w:highlight w:val="none"/>
        </w:rPr>
        <w:t>（三）商务部分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_Toc23399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1DE67C3">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"_Toc24056" </w:instrText>
      </w:r>
      <w:r>
        <w:rPr>
          <w:color w:val="auto"/>
          <w:highlight w:val="none"/>
        </w:rPr>
        <w:fldChar w:fldCharType="separate"/>
      </w:r>
      <w:r>
        <w:rPr>
          <w:rFonts w:hint="eastAsia" w:ascii="黑体" w:hAnsi="黑体" w:eastAsia="黑体" w:cs="黑体"/>
          <w:color w:val="auto"/>
          <w:sz w:val="24"/>
          <w:highlight w:val="none"/>
        </w:rPr>
        <w:t>一、投标分项报价表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_Toc24056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33437FC">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"_Toc18986" </w:instrText>
      </w:r>
      <w:r>
        <w:rPr>
          <w:color w:val="auto"/>
          <w:highlight w:val="none"/>
        </w:rPr>
        <w:fldChar w:fldCharType="separate"/>
      </w:r>
      <w:r>
        <w:rPr>
          <w:rFonts w:hint="eastAsia" w:ascii="黑体" w:hAnsi="黑体" w:eastAsia="黑体" w:cs="黑体"/>
          <w:color w:val="auto"/>
          <w:sz w:val="24"/>
          <w:highlight w:val="none"/>
        </w:rPr>
        <w:t>二、商务条款偏离表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_Toc18986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44E441ED">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"_Toc32216" </w:instrText>
      </w:r>
      <w:r>
        <w:rPr>
          <w:color w:val="auto"/>
          <w:highlight w:val="none"/>
        </w:rPr>
        <w:fldChar w:fldCharType="separate"/>
      </w:r>
      <w:r>
        <w:rPr>
          <w:rFonts w:hint="eastAsia" w:ascii="黑体" w:hAnsi="黑体" w:eastAsia="黑体" w:cs="黑体"/>
          <w:color w:val="auto"/>
          <w:sz w:val="24"/>
          <w:highlight w:val="none"/>
        </w:rPr>
        <w:t>三、投标函</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_Toc32216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45B358D">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"_Toc15924" </w:instrText>
      </w:r>
      <w:r>
        <w:rPr>
          <w:color w:val="auto"/>
          <w:highlight w:val="none"/>
        </w:rPr>
        <w:fldChar w:fldCharType="separate"/>
      </w:r>
      <w:r>
        <w:rPr>
          <w:rFonts w:hint="eastAsia" w:ascii="黑体" w:hAnsi="黑体" w:eastAsia="黑体" w:cs="黑体"/>
          <w:color w:val="auto"/>
          <w:sz w:val="24"/>
          <w:highlight w:val="none"/>
        </w:rPr>
        <w:t>四、质量保证书</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_Toc15924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4022092F">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"_Toc24157" </w:instrText>
      </w:r>
      <w:r>
        <w:rPr>
          <w:color w:val="auto"/>
          <w:highlight w:val="none"/>
        </w:rPr>
        <w:fldChar w:fldCharType="separate"/>
      </w:r>
      <w:r>
        <w:rPr>
          <w:rFonts w:hint="eastAsia" w:ascii="黑体" w:hAnsi="黑体" w:eastAsia="黑体" w:cs="黑体"/>
          <w:color w:val="auto"/>
          <w:sz w:val="24"/>
          <w:highlight w:val="none"/>
        </w:rPr>
        <w:t>五、法定代表人身份证明书</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_Toc24157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095B6417">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"_Toc16343" </w:instrText>
      </w:r>
      <w:r>
        <w:rPr>
          <w:color w:val="auto"/>
          <w:highlight w:val="none"/>
        </w:rPr>
        <w:fldChar w:fldCharType="separate"/>
      </w:r>
      <w:r>
        <w:rPr>
          <w:rFonts w:hint="eastAsia" w:ascii="黑体" w:hAnsi="黑体" w:eastAsia="黑体" w:cs="黑体"/>
          <w:color w:val="auto"/>
          <w:sz w:val="24"/>
          <w:highlight w:val="none"/>
        </w:rPr>
        <w:t>六、法定代表人授权委托书</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_Toc16343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69FBBEBD">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"_Toc25717" </w:instrText>
      </w:r>
      <w:r>
        <w:rPr>
          <w:color w:val="auto"/>
          <w:highlight w:val="none"/>
        </w:rPr>
        <w:fldChar w:fldCharType="separate"/>
      </w:r>
      <w:r>
        <w:rPr>
          <w:rFonts w:hint="eastAsia" w:ascii="黑体" w:hAnsi="黑体" w:eastAsia="黑体" w:cs="黑体"/>
          <w:color w:val="auto"/>
          <w:sz w:val="24"/>
          <w:highlight w:val="none"/>
        </w:rPr>
        <w:t>七、</w:t>
      </w:r>
      <w:r>
        <w:rPr>
          <w:rFonts w:hint="eastAsia" w:ascii="黑体" w:hAnsi="黑体" w:eastAsia="黑体" w:cs="黑体"/>
          <w:color w:val="auto"/>
          <w:spacing w:val="-2"/>
          <w:sz w:val="24"/>
          <w:highlight w:val="none"/>
        </w:rPr>
        <w:t>投标保证金</w:t>
      </w:r>
      <w:r>
        <w:rPr>
          <w:rFonts w:hint="eastAsia" w:ascii="黑体" w:hAnsi="黑体" w:eastAsia="黑体" w:cs="黑体"/>
          <w:color w:val="auto"/>
          <w:sz w:val="24"/>
          <w:highlight w:val="none"/>
        </w:rPr>
        <w:t>交纳凭据</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_Toc25717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89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1600F99">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"_Toc11947" </w:instrText>
      </w:r>
      <w:r>
        <w:rPr>
          <w:color w:val="auto"/>
          <w:highlight w:val="none"/>
        </w:rPr>
        <w:fldChar w:fldCharType="separate"/>
      </w:r>
      <w:r>
        <w:rPr>
          <w:rFonts w:hint="eastAsia" w:ascii="黑体" w:hAnsi="黑体" w:eastAsia="黑体" w:cs="黑体"/>
          <w:color w:val="auto"/>
          <w:sz w:val="24"/>
          <w:highlight w:val="none"/>
        </w:rPr>
        <w:t>八、投标人基本情况表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_Toc11947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90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AC2C584">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"_Toc11852" </w:instrText>
      </w:r>
      <w:r>
        <w:rPr>
          <w:color w:val="auto"/>
          <w:highlight w:val="none"/>
        </w:rPr>
        <w:fldChar w:fldCharType="separate"/>
      </w:r>
      <w:r>
        <w:rPr>
          <w:rFonts w:hint="eastAsia" w:ascii="黑体" w:hAnsi="黑体" w:eastAsia="黑体" w:cs="黑体"/>
          <w:color w:val="auto"/>
          <w:sz w:val="24"/>
          <w:highlight w:val="none"/>
        </w:rPr>
        <w:t>九、中小企业声明函</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_Toc11852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91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68B240F">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"_Toc16718" </w:instrText>
      </w:r>
      <w:r>
        <w:rPr>
          <w:color w:val="auto"/>
          <w:highlight w:val="none"/>
        </w:rPr>
        <w:fldChar w:fldCharType="separate"/>
      </w:r>
      <w:r>
        <w:rPr>
          <w:rFonts w:hint="eastAsia" w:ascii="黑体" w:hAnsi="黑体" w:eastAsia="黑体" w:cs="黑体"/>
          <w:color w:val="auto"/>
          <w:sz w:val="24"/>
          <w:highlight w:val="none"/>
        </w:rPr>
        <w:t>十、残疾人福利性单位声明函</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_Toc16718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95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4A8B4E3E">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"_Toc3208" </w:instrText>
      </w:r>
      <w:r>
        <w:rPr>
          <w:color w:val="auto"/>
          <w:highlight w:val="none"/>
        </w:rPr>
        <w:fldChar w:fldCharType="separate"/>
      </w:r>
      <w:r>
        <w:rPr>
          <w:rFonts w:hint="eastAsia" w:ascii="黑体" w:hAnsi="黑体" w:eastAsia="黑体" w:cs="黑体"/>
          <w:color w:val="auto"/>
          <w:sz w:val="24"/>
          <w:highlight w:val="none"/>
        </w:rPr>
        <w:t>十一、监狱企业证明</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_Toc3208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96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36B58E57">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"_Toc12365" </w:instrText>
      </w:r>
      <w:r>
        <w:rPr>
          <w:color w:val="auto"/>
          <w:highlight w:val="none"/>
        </w:rPr>
        <w:fldChar w:fldCharType="separate"/>
      </w:r>
      <w:r>
        <w:rPr>
          <w:rFonts w:hint="eastAsia" w:ascii="黑体" w:hAnsi="黑体" w:eastAsia="黑体" w:cs="黑体"/>
          <w:color w:val="auto"/>
          <w:sz w:val="24"/>
          <w:highlight w:val="none"/>
        </w:rPr>
        <w:t>十二、节能产品/环境标志产品承诺书</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_Toc12365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97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078FC55B">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"_Toc15891" </w:instrText>
      </w:r>
      <w:r>
        <w:rPr>
          <w:color w:val="auto"/>
          <w:highlight w:val="none"/>
        </w:rPr>
        <w:fldChar w:fldCharType="separate"/>
      </w:r>
      <w:r>
        <w:rPr>
          <w:rFonts w:hint="eastAsia" w:ascii="黑体" w:hAnsi="黑体" w:eastAsia="黑体" w:cs="黑体"/>
          <w:color w:val="auto"/>
          <w:sz w:val="24"/>
          <w:highlight w:val="none"/>
        </w:rPr>
        <w:t>（四）技术部分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_Toc15891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98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C09B589">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"_Toc19761" </w:instrText>
      </w:r>
      <w:r>
        <w:rPr>
          <w:color w:val="auto"/>
          <w:highlight w:val="none"/>
        </w:rPr>
        <w:fldChar w:fldCharType="separate"/>
      </w:r>
      <w:r>
        <w:rPr>
          <w:rFonts w:hint="eastAsia" w:ascii="黑体" w:hAnsi="黑体" w:eastAsia="黑体" w:cs="黑体"/>
          <w:bCs/>
          <w:color w:val="auto"/>
          <w:sz w:val="24"/>
          <w:highlight w:val="none"/>
        </w:rPr>
        <w:t>一、技术规格偏离表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_Toc19761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99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3075ED7">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"_Toc19317" </w:instrText>
      </w:r>
      <w:r>
        <w:rPr>
          <w:color w:val="auto"/>
          <w:highlight w:val="none"/>
        </w:rPr>
        <w:fldChar w:fldCharType="separate"/>
      </w:r>
      <w:r>
        <w:rPr>
          <w:rFonts w:hint="eastAsia" w:ascii="黑体" w:hAnsi="黑体" w:eastAsia="黑体" w:cs="黑体"/>
          <w:bCs/>
          <w:color w:val="auto"/>
          <w:sz w:val="24"/>
          <w:highlight w:val="none"/>
        </w:rPr>
        <w:t>二、技术支持资料</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_Toc19317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100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07E27856">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"_Toc3839" </w:instrText>
      </w:r>
      <w:r>
        <w:rPr>
          <w:color w:val="auto"/>
          <w:highlight w:val="none"/>
        </w:rPr>
        <w:fldChar w:fldCharType="separate"/>
      </w:r>
      <w:r>
        <w:rPr>
          <w:rFonts w:hint="eastAsia" w:ascii="黑体" w:hAnsi="黑体" w:eastAsia="黑体" w:cs="黑体"/>
          <w:bCs/>
          <w:color w:val="auto"/>
          <w:sz w:val="24"/>
          <w:highlight w:val="none"/>
        </w:rPr>
        <w:t>三、供货方案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_Toc3839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101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7CBF5BCF">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"_Toc1492" </w:instrText>
      </w:r>
      <w:r>
        <w:rPr>
          <w:color w:val="auto"/>
          <w:highlight w:val="none"/>
        </w:rPr>
        <w:fldChar w:fldCharType="separate"/>
      </w:r>
      <w:r>
        <w:rPr>
          <w:rFonts w:hint="eastAsia" w:ascii="黑体" w:hAnsi="黑体" w:eastAsia="黑体" w:cs="黑体"/>
          <w:bCs/>
          <w:color w:val="auto"/>
          <w:sz w:val="24"/>
          <w:highlight w:val="none"/>
        </w:rPr>
        <w:t>四、人员培训方案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_Toc1492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102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2F0D21D4">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"_Toc10156" </w:instrText>
      </w:r>
      <w:r>
        <w:rPr>
          <w:color w:val="auto"/>
          <w:highlight w:val="none"/>
        </w:rPr>
        <w:fldChar w:fldCharType="separate"/>
      </w:r>
      <w:r>
        <w:rPr>
          <w:rFonts w:hint="eastAsia" w:ascii="黑体" w:hAnsi="黑体" w:eastAsia="黑体" w:cs="黑体"/>
          <w:bCs/>
          <w:color w:val="auto"/>
          <w:sz w:val="24"/>
          <w:highlight w:val="none"/>
        </w:rPr>
        <w:t>五、质量保证及承诺</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_Toc10156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103</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9E7015B">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"_Toc3852" </w:instrText>
      </w:r>
      <w:r>
        <w:rPr>
          <w:color w:val="auto"/>
          <w:highlight w:val="none"/>
        </w:rPr>
        <w:fldChar w:fldCharType="separate"/>
      </w:r>
      <w:r>
        <w:rPr>
          <w:rFonts w:hint="eastAsia" w:ascii="黑体" w:hAnsi="黑体" w:eastAsia="黑体" w:cs="黑体"/>
          <w:bCs/>
          <w:color w:val="auto"/>
          <w:sz w:val="24"/>
          <w:highlight w:val="none"/>
        </w:rPr>
        <w:t>六、售后服务承诺</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_Toc3852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104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3916A64">
      <w:pPr>
        <w:pStyle w:val="22"/>
        <w:shd w:val="clear"/>
        <w:tabs>
          <w:tab w:val="right" w:leader="dot" w:pos="9072"/>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"_Toc4701" </w:instrText>
      </w:r>
      <w:r>
        <w:rPr>
          <w:color w:val="auto"/>
          <w:highlight w:val="none"/>
        </w:rPr>
        <w:fldChar w:fldCharType="separate"/>
      </w:r>
      <w:r>
        <w:rPr>
          <w:rFonts w:hint="eastAsia" w:ascii="黑体" w:hAnsi="黑体" w:eastAsia="黑体" w:cs="黑体"/>
          <w:bCs/>
          <w:color w:val="auto"/>
          <w:sz w:val="24"/>
          <w:highlight w:val="none"/>
        </w:rPr>
        <w:t>七、业绩</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_Toc4701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105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555AEC98">
      <w:pPr>
        <w:pStyle w:val="20"/>
        <w:shd w:val="clear"/>
        <w:tabs>
          <w:tab w:val="right" w:leader="dot" w:pos="9072"/>
          <w:tab w:val="clear" w:pos="9628"/>
        </w:tabs>
        <w:spacing w:line="500" w:lineRule="exact"/>
        <w:rPr>
          <w:rFonts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"_Toc15239" </w:instrText>
      </w:r>
      <w:r>
        <w:rPr>
          <w:color w:val="auto"/>
          <w:highlight w:val="none"/>
        </w:rPr>
        <w:fldChar w:fldCharType="separate"/>
      </w:r>
      <w:r>
        <w:rPr>
          <w:rFonts w:hint="eastAsia" w:ascii="黑体" w:hAnsi="黑体" w:eastAsia="黑体" w:cs="黑体"/>
          <w:color w:val="auto"/>
          <w:sz w:val="24"/>
          <w:highlight w:val="none"/>
        </w:rPr>
        <w:t>第七章  其他资料</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_Toc15239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106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p>
    <w:p w14:paraId="113258C4">
      <w:pPr>
        <w:shd w:val="clear"/>
        <w:tabs>
          <w:tab w:val="right" w:leader="dot" w:pos="9072"/>
          <w:tab w:val="right" w:leader="dot" w:pos="9356"/>
          <w:tab w:val="right" w:leader="dot" w:pos="9469"/>
        </w:tabs>
        <w:spacing w:line="500" w:lineRule="exact"/>
        <w:jc w:val="left"/>
        <w:rPr>
          <w:color w:val="auto"/>
          <w:highlight w:val="none"/>
        </w:rPr>
      </w:pPr>
      <w:r>
        <w:rPr>
          <w:rFonts w:hint="eastAsia" w:ascii="黑体" w:hAnsi="黑体" w:eastAsia="黑体" w:cs="黑体"/>
          <w:bCs/>
          <w:color w:val="auto"/>
          <w:sz w:val="24"/>
          <w:highlight w:val="none"/>
        </w:rPr>
        <w:fldChar w:fldCharType="end"/>
      </w:r>
      <w:bookmarkStart w:id="0" w:name="_Toc275889745"/>
      <w:bookmarkStart w:id="1" w:name="_Toc276300653"/>
      <w:r>
        <w:rPr>
          <w:color w:val="auto"/>
          <w:highlight w:val="none"/>
        </w:rPr>
        <w:br w:type="page"/>
      </w:r>
    </w:p>
    <w:bookmarkEnd w:id="0"/>
    <w:bookmarkEnd w:id="1"/>
    <w:p w14:paraId="5168A4BF">
      <w:pPr>
        <w:pStyle w:val="88"/>
        <w:shd w:val="clear"/>
        <w:rPr>
          <w:color w:val="auto"/>
          <w:highlight w:val="none"/>
        </w:rPr>
      </w:pPr>
      <w:bookmarkStart w:id="2" w:name="_Toc25484"/>
      <w:bookmarkStart w:id="3" w:name="_Hlk107777305"/>
      <w:r>
        <w:rPr>
          <w:rFonts w:hint="eastAsia"/>
          <w:color w:val="auto"/>
          <w:highlight w:val="none"/>
        </w:rPr>
        <w:t>第一章  招标公告</w:t>
      </w:r>
      <w:bookmarkEnd w:id="2"/>
    </w:p>
    <w:p w14:paraId="4F704355">
      <w:pPr>
        <w:shd w:val="clear"/>
        <w:spacing w:line="360" w:lineRule="auto"/>
        <w:jc w:val="center"/>
        <w:rPr>
          <w:color w:val="auto"/>
          <w:sz w:val="24"/>
          <w:highlight w:val="none"/>
        </w:rPr>
      </w:pPr>
    </w:p>
    <w:p w14:paraId="6B28BD33">
      <w:pPr>
        <w:pBdr>
          <w:top w:val="single" w:color="000000" w:sz="4" w:space="1"/>
          <w:left w:val="single" w:color="000000" w:sz="4" w:space="4"/>
          <w:bottom w:val="single" w:color="000000" w:sz="4" w:space="1"/>
          <w:right w:val="single" w:color="000000" w:sz="4" w:space="4"/>
        </w:pBdr>
        <w:shd w:val="clear"/>
        <w:spacing w:line="360" w:lineRule="auto"/>
        <w:rPr>
          <w:rFonts w:ascii="宋体" w:hAnsi="宋体"/>
          <w:color w:val="auto"/>
          <w:szCs w:val="21"/>
          <w:highlight w:val="none"/>
        </w:rPr>
      </w:pPr>
      <w:r>
        <w:rPr>
          <w:rFonts w:hint="eastAsia" w:ascii="宋体" w:hAnsi="宋体"/>
          <w:color w:val="auto"/>
          <w:szCs w:val="21"/>
          <w:highlight w:val="none"/>
        </w:rPr>
        <w:t>项目概况</w:t>
      </w:r>
    </w:p>
    <w:p w14:paraId="3B32C083">
      <w:pPr>
        <w:pBdr>
          <w:top w:val="single" w:color="000000" w:sz="4" w:space="1"/>
          <w:left w:val="single" w:color="000000" w:sz="4" w:space="4"/>
          <w:bottom w:val="single" w:color="000000" w:sz="4" w:space="1"/>
          <w:right w:val="single" w:color="000000" w:sz="4" w:space="4"/>
        </w:pBdr>
        <w:shd w:val="clear"/>
        <w:spacing w:line="360" w:lineRule="auto"/>
        <w:ind w:firstLine="422" w:firstLineChars="200"/>
        <w:jc w:val="left"/>
        <w:rPr>
          <w:rFonts w:ascii="宋体" w:hAnsi="宋体"/>
          <w:color w:val="auto"/>
          <w:kern w:val="0"/>
          <w:szCs w:val="21"/>
          <w:highlight w:val="none"/>
          <w:u w:val="single"/>
          <w:shd w:val="clear" w:color="auto" w:fill="FFFFFF"/>
          <w:lang w:bidi="ar"/>
        </w:rPr>
      </w:pPr>
      <w:r>
        <w:rPr>
          <w:rFonts w:hint="eastAsia" w:ascii="宋体" w:hAnsi="宋体"/>
          <w:b/>
          <w:bCs/>
          <w:color w:val="auto"/>
          <w:kern w:val="0"/>
          <w:szCs w:val="21"/>
          <w:highlight w:val="none"/>
          <w:u w:val="single"/>
          <w:shd w:val="clear" w:color="auto" w:fill="FFFFFF"/>
          <w:lang w:eastAsia="zh-CN" w:bidi="ar"/>
        </w:rPr>
        <w:t>昆明市妇幼保健院鼻窦负压置换仪、脉冲磁场刺激仪等医疗设备采购项目（二次）</w:t>
      </w:r>
      <w:r>
        <w:rPr>
          <w:rFonts w:hint="eastAsia" w:ascii="宋体" w:hAnsi="宋体"/>
          <w:b/>
          <w:bCs/>
          <w:color w:val="auto"/>
          <w:kern w:val="0"/>
          <w:szCs w:val="21"/>
          <w:highlight w:val="none"/>
          <w:u w:val="single"/>
          <w:shd w:val="clear" w:color="auto" w:fill="FFFFFF"/>
          <w:lang w:bidi="ar"/>
        </w:rPr>
        <w:t xml:space="preserve"> </w:t>
      </w:r>
      <w:r>
        <w:rPr>
          <w:rFonts w:ascii="宋体" w:hAnsi="宋体"/>
          <w:color w:val="auto"/>
          <w:szCs w:val="21"/>
          <w:highlight w:val="none"/>
        </w:rPr>
        <w:t xml:space="preserve"> </w:t>
      </w:r>
      <w:r>
        <w:rPr>
          <w:rFonts w:hint="eastAsia" w:ascii="宋体" w:hAnsi="宋体"/>
          <w:color w:val="auto"/>
          <w:szCs w:val="21"/>
          <w:highlight w:val="none"/>
        </w:rPr>
        <w:t>的潜在投标人应在</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政采云平台（https://www.zcygov.cn/）获取招标文件</w:t>
      </w:r>
      <w:r>
        <w:rPr>
          <w:rFonts w:hint="eastAsia" w:ascii="宋体" w:hAnsi="宋体"/>
          <w:b/>
          <w:bCs/>
          <w:color w:val="auto"/>
          <w:szCs w:val="21"/>
          <w:highlight w:val="none"/>
        </w:rPr>
        <w:t>，</w:t>
      </w:r>
      <w:r>
        <w:rPr>
          <w:rFonts w:hint="eastAsia" w:ascii="宋体" w:hAnsi="宋体"/>
          <w:color w:val="auto"/>
          <w:szCs w:val="21"/>
          <w:highlight w:val="none"/>
        </w:rPr>
        <w:t>并于</w:t>
      </w:r>
      <w:r>
        <w:rPr>
          <w:rFonts w:hint="eastAsia" w:ascii="宋体" w:hAnsi="宋体"/>
          <w:color w:val="auto"/>
          <w:szCs w:val="21"/>
          <w:highlight w:val="none"/>
          <w:u w:val="single"/>
        </w:rPr>
        <w:t>2024</w:t>
      </w:r>
      <w:r>
        <w:rPr>
          <w:rFonts w:hint="eastAsia" w:ascii="宋体" w:hAnsi="宋体"/>
          <w:bCs/>
          <w:color w:val="auto"/>
          <w:szCs w:val="21"/>
          <w:highlight w:val="none"/>
          <w:u w:val="single"/>
        </w:rPr>
        <w:t>年</w:t>
      </w:r>
      <w:r>
        <w:rPr>
          <w:rFonts w:hint="eastAsia" w:ascii="宋体" w:hAnsi="宋体"/>
          <w:bCs/>
          <w:color w:val="auto"/>
          <w:szCs w:val="21"/>
          <w:highlight w:val="none"/>
          <w:u w:val="single"/>
          <w:lang w:val="en-US" w:eastAsia="zh-CN"/>
        </w:rPr>
        <w:t>9</w:t>
      </w:r>
      <w:r>
        <w:rPr>
          <w:rFonts w:hint="eastAsia" w:ascii="宋体" w:hAnsi="宋体"/>
          <w:bCs/>
          <w:color w:val="auto"/>
          <w:szCs w:val="21"/>
          <w:highlight w:val="none"/>
          <w:u w:val="single"/>
        </w:rPr>
        <w:t>月</w:t>
      </w:r>
      <w:r>
        <w:rPr>
          <w:rFonts w:hint="eastAsia" w:ascii="宋体" w:hAnsi="宋体"/>
          <w:bCs/>
          <w:color w:val="auto"/>
          <w:szCs w:val="21"/>
          <w:highlight w:val="none"/>
          <w:u w:val="single"/>
          <w:lang w:val="en-US" w:eastAsia="zh-CN"/>
        </w:rPr>
        <w:t>20</w:t>
      </w:r>
      <w:r>
        <w:rPr>
          <w:rFonts w:hint="eastAsia" w:ascii="宋体" w:hAnsi="宋体"/>
          <w:bCs/>
          <w:color w:val="auto"/>
          <w:szCs w:val="21"/>
          <w:highlight w:val="none"/>
          <w:u w:val="single"/>
        </w:rPr>
        <w:t>日09点30分（</w:t>
      </w:r>
      <w:r>
        <w:rPr>
          <w:rFonts w:hint="eastAsia" w:ascii="宋体" w:hAnsi="宋体"/>
          <w:bCs/>
          <w:color w:val="auto"/>
          <w:szCs w:val="21"/>
          <w:highlight w:val="none"/>
        </w:rPr>
        <w:t>北京时间）前提交投标文件</w:t>
      </w:r>
      <w:r>
        <w:rPr>
          <w:rFonts w:hint="eastAsia" w:ascii="宋体" w:hAnsi="宋体"/>
          <w:color w:val="auto"/>
          <w:szCs w:val="21"/>
          <w:highlight w:val="none"/>
        </w:rPr>
        <w:t>。</w:t>
      </w:r>
    </w:p>
    <w:p w14:paraId="52A2C87C">
      <w:pPr>
        <w:shd w:val="clear"/>
        <w:spacing w:line="360" w:lineRule="auto"/>
        <w:rPr>
          <w:color w:val="auto"/>
          <w:highlight w:val="none"/>
        </w:rPr>
      </w:pPr>
    </w:p>
    <w:p w14:paraId="7031A370">
      <w:pPr>
        <w:shd w:val="clear"/>
        <w:spacing w:line="360" w:lineRule="auto"/>
        <w:rPr>
          <w:b/>
          <w:color w:val="auto"/>
          <w:highlight w:val="none"/>
        </w:rPr>
      </w:pPr>
      <w:r>
        <w:rPr>
          <w:rFonts w:hint="eastAsia"/>
          <w:b/>
          <w:color w:val="auto"/>
          <w:highlight w:val="none"/>
        </w:rPr>
        <w:t>一、</w:t>
      </w:r>
      <w:r>
        <w:rPr>
          <w:b/>
          <w:color w:val="auto"/>
          <w:highlight w:val="none"/>
        </w:rPr>
        <w:t>项目</w:t>
      </w:r>
      <w:r>
        <w:rPr>
          <w:rFonts w:hint="eastAsia"/>
          <w:b/>
          <w:color w:val="auto"/>
          <w:highlight w:val="none"/>
        </w:rPr>
        <w:t>基本情况</w:t>
      </w:r>
    </w:p>
    <w:p w14:paraId="26E5A608">
      <w:pPr>
        <w:shd w:val="clear"/>
        <w:spacing w:line="360" w:lineRule="auto"/>
        <w:ind w:firstLine="424" w:firstLineChars="202"/>
        <w:rPr>
          <w:rFonts w:hint="eastAsia" w:eastAsia="宋体"/>
          <w:color w:val="auto"/>
          <w:highlight w:val="none"/>
          <w:lang w:eastAsia="zh-CN"/>
        </w:rPr>
      </w:pPr>
      <w:r>
        <w:rPr>
          <w:rFonts w:hint="eastAsia"/>
          <w:color w:val="auto"/>
          <w:highlight w:val="none"/>
        </w:rPr>
        <w:t>1.</w:t>
      </w:r>
      <w:r>
        <w:rPr>
          <w:color w:val="auto"/>
          <w:highlight w:val="none"/>
        </w:rPr>
        <w:t>项目编号：</w:t>
      </w:r>
      <w:r>
        <w:rPr>
          <w:rFonts w:hint="eastAsia"/>
          <w:color w:val="auto"/>
          <w:highlight w:val="none"/>
          <w:lang w:eastAsia="zh-CN"/>
        </w:rPr>
        <w:t>KMZC2024-G1-02008-YNCK-0059</w:t>
      </w:r>
    </w:p>
    <w:p w14:paraId="5DF1A4A3">
      <w:pPr>
        <w:shd w:val="clear"/>
        <w:spacing w:line="360" w:lineRule="auto"/>
        <w:ind w:firstLine="424" w:firstLineChars="202"/>
        <w:rPr>
          <w:rFonts w:hint="eastAsia" w:eastAsia="宋体"/>
          <w:color w:val="auto"/>
          <w:highlight w:val="none"/>
          <w:lang w:eastAsia="zh-CN"/>
        </w:rPr>
      </w:pPr>
      <w:r>
        <w:rPr>
          <w:rFonts w:hint="eastAsia"/>
          <w:color w:val="auto"/>
          <w:highlight w:val="none"/>
        </w:rPr>
        <w:t>2.</w:t>
      </w:r>
      <w:r>
        <w:rPr>
          <w:color w:val="auto"/>
          <w:highlight w:val="none"/>
        </w:rPr>
        <w:t>项目名称：</w:t>
      </w:r>
      <w:r>
        <w:rPr>
          <w:rFonts w:hint="eastAsia"/>
          <w:color w:val="auto"/>
          <w:highlight w:val="none"/>
          <w:lang w:eastAsia="zh-CN"/>
        </w:rPr>
        <w:t>昆明市妇幼保健院鼻窦负压置换仪、脉冲磁场刺激仪等医疗设备采购项目（二次）</w:t>
      </w:r>
    </w:p>
    <w:p w14:paraId="18D57871">
      <w:pPr>
        <w:shd w:val="clear"/>
        <w:spacing w:line="360" w:lineRule="auto"/>
        <w:ind w:firstLine="424" w:firstLineChars="202"/>
        <w:rPr>
          <w:color w:val="auto"/>
          <w:highlight w:val="none"/>
        </w:rPr>
      </w:pPr>
      <w:r>
        <w:rPr>
          <w:rFonts w:hint="eastAsia"/>
          <w:color w:val="auto"/>
          <w:highlight w:val="none"/>
        </w:rPr>
        <w:t>3.预算金额（万元）：</w:t>
      </w:r>
      <w:r>
        <w:rPr>
          <w:rFonts w:hint="eastAsia"/>
          <w:color w:val="auto"/>
          <w:highlight w:val="none"/>
          <w:lang w:val="en-US" w:eastAsia="zh-CN"/>
        </w:rPr>
        <w:t>158</w:t>
      </w:r>
      <w:r>
        <w:rPr>
          <w:rFonts w:hint="eastAsia"/>
          <w:color w:val="auto"/>
          <w:highlight w:val="none"/>
        </w:rPr>
        <w:t>.00；</w:t>
      </w:r>
    </w:p>
    <w:p w14:paraId="6F7BA322">
      <w:pPr>
        <w:shd w:val="clear"/>
        <w:spacing w:line="360" w:lineRule="auto"/>
        <w:ind w:firstLine="424" w:firstLineChars="202"/>
        <w:rPr>
          <w:color w:val="auto"/>
          <w:highlight w:val="none"/>
        </w:rPr>
      </w:pPr>
      <w:r>
        <w:rPr>
          <w:rFonts w:hint="eastAsia"/>
          <w:color w:val="auto"/>
          <w:highlight w:val="none"/>
        </w:rPr>
        <w:t>4.最高限价（万元）：</w:t>
      </w:r>
      <w:r>
        <w:rPr>
          <w:rFonts w:hint="eastAsia"/>
          <w:color w:val="auto"/>
          <w:highlight w:val="none"/>
          <w:lang w:val="en-US" w:eastAsia="zh-CN"/>
        </w:rPr>
        <w:t>158</w:t>
      </w:r>
      <w:r>
        <w:rPr>
          <w:rFonts w:hint="eastAsia"/>
          <w:color w:val="auto"/>
          <w:highlight w:val="none"/>
        </w:rPr>
        <w:t>.00（</w:t>
      </w:r>
      <w:r>
        <w:rPr>
          <w:rFonts w:hint="eastAsia" w:ascii="宋体" w:hAnsi="宋体" w:cs="宋体"/>
          <w:color w:val="auto"/>
          <w:szCs w:val="21"/>
          <w:highlight w:val="none"/>
          <w:u w:val="single"/>
        </w:rPr>
        <w:t>其中：标段1：73.00万元；标段2：35.50万元；标段3：49.50万元</w:t>
      </w:r>
      <w:r>
        <w:rPr>
          <w:rFonts w:hint="eastAsia"/>
          <w:color w:val="auto"/>
          <w:highlight w:val="none"/>
        </w:rPr>
        <w:t>）；</w:t>
      </w:r>
    </w:p>
    <w:p w14:paraId="01E1B225">
      <w:pPr>
        <w:shd w:val="clear"/>
        <w:spacing w:line="360" w:lineRule="auto"/>
        <w:ind w:firstLine="424" w:firstLineChars="202"/>
        <w:rPr>
          <w:rFonts w:ascii="宋体" w:hAnsi="宋体" w:cs="宋体"/>
          <w:color w:val="auto"/>
          <w:szCs w:val="21"/>
          <w:highlight w:val="none"/>
        </w:rPr>
      </w:pPr>
      <w:r>
        <w:rPr>
          <w:rFonts w:hint="eastAsia"/>
          <w:color w:val="auto"/>
          <w:highlight w:val="none"/>
        </w:rPr>
        <w:t>5.采购需求：</w:t>
      </w:r>
      <w:r>
        <w:rPr>
          <w:rFonts w:hint="eastAsia" w:ascii="宋体" w:hAnsi="宋体" w:cs="宋体"/>
          <w:color w:val="auto"/>
          <w:szCs w:val="21"/>
          <w:highlight w:val="none"/>
        </w:rPr>
        <w:t>具体内容详见招标文件第五章“采购需求。”</w:t>
      </w:r>
    </w:p>
    <w:tbl>
      <w:tblPr>
        <w:tblStyle w:val="26"/>
        <w:tblW w:w="4856" w:type="pct"/>
        <w:jc w:val="center"/>
        <w:tblLayout w:type="autofit"/>
        <w:tblCellMar>
          <w:top w:w="0" w:type="dxa"/>
          <w:left w:w="108" w:type="dxa"/>
          <w:bottom w:w="0" w:type="dxa"/>
          <w:right w:w="108" w:type="dxa"/>
        </w:tblCellMar>
      </w:tblPr>
      <w:tblGrid>
        <w:gridCol w:w="542"/>
        <w:gridCol w:w="912"/>
        <w:gridCol w:w="977"/>
        <w:gridCol w:w="2578"/>
        <w:gridCol w:w="726"/>
        <w:gridCol w:w="753"/>
        <w:gridCol w:w="1152"/>
        <w:gridCol w:w="1381"/>
      </w:tblGrid>
      <w:tr w14:paraId="32732B13">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717FDE5B">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10562FD8">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标段</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3BA9ADBB">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是否接受进口</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0F91696F">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采购内容</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2BAC8DD">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数量</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5F9AC7E4">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计量单位</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5FE3759C">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★单价最高限价（元）</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476F8A53">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★合计金额最高限价（元）</w:t>
            </w:r>
          </w:p>
        </w:tc>
      </w:tr>
      <w:tr w14:paraId="1F5693A5">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267131A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4C8476F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05F3A944">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0C1A090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显微镜(带摄像头）</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9D8733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438ED70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07FDFFF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110000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5F9F928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330000</w:t>
            </w:r>
          </w:p>
        </w:tc>
      </w:tr>
      <w:tr w14:paraId="074E6FB0">
        <w:tblPrEx>
          <w:tblCellMar>
            <w:top w:w="0" w:type="dxa"/>
            <w:left w:w="108" w:type="dxa"/>
            <w:bottom w:w="0" w:type="dxa"/>
            <w:right w:w="108" w:type="dxa"/>
          </w:tblCellMar>
        </w:tblPrEx>
        <w:trPr>
          <w:trHeight w:val="600"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64EE091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194DD64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003E506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430C415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智能生物自动脱水机</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03409D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1A38702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65DBECE5">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400000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5513BCB4">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400000</w:t>
            </w:r>
          </w:p>
        </w:tc>
      </w:tr>
      <w:tr w14:paraId="4CB7D808">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44D8016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0137820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65B63D3A">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1B95367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耳内镜</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5A8E1D5">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515CA7A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6C90EB4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5500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205F917D">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11000</w:t>
            </w:r>
          </w:p>
        </w:tc>
      </w:tr>
      <w:tr w14:paraId="3A016C2D">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43A22AC5">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3B54BF3D">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5DC9EBE2">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56C8264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鼻窦镜</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5AE2A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02C1970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2FFE13B2">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5500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23F35B6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11000</w:t>
            </w:r>
          </w:p>
        </w:tc>
      </w:tr>
      <w:tr w14:paraId="7936C033">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775BFD8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2C69AF7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382A09E5">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625BE8E5">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回弹式眼压计</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0D3B51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09986E2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11CB899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40000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1B470E1A">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40000</w:t>
            </w:r>
          </w:p>
        </w:tc>
      </w:tr>
      <w:tr w14:paraId="053C0274">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7A6210B5">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0F46DB5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6C09B55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712184F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喉镜</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F12FDE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655CF25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0BE1A9CD">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5500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175B37E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11000</w:t>
            </w:r>
          </w:p>
        </w:tc>
      </w:tr>
      <w:tr w14:paraId="7E601089">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02B3C11A">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7</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077D849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31A25B7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19FE52C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鼻窦负压置换仪</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3DFB33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22F6D63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1F4703F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96000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2012F524">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96000</w:t>
            </w:r>
          </w:p>
        </w:tc>
      </w:tr>
      <w:tr w14:paraId="3F32DC8B">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65B8F7E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8</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4EE9F61D">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57E82AD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4F40F5A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鼻窦镜图文报告系统</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30C030C2">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529EB822">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4E898A5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26000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73C43E54">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26000</w:t>
            </w:r>
          </w:p>
        </w:tc>
      </w:tr>
      <w:tr w14:paraId="2A9CF3C1">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530BB2B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9</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38E3265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3A36308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431CCBE2">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鼻、颅底内镜手术器械套件</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6FB26B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1E08FAE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14A0349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160000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3161598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160000</w:t>
            </w:r>
          </w:p>
        </w:tc>
      </w:tr>
      <w:tr w14:paraId="51653882">
        <w:tblPrEx>
          <w:tblCellMar>
            <w:top w:w="0" w:type="dxa"/>
            <w:left w:w="108" w:type="dxa"/>
            <w:bottom w:w="0" w:type="dxa"/>
            <w:right w:w="108" w:type="dxa"/>
          </w:tblCellMar>
        </w:tblPrEx>
        <w:trPr>
          <w:trHeight w:val="665" w:hRule="atLeast"/>
          <w:jc w:val="center"/>
        </w:trPr>
        <w:tc>
          <w:tcPr>
            <w:tcW w:w="300" w:type="pct"/>
            <w:tcBorders>
              <w:top w:val="single" w:color="auto" w:sz="4" w:space="0"/>
              <w:left w:val="single" w:color="auto" w:sz="4" w:space="0"/>
              <w:bottom w:val="single" w:color="auto" w:sz="4" w:space="0"/>
              <w:right w:val="single" w:color="auto" w:sz="4" w:space="0"/>
            </w:tcBorders>
            <w:shd w:val="clear" w:color="auto" w:fill="auto"/>
            <w:vAlign w:val="center"/>
          </w:tcPr>
          <w:p w14:paraId="1DE2D9A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10</w:t>
            </w:r>
          </w:p>
        </w:tc>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2FF43494">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541" w:type="pct"/>
            <w:tcBorders>
              <w:top w:val="single" w:color="auto" w:sz="4" w:space="0"/>
              <w:left w:val="single" w:color="auto" w:sz="4" w:space="0"/>
              <w:bottom w:val="single" w:color="auto" w:sz="4" w:space="0"/>
              <w:right w:val="single" w:color="auto" w:sz="4" w:space="0"/>
            </w:tcBorders>
            <w:shd w:val="clear" w:color="auto" w:fill="auto"/>
            <w:vAlign w:val="center"/>
          </w:tcPr>
          <w:p w14:paraId="682B6FE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8" w:type="pct"/>
            <w:tcBorders>
              <w:top w:val="single" w:color="auto" w:sz="4" w:space="0"/>
              <w:left w:val="single" w:color="auto" w:sz="4" w:space="0"/>
              <w:bottom w:val="single" w:color="auto" w:sz="4" w:space="0"/>
              <w:right w:val="single" w:color="auto" w:sz="4" w:space="0"/>
            </w:tcBorders>
            <w:shd w:val="clear" w:color="auto" w:fill="auto"/>
            <w:vAlign w:val="center"/>
          </w:tcPr>
          <w:p w14:paraId="0E44DE6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脉冲磁场刺激仪</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65559A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00F5E92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638" w:type="pct"/>
            <w:tcBorders>
              <w:top w:val="single" w:color="auto" w:sz="4" w:space="0"/>
              <w:left w:val="single" w:color="auto" w:sz="4" w:space="0"/>
              <w:bottom w:val="single" w:color="auto" w:sz="4" w:space="0"/>
              <w:right w:val="single" w:color="auto" w:sz="4" w:space="0"/>
            </w:tcBorders>
            <w:shd w:val="clear" w:color="auto" w:fill="auto"/>
            <w:vAlign w:val="center"/>
          </w:tcPr>
          <w:p w14:paraId="025B34D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495000</w:t>
            </w:r>
          </w:p>
        </w:tc>
        <w:tc>
          <w:tcPr>
            <w:tcW w:w="765" w:type="pct"/>
            <w:tcBorders>
              <w:top w:val="single" w:color="auto" w:sz="4" w:space="0"/>
              <w:left w:val="single" w:color="auto" w:sz="4" w:space="0"/>
              <w:bottom w:val="single" w:color="auto" w:sz="4" w:space="0"/>
              <w:right w:val="single" w:color="auto" w:sz="4" w:space="0"/>
            </w:tcBorders>
            <w:shd w:val="clear" w:color="auto" w:fill="auto"/>
            <w:vAlign w:val="center"/>
          </w:tcPr>
          <w:p w14:paraId="384E228A">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495000</w:t>
            </w:r>
          </w:p>
        </w:tc>
      </w:tr>
    </w:tbl>
    <w:p w14:paraId="50929643">
      <w:pPr>
        <w:shd w:val="clear"/>
        <w:spacing w:line="360" w:lineRule="auto"/>
        <w:ind w:firstLine="424" w:firstLineChars="202"/>
        <w:rPr>
          <w:color w:val="auto"/>
          <w:highlight w:val="none"/>
        </w:rPr>
      </w:pPr>
      <w:r>
        <w:rPr>
          <w:rFonts w:hint="eastAsia"/>
          <w:color w:val="auto"/>
          <w:highlight w:val="none"/>
        </w:rPr>
        <w:t>6.合同履行期限：合同签订后</w:t>
      </w:r>
      <w:r>
        <w:rPr>
          <w:rFonts w:hint="eastAsia"/>
          <w:color w:val="auto"/>
          <w:highlight w:val="none"/>
          <w:u w:val="single"/>
        </w:rPr>
        <w:t xml:space="preserve"> 30 </w:t>
      </w:r>
      <w:r>
        <w:rPr>
          <w:rFonts w:hint="eastAsia"/>
          <w:color w:val="auto"/>
          <w:highlight w:val="none"/>
        </w:rPr>
        <w:t>日历天内完成供货、安装并调试完毕。</w:t>
      </w:r>
    </w:p>
    <w:p w14:paraId="26C51384">
      <w:pPr>
        <w:shd w:val="clear"/>
        <w:spacing w:line="360" w:lineRule="auto"/>
        <w:ind w:firstLine="426" w:firstLineChars="202"/>
        <w:rPr>
          <w:b/>
          <w:color w:val="auto"/>
          <w:highlight w:val="none"/>
        </w:rPr>
      </w:pPr>
      <w:r>
        <w:rPr>
          <w:rFonts w:hint="eastAsia"/>
          <w:b/>
          <w:bCs/>
          <w:color w:val="auto"/>
          <w:highlight w:val="none"/>
        </w:rPr>
        <w:t>7.本项目不接受联合体投标</w:t>
      </w:r>
      <w:r>
        <w:rPr>
          <w:b/>
          <w:bCs/>
          <w:color w:val="auto"/>
          <w:highlight w:val="none"/>
        </w:rPr>
        <w:t>。</w:t>
      </w:r>
    </w:p>
    <w:p w14:paraId="613D8712">
      <w:pPr>
        <w:shd w:val="clear"/>
        <w:spacing w:line="360" w:lineRule="auto"/>
        <w:rPr>
          <w:b/>
          <w:color w:val="auto"/>
          <w:highlight w:val="none"/>
        </w:rPr>
      </w:pPr>
      <w:r>
        <w:rPr>
          <w:rFonts w:hint="eastAsia"/>
          <w:b/>
          <w:color w:val="auto"/>
          <w:highlight w:val="none"/>
        </w:rPr>
        <w:t>二、投标人的</w:t>
      </w:r>
      <w:r>
        <w:rPr>
          <w:b/>
          <w:color w:val="auto"/>
          <w:highlight w:val="none"/>
        </w:rPr>
        <w:t>资格要求</w:t>
      </w:r>
    </w:p>
    <w:p w14:paraId="44AF67C6">
      <w:pPr>
        <w:shd w:val="clear"/>
        <w:spacing w:line="360" w:lineRule="auto"/>
        <w:ind w:left="424" w:leftChars="202" w:firstLine="2"/>
        <w:jc w:val="left"/>
        <w:rPr>
          <w:b/>
          <w:color w:val="auto"/>
          <w:szCs w:val="21"/>
          <w:highlight w:val="none"/>
        </w:rPr>
      </w:pPr>
      <w:r>
        <w:rPr>
          <w:b/>
          <w:color w:val="auto"/>
          <w:szCs w:val="21"/>
          <w:highlight w:val="none"/>
        </w:rPr>
        <w:t>1.满足《中华人民共和国政府采购法》第二十二条规定；</w:t>
      </w:r>
    </w:p>
    <w:p w14:paraId="504B5BD5">
      <w:pPr>
        <w:shd w:val="clear"/>
        <w:spacing w:line="360" w:lineRule="auto"/>
        <w:ind w:firstLine="426"/>
        <w:jc w:val="left"/>
        <w:rPr>
          <w:bCs/>
          <w:color w:val="auto"/>
          <w:szCs w:val="21"/>
          <w:highlight w:val="none"/>
        </w:rPr>
      </w:pPr>
      <w:r>
        <w:rPr>
          <w:b/>
          <w:color w:val="auto"/>
          <w:szCs w:val="21"/>
          <w:highlight w:val="none"/>
        </w:rPr>
        <w:t>2.落实政府采购政策需满足的资格要求：</w:t>
      </w:r>
      <w:r>
        <w:rPr>
          <w:color w:val="auto"/>
          <w:szCs w:val="21"/>
          <w:highlight w:val="none"/>
          <w:u w:val="single"/>
        </w:rPr>
        <w:t>本项目非专门面向中小企业采购的项目；</w:t>
      </w:r>
      <w:r>
        <w:rPr>
          <w:rFonts w:hint="eastAsia"/>
          <w:color w:val="auto"/>
          <w:szCs w:val="21"/>
          <w:highlight w:val="none"/>
          <w:u w:val="single"/>
          <w:lang w:eastAsia="zh-CN"/>
        </w:rPr>
        <w:t>昆明市妇幼保健院鼻窦负压置换仪、脉冲磁场刺激仪等医疗设备采购项目（二次）</w:t>
      </w:r>
      <w:r>
        <w:rPr>
          <w:color w:val="auto"/>
          <w:szCs w:val="21"/>
          <w:highlight w:val="none"/>
          <w:u w:val="single"/>
        </w:rPr>
        <w:t>：小微企业价格扣除优惠比例：</w:t>
      </w:r>
      <w:r>
        <w:rPr>
          <w:b/>
          <w:bCs/>
          <w:color w:val="auto"/>
          <w:szCs w:val="21"/>
          <w:highlight w:val="none"/>
          <w:u w:val="single"/>
        </w:rPr>
        <w:t>10%</w:t>
      </w:r>
      <w:r>
        <w:rPr>
          <w:color w:val="auto"/>
          <w:szCs w:val="21"/>
          <w:highlight w:val="none"/>
          <w:u w:val="single"/>
        </w:rPr>
        <w:t>。</w:t>
      </w:r>
      <w:r>
        <w:rPr>
          <w:rFonts w:hint="eastAsia"/>
          <w:color w:val="auto"/>
          <w:szCs w:val="21"/>
          <w:highlight w:val="none"/>
          <w:u w:val="single"/>
        </w:rPr>
        <w:t xml:space="preserve">采购标的对应的中小企业划分标准所属行业为 </w:t>
      </w:r>
      <w:r>
        <w:rPr>
          <w:rFonts w:hint="eastAsia" w:ascii="宋体" w:hAnsi="宋体"/>
          <w:b/>
          <w:bCs/>
          <w:color w:val="auto"/>
          <w:szCs w:val="21"/>
          <w:highlight w:val="none"/>
          <w:u w:val="single"/>
        </w:rPr>
        <w:t xml:space="preserve">工业 </w:t>
      </w:r>
      <w:r>
        <w:rPr>
          <w:rFonts w:hint="eastAsia"/>
          <w:color w:val="auto"/>
          <w:szCs w:val="21"/>
          <w:highlight w:val="none"/>
          <w:u w:val="single"/>
        </w:rPr>
        <w:t>。</w:t>
      </w:r>
    </w:p>
    <w:p w14:paraId="585FBF85">
      <w:pPr>
        <w:shd w:val="clear"/>
        <w:spacing w:line="360" w:lineRule="auto"/>
        <w:ind w:left="424" w:leftChars="202" w:firstLine="2"/>
        <w:jc w:val="left"/>
        <w:rPr>
          <w:b/>
          <w:color w:val="auto"/>
          <w:szCs w:val="21"/>
          <w:highlight w:val="none"/>
        </w:rPr>
      </w:pPr>
      <w:r>
        <w:rPr>
          <w:b/>
          <w:color w:val="auto"/>
          <w:szCs w:val="21"/>
          <w:highlight w:val="none"/>
        </w:rPr>
        <w:t>3.本项目的特定资格要求：</w:t>
      </w:r>
    </w:p>
    <w:p w14:paraId="28918CDC">
      <w:pPr>
        <w:shd w:val="clear"/>
        <w:spacing w:line="360" w:lineRule="auto"/>
        <w:ind w:firstLine="426"/>
        <w:jc w:val="left"/>
        <w:rPr>
          <w:color w:val="auto"/>
          <w:szCs w:val="21"/>
          <w:highlight w:val="none"/>
          <w:u w:val="single"/>
        </w:rPr>
      </w:pPr>
      <w:r>
        <w:rPr>
          <w:rFonts w:hint="eastAsia"/>
          <w:color w:val="auto"/>
          <w:szCs w:val="21"/>
          <w:highlight w:val="none"/>
        </w:rPr>
        <w:t>3.1</w:t>
      </w:r>
      <w:r>
        <w:rPr>
          <w:rFonts w:hint="eastAsia"/>
          <w:color w:val="auto"/>
          <w:szCs w:val="21"/>
          <w:highlight w:val="none"/>
          <w:u w:val="single"/>
        </w:rPr>
        <w:t>投标人是代理商或经销商的，须提供有效的医疗器械经营许可证/备案凭证，所投产品制造商有效的医疗器械生产许可证（制造商工商注册地在中华人民共和国境外的，不做此要求）、所投产品有效的医疗器械注册证；投标人是制造商的，须提供有效的医疗器械生产许可证（制造商工商注册地在中华人民共和国境外的，不做此要求）、所投产品有效的医疗器械注册证。“医疗器械生产许可证”或“医疗器械经营许可证/备案凭证”的生产或经营范围须覆盖所投医疗器械（根据《医疗器械监督管理条例》（中华人民共和国国务院令第739号）的规定，在《医疗器械分类目录》内的产品必须按照《医疗器械监督管理条例》的要求提供，其他不在《医疗器械分类目录》内的不作强行要求，但须提供相关证明材料或书面声明）【加盖公司电子签章】。</w:t>
      </w:r>
    </w:p>
    <w:p w14:paraId="11A582D2">
      <w:pPr>
        <w:shd w:val="clear"/>
        <w:spacing w:line="360" w:lineRule="auto"/>
        <w:ind w:firstLine="426"/>
        <w:jc w:val="left"/>
        <w:rPr>
          <w:color w:val="auto"/>
          <w:szCs w:val="21"/>
          <w:highlight w:val="none"/>
          <w:u w:val="single"/>
        </w:rPr>
      </w:pPr>
      <w:r>
        <w:rPr>
          <w:color w:val="auto"/>
          <w:szCs w:val="21"/>
          <w:highlight w:val="none"/>
        </w:rPr>
        <w:t>3.</w:t>
      </w:r>
      <w:r>
        <w:rPr>
          <w:rFonts w:hint="eastAsia"/>
          <w:color w:val="auto"/>
          <w:szCs w:val="21"/>
          <w:highlight w:val="none"/>
        </w:rPr>
        <w:t>2</w:t>
      </w:r>
      <w:r>
        <w:rPr>
          <w:color w:val="auto"/>
          <w:szCs w:val="21"/>
          <w:highlight w:val="none"/>
        </w:rPr>
        <w:t>信用要求：</w:t>
      </w:r>
      <w:r>
        <w:rPr>
          <w:rFonts w:hint="eastAsia"/>
          <w:color w:val="auto"/>
          <w:szCs w:val="21"/>
          <w:highlight w:val="none"/>
          <w:u w:val="single"/>
        </w:rPr>
        <w:t>未被列入“信用中国”网站（www.creditchina.gov.cn）失信被执行人、重大税收违法案件当事人名单、政府采购严重违法失信名单及“中国政府采购网”（www.ccgp.gov.cn）政府采购严重违法失信行为信息记录。</w:t>
      </w:r>
      <w:r>
        <w:rPr>
          <w:color w:val="auto"/>
          <w:szCs w:val="21"/>
          <w:highlight w:val="none"/>
          <w:u w:val="single"/>
        </w:rPr>
        <w:t>采购代理机构将于投标文件递交截止时间后在</w:t>
      </w:r>
      <w:r>
        <w:rPr>
          <w:rFonts w:hint="eastAsia"/>
          <w:color w:val="auto"/>
          <w:szCs w:val="21"/>
          <w:highlight w:val="none"/>
          <w:u w:val="single"/>
        </w:rPr>
        <w:t>上述网站</w:t>
      </w:r>
      <w:r>
        <w:rPr>
          <w:color w:val="auto"/>
          <w:szCs w:val="21"/>
          <w:highlight w:val="none"/>
          <w:u w:val="single"/>
        </w:rPr>
        <w:t>对投标人信用情况进行查询</w:t>
      </w:r>
      <w:r>
        <w:rPr>
          <w:rFonts w:hint="eastAsia"/>
          <w:color w:val="auto"/>
          <w:szCs w:val="21"/>
          <w:highlight w:val="none"/>
          <w:u w:val="single"/>
        </w:rPr>
        <w:t>，存在上述不良信用记录的</w:t>
      </w:r>
      <w:r>
        <w:rPr>
          <w:color w:val="auto"/>
          <w:szCs w:val="21"/>
          <w:highlight w:val="none"/>
          <w:u w:val="single"/>
        </w:rPr>
        <w:t>，其投标将被拒绝，查询记录为上述网站信用信息查询结果的网页截图；</w:t>
      </w:r>
    </w:p>
    <w:p w14:paraId="465A952B">
      <w:pPr>
        <w:shd w:val="clear"/>
        <w:spacing w:line="360" w:lineRule="auto"/>
        <w:ind w:firstLine="424" w:firstLineChars="202"/>
        <w:rPr>
          <w:color w:val="auto"/>
          <w:szCs w:val="21"/>
          <w:highlight w:val="none"/>
          <w:u w:val="single"/>
        </w:rPr>
      </w:pPr>
      <w:r>
        <w:rPr>
          <w:color w:val="auto"/>
          <w:szCs w:val="21"/>
          <w:highlight w:val="none"/>
        </w:rPr>
        <w:t>3.</w:t>
      </w:r>
      <w:r>
        <w:rPr>
          <w:rFonts w:hint="eastAsia"/>
          <w:color w:val="auto"/>
          <w:szCs w:val="21"/>
          <w:highlight w:val="none"/>
        </w:rPr>
        <w:t>3</w:t>
      </w:r>
      <w:r>
        <w:rPr>
          <w:rFonts w:hint="eastAsia"/>
          <w:color w:val="auto"/>
          <w:szCs w:val="21"/>
          <w:highlight w:val="none"/>
          <w:u w:val="singl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50F95BAE">
      <w:pPr>
        <w:shd w:val="clear"/>
        <w:spacing w:line="360" w:lineRule="auto"/>
        <w:rPr>
          <w:b/>
          <w:color w:val="auto"/>
          <w:highlight w:val="none"/>
        </w:rPr>
      </w:pPr>
      <w:r>
        <w:rPr>
          <w:rFonts w:hint="eastAsia"/>
          <w:b/>
          <w:color w:val="auto"/>
          <w:highlight w:val="none"/>
        </w:rPr>
        <w:t>三、获取招标文件</w:t>
      </w:r>
    </w:p>
    <w:p w14:paraId="78A3FC08">
      <w:pPr>
        <w:shd w:val="clear"/>
        <w:spacing w:line="360" w:lineRule="auto"/>
        <w:ind w:firstLine="424" w:firstLineChars="202"/>
        <w:rPr>
          <w:rFonts w:ascii="宋体" w:hAnsi="宋体"/>
          <w:color w:val="auto"/>
          <w:szCs w:val="21"/>
          <w:highlight w:val="none"/>
        </w:rPr>
      </w:pPr>
      <w:r>
        <w:rPr>
          <w:rFonts w:hint="eastAsia" w:ascii="宋体" w:hAnsi="宋体"/>
          <w:color w:val="auto"/>
          <w:szCs w:val="21"/>
          <w:highlight w:val="none"/>
        </w:rPr>
        <w:t>时间：</w:t>
      </w:r>
      <w:r>
        <w:rPr>
          <w:rFonts w:ascii="宋体" w:hAnsi="宋体"/>
          <w:color w:val="auto"/>
          <w:szCs w:val="21"/>
          <w:highlight w:val="none"/>
          <w:u w:val="single"/>
        </w:rPr>
        <w:t>2024</w:t>
      </w:r>
      <w:r>
        <w:rPr>
          <w:rFonts w:hint="eastAsia" w:ascii="宋体" w:hAnsi="宋体"/>
          <w:color w:val="auto"/>
          <w:szCs w:val="21"/>
          <w:highlight w:val="none"/>
          <w:u w:val="single"/>
        </w:rPr>
        <w:t>年</w:t>
      </w:r>
      <w:r>
        <w:rPr>
          <w:rFonts w:hint="eastAsia" w:ascii="宋体" w:hAnsi="宋体"/>
          <w:color w:val="auto"/>
          <w:szCs w:val="21"/>
          <w:highlight w:val="none"/>
          <w:u w:val="single"/>
          <w:lang w:val="en-US" w:eastAsia="zh-CN"/>
        </w:rPr>
        <w:t>8</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日至2</w:t>
      </w:r>
      <w:r>
        <w:rPr>
          <w:rFonts w:ascii="宋体" w:hAnsi="宋体"/>
          <w:color w:val="auto"/>
          <w:szCs w:val="21"/>
          <w:highlight w:val="none"/>
          <w:u w:val="single"/>
        </w:rPr>
        <w:t>024</w:t>
      </w:r>
      <w:r>
        <w:rPr>
          <w:rFonts w:hint="eastAsia" w:ascii="宋体" w:hAnsi="宋体"/>
          <w:color w:val="auto"/>
          <w:szCs w:val="21"/>
          <w:highlight w:val="none"/>
          <w:u w:val="single"/>
        </w:rPr>
        <w:t>年</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6</w:t>
      </w:r>
      <w:r>
        <w:rPr>
          <w:rFonts w:hint="eastAsia" w:ascii="宋体" w:hAnsi="宋体"/>
          <w:color w:val="auto"/>
          <w:szCs w:val="21"/>
          <w:highlight w:val="none"/>
          <w:u w:val="single"/>
        </w:rPr>
        <w:t>日，每天上午00:00至12:00，下午12：00至23:59（北京时间，法定节假日除外）</w:t>
      </w:r>
      <w:r>
        <w:rPr>
          <w:rFonts w:hint="eastAsia" w:ascii="宋体" w:hAnsi="宋体"/>
          <w:color w:val="auto"/>
          <w:szCs w:val="21"/>
          <w:highlight w:val="none"/>
        </w:rPr>
        <w:t>。</w:t>
      </w:r>
    </w:p>
    <w:p w14:paraId="1063FCC6">
      <w:pPr>
        <w:shd w:val="clear"/>
        <w:spacing w:line="360" w:lineRule="auto"/>
        <w:ind w:firstLine="424" w:firstLineChars="202"/>
        <w:rPr>
          <w:rFonts w:ascii="宋体" w:hAnsi="宋体"/>
          <w:color w:val="auto"/>
          <w:szCs w:val="21"/>
          <w:highlight w:val="none"/>
        </w:rPr>
      </w:pPr>
      <w:r>
        <w:rPr>
          <w:rFonts w:hint="eastAsia" w:ascii="宋体" w:hAnsi="宋体"/>
          <w:color w:val="auto"/>
          <w:szCs w:val="21"/>
          <w:highlight w:val="none"/>
        </w:rPr>
        <w:t>地点：政采云平台线上获取（https://www.zcygov.cn/）</w:t>
      </w:r>
    </w:p>
    <w:p w14:paraId="58A88A9D">
      <w:pPr>
        <w:shd w:val="clear"/>
        <w:spacing w:line="360" w:lineRule="auto"/>
        <w:ind w:firstLine="424" w:firstLineChars="202"/>
        <w:rPr>
          <w:rFonts w:ascii="宋体" w:hAnsi="宋体"/>
          <w:color w:val="auto"/>
          <w:szCs w:val="21"/>
          <w:highlight w:val="none"/>
        </w:rPr>
      </w:pPr>
      <w:r>
        <w:rPr>
          <w:rFonts w:hint="eastAsia" w:ascii="宋体" w:hAnsi="宋体"/>
          <w:color w:val="auto"/>
          <w:szCs w:val="21"/>
          <w:highlight w:val="none"/>
        </w:rPr>
        <w:t>方式：1.凡有意参加投标者，须在政采云平台办理数字证书（CA），并在政采云绑定数字证书（CA）后在网上获取采购文件及其他采购资料，数字证书（CA）详见其办理流。CA申领链接：https://middle.zcygov.cn/ca/apply/list?_app_=zcy.sys，注：云南本地投标人如之前已在云南CA在线数字证书办理网进行过注册并办理过企业数字证书（CA），直接绑定即可，无需重复办理。外省投标人在政采云平台办理的其他CA可直接使用，无需重复办理。</w:t>
      </w:r>
    </w:p>
    <w:p w14:paraId="465BDF8C">
      <w:pPr>
        <w:shd w:val="clear"/>
        <w:spacing w:line="360" w:lineRule="auto"/>
        <w:ind w:firstLine="424" w:firstLineChars="202"/>
        <w:rPr>
          <w:rFonts w:ascii="宋体" w:hAnsi="宋体"/>
          <w:color w:val="auto"/>
          <w:szCs w:val="21"/>
          <w:highlight w:val="none"/>
        </w:rPr>
      </w:pPr>
      <w:r>
        <w:rPr>
          <w:rFonts w:hint="eastAsia" w:ascii="宋体" w:hAnsi="宋体"/>
          <w:color w:val="auto"/>
          <w:szCs w:val="21"/>
          <w:highlight w:val="none"/>
        </w:rPr>
        <w:t>2.按上述要求获取文件的投标人视为合法获取了本项目采购文件，具备本项目的投标资格。</w:t>
      </w:r>
    </w:p>
    <w:p w14:paraId="09A28FFC">
      <w:pPr>
        <w:shd w:val="clear"/>
        <w:spacing w:line="360" w:lineRule="auto"/>
        <w:ind w:firstLine="424" w:firstLineChars="202"/>
        <w:rPr>
          <w:b/>
          <w:color w:val="auto"/>
          <w:highlight w:val="none"/>
        </w:rPr>
      </w:pPr>
      <w:r>
        <w:rPr>
          <w:rFonts w:hint="eastAsia" w:ascii="宋体" w:hAnsi="宋体"/>
          <w:color w:val="auto"/>
          <w:szCs w:val="21"/>
          <w:highlight w:val="none"/>
        </w:rPr>
        <w:t>售价（元）：0</w:t>
      </w:r>
      <w:bookmarkStart w:id="4" w:name="_Toc86124037"/>
      <w:bookmarkEnd w:id="4"/>
    </w:p>
    <w:p w14:paraId="7822C240">
      <w:pPr>
        <w:shd w:val="clear"/>
        <w:spacing w:line="360" w:lineRule="auto"/>
        <w:rPr>
          <w:b/>
          <w:color w:val="auto"/>
          <w:highlight w:val="none"/>
        </w:rPr>
      </w:pPr>
      <w:r>
        <w:rPr>
          <w:rFonts w:hint="eastAsia"/>
          <w:b/>
          <w:color w:val="auto"/>
          <w:highlight w:val="none"/>
        </w:rPr>
        <w:t>四</w:t>
      </w:r>
      <w:r>
        <w:rPr>
          <w:b/>
          <w:color w:val="auto"/>
          <w:highlight w:val="none"/>
        </w:rPr>
        <w:t>、</w:t>
      </w:r>
      <w:r>
        <w:rPr>
          <w:rFonts w:hint="eastAsia"/>
          <w:b/>
          <w:color w:val="auto"/>
          <w:highlight w:val="none"/>
        </w:rPr>
        <w:t>提交投标文件截止时间、开标时间和地点</w:t>
      </w:r>
      <w:bookmarkStart w:id="340" w:name="_GoBack"/>
      <w:bookmarkEnd w:id="340"/>
    </w:p>
    <w:p w14:paraId="57E4100B">
      <w:pPr>
        <w:shd w:val="clear"/>
        <w:spacing w:line="360" w:lineRule="auto"/>
        <w:ind w:firstLine="420" w:firstLineChars="200"/>
        <w:rPr>
          <w:color w:val="auto"/>
          <w:szCs w:val="21"/>
          <w:highlight w:val="none"/>
        </w:rPr>
      </w:pPr>
      <w:bookmarkStart w:id="5" w:name="_Toc347133579"/>
      <w:bookmarkEnd w:id="5"/>
      <w:bookmarkStart w:id="6" w:name="_Toc304998754"/>
      <w:r>
        <w:rPr>
          <w:rFonts w:hint="eastAsia"/>
          <w:color w:val="auto"/>
          <w:szCs w:val="21"/>
          <w:highlight w:val="none"/>
        </w:rPr>
        <w:t>2024年</w:t>
      </w:r>
      <w:r>
        <w:rPr>
          <w:rFonts w:hint="eastAsia"/>
          <w:color w:val="auto"/>
          <w:szCs w:val="21"/>
          <w:highlight w:val="none"/>
          <w:lang w:val="en-US" w:eastAsia="zh-CN"/>
        </w:rPr>
        <w:t>9</w:t>
      </w:r>
      <w:r>
        <w:rPr>
          <w:rFonts w:hint="eastAsia"/>
          <w:color w:val="auto"/>
          <w:szCs w:val="21"/>
          <w:highlight w:val="none"/>
        </w:rPr>
        <w:t>月</w:t>
      </w:r>
      <w:r>
        <w:rPr>
          <w:rFonts w:hint="eastAsia"/>
          <w:color w:val="auto"/>
          <w:szCs w:val="21"/>
          <w:highlight w:val="none"/>
          <w:lang w:val="en-US" w:eastAsia="zh-CN"/>
        </w:rPr>
        <w:t>20</w:t>
      </w:r>
      <w:r>
        <w:rPr>
          <w:rFonts w:hint="eastAsia"/>
          <w:color w:val="auto"/>
          <w:szCs w:val="21"/>
          <w:highlight w:val="none"/>
        </w:rPr>
        <w:t>日09时30分</w:t>
      </w:r>
      <w:r>
        <w:rPr>
          <w:color w:val="auto"/>
          <w:szCs w:val="21"/>
          <w:highlight w:val="none"/>
        </w:rPr>
        <w:t>（北京</w:t>
      </w:r>
      <w:r>
        <w:rPr>
          <w:rFonts w:hint="eastAsia"/>
          <w:color w:val="auto"/>
          <w:szCs w:val="21"/>
          <w:highlight w:val="none"/>
        </w:rPr>
        <w:t>时间）</w:t>
      </w:r>
    </w:p>
    <w:p w14:paraId="33DBA410">
      <w:pPr>
        <w:shd w:val="clear"/>
        <w:spacing w:line="360" w:lineRule="auto"/>
        <w:ind w:firstLine="420" w:firstLineChars="200"/>
        <w:rPr>
          <w:b/>
          <w:color w:val="auto"/>
          <w:highlight w:val="none"/>
        </w:rPr>
      </w:pPr>
      <w:r>
        <w:rPr>
          <w:color w:val="auto"/>
          <w:szCs w:val="21"/>
          <w:highlight w:val="none"/>
        </w:rPr>
        <w:t>地点：</w:t>
      </w:r>
      <w:r>
        <w:rPr>
          <w:rFonts w:hint="eastAsia"/>
          <w:color w:val="auto"/>
          <w:szCs w:val="21"/>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77FDBF07">
      <w:pPr>
        <w:shd w:val="clear"/>
        <w:spacing w:line="360" w:lineRule="auto"/>
        <w:rPr>
          <w:b/>
          <w:color w:val="auto"/>
          <w:highlight w:val="none"/>
        </w:rPr>
      </w:pPr>
      <w:r>
        <w:rPr>
          <w:rFonts w:hint="eastAsia"/>
          <w:b/>
          <w:color w:val="auto"/>
          <w:highlight w:val="none"/>
        </w:rPr>
        <w:t>五</w:t>
      </w:r>
      <w:r>
        <w:rPr>
          <w:b/>
          <w:color w:val="auto"/>
          <w:highlight w:val="none"/>
        </w:rPr>
        <w:t>、</w:t>
      </w:r>
      <w:r>
        <w:rPr>
          <w:rFonts w:ascii="宋体" w:hAnsi="宋体"/>
          <w:b/>
          <w:bCs/>
          <w:color w:val="auto"/>
          <w:szCs w:val="21"/>
          <w:highlight w:val="none"/>
        </w:rPr>
        <w:t>公告期限</w:t>
      </w:r>
    </w:p>
    <w:p w14:paraId="62455C02">
      <w:pPr>
        <w:shd w:val="clear"/>
        <w:spacing w:line="360" w:lineRule="auto"/>
        <w:ind w:left="424" w:leftChars="202" w:firstLine="2"/>
        <w:jc w:val="left"/>
        <w:rPr>
          <w:b/>
          <w:color w:val="auto"/>
          <w:highlight w:val="none"/>
        </w:rPr>
      </w:pPr>
      <w:r>
        <w:rPr>
          <w:rFonts w:ascii="宋体" w:hAnsi="宋体"/>
          <w:bCs/>
          <w:color w:val="auto"/>
          <w:szCs w:val="21"/>
          <w:highlight w:val="none"/>
        </w:rPr>
        <w:t>自本公告</w:t>
      </w:r>
      <w:r>
        <w:rPr>
          <w:rFonts w:hint="eastAsia" w:ascii="宋体" w:hAnsi="宋体" w:cs="微软雅黑"/>
          <w:bCs/>
          <w:color w:val="auto"/>
          <w:szCs w:val="21"/>
          <w:highlight w:val="none"/>
        </w:rPr>
        <w:t>发</w:t>
      </w:r>
      <w:r>
        <w:rPr>
          <w:rFonts w:hint="eastAsia" w:ascii="宋体" w:hAnsi="宋体" w:cs="Malgun Gothic"/>
          <w:bCs/>
          <w:color w:val="auto"/>
          <w:szCs w:val="21"/>
          <w:highlight w:val="none"/>
        </w:rPr>
        <w:t>布之日起</w:t>
      </w:r>
      <w:r>
        <w:rPr>
          <w:rFonts w:ascii="宋体" w:hAnsi="宋体"/>
          <w:bCs/>
          <w:color w:val="auto"/>
          <w:szCs w:val="21"/>
          <w:highlight w:val="none"/>
        </w:rPr>
        <w:t>5</w:t>
      </w:r>
      <w:r>
        <w:rPr>
          <w:rFonts w:hint="eastAsia" w:ascii="宋体" w:hAnsi="宋体" w:cs="微软雅黑"/>
          <w:bCs/>
          <w:color w:val="auto"/>
          <w:szCs w:val="21"/>
          <w:highlight w:val="none"/>
        </w:rPr>
        <w:t>个</w:t>
      </w:r>
      <w:r>
        <w:rPr>
          <w:rFonts w:hint="eastAsia" w:ascii="宋体" w:hAnsi="宋体" w:cs="Malgun Gothic"/>
          <w:bCs/>
          <w:color w:val="auto"/>
          <w:szCs w:val="21"/>
          <w:highlight w:val="none"/>
        </w:rPr>
        <w:t>工作日。</w:t>
      </w:r>
    </w:p>
    <w:p w14:paraId="74E74DB6">
      <w:pPr>
        <w:shd w:val="clear"/>
        <w:spacing w:line="360" w:lineRule="auto"/>
        <w:rPr>
          <w:b/>
          <w:color w:val="auto"/>
          <w:highlight w:val="none"/>
        </w:rPr>
      </w:pPr>
      <w:r>
        <w:rPr>
          <w:rFonts w:hint="eastAsia"/>
          <w:b/>
          <w:color w:val="auto"/>
          <w:highlight w:val="none"/>
        </w:rPr>
        <w:t>六</w:t>
      </w:r>
      <w:r>
        <w:rPr>
          <w:b/>
          <w:color w:val="auto"/>
          <w:highlight w:val="none"/>
        </w:rPr>
        <w:t>、</w:t>
      </w:r>
      <w:r>
        <w:rPr>
          <w:rFonts w:hint="eastAsia"/>
          <w:b/>
          <w:color w:val="auto"/>
          <w:highlight w:val="none"/>
        </w:rPr>
        <w:t>其他补充事宜</w:t>
      </w:r>
    </w:p>
    <w:bookmarkEnd w:id="6"/>
    <w:p w14:paraId="30E2D714">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开标</w:t>
      </w:r>
      <w:r>
        <w:rPr>
          <w:rFonts w:hint="eastAsia" w:ascii="宋体" w:hAnsi="宋体" w:cs="Malgun Gothic"/>
          <w:bCs/>
          <w:color w:val="auto"/>
          <w:szCs w:val="21"/>
          <w:highlight w:val="none"/>
        </w:rPr>
        <w:t>方式：网上</w:t>
      </w:r>
      <w:r>
        <w:rPr>
          <w:rFonts w:hint="eastAsia" w:ascii="宋体" w:hAnsi="宋体" w:cs="微软雅黑"/>
          <w:bCs/>
          <w:color w:val="auto"/>
          <w:szCs w:val="21"/>
          <w:highlight w:val="none"/>
        </w:rPr>
        <w:t>开标</w:t>
      </w:r>
    </w:p>
    <w:p w14:paraId="5DC888DC">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是否需要缴纳投标保证金：是</w:t>
      </w:r>
    </w:p>
    <w:p w14:paraId="75FC7571">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（1标段）</w:t>
      </w:r>
      <w:r>
        <w:rPr>
          <w:rFonts w:hint="eastAsia" w:ascii="宋体" w:hAnsi="宋体" w:cs="微软雅黑"/>
          <w:bCs/>
          <w:color w:val="auto"/>
          <w:szCs w:val="21"/>
          <w:highlight w:val="none"/>
          <w:lang w:eastAsia="zh-CN"/>
        </w:rPr>
        <w:t>昆明市妇幼保健院鼻窦负压置换仪、脉冲磁场刺激仪等医疗设备采购项目（二次）</w:t>
      </w:r>
      <w:r>
        <w:rPr>
          <w:rFonts w:hint="eastAsia" w:ascii="宋体" w:hAnsi="宋体" w:cs="微软雅黑"/>
          <w:bCs/>
          <w:color w:val="auto"/>
          <w:szCs w:val="21"/>
          <w:highlight w:val="none"/>
        </w:rPr>
        <w:t>：</w:t>
      </w:r>
    </w:p>
    <w:p w14:paraId="04733DC4">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保证金金额：7,000.00（元）</w:t>
      </w:r>
    </w:p>
    <w:p w14:paraId="75279DDD">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保证金缴纳方式：支票、汇票、本票、保函、转账或电汇等非现金形式</w:t>
      </w:r>
    </w:p>
    <w:p w14:paraId="5E9D1CE3">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保证金缴纳截止时间：2024年</w:t>
      </w:r>
      <w:r>
        <w:rPr>
          <w:rFonts w:hint="eastAsia" w:ascii="宋体" w:hAnsi="宋体" w:cs="微软雅黑"/>
          <w:bCs/>
          <w:color w:val="auto"/>
          <w:szCs w:val="21"/>
          <w:highlight w:val="none"/>
          <w:lang w:val="en-US" w:eastAsia="zh-CN"/>
        </w:rPr>
        <w:t>9</w:t>
      </w:r>
      <w:r>
        <w:rPr>
          <w:rFonts w:hint="eastAsia" w:ascii="宋体" w:hAnsi="宋体" w:cs="微软雅黑"/>
          <w:bCs/>
          <w:color w:val="auto"/>
          <w:szCs w:val="21"/>
          <w:highlight w:val="none"/>
        </w:rPr>
        <w:t>月</w:t>
      </w:r>
      <w:r>
        <w:rPr>
          <w:rFonts w:hint="eastAsia" w:ascii="宋体" w:hAnsi="宋体" w:cs="微软雅黑"/>
          <w:bCs/>
          <w:color w:val="auto"/>
          <w:szCs w:val="21"/>
          <w:highlight w:val="none"/>
          <w:lang w:val="en-US" w:eastAsia="zh-CN"/>
        </w:rPr>
        <w:t>20</w:t>
      </w:r>
      <w:r>
        <w:rPr>
          <w:rFonts w:hint="eastAsia" w:ascii="宋体" w:hAnsi="宋体" w:cs="微软雅黑"/>
          <w:bCs/>
          <w:color w:val="auto"/>
          <w:szCs w:val="21"/>
          <w:highlight w:val="none"/>
        </w:rPr>
        <w:t>日09时30分（北京时间）</w:t>
      </w:r>
    </w:p>
    <w:p w14:paraId="458B05CF">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（2标段）</w:t>
      </w:r>
      <w:r>
        <w:rPr>
          <w:rFonts w:hint="eastAsia" w:ascii="宋体" w:hAnsi="宋体" w:cs="微软雅黑"/>
          <w:bCs/>
          <w:color w:val="auto"/>
          <w:szCs w:val="21"/>
          <w:highlight w:val="none"/>
          <w:lang w:eastAsia="zh-CN"/>
        </w:rPr>
        <w:t>昆明市妇幼保健院鼻窦负压置换仪、脉冲磁场刺激仪等医疗设备采购项目（二次）</w:t>
      </w:r>
      <w:r>
        <w:rPr>
          <w:rFonts w:hint="eastAsia" w:ascii="宋体" w:hAnsi="宋体" w:cs="微软雅黑"/>
          <w:bCs/>
          <w:color w:val="auto"/>
          <w:szCs w:val="21"/>
          <w:highlight w:val="none"/>
        </w:rPr>
        <w:t>：</w:t>
      </w:r>
    </w:p>
    <w:p w14:paraId="56239402">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保证金金额：3,000.00（元）</w:t>
      </w:r>
    </w:p>
    <w:p w14:paraId="0B495B23">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保证金缴纳方式：支票、汇票、本票、保函、转账或电汇等非现金形式</w:t>
      </w:r>
    </w:p>
    <w:p w14:paraId="16AE7FC5">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保证金缴纳截止时间：2024年</w:t>
      </w:r>
      <w:r>
        <w:rPr>
          <w:rFonts w:hint="eastAsia" w:ascii="宋体" w:hAnsi="宋体" w:cs="微软雅黑"/>
          <w:bCs/>
          <w:color w:val="auto"/>
          <w:szCs w:val="21"/>
          <w:highlight w:val="none"/>
          <w:lang w:val="en-US" w:eastAsia="zh-CN"/>
        </w:rPr>
        <w:t>9</w:t>
      </w:r>
      <w:r>
        <w:rPr>
          <w:rFonts w:hint="eastAsia" w:ascii="宋体" w:hAnsi="宋体" w:cs="微软雅黑"/>
          <w:bCs/>
          <w:color w:val="auto"/>
          <w:szCs w:val="21"/>
          <w:highlight w:val="none"/>
        </w:rPr>
        <w:t>月</w:t>
      </w:r>
      <w:r>
        <w:rPr>
          <w:rFonts w:hint="eastAsia" w:ascii="宋体" w:hAnsi="宋体" w:cs="微软雅黑"/>
          <w:bCs/>
          <w:color w:val="auto"/>
          <w:szCs w:val="21"/>
          <w:highlight w:val="none"/>
          <w:lang w:val="en-US" w:eastAsia="zh-CN"/>
        </w:rPr>
        <w:t>20</w:t>
      </w:r>
      <w:r>
        <w:rPr>
          <w:rFonts w:hint="eastAsia" w:ascii="宋体" w:hAnsi="宋体" w:cs="微软雅黑"/>
          <w:bCs/>
          <w:color w:val="auto"/>
          <w:szCs w:val="21"/>
          <w:highlight w:val="none"/>
        </w:rPr>
        <w:t>日09时30分（北京时间）</w:t>
      </w:r>
    </w:p>
    <w:p w14:paraId="6F6A6B8D">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（3标段）</w:t>
      </w:r>
      <w:r>
        <w:rPr>
          <w:rFonts w:hint="eastAsia" w:ascii="宋体" w:hAnsi="宋体" w:cs="微软雅黑"/>
          <w:bCs/>
          <w:color w:val="auto"/>
          <w:szCs w:val="21"/>
          <w:highlight w:val="none"/>
          <w:lang w:eastAsia="zh-CN"/>
        </w:rPr>
        <w:t>昆明市妇幼保健院鼻窦负压置换仪、脉冲磁场刺激仪等医疗设备采购项目（二次）</w:t>
      </w:r>
      <w:r>
        <w:rPr>
          <w:rFonts w:hint="eastAsia" w:ascii="宋体" w:hAnsi="宋体" w:cs="微软雅黑"/>
          <w:bCs/>
          <w:color w:val="auto"/>
          <w:szCs w:val="21"/>
          <w:highlight w:val="none"/>
        </w:rPr>
        <w:t>：</w:t>
      </w:r>
    </w:p>
    <w:p w14:paraId="3E186379">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保证金金额：4,000.00（元）</w:t>
      </w:r>
    </w:p>
    <w:p w14:paraId="6391A4C5">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保证金缴纳方式：支票、汇票、本票、保函、转账或电汇等非现金形式</w:t>
      </w:r>
    </w:p>
    <w:p w14:paraId="58762BCC">
      <w:pPr>
        <w:shd w:val="clear"/>
        <w:spacing w:line="360" w:lineRule="auto"/>
        <w:ind w:left="424" w:leftChars="202" w:firstLine="2"/>
        <w:jc w:val="left"/>
        <w:rPr>
          <w:rFonts w:ascii="宋体" w:hAnsi="宋体" w:cs="微软雅黑"/>
          <w:bCs/>
          <w:color w:val="auto"/>
          <w:szCs w:val="21"/>
          <w:highlight w:val="none"/>
        </w:rPr>
      </w:pPr>
      <w:r>
        <w:rPr>
          <w:rFonts w:hint="eastAsia" w:ascii="宋体" w:hAnsi="宋体" w:cs="微软雅黑"/>
          <w:bCs/>
          <w:color w:val="auto"/>
          <w:szCs w:val="21"/>
          <w:highlight w:val="none"/>
        </w:rPr>
        <w:t xml:space="preserve">    保证金缴纳截止时间：2024年</w:t>
      </w:r>
      <w:r>
        <w:rPr>
          <w:rFonts w:hint="eastAsia" w:ascii="宋体" w:hAnsi="宋体" w:cs="微软雅黑"/>
          <w:bCs/>
          <w:color w:val="auto"/>
          <w:szCs w:val="21"/>
          <w:highlight w:val="none"/>
          <w:lang w:val="en-US" w:eastAsia="zh-CN"/>
        </w:rPr>
        <w:t>9</w:t>
      </w:r>
      <w:r>
        <w:rPr>
          <w:rFonts w:hint="eastAsia" w:ascii="宋体" w:hAnsi="宋体" w:cs="微软雅黑"/>
          <w:bCs/>
          <w:color w:val="auto"/>
          <w:szCs w:val="21"/>
          <w:highlight w:val="none"/>
        </w:rPr>
        <w:t>月</w:t>
      </w:r>
      <w:r>
        <w:rPr>
          <w:rFonts w:hint="eastAsia" w:ascii="宋体" w:hAnsi="宋体" w:cs="微软雅黑"/>
          <w:bCs/>
          <w:color w:val="auto"/>
          <w:szCs w:val="21"/>
          <w:highlight w:val="none"/>
          <w:lang w:val="en-US" w:eastAsia="zh-CN"/>
        </w:rPr>
        <w:t>20</w:t>
      </w:r>
      <w:r>
        <w:rPr>
          <w:rFonts w:hint="eastAsia" w:ascii="宋体" w:hAnsi="宋体" w:cs="微软雅黑"/>
          <w:bCs/>
          <w:color w:val="auto"/>
          <w:szCs w:val="21"/>
          <w:highlight w:val="none"/>
        </w:rPr>
        <w:t>日09时30分（北京时间）</w:t>
      </w:r>
    </w:p>
    <w:p w14:paraId="608C2E13">
      <w:pPr>
        <w:shd w:val="clear"/>
        <w:spacing w:line="360" w:lineRule="auto"/>
        <w:ind w:left="424" w:leftChars="202" w:firstLine="2"/>
        <w:jc w:val="left"/>
        <w:rPr>
          <w:rFonts w:ascii="宋体" w:hAnsi="宋体"/>
          <w:bCs/>
          <w:color w:val="auto"/>
          <w:szCs w:val="21"/>
          <w:highlight w:val="none"/>
        </w:rPr>
      </w:pPr>
      <w:r>
        <w:rPr>
          <w:rFonts w:hint="eastAsia" w:ascii="宋体" w:hAnsi="宋体"/>
          <w:bCs/>
          <w:color w:val="auto"/>
          <w:szCs w:val="21"/>
          <w:highlight w:val="none"/>
        </w:rPr>
        <w:t>其他：</w:t>
      </w:r>
    </w:p>
    <w:p w14:paraId="5F1065F7">
      <w:pPr>
        <w:shd w:val="clear"/>
        <w:spacing w:line="360" w:lineRule="auto"/>
        <w:ind w:firstLine="420" w:firstLineChars="200"/>
        <w:rPr>
          <w:color w:val="auto"/>
          <w:szCs w:val="21"/>
          <w:highlight w:val="none"/>
        </w:rPr>
      </w:pPr>
      <w:r>
        <w:rPr>
          <w:color w:val="auto"/>
          <w:szCs w:val="21"/>
          <w:highlight w:val="none"/>
        </w:rPr>
        <w:t>1.</w:t>
      </w:r>
      <w:r>
        <w:rPr>
          <w:rFonts w:hint="eastAsia"/>
          <w:color w:val="auto"/>
          <w:szCs w:val="21"/>
          <w:highlight w:val="none"/>
        </w:rPr>
        <w:t>发布公告的媒介：本次采购公告在《云南省政府采购网》上发布。采购人及采购代理机构对其他网站发布或转载的公告内容不承担任何责任。</w:t>
      </w:r>
    </w:p>
    <w:p w14:paraId="223BD744">
      <w:pPr>
        <w:shd w:val="clear"/>
        <w:spacing w:line="360" w:lineRule="auto"/>
        <w:ind w:firstLine="420" w:firstLineChars="200"/>
        <w:rPr>
          <w:color w:val="auto"/>
          <w:szCs w:val="21"/>
          <w:highlight w:val="none"/>
        </w:rPr>
      </w:pPr>
      <w:r>
        <w:rPr>
          <w:rFonts w:hint="eastAsia"/>
          <w:color w:val="auto"/>
          <w:szCs w:val="21"/>
          <w:highlight w:val="none"/>
        </w:rPr>
        <w:t>2.本项目实行网上投标，采用电子投标文件；</w:t>
      </w:r>
    </w:p>
    <w:p w14:paraId="53F09092">
      <w:pPr>
        <w:shd w:val="clear"/>
        <w:spacing w:line="360" w:lineRule="auto"/>
        <w:ind w:firstLine="420" w:firstLineChars="200"/>
        <w:rPr>
          <w:b/>
          <w:color w:val="auto"/>
          <w:highlight w:val="none"/>
        </w:rPr>
      </w:pPr>
      <w:r>
        <w:rPr>
          <w:color w:val="auto"/>
          <w:szCs w:val="21"/>
          <w:highlight w:val="none"/>
        </w:rPr>
        <w:t>3</w:t>
      </w:r>
      <w:r>
        <w:rPr>
          <w:rFonts w:hint="eastAsia"/>
          <w:color w:val="auto"/>
          <w:szCs w:val="21"/>
          <w:highlight w:val="none"/>
        </w:rPr>
        <w:t>.各投标人应在开标前应确保成为政采云平台投标人，并完成CA数字证书申领。因未注册入库、未办理CA数字证书等原因造成无法投标或投标失败等后果由投标人自行承担。</w:t>
      </w:r>
    </w:p>
    <w:p w14:paraId="27858BF6">
      <w:pPr>
        <w:shd w:val="clear"/>
        <w:spacing w:line="360" w:lineRule="auto"/>
        <w:rPr>
          <w:b/>
          <w:color w:val="auto"/>
          <w:highlight w:val="none"/>
        </w:rPr>
      </w:pPr>
    </w:p>
    <w:p w14:paraId="1F9E68DE">
      <w:pPr>
        <w:shd w:val="clear"/>
        <w:spacing w:line="360" w:lineRule="auto"/>
        <w:rPr>
          <w:b/>
          <w:color w:val="auto"/>
          <w:highlight w:val="none"/>
        </w:rPr>
      </w:pPr>
      <w:r>
        <w:rPr>
          <w:rFonts w:hint="eastAsia"/>
          <w:b/>
          <w:color w:val="auto"/>
          <w:highlight w:val="none"/>
        </w:rPr>
        <w:t>七</w:t>
      </w:r>
      <w:r>
        <w:rPr>
          <w:b/>
          <w:color w:val="auto"/>
          <w:highlight w:val="none"/>
        </w:rPr>
        <w:t>、对本次</w:t>
      </w:r>
      <w:r>
        <w:rPr>
          <w:rFonts w:hint="eastAsia"/>
          <w:b/>
          <w:color w:val="auto"/>
          <w:highlight w:val="none"/>
        </w:rPr>
        <w:t>采购</w:t>
      </w:r>
      <w:r>
        <w:rPr>
          <w:b/>
          <w:color w:val="auto"/>
          <w:highlight w:val="none"/>
        </w:rPr>
        <w:t>提出询问，请按以下方式联系。</w:t>
      </w:r>
    </w:p>
    <w:p w14:paraId="21F639C6">
      <w:pPr>
        <w:shd w:val="clear"/>
        <w:spacing w:line="360" w:lineRule="auto"/>
        <w:ind w:firstLine="422" w:firstLineChars="200"/>
        <w:jc w:val="left"/>
        <w:rPr>
          <w:b/>
          <w:bCs/>
          <w:color w:val="auto"/>
          <w:szCs w:val="21"/>
          <w:highlight w:val="none"/>
        </w:rPr>
      </w:pPr>
      <w:r>
        <w:rPr>
          <w:rFonts w:hint="eastAsia"/>
          <w:b/>
          <w:bCs/>
          <w:color w:val="auto"/>
          <w:szCs w:val="21"/>
          <w:highlight w:val="none"/>
        </w:rPr>
        <w:t>1.</w:t>
      </w:r>
      <w:r>
        <w:rPr>
          <w:b/>
          <w:bCs/>
          <w:color w:val="auto"/>
          <w:szCs w:val="21"/>
          <w:highlight w:val="none"/>
        </w:rPr>
        <w:t>采购人</w:t>
      </w:r>
      <w:r>
        <w:rPr>
          <w:rFonts w:hint="eastAsia"/>
          <w:b/>
          <w:bCs/>
          <w:color w:val="auto"/>
          <w:szCs w:val="21"/>
          <w:highlight w:val="none"/>
        </w:rPr>
        <w:t>信息</w:t>
      </w:r>
    </w:p>
    <w:p w14:paraId="75697E95">
      <w:pPr>
        <w:shd w:val="clear"/>
        <w:spacing w:line="360" w:lineRule="auto"/>
        <w:ind w:firstLine="420" w:firstLineChars="200"/>
        <w:jc w:val="left"/>
        <w:rPr>
          <w:color w:val="auto"/>
          <w:szCs w:val="21"/>
          <w:highlight w:val="none"/>
        </w:rPr>
      </w:pPr>
      <w:r>
        <w:rPr>
          <w:rFonts w:hint="eastAsia"/>
          <w:color w:val="auto"/>
          <w:szCs w:val="21"/>
          <w:highlight w:val="none"/>
        </w:rPr>
        <w:t>名称：昆明市妇幼保健院</w:t>
      </w:r>
    </w:p>
    <w:p w14:paraId="5EEDEBD2">
      <w:pPr>
        <w:shd w:val="clear"/>
        <w:spacing w:line="360" w:lineRule="auto"/>
        <w:ind w:firstLine="420" w:firstLineChars="200"/>
        <w:jc w:val="left"/>
        <w:rPr>
          <w:color w:val="auto"/>
          <w:szCs w:val="21"/>
          <w:highlight w:val="none"/>
        </w:rPr>
      </w:pPr>
      <w:r>
        <w:rPr>
          <w:rFonts w:hint="eastAsia"/>
          <w:color w:val="auto"/>
          <w:szCs w:val="21"/>
          <w:highlight w:val="none"/>
        </w:rPr>
        <w:t>地址：昆明市五华区华山西路5号</w:t>
      </w:r>
    </w:p>
    <w:p w14:paraId="1552AA2C">
      <w:pPr>
        <w:shd w:val="clear"/>
        <w:spacing w:line="360" w:lineRule="auto"/>
        <w:ind w:firstLine="420" w:firstLineChars="200"/>
        <w:jc w:val="left"/>
        <w:rPr>
          <w:color w:val="auto"/>
          <w:szCs w:val="21"/>
          <w:highlight w:val="none"/>
        </w:rPr>
      </w:pPr>
      <w:r>
        <w:rPr>
          <w:rFonts w:hint="eastAsia"/>
          <w:color w:val="auto"/>
          <w:szCs w:val="21"/>
          <w:highlight w:val="none"/>
        </w:rPr>
        <w:t>联系方式：</w:t>
      </w:r>
      <w:r>
        <w:rPr>
          <w:color w:val="auto"/>
          <w:szCs w:val="21"/>
          <w:highlight w:val="none"/>
        </w:rPr>
        <w:t>0871-63624002</w:t>
      </w:r>
      <w:r>
        <w:rPr>
          <w:rFonts w:hint="eastAsia"/>
          <w:color w:val="auto"/>
          <w:szCs w:val="21"/>
          <w:highlight w:val="none"/>
        </w:rPr>
        <w:t>（</w:t>
      </w:r>
      <w:r>
        <w:rPr>
          <w:rFonts w:hint="eastAsia"/>
          <w:color w:val="auto"/>
          <w:szCs w:val="21"/>
          <w:highlight w:val="none"/>
          <w:lang w:val="en-US" w:eastAsia="zh-CN"/>
        </w:rPr>
        <w:t>叶</w:t>
      </w:r>
      <w:r>
        <w:rPr>
          <w:rFonts w:hint="eastAsia"/>
          <w:color w:val="auto"/>
          <w:szCs w:val="21"/>
          <w:highlight w:val="none"/>
        </w:rPr>
        <w:t>老师）</w:t>
      </w:r>
    </w:p>
    <w:p w14:paraId="1DC6995E">
      <w:pPr>
        <w:shd w:val="clear"/>
        <w:spacing w:line="360" w:lineRule="auto"/>
        <w:ind w:firstLine="422" w:firstLineChars="200"/>
        <w:jc w:val="left"/>
        <w:rPr>
          <w:b/>
          <w:bCs/>
          <w:color w:val="auto"/>
          <w:szCs w:val="21"/>
          <w:highlight w:val="none"/>
        </w:rPr>
      </w:pPr>
      <w:r>
        <w:rPr>
          <w:rFonts w:hint="eastAsia"/>
          <w:b/>
          <w:bCs/>
          <w:color w:val="auto"/>
          <w:szCs w:val="21"/>
          <w:highlight w:val="none"/>
        </w:rPr>
        <w:t>2.</w:t>
      </w:r>
      <w:r>
        <w:rPr>
          <w:b/>
          <w:bCs/>
          <w:color w:val="auto"/>
          <w:szCs w:val="21"/>
          <w:highlight w:val="none"/>
        </w:rPr>
        <w:t>采购代理机构</w:t>
      </w:r>
      <w:r>
        <w:rPr>
          <w:rFonts w:hint="eastAsia"/>
          <w:b/>
          <w:bCs/>
          <w:color w:val="auto"/>
          <w:szCs w:val="21"/>
          <w:highlight w:val="none"/>
        </w:rPr>
        <w:t>信息</w:t>
      </w:r>
    </w:p>
    <w:p w14:paraId="129B8CB7">
      <w:pPr>
        <w:shd w:val="clear"/>
        <w:spacing w:line="360" w:lineRule="auto"/>
        <w:ind w:firstLine="420" w:firstLineChars="200"/>
        <w:jc w:val="left"/>
        <w:rPr>
          <w:color w:val="auto"/>
          <w:szCs w:val="21"/>
          <w:highlight w:val="none"/>
        </w:rPr>
      </w:pPr>
      <w:r>
        <w:rPr>
          <w:rFonts w:hint="eastAsia"/>
          <w:color w:val="auto"/>
          <w:szCs w:val="21"/>
          <w:highlight w:val="none"/>
        </w:rPr>
        <w:t>名称</w:t>
      </w:r>
      <w:r>
        <w:rPr>
          <w:color w:val="auto"/>
          <w:szCs w:val="21"/>
          <w:highlight w:val="none"/>
        </w:rPr>
        <w:t>：</w:t>
      </w:r>
      <w:r>
        <w:rPr>
          <w:rFonts w:hint="eastAsia"/>
          <w:color w:val="auto"/>
          <w:szCs w:val="21"/>
          <w:highlight w:val="none"/>
        </w:rPr>
        <w:t>云南宸凯招标信息咨询有限公司</w:t>
      </w:r>
    </w:p>
    <w:p w14:paraId="5790AF08">
      <w:pPr>
        <w:shd w:val="clear"/>
        <w:spacing w:line="360" w:lineRule="auto"/>
        <w:ind w:firstLine="420" w:firstLineChars="200"/>
        <w:jc w:val="left"/>
        <w:rPr>
          <w:color w:val="auto"/>
          <w:szCs w:val="21"/>
          <w:highlight w:val="none"/>
        </w:rPr>
      </w:pPr>
      <w:r>
        <w:rPr>
          <w:color w:val="auto"/>
          <w:szCs w:val="21"/>
          <w:highlight w:val="none"/>
        </w:rPr>
        <w:t>地址：昆明市高新区科园路99号鼎易天城9栋B座6楼</w:t>
      </w:r>
    </w:p>
    <w:p w14:paraId="79C33F94">
      <w:pPr>
        <w:shd w:val="clear"/>
        <w:spacing w:line="360" w:lineRule="auto"/>
        <w:ind w:firstLine="420" w:firstLineChars="200"/>
        <w:jc w:val="left"/>
        <w:rPr>
          <w:color w:val="auto"/>
          <w:szCs w:val="21"/>
          <w:highlight w:val="none"/>
        </w:rPr>
      </w:pPr>
      <w:r>
        <w:rPr>
          <w:rFonts w:hint="eastAsia"/>
          <w:color w:val="auto"/>
          <w:szCs w:val="21"/>
          <w:highlight w:val="none"/>
        </w:rPr>
        <w:t>联系方式：0871-68171078</w:t>
      </w:r>
    </w:p>
    <w:p w14:paraId="25A1429E">
      <w:pPr>
        <w:shd w:val="clear"/>
        <w:spacing w:line="360" w:lineRule="auto"/>
        <w:ind w:firstLine="422" w:firstLineChars="200"/>
        <w:jc w:val="left"/>
        <w:rPr>
          <w:b/>
          <w:bCs/>
          <w:color w:val="auto"/>
          <w:szCs w:val="21"/>
          <w:highlight w:val="none"/>
        </w:rPr>
      </w:pPr>
      <w:r>
        <w:rPr>
          <w:rFonts w:hint="eastAsia"/>
          <w:b/>
          <w:bCs/>
          <w:color w:val="auto"/>
          <w:szCs w:val="21"/>
          <w:highlight w:val="none"/>
        </w:rPr>
        <w:t>3.项目联系方式</w:t>
      </w:r>
    </w:p>
    <w:p w14:paraId="3606CA61">
      <w:pPr>
        <w:shd w:val="clear"/>
        <w:spacing w:line="360" w:lineRule="auto"/>
        <w:ind w:firstLine="420" w:firstLineChars="200"/>
        <w:jc w:val="left"/>
        <w:rPr>
          <w:color w:val="auto"/>
          <w:szCs w:val="21"/>
          <w:highlight w:val="none"/>
        </w:rPr>
      </w:pPr>
      <w:r>
        <w:rPr>
          <w:rFonts w:hint="eastAsia"/>
          <w:color w:val="auto"/>
          <w:szCs w:val="21"/>
          <w:highlight w:val="none"/>
        </w:rPr>
        <w:t>项目联系人：郑功军、张镭、李思芹、陈浩</w:t>
      </w:r>
    </w:p>
    <w:p w14:paraId="0418825F">
      <w:pPr>
        <w:shd w:val="clear"/>
        <w:spacing w:line="360" w:lineRule="auto"/>
        <w:ind w:firstLine="420" w:firstLineChars="200"/>
        <w:jc w:val="left"/>
        <w:rPr>
          <w:color w:val="auto"/>
          <w:szCs w:val="21"/>
          <w:highlight w:val="none"/>
        </w:rPr>
      </w:pPr>
      <w:r>
        <w:rPr>
          <w:rFonts w:hint="eastAsia"/>
          <w:color w:val="auto"/>
          <w:szCs w:val="21"/>
          <w:highlight w:val="none"/>
        </w:rPr>
        <w:t>电话：0871-68171078</w:t>
      </w:r>
    </w:p>
    <w:bookmarkEnd w:id="3"/>
    <w:p w14:paraId="5041FD1E">
      <w:pPr>
        <w:pStyle w:val="88"/>
        <w:shd w:val="clear"/>
        <w:rPr>
          <w:color w:val="auto"/>
          <w:highlight w:val="none"/>
        </w:rPr>
      </w:pPr>
      <w:bookmarkStart w:id="7" w:name="_Hlk107777466"/>
      <w:r>
        <w:rPr>
          <w:color w:val="auto"/>
          <w:highlight w:val="none"/>
        </w:rPr>
        <w:br w:type="page"/>
      </w:r>
      <w:bookmarkStart w:id="8" w:name="_Toc19673"/>
      <w:r>
        <w:rPr>
          <w:rFonts w:hint="eastAsia"/>
          <w:color w:val="auto"/>
          <w:highlight w:val="none"/>
        </w:rPr>
        <w:t>第二章  投标人须知</w:t>
      </w:r>
      <w:bookmarkEnd w:id="8"/>
    </w:p>
    <w:p w14:paraId="5A943554">
      <w:pPr>
        <w:widowControl/>
        <w:shd w:val="clear"/>
        <w:spacing w:line="360" w:lineRule="auto"/>
        <w:jc w:val="center"/>
        <w:rPr>
          <w:rFonts w:asciiTheme="minorEastAsia" w:hAnsiTheme="minorEastAsia" w:eastAsiaTheme="minorEastAsia"/>
          <w:bCs/>
          <w:color w:val="auto"/>
          <w:kern w:val="0"/>
          <w:sz w:val="24"/>
          <w:highlight w:val="none"/>
        </w:rPr>
      </w:pPr>
      <w:r>
        <w:rPr>
          <w:rFonts w:hint="eastAsia" w:asciiTheme="minorEastAsia" w:hAnsiTheme="minorEastAsia" w:eastAsiaTheme="minorEastAsia"/>
          <w:bCs/>
          <w:color w:val="auto"/>
          <w:kern w:val="0"/>
          <w:sz w:val="24"/>
          <w:highlight w:val="none"/>
        </w:rPr>
        <w:t>投标人须知前附表</w:t>
      </w:r>
    </w:p>
    <w:tbl>
      <w:tblPr>
        <w:tblStyle w:val="26"/>
        <w:tblW w:w="9782" w:type="dxa"/>
        <w:tblInd w:w="-176" w:type="dxa"/>
        <w:tblLayout w:type="fixed"/>
        <w:tblCellMar>
          <w:top w:w="0" w:type="dxa"/>
          <w:left w:w="108" w:type="dxa"/>
          <w:bottom w:w="0" w:type="dxa"/>
          <w:right w:w="108" w:type="dxa"/>
        </w:tblCellMar>
      </w:tblPr>
      <w:tblGrid>
        <w:gridCol w:w="1277"/>
        <w:gridCol w:w="1984"/>
        <w:gridCol w:w="6521"/>
      </w:tblGrid>
      <w:tr w14:paraId="1E8312C1">
        <w:tblPrEx>
          <w:tblCellMar>
            <w:top w:w="0" w:type="dxa"/>
            <w:left w:w="108" w:type="dxa"/>
            <w:bottom w:w="0" w:type="dxa"/>
            <w:right w:w="108" w:type="dxa"/>
          </w:tblCellMar>
        </w:tblPrEx>
        <w:trPr>
          <w:trHeight w:val="569" w:hRule="atLeast"/>
        </w:trPr>
        <w:tc>
          <w:tcPr>
            <w:tcW w:w="127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4970537D">
            <w:pPr>
              <w:shd w:val="clear"/>
              <w:spacing w:line="360" w:lineRule="auto"/>
              <w:jc w:val="center"/>
              <w:rPr>
                <w:b/>
                <w:color w:val="auto"/>
                <w:szCs w:val="21"/>
                <w:highlight w:val="none"/>
              </w:rPr>
            </w:pPr>
            <w:bookmarkStart w:id="9" w:name="_Hlk109897030"/>
            <w:r>
              <w:rPr>
                <w:b/>
                <w:color w:val="auto"/>
                <w:szCs w:val="21"/>
                <w:highlight w:val="none"/>
              </w:rPr>
              <w:t>条款号</w:t>
            </w:r>
          </w:p>
        </w:tc>
        <w:tc>
          <w:tcPr>
            <w:tcW w:w="1984"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482C9F2D">
            <w:pPr>
              <w:shd w:val="clear"/>
              <w:spacing w:line="360" w:lineRule="auto"/>
              <w:jc w:val="center"/>
              <w:rPr>
                <w:b/>
                <w:color w:val="auto"/>
                <w:szCs w:val="21"/>
                <w:highlight w:val="none"/>
              </w:rPr>
            </w:pPr>
            <w:r>
              <w:rPr>
                <w:b/>
                <w:color w:val="auto"/>
                <w:szCs w:val="21"/>
                <w:highlight w:val="none"/>
              </w:rPr>
              <w:t>条款名称</w:t>
            </w:r>
          </w:p>
        </w:tc>
        <w:tc>
          <w:tcPr>
            <w:tcW w:w="6521"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08DAE1F3">
            <w:pPr>
              <w:shd w:val="clear"/>
              <w:spacing w:line="360" w:lineRule="auto"/>
              <w:jc w:val="center"/>
              <w:rPr>
                <w:b/>
                <w:color w:val="auto"/>
                <w:szCs w:val="21"/>
                <w:highlight w:val="none"/>
              </w:rPr>
            </w:pPr>
            <w:r>
              <w:rPr>
                <w:b/>
                <w:color w:val="auto"/>
                <w:szCs w:val="21"/>
                <w:highlight w:val="none"/>
              </w:rPr>
              <w:t>编</w:t>
            </w:r>
            <w:r>
              <w:rPr>
                <w:rFonts w:hint="eastAsia"/>
                <w:b/>
                <w:color w:val="auto"/>
                <w:szCs w:val="21"/>
                <w:highlight w:val="none"/>
              </w:rPr>
              <w:t xml:space="preserve"> </w:t>
            </w:r>
            <w:r>
              <w:rPr>
                <w:b/>
                <w:color w:val="auto"/>
                <w:szCs w:val="21"/>
                <w:highlight w:val="none"/>
              </w:rPr>
              <w:t>列</w:t>
            </w:r>
            <w:r>
              <w:rPr>
                <w:rFonts w:hint="eastAsia"/>
                <w:b/>
                <w:color w:val="auto"/>
                <w:szCs w:val="21"/>
                <w:highlight w:val="none"/>
              </w:rPr>
              <w:t xml:space="preserve"> </w:t>
            </w:r>
            <w:r>
              <w:rPr>
                <w:b/>
                <w:color w:val="auto"/>
                <w:szCs w:val="21"/>
                <w:highlight w:val="none"/>
              </w:rPr>
              <w:t>内</w:t>
            </w:r>
            <w:r>
              <w:rPr>
                <w:rFonts w:hint="eastAsia"/>
                <w:b/>
                <w:color w:val="auto"/>
                <w:szCs w:val="21"/>
                <w:highlight w:val="none"/>
              </w:rPr>
              <w:t xml:space="preserve"> </w:t>
            </w:r>
            <w:r>
              <w:rPr>
                <w:b/>
                <w:color w:val="auto"/>
                <w:szCs w:val="21"/>
                <w:highlight w:val="none"/>
              </w:rPr>
              <w:t>容</w:t>
            </w:r>
          </w:p>
        </w:tc>
      </w:tr>
      <w:tr w14:paraId="7D3DC165">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0B411438">
            <w:pPr>
              <w:widowControl/>
              <w:shd w:val="clear"/>
              <w:spacing w:line="360" w:lineRule="auto"/>
              <w:jc w:val="center"/>
              <w:rPr>
                <w:color w:val="auto"/>
                <w:kern w:val="0"/>
                <w:szCs w:val="21"/>
                <w:highlight w:val="none"/>
              </w:rPr>
            </w:pPr>
            <w:r>
              <w:rPr>
                <w:color w:val="auto"/>
                <w:kern w:val="0"/>
                <w:szCs w:val="21"/>
                <w:highlight w:val="none"/>
              </w:rPr>
              <w:t>1.1.2</w:t>
            </w:r>
          </w:p>
        </w:tc>
        <w:tc>
          <w:tcPr>
            <w:tcW w:w="1984" w:type="dxa"/>
            <w:tcBorders>
              <w:top w:val="single" w:color="000000" w:sz="4" w:space="0"/>
              <w:left w:val="single" w:color="000000" w:sz="4" w:space="0"/>
              <w:bottom w:val="single" w:color="000000" w:sz="4" w:space="0"/>
              <w:right w:val="single" w:color="000000" w:sz="4" w:space="0"/>
            </w:tcBorders>
            <w:vAlign w:val="center"/>
          </w:tcPr>
          <w:p w14:paraId="2CD70A77">
            <w:pPr>
              <w:widowControl/>
              <w:shd w:val="clear"/>
              <w:spacing w:line="360" w:lineRule="auto"/>
              <w:jc w:val="center"/>
              <w:rPr>
                <w:color w:val="auto"/>
                <w:kern w:val="0"/>
                <w:szCs w:val="21"/>
                <w:highlight w:val="none"/>
              </w:rPr>
            </w:pPr>
            <w:r>
              <w:rPr>
                <w:color w:val="auto"/>
                <w:kern w:val="0"/>
                <w:szCs w:val="21"/>
                <w:highlight w:val="none"/>
              </w:rPr>
              <w:t>采购人</w:t>
            </w:r>
          </w:p>
        </w:tc>
        <w:tc>
          <w:tcPr>
            <w:tcW w:w="6521" w:type="dxa"/>
            <w:tcBorders>
              <w:top w:val="single" w:color="000000" w:sz="4" w:space="0"/>
              <w:left w:val="single" w:color="000000" w:sz="4" w:space="0"/>
              <w:bottom w:val="single" w:color="000000" w:sz="4" w:space="0"/>
              <w:right w:val="single" w:color="000000" w:sz="4" w:space="0"/>
            </w:tcBorders>
            <w:vAlign w:val="center"/>
          </w:tcPr>
          <w:p w14:paraId="1BC813C2">
            <w:pPr>
              <w:shd w:val="clear"/>
              <w:spacing w:line="360" w:lineRule="auto"/>
              <w:jc w:val="left"/>
              <w:rPr>
                <w:b/>
                <w:bCs/>
                <w:color w:val="auto"/>
                <w:szCs w:val="21"/>
                <w:highlight w:val="none"/>
              </w:rPr>
            </w:pPr>
            <w:r>
              <w:rPr>
                <w:rFonts w:hint="eastAsia"/>
                <w:b/>
                <w:bCs/>
                <w:color w:val="auto"/>
                <w:szCs w:val="21"/>
                <w:highlight w:val="none"/>
              </w:rPr>
              <w:t>名称：昆明市妇幼保健院</w:t>
            </w:r>
          </w:p>
          <w:p w14:paraId="72C1C31A">
            <w:pPr>
              <w:shd w:val="clear"/>
              <w:spacing w:line="360" w:lineRule="auto"/>
              <w:jc w:val="left"/>
              <w:rPr>
                <w:color w:val="auto"/>
                <w:szCs w:val="21"/>
                <w:highlight w:val="none"/>
              </w:rPr>
            </w:pPr>
            <w:r>
              <w:rPr>
                <w:rFonts w:hint="eastAsia"/>
                <w:color w:val="auto"/>
                <w:szCs w:val="21"/>
                <w:highlight w:val="none"/>
              </w:rPr>
              <w:t>地址：昆明市五华区华山西路5号</w:t>
            </w:r>
          </w:p>
          <w:p w14:paraId="02234E10">
            <w:pPr>
              <w:shd w:val="clear"/>
              <w:spacing w:line="360" w:lineRule="auto"/>
              <w:jc w:val="left"/>
              <w:rPr>
                <w:rFonts w:asciiTheme="minorEastAsia" w:hAnsiTheme="minorEastAsia" w:eastAsiaTheme="minorEastAsia"/>
                <w:color w:val="auto"/>
                <w:szCs w:val="21"/>
                <w:highlight w:val="none"/>
              </w:rPr>
            </w:pPr>
            <w:r>
              <w:rPr>
                <w:rFonts w:hint="eastAsia"/>
                <w:color w:val="auto"/>
                <w:szCs w:val="21"/>
                <w:highlight w:val="none"/>
              </w:rPr>
              <w:t>联系方式：</w:t>
            </w:r>
            <w:r>
              <w:rPr>
                <w:color w:val="auto"/>
                <w:szCs w:val="21"/>
                <w:highlight w:val="none"/>
              </w:rPr>
              <w:t>0871-63624002</w:t>
            </w:r>
            <w:r>
              <w:rPr>
                <w:rFonts w:hint="eastAsia"/>
                <w:color w:val="auto"/>
                <w:szCs w:val="21"/>
                <w:highlight w:val="none"/>
              </w:rPr>
              <w:t>（</w:t>
            </w:r>
            <w:r>
              <w:rPr>
                <w:rFonts w:hint="eastAsia"/>
                <w:color w:val="auto"/>
                <w:szCs w:val="21"/>
                <w:highlight w:val="none"/>
                <w:lang w:val="en-US" w:eastAsia="zh-CN"/>
              </w:rPr>
              <w:t>叶</w:t>
            </w:r>
            <w:r>
              <w:rPr>
                <w:rFonts w:hint="eastAsia"/>
                <w:color w:val="auto"/>
                <w:szCs w:val="21"/>
                <w:highlight w:val="none"/>
              </w:rPr>
              <w:t>老师）</w:t>
            </w:r>
          </w:p>
        </w:tc>
      </w:tr>
      <w:tr w14:paraId="519E55C2">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14DF7EBC">
            <w:pPr>
              <w:widowControl/>
              <w:shd w:val="clear"/>
              <w:spacing w:line="360" w:lineRule="auto"/>
              <w:jc w:val="center"/>
              <w:rPr>
                <w:color w:val="auto"/>
                <w:kern w:val="0"/>
                <w:szCs w:val="21"/>
                <w:highlight w:val="none"/>
              </w:rPr>
            </w:pPr>
            <w:r>
              <w:rPr>
                <w:color w:val="auto"/>
                <w:kern w:val="0"/>
                <w:szCs w:val="21"/>
                <w:highlight w:val="none"/>
              </w:rPr>
              <w:t>1.1.3</w:t>
            </w:r>
          </w:p>
        </w:tc>
        <w:tc>
          <w:tcPr>
            <w:tcW w:w="1984" w:type="dxa"/>
            <w:tcBorders>
              <w:top w:val="single" w:color="000000" w:sz="4" w:space="0"/>
              <w:left w:val="single" w:color="000000" w:sz="4" w:space="0"/>
              <w:bottom w:val="single" w:color="000000" w:sz="4" w:space="0"/>
              <w:right w:val="single" w:color="000000" w:sz="4" w:space="0"/>
            </w:tcBorders>
            <w:vAlign w:val="center"/>
          </w:tcPr>
          <w:p w14:paraId="0AEBE9CC">
            <w:pPr>
              <w:widowControl/>
              <w:shd w:val="clear"/>
              <w:spacing w:line="360" w:lineRule="auto"/>
              <w:jc w:val="center"/>
              <w:rPr>
                <w:color w:val="auto"/>
                <w:kern w:val="0"/>
                <w:szCs w:val="21"/>
                <w:highlight w:val="none"/>
              </w:rPr>
            </w:pPr>
            <w:r>
              <w:rPr>
                <w:color w:val="auto"/>
                <w:kern w:val="0"/>
                <w:szCs w:val="21"/>
                <w:highlight w:val="none"/>
              </w:rPr>
              <w:t>采购代理机构</w:t>
            </w:r>
          </w:p>
        </w:tc>
        <w:tc>
          <w:tcPr>
            <w:tcW w:w="6521" w:type="dxa"/>
            <w:tcBorders>
              <w:top w:val="single" w:color="000000" w:sz="4" w:space="0"/>
              <w:left w:val="single" w:color="000000" w:sz="4" w:space="0"/>
              <w:bottom w:val="single" w:color="000000" w:sz="4" w:space="0"/>
              <w:right w:val="single" w:color="000000" w:sz="4" w:space="0"/>
            </w:tcBorders>
            <w:vAlign w:val="center"/>
          </w:tcPr>
          <w:p w14:paraId="48BD1212">
            <w:pPr>
              <w:widowControl/>
              <w:shd w:val="clear"/>
              <w:spacing w:line="360" w:lineRule="auto"/>
              <w:jc w:val="left"/>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采购代理机构：云南宸凯招标信息咨询有限公司</w:t>
            </w:r>
          </w:p>
          <w:p w14:paraId="7C0ED590">
            <w:pPr>
              <w:widowControl/>
              <w:shd w:val="clear"/>
              <w:spacing w:line="360" w:lineRule="auto"/>
              <w:jc w:val="lef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地</w:t>
            </w:r>
            <w:r>
              <w:rPr>
                <w:rFonts w:asciiTheme="minorEastAsia" w:hAnsiTheme="minorEastAsia" w:eastAsiaTheme="minorEastAsia"/>
                <w:color w:val="auto"/>
                <w:kern w:val="0"/>
                <w:szCs w:val="21"/>
                <w:highlight w:val="none"/>
              </w:rPr>
              <w:t xml:space="preserve">  </w:t>
            </w:r>
            <w:r>
              <w:rPr>
                <w:rFonts w:hint="eastAsia" w:asciiTheme="minorEastAsia" w:hAnsiTheme="minorEastAsia" w:eastAsiaTheme="minorEastAsia"/>
                <w:color w:val="auto"/>
                <w:kern w:val="0"/>
                <w:szCs w:val="21"/>
                <w:highlight w:val="none"/>
              </w:rPr>
              <w:t>址：昆明市高新区科园路99号鼎易天城9栋B座6楼</w:t>
            </w:r>
          </w:p>
          <w:p w14:paraId="6C69DD8E">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联系人：</w:t>
            </w:r>
            <w:r>
              <w:rPr>
                <w:rFonts w:hint="eastAsia"/>
                <w:color w:val="auto"/>
                <w:szCs w:val="21"/>
                <w:highlight w:val="none"/>
              </w:rPr>
              <w:t>郑功军、张镭、李思芹、陈浩</w:t>
            </w:r>
          </w:p>
          <w:p w14:paraId="48F5EDE7">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电</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话：</w:t>
            </w:r>
            <w:r>
              <w:rPr>
                <w:rFonts w:asciiTheme="minorEastAsia" w:hAnsiTheme="minorEastAsia" w:eastAsiaTheme="minorEastAsia"/>
                <w:color w:val="auto"/>
                <w:szCs w:val="21"/>
                <w:highlight w:val="none"/>
              </w:rPr>
              <w:t>0871-68171078</w:t>
            </w:r>
          </w:p>
        </w:tc>
      </w:tr>
      <w:tr w14:paraId="72942C1C">
        <w:tblPrEx>
          <w:tblCellMar>
            <w:top w:w="0" w:type="dxa"/>
            <w:left w:w="108" w:type="dxa"/>
            <w:bottom w:w="0" w:type="dxa"/>
            <w:right w:w="108" w:type="dxa"/>
          </w:tblCellMar>
        </w:tblPrEx>
        <w:trPr>
          <w:trHeight w:val="615"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2B2ACAE0">
            <w:pPr>
              <w:widowControl/>
              <w:shd w:val="clear"/>
              <w:spacing w:line="360" w:lineRule="auto"/>
              <w:jc w:val="center"/>
              <w:rPr>
                <w:color w:val="auto"/>
                <w:kern w:val="0"/>
                <w:szCs w:val="21"/>
                <w:highlight w:val="none"/>
              </w:rPr>
            </w:pPr>
            <w:r>
              <w:rPr>
                <w:color w:val="auto"/>
                <w:kern w:val="0"/>
                <w:szCs w:val="21"/>
                <w:highlight w:val="none"/>
              </w:rPr>
              <w:t>1.1.4</w:t>
            </w:r>
          </w:p>
        </w:tc>
        <w:tc>
          <w:tcPr>
            <w:tcW w:w="1984" w:type="dxa"/>
            <w:tcBorders>
              <w:top w:val="single" w:color="000000" w:sz="4" w:space="0"/>
              <w:left w:val="single" w:color="000000" w:sz="4" w:space="0"/>
              <w:bottom w:val="single" w:color="000000" w:sz="4" w:space="0"/>
              <w:right w:val="single" w:color="000000" w:sz="4" w:space="0"/>
            </w:tcBorders>
            <w:vAlign w:val="center"/>
          </w:tcPr>
          <w:p w14:paraId="620CDAEC">
            <w:pPr>
              <w:widowControl/>
              <w:shd w:val="clear"/>
              <w:spacing w:line="360" w:lineRule="auto"/>
              <w:jc w:val="center"/>
              <w:rPr>
                <w:color w:val="auto"/>
                <w:kern w:val="0"/>
                <w:szCs w:val="21"/>
                <w:highlight w:val="none"/>
              </w:rPr>
            </w:pPr>
            <w:r>
              <w:rPr>
                <w:color w:val="auto"/>
                <w:kern w:val="0"/>
                <w:szCs w:val="21"/>
                <w:highlight w:val="none"/>
              </w:rPr>
              <w:t>项目名称</w:t>
            </w:r>
          </w:p>
        </w:tc>
        <w:tc>
          <w:tcPr>
            <w:tcW w:w="6521" w:type="dxa"/>
            <w:tcBorders>
              <w:top w:val="single" w:color="000000" w:sz="4" w:space="0"/>
              <w:left w:val="single" w:color="000000" w:sz="4" w:space="0"/>
              <w:bottom w:val="single" w:color="000000" w:sz="4" w:space="0"/>
              <w:right w:val="single" w:color="000000" w:sz="4" w:space="0"/>
            </w:tcBorders>
            <w:vAlign w:val="center"/>
          </w:tcPr>
          <w:p w14:paraId="402C58CD">
            <w:pPr>
              <w:widowControl/>
              <w:shd w:val="clear"/>
              <w:spacing w:line="360" w:lineRule="auto"/>
              <w:jc w:val="lef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昆明市妇幼保健院鼻窦负压置换仪、脉冲磁场刺激仪等医疗设备采购项目（二次）</w:t>
            </w:r>
          </w:p>
          <w:p w14:paraId="526C250E">
            <w:pPr>
              <w:widowControl/>
              <w:shd w:val="clear"/>
              <w:spacing w:line="360" w:lineRule="auto"/>
              <w:jc w:val="lef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项目编号：</w:t>
            </w:r>
            <w:r>
              <w:rPr>
                <w:rFonts w:hint="eastAsia" w:asciiTheme="minorEastAsia" w:hAnsiTheme="minorEastAsia" w:eastAsiaTheme="minorEastAsia"/>
                <w:color w:val="auto"/>
                <w:szCs w:val="21"/>
                <w:highlight w:val="none"/>
                <w:lang w:eastAsia="zh-CN"/>
              </w:rPr>
              <w:t>KMZC2024-G1-02008-YNCK-0059</w:t>
            </w:r>
          </w:p>
        </w:tc>
      </w:tr>
      <w:tr w14:paraId="35FB7997">
        <w:tblPrEx>
          <w:tblCellMar>
            <w:top w:w="0" w:type="dxa"/>
            <w:left w:w="108" w:type="dxa"/>
            <w:bottom w:w="0" w:type="dxa"/>
            <w:right w:w="108" w:type="dxa"/>
          </w:tblCellMar>
        </w:tblPrEx>
        <w:trPr>
          <w:trHeight w:val="615"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7CE72233">
            <w:pPr>
              <w:widowControl/>
              <w:shd w:val="clear"/>
              <w:spacing w:line="360" w:lineRule="auto"/>
              <w:jc w:val="center"/>
              <w:rPr>
                <w:color w:val="auto"/>
                <w:kern w:val="0"/>
                <w:szCs w:val="21"/>
                <w:highlight w:val="none"/>
              </w:rPr>
            </w:pPr>
            <w:r>
              <w:rPr>
                <w:rFonts w:hint="eastAsia"/>
                <w:color w:val="auto"/>
                <w:kern w:val="0"/>
                <w:szCs w:val="21"/>
                <w:highlight w:val="none"/>
              </w:rPr>
              <w:t>1</w:t>
            </w:r>
            <w:r>
              <w:rPr>
                <w:color w:val="auto"/>
                <w:kern w:val="0"/>
                <w:szCs w:val="21"/>
                <w:highlight w:val="none"/>
              </w:rPr>
              <w:t>.1.5</w:t>
            </w:r>
          </w:p>
        </w:tc>
        <w:tc>
          <w:tcPr>
            <w:tcW w:w="1984" w:type="dxa"/>
            <w:tcBorders>
              <w:top w:val="single" w:color="000000" w:sz="4" w:space="0"/>
              <w:left w:val="single" w:color="000000" w:sz="4" w:space="0"/>
              <w:bottom w:val="single" w:color="000000" w:sz="4" w:space="0"/>
              <w:right w:val="single" w:color="000000" w:sz="4" w:space="0"/>
            </w:tcBorders>
            <w:vAlign w:val="center"/>
          </w:tcPr>
          <w:p w14:paraId="124B20D7">
            <w:pPr>
              <w:widowControl/>
              <w:shd w:val="clear"/>
              <w:spacing w:line="360" w:lineRule="auto"/>
              <w:jc w:val="center"/>
              <w:rPr>
                <w:color w:val="auto"/>
                <w:kern w:val="0"/>
                <w:szCs w:val="21"/>
                <w:highlight w:val="none"/>
              </w:rPr>
            </w:pPr>
            <w:r>
              <w:rPr>
                <w:rFonts w:hint="eastAsia"/>
                <w:color w:val="auto"/>
                <w:kern w:val="0"/>
                <w:szCs w:val="21"/>
                <w:highlight w:val="none"/>
              </w:rPr>
              <w:t>交货地点</w:t>
            </w:r>
          </w:p>
        </w:tc>
        <w:tc>
          <w:tcPr>
            <w:tcW w:w="6521" w:type="dxa"/>
            <w:tcBorders>
              <w:top w:val="single" w:color="000000" w:sz="4" w:space="0"/>
              <w:left w:val="single" w:color="000000" w:sz="4" w:space="0"/>
              <w:bottom w:val="single" w:color="000000" w:sz="4" w:space="0"/>
              <w:right w:val="single" w:color="000000" w:sz="4" w:space="0"/>
            </w:tcBorders>
            <w:vAlign w:val="center"/>
          </w:tcPr>
          <w:p w14:paraId="47A4F707">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昆明市妇幼保健院指定地点</w:t>
            </w:r>
          </w:p>
        </w:tc>
      </w:tr>
      <w:tr w14:paraId="763FFB40">
        <w:tblPrEx>
          <w:tblCellMar>
            <w:top w:w="0" w:type="dxa"/>
            <w:left w:w="108" w:type="dxa"/>
            <w:bottom w:w="0" w:type="dxa"/>
            <w:right w:w="108" w:type="dxa"/>
          </w:tblCellMar>
        </w:tblPrEx>
        <w:trPr>
          <w:trHeight w:val="545"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52638B75">
            <w:pPr>
              <w:widowControl/>
              <w:shd w:val="clear"/>
              <w:spacing w:line="360" w:lineRule="auto"/>
              <w:jc w:val="center"/>
              <w:rPr>
                <w:color w:val="auto"/>
                <w:kern w:val="0"/>
                <w:szCs w:val="21"/>
                <w:highlight w:val="none"/>
              </w:rPr>
            </w:pPr>
            <w:r>
              <w:rPr>
                <w:color w:val="auto"/>
                <w:kern w:val="0"/>
                <w:szCs w:val="21"/>
                <w:highlight w:val="none"/>
              </w:rPr>
              <w:t>1.2.1</w:t>
            </w:r>
          </w:p>
        </w:tc>
        <w:tc>
          <w:tcPr>
            <w:tcW w:w="1984" w:type="dxa"/>
            <w:tcBorders>
              <w:top w:val="single" w:color="000000" w:sz="4" w:space="0"/>
              <w:left w:val="single" w:color="000000" w:sz="4" w:space="0"/>
              <w:bottom w:val="single" w:color="000000" w:sz="4" w:space="0"/>
              <w:right w:val="single" w:color="000000" w:sz="4" w:space="0"/>
            </w:tcBorders>
            <w:vAlign w:val="center"/>
          </w:tcPr>
          <w:p w14:paraId="20677DF9">
            <w:pPr>
              <w:widowControl/>
              <w:shd w:val="clear"/>
              <w:spacing w:line="360" w:lineRule="auto"/>
              <w:jc w:val="center"/>
              <w:rPr>
                <w:color w:val="auto"/>
                <w:kern w:val="0"/>
                <w:szCs w:val="21"/>
                <w:highlight w:val="none"/>
              </w:rPr>
            </w:pPr>
            <w:r>
              <w:rPr>
                <w:color w:val="auto"/>
                <w:kern w:val="0"/>
                <w:szCs w:val="21"/>
                <w:highlight w:val="none"/>
              </w:rPr>
              <w:t>资金落实情况</w:t>
            </w:r>
          </w:p>
        </w:tc>
        <w:tc>
          <w:tcPr>
            <w:tcW w:w="6521" w:type="dxa"/>
            <w:tcBorders>
              <w:top w:val="single" w:color="000000" w:sz="4" w:space="0"/>
              <w:left w:val="single" w:color="000000" w:sz="4" w:space="0"/>
              <w:bottom w:val="single" w:color="000000" w:sz="4" w:space="0"/>
              <w:right w:val="single" w:color="000000" w:sz="4" w:space="0"/>
            </w:tcBorders>
            <w:vAlign w:val="center"/>
          </w:tcPr>
          <w:p w14:paraId="39AB81B1">
            <w:pPr>
              <w:widowControl/>
              <w:shd w:val="clear"/>
              <w:spacing w:line="360" w:lineRule="auto"/>
              <w:jc w:val="left"/>
              <w:rPr>
                <w:rFonts w:asciiTheme="minorEastAsia" w:hAnsiTheme="minorEastAsia" w:eastAsiaTheme="minorEastAsia"/>
                <w:bCs/>
                <w:color w:val="auto"/>
                <w:kern w:val="0"/>
                <w:szCs w:val="21"/>
                <w:highlight w:val="none"/>
              </w:rPr>
            </w:pPr>
            <w:r>
              <w:rPr>
                <w:rFonts w:hint="eastAsia" w:asciiTheme="minorEastAsia" w:hAnsiTheme="minorEastAsia" w:eastAsiaTheme="minorEastAsia"/>
                <w:bCs/>
                <w:color w:val="auto"/>
                <w:kern w:val="0"/>
                <w:szCs w:val="21"/>
                <w:highlight w:val="none"/>
              </w:rPr>
              <w:t>已落实</w:t>
            </w:r>
          </w:p>
        </w:tc>
      </w:tr>
      <w:tr w14:paraId="2E327439">
        <w:tblPrEx>
          <w:tblCellMar>
            <w:top w:w="0" w:type="dxa"/>
            <w:left w:w="108" w:type="dxa"/>
            <w:bottom w:w="0" w:type="dxa"/>
            <w:right w:w="108" w:type="dxa"/>
          </w:tblCellMar>
        </w:tblPrEx>
        <w:trPr>
          <w:trHeight w:val="58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03DC07DC">
            <w:pPr>
              <w:widowControl/>
              <w:shd w:val="clear"/>
              <w:spacing w:line="360" w:lineRule="auto"/>
              <w:jc w:val="center"/>
              <w:rPr>
                <w:color w:val="auto"/>
                <w:kern w:val="0"/>
                <w:szCs w:val="21"/>
                <w:highlight w:val="none"/>
              </w:rPr>
            </w:pPr>
            <w:r>
              <w:rPr>
                <w:color w:val="auto"/>
                <w:kern w:val="0"/>
                <w:szCs w:val="21"/>
                <w:highlight w:val="none"/>
              </w:rPr>
              <w:t>1.3.1</w:t>
            </w:r>
          </w:p>
        </w:tc>
        <w:tc>
          <w:tcPr>
            <w:tcW w:w="1984" w:type="dxa"/>
            <w:tcBorders>
              <w:top w:val="single" w:color="000000" w:sz="4" w:space="0"/>
              <w:left w:val="single" w:color="000000" w:sz="4" w:space="0"/>
              <w:bottom w:val="single" w:color="000000" w:sz="4" w:space="0"/>
              <w:right w:val="single" w:color="000000" w:sz="4" w:space="0"/>
            </w:tcBorders>
            <w:vAlign w:val="center"/>
          </w:tcPr>
          <w:p w14:paraId="0D62EBDF">
            <w:pPr>
              <w:widowControl/>
              <w:shd w:val="clear"/>
              <w:spacing w:line="360" w:lineRule="auto"/>
              <w:jc w:val="center"/>
              <w:rPr>
                <w:color w:val="auto"/>
                <w:kern w:val="0"/>
                <w:szCs w:val="21"/>
                <w:highlight w:val="none"/>
              </w:rPr>
            </w:pPr>
            <w:r>
              <w:rPr>
                <w:rFonts w:hint="eastAsia"/>
                <w:color w:val="auto"/>
                <w:kern w:val="0"/>
                <w:szCs w:val="21"/>
                <w:highlight w:val="none"/>
              </w:rPr>
              <w:t>采购范围</w:t>
            </w:r>
          </w:p>
        </w:tc>
        <w:tc>
          <w:tcPr>
            <w:tcW w:w="6521" w:type="dxa"/>
            <w:tcBorders>
              <w:top w:val="single" w:color="000000" w:sz="4" w:space="0"/>
              <w:left w:val="single" w:color="000000" w:sz="4" w:space="0"/>
              <w:bottom w:val="single" w:color="000000" w:sz="4" w:space="0"/>
              <w:right w:val="single" w:color="000000" w:sz="4" w:space="0"/>
            </w:tcBorders>
            <w:vAlign w:val="center"/>
          </w:tcPr>
          <w:p w14:paraId="7DBC6BC8">
            <w:pPr>
              <w:shd w:val="clear"/>
              <w:spacing w:line="360" w:lineRule="auto"/>
              <w:rPr>
                <w:rFonts w:cs="宋体" w:asciiTheme="minorEastAsia" w:hAnsiTheme="minorEastAsia" w:eastAsiaTheme="minorEastAsia"/>
                <w:color w:val="auto"/>
                <w:szCs w:val="21"/>
                <w:highlight w:val="none"/>
              </w:rPr>
            </w:pPr>
            <w:r>
              <w:rPr>
                <w:rFonts w:hint="eastAsia"/>
                <w:color w:val="auto"/>
                <w:highlight w:val="none"/>
              </w:rPr>
              <w:t>具体内容详见招标文件第五章“采购需求。”</w:t>
            </w:r>
          </w:p>
        </w:tc>
      </w:tr>
      <w:tr w14:paraId="44B8C0F1">
        <w:tblPrEx>
          <w:tblCellMar>
            <w:top w:w="0" w:type="dxa"/>
            <w:left w:w="108" w:type="dxa"/>
            <w:bottom w:w="0" w:type="dxa"/>
            <w:right w:w="108" w:type="dxa"/>
          </w:tblCellMar>
        </w:tblPrEx>
        <w:trPr>
          <w:trHeight w:val="58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4A368610">
            <w:pPr>
              <w:widowControl/>
              <w:shd w:val="clear"/>
              <w:spacing w:line="360" w:lineRule="auto"/>
              <w:jc w:val="center"/>
              <w:rPr>
                <w:color w:val="auto"/>
                <w:kern w:val="0"/>
                <w:szCs w:val="21"/>
                <w:highlight w:val="none"/>
              </w:rPr>
            </w:pPr>
            <w:r>
              <w:rPr>
                <w:color w:val="auto"/>
                <w:kern w:val="0"/>
                <w:szCs w:val="21"/>
                <w:highlight w:val="none"/>
              </w:rPr>
              <w:t>1.3.2</w:t>
            </w:r>
          </w:p>
        </w:tc>
        <w:tc>
          <w:tcPr>
            <w:tcW w:w="1984" w:type="dxa"/>
            <w:tcBorders>
              <w:top w:val="single" w:color="000000" w:sz="4" w:space="0"/>
              <w:left w:val="single" w:color="000000" w:sz="4" w:space="0"/>
              <w:bottom w:val="single" w:color="000000" w:sz="4" w:space="0"/>
              <w:right w:val="single" w:color="000000" w:sz="4" w:space="0"/>
            </w:tcBorders>
            <w:vAlign w:val="center"/>
          </w:tcPr>
          <w:p w14:paraId="589E95D7">
            <w:pPr>
              <w:shd w:val="clear"/>
              <w:spacing w:line="360" w:lineRule="auto"/>
              <w:jc w:val="center"/>
              <w:rPr>
                <w:color w:val="auto"/>
                <w:highlight w:val="none"/>
              </w:rPr>
            </w:pPr>
            <w:r>
              <w:rPr>
                <w:rFonts w:hint="eastAsia"/>
                <w:color w:val="auto"/>
                <w:highlight w:val="none"/>
              </w:rPr>
              <w:t>合同履行期限</w:t>
            </w:r>
          </w:p>
        </w:tc>
        <w:tc>
          <w:tcPr>
            <w:tcW w:w="6521" w:type="dxa"/>
            <w:tcBorders>
              <w:top w:val="single" w:color="000000" w:sz="4" w:space="0"/>
              <w:left w:val="single" w:color="000000" w:sz="4" w:space="0"/>
              <w:bottom w:val="single" w:color="000000" w:sz="4" w:space="0"/>
              <w:right w:val="single" w:color="000000" w:sz="4" w:space="0"/>
            </w:tcBorders>
            <w:vAlign w:val="center"/>
          </w:tcPr>
          <w:p w14:paraId="27F21C9A">
            <w:pPr>
              <w:shd w:val="clear"/>
              <w:spacing w:line="360" w:lineRule="auto"/>
              <w:rPr>
                <w:rFonts w:asciiTheme="minorEastAsia" w:hAnsiTheme="minorEastAsia" w:eastAsiaTheme="minorEastAsia"/>
                <w:color w:val="auto"/>
                <w:highlight w:val="none"/>
              </w:rPr>
            </w:pPr>
            <w:r>
              <w:rPr>
                <w:rFonts w:hint="eastAsia"/>
                <w:color w:val="auto"/>
                <w:highlight w:val="none"/>
              </w:rPr>
              <w:t>合同签订后</w:t>
            </w:r>
            <w:r>
              <w:rPr>
                <w:rFonts w:hint="eastAsia"/>
                <w:color w:val="auto"/>
                <w:highlight w:val="none"/>
                <w:u w:val="single"/>
              </w:rPr>
              <w:t xml:space="preserve"> 30 </w:t>
            </w:r>
            <w:r>
              <w:rPr>
                <w:rFonts w:hint="eastAsia"/>
                <w:color w:val="auto"/>
                <w:highlight w:val="none"/>
              </w:rPr>
              <w:t>日历天内完成供货、安装并调试完毕。</w:t>
            </w:r>
          </w:p>
        </w:tc>
      </w:tr>
      <w:tr w14:paraId="5750744F">
        <w:tblPrEx>
          <w:tblCellMar>
            <w:top w:w="0" w:type="dxa"/>
            <w:left w:w="108" w:type="dxa"/>
            <w:bottom w:w="0" w:type="dxa"/>
            <w:right w:w="108" w:type="dxa"/>
          </w:tblCellMar>
        </w:tblPrEx>
        <w:trPr>
          <w:trHeight w:val="584" w:hRule="atLeast"/>
        </w:trPr>
        <w:tc>
          <w:tcPr>
            <w:tcW w:w="1277" w:type="dxa"/>
            <w:tcBorders>
              <w:top w:val="single" w:color="000000" w:sz="4" w:space="0"/>
              <w:left w:val="single" w:color="000000" w:sz="4" w:space="0"/>
              <w:bottom w:val="single" w:color="auto" w:sz="4" w:space="0"/>
              <w:right w:val="single" w:color="000000" w:sz="4" w:space="0"/>
            </w:tcBorders>
            <w:vAlign w:val="center"/>
          </w:tcPr>
          <w:p w14:paraId="547240BE">
            <w:pPr>
              <w:widowControl/>
              <w:shd w:val="clear"/>
              <w:spacing w:line="360" w:lineRule="auto"/>
              <w:jc w:val="center"/>
              <w:rPr>
                <w:color w:val="auto"/>
                <w:kern w:val="0"/>
                <w:szCs w:val="21"/>
                <w:highlight w:val="none"/>
              </w:rPr>
            </w:pPr>
            <w:r>
              <w:rPr>
                <w:color w:val="auto"/>
                <w:kern w:val="0"/>
                <w:szCs w:val="21"/>
                <w:highlight w:val="none"/>
              </w:rPr>
              <w:t>1.3.</w:t>
            </w:r>
            <w:r>
              <w:rPr>
                <w:rFonts w:hint="eastAsia"/>
                <w:color w:val="auto"/>
                <w:kern w:val="0"/>
                <w:szCs w:val="21"/>
                <w:highlight w:val="none"/>
              </w:rPr>
              <w:t>3</w:t>
            </w:r>
          </w:p>
        </w:tc>
        <w:tc>
          <w:tcPr>
            <w:tcW w:w="1984" w:type="dxa"/>
            <w:tcBorders>
              <w:top w:val="single" w:color="000000" w:sz="4" w:space="0"/>
              <w:left w:val="single" w:color="000000" w:sz="4" w:space="0"/>
              <w:bottom w:val="single" w:color="auto" w:sz="4" w:space="0"/>
              <w:right w:val="single" w:color="000000" w:sz="4" w:space="0"/>
            </w:tcBorders>
            <w:vAlign w:val="center"/>
          </w:tcPr>
          <w:p w14:paraId="2C80B730">
            <w:pPr>
              <w:widowControl/>
              <w:shd w:val="clear"/>
              <w:spacing w:line="360" w:lineRule="auto"/>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质量要求</w:t>
            </w:r>
          </w:p>
        </w:tc>
        <w:tc>
          <w:tcPr>
            <w:tcW w:w="6521" w:type="dxa"/>
            <w:tcBorders>
              <w:top w:val="single" w:color="000000" w:sz="4" w:space="0"/>
              <w:left w:val="single" w:color="000000" w:sz="4" w:space="0"/>
              <w:bottom w:val="single" w:color="auto" w:sz="4" w:space="0"/>
              <w:right w:val="single" w:color="000000" w:sz="4" w:space="0"/>
            </w:tcBorders>
            <w:vAlign w:val="center"/>
          </w:tcPr>
          <w:p w14:paraId="50E240A6">
            <w:pPr>
              <w:widowControl/>
              <w:shd w:val="clear"/>
              <w:spacing w:line="360" w:lineRule="auto"/>
              <w:jc w:val="left"/>
              <w:rPr>
                <w:rFonts w:asciiTheme="minorEastAsia" w:hAnsiTheme="minorEastAsia" w:eastAsiaTheme="minorEastAsia"/>
                <w:color w:val="auto"/>
                <w:szCs w:val="21"/>
                <w:highlight w:val="none"/>
                <w:lang w:eastAsia="zh-TW"/>
              </w:rPr>
            </w:pPr>
            <w:r>
              <w:rPr>
                <w:rFonts w:hint="eastAsia" w:asciiTheme="minorEastAsia" w:hAnsiTheme="minorEastAsia" w:eastAsiaTheme="minorEastAsia"/>
                <w:color w:val="auto"/>
                <w:szCs w:val="21"/>
                <w:highlight w:val="none"/>
                <w:lang w:eastAsia="zh-TW"/>
              </w:rPr>
              <w:t>符合国家及行业有关生产、制造的规定、规范和标准，满足招标文件规定的技术要求和采购人使用需要，一次验收合格。产品质保期内的任何质量问题，中标人必须及时、按质、主动处理解决并承担一切费用，直至满足采购人要求</w:t>
            </w:r>
          </w:p>
        </w:tc>
      </w:tr>
      <w:tr w14:paraId="143FC543">
        <w:tblPrEx>
          <w:tblCellMar>
            <w:top w:w="0" w:type="dxa"/>
            <w:left w:w="108" w:type="dxa"/>
            <w:bottom w:w="0" w:type="dxa"/>
            <w:right w:w="108" w:type="dxa"/>
          </w:tblCellMar>
        </w:tblPrEx>
        <w:tc>
          <w:tcPr>
            <w:tcW w:w="1277" w:type="dxa"/>
            <w:vMerge w:val="restart"/>
            <w:tcBorders>
              <w:top w:val="single" w:color="auto" w:sz="4" w:space="0"/>
              <w:left w:val="single" w:color="auto" w:sz="4" w:space="0"/>
              <w:right w:val="single" w:color="auto" w:sz="4" w:space="0"/>
            </w:tcBorders>
            <w:vAlign w:val="center"/>
          </w:tcPr>
          <w:p w14:paraId="46049D6A">
            <w:pPr>
              <w:widowControl/>
              <w:shd w:val="clear"/>
              <w:spacing w:line="360" w:lineRule="auto"/>
              <w:jc w:val="center"/>
              <w:rPr>
                <w:color w:val="auto"/>
                <w:kern w:val="0"/>
                <w:szCs w:val="21"/>
                <w:highlight w:val="none"/>
              </w:rPr>
            </w:pPr>
            <w:r>
              <w:rPr>
                <w:color w:val="auto"/>
                <w:kern w:val="0"/>
                <w:szCs w:val="21"/>
                <w:highlight w:val="none"/>
              </w:rPr>
              <w:t>1.4.1</w:t>
            </w:r>
          </w:p>
        </w:tc>
        <w:tc>
          <w:tcPr>
            <w:tcW w:w="1984" w:type="dxa"/>
            <w:tcBorders>
              <w:top w:val="single" w:color="auto" w:sz="4" w:space="0"/>
              <w:left w:val="single" w:color="auto" w:sz="4" w:space="0"/>
              <w:bottom w:val="single" w:color="auto" w:sz="4" w:space="0"/>
              <w:right w:val="single" w:color="auto" w:sz="4" w:space="0"/>
            </w:tcBorders>
            <w:vAlign w:val="center"/>
          </w:tcPr>
          <w:p w14:paraId="06890237">
            <w:pPr>
              <w:widowControl/>
              <w:shd w:val="clear"/>
              <w:spacing w:line="360" w:lineRule="auto"/>
              <w:jc w:val="center"/>
              <w:rPr>
                <w:color w:val="auto"/>
                <w:kern w:val="0"/>
                <w:szCs w:val="21"/>
                <w:highlight w:val="none"/>
              </w:rPr>
            </w:pPr>
            <w:r>
              <w:rPr>
                <w:rFonts w:hint="eastAsia"/>
                <w:color w:val="auto"/>
                <w:kern w:val="0"/>
                <w:szCs w:val="21"/>
                <w:highlight w:val="none"/>
              </w:rPr>
              <w:t>投标人的资格要求</w:t>
            </w:r>
          </w:p>
        </w:tc>
        <w:tc>
          <w:tcPr>
            <w:tcW w:w="6521" w:type="dxa"/>
            <w:tcBorders>
              <w:top w:val="single" w:color="auto" w:sz="4" w:space="0"/>
              <w:left w:val="single" w:color="auto" w:sz="4" w:space="0"/>
              <w:bottom w:val="single" w:color="auto" w:sz="4" w:space="0"/>
              <w:right w:val="single" w:color="auto" w:sz="4" w:space="0"/>
            </w:tcBorders>
            <w:vAlign w:val="center"/>
          </w:tcPr>
          <w:p w14:paraId="51685156">
            <w:pPr>
              <w:shd w:val="clear"/>
              <w:spacing w:line="360" w:lineRule="auto"/>
              <w:rPr>
                <w:b/>
                <w:bCs/>
                <w:color w:val="auto"/>
                <w:highlight w:val="none"/>
              </w:rPr>
            </w:pPr>
            <w:r>
              <w:rPr>
                <w:rFonts w:ascii="宋体" w:hAnsi="宋体"/>
                <w:b/>
                <w:color w:val="auto"/>
                <w:szCs w:val="21"/>
                <w:highlight w:val="none"/>
              </w:rPr>
              <w:t>1</w:t>
            </w:r>
            <w:r>
              <w:rPr>
                <w:rFonts w:hint="eastAsia" w:ascii="宋体" w:hAnsi="宋体"/>
                <w:b/>
                <w:color w:val="auto"/>
                <w:szCs w:val="21"/>
                <w:highlight w:val="none"/>
              </w:rPr>
              <w:t>.</w:t>
            </w:r>
            <w:r>
              <w:rPr>
                <w:rFonts w:hint="eastAsia" w:ascii="宋体" w:hAnsi="宋体" w:cs="微软雅黑"/>
                <w:b/>
                <w:bCs/>
                <w:color w:val="auto"/>
                <w:szCs w:val="21"/>
                <w:highlight w:val="none"/>
              </w:rPr>
              <w:t>满</w:t>
            </w:r>
            <w:r>
              <w:rPr>
                <w:rFonts w:hint="eastAsia" w:ascii="宋体" w:hAnsi="宋体" w:cs="Malgun Gothic"/>
                <w:b/>
                <w:bCs/>
                <w:color w:val="auto"/>
                <w:szCs w:val="21"/>
                <w:highlight w:val="none"/>
              </w:rPr>
              <w:t>足《中</w:t>
            </w:r>
            <w:r>
              <w:rPr>
                <w:rFonts w:hint="eastAsia" w:ascii="宋体" w:hAnsi="宋体" w:cs="微软雅黑"/>
                <w:b/>
                <w:bCs/>
                <w:color w:val="auto"/>
                <w:szCs w:val="21"/>
                <w:highlight w:val="none"/>
              </w:rPr>
              <w:t>华</w:t>
            </w:r>
            <w:r>
              <w:rPr>
                <w:rFonts w:hint="eastAsia" w:ascii="宋体" w:hAnsi="宋体" w:cs="Malgun Gothic"/>
                <w:b/>
                <w:bCs/>
                <w:color w:val="auto"/>
                <w:szCs w:val="21"/>
                <w:highlight w:val="none"/>
              </w:rPr>
              <w:t>人民共和</w:t>
            </w:r>
            <w:r>
              <w:rPr>
                <w:rFonts w:hint="eastAsia" w:ascii="宋体" w:hAnsi="宋体" w:cs="微软雅黑"/>
                <w:b/>
                <w:bCs/>
                <w:color w:val="auto"/>
                <w:szCs w:val="21"/>
                <w:highlight w:val="none"/>
              </w:rPr>
              <w:t>国</w:t>
            </w:r>
            <w:r>
              <w:rPr>
                <w:rFonts w:hint="eastAsia" w:ascii="宋体" w:hAnsi="宋体" w:cs="Malgun Gothic"/>
                <w:b/>
                <w:bCs/>
                <w:color w:val="auto"/>
                <w:szCs w:val="21"/>
                <w:highlight w:val="none"/>
              </w:rPr>
              <w:t>政府采</w:t>
            </w:r>
            <w:r>
              <w:rPr>
                <w:rFonts w:hint="eastAsia" w:ascii="宋体" w:hAnsi="宋体" w:cs="微软雅黑"/>
                <w:b/>
                <w:bCs/>
                <w:color w:val="auto"/>
                <w:szCs w:val="21"/>
                <w:highlight w:val="none"/>
              </w:rPr>
              <w:t>购</w:t>
            </w:r>
            <w:r>
              <w:rPr>
                <w:rFonts w:hint="eastAsia" w:ascii="宋体" w:hAnsi="宋体" w:cs="Malgun Gothic"/>
                <w:b/>
                <w:bCs/>
                <w:color w:val="auto"/>
                <w:szCs w:val="21"/>
                <w:highlight w:val="none"/>
              </w:rPr>
              <w:t>法》第二十二</w:t>
            </w:r>
            <w:r>
              <w:rPr>
                <w:rFonts w:hint="eastAsia" w:ascii="宋体" w:hAnsi="宋体" w:cs="微软雅黑"/>
                <w:b/>
                <w:bCs/>
                <w:color w:val="auto"/>
                <w:szCs w:val="21"/>
                <w:highlight w:val="none"/>
              </w:rPr>
              <w:t>条规</w:t>
            </w:r>
            <w:r>
              <w:rPr>
                <w:rFonts w:hint="eastAsia" w:ascii="宋体" w:hAnsi="宋体" w:cs="Malgun Gothic"/>
                <w:b/>
                <w:bCs/>
                <w:color w:val="auto"/>
                <w:szCs w:val="21"/>
                <w:highlight w:val="none"/>
              </w:rPr>
              <w:t>定</w:t>
            </w:r>
          </w:p>
          <w:p w14:paraId="4B769D6C">
            <w:pPr>
              <w:shd w:val="clear"/>
              <w:spacing w:line="360" w:lineRule="auto"/>
              <w:rPr>
                <w:b/>
                <w:color w:val="auto"/>
                <w:highlight w:val="none"/>
                <w:u w:val="single"/>
              </w:rPr>
            </w:pPr>
            <w:r>
              <w:rPr>
                <w:rFonts w:hint="eastAsia"/>
                <w:b/>
                <w:bCs/>
                <w:color w:val="auto"/>
                <w:highlight w:val="none"/>
              </w:rPr>
              <w:t>（1）具有独立承担民事责任的能力；</w:t>
            </w:r>
            <w:r>
              <w:rPr>
                <w:rFonts w:hint="eastAsia"/>
                <w:color w:val="auto"/>
                <w:highlight w:val="none"/>
                <w:u w:val="single"/>
              </w:rPr>
              <w:t>提供法人或者其他组织的营业执照等证明文件；</w:t>
            </w:r>
          </w:p>
          <w:p w14:paraId="5B6867C4">
            <w:pPr>
              <w:shd w:val="clear"/>
              <w:spacing w:line="360" w:lineRule="auto"/>
              <w:rPr>
                <w:bCs/>
                <w:color w:val="auto"/>
                <w:highlight w:val="none"/>
                <w:u w:val="single"/>
              </w:rPr>
            </w:pPr>
            <w:r>
              <w:rPr>
                <w:rFonts w:hint="eastAsia"/>
                <w:b/>
                <w:bCs/>
                <w:color w:val="auto"/>
                <w:highlight w:val="none"/>
              </w:rPr>
              <w:t>（2）具有良好的商业信誉和健全的财务会计制度；</w:t>
            </w:r>
            <w:r>
              <w:rPr>
                <w:rFonts w:hint="eastAsia" w:ascii="宋体" w:hAnsi="宋体"/>
                <w:color w:val="auto"/>
                <w:szCs w:val="21"/>
                <w:highlight w:val="none"/>
                <w:u w:val="single"/>
              </w:rPr>
              <w:t>提供2022或2023年经审计的财务报告（复印件）或近三个月内基本开户银行出具的资信证明（原件或复印件）或财政部门认可的政府采购专业担保机构出具的投标担保函（成立时间不足一年的，可提供近三个月内基本开户银行出具的资信证明或自成立至今经第三方审计的财务报告；如提供投标担保函的，需同时提供专业担保机构经财政部门认可的证明文件）；</w:t>
            </w:r>
          </w:p>
          <w:p w14:paraId="780E795D">
            <w:pPr>
              <w:shd w:val="clear"/>
              <w:spacing w:line="360" w:lineRule="auto"/>
              <w:rPr>
                <w:bCs/>
                <w:color w:val="auto"/>
                <w:highlight w:val="none"/>
                <w:u w:val="single"/>
              </w:rPr>
            </w:pPr>
            <w:r>
              <w:rPr>
                <w:rFonts w:hint="eastAsia"/>
                <w:b/>
                <w:color w:val="auto"/>
                <w:highlight w:val="none"/>
              </w:rPr>
              <w:t>（3）具有履行合同所必需的设备和专业技术能力；</w:t>
            </w:r>
            <w:r>
              <w:rPr>
                <w:rFonts w:hint="eastAsia"/>
                <w:bCs/>
                <w:color w:val="auto"/>
                <w:highlight w:val="none"/>
                <w:u w:val="single"/>
              </w:rPr>
              <w:t>提供相关声明函或证明材料；</w:t>
            </w:r>
          </w:p>
          <w:p w14:paraId="4F0D8DD7">
            <w:pPr>
              <w:shd w:val="clear"/>
              <w:spacing w:line="360" w:lineRule="auto"/>
              <w:rPr>
                <w:bCs/>
                <w:color w:val="auto"/>
                <w:highlight w:val="none"/>
                <w:u w:val="single"/>
              </w:rPr>
            </w:pPr>
            <w:r>
              <w:rPr>
                <w:rFonts w:hint="eastAsia"/>
                <w:b/>
                <w:bCs/>
                <w:color w:val="auto"/>
                <w:highlight w:val="none"/>
              </w:rPr>
              <w:t>（</w:t>
            </w:r>
            <w:r>
              <w:rPr>
                <w:b/>
                <w:bCs/>
                <w:color w:val="auto"/>
                <w:highlight w:val="none"/>
              </w:rPr>
              <w:t>4</w:t>
            </w:r>
            <w:r>
              <w:rPr>
                <w:rFonts w:hint="eastAsia"/>
                <w:b/>
                <w:bCs/>
                <w:color w:val="auto"/>
                <w:highlight w:val="none"/>
              </w:rPr>
              <w:t>）有依法缴纳税收和社会保障资金的良好记录；</w:t>
            </w:r>
            <w:r>
              <w:rPr>
                <w:rFonts w:hint="eastAsia"/>
                <w:bCs/>
                <w:color w:val="auto"/>
                <w:highlight w:val="none"/>
                <w:u w:val="single"/>
              </w:rPr>
              <w:t>提供20</w:t>
            </w:r>
            <w:r>
              <w:rPr>
                <w:bCs/>
                <w:color w:val="auto"/>
                <w:highlight w:val="none"/>
                <w:u w:val="single"/>
              </w:rPr>
              <w:t>23</w:t>
            </w:r>
            <w:r>
              <w:rPr>
                <w:rFonts w:hint="eastAsia"/>
                <w:bCs/>
                <w:color w:val="auto"/>
                <w:highlight w:val="none"/>
                <w:u w:val="single"/>
              </w:rPr>
              <w:t>年01月后投标人任意3个月的税收缴纳凭证；提供20</w:t>
            </w:r>
            <w:r>
              <w:rPr>
                <w:bCs/>
                <w:color w:val="auto"/>
                <w:highlight w:val="none"/>
                <w:u w:val="single"/>
              </w:rPr>
              <w:t>23</w:t>
            </w:r>
            <w:r>
              <w:rPr>
                <w:rFonts w:hint="eastAsia"/>
                <w:bCs/>
                <w:color w:val="auto"/>
                <w:highlight w:val="none"/>
                <w:u w:val="single"/>
              </w:rPr>
              <w:t>年01月后投标人任意3个月的社会保险缴纳凭证；若成立时间不足</w:t>
            </w:r>
            <w:r>
              <w:rPr>
                <w:bCs/>
                <w:color w:val="auto"/>
                <w:highlight w:val="none"/>
                <w:u w:val="single"/>
              </w:rPr>
              <w:t>1</w:t>
            </w:r>
            <w:r>
              <w:rPr>
                <w:rFonts w:hint="eastAsia"/>
                <w:bCs/>
                <w:color w:val="auto"/>
                <w:highlight w:val="none"/>
                <w:u w:val="single"/>
              </w:rPr>
              <w:t>个月的，提供成立以来的税收和社保资金缴纳凭证；依法免税或不需要缴纳社会保障资金的投标人，提供相应证明文件；</w:t>
            </w:r>
          </w:p>
          <w:p w14:paraId="1FB3D96D">
            <w:pPr>
              <w:shd w:val="clear"/>
              <w:spacing w:line="360" w:lineRule="auto"/>
              <w:rPr>
                <w:color w:val="auto"/>
                <w:highlight w:val="none"/>
              </w:rPr>
            </w:pPr>
            <w:r>
              <w:rPr>
                <w:rFonts w:hint="eastAsia"/>
                <w:b/>
                <w:bCs/>
                <w:color w:val="auto"/>
                <w:highlight w:val="none"/>
              </w:rPr>
              <w:t>（</w:t>
            </w:r>
            <w:r>
              <w:rPr>
                <w:b/>
                <w:bCs/>
                <w:color w:val="auto"/>
                <w:highlight w:val="none"/>
              </w:rPr>
              <w:t>5</w:t>
            </w:r>
            <w:r>
              <w:rPr>
                <w:rFonts w:hint="eastAsia"/>
                <w:b/>
                <w:bCs/>
                <w:color w:val="auto"/>
                <w:highlight w:val="none"/>
              </w:rPr>
              <w:t>）参加政府采购活动前三年内，在经营活动中没有重大违法记录；</w:t>
            </w:r>
            <w:r>
              <w:rPr>
                <w:rFonts w:hint="eastAsia"/>
                <w:bCs/>
                <w:color w:val="auto"/>
                <w:highlight w:val="none"/>
                <w:u w:val="single"/>
              </w:rPr>
              <w:t>提供承诺书（加盖公章）；</w:t>
            </w:r>
          </w:p>
          <w:p w14:paraId="2797F3FA">
            <w:pPr>
              <w:shd w:val="clear"/>
              <w:spacing w:line="360" w:lineRule="auto"/>
              <w:rPr>
                <w:rFonts w:cs="Arial" w:asciiTheme="minorEastAsia" w:hAnsiTheme="minorEastAsia" w:eastAsiaTheme="minorEastAsia"/>
                <w:b/>
                <w:color w:val="auto"/>
                <w:kern w:val="0"/>
                <w:szCs w:val="21"/>
                <w:highlight w:val="none"/>
              </w:rPr>
            </w:pPr>
            <w:r>
              <w:rPr>
                <w:rFonts w:hint="eastAsia"/>
                <w:b/>
                <w:bCs/>
                <w:color w:val="auto"/>
                <w:highlight w:val="none"/>
              </w:rPr>
              <w:t>（6）具备法律、行政法规规定的其他条件。</w:t>
            </w:r>
          </w:p>
        </w:tc>
      </w:tr>
      <w:tr w14:paraId="6DEE0A40">
        <w:tblPrEx>
          <w:tblCellMar>
            <w:top w:w="0" w:type="dxa"/>
            <w:left w:w="108" w:type="dxa"/>
            <w:bottom w:w="0" w:type="dxa"/>
            <w:right w:w="108" w:type="dxa"/>
          </w:tblCellMar>
        </w:tblPrEx>
        <w:tc>
          <w:tcPr>
            <w:tcW w:w="1277" w:type="dxa"/>
            <w:vMerge w:val="continue"/>
            <w:tcBorders>
              <w:left w:val="single" w:color="auto" w:sz="4" w:space="0"/>
              <w:right w:val="single" w:color="auto" w:sz="4" w:space="0"/>
            </w:tcBorders>
            <w:vAlign w:val="center"/>
          </w:tcPr>
          <w:p w14:paraId="6775E9A8">
            <w:pPr>
              <w:widowControl/>
              <w:shd w:val="clear"/>
              <w:spacing w:line="360" w:lineRule="auto"/>
              <w:jc w:val="center"/>
              <w:rPr>
                <w:color w:val="auto"/>
                <w:kern w:val="0"/>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760A817D">
            <w:pPr>
              <w:widowControl/>
              <w:shd w:val="clear"/>
              <w:spacing w:line="360" w:lineRule="auto"/>
              <w:jc w:val="center"/>
              <w:rPr>
                <w:color w:val="auto"/>
                <w:kern w:val="0"/>
                <w:szCs w:val="21"/>
                <w:highlight w:val="none"/>
              </w:rPr>
            </w:pPr>
            <w:r>
              <w:rPr>
                <w:rFonts w:ascii="宋体" w:hAnsi="宋体"/>
                <w:color w:val="auto"/>
                <w:szCs w:val="21"/>
                <w:highlight w:val="none"/>
              </w:rPr>
              <w:t>落</w:t>
            </w:r>
            <w:r>
              <w:rPr>
                <w:rFonts w:hint="eastAsia" w:ascii="宋体" w:hAnsi="宋体" w:cs="微软雅黑"/>
                <w:color w:val="auto"/>
                <w:szCs w:val="21"/>
                <w:highlight w:val="none"/>
              </w:rPr>
              <w:t>实</w:t>
            </w:r>
            <w:r>
              <w:rPr>
                <w:rFonts w:hint="eastAsia" w:ascii="宋体" w:hAnsi="宋体" w:cs="Malgun Gothic"/>
                <w:color w:val="auto"/>
                <w:szCs w:val="21"/>
                <w:highlight w:val="none"/>
              </w:rPr>
              <w:t>政府采</w:t>
            </w:r>
            <w:r>
              <w:rPr>
                <w:rFonts w:hint="eastAsia" w:ascii="宋体" w:hAnsi="宋体" w:cs="微软雅黑"/>
                <w:color w:val="auto"/>
                <w:szCs w:val="21"/>
                <w:highlight w:val="none"/>
              </w:rPr>
              <w:t>购</w:t>
            </w:r>
            <w:r>
              <w:rPr>
                <w:rFonts w:hint="eastAsia" w:ascii="宋体" w:hAnsi="宋体" w:cs="Malgun Gothic"/>
                <w:color w:val="auto"/>
                <w:szCs w:val="21"/>
                <w:highlight w:val="none"/>
              </w:rPr>
              <w:t>政策需</w:t>
            </w:r>
            <w:r>
              <w:rPr>
                <w:rFonts w:hint="eastAsia" w:ascii="宋体" w:hAnsi="宋体" w:cs="微软雅黑"/>
                <w:color w:val="auto"/>
                <w:szCs w:val="21"/>
                <w:highlight w:val="none"/>
              </w:rPr>
              <w:t>满</w:t>
            </w:r>
            <w:r>
              <w:rPr>
                <w:rFonts w:hint="eastAsia" w:ascii="宋体" w:hAnsi="宋体" w:cs="Malgun Gothic"/>
                <w:color w:val="auto"/>
                <w:szCs w:val="21"/>
                <w:highlight w:val="none"/>
              </w:rPr>
              <w:t>足的</w:t>
            </w:r>
            <w:r>
              <w:rPr>
                <w:rFonts w:hint="eastAsia" w:ascii="宋体" w:hAnsi="宋体" w:cs="微软雅黑"/>
                <w:color w:val="auto"/>
                <w:szCs w:val="21"/>
                <w:highlight w:val="none"/>
              </w:rPr>
              <w:t>资</w:t>
            </w:r>
            <w:r>
              <w:rPr>
                <w:rFonts w:hint="eastAsia" w:ascii="宋体" w:hAnsi="宋体" w:cs="Malgun Gothic"/>
                <w:color w:val="auto"/>
                <w:szCs w:val="21"/>
                <w:highlight w:val="none"/>
              </w:rPr>
              <w:t>格要求</w:t>
            </w:r>
          </w:p>
        </w:tc>
        <w:tc>
          <w:tcPr>
            <w:tcW w:w="6521" w:type="dxa"/>
            <w:tcBorders>
              <w:top w:val="single" w:color="auto" w:sz="4" w:space="0"/>
              <w:left w:val="single" w:color="auto" w:sz="4" w:space="0"/>
              <w:bottom w:val="single" w:color="auto" w:sz="4" w:space="0"/>
              <w:right w:val="single" w:color="auto" w:sz="4" w:space="0"/>
            </w:tcBorders>
            <w:vAlign w:val="center"/>
          </w:tcPr>
          <w:p w14:paraId="093B744B">
            <w:pPr>
              <w:shd w:val="clear"/>
              <w:spacing w:line="360" w:lineRule="auto"/>
              <w:jc w:val="left"/>
              <w:rPr>
                <w:rFonts w:ascii="宋体" w:hAnsi="宋体"/>
                <w:b/>
                <w:color w:val="auto"/>
                <w:szCs w:val="21"/>
                <w:highlight w:val="none"/>
              </w:rPr>
            </w:pPr>
            <w:r>
              <w:rPr>
                <w:color w:val="auto"/>
                <w:szCs w:val="21"/>
                <w:highlight w:val="none"/>
              </w:rPr>
              <w:t>本项目非专门面向中小企业采购的项目；</w:t>
            </w:r>
            <w:r>
              <w:rPr>
                <w:rFonts w:hint="eastAsia"/>
                <w:color w:val="auto"/>
                <w:szCs w:val="21"/>
                <w:highlight w:val="none"/>
                <w:lang w:eastAsia="zh-CN"/>
              </w:rPr>
              <w:t>昆明市妇幼保健院鼻窦负压置换仪、脉冲磁场刺激仪等医疗设备采购项目（二次）</w:t>
            </w:r>
            <w:r>
              <w:rPr>
                <w:color w:val="auto"/>
                <w:szCs w:val="21"/>
                <w:highlight w:val="none"/>
              </w:rPr>
              <w:t>：小微企业价格扣除优惠比例：</w:t>
            </w:r>
            <w:r>
              <w:rPr>
                <w:b/>
                <w:bCs/>
                <w:color w:val="auto"/>
                <w:szCs w:val="21"/>
                <w:highlight w:val="none"/>
                <w:u w:val="single"/>
              </w:rPr>
              <w:t>10%</w:t>
            </w:r>
            <w:r>
              <w:rPr>
                <w:color w:val="auto"/>
                <w:szCs w:val="21"/>
                <w:highlight w:val="none"/>
              </w:rPr>
              <w:t>。</w:t>
            </w:r>
            <w:r>
              <w:rPr>
                <w:rFonts w:hint="eastAsia"/>
                <w:color w:val="auto"/>
                <w:szCs w:val="21"/>
                <w:highlight w:val="none"/>
              </w:rPr>
              <w:t>采购标的对应的中小企业划分标准所属行业为</w:t>
            </w:r>
            <w:r>
              <w:rPr>
                <w:rFonts w:hint="eastAsia"/>
                <w:color w:val="auto"/>
                <w:szCs w:val="21"/>
                <w:highlight w:val="none"/>
                <w:u w:val="single"/>
              </w:rPr>
              <w:t xml:space="preserve"> </w:t>
            </w:r>
            <w:r>
              <w:rPr>
                <w:rFonts w:hint="eastAsia"/>
                <w:b/>
                <w:bCs/>
                <w:color w:val="auto"/>
                <w:szCs w:val="21"/>
                <w:highlight w:val="none"/>
                <w:u w:val="single"/>
              </w:rPr>
              <w:t>工</w:t>
            </w:r>
            <w:r>
              <w:rPr>
                <w:rFonts w:hint="eastAsia" w:ascii="宋体" w:hAnsi="宋体"/>
                <w:b/>
                <w:bCs/>
                <w:color w:val="auto"/>
                <w:szCs w:val="21"/>
                <w:highlight w:val="none"/>
                <w:u w:val="single"/>
              </w:rPr>
              <w:t xml:space="preserve">业 </w:t>
            </w:r>
            <w:r>
              <w:rPr>
                <w:rFonts w:hint="eastAsia"/>
                <w:color w:val="auto"/>
                <w:szCs w:val="21"/>
                <w:highlight w:val="none"/>
              </w:rPr>
              <w:t>。</w:t>
            </w:r>
          </w:p>
        </w:tc>
      </w:tr>
      <w:tr w14:paraId="119936F1">
        <w:tblPrEx>
          <w:tblCellMar>
            <w:top w:w="0" w:type="dxa"/>
            <w:left w:w="108" w:type="dxa"/>
            <w:bottom w:w="0" w:type="dxa"/>
            <w:right w:w="108" w:type="dxa"/>
          </w:tblCellMar>
        </w:tblPrEx>
        <w:tc>
          <w:tcPr>
            <w:tcW w:w="1277" w:type="dxa"/>
            <w:vMerge w:val="continue"/>
            <w:tcBorders>
              <w:left w:val="single" w:color="auto" w:sz="4" w:space="0"/>
              <w:bottom w:val="single" w:color="000000" w:sz="4" w:space="0"/>
              <w:right w:val="single" w:color="auto" w:sz="4" w:space="0"/>
            </w:tcBorders>
            <w:vAlign w:val="center"/>
          </w:tcPr>
          <w:p w14:paraId="66F36C56">
            <w:pPr>
              <w:widowControl/>
              <w:shd w:val="clear"/>
              <w:spacing w:line="360" w:lineRule="auto"/>
              <w:jc w:val="center"/>
              <w:rPr>
                <w:color w:val="auto"/>
                <w:kern w:val="0"/>
                <w:szCs w:val="21"/>
                <w:highlight w:val="none"/>
              </w:rPr>
            </w:pPr>
          </w:p>
        </w:tc>
        <w:tc>
          <w:tcPr>
            <w:tcW w:w="1984" w:type="dxa"/>
            <w:tcBorders>
              <w:top w:val="single" w:color="auto" w:sz="4" w:space="0"/>
              <w:left w:val="single" w:color="auto" w:sz="4" w:space="0"/>
              <w:bottom w:val="single" w:color="000000" w:sz="4" w:space="0"/>
              <w:right w:val="single" w:color="auto" w:sz="4" w:space="0"/>
            </w:tcBorders>
            <w:vAlign w:val="center"/>
          </w:tcPr>
          <w:p w14:paraId="43F41933">
            <w:pPr>
              <w:widowControl/>
              <w:shd w:val="clear"/>
              <w:spacing w:line="360" w:lineRule="auto"/>
              <w:jc w:val="center"/>
              <w:rPr>
                <w:color w:val="auto"/>
                <w:kern w:val="0"/>
                <w:szCs w:val="21"/>
                <w:highlight w:val="none"/>
              </w:rPr>
            </w:pPr>
            <w:r>
              <w:rPr>
                <w:rFonts w:ascii="宋体" w:hAnsi="宋体"/>
                <w:color w:val="auto"/>
                <w:szCs w:val="21"/>
                <w:highlight w:val="none"/>
              </w:rPr>
              <w:t>本</w:t>
            </w:r>
            <w:r>
              <w:rPr>
                <w:rFonts w:hint="eastAsia" w:ascii="宋体" w:hAnsi="宋体" w:cs="微软雅黑"/>
                <w:color w:val="auto"/>
                <w:szCs w:val="21"/>
                <w:highlight w:val="none"/>
              </w:rPr>
              <w:t>项</w:t>
            </w:r>
            <w:r>
              <w:rPr>
                <w:rFonts w:hint="eastAsia" w:ascii="宋体" w:hAnsi="宋体" w:cs="Malgun Gothic"/>
                <w:color w:val="auto"/>
                <w:szCs w:val="21"/>
                <w:highlight w:val="none"/>
              </w:rPr>
              <w:t>目的特定</w:t>
            </w:r>
            <w:r>
              <w:rPr>
                <w:rFonts w:hint="eastAsia" w:ascii="宋体" w:hAnsi="宋体" w:cs="微软雅黑"/>
                <w:color w:val="auto"/>
                <w:szCs w:val="21"/>
                <w:highlight w:val="none"/>
              </w:rPr>
              <w:t>资</w:t>
            </w:r>
            <w:r>
              <w:rPr>
                <w:rFonts w:hint="eastAsia" w:ascii="宋体" w:hAnsi="宋体" w:cs="Malgun Gothic"/>
                <w:color w:val="auto"/>
                <w:szCs w:val="21"/>
                <w:highlight w:val="none"/>
              </w:rPr>
              <w:t>格要求</w:t>
            </w:r>
          </w:p>
        </w:tc>
        <w:tc>
          <w:tcPr>
            <w:tcW w:w="6521" w:type="dxa"/>
            <w:tcBorders>
              <w:top w:val="single" w:color="auto" w:sz="4" w:space="0"/>
              <w:left w:val="single" w:color="auto" w:sz="4" w:space="0"/>
              <w:bottom w:val="single" w:color="auto" w:sz="4" w:space="0"/>
              <w:right w:val="single" w:color="auto" w:sz="4" w:space="0"/>
            </w:tcBorders>
            <w:vAlign w:val="center"/>
          </w:tcPr>
          <w:p w14:paraId="7520753E">
            <w:pPr>
              <w:shd w:val="clear"/>
              <w:spacing w:line="360" w:lineRule="auto"/>
              <w:rPr>
                <w:color w:val="auto"/>
                <w:szCs w:val="21"/>
                <w:highlight w:val="none"/>
                <w:u w:val="single"/>
              </w:rPr>
            </w:pPr>
            <w:r>
              <w:rPr>
                <w:rFonts w:hint="eastAsia"/>
                <w:color w:val="auto"/>
                <w:szCs w:val="21"/>
                <w:highlight w:val="none"/>
              </w:rPr>
              <w:t>3.1</w:t>
            </w:r>
            <w:r>
              <w:rPr>
                <w:rFonts w:hint="eastAsia" w:ascii="宋体" w:hAnsi="宋体" w:cs="宋体"/>
                <w:color w:val="auto"/>
                <w:szCs w:val="21"/>
                <w:highlight w:val="none"/>
                <w:u w:val="single"/>
              </w:rPr>
              <w:t>投标人是代理商或经销商的，须提供有效的医疗器械经营许可证/备案凭证，所投产品制造商有效的医疗器械生产许可证（制造商工商注册地在中华人民共和国境外的，不做此要求）、所投产品有效的医疗器械注册证；投标人是制造商的，须提供有效的医疗器械生产许可证（制造商工商注册地在中华人民共和国境外的，不做此要求）、所投产品有效的医疗器械注册证。“医疗器械生产许可证”或“医疗器械经营许可证/备案凭证”的生产或经营范围须覆盖所投医疗器械（根据《医疗器械监督管理条例》（中华人民共和国国务院令第739号）的规定，在《医疗器械分类目录》内的产品必须按照《医疗器械监督管理条例》的要求提供，其他不在《医疗器械分类目录》内的不作强行要求，但须提供相关证明材料或书面声明）</w:t>
            </w:r>
            <w:r>
              <w:rPr>
                <w:rFonts w:hint="eastAsia" w:ascii="宋体" w:hAnsi="宋体" w:cs="宋体"/>
                <w:color w:val="auto"/>
                <w:kern w:val="0"/>
                <w:szCs w:val="21"/>
                <w:highlight w:val="none"/>
                <w:u w:val="single"/>
              </w:rPr>
              <w:t>【加盖</w:t>
            </w:r>
            <w:r>
              <w:rPr>
                <w:rFonts w:hint="eastAsia" w:ascii="宋体" w:hAnsi="宋体" w:cs="宋体"/>
                <w:color w:val="auto"/>
                <w:szCs w:val="21"/>
                <w:highlight w:val="none"/>
                <w:u w:val="single"/>
              </w:rPr>
              <w:t>公司电子签章</w:t>
            </w:r>
            <w:r>
              <w:rPr>
                <w:rFonts w:hint="eastAsia" w:ascii="宋体" w:hAnsi="宋体" w:cs="宋体"/>
                <w:color w:val="auto"/>
                <w:kern w:val="0"/>
                <w:szCs w:val="21"/>
                <w:highlight w:val="none"/>
                <w:u w:val="single"/>
              </w:rPr>
              <w:t>】</w:t>
            </w:r>
            <w:r>
              <w:rPr>
                <w:rFonts w:hint="eastAsia" w:ascii="宋体" w:hAnsi="宋体" w:cs="宋体"/>
                <w:color w:val="auto"/>
                <w:szCs w:val="21"/>
                <w:highlight w:val="none"/>
                <w:u w:val="single"/>
              </w:rPr>
              <w:t>。</w:t>
            </w:r>
          </w:p>
          <w:p w14:paraId="01D1E27E">
            <w:pPr>
              <w:shd w:val="clear"/>
              <w:spacing w:line="360" w:lineRule="auto"/>
              <w:rPr>
                <w:color w:val="auto"/>
                <w:highlight w:val="none"/>
                <w:u w:val="single"/>
              </w:rPr>
            </w:pPr>
            <w:r>
              <w:rPr>
                <w:color w:val="auto"/>
                <w:szCs w:val="21"/>
                <w:highlight w:val="none"/>
              </w:rPr>
              <w:t>3.</w:t>
            </w:r>
            <w:r>
              <w:rPr>
                <w:rFonts w:hint="eastAsia"/>
                <w:color w:val="auto"/>
                <w:szCs w:val="21"/>
                <w:highlight w:val="none"/>
              </w:rPr>
              <w:t>2</w:t>
            </w:r>
            <w:r>
              <w:rPr>
                <w:color w:val="auto"/>
                <w:szCs w:val="21"/>
                <w:highlight w:val="none"/>
              </w:rPr>
              <w:t>信用要求：</w:t>
            </w:r>
            <w:r>
              <w:rPr>
                <w:rFonts w:hint="eastAsia"/>
                <w:color w:val="auto"/>
                <w:szCs w:val="21"/>
                <w:highlight w:val="none"/>
                <w:u w:val="single"/>
              </w:rPr>
              <w:t>未被列入“信用中国”网站（www.creditchina.gov.cn）失信被执行人、重大税收违法案件当事人名单、政府采购严重违法失信名单及“中国政府采购网”（www.ccgp.gov.cn）政府采购严重违法失信行为信息记录。</w:t>
            </w:r>
            <w:r>
              <w:rPr>
                <w:color w:val="auto"/>
                <w:szCs w:val="21"/>
                <w:highlight w:val="none"/>
                <w:u w:val="single"/>
              </w:rPr>
              <w:t>采购代理机构将于投标文件递交截止时间后在</w:t>
            </w:r>
            <w:r>
              <w:rPr>
                <w:rFonts w:hint="eastAsia"/>
                <w:color w:val="auto"/>
                <w:szCs w:val="21"/>
                <w:highlight w:val="none"/>
                <w:u w:val="single"/>
              </w:rPr>
              <w:t>上述网站</w:t>
            </w:r>
            <w:r>
              <w:rPr>
                <w:color w:val="auto"/>
                <w:szCs w:val="21"/>
                <w:highlight w:val="none"/>
                <w:u w:val="single"/>
              </w:rPr>
              <w:t>对投标人信用情况进行查询</w:t>
            </w:r>
            <w:r>
              <w:rPr>
                <w:rFonts w:hint="eastAsia"/>
                <w:color w:val="auto"/>
                <w:szCs w:val="21"/>
                <w:highlight w:val="none"/>
                <w:u w:val="single"/>
              </w:rPr>
              <w:t>，存在上述不良信用记录的</w:t>
            </w:r>
            <w:r>
              <w:rPr>
                <w:color w:val="auto"/>
                <w:szCs w:val="21"/>
                <w:highlight w:val="none"/>
                <w:u w:val="single"/>
              </w:rPr>
              <w:t>，其投标将被拒绝，</w:t>
            </w:r>
            <w:r>
              <w:rPr>
                <w:color w:val="auto"/>
                <w:highlight w:val="none"/>
                <w:u w:val="single"/>
              </w:rPr>
              <w:t>查询记录为上述网站信用信息查询结果的网页截图；</w:t>
            </w:r>
          </w:p>
          <w:p w14:paraId="08B35A85">
            <w:pPr>
              <w:shd w:val="clear"/>
              <w:spacing w:line="360" w:lineRule="auto"/>
              <w:rPr>
                <w:rFonts w:ascii="宋体" w:hAnsi="宋体"/>
                <w:b/>
                <w:color w:val="auto"/>
                <w:szCs w:val="21"/>
                <w:highlight w:val="none"/>
                <w:u w:val="single"/>
              </w:rPr>
            </w:pPr>
            <w:r>
              <w:rPr>
                <w:color w:val="auto"/>
                <w:szCs w:val="21"/>
                <w:highlight w:val="none"/>
              </w:rPr>
              <w:t>3.</w:t>
            </w:r>
            <w:r>
              <w:rPr>
                <w:rFonts w:hint="eastAsia"/>
                <w:color w:val="auto"/>
                <w:szCs w:val="21"/>
                <w:highlight w:val="none"/>
              </w:rPr>
              <w:t>3</w:t>
            </w:r>
            <w:r>
              <w:rPr>
                <w:rFonts w:hint="eastAsia"/>
                <w:color w:val="auto"/>
                <w:szCs w:val="21"/>
                <w:highlight w:val="none"/>
                <w:u w:val="singl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tc>
      </w:tr>
      <w:tr w14:paraId="13324523">
        <w:tblPrEx>
          <w:tblCellMar>
            <w:top w:w="0" w:type="dxa"/>
            <w:left w:w="108" w:type="dxa"/>
            <w:bottom w:w="0" w:type="dxa"/>
            <w:right w:w="108" w:type="dxa"/>
          </w:tblCellMar>
        </w:tblPrEx>
        <w:trPr>
          <w:trHeight w:val="55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13D4D58D">
            <w:pPr>
              <w:shd w:val="clear"/>
              <w:spacing w:line="360" w:lineRule="auto"/>
              <w:jc w:val="center"/>
              <w:rPr>
                <w:color w:val="auto"/>
                <w:szCs w:val="21"/>
                <w:highlight w:val="none"/>
              </w:rPr>
            </w:pPr>
            <w:r>
              <w:rPr>
                <w:color w:val="auto"/>
                <w:szCs w:val="21"/>
                <w:highlight w:val="none"/>
              </w:rPr>
              <w:t>1.4.2</w:t>
            </w:r>
          </w:p>
        </w:tc>
        <w:tc>
          <w:tcPr>
            <w:tcW w:w="1984" w:type="dxa"/>
            <w:tcBorders>
              <w:top w:val="single" w:color="000000" w:sz="4" w:space="0"/>
              <w:left w:val="single" w:color="000000" w:sz="4" w:space="0"/>
              <w:bottom w:val="single" w:color="000000" w:sz="4" w:space="0"/>
              <w:right w:val="single" w:color="000000" w:sz="4" w:space="0"/>
            </w:tcBorders>
            <w:vAlign w:val="center"/>
          </w:tcPr>
          <w:p w14:paraId="48AEC42A">
            <w:pPr>
              <w:shd w:val="clear"/>
              <w:spacing w:line="360" w:lineRule="auto"/>
              <w:jc w:val="center"/>
              <w:rPr>
                <w:color w:val="auto"/>
                <w:szCs w:val="21"/>
                <w:highlight w:val="none"/>
              </w:rPr>
            </w:pPr>
            <w:r>
              <w:rPr>
                <w:color w:val="auto"/>
                <w:szCs w:val="21"/>
                <w:highlight w:val="none"/>
              </w:rPr>
              <w:t>是否接受联合体</w:t>
            </w:r>
          </w:p>
        </w:tc>
        <w:tc>
          <w:tcPr>
            <w:tcW w:w="6521" w:type="dxa"/>
            <w:tcBorders>
              <w:top w:val="single" w:color="auto" w:sz="4" w:space="0"/>
              <w:left w:val="single" w:color="000000" w:sz="4" w:space="0"/>
              <w:bottom w:val="single" w:color="000000" w:sz="4" w:space="0"/>
              <w:right w:val="single" w:color="000000" w:sz="4" w:space="0"/>
            </w:tcBorders>
            <w:vAlign w:val="center"/>
          </w:tcPr>
          <w:p w14:paraId="72CC5D6D">
            <w:pPr>
              <w:pStyle w:val="132"/>
              <w:shd w:val="clear"/>
              <w:topLinePunc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 w:val="21"/>
                <w:szCs w:val="21"/>
                <w:highlight w:val="none"/>
              </w:rPr>
              <w:t>不接受</w:t>
            </w:r>
          </w:p>
          <w:p w14:paraId="5277838E">
            <w:pPr>
              <w:shd w:val="clea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hint="eastAsia" w:asciiTheme="minorEastAsia" w:hAnsiTheme="minorEastAsia" w:eastAsiaTheme="minorEastAsia"/>
                <w:color w:val="auto"/>
                <w:szCs w:val="21"/>
                <w:highlight w:val="none"/>
              </w:rPr>
              <w:t>接受，应满足下列要求：</w:t>
            </w:r>
            <w:r>
              <w:rPr>
                <w:rFonts w:asciiTheme="minorEastAsia" w:hAnsiTheme="minorEastAsia" w:eastAsiaTheme="minorEastAsia"/>
                <w:color w:val="auto"/>
                <w:szCs w:val="21"/>
                <w:highlight w:val="none"/>
              </w:rPr>
              <w:t xml:space="preserve"> </w:t>
            </w:r>
          </w:p>
        </w:tc>
      </w:tr>
      <w:tr w14:paraId="79487927">
        <w:tblPrEx>
          <w:tblCellMar>
            <w:top w:w="0" w:type="dxa"/>
            <w:left w:w="108" w:type="dxa"/>
            <w:bottom w:w="0" w:type="dxa"/>
            <w:right w:w="108" w:type="dxa"/>
          </w:tblCellMar>
        </w:tblPrEx>
        <w:trPr>
          <w:trHeight w:val="55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4130C9A9">
            <w:pPr>
              <w:shd w:val="clear"/>
              <w:spacing w:line="360" w:lineRule="auto"/>
              <w:jc w:val="center"/>
              <w:rPr>
                <w:color w:val="auto"/>
                <w:szCs w:val="21"/>
                <w:highlight w:val="none"/>
              </w:rPr>
            </w:pPr>
            <w:r>
              <w:rPr>
                <w:rFonts w:hint="eastAsia"/>
                <w:color w:val="auto"/>
                <w:szCs w:val="21"/>
                <w:highlight w:val="none"/>
              </w:rPr>
              <w:t>1</w:t>
            </w:r>
            <w:r>
              <w:rPr>
                <w:color w:val="auto"/>
                <w:szCs w:val="21"/>
                <w:highlight w:val="none"/>
              </w:rPr>
              <w:t>.9.1</w:t>
            </w:r>
          </w:p>
        </w:tc>
        <w:tc>
          <w:tcPr>
            <w:tcW w:w="1984" w:type="dxa"/>
            <w:tcBorders>
              <w:top w:val="single" w:color="000000" w:sz="4" w:space="0"/>
              <w:left w:val="single" w:color="000000" w:sz="4" w:space="0"/>
              <w:bottom w:val="single" w:color="000000" w:sz="4" w:space="0"/>
              <w:right w:val="single" w:color="000000" w:sz="4" w:space="0"/>
            </w:tcBorders>
            <w:vAlign w:val="center"/>
          </w:tcPr>
          <w:p w14:paraId="0A29FC66">
            <w:pPr>
              <w:shd w:val="clear"/>
              <w:spacing w:line="360" w:lineRule="auto"/>
              <w:jc w:val="center"/>
              <w:rPr>
                <w:color w:val="auto"/>
                <w:szCs w:val="21"/>
                <w:highlight w:val="none"/>
              </w:rPr>
            </w:pPr>
            <w:r>
              <w:rPr>
                <w:rFonts w:hint="eastAsia"/>
                <w:color w:val="auto"/>
                <w:szCs w:val="21"/>
                <w:highlight w:val="none"/>
              </w:rPr>
              <w:t>现场踏勘</w:t>
            </w:r>
          </w:p>
        </w:tc>
        <w:tc>
          <w:tcPr>
            <w:tcW w:w="6521" w:type="dxa"/>
            <w:tcBorders>
              <w:top w:val="single" w:color="000000" w:sz="4" w:space="0"/>
              <w:left w:val="single" w:color="000000" w:sz="4" w:space="0"/>
              <w:bottom w:val="single" w:color="000000" w:sz="4" w:space="0"/>
              <w:right w:val="single" w:color="000000" w:sz="4" w:space="0"/>
            </w:tcBorders>
            <w:vAlign w:val="center"/>
          </w:tcPr>
          <w:p w14:paraId="44F638C3">
            <w:pPr>
              <w:pStyle w:val="132"/>
              <w:shd w:val="clear"/>
              <w:topLinePunc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b/>
                <w:bCs/>
                <w:color w:val="auto"/>
                <w:sz w:val="21"/>
                <w:szCs w:val="21"/>
                <w:highlight w:val="none"/>
              </w:rPr>
              <w:t>不</w:t>
            </w:r>
            <w:r>
              <w:rPr>
                <w:rFonts w:hint="eastAsia" w:asciiTheme="minorEastAsia" w:hAnsiTheme="minorEastAsia" w:eastAsiaTheme="minorEastAsia"/>
                <w:b/>
                <w:bCs/>
                <w:color w:val="auto"/>
                <w:sz w:val="21"/>
                <w:szCs w:val="21"/>
                <w:highlight w:val="none"/>
              </w:rPr>
              <w:t>组织</w:t>
            </w:r>
          </w:p>
          <w:p w14:paraId="7D32F73B">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□组织</w:t>
            </w:r>
          </w:p>
        </w:tc>
      </w:tr>
      <w:tr w14:paraId="22F19109">
        <w:tblPrEx>
          <w:tblCellMar>
            <w:top w:w="0" w:type="dxa"/>
            <w:left w:w="108" w:type="dxa"/>
            <w:bottom w:w="0" w:type="dxa"/>
            <w:right w:w="108" w:type="dxa"/>
          </w:tblCellMar>
        </w:tblPrEx>
        <w:trPr>
          <w:trHeight w:val="1485"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2A8B300A">
            <w:pPr>
              <w:shd w:val="clear"/>
              <w:spacing w:line="360" w:lineRule="auto"/>
              <w:jc w:val="center"/>
              <w:rPr>
                <w:color w:val="auto"/>
                <w:szCs w:val="21"/>
                <w:highlight w:val="none"/>
              </w:rPr>
            </w:pPr>
            <w:r>
              <w:rPr>
                <w:rFonts w:hint="eastAsia"/>
                <w:color w:val="auto"/>
                <w:szCs w:val="21"/>
                <w:highlight w:val="none"/>
              </w:rPr>
              <w:t>1</w:t>
            </w:r>
            <w:r>
              <w:rPr>
                <w:color w:val="auto"/>
                <w:szCs w:val="21"/>
                <w:highlight w:val="none"/>
              </w:rPr>
              <w:t>.10</w:t>
            </w:r>
          </w:p>
        </w:tc>
        <w:tc>
          <w:tcPr>
            <w:tcW w:w="1984" w:type="dxa"/>
            <w:tcBorders>
              <w:top w:val="single" w:color="000000" w:sz="4" w:space="0"/>
              <w:left w:val="single" w:color="000000" w:sz="4" w:space="0"/>
              <w:bottom w:val="single" w:color="000000" w:sz="4" w:space="0"/>
              <w:right w:val="single" w:color="000000" w:sz="4" w:space="0"/>
            </w:tcBorders>
            <w:vAlign w:val="center"/>
          </w:tcPr>
          <w:p w14:paraId="45C5DC32">
            <w:pPr>
              <w:shd w:val="clear"/>
              <w:spacing w:line="360" w:lineRule="auto"/>
              <w:jc w:val="center"/>
              <w:rPr>
                <w:color w:val="auto"/>
                <w:szCs w:val="21"/>
                <w:highlight w:val="none"/>
              </w:rPr>
            </w:pPr>
            <w:r>
              <w:rPr>
                <w:rFonts w:hint="eastAsia"/>
                <w:color w:val="auto"/>
                <w:szCs w:val="21"/>
                <w:highlight w:val="none"/>
              </w:rPr>
              <w:t>分包</w:t>
            </w:r>
          </w:p>
        </w:tc>
        <w:tc>
          <w:tcPr>
            <w:tcW w:w="6521" w:type="dxa"/>
            <w:tcBorders>
              <w:top w:val="single" w:color="000000" w:sz="4" w:space="0"/>
              <w:left w:val="single" w:color="000000" w:sz="4" w:space="0"/>
              <w:bottom w:val="single" w:color="000000" w:sz="4" w:space="0"/>
              <w:right w:val="single" w:color="000000" w:sz="4" w:space="0"/>
            </w:tcBorders>
            <w:vAlign w:val="center"/>
          </w:tcPr>
          <w:p w14:paraId="5FBD6172">
            <w:pPr>
              <w:pStyle w:val="132"/>
              <w:shd w:val="clear"/>
              <w:topLinePunc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b/>
                <w:bCs/>
                <w:color w:val="auto"/>
                <w:sz w:val="21"/>
                <w:szCs w:val="21"/>
                <w:highlight w:val="none"/>
              </w:rPr>
              <w:t>不</w:t>
            </w:r>
            <w:r>
              <w:rPr>
                <w:rFonts w:hint="eastAsia" w:asciiTheme="minorEastAsia" w:hAnsiTheme="minorEastAsia" w:eastAsiaTheme="minorEastAsia"/>
                <w:b/>
                <w:bCs/>
                <w:color w:val="auto"/>
                <w:sz w:val="21"/>
                <w:szCs w:val="21"/>
                <w:highlight w:val="none"/>
              </w:rPr>
              <w:t>允许</w:t>
            </w:r>
          </w:p>
          <w:p w14:paraId="209738AD">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□允许，分包内容要求：</w:t>
            </w:r>
          </w:p>
          <w:p w14:paraId="18989FDB">
            <w:pPr>
              <w:shd w:val="clear"/>
              <w:spacing w:line="360" w:lineRule="auto"/>
              <w:ind w:firstLine="840" w:firstLineChars="4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分包金额要求：</w:t>
            </w:r>
          </w:p>
          <w:p w14:paraId="7CF00EC8">
            <w:pPr>
              <w:shd w:val="clear"/>
              <w:spacing w:line="360" w:lineRule="auto"/>
              <w:ind w:firstLine="840" w:firstLineChars="4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对分包人资质要求：</w:t>
            </w:r>
          </w:p>
        </w:tc>
      </w:tr>
      <w:tr w14:paraId="4F77CACD">
        <w:tblPrEx>
          <w:tblCellMar>
            <w:top w:w="0" w:type="dxa"/>
            <w:left w:w="108" w:type="dxa"/>
            <w:bottom w:w="0" w:type="dxa"/>
            <w:right w:w="108" w:type="dxa"/>
          </w:tblCellMar>
        </w:tblPrEx>
        <w:trPr>
          <w:trHeight w:val="550"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2FED9772">
            <w:pPr>
              <w:widowControl/>
              <w:shd w:val="clear"/>
              <w:spacing w:line="360" w:lineRule="auto"/>
              <w:jc w:val="center"/>
              <w:rPr>
                <w:color w:val="auto"/>
                <w:kern w:val="0"/>
                <w:szCs w:val="21"/>
                <w:highlight w:val="none"/>
              </w:rPr>
            </w:pPr>
            <w:r>
              <w:rPr>
                <w:color w:val="auto"/>
                <w:kern w:val="0"/>
                <w:szCs w:val="21"/>
                <w:highlight w:val="none"/>
              </w:rPr>
              <w:t>1.1</w:t>
            </w:r>
            <w:r>
              <w:rPr>
                <w:rFonts w:hint="eastAsia"/>
                <w:color w:val="auto"/>
                <w:kern w:val="0"/>
                <w:szCs w:val="21"/>
                <w:highlight w:val="none"/>
              </w:rPr>
              <w:t>1.</w:t>
            </w:r>
            <w:r>
              <w:rPr>
                <w:color w:val="auto"/>
                <w:kern w:val="0"/>
                <w:szCs w:val="21"/>
                <w:highlight w:val="none"/>
              </w:rPr>
              <w:t>1</w:t>
            </w:r>
          </w:p>
        </w:tc>
        <w:tc>
          <w:tcPr>
            <w:tcW w:w="1984" w:type="dxa"/>
            <w:tcBorders>
              <w:top w:val="single" w:color="000000" w:sz="4" w:space="0"/>
              <w:left w:val="single" w:color="000000" w:sz="4" w:space="0"/>
              <w:bottom w:val="single" w:color="000000" w:sz="4" w:space="0"/>
              <w:right w:val="single" w:color="000000" w:sz="4" w:space="0"/>
            </w:tcBorders>
            <w:vAlign w:val="center"/>
          </w:tcPr>
          <w:p w14:paraId="095BEDA6">
            <w:pPr>
              <w:widowControl/>
              <w:shd w:val="clear"/>
              <w:spacing w:line="360" w:lineRule="auto"/>
              <w:jc w:val="center"/>
              <w:rPr>
                <w:color w:val="auto"/>
                <w:kern w:val="0"/>
                <w:szCs w:val="21"/>
                <w:highlight w:val="none"/>
              </w:rPr>
            </w:pPr>
            <w:r>
              <w:rPr>
                <w:color w:val="auto"/>
                <w:kern w:val="0"/>
                <w:szCs w:val="21"/>
                <w:highlight w:val="none"/>
              </w:rPr>
              <w:t>偏差</w:t>
            </w:r>
          </w:p>
        </w:tc>
        <w:tc>
          <w:tcPr>
            <w:tcW w:w="6521" w:type="dxa"/>
            <w:tcBorders>
              <w:top w:val="single" w:color="000000" w:sz="4" w:space="0"/>
              <w:left w:val="single" w:color="000000" w:sz="4" w:space="0"/>
              <w:bottom w:val="single" w:color="000000" w:sz="4" w:space="0"/>
              <w:right w:val="single" w:color="000000" w:sz="4" w:space="0"/>
            </w:tcBorders>
            <w:vAlign w:val="center"/>
          </w:tcPr>
          <w:p w14:paraId="508C1F5E">
            <w:pPr>
              <w:widowControl/>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b/>
                <w:bCs/>
                <w:color w:val="auto"/>
                <w:kern w:val="0"/>
                <w:szCs w:val="21"/>
                <w:highlight w:val="none"/>
              </w:rPr>
              <w:t>不允许，</w:t>
            </w:r>
            <w:r>
              <w:rPr>
                <w:rFonts w:hint="eastAsia" w:asciiTheme="minorEastAsia" w:hAnsiTheme="minorEastAsia" w:eastAsiaTheme="minorEastAsia"/>
                <w:b/>
                <w:bCs/>
                <w:color w:val="auto"/>
                <w:szCs w:val="21"/>
                <w:highlight w:val="none"/>
              </w:rPr>
              <w:t>标记</w:t>
            </w:r>
            <w:r>
              <w:rPr>
                <w:rFonts w:hint="eastAsia" w:ascii="宋体" w:hAnsi="宋体" w:cs="Malgun Gothic"/>
                <w:b/>
                <w:bCs/>
                <w:color w:val="auto"/>
                <w:szCs w:val="21"/>
                <w:highlight w:val="none"/>
              </w:rPr>
              <w:t>★的实质性条款</w:t>
            </w:r>
            <w:r>
              <w:rPr>
                <w:rFonts w:hint="eastAsia" w:asciiTheme="minorEastAsia" w:hAnsiTheme="minorEastAsia" w:eastAsiaTheme="minorEastAsia"/>
                <w:b/>
                <w:bCs/>
                <w:color w:val="auto"/>
                <w:kern w:val="0"/>
                <w:szCs w:val="21"/>
                <w:highlight w:val="none"/>
              </w:rPr>
              <w:t>不允许偏差</w:t>
            </w:r>
            <w:r>
              <w:rPr>
                <w:rFonts w:hint="eastAsia" w:asciiTheme="minorEastAsia" w:hAnsiTheme="minorEastAsia" w:eastAsiaTheme="minorEastAsia"/>
                <w:b/>
                <w:bCs/>
                <w:color w:val="auto"/>
                <w:szCs w:val="21"/>
                <w:highlight w:val="none"/>
              </w:rPr>
              <w:t>。</w:t>
            </w:r>
          </w:p>
          <w:p w14:paraId="1D91B8EB">
            <w:pPr>
              <w:widowControl/>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kern w:val="0"/>
                <w:szCs w:val="21"/>
                <w:highlight w:val="none"/>
              </w:rPr>
              <w:t>允许，偏差范围：</w:t>
            </w:r>
          </w:p>
          <w:p w14:paraId="3782D12E">
            <w:pPr>
              <w:widowControl/>
              <w:shd w:val="clear"/>
              <w:spacing w:line="360" w:lineRule="auto"/>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 xml:space="preserve">        </w:t>
            </w:r>
            <w:r>
              <w:rPr>
                <w:rFonts w:hint="eastAsia" w:asciiTheme="minorEastAsia" w:hAnsiTheme="minorEastAsia" w:eastAsiaTheme="minorEastAsia"/>
                <w:color w:val="auto"/>
                <w:kern w:val="0"/>
                <w:szCs w:val="21"/>
                <w:highlight w:val="none"/>
              </w:rPr>
              <w:t>最高项数：</w:t>
            </w:r>
          </w:p>
        </w:tc>
      </w:tr>
      <w:tr w14:paraId="00D9DCDC">
        <w:tblPrEx>
          <w:tblCellMar>
            <w:top w:w="0" w:type="dxa"/>
            <w:left w:w="108" w:type="dxa"/>
            <w:bottom w:w="0" w:type="dxa"/>
            <w:right w:w="108" w:type="dxa"/>
          </w:tblCellMar>
        </w:tblPrEx>
        <w:trPr>
          <w:trHeight w:val="57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17B07152">
            <w:pPr>
              <w:widowControl/>
              <w:shd w:val="clear"/>
              <w:spacing w:line="360" w:lineRule="auto"/>
              <w:jc w:val="center"/>
              <w:rPr>
                <w:color w:val="auto"/>
                <w:kern w:val="0"/>
                <w:szCs w:val="21"/>
                <w:highlight w:val="none"/>
              </w:rPr>
            </w:pPr>
            <w:r>
              <w:rPr>
                <w:color w:val="auto"/>
                <w:kern w:val="0"/>
                <w:szCs w:val="21"/>
                <w:highlight w:val="none"/>
              </w:rPr>
              <w:t>2.1</w:t>
            </w:r>
          </w:p>
        </w:tc>
        <w:tc>
          <w:tcPr>
            <w:tcW w:w="1984" w:type="dxa"/>
            <w:tcBorders>
              <w:top w:val="single" w:color="000000" w:sz="4" w:space="0"/>
              <w:left w:val="single" w:color="000000" w:sz="4" w:space="0"/>
              <w:bottom w:val="single" w:color="000000" w:sz="4" w:space="0"/>
              <w:right w:val="single" w:color="000000" w:sz="4" w:space="0"/>
            </w:tcBorders>
            <w:vAlign w:val="center"/>
          </w:tcPr>
          <w:p w14:paraId="64507989">
            <w:pPr>
              <w:widowControl/>
              <w:shd w:val="clear"/>
              <w:spacing w:line="360" w:lineRule="auto"/>
              <w:jc w:val="center"/>
              <w:rPr>
                <w:rFonts w:ascii="宋体" w:hAnsi="宋体"/>
                <w:color w:val="auto"/>
                <w:szCs w:val="21"/>
                <w:highlight w:val="none"/>
              </w:rPr>
            </w:pPr>
            <w:r>
              <w:rPr>
                <w:rFonts w:ascii="宋体" w:hAnsi="宋体"/>
                <w:color w:val="auto"/>
                <w:szCs w:val="21"/>
                <w:highlight w:val="none"/>
              </w:rPr>
              <w:t>构成招标文件的其他资料</w:t>
            </w:r>
          </w:p>
        </w:tc>
        <w:tc>
          <w:tcPr>
            <w:tcW w:w="6521" w:type="dxa"/>
            <w:tcBorders>
              <w:top w:val="single" w:color="000000" w:sz="4" w:space="0"/>
              <w:left w:val="single" w:color="000000" w:sz="4" w:space="0"/>
              <w:bottom w:val="single" w:color="000000" w:sz="4" w:space="0"/>
              <w:right w:val="single" w:color="000000" w:sz="4" w:space="0"/>
            </w:tcBorders>
            <w:vAlign w:val="center"/>
          </w:tcPr>
          <w:p w14:paraId="66C6B9BA">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更正公告及补遗文件（若有）</w:t>
            </w:r>
          </w:p>
        </w:tc>
      </w:tr>
      <w:tr w14:paraId="093D3590">
        <w:tblPrEx>
          <w:tblCellMar>
            <w:top w:w="0" w:type="dxa"/>
            <w:left w:w="108" w:type="dxa"/>
            <w:bottom w:w="0" w:type="dxa"/>
            <w:right w:w="108" w:type="dxa"/>
          </w:tblCellMar>
        </w:tblPrEx>
        <w:trPr>
          <w:trHeight w:val="57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3B4CCE34">
            <w:pPr>
              <w:widowControl/>
              <w:shd w:val="clear"/>
              <w:spacing w:line="360" w:lineRule="auto"/>
              <w:jc w:val="center"/>
              <w:rPr>
                <w:color w:val="auto"/>
                <w:kern w:val="0"/>
                <w:szCs w:val="21"/>
                <w:highlight w:val="none"/>
              </w:rPr>
            </w:pPr>
            <w:r>
              <w:rPr>
                <w:color w:val="auto"/>
                <w:kern w:val="0"/>
                <w:szCs w:val="21"/>
                <w:highlight w:val="none"/>
              </w:rPr>
              <w:t>2.2.2</w:t>
            </w:r>
          </w:p>
        </w:tc>
        <w:tc>
          <w:tcPr>
            <w:tcW w:w="1984" w:type="dxa"/>
            <w:tcBorders>
              <w:top w:val="single" w:color="000000" w:sz="4" w:space="0"/>
              <w:left w:val="single" w:color="000000" w:sz="4" w:space="0"/>
              <w:bottom w:val="single" w:color="000000" w:sz="4" w:space="0"/>
              <w:right w:val="single" w:color="000000" w:sz="4" w:space="0"/>
            </w:tcBorders>
            <w:vAlign w:val="center"/>
          </w:tcPr>
          <w:p w14:paraId="1E086974">
            <w:pPr>
              <w:widowControl/>
              <w:shd w:val="clear"/>
              <w:spacing w:line="360" w:lineRule="auto"/>
              <w:jc w:val="center"/>
              <w:rPr>
                <w:color w:val="auto"/>
                <w:szCs w:val="21"/>
                <w:highlight w:val="none"/>
              </w:rPr>
            </w:pPr>
            <w:r>
              <w:rPr>
                <w:rFonts w:hint="eastAsia"/>
                <w:color w:val="auto"/>
                <w:szCs w:val="21"/>
                <w:highlight w:val="none"/>
              </w:rPr>
              <w:t>招标</w:t>
            </w:r>
            <w:r>
              <w:rPr>
                <w:color w:val="auto"/>
                <w:szCs w:val="21"/>
                <w:highlight w:val="none"/>
              </w:rPr>
              <w:t>文件澄清时间</w:t>
            </w:r>
          </w:p>
        </w:tc>
        <w:tc>
          <w:tcPr>
            <w:tcW w:w="6521" w:type="dxa"/>
            <w:tcBorders>
              <w:top w:val="single" w:color="000000" w:sz="4" w:space="0"/>
              <w:left w:val="single" w:color="000000" w:sz="4" w:space="0"/>
              <w:bottom w:val="single" w:color="000000" w:sz="4" w:space="0"/>
              <w:right w:val="single" w:color="000000" w:sz="4" w:space="0"/>
            </w:tcBorders>
            <w:vAlign w:val="center"/>
          </w:tcPr>
          <w:p w14:paraId="3B6FDF4F">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时间：</w:t>
            </w:r>
            <w:r>
              <w:rPr>
                <w:rFonts w:hint="eastAsia" w:asciiTheme="minorEastAsia" w:hAnsiTheme="minorEastAsia" w:eastAsiaTheme="minorEastAsia"/>
                <w:color w:val="auto"/>
                <w:szCs w:val="21"/>
                <w:highlight w:val="none"/>
              </w:rPr>
              <w:t>提交投标文件截止时间至少</w:t>
            </w:r>
            <w:r>
              <w:rPr>
                <w:rFonts w:asciiTheme="minorEastAsia" w:hAnsiTheme="minorEastAsia" w:eastAsiaTheme="minorEastAsia"/>
                <w:color w:val="auto"/>
                <w:szCs w:val="21"/>
                <w:highlight w:val="none"/>
              </w:rPr>
              <w:t>15</w:t>
            </w:r>
            <w:r>
              <w:rPr>
                <w:rFonts w:hint="eastAsia" w:asciiTheme="minorEastAsia" w:hAnsiTheme="minorEastAsia" w:eastAsiaTheme="minorEastAsia"/>
                <w:color w:val="auto"/>
                <w:szCs w:val="21"/>
                <w:highlight w:val="none"/>
              </w:rPr>
              <w:t>日前</w:t>
            </w:r>
          </w:p>
          <w:p w14:paraId="52CA2127">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形式：书面形式</w:t>
            </w:r>
          </w:p>
        </w:tc>
      </w:tr>
      <w:tr w14:paraId="3332B278">
        <w:tblPrEx>
          <w:tblCellMar>
            <w:top w:w="0" w:type="dxa"/>
            <w:left w:w="108" w:type="dxa"/>
            <w:bottom w:w="0" w:type="dxa"/>
            <w:right w:w="108" w:type="dxa"/>
          </w:tblCellMar>
        </w:tblPrEx>
        <w:trPr>
          <w:trHeight w:val="57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6D28C97D">
            <w:pPr>
              <w:widowControl/>
              <w:shd w:val="clear"/>
              <w:spacing w:line="360" w:lineRule="auto"/>
              <w:jc w:val="center"/>
              <w:rPr>
                <w:color w:val="auto"/>
                <w:kern w:val="0"/>
                <w:szCs w:val="21"/>
                <w:highlight w:val="none"/>
              </w:rPr>
            </w:pPr>
            <w:r>
              <w:rPr>
                <w:color w:val="auto"/>
                <w:kern w:val="0"/>
                <w:szCs w:val="21"/>
                <w:highlight w:val="none"/>
              </w:rPr>
              <w:t>2.2.3</w:t>
            </w:r>
          </w:p>
        </w:tc>
        <w:tc>
          <w:tcPr>
            <w:tcW w:w="1984" w:type="dxa"/>
            <w:tcBorders>
              <w:top w:val="single" w:color="000000" w:sz="4" w:space="0"/>
              <w:left w:val="single" w:color="000000" w:sz="4" w:space="0"/>
              <w:bottom w:val="single" w:color="000000" w:sz="4" w:space="0"/>
              <w:right w:val="single" w:color="000000" w:sz="4" w:space="0"/>
            </w:tcBorders>
            <w:vAlign w:val="center"/>
          </w:tcPr>
          <w:p w14:paraId="02382226">
            <w:pPr>
              <w:widowControl/>
              <w:shd w:val="clear"/>
              <w:spacing w:line="360" w:lineRule="auto"/>
              <w:jc w:val="center"/>
              <w:rPr>
                <w:color w:val="auto"/>
                <w:kern w:val="0"/>
                <w:szCs w:val="21"/>
                <w:highlight w:val="none"/>
              </w:rPr>
            </w:pPr>
            <w:r>
              <w:rPr>
                <w:color w:val="auto"/>
                <w:kern w:val="0"/>
                <w:szCs w:val="21"/>
                <w:highlight w:val="none"/>
              </w:rPr>
              <w:t>投标人确认收到</w:t>
            </w:r>
            <w:r>
              <w:rPr>
                <w:rFonts w:hint="eastAsia"/>
                <w:color w:val="auto"/>
                <w:kern w:val="0"/>
                <w:szCs w:val="21"/>
                <w:highlight w:val="none"/>
              </w:rPr>
              <w:t>招标</w:t>
            </w:r>
            <w:r>
              <w:rPr>
                <w:color w:val="auto"/>
                <w:kern w:val="0"/>
                <w:szCs w:val="21"/>
                <w:highlight w:val="none"/>
              </w:rPr>
              <w:t>文件澄清</w:t>
            </w:r>
          </w:p>
        </w:tc>
        <w:tc>
          <w:tcPr>
            <w:tcW w:w="6521" w:type="dxa"/>
            <w:tcBorders>
              <w:top w:val="single" w:color="000000" w:sz="4" w:space="0"/>
              <w:left w:val="single" w:color="000000" w:sz="4" w:space="0"/>
              <w:bottom w:val="single" w:color="000000" w:sz="4" w:space="0"/>
              <w:right w:val="single" w:color="000000" w:sz="4" w:space="0"/>
            </w:tcBorders>
            <w:vAlign w:val="center"/>
          </w:tcPr>
          <w:p w14:paraId="1AEDD095">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时间：在收到相应澄清文件后</w:t>
            </w:r>
            <w:r>
              <w:rPr>
                <w:rFonts w:asciiTheme="minorEastAsia" w:hAnsiTheme="minorEastAsia" w:eastAsiaTheme="minorEastAsia"/>
                <w:color w:val="auto"/>
                <w:kern w:val="0"/>
                <w:szCs w:val="21"/>
                <w:highlight w:val="none"/>
              </w:rPr>
              <w:t>24</w:t>
            </w:r>
            <w:r>
              <w:rPr>
                <w:rFonts w:hint="eastAsia" w:asciiTheme="minorEastAsia" w:hAnsiTheme="minorEastAsia" w:eastAsiaTheme="minorEastAsia"/>
                <w:color w:val="auto"/>
                <w:kern w:val="0"/>
                <w:szCs w:val="21"/>
                <w:highlight w:val="none"/>
              </w:rPr>
              <w:t>小时内</w:t>
            </w:r>
          </w:p>
          <w:p w14:paraId="04DF56A9">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形式：书面形式</w:t>
            </w:r>
          </w:p>
        </w:tc>
      </w:tr>
      <w:tr w14:paraId="7421F0AE">
        <w:tblPrEx>
          <w:tblCellMar>
            <w:top w:w="0" w:type="dxa"/>
            <w:left w:w="108" w:type="dxa"/>
            <w:bottom w:w="0" w:type="dxa"/>
            <w:right w:w="108" w:type="dxa"/>
          </w:tblCellMar>
        </w:tblPrEx>
        <w:trPr>
          <w:trHeight w:val="57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30A08644">
            <w:pPr>
              <w:widowControl/>
              <w:shd w:val="clear"/>
              <w:spacing w:line="360" w:lineRule="auto"/>
              <w:jc w:val="center"/>
              <w:rPr>
                <w:color w:val="auto"/>
                <w:kern w:val="0"/>
                <w:szCs w:val="21"/>
                <w:highlight w:val="none"/>
              </w:rPr>
            </w:pPr>
            <w:r>
              <w:rPr>
                <w:color w:val="auto"/>
                <w:kern w:val="0"/>
                <w:szCs w:val="21"/>
                <w:highlight w:val="none"/>
              </w:rPr>
              <w:t>2.3.</w:t>
            </w:r>
            <w:r>
              <w:rPr>
                <w:rFonts w:hint="eastAsia"/>
                <w:color w:val="auto"/>
                <w:kern w:val="0"/>
                <w:szCs w:val="21"/>
                <w:highlight w:val="none"/>
              </w:rPr>
              <w:t>1</w:t>
            </w:r>
          </w:p>
        </w:tc>
        <w:tc>
          <w:tcPr>
            <w:tcW w:w="1984" w:type="dxa"/>
            <w:tcBorders>
              <w:top w:val="single" w:color="000000" w:sz="4" w:space="0"/>
              <w:left w:val="single" w:color="000000" w:sz="4" w:space="0"/>
              <w:bottom w:val="single" w:color="000000" w:sz="4" w:space="0"/>
              <w:right w:val="single" w:color="000000" w:sz="4" w:space="0"/>
            </w:tcBorders>
            <w:vAlign w:val="center"/>
          </w:tcPr>
          <w:p w14:paraId="3F15E4CD">
            <w:pPr>
              <w:widowControl/>
              <w:shd w:val="clear"/>
              <w:spacing w:line="360" w:lineRule="auto"/>
              <w:jc w:val="center"/>
              <w:rPr>
                <w:color w:val="auto"/>
                <w:kern w:val="0"/>
                <w:szCs w:val="21"/>
                <w:highlight w:val="none"/>
              </w:rPr>
            </w:pPr>
            <w:r>
              <w:rPr>
                <w:rFonts w:hint="eastAsia"/>
                <w:color w:val="auto"/>
                <w:kern w:val="0"/>
                <w:szCs w:val="21"/>
                <w:highlight w:val="none"/>
              </w:rPr>
              <w:t>招标文件修改时间</w:t>
            </w:r>
          </w:p>
        </w:tc>
        <w:tc>
          <w:tcPr>
            <w:tcW w:w="6521" w:type="dxa"/>
            <w:tcBorders>
              <w:top w:val="single" w:color="000000" w:sz="4" w:space="0"/>
              <w:left w:val="single" w:color="000000" w:sz="4" w:space="0"/>
              <w:bottom w:val="single" w:color="000000" w:sz="4" w:space="0"/>
              <w:right w:val="single" w:color="000000" w:sz="4" w:space="0"/>
            </w:tcBorders>
            <w:vAlign w:val="center"/>
          </w:tcPr>
          <w:p w14:paraId="1DE40F7D">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时间：</w:t>
            </w:r>
            <w:r>
              <w:rPr>
                <w:rFonts w:hint="eastAsia" w:asciiTheme="minorEastAsia" w:hAnsiTheme="minorEastAsia" w:eastAsiaTheme="minorEastAsia"/>
                <w:color w:val="auto"/>
                <w:szCs w:val="21"/>
                <w:highlight w:val="none"/>
              </w:rPr>
              <w:t>提交投标文件截止时间至少</w:t>
            </w:r>
            <w:r>
              <w:rPr>
                <w:rFonts w:asciiTheme="minorEastAsia" w:hAnsiTheme="minorEastAsia" w:eastAsiaTheme="minorEastAsia"/>
                <w:color w:val="auto"/>
                <w:szCs w:val="21"/>
                <w:highlight w:val="none"/>
              </w:rPr>
              <w:t>15</w:t>
            </w:r>
            <w:r>
              <w:rPr>
                <w:rFonts w:hint="eastAsia" w:asciiTheme="minorEastAsia" w:hAnsiTheme="minorEastAsia" w:eastAsiaTheme="minorEastAsia"/>
                <w:color w:val="auto"/>
                <w:szCs w:val="21"/>
                <w:highlight w:val="none"/>
              </w:rPr>
              <w:t>日前</w:t>
            </w:r>
          </w:p>
          <w:p w14:paraId="0F31DF99">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形式：书面形式</w:t>
            </w:r>
          </w:p>
        </w:tc>
      </w:tr>
      <w:tr w14:paraId="1910065A">
        <w:tblPrEx>
          <w:tblCellMar>
            <w:top w:w="0" w:type="dxa"/>
            <w:left w:w="108" w:type="dxa"/>
            <w:bottom w:w="0" w:type="dxa"/>
            <w:right w:w="108" w:type="dxa"/>
          </w:tblCellMar>
        </w:tblPrEx>
        <w:trPr>
          <w:trHeight w:val="57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6D95AEE4">
            <w:pPr>
              <w:widowControl/>
              <w:shd w:val="clear"/>
              <w:spacing w:line="360" w:lineRule="auto"/>
              <w:jc w:val="center"/>
              <w:rPr>
                <w:color w:val="auto"/>
                <w:kern w:val="0"/>
                <w:szCs w:val="21"/>
                <w:highlight w:val="none"/>
              </w:rPr>
            </w:pPr>
            <w:r>
              <w:rPr>
                <w:color w:val="auto"/>
                <w:kern w:val="0"/>
                <w:szCs w:val="21"/>
                <w:highlight w:val="none"/>
              </w:rPr>
              <w:t>2.3.2</w:t>
            </w:r>
          </w:p>
        </w:tc>
        <w:tc>
          <w:tcPr>
            <w:tcW w:w="1984" w:type="dxa"/>
            <w:tcBorders>
              <w:top w:val="single" w:color="000000" w:sz="4" w:space="0"/>
              <w:left w:val="single" w:color="000000" w:sz="4" w:space="0"/>
              <w:bottom w:val="single" w:color="000000" w:sz="4" w:space="0"/>
              <w:right w:val="single" w:color="000000" w:sz="4" w:space="0"/>
            </w:tcBorders>
            <w:vAlign w:val="center"/>
          </w:tcPr>
          <w:p w14:paraId="78D63EA8">
            <w:pPr>
              <w:widowControl/>
              <w:shd w:val="clear"/>
              <w:spacing w:line="360" w:lineRule="auto"/>
              <w:jc w:val="center"/>
              <w:rPr>
                <w:color w:val="auto"/>
                <w:kern w:val="0"/>
                <w:szCs w:val="21"/>
                <w:highlight w:val="none"/>
              </w:rPr>
            </w:pPr>
            <w:r>
              <w:rPr>
                <w:color w:val="auto"/>
                <w:kern w:val="0"/>
                <w:szCs w:val="21"/>
                <w:highlight w:val="none"/>
              </w:rPr>
              <w:t>投标人确认收到招标文件修改</w:t>
            </w:r>
          </w:p>
        </w:tc>
        <w:tc>
          <w:tcPr>
            <w:tcW w:w="6521" w:type="dxa"/>
            <w:tcBorders>
              <w:top w:val="single" w:color="000000" w:sz="4" w:space="0"/>
              <w:left w:val="single" w:color="000000" w:sz="4" w:space="0"/>
              <w:bottom w:val="single" w:color="000000" w:sz="4" w:space="0"/>
              <w:right w:val="single" w:color="000000" w:sz="4" w:space="0"/>
            </w:tcBorders>
            <w:vAlign w:val="center"/>
          </w:tcPr>
          <w:p w14:paraId="6A346A90">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时间：在收到相应修改文件后</w:t>
            </w:r>
            <w:r>
              <w:rPr>
                <w:rFonts w:asciiTheme="minorEastAsia" w:hAnsiTheme="minorEastAsia" w:eastAsiaTheme="minorEastAsia"/>
                <w:color w:val="auto"/>
                <w:kern w:val="0"/>
                <w:szCs w:val="21"/>
                <w:highlight w:val="none"/>
              </w:rPr>
              <w:t>24</w:t>
            </w:r>
            <w:r>
              <w:rPr>
                <w:rFonts w:hint="eastAsia" w:asciiTheme="minorEastAsia" w:hAnsiTheme="minorEastAsia" w:eastAsiaTheme="minorEastAsia"/>
                <w:color w:val="auto"/>
                <w:kern w:val="0"/>
                <w:szCs w:val="21"/>
                <w:highlight w:val="none"/>
              </w:rPr>
              <w:t>小时内</w:t>
            </w:r>
          </w:p>
          <w:p w14:paraId="582A1412">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形式：书面形式</w:t>
            </w:r>
          </w:p>
        </w:tc>
      </w:tr>
      <w:tr w14:paraId="42309590">
        <w:tblPrEx>
          <w:tblCellMar>
            <w:top w:w="0" w:type="dxa"/>
            <w:left w:w="108" w:type="dxa"/>
            <w:bottom w:w="0" w:type="dxa"/>
            <w:right w:w="108" w:type="dxa"/>
          </w:tblCellMar>
        </w:tblPrEx>
        <w:trPr>
          <w:trHeight w:val="57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45F0C52A">
            <w:pPr>
              <w:widowControl/>
              <w:shd w:val="clear"/>
              <w:spacing w:line="360" w:lineRule="auto"/>
              <w:jc w:val="center"/>
              <w:rPr>
                <w:color w:val="auto"/>
                <w:kern w:val="0"/>
                <w:szCs w:val="21"/>
                <w:highlight w:val="none"/>
              </w:rPr>
            </w:pPr>
            <w:r>
              <w:rPr>
                <w:color w:val="auto"/>
                <w:kern w:val="0"/>
                <w:szCs w:val="21"/>
                <w:highlight w:val="none"/>
              </w:rPr>
              <w:t>3.1.1</w:t>
            </w:r>
          </w:p>
        </w:tc>
        <w:tc>
          <w:tcPr>
            <w:tcW w:w="1984" w:type="dxa"/>
            <w:tcBorders>
              <w:top w:val="single" w:color="000000" w:sz="4" w:space="0"/>
              <w:left w:val="single" w:color="000000" w:sz="4" w:space="0"/>
              <w:bottom w:val="single" w:color="000000" w:sz="4" w:space="0"/>
              <w:right w:val="single" w:color="000000" w:sz="4" w:space="0"/>
            </w:tcBorders>
            <w:vAlign w:val="center"/>
          </w:tcPr>
          <w:p w14:paraId="015E2D97">
            <w:pPr>
              <w:widowControl/>
              <w:shd w:val="clear"/>
              <w:spacing w:line="360" w:lineRule="auto"/>
              <w:jc w:val="center"/>
              <w:rPr>
                <w:color w:val="auto"/>
                <w:kern w:val="0"/>
                <w:szCs w:val="21"/>
                <w:highlight w:val="none"/>
              </w:rPr>
            </w:pPr>
            <w:r>
              <w:rPr>
                <w:color w:val="auto"/>
                <w:kern w:val="0"/>
                <w:szCs w:val="21"/>
                <w:highlight w:val="none"/>
              </w:rPr>
              <w:t>构成投标文件的其他材料</w:t>
            </w:r>
          </w:p>
        </w:tc>
        <w:tc>
          <w:tcPr>
            <w:tcW w:w="6521" w:type="dxa"/>
            <w:tcBorders>
              <w:top w:val="single" w:color="000000" w:sz="4" w:space="0"/>
              <w:left w:val="single" w:color="000000" w:sz="4" w:space="0"/>
              <w:bottom w:val="single" w:color="000000" w:sz="4" w:space="0"/>
              <w:right w:val="single" w:color="000000" w:sz="4" w:space="0"/>
            </w:tcBorders>
            <w:vAlign w:val="center"/>
          </w:tcPr>
          <w:p w14:paraId="0489D630">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澄清、修改（如有）等内容</w:t>
            </w:r>
          </w:p>
        </w:tc>
      </w:tr>
      <w:tr w14:paraId="4103E421">
        <w:tblPrEx>
          <w:tblCellMar>
            <w:top w:w="0" w:type="dxa"/>
            <w:left w:w="108" w:type="dxa"/>
            <w:bottom w:w="0" w:type="dxa"/>
            <w:right w:w="108" w:type="dxa"/>
          </w:tblCellMar>
        </w:tblPrEx>
        <w:trPr>
          <w:trHeight w:val="274"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09982CBA">
            <w:pPr>
              <w:widowControl/>
              <w:shd w:val="clear"/>
              <w:spacing w:line="360" w:lineRule="auto"/>
              <w:jc w:val="center"/>
              <w:rPr>
                <w:color w:val="auto"/>
                <w:kern w:val="0"/>
                <w:szCs w:val="21"/>
                <w:highlight w:val="none"/>
              </w:rPr>
            </w:pPr>
            <w:r>
              <w:rPr>
                <w:color w:val="auto"/>
                <w:kern w:val="0"/>
                <w:szCs w:val="21"/>
                <w:highlight w:val="none"/>
              </w:rPr>
              <w:t>3.2.1</w:t>
            </w:r>
          </w:p>
        </w:tc>
        <w:tc>
          <w:tcPr>
            <w:tcW w:w="1984" w:type="dxa"/>
            <w:tcBorders>
              <w:top w:val="single" w:color="000000" w:sz="4" w:space="0"/>
              <w:left w:val="single" w:color="000000" w:sz="4" w:space="0"/>
              <w:bottom w:val="single" w:color="000000" w:sz="4" w:space="0"/>
              <w:right w:val="single" w:color="000000" w:sz="4" w:space="0"/>
            </w:tcBorders>
            <w:vAlign w:val="center"/>
          </w:tcPr>
          <w:p w14:paraId="2663B435">
            <w:pPr>
              <w:widowControl/>
              <w:shd w:val="clear"/>
              <w:spacing w:line="360" w:lineRule="auto"/>
              <w:jc w:val="center"/>
              <w:rPr>
                <w:color w:val="auto"/>
                <w:kern w:val="0"/>
                <w:szCs w:val="21"/>
                <w:highlight w:val="none"/>
              </w:rPr>
            </w:pPr>
            <w:r>
              <w:rPr>
                <w:rFonts w:hint="eastAsia"/>
                <w:color w:val="auto"/>
                <w:highlight w:val="none"/>
              </w:rPr>
              <w:t>采购</w:t>
            </w:r>
            <w:r>
              <w:rPr>
                <w:color w:val="auto"/>
                <w:highlight w:val="none"/>
              </w:rPr>
              <w:t>预算</w:t>
            </w:r>
            <w:r>
              <w:rPr>
                <w:rFonts w:hint="eastAsia"/>
                <w:color w:val="auto"/>
                <w:highlight w:val="none"/>
              </w:rPr>
              <w:t>及最高限价</w:t>
            </w:r>
          </w:p>
        </w:tc>
        <w:tc>
          <w:tcPr>
            <w:tcW w:w="6521" w:type="dxa"/>
            <w:tcBorders>
              <w:top w:val="single" w:color="000000" w:sz="4" w:space="0"/>
              <w:left w:val="single" w:color="000000" w:sz="4" w:space="0"/>
              <w:bottom w:val="single" w:color="000000" w:sz="4" w:space="0"/>
              <w:right w:val="single" w:color="000000" w:sz="4" w:space="0"/>
            </w:tcBorders>
            <w:vAlign w:val="center"/>
          </w:tcPr>
          <w:p w14:paraId="55C6D41E">
            <w:pPr>
              <w:widowControl/>
              <w:shd w:val="clea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预算金额（万元）：</w:t>
            </w:r>
            <w:r>
              <w:rPr>
                <w:rFonts w:hint="eastAsia" w:asciiTheme="minorEastAsia" w:hAnsiTheme="minorEastAsia" w:eastAsiaTheme="minorEastAsia"/>
                <w:b/>
                <w:bCs/>
                <w:color w:val="auto"/>
                <w:highlight w:val="none"/>
                <w:lang w:val="en-US" w:eastAsia="zh-CN"/>
              </w:rPr>
              <w:t>158</w:t>
            </w:r>
            <w:r>
              <w:rPr>
                <w:rFonts w:hint="eastAsia" w:asciiTheme="minorEastAsia" w:hAnsiTheme="minorEastAsia" w:eastAsiaTheme="minorEastAsia"/>
                <w:b/>
                <w:bCs/>
                <w:color w:val="auto"/>
                <w:highlight w:val="none"/>
              </w:rPr>
              <w:t>.00；</w:t>
            </w:r>
          </w:p>
          <w:p w14:paraId="4C3D53A5">
            <w:pPr>
              <w:widowControl/>
              <w:shd w:val="clea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最高限价（万元）：</w:t>
            </w:r>
            <w:r>
              <w:rPr>
                <w:rFonts w:hint="eastAsia" w:asciiTheme="minorEastAsia" w:hAnsiTheme="minorEastAsia" w:eastAsiaTheme="minorEastAsia"/>
                <w:b/>
                <w:bCs/>
                <w:color w:val="auto"/>
                <w:highlight w:val="none"/>
                <w:lang w:val="en-US" w:eastAsia="zh-CN"/>
              </w:rPr>
              <w:t>158</w:t>
            </w:r>
            <w:r>
              <w:rPr>
                <w:rFonts w:hint="eastAsia" w:asciiTheme="minorEastAsia" w:hAnsiTheme="minorEastAsia" w:eastAsiaTheme="minorEastAsia"/>
                <w:b/>
                <w:bCs/>
                <w:color w:val="auto"/>
                <w:highlight w:val="none"/>
              </w:rPr>
              <w:t>.00（其中：标段1：73.00万元；标段2：35.50万元；标段3：49.50万元）;</w:t>
            </w:r>
          </w:p>
          <w:p w14:paraId="7CF0DB7C">
            <w:pPr>
              <w:widowControl/>
              <w:shd w:val="clear"/>
              <w:spacing w:line="360" w:lineRule="auto"/>
              <w:rPr>
                <w:rFonts w:asciiTheme="minorEastAsia" w:hAnsiTheme="minorEastAsia" w:eastAsiaTheme="minorEastAsia"/>
                <w:b/>
                <w:bCs/>
                <w:color w:val="auto"/>
                <w:kern w:val="0"/>
                <w:szCs w:val="21"/>
                <w:highlight w:val="none"/>
              </w:rPr>
            </w:pPr>
            <w:r>
              <w:rPr>
                <w:rFonts w:hint="eastAsia" w:asciiTheme="minorEastAsia" w:hAnsiTheme="minorEastAsia" w:eastAsiaTheme="minorEastAsia"/>
                <w:b/>
                <w:bCs/>
                <w:color w:val="auto"/>
                <w:highlight w:val="none"/>
              </w:rPr>
              <w:t>投标人报价不得超过最高限价，否则其投标将被否决。</w:t>
            </w:r>
          </w:p>
        </w:tc>
      </w:tr>
      <w:tr w14:paraId="72A45CF1">
        <w:tblPrEx>
          <w:tblCellMar>
            <w:top w:w="0" w:type="dxa"/>
            <w:left w:w="108" w:type="dxa"/>
            <w:bottom w:w="0" w:type="dxa"/>
            <w:right w:w="108" w:type="dxa"/>
          </w:tblCellMar>
        </w:tblPrEx>
        <w:trPr>
          <w:trHeight w:val="572"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6CE32EBE">
            <w:pPr>
              <w:widowControl/>
              <w:shd w:val="clear"/>
              <w:spacing w:line="360" w:lineRule="auto"/>
              <w:jc w:val="center"/>
              <w:rPr>
                <w:color w:val="auto"/>
                <w:kern w:val="0"/>
                <w:szCs w:val="21"/>
                <w:highlight w:val="none"/>
              </w:rPr>
            </w:pPr>
            <w:r>
              <w:rPr>
                <w:rFonts w:hint="eastAsia" w:ascii="宋体" w:hAnsi="宋体" w:cs="Malgun Gothic"/>
                <w:color w:val="auto"/>
                <w:szCs w:val="21"/>
                <w:highlight w:val="none"/>
              </w:rPr>
              <w:t>★</w:t>
            </w:r>
            <w:r>
              <w:rPr>
                <w:rFonts w:hint="eastAsia"/>
                <w:color w:val="auto"/>
                <w:kern w:val="0"/>
                <w:szCs w:val="21"/>
                <w:highlight w:val="none"/>
              </w:rPr>
              <w:t>3</w:t>
            </w:r>
            <w:r>
              <w:rPr>
                <w:color w:val="auto"/>
                <w:kern w:val="0"/>
                <w:szCs w:val="21"/>
                <w:highlight w:val="none"/>
              </w:rPr>
              <w:t>.2.2</w:t>
            </w:r>
          </w:p>
        </w:tc>
        <w:tc>
          <w:tcPr>
            <w:tcW w:w="1984" w:type="dxa"/>
            <w:tcBorders>
              <w:top w:val="single" w:color="000000" w:sz="4" w:space="0"/>
              <w:left w:val="single" w:color="000000" w:sz="4" w:space="0"/>
              <w:bottom w:val="single" w:color="000000" w:sz="4" w:space="0"/>
              <w:right w:val="single" w:color="000000" w:sz="4" w:space="0"/>
            </w:tcBorders>
            <w:vAlign w:val="center"/>
          </w:tcPr>
          <w:p w14:paraId="129705FE">
            <w:pPr>
              <w:widowControl/>
              <w:shd w:val="clear"/>
              <w:spacing w:line="360" w:lineRule="auto"/>
              <w:jc w:val="center"/>
              <w:rPr>
                <w:b/>
                <w:bCs/>
                <w:color w:val="auto"/>
                <w:kern w:val="0"/>
                <w:szCs w:val="21"/>
                <w:highlight w:val="none"/>
              </w:rPr>
            </w:pPr>
            <w:r>
              <w:rPr>
                <w:rFonts w:hint="eastAsia"/>
                <w:b/>
                <w:bCs/>
                <w:color w:val="auto"/>
                <w:kern w:val="0"/>
                <w:szCs w:val="21"/>
                <w:highlight w:val="none"/>
              </w:rPr>
              <w:t>报价要求</w:t>
            </w:r>
          </w:p>
        </w:tc>
        <w:tc>
          <w:tcPr>
            <w:tcW w:w="6521" w:type="dxa"/>
            <w:tcBorders>
              <w:top w:val="single" w:color="000000" w:sz="4" w:space="0"/>
              <w:left w:val="single" w:color="000000" w:sz="4" w:space="0"/>
              <w:bottom w:val="single" w:color="000000" w:sz="4" w:space="0"/>
              <w:right w:val="single" w:color="000000" w:sz="4" w:space="0"/>
            </w:tcBorders>
            <w:vAlign w:val="center"/>
          </w:tcPr>
          <w:p w14:paraId="12E389A9">
            <w:pPr>
              <w:shd w:val="clear"/>
              <w:spacing w:line="360" w:lineRule="auto"/>
              <w:rPr>
                <w:rFonts w:ascii="宋体" w:hAnsi="宋体"/>
                <w:b/>
                <w:color w:val="auto"/>
                <w:szCs w:val="21"/>
                <w:highlight w:val="none"/>
              </w:rPr>
            </w:pPr>
            <w:bookmarkStart w:id="10" w:name="_Hlk113981610"/>
            <w:bookmarkEnd w:id="10"/>
            <w:bookmarkStart w:id="11" w:name="_Hlk114060077"/>
            <w:r>
              <w:rPr>
                <w:rFonts w:hint="eastAsia" w:ascii="宋体" w:hAnsi="宋体"/>
                <w:b/>
                <w:color w:val="auto"/>
                <w:szCs w:val="21"/>
                <w:highlight w:val="none"/>
              </w:rPr>
              <w:t>本项目报价为固定总价。</w:t>
            </w:r>
          </w:p>
          <w:p w14:paraId="231FED41">
            <w:pPr>
              <w:widowControl/>
              <w:shd w:val="clear"/>
              <w:spacing w:line="360" w:lineRule="auto"/>
              <w:rPr>
                <w:rFonts w:asciiTheme="minorEastAsia" w:hAnsiTheme="minorEastAsia" w:eastAsiaTheme="minorEastAsia"/>
                <w:color w:val="auto"/>
                <w:highlight w:val="none"/>
              </w:rPr>
            </w:pPr>
            <w:r>
              <w:rPr>
                <w:rFonts w:hint="eastAsia" w:ascii="宋体" w:hAnsi="宋体"/>
                <w:color w:val="auto"/>
                <w:szCs w:val="21"/>
                <w:highlight w:val="none"/>
              </w:rPr>
              <w:t>磋商报价应依据招标文件、项目需求、技术和服务要求等有关资料，并综合考虑成本、税收、保险、利润和风险等一切因素，结合市场情况，由投标人自行测算自主报价。投标报价一经确定，合同执行期间不予调整。</w:t>
            </w:r>
            <w:bookmarkEnd w:id="11"/>
          </w:p>
        </w:tc>
      </w:tr>
      <w:tr w14:paraId="1FFFF006">
        <w:tblPrEx>
          <w:tblCellMar>
            <w:top w:w="0" w:type="dxa"/>
            <w:left w:w="108" w:type="dxa"/>
            <w:bottom w:w="0" w:type="dxa"/>
            <w:right w:w="108" w:type="dxa"/>
          </w:tblCellMar>
        </w:tblPrEx>
        <w:trPr>
          <w:trHeight w:val="62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30E6D7A4">
            <w:pPr>
              <w:widowControl/>
              <w:shd w:val="clear"/>
              <w:spacing w:line="360" w:lineRule="auto"/>
              <w:jc w:val="center"/>
              <w:rPr>
                <w:color w:val="auto"/>
                <w:kern w:val="0"/>
                <w:szCs w:val="21"/>
                <w:highlight w:val="none"/>
              </w:rPr>
            </w:pPr>
            <w:r>
              <w:rPr>
                <w:color w:val="auto"/>
                <w:kern w:val="0"/>
                <w:szCs w:val="21"/>
                <w:highlight w:val="none"/>
              </w:rPr>
              <w:t>3.3.1</w:t>
            </w:r>
          </w:p>
        </w:tc>
        <w:tc>
          <w:tcPr>
            <w:tcW w:w="1984" w:type="dxa"/>
            <w:tcBorders>
              <w:top w:val="single" w:color="000000" w:sz="4" w:space="0"/>
              <w:left w:val="single" w:color="000000" w:sz="4" w:space="0"/>
              <w:bottom w:val="single" w:color="000000" w:sz="4" w:space="0"/>
              <w:right w:val="single" w:color="000000" w:sz="4" w:space="0"/>
            </w:tcBorders>
            <w:vAlign w:val="center"/>
          </w:tcPr>
          <w:p w14:paraId="474552B5">
            <w:pPr>
              <w:widowControl/>
              <w:shd w:val="clear"/>
              <w:spacing w:line="360" w:lineRule="auto"/>
              <w:jc w:val="center"/>
              <w:rPr>
                <w:color w:val="auto"/>
                <w:kern w:val="0"/>
                <w:szCs w:val="21"/>
                <w:highlight w:val="none"/>
              </w:rPr>
            </w:pPr>
            <w:r>
              <w:rPr>
                <w:color w:val="auto"/>
                <w:kern w:val="0"/>
                <w:szCs w:val="21"/>
                <w:highlight w:val="none"/>
              </w:rPr>
              <w:t>投标文件有效期</w:t>
            </w:r>
          </w:p>
        </w:tc>
        <w:tc>
          <w:tcPr>
            <w:tcW w:w="6521" w:type="dxa"/>
            <w:tcBorders>
              <w:top w:val="single" w:color="000000" w:sz="4" w:space="0"/>
              <w:left w:val="single" w:color="000000" w:sz="4" w:space="0"/>
              <w:bottom w:val="single" w:color="000000" w:sz="4" w:space="0"/>
              <w:right w:val="single" w:color="000000" w:sz="4" w:space="0"/>
            </w:tcBorders>
            <w:vAlign w:val="center"/>
          </w:tcPr>
          <w:p w14:paraId="3D373695">
            <w:pPr>
              <w:widowControl/>
              <w:shd w:val="clear"/>
              <w:spacing w:line="360" w:lineRule="auto"/>
              <w:jc w:val="lef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为</w:t>
            </w:r>
            <w:r>
              <w:rPr>
                <w:rFonts w:asciiTheme="minorEastAsia" w:hAnsiTheme="minorEastAsia" w:eastAsiaTheme="minorEastAsia"/>
                <w:color w:val="auto"/>
                <w:kern w:val="0"/>
                <w:szCs w:val="21"/>
                <w:highlight w:val="none"/>
              </w:rPr>
              <w:t>90</w:t>
            </w:r>
            <w:r>
              <w:rPr>
                <w:rFonts w:hint="eastAsia" w:asciiTheme="minorEastAsia" w:hAnsiTheme="minorEastAsia" w:eastAsiaTheme="minorEastAsia"/>
                <w:color w:val="auto"/>
                <w:kern w:val="0"/>
                <w:szCs w:val="21"/>
                <w:highlight w:val="none"/>
              </w:rPr>
              <w:t>日历天，从投标文件递交截止之日算起</w:t>
            </w:r>
          </w:p>
        </w:tc>
      </w:tr>
      <w:tr w14:paraId="3A232E83">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69926333">
            <w:pPr>
              <w:widowControl/>
              <w:shd w:val="clear"/>
              <w:spacing w:line="360" w:lineRule="auto"/>
              <w:jc w:val="center"/>
              <w:rPr>
                <w:color w:val="auto"/>
                <w:kern w:val="0"/>
                <w:szCs w:val="21"/>
                <w:highlight w:val="none"/>
              </w:rPr>
            </w:pPr>
            <w:r>
              <w:rPr>
                <w:color w:val="auto"/>
                <w:kern w:val="0"/>
                <w:szCs w:val="21"/>
                <w:highlight w:val="none"/>
              </w:rPr>
              <w:t>3.4.1</w:t>
            </w:r>
          </w:p>
        </w:tc>
        <w:tc>
          <w:tcPr>
            <w:tcW w:w="1984" w:type="dxa"/>
            <w:tcBorders>
              <w:top w:val="single" w:color="000000" w:sz="4" w:space="0"/>
              <w:left w:val="single" w:color="000000" w:sz="4" w:space="0"/>
              <w:bottom w:val="single" w:color="000000" w:sz="4" w:space="0"/>
              <w:right w:val="single" w:color="000000" w:sz="4" w:space="0"/>
            </w:tcBorders>
            <w:vAlign w:val="center"/>
          </w:tcPr>
          <w:p w14:paraId="5300A931">
            <w:pPr>
              <w:widowControl/>
              <w:shd w:val="clear"/>
              <w:spacing w:line="360" w:lineRule="auto"/>
              <w:jc w:val="center"/>
              <w:rPr>
                <w:color w:val="auto"/>
                <w:highlight w:val="none"/>
              </w:rPr>
            </w:pPr>
            <w:r>
              <w:rPr>
                <w:rFonts w:hint="eastAsia"/>
                <w:color w:val="auto"/>
                <w:highlight w:val="none"/>
              </w:rPr>
              <w:t>投标</w:t>
            </w:r>
            <w:r>
              <w:rPr>
                <w:color w:val="auto"/>
                <w:kern w:val="0"/>
                <w:szCs w:val="21"/>
                <w:highlight w:val="none"/>
              </w:rPr>
              <w:t>保证金</w:t>
            </w:r>
          </w:p>
        </w:tc>
        <w:tc>
          <w:tcPr>
            <w:tcW w:w="6521" w:type="dxa"/>
            <w:tcBorders>
              <w:top w:val="single" w:color="000000" w:sz="4" w:space="0"/>
              <w:left w:val="single" w:color="000000" w:sz="4" w:space="0"/>
              <w:bottom w:val="single" w:color="000000" w:sz="4" w:space="0"/>
              <w:right w:val="single" w:color="000000" w:sz="4" w:space="0"/>
            </w:tcBorders>
            <w:vAlign w:val="center"/>
          </w:tcPr>
          <w:p w14:paraId="5FB6514A">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■要求递交</w:t>
            </w:r>
            <w:r>
              <w:rPr>
                <w:rFonts w:hint="eastAsia" w:asciiTheme="minorEastAsia" w:hAnsiTheme="minorEastAsia" w:eastAsiaTheme="minorEastAsia"/>
                <w:color w:val="auto"/>
                <w:highlight w:val="none"/>
              </w:rPr>
              <w:t>投标</w:t>
            </w:r>
            <w:r>
              <w:rPr>
                <w:rFonts w:hint="eastAsia" w:asciiTheme="minorEastAsia" w:hAnsiTheme="minorEastAsia" w:eastAsiaTheme="minorEastAsia"/>
                <w:color w:val="auto"/>
                <w:szCs w:val="21"/>
                <w:highlight w:val="none"/>
              </w:rPr>
              <w:t>保证金，</w:t>
            </w:r>
            <w:r>
              <w:rPr>
                <w:rFonts w:hint="eastAsia" w:asciiTheme="minorEastAsia" w:hAnsiTheme="minorEastAsia" w:eastAsiaTheme="minorEastAsia"/>
                <w:color w:val="auto"/>
                <w:highlight w:val="none"/>
              </w:rPr>
              <w:t>投标</w:t>
            </w:r>
            <w:r>
              <w:rPr>
                <w:rFonts w:hint="eastAsia" w:asciiTheme="minorEastAsia" w:hAnsiTheme="minorEastAsia" w:eastAsiaTheme="minorEastAsia"/>
                <w:color w:val="auto"/>
                <w:szCs w:val="21"/>
                <w:highlight w:val="none"/>
              </w:rPr>
              <w:t>保证金须从投标人基本账户转出</w:t>
            </w:r>
          </w:p>
          <w:p w14:paraId="29DD5670">
            <w:pPr>
              <w:shd w:val="clear"/>
              <w:spacing w:line="360" w:lineRule="auto"/>
              <w:jc w:val="left"/>
              <w:rPr>
                <w:rFonts w:ascii="宋体" w:hAnsi="宋体" w:cs="微软雅黑"/>
                <w:bCs/>
                <w:color w:val="auto"/>
                <w:szCs w:val="21"/>
                <w:highlight w:val="none"/>
              </w:rPr>
            </w:pPr>
            <w:r>
              <w:rPr>
                <w:rFonts w:hint="eastAsia" w:ascii="宋体" w:hAnsi="宋体" w:cs="微软雅黑"/>
                <w:bCs/>
                <w:color w:val="auto"/>
                <w:szCs w:val="21"/>
                <w:highlight w:val="none"/>
              </w:rPr>
              <w:t>（1标段）</w:t>
            </w:r>
            <w:r>
              <w:rPr>
                <w:rFonts w:hint="eastAsia" w:ascii="宋体" w:hAnsi="宋体" w:cs="微软雅黑"/>
                <w:bCs/>
                <w:color w:val="auto"/>
                <w:szCs w:val="21"/>
                <w:highlight w:val="none"/>
                <w:lang w:eastAsia="zh-CN"/>
              </w:rPr>
              <w:t>昆明市妇幼保健院鼻窦负压置换仪、脉冲磁场刺激仪等医疗设备采购项目（二次）</w:t>
            </w:r>
            <w:r>
              <w:rPr>
                <w:rFonts w:hint="eastAsia" w:ascii="宋体" w:hAnsi="宋体" w:cs="微软雅黑"/>
                <w:bCs/>
                <w:color w:val="auto"/>
                <w:szCs w:val="21"/>
                <w:highlight w:val="none"/>
              </w:rPr>
              <w:t>：</w:t>
            </w:r>
          </w:p>
          <w:p w14:paraId="3F5D5068">
            <w:pPr>
              <w:shd w:val="clear"/>
              <w:spacing w:line="360" w:lineRule="auto"/>
              <w:jc w:val="left"/>
              <w:rPr>
                <w:rFonts w:ascii="宋体" w:hAnsi="宋体" w:cs="微软雅黑"/>
                <w:bCs/>
                <w:color w:val="auto"/>
                <w:szCs w:val="21"/>
                <w:highlight w:val="none"/>
              </w:rPr>
            </w:pPr>
            <w:r>
              <w:rPr>
                <w:rFonts w:hint="eastAsia" w:ascii="宋体" w:hAnsi="宋体" w:cs="微软雅黑"/>
                <w:bCs/>
                <w:color w:val="auto"/>
                <w:szCs w:val="21"/>
                <w:highlight w:val="none"/>
              </w:rPr>
              <w:t>保证金金额：7,000.00（元）</w:t>
            </w:r>
          </w:p>
          <w:p w14:paraId="7334FC68">
            <w:pPr>
              <w:shd w:val="clear"/>
              <w:spacing w:line="360" w:lineRule="auto"/>
              <w:jc w:val="left"/>
              <w:rPr>
                <w:rFonts w:ascii="宋体" w:hAnsi="宋体" w:cs="微软雅黑"/>
                <w:bCs/>
                <w:color w:val="auto"/>
                <w:szCs w:val="21"/>
                <w:highlight w:val="none"/>
              </w:rPr>
            </w:pPr>
            <w:r>
              <w:rPr>
                <w:rFonts w:hint="eastAsia" w:ascii="宋体" w:hAnsi="宋体" w:cs="微软雅黑"/>
                <w:bCs/>
                <w:color w:val="auto"/>
                <w:szCs w:val="21"/>
                <w:highlight w:val="none"/>
              </w:rPr>
              <w:t>（2标段）</w:t>
            </w:r>
            <w:r>
              <w:rPr>
                <w:rFonts w:hint="eastAsia" w:ascii="宋体" w:hAnsi="宋体" w:cs="微软雅黑"/>
                <w:bCs/>
                <w:color w:val="auto"/>
                <w:szCs w:val="21"/>
                <w:highlight w:val="none"/>
                <w:lang w:eastAsia="zh-CN"/>
              </w:rPr>
              <w:t>昆明市妇幼保健院鼻窦负压置换仪、脉冲磁场刺激仪等医疗设备采购项目（二次）</w:t>
            </w:r>
            <w:r>
              <w:rPr>
                <w:rFonts w:hint="eastAsia" w:ascii="宋体" w:hAnsi="宋体" w:cs="微软雅黑"/>
                <w:bCs/>
                <w:color w:val="auto"/>
                <w:szCs w:val="21"/>
                <w:highlight w:val="none"/>
              </w:rPr>
              <w:t>：</w:t>
            </w:r>
          </w:p>
          <w:p w14:paraId="2700F221">
            <w:pPr>
              <w:shd w:val="clear"/>
              <w:spacing w:line="360" w:lineRule="auto"/>
              <w:jc w:val="left"/>
              <w:rPr>
                <w:rFonts w:ascii="宋体" w:hAnsi="宋体" w:cs="微软雅黑"/>
                <w:bCs/>
                <w:color w:val="auto"/>
                <w:szCs w:val="21"/>
                <w:highlight w:val="none"/>
              </w:rPr>
            </w:pPr>
            <w:r>
              <w:rPr>
                <w:rFonts w:hint="eastAsia" w:ascii="宋体" w:hAnsi="宋体" w:cs="微软雅黑"/>
                <w:bCs/>
                <w:color w:val="auto"/>
                <w:szCs w:val="21"/>
                <w:highlight w:val="none"/>
              </w:rPr>
              <w:t>保证金金额：3,000.00（元）</w:t>
            </w:r>
          </w:p>
          <w:p w14:paraId="31F844B9">
            <w:pPr>
              <w:shd w:val="clear"/>
              <w:spacing w:line="360" w:lineRule="auto"/>
              <w:jc w:val="left"/>
              <w:rPr>
                <w:rFonts w:ascii="宋体" w:hAnsi="宋体" w:cs="微软雅黑"/>
                <w:bCs/>
                <w:color w:val="auto"/>
                <w:szCs w:val="21"/>
                <w:highlight w:val="none"/>
              </w:rPr>
            </w:pPr>
            <w:r>
              <w:rPr>
                <w:rFonts w:hint="eastAsia" w:ascii="宋体" w:hAnsi="宋体" w:cs="微软雅黑"/>
                <w:bCs/>
                <w:color w:val="auto"/>
                <w:szCs w:val="21"/>
                <w:highlight w:val="none"/>
              </w:rPr>
              <w:t>（3标段）</w:t>
            </w:r>
            <w:r>
              <w:rPr>
                <w:rFonts w:hint="eastAsia" w:ascii="宋体" w:hAnsi="宋体" w:cs="微软雅黑"/>
                <w:bCs/>
                <w:color w:val="auto"/>
                <w:szCs w:val="21"/>
                <w:highlight w:val="none"/>
                <w:lang w:eastAsia="zh-CN"/>
              </w:rPr>
              <w:t>昆明市妇幼保健院鼻窦负压置换仪、脉冲磁场刺激仪等医疗设备采购项目（二次）</w:t>
            </w:r>
            <w:r>
              <w:rPr>
                <w:rFonts w:hint="eastAsia" w:ascii="宋体" w:hAnsi="宋体" w:cs="微软雅黑"/>
                <w:bCs/>
                <w:color w:val="auto"/>
                <w:szCs w:val="21"/>
                <w:highlight w:val="none"/>
              </w:rPr>
              <w:t>：</w:t>
            </w:r>
          </w:p>
          <w:p w14:paraId="1A27438E">
            <w:pPr>
              <w:shd w:val="clear"/>
              <w:spacing w:line="360" w:lineRule="auto"/>
              <w:jc w:val="left"/>
              <w:rPr>
                <w:rFonts w:ascii="宋体" w:hAnsi="宋体" w:cs="微软雅黑"/>
                <w:bCs/>
                <w:color w:val="auto"/>
                <w:szCs w:val="21"/>
                <w:highlight w:val="none"/>
              </w:rPr>
            </w:pPr>
            <w:r>
              <w:rPr>
                <w:rFonts w:hint="eastAsia" w:ascii="宋体" w:hAnsi="宋体" w:cs="微软雅黑"/>
                <w:bCs/>
                <w:color w:val="auto"/>
                <w:szCs w:val="21"/>
                <w:highlight w:val="none"/>
              </w:rPr>
              <w:t>保证金金额：4,000.00（元）</w:t>
            </w:r>
          </w:p>
          <w:p w14:paraId="3DE3B35E">
            <w:pPr>
              <w:shd w:val="clea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接收保证金账户信息：</w:t>
            </w:r>
          </w:p>
          <w:p w14:paraId="3B2AC72C">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开户银行：中信银行昆明科技支行</w:t>
            </w:r>
          </w:p>
          <w:p w14:paraId="699F1964">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银行账号：7302 8101 8260 0021 489</w:t>
            </w:r>
          </w:p>
          <w:p w14:paraId="43543EB7">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收 款 人：云南宸凯招标信息咨询有限公司</w:t>
            </w:r>
          </w:p>
          <w:p w14:paraId="452F3389">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联 系 人：梅师</w:t>
            </w:r>
          </w:p>
          <w:p w14:paraId="545B980A">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联系电话：0871-68391865</w:t>
            </w:r>
          </w:p>
          <w:p w14:paraId="2FB9253B">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注：须注明项目编号及费用名称（如：项目编号</w:t>
            </w:r>
            <w:r>
              <w:rPr>
                <w:rFonts w:asciiTheme="minorEastAsia" w:hAnsiTheme="minorEastAsia" w:eastAsiaTheme="minorEastAsia"/>
                <w:b/>
                <w:color w:val="auto"/>
                <w:szCs w:val="21"/>
                <w:highlight w:val="none"/>
              </w:rPr>
              <w:t>+</w:t>
            </w:r>
            <w:r>
              <w:rPr>
                <w:rFonts w:hint="eastAsia" w:asciiTheme="minorEastAsia" w:hAnsiTheme="minorEastAsia" w:eastAsiaTheme="minorEastAsia"/>
                <w:b/>
                <w:color w:val="auto"/>
                <w:szCs w:val="21"/>
                <w:highlight w:val="none"/>
                <w:lang w:val="en-US" w:eastAsia="zh-CN"/>
              </w:rPr>
              <w:t>标段+</w:t>
            </w:r>
            <w:r>
              <w:rPr>
                <w:rFonts w:hint="eastAsia" w:asciiTheme="minorEastAsia" w:hAnsiTheme="minorEastAsia" w:eastAsiaTheme="minorEastAsia"/>
                <w:b/>
                <w:color w:val="auto"/>
                <w:highlight w:val="none"/>
              </w:rPr>
              <w:t>投标</w:t>
            </w:r>
            <w:r>
              <w:rPr>
                <w:rFonts w:hint="eastAsia" w:asciiTheme="minorEastAsia" w:hAnsiTheme="minorEastAsia" w:eastAsiaTheme="minorEastAsia"/>
                <w:b/>
                <w:color w:val="auto"/>
                <w:szCs w:val="21"/>
                <w:highlight w:val="none"/>
              </w:rPr>
              <w:t>保证金）</w:t>
            </w:r>
          </w:p>
        </w:tc>
      </w:tr>
      <w:tr w14:paraId="010B69E1">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17B0A5B2">
            <w:pPr>
              <w:widowControl/>
              <w:shd w:val="clear"/>
              <w:spacing w:line="360" w:lineRule="auto"/>
              <w:jc w:val="center"/>
              <w:rPr>
                <w:color w:val="auto"/>
                <w:kern w:val="0"/>
                <w:szCs w:val="21"/>
                <w:highlight w:val="none"/>
              </w:rPr>
            </w:pPr>
            <w:r>
              <w:rPr>
                <w:rFonts w:hint="eastAsia"/>
                <w:color w:val="auto"/>
                <w:kern w:val="0"/>
                <w:szCs w:val="21"/>
                <w:highlight w:val="none"/>
              </w:rPr>
              <w:t>3.5</w:t>
            </w:r>
          </w:p>
        </w:tc>
        <w:tc>
          <w:tcPr>
            <w:tcW w:w="1984" w:type="dxa"/>
            <w:tcBorders>
              <w:top w:val="single" w:color="000000" w:sz="4" w:space="0"/>
              <w:left w:val="single" w:color="000000" w:sz="4" w:space="0"/>
              <w:bottom w:val="single" w:color="000000" w:sz="4" w:space="0"/>
              <w:right w:val="single" w:color="000000" w:sz="4" w:space="0"/>
            </w:tcBorders>
            <w:vAlign w:val="center"/>
          </w:tcPr>
          <w:p w14:paraId="184831C3">
            <w:pPr>
              <w:widowControl/>
              <w:shd w:val="clear"/>
              <w:spacing w:line="360" w:lineRule="auto"/>
              <w:jc w:val="center"/>
              <w:rPr>
                <w:color w:val="auto"/>
                <w:kern w:val="0"/>
                <w:szCs w:val="21"/>
                <w:highlight w:val="none"/>
              </w:rPr>
            </w:pPr>
            <w:r>
              <w:rPr>
                <w:color w:val="auto"/>
                <w:kern w:val="0"/>
                <w:szCs w:val="21"/>
                <w:highlight w:val="none"/>
              </w:rPr>
              <w:t>资格审查资料的特殊要求</w:t>
            </w:r>
          </w:p>
        </w:tc>
        <w:tc>
          <w:tcPr>
            <w:tcW w:w="6521" w:type="dxa"/>
            <w:tcBorders>
              <w:top w:val="single" w:color="000000" w:sz="4" w:space="0"/>
              <w:left w:val="single" w:color="000000" w:sz="4" w:space="0"/>
              <w:bottom w:val="single" w:color="000000" w:sz="4" w:space="0"/>
              <w:right w:val="single" w:color="000000" w:sz="4" w:space="0"/>
            </w:tcBorders>
            <w:vAlign w:val="center"/>
          </w:tcPr>
          <w:p w14:paraId="181BC0C7">
            <w:pPr>
              <w:pStyle w:val="132"/>
              <w:shd w:val="clear"/>
              <w:topLinePunc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 w:val="21"/>
                <w:szCs w:val="21"/>
                <w:highlight w:val="none"/>
              </w:rPr>
              <w:t>无</w:t>
            </w:r>
          </w:p>
          <w:p w14:paraId="5428E2B1">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□有，具体要求：</w:t>
            </w:r>
          </w:p>
        </w:tc>
      </w:tr>
      <w:tr w14:paraId="36F75E04">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5CB41363">
            <w:pPr>
              <w:widowControl/>
              <w:shd w:val="clear"/>
              <w:spacing w:line="360" w:lineRule="auto"/>
              <w:jc w:val="center"/>
              <w:rPr>
                <w:color w:val="auto"/>
                <w:kern w:val="0"/>
                <w:szCs w:val="21"/>
                <w:highlight w:val="none"/>
              </w:rPr>
            </w:pPr>
            <w:r>
              <w:rPr>
                <w:color w:val="auto"/>
                <w:kern w:val="0"/>
                <w:szCs w:val="21"/>
                <w:highlight w:val="none"/>
              </w:rPr>
              <w:t>3.5.2</w:t>
            </w:r>
          </w:p>
        </w:tc>
        <w:tc>
          <w:tcPr>
            <w:tcW w:w="1984" w:type="dxa"/>
            <w:tcBorders>
              <w:top w:val="single" w:color="000000" w:sz="4" w:space="0"/>
              <w:left w:val="single" w:color="000000" w:sz="4" w:space="0"/>
              <w:bottom w:val="single" w:color="000000" w:sz="4" w:space="0"/>
              <w:right w:val="single" w:color="000000" w:sz="4" w:space="0"/>
            </w:tcBorders>
            <w:vAlign w:val="center"/>
          </w:tcPr>
          <w:p w14:paraId="536B6AD6">
            <w:pPr>
              <w:widowControl/>
              <w:shd w:val="clear"/>
              <w:spacing w:line="360" w:lineRule="auto"/>
              <w:jc w:val="center"/>
              <w:rPr>
                <w:color w:val="auto"/>
                <w:kern w:val="0"/>
                <w:szCs w:val="21"/>
                <w:highlight w:val="none"/>
              </w:rPr>
            </w:pPr>
            <w:r>
              <w:rPr>
                <w:color w:val="auto"/>
                <w:kern w:val="0"/>
                <w:szCs w:val="21"/>
                <w:highlight w:val="none"/>
              </w:rPr>
              <w:t>近年财务状况的年份要求</w:t>
            </w:r>
          </w:p>
        </w:tc>
        <w:tc>
          <w:tcPr>
            <w:tcW w:w="6521" w:type="dxa"/>
            <w:tcBorders>
              <w:top w:val="single" w:color="000000" w:sz="4" w:space="0"/>
              <w:left w:val="single" w:color="000000" w:sz="4" w:space="0"/>
              <w:bottom w:val="single" w:color="000000" w:sz="4" w:space="0"/>
              <w:right w:val="single" w:color="000000" w:sz="4" w:space="0"/>
            </w:tcBorders>
            <w:vAlign w:val="center"/>
          </w:tcPr>
          <w:p w14:paraId="7FFC3709">
            <w:pPr>
              <w:widowControl/>
              <w:shd w:val="clear"/>
              <w:spacing w:line="360" w:lineRule="auto"/>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2022年</w:t>
            </w:r>
            <w:r>
              <w:rPr>
                <w:rFonts w:hint="eastAsia" w:asciiTheme="minorEastAsia" w:hAnsiTheme="minorEastAsia" w:eastAsiaTheme="minorEastAsia"/>
                <w:color w:val="auto"/>
                <w:kern w:val="0"/>
                <w:szCs w:val="21"/>
                <w:highlight w:val="none"/>
              </w:rPr>
              <w:t>或</w:t>
            </w:r>
            <w:r>
              <w:rPr>
                <w:rFonts w:asciiTheme="minorEastAsia" w:hAnsiTheme="minorEastAsia" w:eastAsiaTheme="minorEastAsia"/>
                <w:color w:val="auto"/>
                <w:kern w:val="0"/>
                <w:szCs w:val="21"/>
                <w:highlight w:val="none"/>
              </w:rPr>
              <w:t>2023年</w:t>
            </w:r>
          </w:p>
        </w:tc>
      </w:tr>
      <w:tr w14:paraId="5979AE37">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34A9C822">
            <w:pPr>
              <w:widowControl/>
              <w:shd w:val="clear"/>
              <w:spacing w:line="360" w:lineRule="auto"/>
              <w:jc w:val="center"/>
              <w:rPr>
                <w:color w:val="auto"/>
                <w:kern w:val="0"/>
                <w:szCs w:val="21"/>
                <w:highlight w:val="none"/>
              </w:rPr>
            </w:pPr>
            <w:r>
              <w:rPr>
                <w:color w:val="auto"/>
                <w:kern w:val="0"/>
                <w:szCs w:val="21"/>
                <w:highlight w:val="none"/>
              </w:rPr>
              <w:t>3.5.3</w:t>
            </w:r>
          </w:p>
        </w:tc>
        <w:tc>
          <w:tcPr>
            <w:tcW w:w="1984" w:type="dxa"/>
            <w:tcBorders>
              <w:top w:val="single" w:color="000000" w:sz="4" w:space="0"/>
              <w:left w:val="single" w:color="000000" w:sz="4" w:space="0"/>
              <w:bottom w:val="single" w:color="000000" w:sz="4" w:space="0"/>
              <w:right w:val="single" w:color="000000" w:sz="4" w:space="0"/>
            </w:tcBorders>
            <w:vAlign w:val="center"/>
          </w:tcPr>
          <w:p w14:paraId="3153D16E">
            <w:pPr>
              <w:widowControl/>
              <w:shd w:val="clear"/>
              <w:spacing w:line="360" w:lineRule="auto"/>
              <w:jc w:val="center"/>
              <w:rPr>
                <w:color w:val="auto"/>
                <w:kern w:val="0"/>
                <w:szCs w:val="21"/>
                <w:highlight w:val="none"/>
              </w:rPr>
            </w:pPr>
            <w:r>
              <w:rPr>
                <w:color w:val="auto"/>
                <w:kern w:val="0"/>
                <w:szCs w:val="21"/>
                <w:highlight w:val="none"/>
              </w:rPr>
              <w:t>近年完成的类似项目</w:t>
            </w:r>
            <w:r>
              <w:rPr>
                <w:rFonts w:hint="eastAsia"/>
                <w:color w:val="auto"/>
                <w:kern w:val="0"/>
                <w:szCs w:val="21"/>
                <w:highlight w:val="none"/>
              </w:rPr>
              <w:t>情况</w:t>
            </w:r>
            <w:r>
              <w:rPr>
                <w:color w:val="auto"/>
                <w:kern w:val="0"/>
                <w:szCs w:val="21"/>
                <w:highlight w:val="none"/>
              </w:rPr>
              <w:t>的时间要求</w:t>
            </w:r>
          </w:p>
        </w:tc>
        <w:tc>
          <w:tcPr>
            <w:tcW w:w="6521" w:type="dxa"/>
            <w:tcBorders>
              <w:top w:val="single" w:color="000000" w:sz="4" w:space="0"/>
              <w:left w:val="single" w:color="000000" w:sz="4" w:space="0"/>
              <w:bottom w:val="single" w:color="000000" w:sz="4" w:space="0"/>
              <w:right w:val="single" w:color="000000" w:sz="4" w:space="0"/>
            </w:tcBorders>
            <w:vAlign w:val="center"/>
          </w:tcPr>
          <w:p w14:paraId="75B77ADF">
            <w:pPr>
              <w:widowControl/>
              <w:shd w:val="clear"/>
              <w:spacing w:line="360" w:lineRule="auto"/>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2021</w:t>
            </w:r>
          </w:p>
        </w:tc>
      </w:tr>
      <w:tr w14:paraId="4F3A626A">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3610611E">
            <w:pPr>
              <w:widowControl/>
              <w:shd w:val="clear"/>
              <w:spacing w:line="360" w:lineRule="auto"/>
              <w:jc w:val="center"/>
              <w:rPr>
                <w:color w:val="auto"/>
                <w:kern w:val="0"/>
                <w:szCs w:val="21"/>
                <w:highlight w:val="none"/>
              </w:rPr>
            </w:pPr>
            <w:r>
              <w:rPr>
                <w:rFonts w:hint="eastAsia" w:ascii="宋体" w:hAnsi="宋体" w:cs="Malgun Gothic"/>
                <w:color w:val="auto"/>
                <w:szCs w:val="21"/>
                <w:highlight w:val="none"/>
              </w:rPr>
              <w:t>★</w:t>
            </w:r>
            <w:r>
              <w:rPr>
                <w:rFonts w:hint="eastAsia"/>
                <w:color w:val="auto"/>
                <w:kern w:val="0"/>
                <w:szCs w:val="21"/>
                <w:highlight w:val="none"/>
              </w:rPr>
              <w:t>3.6.1</w:t>
            </w:r>
          </w:p>
        </w:tc>
        <w:tc>
          <w:tcPr>
            <w:tcW w:w="1984" w:type="dxa"/>
            <w:tcBorders>
              <w:top w:val="single" w:color="000000" w:sz="4" w:space="0"/>
              <w:left w:val="single" w:color="000000" w:sz="4" w:space="0"/>
              <w:bottom w:val="single" w:color="000000" w:sz="4" w:space="0"/>
              <w:right w:val="single" w:color="000000" w:sz="4" w:space="0"/>
            </w:tcBorders>
            <w:vAlign w:val="center"/>
          </w:tcPr>
          <w:p w14:paraId="0101FC73">
            <w:pPr>
              <w:widowControl/>
              <w:shd w:val="clear"/>
              <w:spacing w:line="360" w:lineRule="auto"/>
              <w:jc w:val="center"/>
              <w:rPr>
                <w:color w:val="auto"/>
                <w:kern w:val="0"/>
                <w:szCs w:val="21"/>
                <w:highlight w:val="none"/>
              </w:rPr>
            </w:pPr>
            <w:r>
              <w:rPr>
                <w:color w:val="auto"/>
                <w:kern w:val="0"/>
                <w:szCs w:val="21"/>
                <w:highlight w:val="none"/>
              </w:rPr>
              <w:t>是否允许递交备选投标方案</w:t>
            </w:r>
          </w:p>
        </w:tc>
        <w:tc>
          <w:tcPr>
            <w:tcW w:w="6521" w:type="dxa"/>
            <w:tcBorders>
              <w:top w:val="single" w:color="000000" w:sz="4" w:space="0"/>
              <w:left w:val="single" w:color="000000" w:sz="4" w:space="0"/>
              <w:bottom w:val="single" w:color="000000" w:sz="4" w:space="0"/>
              <w:right w:val="single" w:color="000000" w:sz="4" w:space="0"/>
            </w:tcBorders>
            <w:vAlign w:val="center"/>
          </w:tcPr>
          <w:p w14:paraId="57215717">
            <w:pPr>
              <w:pStyle w:val="132"/>
              <w:shd w:val="clear"/>
              <w:topLinePunc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 w:val="21"/>
                <w:szCs w:val="21"/>
                <w:highlight w:val="none"/>
              </w:rPr>
              <w:t>不允许</w:t>
            </w:r>
          </w:p>
          <w:p w14:paraId="1FFB76DE">
            <w:pPr>
              <w:widowControl/>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□允许</w:t>
            </w:r>
          </w:p>
        </w:tc>
      </w:tr>
      <w:tr w14:paraId="6A786334">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34773D78">
            <w:pPr>
              <w:widowControl/>
              <w:shd w:val="clear"/>
              <w:spacing w:line="360" w:lineRule="auto"/>
              <w:jc w:val="center"/>
              <w:rPr>
                <w:color w:val="auto"/>
                <w:kern w:val="0"/>
                <w:szCs w:val="21"/>
                <w:highlight w:val="none"/>
              </w:rPr>
            </w:pPr>
            <w:r>
              <w:rPr>
                <w:rFonts w:hint="eastAsia"/>
                <w:color w:val="auto"/>
                <w:kern w:val="0"/>
                <w:szCs w:val="21"/>
                <w:highlight w:val="none"/>
              </w:rPr>
              <w:t>3.7.3（1）</w:t>
            </w:r>
          </w:p>
        </w:tc>
        <w:tc>
          <w:tcPr>
            <w:tcW w:w="1984" w:type="dxa"/>
            <w:tcBorders>
              <w:top w:val="single" w:color="000000" w:sz="4" w:space="0"/>
              <w:left w:val="single" w:color="000000" w:sz="4" w:space="0"/>
              <w:bottom w:val="single" w:color="000000" w:sz="4" w:space="0"/>
              <w:right w:val="single" w:color="000000" w:sz="4" w:space="0"/>
            </w:tcBorders>
            <w:vAlign w:val="center"/>
          </w:tcPr>
          <w:p w14:paraId="76FCAD68">
            <w:pPr>
              <w:widowControl/>
              <w:shd w:val="clear"/>
              <w:spacing w:line="360" w:lineRule="auto"/>
              <w:jc w:val="center"/>
              <w:rPr>
                <w:color w:val="auto"/>
                <w:kern w:val="0"/>
                <w:szCs w:val="21"/>
                <w:highlight w:val="none"/>
              </w:rPr>
            </w:pPr>
            <w:r>
              <w:rPr>
                <w:color w:val="auto"/>
                <w:kern w:val="0"/>
                <w:szCs w:val="21"/>
                <w:highlight w:val="none"/>
              </w:rPr>
              <w:t>投标文件签字或盖章要求</w:t>
            </w:r>
          </w:p>
        </w:tc>
        <w:tc>
          <w:tcPr>
            <w:tcW w:w="6521" w:type="dxa"/>
            <w:tcBorders>
              <w:top w:val="single" w:color="000000" w:sz="4" w:space="0"/>
              <w:left w:val="single" w:color="000000" w:sz="4" w:space="0"/>
              <w:bottom w:val="single" w:color="000000" w:sz="4" w:space="0"/>
              <w:right w:val="single" w:color="000000" w:sz="4" w:space="0"/>
            </w:tcBorders>
            <w:vAlign w:val="center"/>
          </w:tcPr>
          <w:p w14:paraId="7F66D99D">
            <w:pPr>
              <w:pStyle w:val="15"/>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投</w:t>
            </w:r>
            <w:r>
              <w:rPr>
                <w:rFonts w:hint="eastAsia" w:cs="微软雅黑" w:asciiTheme="minorEastAsia" w:hAnsiTheme="minorEastAsia" w:eastAsiaTheme="minorEastAsia"/>
                <w:color w:val="auto"/>
                <w:szCs w:val="21"/>
                <w:highlight w:val="none"/>
              </w:rPr>
              <w:t>标</w:t>
            </w:r>
            <w:r>
              <w:rPr>
                <w:rFonts w:hint="eastAsia" w:cs="Malgun Gothic" w:asciiTheme="minorEastAsia" w:hAnsiTheme="minorEastAsia" w:eastAsiaTheme="minorEastAsia"/>
                <w:color w:val="auto"/>
                <w:szCs w:val="21"/>
                <w:highlight w:val="none"/>
              </w:rPr>
              <w:t>文件</w:t>
            </w:r>
            <w:r>
              <w:rPr>
                <w:rFonts w:hint="eastAsia" w:cs="微软雅黑" w:asciiTheme="minorEastAsia" w:hAnsiTheme="minorEastAsia" w:eastAsiaTheme="minorEastAsia"/>
                <w:color w:val="auto"/>
                <w:szCs w:val="21"/>
                <w:highlight w:val="none"/>
              </w:rPr>
              <w:t>应</w:t>
            </w:r>
            <w:r>
              <w:rPr>
                <w:rFonts w:hint="eastAsia" w:cs="Malgun Gothic" w:asciiTheme="minorEastAsia" w:hAnsiTheme="minorEastAsia" w:eastAsiaTheme="minorEastAsia"/>
                <w:color w:val="auto"/>
                <w:szCs w:val="21"/>
                <w:highlight w:val="none"/>
              </w:rPr>
              <w:t>由法定代表人或其委托代理</w:t>
            </w:r>
            <w:r>
              <w:rPr>
                <w:rFonts w:hint="eastAsia" w:asciiTheme="minorEastAsia" w:hAnsiTheme="minorEastAsia" w:eastAsiaTheme="minorEastAsia"/>
                <w:color w:val="auto"/>
                <w:szCs w:val="21"/>
                <w:highlight w:val="none"/>
              </w:rPr>
              <w:t>人</w:t>
            </w:r>
            <w:r>
              <w:rPr>
                <w:rFonts w:hint="eastAsia" w:asciiTheme="minorEastAsia" w:hAnsiTheme="minorEastAsia" w:eastAsiaTheme="minorEastAsia"/>
                <w:b/>
                <w:bCs/>
                <w:color w:val="auto"/>
                <w:szCs w:val="21"/>
                <w:highlight w:val="none"/>
              </w:rPr>
              <w:t>在</w:t>
            </w:r>
            <w:r>
              <w:rPr>
                <w:rFonts w:hint="eastAsia" w:cs="微软雅黑" w:asciiTheme="minorEastAsia" w:hAnsiTheme="minorEastAsia" w:eastAsiaTheme="minorEastAsia"/>
                <w:b/>
                <w:bCs/>
                <w:color w:val="auto"/>
                <w:szCs w:val="21"/>
                <w:highlight w:val="none"/>
              </w:rPr>
              <w:t>规</w:t>
            </w:r>
            <w:r>
              <w:rPr>
                <w:rFonts w:hint="eastAsia" w:cs="Malgun Gothic" w:asciiTheme="minorEastAsia" w:hAnsiTheme="minorEastAsia" w:eastAsiaTheme="minorEastAsia"/>
                <w:b/>
                <w:bCs/>
                <w:color w:val="auto"/>
                <w:szCs w:val="21"/>
                <w:highlight w:val="none"/>
              </w:rPr>
              <w:t>定的</w:t>
            </w:r>
            <w:r>
              <w:rPr>
                <w:rFonts w:hint="eastAsia" w:cs="微软雅黑" w:asciiTheme="minorEastAsia" w:hAnsiTheme="minorEastAsia" w:eastAsiaTheme="minorEastAsia"/>
                <w:b/>
                <w:bCs/>
                <w:color w:val="auto"/>
                <w:szCs w:val="21"/>
                <w:highlight w:val="none"/>
              </w:rPr>
              <w:t>电子签名处</w:t>
            </w:r>
            <w:r>
              <w:rPr>
                <w:rFonts w:hint="eastAsia" w:cs="Malgun Gothic" w:asciiTheme="minorEastAsia" w:hAnsiTheme="minorEastAsia" w:eastAsiaTheme="minorEastAsia"/>
                <w:b/>
                <w:bCs/>
                <w:color w:val="auto"/>
                <w:szCs w:val="21"/>
                <w:highlight w:val="none"/>
              </w:rPr>
              <w:t>逐一电子</w:t>
            </w:r>
            <w:r>
              <w:rPr>
                <w:rFonts w:hint="eastAsia" w:cs="微软雅黑" w:asciiTheme="minorEastAsia" w:hAnsiTheme="minorEastAsia" w:eastAsiaTheme="minorEastAsia"/>
                <w:b/>
                <w:bCs/>
                <w:color w:val="auto"/>
                <w:szCs w:val="21"/>
                <w:highlight w:val="none"/>
              </w:rPr>
              <w:t>签名（电子签名或电子签章）</w:t>
            </w:r>
            <w:r>
              <w:rPr>
                <w:rFonts w:hint="eastAsia" w:cs="Malgun Gothic" w:asciiTheme="minorEastAsia" w:hAnsiTheme="minorEastAsia" w:eastAsiaTheme="minorEastAsia"/>
                <w:b/>
                <w:bCs/>
                <w:color w:val="auto"/>
                <w:szCs w:val="21"/>
                <w:highlight w:val="none"/>
              </w:rPr>
              <w:t>，</w:t>
            </w:r>
            <w:r>
              <w:rPr>
                <w:rFonts w:asciiTheme="minorEastAsia" w:hAnsiTheme="minorEastAsia" w:eastAsiaTheme="minorEastAsia"/>
                <w:b/>
                <w:bCs/>
                <w:color w:val="auto"/>
                <w:szCs w:val="21"/>
                <w:highlight w:val="none"/>
              </w:rPr>
              <w:t>要求</w:t>
            </w:r>
            <w:r>
              <w:rPr>
                <w:rFonts w:hint="eastAsia" w:asciiTheme="minorEastAsia" w:hAnsiTheme="minorEastAsia" w:eastAsiaTheme="minorEastAsia"/>
                <w:b/>
                <w:bCs/>
                <w:color w:val="auto"/>
                <w:szCs w:val="21"/>
                <w:highlight w:val="none"/>
              </w:rPr>
              <w:t>盖</w:t>
            </w:r>
            <w:r>
              <w:rPr>
                <w:rFonts w:asciiTheme="minorEastAsia" w:hAnsiTheme="minorEastAsia" w:eastAsiaTheme="minorEastAsia"/>
                <w:b/>
                <w:bCs/>
                <w:color w:val="auto"/>
                <w:szCs w:val="21"/>
                <w:highlight w:val="none"/>
              </w:rPr>
              <w:t>章</w:t>
            </w:r>
            <w:r>
              <w:rPr>
                <w:rFonts w:hint="eastAsia" w:cs="微软雅黑" w:asciiTheme="minorEastAsia" w:hAnsiTheme="minorEastAsia" w:eastAsiaTheme="minorEastAsia"/>
                <w:b/>
                <w:bCs/>
                <w:color w:val="auto"/>
                <w:szCs w:val="21"/>
                <w:highlight w:val="none"/>
              </w:rPr>
              <w:t>处应</w:t>
            </w:r>
            <w:r>
              <w:rPr>
                <w:rFonts w:hint="eastAsia" w:cs="Malgun Gothic" w:asciiTheme="minorEastAsia" w:hAnsiTheme="minorEastAsia" w:eastAsiaTheme="minorEastAsia"/>
                <w:b/>
                <w:bCs/>
                <w:color w:val="auto"/>
                <w:szCs w:val="21"/>
                <w:highlight w:val="none"/>
              </w:rPr>
              <w:t>盖</w:t>
            </w:r>
            <w:r>
              <w:rPr>
                <w:rFonts w:hint="eastAsia" w:cs="微软雅黑" w:asciiTheme="minorEastAsia" w:hAnsiTheme="minorEastAsia" w:eastAsiaTheme="minorEastAsia"/>
                <w:b/>
                <w:bCs/>
                <w:color w:val="auto"/>
                <w:szCs w:val="21"/>
                <w:highlight w:val="none"/>
              </w:rPr>
              <w:t>单</w:t>
            </w:r>
            <w:r>
              <w:rPr>
                <w:rFonts w:hint="eastAsia" w:cs="Malgun Gothic" w:asciiTheme="minorEastAsia" w:hAnsiTheme="minorEastAsia" w:eastAsiaTheme="minorEastAsia"/>
                <w:b/>
                <w:bCs/>
                <w:color w:val="auto"/>
                <w:szCs w:val="21"/>
                <w:highlight w:val="none"/>
              </w:rPr>
              <w:t>位章（电子签章）</w:t>
            </w:r>
          </w:p>
        </w:tc>
      </w:tr>
      <w:tr w14:paraId="63BBE4B2">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1DA7756A">
            <w:pPr>
              <w:widowControl/>
              <w:shd w:val="clear"/>
              <w:spacing w:line="360" w:lineRule="auto"/>
              <w:jc w:val="center"/>
              <w:rPr>
                <w:color w:val="auto"/>
                <w:kern w:val="0"/>
                <w:szCs w:val="21"/>
                <w:highlight w:val="none"/>
              </w:rPr>
            </w:pPr>
            <w:r>
              <w:rPr>
                <w:rFonts w:hint="eastAsia"/>
                <w:color w:val="auto"/>
                <w:kern w:val="0"/>
                <w:szCs w:val="21"/>
                <w:highlight w:val="none"/>
              </w:rPr>
              <w:t>3.7.3（2）</w:t>
            </w:r>
          </w:p>
        </w:tc>
        <w:tc>
          <w:tcPr>
            <w:tcW w:w="1984" w:type="dxa"/>
            <w:tcBorders>
              <w:top w:val="single" w:color="000000" w:sz="4" w:space="0"/>
              <w:left w:val="single" w:color="000000" w:sz="4" w:space="0"/>
              <w:bottom w:val="single" w:color="000000" w:sz="4" w:space="0"/>
              <w:right w:val="single" w:color="000000" w:sz="4" w:space="0"/>
            </w:tcBorders>
            <w:vAlign w:val="center"/>
          </w:tcPr>
          <w:p w14:paraId="55E2A8B1">
            <w:pPr>
              <w:widowControl/>
              <w:shd w:val="clear"/>
              <w:spacing w:line="360" w:lineRule="auto"/>
              <w:jc w:val="center"/>
              <w:rPr>
                <w:color w:val="auto"/>
                <w:highlight w:val="none"/>
              </w:rPr>
            </w:pPr>
            <w:r>
              <w:rPr>
                <w:color w:val="auto"/>
                <w:highlight w:val="none"/>
              </w:rPr>
              <w:t>投标文件</w:t>
            </w:r>
            <w:r>
              <w:rPr>
                <w:rFonts w:hint="eastAsia"/>
                <w:color w:val="auto"/>
                <w:highlight w:val="none"/>
              </w:rPr>
              <w:t>的</w:t>
            </w:r>
            <w:r>
              <w:rPr>
                <w:color w:val="auto"/>
                <w:highlight w:val="none"/>
              </w:rPr>
              <w:t>其他</w:t>
            </w:r>
            <w:r>
              <w:rPr>
                <w:rFonts w:hint="eastAsia"/>
                <w:color w:val="auto"/>
                <w:highlight w:val="none"/>
              </w:rPr>
              <w:t>编制</w:t>
            </w:r>
            <w:r>
              <w:rPr>
                <w:color w:val="auto"/>
                <w:highlight w:val="none"/>
              </w:rPr>
              <w:t>要求</w:t>
            </w:r>
          </w:p>
        </w:tc>
        <w:tc>
          <w:tcPr>
            <w:tcW w:w="6521" w:type="dxa"/>
            <w:tcBorders>
              <w:top w:val="single" w:color="000000" w:sz="4" w:space="0"/>
              <w:left w:val="single" w:color="000000" w:sz="4" w:space="0"/>
              <w:bottom w:val="single" w:color="000000" w:sz="4" w:space="0"/>
              <w:right w:val="single" w:color="000000" w:sz="4" w:space="0"/>
            </w:tcBorders>
            <w:vAlign w:val="center"/>
          </w:tcPr>
          <w:p w14:paraId="745066CE">
            <w:pPr>
              <w:widowControl/>
              <w:shd w:val="clear"/>
              <w:spacing w:line="360" w:lineRule="auto"/>
              <w:jc w:val="lef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投标文件全部采用电子文档，投标人应安装客户端软件—“政采云电子交易客户端”，并按照招标文件和政采云电子交易平台的要求编制，编制后应进行电子签名及加密。</w:t>
            </w:r>
          </w:p>
          <w:p w14:paraId="3CC84C89">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1</w:t>
            </w:r>
            <w:r>
              <w:rPr>
                <w:rFonts w:hint="eastAsia" w:asciiTheme="minorEastAsia" w:hAnsiTheme="minorEastAsia" w:eastAsiaTheme="minorEastAsia"/>
                <w:color w:val="auto"/>
                <w:kern w:val="0"/>
                <w:szCs w:val="21"/>
                <w:highlight w:val="none"/>
              </w:rPr>
              <w:t>）</w:t>
            </w:r>
            <w:r>
              <w:rPr>
                <w:rFonts w:hint="eastAsia" w:asciiTheme="minorEastAsia" w:hAnsiTheme="minorEastAsia" w:eastAsiaTheme="minorEastAsia"/>
                <w:color w:val="auto"/>
                <w:szCs w:val="21"/>
                <w:highlight w:val="none"/>
              </w:rPr>
              <w:t>如投标人提交的电子标书不符合</w:t>
            </w:r>
            <w:r>
              <w:rPr>
                <w:rFonts w:hint="eastAsia" w:asciiTheme="minorEastAsia" w:hAnsiTheme="minorEastAsia" w:eastAsiaTheme="minorEastAsia"/>
                <w:color w:val="auto"/>
                <w:kern w:val="0"/>
                <w:szCs w:val="21"/>
                <w:highlight w:val="none"/>
              </w:rPr>
              <w:t>政采云电子交易平台</w:t>
            </w:r>
            <w:r>
              <w:rPr>
                <w:rFonts w:hint="eastAsia" w:asciiTheme="minorEastAsia" w:hAnsiTheme="minorEastAsia" w:eastAsiaTheme="minorEastAsia"/>
                <w:color w:val="auto"/>
                <w:szCs w:val="21"/>
                <w:highlight w:val="none"/>
              </w:rPr>
              <w:t>要求或开标时无法读取导入或解密，其投标文件将不予受理。</w:t>
            </w:r>
          </w:p>
          <w:p w14:paraId="0A18719F">
            <w:pPr>
              <w:widowControl/>
              <w:shd w:val="clear"/>
              <w:spacing w:line="360" w:lineRule="auto"/>
              <w:jc w:val="left"/>
              <w:rPr>
                <w:rFonts w:asciiTheme="minorEastAsia" w:hAnsiTheme="minorEastAsia" w:eastAsiaTheme="minorEastAsia"/>
                <w:b/>
                <w:color w:val="auto"/>
                <w:kern w:val="0"/>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）投</w:t>
            </w:r>
            <w:r>
              <w:rPr>
                <w:rFonts w:hint="eastAsia" w:cs="微软雅黑" w:asciiTheme="minorEastAsia" w:hAnsiTheme="minorEastAsia" w:eastAsiaTheme="minorEastAsia"/>
                <w:color w:val="auto"/>
                <w:szCs w:val="21"/>
                <w:highlight w:val="none"/>
              </w:rPr>
              <w:t>标</w:t>
            </w:r>
            <w:r>
              <w:rPr>
                <w:rFonts w:hint="eastAsia" w:cs="Malgun Gothic" w:asciiTheme="minorEastAsia" w:hAnsiTheme="minorEastAsia" w:eastAsiaTheme="minorEastAsia"/>
                <w:color w:val="auto"/>
                <w:szCs w:val="21"/>
                <w:highlight w:val="none"/>
              </w:rPr>
              <w:t>文件中提</w:t>
            </w:r>
            <w:r>
              <w:rPr>
                <w:rFonts w:hint="eastAsia" w:asciiTheme="minorEastAsia" w:hAnsiTheme="minorEastAsia" w:eastAsiaTheme="minorEastAsia"/>
                <w:bCs/>
                <w:color w:val="auto"/>
                <w:szCs w:val="21"/>
                <w:highlight w:val="none"/>
              </w:rPr>
              <w:t>供的</w:t>
            </w:r>
            <w:r>
              <w:rPr>
                <w:rFonts w:hint="eastAsia" w:cs="微软雅黑" w:asciiTheme="minorEastAsia" w:hAnsiTheme="minorEastAsia" w:eastAsiaTheme="minorEastAsia"/>
                <w:bCs/>
                <w:color w:val="auto"/>
                <w:szCs w:val="21"/>
                <w:highlight w:val="none"/>
              </w:rPr>
              <w:t>资</w:t>
            </w:r>
            <w:r>
              <w:rPr>
                <w:rFonts w:hint="eastAsia" w:cs="Malgun Gothic" w:asciiTheme="minorEastAsia" w:hAnsiTheme="minorEastAsia" w:eastAsiaTheme="minorEastAsia"/>
                <w:bCs/>
                <w:color w:val="auto"/>
                <w:szCs w:val="21"/>
                <w:highlight w:val="none"/>
              </w:rPr>
              <w:t>料（扫描件），</w:t>
            </w:r>
            <w:r>
              <w:rPr>
                <w:rFonts w:hint="eastAsia" w:cs="微软雅黑" w:asciiTheme="minorEastAsia" w:hAnsiTheme="minorEastAsia" w:eastAsiaTheme="minorEastAsia"/>
                <w:bCs/>
                <w:color w:val="auto"/>
                <w:szCs w:val="21"/>
                <w:highlight w:val="none"/>
              </w:rPr>
              <w:t>内</w:t>
            </w:r>
            <w:r>
              <w:rPr>
                <w:rFonts w:hint="eastAsia" w:cs="Malgun Gothic" w:asciiTheme="minorEastAsia" w:hAnsiTheme="minorEastAsia" w:eastAsiaTheme="minorEastAsia"/>
                <w:bCs/>
                <w:color w:val="auto"/>
                <w:szCs w:val="21"/>
                <w:highlight w:val="none"/>
              </w:rPr>
              <w:t>容必</w:t>
            </w:r>
            <w:r>
              <w:rPr>
                <w:rFonts w:hint="eastAsia" w:cs="微软雅黑" w:asciiTheme="minorEastAsia" w:hAnsiTheme="minorEastAsia" w:eastAsiaTheme="minorEastAsia"/>
                <w:bCs/>
                <w:color w:val="auto"/>
                <w:szCs w:val="21"/>
                <w:highlight w:val="none"/>
              </w:rPr>
              <w:t>须清</w:t>
            </w:r>
            <w:r>
              <w:rPr>
                <w:rFonts w:hint="eastAsia" w:cs="Malgun Gothic" w:asciiTheme="minorEastAsia" w:hAnsiTheme="minorEastAsia" w:eastAsiaTheme="minorEastAsia"/>
                <w:bCs/>
                <w:color w:val="auto"/>
                <w:szCs w:val="21"/>
                <w:highlight w:val="none"/>
              </w:rPr>
              <w:t>晰可辨，若</w:t>
            </w:r>
            <w:r>
              <w:rPr>
                <w:rFonts w:hint="eastAsia" w:cs="微软雅黑" w:asciiTheme="minorEastAsia" w:hAnsiTheme="minorEastAsia" w:eastAsiaTheme="minorEastAsia"/>
                <w:bCs/>
                <w:color w:val="auto"/>
                <w:szCs w:val="21"/>
                <w:highlight w:val="none"/>
              </w:rPr>
              <w:t>内</w:t>
            </w:r>
            <w:r>
              <w:rPr>
                <w:rFonts w:hint="eastAsia" w:cs="Malgun Gothic" w:asciiTheme="minorEastAsia" w:hAnsiTheme="minorEastAsia" w:eastAsiaTheme="minorEastAsia"/>
                <w:bCs/>
                <w:color w:val="auto"/>
                <w:szCs w:val="21"/>
                <w:highlight w:val="none"/>
              </w:rPr>
              <w:t>容模糊，无法辨</w:t>
            </w:r>
            <w:r>
              <w:rPr>
                <w:rFonts w:hint="eastAsia" w:cs="微软雅黑" w:asciiTheme="minorEastAsia" w:hAnsiTheme="minorEastAsia" w:eastAsiaTheme="minorEastAsia"/>
                <w:bCs/>
                <w:color w:val="auto"/>
                <w:szCs w:val="21"/>
                <w:highlight w:val="none"/>
              </w:rPr>
              <w:t>识</w:t>
            </w:r>
            <w:r>
              <w:rPr>
                <w:rFonts w:hint="eastAsia" w:cs="Malgun Gothic" w:asciiTheme="minorEastAsia" w:hAnsiTheme="minorEastAsia" w:eastAsiaTheme="minorEastAsia"/>
                <w:bCs/>
                <w:color w:val="auto"/>
                <w:szCs w:val="21"/>
                <w:highlight w:val="none"/>
              </w:rPr>
              <w:t>，均</w:t>
            </w:r>
            <w:r>
              <w:rPr>
                <w:rFonts w:hint="eastAsia" w:cs="微软雅黑" w:asciiTheme="minorEastAsia" w:hAnsiTheme="minorEastAsia" w:eastAsiaTheme="minorEastAsia"/>
                <w:bCs/>
                <w:color w:val="auto"/>
                <w:szCs w:val="21"/>
                <w:highlight w:val="none"/>
              </w:rPr>
              <w:t>视为</w:t>
            </w:r>
            <w:r>
              <w:rPr>
                <w:rFonts w:hint="eastAsia" w:cs="Malgun Gothic" w:asciiTheme="minorEastAsia" w:hAnsiTheme="minorEastAsia" w:eastAsiaTheme="minorEastAsia"/>
                <w:bCs/>
                <w:color w:val="auto"/>
                <w:szCs w:val="21"/>
                <w:highlight w:val="none"/>
              </w:rPr>
              <w:t>未提供。</w:t>
            </w:r>
          </w:p>
        </w:tc>
      </w:tr>
      <w:tr w14:paraId="7641E08E">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195FBAE4">
            <w:pPr>
              <w:widowControl/>
              <w:shd w:val="clear"/>
              <w:spacing w:line="360" w:lineRule="auto"/>
              <w:jc w:val="center"/>
              <w:rPr>
                <w:color w:val="auto"/>
                <w:kern w:val="0"/>
                <w:szCs w:val="21"/>
                <w:highlight w:val="none"/>
              </w:rPr>
            </w:pPr>
            <w:r>
              <w:rPr>
                <w:color w:val="auto"/>
                <w:kern w:val="0"/>
                <w:szCs w:val="21"/>
                <w:highlight w:val="none"/>
              </w:rPr>
              <w:t>4.2.</w:t>
            </w:r>
            <w:r>
              <w:rPr>
                <w:rFonts w:hint="eastAsia"/>
                <w:color w:val="auto"/>
                <w:kern w:val="0"/>
                <w:szCs w:val="21"/>
                <w:highlight w:val="none"/>
              </w:rPr>
              <w:t>1</w:t>
            </w:r>
          </w:p>
        </w:tc>
        <w:tc>
          <w:tcPr>
            <w:tcW w:w="1984" w:type="dxa"/>
            <w:tcBorders>
              <w:top w:val="single" w:color="000000" w:sz="4" w:space="0"/>
              <w:left w:val="single" w:color="000000" w:sz="4" w:space="0"/>
              <w:bottom w:val="single" w:color="000000" w:sz="4" w:space="0"/>
              <w:right w:val="single" w:color="000000" w:sz="4" w:space="0"/>
            </w:tcBorders>
            <w:vAlign w:val="center"/>
          </w:tcPr>
          <w:p w14:paraId="6FCDC026">
            <w:pPr>
              <w:widowControl/>
              <w:shd w:val="clear"/>
              <w:spacing w:line="360" w:lineRule="auto"/>
              <w:jc w:val="center"/>
              <w:rPr>
                <w:color w:val="auto"/>
                <w:kern w:val="0"/>
                <w:szCs w:val="21"/>
                <w:highlight w:val="none"/>
              </w:rPr>
            </w:pPr>
            <w:r>
              <w:rPr>
                <w:rFonts w:hint="eastAsia" w:ascii="宋体" w:hAnsi="宋体"/>
                <w:color w:val="auto"/>
                <w:szCs w:val="21"/>
                <w:highlight w:val="none"/>
              </w:rPr>
              <w:t>网上</w:t>
            </w:r>
            <w:r>
              <w:rPr>
                <w:color w:val="auto"/>
                <w:kern w:val="0"/>
                <w:szCs w:val="21"/>
                <w:highlight w:val="none"/>
              </w:rPr>
              <w:t>投标文件递交截止时间</w:t>
            </w:r>
          </w:p>
        </w:tc>
        <w:tc>
          <w:tcPr>
            <w:tcW w:w="6521" w:type="dxa"/>
            <w:tcBorders>
              <w:top w:val="single" w:color="000000" w:sz="4" w:space="0"/>
              <w:left w:val="single" w:color="000000" w:sz="4" w:space="0"/>
              <w:bottom w:val="single" w:color="000000" w:sz="4" w:space="0"/>
              <w:right w:val="single" w:color="000000" w:sz="4" w:space="0"/>
            </w:tcBorders>
            <w:vAlign w:val="center"/>
          </w:tcPr>
          <w:p w14:paraId="3D24D301">
            <w:pPr>
              <w:widowControl/>
              <w:shd w:val="clear"/>
              <w:spacing w:line="360" w:lineRule="auto"/>
              <w:ind w:left="34" w:leftChars="16"/>
              <w:jc w:val="left"/>
              <w:rPr>
                <w:rFonts w:asciiTheme="minorEastAsia" w:hAnsiTheme="minorEastAsia" w:eastAsiaTheme="minorEastAsia"/>
                <w:color w:val="auto"/>
                <w:szCs w:val="21"/>
                <w:highlight w:val="none"/>
              </w:rPr>
            </w:pPr>
            <w:r>
              <w:rPr>
                <w:rFonts w:hint="eastAsia" w:ascii="宋体" w:hAnsi="宋体" w:cs="微软雅黑"/>
                <w:bCs/>
                <w:color w:val="auto"/>
                <w:szCs w:val="21"/>
                <w:highlight w:val="none"/>
              </w:rPr>
              <w:t>2024年</w:t>
            </w:r>
            <w:r>
              <w:rPr>
                <w:rFonts w:hint="eastAsia" w:ascii="宋体" w:hAnsi="宋体" w:cs="微软雅黑"/>
                <w:bCs/>
                <w:color w:val="auto"/>
                <w:szCs w:val="21"/>
                <w:highlight w:val="none"/>
                <w:lang w:val="en-US" w:eastAsia="zh-CN"/>
              </w:rPr>
              <w:t>9</w:t>
            </w:r>
            <w:r>
              <w:rPr>
                <w:rFonts w:hint="eastAsia" w:ascii="宋体" w:hAnsi="宋体" w:cs="微软雅黑"/>
                <w:bCs/>
                <w:color w:val="auto"/>
                <w:szCs w:val="21"/>
                <w:highlight w:val="none"/>
              </w:rPr>
              <w:t>月</w:t>
            </w:r>
            <w:r>
              <w:rPr>
                <w:rFonts w:hint="eastAsia" w:ascii="宋体" w:hAnsi="宋体" w:cs="微软雅黑"/>
                <w:bCs/>
                <w:color w:val="auto"/>
                <w:szCs w:val="21"/>
                <w:highlight w:val="none"/>
                <w:lang w:val="en-US" w:eastAsia="zh-CN"/>
              </w:rPr>
              <w:t>20</w:t>
            </w:r>
            <w:r>
              <w:rPr>
                <w:rFonts w:hint="eastAsia" w:ascii="宋体" w:hAnsi="宋体" w:cs="微软雅黑"/>
                <w:bCs/>
                <w:color w:val="auto"/>
                <w:szCs w:val="21"/>
                <w:highlight w:val="none"/>
              </w:rPr>
              <w:t>日</w:t>
            </w:r>
            <w:r>
              <w:rPr>
                <w:rFonts w:hint="eastAsia" w:asciiTheme="minorEastAsia" w:hAnsiTheme="minorEastAsia" w:eastAsiaTheme="minorEastAsia"/>
                <w:color w:val="auto"/>
                <w:szCs w:val="21"/>
                <w:highlight w:val="none"/>
              </w:rPr>
              <w:t>09时30分（北京时间）</w:t>
            </w:r>
          </w:p>
        </w:tc>
      </w:tr>
      <w:tr w14:paraId="605EBFAD">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3318BED8">
            <w:pPr>
              <w:widowControl/>
              <w:shd w:val="clear"/>
              <w:spacing w:line="360" w:lineRule="auto"/>
              <w:jc w:val="center"/>
              <w:rPr>
                <w:color w:val="auto"/>
                <w:kern w:val="0"/>
                <w:szCs w:val="21"/>
                <w:highlight w:val="none"/>
              </w:rPr>
            </w:pPr>
            <w:r>
              <w:rPr>
                <w:color w:val="auto"/>
                <w:kern w:val="0"/>
                <w:szCs w:val="21"/>
                <w:highlight w:val="none"/>
              </w:rPr>
              <w:t>4.2.2</w:t>
            </w:r>
          </w:p>
        </w:tc>
        <w:tc>
          <w:tcPr>
            <w:tcW w:w="1984" w:type="dxa"/>
            <w:tcBorders>
              <w:top w:val="single" w:color="000000" w:sz="4" w:space="0"/>
              <w:left w:val="single" w:color="000000" w:sz="4" w:space="0"/>
              <w:bottom w:val="single" w:color="000000" w:sz="4" w:space="0"/>
              <w:right w:val="single" w:color="000000" w:sz="4" w:space="0"/>
            </w:tcBorders>
            <w:vAlign w:val="center"/>
          </w:tcPr>
          <w:p w14:paraId="31EC698A">
            <w:pPr>
              <w:widowControl/>
              <w:shd w:val="clear"/>
              <w:spacing w:line="360" w:lineRule="auto"/>
              <w:jc w:val="center"/>
              <w:rPr>
                <w:color w:val="auto"/>
                <w:kern w:val="0"/>
                <w:szCs w:val="21"/>
                <w:highlight w:val="none"/>
              </w:rPr>
            </w:pPr>
            <w:r>
              <w:rPr>
                <w:color w:val="auto"/>
                <w:kern w:val="0"/>
                <w:szCs w:val="21"/>
                <w:highlight w:val="none"/>
              </w:rPr>
              <w:t>递交投标文件地点</w:t>
            </w:r>
          </w:p>
        </w:tc>
        <w:tc>
          <w:tcPr>
            <w:tcW w:w="6521" w:type="dxa"/>
            <w:tcBorders>
              <w:top w:val="single" w:color="000000" w:sz="4" w:space="0"/>
              <w:left w:val="single" w:color="000000" w:sz="4" w:space="0"/>
              <w:bottom w:val="single" w:color="000000" w:sz="4" w:space="0"/>
              <w:right w:val="single" w:color="000000" w:sz="4" w:space="0"/>
            </w:tcBorders>
            <w:vAlign w:val="center"/>
          </w:tcPr>
          <w:p w14:paraId="755A06FB">
            <w:pPr>
              <w:widowControl/>
              <w:shd w:val="clear"/>
              <w:spacing w:line="360" w:lineRule="auto"/>
              <w:ind w:left="34" w:leftChars="16"/>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投标人应按照本项目采购文件和</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政采云</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平台的要求编制、加密后在投标文件提交截止时间前上传至</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政采云</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平台，投标文件提交截止时间前未完成投标文件上传的，视为撤回投标文件。投标人在</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政采云</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平台提交电子版投标文件时，请填写参加远程采购活动经办人联系方式。</w:t>
            </w:r>
          </w:p>
        </w:tc>
      </w:tr>
      <w:tr w14:paraId="4B60986C">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45211716">
            <w:pPr>
              <w:widowControl/>
              <w:shd w:val="clear"/>
              <w:spacing w:line="360" w:lineRule="auto"/>
              <w:jc w:val="center"/>
              <w:rPr>
                <w:color w:val="auto"/>
                <w:kern w:val="0"/>
                <w:szCs w:val="21"/>
                <w:highlight w:val="none"/>
              </w:rPr>
            </w:pPr>
            <w:r>
              <w:rPr>
                <w:color w:val="auto"/>
                <w:kern w:val="0"/>
                <w:szCs w:val="21"/>
                <w:highlight w:val="none"/>
              </w:rPr>
              <w:t>4.2.3</w:t>
            </w:r>
          </w:p>
        </w:tc>
        <w:tc>
          <w:tcPr>
            <w:tcW w:w="1984" w:type="dxa"/>
            <w:tcBorders>
              <w:top w:val="single" w:color="000000" w:sz="4" w:space="0"/>
              <w:left w:val="single" w:color="000000" w:sz="4" w:space="0"/>
              <w:bottom w:val="single" w:color="000000" w:sz="4" w:space="0"/>
              <w:right w:val="single" w:color="000000" w:sz="4" w:space="0"/>
            </w:tcBorders>
            <w:vAlign w:val="center"/>
          </w:tcPr>
          <w:p w14:paraId="20290F13">
            <w:pPr>
              <w:widowControl/>
              <w:shd w:val="clear"/>
              <w:spacing w:line="360" w:lineRule="auto"/>
              <w:jc w:val="center"/>
              <w:rPr>
                <w:color w:val="auto"/>
                <w:kern w:val="0"/>
                <w:szCs w:val="21"/>
                <w:highlight w:val="none"/>
              </w:rPr>
            </w:pPr>
            <w:r>
              <w:rPr>
                <w:color w:val="auto"/>
                <w:kern w:val="0"/>
                <w:szCs w:val="21"/>
                <w:highlight w:val="none"/>
              </w:rPr>
              <w:t>是否退还投标文件</w:t>
            </w:r>
          </w:p>
        </w:tc>
        <w:tc>
          <w:tcPr>
            <w:tcW w:w="6521" w:type="dxa"/>
            <w:tcBorders>
              <w:top w:val="single" w:color="000000" w:sz="4" w:space="0"/>
              <w:left w:val="single" w:color="000000" w:sz="4" w:space="0"/>
              <w:bottom w:val="single" w:color="000000" w:sz="4" w:space="0"/>
              <w:right w:val="single" w:color="000000" w:sz="4" w:space="0"/>
            </w:tcBorders>
            <w:vAlign w:val="center"/>
          </w:tcPr>
          <w:p w14:paraId="54CBA7F6">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kern w:val="0"/>
                <w:szCs w:val="21"/>
                <w:highlight w:val="none"/>
              </w:rPr>
              <w:t>否</w:t>
            </w:r>
          </w:p>
          <w:p w14:paraId="540A6EB6">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kern w:val="0"/>
                <w:szCs w:val="21"/>
                <w:highlight w:val="none"/>
              </w:rPr>
              <w:t>是，退还安排：无</w:t>
            </w:r>
          </w:p>
        </w:tc>
      </w:tr>
      <w:tr w14:paraId="4427A801">
        <w:tblPrEx>
          <w:tblCellMar>
            <w:top w:w="0" w:type="dxa"/>
            <w:left w:w="108" w:type="dxa"/>
            <w:bottom w:w="0" w:type="dxa"/>
            <w:right w:w="108" w:type="dxa"/>
          </w:tblCellMar>
        </w:tblPrEx>
        <w:trPr>
          <w:trHeight w:val="417"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4263CFD0">
            <w:pPr>
              <w:widowControl/>
              <w:shd w:val="clear"/>
              <w:spacing w:line="360" w:lineRule="auto"/>
              <w:jc w:val="center"/>
              <w:rPr>
                <w:color w:val="auto"/>
                <w:kern w:val="0"/>
                <w:szCs w:val="21"/>
                <w:highlight w:val="none"/>
              </w:rPr>
            </w:pPr>
            <w:r>
              <w:rPr>
                <w:color w:val="auto"/>
                <w:kern w:val="0"/>
                <w:szCs w:val="21"/>
                <w:highlight w:val="none"/>
              </w:rPr>
              <w:t>5.1</w:t>
            </w:r>
          </w:p>
        </w:tc>
        <w:tc>
          <w:tcPr>
            <w:tcW w:w="1984" w:type="dxa"/>
            <w:tcBorders>
              <w:top w:val="single" w:color="000000" w:sz="4" w:space="0"/>
              <w:left w:val="single" w:color="000000" w:sz="4" w:space="0"/>
              <w:bottom w:val="single" w:color="000000" w:sz="4" w:space="0"/>
              <w:right w:val="single" w:color="000000" w:sz="4" w:space="0"/>
            </w:tcBorders>
            <w:vAlign w:val="center"/>
          </w:tcPr>
          <w:p w14:paraId="7635BC0B">
            <w:pPr>
              <w:widowControl/>
              <w:shd w:val="clear"/>
              <w:spacing w:line="360" w:lineRule="auto"/>
              <w:jc w:val="center"/>
              <w:rPr>
                <w:color w:val="auto"/>
                <w:kern w:val="0"/>
                <w:szCs w:val="21"/>
                <w:highlight w:val="none"/>
              </w:rPr>
            </w:pPr>
            <w:r>
              <w:rPr>
                <w:rFonts w:hint="eastAsia"/>
                <w:color w:val="auto"/>
                <w:kern w:val="0"/>
                <w:szCs w:val="21"/>
                <w:highlight w:val="none"/>
              </w:rPr>
              <w:t>开标</w:t>
            </w:r>
            <w:r>
              <w:rPr>
                <w:color w:val="auto"/>
                <w:kern w:val="0"/>
                <w:szCs w:val="21"/>
                <w:highlight w:val="none"/>
              </w:rPr>
              <w:t>时间和地点</w:t>
            </w:r>
          </w:p>
        </w:tc>
        <w:tc>
          <w:tcPr>
            <w:tcW w:w="6521" w:type="dxa"/>
            <w:tcBorders>
              <w:top w:val="single" w:color="000000" w:sz="4" w:space="0"/>
              <w:left w:val="single" w:color="000000" w:sz="4" w:space="0"/>
              <w:bottom w:val="single" w:color="000000" w:sz="4" w:space="0"/>
              <w:right w:val="single" w:color="000000" w:sz="4" w:space="0"/>
            </w:tcBorders>
            <w:vAlign w:val="center"/>
          </w:tcPr>
          <w:p w14:paraId="0D2AB63A">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开标时间：同投标文件递交截止时间</w:t>
            </w:r>
          </w:p>
          <w:p w14:paraId="04B5A224">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开标地点：同投标文件递交地点</w:t>
            </w:r>
          </w:p>
        </w:tc>
      </w:tr>
      <w:tr w14:paraId="61C9B6E8">
        <w:tblPrEx>
          <w:tblCellMar>
            <w:top w:w="0" w:type="dxa"/>
            <w:left w:w="108" w:type="dxa"/>
            <w:bottom w:w="0" w:type="dxa"/>
            <w:right w:w="108" w:type="dxa"/>
          </w:tblCellMar>
        </w:tblPrEx>
        <w:trPr>
          <w:trHeight w:val="417"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72BFE9DC">
            <w:pPr>
              <w:widowControl/>
              <w:shd w:val="clear"/>
              <w:spacing w:line="360" w:lineRule="auto"/>
              <w:jc w:val="center"/>
              <w:rPr>
                <w:color w:val="auto"/>
                <w:kern w:val="0"/>
                <w:szCs w:val="21"/>
                <w:highlight w:val="none"/>
              </w:rPr>
            </w:pPr>
            <w:r>
              <w:rPr>
                <w:rFonts w:hint="eastAsia"/>
                <w:color w:val="auto"/>
                <w:kern w:val="0"/>
                <w:szCs w:val="21"/>
                <w:highlight w:val="none"/>
              </w:rPr>
              <w:t>5</w:t>
            </w:r>
            <w:r>
              <w:rPr>
                <w:color w:val="auto"/>
                <w:kern w:val="0"/>
                <w:szCs w:val="21"/>
                <w:highlight w:val="none"/>
              </w:rPr>
              <w:t>.2</w:t>
            </w:r>
          </w:p>
        </w:tc>
        <w:tc>
          <w:tcPr>
            <w:tcW w:w="1984" w:type="dxa"/>
            <w:tcBorders>
              <w:top w:val="single" w:color="000000" w:sz="4" w:space="0"/>
              <w:left w:val="single" w:color="000000" w:sz="4" w:space="0"/>
              <w:bottom w:val="single" w:color="000000" w:sz="4" w:space="0"/>
              <w:right w:val="single" w:color="000000" w:sz="4" w:space="0"/>
            </w:tcBorders>
            <w:vAlign w:val="center"/>
          </w:tcPr>
          <w:p w14:paraId="1153811E">
            <w:pPr>
              <w:widowControl/>
              <w:shd w:val="clear"/>
              <w:spacing w:line="360" w:lineRule="auto"/>
              <w:jc w:val="center"/>
              <w:rPr>
                <w:color w:val="auto"/>
                <w:kern w:val="0"/>
                <w:szCs w:val="21"/>
                <w:highlight w:val="none"/>
              </w:rPr>
            </w:pPr>
            <w:r>
              <w:rPr>
                <w:rFonts w:hint="eastAsia"/>
                <w:color w:val="auto"/>
                <w:kern w:val="0"/>
                <w:szCs w:val="21"/>
                <w:highlight w:val="none"/>
              </w:rPr>
              <w:t>开标程序</w:t>
            </w:r>
          </w:p>
        </w:tc>
        <w:tc>
          <w:tcPr>
            <w:tcW w:w="6521" w:type="dxa"/>
            <w:tcBorders>
              <w:top w:val="single" w:color="000000" w:sz="4" w:space="0"/>
              <w:left w:val="single" w:color="000000" w:sz="4" w:space="0"/>
              <w:bottom w:val="single" w:color="000000" w:sz="4" w:space="0"/>
              <w:right w:val="single" w:color="000000" w:sz="4" w:space="0"/>
            </w:tcBorders>
            <w:vAlign w:val="center"/>
          </w:tcPr>
          <w:p w14:paraId="0ACF542F">
            <w:pPr>
              <w:pStyle w:val="15"/>
              <w:shd w:val="clear"/>
              <w:spacing w:line="360" w:lineRule="auto"/>
              <w:rPr>
                <w:rFonts w:cs="Malgun Gothic" w:asciiTheme="minorEastAsia" w:hAnsiTheme="minorEastAsia" w:eastAsiaTheme="minorEastAsia"/>
                <w:color w:val="auto"/>
                <w:szCs w:val="21"/>
                <w:highlight w:val="none"/>
              </w:rPr>
            </w:pPr>
            <w:r>
              <w:rPr>
                <w:rFonts w:hint="eastAsia" w:cs="Malgun Gothic" w:asciiTheme="minorEastAsia" w:hAnsiTheme="minorEastAsia" w:eastAsiaTheme="minorEastAsia"/>
                <w:color w:val="auto"/>
                <w:szCs w:val="21"/>
                <w:highlight w:val="none"/>
              </w:rPr>
              <w:t>开标会由采购代理机构主持，具体流程如下：</w:t>
            </w:r>
          </w:p>
          <w:p w14:paraId="26E25B48">
            <w:pPr>
              <w:pStyle w:val="15"/>
              <w:shd w:val="clear"/>
              <w:spacing w:line="360" w:lineRule="auto"/>
              <w:rPr>
                <w:rFonts w:cs="Malgun Gothic" w:asciiTheme="minorEastAsia" w:hAnsiTheme="minorEastAsia" w:eastAsiaTheme="minorEastAsia"/>
                <w:color w:val="auto"/>
                <w:szCs w:val="21"/>
                <w:highlight w:val="none"/>
              </w:rPr>
            </w:pPr>
            <w:r>
              <w:rPr>
                <w:rFonts w:hint="eastAsia" w:cs="Malgun Gothic" w:asciiTheme="minorEastAsia" w:hAnsiTheme="minorEastAsia" w:eastAsiaTheme="minorEastAsia"/>
                <w:color w:val="auto"/>
                <w:szCs w:val="21"/>
                <w:highlight w:val="none"/>
              </w:rPr>
              <w:t>（</w:t>
            </w:r>
            <w:r>
              <w:rPr>
                <w:rFonts w:cs="Malgun Gothic" w:asciiTheme="minorEastAsia" w:hAnsiTheme="minorEastAsia" w:eastAsiaTheme="minorEastAsia"/>
                <w:color w:val="auto"/>
                <w:szCs w:val="21"/>
                <w:highlight w:val="none"/>
              </w:rPr>
              <w:t>1）采购代理机构依托电子交易平台发起开始解密指令，投标人须使用加密时所用的CA</w:t>
            </w:r>
            <w:r>
              <w:rPr>
                <w:rFonts w:hint="eastAsia" w:cs="Malgun Gothic" w:asciiTheme="minorEastAsia" w:hAnsiTheme="minorEastAsia" w:eastAsiaTheme="minorEastAsia"/>
                <w:color w:val="auto"/>
                <w:szCs w:val="21"/>
                <w:highlight w:val="none"/>
              </w:rPr>
              <w:t>锁按平台提示和招标文件的规定登录到“政采云”平台电子开标大厅签到，并在发起解密指令之时起</w:t>
            </w:r>
            <w:r>
              <w:rPr>
                <w:rFonts w:cs="Malgun Gothic" w:asciiTheme="minorEastAsia" w:hAnsiTheme="minorEastAsia" w:eastAsiaTheme="minorEastAsia"/>
                <w:color w:val="auto"/>
                <w:szCs w:val="21"/>
                <w:highlight w:val="none"/>
              </w:rPr>
              <w:t>60分钟内完成对电子投标文件在线解密。</w:t>
            </w:r>
          </w:p>
          <w:p w14:paraId="099C39A8">
            <w:pPr>
              <w:pStyle w:val="15"/>
              <w:shd w:val="clear"/>
              <w:spacing w:line="360" w:lineRule="auto"/>
              <w:rPr>
                <w:rFonts w:cs="Malgun Gothic" w:asciiTheme="minorEastAsia" w:hAnsiTheme="minorEastAsia" w:eastAsiaTheme="minorEastAsia"/>
                <w:color w:val="auto"/>
                <w:szCs w:val="21"/>
                <w:highlight w:val="none"/>
              </w:rPr>
            </w:pPr>
            <w:r>
              <w:rPr>
                <w:rFonts w:hint="eastAsia" w:cs="Malgun Gothic" w:asciiTheme="minorEastAsia" w:hAnsiTheme="minorEastAsia" w:eastAsiaTheme="minorEastAsia"/>
                <w:color w:val="auto"/>
                <w:szCs w:val="21"/>
                <w:highlight w:val="none"/>
              </w:rPr>
              <w:t>（</w:t>
            </w:r>
            <w:r>
              <w:rPr>
                <w:rFonts w:cs="Malgun Gothic" w:asciiTheme="minorEastAsia" w:hAnsiTheme="minorEastAsia" w:eastAsiaTheme="minorEastAsia"/>
                <w:color w:val="auto"/>
                <w:szCs w:val="21"/>
                <w:highlight w:val="none"/>
              </w:rPr>
              <w:t>2）发起解密指令之时起5分钟内投标人还未进行解密的，代理机构可通知投标人，投标人未预留联系方式或预留联系方式无效，导致代理机构无法联系到投标人进行解密的，视为撤回投标文件。</w:t>
            </w:r>
          </w:p>
          <w:p w14:paraId="2D17DF8E">
            <w:pPr>
              <w:pStyle w:val="15"/>
              <w:shd w:val="clear"/>
              <w:spacing w:line="360" w:lineRule="auto"/>
              <w:rPr>
                <w:rFonts w:cs="Malgun Gothic" w:asciiTheme="minorEastAsia" w:hAnsiTheme="minorEastAsia" w:eastAsiaTheme="minorEastAsia"/>
                <w:color w:val="auto"/>
                <w:szCs w:val="21"/>
                <w:highlight w:val="none"/>
              </w:rPr>
            </w:pPr>
            <w:r>
              <w:rPr>
                <w:rFonts w:hint="eastAsia" w:cs="Malgun Gothic" w:asciiTheme="minorEastAsia" w:hAnsiTheme="minorEastAsia" w:eastAsiaTheme="minorEastAsia"/>
                <w:color w:val="auto"/>
                <w:szCs w:val="21"/>
                <w:highlight w:val="none"/>
              </w:rPr>
              <w:t>（解密异常情况处理：详见本章</w:t>
            </w:r>
            <w:r>
              <w:rPr>
                <w:rFonts w:cs="Malgun Gothic" w:asciiTheme="minorEastAsia" w:hAnsiTheme="minorEastAsia" w:eastAsiaTheme="minorEastAsia"/>
                <w:color w:val="auto"/>
                <w:szCs w:val="21"/>
                <w:highlight w:val="none"/>
              </w:rPr>
              <w:t>11.1</w:t>
            </w:r>
            <w:r>
              <w:rPr>
                <w:rFonts w:hint="eastAsia" w:cs="Malgun Gothic" w:asciiTheme="minorEastAsia" w:hAnsiTheme="minorEastAsia" w:eastAsiaTheme="minorEastAsia"/>
                <w:color w:val="auto"/>
                <w:szCs w:val="21"/>
                <w:highlight w:val="none"/>
              </w:rPr>
              <w:t>电子交易活动的中止）如投标人成功解密投标文件，但未在“政采云”电子开标大厅参加开标的，视同认可开标过程和结果，由此产生的后果由投标人自行负责。</w:t>
            </w:r>
          </w:p>
        </w:tc>
      </w:tr>
      <w:tr w14:paraId="55B9B857">
        <w:tblPrEx>
          <w:tblCellMar>
            <w:top w:w="0" w:type="dxa"/>
            <w:left w:w="108" w:type="dxa"/>
            <w:bottom w:w="0" w:type="dxa"/>
            <w:right w:w="108" w:type="dxa"/>
          </w:tblCellMar>
        </w:tblPrEx>
        <w:trPr>
          <w:trHeight w:val="38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19F1EBBF">
            <w:pPr>
              <w:widowControl/>
              <w:shd w:val="clear"/>
              <w:spacing w:line="360" w:lineRule="auto"/>
              <w:jc w:val="center"/>
              <w:rPr>
                <w:color w:val="auto"/>
                <w:kern w:val="0"/>
                <w:szCs w:val="21"/>
                <w:highlight w:val="none"/>
              </w:rPr>
            </w:pPr>
            <w:r>
              <w:rPr>
                <w:color w:val="auto"/>
                <w:kern w:val="0"/>
                <w:szCs w:val="21"/>
                <w:highlight w:val="none"/>
              </w:rPr>
              <w:t>7.1.1</w:t>
            </w:r>
          </w:p>
        </w:tc>
        <w:tc>
          <w:tcPr>
            <w:tcW w:w="1984" w:type="dxa"/>
            <w:tcBorders>
              <w:top w:val="single" w:color="000000" w:sz="4" w:space="0"/>
              <w:left w:val="single" w:color="000000" w:sz="4" w:space="0"/>
              <w:bottom w:val="single" w:color="000000" w:sz="4" w:space="0"/>
              <w:right w:val="single" w:color="000000" w:sz="4" w:space="0"/>
            </w:tcBorders>
            <w:vAlign w:val="center"/>
          </w:tcPr>
          <w:p w14:paraId="7DB321A7">
            <w:pPr>
              <w:widowControl/>
              <w:shd w:val="clear"/>
              <w:spacing w:line="360" w:lineRule="auto"/>
              <w:jc w:val="center"/>
              <w:rPr>
                <w:color w:val="auto"/>
                <w:kern w:val="0"/>
                <w:szCs w:val="21"/>
                <w:highlight w:val="none"/>
              </w:rPr>
            </w:pPr>
            <w:r>
              <w:rPr>
                <w:rFonts w:hint="eastAsia"/>
                <w:color w:val="auto"/>
                <w:kern w:val="0"/>
                <w:szCs w:val="21"/>
                <w:highlight w:val="none"/>
              </w:rPr>
              <w:t>评标委员会</w:t>
            </w:r>
            <w:r>
              <w:rPr>
                <w:color w:val="auto"/>
                <w:kern w:val="0"/>
                <w:szCs w:val="21"/>
                <w:highlight w:val="none"/>
              </w:rPr>
              <w:t>的组建</w:t>
            </w:r>
          </w:p>
        </w:tc>
        <w:tc>
          <w:tcPr>
            <w:tcW w:w="6521" w:type="dxa"/>
            <w:tcBorders>
              <w:top w:val="single" w:color="000000" w:sz="4" w:space="0"/>
              <w:left w:val="single" w:color="000000" w:sz="4" w:space="0"/>
              <w:bottom w:val="single" w:color="000000" w:sz="4" w:space="0"/>
              <w:right w:val="single" w:color="000000" w:sz="4" w:space="0"/>
            </w:tcBorders>
            <w:vAlign w:val="center"/>
          </w:tcPr>
          <w:p w14:paraId="58006395">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kern w:val="0"/>
                <w:szCs w:val="21"/>
                <w:highlight w:val="none"/>
              </w:rPr>
              <w:t>评标委员会</w:t>
            </w:r>
            <w:r>
              <w:rPr>
                <w:rFonts w:hint="eastAsia" w:asciiTheme="minorEastAsia" w:hAnsiTheme="minorEastAsia" w:eastAsiaTheme="minorEastAsia"/>
                <w:color w:val="auto"/>
                <w:szCs w:val="21"/>
                <w:highlight w:val="none"/>
              </w:rPr>
              <w:t>由采购人代表和评审专家组成，成员人数为</w:t>
            </w:r>
            <w:r>
              <w:rPr>
                <w:rFonts w:asciiTheme="minorEastAsia" w:hAnsiTheme="minorEastAsia" w:eastAsiaTheme="minorEastAsia"/>
                <w:color w:val="auto"/>
                <w:szCs w:val="21"/>
                <w:highlight w:val="none"/>
              </w:rPr>
              <w:t xml:space="preserve"> 5 </w:t>
            </w:r>
            <w:r>
              <w:rPr>
                <w:rFonts w:hint="eastAsia" w:asciiTheme="minorEastAsia" w:hAnsiTheme="minorEastAsia" w:eastAsiaTheme="minorEastAsia"/>
                <w:color w:val="auto"/>
                <w:szCs w:val="21"/>
                <w:highlight w:val="none"/>
              </w:rPr>
              <w:t>人以上单数，其中技术、经济专家不得少于成员总数的三分之二。</w:t>
            </w:r>
          </w:p>
        </w:tc>
      </w:tr>
      <w:tr w14:paraId="2ED4CFB5">
        <w:tblPrEx>
          <w:tblCellMar>
            <w:top w:w="0" w:type="dxa"/>
            <w:left w:w="108" w:type="dxa"/>
            <w:bottom w:w="0" w:type="dxa"/>
            <w:right w:w="108" w:type="dxa"/>
          </w:tblCellMar>
        </w:tblPrEx>
        <w:trPr>
          <w:trHeight w:val="38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6F7DF5F6">
            <w:pPr>
              <w:widowControl/>
              <w:shd w:val="clear"/>
              <w:spacing w:line="360" w:lineRule="auto"/>
              <w:jc w:val="center"/>
              <w:rPr>
                <w:color w:val="auto"/>
                <w:kern w:val="0"/>
                <w:szCs w:val="21"/>
                <w:highlight w:val="none"/>
              </w:rPr>
            </w:pPr>
            <w:r>
              <w:rPr>
                <w:color w:val="auto"/>
                <w:kern w:val="0"/>
                <w:szCs w:val="21"/>
                <w:highlight w:val="none"/>
              </w:rPr>
              <w:t>8.1</w:t>
            </w:r>
          </w:p>
        </w:tc>
        <w:tc>
          <w:tcPr>
            <w:tcW w:w="1984" w:type="dxa"/>
            <w:tcBorders>
              <w:top w:val="single" w:color="000000" w:sz="4" w:space="0"/>
              <w:left w:val="single" w:color="000000" w:sz="4" w:space="0"/>
              <w:bottom w:val="single" w:color="000000" w:sz="4" w:space="0"/>
              <w:right w:val="single" w:color="000000" w:sz="4" w:space="0"/>
            </w:tcBorders>
            <w:vAlign w:val="center"/>
          </w:tcPr>
          <w:p w14:paraId="20E13AA9">
            <w:pPr>
              <w:widowControl/>
              <w:shd w:val="clear"/>
              <w:spacing w:line="360" w:lineRule="auto"/>
              <w:jc w:val="center"/>
              <w:rPr>
                <w:color w:val="auto"/>
                <w:kern w:val="0"/>
                <w:szCs w:val="21"/>
                <w:highlight w:val="none"/>
              </w:rPr>
            </w:pPr>
            <w:r>
              <w:rPr>
                <w:color w:val="auto"/>
                <w:kern w:val="0"/>
                <w:szCs w:val="21"/>
                <w:highlight w:val="none"/>
              </w:rPr>
              <w:t>是否授权</w:t>
            </w:r>
            <w:r>
              <w:rPr>
                <w:rFonts w:hint="eastAsia"/>
                <w:color w:val="auto"/>
                <w:kern w:val="0"/>
                <w:szCs w:val="21"/>
                <w:highlight w:val="none"/>
              </w:rPr>
              <w:t>评标委员会</w:t>
            </w:r>
            <w:r>
              <w:rPr>
                <w:color w:val="auto"/>
                <w:kern w:val="0"/>
                <w:szCs w:val="21"/>
                <w:highlight w:val="none"/>
              </w:rPr>
              <w:t>确定</w:t>
            </w:r>
            <w:r>
              <w:rPr>
                <w:rFonts w:hint="eastAsia"/>
                <w:color w:val="auto"/>
                <w:highlight w:val="none"/>
              </w:rPr>
              <w:t>中标人</w:t>
            </w:r>
          </w:p>
        </w:tc>
        <w:tc>
          <w:tcPr>
            <w:tcW w:w="6521" w:type="dxa"/>
            <w:tcBorders>
              <w:top w:val="single" w:color="000000" w:sz="4" w:space="0"/>
              <w:left w:val="single" w:color="000000" w:sz="4" w:space="0"/>
              <w:bottom w:val="single" w:color="000000" w:sz="4" w:space="0"/>
              <w:right w:val="single" w:color="000000" w:sz="4" w:space="0"/>
            </w:tcBorders>
            <w:vAlign w:val="center"/>
          </w:tcPr>
          <w:p w14:paraId="37531508">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□是</w:t>
            </w:r>
          </w:p>
          <w:p w14:paraId="5226D650">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■否，推荐的</w:t>
            </w:r>
            <w:r>
              <w:rPr>
                <w:rFonts w:hint="eastAsia" w:asciiTheme="minorEastAsia" w:hAnsiTheme="minorEastAsia" w:eastAsiaTheme="minorEastAsia"/>
                <w:color w:val="auto"/>
                <w:highlight w:val="none"/>
              </w:rPr>
              <w:t>中标</w:t>
            </w:r>
            <w:r>
              <w:rPr>
                <w:rFonts w:hint="eastAsia" w:asciiTheme="minorEastAsia" w:hAnsiTheme="minorEastAsia" w:eastAsiaTheme="minorEastAsia"/>
                <w:color w:val="auto"/>
                <w:szCs w:val="21"/>
                <w:highlight w:val="none"/>
              </w:rPr>
              <w:t>候选人数：</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名</w:t>
            </w:r>
          </w:p>
        </w:tc>
      </w:tr>
      <w:tr w14:paraId="34B6868A">
        <w:tblPrEx>
          <w:tblCellMar>
            <w:top w:w="0" w:type="dxa"/>
            <w:left w:w="108" w:type="dxa"/>
            <w:bottom w:w="0" w:type="dxa"/>
            <w:right w:w="108" w:type="dxa"/>
          </w:tblCellMar>
        </w:tblPrEx>
        <w:trPr>
          <w:trHeight w:val="38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4ACCD168">
            <w:pPr>
              <w:widowControl/>
              <w:shd w:val="clear"/>
              <w:spacing w:line="360" w:lineRule="auto"/>
              <w:jc w:val="center"/>
              <w:rPr>
                <w:color w:val="auto"/>
                <w:kern w:val="0"/>
                <w:szCs w:val="21"/>
                <w:highlight w:val="none"/>
              </w:rPr>
            </w:pPr>
            <w:r>
              <w:rPr>
                <w:color w:val="auto"/>
                <w:kern w:val="0"/>
                <w:szCs w:val="21"/>
                <w:highlight w:val="none"/>
              </w:rPr>
              <w:t>8.2</w:t>
            </w:r>
          </w:p>
        </w:tc>
        <w:tc>
          <w:tcPr>
            <w:tcW w:w="1984" w:type="dxa"/>
            <w:tcBorders>
              <w:top w:val="single" w:color="000000" w:sz="4" w:space="0"/>
              <w:left w:val="single" w:color="000000" w:sz="4" w:space="0"/>
              <w:bottom w:val="single" w:color="000000" w:sz="4" w:space="0"/>
              <w:right w:val="single" w:color="000000" w:sz="4" w:space="0"/>
            </w:tcBorders>
            <w:vAlign w:val="center"/>
          </w:tcPr>
          <w:p w14:paraId="1193A267">
            <w:pPr>
              <w:widowControl/>
              <w:shd w:val="clear"/>
              <w:spacing w:line="360" w:lineRule="auto"/>
              <w:jc w:val="center"/>
              <w:rPr>
                <w:color w:val="auto"/>
                <w:highlight w:val="none"/>
              </w:rPr>
            </w:pPr>
            <w:r>
              <w:rPr>
                <w:rFonts w:hint="eastAsia"/>
                <w:color w:val="auto"/>
                <w:highlight w:val="none"/>
              </w:rPr>
              <w:t>中标</w:t>
            </w:r>
            <w:r>
              <w:rPr>
                <w:rFonts w:hint="eastAsia"/>
                <w:color w:val="auto"/>
                <w:kern w:val="0"/>
                <w:szCs w:val="21"/>
                <w:highlight w:val="none"/>
              </w:rPr>
              <w:t>公告媒介及期限</w:t>
            </w:r>
          </w:p>
        </w:tc>
        <w:tc>
          <w:tcPr>
            <w:tcW w:w="6521" w:type="dxa"/>
            <w:tcBorders>
              <w:top w:val="single" w:color="000000" w:sz="4" w:space="0"/>
              <w:left w:val="single" w:color="000000" w:sz="4" w:space="0"/>
              <w:bottom w:val="single" w:color="000000" w:sz="4" w:space="0"/>
              <w:right w:val="single" w:color="000000" w:sz="4" w:space="0"/>
            </w:tcBorders>
            <w:vAlign w:val="center"/>
          </w:tcPr>
          <w:p w14:paraId="73FDB238">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公告媒介：同招标公告发布媒介</w:t>
            </w:r>
          </w:p>
          <w:p w14:paraId="7CE638F9">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公告期限：</w:t>
            </w:r>
            <w:r>
              <w:rPr>
                <w:rFonts w:asciiTheme="minorEastAsia" w:hAnsiTheme="minorEastAsia" w:eastAsiaTheme="minorEastAsia"/>
                <w:color w:val="auto"/>
                <w:szCs w:val="21"/>
                <w:highlight w:val="none"/>
              </w:rPr>
              <w:t>1个工作日</w:t>
            </w:r>
          </w:p>
        </w:tc>
      </w:tr>
      <w:tr w14:paraId="46B6B5BB">
        <w:tblPrEx>
          <w:tblCellMar>
            <w:top w:w="0" w:type="dxa"/>
            <w:left w:w="108" w:type="dxa"/>
            <w:bottom w:w="0" w:type="dxa"/>
            <w:right w:w="108" w:type="dxa"/>
          </w:tblCellMar>
        </w:tblPrEx>
        <w:trPr>
          <w:trHeight w:val="424"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28DF7613">
            <w:pPr>
              <w:widowControl/>
              <w:shd w:val="clear"/>
              <w:spacing w:line="360" w:lineRule="auto"/>
              <w:jc w:val="center"/>
              <w:rPr>
                <w:color w:val="auto"/>
                <w:kern w:val="0"/>
                <w:szCs w:val="21"/>
                <w:highlight w:val="none"/>
              </w:rPr>
            </w:pPr>
            <w:r>
              <w:rPr>
                <w:color w:val="auto"/>
                <w:kern w:val="0"/>
                <w:szCs w:val="21"/>
                <w:highlight w:val="none"/>
              </w:rPr>
              <w:t>8.4.1</w:t>
            </w:r>
          </w:p>
        </w:tc>
        <w:tc>
          <w:tcPr>
            <w:tcW w:w="1984" w:type="dxa"/>
            <w:tcBorders>
              <w:top w:val="single" w:color="000000" w:sz="4" w:space="0"/>
              <w:left w:val="single" w:color="000000" w:sz="4" w:space="0"/>
              <w:bottom w:val="single" w:color="000000" w:sz="4" w:space="0"/>
              <w:right w:val="single" w:color="000000" w:sz="4" w:space="0"/>
            </w:tcBorders>
            <w:vAlign w:val="center"/>
          </w:tcPr>
          <w:p w14:paraId="5FE897FC">
            <w:pPr>
              <w:widowControl/>
              <w:shd w:val="clear"/>
              <w:spacing w:line="360" w:lineRule="auto"/>
              <w:jc w:val="center"/>
              <w:rPr>
                <w:color w:val="auto"/>
                <w:kern w:val="0"/>
                <w:szCs w:val="21"/>
                <w:highlight w:val="none"/>
              </w:rPr>
            </w:pPr>
            <w:r>
              <w:rPr>
                <w:color w:val="auto"/>
                <w:kern w:val="0"/>
                <w:szCs w:val="21"/>
                <w:highlight w:val="none"/>
              </w:rPr>
              <w:t>履约保证金</w:t>
            </w:r>
            <w:r>
              <w:rPr>
                <w:rFonts w:hint="eastAsia"/>
                <w:color w:val="auto"/>
                <w:kern w:val="0"/>
                <w:szCs w:val="21"/>
                <w:highlight w:val="none"/>
              </w:rPr>
              <w:t xml:space="preserve"> </w:t>
            </w:r>
          </w:p>
        </w:tc>
        <w:tc>
          <w:tcPr>
            <w:tcW w:w="6521" w:type="dxa"/>
            <w:tcBorders>
              <w:top w:val="single" w:color="000000" w:sz="4" w:space="0"/>
              <w:left w:val="single" w:color="000000" w:sz="4" w:space="0"/>
              <w:bottom w:val="single" w:color="000000" w:sz="4" w:space="0"/>
              <w:right w:val="single" w:color="000000" w:sz="4" w:space="0"/>
            </w:tcBorders>
            <w:vAlign w:val="center"/>
          </w:tcPr>
          <w:p w14:paraId="089C1185">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是否要求</w:t>
            </w:r>
            <w:r>
              <w:rPr>
                <w:rFonts w:hint="eastAsia" w:asciiTheme="minorEastAsia" w:hAnsiTheme="minorEastAsia" w:eastAsiaTheme="minorEastAsia"/>
                <w:color w:val="auto"/>
                <w:highlight w:val="none"/>
              </w:rPr>
              <w:t>中标人</w:t>
            </w:r>
            <w:r>
              <w:rPr>
                <w:rFonts w:hint="eastAsia" w:asciiTheme="minorEastAsia" w:hAnsiTheme="minorEastAsia" w:eastAsiaTheme="minorEastAsia"/>
                <w:color w:val="auto"/>
                <w:szCs w:val="21"/>
                <w:highlight w:val="none"/>
              </w:rPr>
              <w:t>提交履约保证金：</w:t>
            </w:r>
          </w:p>
          <w:p w14:paraId="776B8393">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■不要求</w:t>
            </w:r>
          </w:p>
          <w:p w14:paraId="2D4C9130">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□要求</w:t>
            </w:r>
          </w:p>
        </w:tc>
      </w:tr>
      <w:tr w14:paraId="569E0CB3">
        <w:tblPrEx>
          <w:tblCellMar>
            <w:top w:w="0" w:type="dxa"/>
            <w:left w:w="108" w:type="dxa"/>
            <w:bottom w:w="0" w:type="dxa"/>
            <w:right w:w="108" w:type="dxa"/>
          </w:tblCellMar>
        </w:tblPrEx>
        <w:trPr>
          <w:trHeight w:val="51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3951BBED">
            <w:pPr>
              <w:widowControl/>
              <w:shd w:val="clear"/>
              <w:spacing w:line="360" w:lineRule="auto"/>
              <w:jc w:val="center"/>
              <w:rPr>
                <w:b/>
                <w:color w:val="auto"/>
                <w:kern w:val="0"/>
                <w:szCs w:val="21"/>
                <w:highlight w:val="none"/>
              </w:rPr>
            </w:pPr>
            <w:r>
              <w:rPr>
                <w:b/>
                <w:color w:val="auto"/>
                <w:kern w:val="0"/>
                <w:szCs w:val="21"/>
                <w:highlight w:val="none"/>
              </w:rPr>
              <w:t>11</w:t>
            </w:r>
          </w:p>
        </w:tc>
        <w:tc>
          <w:tcPr>
            <w:tcW w:w="8505" w:type="dxa"/>
            <w:gridSpan w:val="2"/>
            <w:tcBorders>
              <w:top w:val="single" w:color="000000" w:sz="4" w:space="0"/>
              <w:left w:val="single" w:color="000000" w:sz="4" w:space="0"/>
              <w:bottom w:val="single" w:color="000000" w:sz="4" w:space="0"/>
              <w:right w:val="single" w:color="000000" w:sz="4" w:space="0"/>
            </w:tcBorders>
            <w:vAlign w:val="center"/>
          </w:tcPr>
          <w:p w14:paraId="21F9B287">
            <w:pPr>
              <w:widowControl/>
              <w:shd w:val="clear"/>
              <w:spacing w:line="360" w:lineRule="auto"/>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需要补充的其他内容</w:t>
            </w:r>
          </w:p>
        </w:tc>
      </w:tr>
      <w:tr w14:paraId="4C040697">
        <w:tblPrEx>
          <w:tblCellMar>
            <w:top w:w="0" w:type="dxa"/>
            <w:left w:w="108" w:type="dxa"/>
            <w:bottom w:w="0" w:type="dxa"/>
            <w:right w:w="108" w:type="dxa"/>
          </w:tblCellMar>
        </w:tblPrEx>
        <w:trPr>
          <w:trHeight w:val="551"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2EF60FE5">
            <w:pPr>
              <w:widowControl/>
              <w:shd w:val="clear"/>
              <w:spacing w:line="360" w:lineRule="auto"/>
              <w:jc w:val="center"/>
              <w:rPr>
                <w:bCs/>
                <w:color w:val="auto"/>
                <w:kern w:val="0"/>
                <w:szCs w:val="21"/>
                <w:highlight w:val="none"/>
              </w:rPr>
            </w:pPr>
            <w:r>
              <w:rPr>
                <w:bCs/>
                <w:color w:val="auto"/>
                <w:kern w:val="0"/>
                <w:szCs w:val="21"/>
                <w:highlight w:val="none"/>
              </w:rPr>
              <w:t>11.3</w:t>
            </w:r>
          </w:p>
        </w:tc>
        <w:tc>
          <w:tcPr>
            <w:tcW w:w="1984" w:type="dxa"/>
            <w:tcBorders>
              <w:top w:val="single" w:color="000000" w:sz="4" w:space="0"/>
              <w:left w:val="single" w:color="000000" w:sz="4" w:space="0"/>
              <w:bottom w:val="single" w:color="000000" w:sz="4" w:space="0"/>
              <w:right w:val="single" w:color="000000" w:sz="4" w:space="0"/>
            </w:tcBorders>
            <w:vAlign w:val="center"/>
          </w:tcPr>
          <w:p w14:paraId="23AC500A">
            <w:pPr>
              <w:widowControl/>
              <w:shd w:val="clear"/>
              <w:spacing w:line="360" w:lineRule="auto"/>
              <w:jc w:val="center"/>
              <w:rPr>
                <w:bCs/>
                <w:color w:val="auto"/>
                <w:kern w:val="0"/>
                <w:szCs w:val="21"/>
                <w:highlight w:val="none"/>
              </w:rPr>
            </w:pPr>
            <w:r>
              <w:rPr>
                <w:rFonts w:hint="eastAsia"/>
                <w:bCs/>
                <w:color w:val="auto"/>
                <w:kern w:val="0"/>
                <w:szCs w:val="21"/>
                <w:highlight w:val="none"/>
              </w:rPr>
              <w:t>评审办法</w:t>
            </w:r>
          </w:p>
        </w:tc>
        <w:tc>
          <w:tcPr>
            <w:tcW w:w="6521" w:type="dxa"/>
            <w:tcBorders>
              <w:top w:val="single" w:color="000000" w:sz="4" w:space="0"/>
              <w:left w:val="single" w:color="000000" w:sz="4" w:space="0"/>
              <w:bottom w:val="single" w:color="000000" w:sz="4" w:space="0"/>
              <w:right w:val="single" w:color="000000" w:sz="4" w:space="0"/>
            </w:tcBorders>
            <w:vAlign w:val="center"/>
          </w:tcPr>
          <w:p w14:paraId="0C3AB5FC">
            <w:pPr>
              <w:widowControl/>
              <w:shd w:val="clea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综合评分法</w:t>
            </w:r>
          </w:p>
        </w:tc>
      </w:tr>
      <w:tr w14:paraId="1E5FD206">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37FAF81C">
            <w:pPr>
              <w:widowControl/>
              <w:shd w:val="clear"/>
              <w:spacing w:line="360" w:lineRule="auto"/>
              <w:jc w:val="center"/>
              <w:rPr>
                <w:bCs/>
                <w:color w:val="auto"/>
                <w:kern w:val="0"/>
                <w:szCs w:val="21"/>
                <w:highlight w:val="none"/>
              </w:rPr>
            </w:pPr>
            <w:r>
              <w:rPr>
                <w:bCs/>
                <w:color w:val="auto"/>
                <w:kern w:val="0"/>
                <w:szCs w:val="21"/>
                <w:highlight w:val="none"/>
              </w:rPr>
              <w:t>11.4</w:t>
            </w:r>
          </w:p>
        </w:tc>
        <w:tc>
          <w:tcPr>
            <w:tcW w:w="1984" w:type="dxa"/>
            <w:tcBorders>
              <w:top w:val="single" w:color="000000" w:sz="4" w:space="0"/>
              <w:left w:val="single" w:color="000000" w:sz="4" w:space="0"/>
              <w:bottom w:val="single" w:color="000000" w:sz="4" w:space="0"/>
              <w:right w:val="single" w:color="000000" w:sz="4" w:space="0"/>
            </w:tcBorders>
            <w:vAlign w:val="center"/>
          </w:tcPr>
          <w:p w14:paraId="39DBA63F">
            <w:pPr>
              <w:widowControl/>
              <w:shd w:val="clear"/>
              <w:spacing w:line="360" w:lineRule="auto"/>
              <w:jc w:val="center"/>
              <w:rPr>
                <w:color w:val="auto"/>
                <w:szCs w:val="21"/>
                <w:highlight w:val="none"/>
              </w:rPr>
            </w:pPr>
            <w:r>
              <w:rPr>
                <w:color w:val="auto"/>
                <w:szCs w:val="21"/>
                <w:highlight w:val="none"/>
              </w:rPr>
              <w:t>知识产权</w:t>
            </w:r>
          </w:p>
        </w:tc>
        <w:tc>
          <w:tcPr>
            <w:tcW w:w="6521" w:type="dxa"/>
            <w:tcBorders>
              <w:top w:val="single" w:color="000000" w:sz="4" w:space="0"/>
              <w:left w:val="single" w:color="000000" w:sz="4" w:space="0"/>
              <w:bottom w:val="single" w:color="000000" w:sz="4" w:space="0"/>
              <w:right w:val="single" w:color="000000" w:sz="4" w:space="0"/>
            </w:tcBorders>
            <w:vAlign w:val="center"/>
          </w:tcPr>
          <w:p w14:paraId="1F673492">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rPr>
              <w:t>）构成本招标文件各个组成部分的文件，未经采购人书面同意，投标人不得擅自复印和用于非本采购项目所需的其他目的。采购人全部或者部分使用未</w:t>
            </w:r>
            <w:r>
              <w:rPr>
                <w:rFonts w:hint="eastAsia" w:asciiTheme="minorEastAsia" w:hAnsiTheme="minorEastAsia" w:eastAsiaTheme="minorEastAsia"/>
                <w:color w:val="auto"/>
                <w:highlight w:val="none"/>
              </w:rPr>
              <w:t>中标人</w:t>
            </w:r>
            <w:r>
              <w:rPr>
                <w:rFonts w:hint="eastAsia" w:asciiTheme="minorEastAsia" w:hAnsiTheme="minorEastAsia" w:eastAsiaTheme="minorEastAsia"/>
                <w:color w:val="auto"/>
                <w:szCs w:val="21"/>
                <w:highlight w:val="none"/>
              </w:rPr>
              <w:t>投标文件中的技术成果或技术方案时，需征得其书面同意，并不得擅自复印或提供给第三人。</w:t>
            </w:r>
          </w:p>
          <w:p w14:paraId="146746DC">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）投标人保证投标文件及资料均未侵犯他人的知识产权，否则必须承担由此引起的全部法律责任和经济责任。</w:t>
            </w:r>
          </w:p>
          <w:p w14:paraId="576A05DA">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）若投标人使用了他人的专利、专有技术，涉及的费用由投标人负责。</w:t>
            </w:r>
          </w:p>
        </w:tc>
      </w:tr>
      <w:tr w14:paraId="1C17AAD5">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081F719F">
            <w:pPr>
              <w:widowControl/>
              <w:shd w:val="clear"/>
              <w:spacing w:line="360" w:lineRule="auto"/>
              <w:jc w:val="center"/>
              <w:rPr>
                <w:bCs/>
                <w:color w:val="auto"/>
                <w:kern w:val="0"/>
                <w:szCs w:val="21"/>
                <w:highlight w:val="none"/>
              </w:rPr>
            </w:pPr>
            <w:r>
              <w:rPr>
                <w:bCs/>
                <w:color w:val="auto"/>
                <w:kern w:val="0"/>
                <w:szCs w:val="21"/>
                <w:highlight w:val="none"/>
              </w:rPr>
              <w:t>11.5</w:t>
            </w:r>
          </w:p>
        </w:tc>
        <w:tc>
          <w:tcPr>
            <w:tcW w:w="1984" w:type="dxa"/>
            <w:tcBorders>
              <w:top w:val="single" w:color="000000" w:sz="4" w:space="0"/>
              <w:left w:val="single" w:color="000000" w:sz="4" w:space="0"/>
              <w:bottom w:val="single" w:color="000000" w:sz="4" w:space="0"/>
              <w:right w:val="single" w:color="000000" w:sz="4" w:space="0"/>
            </w:tcBorders>
            <w:vAlign w:val="center"/>
          </w:tcPr>
          <w:p w14:paraId="2551199A">
            <w:pPr>
              <w:widowControl/>
              <w:shd w:val="clear"/>
              <w:spacing w:line="360" w:lineRule="auto"/>
              <w:jc w:val="center"/>
              <w:rPr>
                <w:color w:val="auto"/>
                <w:szCs w:val="21"/>
                <w:highlight w:val="none"/>
              </w:rPr>
            </w:pPr>
            <w:r>
              <w:rPr>
                <w:color w:val="auto"/>
                <w:szCs w:val="21"/>
                <w:highlight w:val="none"/>
              </w:rPr>
              <w:t>重新组织</w:t>
            </w:r>
            <w:r>
              <w:rPr>
                <w:rFonts w:hint="eastAsia"/>
                <w:color w:val="auto"/>
                <w:szCs w:val="21"/>
                <w:highlight w:val="none"/>
              </w:rPr>
              <w:t>招标</w:t>
            </w:r>
            <w:r>
              <w:rPr>
                <w:color w:val="auto"/>
                <w:szCs w:val="21"/>
                <w:highlight w:val="none"/>
              </w:rPr>
              <w:t>的其他情形</w:t>
            </w:r>
          </w:p>
        </w:tc>
        <w:tc>
          <w:tcPr>
            <w:tcW w:w="6521" w:type="dxa"/>
            <w:tcBorders>
              <w:top w:val="single" w:color="000000" w:sz="4" w:space="0"/>
              <w:left w:val="single" w:color="000000" w:sz="4" w:space="0"/>
              <w:bottom w:val="single" w:color="000000" w:sz="4" w:space="0"/>
              <w:right w:val="single" w:color="000000" w:sz="4" w:space="0"/>
            </w:tcBorders>
            <w:vAlign w:val="center"/>
          </w:tcPr>
          <w:p w14:paraId="3E067D4F">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有下列情形之一的，采购人将重新开展采购活动：</w:t>
            </w:r>
          </w:p>
          <w:p w14:paraId="361BBCC6">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（一）投标人不足</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家的；</w:t>
            </w:r>
            <w:r>
              <w:rPr>
                <w:rFonts w:asciiTheme="minorEastAsia" w:hAnsiTheme="minorEastAsia" w:eastAsiaTheme="minorEastAsia"/>
                <w:color w:val="auto"/>
                <w:szCs w:val="21"/>
                <w:highlight w:val="none"/>
              </w:rPr>
              <w:t xml:space="preserve"> </w:t>
            </w:r>
          </w:p>
          <w:p w14:paraId="46946BB6">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（二）</w:t>
            </w:r>
            <w:r>
              <w:rPr>
                <w:rFonts w:hint="eastAsia" w:asciiTheme="minorEastAsia" w:hAnsiTheme="minorEastAsia" w:eastAsiaTheme="minorEastAsia"/>
                <w:color w:val="auto"/>
                <w:highlight w:val="none"/>
              </w:rPr>
              <w:t>招标文件存在不合理条款或者招标程序不符合规定的，采购人、采购代理机构改正后依法重新招标</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 xml:space="preserve"> </w:t>
            </w:r>
          </w:p>
          <w:p w14:paraId="3C387456">
            <w:pPr>
              <w:shd w:val="clea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（三）招标文件没有不合理条款、招标程序符合规定，需要采用其他采购方式采购的，采购人应当依法报财政部门批准后</w:t>
            </w:r>
            <w:r>
              <w:rPr>
                <w:rFonts w:hint="eastAsia" w:asciiTheme="minorEastAsia" w:hAnsiTheme="minorEastAsia" w:eastAsiaTheme="minorEastAsia"/>
                <w:color w:val="auto"/>
                <w:highlight w:val="none"/>
              </w:rPr>
              <w:t>重新招标</w:t>
            </w:r>
            <w:r>
              <w:rPr>
                <w:rFonts w:hint="eastAsia" w:asciiTheme="minorEastAsia" w:hAnsiTheme="minorEastAsia" w:eastAsiaTheme="minorEastAsia"/>
                <w:color w:val="auto"/>
                <w:szCs w:val="21"/>
                <w:highlight w:val="none"/>
              </w:rPr>
              <w:t>。</w:t>
            </w:r>
          </w:p>
        </w:tc>
      </w:tr>
      <w:tr w14:paraId="2B35A9CD">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628061A9">
            <w:pPr>
              <w:widowControl/>
              <w:shd w:val="clear"/>
              <w:spacing w:line="360" w:lineRule="auto"/>
              <w:jc w:val="center"/>
              <w:rPr>
                <w:bCs/>
                <w:color w:val="auto"/>
                <w:kern w:val="0"/>
                <w:szCs w:val="21"/>
                <w:highlight w:val="none"/>
              </w:rPr>
            </w:pPr>
            <w:r>
              <w:rPr>
                <w:bCs/>
                <w:color w:val="auto"/>
                <w:kern w:val="0"/>
                <w:szCs w:val="21"/>
                <w:highlight w:val="none"/>
              </w:rPr>
              <w:t>11.6</w:t>
            </w:r>
          </w:p>
        </w:tc>
        <w:tc>
          <w:tcPr>
            <w:tcW w:w="1984" w:type="dxa"/>
            <w:tcBorders>
              <w:top w:val="single" w:color="000000" w:sz="4" w:space="0"/>
              <w:left w:val="single" w:color="000000" w:sz="4" w:space="0"/>
              <w:bottom w:val="single" w:color="000000" w:sz="4" w:space="0"/>
              <w:right w:val="single" w:color="000000" w:sz="4" w:space="0"/>
            </w:tcBorders>
            <w:vAlign w:val="center"/>
          </w:tcPr>
          <w:p w14:paraId="6EE76CAB">
            <w:pPr>
              <w:widowControl/>
              <w:shd w:val="clear"/>
              <w:spacing w:line="360" w:lineRule="auto"/>
              <w:jc w:val="center"/>
              <w:rPr>
                <w:color w:val="auto"/>
                <w:szCs w:val="21"/>
                <w:highlight w:val="none"/>
              </w:rPr>
            </w:pPr>
            <w:r>
              <w:rPr>
                <w:color w:val="auto"/>
                <w:szCs w:val="21"/>
                <w:highlight w:val="none"/>
              </w:rPr>
              <w:t>同义词语</w:t>
            </w:r>
          </w:p>
        </w:tc>
        <w:tc>
          <w:tcPr>
            <w:tcW w:w="6521" w:type="dxa"/>
            <w:tcBorders>
              <w:top w:val="single" w:color="000000" w:sz="4" w:space="0"/>
              <w:left w:val="single" w:color="000000" w:sz="4" w:space="0"/>
              <w:bottom w:val="single" w:color="000000" w:sz="4" w:space="0"/>
              <w:right w:val="single" w:color="000000" w:sz="4" w:space="0"/>
            </w:tcBorders>
            <w:vAlign w:val="center"/>
          </w:tcPr>
          <w:p w14:paraId="5373CD82">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构成招标文件组成部分的</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通用合同条款</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专用合同条款</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技术标准</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等章节中若出现措辞</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发包人</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和</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承包人</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，在招标阶段应当分别按</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采购人</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和</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投标人</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进行理解。</w:t>
            </w:r>
          </w:p>
        </w:tc>
      </w:tr>
      <w:tr w14:paraId="6EE24CFF">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1D1F4BB1">
            <w:pPr>
              <w:widowControl/>
              <w:shd w:val="clear"/>
              <w:spacing w:line="360" w:lineRule="auto"/>
              <w:jc w:val="center"/>
              <w:rPr>
                <w:bCs/>
                <w:color w:val="auto"/>
                <w:kern w:val="0"/>
                <w:szCs w:val="21"/>
                <w:highlight w:val="none"/>
              </w:rPr>
            </w:pPr>
            <w:r>
              <w:rPr>
                <w:bCs/>
                <w:color w:val="auto"/>
                <w:kern w:val="0"/>
                <w:szCs w:val="21"/>
                <w:highlight w:val="none"/>
              </w:rPr>
              <w:t>11.7</w:t>
            </w:r>
          </w:p>
        </w:tc>
        <w:tc>
          <w:tcPr>
            <w:tcW w:w="1984" w:type="dxa"/>
            <w:tcBorders>
              <w:top w:val="single" w:color="000000" w:sz="4" w:space="0"/>
              <w:left w:val="single" w:color="000000" w:sz="4" w:space="0"/>
              <w:bottom w:val="single" w:color="000000" w:sz="4" w:space="0"/>
              <w:right w:val="single" w:color="000000" w:sz="4" w:space="0"/>
            </w:tcBorders>
            <w:vAlign w:val="center"/>
          </w:tcPr>
          <w:p w14:paraId="6EF4FBB1">
            <w:pPr>
              <w:widowControl/>
              <w:shd w:val="clear"/>
              <w:spacing w:line="360" w:lineRule="auto"/>
              <w:jc w:val="center"/>
              <w:rPr>
                <w:color w:val="auto"/>
                <w:kern w:val="0"/>
                <w:szCs w:val="21"/>
                <w:highlight w:val="none"/>
              </w:rPr>
            </w:pPr>
            <w:r>
              <w:rPr>
                <w:color w:val="auto"/>
                <w:kern w:val="0"/>
                <w:szCs w:val="21"/>
                <w:highlight w:val="none"/>
              </w:rPr>
              <w:t>监督</w:t>
            </w:r>
          </w:p>
        </w:tc>
        <w:tc>
          <w:tcPr>
            <w:tcW w:w="6521" w:type="dxa"/>
            <w:tcBorders>
              <w:top w:val="single" w:color="000000" w:sz="4" w:space="0"/>
              <w:left w:val="single" w:color="000000" w:sz="4" w:space="0"/>
              <w:bottom w:val="single" w:color="000000" w:sz="4" w:space="0"/>
              <w:right w:val="single" w:color="000000" w:sz="4" w:space="0"/>
            </w:tcBorders>
            <w:vAlign w:val="center"/>
          </w:tcPr>
          <w:p w14:paraId="7DFD19F9">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本项目的采购活动应当接受主管部门及采购人监督部门依法实施的监督。</w:t>
            </w:r>
          </w:p>
        </w:tc>
      </w:tr>
      <w:tr w14:paraId="06D8BB06">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77DBCD6A">
            <w:pPr>
              <w:widowControl/>
              <w:shd w:val="clear"/>
              <w:spacing w:line="360" w:lineRule="auto"/>
              <w:jc w:val="center"/>
              <w:rPr>
                <w:bCs/>
                <w:color w:val="auto"/>
                <w:kern w:val="0"/>
                <w:szCs w:val="21"/>
                <w:highlight w:val="none"/>
              </w:rPr>
            </w:pPr>
            <w:r>
              <w:rPr>
                <w:bCs/>
                <w:color w:val="auto"/>
                <w:kern w:val="0"/>
                <w:szCs w:val="21"/>
                <w:highlight w:val="none"/>
              </w:rPr>
              <w:t>11.8</w:t>
            </w:r>
          </w:p>
        </w:tc>
        <w:tc>
          <w:tcPr>
            <w:tcW w:w="1984" w:type="dxa"/>
            <w:tcBorders>
              <w:top w:val="single" w:color="000000" w:sz="4" w:space="0"/>
              <w:left w:val="single" w:color="000000" w:sz="4" w:space="0"/>
              <w:bottom w:val="single" w:color="000000" w:sz="4" w:space="0"/>
              <w:right w:val="single" w:color="000000" w:sz="4" w:space="0"/>
            </w:tcBorders>
            <w:vAlign w:val="center"/>
          </w:tcPr>
          <w:p w14:paraId="67033AD4">
            <w:pPr>
              <w:widowControl/>
              <w:shd w:val="clear"/>
              <w:spacing w:line="360" w:lineRule="auto"/>
              <w:jc w:val="center"/>
              <w:rPr>
                <w:color w:val="auto"/>
                <w:szCs w:val="21"/>
                <w:highlight w:val="none"/>
              </w:rPr>
            </w:pPr>
            <w:r>
              <w:rPr>
                <w:color w:val="auto"/>
                <w:szCs w:val="21"/>
                <w:highlight w:val="none"/>
              </w:rPr>
              <w:t>解释权</w:t>
            </w:r>
          </w:p>
        </w:tc>
        <w:tc>
          <w:tcPr>
            <w:tcW w:w="6521" w:type="dxa"/>
            <w:tcBorders>
              <w:top w:val="single" w:color="000000" w:sz="4" w:space="0"/>
              <w:left w:val="single" w:color="000000" w:sz="4" w:space="0"/>
              <w:bottom w:val="single" w:color="000000" w:sz="4" w:space="0"/>
              <w:right w:val="single" w:color="000000" w:sz="4" w:space="0"/>
            </w:tcBorders>
            <w:vAlign w:val="center"/>
          </w:tcPr>
          <w:p w14:paraId="45593611">
            <w:pPr>
              <w:widowControl/>
              <w:shd w:val="clear"/>
              <w:spacing w:line="360" w:lineRule="auto"/>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2C17D8D">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2C4FD04D">
            <w:pPr>
              <w:widowControl/>
              <w:shd w:val="clear"/>
              <w:spacing w:line="360" w:lineRule="auto"/>
              <w:jc w:val="center"/>
              <w:rPr>
                <w:bCs/>
                <w:color w:val="auto"/>
                <w:kern w:val="0"/>
                <w:szCs w:val="21"/>
                <w:highlight w:val="none"/>
              </w:rPr>
            </w:pPr>
            <w:r>
              <w:rPr>
                <w:bCs/>
                <w:color w:val="auto"/>
                <w:kern w:val="0"/>
                <w:szCs w:val="21"/>
                <w:highlight w:val="none"/>
              </w:rPr>
              <w:t>11.9</w:t>
            </w:r>
          </w:p>
        </w:tc>
        <w:tc>
          <w:tcPr>
            <w:tcW w:w="1984" w:type="dxa"/>
            <w:tcBorders>
              <w:top w:val="single" w:color="000000" w:sz="4" w:space="0"/>
              <w:left w:val="single" w:color="000000" w:sz="4" w:space="0"/>
              <w:bottom w:val="single" w:color="000000" w:sz="4" w:space="0"/>
              <w:right w:val="single" w:color="000000" w:sz="4" w:space="0"/>
            </w:tcBorders>
            <w:vAlign w:val="center"/>
          </w:tcPr>
          <w:p w14:paraId="686E9494">
            <w:pPr>
              <w:widowControl/>
              <w:shd w:val="clear"/>
              <w:spacing w:line="360" w:lineRule="auto"/>
              <w:jc w:val="center"/>
              <w:rPr>
                <w:color w:val="auto"/>
                <w:kern w:val="0"/>
                <w:szCs w:val="21"/>
                <w:highlight w:val="none"/>
              </w:rPr>
            </w:pPr>
            <w:r>
              <w:rPr>
                <w:color w:val="auto"/>
                <w:kern w:val="0"/>
                <w:szCs w:val="21"/>
                <w:highlight w:val="none"/>
              </w:rPr>
              <w:t>细微偏差</w:t>
            </w:r>
          </w:p>
        </w:tc>
        <w:tc>
          <w:tcPr>
            <w:tcW w:w="6521" w:type="dxa"/>
            <w:tcBorders>
              <w:top w:val="single" w:color="000000" w:sz="4" w:space="0"/>
              <w:left w:val="single" w:color="000000" w:sz="4" w:space="0"/>
              <w:bottom w:val="single" w:color="000000" w:sz="4" w:space="0"/>
              <w:right w:val="single" w:color="000000" w:sz="4" w:space="0"/>
            </w:tcBorders>
            <w:vAlign w:val="center"/>
          </w:tcPr>
          <w:p w14:paraId="1128059D">
            <w:pPr>
              <w:widowControl/>
              <w:shd w:val="clear"/>
              <w:spacing w:line="360" w:lineRule="auto"/>
              <w:jc w:val="left"/>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1.1</w:t>
            </w:r>
            <w:r>
              <w:rPr>
                <w:rFonts w:hint="eastAsia" w:asciiTheme="minorEastAsia" w:hAnsiTheme="minorEastAsia" w:eastAsiaTheme="minorEastAsia"/>
                <w:color w:val="auto"/>
                <w:szCs w:val="21"/>
                <w:highlight w:val="none"/>
              </w:rPr>
              <w:t>投标文件的细微偏差是指投标文件在实质上符合招标文件的要求，但在个别地方存在漏项或者提供了不完整的技术信息和数据等情况，并且补正这些遗漏或者不完整处不会对其他投标人造成不公平的结果。细微偏差不影响投标文件的有效性。</w:t>
            </w:r>
          </w:p>
          <w:p w14:paraId="7BE33F23">
            <w:pPr>
              <w:widowControl/>
              <w:shd w:val="clear"/>
              <w:spacing w:line="360" w:lineRule="auto"/>
              <w:jc w:val="left"/>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1.2</w:t>
            </w:r>
            <w:r>
              <w:rPr>
                <w:rFonts w:hint="eastAsia" w:asciiTheme="minorEastAsia" w:hAnsiTheme="minorEastAsia" w:eastAsiaTheme="minorEastAsia"/>
                <w:color w:val="auto"/>
                <w:szCs w:val="21"/>
                <w:highlight w:val="none"/>
              </w:rPr>
              <w:t>评标委员会应当以书面要求存在细微偏差的投标人在评标委员会结束前予以补正。拒不补正的，在详细评审时可以对细微偏差作不利于该投标人的量化。</w:t>
            </w:r>
          </w:p>
        </w:tc>
      </w:tr>
      <w:tr w14:paraId="57BA600B">
        <w:tblPrEx>
          <w:tblCellMar>
            <w:top w:w="0" w:type="dxa"/>
            <w:left w:w="108" w:type="dxa"/>
            <w:bottom w:w="0" w:type="dxa"/>
            <w:right w:w="108" w:type="dxa"/>
          </w:tblCellMar>
        </w:tblPrEx>
        <w:tc>
          <w:tcPr>
            <w:tcW w:w="1277" w:type="dxa"/>
            <w:tcBorders>
              <w:top w:val="single" w:color="000000" w:sz="4" w:space="0"/>
              <w:left w:val="single" w:color="000000" w:sz="4" w:space="0"/>
              <w:bottom w:val="single" w:color="000000" w:sz="4" w:space="0"/>
              <w:right w:val="single" w:color="000000" w:sz="4" w:space="0"/>
            </w:tcBorders>
            <w:vAlign w:val="center"/>
          </w:tcPr>
          <w:p w14:paraId="3A106B07">
            <w:pPr>
              <w:widowControl/>
              <w:shd w:val="clear"/>
              <w:spacing w:line="360" w:lineRule="auto"/>
              <w:jc w:val="center"/>
              <w:rPr>
                <w:bCs/>
                <w:color w:val="auto"/>
                <w:kern w:val="0"/>
                <w:szCs w:val="21"/>
                <w:highlight w:val="none"/>
              </w:rPr>
            </w:pPr>
            <w:r>
              <w:rPr>
                <w:bCs/>
                <w:color w:val="auto"/>
                <w:kern w:val="0"/>
                <w:szCs w:val="21"/>
                <w:highlight w:val="none"/>
              </w:rPr>
              <w:t>11.10</w:t>
            </w:r>
          </w:p>
        </w:tc>
        <w:tc>
          <w:tcPr>
            <w:tcW w:w="1984" w:type="dxa"/>
            <w:tcBorders>
              <w:top w:val="single" w:color="000000" w:sz="4" w:space="0"/>
              <w:left w:val="single" w:color="000000" w:sz="4" w:space="0"/>
              <w:bottom w:val="single" w:color="000000" w:sz="4" w:space="0"/>
              <w:right w:val="single" w:color="000000" w:sz="4" w:space="0"/>
            </w:tcBorders>
            <w:vAlign w:val="center"/>
          </w:tcPr>
          <w:p w14:paraId="32E389BF">
            <w:pPr>
              <w:widowControl/>
              <w:shd w:val="clear"/>
              <w:spacing w:line="360" w:lineRule="auto"/>
              <w:jc w:val="center"/>
              <w:rPr>
                <w:color w:val="auto"/>
                <w:kern w:val="0"/>
                <w:szCs w:val="21"/>
                <w:highlight w:val="none"/>
              </w:rPr>
            </w:pPr>
            <w:r>
              <w:rPr>
                <w:rFonts w:hint="eastAsia"/>
                <w:color w:val="auto"/>
                <w:kern w:val="0"/>
                <w:szCs w:val="21"/>
                <w:highlight w:val="none"/>
              </w:rPr>
              <w:t>采购</w:t>
            </w:r>
            <w:r>
              <w:rPr>
                <w:color w:val="auto"/>
                <w:kern w:val="0"/>
                <w:szCs w:val="21"/>
                <w:highlight w:val="none"/>
              </w:rPr>
              <w:t>代理服务费</w:t>
            </w:r>
          </w:p>
        </w:tc>
        <w:tc>
          <w:tcPr>
            <w:tcW w:w="6521" w:type="dxa"/>
            <w:tcBorders>
              <w:top w:val="single" w:color="000000" w:sz="4" w:space="0"/>
              <w:left w:val="single" w:color="000000" w:sz="4" w:space="0"/>
              <w:bottom w:val="single" w:color="000000" w:sz="4" w:space="0"/>
              <w:right w:val="single" w:color="000000" w:sz="4" w:space="0"/>
            </w:tcBorders>
            <w:vAlign w:val="center"/>
          </w:tcPr>
          <w:p w14:paraId="2BF37F1B">
            <w:pPr>
              <w:shd w:val="clear"/>
              <w:spacing w:line="360" w:lineRule="auto"/>
              <w:rPr>
                <w:rFonts w:asciiTheme="minorEastAsia" w:hAnsiTheme="minorEastAsia" w:eastAsiaTheme="minorEastAsia"/>
                <w:color w:val="auto"/>
                <w:szCs w:val="21"/>
                <w:highlight w:val="none"/>
              </w:rPr>
            </w:pPr>
            <w:r>
              <w:rPr>
                <w:rFonts w:ascii="宋体" w:hAnsi="宋体"/>
                <w:color w:val="auto"/>
                <w:szCs w:val="21"/>
                <w:highlight w:val="none"/>
              </w:rPr>
              <w:t>根据</w:t>
            </w:r>
            <w:r>
              <w:rPr>
                <w:rFonts w:hint="eastAsia" w:ascii="宋体" w:hAnsi="宋体"/>
                <w:color w:val="auto"/>
                <w:szCs w:val="21"/>
                <w:highlight w:val="none"/>
              </w:rPr>
              <w:t>中标</w:t>
            </w:r>
            <w:r>
              <w:rPr>
                <w:rFonts w:ascii="宋体" w:hAnsi="宋体"/>
                <w:color w:val="auto"/>
                <w:szCs w:val="21"/>
                <w:highlight w:val="none"/>
              </w:rPr>
              <w:t>金额按国家发展和改革委员会“计价格（2002）1980号文《</w:t>
            </w:r>
            <w:r>
              <w:rPr>
                <w:rFonts w:hint="eastAsia" w:ascii="宋体" w:hAnsi="宋体"/>
                <w:color w:val="auto"/>
                <w:szCs w:val="21"/>
                <w:highlight w:val="none"/>
              </w:rPr>
              <w:t>招标</w:t>
            </w:r>
            <w:r>
              <w:rPr>
                <w:rFonts w:ascii="宋体" w:hAnsi="宋体"/>
                <w:color w:val="auto"/>
                <w:szCs w:val="21"/>
                <w:highlight w:val="none"/>
              </w:rPr>
              <w:t>代理服务收费管理暂行办法》”中</w:t>
            </w:r>
            <w:r>
              <w:rPr>
                <w:rFonts w:hint="eastAsia" w:ascii="宋体" w:hAnsi="宋体"/>
                <w:b/>
                <w:color w:val="auto"/>
                <w:szCs w:val="21"/>
                <w:highlight w:val="none"/>
              </w:rPr>
              <w:t>货物类</w:t>
            </w:r>
            <w:r>
              <w:rPr>
                <w:rFonts w:ascii="宋体" w:hAnsi="宋体"/>
                <w:color w:val="auto"/>
                <w:szCs w:val="21"/>
                <w:highlight w:val="none"/>
              </w:rPr>
              <w:t>费率标准</w:t>
            </w:r>
            <w:r>
              <w:rPr>
                <w:rFonts w:hint="eastAsia" w:ascii="宋体" w:hAnsi="宋体"/>
                <w:color w:val="auto"/>
                <w:szCs w:val="21"/>
                <w:highlight w:val="none"/>
              </w:rPr>
              <w:t>收取</w:t>
            </w:r>
            <w:r>
              <w:rPr>
                <w:rFonts w:hint="eastAsia" w:ascii="宋体" w:hAnsi="宋体"/>
                <w:bCs/>
                <w:color w:val="auto"/>
                <w:szCs w:val="21"/>
                <w:highlight w:val="none"/>
              </w:rPr>
              <w:t>，</w:t>
            </w:r>
            <w:r>
              <w:rPr>
                <w:rFonts w:ascii="宋体" w:hAnsi="宋体"/>
                <w:color w:val="auto"/>
                <w:szCs w:val="21"/>
                <w:highlight w:val="none"/>
              </w:rPr>
              <w:t>由</w:t>
            </w:r>
            <w:r>
              <w:rPr>
                <w:rFonts w:hint="eastAsia" w:ascii="宋体" w:hAnsi="宋体"/>
                <w:color w:val="auto"/>
                <w:szCs w:val="21"/>
                <w:highlight w:val="none"/>
              </w:rPr>
              <w:t>中标供应商</w:t>
            </w:r>
            <w:r>
              <w:rPr>
                <w:rFonts w:ascii="宋体" w:hAnsi="宋体"/>
                <w:color w:val="auto"/>
                <w:szCs w:val="21"/>
                <w:highlight w:val="none"/>
              </w:rPr>
              <w:t>一次性支付。</w:t>
            </w:r>
          </w:p>
        </w:tc>
      </w:tr>
      <w:tr w14:paraId="0CE4D124">
        <w:tblPrEx>
          <w:tblCellMar>
            <w:top w:w="0" w:type="dxa"/>
            <w:left w:w="108" w:type="dxa"/>
            <w:bottom w:w="0" w:type="dxa"/>
            <w:right w:w="108" w:type="dxa"/>
          </w:tblCellMar>
        </w:tblPrEx>
        <w:trPr>
          <w:trHeight w:val="1083" w:hRule="atLeast"/>
        </w:trPr>
        <w:tc>
          <w:tcPr>
            <w:tcW w:w="1277" w:type="dxa"/>
            <w:tcBorders>
              <w:top w:val="single" w:color="000000" w:sz="4" w:space="0"/>
              <w:left w:val="single" w:color="000000" w:sz="4" w:space="0"/>
              <w:bottom w:val="single" w:color="000000" w:sz="4" w:space="0"/>
              <w:right w:val="single" w:color="000000" w:sz="4" w:space="0"/>
            </w:tcBorders>
            <w:vAlign w:val="center"/>
          </w:tcPr>
          <w:p w14:paraId="6D4DCC3C">
            <w:pPr>
              <w:widowControl/>
              <w:shd w:val="clear"/>
              <w:spacing w:line="360" w:lineRule="auto"/>
              <w:jc w:val="center"/>
              <w:rPr>
                <w:rFonts w:hint="eastAsia" w:eastAsia="宋体"/>
                <w:b/>
                <w:bCs w:val="0"/>
                <w:color w:val="auto"/>
                <w:kern w:val="0"/>
                <w:szCs w:val="21"/>
                <w:highlight w:val="none"/>
                <w:lang w:val="en-US" w:eastAsia="zh-CN"/>
              </w:rPr>
            </w:pPr>
            <w:r>
              <w:rPr>
                <w:rFonts w:hint="eastAsia"/>
                <w:b/>
                <w:bCs w:val="0"/>
                <w:color w:val="auto"/>
                <w:kern w:val="0"/>
                <w:szCs w:val="21"/>
                <w:highlight w:val="none"/>
                <w:lang w:val="en-US" w:eastAsia="zh-CN"/>
              </w:rPr>
              <w:t>其他</w:t>
            </w:r>
          </w:p>
        </w:tc>
        <w:tc>
          <w:tcPr>
            <w:tcW w:w="1984" w:type="dxa"/>
            <w:tcBorders>
              <w:top w:val="single" w:color="000000" w:sz="4" w:space="0"/>
              <w:left w:val="single" w:color="000000" w:sz="4" w:space="0"/>
              <w:bottom w:val="single" w:color="000000" w:sz="4" w:space="0"/>
              <w:right w:val="single" w:color="000000" w:sz="4" w:space="0"/>
            </w:tcBorders>
            <w:vAlign w:val="center"/>
          </w:tcPr>
          <w:p w14:paraId="79B79317">
            <w:pPr>
              <w:widowControl/>
              <w:shd w:val="clear"/>
              <w:spacing w:line="360" w:lineRule="auto"/>
              <w:jc w:val="center"/>
              <w:rPr>
                <w:rFonts w:hint="default" w:eastAsia="宋体"/>
                <w:b/>
                <w:bCs w:val="0"/>
                <w:color w:val="auto"/>
                <w:kern w:val="0"/>
                <w:szCs w:val="21"/>
                <w:highlight w:val="none"/>
                <w:lang w:val="en-US" w:eastAsia="zh-CN"/>
              </w:rPr>
            </w:pPr>
            <w:r>
              <w:rPr>
                <w:rFonts w:hint="eastAsia"/>
                <w:b/>
                <w:bCs w:val="0"/>
                <w:color w:val="auto"/>
                <w:kern w:val="0"/>
                <w:szCs w:val="21"/>
                <w:highlight w:val="none"/>
                <w:lang w:val="en-US" w:eastAsia="zh-CN"/>
              </w:rPr>
              <w:t>核心产品</w:t>
            </w:r>
          </w:p>
        </w:tc>
        <w:tc>
          <w:tcPr>
            <w:tcW w:w="6521" w:type="dxa"/>
            <w:tcBorders>
              <w:top w:val="single" w:color="000000" w:sz="4" w:space="0"/>
              <w:left w:val="single" w:color="000000" w:sz="4" w:space="0"/>
              <w:bottom w:val="single" w:color="000000" w:sz="4" w:space="0"/>
              <w:right w:val="single" w:color="000000" w:sz="4" w:space="0"/>
            </w:tcBorders>
            <w:vAlign w:val="center"/>
          </w:tcPr>
          <w:p w14:paraId="58832ADF">
            <w:pPr>
              <w:shd w:val="clear"/>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1标段：</w:t>
            </w:r>
            <w:r>
              <w:rPr>
                <w:rFonts w:hint="eastAsia" w:ascii="宋体" w:hAnsi="宋体"/>
                <w:b/>
                <w:bCs w:val="0"/>
                <w:color w:val="auto"/>
                <w:szCs w:val="21"/>
                <w:highlight w:val="none"/>
              </w:rPr>
              <w:t>显微镜(带摄像头）</w:t>
            </w:r>
          </w:p>
          <w:p w14:paraId="3B387979">
            <w:pPr>
              <w:shd w:val="clear"/>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2标段：</w:t>
            </w:r>
            <w:r>
              <w:rPr>
                <w:rFonts w:hint="eastAsia" w:ascii="宋体" w:hAnsi="宋体"/>
                <w:b/>
                <w:bCs w:val="0"/>
                <w:color w:val="auto"/>
                <w:szCs w:val="21"/>
                <w:highlight w:val="none"/>
              </w:rPr>
              <w:t>鼻窦负压置换仪</w:t>
            </w:r>
          </w:p>
          <w:p w14:paraId="4B4ADA84">
            <w:pPr>
              <w:shd w:val="clear"/>
              <w:spacing w:line="360" w:lineRule="auto"/>
              <w:rPr>
                <w:rFonts w:ascii="宋体" w:hAnsi="宋体"/>
                <w:b/>
                <w:bCs w:val="0"/>
                <w:color w:val="auto"/>
                <w:szCs w:val="21"/>
                <w:highlight w:val="none"/>
              </w:rPr>
            </w:pPr>
            <w:r>
              <w:rPr>
                <w:rFonts w:hint="eastAsia" w:ascii="宋体" w:hAnsi="宋体"/>
                <w:b/>
                <w:bCs w:val="0"/>
                <w:color w:val="auto"/>
                <w:szCs w:val="21"/>
                <w:highlight w:val="none"/>
                <w:lang w:val="en-US" w:eastAsia="zh-CN"/>
              </w:rPr>
              <w:t>3标段：</w:t>
            </w:r>
            <w:r>
              <w:rPr>
                <w:rFonts w:hint="eastAsia" w:ascii="宋体" w:hAnsi="宋体"/>
                <w:b/>
                <w:bCs w:val="0"/>
                <w:color w:val="auto"/>
                <w:szCs w:val="21"/>
                <w:highlight w:val="none"/>
              </w:rPr>
              <w:t>脉冲磁场刺激仪</w:t>
            </w:r>
          </w:p>
        </w:tc>
      </w:tr>
      <w:bookmarkEnd w:id="9"/>
    </w:tbl>
    <w:p w14:paraId="7FCCD55D">
      <w:pPr>
        <w:shd w:val="clear"/>
        <w:rPr>
          <w:color w:val="auto"/>
          <w:highlight w:val="none"/>
        </w:rPr>
      </w:pPr>
    </w:p>
    <w:p w14:paraId="233D07CA">
      <w:pPr>
        <w:shd w:val="clear"/>
        <w:spacing w:line="360" w:lineRule="auto"/>
        <w:jc w:val="center"/>
        <w:outlineLvl w:val="2"/>
        <w:rPr>
          <w:color w:val="auto"/>
          <w:highlight w:val="none"/>
        </w:rPr>
      </w:pPr>
      <w:bookmarkStart w:id="12" w:name="_Toc152042305"/>
      <w:bookmarkEnd w:id="12"/>
      <w:bookmarkStart w:id="13" w:name="_Toc152045529"/>
      <w:bookmarkEnd w:id="13"/>
      <w:bookmarkStart w:id="14" w:name="_Toc221356228"/>
      <w:bookmarkEnd w:id="14"/>
      <w:bookmarkStart w:id="15" w:name="_Toc179632546"/>
      <w:bookmarkEnd w:id="15"/>
      <w:bookmarkStart w:id="16" w:name="_Toc241763829"/>
      <w:bookmarkEnd w:id="16"/>
      <w:bookmarkStart w:id="17" w:name="_Toc144974497"/>
      <w:bookmarkEnd w:id="17"/>
      <w:r>
        <w:rPr>
          <w:color w:val="auto"/>
          <w:highlight w:val="none"/>
        </w:rPr>
        <w:br w:type="page"/>
      </w:r>
      <w:bookmarkStart w:id="18" w:name="_Toc28854"/>
      <w:r>
        <w:rPr>
          <w:rFonts w:hint="eastAsia" w:ascii="宋体" w:hAnsi="宋体"/>
          <w:b/>
          <w:color w:val="auto"/>
          <w:kern w:val="0"/>
          <w:sz w:val="36"/>
          <w:szCs w:val="44"/>
          <w:highlight w:val="none"/>
        </w:rPr>
        <w:t>1.</w:t>
      </w:r>
      <w:r>
        <w:rPr>
          <w:rFonts w:ascii="宋体" w:hAnsi="宋体"/>
          <w:b/>
          <w:color w:val="auto"/>
          <w:kern w:val="0"/>
          <w:sz w:val="36"/>
          <w:szCs w:val="44"/>
          <w:highlight w:val="none"/>
        </w:rPr>
        <w:t xml:space="preserve"> </w:t>
      </w:r>
      <w:r>
        <w:rPr>
          <w:rFonts w:hint="eastAsia" w:ascii="宋体" w:hAnsi="宋体"/>
          <w:b/>
          <w:color w:val="auto"/>
          <w:kern w:val="0"/>
          <w:sz w:val="36"/>
          <w:szCs w:val="44"/>
          <w:highlight w:val="none"/>
        </w:rPr>
        <w:t>总则</w:t>
      </w:r>
      <w:bookmarkEnd w:id="18"/>
    </w:p>
    <w:p w14:paraId="10EEF843">
      <w:pPr>
        <w:shd w:val="clear"/>
        <w:spacing w:line="360" w:lineRule="auto"/>
        <w:ind w:firstLine="422" w:firstLineChars="200"/>
        <w:rPr>
          <w:rFonts w:ascii="宋体" w:hAnsi="宋体"/>
          <w:b/>
          <w:color w:val="auto"/>
          <w:highlight w:val="none"/>
        </w:rPr>
      </w:pPr>
      <w:bookmarkStart w:id="19" w:name="_Toc152042306"/>
      <w:bookmarkEnd w:id="19"/>
      <w:bookmarkStart w:id="20" w:name="_Toc144974498"/>
      <w:bookmarkEnd w:id="20"/>
      <w:bookmarkStart w:id="21" w:name="_Toc152045530"/>
      <w:bookmarkEnd w:id="21"/>
      <w:bookmarkStart w:id="22" w:name="_Toc179632547"/>
      <w:bookmarkEnd w:id="22"/>
      <w:bookmarkStart w:id="23" w:name="_Toc221356229"/>
      <w:bookmarkEnd w:id="23"/>
      <w:r>
        <w:rPr>
          <w:rFonts w:hint="eastAsia" w:ascii="宋体" w:hAnsi="宋体"/>
          <w:b/>
          <w:color w:val="auto"/>
          <w:highlight w:val="none"/>
        </w:rPr>
        <w:t>1</w:t>
      </w:r>
      <w:r>
        <w:rPr>
          <w:b/>
          <w:color w:val="auto"/>
          <w:highlight w:val="none"/>
        </w:rPr>
        <w:t>.1项目概况</w:t>
      </w:r>
    </w:p>
    <w:p w14:paraId="02BE4801">
      <w:pPr>
        <w:shd w:val="clear"/>
        <w:spacing w:line="360" w:lineRule="auto"/>
        <w:ind w:firstLine="420" w:firstLineChars="200"/>
        <w:rPr>
          <w:color w:val="auto"/>
          <w:highlight w:val="none"/>
        </w:rPr>
      </w:pPr>
      <w:r>
        <w:rPr>
          <w:color w:val="auto"/>
          <w:highlight w:val="none"/>
        </w:rPr>
        <w:t>1.1.1</w:t>
      </w:r>
      <w:r>
        <w:rPr>
          <w:rFonts w:hint="eastAsia"/>
          <w:color w:val="auto"/>
          <w:highlight w:val="none"/>
        </w:rPr>
        <w:t>根据</w:t>
      </w:r>
      <w:r>
        <w:rPr>
          <w:color w:val="auto"/>
          <w:highlight w:val="none"/>
        </w:rPr>
        <w:t>《中华人民共和国政府采购法》、《中华人民共和国政府采购法实施条例》</w:t>
      </w:r>
      <w:r>
        <w:rPr>
          <w:rFonts w:hint="eastAsia"/>
          <w:color w:val="auto"/>
          <w:highlight w:val="none"/>
        </w:rPr>
        <w:t>、《政府采购货物和服务招标投标管理办法》等有关法律、法规和规章的规定，本项目已具备招标条件，现组织该项目公开招标选定实施单位。</w:t>
      </w:r>
    </w:p>
    <w:p w14:paraId="78E97A52">
      <w:pPr>
        <w:shd w:val="clear"/>
        <w:spacing w:line="360" w:lineRule="auto"/>
        <w:ind w:firstLine="420" w:firstLineChars="200"/>
        <w:rPr>
          <w:color w:val="auto"/>
          <w:highlight w:val="none"/>
        </w:rPr>
      </w:pPr>
      <w:r>
        <w:rPr>
          <w:color w:val="auto"/>
          <w:highlight w:val="none"/>
        </w:rPr>
        <w:t>1.1.2本项目采购人：见</w:t>
      </w:r>
      <w:r>
        <w:rPr>
          <w:rFonts w:hint="eastAsia"/>
          <w:color w:val="auto"/>
          <w:highlight w:val="none"/>
        </w:rPr>
        <w:t>投标人</w:t>
      </w:r>
      <w:r>
        <w:rPr>
          <w:color w:val="auto"/>
          <w:highlight w:val="none"/>
        </w:rPr>
        <w:t>须知前附表。</w:t>
      </w:r>
    </w:p>
    <w:p w14:paraId="5D2C7D1F">
      <w:pPr>
        <w:shd w:val="clear"/>
        <w:spacing w:line="360" w:lineRule="auto"/>
        <w:ind w:firstLine="420" w:firstLineChars="200"/>
        <w:rPr>
          <w:color w:val="auto"/>
          <w:highlight w:val="none"/>
        </w:rPr>
      </w:pPr>
      <w:r>
        <w:rPr>
          <w:color w:val="auto"/>
          <w:highlight w:val="none"/>
        </w:rPr>
        <w:t>1.1.3本项目采购代理机构：见</w:t>
      </w:r>
      <w:r>
        <w:rPr>
          <w:rFonts w:hint="eastAsia"/>
          <w:color w:val="auto"/>
          <w:highlight w:val="none"/>
        </w:rPr>
        <w:t>投标人</w:t>
      </w:r>
      <w:r>
        <w:rPr>
          <w:color w:val="auto"/>
          <w:highlight w:val="none"/>
        </w:rPr>
        <w:t>须知前附表。</w:t>
      </w:r>
    </w:p>
    <w:p w14:paraId="730CE99E">
      <w:pPr>
        <w:shd w:val="clear"/>
        <w:spacing w:line="360" w:lineRule="auto"/>
        <w:ind w:firstLine="420" w:firstLineChars="200"/>
        <w:rPr>
          <w:color w:val="auto"/>
          <w:highlight w:val="none"/>
        </w:rPr>
      </w:pPr>
      <w:r>
        <w:rPr>
          <w:color w:val="auto"/>
          <w:highlight w:val="none"/>
        </w:rPr>
        <w:t>1.1.4本项目名称：见</w:t>
      </w:r>
      <w:r>
        <w:rPr>
          <w:rFonts w:hint="eastAsia"/>
          <w:color w:val="auto"/>
          <w:highlight w:val="none"/>
        </w:rPr>
        <w:t>投标人</w:t>
      </w:r>
      <w:r>
        <w:rPr>
          <w:color w:val="auto"/>
          <w:highlight w:val="none"/>
        </w:rPr>
        <w:t>须知前附表。</w:t>
      </w:r>
    </w:p>
    <w:p w14:paraId="20DC286F">
      <w:pPr>
        <w:shd w:val="clear"/>
        <w:spacing w:line="360" w:lineRule="auto"/>
        <w:ind w:firstLine="420" w:firstLineChars="200"/>
        <w:rPr>
          <w:color w:val="auto"/>
          <w:highlight w:val="none"/>
        </w:rPr>
      </w:pPr>
      <w:r>
        <w:rPr>
          <w:rFonts w:hint="eastAsia"/>
          <w:color w:val="auto"/>
          <w:highlight w:val="none"/>
        </w:rPr>
        <w:t>1</w:t>
      </w:r>
      <w:r>
        <w:rPr>
          <w:color w:val="auto"/>
          <w:highlight w:val="none"/>
        </w:rPr>
        <w:t>.1.5</w:t>
      </w:r>
      <w:r>
        <w:rPr>
          <w:rFonts w:hint="eastAsia"/>
          <w:color w:val="auto"/>
          <w:highlight w:val="none"/>
        </w:rPr>
        <w:t>本项目</w:t>
      </w:r>
      <w:r>
        <w:rPr>
          <w:rFonts w:hint="eastAsia"/>
          <w:color w:val="auto"/>
          <w:kern w:val="0"/>
          <w:szCs w:val="21"/>
          <w:highlight w:val="none"/>
        </w:rPr>
        <w:t>交货地点</w:t>
      </w:r>
      <w:r>
        <w:rPr>
          <w:rFonts w:hint="eastAsia"/>
          <w:color w:val="auto"/>
          <w:highlight w:val="none"/>
        </w:rPr>
        <w:t>：</w:t>
      </w:r>
      <w:r>
        <w:rPr>
          <w:color w:val="auto"/>
          <w:highlight w:val="none"/>
        </w:rPr>
        <w:t>见投标人须知前附表。</w:t>
      </w:r>
    </w:p>
    <w:p w14:paraId="106B7FF6">
      <w:pPr>
        <w:shd w:val="clear"/>
        <w:spacing w:line="360" w:lineRule="auto"/>
        <w:ind w:firstLine="422" w:firstLineChars="200"/>
        <w:rPr>
          <w:b/>
          <w:color w:val="auto"/>
          <w:highlight w:val="none"/>
        </w:rPr>
      </w:pPr>
      <w:bookmarkStart w:id="24" w:name="_Toc152042307"/>
      <w:bookmarkEnd w:id="24"/>
      <w:bookmarkStart w:id="25" w:name="_Toc179632548"/>
      <w:bookmarkEnd w:id="25"/>
      <w:bookmarkStart w:id="26" w:name="_Toc221356230"/>
      <w:bookmarkEnd w:id="26"/>
      <w:bookmarkStart w:id="27" w:name="_Toc152045531"/>
      <w:bookmarkEnd w:id="27"/>
      <w:bookmarkStart w:id="28" w:name="_Toc144974499"/>
      <w:bookmarkEnd w:id="28"/>
      <w:r>
        <w:rPr>
          <w:b/>
          <w:color w:val="auto"/>
          <w:highlight w:val="none"/>
        </w:rPr>
        <w:t>1.2项目的资金来源和落实情况</w:t>
      </w:r>
    </w:p>
    <w:p w14:paraId="615E346A">
      <w:pPr>
        <w:shd w:val="clear"/>
        <w:spacing w:line="360" w:lineRule="auto"/>
        <w:ind w:firstLine="420" w:firstLineChars="200"/>
        <w:rPr>
          <w:color w:val="auto"/>
          <w:highlight w:val="none"/>
        </w:rPr>
      </w:pPr>
      <w:r>
        <w:rPr>
          <w:color w:val="auto"/>
          <w:highlight w:val="none"/>
        </w:rPr>
        <w:t>1.2.1 本项目的资金落实情况：见投标人须知前附表。</w:t>
      </w:r>
    </w:p>
    <w:p w14:paraId="5407AED1">
      <w:pPr>
        <w:shd w:val="clear"/>
        <w:spacing w:line="360" w:lineRule="auto"/>
        <w:ind w:firstLine="420" w:firstLineChars="200"/>
        <w:rPr>
          <w:color w:val="auto"/>
          <w:highlight w:val="none"/>
        </w:rPr>
      </w:pPr>
      <w:r>
        <w:rPr>
          <w:color w:val="auto"/>
          <w:highlight w:val="none"/>
        </w:rPr>
        <w:t>1.2.2 本项目的</w:t>
      </w:r>
      <w:r>
        <w:rPr>
          <w:rFonts w:hint="eastAsia"/>
          <w:color w:val="auto"/>
          <w:highlight w:val="none"/>
        </w:rPr>
        <w:t>采购</w:t>
      </w:r>
      <w:r>
        <w:rPr>
          <w:color w:val="auto"/>
          <w:highlight w:val="none"/>
        </w:rPr>
        <w:t>预算</w:t>
      </w:r>
      <w:r>
        <w:rPr>
          <w:rFonts w:hint="eastAsia"/>
          <w:color w:val="auto"/>
          <w:highlight w:val="none"/>
        </w:rPr>
        <w:t>及最高限价</w:t>
      </w:r>
      <w:r>
        <w:rPr>
          <w:color w:val="auto"/>
          <w:highlight w:val="none"/>
        </w:rPr>
        <w:t>金额：见投标人须知前附表。</w:t>
      </w:r>
    </w:p>
    <w:p w14:paraId="0FE211CA">
      <w:pPr>
        <w:shd w:val="clear"/>
        <w:spacing w:line="360" w:lineRule="auto"/>
        <w:ind w:firstLine="422" w:firstLineChars="200"/>
        <w:rPr>
          <w:b/>
          <w:color w:val="auto"/>
          <w:highlight w:val="none"/>
        </w:rPr>
      </w:pPr>
      <w:bookmarkStart w:id="29" w:name="_Toc152042308"/>
      <w:bookmarkEnd w:id="29"/>
      <w:bookmarkStart w:id="30" w:name="_Toc144974500"/>
      <w:bookmarkEnd w:id="30"/>
      <w:bookmarkStart w:id="31" w:name="_Toc221356231"/>
      <w:bookmarkEnd w:id="31"/>
      <w:bookmarkStart w:id="32" w:name="_Toc179632549"/>
      <w:bookmarkEnd w:id="32"/>
      <w:bookmarkStart w:id="33" w:name="_Toc152045532"/>
      <w:bookmarkEnd w:id="33"/>
      <w:r>
        <w:rPr>
          <w:b/>
          <w:color w:val="auto"/>
          <w:highlight w:val="none"/>
        </w:rPr>
        <w:t>1.3采购范围、</w:t>
      </w:r>
      <w:r>
        <w:rPr>
          <w:rFonts w:hint="eastAsia"/>
          <w:b/>
          <w:color w:val="auto"/>
          <w:highlight w:val="none"/>
        </w:rPr>
        <w:t>合同履行期限、服务质量要求</w:t>
      </w:r>
    </w:p>
    <w:p w14:paraId="5A5B9809">
      <w:pPr>
        <w:shd w:val="clear"/>
        <w:spacing w:line="360" w:lineRule="auto"/>
        <w:ind w:firstLine="420" w:firstLineChars="200"/>
        <w:rPr>
          <w:color w:val="auto"/>
          <w:highlight w:val="none"/>
        </w:rPr>
      </w:pPr>
      <w:bookmarkStart w:id="34" w:name="_Toc144974502"/>
      <w:bookmarkStart w:id="35" w:name="_Toc152042310"/>
      <w:bookmarkStart w:id="36" w:name="_Toc179632551"/>
      <w:bookmarkStart w:id="37" w:name="_Toc152045534"/>
      <w:bookmarkStart w:id="38" w:name="_Toc221356232"/>
      <w:r>
        <w:rPr>
          <w:color w:val="auto"/>
          <w:highlight w:val="none"/>
        </w:rPr>
        <w:t>1.3.1采购范围：见投标人须知前附表。</w:t>
      </w:r>
    </w:p>
    <w:p w14:paraId="39AA0A01">
      <w:pPr>
        <w:shd w:val="clear"/>
        <w:spacing w:line="360" w:lineRule="auto"/>
        <w:ind w:firstLine="420" w:firstLineChars="200"/>
        <w:rPr>
          <w:color w:val="auto"/>
          <w:highlight w:val="none"/>
        </w:rPr>
      </w:pPr>
      <w:r>
        <w:rPr>
          <w:color w:val="auto"/>
          <w:highlight w:val="none"/>
        </w:rPr>
        <w:t>1.3.2</w:t>
      </w:r>
      <w:r>
        <w:rPr>
          <w:rFonts w:hint="eastAsia"/>
          <w:color w:val="auto"/>
          <w:highlight w:val="none"/>
        </w:rPr>
        <w:t>合同履行期限</w:t>
      </w:r>
      <w:r>
        <w:rPr>
          <w:color w:val="auto"/>
          <w:highlight w:val="none"/>
        </w:rPr>
        <w:t>：见投标人须知前附表。</w:t>
      </w:r>
    </w:p>
    <w:p w14:paraId="287A62EA">
      <w:pPr>
        <w:shd w:val="clear"/>
        <w:spacing w:line="360" w:lineRule="auto"/>
        <w:ind w:firstLine="420" w:firstLineChars="200"/>
        <w:rPr>
          <w:color w:val="auto"/>
          <w:highlight w:val="none"/>
        </w:rPr>
      </w:pPr>
      <w:r>
        <w:rPr>
          <w:color w:val="auto"/>
          <w:highlight w:val="none"/>
        </w:rPr>
        <w:t>1.3.3</w:t>
      </w:r>
      <w:r>
        <w:rPr>
          <w:rFonts w:hint="eastAsia"/>
          <w:color w:val="auto"/>
          <w:szCs w:val="21"/>
          <w:highlight w:val="none"/>
        </w:rPr>
        <w:t>质量要求</w:t>
      </w:r>
      <w:r>
        <w:rPr>
          <w:color w:val="auto"/>
          <w:highlight w:val="none"/>
        </w:rPr>
        <w:t>：见投标人须知前附表。</w:t>
      </w:r>
    </w:p>
    <w:bookmarkEnd w:id="34"/>
    <w:bookmarkEnd w:id="35"/>
    <w:bookmarkEnd w:id="36"/>
    <w:bookmarkEnd w:id="37"/>
    <w:bookmarkEnd w:id="38"/>
    <w:p w14:paraId="33E19380">
      <w:pPr>
        <w:shd w:val="clear"/>
        <w:spacing w:line="360" w:lineRule="auto"/>
        <w:ind w:firstLine="422" w:firstLineChars="200"/>
        <w:rPr>
          <w:b/>
          <w:color w:val="auto"/>
          <w:highlight w:val="none"/>
        </w:rPr>
      </w:pPr>
      <w:bookmarkStart w:id="39" w:name="_Toc152042311"/>
      <w:bookmarkStart w:id="40" w:name="_Toc152045535"/>
      <w:bookmarkStart w:id="41" w:name="_Toc144974503"/>
      <w:bookmarkStart w:id="42" w:name="_Toc179632552"/>
      <w:bookmarkStart w:id="43" w:name="_Toc221356233"/>
      <w:r>
        <w:rPr>
          <w:b/>
          <w:color w:val="auto"/>
          <w:highlight w:val="none"/>
        </w:rPr>
        <w:t>1.4投标人资格要求</w:t>
      </w:r>
    </w:p>
    <w:p w14:paraId="41F7D5B6">
      <w:pPr>
        <w:shd w:val="clear"/>
        <w:spacing w:line="360" w:lineRule="auto"/>
        <w:ind w:firstLine="420" w:firstLineChars="200"/>
        <w:rPr>
          <w:color w:val="auto"/>
          <w:highlight w:val="none"/>
        </w:rPr>
      </w:pPr>
      <w:r>
        <w:rPr>
          <w:color w:val="auto"/>
          <w:highlight w:val="none"/>
        </w:rPr>
        <w:t>1.4.1投标人应具备承担本项目的资质条件</w:t>
      </w:r>
      <w:r>
        <w:rPr>
          <w:rFonts w:hint="eastAsia"/>
          <w:color w:val="auto"/>
          <w:highlight w:val="none"/>
        </w:rPr>
        <w:t>，</w:t>
      </w:r>
      <w:r>
        <w:rPr>
          <w:rFonts w:hint="eastAsia" w:ascii="宋体" w:hAnsi="宋体"/>
          <w:color w:val="auto"/>
          <w:szCs w:val="21"/>
          <w:highlight w:val="none"/>
        </w:rPr>
        <w:t>详见投标人须知前附表。</w:t>
      </w:r>
    </w:p>
    <w:p w14:paraId="510E30EB">
      <w:pPr>
        <w:shd w:val="clear"/>
        <w:spacing w:line="360" w:lineRule="auto"/>
        <w:ind w:firstLine="420" w:firstLineChars="200"/>
        <w:rPr>
          <w:color w:val="auto"/>
          <w:highlight w:val="none"/>
        </w:rPr>
      </w:pPr>
      <w:r>
        <w:rPr>
          <w:color w:val="auto"/>
          <w:highlight w:val="none"/>
        </w:rPr>
        <w:t>1.4.2</w:t>
      </w:r>
      <w:r>
        <w:rPr>
          <w:rFonts w:hint="eastAsia"/>
          <w:color w:val="auto"/>
          <w:highlight w:val="none"/>
        </w:rPr>
        <w:t xml:space="preserve">若投标人须知前附表规定接受联合体投标的，联合体除应符合本章第 1.4.1 项和投标人须知前附表的要求外，还应遵守以下规定： </w:t>
      </w:r>
    </w:p>
    <w:p w14:paraId="5F9EB3F8">
      <w:pPr>
        <w:shd w:val="clear"/>
        <w:spacing w:line="360" w:lineRule="auto"/>
        <w:ind w:firstLine="420" w:firstLineChars="200"/>
        <w:rPr>
          <w:color w:val="auto"/>
          <w:highlight w:val="none"/>
        </w:rPr>
      </w:pPr>
      <w:r>
        <w:rPr>
          <w:rFonts w:hint="eastAsia"/>
          <w:color w:val="auto"/>
          <w:highlight w:val="none"/>
        </w:rPr>
        <w:t xml:space="preserve">（1）联合体各方应按招标文件提供的格式签订联合体协议书，明确联合体牵头人和各方权利义务，并承诺就中标项目向采购人承担连带责任； </w:t>
      </w:r>
    </w:p>
    <w:p w14:paraId="6282C298">
      <w:pPr>
        <w:shd w:val="clear"/>
        <w:spacing w:line="360" w:lineRule="auto"/>
        <w:ind w:firstLine="420" w:firstLineChars="200"/>
        <w:rPr>
          <w:color w:val="auto"/>
          <w:highlight w:val="none"/>
        </w:rPr>
      </w:pPr>
      <w:r>
        <w:rPr>
          <w:rFonts w:hint="eastAsia"/>
          <w:color w:val="auto"/>
          <w:highlight w:val="none"/>
        </w:rPr>
        <w:t xml:space="preserve">（2）联合体中有同类资质的投标人按照联合体分工承担相同工作的，应当按照资质等级较低的投标人确定资质等级； </w:t>
      </w:r>
    </w:p>
    <w:p w14:paraId="04B875DC">
      <w:pPr>
        <w:shd w:val="clear"/>
        <w:spacing w:line="360" w:lineRule="auto"/>
        <w:ind w:firstLine="420" w:firstLineChars="200"/>
        <w:rPr>
          <w:color w:val="auto"/>
          <w:highlight w:val="none"/>
        </w:rPr>
      </w:pPr>
      <w:r>
        <w:rPr>
          <w:rFonts w:hint="eastAsia"/>
          <w:color w:val="auto"/>
          <w:highlight w:val="none"/>
        </w:rPr>
        <w:t>（3）以联合体形式参加政府采购活动的，联合体各方不得再单独参加或者与其他投标人另外组成联合体参加同一合同项下的政府采购活动。</w:t>
      </w:r>
    </w:p>
    <w:p w14:paraId="212347F5">
      <w:pPr>
        <w:shd w:val="clear"/>
        <w:spacing w:line="360" w:lineRule="auto"/>
        <w:ind w:firstLine="493" w:firstLineChars="235"/>
        <w:rPr>
          <w:color w:val="auto"/>
          <w:highlight w:val="none"/>
        </w:rPr>
      </w:pPr>
      <w:r>
        <w:rPr>
          <w:color w:val="auto"/>
          <w:highlight w:val="none"/>
        </w:rPr>
        <w:t>1.4.3投标人不得存在下列情形之一：</w:t>
      </w:r>
    </w:p>
    <w:p w14:paraId="544EBC90">
      <w:pPr>
        <w:shd w:val="clear"/>
        <w:spacing w:line="360" w:lineRule="auto"/>
        <w:ind w:firstLine="422" w:firstLineChars="201"/>
        <w:jc w:val="left"/>
        <w:rPr>
          <w:color w:val="auto"/>
          <w:szCs w:val="21"/>
          <w:highlight w:val="none"/>
        </w:rPr>
      </w:pPr>
      <w:r>
        <w:rPr>
          <w:rFonts w:hint="eastAsia"/>
          <w:color w:val="auto"/>
          <w:szCs w:val="21"/>
          <w:highlight w:val="none"/>
        </w:rPr>
        <w:t>（1）为采购人不具有独立法人资格的附属机构（单位）；</w:t>
      </w:r>
    </w:p>
    <w:p w14:paraId="0BEC0095">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2</w:t>
      </w:r>
      <w:r>
        <w:rPr>
          <w:rFonts w:hint="eastAsia"/>
          <w:color w:val="auto"/>
          <w:szCs w:val="21"/>
          <w:highlight w:val="none"/>
        </w:rPr>
        <w:t>）为本项目前期准备提供设计或咨询服务的；</w:t>
      </w:r>
    </w:p>
    <w:p w14:paraId="1902973E">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3</w:t>
      </w:r>
      <w:r>
        <w:rPr>
          <w:rFonts w:hint="eastAsia"/>
          <w:color w:val="auto"/>
          <w:szCs w:val="21"/>
          <w:highlight w:val="none"/>
        </w:rPr>
        <w:t>）为本项目的监理人；</w:t>
      </w:r>
    </w:p>
    <w:p w14:paraId="13575A3F">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4</w:t>
      </w:r>
      <w:r>
        <w:rPr>
          <w:rFonts w:hint="eastAsia"/>
          <w:color w:val="auto"/>
          <w:szCs w:val="21"/>
          <w:highlight w:val="none"/>
        </w:rPr>
        <w:t>）为本项目的代建人；</w:t>
      </w:r>
    </w:p>
    <w:p w14:paraId="2F655E6B">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5</w:t>
      </w:r>
      <w:r>
        <w:rPr>
          <w:rFonts w:hint="eastAsia"/>
          <w:color w:val="auto"/>
          <w:szCs w:val="21"/>
          <w:highlight w:val="none"/>
        </w:rPr>
        <w:t>）为本项目提供采购代理服务的；</w:t>
      </w:r>
    </w:p>
    <w:p w14:paraId="4F5C4E9E">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6</w:t>
      </w:r>
      <w:r>
        <w:rPr>
          <w:rFonts w:hint="eastAsia"/>
          <w:color w:val="auto"/>
          <w:szCs w:val="21"/>
          <w:highlight w:val="none"/>
        </w:rPr>
        <w:t>）与本项目的监理人或代建人或采购代理机构同为一个法定代表人的；</w:t>
      </w:r>
    </w:p>
    <w:p w14:paraId="394E2486">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）与本项目的监理人或代建人或采购代理机构相互控股或参股的；</w:t>
      </w:r>
    </w:p>
    <w:p w14:paraId="206B393C">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8</w:t>
      </w:r>
      <w:r>
        <w:rPr>
          <w:rFonts w:hint="eastAsia"/>
          <w:color w:val="auto"/>
          <w:szCs w:val="21"/>
          <w:highlight w:val="none"/>
        </w:rPr>
        <w:t>）与本项目的监理人或代建人或采购代理机构相互任职或工作的；</w:t>
      </w:r>
    </w:p>
    <w:p w14:paraId="276F0C82">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9</w:t>
      </w:r>
      <w:r>
        <w:rPr>
          <w:rFonts w:hint="eastAsia"/>
          <w:color w:val="auto"/>
          <w:szCs w:val="21"/>
          <w:highlight w:val="none"/>
        </w:rPr>
        <w:t>）被责令停业的；</w:t>
      </w:r>
    </w:p>
    <w:p w14:paraId="44384CD3">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10</w:t>
      </w:r>
      <w:r>
        <w:rPr>
          <w:rFonts w:hint="eastAsia"/>
          <w:color w:val="auto"/>
          <w:szCs w:val="21"/>
          <w:highlight w:val="none"/>
        </w:rPr>
        <w:t>）被暂停或取消投标资格的；</w:t>
      </w:r>
    </w:p>
    <w:p w14:paraId="0BABF0D7">
      <w:pPr>
        <w:shd w:val="clear"/>
        <w:spacing w:line="360" w:lineRule="auto"/>
        <w:ind w:firstLine="422" w:firstLineChars="201"/>
        <w:jc w:val="left"/>
        <w:rPr>
          <w:color w:val="auto"/>
          <w:szCs w:val="21"/>
          <w:highlight w:val="none"/>
        </w:rPr>
      </w:pPr>
      <w:r>
        <w:rPr>
          <w:rFonts w:hint="eastAsia"/>
          <w:color w:val="auto"/>
          <w:szCs w:val="21"/>
          <w:highlight w:val="none"/>
        </w:rPr>
        <w:t>（</w:t>
      </w:r>
      <w:r>
        <w:rPr>
          <w:color w:val="auto"/>
          <w:szCs w:val="21"/>
          <w:highlight w:val="none"/>
        </w:rPr>
        <w:t>11</w:t>
      </w:r>
      <w:r>
        <w:rPr>
          <w:rFonts w:hint="eastAsia"/>
          <w:color w:val="auto"/>
          <w:szCs w:val="21"/>
          <w:highlight w:val="none"/>
        </w:rPr>
        <w:t>）财产被接管或冻结的；</w:t>
      </w:r>
    </w:p>
    <w:p w14:paraId="511828A2">
      <w:pPr>
        <w:shd w:val="clear"/>
        <w:spacing w:line="360" w:lineRule="auto"/>
        <w:ind w:firstLine="422" w:firstLineChars="201"/>
        <w:jc w:val="left"/>
        <w:rPr>
          <w:color w:val="auto"/>
          <w:szCs w:val="21"/>
          <w:highlight w:val="none"/>
        </w:rPr>
      </w:pPr>
      <w:r>
        <w:rPr>
          <w:rFonts w:hint="eastAsia"/>
          <w:color w:val="auto"/>
          <w:szCs w:val="21"/>
          <w:highlight w:val="none"/>
        </w:rPr>
        <w:t>（1</w:t>
      </w:r>
      <w:r>
        <w:rPr>
          <w:color w:val="auto"/>
          <w:szCs w:val="21"/>
          <w:highlight w:val="none"/>
        </w:rPr>
        <w:t>2</w:t>
      </w:r>
      <w:r>
        <w:rPr>
          <w:rFonts w:hint="eastAsia"/>
          <w:color w:val="auto"/>
          <w:szCs w:val="21"/>
          <w:highlight w:val="none"/>
        </w:rPr>
        <w:t>）法律法规或投标人须知前附表规定的其他情形。</w:t>
      </w:r>
    </w:p>
    <w:bookmarkEnd w:id="39"/>
    <w:bookmarkEnd w:id="40"/>
    <w:bookmarkEnd w:id="41"/>
    <w:bookmarkEnd w:id="42"/>
    <w:bookmarkEnd w:id="43"/>
    <w:p w14:paraId="42CDBFC7">
      <w:pPr>
        <w:shd w:val="clear"/>
        <w:spacing w:line="360" w:lineRule="auto"/>
        <w:ind w:firstLine="422" w:firstLineChars="200"/>
        <w:rPr>
          <w:b/>
          <w:color w:val="auto"/>
          <w:highlight w:val="none"/>
        </w:rPr>
      </w:pPr>
      <w:r>
        <w:rPr>
          <w:b/>
          <w:color w:val="auto"/>
          <w:highlight w:val="none"/>
        </w:rPr>
        <w:t>1.5费用承担</w:t>
      </w:r>
    </w:p>
    <w:p w14:paraId="34C7E391">
      <w:pPr>
        <w:shd w:val="clear"/>
        <w:spacing w:line="360" w:lineRule="auto"/>
        <w:ind w:firstLine="420" w:firstLineChars="200"/>
        <w:rPr>
          <w:color w:val="auto"/>
          <w:highlight w:val="none"/>
        </w:rPr>
      </w:pPr>
      <w:r>
        <w:rPr>
          <w:color w:val="auto"/>
          <w:highlight w:val="none"/>
        </w:rPr>
        <w:t>投标人准备和参加</w:t>
      </w:r>
      <w:r>
        <w:rPr>
          <w:rFonts w:hint="eastAsia"/>
          <w:color w:val="auto"/>
          <w:highlight w:val="none"/>
        </w:rPr>
        <w:t>投标</w:t>
      </w:r>
      <w:r>
        <w:rPr>
          <w:color w:val="auto"/>
          <w:highlight w:val="none"/>
        </w:rPr>
        <w:t>活动发生的费用自理</w:t>
      </w:r>
      <w:r>
        <w:rPr>
          <w:rFonts w:hint="eastAsia"/>
          <w:color w:val="auto"/>
          <w:highlight w:val="none"/>
        </w:rPr>
        <w:t>，</w:t>
      </w:r>
      <w:r>
        <w:rPr>
          <w:rFonts w:hint="eastAsia" w:ascii="宋体" w:hAnsi="宋体"/>
          <w:color w:val="auto"/>
          <w:kern w:val="0"/>
          <w:szCs w:val="28"/>
          <w:highlight w:val="none"/>
        </w:rPr>
        <w:t>其他费用按国家、省、市相关规定收取。</w:t>
      </w:r>
    </w:p>
    <w:p w14:paraId="291E7F02">
      <w:pPr>
        <w:shd w:val="clear"/>
        <w:spacing w:line="360" w:lineRule="auto"/>
        <w:ind w:firstLine="422" w:firstLineChars="200"/>
        <w:rPr>
          <w:b/>
          <w:color w:val="auto"/>
          <w:highlight w:val="none"/>
        </w:rPr>
      </w:pPr>
      <w:bookmarkStart w:id="44" w:name="_Toc144974504"/>
      <w:bookmarkEnd w:id="44"/>
      <w:bookmarkStart w:id="45" w:name="_Toc152042312"/>
      <w:bookmarkEnd w:id="45"/>
      <w:bookmarkStart w:id="46" w:name="_Toc152045536"/>
      <w:bookmarkEnd w:id="46"/>
      <w:bookmarkStart w:id="47" w:name="_Toc179632553"/>
      <w:bookmarkEnd w:id="47"/>
      <w:bookmarkStart w:id="48" w:name="_Toc221356234"/>
      <w:bookmarkEnd w:id="48"/>
      <w:r>
        <w:rPr>
          <w:b/>
          <w:color w:val="auto"/>
          <w:highlight w:val="none"/>
        </w:rPr>
        <w:t>1.6保密</w:t>
      </w:r>
    </w:p>
    <w:p w14:paraId="5D700998">
      <w:pPr>
        <w:shd w:val="clear"/>
        <w:spacing w:line="360" w:lineRule="auto"/>
        <w:ind w:firstLine="420" w:firstLineChars="200"/>
        <w:rPr>
          <w:color w:val="auto"/>
          <w:highlight w:val="none"/>
        </w:rPr>
      </w:pPr>
      <w:r>
        <w:rPr>
          <w:color w:val="auto"/>
          <w:highlight w:val="none"/>
        </w:rPr>
        <w:t>参与</w:t>
      </w:r>
      <w:r>
        <w:rPr>
          <w:rFonts w:hint="eastAsia"/>
          <w:color w:val="auto"/>
          <w:highlight w:val="none"/>
        </w:rPr>
        <w:t>招投标</w:t>
      </w:r>
      <w:r>
        <w:rPr>
          <w:color w:val="auto"/>
          <w:highlight w:val="none"/>
        </w:rPr>
        <w:t xml:space="preserve">活动的各方应对招标文件和投标文件中的商业和技术等秘密保密，违者应对由此造成的后果承担法律责任。 </w:t>
      </w:r>
    </w:p>
    <w:p w14:paraId="6470907F">
      <w:pPr>
        <w:shd w:val="clear"/>
        <w:spacing w:line="360" w:lineRule="auto"/>
        <w:ind w:firstLine="422" w:firstLineChars="200"/>
        <w:rPr>
          <w:b/>
          <w:color w:val="auto"/>
          <w:highlight w:val="none"/>
        </w:rPr>
      </w:pPr>
      <w:bookmarkStart w:id="49" w:name="_Toc179632554"/>
      <w:bookmarkEnd w:id="49"/>
      <w:bookmarkStart w:id="50" w:name="_Toc144974505"/>
      <w:bookmarkEnd w:id="50"/>
      <w:bookmarkStart w:id="51" w:name="_Toc221356235"/>
      <w:bookmarkEnd w:id="51"/>
      <w:bookmarkStart w:id="52" w:name="_Toc152042313"/>
      <w:bookmarkEnd w:id="52"/>
      <w:bookmarkStart w:id="53" w:name="_Toc152045537"/>
      <w:bookmarkEnd w:id="53"/>
      <w:r>
        <w:rPr>
          <w:b/>
          <w:color w:val="auto"/>
          <w:highlight w:val="none"/>
        </w:rPr>
        <w:t>1.7语言文字</w:t>
      </w:r>
    </w:p>
    <w:p w14:paraId="3DF8C979">
      <w:pPr>
        <w:shd w:val="clear"/>
        <w:spacing w:line="360" w:lineRule="auto"/>
        <w:ind w:firstLine="420" w:firstLineChars="200"/>
        <w:rPr>
          <w:color w:val="auto"/>
          <w:highlight w:val="none"/>
        </w:rPr>
      </w:pPr>
      <w:bookmarkStart w:id="54" w:name="_Toc144974506"/>
      <w:bookmarkStart w:id="55" w:name="_Toc152042314"/>
      <w:bookmarkStart w:id="56" w:name="_Toc152045538"/>
      <w:bookmarkStart w:id="57" w:name="_Toc179632555"/>
      <w:bookmarkStart w:id="58" w:name="_Toc221356236"/>
      <w:r>
        <w:rPr>
          <w:color w:val="auto"/>
          <w:highlight w:val="none"/>
        </w:rPr>
        <w:t>投标文件使用的语言文字为中文。专用术语使用外文的，应附有中文注释。</w:t>
      </w:r>
    </w:p>
    <w:bookmarkEnd w:id="54"/>
    <w:bookmarkEnd w:id="55"/>
    <w:bookmarkEnd w:id="56"/>
    <w:bookmarkEnd w:id="57"/>
    <w:bookmarkEnd w:id="58"/>
    <w:p w14:paraId="64FEA58F">
      <w:pPr>
        <w:shd w:val="clear"/>
        <w:spacing w:line="360" w:lineRule="auto"/>
        <w:ind w:firstLine="422" w:firstLineChars="200"/>
        <w:rPr>
          <w:b/>
          <w:color w:val="auto"/>
          <w:highlight w:val="none"/>
        </w:rPr>
      </w:pPr>
      <w:r>
        <w:rPr>
          <w:b/>
          <w:color w:val="auto"/>
          <w:highlight w:val="none"/>
        </w:rPr>
        <w:t>1.8计量单位</w:t>
      </w:r>
    </w:p>
    <w:p w14:paraId="1ED6B8D3">
      <w:pPr>
        <w:shd w:val="clear"/>
        <w:spacing w:line="360" w:lineRule="auto"/>
        <w:ind w:firstLine="420" w:firstLineChars="200"/>
        <w:rPr>
          <w:color w:val="auto"/>
          <w:highlight w:val="none"/>
        </w:rPr>
      </w:pPr>
      <w:bookmarkStart w:id="59" w:name="_Toc152042315"/>
      <w:bookmarkStart w:id="60" w:name="_Toc221356237"/>
      <w:bookmarkStart w:id="61" w:name="_Toc179632556"/>
      <w:bookmarkStart w:id="62" w:name="_Toc152045539"/>
      <w:bookmarkStart w:id="63" w:name="_Toc144974507"/>
      <w:r>
        <w:rPr>
          <w:color w:val="auto"/>
          <w:highlight w:val="none"/>
        </w:rPr>
        <w:t>所有计量均采用中华人民共和国法定计量单位。</w:t>
      </w:r>
    </w:p>
    <w:bookmarkEnd w:id="59"/>
    <w:bookmarkEnd w:id="60"/>
    <w:bookmarkEnd w:id="61"/>
    <w:bookmarkEnd w:id="62"/>
    <w:bookmarkEnd w:id="63"/>
    <w:p w14:paraId="28FB92EC">
      <w:pPr>
        <w:shd w:val="clear"/>
        <w:spacing w:line="360" w:lineRule="auto"/>
        <w:ind w:firstLine="422" w:firstLineChars="200"/>
        <w:rPr>
          <w:b/>
          <w:color w:val="auto"/>
          <w:highlight w:val="none"/>
        </w:rPr>
      </w:pPr>
      <w:bookmarkStart w:id="64" w:name="_Toc179632559"/>
      <w:bookmarkEnd w:id="64"/>
      <w:bookmarkStart w:id="65" w:name="_Toc221356240"/>
      <w:bookmarkEnd w:id="65"/>
      <w:r>
        <w:rPr>
          <w:b/>
          <w:color w:val="auto"/>
          <w:highlight w:val="none"/>
        </w:rPr>
        <w:t>1.</w:t>
      </w:r>
      <w:r>
        <w:rPr>
          <w:rFonts w:hint="eastAsia"/>
          <w:b/>
          <w:color w:val="auto"/>
          <w:highlight w:val="none"/>
        </w:rPr>
        <w:t>9现场踏勘</w:t>
      </w:r>
    </w:p>
    <w:p w14:paraId="0094CE3D">
      <w:pPr>
        <w:shd w:val="clear"/>
        <w:spacing w:line="360" w:lineRule="auto"/>
        <w:ind w:firstLine="420" w:firstLineChars="200"/>
        <w:rPr>
          <w:color w:val="auto"/>
          <w:highlight w:val="none"/>
        </w:rPr>
      </w:pPr>
      <w:r>
        <w:rPr>
          <w:color w:val="auto"/>
          <w:highlight w:val="none"/>
        </w:rPr>
        <w:t>1.</w:t>
      </w:r>
      <w:r>
        <w:rPr>
          <w:rFonts w:hint="eastAsia"/>
          <w:color w:val="auto"/>
          <w:highlight w:val="none"/>
        </w:rPr>
        <w:t>9</w:t>
      </w:r>
      <w:r>
        <w:rPr>
          <w:color w:val="auto"/>
          <w:highlight w:val="none"/>
        </w:rPr>
        <w:t>.1</w:t>
      </w:r>
      <w:r>
        <w:rPr>
          <w:rFonts w:hint="eastAsia"/>
          <w:color w:val="auto"/>
          <w:highlight w:val="none"/>
        </w:rPr>
        <w:t>投标人须知前附表规定组织现场考察的，采购人按投标人须知前附表规定的时间、地点组织投标人考察项目现场。</w:t>
      </w:r>
    </w:p>
    <w:p w14:paraId="5693A84B">
      <w:pPr>
        <w:shd w:val="clear"/>
        <w:spacing w:line="360" w:lineRule="auto"/>
        <w:ind w:firstLine="420" w:firstLineChars="200"/>
        <w:rPr>
          <w:color w:val="auto"/>
          <w:highlight w:val="none"/>
        </w:rPr>
      </w:pPr>
      <w:r>
        <w:rPr>
          <w:rFonts w:hint="eastAsia"/>
          <w:color w:val="auto"/>
          <w:highlight w:val="none"/>
        </w:rPr>
        <w:t>1.9.2 投标人考察现场发生的费用自理。</w:t>
      </w:r>
    </w:p>
    <w:p w14:paraId="564265AD">
      <w:pPr>
        <w:shd w:val="clear"/>
        <w:spacing w:line="360" w:lineRule="auto"/>
        <w:ind w:firstLine="420" w:firstLineChars="200"/>
        <w:rPr>
          <w:color w:val="auto"/>
          <w:highlight w:val="none"/>
        </w:rPr>
      </w:pPr>
      <w:r>
        <w:rPr>
          <w:rFonts w:hint="eastAsia"/>
          <w:color w:val="auto"/>
          <w:highlight w:val="none"/>
        </w:rPr>
        <w:t>1.9.3 除采购人的原因外，投标人自行负责在考察现场中所发生的人员伤亡和财产损失。</w:t>
      </w:r>
    </w:p>
    <w:p w14:paraId="417A7C9E">
      <w:pPr>
        <w:shd w:val="clear"/>
        <w:spacing w:line="360" w:lineRule="auto"/>
        <w:ind w:firstLine="420" w:firstLineChars="200"/>
        <w:rPr>
          <w:color w:val="auto"/>
          <w:highlight w:val="none"/>
        </w:rPr>
      </w:pPr>
      <w:r>
        <w:rPr>
          <w:rFonts w:hint="eastAsia"/>
          <w:color w:val="auto"/>
          <w:highlight w:val="none"/>
        </w:rPr>
        <w:t>1.9.4 采购人在考察现场中介绍的项目场地和相关的周边环境情况，投标人在编制投标文件时参考，采购人不对投标人据此作出的判断和决策负责。</w:t>
      </w:r>
    </w:p>
    <w:p w14:paraId="2C6CB542">
      <w:pPr>
        <w:shd w:val="clear"/>
        <w:spacing w:line="360" w:lineRule="auto"/>
        <w:ind w:firstLine="422" w:firstLineChars="200"/>
        <w:rPr>
          <w:b/>
          <w:color w:val="auto"/>
          <w:highlight w:val="none"/>
        </w:rPr>
      </w:pPr>
      <w:r>
        <w:rPr>
          <w:rFonts w:hint="eastAsia"/>
          <w:b/>
          <w:color w:val="auto"/>
          <w:highlight w:val="none"/>
        </w:rPr>
        <w:t>1.10 分包</w:t>
      </w:r>
    </w:p>
    <w:p w14:paraId="6B12E141">
      <w:pPr>
        <w:shd w:val="clear"/>
        <w:spacing w:line="360" w:lineRule="auto"/>
        <w:ind w:firstLine="420" w:firstLineChars="200"/>
        <w:rPr>
          <w:color w:val="auto"/>
          <w:highlight w:val="none"/>
        </w:rPr>
      </w:pPr>
      <w:r>
        <w:rPr>
          <w:rFonts w:hint="eastAsia"/>
          <w:color w:val="auto"/>
          <w:highlight w:val="none"/>
        </w:rPr>
        <w:t>1.10.1本项目不允许分包。</w:t>
      </w:r>
    </w:p>
    <w:p w14:paraId="28B07A78">
      <w:pPr>
        <w:shd w:val="clear"/>
        <w:spacing w:line="360" w:lineRule="auto"/>
        <w:ind w:firstLine="422" w:firstLineChars="200"/>
        <w:rPr>
          <w:b/>
          <w:color w:val="auto"/>
          <w:highlight w:val="none"/>
        </w:rPr>
      </w:pPr>
      <w:r>
        <w:rPr>
          <w:rFonts w:hint="eastAsia"/>
          <w:b/>
          <w:color w:val="auto"/>
          <w:highlight w:val="none"/>
        </w:rPr>
        <w:t>1.11 响应和偏差</w:t>
      </w:r>
    </w:p>
    <w:p w14:paraId="17762C03">
      <w:pPr>
        <w:shd w:val="clear"/>
        <w:spacing w:line="360" w:lineRule="auto"/>
        <w:ind w:firstLine="420" w:firstLineChars="200"/>
        <w:rPr>
          <w:color w:val="auto"/>
          <w:highlight w:val="none"/>
        </w:rPr>
      </w:pPr>
      <w:r>
        <w:rPr>
          <w:rFonts w:hint="eastAsia"/>
          <w:color w:val="auto"/>
          <w:highlight w:val="none"/>
        </w:rPr>
        <w:t>1.1</w:t>
      </w:r>
      <w:r>
        <w:rPr>
          <w:color w:val="auto"/>
          <w:highlight w:val="none"/>
        </w:rPr>
        <w:t>1</w:t>
      </w:r>
      <w:r>
        <w:rPr>
          <w:rFonts w:hint="eastAsia"/>
          <w:color w:val="auto"/>
          <w:highlight w:val="none"/>
        </w:rPr>
        <w:t>.1投标文件应当对招标文件的实质性要求和条件作出满足性或更有利于采购人的响应，否则，投标人的投标文件将被否决。实质性要求和条件见投标人须知前附表。</w:t>
      </w:r>
    </w:p>
    <w:p w14:paraId="372BDEBF">
      <w:pPr>
        <w:shd w:val="clear"/>
        <w:spacing w:line="360" w:lineRule="auto"/>
        <w:ind w:firstLine="420" w:firstLineChars="200"/>
        <w:rPr>
          <w:color w:val="auto"/>
          <w:highlight w:val="none"/>
        </w:rPr>
      </w:pPr>
      <w:r>
        <w:rPr>
          <w:rFonts w:hint="eastAsia"/>
          <w:color w:val="auto"/>
          <w:highlight w:val="none"/>
        </w:rPr>
        <w:t>1.1</w:t>
      </w:r>
      <w:r>
        <w:rPr>
          <w:color w:val="auto"/>
          <w:highlight w:val="none"/>
        </w:rPr>
        <w:t>1</w:t>
      </w:r>
      <w:r>
        <w:rPr>
          <w:rFonts w:hint="eastAsia"/>
          <w:color w:val="auto"/>
          <w:highlight w:val="none"/>
        </w:rPr>
        <w:t>.2投标人应根据招标文件的要求提供投标方案等内容以对招标文件作出响应。</w:t>
      </w:r>
    </w:p>
    <w:p w14:paraId="2F7208B3">
      <w:pPr>
        <w:shd w:val="clear"/>
        <w:spacing w:line="360" w:lineRule="auto"/>
        <w:ind w:firstLine="420" w:firstLineChars="200"/>
        <w:rPr>
          <w:color w:val="auto"/>
          <w:highlight w:val="none"/>
        </w:rPr>
      </w:pPr>
    </w:p>
    <w:p w14:paraId="17835CD0">
      <w:pPr>
        <w:shd w:val="clear"/>
        <w:spacing w:line="360" w:lineRule="auto"/>
        <w:jc w:val="center"/>
        <w:outlineLvl w:val="2"/>
        <w:rPr>
          <w:b/>
          <w:color w:val="auto"/>
          <w:kern w:val="0"/>
          <w:sz w:val="36"/>
          <w:szCs w:val="44"/>
          <w:highlight w:val="none"/>
        </w:rPr>
      </w:pPr>
      <w:bookmarkStart w:id="66" w:name="_Toc221356241"/>
      <w:bookmarkEnd w:id="66"/>
      <w:bookmarkStart w:id="67" w:name="_Toc152042318"/>
      <w:bookmarkEnd w:id="67"/>
      <w:bookmarkStart w:id="68" w:name="_Toc144974510"/>
      <w:bookmarkEnd w:id="68"/>
      <w:bookmarkStart w:id="69" w:name="_Toc241763830"/>
      <w:bookmarkEnd w:id="69"/>
      <w:bookmarkStart w:id="70" w:name="_Toc179632560"/>
      <w:bookmarkEnd w:id="70"/>
      <w:bookmarkStart w:id="71" w:name="_Toc152045542"/>
      <w:bookmarkEnd w:id="71"/>
      <w:bookmarkStart w:id="72" w:name="_Toc5441"/>
      <w:r>
        <w:rPr>
          <w:b/>
          <w:color w:val="auto"/>
          <w:kern w:val="0"/>
          <w:sz w:val="36"/>
          <w:szCs w:val="44"/>
          <w:highlight w:val="none"/>
        </w:rPr>
        <w:t>2. 招标文件</w:t>
      </w:r>
      <w:bookmarkEnd w:id="72"/>
    </w:p>
    <w:p w14:paraId="07D93945">
      <w:pPr>
        <w:shd w:val="clear"/>
        <w:spacing w:line="360" w:lineRule="auto"/>
        <w:ind w:firstLine="422" w:firstLineChars="200"/>
        <w:rPr>
          <w:b/>
          <w:color w:val="auto"/>
          <w:highlight w:val="none"/>
        </w:rPr>
      </w:pPr>
      <w:bookmarkStart w:id="73" w:name="_Toc221356242"/>
      <w:bookmarkEnd w:id="73"/>
      <w:bookmarkStart w:id="74" w:name="_Toc152042319"/>
      <w:bookmarkEnd w:id="74"/>
      <w:bookmarkStart w:id="75" w:name="_Toc179632561"/>
      <w:bookmarkEnd w:id="75"/>
      <w:bookmarkStart w:id="76" w:name="_Toc152045543"/>
      <w:bookmarkEnd w:id="76"/>
      <w:bookmarkStart w:id="77" w:name="_Toc144974511"/>
      <w:bookmarkEnd w:id="77"/>
      <w:r>
        <w:rPr>
          <w:b/>
          <w:color w:val="auto"/>
          <w:highlight w:val="none"/>
        </w:rPr>
        <w:t>2.1招标文件的组成</w:t>
      </w:r>
    </w:p>
    <w:p w14:paraId="3E847B8B">
      <w:pPr>
        <w:shd w:val="clear"/>
        <w:spacing w:line="360" w:lineRule="auto"/>
        <w:ind w:firstLine="420" w:firstLineChars="200"/>
        <w:rPr>
          <w:color w:val="auto"/>
          <w:szCs w:val="28"/>
          <w:highlight w:val="none"/>
        </w:rPr>
      </w:pPr>
      <w:r>
        <w:rPr>
          <w:color w:val="auto"/>
          <w:szCs w:val="28"/>
          <w:highlight w:val="none"/>
        </w:rPr>
        <w:t>2.1.1本招标文件包括：</w:t>
      </w:r>
    </w:p>
    <w:p w14:paraId="00E514D4">
      <w:pPr>
        <w:shd w:val="clear"/>
        <w:spacing w:line="360" w:lineRule="auto"/>
        <w:ind w:firstLine="424" w:firstLineChars="202"/>
        <w:jc w:val="left"/>
        <w:rPr>
          <w:color w:val="auto"/>
          <w:highlight w:val="none"/>
        </w:rPr>
      </w:pPr>
      <w:r>
        <w:rPr>
          <w:color w:val="auto"/>
          <w:highlight w:val="none"/>
        </w:rPr>
        <w:t xml:space="preserve">第一章    </w:t>
      </w:r>
      <w:r>
        <w:rPr>
          <w:rFonts w:hint="eastAsia" w:ascii="宋体" w:hAnsi="宋体"/>
          <w:color w:val="auto"/>
          <w:szCs w:val="21"/>
          <w:highlight w:val="none"/>
        </w:rPr>
        <w:t>招标公告</w:t>
      </w:r>
    </w:p>
    <w:p w14:paraId="42F2E876">
      <w:pPr>
        <w:shd w:val="clear"/>
        <w:spacing w:line="360" w:lineRule="auto"/>
        <w:ind w:firstLine="424" w:firstLineChars="202"/>
        <w:jc w:val="left"/>
        <w:rPr>
          <w:color w:val="auto"/>
          <w:highlight w:val="none"/>
        </w:rPr>
      </w:pPr>
      <w:r>
        <w:rPr>
          <w:color w:val="auto"/>
          <w:highlight w:val="none"/>
        </w:rPr>
        <w:t>第</w:t>
      </w:r>
      <w:r>
        <w:rPr>
          <w:rFonts w:hint="eastAsia"/>
          <w:color w:val="auto"/>
          <w:highlight w:val="none"/>
        </w:rPr>
        <w:t>二</w:t>
      </w:r>
      <w:r>
        <w:rPr>
          <w:color w:val="auto"/>
          <w:highlight w:val="none"/>
        </w:rPr>
        <w:t>章    投标人须知</w:t>
      </w:r>
    </w:p>
    <w:p w14:paraId="73559170">
      <w:pPr>
        <w:shd w:val="clear"/>
        <w:spacing w:line="360" w:lineRule="auto"/>
        <w:ind w:firstLine="424" w:firstLineChars="202"/>
        <w:jc w:val="left"/>
        <w:rPr>
          <w:color w:val="auto"/>
          <w:highlight w:val="none"/>
        </w:rPr>
      </w:pPr>
      <w:r>
        <w:rPr>
          <w:color w:val="auto"/>
          <w:highlight w:val="none"/>
        </w:rPr>
        <w:t>第</w:t>
      </w:r>
      <w:r>
        <w:rPr>
          <w:rFonts w:hint="eastAsia"/>
          <w:color w:val="auto"/>
          <w:highlight w:val="none"/>
        </w:rPr>
        <w:t>三</w:t>
      </w:r>
      <w:r>
        <w:rPr>
          <w:color w:val="auto"/>
          <w:highlight w:val="none"/>
        </w:rPr>
        <w:t xml:space="preserve">章    </w:t>
      </w:r>
      <w:r>
        <w:rPr>
          <w:rFonts w:hint="eastAsia" w:ascii="宋体" w:hAnsi="宋体"/>
          <w:color w:val="auto"/>
          <w:szCs w:val="21"/>
          <w:highlight w:val="none"/>
        </w:rPr>
        <w:t>评标</w:t>
      </w:r>
      <w:r>
        <w:rPr>
          <w:rFonts w:ascii="宋体" w:hAnsi="宋体"/>
          <w:color w:val="auto"/>
          <w:szCs w:val="21"/>
          <w:highlight w:val="none"/>
        </w:rPr>
        <w:t>办法</w:t>
      </w:r>
    </w:p>
    <w:p w14:paraId="7D0513E7">
      <w:pPr>
        <w:shd w:val="clear"/>
        <w:spacing w:line="360" w:lineRule="auto"/>
        <w:ind w:firstLine="424" w:firstLineChars="202"/>
        <w:jc w:val="left"/>
        <w:rPr>
          <w:color w:val="auto"/>
          <w:highlight w:val="none"/>
        </w:rPr>
      </w:pPr>
      <w:r>
        <w:rPr>
          <w:color w:val="auto"/>
          <w:highlight w:val="none"/>
        </w:rPr>
        <w:t>第</w:t>
      </w:r>
      <w:r>
        <w:rPr>
          <w:rFonts w:hint="eastAsia"/>
          <w:color w:val="auto"/>
          <w:highlight w:val="none"/>
        </w:rPr>
        <w:t>四</w:t>
      </w:r>
      <w:r>
        <w:rPr>
          <w:color w:val="auto"/>
          <w:highlight w:val="none"/>
        </w:rPr>
        <w:t xml:space="preserve">章    </w:t>
      </w:r>
      <w:r>
        <w:rPr>
          <w:rFonts w:hint="eastAsia"/>
          <w:color w:val="auto"/>
          <w:highlight w:val="none"/>
        </w:rPr>
        <w:t>合同主要条款及格式</w:t>
      </w:r>
    </w:p>
    <w:p w14:paraId="34B8E1FB">
      <w:pPr>
        <w:shd w:val="clear"/>
        <w:spacing w:line="360" w:lineRule="auto"/>
        <w:ind w:firstLine="424" w:firstLineChars="202"/>
        <w:jc w:val="left"/>
        <w:rPr>
          <w:color w:val="auto"/>
          <w:highlight w:val="none"/>
        </w:rPr>
      </w:pPr>
      <w:r>
        <w:rPr>
          <w:color w:val="auto"/>
          <w:highlight w:val="none"/>
        </w:rPr>
        <w:t>第</w:t>
      </w:r>
      <w:r>
        <w:rPr>
          <w:rFonts w:hint="eastAsia"/>
          <w:color w:val="auto"/>
          <w:highlight w:val="none"/>
        </w:rPr>
        <w:t>五</w:t>
      </w:r>
      <w:r>
        <w:rPr>
          <w:color w:val="auto"/>
          <w:highlight w:val="none"/>
        </w:rPr>
        <w:t xml:space="preserve">章    </w:t>
      </w:r>
      <w:r>
        <w:rPr>
          <w:rFonts w:hint="eastAsia"/>
          <w:color w:val="auto"/>
          <w:highlight w:val="none"/>
        </w:rPr>
        <w:t>采购需求</w:t>
      </w:r>
    </w:p>
    <w:p w14:paraId="6E8747C1">
      <w:pPr>
        <w:shd w:val="clear"/>
        <w:spacing w:line="360" w:lineRule="auto"/>
        <w:ind w:firstLine="424" w:firstLineChars="202"/>
        <w:jc w:val="left"/>
        <w:rPr>
          <w:color w:val="auto"/>
          <w:highlight w:val="none"/>
        </w:rPr>
      </w:pPr>
      <w:r>
        <w:rPr>
          <w:rFonts w:hint="eastAsia"/>
          <w:color w:val="auto"/>
          <w:highlight w:val="none"/>
        </w:rPr>
        <w:t>第六章</w:t>
      </w:r>
      <w:r>
        <w:rPr>
          <w:color w:val="auto"/>
          <w:highlight w:val="none"/>
        </w:rPr>
        <w:t xml:space="preserve">    </w:t>
      </w:r>
      <w:r>
        <w:rPr>
          <w:color w:val="auto"/>
          <w:szCs w:val="28"/>
          <w:highlight w:val="none"/>
        </w:rPr>
        <w:t>投标文件格式</w:t>
      </w:r>
    </w:p>
    <w:p w14:paraId="48AA47A9">
      <w:pPr>
        <w:shd w:val="clear"/>
        <w:spacing w:line="360" w:lineRule="auto"/>
        <w:ind w:firstLine="424" w:firstLineChars="202"/>
        <w:jc w:val="left"/>
        <w:rPr>
          <w:color w:val="auto"/>
          <w:highlight w:val="none"/>
        </w:rPr>
      </w:pPr>
      <w:r>
        <w:rPr>
          <w:color w:val="auto"/>
          <w:highlight w:val="none"/>
        </w:rPr>
        <w:t>第</w:t>
      </w:r>
      <w:r>
        <w:rPr>
          <w:rFonts w:hint="eastAsia"/>
          <w:color w:val="auto"/>
          <w:highlight w:val="none"/>
        </w:rPr>
        <w:t>七</w:t>
      </w:r>
      <w:r>
        <w:rPr>
          <w:color w:val="auto"/>
          <w:highlight w:val="none"/>
        </w:rPr>
        <w:t>章    其他资料</w:t>
      </w:r>
    </w:p>
    <w:p w14:paraId="72824577">
      <w:pPr>
        <w:shd w:val="clear"/>
        <w:spacing w:line="360" w:lineRule="auto"/>
        <w:ind w:firstLine="420" w:firstLineChars="200"/>
        <w:rPr>
          <w:color w:val="auto"/>
          <w:highlight w:val="none"/>
        </w:rPr>
      </w:pPr>
      <w:r>
        <w:rPr>
          <w:color w:val="auto"/>
          <w:highlight w:val="none"/>
        </w:rPr>
        <w:t>2.1.2根据本章第2.2款和第2.3款对招标文件所作的澄清、修改，构成招标文件的组成部分。</w:t>
      </w:r>
    </w:p>
    <w:p w14:paraId="319DDDA2">
      <w:pPr>
        <w:shd w:val="clear"/>
        <w:spacing w:line="360" w:lineRule="auto"/>
        <w:ind w:firstLine="422" w:firstLineChars="200"/>
        <w:rPr>
          <w:b/>
          <w:color w:val="auto"/>
          <w:highlight w:val="none"/>
        </w:rPr>
      </w:pPr>
      <w:bookmarkStart w:id="78" w:name="_Toc221356243"/>
      <w:bookmarkEnd w:id="78"/>
      <w:bookmarkStart w:id="79" w:name="_Toc144974512"/>
      <w:bookmarkEnd w:id="79"/>
      <w:bookmarkStart w:id="80" w:name="_Toc152045544"/>
      <w:bookmarkEnd w:id="80"/>
      <w:bookmarkStart w:id="81" w:name="_Toc179632562"/>
      <w:bookmarkEnd w:id="81"/>
      <w:bookmarkStart w:id="82" w:name="_Toc152042320"/>
      <w:bookmarkEnd w:id="82"/>
      <w:r>
        <w:rPr>
          <w:b/>
          <w:color w:val="auto"/>
          <w:highlight w:val="none"/>
        </w:rPr>
        <w:t>2.2招标文件的澄清</w:t>
      </w:r>
    </w:p>
    <w:p w14:paraId="5CEB604C">
      <w:pPr>
        <w:shd w:val="clear"/>
        <w:spacing w:line="360" w:lineRule="auto"/>
        <w:ind w:firstLine="420" w:firstLineChars="200"/>
        <w:rPr>
          <w:color w:val="auto"/>
          <w:highlight w:val="none"/>
        </w:rPr>
      </w:pPr>
      <w:r>
        <w:rPr>
          <w:color w:val="auto"/>
          <w:highlight w:val="none"/>
        </w:rPr>
        <w:t>2.2.1 投标人应仔细阅读和检查招标文件的全部内容。如发现缺页或附件不全，应及时向采购人提出，以便补齐。如有疑问，应在投标人须知前附表规定的时间前以书面形式可以有形地表现所载内容的形式，下同），要求采购人对招标文件予以澄清。</w:t>
      </w:r>
    </w:p>
    <w:p w14:paraId="6A100D82">
      <w:pPr>
        <w:shd w:val="clear"/>
        <w:spacing w:line="360" w:lineRule="auto"/>
        <w:ind w:firstLine="420" w:firstLineChars="200"/>
        <w:rPr>
          <w:color w:val="auto"/>
          <w:highlight w:val="none"/>
        </w:rPr>
      </w:pPr>
      <w:r>
        <w:rPr>
          <w:color w:val="auto"/>
          <w:highlight w:val="none"/>
        </w:rPr>
        <w:t>2.2.2 招标文件的澄清将在投标人须知前附表规定的</w:t>
      </w:r>
      <w:r>
        <w:rPr>
          <w:rFonts w:hint="eastAsia"/>
          <w:color w:val="auto"/>
          <w:highlight w:val="none"/>
        </w:rPr>
        <w:t>投标</w:t>
      </w:r>
      <w:r>
        <w:rPr>
          <w:color w:val="auto"/>
          <w:highlight w:val="none"/>
        </w:rPr>
        <w:t>文件递交截止时间15</w:t>
      </w:r>
      <w:r>
        <w:rPr>
          <w:rFonts w:hint="eastAsia"/>
          <w:color w:val="auto"/>
          <w:highlight w:val="none"/>
        </w:rPr>
        <w:t>日</w:t>
      </w:r>
      <w:r>
        <w:rPr>
          <w:color w:val="auto"/>
          <w:highlight w:val="none"/>
        </w:rPr>
        <w:t>前以书面形式发给所有购买招标文件的投标人，但不指明澄清问题的来源。如果澄清发出的时间距</w:t>
      </w:r>
      <w:r>
        <w:rPr>
          <w:rFonts w:hint="eastAsia"/>
          <w:color w:val="auto"/>
          <w:highlight w:val="none"/>
        </w:rPr>
        <w:t>投标</w:t>
      </w:r>
      <w:r>
        <w:rPr>
          <w:color w:val="auto"/>
          <w:highlight w:val="none"/>
        </w:rPr>
        <w:t>文件递交截止时间不足</w:t>
      </w:r>
      <w:r>
        <w:rPr>
          <w:rFonts w:hint="eastAsia"/>
          <w:color w:val="auto"/>
          <w:highlight w:val="none"/>
        </w:rPr>
        <w:t>1</w:t>
      </w:r>
      <w:r>
        <w:rPr>
          <w:color w:val="auto"/>
          <w:highlight w:val="none"/>
        </w:rPr>
        <w:t>5</w:t>
      </w:r>
      <w:r>
        <w:rPr>
          <w:rFonts w:hint="eastAsia"/>
          <w:color w:val="auto"/>
          <w:highlight w:val="none"/>
        </w:rPr>
        <w:t>日的</w:t>
      </w:r>
      <w:r>
        <w:rPr>
          <w:color w:val="auto"/>
          <w:highlight w:val="none"/>
        </w:rPr>
        <w:t>，相应延长</w:t>
      </w:r>
      <w:r>
        <w:rPr>
          <w:rFonts w:hint="eastAsia"/>
          <w:color w:val="auto"/>
          <w:highlight w:val="none"/>
        </w:rPr>
        <w:t>投标</w:t>
      </w:r>
      <w:r>
        <w:rPr>
          <w:color w:val="auto"/>
          <w:highlight w:val="none"/>
        </w:rPr>
        <w:t>文件递交截止时间。当招标文件与招标文件的澄清在同一内容的表述上不一致时，以最后发出的书面文件为准。</w:t>
      </w:r>
    </w:p>
    <w:p w14:paraId="256C6855">
      <w:pPr>
        <w:shd w:val="clear"/>
        <w:spacing w:line="360" w:lineRule="auto"/>
        <w:ind w:firstLine="420" w:firstLineChars="200"/>
        <w:rPr>
          <w:color w:val="auto"/>
          <w:highlight w:val="none"/>
        </w:rPr>
      </w:pPr>
      <w:r>
        <w:rPr>
          <w:color w:val="auto"/>
          <w:highlight w:val="none"/>
        </w:rPr>
        <w:t>2.2.3 投标人在收到澄清后，应在投标人须知前附表规定的时间内以书面形式通知采购人，确认己收到该澄清。</w:t>
      </w:r>
    </w:p>
    <w:p w14:paraId="6EDEE5A6">
      <w:pPr>
        <w:shd w:val="clear"/>
        <w:spacing w:line="360" w:lineRule="auto"/>
        <w:ind w:firstLine="420" w:firstLineChars="200"/>
        <w:rPr>
          <w:color w:val="auto"/>
          <w:highlight w:val="none"/>
        </w:rPr>
      </w:pPr>
      <w:r>
        <w:rPr>
          <w:rFonts w:hint="eastAsia"/>
          <w:color w:val="auto"/>
          <w:highlight w:val="none"/>
        </w:rPr>
        <w:t xml:space="preserve">2.2.4 </w:t>
      </w:r>
      <w:r>
        <w:rPr>
          <w:color w:val="auto"/>
          <w:highlight w:val="none"/>
        </w:rPr>
        <w:t>除非采购人认为确有必要答复，否则，采购人有权拒绝回复投标人在本章第 2.2.1 项规定的时间后的任何澄清要求。</w:t>
      </w:r>
    </w:p>
    <w:p w14:paraId="783FC92D">
      <w:pPr>
        <w:shd w:val="clear"/>
        <w:spacing w:line="360" w:lineRule="auto"/>
        <w:ind w:firstLine="422" w:firstLineChars="200"/>
        <w:rPr>
          <w:b/>
          <w:color w:val="auto"/>
          <w:highlight w:val="none"/>
        </w:rPr>
      </w:pPr>
      <w:bookmarkStart w:id="83" w:name="_Toc221356244"/>
      <w:bookmarkEnd w:id="83"/>
      <w:bookmarkStart w:id="84" w:name="_Toc179632563"/>
      <w:bookmarkEnd w:id="84"/>
      <w:bookmarkStart w:id="85" w:name="_Toc152042321"/>
      <w:bookmarkEnd w:id="85"/>
      <w:bookmarkStart w:id="86" w:name="_Toc144974513"/>
      <w:bookmarkEnd w:id="86"/>
      <w:bookmarkStart w:id="87" w:name="_Toc152045545"/>
      <w:bookmarkEnd w:id="87"/>
      <w:r>
        <w:rPr>
          <w:b/>
          <w:color w:val="auto"/>
          <w:highlight w:val="none"/>
        </w:rPr>
        <w:t>2.3招标文件的修改</w:t>
      </w:r>
    </w:p>
    <w:p w14:paraId="7D422AFE">
      <w:pPr>
        <w:shd w:val="clear"/>
        <w:spacing w:line="360" w:lineRule="auto"/>
        <w:ind w:firstLine="420" w:firstLineChars="200"/>
        <w:rPr>
          <w:color w:val="auto"/>
          <w:highlight w:val="none"/>
        </w:rPr>
      </w:pPr>
      <w:r>
        <w:rPr>
          <w:color w:val="auto"/>
          <w:highlight w:val="none"/>
        </w:rPr>
        <w:t>2.3.1采购人以投标人须知前附表规定的形式修改招标文件，并通知所有已购买招标文件的投标人。如果修改招标文件的时间距</w:t>
      </w:r>
      <w:r>
        <w:rPr>
          <w:rFonts w:hint="eastAsia"/>
          <w:color w:val="auto"/>
          <w:highlight w:val="none"/>
        </w:rPr>
        <w:t>投标</w:t>
      </w:r>
      <w:r>
        <w:rPr>
          <w:color w:val="auto"/>
          <w:highlight w:val="none"/>
        </w:rPr>
        <w:t>文件递交截止时间不足</w:t>
      </w:r>
      <w:r>
        <w:rPr>
          <w:rFonts w:hint="eastAsia"/>
          <w:color w:val="auto"/>
          <w:highlight w:val="none"/>
        </w:rPr>
        <w:t>1</w:t>
      </w:r>
      <w:r>
        <w:rPr>
          <w:color w:val="auto"/>
          <w:highlight w:val="none"/>
        </w:rPr>
        <w:t>5</w:t>
      </w:r>
      <w:r>
        <w:rPr>
          <w:rFonts w:hint="eastAsia"/>
          <w:color w:val="auto"/>
          <w:highlight w:val="none"/>
        </w:rPr>
        <w:t>日的</w:t>
      </w:r>
      <w:r>
        <w:rPr>
          <w:color w:val="auto"/>
          <w:highlight w:val="none"/>
        </w:rPr>
        <w:t>，相应延长投标文件递交截止时间。当招标文件与招标文件的修改在同一内容的表述上不一致时，以最后发出的书面文件为准。</w:t>
      </w:r>
    </w:p>
    <w:p w14:paraId="2D84F702">
      <w:pPr>
        <w:shd w:val="clear"/>
        <w:spacing w:line="360" w:lineRule="auto"/>
        <w:ind w:firstLine="420" w:firstLineChars="200"/>
        <w:rPr>
          <w:color w:val="auto"/>
          <w:highlight w:val="none"/>
        </w:rPr>
      </w:pPr>
      <w:r>
        <w:rPr>
          <w:color w:val="auto"/>
          <w:highlight w:val="none"/>
        </w:rPr>
        <w:t>2.3.2 投标人收到修改内容后，应在投标人须知前附表规定的时间内以书面形式通知采购人，确认己收到该修改。</w:t>
      </w:r>
    </w:p>
    <w:p w14:paraId="21E3E016">
      <w:pPr>
        <w:shd w:val="clear"/>
        <w:spacing w:line="360" w:lineRule="auto"/>
        <w:ind w:firstLine="422" w:firstLineChars="200"/>
        <w:rPr>
          <w:b/>
          <w:color w:val="auto"/>
          <w:highlight w:val="none"/>
        </w:rPr>
      </w:pPr>
      <w:r>
        <w:rPr>
          <w:rFonts w:hint="eastAsia"/>
          <w:b/>
          <w:color w:val="auto"/>
          <w:highlight w:val="none"/>
        </w:rPr>
        <w:t>2.4开标前答疑会</w:t>
      </w:r>
    </w:p>
    <w:p w14:paraId="1258316D">
      <w:pPr>
        <w:shd w:val="clear"/>
        <w:spacing w:line="360" w:lineRule="auto"/>
        <w:ind w:firstLine="420" w:firstLineChars="200"/>
        <w:rPr>
          <w:color w:val="auto"/>
          <w:highlight w:val="none"/>
        </w:rPr>
      </w:pPr>
      <w:r>
        <w:rPr>
          <w:rFonts w:hint="eastAsia"/>
          <w:color w:val="auto"/>
          <w:highlight w:val="none"/>
        </w:rPr>
        <w:t>2.4.1采购人或者采购代理机构可以在招标文件提供期限截止后，组织已获取招标文件的潜在投标人现场考察或者召开开标前答疑会。</w:t>
      </w:r>
    </w:p>
    <w:p w14:paraId="43FA8833">
      <w:pPr>
        <w:shd w:val="clear"/>
        <w:spacing w:line="360" w:lineRule="auto"/>
        <w:ind w:firstLine="420" w:firstLineChars="200"/>
        <w:rPr>
          <w:color w:val="auto"/>
          <w:highlight w:val="none"/>
        </w:rPr>
      </w:pPr>
      <w:r>
        <w:rPr>
          <w:rFonts w:hint="eastAsia"/>
          <w:color w:val="auto"/>
          <w:highlight w:val="none"/>
        </w:rPr>
        <w:t>2.4.2组织现场考察或者召开答疑会的，应当在招标文件中载明，或者在招标文件提供期限截止后以书面形式通知所有获取招标文件的潜在投标人。</w:t>
      </w:r>
    </w:p>
    <w:p w14:paraId="4634F9DD">
      <w:pPr>
        <w:shd w:val="clear"/>
        <w:spacing w:line="360" w:lineRule="auto"/>
        <w:ind w:firstLine="420" w:firstLineChars="200"/>
        <w:rPr>
          <w:color w:val="auto"/>
          <w:highlight w:val="none"/>
        </w:rPr>
      </w:pPr>
    </w:p>
    <w:p w14:paraId="36972F5F">
      <w:pPr>
        <w:shd w:val="clear"/>
        <w:spacing w:line="360" w:lineRule="auto"/>
        <w:jc w:val="center"/>
        <w:outlineLvl w:val="2"/>
        <w:rPr>
          <w:b/>
          <w:color w:val="auto"/>
          <w:kern w:val="0"/>
          <w:sz w:val="36"/>
          <w:szCs w:val="44"/>
          <w:highlight w:val="none"/>
        </w:rPr>
      </w:pPr>
      <w:bookmarkStart w:id="88" w:name="_Toc179632564"/>
      <w:bookmarkEnd w:id="88"/>
      <w:bookmarkStart w:id="89" w:name="_Toc144974514"/>
      <w:bookmarkEnd w:id="89"/>
      <w:bookmarkStart w:id="90" w:name="_Toc241763831"/>
      <w:bookmarkEnd w:id="90"/>
      <w:bookmarkStart w:id="91" w:name="_Toc152045546"/>
      <w:bookmarkEnd w:id="91"/>
      <w:bookmarkStart w:id="92" w:name="_Toc221356245"/>
      <w:bookmarkEnd w:id="92"/>
      <w:bookmarkStart w:id="93" w:name="_Toc152042322"/>
      <w:bookmarkEnd w:id="93"/>
      <w:bookmarkStart w:id="94" w:name="_Toc10476"/>
      <w:r>
        <w:rPr>
          <w:b/>
          <w:color w:val="auto"/>
          <w:kern w:val="0"/>
          <w:sz w:val="36"/>
          <w:szCs w:val="44"/>
          <w:highlight w:val="none"/>
        </w:rPr>
        <w:t>3. 投标文件</w:t>
      </w:r>
      <w:bookmarkEnd w:id="94"/>
    </w:p>
    <w:p w14:paraId="1409FC9C">
      <w:pPr>
        <w:shd w:val="clear"/>
        <w:spacing w:line="360" w:lineRule="auto"/>
        <w:ind w:firstLine="422" w:firstLineChars="200"/>
        <w:rPr>
          <w:b/>
          <w:color w:val="auto"/>
          <w:highlight w:val="none"/>
        </w:rPr>
      </w:pPr>
      <w:bookmarkStart w:id="95" w:name="_Toc144974516"/>
      <w:bookmarkStart w:id="96" w:name="_Toc179632566"/>
      <w:bookmarkStart w:id="97" w:name="_Toc152045548"/>
      <w:bookmarkStart w:id="98" w:name="_Toc152042324"/>
      <w:bookmarkStart w:id="99" w:name="_Toc221356247"/>
      <w:r>
        <w:rPr>
          <w:b/>
          <w:color w:val="auto"/>
          <w:highlight w:val="none"/>
        </w:rPr>
        <w:t>3.1投标文件的组成</w:t>
      </w:r>
    </w:p>
    <w:p w14:paraId="4D298F7F">
      <w:pPr>
        <w:shd w:val="clear"/>
        <w:spacing w:line="360" w:lineRule="auto"/>
        <w:ind w:firstLine="420" w:firstLineChars="200"/>
        <w:rPr>
          <w:color w:val="auto"/>
          <w:highlight w:val="none"/>
        </w:rPr>
      </w:pPr>
      <w:r>
        <w:rPr>
          <w:rFonts w:hint="eastAsia"/>
          <w:color w:val="auto"/>
          <w:highlight w:val="none"/>
        </w:rPr>
        <w:t xml:space="preserve">3.1.1 投标文件资格审查部分详见第六章“投标文件格式”资格审查部分中的内容。 </w:t>
      </w:r>
    </w:p>
    <w:p w14:paraId="0227156B">
      <w:pPr>
        <w:shd w:val="clear"/>
        <w:spacing w:line="360" w:lineRule="auto"/>
        <w:ind w:firstLine="420" w:firstLineChars="200"/>
        <w:rPr>
          <w:color w:val="auto"/>
          <w:highlight w:val="none"/>
        </w:rPr>
      </w:pPr>
      <w:r>
        <w:rPr>
          <w:rFonts w:hint="eastAsia"/>
          <w:color w:val="auto"/>
          <w:highlight w:val="none"/>
        </w:rPr>
        <w:t>3.1.2 投标文件商务技术部分详见第六章“投标文件格式”商务技术部分中的内容。投标人在评审过程中作出的符合法律法规和招标文件规定的澄清确认，构成投标文件的组成部分。</w:t>
      </w:r>
      <w:bookmarkEnd w:id="95"/>
      <w:bookmarkEnd w:id="96"/>
      <w:bookmarkEnd w:id="97"/>
      <w:bookmarkEnd w:id="98"/>
      <w:bookmarkEnd w:id="99"/>
    </w:p>
    <w:p w14:paraId="454C75CC">
      <w:pPr>
        <w:shd w:val="clear"/>
        <w:spacing w:line="360" w:lineRule="auto"/>
        <w:ind w:firstLine="420" w:firstLineChars="200"/>
        <w:rPr>
          <w:color w:val="auto"/>
          <w:highlight w:val="none"/>
        </w:rPr>
      </w:pPr>
      <w:r>
        <w:rPr>
          <w:rFonts w:hint="eastAsia"/>
          <w:color w:val="auto"/>
          <w:highlight w:val="none"/>
        </w:rPr>
        <w:t>3.1.3 投标人须知前附表未要求提交投标保证金的，投标文件不包括第六章“投标文件格式”部分中所指的投标保证金。</w:t>
      </w:r>
    </w:p>
    <w:p w14:paraId="75FA08DB">
      <w:pPr>
        <w:shd w:val="clear"/>
        <w:spacing w:line="360" w:lineRule="auto"/>
        <w:ind w:firstLine="422" w:firstLineChars="200"/>
        <w:rPr>
          <w:b/>
          <w:color w:val="auto"/>
          <w:highlight w:val="none"/>
        </w:rPr>
      </w:pPr>
      <w:r>
        <w:rPr>
          <w:b/>
          <w:color w:val="auto"/>
          <w:highlight w:val="none"/>
        </w:rPr>
        <w:t>3.2</w:t>
      </w:r>
      <w:r>
        <w:rPr>
          <w:rFonts w:hint="eastAsia"/>
          <w:b/>
          <w:color w:val="auto"/>
          <w:highlight w:val="none"/>
        </w:rPr>
        <w:t>投标</w:t>
      </w:r>
      <w:r>
        <w:rPr>
          <w:b/>
          <w:color w:val="auto"/>
          <w:highlight w:val="none"/>
        </w:rPr>
        <w:t>报价</w:t>
      </w:r>
    </w:p>
    <w:p w14:paraId="789FF420">
      <w:pPr>
        <w:shd w:val="clear"/>
        <w:spacing w:line="360" w:lineRule="auto"/>
        <w:ind w:firstLine="422" w:firstLineChars="200"/>
        <w:rPr>
          <w:b/>
          <w:bCs/>
          <w:color w:val="auto"/>
          <w:highlight w:val="none"/>
        </w:rPr>
      </w:pPr>
      <w:bookmarkStart w:id="100" w:name="_Toc152045549"/>
      <w:bookmarkStart w:id="101" w:name="_Toc179632567"/>
      <w:bookmarkStart w:id="102" w:name="_Toc221356248"/>
      <w:bookmarkStart w:id="103" w:name="_Toc144974517"/>
      <w:bookmarkStart w:id="104" w:name="_Toc152042325"/>
      <w:r>
        <w:rPr>
          <w:b/>
          <w:bCs/>
          <w:color w:val="auto"/>
          <w:highlight w:val="none"/>
        </w:rPr>
        <w:t>3.2.1本项目最高限价：</w:t>
      </w:r>
      <w:r>
        <w:rPr>
          <w:rFonts w:hint="eastAsia"/>
          <w:b/>
          <w:bCs/>
          <w:color w:val="auto"/>
          <w:highlight w:val="none"/>
        </w:rPr>
        <w:t>详见投标人须知前附表。</w:t>
      </w:r>
    </w:p>
    <w:p w14:paraId="3E9D4A11">
      <w:pPr>
        <w:shd w:val="clear"/>
        <w:spacing w:line="360" w:lineRule="auto"/>
        <w:ind w:firstLine="422" w:firstLineChars="200"/>
        <w:rPr>
          <w:rFonts w:ascii="宋体" w:hAnsi="宋体"/>
          <w:b/>
          <w:color w:val="auto"/>
          <w:szCs w:val="21"/>
          <w:highlight w:val="none"/>
        </w:rPr>
      </w:pPr>
      <w:r>
        <w:rPr>
          <w:b/>
          <w:bCs/>
          <w:color w:val="auto"/>
          <w:highlight w:val="none"/>
        </w:rPr>
        <w:t>3.2.2</w:t>
      </w:r>
      <w:r>
        <w:rPr>
          <w:rFonts w:hint="eastAsia" w:ascii="宋体" w:hAnsi="宋体"/>
          <w:b/>
          <w:color w:val="auto"/>
          <w:szCs w:val="21"/>
          <w:highlight w:val="none"/>
        </w:rPr>
        <w:t>本项目报价为固定总价。</w:t>
      </w:r>
    </w:p>
    <w:p w14:paraId="7FF057D7">
      <w:pPr>
        <w:widowControl/>
        <w:shd w:val="clear"/>
        <w:spacing w:line="360" w:lineRule="auto"/>
        <w:ind w:firstLine="420" w:firstLineChars="200"/>
        <w:rPr>
          <w:rFonts w:asciiTheme="minorEastAsia" w:hAnsiTheme="minorEastAsia" w:eastAsiaTheme="minorEastAsia"/>
          <w:color w:val="auto"/>
          <w:highlight w:val="none"/>
        </w:rPr>
      </w:pPr>
      <w:r>
        <w:rPr>
          <w:rFonts w:hint="eastAsia" w:ascii="宋体" w:hAnsi="宋体"/>
          <w:color w:val="auto"/>
          <w:szCs w:val="21"/>
          <w:highlight w:val="none"/>
        </w:rPr>
        <w:t>磋商报价应依据招标文件、项目需求、技术和服务要求等有关资料，并综合考虑成本、税收、保险、利润和风险等一切因素，结合市场情况，由投标人自行测算自主报价。投标报价一经确定，合同执行期间不予调整。</w:t>
      </w:r>
    </w:p>
    <w:p w14:paraId="76081E02">
      <w:pPr>
        <w:widowControl/>
        <w:shd w:val="clear"/>
        <w:spacing w:line="360" w:lineRule="auto"/>
        <w:ind w:firstLine="420" w:firstLineChars="200"/>
        <w:rPr>
          <w:color w:val="auto"/>
          <w:highlight w:val="none"/>
        </w:rPr>
      </w:pPr>
      <w:r>
        <w:rPr>
          <w:color w:val="auto"/>
          <w:highlight w:val="none"/>
        </w:rPr>
        <w:t>3.2.3投标人在投标截止时间前修改投标函中的</w:t>
      </w:r>
      <w:r>
        <w:rPr>
          <w:rFonts w:hint="eastAsia"/>
          <w:color w:val="auto"/>
          <w:highlight w:val="none"/>
        </w:rPr>
        <w:t>投标</w:t>
      </w:r>
      <w:r>
        <w:rPr>
          <w:color w:val="auto"/>
          <w:highlight w:val="none"/>
        </w:rPr>
        <w:t>报价总额，应同时修改“</w:t>
      </w:r>
      <w:r>
        <w:rPr>
          <w:rFonts w:hint="eastAsia"/>
          <w:color w:val="auto"/>
          <w:highlight w:val="none"/>
        </w:rPr>
        <w:t>分项报价表</w:t>
      </w:r>
      <w:r>
        <w:rPr>
          <w:color w:val="auto"/>
          <w:highlight w:val="none"/>
        </w:rPr>
        <w:t>”中的相应报价，</w:t>
      </w:r>
      <w:r>
        <w:rPr>
          <w:rFonts w:hint="eastAsia"/>
          <w:color w:val="auto"/>
          <w:highlight w:val="none"/>
        </w:rPr>
        <w:t>投标</w:t>
      </w:r>
      <w:r>
        <w:rPr>
          <w:color w:val="auto"/>
          <w:highlight w:val="none"/>
        </w:rPr>
        <w:t>报价总额为各分项金额之和。此修改须符合本章第4.3款的有关要求。</w:t>
      </w:r>
    </w:p>
    <w:p w14:paraId="3BCAA673">
      <w:pPr>
        <w:shd w:val="clear"/>
        <w:spacing w:line="360" w:lineRule="auto"/>
        <w:ind w:firstLine="420" w:firstLineChars="200"/>
        <w:rPr>
          <w:color w:val="auto"/>
          <w:highlight w:val="none"/>
        </w:rPr>
      </w:pPr>
      <w:r>
        <w:rPr>
          <w:color w:val="auto"/>
          <w:highlight w:val="none"/>
        </w:rPr>
        <w:t>3.2.4投标人应充分了解该项目的总体情况以及影响报价的其他要素。</w:t>
      </w:r>
    </w:p>
    <w:p w14:paraId="420E75EA">
      <w:pPr>
        <w:shd w:val="clear"/>
        <w:spacing w:line="360" w:lineRule="auto"/>
        <w:ind w:firstLine="420" w:firstLineChars="200"/>
        <w:rPr>
          <w:color w:val="auto"/>
          <w:highlight w:val="none"/>
        </w:rPr>
      </w:pPr>
      <w:r>
        <w:rPr>
          <w:color w:val="auto"/>
          <w:highlight w:val="none"/>
        </w:rPr>
        <w:t>3.2.5投标人报价中不得包含招标文件要求以外的内容，否则，在评审时不予核减。</w:t>
      </w:r>
    </w:p>
    <w:p w14:paraId="77FC55D9">
      <w:pPr>
        <w:shd w:val="clear"/>
        <w:spacing w:line="360" w:lineRule="auto"/>
        <w:ind w:firstLine="420" w:firstLineChars="200"/>
        <w:rPr>
          <w:color w:val="auto"/>
          <w:highlight w:val="none"/>
        </w:rPr>
      </w:pPr>
      <w:r>
        <w:rPr>
          <w:color w:val="auto"/>
          <w:highlight w:val="none"/>
        </w:rPr>
        <w:t>3.2.6每个投标人只能提交一套投标文件，针对每一项内容只允许有一个报价，不接受选择性报价。</w:t>
      </w:r>
    </w:p>
    <w:p w14:paraId="3B65A20C">
      <w:pPr>
        <w:shd w:val="clear"/>
        <w:spacing w:line="360" w:lineRule="auto"/>
        <w:ind w:firstLine="420" w:firstLineChars="200"/>
        <w:rPr>
          <w:color w:val="auto"/>
          <w:highlight w:val="none"/>
        </w:rPr>
      </w:pPr>
      <w:r>
        <w:rPr>
          <w:color w:val="auto"/>
          <w:highlight w:val="none"/>
        </w:rPr>
        <w:t>3.2.7投标人报价的其他要求见投标人须知前附表。</w:t>
      </w:r>
    </w:p>
    <w:bookmarkEnd w:id="100"/>
    <w:bookmarkEnd w:id="101"/>
    <w:bookmarkEnd w:id="102"/>
    <w:bookmarkEnd w:id="103"/>
    <w:bookmarkEnd w:id="104"/>
    <w:p w14:paraId="7DAB5FF1">
      <w:pPr>
        <w:shd w:val="clear"/>
        <w:spacing w:line="360" w:lineRule="auto"/>
        <w:ind w:firstLine="422" w:firstLineChars="200"/>
        <w:rPr>
          <w:b/>
          <w:color w:val="auto"/>
          <w:highlight w:val="none"/>
        </w:rPr>
      </w:pPr>
      <w:r>
        <w:rPr>
          <w:b/>
          <w:color w:val="auto"/>
          <w:highlight w:val="none"/>
        </w:rPr>
        <w:t>3.3投标文件有效期</w:t>
      </w:r>
    </w:p>
    <w:p w14:paraId="03DAB9D1">
      <w:pPr>
        <w:shd w:val="clear"/>
        <w:spacing w:line="360" w:lineRule="auto"/>
        <w:ind w:firstLine="420" w:firstLineChars="200"/>
        <w:rPr>
          <w:color w:val="auto"/>
          <w:highlight w:val="none"/>
        </w:rPr>
      </w:pPr>
      <w:r>
        <w:rPr>
          <w:color w:val="auto"/>
          <w:highlight w:val="none"/>
        </w:rPr>
        <w:t>3.3.1</w:t>
      </w:r>
      <w:r>
        <w:rPr>
          <w:rFonts w:hint="eastAsia"/>
          <w:color w:val="auto"/>
          <w:highlight w:val="none"/>
        </w:rPr>
        <w:t>投标文件</w:t>
      </w:r>
      <w:r>
        <w:rPr>
          <w:color w:val="auto"/>
          <w:highlight w:val="none"/>
        </w:rPr>
        <w:t>有效期见投标人须知前附表，从</w:t>
      </w:r>
      <w:r>
        <w:rPr>
          <w:rFonts w:hint="eastAsia"/>
          <w:color w:val="auto"/>
          <w:highlight w:val="none"/>
        </w:rPr>
        <w:t>投标</w:t>
      </w:r>
      <w:r>
        <w:rPr>
          <w:color w:val="auto"/>
          <w:highlight w:val="none"/>
        </w:rPr>
        <w:t>文件递交截止之日算起，在此期限内，凡符合本招标文件要求的投标文件均保持有效。</w:t>
      </w:r>
    </w:p>
    <w:p w14:paraId="2688434D">
      <w:pPr>
        <w:shd w:val="clear"/>
        <w:spacing w:line="360" w:lineRule="auto"/>
        <w:ind w:firstLine="420" w:firstLineChars="200"/>
        <w:rPr>
          <w:color w:val="auto"/>
          <w:highlight w:val="none"/>
        </w:rPr>
      </w:pPr>
      <w:r>
        <w:rPr>
          <w:color w:val="auto"/>
          <w:highlight w:val="none"/>
        </w:rPr>
        <w:t>3.3.2在</w:t>
      </w:r>
      <w:r>
        <w:rPr>
          <w:rFonts w:hint="eastAsia"/>
          <w:color w:val="auto"/>
          <w:highlight w:val="none"/>
        </w:rPr>
        <w:t>投标文件</w:t>
      </w:r>
      <w:r>
        <w:rPr>
          <w:color w:val="auto"/>
          <w:highlight w:val="none"/>
        </w:rPr>
        <w:t>有效期内，投标人撤销或修改其投标文件的，应承担招标文件和法律规定的责任。</w:t>
      </w:r>
    </w:p>
    <w:p w14:paraId="470C78FD">
      <w:pPr>
        <w:shd w:val="clear"/>
        <w:spacing w:line="360" w:lineRule="auto"/>
        <w:ind w:firstLine="420" w:firstLineChars="200"/>
        <w:rPr>
          <w:color w:val="auto"/>
          <w:highlight w:val="none"/>
        </w:rPr>
      </w:pPr>
      <w:r>
        <w:rPr>
          <w:color w:val="auto"/>
          <w:highlight w:val="none"/>
        </w:rPr>
        <w:t>3.3.3出现特殊情况需要延长</w:t>
      </w:r>
      <w:r>
        <w:rPr>
          <w:rFonts w:hint="eastAsia"/>
          <w:color w:val="auto"/>
          <w:highlight w:val="none"/>
        </w:rPr>
        <w:t>投标文件</w:t>
      </w:r>
      <w:r>
        <w:rPr>
          <w:color w:val="auto"/>
          <w:highlight w:val="none"/>
        </w:rPr>
        <w:t>有效期的，采购人以书面形式通知所有投标人延长</w:t>
      </w:r>
      <w:r>
        <w:rPr>
          <w:rFonts w:hint="eastAsia"/>
          <w:color w:val="auto"/>
          <w:highlight w:val="none"/>
        </w:rPr>
        <w:t>投标文件</w:t>
      </w:r>
      <w:r>
        <w:rPr>
          <w:color w:val="auto"/>
          <w:highlight w:val="none"/>
        </w:rPr>
        <w:t>有效期。投标人同意延长的，应相应延长其</w:t>
      </w:r>
      <w:r>
        <w:rPr>
          <w:rFonts w:hint="eastAsia"/>
          <w:color w:val="auto"/>
          <w:highlight w:val="none"/>
        </w:rPr>
        <w:t>投标</w:t>
      </w:r>
      <w:r>
        <w:rPr>
          <w:color w:val="auto"/>
          <w:highlight w:val="none"/>
        </w:rPr>
        <w:t>保证金的有效期，但不得要求或被允许修改或撤销其投标文件；投标人拒绝延长的，其</w:t>
      </w:r>
      <w:r>
        <w:rPr>
          <w:rFonts w:hint="eastAsia"/>
          <w:color w:val="auto"/>
          <w:highlight w:val="none"/>
        </w:rPr>
        <w:t>投标文件</w:t>
      </w:r>
      <w:r>
        <w:rPr>
          <w:color w:val="auto"/>
          <w:highlight w:val="none"/>
        </w:rPr>
        <w:t>失效，但投标人有权收回其</w:t>
      </w:r>
      <w:r>
        <w:rPr>
          <w:rFonts w:hint="eastAsia"/>
          <w:color w:val="auto"/>
          <w:highlight w:val="none"/>
        </w:rPr>
        <w:t>投标</w:t>
      </w:r>
      <w:r>
        <w:rPr>
          <w:color w:val="auto"/>
          <w:highlight w:val="none"/>
        </w:rPr>
        <w:t>保证金。</w:t>
      </w:r>
    </w:p>
    <w:p w14:paraId="4D24D0B2">
      <w:pPr>
        <w:shd w:val="clear"/>
        <w:spacing w:line="360" w:lineRule="auto"/>
        <w:ind w:firstLine="422" w:firstLineChars="200"/>
        <w:rPr>
          <w:b/>
          <w:color w:val="auto"/>
          <w:highlight w:val="none"/>
        </w:rPr>
      </w:pPr>
      <w:bookmarkStart w:id="105" w:name="_Toc221356249"/>
      <w:bookmarkEnd w:id="105"/>
      <w:bookmarkStart w:id="106" w:name="_Toc179632568"/>
      <w:bookmarkEnd w:id="106"/>
      <w:bookmarkStart w:id="107" w:name="_Toc144974518"/>
      <w:bookmarkEnd w:id="107"/>
      <w:bookmarkStart w:id="108" w:name="_Toc152045550"/>
      <w:bookmarkEnd w:id="108"/>
      <w:bookmarkStart w:id="109" w:name="_Toc152042326"/>
      <w:bookmarkEnd w:id="109"/>
      <w:r>
        <w:rPr>
          <w:b/>
          <w:color w:val="auto"/>
          <w:highlight w:val="none"/>
        </w:rPr>
        <w:t>3.4</w:t>
      </w:r>
      <w:r>
        <w:rPr>
          <w:rFonts w:hint="eastAsia"/>
          <w:b/>
          <w:color w:val="auto"/>
          <w:highlight w:val="none"/>
        </w:rPr>
        <w:t>投标</w:t>
      </w:r>
      <w:r>
        <w:rPr>
          <w:b/>
          <w:color w:val="auto"/>
          <w:highlight w:val="none"/>
        </w:rPr>
        <w:t>保证金</w:t>
      </w:r>
    </w:p>
    <w:p w14:paraId="21D56E6A">
      <w:pPr>
        <w:shd w:val="clear"/>
        <w:spacing w:line="360" w:lineRule="auto"/>
        <w:ind w:firstLine="420" w:firstLineChars="200"/>
        <w:rPr>
          <w:color w:val="auto"/>
          <w:szCs w:val="21"/>
          <w:highlight w:val="none"/>
        </w:rPr>
      </w:pPr>
      <w:r>
        <w:rPr>
          <w:rFonts w:hint="eastAsia"/>
          <w:color w:val="auto"/>
          <w:szCs w:val="21"/>
          <w:highlight w:val="none"/>
        </w:rPr>
        <w:t xml:space="preserve">3.4.1 </w:t>
      </w:r>
      <w:r>
        <w:rPr>
          <w:color w:val="auto"/>
          <w:highlight w:val="none"/>
        </w:rPr>
        <w:t>投标人在递交投标文件的同时，应按投标人须知前附表规定的金额、形式和</w:t>
      </w:r>
      <w:r>
        <w:rPr>
          <w:rFonts w:hint="eastAsia"/>
          <w:color w:val="auto"/>
          <w:highlight w:val="none"/>
        </w:rPr>
        <w:t>第六章</w:t>
      </w:r>
      <w:r>
        <w:rPr>
          <w:color w:val="auto"/>
          <w:spacing w:val="-2"/>
          <w:highlight w:val="none"/>
        </w:rPr>
        <w:t>“投标文件格式”规定的</w:t>
      </w:r>
      <w:r>
        <w:rPr>
          <w:rFonts w:hint="eastAsia"/>
          <w:color w:val="auto"/>
          <w:spacing w:val="-2"/>
          <w:highlight w:val="none"/>
        </w:rPr>
        <w:t>投标保证金</w:t>
      </w:r>
      <w:r>
        <w:rPr>
          <w:color w:val="auto"/>
          <w:spacing w:val="-2"/>
          <w:highlight w:val="none"/>
        </w:rPr>
        <w:t>格式递交</w:t>
      </w:r>
      <w:r>
        <w:rPr>
          <w:rFonts w:hint="eastAsia"/>
          <w:color w:val="auto"/>
          <w:spacing w:val="-2"/>
          <w:highlight w:val="none"/>
        </w:rPr>
        <w:t>投标保证金</w:t>
      </w:r>
      <w:r>
        <w:rPr>
          <w:color w:val="auto"/>
          <w:spacing w:val="-2"/>
          <w:highlight w:val="none"/>
        </w:rPr>
        <w:t>，并作为其投标文件的组成部分。</w:t>
      </w:r>
      <w:r>
        <w:rPr>
          <w:rFonts w:hint="eastAsia"/>
          <w:color w:val="auto"/>
          <w:spacing w:val="-2"/>
          <w:highlight w:val="none"/>
        </w:rPr>
        <w:t>保证金</w:t>
      </w:r>
      <w:r>
        <w:rPr>
          <w:color w:val="auto"/>
          <w:spacing w:val="-2"/>
          <w:highlight w:val="none"/>
        </w:rPr>
        <w:t>应当从其基本账户转出。联合体</w:t>
      </w:r>
      <w:r>
        <w:rPr>
          <w:rFonts w:hint="eastAsia"/>
          <w:color w:val="auto"/>
          <w:spacing w:val="-2"/>
          <w:highlight w:val="none"/>
        </w:rPr>
        <w:t>投标</w:t>
      </w:r>
      <w:r>
        <w:rPr>
          <w:color w:val="auto"/>
          <w:spacing w:val="-2"/>
          <w:highlight w:val="none"/>
        </w:rPr>
        <w:t>的，其</w:t>
      </w:r>
      <w:r>
        <w:rPr>
          <w:rFonts w:hint="eastAsia"/>
          <w:color w:val="auto"/>
          <w:spacing w:val="-2"/>
          <w:highlight w:val="none"/>
        </w:rPr>
        <w:t>投标保证金</w:t>
      </w:r>
      <w:r>
        <w:rPr>
          <w:color w:val="auto"/>
          <w:highlight w:val="none"/>
        </w:rPr>
        <w:t>可以由牵头人递交。</w:t>
      </w:r>
    </w:p>
    <w:p w14:paraId="6C9114FF">
      <w:pPr>
        <w:shd w:val="clear"/>
        <w:spacing w:line="360" w:lineRule="auto"/>
        <w:ind w:firstLine="420" w:firstLineChars="200"/>
        <w:rPr>
          <w:color w:val="auto"/>
          <w:szCs w:val="21"/>
          <w:highlight w:val="none"/>
        </w:rPr>
      </w:pPr>
      <w:r>
        <w:rPr>
          <w:rFonts w:hint="eastAsia"/>
          <w:color w:val="auto"/>
          <w:szCs w:val="21"/>
          <w:highlight w:val="none"/>
        </w:rPr>
        <w:t>3.4.2 投标人不按本章第3.4.1项要求提交</w:t>
      </w:r>
      <w:r>
        <w:rPr>
          <w:rFonts w:hint="eastAsia"/>
          <w:color w:val="auto"/>
          <w:spacing w:val="-2"/>
          <w:highlight w:val="none"/>
        </w:rPr>
        <w:t>投标保证金</w:t>
      </w:r>
      <w:r>
        <w:rPr>
          <w:rFonts w:hint="eastAsia"/>
          <w:color w:val="auto"/>
          <w:szCs w:val="21"/>
          <w:highlight w:val="none"/>
        </w:rPr>
        <w:t>的，其投标文件作否决投标处理。</w:t>
      </w:r>
    </w:p>
    <w:p w14:paraId="238F8C62">
      <w:pPr>
        <w:shd w:val="clear"/>
        <w:spacing w:line="360" w:lineRule="auto"/>
        <w:ind w:firstLine="420" w:firstLineChars="200"/>
        <w:rPr>
          <w:color w:val="auto"/>
          <w:szCs w:val="21"/>
          <w:highlight w:val="none"/>
        </w:rPr>
      </w:pPr>
      <w:r>
        <w:rPr>
          <w:rFonts w:hint="eastAsia"/>
          <w:color w:val="auto"/>
          <w:szCs w:val="21"/>
          <w:highlight w:val="none"/>
        </w:rPr>
        <w:t>3.4.3</w:t>
      </w:r>
      <w:r>
        <w:rPr>
          <w:color w:val="auto"/>
          <w:highlight w:val="none"/>
        </w:rPr>
        <w:t>采购人或者采购代理机构</w:t>
      </w:r>
      <w:r>
        <w:rPr>
          <w:rFonts w:hint="eastAsia"/>
          <w:color w:val="auto"/>
          <w:szCs w:val="21"/>
          <w:highlight w:val="none"/>
        </w:rPr>
        <w:t>在</w:t>
      </w:r>
      <w:r>
        <w:rPr>
          <w:rFonts w:hint="eastAsia"/>
          <w:color w:val="auto"/>
          <w:highlight w:val="none"/>
        </w:rPr>
        <w:t>中标</w:t>
      </w:r>
      <w:r>
        <w:rPr>
          <w:rFonts w:hint="eastAsia"/>
          <w:color w:val="auto"/>
          <w:szCs w:val="21"/>
          <w:highlight w:val="none"/>
        </w:rPr>
        <w:t>通知书发出后</w:t>
      </w:r>
      <w:r>
        <w:rPr>
          <w:rFonts w:ascii="宋体" w:hAnsi="宋体"/>
          <w:color w:val="auto"/>
          <w:highlight w:val="none"/>
        </w:rPr>
        <w:t>5</w:t>
      </w:r>
      <w:r>
        <w:rPr>
          <w:color w:val="auto"/>
          <w:highlight w:val="none"/>
        </w:rPr>
        <w:t>个工作日</w:t>
      </w:r>
      <w:r>
        <w:rPr>
          <w:rFonts w:hint="eastAsia"/>
          <w:color w:val="auto"/>
          <w:szCs w:val="21"/>
          <w:highlight w:val="none"/>
        </w:rPr>
        <w:t>内，将</w:t>
      </w:r>
      <w:r>
        <w:rPr>
          <w:rFonts w:hint="eastAsia"/>
          <w:color w:val="auto"/>
          <w:spacing w:val="-2"/>
          <w:highlight w:val="none"/>
        </w:rPr>
        <w:t>投标保证金</w:t>
      </w:r>
      <w:r>
        <w:rPr>
          <w:rFonts w:hint="eastAsia"/>
          <w:color w:val="auto"/>
          <w:szCs w:val="21"/>
          <w:highlight w:val="none"/>
        </w:rPr>
        <w:t>一次性退还未</w:t>
      </w:r>
      <w:r>
        <w:rPr>
          <w:rFonts w:hint="eastAsia"/>
          <w:color w:val="auto"/>
          <w:highlight w:val="none"/>
        </w:rPr>
        <w:t>中标人</w:t>
      </w:r>
      <w:r>
        <w:rPr>
          <w:rFonts w:hint="eastAsia"/>
          <w:color w:val="auto"/>
          <w:szCs w:val="21"/>
          <w:highlight w:val="none"/>
        </w:rPr>
        <w:t>，在采购人与</w:t>
      </w:r>
      <w:r>
        <w:rPr>
          <w:rFonts w:hint="eastAsia"/>
          <w:color w:val="auto"/>
          <w:highlight w:val="none"/>
        </w:rPr>
        <w:t>中标人</w:t>
      </w:r>
      <w:r>
        <w:rPr>
          <w:rFonts w:hint="eastAsia"/>
          <w:color w:val="auto"/>
          <w:szCs w:val="21"/>
          <w:highlight w:val="none"/>
        </w:rPr>
        <w:t>签订合同后</w:t>
      </w:r>
      <w:r>
        <w:rPr>
          <w:rFonts w:ascii="宋体" w:hAnsi="宋体"/>
          <w:color w:val="auto"/>
          <w:highlight w:val="none"/>
        </w:rPr>
        <w:t>5</w:t>
      </w:r>
      <w:r>
        <w:rPr>
          <w:color w:val="auto"/>
          <w:highlight w:val="none"/>
        </w:rPr>
        <w:t>个工作日</w:t>
      </w:r>
      <w:r>
        <w:rPr>
          <w:rFonts w:hint="eastAsia"/>
          <w:color w:val="auto"/>
          <w:szCs w:val="21"/>
          <w:highlight w:val="none"/>
        </w:rPr>
        <w:t>内向</w:t>
      </w:r>
      <w:r>
        <w:rPr>
          <w:rFonts w:hint="eastAsia"/>
          <w:color w:val="auto"/>
          <w:highlight w:val="none"/>
        </w:rPr>
        <w:t>中标人</w:t>
      </w:r>
      <w:r>
        <w:rPr>
          <w:rFonts w:hint="eastAsia"/>
          <w:color w:val="auto"/>
          <w:szCs w:val="21"/>
          <w:highlight w:val="none"/>
        </w:rPr>
        <w:t>一次性退还</w:t>
      </w:r>
      <w:r>
        <w:rPr>
          <w:rFonts w:hint="eastAsia"/>
          <w:color w:val="auto"/>
          <w:spacing w:val="-2"/>
          <w:highlight w:val="none"/>
        </w:rPr>
        <w:t>投标保证金</w:t>
      </w:r>
      <w:r>
        <w:rPr>
          <w:rFonts w:hint="eastAsia"/>
          <w:color w:val="auto"/>
          <w:szCs w:val="21"/>
          <w:highlight w:val="none"/>
        </w:rPr>
        <w:t>。</w:t>
      </w:r>
    </w:p>
    <w:p w14:paraId="58374959">
      <w:pPr>
        <w:shd w:val="clear"/>
        <w:spacing w:line="360" w:lineRule="auto"/>
        <w:ind w:firstLine="420" w:firstLineChars="200"/>
        <w:rPr>
          <w:color w:val="auto"/>
          <w:szCs w:val="21"/>
          <w:highlight w:val="none"/>
        </w:rPr>
      </w:pPr>
      <w:r>
        <w:rPr>
          <w:rFonts w:hint="eastAsia"/>
          <w:color w:val="auto"/>
          <w:szCs w:val="21"/>
          <w:highlight w:val="none"/>
        </w:rPr>
        <w:t>3.4.4 有下列情形之一的，</w:t>
      </w:r>
      <w:r>
        <w:rPr>
          <w:rFonts w:hint="eastAsia"/>
          <w:color w:val="auto"/>
          <w:spacing w:val="-2"/>
          <w:highlight w:val="none"/>
        </w:rPr>
        <w:t>投标保证金</w:t>
      </w:r>
      <w:r>
        <w:rPr>
          <w:rFonts w:hint="eastAsia"/>
          <w:color w:val="auto"/>
          <w:szCs w:val="21"/>
          <w:highlight w:val="none"/>
        </w:rPr>
        <w:t>将不予退还：</w:t>
      </w:r>
    </w:p>
    <w:p w14:paraId="32221120">
      <w:pPr>
        <w:shd w:val="clear"/>
        <w:spacing w:line="360" w:lineRule="auto"/>
        <w:ind w:firstLine="420" w:firstLineChars="200"/>
        <w:rPr>
          <w:color w:val="auto"/>
          <w:szCs w:val="21"/>
          <w:highlight w:val="none"/>
        </w:rPr>
      </w:pPr>
      <w:r>
        <w:rPr>
          <w:rFonts w:hint="eastAsia"/>
          <w:color w:val="auto"/>
          <w:szCs w:val="21"/>
          <w:highlight w:val="none"/>
        </w:rPr>
        <w:t>（1）投标人在规定的投标文件有效期内撤销或修改其投标文件；</w:t>
      </w:r>
    </w:p>
    <w:p w14:paraId="54CFEE09">
      <w:pPr>
        <w:shd w:val="clear"/>
        <w:spacing w:line="360" w:lineRule="auto"/>
        <w:ind w:firstLine="420" w:firstLineChars="200"/>
        <w:rPr>
          <w:color w:val="auto"/>
          <w:szCs w:val="21"/>
          <w:highlight w:val="none"/>
        </w:rPr>
      </w:pPr>
      <w:r>
        <w:rPr>
          <w:rFonts w:hint="eastAsia"/>
          <w:color w:val="auto"/>
          <w:szCs w:val="21"/>
          <w:highlight w:val="none"/>
        </w:rPr>
        <w:t>（2）</w:t>
      </w:r>
      <w:r>
        <w:rPr>
          <w:rFonts w:hint="eastAsia"/>
          <w:color w:val="auto"/>
          <w:highlight w:val="none"/>
        </w:rPr>
        <w:t>中标人</w:t>
      </w:r>
      <w:r>
        <w:rPr>
          <w:rFonts w:hint="eastAsia"/>
          <w:color w:val="auto"/>
          <w:szCs w:val="21"/>
          <w:highlight w:val="none"/>
        </w:rPr>
        <w:t>在收到</w:t>
      </w:r>
      <w:r>
        <w:rPr>
          <w:rFonts w:hint="eastAsia"/>
          <w:color w:val="auto"/>
          <w:highlight w:val="none"/>
        </w:rPr>
        <w:t>中标</w:t>
      </w:r>
      <w:r>
        <w:rPr>
          <w:rFonts w:hint="eastAsia"/>
          <w:color w:val="auto"/>
          <w:szCs w:val="21"/>
          <w:highlight w:val="none"/>
        </w:rPr>
        <w:t>通知书后，无正当理由不与采购人订立合同，在签订合同时向采购人提出附加条件，或者不按照招标文件要求提交履约保证金；</w:t>
      </w:r>
    </w:p>
    <w:p w14:paraId="7FD9C6ED">
      <w:pPr>
        <w:shd w:val="clear"/>
        <w:spacing w:line="360" w:lineRule="auto"/>
        <w:ind w:firstLine="420" w:firstLineChars="200"/>
        <w:rPr>
          <w:color w:val="auto"/>
          <w:szCs w:val="21"/>
          <w:highlight w:val="none"/>
        </w:rPr>
      </w:pPr>
      <w:r>
        <w:rPr>
          <w:rFonts w:hint="eastAsia"/>
          <w:color w:val="auto"/>
          <w:szCs w:val="21"/>
          <w:highlight w:val="none"/>
        </w:rPr>
        <w:t>（3）</w:t>
      </w:r>
      <w:r>
        <w:rPr>
          <w:rFonts w:hint="eastAsia"/>
          <w:color w:val="auto"/>
          <w:highlight w:val="none"/>
        </w:rPr>
        <w:t>中标人</w:t>
      </w:r>
      <w:r>
        <w:rPr>
          <w:rFonts w:hint="eastAsia"/>
          <w:color w:val="auto"/>
          <w:szCs w:val="21"/>
          <w:highlight w:val="none"/>
        </w:rPr>
        <w:t>未按规定交纳代理服务费；</w:t>
      </w:r>
    </w:p>
    <w:p w14:paraId="10F3D112">
      <w:pPr>
        <w:shd w:val="clear"/>
        <w:spacing w:line="360" w:lineRule="auto"/>
        <w:ind w:firstLine="420" w:firstLineChars="200"/>
        <w:rPr>
          <w:color w:val="auto"/>
          <w:szCs w:val="21"/>
          <w:highlight w:val="none"/>
        </w:rPr>
      </w:pPr>
      <w:r>
        <w:rPr>
          <w:rFonts w:hint="eastAsia"/>
          <w:color w:val="auto"/>
          <w:szCs w:val="21"/>
          <w:highlight w:val="none"/>
        </w:rPr>
        <w:t>（4）</w:t>
      </w:r>
      <w:r>
        <w:rPr>
          <w:color w:val="auto"/>
          <w:highlight w:val="none"/>
        </w:rPr>
        <w:t>其他法律法规要求不予退还</w:t>
      </w:r>
      <w:r>
        <w:rPr>
          <w:rFonts w:hint="eastAsia"/>
          <w:color w:val="auto"/>
          <w:spacing w:val="-2"/>
          <w:highlight w:val="none"/>
        </w:rPr>
        <w:t>投标保证金</w:t>
      </w:r>
      <w:r>
        <w:rPr>
          <w:color w:val="auto"/>
          <w:highlight w:val="none"/>
        </w:rPr>
        <w:t>的情形。</w:t>
      </w:r>
    </w:p>
    <w:p w14:paraId="383B2144">
      <w:pPr>
        <w:shd w:val="clear"/>
        <w:spacing w:line="360" w:lineRule="auto"/>
        <w:ind w:firstLine="422" w:firstLineChars="200"/>
        <w:rPr>
          <w:b/>
          <w:color w:val="auto"/>
          <w:highlight w:val="none"/>
        </w:rPr>
      </w:pPr>
      <w:r>
        <w:rPr>
          <w:b/>
          <w:color w:val="auto"/>
          <w:highlight w:val="none"/>
        </w:rPr>
        <w:t>3.</w:t>
      </w:r>
      <w:r>
        <w:rPr>
          <w:rFonts w:hint="eastAsia"/>
          <w:b/>
          <w:color w:val="auto"/>
          <w:highlight w:val="none"/>
        </w:rPr>
        <w:t>5</w:t>
      </w:r>
      <w:r>
        <w:rPr>
          <w:b/>
          <w:color w:val="auto"/>
          <w:highlight w:val="none"/>
        </w:rPr>
        <w:t>资格审查资料</w:t>
      </w:r>
    </w:p>
    <w:p w14:paraId="3F780D8D">
      <w:pPr>
        <w:shd w:val="clear"/>
        <w:spacing w:line="360" w:lineRule="auto"/>
        <w:ind w:firstLine="420" w:firstLineChars="200"/>
        <w:rPr>
          <w:color w:val="auto"/>
          <w:highlight w:val="none"/>
        </w:rPr>
      </w:pPr>
      <w:r>
        <w:rPr>
          <w:color w:val="auto"/>
          <w:highlight w:val="none"/>
        </w:rPr>
        <w:t>投标人在编制投标文件时，应按招标文件资格审查需提供的资料，以证实其各项资格条件满足招标文件的要求，具备承担本项目的资格条件、能力和信誉。</w:t>
      </w:r>
    </w:p>
    <w:p w14:paraId="68B5BEFB">
      <w:pPr>
        <w:shd w:val="clear"/>
        <w:spacing w:line="360" w:lineRule="auto"/>
        <w:ind w:firstLine="422" w:firstLineChars="200"/>
        <w:rPr>
          <w:b/>
          <w:color w:val="auto"/>
          <w:highlight w:val="none"/>
        </w:rPr>
      </w:pPr>
      <w:r>
        <w:rPr>
          <w:rFonts w:hint="eastAsia"/>
          <w:b/>
          <w:color w:val="auto"/>
          <w:highlight w:val="none"/>
        </w:rPr>
        <w:t>3.6</w:t>
      </w:r>
      <w:r>
        <w:rPr>
          <w:b/>
          <w:color w:val="auto"/>
          <w:highlight w:val="none"/>
        </w:rPr>
        <w:t>备选方案</w:t>
      </w:r>
    </w:p>
    <w:p w14:paraId="2BD7D102">
      <w:pPr>
        <w:shd w:val="clear"/>
        <w:spacing w:line="360" w:lineRule="auto"/>
        <w:ind w:firstLine="420" w:firstLineChars="200"/>
        <w:rPr>
          <w:color w:val="auto"/>
          <w:highlight w:val="none"/>
        </w:rPr>
      </w:pPr>
      <w:r>
        <w:rPr>
          <w:rFonts w:hint="eastAsia" w:hAnsi="宋体"/>
          <w:color w:val="auto"/>
          <w:szCs w:val="21"/>
          <w:highlight w:val="none"/>
        </w:rPr>
        <w:t>★</w:t>
      </w:r>
      <w:r>
        <w:rPr>
          <w:rFonts w:hint="eastAsia"/>
          <w:color w:val="auto"/>
          <w:highlight w:val="none"/>
        </w:rPr>
        <w:t>3.6.1</w:t>
      </w:r>
      <w:r>
        <w:rPr>
          <w:color w:val="auto"/>
          <w:highlight w:val="none"/>
        </w:rPr>
        <w:t>除投标人须知前附表规定允许外，投标人不得递交备选方案，否则其</w:t>
      </w:r>
      <w:r>
        <w:rPr>
          <w:rFonts w:hint="eastAsia"/>
          <w:color w:val="auto"/>
          <w:szCs w:val="21"/>
          <w:highlight w:val="none"/>
        </w:rPr>
        <w:t>投标</w:t>
      </w:r>
      <w:r>
        <w:rPr>
          <w:color w:val="auto"/>
          <w:highlight w:val="none"/>
        </w:rPr>
        <w:t>将被否决。</w:t>
      </w:r>
    </w:p>
    <w:p w14:paraId="6DF9EB43">
      <w:pPr>
        <w:shd w:val="clear"/>
        <w:spacing w:line="360" w:lineRule="auto"/>
        <w:ind w:firstLine="420" w:firstLineChars="200"/>
        <w:rPr>
          <w:color w:val="auto"/>
          <w:highlight w:val="none"/>
        </w:rPr>
      </w:pPr>
      <w:r>
        <w:rPr>
          <w:rFonts w:hint="eastAsia"/>
          <w:color w:val="auto"/>
          <w:highlight w:val="none"/>
        </w:rPr>
        <w:t>3.6.2</w:t>
      </w:r>
      <w:r>
        <w:rPr>
          <w:color w:val="auto"/>
          <w:highlight w:val="none"/>
        </w:rPr>
        <w:t>允许投标人递交备选方案的，只有</w:t>
      </w:r>
      <w:r>
        <w:rPr>
          <w:rFonts w:hint="eastAsia"/>
          <w:color w:val="auto"/>
          <w:highlight w:val="none"/>
        </w:rPr>
        <w:t>中标人</w:t>
      </w:r>
      <w:r>
        <w:rPr>
          <w:color w:val="auto"/>
          <w:highlight w:val="none"/>
        </w:rPr>
        <w:t>所递交的备选方案方可予以考虑。</w:t>
      </w:r>
      <w:r>
        <w:rPr>
          <w:rFonts w:hint="eastAsia"/>
          <w:color w:val="auto"/>
          <w:szCs w:val="21"/>
          <w:highlight w:val="none"/>
        </w:rPr>
        <w:t>评标委员会</w:t>
      </w:r>
      <w:r>
        <w:rPr>
          <w:color w:val="auto"/>
          <w:highlight w:val="none"/>
        </w:rPr>
        <w:t>认为</w:t>
      </w:r>
      <w:r>
        <w:rPr>
          <w:rFonts w:hint="eastAsia"/>
          <w:color w:val="auto"/>
          <w:highlight w:val="none"/>
        </w:rPr>
        <w:t>中标人</w:t>
      </w:r>
      <w:r>
        <w:rPr>
          <w:color w:val="auto"/>
          <w:highlight w:val="none"/>
        </w:rPr>
        <w:t>的备选方案优于其按照招标文件要求编制的方案的，采购人可以接受该备选方案。</w:t>
      </w:r>
    </w:p>
    <w:p w14:paraId="45029D28">
      <w:pPr>
        <w:shd w:val="clear"/>
        <w:spacing w:line="360" w:lineRule="auto"/>
        <w:ind w:firstLine="420" w:firstLineChars="200"/>
        <w:rPr>
          <w:color w:val="auto"/>
          <w:highlight w:val="none"/>
        </w:rPr>
      </w:pPr>
      <w:r>
        <w:rPr>
          <w:rFonts w:hint="eastAsia" w:hAnsi="宋体"/>
          <w:color w:val="auto"/>
          <w:szCs w:val="21"/>
          <w:highlight w:val="none"/>
        </w:rPr>
        <w:t>★</w:t>
      </w:r>
      <w:r>
        <w:rPr>
          <w:rFonts w:hint="eastAsia"/>
          <w:color w:val="auto"/>
          <w:highlight w:val="none"/>
        </w:rPr>
        <w:t>3.6.3</w:t>
      </w:r>
      <w:r>
        <w:rPr>
          <w:color w:val="auto"/>
          <w:highlight w:val="none"/>
        </w:rPr>
        <w:t>投标人提供两个或两个以上报价，或者在投标文件中提供一个报价，但同时提供两个或两个以上方案的，视为提供备选方案。</w:t>
      </w:r>
    </w:p>
    <w:p w14:paraId="11563619">
      <w:pPr>
        <w:shd w:val="clear"/>
        <w:spacing w:line="360" w:lineRule="auto"/>
        <w:ind w:firstLine="422" w:firstLineChars="200"/>
        <w:rPr>
          <w:b/>
          <w:color w:val="auto"/>
          <w:highlight w:val="none"/>
        </w:rPr>
      </w:pPr>
      <w:bookmarkStart w:id="110" w:name="_Toc144974522"/>
      <w:bookmarkEnd w:id="110"/>
      <w:bookmarkStart w:id="111" w:name="_Toc152045554"/>
      <w:bookmarkEnd w:id="111"/>
      <w:bookmarkStart w:id="112" w:name="_Toc152042330"/>
      <w:bookmarkEnd w:id="112"/>
      <w:bookmarkStart w:id="113" w:name="_Toc221356252"/>
      <w:bookmarkEnd w:id="113"/>
      <w:bookmarkStart w:id="114" w:name="_Toc179632572"/>
      <w:bookmarkEnd w:id="114"/>
      <w:r>
        <w:rPr>
          <w:b/>
          <w:color w:val="auto"/>
          <w:highlight w:val="none"/>
        </w:rPr>
        <w:t>3.</w:t>
      </w:r>
      <w:r>
        <w:rPr>
          <w:rFonts w:hint="eastAsia"/>
          <w:b/>
          <w:color w:val="auto"/>
          <w:highlight w:val="none"/>
        </w:rPr>
        <w:t>7</w:t>
      </w:r>
      <w:r>
        <w:rPr>
          <w:b/>
          <w:color w:val="auto"/>
          <w:highlight w:val="none"/>
        </w:rPr>
        <w:t>投标文件的编制</w:t>
      </w:r>
    </w:p>
    <w:p w14:paraId="02224997">
      <w:pPr>
        <w:shd w:val="clear"/>
        <w:spacing w:line="360" w:lineRule="auto"/>
        <w:ind w:firstLine="420" w:firstLineChars="200"/>
        <w:rPr>
          <w:color w:val="auto"/>
          <w:highlight w:val="none"/>
        </w:rPr>
      </w:pPr>
      <w:r>
        <w:rPr>
          <w:color w:val="auto"/>
          <w:highlight w:val="none"/>
        </w:rPr>
        <w:t>3.</w:t>
      </w:r>
      <w:r>
        <w:rPr>
          <w:rFonts w:hint="eastAsia"/>
          <w:color w:val="auto"/>
          <w:highlight w:val="none"/>
        </w:rPr>
        <w:t>7</w:t>
      </w:r>
      <w:r>
        <w:rPr>
          <w:color w:val="auto"/>
          <w:highlight w:val="none"/>
        </w:rPr>
        <w:t>.1投标文件应按</w:t>
      </w:r>
      <w:r>
        <w:rPr>
          <w:rFonts w:hint="eastAsia"/>
          <w:color w:val="auto"/>
          <w:highlight w:val="none"/>
        </w:rPr>
        <w:t>第六章</w:t>
      </w:r>
      <w:r>
        <w:rPr>
          <w:color w:val="auto"/>
          <w:highlight w:val="none"/>
        </w:rPr>
        <w:t>“投标文件格式”进行编写，如有必要，可以增加附页，作为投标文件的组成部分。其中，在满足招标文件实质性要求的基础上，可以提出比招标文件要求更有利于采购人的承诺。</w:t>
      </w:r>
      <w:r>
        <w:rPr>
          <w:rFonts w:hint="eastAsia" w:ascii="宋体" w:hAnsi="宋体"/>
          <w:color w:val="auto"/>
          <w:szCs w:val="21"/>
          <w:highlight w:val="none"/>
        </w:rPr>
        <w:t>投</w:t>
      </w:r>
      <w:r>
        <w:rPr>
          <w:rFonts w:hint="eastAsia" w:ascii="宋体" w:hAnsi="宋体" w:cs="微软雅黑"/>
          <w:color w:val="auto"/>
          <w:szCs w:val="21"/>
          <w:highlight w:val="none"/>
        </w:rPr>
        <w:t>标</w:t>
      </w:r>
      <w:r>
        <w:rPr>
          <w:rFonts w:hint="eastAsia" w:ascii="宋体" w:hAnsi="宋体" w:cs="Malgun Gothic"/>
          <w:color w:val="auto"/>
          <w:szCs w:val="21"/>
          <w:highlight w:val="none"/>
        </w:rPr>
        <w:t>人</w:t>
      </w:r>
      <w:r>
        <w:rPr>
          <w:rFonts w:hint="eastAsia" w:ascii="宋体" w:hAnsi="宋体" w:cs="微软雅黑"/>
          <w:color w:val="auto"/>
          <w:szCs w:val="21"/>
          <w:highlight w:val="none"/>
        </w:rPr>
        <w:t>应</w:t>
      </w:r>
      <w:r>
        <w:rPr>
          <w:rFonts w:hint="eastAsia" w:ascii="宋体" w:hAnsi="宋体" w:cs="Malgun Gothic"/>
          <w:color w:val="auto"/>
          <w:szCs w:val="21"/>
          <w:highlight w:val="none"/>
        </w:rPr>
        <w:t>仔</w:t>
      </w:r>
      <w:r>
        <w:rPr>
          <w:rFonts w:hint="eastAsia" w:ascii="宋体" w:hAnsi="宋体" w:cs="微软雅黑"/>
          <w:color w:val="auto"/>
          <w:szCs w:val="21"/>
          <w:highlight w:val="none"/>
        </w:rPr>
        <w:t>细阅读</w:t>
      </w:r>
      <w:r>
        <w:rPr>
          <w:rFonts w:hint="eastAsia" w:ascii="宋体" w:hAnsi="宋体" w:cs="Malgun Gothic"/>
          <w:color w:val="auto"/>
          <w:szCs w:val="21"/>
          <w:highlight w:val="none"/>
        </w:rPr>
        <w:t>招</w:t>
      </w:r>
      <w:r>
        <w:rPr>
          <w:rFonts w:hint="eastAsia" w:ascii="宋体" w:hAnsi="宋体" w:cs="微软雅黑"/>
          <w:color w:val="auto"/>
          <w:szCs w:val="21"/>
          <w:highlight w:val="none"/>
        </w:rPr>
        <w:t>标</w:t>
      </w:r>
      <w:r>
        <w:rPr>
          <w:rFonts w:hint="eastAsia" w:ascii="宋体" w:hAnsi="宋体" w:cs="Malgun Gothic"/>
          <w:color w:val="auto"/>
          <w:szCs w:val="21"/>
          <w:highlight w:val="none"/>
        </w:rPr>
        <w:t>文件，在完全了解采</w:t>
      </w:r>
      <w:r>
        <w:rPr>
          <w:rFonts w:hint="eastAsia" w:ascii="宋体" w:hAnsi="宋体" w:cs="微软雅黑"/>
          <w:color w:val="auto"/>
          <w:szCs w:val="21"/>
          <w:highlight w:val="none"/>
        </w:rPr>
        <w:t>购</w:t>
      </w:r>
      <w:r>
        <w:rPr>
          <w:rFonts w:hint="eastAsia" w:ascii="宋体" w:hAnsi="宋体" w:cs="Malgun Gothic"/>
          <w:color w:val="auto"/>
          <w:szCs w:val="21"/>
          <w:highlight w:val="none"/>
        </w:rPr>
        <w:t>的</w:t>
      </w:r>
      <w:r>
        <w:rPr>
          <w:rFonts w:hint="eastAsia" w:ascii="宋体" w:hAnsi="宋体" w:cs="微软雅黑"/>
          <w:color w:val="auto"/>
          <w:szCs w:val="21"/>
          <w:highlight w:val="none"/>
        </w:rPr>
        <w:t>内</w:t>
      </w:r>
      <w:r>
        <w:rPr>
          <w:rFonts w:hint="eastAsia" w:ascii="宋体" w:hAnsi="宋体" w:cs="Malgun Gothic"/>
          <w:color w:val="auto"/>
          <w:szCs w:val="21"/>
          <w:highlight w:val="none"/>
        </w:rPr>
        <w:t>容、技</w:t>
      </w:r>
      <w:r>
        <w:rPr>
          <w:rFonts w:hint="eastAsia" w:ascii="宋体" w:hAnsi="宋体" w:cs="微软雅黑"/>
          <w:color w:val="auto"/>
          <w:szCs w:val="21"/>
          <w:highlight w:val="none"/>
        </w:rPr>
        <w:t>术</w:t>
      </w:r>
      <w:r>
        <w:rPr>
          <w:rFonts w:hint="eastAsia" w:ascii="宋体" w:hAnsi="宋体" w:cs="Malgun Gothic"/>
          <w:color w:val="auto"/>
          <w:szCs w:val="21"/>
          <w:highlight w:val="none"/>
        </w:rPr>
        <w:t>性能要求和商</w:t>
      </w:r>
      <w:r>
        <w:rPr>
          <w:rFonts w:hint="eastAsia" w:ascii="宋体" w:hAnsi="宋体" w:cs="微软雅黑"/>
          <w:color w:val="auto"/>
          <w:szCs w:val="21"/>
          <w:highlight w:val="none"/>
        </w:rPr>
        <w:t>务条</w:t>
      </w:r>
      <w:r>
        <w:rPr>
          <w:rFonts w:hint="eastAsia" w:ascii="宋体" w:hAnsi="宋体" w:cs="Malgun Gothic"/>
          <w:color w:val="auto"/>
          <w:szCs w:val="21"/>
          <w:highlight w:val="none"/>
        </w:rPr>
        <w:t>件后，</w:t>
      </w:r>
      <w:r>
        <w:rPr>
          <w:rFonts w:hint="eastAsia" w:ascii="宋体" w:hAnsi="宋体" w:cs="微软雅黑"/>
          <w:color w:val="auto"/>
          <w:szCs w:val="21"/>
          <w:highlight w:val="none"/>
        </w:rPr>
        <w:t>编写</w:t>
      </w:r>
      <w:r>
        <w:rPr>
          <w:rFonts w:hint="eastAsia" w:ascii="宋体" w:hAnsi="宋体" w:cs="Malgun Gothic"/>
          <w:color w:val="auto"/>
          <w:szCs w:val="21"/>
          <w:highlight w:val="none"/>
        </w:rPr>
        <w:t>投</w:t>
      </w:r>
      <w:r>
        <w:rPr>
          <w:rFonts w:hint="eastAsia" w:ascii="宋体" w:hAnsi="宋体" w:cs="微软雅黑"/>
          <w:color w:val="auto"/>
          <w:szCs w:val="21"/>
          <w:highlight w:val="none"/>
        </w:rPr>
        <w:t>标</w:t>
      </w:r>
      <w:r>
        <w:rPr>
          <w:rFonts w:hint="eastAsia" w:ascii="宋体" w:hAnsi="宋体" w:cs="Malgun Gothic"/>
          <w:color w:val="auto"/>
          <w:szCs w:val="21"/>
          <w:highlight w:val="none"/>
        </w:rPr>
        <w:t>文件。招</w:t>
      </w:r>
      <w:r>
        <w:rPr>
          <w:rFonts w:hint="eastAsia" w:ascii="宋体" w:hAnsi="宋体" w:cs="微软雅黑"/>
          <w:color w:val="auto"/>
          <w:szCs w:val="21"/>
          <w:highlight w:val="none"/>
        </w:rPr>
        <w:t>标</w:t>
      </w:r>
      <w:r>
        <w:rPr>
          <w:rFonts w:hint="eastAsia" w:ascii="宋体" w:hAnsi="宋体" w:cs="Malgun Gothic"/>
          <w:color w:val="auto"/>
          <w:szCs w:val="21"/>
          <w:highlight w:val="none"/>
        </w:rPr>
        <w:t>文件中</w:t>
      </w:r>
      <w:r>
        <w:rPr>
          <w:rFonts w:hint="eastAsia" w:ascii="宋体" w:hAnsi="宋体" w:cs="微软雅黑"/>
          <w:color w:val="auto"/>
          <w:szCs w:val="21"/>
          <w:highlight w:val="none"/>
        </w:rPr>
        <w:t>标</w:t>
      </w:r>
      <w:r>
        <w:rPr>
          <w:rFonts w:hint="eastAsia" w:ascii="宋体" w:hAnsi="宋体" w:cs="Malgun Gothic"/>
          <w:color w:val="auto"/>
          <w:szCs w:val="21"/>
          <w:highlight w:val="none"/>
        </w:rPr>
        <w:t>注★</w:t>
      </w:r>
      <w:r>
        <w:rPr>
          <w:rFonts w:hint="eastAsia" w:ascii="宋体" w:hAnsi="宋体" w:cs="微软雅黑"/>
          <w:color w:val="auto"/>
          <w:szCs w:val="21"/>
          <w:highlight w:val="none"/>
        </w:rPr>
        <w:t>号</w:t>
      </w:r>
      <w:r>
        <w:rPr>
          <w:rFonts w:hint="eastAsia" w:ascii="宋体" w:hAnsi="宋体" w:cs="Malgun Gothic"/>
          <w:color w:val="auto"/>
          <w:szCs w:val="21"/>
          <w:highlight w:val="none"/>
        </w:rPr>
        <w:t>的</w:t>
      </w:r>
      <w:r>
        <w:rPr>
          <w:rFonts w:hint="eastAsia" w:ascii="宋体" w:hAnsi="宋体" w:cs="微软雅黑"/>
          <w:color w:val="auto"/>
          <w:szCs w:val="21"/>
          <w:highlight w:val="none"/>
        </w:rPr>
        <w:t>条</w:t>
      </w:r>
      <w:r>
        <w:rPr>
          <w:rFonts w:hint="eastAsia" w:ascii="宋体" w:hAnsi="宋体" w:cs="Malgun Gothic"/>
          <w:color w:val="auto"/>
          <w:szCs w:val="21"/>
          <w:highlight w:val="none"/>
        </w:rPr>
        <w:t>款</w:t>
      </w:r>
      <w:r>
        <w:rPr>
          <w:rFonts w:hint="eastAsia" w:ascii="宋体" w:hAnsi="宋体" w:cs="微软雅黑"/>
          <w:color w:val="auto"/>
          <w:szCs w:val="21"/>
          <w:highlight w:val="none"/>
        </w:rPr>
        <w:t>为实质</w:t>
      </w:r>
      <w:r>
        <w:rPr>
          <w:rFonts w:hint="eastAsia" w:ascii="宋体" w:hAnsi="宋体" w:cs="Malgun Gothic"/>
          <w:color w:val="auto"/>
          <w:szCs w:val="21"/>
          <w:highlight w:val="none"/>
        </w:rPr>
        <w:t>性要求和</w:t>
      </w:r>
      <w:r>
        <w:rPr>
          <w:rFonts w:hint="eastAsia" w:ascii="宋体" w:hAnsi="宋体" w:cs="微软雅黑"/>
          <w:color w:val="auto"/>
          <w:szCs w:val="21"/>
          <w:highlight w:val="none"/>
        </w:rPr>
        <w:t>条</w:t>
      </w:r>
      <w:r>
        <w:rPr>
          <w:rFonts w:hint="eastAsia" w:ascii="宋体" w:hAnsi="宋体" w:cs="Malgun Gothic"/>
          <w:color w:val="auto"/>
          <w:szCs w:val="21"/>
          <w:highlight w:val="none"/>
        </w:rPr>
        <w:t>件，投</w:t>
      </w:r>
      <w:r>
        <w:rPr>
          <w:rFonts w:hint="eastAsia" w:ascii="宋体" w:hAnsi="宋体" w:cs="微软雅黑"/>
          <w:color w:val="auto"/>
          <w:szCs w:val="21"/>
          <w:highlight w:val="none"/>
        </w:rPr>
        <w:t>标</w:t>
      </w:r>
      <w:r>
        <w:rPr>
          <w:rFonts w:hint="eastAsia" w:ascii="宋体" w:hAnsi="宋体" w:cs="Malgun Gothic"/>
          <w:color w:val="auto"/>
          <w:szCs w:val="21"/>
          <w:highlight w:val="none"/>
        </w:rPr>
        <w:t>文件必</w:t>
      </w:r>
      <w:r>
        <w:rPr>
          <w:rFonts w:hint="eastAsia" w:ascii="宋体" w:hAnsi="宋体" w:cs="微软雅黑"/>
          <w:color w:val="auto"/>
          <w:szCs w:val="21"/>
          <w:highlight w:val="none"/>
        </w:rPr>
        <w:t>须</w:t>
      </w:r>
      <w:r>
        <w:rPr>
          <w:rFonts w:hint="eastAsia" w:ascii="宋体" w:hAnsi="宋体"/>
          <w:color w:val="auto"/>
          <w:szCs w:val="21"/>
          <w:highlight w:val="none"/>
        </w:rPr>
        <w:t>作出</w:t>
      </w:r>
      <w:r>
        <w:rPr>
          <w:rFonts w:hint="eastAsia" w:ascii="宋体" w:hAnsi="宋体" w:cs="微软雅黑"/>
          <w:color w:val="auto"/>
          <w:szCs w:val="21"/>
          <w:highlight w:val="none"/>
        </w:rPr>
        <w:t>实质</w:t>
      </w:r>
      <w:r>
        <w:rPr>
          <w:rFonts w:hint="eastAsia" w:ascii="宋体" w:hAnsi="宋体" w:cs="Malgun Gothic"/>
          <w:color w:val="auto"/>
          <w:szCs w:val="21"/>
          <w:highlight w:val="none"/>
        </w:rPr>
        <w:t>性</w:t>
      </w:r>
      <w:r>
        <w:rPr>
          <w:rFonts w:hint="eastAsia" w:ascii="宋体" w:hAnsi="宋体" w:cs="微软雅黑"/>
          <w:color w:val="auto"/>
          <w:szCs w:val="21"/>
          <w:highlight w:val="none"/>
        </w:rPr>
        <w:t>响应</w:t>
      </w:r>
      <w:r>
        <w:rPr>
          <w:rFonts w:hint="eastAsia" w:ascii="宋体" w:hAnsi="宋体" w:cs="Malgun Gothic"/>
          <w:color w:val="auto"/>
          <w:szCs w:val="21"/>
          <w:highlight w:val="none"/>
        </w:rPr>
        <w:t>，不</w:t>
      </w:r>
      <w:r>
        <w:rPr>
          <w:rFonts w:hint="eastAsia" w:ascii="宋体" w:hAnsi="宋体" w:cs="微软雅黑"/>
          <w:color w:val="auto"/>
          <w:szCs w:val="21"/>
          <w:highlight w:val="none"/>
        </w:rPr>
        <w:t>满</w:t>
      </w:r>
      <w:r>
        <w:rPr>
          <w:rFonts w:hint="eastAsia" w:ascii="宋体" w:hAnsi="宋体" w:cs="Malgun Gothic"/>
          <w:color w:val="auto"/>
          <w:szCs w:val="21"/>
          <w:highlight w:val="none"/>
        </w:rPr>
        <w:t>足任何一</w:t>
      </w:r>
      <w:r>
        <w:rPr>
          <w:rFonts w:hint="eastAsia" w:ascii="宋体" w:hAnsi="宋体" w:cs="微软雅黑"/>
          <w:color w:val="auto"/>
          <w:szCs w:val="21"/>
          <w:highlight w:val="none"/>
        </w:rPr>
        <w:t>项标</w:t>
      </w:r>
      <w:r>
        <w:rPr>
          <w:rFonts w:hint="eastAsia" w:ascii="宋体" w:hAnsi="宋体" w:cs="Malgun Gothic"/>
          <w:color w:val="auto"/>
          <w:szCs w:val="21"/>
          <w:highlight w:val="none"/>
        </w:rPr>
        <w:t>注★</w:t>
      </w:r>
      <w:r>
        <w:rPr>
          <w:rFonts w:hint="eastAsia" w:ascii="宋体" w:hAnsi="宋体" w:cs="微软雅黑"/>
          <w:color w:val="auto"/>
          <w:szCs w:val="21"/>
          <w:highlight w:val="none"/>
        </w:rPr>
        <w:t>号</w:t>
      </w:r>
      <w:r>
        <w:rPr>
          <w:rFonts w:hint="eastAsia" w:ascii="宋体" w:hAnsi="宋体" w:cs="Malgun Gothic"/>
          <w:color w:val="auto"/>
          <w:szCs w:val="21"/>
          <w:highlight w:val="none"/>
        </w:rPr>
        <w:t>的</w:t>
      </w:r>
      <w:r>
        <w:rPr>
          <w:rFonts w:hint="eastAsia" w:ascii="宋体" w:hAnsi="宋体" w:cs="微软雅黑"/>
          <w:color w:val="auto"/>
          <w:szCs w:val="21"/>
          <w:highlight w:val="none"/>
        </w:rPr>
        <w:t>条</w:t>
      </w:r>
      <w:r>
        <w:rPr>
          <w:rFonts w:hint="eastAsia" w:ascii="宋体" w:hAnsi="宋体" w:cs="Malgun Gothic"/>
          <w:color w:val="auto"/>
          <w:szCs w:val="21"/>
          <w:highlight w:val="none"/>
        </w:rPr>
        <w:t>款，</w:t>
      </w:r>
      <w:r>
        <w:rPr>
          <w:rFonts w:hint="eastAsia" w:ascii="宋体" w:hAnsi="宋体" w:cs="微软雅黑"/>
          <w:color w:val="auto"/>
          <w:szCs w:val="21"/>
          <w:highlight w:val="none"/>
        </w:rPr>
        <w:t>将导</w:t>
      </w:r>
      <w:r>
        <w:rPr>
          <w:rFonts w:hint="eastAsia" w:ascii="宋体" w:hAnsi="宋体" w:cs="Malgun Gothic"/>
          <w:color w:val="auto"/>
          <w:szCs w:val="21"/>
          <w:highlight w:val="none"/>
        </w:rPr>
        <w:t>致投</w:t>
      </w:r>
      <w:r>
        <w:rPr>
          <w:rFonts w:hint="eastAsia" w:ascii="宋体" w:hAnsi="宋体" w:cs="微软雅黑"/>
          <w:color w:val="auto"/>
          <w:szCs w:val="21"/>
          <w:highlight w:val="none"/>
        </w:rPr>
        <w:t>标</w:t>
      </w:r>
      <w:r>
        <w:rPr>
          <w:rFonts w:hint="eastAsia" w:ascii="宋体" w:hAnsi="宋体" w:cs="Malgun Gothic"/>
          <w:color w:val="auto"/>
          <w:szCs w:val="21"/>
          <w:highlight w:val="none"/>
        </w:rPr>
        <w:t>无效。</w:t>
      </w:r>
    </w:p>
    <w:p w14:paraId="3C4F6D75">
      <w:pPr>
        <w:shd w:val="clear"/>
        <w:spacing w:line="360" w:lineRule="auto"/>
        <w:ind w:firstLine="420" w:firstLineChars="200"/>
        <w:rPr>
          <w:color w:val="auto"/>
          <w:highlight w:val="none"/>
        </w:rPr>
      </w:pPr>
      <w:r>
        <w:rPr>
          <w:color w:val="auto"/>
          <w:highlight w:val="none"/>
        </w:rPr>
        <w:t>3.</w:t>
      </w:r>
      <w:r>
        <w:rPr>
          <w:rFonts w:hint="eastAsia"/>
          <w:color w:val="auto"/>
          <w:highlight w:val="none"/>
        </w:rPr>
        <w:t>7</w:t>
      </w:r>
      <w:r>
        <w:rPr>
          <w:color w:val="auto"/>
          <w:highlight w:val="none"/>
        </w:rPr>
        <w:t xml:space="preserve">.2 </w:t>
      </w:r>
      <w:r>
        <w:rPr>
          <w:rFonts w:hint="eastAsia"/>
          <w:color w:val="auto"/>
          <w:highlight w:val="none"/>
        </w:rPr>
        <w:t>投标文件应当对招标文件有关完成时间、投标文件有效期、成果要求、采购范围等实质性内容作出。投标文件在满足招标文件实质性要求的基础上，可以提出比招标文件要求更有利于采购人的承诺。</w:t>
      </w:r>
    </w:p>
    <w:p w14:paraId="2BA99298">
      <w:pPr>
        <w:shd w:val="clear"/>
        <w:spacing w:line="360" w:lineRule="auto"/>
        <w:ind w:firstLine="420" w:firstLineChars="200"/>
        <w:rPr>
          <w:color w:val="auto"/>
          <w:highlight w:val="none"/>
        </w:rPr>
      </w:pPr>
      <w:r>
        <w:rPr>
          <w:color w:val="auto"/>
          <w:highlight w:val="none"/>
        </w:rPr>
        <w:t>3.</w:t>
      </w:r>
      <w:r>
        <w:rPr>
          <w:rFonts w:hint="eastAsia"/>
          <w:color w:val="auto"/>
          <w:highlight w:val="none"/>
        </w:rPr>
        <w:t>7</w:t>
      </w:r>
      <w:r>
        <w:rPr>
          <w:color w:val="auto"/>
          <w:highlight w:val="none"/>
        </w:rPr>
        <w:t>.3</w:t>
      </w:r>
      <w:r>
        <w:rPr>
          <w:rFonts w:hint="eastAsia"/>
          <w:color w:val="auto"/>
          <w:highlight w:val="none"/>
        </w:rPr>
        <w:t>投标文件全部采用电子文档，投标人应安装客户端软件—“政采云电子交易客户端”，并按照招标文件和政采云电子交易平台的要求编制，编制后应进行电子签名及加密。投标文件应由法定代表人或其委托代理人在规定的电子签名处逐一电子签名（电子签名或电子签章），要求盖章处应盖单位章（电子签章）。</w:t>
      </w:r>
    </w:p>
    <w:p w14:paraId="32960017">
      <w:pPr>
        <w:shd w:val="clear"/>
        <w:spacing w:line="360" w:lineRule="auto"/>
        <w:ind w:firstLine="420" w:firstLineChars="200"/>
        <w:rPr>
          <w:color w:val="auto"/>
          <w:highlight w:val="none"/>
        </w:rPr>
      </w:pPr>
      <w:r>
        <w:rPr>
          <w:rFonts w:hint="eastAsia" w:ascii="宋体" w:hAnsi="宋体" w:cs="Malgun Gothic"/>
          <w:color w:val="auto"/>
          <w:szCs w:val="21"/>
          <w:highlight w:val="none"/>
        </w:rPr>
        <w:t>★</w:t>
      </w:r>
      <w:r>
        <w:rPr>
          <w:rFonts w:hint="eastAsia"/>
          <w:color w:val="auto"/>
          <w:highlight w:val="none"/>
        </w:rPr>
        <w:t>（1）如投标人提交的电子标书不符合政采云电子交易平台要求或开标时无法读取导入或解密，其投标文件将不予受理。</w:t>
      </w:r>
    </w:p>
    <w:p w14:paraId="788CD5B2">
      <w:pPr>
        <w:shd w:val="clear"/>
        <w:spacing w:line="360" w:lineRule="auto"/>
        <w:ind w:firstLine="420" w:firstLineChars="200"/>
        <w:rPr>
          <w:color w:val="auto"/>
          <w:highlight w:val="none"/>
        </w:rPr>
      </w:pPr>
      <w:r>
        <w:rPr>
          <w:rFonts w:hint="eastAsia"/>
          <w:color w:val="auto"/>
          <w:highlight w:val="none"/>
        </w:rPr>
        <w:t>（2）投标文件中提供的资料（扫描件），内容必须清晰可辨，若内容模糊，无法辨识，均视为未提供。</w:t>
      </w:r>
    </w:p>
    <w:p w14:paraId="19BB6F4D">
      <w:pPr>
        <w:shd w:val="clear"/>
        <w:spacing w:line="360" w:lineRule="auto"/>
        <w:ind w:firstLine="420" w:firstLineChars="200"/>
        <w:rPr>
          <w:color w:val="auto"/>
          <w:highlight w:val="none"/>
        </w:rPr>
      </w:pPr>
    </w:p>
    <w:p w14:paraId="372DD279">
      <w:pPr>
        <w:shd w:val="clear"/>
        <w:spacing w:line="360" w:lineRule="auto"/>
        <w:jc w:val="center"/>
        <w:outlineLvl w:val="2"/>
        <w:rPr>
          <w:b/>
          <w:color w:val="auto"/>
          <w:kern w:val="0"/>
          <w:sz w:val="36"/>
          <w:szCs w:val="44"/>
          <w:highlight w:val="none"/>
        </w:rPr>
      </w:pPr>
      <w:bookmarkStart w:id="115" w:name="_Toc152042331"/>
      <w:bookmarkEnd w:id="115"/>
      <w:bookmarkStart w:id="116" w:name="_Toc144974523"/>
      <w:bookmarkEnd w:id="116"/>
      <w:bookmarkStart w:id="117" w:name="_Toc179632573"/>
      <w:bookmarkEnd w:id="117"/>
      <w:bookmarkStart w:id="118" w:name="_Toc221356253"/>
      <w:bookmarkEnd w:id="118"/>
      <w:bookmarkStart w:id="119" w:name="_Toc241763832"/>
      <w:bookmarkEnd w:id="119"/>
      <w:bookmarkStart w:id="120" w:name="_Toc152045555"/>
      <w:bookmarkEnd w:id="120"/>
      <w:bookmarkStart w:id="121" w:name="_Toc5361"/>
      <w:r>
        <w:rPr>
          <w:b/>
          <w:color w:val="auto"/>
          <w:kern w:val="0"/>
          <w:sz w:val="36"/>
          <w:szCs w:val="44"/>
          <w:highlight w:val="none"/>
        </w:rPr>
        <w:t>4. 投标文件的递交</w:t>
      </w:r>
      <w:bookmarkEnd w:id="121"/>
    </w:p>
    <w:p w14:paraId="79C1BD65">
      <w:pPr>
        <w:shd w:val="clear"/>
        <w:spacing w:line="360" w:lineRule="auto"/>
        <w:ind w:firstLine="422" w:firstLineChars="200"/>
        <w:rPr>
          <w:b/>
          <w:color w:val="auto"/>
          <w:highlight w:val="none"/>
        </w:rPr>
      </w:pPr>
      <w:bookmarkStart w:id="122" w:name="_Toc152045556"/>
      <w:bookmarkEnd w:id="122"/>
      <w:bookmarkStart w:id="123" w:name="_Toc221356254"/>
      <w:bookmarkEnd w:id="123"/>
      <w:bookmarkStart w:id="124" w:name="_Toc144974524"/>
      <w:bookmarkEnd w:id="124"/>
      <w:bookmarkStart w:id="125" w:name="_Toc179632574"/>
      <w:bookmarkEnd w:id="125"/>
      <w:bookmarkStart w:id="126" w:name="_Toc152042332"/>
      <w:bookmarkEnd w:id="126"/>
      <w:r>
        <w:rPr>
          <w:b/>
          <w:color w:val="auto"/>
          <w:highlight w:val="none"/>
        </w:rPr>
        <w:t>4.1投标文件的</w:t>
      </w:r>
      <w:r>
        <w:rPr>
          <w:rFonts w:hint="eastAsia"/>
          <w:b/>
          <w:color w:val="auto"/>
          <w:highlight w:val="none"/>
        </w:rPr>
        <w:t>加密</w:t>
      </w:r>
    </w:p>
    <w:p w14:paraId="200970F9">
      <w:pPr>
        <w:shd w:val="clear"/>
        <w:spacing w:line="360" w:lineRule="auto"/>
        <w:ind w:firstLine="420" w:firstLineChars="200"/>
        <w:rPr>
          <w:color w:val="auto"/>
          <w:highlight w:val="none"/>
        </w:rPr>
      </w:pPr>
      <w:bookmarkStart w:id="127" w:name="_Toc179632575"/>
      <w:bookmarkStart w:id="128" w:name="_Toc152045557"/>
      <w:bookmarkStart w:id="129" w:name="_Toc152042333"/>
      <w:bookmarkStart w:id="130" w:name="_Toc144974525"/>
      <w:bookmarkStart w:id="131" w:name="_Toc221356255"/>
      <w:r>
        <w:rPr>
          <w:color w:val="auto"/>
          <w:highlight w:val="none"/>
        </w:rPr>
        <w:t xml:space="preserve">4.1.1 </w:t>
      </w:r>
      <w:r>
        <w:rPr>
          <w:rFonts w:hint="eastAsia"/>
          <w:color w:val="auto"/>
          <w:highlight w:val="none"/>
        </w:rPr>
        <w:t>投标人应安装客户端软件—“政采云电子交易客户端”，并按照招标文件和电子交易平台的要求编制并加密投标文件。未按规定加密的投标文件，电子交易平台将拒收并提示。</w:t>
      </w:r>
    </w:p>
    <w:p w14:paraId="0C2B340C">
      <w:pPr>
        <w:shd w:val="clear"/>
        <w:spacing w:line="360" w:lineRule="auto"/>
        <w:ind w:firstLine="420" w:firstLineChars="200"/>
        <w:rPr>
          <w:color w:val="auto"/>
          <w:highlight w:val="none"/>
        </w:rPr>
      </w:pPr>
      <w:r>
        <w:rPr>
          <w:color w:val="auto"/>
          <w:highlight w:val="none"/>
        </w:rPr>
        <w:t xml:space="preserve">4.1.2 </w:t>
      </w:r>
      <w:r>
        <w:rPr>
          <w:rFonts w:hint="eastAsia" w:hAnsi="宋体"/>
          <w:color w:val="auto"/>
          <w:szCs w:val="21"/>
          <w:highlight w:val="none"/>
        </w:rPr>
        <w:t>使用“政采云电子交易客户端”需要提前申领CA数字证书</w:t>
      </w:r>
      <w:r>
        <w:rPr>
          <w:color w:val="auto"/>
          <w:highlight w:val="none"/>
        </w:rPr>
        <w:t>。</w:t>
      </w:r>
    </w:p>
    <w:p w14:paraId="17F438B2">
      <w:pPr>
        <w:shd w:val="clear"/>
        <w:spacing w:line="360" w:lineRule="auto"/>
        <w:ind w:firstLine="420" w:firstLineChars="200"/>
        <w:rPr>
          <w:color w:val="auto"/>
          <w:highlight w:val="none"/>
        </w:rPr>
      </w:pPr>
      <w:r>
        <w:rPr>
          <w:color w:val="auto"/>
          <w:highlight w:val="none"/>
        </w:rPr>
        <w:t xml:space="preserve">4.1.3 </w:t>
      </w:r>
      <w:r>
        <w:rPr>
          <w:rFonts w:hint="eastAsia" w:hAnsi="宋体"/>
          <w:color w:val="auto"/>
          <w:szCs w:val="21"/>
          <w:highlight w:val="none"/>
        </w:rPr>
        <w:t>为确保网上操作合法、有效和安全，投标人应当在投标文件提交截止时间前完成在“政府采购云平台”的身份认证，确保在电子交易过程中能够对相关数据电文进行加密和使用电子签名</w:t>
      </w:r>
      <w:r>
        <w:rPr>
          <w:color w:val="auto"/>
          <w:highlight w:val="none"/>
        </w:rPr>
        <w:t>。</w:t>
      </w:r>
    </w:p>
    <w:bookmarkEnd w:id="127"/>
    <w:bookmarkEnd w:id="128"/>
    <w:bookmarkEnd w:id="129"/>
    <w:bookmarkEnd w:id="130"/>
    <w:bookmarkEnd w:id="131"/>
    <w:p w14:paraId="56813672">
      <w:pPr>
        <w:shd w:val="clear"/>
        <w:spacing w:line="360" w:lineRule="auto"/>
        <w:ind w:firstLine="422" w:firstLineChars="200"/>
        <w:rPr>
          <w:b/>
          <w:color w:val="auto"/>
          <w:highlight w:val="none"/>
        </w:rPr>
      </w:pPr>
      <w:r>
        <w:rPr>
          <w:b/>
          <w:color w:val="auto"/>
          <w:highlight w:val="none"/>
        </w:rPr>
        <w:t>4.2投标文件的递交</w:t>
      </w:r>
    </w:p>
    <w:p w14:paraId="2E86BF18">
      <w:pPr>
        <w:shd w:val="clear"/>
        <w:spacing w:line="360" w:lineRule="auto"/>
        <w:ind w:firstLine="420" w:firstLineChars="200"/>
        <w:rPr>
          <w:color w:val="auto"/>
          <w:highlight w:val="none"/>
        </w:rPr>
      </w:pPr>
      <w:bookmarkStart w:id="132" w:name="_Toc152042334"/>
      <w:bookmarkStart w:id="133" w:name="_Toc152045558"/>
      <w:bookmarkStart w:id="134" w:name="_Toc144974526"/>
      <w:bookmarkStart w:id="135" w:name="_Toc221356256"/>
      <w:bookmarkStart w:id="136" w:name="_Toc179632576"/>
      <w:r>
        <w:rPr>
          <w:color w:val="auto"/>
          <w:highlight w:val="none"/>
        </w:rPr>
        <w:t>4.2.1 投标人应在</w:t>
      </w:r>
      <w:r>
        <w:rPr>
          <w:rFonts w:hint="eastAsia"/>
          <w:color w:val="auto"/>
          <w:highlight w:val="none"/>
        </w:rPr>
        <w:t>投标人须知前附表</w:t>
      </w:r>
      <w:r>
        <w:rPr>
          <w:color w:val="auto"/>
          <w:highlight w:val="none"/>
        </w:rPr>
        <w:t>规定的</w:t>
      </w:r>
      <w:r>
        <w:rPr>
          <w:rFonts w:hint="eastAsia"/>
          <w:color w:val="auto"/>
          <w:highlight w:val="none"/>
        </w:rPr>
        <w:t>投标</w:t>
      </w:r>
      <w:r>
        <w:rPr>
          <w:color w:val="auto"/>
          <w:highlight w:val="none"/>
        </w:rPr>
        <w:t>文件截止时间前递交投标文件。</w:t>
      </w:r>
    </w:p>
    <w:p w14:paraId="7AF8910F">
      <w:pPr>
        <w:shd w:val="clear"/>
        <w:spacing w:line="360" w:lineRule="auto"/>
        <w:ind w:firstLine="420" w:firstLineChars="200"/>
        <w:rPr>
          <w:color w:val="auto"/>
          <w:highlight w:val="none"/>
        </w:rPr>
      </w:pPr>
      <w:r>
        <w:rPr>
          <w:color w:val="auto"/>
          <w:highlight w:val="none"/>
        </w:rPr>
        <w:t>4.2.2 投标人递交投标文件的地点：见投标人须知前附表。</w:t>
      </w:r>
    </w:p>
    <w:p w14:paraId="4520ECF6">
      <w:pPr>
        <w:shd w:val="clear"/>
        <w:spacing w:line="360" w:lineRule="auto"/>
        <w:ind w:firstLine="420" w:firstLineChars="200"/>
        <w:rPr>
          <w:color w:val="auto"/>
          <w:highlight w:val="none"/>
        </w:rPr>
      </w:pPr>
      <w:r>
        <w:rPr>
          <w:color w:val="auto"/>
          <w:highlight w:val="none"/>
        </w:rPr>
        <w:t>4.2.3到投标文件递交截止时间止，收到的投标文件少于三个的，采购人将依法重新组织</w:t>
      </w:r>
      <w:r>
        <w:rPr>
          <w:rFonts w:hint="eastAsia"/>
          <w:color w:val="auto"/>
          <w:highlight w:val="none"/>
        </w:rPr>
        <w:t>重新招标</w:t>
      </w:r>
      <w:r>
        <w:rPr>
          <w:color w:val="auto"/>
          <w:highlight w:val="none"/>
        </w:rPr>
        <w:t>。</w:t>
      </w:r>
    </w:p>
    <w:bookmarkEnd w:id="132"/>
    <w:bookmarkEnd w:id="133"/>
    <w:bookmarkEnd w:id="134"/>
    <w:bookmarkEnd w:id="135"/>
    <w:bookmarkEnd w:id="136"/>
    <w:p w14:paraId="5D15D5D4">
      <w:pPr>
        <w:shd w:val="clear"/>
        <w:spacing w:line="360" w:lineRule="auto"/>
        <w:ind w:firstLine="422" w:firstLineChars="200"/>
        <w:rPr>
          <w:b/>
          <w:color w:val="auto"/>
          <w:highlight w:val="none"/>
        </w:rPr>
      </w:pPr>
      <w:r>
        <w:rPr>
          <w:b/>
          <w:color w:val="auto"/>
          <w:highlight w:val="none"/>
        </w:rPr>
        <w:t>4.3投标文件的修改与撤回</w:t>
      </w:r>
    </w:p>
    <w:p w14:paraId="2243A79B">
      <w:pPr>
        <w:shd w:val="clear"/>
        <w:spacing w:line="360" w:lineRule="auto"/>
        <w:ind w:firstLine="420" w:firstLineChars="200"/>
        <w:rPr>
          <w:color w:val="auto"/>
          <w:highlight w:val="none"/>
        </w:rPr>
      </w:pPr>
      <w:r>
        <w:rPr>
          <w:color w:val="auto"/>
          <w:highlight w:val="none"/>
        </w:rPr>
        <w:t xml:space="preserve">4.3.1 </w:t>
      </w:r>
      <w:r>
        <w:rPr>
          <w:rFonts w:hint="eastAsia" w:ascii="宋体" w:hAnsi="宋体"/>
          <w:color w:val="auto"/>
          <w:szCs w:val="21"/>
          <w:highlight w:val="none"/>
        </w:rPr>
        <w:t>在投标截止时间前，投标人可以撤回在网上已递交的投标文件，修改后重新上传，无须书面形式通知采购人</w:t>
      </w:r>
      <w:r>
        <w:rPr>
          <w:color w:val="auto"/>
          <w:highlight w:val="none"/>
        </w:rPr>
        <w:t>。</w:t>
      </w:r>
    </w:p>
    <w:p w14:paraId="5F81D6B7">
      <w:pPr>
        <w:shd w:val="clear"/>
        <w:spacing w:line="360" w:lineRule="auto"/>
        <w:ind w:left="420" w:leftChars="200"/>
        <w:rPr>
          <w:color w:val="auto"/>
          <w:highlight w:val="none"/>
        </w:rPr>
      </w:pPr>
      <w:r>
        <w:rPr>
          <w:color w:val="auto"/>
          <w:highlight w:val="none"/>
        </w:rPr>
        <w:t xml:space="preserve">4.3.2 </w:t>
      </w:r>
      <w:r>
        <w:rPr>
          <w:rFonts w:hint="eastAsia" w:ascii="宋体" w:hAnsi="宋体"/>
          <w:color w:val="auto"/>
          <w:szCs w:val="21"/>
          <w:highlight w:val="none"/>
        </w:rPr>
        <w:t>修改的投标文件应按照本章第</w:t>
      </w:r>
      <w:r>
        <w:rPr>
          <w:rFonts w:ascii="宋体" w:hAnsi="宋体"/>
          <w:color w:val="auto"/>
          <w:szCs w:val="21"/>
          <w:highlight w:val="none"/>
        </w:rPr>
        <w:t>3.7.3</w:t>
      </w:r>
      <w:r>
        <w:rPr>
          <w:rFonts w:hint="eastAsia" w:ascii="宋体" w:hAnsi="宋体"/>
          <w:color w:val="auto"/>
          <w:szCs w:val="21"/>
          <w:highlight w:val="none"/>
        </w:rPr>
        <w:t>的要求进行重新编制、加密和递交。</w:t>
      </w:r>
    </w:p>
    <w:p w14:paraId="690B6004">
      <w:pPr>
        <w:shd w:val="clear"/>
        <w:spacing w:line="360" w:lineRule="auto"/>
        <w:ind w:firstLine="420" w:firstLineChars="200"/>
        <w:rPr>
          <w:color w:val="auto"/>
          <w:highlight w:val="none"/>
        </w:rPr>
      </w:pPr>
      <w:r>
        <w:rPr>
          <w:color w:val="auto"/>
          <w:highlight w:val="none"/>
        </w:rPr>
        <w:t xml:space="preserve">4.3.3 </w:t>
      </w:r>
      <w:r>
        <w:rPr>
          <w:rFonts w:hint="eastAsia" w:ascii="宋体" w:hAnsi="宋体"/>
          <w:color w:val="auto"/>
          <w:szCs w:val="21"/>
          <w:highlight w:val="none"/>
        </w:rPr>
        <w:t>在投标截止时间后递交的投标文件不予撤回</w:t>
      </w:r>
      <w:r>
        <w:rPr>
          <w:color w:val="auto"/>
          <w:highlight w:val="none"/>
        </w:rPr>
        <w:t>。</w:t>
      </w:r>
    </w:p>
    <w:p w14:paraId="38D648CA">
      <w:pPr>
        <w:shd w:val="clear"/>
        <w:spacing w:line="360" w:lineRule="auto"/>
        <w:ind w:firstLine="420" w:firstLineChars="200"/>
        <w:rPr>
          <w:color w:val="auto"/>
          <w:highlight w:val="none"/>
        </w:rPr>
      </w:pPr>
    </w:p>
    <w:p w14:paraId="3785D0D7">
      <w:pPr>
        <w:shd w:val="clear"/>
        <w:spacing w:line="360" w:lineRule="auto"/>
        <w:jc w:val="center"/>
        <w:outlineLvl w:val="2"/>
        <w:rPr>
          <w:b/>
          <w:color w:val="auto"/>
          <w:kern w:val="0"/>
          <w:sz w:val="36"/>
          <w:szCs w:val="44"/>
          <w:highlight w:val="none"/>
        </w:rPr>
      </w:pPr>
      <w:bookmarkStart w:id="137" w:name="_Toc179632577"/>
      <w:bookmarkEnd w:id="137"/>
      <w:bookmarkStart w:id="138" w:name="_Toc152042335"/>
      <w:bookmarkEnd w:id="138"/>
      <w:bookmarkStart w:id="139" w:name="_Toc152045559"/>
      <w:bookmarkEnd w:id="139"/>
      <w:bookmarkStart w:id="140" w:name="_Toc144974527"/>
      <w:bookmarkEnd w:id="140"/>
      <w:bookmarkStart w:id="141" w:name="_Toc221356257"/>
      <w:bookmarkEnd w:id="141"/>
      <w:bookmarkStart w:id="142" w:name="_Toc241763833"/>
      <w:bookmarkEnd w:id="142"/>
      <w:bookmarkStart w:id="143" w:name="_Toc6913"/>
      <w:r>
        <w:rPr>
          <w:b/>
          <w:color w:val="auto"/>
          <w:kern w:val="0"/>
          <w:sz w:val="36"/>
          <w:szCs w:val="44"/>
          <w:highlight w:val="none"/>
        </w:rPr>
        <w:t xml:space="preserve">5. </w:t>
      </w:r>
      <w:r>
        <w:rPr>
          <w:rFonts w:hint="eastAsia"/>
          <w:b/>
          <w:color w:val="auto"/>
          <w:kern w:val="0"/>
          <w:sz w:val="36"/>
          <w:szCs w:val="44"/>
          <w:highlight w:val="none"/>
        </w:rPr>
        <w:t>开标</w:t>
      </w:r>
      <w:bookmarkEnd w:id="143"/>
    </w:p>
    <w:p w14:paraId="15ABB441">
      <w:pPr>
        <w:shd w:val="clear"/>
        <w:spacing w:line="360" w:lineRule="auto"/>
        <w:ind w:firstLine="420" w:firstLineChars="200"/>
        <w:rPr>
          <w:bCs/>
          <w:color w:val="auto"/>
          <w:highlight w:val="none"/>
        </w:rPr>
      </w:pPr>
      <w:bookmarkStart w:id="144" w:name="_Toc179632578"/>
      <w:bookmarkEnd w:id="144"/>
      <w:bookmarkStart w:id="145" w:name="_Toc152045560"/>
      <w:bookmarkEnd w:id="145"/>
      <w:bookmarkStart w:id="146" w:name="_Toc144974528"/>
      <w:bookmarkEnd w:id="146"/>
      <w:bookmarkStart w:id="147" w:name="_Toc152042336"/>
      <w:bookmarkEnd w:id="147"/>
      <w:bookmarkStart w:id="148" w:name="_Toc221356258"/>
      <w:bookmarkEnd w:id="148"/>
      <w:bookmarkStart w:id="149" w:name="_Toc144974529"/>
      <w:bookmarkStart w:id="150" w:name="_Toc152042337"/>
      <w:bookmarkStart w:id="151" w:name="_Toc179632579"/>
      <w:bookmarkStart w:id="152" w:name="_Toc152045561"/>
      <w:bookmarkStart w:id="153" w:name="_Toc221356259"/>
      <w:r>
        <w:rPr>
          <w:bCs/>
          <w:color w:val="auto"/>
          <w:highlight w:val="none"/>
        </w:rPr>
        <w:t>5.1</w:t>
      </w:r>
      <w:r>
        <w:rPr>
          <w:rFonts w:hint="eastAsia"/>
          <w:bCs/>
          <w:color w:val="auto"/>
          <w:highlight w:val="none"/>
        </w:rPr>
        <w:t>开标</w:t>
      </w:r>
      <w:r>
        <w:rPr>
          <w:bCs/>
          <w:color w:val="auto"/>
          <w:highlight w:val="none"/>
        </w:rPr>
        <w:t>时间和地点</w:t>
      </w:r>
      <w:r>
        <w:rPr>
          <w:rFonts w:hint="eastAsia"/>
          <w:bCs/>
          <w:color w:val="auto"/>
          <w:highlight w:val="none"/>
        </w:rPr>
        <w:t>详见投标人须知前附表。</w:t>
      </w:r>
    </w:p>
    <w:p w14:paraId="4431A882">
      <w:pPr>
        <w:shd w:val="clear"/>
        <w:spacing w:line="360" w:lineRule="auto"/>
        <w:ind w:firstLine="420" w:firstLineChars="200"/>
        <w:rPr>
          <w:color w:val="auto"/>
          <w:highlight w:val="none"/>
        </w:rPr>
      </w:pPr>
      <w:r>
        <w:rPr>
          <w:color w:val="auto"/>
          <w:highlight w:val="none"/>
        </w:rPr>
        <w:t>5.2采购人在本章第5.1项规定的投标文件递交截止时间（</w:t>
      </w:r>
      <w:r>
        <w:rPr>
          <w:rFonts w:hint="eastAsia"/>
          <w:bCs/>
          <w:color w:val="auto"/>
          <w:highlight w:val="none"/>
        </w:rPr>
        <w:t>开标</w:t>
      </w:r>
      <w:r>
        <w:rPr>
          <w:color w:val="auto"/>
          <w:highlight w:val="none"/>
        </w:rPr>
        <w:t>时间）和投标人须知前附表规定的地点</w:t>
      </w:r>
      <w:r>
        <w:rPr>
          <w:rFonts w:hint="eastAsia"/>
          <w:color w:val="auto"/>
          <w:highlight w:val="none"/>
        </w:rPr>
        <w:t>组织</w:t>
      </w:r>
      <w:r>
        <w:rPr>
          <w:rFonts w:hint="eastAsia"/>
          <w:bCs/>
          <w:color w:val="auto"/>
          <w:highlight w:val="none"/>
        </w:rPr>
        <w:t>开标</w:t>
      </w:r>
      <w:r>
        <w:rPr>
          <w:color w:val="auto"/>
          <w:highlight w:val="none"/>
        </w:rPr>
        <w:t>，并邀请所有投标人的法定代表人或委托代理人准时参加</w:t>
      </w:r>
      <w:r>
        <w:rPr>
          <w:rFonts w:hint="eastAsia"/>
          <w:color w:val="auto"/>
          <w:highlight w:val="none"/>
        </w:rPr>
        <w:t>，开标程序详见“投标人须知前附表”</w:t>
      </w:r>
      <w:r>
        <w:rPr>
          <w:color w:val="auto"/>
          <w:highlight w:val="none"/>
        </w:rPr>
        <w:t>。</w:t>
      </w:r>
    </w:p>
    <w:p w14:paraId="79EF707F">
      <w:pPr>
        <w:shd w:val="clear"/>
        <w:spacing w:line="360" w:lineRule="auto"/>
        <w:ind w:firstLine="420" w:firstLineChars="200"/>
        <w:rPr>
          <w:color w:val="auto"/>
          <w:highlight w:val="none"/>
        </w:rPr>
      </w:pPr>
      <w:r>
        <w:rPr>
          <w:color w:val="auto"/>
          <w:highlight w:val="none"/>
        </w:rPr>
        <w:t>5.3</w:t>
      </w:r>
      <w:r>
        <w:rPr>
          <w:rFonts w:hint="eastAsia"/>
          <w:color w:val="auto"/>
          <w:highlight w:val="none"/>
        </w:rPr>
        <w:t>投标截止后投标人不足3家的，不得开标。</w:t>
      </w:r>
    </w:p>
    <w:p w14:paraId="749A56A3">
      <w:pPr>
        <w:shd w:val="clear"/>
        <w:spacing w:line="360" w:lineRule="auto"/>
        <w:ind w:firstLine="420" w:firstLineChars="200"/>
        <w:rPr>
          <w:color w:val="auto"/>
          <w:highlight w:val="none"/>
        </w:rPr>
      </w:pPr>
    </w:p>
    <w:p w14:paraId="2E9A184F">
      <w:pPr>
        <w:shd w:val="clear"/>
        <w:spacing w:line="360" w:lineRule="auto"/>
        <w:jc w:val="center"/>
        <w:outlineLvl w:val="2"/>
        <w:rPr>
          <w:b/>
          <w:color w:val="auto"/>
          <w:kern w:val="0"/>
          <w:sz w:val="36"/>
          <w:szCs w:val="44"/>
          <w:highlight w:val="none"/>
        </w:rPr>
      </w:pPr>
      <w:bookmarkStart w:id="154" w:name="_Toc11497"/>
      <w:bookmarkStart w:id="155" w:name="_Toc119924079"/>
      <w:bookmarkStart w:id="156" w:name="_Toc33098657"/>
      <w:r>
        <w:rPr>
          <w:b/>
          <w:color w:val="auto"/>
          <w:kern w:val="0"/>
          <w:sz w:val="36"/>
          <w:szCs w:val="44"/>
          <w:highlight w:val="none"/>
        </w:rPr>
        <w:t xml:space="preserve">6. </w:t>
      </w:r>
      <w:r>
        <w:rPr>
          <w:rFonts w:hint="eastAsia"/>
          <w:b/>
          <w:color w:val="auto"/>
          <w:kern w:val="0"/>
          <w:sz w:val="36"/>
          <w:szCs w:val="44"/>
          <w:highlight w:val="none"/>
        </w:rPr>
        <w:t>资格审查</w:t>
      </w:r>
      <w:bookmarkEnd w:id="154"/>
      <w:bookmarkEnd w:id="155"/>
      <w:bookmarkEnd w:id="156"/>
    </w:p>
    <w:p w14:paraId="0764380E">
      <w:pPr>
        <w:shd w:val="clear"/>
        <w:spacing w:before="120" w:beforeLines="50" w:line="360" w:lineRule="auto"/>
        <w:ind w:firstLine="420" w:firstLineChars="200"/>
        <w:rPr>
          <w:rFonts w:ascii="宋体" w:hAnsi="宋体"/>
          <w:color w:val="auto"/>
          <w:szCs w:val="21"/>
          <w:highlight w:val="none"/>
        </w:rPr>
      </w:pPr>
      <w:r>
        <w:rPr>
          <w:rFonts w:hint="eastAsia" w:ascii="宋体" w:hAnsi="宋体"/>
          <w:color w:val="auto"/>
          <w:szCs w:val="21"/>
          <w:highlight w:val="none"/>
        </w:rPr>
        <w:t>开标结束后，采购人或者采购代理机构应当按照第三章“评标办法”资格审查标准依法对投标人的资格进行审查，合格投标人不足3家的，不得评标。</w:t>
      </w:r>
    </w:p>
    <w:p w14:paraId="23E29B07">
      <w:pPr>
        <w:shd w:val="clear"/>
        <w:spacing w:line="360" w:lineRule="auto"/>
        <w:ind w:firstLine="420" w:firstLineChars="200"/>
        <w:rPr>
          <w:color w:val="auto"/>
          <w:highlight w:val="none"/>
        </w:rPr>
      </w:pPr>
    </w:p>
    <w:bookmarkEnd w:id="149"/>
    <w:bookmarkEnd w:id="150"/>
    <w:bookmarkEnd w:id="151"/>
    <w:bookmarkEnd w:id="152"/>
    <w:bookmarkEnd w:id="153"/>
    <w:p w14:paraId="121249D6">
      <w:pPr>
        <w:shd w:val="clear"/>
        <w:spacing w:line="360" w:lineRule="auto"/>
        <w:ind w:firstLine="420" w:firstLineChars="200"/>
        <w:rPr>
          <w:color w:val="auto"/>
          <w:szCs w:val="21"/>
          <w:highlight w:val="none"/>
        </w:rPr>
      </w:pPr>
      <w:bookmarkStart w:id="157" w:name="_Toc241763834"/>
      <w:bookmarkStart w:id="158" w:name="_Toc152042338"/>
      <w:bookmarkStart w:id="159" w:name="_Toc152045562"/>
      <w:bookmarkStart w:id="160" w:name="_Toc144974530"/>
      <w:bookmarkStart w:id="161" w:name="_Toc179632580"/>
      <w:bookmarkStart w:id="162" w:name="_Toc221356260"/>
    </w:p>
    <w:bookmarkEnd w:id="157"/>
    <w:bookmarkEnd w:id="158"/>
    <w:bookmarkEnd w:id="159"/>
    <w:bookmarkEnd w:id="160"/>
    <w:bookmarkEnd w:id="161"/>
    <w:bookmarkEnd w:id="162"/>
    <w:p w14:paraId="6EC4E455">
      <w:pPr>
        <w:shd w:val="clear"/>
        <w:spacing w:line="360" w:lineRule="auto"/>
        <w:jc w:val="center"/>
        <w:outlineLvl w:val="2"/>
        <w:rPr>
          <w:b/>
          <w:color w:val="auto"/>
          <w:kern w:val="0"/>
          <w:sz w:val="36"/>
          <w:szCs w:val="44"/>
          <w:highlight w:val="none"/>
        </w:rPr>
      </w:pPr>
      <w:bookmarkStart w:id="163" w:name="_Toc17309"/>
      <w:r>
        <w:rPr>
          <w:b/>
          <w:color w:val="auto"/>
          <w:kern w:val="0"/>
          <w:sz w:val="36"/>
          <w:szCs w:val="44"/>
          <w:highlight w:val="none"/>
        </w:rPr>
        <w:t>7. 评</w:t>
      </w:r>
      <w:r>
        <w:rPr>
          <w:rFonts w:hint="eastAsia"/>
          <w:b/>
          <w:color w:val="auto"/>
          <w:kern w:val="0"/>
          <w:sz w:val="36"/>
          <w:szCs w:val="44"/>
          <w:highlight w:val="none"/>
        </w:rPr>
        <w:t>标</w:t>
      </w:r>
      <w:bookmarkEnd w:id="163"/>
    </w:p>
    <w:p w14:paraId="70B58CDC">
      <w:pPr>
        <w:shd w:val="clear"/>
        <w:spacing w:line="360" w:lineRule="auto"/>
        <w:ind w:firstLine="422" w:firstLineChars="200"/>
        <w:rPr>
          <w:b/>
          <w:color w:val="auto"/>
          <w:highlight w:val="none"/>
        </w:rPr>
      </w:pPr>
      <w:bookmarkStart w:id="164" w:name="_Toc221356261"/>
      <w:bookmarkEnd w:id="164"/>
      <w:bookmarkStart w:id="165" w:name="_Toc152042339"/>
      <w:bookmarkEnd w:id="165"/>
      <w:bookmarkStart w:id="166" w:name="_Toc152045563"/>
      <w:bookmarkEnd w:id="166"/>
      <w:bookmarkStart w:id="167" w:name="_Toc179632581"/>
      <w:bookmarkEnd w:id="167"/>
      <w:bookmarkStart w:id="168" w:name="_Toc144974531"/>
      <w:bookmarkEnd w:id="168"/>
      <w:r>
        <w:rPr>
          <w:b/>
          <w:color w:val="auto"/>
          <w:highlight w:val="none"/>
        </w:rPr>
        <w:t>7.1</w:t>
      </w:r>
      <w:r>
        <w:rPr>
          <w:rFonts w:hint="eastAsia"/>
          <w:color w:val="auto"/>
          <w:szCs w:val="21"/>
          <w:highlight w:val="none"/>
        </w:rPr>
        <w:t>评标委员会</w:t>
      </w:r>
    </w:p>
    <w:p w14:paraId="1F50B401">
      <w:pPr>
        <w:shd w:val="clear"/>
        <w:spacing w:line="360" w:lineRule="auto"/>
        <w:ind w:firstLine="420" w:firstLineChars="200"/>
        <w:rPr>
          <w:color w:val="auto"/>
          <w:highlight w:val="none"/>
        </w:rPr>
      </w:pPr>
      <w:bookmarkStart w:id="169" w:name="_Toc152045564"/>
      <w:bookmarkStart w:id="170" w:name="_Toc179632582"/>
      <w:bookmarkStart w:id="171" w:name="_Toc152042340"/>
      <w:bookmarkStart w:id="172" w:name="_Toc144974532"/>
      <w:bookmarkStart w:id="173" w:name="_Toc221356262"/>
      <w:r>
        <w:rPr>
          <w:color w:val="auto"/>
          <w:highlight w:val="none"/>
        </w:rPr>
        <w:t xml:space="preserve">7.1.1 </w:t>
      </w:r>
      <w:r>
        <w:rPr>
          <w:rFonts w:hint="eastAsia"/>
          <w:color w:val="auto"/>
          <w:highlight w:val="none"/>
        </w:rPr>
        <w:t>评标</w:t>
      </w:r>
      <w:r>
        <w:rPr>
          <w:color w:val="auto"/>
          <w:highlight w:val="none"/>
        </w:rPr>
        <w:t>由采购人依法组建的</w:t>
      </w:r>
      <w:r>
        <w:rPr>
          <w:rFonts w:hint="eastAsia"/>
          <w:color w:val="auto"/>
          <w:szCs w:val="21"/>
          <w:highlight w:val="none"/>
        </w:rPr>
        <w:t>评标委员会</w:t>
      </w:r>
      <w:r>
        <w:rPr>
          <w:color w:val="auto"/>
          <w:highlight w:val="none"/>
        </w:rPr>
        <w:t>负责。</w:t>
      </w:r>
      <w:r>
        <w:rPr>
          <w:rFonts w:hint="eastAsia"/>
          <w:color w:val="auto"/>
          <w:szCs w:val="21"/>
          <w:highlight w:val="none"/>
        </w:rPr>
        <w:t>评标委员会</w:t>
      </w:r>
      <w:r>
        <w:rPr>
          <w:color w:val="auto"/>
          <w:highlight w:val="none"/>
        </w:rPr>
        <w:t>由采购人熟悉相关业务的代表，以及有关技术、经济等方面的专家组成。</w:t>
      </w:r>
      <w:r>
        <w:rPr>
          <w:rFonts w:hint="eastAsia"/>
          <w:color w:val="auto"/>
          <w:szCs w:val="21"/>
          <w:highlight w:val="none"/>
        </w:rPr>
        <w:t>评标委员会</w:t>
      </w:r>
      <w:r>
        <w:rPr>
          <w:color w:val="auto"/>
          <w:highlight w:val="none"/>
        </w:rPr>
        <w:t>成员人数以及技术、经济等方面专家的确定方式见投标人须知前附表。</w:t>
      </w:r>
    </w:p>
    <w:p w14:paraId="26053B42">
      <w:pPr>
        <w:shd w:val="clear"/>
        <w:spacing w:line="360" w:lineRule="auto"/>
        <w:ind w:firstLine="420" w:firstLineChars="200"/>
        <w:rPr>
          <w:color w:val="auto"/>
          <w:highlight w:val="none"/>
        </w:rPr>
      </w:pPr>
      <w:r>
        <w:rPr>
          <w:color w:val="auto"/>
          <w:highlight w:val="none"/>
        </w:rPr>
        <w:t xml:space="preserve">7.1.2 </w:t>
      </w:r>
      <w:r>
        <w:rPr>
          <w:rFonts w:hint="eastAsia"/>
          <w:color w:val="auto"/>
          <w:szCs w:val="21"/>
          <w:highlight w:val="none"/>
        </w:rPr>
        <w:t>评标委员会</w:t>
      </w:r>
      <w:r>
        <w:rPr>
          <w:color w:val="auto"/>
          <w:highlight w:val="none"/>
        </w:rPr>
        <w:t>成员有下列情形之一的，应当回避：</w:t>
      </w:r>
    </w:p>
    <w:p w14:paraId="792C0F62">
      <w:pPr>
        <w:shd w:val="clear"/>
        <w:spacing w:line="360" w:lineRule="auto"/>
        <w:ind w:firstLine="420" w:firstLineChars="200"/>
        <w:rPr>
          <w:color w:val="auto"/>
          <w:highlight w:val="none"/>
        </w:rPr>
      </w:pPr>
      <w:r>
        <w:rPr>
          <w:color w:val="auto"/>
          <w:highlight w:val="none"/>
        </w:rPr>
        <w:t>（1）投标人或投标人主要负责人的近亲属；</w:t>
      </w:r>
    </w:p>
    <w:p w14:paraId="436D87F5">
      <w:pPr>
        <w:shd w:val="clear"/>
        <w:spacing w:line="360" w:lineRule="auto"/>
        <w:ind w:firstLine="420" w:firstLineChars="200"/>
        <w:rPr>
          <w:color w:val="auto"/>
          <w:highlight w:val="none"/>
        </w:rPr>
      </w:pPr>
      <w:r>
        <w:rPr>
          <w:color w:val="auto"/>
          <w:highlight w:val="none"/>
        </w:rPr>
        <w:t>（2）项目主管部门或者行政监督部门的人员；</w:t>
      </w:r>
    </w:p>
    <w:p w14:paraId="6725EEC9">
      <w:pPr>
        <w:shd w:val="clear"/>
        <w:spacing w:line="360" w:lineRule="auto"/>
        <w:ind w:firstLine="420" w:firstLineChars="200"/>
        <w:rPr>
          <w:color w:val="auto"/>
          <w:highlight w:val="none"/>
        </w:rPr>
      </w:pPr>
      <w:r>
        <w:rPr>
          <w:color w:val="auto"/>
          <w:highlight w:val="none"/>
        </w:rPr>
        <w:t>（3）与投标人有经济利益关系；</w:t>
      </w:r>
    </w:p>
    <w:p w14:paraId="4C613D5E">
      <w:pPr>
        <w:shd w:val="clear"/>
        <w:spacing w:line="360" w:lineRule="auto"/>
        <w:ind w:firstLine="420" w:firstLineChars="200"/>
        <w:rPr>
          <w:color w:val="auto"/>
          <w:highlight w:val="none"/>
        </w:rPr>
      </w:pPr>
      <w:r>
        <w:rPr>
          <w:color w:val="auto"/>
          <w:highlight w:val="none"/>
        </w:rPr>
        <w:t>（4）曾因在采购、评标以及其他与采购有关活动中从事违法行为而受过行政处罚或刑事处罚的；</w:t>
      </w:r>
    </w:p>
    <w:p w14:paraId="76829176">
      <w:pPr>
        <w:shd w:val="clear"/>
        <w:spacing w:line="360" w:lineRule="auto"/>
        <w:ind w:firstLine="420" w:firstLineChars="200"/>
        <w:rPr>
          <w:color w:val="auto"/>
          <w:highlight w:val="none"/>
        </w:rPr>
      </w:pPr>
      <w:r>
        <w:rPr>
          <w:color w:val="auto"/>
          <w:highlight w:val="none"/>
        </w:rPr>
        <w:t>（5）与投标人有其他利害关系。</w:t>
      </w:r>
    </w:p>
    <w:p w14:paraId="65899DAE">
      <w:pPr>
        <w:shd w:val="clear"/>
        <w:spacing w:line="360" w:lineRule="auto"/>
        <w:ind w:firstLine="420" w:firstLineChars="200"/>
        <w:rPr>
          <w:color w:val="auto"/>
          <w:highlight w:val="none"/>
        </w:rPr>
      </w:pPr>
      <w:r>
        <w:rPr>
          <w:color w:val="auto"/>
          <w:highlight w:val="none"/>
        </w:rPr>
        <w:t>7</w:t>
      </w:r>
      <w:r>
        <w:rPr>
          <w:rFonts w:hint="eastAsia"/>
          <w:color w:val="auto"/>
          <w:highlight w:val="none"/>
        </w:rPr>
        <w:t>.1.3评审</w:t>
      </w:r>
      <w:r>
        <w:rPr>
          <w:color w:val="auto"/>
          <w:highlight w:val="none"/>
        </w:rPr>
        <w:t>过程中，</w:t>
      </w:r>
      <w:r>
        <w:rPr>
          <w:rFonts w:hint="eastAsia"/>
          <w:color w:val="auto"/>
          <w:szCs w:val="21"/>
          <w:highlight w:val="none"/>
        </w:rPr>
        <w:t>评标委员会</w:t>
      </w:r>
      <w:r>
        <w:rPr>
          <w:color w:val="auto"/>
          <w:highlight w:val="none"/>
        </w:rPr>
        <w:t>成员有回避事由、擅离职守或者因健康等原因不能继续评审的，采购人有权更换。被更换的评标委员会成员作出的评审结论无效，由更换后的评标委员会成员重新进行评审。</w:t>
      </w:r>
    </w:p>
    <w:bookmarkEnd w:id="169"/>
    <w:bookmarkEnd w:id="170"/>
    <w:bookmarkEnd w:id="171"/>
    <w:bookmarkEnd w:id="172"/>
    <w:bookmarkEnd w:id="173"/>
    <w:p w14:paraId="7F7C0858">
      <w:pPr>
        <w:shd w:val="clear"/>
        <w:spacing w:line="360" w:lineRule="auto"/>
        <w:ind w:firstLine="422" w:firstLineChars="200"/>
        <w:rPr>
          <w:b/>
          <w:color w:val="auto"/>
          <w:highlight w:val="none"/>
        </w:rPr>
      </w:pPr>
      <w:r>
        <w:rPr>
          <w:b/>
          <w:color w:val="auto"/>
          <w:highlight w:val="none"/>
        </w:rPr>
        <w:t>7.2</w:t>
      </w:r>
      <w:r>
        <w:rPr>
          <w:rFonts w:hint="eastAsia"/>
          <w:b/>
          <w:color w:val="auto"/>
          <w:highlight w:val="none"/>
        </w:rPr>
        <w:t>评审</w:t>
      </w:r>
      <w:r>
        <w:rPr>
          <w:b/>
          <w:color w:val="auto"/>
          <w:highlight w:val="none"/>
        </w:rPr>
        <w:t>原则</w:t>
      </w:r>
    </w:p>
    <w:p w14:paraId="14CADD7C">
      <w:pPr>
        <w:shd w:val="clear"/>
        <w:spacing w:line="360" w:lineRule="auto"/>
        <w:ind w:firstLine="420" w:firstLineChars="200"/>
        <w:rPr>
          <w:color w:val="auto"/>
          <w:highlight w:val="none"/>
        </w:rPr>
      </w:pPr>
      <w:bookmarkStart w:id="174" w:name="_Toc152045565"/>
      <w:bookmarkStart w:id="175" w:name="_Toc144974533"/>
      <w:bookmarkStart w:id="176" w:name="_Toc179632583"/>
      <w:bookmarkStart w:id="177" w:name="_Toc221356263"/>
      <w:bookmarkStart w:id="178" w:name="_Toc152042341"/>
      <w:r>
        <w:rPr>
          <w:rFonts w:hint="eastAsia"/>
          <w:color w:val="auto"/>
          <w:highlight w:val="none"/>
        </w:rPr>
        <w:t>评标</w:t>
      </w:r>
      <w:r>
        <w:rPr>
          <w:color w:val="auto"/>
          <w:highlight w:val="none"/>
        </w:rPr>
        <w:t>活动遵循公平、公正、科学和择优的原则。</w:t>
      </w:r>
    </w:p>
    <w:bookmarkEnd w:id="174"/>
    <w:bookmarkEnd w:id="175"/>
    <w:bookmarkEnd w:id="176"/>
    <w:bookmarkEnd w:id="177"/>
    <w:bookmarkEnd w:id="178"/>
    <w:p w14:paraId="713E9784">
      <w:pPr>
        <w:shd w:val="clear"/>
        <w:spacing w:line="360" w:lineRule="auto"/>
        <w:ind w:firstLine="422" w:firstLineChars="200"/>
        <w:rPr>
          <w:b/>
          <w:color w:val="auto"/>
          <w:highlight w:val="none"/>
        </w:rPr>
      </w:pPr>
      <w:r>
        <w:rPr>
          <w:b/>
          <w:color w:val="auto"/>
          <w:highlight w:val="none"/>
        </w:rPr>
        <w:t>7.3评审</w:t>
      </w:r>
    </w:p>
    <w:p w14:paraId="2373229E">
      <w:pPr>
        <w:shd w:val="clear"/>
        <w:spacing w:line="360" w:lineRule="auto"/>
        <w:ind w:firstLine="420" w:firstLineChars="200"/>
        <w:rPr>
          <w:color w:val="auto"/>
          <w:highlight w:val="none"/>
        </w:rPr>
      </w:pPr>
      <w:bookmarkStart w:id="179" w:name="_Toc152045566"/>
      <w:bookmarkStart w:id="180" w:name="_Toc144974534"/>
      <w:bookmarkStart w:id="181" w:name="_Toc152042342"/>
      <w:bookmarkStart w:id="182" w:name="_Toc241763835"/>
      <w:bookmarkStart w:id="183" w:name="_Toc179632584"/>
      <w:bookmarkStart w:id="184" w:name="_Toc221356264"/>
      <w:r>
        <w:rPr>
          <w:color w:val="auto"/>
          <w:highlight w:val="none"/>
        </w:rPr>
        <w:t>7</w:t>
      </w:r>
      <w:r>
        <w:rPr>
          <w:rFonts w:hint="eastAsia"/>
          <w:color w:val="auto"/>
          <w:highlight w:val="none"/>
        </w:rPr>
        <w:t>.3.</w:t>
      </w:r>
      <w:r>
        <w:rPr>
          <w:color w:val="auto"/>
          <w:highlight w:val="none"/>
        </w:rPr>
        <w:t>1评标委员会按照第三章“</w:t>
      </w:r>
      <w:r>
        <w:rPr>
          <w:rFonts w:hint="eastAsia"/>
          <w:color w:val="auto"/>
          <w:highlight w:val="none"/>
        </w:rPr>
        <w:t>评标</w:t>
      </w:r>
      <w:r>
        <w:rPr>
          <w:color w:val="auto"/>
          <w:highlight w:val="none"/>
        </w:rPr>
        <w:t>办法”规定的方法、评审因素、标准和程序对投标文件进行评审。第三章“</w:t>
      </w:r>
      <w:r>
        <w:rPr>
          <w:rFonts w:hint="eastAsia"/>
          <w:color w:val="auto"/>
          <w:highlight w:val="none"/>
        </w:rPr>
        <w:t>评标</w:t>
      </w:r>
      <w:r>
        <w:rPr>
          <w:color w:val="auto"/>
          <w:highlight w:val="none"/>
        </w:rPr>
        <w:t>办法”没有规定的方法、评审因素和标准，不作为评审依据。</w:t>
      </w:r>
    </w:p>
    <w:p w14:paraId="734239A7">
      <w:pPr>
        <w:shd w:val="clear"/>
        <w:spacing w:line="360" w:lineRule="auto"/>
        <w:ind w:firstLine="420" w:firstLineChars="200"/>
        <w:rPr>
          <w:color w:val="auto"/>
          <w:highlight w:val="none"/>
        </w:rPr>
      </w:pPr>
      <w:r>
        <w:rPr>
          <w:color w:val="auto"/>
          <w:highlight w:val="none"/>
        </w:rPr>
        <w:t>7</w:t>
      </w:r>
      <w:r>
        <w:rPr>
          <w:rFonts w:hint="eastAsia"/>
          <w:color w:val="auto"/>
          <w:highlight w:val="none"/>
        </w:rPr>
        <w:t>.3.2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49E334CD">
      <w:pPr>
        <w:shd w:val="clear"/>
        <w:spacing w:line="360" w:lineRule="auto"/>
        <w:ind w:firstLine="420" w:firstLineChars="200"/>
        <w:rPr>
          <w:color w:val="auto"/>
          <w:highlight w:val="none"/>
        </w:rPr>
      </w:pPr>
      <w:r>
        <w:rPr>
          <w:color w:val="auto"/>
          <w:highlight w:val="none"/>
        </w:rPr>
        <w:t>7</w:t>
      </w:r>
      <w:r>
        <w:rPr>
          <w:rFonts w:hint="eastAsia"/>
          <w:color w:val="auto"/>
          <w:highlight w:val="none"/>
        </w:rPr>
        <w:t>.3.</w:t>
      </w:r>
      <w:r>
        <w:rPr>
          <w:color w:val="auto"/>
          <w:highlight w:val="none"/>
        </w:rPr>
        <w:t>3</w:t>
      </w:r>
      <w:r>
        <w:rPr>
          <w:rFonts w:hint="eastAsia"/>
          <w:color w:val="auto"/>
          <w:highlight w:val="none"/>
        </w:rPr>
        <w:t>评审完成后，评标委员会应当向采购人提交书面评审报告和中标候选人名单。评标委员会推荐中标候选人的人数见投标人须知前附表。</w:t>
      </w:r>
    </w:p>
    <w:p w14:paraId="72186C7F">
      <w:pPr>
        <w:shd w:val="clear"/>
        <w:spacing w:line="360" w:lineRule="auto"/>
        <w:ind w:firstLine="420" w:firstLineChars="200"/>
        <w:rPr>
          <w:color w:val="auto"/>
          <w:highlight w:val="none"/>
        </w:rPr>
      </w:pPr>
    </w:p>
    <w:bookmarkEnd w:id="179"/>
    <w:bookmarkEnd w:id="180"/>
    <w:bookmarkEnd w:id="181"/>
    <w:bookmarkEnd w:id="182"/>
    <w:bookmarkEnd w:id="183"/>
    <w:bookmarkEnd w:id="184"/>
    <w:p w14:paraId="11735B7B">
      <w:pPr>
        <w:shd w:val="clear"/>
        <w:spacing w:line="360" w:lineRule="auto"/>
        <w:jc w:val="center"/>
        <w:outlineLvl w:val="2"/>
        <w:rPr>
          <w:b/>
          <w:color w:val="auto"/>
          <w:kern w:val="0"/>
          <w:sz w:val="32"/>
          <w:szCs w:val="44"/>
          <w:highlight w:val="none"/>
        </w:rPr>
      </w:pPr>
      <w:bookmarkStart w:id="185" w:name="_Toc12331"/>
      <w:r>
        <w:rPr>
          <w:b/>
          <w:color w:val="auto"/>
          <w:kern w:val="0"/>
          <w:sz w:val="32"/>
          <w:szCs w:val="44"/>
          <w:highlight w:val="none"/>
        </w:rPr>
        <w:t>8.</w:t>
      </w:r>
      <w:r>
        <w:rPr>
          <w:rFonts w:hint="eastAsia"/>
          <w:b/>
          <w:color w:val="auto"/>
          <w:kern w:val="0"/>
          <w:sz w:val="32"/>
          <w:szCs w:val="44"/>
          <w:highlight w:val="none"/>
        </w:rPr>
        <w:t xml:space="preserve"> </w:t>
      </w:r>
      <w:r>
        <w:rPr>
          <w:b/>
          <w:color w:val="auto"/>
          <w:kern w:val="0"/>
          <w:sz w:val="32"/>
          <w:szCs w:val="44"/>
          <w:highlight w:val="none"/>
        </w:rPr>
        <w:t>合同授予</w:t>
      </w:r>
      <w:bookmarkEnd w:id="185"/>
    </w:p>
    <w:p w14:paraId="071EA59D">
      <w:pPr>
        <w:shd w:val="clear"/>
        <w:spacing w:line="360" w:lineRule="auto"/>
        <w:ind w:firstLine="422" w:firstLineChars="200"/>
        <w:rPr>
          <w:b/>
          <w:color w:val="auto"/>
          <w:highlight w:val="none"/>
        </w:rPr>
      </w:pPr>
      <w:r>
        <w:rPr>
          <w:b/>
          <w:color w:val="auto"/>
          <w:highlight w:val="none"/>
        </w:rPr>
        <w:t>8</w:t>
      </w:r>
      <w:r>
        <w:rPr>
          <w:rFonts w:hint="eastAsia"/>
          <w:b/>
          <w:color w:val="auto"/>
          <w:highlight w:val="none"/>
        </w:rPr>
        <w:t>.1定标</w:t>
      </w:r>
    </w:p>
    <w:p w14:paraId="2A9A52DB">
      <w:pPr>
        <w:shd w:val="clear"/>
        <w:spacing w:line="360" w:lineRule="auto"/>
        <w:ind w:firstLine="420" w:firstLineChars="200"/>
        <w:rPr>
          <w:rFonts w:ascii="ˎ̥" w:hAnsi="ˎ̥"/>
          <w:color w:val="auto"/>
          <w:highlight w:val="none"/>
        </w:rPr>
      </w:pPr>
      <w:r>
        <w:rPr>
          <w:rFonts w:ascii="ˎ̥" w:hAnsi="ˎ̥"/>
          <w:color w:val="auto"/>
          <w:highlight w:val="none"/>
        </w:rPr>
        <w:t>8.1.1采购代理机构应当在评审结束后2个工作日内将评审报告送</w:t>
      </w:r>
      <w:r>
        <w:rPr>
          <w:rFonts w:hint="eastAsia" w:ascii="ˎ̥" w:hAnsi="ˎ̥"/>
          <w:color w:val="auto"/>
          <w:highlight w:val="none"/>
        </w:rPr>
        <w:t>采购人</w:t>
      </w:r>
      <w:r>
        <w:rPr>
          <w:rFonts w:ascii="ˎ̥" w:hAnsi="ˎ̥"/>
          <w:color w:val="auto"/>
          <w:highlight w:val="none"/>
        </w:rPr>
        <w:t>确认。</w:t>
      </w:r>
    </w:p>
    <w:p w14:paraId="5BAFFEBD">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8.1.2</w:t>
      </w:r>
      <w:r>
        <w:rPr>
          <w:rFonts w:hint="eastAsia" w:ascii="宋体" w:hAnsi="宋体"/>
          <w:color w:val="auto"/>
          <w:szCs w:val="21"/>
          <w:highlight w:val="none"/>
        </w:rPr>
        <w:t>采购人应当在收到评标报告之日起5个工作日内，在评标报告中推荐的中标候选人中按顺序确定中标人。</w:t>
      </w:r>
    </w:p>
    <w:p w14:paraId="68BFCC3C">
      <w:pPr>
        <w:shd w:val="clear"/>
        <w:spacing w:line="360" w:lineRule="auto"/>
        <w:ind w:firstLine="422" w:firstLineChars="200"/>
        <w:rPr>
          <w:b/>
          <w:color w:val="auto"/>
          <w:highlight w:val="none"/>
        </w:rPr>
      </w:pPr>
      <w:r>
        <w:rPr>
          <w:b/>
          <w:color w:val="auto"/>
          <w:highlight w:val="none"/>
        </w:rPr>
        <w:t>8</w:t>
      </w:r>
      <w:r>
        <w:rPr>
          <w:rFonts w:hint="eastAsia"/>
          <w:b/>
          <w:color w:val="auto"/>
          <w:highlight w:val="none"/>
        </w:rPr>
        <w:t>.2</w:t>
      </w:r>
      <w:r>
        <w:rPr>
          <w:rFonts w:hint="eastAsia"/>
          <w:b/>
          <w:bCs/>
          <w:color w:val="auto"/>
          <w:highlight w:val="none"/>
        </w:rPr>
        <w:t>中标公告</w:t>
      </w:r>
    </w:p>
    <w:p w14:paraId="5593E66F">
      <w:pPr>
        <w:shd w:val="clear"/>
        <w:spacing w:line="360" w:lineRule="auto"/>
        <w:ind w:firstLine="420" w:firstLineChars="200"/>
        <w:rPr>
          <w:color w:val="auto"/>
          <w:highlight w:val="none"/>
        </w:rPr>
      </w:pPr>
      <w:r>
        <w:rPr>
          <w:rFonts w:hint="eastAsia"/>
          <w:color w:val="auto"/>
          <w:highlight w:val="none"/>
        </w:rPr>
        <w:t>采购人或者采购代理机构应当自中标人确定之日起2个工作日内，按照投标人须知前附表规定的媒介和期限公告中标结果，招标文件应当随中标结果同时公告。</w:t>
      </w:r>
    </w:p>
    <w:p w14:paraId="321D7DA6">
      <w:pPr>
        <w:shd w:val="clear"/>
        <w:spacing w:line="360" w:lineRule="auto"/>
        <w:ind w:firstLine="420" w:firstLineChars="200"/>
        <w:rPr>
          <w:color w:val="auto"/>
          <w:highlight w:val="none"/>
        </w:rPr>
      </w:pPr>
      <w:r>
        <w:rPr>
          <w:rFonts w:hint="eastAsia"/>
          <w:color w:val="auto"/>
          <w:highlight w:val="none"/>
        </w:rPr>
        <w:t>中标公告期限详见投标人须知前附表。</w:t>
      </w:r>
    </w:p>
    <w:p w14:paraId="177C7A3E">
      <w:pPr>
        <w:shd w:val="clear"/>
        <w:spacing w:line="360" w:lineRule="auto"/>
        <w:ind w:firstLine="422" w:firstLineChars="200"/>
        <w:rPr>
          <w:b/>
          <w:color w:val="auto"/>
          <w:highlight w:val="none"/>
        </w:rPr>
      </w:pPr>
      <w:r>
        <w:rPr>
          <w:b/>
          <w:color w:val="auto"/>
          <w:highlight w:val="none"/>
        </w:rPr>
        <w:t>8</w:t>
      </w:r>
      <w:r>
        <w:rPr>
          <w:rFonts w:hint="eastAsia"/>
          <w:b/>
          <w:color w:val="auto"/>
          <w:highlight w:val="none"/>
        </w:rPr>
        <w:t>.3</w:t>
      </w:r>
      <w:r>
        <w:rPr>
          <w:rFonts w:hint="eastAsia"/>
          <w:b/>
          <w:bCs/>
          <w:color w:val="auto"/>
          <w:highlight w:val="none"/>
        </w:rPr>
        <w:t>中标通知</w:t>
      </w:r>
    </w:p>
    <w:p w14:paraId="3BC15FD6">
      <w:pPr>
        <w:shd w:val="clear"/>
        <w:spacing w:line="360" w:lineRule="auto"/>
        <w:ind w:firstLine="420" w:firstLineChars="200"/>
        <w:rPr>
          <w:color w:val="auto"/>
          <w:highlight w:val="none"/>
        </w:rPr>
      </w:pPr>
      <w:r>
        <w:rPr>
          <w:rFonts w:hint="eastAsia"/>
          <w:color w:val="auto"/>
          <w:highlight w:val="none"/>
        </w:rPr>
        <w:t>在本章第 3.3 款规定的投标文件有效期内，</w:t>
      </w:r>
      <w:r>
        <w:rPr>
          <w:color w:val="auto"/>
          <w:highlight w:val="none"/>
        </w:rPr>
        <w:t>采购人或者采购代理机构</w:t>
      </w:r>
      <w:r>
        <w:rPr>
          <w:rFonts w:hint="eastAsia"/>
          <w:color w:val="auto"/>
          <w:highlight w:val="none"/>
        </w:rPr>
        <w:t>以书面形式向中标人发出中标通知书。</w:t>
      </w:r>
    </w:p>
    <w:p w14:paraId="2DCB03A2">
      <w:pPr>
        <w:shd w:val="clear"/>
        <w:spacing w:line="360" w:lineRule="auto"/>
        <w:ind w:firstLine="422" w:firstLineChars="200"/>
        <w:rPr>
          <w:b/>
          <w:color w:val="auto"/>
          <w:highlight w:val="none"/>
        </w:rPr>
      </w:pPr>
      <w:r>
        <w:rPr>
          <w:b/>
          <w:color w:val="auto"/>
          <w:highlight w:val="none"/>
        </w:rPr>
        <w:t>8</w:t>
      </w:r>
      <w:r>
        <w:rPr>
          <w:rFonts w:hint="eastAsia"/>
          <w:b/>
          <w:color w:val="auto"/>
          <w:highlight w:val="none"/>
        </w:rPr>
        <w:t>.4履约保证金</w:t>
      </w:r>
    </w:p>
    <w:p w14:paraId="0988EBE5">
      <w:pPr>
        <w:shd w:val="clear"/>
        <w:spacing w:line="360" w:lineRule="auto"/>
        <w:ind w:firstLine="420" w:firstLineChars="200"/>
        <w:rPr>
          <w:color w:val="auto"/>
          <w:highlight w:val="none"/>
        </w:rPr>
      </w:pPr>
      <w:r>
        <w:rPr>
          <w:color w:val="auto"/>
          <w:highlight w:val="none"/>
        </w:rPr>
        <w:t>8</w:t>
      </w:r>
      <w:r>
        <w:rPr>
          <w:rFonts w:hint="eastAsia"/>
          <w:color w:val="auto"/>
          <w:highlight w:val="none"/>
        </w:rPr>
        <w:t>.4.1在签订合同前，中标人应按投标人须知前附表规定的形式、金额和招标文件第四章“合同条款及格式”规定的或者事先经过采购人书面认可的履约保证金格式向采购人提交履约保证金。联合体中标的，其履约保证金以联合体各方或者联合体中牵头人的名义提交。</w:t>
      </w:r>
    </w:p>
    <w:p w14:paraId="4E27B39E">
      <w:pPr>
        <w:shd w:val="clear"/>
        <w:spacing w:line="360" w:lineRule="auto"/>
        <w:ind w:firstLine="420" w:firstLineChars="200"/>
        <w:rPr>
          <w:color w:val="auto"/>
          <w:highlight w:val="none"/>
        </w:rPr>
      </w:pPr>
      <w:r>
        <w:rPr>
          <w:color w:val="auto"/>
          <w:highlight w:val="none"/>
        </w:rPr>
        <w:t>8</w:t>
      </w:r>
      <w:r>
        <w:rPr>
          <w:rFonts w:hint="eastAsia"/>
          <w:color w:val="auto"/>
          <w:highlight w:val="none"/>
        </w:rPr>
        <w:t>.4.2中标人不能按本章第</w:t>
      </w:r>
      <w:r>
        <w:rPr>
          <w:color w:val="auto"/>
          <w:highlight w:val="none"/>
        </w:rPr>
        <w:t>8</w:t>
      </w:r>
      <w:r>
        <w:rPr>
          <w:rFonts w:hint="eastAsia"/>
          <w:color w:val="auto"/>
          <w:highlight w:val="none"/>
        </w:rPr>
        <w:t>.4.1 项要求提交履约保证金的，视为放弃中标，其</w:t>
      </w:r>
      <w:r>
        <w:rPr>
          <w:rFonts w:hint="eastAsia"/>
          <w:color w:val="auto"/>
          <w:spacing w:val="-2"/>
          <w:highlight w:val="none"/>
        </w:rPr>
        <w:t>投标保证金</w:t>
      </w:r>
      <w:r>
        <w:rPr>
          <w:rFonts w:hint="eastAsia"/>
          <w:color w:val="auto"/>
          <w:highlight w:val="none"/>
        </w:rPr>
        <w:t>不予退还，给采购人造成的损失超过</w:t>
      </w:r>
      <w:r>
        <w:rPr>
          <w:rFonts w:hint="eastAsia"/>
          <w:color w:val="auto"/>
          <w:spacing w:val="-2"/>
          <w:highlight w:val="none"/>
        </w:rPr>
        <w:t>投标保证金</w:t>
      </w:r>
      <w:r>
        <w:rPr>
          <w:rFonts w:hint="eastAsia"/>
          <w:color w:val="auto"/>
          <w:highlight w:val="none"/>
        </w:rPr>
        <w:t>数额的，中标人还应当对超过部分予以赔偿。</w:t>
      </w:r>
    </w:p>
    <w:p w14:paraId="6CDEDFAA">
      <w:pPr>
        <w:shd w:val="clear"/>
        <w:spacing w:line="360" w:lineRule="auto"/>
        <w:ind w:firstLine="422" w:firstLineChars="200"/>
        <w:rPr>
          <w:b/>
          <w:color w:val="auto"/>
          <w:highlight w:val="none"/>
        </w:rPr>
      </w:pPr>
      <w:r>
        <w:rPr>
          <w:b/>
          <w:color w:val="auto"/>
          <w:highlight w:val="none"/>
        </w:rPr>
        <w:t>8</w:t>
      </w:r>
      <w:r>
        <w:rPr>
          <w:rFonts w:hint="eastAsia"/>
          <w:b/>
          <w:color w:val="auto"/>
          <w:highlight w:val="none"/>
        </w:rPr>
        <w:t>.5签订合同</w:t>
      </w:r>
    </w:p>
    <w:p w14:paraId="5178EE5F">
      <w:pPr>
        <w:shd w:val="clear"/>
        <w:spacing w:line="360" w:lineRule="auto"/>
        <w:ind w:firstLine="420" w:firstLineChars="200"/>
        <w:rPr>
          <w:color w:val="auto"/>
          <w:highlight w:val="none"/>
        </w:rPr>
      </w:pPr>
      <w:r>
        <w:rPr>
          <w:color w:val="auto"/>
          <w:highlight w:val="none"/>
        </w:rPr>
        <w:t>8</w:t>
      </w:r>
      <w:r>
        <w:rPr>
          <w:rFonts w:hint="eastAsia"/>
          <w:color w:val="auto"/>
          <w:highlight w:val="none"/>
        </w:rPr>
        <w:t>.5.1采购人和中标人应当在中标通知书发出之日起30日内，根据招标文件和中标人的投标文件订立书面合同。中标人无正当理由拒签合同，在签订合同时向采购人提出附加条件，或者不按照招标文件要求提交履约保证金的，采购人有权取消其中标资格，其</w:t>
      </w:r>
      <w:r>
        <w:rPr>
          <w:rFonts w:hint="eastAsia"/>
          <w:color w:val="auto"/>
          <w:spacing w:val="-2"/>
          <w:highlight w:val="none"/>
        </w:rPr>
        <w:t>投标保证金</w:t>
      </w:r>
      <w:r>
        <w:rPr>
          <w:rFonts w:hint="eastAsia"/>
          <w:color w:val="auto"/>
          <w:highlight w:val="none"/>
        </w:rPr>
        <w:t>不予退还；给采购人造成的损失超过</w:t>
      </w:r>
      <w:r>
        <w:rPr>
          <w:rFonts w:hint="eastAsia"/>
          <w:color w:val="auto"/>
          <w:spacing w:val="-2"/>
          <w:highlight w:val="none"/>
        </w:rPr>
        <w:t>投标保证金</w:t>
      </w:r>
      <w:r>
        <w:rPr>
          <w:rFonts w:hint="eastAsia"/>
          <w:color w:val="auto"/>
          <w:highlight w:val="none"/>
        </w:rPr>
        <w:t>数额的，中标人还应当对超过部分予以赔偿。</w:t>
      </w:r>
    </w:p>
    <w:p w14:paraId="0AA908D5">
      <w:pPr>
        <w:shd w:val="clear"/>
        <w:spacing w:line="360" w:lineRule="auto"/>
        <w:ind w:firstLine="420" w:firstLineChars="200"/>
        <w:rPr>
          <w:color w:val="auto"/>
          <w:highlight w:val="none"/>
        </w:rPr>
      </w:pPr>
      <w:r>
        <w:rPr>
          <w:color w:val="auto"/>
          <w:highlight w:val="none"/>
        </w:rPr>
        <w:t>8</w:t>
      </w:r>
      <w:r>
        <w:rPr>
          <w:rFonts w:hint="eastAsia"/>
          <w:color w:val="auto"/>
          <w:highlight w:val="none"/>
        </w:rPr>
        <w:t>.5.2发出中标通知书后，采购人无正当理由拒签合同，或者在签订合同时向中标人提出附加条件的，采购人向中标人退还</w:t>
      </w:r>
      <w:r>
        <w:rPr>
          <w:rFonts w:hint="eastAsia"/>
          <w:color w:val="auto"/>
          <w:spacing w:val="-2"/>
          <w:highlight w:val="none"/>
        </w:rPr>
        <w:t>投标保证金</w:t>
      </w:r>
      <w:r>
        <w:rPr>
          <w:rFonts w:hint="eastAsia"/>
          <w:color w:val="auto"/>
          <w:highlight w:val="none"/>
        </w:rPr>
        <w:t>；给中标人造成损失的，还应当赔偿损失。</w:t>
      </w:r>
    </w:p>
    <w:p w14:paraId="3995B47C">
      <w:pPr>
        <w:shd w:val="clear"/>
        <w:spacing w:line="360" w:lineRule="auto"/>
        <w:ind w:firstLine="420" w:firstLineChars="200"/>
        <w:rPr>
          <w:color w:val="auto"/>
          <w:highlight w:val="none"/>
        </w:rPr>
      </w:pPr>
      <w:r>
        <w:rPr>
          <w:color w:val="auto"/>
          <w:highlight w:val="none"/>
        </w:rPr>
        <w:t>8.5.3联合体</w:t>
      </w:r>
      <w:r>
        <w:rPr>
          <w:rFonts w:hint="eastAsia"/>
          <w:color w:val="auto"/>
          <w:highlight w:val="none"/>
        </w:rPr>
        <w:t>中标</w:t>
      </w:r>
      <w:r>
        <w:rPr>
          <w:color w:val="auto"/>
          <w:highlight w:val="none"/>
        </w:rPr>
        <w:t>的，联合体各方应当共同与采购人签订合同，就成交项目向采购人承担连带责任。</w:t>
      </w:r>
    </w:p>
    <w:p w14:paraId="1C2489DA">
      <w:pPr>
        <w:shd w:val="clear"/>
        <w:spacing w:line="360" w:lineRule="auto"/>
        <w:ind w:firstLine="400" w:firstLineChars="200"/>
        <w:rPr>
          <w:color w:val="auto"/>
          <w:sz w:val="20"/>
          <w:highlight w:val="none"/>
        </w:rPr>
      </w:pPr>
    </w:p>
    <w:p w14:paraId="5B8F716C">
      <w:pPr>
        <w:shd w:val="clear"/>
        <w:spacing w:line="360" w:lineRule="auto"/>
        <w:jc w:val="center"/>
        <w:outlineLvl w:val="2"/>
        <w:rPr>
          <w:b/>
          <w:color w:val="auto"/>
          <w:kern w:val="0"/>
          <w:sz w:val="32"/>
          <w:szCs w:val="44"/>
          <w:highlight w:val="none"/>
        </w:rPr>
      </w:pPr>
      <w:bookmarkStart w:id="186" w:name="_Toc152042350"/>
      <w:bookmarkEnd w:id="186"/>
      <w:bookmarkStart w:id="187" w:name="_Toc179632592"/>
      <w:bookmarkEnd w:id="187"/>
      <w:bookmarkStart w:id="188" w:name="_Toc221356272"/>
      <w:bookmarkEnd w:id="188"/>
      <w:bookmarkStart w:id="189" w:name="_Toc152045574"/>
      <w:bookmarkEnd w:id="189"/>
      <w:bookmarkStart w:id="190" w:name="_Toc144974542"/>
      <w:bookmarkEnd w:id="190"/>
      <w:bookmarkStart w:id="191" w:name="_Toc241763837"/>
      <w:bookmarkEnd w:id="191"/>
      <w:bookmarkStart w:id="192" w:name="_Toc22194"/>
      <w:r>
        <w:rPr>
          <w:b/>
          <w:color w:val="auto"/>
          <w:kern w:val="0"/>
          <w:sz w:val="32"/>
          <w:szCs w:val="44"/>
          <w:highlight w:val="none"/>
        </w:rPr>
        <w:t>9. 纪律和监督</w:t>
      </w:r>
      <w:bookmarkEnd w:id="192"/>
    </w:p>
    <w:p w14:paraId="17B4BD1F">
      <w:pPr>
        <w:shd w:val="clear"/>
        <w:spacing w:line="360" w:lineRule="auto"/>
        <w:ind w:firstLine="422" w:firstLineChars="200"/>
        <w:rPr>
          <w:b/>
          <w:color w:val="auto"/>
          <w:highlight w:val="none"/>
        </w:rPr>
      </w:pPr>
      <w:bookmarkStart w:id="193" w:name="_Toc152045575"/>
      <w:bookmarkEnd w:id="193"/>
      <w:bookmarkStart w:id="194" w:name="_Toc152042351"/>
      <w:bookmarkEnd w:id="194"/>
      <w:bookmarkStart w:id="195" w:name="_Toc179632593"/>
      <w:bookmarkEnd w:id="195"/>
      <w:bookmarkStart w:id="196" w:name="_Toc144974543"/>
      <w:bookmarkEnd w:id="196"/>
      <w:bookmarkStart w:id="197" w:name="_Toc221356273"/>
      <w:bookmarkEnd w:id="197"/>
      <w:r>
        <w:rPr>
          <w:b/>
          <w:color w:val="auto"/>
          <w:highlight w:val="none"/>
        </w:rPr>
        <w:t>9.1 对采购人的纪律要求</w:t>
      </w:r>
    </w:p>
    <w:p w14:paraId="128B5243">
      <w:pPr>
        <w:shd w:val="clear"/>
        <w:spacing w:line="360" w:lineRule="auto"/>
        <w:ind w:firstLine="420" w:firstLineChars="200"/>
        <w:rPr>
          <w:color w:val="auto"/>
          <w:highlight w:val="none"/>
        </w:rPr>
      </w:pPr>
      <w:r>
        <w:rPr>
          <w:color w:val="auto"/>
          <w:highlight w:val="none"/>
        </w:rPr>
        <w:t>采购人不得泄漏采购</w:t>
      </w:r>
      <w:r>
        <w:rPr>
          <w:rFonts w:hint="eastAsia"/>
          <w:color w:val="auto"/>
          <w:szCs w:val="21"/>
          <w:highlight w:val="none"/>
        </w:rPr>
        <w:t>评标</w:t>
      </w:r>
      <w:r>
        <w:rPr>
          <w:color w:val="auto"/>
          <w:highlight w:val="none"/>
        </w:rPr>
        <w:t>活动中应当保密的情况和资料，不得与投标人串通损害国家利益、社会公共利益或者他人合法权益。</w:t>
      </w:r>
    </w:p>
    <w:p w14:paraId="13B9BC58">
      <w:pPr>
        <w:shd w:val="clear"/>
        <w:spacing w:line="360" w:lineRule="auto"/>
        <w:ind w:firstLine="422" w:firstLineChars="200"/>
        <w:rPr>
          <w:b/>
          <w:color w:val="auto"/>
          <w:highlight w:val="none"/>
        </w:rPr>
      </w:pPr>
      <w:bookmarkStart w:id="198" w:name="_Toc152045576"/>
      <w:bookmarkEnd w:id="198"/>
      <w:bookmarkStart w:id="199" w:name="_Toc144974544"/>
      <w:bookmarkEnd w:id="199"/>
      <w:bookmarkStart w:id="200" w:name="_Toc152042352"/>
      <w:bookmarkEnd w:id="200"/>
      <w:bookmarkStart w:id="201" w:name="_Toc179632594"/>
      <w:bookmarkEnd w:id="201"/>
      <w:bookmarkStart w:id="202" w:name="_Toc221356274"/>
      <w:bookmarkEnd w:id="202"/>
      <w:r>
        <w:rPr>
          <w:b/>
          <w:color w:val="auto"/>
          <w:highlight w:val="none"/>
        </w:rPr>
        <w:t>9.2 对投标人的纪律要求</w:t>
      </w:r>
    </w:p>
    <w:p w14:paraId="02D6D0EA">
      <w:pPr>
        <w:shd w:val="clear"/>
        <w:spacing w:line="360" w:lineRule="auto"/>
        <w:ind w:firstLine="420" w:firstLineChars="200"/>
        <w:rPr>
          <w:color w:val="auto"/>
          <w:highlight w:val="none"/>
        </w:rPr>
      </w:pPr>
      <w:r>
        <w:rPr>
          <w:color w:val="auto"/>
          <w:highlight w:val="none"/>
        </w:rPr>
        <w:t>投标人不得相互串通投标或者与采购人串通投标，不得向采购人或者评标委员会成员行贿谋取</w:t>
      </w:r>
      <w:r>
        <w:rPr>
          <w:rFonts w:hint="eastAsia"/>
          <w:color w:val="auto"/>
          <w:szCs w:val="21"/>
          <w:highlight w:val="none"/>
        </w:rPr>
        <w:t>成交</w:t>
      </w:r>
      <w:r>
        <w:rPr>
          <w:color w:val="auto"/>
          <w:highlight w:val="none"/>
        </w:rPr>
        <w:t>，不得以他人名义投标或者以其他方式弄虚作假骗取</w:t>
      </w:r>
      <w:r>
        <w:rPr>
          <w:rFonts w:hint="eastAsia"/>
          <w:color w:val="auto"/>
          <w:szCs w:val="21"/>
          <w:highlight w:val="none"/>
        </w:rPr>
        <w:t>成交</w:t>
      </w:r>
      <w:r>
        <w:rPr>
          <w:color w:val="auto"/>
          <w:highlight w:val="none"/>
        </w:rPr>
        <w:t>；投标人不得以任何方式干扰、影响评标工作。</w:t>
      </w:r>
    </w:p>
    <w:p w14:paraId="1CC8E9F1">
      <w:pPr>
        <w:shd w:val="clear"/>
        <w:spacing w:line="360" w:lineRule="auto"/>
        <w:ind w:firstLine="422" w:firstLineChars="200"/>
        <w:rPr>
          <w:b/>
          <w:color w:val="auto"/>
          <w:highlight w:val="none"/>
        </w:rPr>
      </w:pPr>
      <w:bookmarkStart w:id="203" w:name="_Toc152042353"/>
      <w:bookmarkEnd w:id="203"/>
      <w:bookmarkStart w:id="204" w:name="_Toc144974545"/>
      <w:bookmarkEnd w:id="204"/>
      <w:bookmarkStart w:id="205" w:name="_Toc221356275"/>
      <w:bookmarkEnd w:id="205"/>
      <w:bookmarkStart w:id="206" w:name="_Toc152045577"/>
      <w:bookmarkEnd w:id="206"/>
      <w:bookmarkStart w:id="207" w:name="_Toc179632595"/>
      <w:bookmarkEnd w:id="207"/>
      <w:r>
        <w:rPr>
          <w:b/>
          <w:color w:val="auto"/>
          <w:highlight w:val="none"/>
        </w:rPr>
        <w:t>9.3 对评标委员会成员的纪律要求</w:t>
      </w:r>
    </w:p>
    <w:p w14:paraId="438F3827">
      <w:pPr>
        <w:shd w:val="clear"/>
        <w:spacing w:line="360" w:lineRule="auto"/>
        <w:ind w:firstLine="420" w:firstLineChars="200"/>
        <w:rPr>
          <w:color w:val="auto"/>
          <w:highlight w:val="none"/>
        </w:rPr>
      </w:pPr>
      <w:bookmarkStart w:id="208" w:name="_Toc152042354"/>
      <w:bookmarkStart w:id="209" w:name="_Toc179632596"/>
      <w:bookmarkStart w:id="210" w:name="_Toc221356276"/>
      <w:bookmarkStart w:id="211" w:name="_Toc152045578"/>
      <w:bookmarkStart w:id="212" w:name="_Toc144974546"/>
      <w:r>
        <w:rPr>
          <w:color w:val="auto"/>
          <w:highlight w:val="none"/>
        </w:rPr>
        <w:t>评标委员会成员不得收受他人的财物或者其他好处，不得向他人透漏对投标文件的评审和比较、</w:t>
      </w:r>
      <w:r>
        <w:rPr>
          <w:rFonts w:hint="eastAsia"/>
          <w:color w:val="auto"/>
          <w:highlight w:val="none"/>
        </w:rPr>
        <w:t>成交</w:t>
      </w:r>
      <w:r>
        <w:rPr>
          <w:color w:val="auto"/>
          <w:highlight w:val="none"/>
        </w:rPr>
        <w:t>候选人的推荐情况以及评标有关的其他情况。在</w:t>
      </w:r>
      <w:r>
        <w:rPr>
          <w:rFonts w:hint="eastAsia"/>
          <w:color w:val="auto"/>
          <w:highlight w:val="none"/>
        </w:rPr>
        <w:t>评标</w:t>
      </w:r>
      <w:r>
        <w:rPr>
          <w:color w:val="auto"/>
          <w:highlight w:val="none"/>
        </w:rPr>
        <w:t>活动中，评标委员会成员应当客观、公正地履行职责，遵守职业道德，不得擅离职守，影响评审程序正常进行，不得使用第三章“</w:t>
      </w:r>
      <w:r>
        <w:rPr>
          <w:rFonts w:hint="eastAsia"/>
          <w:color w:val="auto"/>
          <w:highlight w:val="none"/>
        </w:rPr>
        <w:t>评标</w:t>
      </w:r>
      <w:r>
        <w:rPr>
          <w:color w:val="auto"/>
          <w:highlight w:val="none"/>
        </w:rPr>
        <w:t>办法”没有规定的评审因素和标准进行评审。</w:t>
      </w:r>
    </w:p>
    <w:bookmarkEnd w:id="208"/>
    <w:bookmarkEnd w:id="209"/>
    <w:bookmarkEnd w:id="210"/>
    <w:bookmarkEnd w:id="211"/>
    <w:p w14:paraId="3167EDAD">
      <w:pPr>
        <w:shd w:val="clear"/>
        <w:spacing w:line="360" w:lineRule="auto"/>
        <w:ind w:firstLine="422" w:firstLineChars="200"/>
        <w:rPr>
          <w:b/>
          <w:color w:val="auto"/>
          <w:highlight w:val="none"/>
        </w:rPr>
      </w:pPr>
      <w:r>
        <w:rPr>
          <w:b/>
          <w:color w:val="auto"/>
          <w:highlight w:val="none"/>
        </w:rPr>
        <w:t>9.4 对与</w:t>
      </w:r>
      <w:r>
        <w:rPr>
          <w:rFonts w:hint="eastAsia"/>
          <w:b/>
          <w:color w:val="auto"/>
          <w:highlight w:val="none"/>
        </w:rPr>
        <w:t>评标</w:t>
      </w:r>
      <w:r>
        <w:rPr>
          <w:b/>
          <w:color w:val="auto"/>
          <w:highlight w:val="none"/>
        </w:rPr>
        <w:t>活动有关的工作人员的纪律要求</w:t>
      </w:r>
    </w:p>
    <w:p w14:paraId="4688DC16">
      <w:pPr>
        <w:shd w:val="clear"/>
        <w:spacing w:line="360" w:lineRule="auto"/>
        <w:ind w:firstLine="420" w:firstLineChars="200"/>
        <w:rPr>
          <w:color w:val="auto"/>
          <w:highlight w:val="none"/>
        </w:rPr>
      </w:pPr>
      <w:bookmarkStart w:id="213" w:name="_Toc152042355"/>
      <w:bookmarkEnd w:id="213"/>
      <w:r>
        <w:rPr>
          <w:color w:val="auto"/>
          <w:highlight w:val="none"/>
        </w:rPr>
        <w:t>与</w:t>
      </w:r>
      <w:r>
        <w:rPr>
          <w:rFonts w:hint="eastAsia"/>
          <w:color w:val="auto"/>
          <w:highlight w:val="none"/>
        </w:rPr>
        <w:t>评标</w:t>
      </w:r>
      <w:r>
        <w:rPr>
          <w:color w:val="auto"/>
          <w:highlight w:val="none"/>
        </w:rPr>
        <w:t>活动有关的工作人员不得收受他人的财物或者其他好处，不得向他人透漏对投标文件的评审和比较、</w:t>
      </w:r>
      <w:r>
        <w:rPr>
          <w:rFonts w:hint="eastAsia"/>
          <w:color w:val="auto"/>
          <w:highlight w:val="none"/>
        </w:rPr>
        <w:t>成交</w:t>
      </w:r>
      <w:r>
        <w:rPr>
          <w:color w:val="auto"/>
          <w:highlight w:val="none"/>
        </w:rPr>
        <w:t>候选人的推荐情况以及评标有关的其他情况。在</w:t>
      </w:r>
      <w:r>
        <w:rPr>
          <w:rFonts w:hint="eastAsia"/>
          <w:color w:val="auto"/>
          <w:highlight w:val="none"/>
        </w:rPr>
        <w:t>评标</w:t>
      </w:r>
      <w:r>
        <w:rPr>
          <w:color w:val="auto"/>
          <w:highlight w:val="none"/>
        </w:rPr>
        <w:t>活动中，与</w:t>
      </w:r>
      <w:r>
        <w:rPr>
          <w:rFonts w:hint="eastAsia"/>
          <w:color w:val="auto"/>
          <w:highlight w:val="none"/>
        </w:rPr>
        <w:t>评标</w:t>
      </w:r>
      <w:r>
        <w:rPr>
          <w:color w:val="auto"/>
          <w:highlight w:val="none"/>
        </w:rPr>
        <w:t>活动有关的工作人员不得擅离职守，影响评审程序正常进行。</w:t>
      </w:r>
    </w:p>
    <w:bookmarkEnd w:id="212"/>
    <w:p w14:paraId="5338F393">
      <w:pPr>
        <w:shd w:val="clear"/>
        <w:spacing w:line="360" w:lineRule="auto"/>
        <w:rPr>
          <w:color w:val="auto"/>
          <w:highlight w:val="none"/>
        </w:rPr>
      </w:pPr>
    </w:p>
    <w:p w14:paraId="48D797D2">
      <w:pPr>
        <w:shd w:val="clear"/>
        <w:spacing w:line="360" w:lineRule="auto"/>
        <w:jc w:val="center"/>
        <w:outlineLvl w:val="2"/>
        <w:rPr>
          <w:b/>
          <w:color w:val="auto"/>
          <w:kern w:val="0"/>
          <w:sz w:val="32"/>
          <w:szCs w:val="44"/>
          <w:highlight w:val="none"/>
        </w:rPr>
      </w:pPr>
      <w:bookmarkStart w:id="214" w:name="_Toc152042357"/>
      <w:bookmarkEnd w:id="214"/>
      <w:bookmarkStart w:id="215" w:name="_Toc179632598"/>
      <w:bookmarkEnd w:id="215"/>
      <w:bookmarkStart w:id="216" w:name="_Toc241763838"/>
      <w:bookmarkEnd w:id="216"/>
      <w:bookmarkStart w:id="217" w:name="_Toc144974547"/>
      <w:bookmarkEnd w:id="217"/>
      <w:bookmarkStart w:id="218" w:name="_Toc221356278"/>
      <w:bookmarkEnd w:id="218"/>
      <w:bookmarkStart w:id="219" w:name="_Toc152045580"/>
      <w:bookmarkEnd w:id="219"/>
      <w:bookmarkStart w:id="220" w:name="_Toc25591"/>
      <w:r>
        <w:rPr>
          <w:b/>
          <w:color w:val="auto"/>
          <w:kern w:val="0"/>
          <w:sz w:val="32"/>
          <w:szCs w:val="44"/>
          <w:highlight w:val="none"/>
        </w:rPr>
        <w:t xml:space="preserve">10. </w:t>
      </w:r>
      <w:r>
        <w:rPr>
          <w:rFonts w:hint="eastAsia"/>
          <w:b/>
          <w:color w:val="auto"/>
          <w:kern w:val="0"/>
          <w:sz w:val="32"/>
          <w:szCs w:val="44"/>
          <w:highlight w:val="none"/>
        </w:rPr>
        <w:t>质疑接收、回复</w:t>
      </w:r>
      <w:bookmarkEnd w:id="220"/>
    </w:p>
    <w:p w14:paraId="0D074F8C">
      <w:pPr>
        <w:shd w:val="clear"/>
        <w:spacing w:line="360" w:lineRule="auto"/>
        <w:ind w:firstLine="422" w:firstLineChars="200"/>
        <w:rPr>
          <w:b/>
          <w:color w:val="auto"/>
          <w:highlight w:val="none"/>
        </w:rPr>
      </w:pPr>
      <w:r>
        <w:rPr>
          <w:b/>
          <w:color w:val="auto"/>
          <w:highlight w:val="none"/>
        </w:rPr>
        <w:t>10.1 质疑接收</w:t>
      </w:r>
    </w:p>
    <w:p w14:paraId="4FBA9ED7">
      <w:pPr>
        <w:shd w:val="clear"/>
        <w:spacing w:line="360" w:lineRule="auto"/>
        <w:ind w:firstLine="420" w:firstLineChars="200"/>
        <w:rPr>
          <w:color w:val="auto"/>
          <w:highlight w:val="none"/>
        </w:rPr>
      </w:pPr>
      <w:r>
        <w:rPr>
          <w:color w:val="auto"/>
          <w:highlight w:val="none"/>
        </w:rPr>
        <w:t>10</w:t>
      </w:r>
      <w:r>
        <w:rPr>
          <w:rFonts w:hint="eastAsia"/>
          <w:color w:val="auto"/>
          <w:highlight w:val="none"/>
        </w:rPr>
        <w:t>.1.1 投标人认为招标文件、评标过程和成交结果使自己的权益受到损害的，可以依法向采购人或其委托的采购代理机构提出质疑。</w:t>
      </w:r>
    </w:p>
    <w:p w14:paraId="36FD3FD4">
      <w:pPr>
        <w:shd w:val="clear"/>
        <w:spacing w:line="360" w:lineRule="auto"/>
        <w:ind w:firstLine="420" w:firstLineChars="200"/>
        <w:rPr>
          <w:color w:val="auto"/>
          <w:highlight w:val="none"/>
        </w:rPr>
      </w:pPr>
      <w:r>
        <w:rPr>
          <w:color w:val="auto"/>
          <w:highlight w:val="none"/>
        </w:rPr>
        <w:t>10</w:t>
      </w:r>
      <w:r>
        <w:rPr>
          <w:rFonts w:hint="eastAsia"/>
          <w:color w:val="auto"/>
          <w:highlight w:val="none"/>
        </w:rPr>
        <w:t xml:space="preserve">.1.2 投标人应根据财政部制定的《政府采购质疑函范本》格式和《政府采购质疑和投诉办法》的要求，在法定质疑期内书面形式提出质疑，针对同一采购程序环节的质疑应一次性提出。超出法定质疑期的、重复提出的、分次提出的或内容、形式不符合《政府采购质疑和投诉办法》的，投标人将依法承担不利后果。 </w:t>
      </w:r>
    </w:p>
    <w:p w14:paraId="6E9AAB81">
      <w:pPr>
        <w:shd w:val="clear"/>
        <w:spacing w:line="360" w:lineRule="auto"/>
        <w:ind w:firstLine="420" w:firstLineChars="200"/>
        <w:rPr>
          <w:color w:val="auto"/>
          <w:highlight w:val="none"/>
        </w:rPr>
      </w:pPr>
      <w:r>
        <w:rPr>
          <w:color w:val="auto"/>
          <w:highlight w:val="none"/>
        </w:rPr>
        <w:t>10</w:t>
      </w:r>
      <w:r>
        <w:rPr>
          <w:rFonts w:hint="eastAsia"/>
          <w:color w:val="auto"/>
          <w:highlight w:val="none"/>
        </w:rPr>
        <w:t xml:space="preserve">.1.3 采购代理机构接收质疑函的方式、联系部门、联系电话和通讯地址。接收质疑函的方式：质疑函采取现场书面递交形式。由法定代表人持本人身份证原件或授权委托代理人持本人身份证原件及授权委托书原件，同时携带质疑函（原件）和加盖单位公章的相关依据和证明材料，送至采购代理机构。 </w:t>
      </w:r>
    </w:p>
    <w:p w14:paraId="3D771413">
      <w:pPr>
        <w:shd w:val="clear"/>
        <w:spacing w:line="360" w:lineRule="auto"/>
        <w:ind w:firstLine="422" w:firstLineChars="200"/>
        <w:rPr>
          <w:b/>
          <w:bCs/>
          <w:color w:val="auto"/>
          <w:highlight w:val="none"/>
        </w:rPr>
      </w:pPr>
      <w:r>
        <w:rPr>
          <w:rFonts w:hint="eastAsia"/>
          <w:b/>
          <w:bCs/>
          <w:color w:val="auto"/>
          <w:highlight w:val="none"/>
        </w:rPr>
        <w:t xml:space="preserve">联系部门：云南宸凯招标信息咨询有限公司 </w:t>
      </w:r>
    </w:p>
    <w:p w14:paraId="415D9D0D">
      <w:pPr>
        <w:shd w:val="clear"/>
        <w:spacing w:line="360" w:lineRule="auto"/>
        <w:ind w:firstLine="420" w:firstLineChars="200"/>
        <w:rPr>
          <w:color w:val="auto"/>
          <w:highlight w:val="none"/>
        </w:rPr>
      </w:pPr>
      <w:r>
        <w:rPr>
          <w:rFonts w:hint="eastAsia"/>
          <w:color w:val="auto"/>
          <w:highlight w:val="none"/>
        </w:rPr>
        <w:t>联系电话：</w:t>
      </w:r>
      <w:r>
        <w:rPr>
          <w:rFonts w:hint="eastAsia"/>
          <w:color w:val="auto"/>
          <w:szCs w:val="21"/>
          <w:highlight w:val="none"/>
        </w:rPr>
        <w:t>0871-68171078</w:t>
      </w:r>
      <w:r>
        <w:rPr>
          <w:rFonts w:hint="eastAsia"/>
          <w:color w:val="auto"/>
          <w:highlight w:val="none"/>
        </w:rPr>
        <w:t xml:space="preserve"> </w:t>
      </w:r>
    </w:p>
    <w:p w14:paraId="7A52E159">
      <w:pPr>
        <w:shd w:val="clear"/>
        <w:spacing w:line="360" w:lineRule="auto"/>
        <w:ind w:firstLine="420" w:firstLineChars="200"/>
        <w:rPr>
          <w:color w:val="auto"/>
          <w:highlight w:val="none"/>
        </w:rPr>
      </w:pPr>
      <w:r>
        <w:rPr>
          <w:rFonts w:hint="eastAsia"/>
          <w:color w:val="auto"/>
          <w:highlight w:val="none"/>
        </w:rPr>
        <w:t>通讯地址：</w:t>
      </w:r>
      <w:r>
        <w:rPr>
          <w:color w:val="auto"/>
          <w:szCs w:val="21"/>
          <w:highlight w:val="none"/>
        </w:rPr>
        <w:t>昆明市高新区科园路99号鼎易天城9栋B座6楼</w:t>
      </w:r>
    </w:p>
    <w:p w14:paraId="4FBED1AD">
      <w:pPr>
        <w:shd w:val="clear"/>
        <w:spacing w:line="360" w:lineRule="auto"/>
        <w:ind w:firstLine="420" w:firstLineChars="200"/>
        <w:rPr>
          <w:color w:val="auto"/>
          <w:highlight w:val="none"/>
        </w:rPr>
      </w:pPr>
      <w:r>
        <w:rPr>
          <w:color w:val="auto"/>
          <w:highlight w:val="none"/>
        </w:rPr>
        <w:t>10</w:t>
      </w:r>
      <w:r>
        <w:rPr>
          <w:rFonts w:hint="eastAsia"/>
          <w:color w:val="auto"/>
          <w:highlight w:val="none"/>
        </w:rPr>
        <w:t xml:space="preserve">.1.4不按上述要求提出的，采购人和采购代理机构将不予受理。 </w:t>
      </w:r>
    </w:p>
    <w:p w14:paraId="24E5E229">
      <w:pPr>
        <w:shd w:val="clear"/>
        <w:spacing w:line="360" w:lineRule="auto"/>
        <w:ind w:firstLine="422" w:firstLineChars="200"/>
        <w:rPr>
          <w:b/>
          <w:color w:val="auto"/>
          <w:highlight w:val="none"/>
        </w:rPr>
      </w:pPr>
      <w:r>
        <w:rPr>
          <w:b/>
          <w:color w:val="auto"/>
          <w:highlight w:val="none"/>
        </w:rPr>
        <w:t>10</w:t>
      </w:r>
      <w:r>
        <w:rPr>
          <w:rFonts w:hint="eastAsia"/>
          <w:b/>
          <w:color w:val="auto"/>
          <w:highlight w:val="none"/>
        </w:rPr>
        <w:t xml:space="preserve">.2 质疑回复 </w:t>
      </w:r>
    </w:p>
    <w:p w14:paraId="6A31CF11">
      <w:pPr>
        <w:shd w:val="clear"/>
        <w:spacing w:line="360" w:lineRule="auto"/>
        <w:ind w:firstLine="420" w:firstLineChars="200"/>
        <w:rPr>
          <w:color w:val="auto"/>
          <w:highlight w:val="none"/>
        </w:rPr>
      </w:pPr>
      <w:r>
        <w:rPr>
          <w:rFonts w:hint="eastAsia"/>
          <w:color w:val="auto"/>
          <w:highlight w:val="none"/>
        </w:rPr>
        <w:t>采购人或者采购代理机构应在收到质疑函后7个工作日内做出答复，并以书面形式通知质疑投标人和其他有关投标人，质疑答复的内容不得涉及商业秘密。</w:t>
      </w:r>
    </w:p>
    <w:p w14:paraId="0BA31A37">
      <w:pPr>
        <w:shd w:val="clear"/>
        <w:spacing w:line="360" w:lineRule="auto"/>
        <w:ind w:firstLine="420" w:firstLineChars="200"/>
        <w:rPr>
          <w:color w:val="auto"/>
          <w:highlight w:val="none"/>
        </w:rPr>
      </w:pPr>
    </w:p>
    <w:p w14:paraId="0E1D9903">
      <w:pPr>
        <w:shd w:val="clear"/>
        <w:spacing w:line="360" w:lineRule="auto"/>
        <w:jc w:val="center"/>
        <w:outlineLvl w:val="2"/>
        <w:rPr>
          <w:b/>
          <w:color w:val="auto"/>
          <w:kern w:val="0"/>
          <w:sz w:val="32"/>
          <w:szCs w:val="44"/>
          <w:highlight w:val="none"/>
        </w:rPr>
      </w:pPr>
      <w:bookmarkStart w:id="221" w:name="_Toc10573"/>
      <w:r>
        <w:rPr>
          <w:b/>
          <w:color w:val="auto"/>
          <w:kern w:val="0"/>
          <w:sz w:val="32"/>
          <w:szCs w:val="44"/>
          <w:highlight w:val="none"/>
        </w:rPr>
        <w:t xml:space="preserve">11. </w:t>
      </w:r>
      <w:r>
        <w:rPr>
          <w:rFonts w:hint="eastAsia"/>
          <w:b/>
          <w:color w:val="auto"/>
          <w:kern w:val="0"/>
          <w:sz w:val="32"/>
          <w:szCs w:val="44"/>
          <w:highlight w:val="none"/>
        </w:rPr>
        <w:t>需要补充的其他内容</w:t>
      </w:r>
      <w:bookmarkEnd w:id="221"/>
    </w:p>
    <w:p w14:paraId="50376606">
      <w:pPr>
        <w:shd w:val="clear"/>
        <w:spacing w:line="360" w:lineRule="auto"/>
        <w:ind w:firstLine="422" w:firstLineChars="200"/>
        <w:rPr>
          <w:b/>
          <w:color w:val="auto"/>
          <w:highlight w:val="none"/>
        </w:rPr>
      </w:pPr>
      <w:r>
        <w:rPr>
          <w:rFonts w:hint="eastAsia"/>
          <w:b/>
          <w:color w:val="auto"/>
          <w:highlight w:val="none"/>
        </w:rPr>
        <w:t>1</w:t>
      </w:r>
      <w:r>
        <w:rPr>
          <w:b/>
          <w:color w:val="auto"/>
          <w:highlight w:val="none"/>
        </w:rPr>
        <w:t>1.1</w:t>
      </w:r>
      <w:r>
        <w:rPr>
          <w:rFonts w:hint="eastAsia"/>
          <w:b/>
          <w:color w:val="auto"/>
          <w:highlight w:val="none"/>
        </w:rPr>
        <w:t>电子交易活动的中止</w:t>
      </w:r>
    </w:p>
    <w:p w14:paraId="717D8296">
      <w:pPr>
        <w:shd w:val="clear"/>
        <w:spacing w:line="360" w:lineRule="auto"/>
        <w:ind w:firstLine="420" w:firstLineChars="200"/>
        <w:rPr>
          <w:color w:val="auto"/>
          <w:highlight w:val="none"/>
        </w:rPr>
      </w:pPr>
      <w:r>
        <w:rPr>
          <w:rFonts w:hint="eastAsia"/>
          <w:color w:val="auto"/>
          <w:highlight w:val="none"/>
        </w:rPr>
        <w:t>采购过程中出现以下情形，导致电子交易平台无法正常运行，或者无法保证电子交易的公平、公正和安全时，采购代理机构可中止电子交易活动：</w:t>
      </w:r>
    </w:p>
    <w:p w14:paraId="74993749">
      <w:pPr>
        <w:shd w:val="clear"/>
        <w:spacing w:line="360" w:lineRule="auto"/>
        <w:ind w:firstLine="420" w:firstLineChars="200"/>
        <w:rPr>
          <w:color w:val="auto"/>
          <w:highlight w:val="none"/>
        </w:rPr>
      </w:pPr>
      <w:r>
        <w:rPr>
          <w:rFonts w:hint="eastAsia"/>
          <w:color w:val="auto"/>
          <w:highlight w:val="none"/>
        </w:rPr>
        <w:t>（1）电子交易平台发生故障而无法登录访问的；</w:t>
      </w:r>
    </w:p>
    <w:p w14:paraId="6375CAD5">
      <w:pPr>
        <w:shd w:val="clear"/>
        <w:spacing w:line="360" w:lineRule="auto"/>
        <w:ind w:firstLine="420" w:firstLineChars="200"/>
        <w:rPr>
          <w:color w:val="auto"/>
          <w:highlight w:val="none"/>
        </w:rPr>
      </w:pPr>
      <w:r>
        <w:rPr>
          <w:rFonts w:hint="eastAsia"/>
          <w:color w:val="auto"/>
          <w:highlight w:val="none"/>
        </w:rPr>
        <w:t>（2）电子交易平台应用或数据库出现错误，不能进行正常操作的；</w:t>
      </w:r>
    </w:p>
    <w:p w14:paraId="6A3843D3">
      <w:pPr>
        <w:shd w:val="clear"/>
        <w:spacing w:line="360" w:lineRule="auto"/>
        <w:ind w:firstLine="420" w:firstLineChars="200"/>
        <w:rPr>
          <w:color w:val="auto"/>
          <w:highlight w:val="none"/>
        </w:rPr>
      </w:pPr>
      <w:r>
        <w:rPr>
          <w:rFonts w:hint="eastAsia"/>
          <w:color w:val="auto"/>
          <w:highlight w:val="none"/>
        </w:rPr>
        <w:t>（3）电子交易平台发现严重安全漏洞，有潜在泄密危险的；</w:t>
      </w:r>
    </w:p>
    <w:p w14:paraId="3D978831">
      <w:pPr>
        <w:shd w:val="clear"/>
        <w:spacing w:line="360" w:lineRule="auto"/>
        <w:ind w:firstLine="420" w:firstLineChars="200"/>
        <w:rPr>
          <w:color w:val="auto"/>
          <w:highlight w:val="none"/>
        </w:rPr>
      </w:pPr>
      <w:r>
        <w:rPr>
          <w:rFonts w:hint="eastAsia"/>
          <w:color w:val="auto"/>
          <w:highlight w:val="none"/>
        </w:rPr>
        <w:t>（4）病毒发作导致不能进行正常操作的；</w:t>
      </w:r>
    </w:p>
    <w:p w14:paraId="270EF4D9">
      <w:pPr>
        <w:shd w:val="clear"/>
        <w:spacing w:line="360" w:lineRule="auto"/>
        <w:ind w:firstLine="420" w:firstLineChars="200"/>
        <w:rPr>
          <w:color w:val="auto"/>
          <w:highlight w:val="none"/>
        </w:rPr>
      </w:pPr>
      <w:r>
        <w:rPr>
          <w:rFonts w:hint="eastAsia"/>
          <w:color w:val="auto"/>
          <w:highlight w:val="none"/>
        </w:rPr>
        <w:t>（5）其他无法保证电子交易的公平、公正和安全的情况。</w:t>
      </w:r>
    </w:p>
    <w:p w14:paraId="5DC4422A">
      <w:pPr>
        <w:shd w:val="clear"/>
        <w:spacing w:line="360" w:lineRule="auto"/>
        <w:ind w:firstLine="420" w:firstLineChars="200"/>
        <w:rPr>
          <w:color w:val="auto"/>
          <w:highlight w:val="none"/>
        </w:rPr>
      </w:pPr>
      <w:r>
        <w:rPr>
          <w:color w:val="auto"/>
          <w:highlight w:val="none"/>
        </w:rPr>
        <w:t>11.2</w:t>
      </w:r>
      <w:r>
        <w:rPr>
          <w:rFonts w:hint="eastAsia"/>
          <w:color w:val="auto"/>
          <w:highlight w:val="none"/>
        </w:rPr>
        <w:t>出现</w:t>
      </w:r>
      <w:r>
        <w:rPr>
          <w:color w:val="auto"/>
          <w:highlight w:val="none"/>
        </w:rPr>
        <w:t>11.1</w:t>
      </w:r>
      <w:r>
        <w:rPr>
          <w:rFonts w:hint="eastAsia"/>
          <w:color w:val="auto"/>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7FDCF6F0">
      <w:pPr>
        <w:shd w:val="clear"/>
        <w:spacing w:line="360" w:lineRule="auto"/>
        <w:ind w:firstLine="420" w:firstLineChars="200"/>
        <w:jc w:val="left"/>
        <w:rPr>
          <w:color w:val="auto"/>
          <w:highlight w:val="none"/>
        </w:rPr>
      </w:pPr>
      <w:r>
        <w:rPr>
          <w:rFonts w:hint="eastAsia"/>
          <w:color w:val="auto"/>
          <w:highlight w:val="none"/>
        </w:rPr>
        <w:t>1</w:t>
      </w:r>
      <w:r>
        <w:rPr>
          <w:color w:val="auto"/>
          <w:highlight w:val="none"/>
        </w:rPr>
        <w:t>1.3需要补充的其他内容：见投标人须知前附表。</w:t>
      </w:r>
    </w:p>
    <w:p w14:paraId="0583D72D">
      <w:pPr>
        <w:widowControl/>
        <w:shd w:val="clear"/>
        <w:jc w:val="left"/>
        <w:rPr>
          <w:color w:val="auto"/>
          <w:highlight w:val="none"/>
        </w:rPr>
      </w:pPr>
      <w:r>
        <w:rPr>
          <w:color w:val="auto"/>
          <w:highlight w:val="none"/>
        </w:rPr>
        <w:br w:type="page"/>
      </w:r>
    </w:p>
    <w:bookmarkEnd w:id="7"/>
    <w:p w14:paraId="0DA90A63">
      <w:pPr>
        <w:shd w:val="clear"/>
        <w:spacing w:line="500" w:lineRule="exact"/>
        <w:jc w:val="center"/>
        <w:rPr>
          <w:color w:val="auto"/>
          <w:szCs w:val="21"/>
          <w:highlight w:val="none"/>
        </w:rPr>
      </w:pPr>
      <w:bookmarkStart w:id="222" w:name="_Toc161543104"/>
    </w:p>
    <w:p w14:paraId="4AA46131">
      <w:pPr>
        <w:shd w:val="clear"/>
        <w:spacing w:line="500" w:lineRule="exact"/>
        <w:jc w:val="center"/>
        <w:rPr>
          <w:rFonts w:ascii="宋体" w:hAnsi="宋体"/>
          <w:b/>
          <w:bCs/>
          <w:color w:val="auto"/>
          <w:highlight w:val="none"/>
        </w:rPr>
      </w:pPr>
    </w:p>
    <w:p w14:paraId="089263E5">
      <w:pPr>
        <w:shd w:val="clear"/>
        <w:spacing w:line="500" w:lineRule="exact"/>
        <w:jc w:val="center"/>
        <w:rPr>
          <w:rFonts w:ascii="宋体" w:hAnsi="宋体"/>
          <w:b/>
          <w:bCs/>
          <w:color w:val="auto"/>
          <w:highlight w:val="none"/>
        </w:rPr>
      </w:pPr>
    </w:p>
    <w:p w14:paraId="62105CEB">
      <w:pPr>
        <w:shd w:val="clear"/>
        <w:spacing w:line="500" w:lineRule="exact"/>
        <w:jc w:val="center"/>
        <w:rPr>
          <w:rFonts w:ascii="宋体" w:hAnsi="宋体"/>
          <w:b/>
          <w:bCs/>
          <w:color w:val="auto"/>
          <w:highlight w:val="none"/>
        </w:rPr>
      </w:pPr>
    </w:p>
    <w:p w14:paraId="17B51519">
      <w:pPr>
        <w:shd w:val="clear"/>
        <w:spacing w:line="500" w:lineRule="exact"/>
        <w:jc w:val="center"/>
        <w:rPr>
          <w:rFonts w:ascii="宋体" w:hAnsi="宋体"/>
          <w:b/>
          <w:bCs/>
          <w:color w:val="auto"/>
          <w:highlight w:val="none"/>
        </w:rPr>
      </w:pPr>
    </w:p>
    <w:p w14:paraId="7738AEE3">
      <w:pPr>
        <w:shd w:val="clear"/>
        <w:spacing w:line="500" w:lineRule="exact"/>
        <w:jc w:val="center"/>
        <w:rPr>
          <w:rFonts w:ascii="宋体" w:hAnsi="宋体"/>
          <w:b/>
          <w:bCs/>
          <w:color w:val="auto"/>
          <w:highlight w:val="none"/>
        </w:rPr>
      </w:pPr>
    </w:p>
    <w:p w14:paraId="43BFE074">
      <w:pPr>
        <w:shd w:val="clear"/>
        <w:spacing w:line="500" w:lineRule="exact"/>
        <w:jc w:val="center"/>
        <w:rPr>
          <w:rFonts w:ascii="宋体" w:hAnsi="宋体"/>
          <w:b/>
          <w:bCs/>
          <w:color w:val="auto"/>
          <w:highlight w:val="none"/>
        </w:rPr>
      </w:pPr>
    </w:p>
    <w:p w14:paraId="78C09CEA">
      <w:pPr>
        <w:shd w:val="clear"/>
        <w:spacing w:line="500" w:lineRule="exact"/>
        <w:jc w:val="center"/>
        <w:rPr>
          <w:rFonts w:ascii="宋体" w:hAnsi="宋体"/>
          <w:b/>
          <w:bCs/>
          <w:color w:val="auto"/>
          <w:highlight w:val="none"/>
        </w:rPr>
      </w:pPr>
    </w:p>
    <w:p w14:paraId="6B8C884B">
      <w:pPr>
        <w:shd w:val="clear"/>
        <w:spacing w:line="500" w:lineRule="exact"/>
        <w:jc w:val="center"/>
        <w:rPr>
          <w:rFonts w:ascii="宋体" w:hAnsi="宋体"/>
          <w:b/>
          <w:bCs/>
          <w:color w:val="auto"/>
          <w:highlight w:val="none"/>
        </w:rPr>
      </w:pPr>
    </w:p>
    <w:p w14:paraId="6520BDCE">
      <w:pPr>
        <w:pStyle w:val="88"/>
        <w:shd w:val="clear"/>
        <w:rPr>
          <w:color w:val="auto"/>
          <w:sz w:val="40"/>
          <w:highlight w:val="none"/>
        </w:rPr>
      </w:pPr>
      <w:bookmarkStart w:id="223" w:name="_Toc389644562"/>
      <w:bookmarkEnd w:id="223"/>
      <w:bookmarkStart w:id="224" w:name="_Toc450064615"/>
      <w:bookmarkEnd w:id="224"/>
      <w:bookmarkStart w:id="225" w:name="_Toc194168196"/>
      <w:bookmarkEnd w:id="225"/>
      <w:bookmarkStart w:id="226" w:name="_Toc709"/>
      <w:r>
        <w:rPr>
          <w:rFonts w:hint="eastAsia"/>
          <w:color w:val="auto"/>
          <w:sz w:val="40"/>
          <w:highlight w:val="none"/>
        </w:rPr>
        <w:t>第三章  评标办法</w:t>
      </w:r>
      <w:bookmarkEnd w:id="226"/>
    </w:p>
    <w:p w14:paraId="3DBF34F0">
      <w:pPr>
        <w:pStyle w:val="6"/>
        <w:shd w:val="clear"/>
        <w:spacing w:line="276" w:lineRule="auto"/>
        <w:ind w:left="0"/>
        <w:jc w:val="center"/>
        <w:rPr>
          <w:rFonts w:ascii="宋体" w:hAnsi="宋体"/>
          <w:color w:val="auto"/>
          <w:sz w:val="24"/>
          <w:highlight w:val="none"/>
          <w:lang w:eastAsia="zh-CN"/>
        </w:rPr>
      </w:pPr>
      <w:bookmarkStart w:id="227" w:name="_Hlk107790608"/>
      <w:bookmarkEnd w:id="227"/>
      <w:r>
        <w:rPr>
          <w:rFonts w:ascii="宋体" w:hAnsi="宋体"/>
          <w:color w:val="auto"/>
          <w:sz w:val="24"/>
          <w:highlight w:val="none"/>
          <w:lang w:eastAsia="zh-CN"/>
        </w:rPr>
        <w:br w:type="page"/>
      </w:r>
      <w:bookmarkStart w:id="228" w:name="_Toc119924084"/>
    </w:p>
    <w:p w14:paraId="6737B9EF">
      <w:pPr>
        <w:shd w:val="clear"/>
        <w:rPr>
          <w:color w:val="auto"/>
          <w:highlight w:val="none"/>
        </w:rPr>
      </w:pPr>
    </w:p>
    <w:p w14:paraId="79709BB2">
      <w:pPr>
        <w:pStyle w:val="6"/>
        <w:shd w:val="clear"/>
        <w:spacing w:line="276" w:lineRule="auto"/>
        <w:ind w:left="0"/>
        <w:jc w:val="center"/>
        <w:rPr>
          <w:color w:val="auto"/>
          <w:sz w:val="28"/>
          <w:highlight w:val="none"/>
          <w:lang w:eastAsia="zh-CN"/>
        </w:rPr>
      </w:pPr>
      <w:bookmarkStart w:id="229" w:name="_Toc26402"/>
      <w:bookmarkStart w:id="230" w:name="_Toc161422471"/>
      <w:r>
        <w:rPr>
          <w:rFonts w:hint="eastAsia"/>
          <w:color w:val="auto"/>
          <w:sz w:val="28"/>
          <w:highlight w:val="none"/>
          <w:lang w:eastAsia="zh-CN"/>
        </w:rPr>
        <w:t>资格审查前附表</w:t>
      </w:r>
      <w:bookmarkEnd w:id="228"/>
      <w:bookmarkEnd w:id="229"/>
      <w:bookmarkEnd w:id="230"/>
    </w:p>
    <w:p w14:paraId="62BEEE74">
      <w:pPr>
        <w:shd w:val="clear"/>
        <w:rPr>
          <w:color w:val="auto"/>
          <w:highlight w:val="none"/>
        </w:rPr>
      </w:pPr>
    </w:p>
    <w:tbl>
      <w:tblPr>
        <w:tblStyle w:val="26"/>
        <w:tblW w:w="935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18"/>
        <w:gridCol w:w="3235"/>
        <w:gridCol w:w="5103"/>
      </w:tblGrid>
      <w:tr w14:paraId="3B2C8F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018" w:type="dxa"/>
            <w:shd w:val="clear" w:color="auto" w:fill="F1F1F1" w:themeFill="background1" w:themeFillShade="F2"/>
            <w:vAlign w:val="center"/>
          </w:tcPr>
          <w:p w14:paraId="7AA354E7">
            <w:pPr>
              <w:shd w:val="clear"/>
              <w:spacing w:before="120" w:beforeLines="50" w:line="360" w:lineRule="auto"/>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3235" w:type="dxa"/>
            <w:shd w:val="clear" w:color="auto" w:fill="F1F1F1" w:themeFill="background1" w:themeFillShade="F2"/>
            <w:vAlign w:val="center"/>
          </w:tcPr>
          <w:p w14:paraId="59B62C26">
            <w:pPr>
              <w:shd w:val="clear"/>
              <w:spacing w:before="120" w:beforeLines="50" w:line="360" w:lineRule="auto"/>
              <w:jc w:val="center"/>
              <w:rPr>
                <w:rFonts w:ascii="宋体" w:hAnsi="宋体" w:cs="宋体"/>
                <w:b/>
                <w:color w:val="auto"/>
                <w:szCs w:val="21"/>
                <w:highlight w:val="none"/>
              </w:rPr>
            </w:pPr>
            <w:r>
              <w:rPr>
                <w:rFonts w:hint="eastAsia" w:ascii="宋体" w:hAnsi="宋体" w:cs="宋体"/>
                <w:b/>
                <w:color w:val="auto"/>
                <w:szCs w:val="21"/>
                <w:highlight w:val="none"/>
              </w:rPr>
              <w:t>评审因素</w:t>
            </w:r>
          </w:p>
        </w:tc>
        <w:tc>
          <w:tcPr>
            <w:tcW w:w="5103" w:type="dxa"/>
            <w:shd w:val="clear" w:color="auto" w:fill="F1F1F1" w:themeFill="background1" w:themeFillShade="F2"/>
            <w:vAlign w:val="center"/>
          </w:tcPr>
          <w:p w14:paraId="0825A01F">
            <w:pPr>
              <w:shd w:val="clear"/>
              <w:spacing w:before="120" w:beforeLines="50" w:line="360" w:lineRule="auto"/>
              <w:jc w:val="center"/>
              <w:rPr>
                <w:rFonts w:ascii="宋体" w:hAnsi="宋体" w:cs="宋体"/>
                <w:b/>
                <w:color w:val="auto"/>
                <w:szCs w:val="21"/>
                <w:highlight w:val="none"/>
              </w:rPr>
            </w:pPr>
            <w:r>
              <w:rPr>
                <w:rFonts w:hint="eastAsia" w:ascii="宋体" w:hAnsi="宋体" w:cs="宋体"/>
                <w:b/>
                <w:color w:val="auto"/>
                <w:szCs w:val="21"/>
                <w:highlight w:val="none"/>
              </w:rPr>
              <w:t>评审标准</w:t>
            </w:r>
          </w:p>
        </w:tc>
      </w:tr>
      <w:tr w14:paraId="493ADD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8" w:hRule="atLeast"/>
        </w:trPr>
        <w:tc>
          <w:tcPr>
            <w:tcW w:w="1018" w:type="dxa"/>
            <w:vMerge w:val="restart"/>
            <w:vAlign w:val="center"/>
          </w:tcPr>
          <w:p w14:paraId="1252FA99">
            <w:pPr>
              <w:shd w:val="clear"/>
              <w:spacing w:line="360" w:lineRule="auto"/>
              <w:jc w:val="center"/>
              <w:rPr>
                <w:b/>
                <w:bCs/>
                <w:color w:val="auto"/>
                <w:szCs w:val="21"/>
                <w:highlight w:val="none"/>
              </w:rPr>
            </w:pPr>
            <w:r>
              <w:rPr>
                <w:rFonts w:hint="eastAsia"/>
                <w:b/>
                <w:bCs/>
                <w:color w:val="auto"/>
                <w:szCs w:val="21"/>
                <w:highlight w:val="none"/>
              </w:rPr>
              <w:t>5</w:t>
            </w:r>
            <w:r>
              <w:rPr>
                <w:b/>
                <w:bCs/>
                <w:color w:val="auto"/>
                <w:szCs w:val="21"/>
                <w:highlight w:val="none"/>
              </w:rPr>
              <w:t>.1</w:t>
            </w:r>
          </w:p>
          <w:p w14:paraId="426C0BDC">
            <w:pPr>
              <w:shd w:val="clear"/>
              <w:spacing w:line="360" w:lineRule="auto"/>
              <w:jc w:val="center"/>
              <w:rPr>
                <w:rFonts w:ascii="宋体" w:hAnsi="宋体" w:cs="宋体"/>
                <w:color w:val="auto"/>
                <w:szCs w:val="21"/>
                <w:highlight w:val="none"/>
              </w:rPr>
            </w:pPr>
            <w:r>
              <w:rPr>
                <w:rFonts w:hint="eastAsia"/>
                <w:b/>
                <w:bCs/>
                <w:color w:val="auto"/>
                <w:szCs w:val="21"/>
                <w:highlight w:val="none"/>
              </w:rPr>
              <w:t>资格审查标准</w:t>
            </w:r>
          </w:p>
        </w:tc>
        <w:tc>
          <w:tcPr>
            <w:tcW w:w="3235" w:type="dxa"/>
            <w:vAlign w:val="center"/>
          </w:tcPr>
          <w:p w14:paraId="52CF37C0">
            <w:pPr>
              <w:shd w:val="clear"/>
              <w:spacing w:before="120" w:beforeLines="50" w:line="360" w:lineRule="auto"/>
              <w:jc w:val="left"/>
              <w:rPr>
                <w:rFonts w:ascii="宋体" w:hAnsi="宋体" w:cs="宋体"/>
                <w:color w:val="auto"/>
                <w:szCs w:val="21"/>
                <w:highlight w:val="none"/>
              </w:rPr>
            </w:pPr>
            <w:r>
              <w:rPr>
                <w:rFonts w:hint="eastAsia" w:ascii="宋体" w:hAnsi="宋体"/>
                <w:color w:val="auto"/>
                <w:szCs w:val="21"/>
                <w:highlight w:val="none"/>
              </w:rPr>
              <w:t>具有独立承担民事责任的能力</w:t>
            </w:r>
          </w:p>
        </w:tc>
        <w:tc>
          <w:tcPr>
            <w:tcW w:w="5103" w:type="dxa"/>
            <w:vAlign w:val="center"/>
          </w:tcPr>
          <w:p w14:paraId="68246DAF">
            <w:pPr>
              <w:shd w:val="clear"/>
              <w:spacing w:before="120" w:beforeLines="50" w:line="360" w:lineRule="auto"/>
              <w:rPr>
                <w:rFonts w:ascii="宋体" w:hAnsi="宋体"/>
                <w:b/>
                <w:color w:val="auto"/>
                <w:szCs w:val="21"/>
                <w:highlight w:val="none"/>
                <w:u w:val="single"/>
              </w:rPr>
            </w:pPr>
            <w:r>
              <w:rPr>
                <w:rFonts w:hint="eastAsia"/>
                <w:color w:val="auto"/>
                <w:highlight w:val="none"/>
              </w:rPr>
              <w:t>提供法人或者其他组织的营业执照等证明文件</w:t>
            </w:r>
            <w:r>
              <w:rPr>
                <w:rFonts w:hint="eastAsia" w:ascii="宋体" w:hAnsi="宋体"/>
                <w:b/>
                <w:color w:val="auto"/>
                <w:szCs w:val="21"/>
                <w:highlight w:val="none"/>
              </w:rPr>
              <w:t>（扫描件加盖电子公章）</w:t>
            </w:r>
            <w:r>
              <w:rPr>
                <w:rFonts w:hint="eastAsia" w:ascii="宋体" w:hAnsi="宋体"/>
                <w:color w:val="auto"/>
                <w:szCs w:val="21"/>
                <w:highlight w:val="none"/>
              </w:rPr>
              <w:t>。</w:t>
            </w:r>
          </w:p>
        </w:tc>
      </w:tr>
      <w:tr w14:paraId="5B2549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92" w:hRule="atLeast"/>
        </w:trPr>
        <w:tc>
          <w:tcPr>
            <w:tcW w:w="1018" w:type="dxa"/>
            <w:vMerge w:val="continue"/>
            <w:vAlign w:val="center"/>
          </w:tcPr>
          <w:p w14:paraId="055807F2">
            <w:pPr>
              <w:shd w:val="clear"/>
              <w:spacing w:before="120" w:beforeLines="50" w:line="360" w:lineRule="auto"/>
              <w:jc w:val="center"/>
              <w:rPr>
                <w:rFonts w:ascii="宋体" w:hAnsi="宋体" w:cs="宋体"/>
                <w:color w:val="auto"/>
                <w:szCs w:val="21"/>
                <w:highlight w:val="none"/>
              </w:rPr>
            </w:pPr>
          </w:p>
        </w:tc>
        <w:tc>
          <w:tcPr>
            <w:tcW w:w="3235" w:type="dxa"/>
            <w:vAlign w:val="center"/>
          </w:tcPr>
          <w:p w14:paraId="3D8333A6">
            <w:pPr>
              <w:shd w:val="clear"/>
              <w:spacing w:before="120" w:beforeLines="50" w:line="360" w:lineRule="auto"/>
              <w:jc w:val="left"/>
              <w:rPr>
                <w:rFonts w:ascii="宋体" w:hAnsi="宋体" w:cs="宋体"/>
                <w:color w:val="auto"/>
                <w:szCs w:val="21"/>
                <w:highlight w:val="none"/>
              </w:rPr>
            </w:pPr>
            <w:r>
              <w:rPr>
                <w:rFonts w:hint="eastAsia" w:ascii="宋体" w:hAnsi="宋体"/>
                <w:color w:val="auto"/>
                <w:szCs w:val="21"/>
                <w:highlight w:val="none"/>
              </w:rPr>
              <w:t>具有良好的商业信誉和健全的财务会计制度</w:t>
            </w:r>
          </w:p>
        </w:tc>
        <w:tc>
          <w:tcPr>
            <w:tcW w:w="5103" w:type="dxa"/>
            <w:vAlign w:val="center"/>
          </w:tcPr>
          <w:p w14:paraId="46CA196C">
            <w:pPr>
              <w:shd w:val="clear"/>
              <w:spacing w:line="360" w:lineRule="auto"/>
              <w:rPr>
                <w:rFonts w:ascii="宋体" w:hAnsi="宋体"/>
                <w:b/>
                <w:color w:val="auto"/>
                <w:szCs w:val="21"/>
                <w:highlight w:val="none"/>
              </w:rPr>
            </w:pPr>
            <w:r>
              <w:rPr>
                <w:rFonts w:hint="eastAsia" w:ascii="宋体" w:hAnsi="宋体"/>
                <w:bCs/>
                <w:color w:val="auto"/>
                <w:szCs w:val="21"/>
                <w:highlight w:val="none"/>
              </w:rPr>
              <w:t>提供2022或2023年经审计的财务报告（复印件）或近三个月内基本开户银行出具的资信证明（原件或复印件）或财政部门认可的政府采购专业担保机构出具的投标担保函（成立时间不足一年的，可提供近三个月内基本开户银行出具的资信证明或自成立至今经第三方审计的财务报告；如提供投标担保函的，需同时提供专业担保机构经财政部门认可的证明文件）</w:t>
            </w:r>
            <w:r>
              <w:rPr>
                <w:rFonts w:hint="eastAsia" w:ascii="宋体" w:hAnsi="宋体"/>
                <w:b/>
                <w:color w:val="auto"/>
                <w:szCs w:val="21"/>
                <w:highlight w:val="none"/>
              </w:rPr>
              <w:t>（扫描件加盖电子公章）</w:t>
            </w:r>
            <w:r>
              <w:rPr>
                <w:rFonts w:hint="eastAsia" w:ascii="宋体" w:hAnsi="宋体"/>
                <w:color w:val="auto"/>
                <w:szCs w:val="21"/>
                <w:highlight w:val="none"/>
              </w:rPr>
              <w:t>。</w:t>
            </w:r>
          </w:p>
        </w:tc>
      </w:tr>
      <w:tr w14:paraId="59CD59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trPr>
        <w:tc>
          <w:tcPr>
            <w:tcW w:w="1018" w:type="dxa"/>
            <w:vMerge w:val="continue"/>
            <w:vAlign w:val="center"/>
          </w:tcPr>
          <w:p w14:paraId="7A28C1EC">
            <w:pPr>
              <w:shd w:val="clear"/>
              <w:spacing w:before="120" w:beforeLines="50" w:line="360" w:lineRule="auto"/>
              <w:jc w:val="center"/>
              <w:rPr>
                <w:rFonts w:ascii="宋体" w:hAnsi="宋体" w:cs="宋体"/>
                <w:color w:val="auto"/>
                <w:szCs w:val="21"/>
                <w:highlight w:val="none"/>
              </w:rPr>
            </w:pPr>
          </w:p>
        </w:tc>
        <w:tc>
          <w:tcPr>
            <w:tcW w:w="3235" w:type="dxa"/>
            <w:vAlign w:val="center"/>
          </w:tcPr>
          <w:p w14:paraId="2C4A84BE">
            <w:pPr>
              <w:shd w:val="clear"/>
              <w:spacing w:before="120" w:beforeLines="50" w:line="360" w:lineRule="auto"/>
              <w:jc w:val="left"/>
              <w:rPr>
                <w:rFonts w:ascii="宋体" w:hAnsi="宋体" w:cs="宋体"/>
                <w:color w:val="auto"/>
                <w:szCs w:val="21"/>
                <w:highlight w:val="none"/>
              </w:rPr>
            </w:pPr>
            <w:r>
              <w:rPr>
                <w:rFonts w:hint="eastAsia" w:ascii="宋体" w:hAnsi="宋体"/>
                <w:color w:val="auto"/>
                <w:szCs w:val="21"/>
                <w:highlight w:val="none"/>
              </w:rPr>
              <w:t>具有履行合同所必需的设备和专业技术能力</w:t>
            </w:r>
          </w:p>
        </w:tc>
        <w:tc>
          <w:tcPr>
            <w:tcW w:w="5103" w:type="dxa"/>
            <w:vAlign w:val="center"/>
          </w:tcPr>
          <w:p w14:paraId="70BC163A">
            <w:pPr>
              <w:shd w:val="clear"/>
              <w:spacing w:before="120" w:beforeLines="50" w:line="360" w:lineRule="auto"/>
              <w:rPr>
                <w:rFonts w:ascii="宋体" w:hAnsi="宋体" w:cs="宋体"/>
                <w:color w:val="auto"/>
                <w:szCs w:val="21"/>
                <w:highlight w:val="none"/>
              </w:rPr>
            </w:pPr>
            <w:r>
              <w:rPr>
                <w:rFonts w:hint="eastAsia" w:ascii="宋体" w:hAnsi="宋体"/>
                <w:color w:val="auto"/>
                <w:szCs w:val="21"/>
                <w:highlight w:val="none"/>
              </w:rPr>
              <w:t>提供相关声明函或证明材料</w:t>
            </w:r>
            <w:r>
              <w:rPr>
                <w:rFonts w:hint="eastAsia" w:ascii="宋体" w:hAnsi="宋体"/>
                <w:b/>
                <w:color w:val="auto"/>
                <w:szCs w:val="21"/>
                <w:highlight w:val="none"/>
              </w:rPr>
              <w:t>（盖电子公章）</w:t>
            </w:r>
            <w:r>
              <w:rPr>
                <w:rFonts w:hint="eastAsia" w:ascii="宋体" w:hAnsi="宋体" w:cs="宋体"/>
                <w:color w:val="auto"/>
                <w:szCs w:val="21"/>
                <w:highlight w:val="none"/>
              </w:rPr>
              <w:t>。</w:t>
            </w:r>
          </w:p>
        </w:tc>
      </w:tr>
      <w:tr w14:paraId="37CBE1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70" w:hRule="atLeast"/>
        </w:trPr>
        <w:tc>
          <w:tcPr>
            <w:tcW w:w="1018" w:type="dxa"/>
            <w:vMerge w:val="continue"/>
            <w:vAlign w:val="center"/>
          </w:tcPr>
          <w:p w14:paraId="1B7BCB7C">
            <w:pPr>
              <w:shd w:val="clear"/>
              <w:spacing w:before="120" w:beforeLines="50" w:line="360" w:lineRule="auto"/>
              <w:jc w:val="center"/>
              <w:rPr>
                <w:rFonts w:ascii="宋体" w:hAnsi="宋体" w:cs="宋体"/>
                <w:color w:val="auto"/>
                <w:szCs w:val="21"/>
                <w:highlight w:val="none"/>
              </w:rPr>
            </w:pPr>
          </w:p>
        </w:tc>
        <w:tc>
          <w:tcPr>
            <w:tcW w:w="3235" w:type="dxa"/>
            <w:vAlign w:val="center"/>
          </w:tcPr>
          <w:p w14:paraId="55562070">
            <w:pPr>
              <w:shd w:val="clear"/>
              <w:spacing w:before="120" w:beforeLines="50" w:line="360" w:lineRule="auto"/>
              <w:jc w:val="left"/>
              <w:rPr>
                <w:rFonts w:ascii="宋体" w:hAnsi="宋体" w:cs="宋体"/>
                <w:color w:val="auto"/>
                <w:szCs w:val="21"/>
                <w:highlight w:val="none"/>
              </w:rPr>
            </w:pPr>
            <w:r>
              <w:rPr>
                <w:rFonts w:hint="eastAsia" w:ascii="宋体" w:hAnsi="宋体"/>
                <w:color w:val="auto"/>
                <w:szCs w:val="21"/>
                <w:highlight w:val="none"/>
              </w:rPr>
              <w:t>有依法缴纳税收和社会保障资金的良好记录</w:t>
            </w:r>
          </w:p>
        </w:tc>
        <w:tc>
          <w:tcPr>
            <w:tcW w:w="5103" w:type="dxa"/>
            <w:vAlign w:val="center"/>
          </w:tcPr>
          <w:p w14:paraId="6C575EB2">
            <w:pPr>
              <w:shd w:val="clear"/>
              <w:spacing w:before="120" w:beforeLines="50" w:line="360" w:lineRule="auto"/>
              <w:rPr>
                <w:rFonts w:ascii="宋体" w:hAnsi="宋体"/>
                <w:color w:val="auto"/>
                <w:szCs w:val="21"/>
                <w:highlight w:val="none"/>
              </w:rPr>
            </w:pPr>
            <w:r>
              <w:rPr>
                <w:rFonts w:hint="eastAsia" w:ascii="宋体" w:hAnsi="宋体"/>
                <w:color w:val="auto"/>
                <w:szCs w:val="21"/>
                <w:highlight w:val="none"/>
              </w:rPr>
              <w:t>提供2023年01月后投标人任意3个月的税收缴纳凭证；提供2023年01月后投标人任意3个月的社会保险缴纳凭证；若成立时间不足1个月的，提供成立以来的税收和社保资金缴纳凭证；依法免税或不需要缴纳社会保障资金的投标人，提供相应证明文件</w:t>
            </w:r>
            <w:r>
              <w:rPr>
                <w:rFonts w:hint="eastAsia" w:ascii="宋体" w:hAnsi="宋体"/>
                <w:b/>
                <w:color w:val="auto"/>
                <w:szCs w:val="21"/>
                <w:highlight w:val="none"/>
              </w:rPr>
              <w:t>（扫描件加盖电子公章）</w:t>
            </w:r>
            <w:r>
              <w:rPr>
                <w:rFonts w:hint="eastAsia" w:ascii="宋体" w:hAnsi="宋体"/>
                <w:color w:val="auto"/>
                <w:szCs w:val="21"/>
                <w:highlight w:val="none"/>
              </w:rPr>
              <w:t>。</w:t>
            </w:r>
          </w:p>
        </w:tc>
      </w:tr>
      <w:tr w14:paraId="1B9624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018" w:type="dxa"/>
            <w:vMerge w:val="continue"/>
            <w:vAlign w:val="center"/>
          </w:tcPr>
          <w:p w14:paraId="25FACB86">
            <w:pPr>
              <w:shd w:val="clear"/>
              <w:spacing w:before="120" w:beforeLines="50" w:line="360" w:lineRule="auto"/>
              <w:jc w:val="center"/>
              <w:rPr>
                <w:rFonts w:ascii="宋体" w:hAnsi="宋体" w:cs="宋体"/>
                <w:color w:val="auto"/>
                <w:szCs w:val="21"/>
                <w:highlight w:val="none"/>
              </w:rPr>
            </w:pPr>
          </w:p>
        </w:tc>
        <w:tc>
          <w:tcPr>
            <w:tcW w:w="3235" w:type="dxa"/>
            <w:vAlign w:val="center"/>
          </w:tcPr>
          <w:p w14:paraId="1C5A0834">
            <w:pPr>
              <w:shd w:val="clear"/>
              <w:spacing w:before="120" w:beforeLines="50" w:line="360" w:lineRule="auto"/>
              <w:jc w:val="left"/>
              <w:rPr>
                <w:rFonts w:ascii="宋体" w:hAnsi="宋体" w:cs="宋体"/>
                <w:color w:val="auto"/>
                <w:szCs w:val="21"/>
                <w:highlight w:val="none"/>
              </w:rPr>
            </w:pPr>
            <w:r>
              <w:rPr>
                <w:rFonts w:hint="eastAsia" w:ascii="宋体" w:hAnsi="宋体"/>
                <w:color w:val="auto"/>
                <w:szCs w:val="21"/>
                <w:highlight w:val="none"/>
              </w:rPr>
              <w:t>参加政府采购活动前三年内，在经营活动中没有重大违法记录</w:t>
            </w:r>
          </w:p>
        </w:tc>
        <w:tc>
          <w:tcPr>
            <w:tcW w:w="5103" w:type="dxa"/>
            <w:vAlign w:val="center"/>
          </w:tcPr>
          <w:p w14:paraId="4D70D190">
            <w:pPr>
              <w:shd w:val="clear"/>
              <w:spacing w:before="120" w:beforeLines="50" w:line="360" w:lineRule="auto"/>
              <w:rPr>
                <w:rFonts w:ascii="宋体" w:hAnsi="宋体"/>
                <w:color w:val="auto"/>
                <w:szCs w:val="21"/>
                <w:highlight w:val="none"/>
              </w:rPr>
            </w:pPr>
            <w:r>
              <w:rPr>
                <w:rFonts w:hint="eastAsia" w:ascii="宋体" w:hAnsi="宋体"/>
                <w:bCs/>
                <w:color w:val="auto"/>
                <w:szCs w:val="21"/>
                <w:highlight w:val="none"/>
              </w:rPr>
              <w:t>提供承诺书</w:t>
            </w:r>
            <w:r>
              <w:rPr>
                <w:rFonts w:hint="eastAsia" w:ascii="宋体" w:hAnsi="宋体"/>
                <w:b/>
                <w:color w:val="auto"/>
                <w:szCs w:val="21"/>
                <w:highlight w:val="none"/>
              </w:rPr>
              <w:t>（盖电子公章）。</w:t>
            </w:r>
          </w:p>
        </w:tc>
      </w:tr>
      <w:tr w14:paraId="490B63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1018" w:type="dxa"/>
            <w:vMerge w:val="continue"/>
            <w:vAlign w:val="center"/>
          </w:tcPr>
          <w:p w14:paraId="45ACE12A">
            <w:pPr>
              <w:shd w:val="clear"/>
              <w:spacing w:before="120" w:beforeLines="50" w:line="360" w:lineRule="auto"/>
              <w:jc w:val="center"/>
              <w:rPr>
                <w:rFonts w:ascii="宋体" w:hAnsi="宋体" w:cs="宋体"/>
                <w:color w:val="auto"/>
                <w:szCs w:val="21"/>
                <w:highlight w:val="none"/>
              </w:rPr>
            </w:pPr>
          </w:p>
        </w:tc>
        <w:tc>
          <w:tcPr>
            <w:tcW w:w="3235" w:type="dxa"/>
            <w:vAlign w:val="center"/>
          </w:tcPr>
          <w:p w14:paraId="3AFDE9B7">
            <w:pPr>
              <w:shd w:val="clear"/>
              <w:spacing w:before="120" w:beforeLines="50" w:line="360" w:lineRule="auto"/>
              <w:jc w:val="left"/>
              <w:rPr>
                <w:rFonts w:ascii="宋体" w:hAnsi="宋体" w:cs="宋体"/>
                <w:color w:val="auto"/>
                <w:szCs w:val="21"/>
                <w:highlight w:val="none"/>
              </w:rPr>
            </w:pPr>
            <w:r>
              <w:rPr>
                <w:rFonts w:hint="eastAsia" w:ascii="宋体" w:hAnsi="宋体"/>
                <w:color w:val="auto"/>
                <w:highlight w:val="none"/>
              </w:rPr>
              <w:t>特定资格要求</w:t>
            </w:r>
          </w:p>
        </w:tc>
        <w:tc>
          <w:tcPr>
            <w:tcW w:w="5103" w:type="dxa"/>
            <w:vAlign w:val="center"/>
          </w:tcPr>
          <w:p w14:paraId="75319068">
            <w:pPr>
              <w:shd w:val="clear"/>
              <w:spacing w:before="120" w:beforeLines="50" w:line="360" w:lineRule="auto"/>
              <w:rPr>
                <w:rFonts w:ascii="宋体" w:hAnsi="宋体"/>
                <w:color w:val="auto"/>
                <w:szCs w:val="21"/>
                <w:highlight w:val="none"/>
              </w:rPr>
            </w:pPr>
            <w:r>
              <w:rPr>
                <w:rFonts w:ascii="宋体" w:hAnsi="宋体"/>
                <w:color w:val="auto"/>
                <w:highlight w:val="none"/>
              </w:rPr>
              <w:t>符合第二章“投标人须知前附表”第1.4.1款规定</w:t>
            </w:r>
            <w:r>
              <w:rPr>
                <w:rFonts w:hint="eastAsia" w:ascii="宋体" w:hAnsi="宋体"/>
                <w:color w:val="auto"/>
                <w:highlight w:val="none"/>
              </w:rPr>
              <w:t>。</w:t>
            </w:r>
          </w:p>
        </w:tc>
      </w:tr>
    </w:tbl>
    <w:p w14:paraId="62D805AA">
      <w:pPr>
        <w:shd w:val="clear"/>
        <w:rPr>
          <w:color w:val="auto"/>
          <w:highlight w:val="none"/>
        </w:rPr>
      </w:pPr>
    </w:p>
    <w:p w14:paraId="79519679">
      <w:pPr>
        <w:shd w:val="clear"/>
        <w:spacing w:line="360" w:lineRule="auto"/>
        <w:ind w:right="-283" w:rightChars="-135"/>
        <w:rPr>
          <w:rFonts w:ascii="宋体" w:hAnsi="宋体"/>
          <w:b/>
          <w:bCs/>
          <w:color w:val="auto"/>
          <w:szCs w:val="21"/>
          <w:highlight w:val="none"/>
        </w:rPr>
      </w:pPr>
      <w:r>
        <w:rPr>
          <w:rFonts w:hint="eastAsia" w:ascii="宋体" w:hAnsi="宋体" w:cs="宋体"/>
          <w:b/>
          <w:bCs/>
          <w:color w:val="auto"/>
          <w:szCs w:val="21"/>
          <w:highlight w:val="none"/>
        </w:rPr>
        <w:t>备注：</w:t>
      </w:r>
      <w:r>
        <w:rPr>
          <w:rFonts w:hint="eastAsia" w:ascii="宋体" w:hAnsi="宋体" w:cs="宋体"/>
          <w:color w:val="auto"/>
          <w:szCs w:val="21"/>
          <w:highlight w:val="none"/>
        </w:rPr>
        <w:t>公开招标采购项目开标结束后，采购人或采购代理机构依据招标文件的规定，对投标人的资格进行审查。</w:t>
      </w:r>
      <w:r>
        <w:rPr>
          <w:rFonts w:hint="eastAsia" w:ascii="宋体" w:hAnsi="宋体"/>
          <w:color w:val="auto"/>
          <w:highlight w:val="none"/>
        </w:rPr>
        <w:t>投标文件出现不满足上述各项评审内容及标准要求之一的，则资格评审为不合格。合格投标人不足3家的，不得评标。上述各项评审内容及标准均为招</w:t>
      </w:r>
      <w:r>
        <w:rPr>
          <w:rFonts w:ascii="宋体" w:hAnsi="宋体"/>
          <w:color w:val="auto"/>
          <w:highlight w:val="none"/>
        </w:rPr>
        <w:t>标文件的实质性要求</w:t>
      </w:r>
      <w:r>
        <w:rPr>
          <w:rFonts w:hint="eastAsia" w:ascii="宋体" w:hAnsi="宋体"/>
          <w:color w:val="auto"/>
          <w:highlight w:val="none"/>
        </w:rPr>
        <w:t>，投标文件响应各款所列材料在开标后不得澄清、后补。</w:t>
      </w:r>
    </w:p>
    <w:p w14:paraId="183605BE">
      <w:pPr>
        <w:shd w:val="clear"/>
        <w:rPr>
          <w:color w:val="auto"/>
          <w:sz w:val="28"/>
          <w:highlight w:val="none"/>
        </w:rPr>
      </w:pPr>
      <w:r>
        <w:rPr>
          <w:color w:val="auto"/>
          <w:sz w:val="28"/>
          <w:highlight w:val="none"/>
        </w:rPr>
        <w:br w:type="page"/>
      </w:r>
    </w:p>
    <w:p w14:paraId="317CF7B7">
      <w:pPr>
        <w:pStyle w:val="6"/>
        <w:shd w:val="clear"/>
        <w:spacing w:line="276" w:lineRule="auto"/>
        <w:ind w:left="0"/>
        <w:jc w:val="center"/>
        <w:rPr>
          <w:color w:val="auto"/>
          <w:sz w:val="28"/>
          <w:highlight w:val="none"/>
          <w:lang w:eastAsia="zh-CN"/>
        </w:rPr>
      </w:pPr>
      <w:bookmarkStart w:id="231" w:name="_Toc161422472"/>
      <w:bookmarkStart w:id="232" w:name="_Toc24623"/>
      <w:r>
        <w:rPr>
          <w:rFonts w:hint="eastAsia"/>
          <w:color w:val="auto"/>
          <w:sz w:val="28"/>
          <w:highlight w:val="none"/>
          <w:lang w:eastAsia="zh-CN"/>
        </w:rPr>
        <w:t>评审办法前附表</w:t>
      </w:r>
      <w:bookmarkEnd w:id="231"/>
      <w:bookmarkEnd w:id="232"/>
    </w:p>
    <w:p w14:paraId="34CA852F">
      <w:pPr>
        <w:shd w:val="clear"/>
        <w:rPr>
          <w:color w:val="auto"/>
          <w:highlight w:val="none"/>
        </w:rPr>
      </w:pPr>
    </w:p>
    <w:tbl>
      <w:tblPr>
        <w:tblStyle w:val="26"/>
        <w:tblW w:w="99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1"/>
        <w:gridCol w:w="655"/>
        <w:gridCol w:w="1824"/>
        <w:gridCol w:w="6594"/>
      </w:tblGrid>
      <w:tr w14:paraId="2E0AE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shd w:val="clear" w:color="auto" w:fill="F1F1F1" w:themeFill="background1" w:themeFillShade="F2"/>
            <w:vAlign w:val="center"/>
          </w:tcPr>
          <w:p w14:paraId="5FFDF094">
            <w:pPr>
              <w:shd w:val="clear"/>
              <w:spacing w:line="360" w:lineRule="auto"/>
              <w:jc w:val="center"/>
              <w:rPr>
                <w:b/>
                <w:bCs/>
                <w:color w:val="auto"/>
                <w:szCs w:val="21"/>
                <w:highlight w:val="none"/>
              </w:rPr>
            </w:pPr>
            <w:r>
              <w:rPr>
                <w:b/>
                <w:bCs/>
                <w:color w:val="auto"/>
                <w:szCs w:val="21"/>
                <w:highlight w:val="none"/>
              </w:rPr>
              <w:t>条款号</w:t>
            </w:r>
          </w:p>
        </w:tc>
        <w:tc>
          <w:tcPr>
            <w:tcW w:w="2479" w:type="dxa"/>
            <w:gridSpan w:val="2"/>
            <w:shd w:val="clear" w:color="auto" w:fill="F1F1F1" w:themeFill="background1" w:themeFillShade="F2"/>
            <w:vAlign w:val="center"/>
          </w:tcPr>
          <w:p w14:paraId="4E7A5B0B">
            <w:pPr>
              <w:shd w:val="clear"/>
              <w:spacing w:line="360" w:lineRule="auto"/>
              <w:jc w:val="center"/>
              <w:rPr>
                <w:b/>
                <w:bCs/>
                <w:color w:val="auto"/>
                <w:szCs w:val="21"/>
                <w:highlight w:val="none"/>
              </w:rPr>
            </w:pPr>
            <w:r>
              <w:rPr>
                <w:b/>
                <w:bCs/>
                <w:color w:val="auto"/>
                <w:szCs w:val="21"/>
                <w:highlight w:val="none"/>
              </w:rPr>
              <w:t>评审因素</w:t>
            </w:r>
          </w:p>
        </w:tc>
        <w:tc>
          <w:tcPr>
            <w:tcW w:w="6594" w:type="dxa"/>
            <w:shd w:val="clear" w:color="auto" w:fill="F1F1F1" w:themeFill="background1" w:themeFillShade="F2"/>
            <w:vAlign w:val="center"/>
          </w:tcPr>
          <w:p w14:paraId="0429CC4B">
            <w:pPr>
              <w:shd w:val="clear"/>
              <w:spacing w:line="360" w:lineRule="auto"/>
              <w:jc w:val="center"/>
              <w:rPr>
                <w:b/>
                <w:bCs/>
                <w:color w:val="auto"/>
                <w:szCs w:val="21"/>
                <w:highlight w:val="none"/>
              </w:rPr>
            </w:pPr>
            <w:r>
              <w:rPr>
                <w:b/>
                <w:bCs/>
                <w:color w:val="auto"/>
                <w:szCs w:val="21"/>
                <w:highlight w:val="none"/>
              </w:rPr>
              <w:t>评审标准</w:t>
            </w:r>
          </w:p>
        </w:tc>
      </w:tr>
      <w:tr w14:paraId="7BDB1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restart"/>
            <w:vAlign w:val="center"/>
          </w:tcPr>
          <w:p w14:paraId="45FC2547">
            <w:pPr>
              <w:shd w:val="clear"/>
              <w:spacing w:line="360" w:lineRule="auto"/>
              <w:jc w:val="center"/>
              <w:rPr>
                <w:b/>
                <w:bCs/>
                <w:color w:val="auto"/>
                <w:szCs w:val="21"/>
                <w:highlight w:val="none"/>
              </w:rPr>
            </w:pPr>
            <w:r>
              <w:rPr>
                <w:b/>
                <w:bCs/>
                <w:color w:val="auto"/>
                <w:szCs w:val="21"/>
                <w:highlight w:val="none"/>
              </w:rPr>
              <w:t>5.2</w:t>
            </w:r>
          </w:p>
          <w:p w14:paraId="001FBEB8">
            <w:pPr>
              <w:shd w:val="clear"/>
              <w:spacing w:line="360" w:lineRule="auto"/>
              <w:jc w:val="center"/>
              <w:rPr>
                <w:b/>
                <w:bCs/>
                <w:color w:val="auto"/>
                <w:szCs w:val="21"/>
                <w:highlight w:val="none"/>
              </w:rPr>
            </w:pPr>
            <w:r>
              <w:rPr>
                <w:b/>
                <w:bCs/>
                <w:color w:val="auto"/>
                <w:szCs w:val="21"/>
                <w:highlight w:val="none"/>
              </w:rPr>
              <w:t>符合性评审</w:t>
            </w:r>
          </w:p>
          <w:p w14:paraId="268BFD19">
            <w:pPr>
              <w:shd w:val="clear"/>
              <w:spacing w:line="360" w:lineRule="auto"/>
              <w:jc w:val="center"/>
              <w:rPr>
                <w:b/>
                <w:bCs/>
                <w:color w:val="auto"/>
                <w:szCs w:val="21"/>
                <w:highlight w:val="none"/>
              </w:rPr>
            </w:pPr>
            <w:r>
              <w:rPr>
                <w:b/>
                <w:bCs/>
                <w:color w:val="auto"/>
                <w:szCs w:val="21"/>
                <w:highlight w:val="none"/>
              </w:rPr>
              <w:t>审查标准</w:t>
            </w:r>
          </w:p>
        </w:tc>
        <w:tc>
          <w:tcPr>
            <w:tcW w:w="2479" w:type="dxa"/>
            <w:gridSpan w:val="2"/>
            <w:vAlign w:val="center"/>
          </w:tcPr>
          <w:p w14:paraId="2DE30576">
            <w:pPr>
              <w:shd w:val="clear"/>
              <w:spacing w:line="360" w:lineRule="auto"/>
              <w:rPr>
                <w:color w:val="auto"/>
                <w:highlight w:val="none"/>
              </w:rPr>
            </w:pPr>
            <w:r>
              <w:rPr>
                <w:color w:val="auto"/>
                <w:highlight w:val="none"/>
              </w:rPr>
              <w:t>法定代表人或授权代表身份证明</w:t>
            </w:r>
          </w:p>
        </w:tc>
        <w:tc>
          <w:tcPr>
            <w:tcW w:w="6594" w:type="dxa"/>
            <w:vAlign w:val="center"/>
          </w:tcPr>
          <w:p w14:paraId="4249E4ED">
            <w:pPr>
              <w:shd w:val="clear"/>
              <w:spacing w:line="360" w:lineRule="auto"/>
              <w:rPr>
                <w:color w:val="auto"/>
                <w:highlight w:val="none"/>
              </w:rPr>
            </w:pPr>
            <w:r>
              <w:rPr>
                <w:color w:val="auto"/>
                <w:highlight w:val="none"/>
              </w:rPr>
              <w:t>法定代表人参与投标的须提交法定代表人身份证明书，委托代理人参与投标的须提交法定代表人身份证明书及授权委托书，且按规定格式签署</w:t>
            </w:r>
          </w:p>
        </w:tc>
      </w:tr>
      <w:tr w14:paraId="19240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vAlign w:val="center"/>
          </w:tcPr>
          <w:p w14:paraId="2E7B7A52">
            <w:pPr>
              <w:shd w:val="clear"/>
              <w:spacing w:line="360" w:lineRule="auto"/>
              <w:jc w:val="center"/>
              <w:rPr>
                <w:b/>
                <w:bCs/>
                <w:color w:val="auto"/>
                <w:szCs w:val="21"/>
                <w:highlight w:val="none"/>
              </w:rPr>
            </w:pPr>
          </w:p>
        </w:tc>
        <w:tc>
          <w:tcPr>
            <w:tcW w:w="2479" w:type="dxa"/>
            <w:gridSpan w:val="2"/>
            <w:vAlign w:val="center"/>
          </w:tcPr>
          <w:p w14:paraId="3913AD15">
            <w:pPr>
              <w:shd w:val="clear"/>
              <w:spacing w:line="360" w:lineRule="auto"/>
              <w:rPr>
                <w:color w:val="auto"/>
                <w:highlight w:val="none"/>
              </w:rPr>
            </w:pPr>
            <w:r>
              <w:rPr>
                <w:color w:val="auto"/>
                <w:szCs w:val="21"/>
                <w:highlight w:val="none"/>
              </w:rPr>
              <w:t>投标文件签署、签章</w:t>
            </w:r>
          </w:p>
        </w:tc>
        <w:tc>
          <w:tcPr>
            <w:tcW w:w="6594" w:type="dxa"/>
            <w:vAlign w:val="center"/>
          </w:tcPr>
          <w:p w14:paraId="4291AE98">
            <w:pPr>
              <w:shd w:val="clear"/>
              <w:spacing w:line="360" w:lineRule="auto"/>
              <w:rPr>
                <w:color w:val="auto"/>
                <w:highlight w:val="none"/>
              </w:rPr>
            </w:pPr>
            <w:r>
              <w:rPr>
                <w:color w:val="auto"/>
                <w:highlight w:val="none"/>
              </w:rPr>
              <w:t>符合招标文件</w:t>
            </w:r>
            <w:r>
              <w:rPr>
                <w:color w:val="auto"/>
                <w:szCs w:val="21"/>
                <w:highlight w:val="none"/>
              </w:rPr>
              <w:t>签署、签章</w:t>
            </w:r>
            <w:r>
              <w:rPr>
                <w:color w:val="auto"/>
                <w:highlight w:val="none"/>
              </w:rPr>
              <w:t>要求</w:t>
            </w:r>
          </w:p>
        </w:tc>
      </w:tr>
      <w:tr w14:paraId="45A79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tcPr>
          <w:p w14:paraId="06243B25">
            <w:pPr>
              <w:shd w:val="clear"/>
              <w:spacing w:line="360" w:lineRule="auto"/>
              <w:jc w:val="center"/>
              <w:rPr>
                <w:color w:val="auto"/>
                <w:szCs w:val="21"/>
                <w:highlight w:val="none"/>
              </w:rPr>
            </w:pPr>
          </w:p>
        </w:tc>
        <w:tc>
          <w:tcPr>
            <w:tcW w:w="2479" w:type="dxa"/>
            <w:gridSpan w:val="2"/>
            <w:vAlign w:val="center"/>
          </w:tcPr>
          <w:p w14:paraId="0BE2B41C">
            <w:pPr>
              <w:shd w:val="clear"/>
              <w:spacing w:line="360" w:lineRule="auto"/>
              <w:rPr>
                <w:color w:val="auto"/>
                <w:highlight w:val="none"/>
              </w:rPr>
            </w:pPr>
            <w:r>
              <w:rPr>
                <w:color w:val="auto"/>
                <w:highlight w:val="none"/>
              </w:rPr>
              <w:t xml:space="preserve">投标文件格式 </w:t>
            </w:r>
          </w:p>
        </w:tc>
        <w:tc>
          <w:tcPr>
            <w:tcW w:w="6594" w:type="dxa"/>
            <w:vAlign w:val="center"/>
          </w:tcPr>
          <w:p w14:paraId="07852625">
            <w:pPr>
              <w:shd w:val="clear"/>
              <w:spacing w:line="360" w:lineRule="auto"/>
              <w:rPr>
                <w:color w:val="auto"/>
                <w:highlight w:val="none"/>
              </w:rPr>
            </w:pPr>
            <w:r>
              <w:rPr>
                <w:color w:val="auto"/>
                <w:highlight w:val="none"/>
              </w:rPr>
              <w:t xml:space="preserve">符合招标文件第六章“投标文件格式”要求，内容完整且关键字迹清晰 </w:t>
            </w:r>
          </w:p>
        </w:tc>
      </w:tr>
      <w:tr w14:paraId="7E1EC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tcPr>
          <w:p w14:paraId="258988D9">
            <w:pPr>
              <w:shd w:val="clear"/>
              <w:spacing w:line="360" w:lineRule="auto"/>
              <w:jc w:val="center"/>
              <w:rPr>
                <w:color w:val="auto"/>
                <w:szCs w:val="21"/>
                <w:highlight w:val="none"/>
              </w:rPr>
            </w:pPr>
          </w:p>
        </w:tc>
        <w:tc>
          <w:tcPr>
            <w:tcW w:w="2479" w:type="dxa"/>
            <w:gridSpan w:val="2"/>
            <w:vAlign w:val="center"/>
          </w:tcPr>
          <w:p w14:paraId="65472341">
            <w:pPr>
              <w:shd w:val="clear"/>
              <w:spacing w:line="360" w:lineRule="auto"/>
              <w:rPr>
                <w:color w:val="auto"/>
                <w:spacing w:val="-2"/>
                <w:highlight w:val="none"/>
              </w:rPr>
            </w:pPr>
            <w:r>
              <w:rPr>
                <w:color w:val="auto"/>
                <w:spacing w:val="-2"/>
                <w:highlight w:val="none"/>
              </w:rPr>
              <w:t>投标保证金</w:t>
            </w:r>
            <w:r>
              <w:rPr>
                <w:color w:val="auto"/>
                <w:highlight w:val="none"/>
              </w:rPr>
              <w:t xml:space="preserve"> </w:t>
            </w:r>
          </w:p>
        </w:tc>
        <w:tc>
          <w:tcPr>
            <w:tcW w:w="6594" w:type="dxa"/>
            <w:vAlign w:val="center"/>
          </w:tcPr>
          <w:p w14:paraId="57CF714F">
            <w:pPr>
              <w:shd w:val="clear"/>
              <w:spacing w:line="360" w:lineRule="auto"/>
              <w:rPr>
                <w:color w:val="auto"/>
                <w:highlight w:val="none"/>
              </w:rPr>
            </w:pPr>
            <w:r>
              <w:rPr>
                <w:color w:val="auto"/>
                <w:highlight w:val="none"/>
              </w:rPr>
              <w:t xml:space="preserve">符合第二章“投标人须知前附表”第3.4.1款规定 </w:t>
            </w:r>
          </w:p>
        </w:tc>
      </w:tr>
      <w:tr w14:paraId="28636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tcPr>
          <w:p w14:paraId="3C86C8FD">
            <w:pPr>
              <w:shd w:val="clear"/>
              <w:spacing w:line="360" w:lineRule="auto"/>
              <w:jc w:val="center"/>
              <w:rPr>
                <w:color w:val="auto"/>
                <w:szCs w:val="21"/>
                <w:highlight w:val="none"/>
              </w:rPr>
            </w:pPr>
          </w:p>
        </w:tc>
        <w:tc>
          <w:tcPr>
            <w:tcW w:w="2479" w:type="dxa"/>
            <w:gridSpan w:val="2"/>
            <w:vAlign w:val="center"/>
          </w:tcPr>
          <w:p w14:paraId="5963D85F">
            <w:pPr>
              <w:shd w:val="clear"/>
              <w:spacing w:line="360" w:lineRule="auto"/>
              <w:rPr>
                <w:color w:val="auto"/>
                <w:highlight w:val="none"/>
              </w:rPr>
            </w:pPr>
            <w:r>
              <w:rPr>
                <w:color w:val="auto"/>
                <w:highlight w:val="none"/>
              </w:rPr>
              <w:t xml:space="preserve">投标报价 </w:t>
            </w:r>
          </w:p>
        </w:tc>
        <w:tc>
          <w:tcPr>
            <w:tcW w:w="6594" w:type="dxa"/>
            <w:vAlign w:val="center"/>
          </w:tcPr>
          <w:p w14:paraId="46B5BF6D">
            <w:pPr>
              <w:shd w:val="clear"/>
              <w:spacing w:line="360" w:lineRule="auto"/>
              <w:rPr>
                <w:color w:val="auto"/>
                <w:highlight w:val="none"/>
              </w:rPr>
            </w:pPr>
            <w:r>
              <w:rPr>
                <w:color w:val="auto"/>
                <w:highlight w:val="none"/>
              </w:rPr>
              <w:t>报价完整，只有一个有效报价且报价未超过招标文件公布的各项最高限价</w:t>
            </w:r>
          </w:p>
        </w:tc>
      </w:tr>
      <w:tr w14:paraId="141E8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tcPr>
          <w:p w14:paraId="79254AB1">
            <w:pPr>
              <w:shd w:val="clear"/>
              <w:spacing w:line="360" w:lineRule="auto"/>
              <w:jc w:val="center"/>
              <w:rPr>
                <w:color w:val="auto"/>
                <w:szCs w:val="21"/>
                <w:highlight w:val="none"/>
              </w:rPr>
            </w:pPr>
          </w:p>
        </w:tc>
        <w:tc>
          <w:tcPr>
            <w:tcW w:w="2479" w:type="dxa"/>
            <w:gridSpan w:val="2"/>
            <w:vAlign w:val="center"/>
          </w:tcPr>
          <w:p w14:paraId="2F0EECFA">
            <w:pPr>
              <w:shd w:val="clear"/>
              <w:spacing w:line="360" w:lineRule="auto"/>
              <w:rPr>
                <w:color w:val="auto"/>
                <w:highlight w:val="none"/>
              </w:rPr>
            </w:pPr>
            <w:r>
              <w:rPr>
                <w:color w:val="auto"/>
                <w:highlight w:val="none"/>
              </w:rPr>
              <w:t xml:space="preserve">投标文件有效期 </w:t>
            </w:r>
          </w:p>
        </w:tc>
        <w:tc>
          <w:tcPr>
            <w:tcW w:w="6594" w:type="dxa"/>
            <w:vAlign w:val="center"/>
          </w:tcPr>
          <w:p w14:paraId="09CE2B4C">
            <w:pPr>
              <w:shd w:val="clear"/>
              <w:spacing w:line="360" w:lineRule="auto"/>
              <w:rPr>
                <w:color w:val="auto"/>
                <w:highlight w:val="none"/>
              </w:rPr>
            </w:pPr>
            <w:r>
              <w:rPr>
                <w:color w:val="auto"/>
                <w:highlight w:val="none"/>
              </w:rPr>
              <w:t xml:space="preserve">符合第二章“投标人须知前附表”第3.3.1款规定 </w:t>
            </w:r>
          </w:p>
        </w:tc>
      </w:tr>
      <w:tr w14:paraId="1CCA0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841" w:type="dxa"/>
            <w:vMerge w:val="continue"/>
          </w:tcPr>
          <w:p w14:paraId="7A2EF175">
            <w:pPr>
              <w:shd w:val="clear"/>
              <w:spacing w:line="360" w:lineRule="auto"/>
              <w:jc w:val="center"/>
              <w:rPr>
                <w:color w:val="auto"/>
                <w:szCs w:val="21"/>
                <w:highlight w:val="none"/>
              </w:rPr>
            </w:pPr>
          </w:p>
        </w:tc>
        <w:tc>
          <w:tcPr>
            <w:tcW w:w="2479" w:type="dxa"/>
            <w:gridSpan w:val="2"/>
            <w:vAlign w:val="center"/>
          </w:tcPr>
          <w:p w14:paraId="7AA8E1F6">
            <w:pPr>
              <w:shd w:val="clear"/>
              <w:spacing w:line="360" w:lineRule="auto"/>
              <w:rPr>
                <w:color w:val="auto"/>
                <w:highlight w:val="none"/>
              </w:rPr>
            </w:pPr>
            <w:r>
              <w:rPr>
                <w:color w:val="auto"/>
                <w:highlight w:val="none"/>
              </w:rPr>
              <w:t>合同履行期限</w:t>
            </w:r>
          </w:p>
        </w:tc>
        <w:tc>
          <w:tcPr>
            <w:tcW w:w="6594" w:type="dxa"/>
            <w:vAlign w:val="center"/>
          </w:tcPr>
          <w:p w14:paraId="065B1654">
            <w:pPr>
              <w:shd w:val="clear"/>
              <w:spacing w:line="360" w:lineRule="auto"/>
              <w:rPr>
                <w:color w:val="auto"/>
                <w:highlight w:val="none"/>
              </w:rPr>
            </w:pPr>
            <w:r>
              <w:rPr>
                <w:color w:val="auto"/>
                <w:highlight w:val="none"/>
              </w:rPr>
              <w:t xml:space="preserve">符合第二章“投标人须知前附表”第1.3.2款规定 </w:t>
            </w:r>
          </w:p>
        </w:tc>
      </w:tr>
      <w:tr w14:paraId="79DF0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tcPr>
          <w:p w14:paraId="76305811">
            <w:pPr>
              <w:shd w:val="clear"/>
              <w:spacing w:line="360" w:lineRule="auto"/>
              <w:jc w:val="center"/>
              <w:rPr>
                <w:color w:val="auto"/>
                <w:szCs w:val="21"/>
                <w:highlight w:val="none"/>
              </w:rPr>
            </w:pPr>
          </w:p>
        </w:tc>
        <w:tc>
          <w:tcPr>
            <w:tcW w:w="2479" w:type="dxa"/>
            <w:gridSpan w:val="2"/>
            <w:vAlign w:val="center"/>
          </w:tcPr>
          <w:p w14:paraId="43963792">
            <w:pPr>
              <w:shd w:val="clear"/>
              <w:spacing w:line="360" w:lineRule="auto"/>
              <w:rPr>
                <w:color w:val="auto"/>
                <w:highlight w:val="none"/>
              </w:rPr>
            </w:pPr>
            <w:r>
              <w:rPr>
                <w:color w:val="auto"/>
                <w:highlight w:val="none"/>
              </w:rPr>
              <w:t xml:space="preserve">实质性要求 </w:t>
            </w:r>
          </w:p>
        </w:tc>
        <w:tc>
          <w:tcPr>
            <w:tcW w:w="6594" w:type="dxa"/>
            <w:vAlign w:val="center"/>
          </w:tcPr>
          <w:p w14:paraId="618D4FA0">
            <w:pPr>
              <w:shd w:val="clear"/>
              <w:spacing w:line="360" w:lineRule="auto"/>
              <w:rPr>
                <w:color w:val="auto"/>
                <w:highlight w:val="none"/>
              </w:rPr>
            </w:pPr>
            <w:r>
              <w:rPr>
                <w:color w:val="auto"/>
                <w:highlight w:val="none"/>
              </w:rPr>
              <w:t>符合招标文件实质性要求（带</w:t>
            </w:r>
            <w:r>
              <w:rPr>
                <w:rFonts w:hint="eastAsia" w:ascii="宋体" w:hAnsi="宋体" w:cs="宋体"/>
                <w:color w:val="auto"/>
                <w:highlight w:val="none"/>
              </w:rPr>
              <w:t>★</w:t>
            </w:r>
            <w:r>
              <w:rPr>
                <w:color w:val="auto"/>
                <w:highlight w:val="none"/>
              </w:rPr>
              <w:t>的条款）</w:t>
            </w:r>
          </w:p>
        </w:tc>
      </w:tr>
      <w:tr w14:paraId="4BADB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tcPr>
          <w:p w14:paraId="21B9985C">
            <w:pPr>
              <w:shd w:val="clear"/>
              <w:spacing w:line="360" w:lineRule="auto"/>
              <w:jc w:val="center"/>
              <w:rPr>
                <w:color w:val="auto"/>
                <w:szCs w:val="21"/>
                <w:highlight w:val="none"/>
              </w:rPr>
            </w:pPr>
          </w:p>
        </w:tc>
        <w:tc>
          <w:tcPr>
            <w:tcW w:w="2479" w:type="dxa"/>
            <w:gridSpan w:val="2"/>
            <w:vAlign w:val="center"/>
          </w:tcPr>
          <w:p w14:paraId="6C647645">
            <w:pPr>
              <w:shd w:val="clear"/>
              <w:spacing w:line="360" w:lineRule="auto"/>
              <w:rPr>
                <w:color w:val="auto"/>
                <w:highlight w:val="none"/>
              </w:rPr>
            </w:pPr>
            <w:r>
              <w:rPr>
                <w:color w:val="auto"/>
                <w:highlight w:val="none"/>
              </w:rPr>
              <w:t xml:space="preserve">其他无效情形 </w:t>
            </w:r>
          </w:p>
        </w:tc>
        <w:tc>
          <w:tcPr>
            <w:tcW w:w="6594" w:type="dxa"/>
            <w:vAlign w:val="center"/>
          </w:tcPr>
          <w:p w14:paraId="3EF181BB">
            <w:pPr>
              <w:shd w:val="clear"/>
              <w:spacing w:line="360" w:lineRule="auto"/>
              <w:rPr>
                <w:color w:val="auto"/>
                <w:highlight w:val="none"/>
              </w:rPr>
            </w:pPr>
            <w:r>
              <w:rPr>
                <w:color w:val="auto"/>
                <w:szCs w:val="21"/>
                <w:highlight w:val="none"/>
              </w:rPr>
              <w:t>法律、法规和招标文件规定的其他无效情形</w:t>
            </w:r>
          </w:p>
        </w:tc>
      </w:tr>
      <w:tr w14:paraId="7010E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Align w:val="center"/>
          </w:tcPr>
          <w:p w14:paraId="26D611E3">
            <w:pPr>
              <w:shd w:val="clear"/>
              <w:spacing w:line="360" w:lineRule="auto"/>
              <w:jc w:val="center"/>
              <w:rPr>
                <w:b/>
                <w:bCs/>
                <w:color w:val="auto"/>
                <w:szCs w:val="21"/>
                <w:highlight w:val="none"/>
              </w:rPr>
            </w:pPr>
            <w:r>
              <w:rPr>
                <w:b/>
                <w:bCs/>
                <w:color w:val="auto"/>
                <w:szCs w:val="21"/>
                <w:highlight w:val="none"/>
              </w:rPr>
              <w:t>5.3</w:t>
            </w:r>
          </w:p>
          <w:p w14:paraId="35C20353">
            <w:pPr>
              <w:shd w:val="clear"/>
              <w:spacing w:line="360" w:lineRule="auto"/>
              <w:jc w:val="center"/>
              <w:rPr>
                <w:b/>
                <w:bCs/>
                <w:color w:val="auto"/>
                <w:szCs w:val="21"/>
                <w:highlight w:val="none"/>
              </w:rPr>
            </w:pPr>
            <w:r>
              <w:rPr>
                <w:b/>
                <w:bCs/>
                <w:color w:val="auto"/>
                <w:szCs w:val="21"/>
                <w:highlight w:val="none"/>
              </w:rPr>
              <w:t>综合评分</w:t>
            </w:r>
          </w:p>
        </w:tc>
        <w:tc>
          <w:tcPr>
            <w:tcW w:w="9073" w:type="dxa"/>
            <w:gridSpan w:val="3"/>
          </w:tcPr>
          <w:p w14:paraId="4D18F5AF">
            <w:pPr>
              <w:shd w:val="clear"/>
              <w:spacing w:line="360" w:lineRule="auto"/>
              <w:rPr>
                <w:b/>
                <w:bCs/>
                <w:color w:val="auto"/>
                <w:szCs w:val="21"/>
                <w:highlight w:val="none"/>
              </w:rPr>
            </w:pPr>
            <w:r>
              <w:rPr>
                <w:b/>
                <w:bCs/>
                <w:color w:val="auto"/>
                <w:szCs w:val="21"/>
                <w:highlight w:val="none"/>
              </w:rPr>
              <w:t>本项目采用综合评分法。综合评分法是指投标文件满足招标文件全部实质性要求且按评审因素的量化指标评审得分最高的投标人为中标候选人的评审方法。</w:t>
            </w:r>
          </w:p>
          <w:p w14:paraId="143E4F71">
            <w:pPr>
              <w:shd w:val="clear"/>
              <w:spacing w:line="360" w:lineRule="auto"/>
              <w:rPr>
                <w:b/>
                <w:bCs/>
                <w:color w:val="auto"/>
                <w:szCs w:val="21"/>
                <w:highlight w:val="none"/>
              </w:rPr>
            </w:pPr>
            <w:r>
              <w:rPr>
                <w:b/>
                <w:bCs/>
                <w:color w:val="auto"/>
                <w:szCs w:val="21"/>
                <w:highlight w:val="none"/>
              </w:rPr>
              <w:t>本项目评审细则如下：</w:t>
            </w:r>
          </w:p>
          <w:p w14:paraId="2DD64FCB">
            <w:pPr>
              <w:shd w:val="clear"/>
              <w:spacing w:line="360" w:lineRule="auto"/>
              <w:rPr>
                <w:color w:val="auto"/>
                <w:szCs w:val="21"/>
                <w:highlight w:val="none"/>
              </w:rPr>
            </w:pPr>
            <w:r>
              <w:rPr>
                <w:color w:val="auto"/>
                <w:szCs w:val="21"/>
                <w:highlight w:val="none"/>
              </w:rPr>
              <w:t>F1价格部分：</w:t>
            </w:r>
            <w:r>
              <w:rPr>
                <w:rFonts w:hint="eastAsia"/>
                <w:color w:val="auto"/>
                <w:szCs w:val="21"/>
                <w:highlight w:val="none"/>
              </w:rPr>
              <w:t>30</w:t>
            </w:r>
            <w:r>
              <w:rPr>
                <w:color w:val="auto"/>
                <w:szCs w:val="21"/>
                <w:highlight w:val="none"/>
              </w:rPr>
              <w:t>分</w:t>
            </w:r>
          </w:p>
          <w:p w14:paraId="30A96852">
            <w:pPr>
              <w:shd w:val="clear"/>
              <w:spacing w:line="360" w:lineRule="auto"/>
              <w:rPr>
                <w:color w:val="auto"/>
                <w:szCs w:val="21"/>
                <w:highlight w:val="none"/>
              </w:rPr>
            </w:pPr>
            <w:r>
              <w:rPr>
                <w:color w:val="auto"/>
                <w:szCs w:val="21"/>
                <w:highlight w:val="none"/>
              </w:rPr>
              <w:t>F2技术部分：</w:t>
            </w:r>
            <w:r>
              <w:rPr>
                <w:rFonts w:hint="eastAsia"/>
                <w:color w:val="auto"/>
                <w:szCs w:val="21"/>
                <w:highlight w:val="none"/>
              </w:rPr>
              <w:t>46</w:t>
            </w:r>
            <w:r>
              <w:rPr>
                <w:color w:val="auto"/>
                <w:szCs w:val="21"/>
                <w:highlight w:val="none"/>
              </w:rPr>
              <w:t>分</w:t>
            </w:r>
          </w:p>
          <w:p w14:paraId="46C8202B">
            <w:pPr>
              <w:shd w:val="clear"/>
              <w:spacing w:line="360" w:lineRule="auto"/>
              <w:rPr>
                <w:color w:val="auto"/>
                <w:szCs w:val="21"/>
                <w:highlight w:val="none"/>
              </w:rPr>
            </w:pPr>
            <w:r>
              <w:rPr>
                <w:color w:val="auto"/>
                <w:szCs w:val="21"/>
                <w:highlight w:val="none"/>
              </w:rPr>
              <w:t>F3商务部分：</w:t>
            </w:r>
            <w:r>
              <w:rPr>
                <w:rFonts w:hint="eastAsia"/>
                <w:color w:val="auto"/>
                <w:szCs w:val="21"/>
                <w:highlight w:val="none"/>
              </w:rPr>
              <w:t>24</w:t>
            </w:r>
            <w:r>
              <w:rPr>
                <w:color w:val="auto"/>
                <w:szCs w:val="21"/>
                <w:highlight w:val="none"/>
              </w:rPr>
              <w:t>分</w:t>
            </w:r>
          </w:p>
          <w:p w14:paraId="2092C15A">
            <w:pPr>
              <w:shd w:val="clear"/>
              <w:spacing w:line="360" w:lineRule="auto"/>
              <w:rPr>
                <w:color w:val="auto"/>
                <w:szCs w:val="21"/>
                <w:highlight w:val="none"/>
              </w:rPr>
            </w:pPr>
            <w:r>
              <w:rPr>
                <w:color w:val="auto"/>
                <w:szCs w:val="21"/>
                <w:highlight w:val="none"/>
              </w:rPr>
              <w:t>投标人总得分=F1＋F2＋F3</w:t>
            </w:r>
          </w:p>
          <w:p w14:paraId="30483E32">
            <w:pPr>
              <w:shd w:val="clear"/>
              <w:spacing w:line="360" w:lineRule="auto"/>
              <w:rPr>
                <w:color w:val="auto"/>
                <w:szCs w:val="21"/>
                <w:highlight w:val="none"/>
              </w:rPr>
            </w:pPr>
            <w:r>
              <w:rPr>
                <w:color w:val="auto"/>
                <w:szCs w:val="21"/>
                <w:highlight w:val="none"/>
              </w:rPr>
              <w:t>根据《政府采购促进中小企业发展管理办法》（财库〔2020〕46号）、《关于进一步加大政府采购支持中小企业力度的通知》（财库〔2022〕19号）的规定，对符合国家统计局《统计上大中小微型企业划分办法 (2017) 》规定条件</w:t>
            </w:r>
            <w:r>
              <w:rPr>
                <w:b/>
                <w:bCs/>
                <w:color w:val="auto"/>
                <w:szCs w:val="21"/>
                <w:highlight w:val="none"/>
                <w:u w:val="single"/>
              </w:rPr>
              <w:t xml:space="preserve"> </w:t>
            </w:r>
            <w:r>
              <w:rPr>
                <w:rFonts w:hint="eastAsia"/>
                <w:b/>
                <w:bCs/>
                <w:color w:val="auto"/>
                <w:szCs w:val="21"/>
                <w:highlight w:val="none"/>
                <w:u w:val="single"/>
              </w:rPr>
              <w:t>【工业】</w:t>
            </w:r>
            <w:r>
              <w:rPr>
                <w:rFonts w:hint="eastAsia"/>
                <w:color w:val="auto"/>
                <w:szCs w:val="21"/>
                <w:highlight w:val="none"/>
              </w:rPr>
              <w:t xml:space="preserve"> </w:t>
            </w:r>
            <w:r>
              <w:rPr>
                <w:color w:val="auto"/>
                <w:szCs w:val="21"/>
                <w:highlight w:val="none"/>
              </w:rPr>
              <w:t>的小微企业报价给予</w:t>
            </w:r>
            <w:r>
              <w:rPr>
                <w:rFonts w:hint="eastAsia"/>
                <w:color w:val="auto"/>
                <w:szCs w:val="21"/>
                <w:highlight w:val="none"/>
              </w:rPr>
              <w:t xml:space="preserve"> </w:t>
            </w:r>
            <w:r>
              <w:rPr>
                <w:b/>
                <w:bCs/>
                <w:color w:val="auto"/>
                <w:szCs w:val="21"/>
                <w:highlight w:val="none"/>
                <w:u w:val="single"/>
              </w:rPr>
              <w:t xml:space="preserve">10% </w:t>
            </w:r>
            <w:r>
              <w:rPr>
                <w:color w:val="auto"/>
                <w:szCs w:val="21"/>
                <w:highlight w:val="none"/>
              </w:rPr>
              <w:t>的扣除，用扣除后的价格参加评审。</w:t>
            </w:r>
          </w:p>
          <w:p w14:paraId="09CACF6D">
            <w:pPr>
              <w:shd w:val="clear"/>
              <w:spacing w:line="360" w:lineRule="auto"/>
              <w:rPr>
                <w:b/>
                <w:bCs/>
                <w:color w:val="auto"/>
                <w:szCs w:val="21"/>
                <w:highlight w:val="none"/>
              </w:rPr>
            </w:pPr>
            <w:r>
              <w:rPr>
                <w:b/>
                <w:bCs/>
                <w:color w:val="auto"/>
                <w:szCs w:val="21"/>
                <w:highlight w:val="none"/>
              </w:rPr>
              <w:t>符合规定的供应商应当按规定出具《中小企业声明函》，否则不得享受相关中小企业扶持政策。供应商对《中小企业声明函》的真实性负责，如有虚假，自行承担相应责任。</w:t>
            </w:r>
          </w:p>
        </w:tc>
      </w:tr>
      <w:tr w14:paraId="6D1BE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Align w:val="center"/>
          </w:tcPr>
          <w:p w14:paraId="5F3CFE56">
            <w:pPr>
              <w:shd w:val="clear"/>
              <w:spacing w:line="360" w:lineRule="auto"/>
              <w:jc w:val="center"/>
              <w:rPr>
                <w:b/>
                <w:bCs/>
                <w:color w:val="auto"/>
                <w:szCs w:val="21"/>
                <w:highlight w:val="none"/>
              </w:rPr>
            </w:pPr>
            <w:r>
              <w:rPr>
                <w:b/>
                <w:bCs/>
                <w:color w:val="auto"/>
                <w:szCs w:val="21"/>
                <w:highlight w:val="none"/>
              </w:rPr>
              <w:t>评分因素</w:t>
            </w:r>
          </w:p>
        </w:tc>
        <w:tc>
          <w:tcPr>
            <w:tcW w:w="655" w:type="dxa"/>
            <w:vAlign w:val="center"/>
          </w:tcPr>
          <w:p w14:paraId="13C93757">
            <w:pPr>
              <w:shd w:val="clear"/>
              <w:spacing w:line="360" w:lineRule="auto"/>
              <w:jc w:val="center"/>
              <w:rPr>
                <w:b/>
                <w:bCs/>
                <w:color w:val="auto"/>
                <w:szCs w:val="21"/>
                <w:highlight w:val="none"/>
              </w:rPr>
            </w:pPr>
            <w:r>
              <w:rPr>
                <w:b/>
                <w:bCs/>
                <w:color w:val="auto"/>
                <w:szCs w:val="21"/>
                <w:highlight w:val="none"/>
              </w:rPr>
              <w:t>分值</w:t>
            </w:r>
          </w:p>
        </w:tc>
        <w:tc>
          <w:tcPr>
            <w:tcW w:w="1824" w:type="dxa"/>
            <w:vAlign w:val="center"/>
          </w:tcPr>
          <w:p w14:paraId="239CCCDF">
            <w:pPr>
              <w:shd w:val="clear"/>
              <w:spacing w:line="360" w:lineRule="auto"/>
              <w:jc w:val="center"/>
              <w:rPr>
                <w:b/>
                <w:bCs/>
                <w:color w:val="auto"/>
                <w:szCs w:val="21"/>
                <w:highlight w:val="none"/>
              </w:rPr>
            </w:pPr>
            <w:r>
              <w:rPr>
                <w:b/>
                <w:bCs/>
                <w:color w:val="auto"/>
                <w:szCs w:val="21"/>
                <w:highlight w:val="none"/>
              </w:rPr>
              <w:t>评分项目</w:t>
            </w:r>
          </w:p>
        </w:tc>
        <w:tc>
          <w:tcPr>
            <w:tcW w:w="6594" w:type="dxa"/>
            <w:vAlign w:val="center"/>
          </w:tcPr>
          <w:p w14:paraId="28BDE94D">
            <w:pPr>
              <w:shd w:val="clear"/>
              <w:spacing w:line="360" w:lineRule="auto"/>
              <w:jc w:val="center"/>
              <w:rPr>
                <w:b/>
                <w:bCs/>
                <w:color w:val="auto"/>
                <w:szCs w:val="21"/>
                <w:highlight w:val="none"/>
              </w:rPr>
            </w:pPr>
            <w:r>
              <w:rPr>
                <w:b/>
                <w:bCs/>
                <w:color w:val="auto"/>
                <w:szCs w:val="21"/>
                <w:highlight w:val="none"/>
              </w:rPr>
              <w:t>评分标准</w:t>
            </w:r>
          </w:p>
        </w:tc>
      </w:tr>
      <w:tr w14:paraId="323C8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Align w:val="center"/>
          </w:tcPr>
          <w:p w14:paraId="54B3D89C">
            <w:pPr>
              <w:shd w:val="clear"/>
              <w:spacing w:line="360" w:lineRule="auto"/>
              <w:jc w:val="center"/>
              <w:rPr>
                <w:b/>
                <w:bCs/>
                <w:color w:val="auto"/>
                <w:szCs w:val="21"/>
                <w:highlight w:val="none"/>
              </w:rPr>
            </w:pPr>
            <w:bookmarkStart w:id="233" w:name="_Hlk138609034"/>
            <w:r>
              <w:rPr>
                <w:b/>
                <w:bCs/>
                <w:color w:val="auto"/>
                <w:szCs w:val="21"/>
                <w:highlight w:val="none"/>
              </w:rPr>
              <w:t>F1</w:t>
            </w:r>
          </w:p>
          <w:p w14:paraId="6F2F35BE">
            <w:pPr>
              <w:shd w:val="clear"/>
              <w:spacing w:line="360" w:lineRule="auto"/>
              <w:jc w:val="center"/>
              <w:rPr>
                <w:b/>
                <w:bCs/>
                <w:color w:val="auto"/>
                <w:szCs w:val="21"/>
                <w:highlight w:val="none"/>
              </w:rPr>
            </w:pPr>
            <w:r>
              <w:rPr>
                <w:b/>
                <w:bCs/>
                <w:color w:val="auto"/>
                <w:szCs w:val="21"/>
                <w:highlight w:val="none"/>
              </w:rPr>
              <w:t>价格部分</w:t>
            </w:r>
          </w:p>
        </w:tc>
        <w:tc>
          <w:tcPr>
            <w:tcW w:w="655" w:type="dxa"/>
            <w:vAlign w:val="center"/>
          </w:tcPr>
          <w:p w14:paraId="45BFFFFE">
            <w:pPr>
              <w:shd w:val="clear"/>
              <w:spacing w:line="360" w:lineRule="auto"/>
              <w:jc w:val="center"/>
              <w:rPr>
                <w:b/>
                <w:bCs/>
                <w:color w:val="auto"/>
                <w:szCs w:val="21"/>
                <w:highlight w:val="none"/>
              </w:rPr>
            </w:pPr>
            <w:r>
              <w:rPr>
                <w:rFonts w:hint="eastAsia"/>
                <w:b/>
                <w:bCs/>
                <w:color w:val="auto"/>
                <w:szCs w:val="21"/>
                <w:highlight w:val="none"/>
              </w:rPr>
              <w:t>30</w:t>
            </w:r>
            <w:r>
              <w:rPr>
                <w:b/>
                <w:bCs/>
                <w:color w:val="auto"/>
                <w:szCs w:val="21"/>
                <w:highlight w:val="none"/>
              </w:rPr>
              <w:t>分</w:t>
            </w:r>
          </w:p>
        </w:tc>
        <w:tc>
          <w:tcPr>
            <w:tcW w:w="1824" w:type="dxa"/>
            <w:vAlign w:val="center"/>
          </w:tcPr>
          <w:p w14:paraId="0EF5DC6B">
            <w:pPr>
              <w:shd w:val="clear"/>
              <w:spacing w:line="360" w:lineRule="auto"/>
              <w:jc w:val="center"/>
              <w:rPr>
                <w:b/>
                <w:bCs/>
                <w:color w:val="auto"/>
                <w:szCs w:val="21"/>
                <w:highlight w:val="none"/>
              </w:rPr>
            </w:pPr>
            <w:r>
              <w:rPr>
                <w:b/>
                <w:bCs/>
                <w:color w:val="auto"/>
                <w:szCs w:val="21"/>
                <w:highlight w:val="none"/>
              </w:rPr>
              <w:t>投标报价</w:t>
            </w:r>
          </w:p>
          <w:p w14:paraId="52BEA1CB">
            <w:pPr>
              <w:shd w:val="clear"/>
              <w:spacing w:line="360" w:lineRule="auto"/>
              <w:jc w:val="center"/>
              <w:rPr>
                <w:b/>
                <w:bCs/>
                <w:color w:val="auto"/>
                <w:szCs w:val="21"/>
                <w:highlight w:val="none"/>
              </w:rPr>
            </w:pPr>
            <w:r>
              <w:rPr>
                <w:b/>
                <w:bCs/>
                <w:color w:val="auto"/>
                <w:szCs w:val="21"/>
                <w:highlight w:val="none"/>
              </w:rPr>
              <w:t>（</w:t>
            </w:r>
            <w:r>
              <w:rPr>
                <w:rFonts w:hint="eastAsia"/>
                <w:b/>
                <w:bCs/>
                <w:color w:val="auto"/>
                <w:szCs w:val="21"/>
                <w:highlight w:val="none"/>
              </w:rPr>
              <w:t>30</w:t>
            </w:r>
            <w:r>
              <w:rPr>
                <w:b/>
                <w:bCs/>
                <w:color w:val="auto"/>
                <w:szCs w:val="21"/>
                <w:highlight w:val="none"/>
              </w:rPr>
              <w:t>分）</w:t>
            </w:r>
          </w:p>
        </w:tc>
        <w:tc>
          <w:tcPr>
            <w:tcW w:w="6594" w:type="dxa"/>
          </w:tcPr>
          <w:p w14:paraId="2C08DC24">
            <w:pPr>
              <w:shd w:val="clear"/>
              <w:spacing w:line="360" w:lineRule="auto"/>
              <w:rPr>
                <w:rFonts w:ascii="宋体" w:hAnsi="宋体" w:cs="宋体"/>
                <w:color w:val="auto"/>
                <w:szCs w:val="21"/>
                <w:highlight w:val="none"/>
              </w:rPr>
            </w:pPr>
            <w:r>
              <w:rPr>
                <w:rFonts w:hint="eastAsia" w:ascii="宋体" w:hAnsi="宋体" w:cs="宋体"/>
                <w:color w:val="auto"/>
                <w:szCs w:val="21"/>
                <w:highlight w:val="none"/>
              </w:rPr>
              <w:t>投标报价得分=(评标基准价／投标报价)×30</w:t>
            </w:r>
          </w:p>
          <w:p w14:paraId="41BDE3E5">
            <w:pPr>
              <w:shd w:val="clear"/>
              <w:spacing w:line="360" w:lineRule="auto"/>
              <w:rPr>
                <w:rFonts w:ascii="宋体" w:hAnsi="宋体" w:cs="宋体"/>
                <w:color w:val="auto"/>
                <w:szCs w:val="21"/>
                <w:highlight w:val="none"/>
              </w:rPr>
            </w:pPr>
            <w:r>
              <w:rPr>
                <w:rFonts w:hint="eastAsia" w:ascii="宋体" w:hAnsi="宋体" w:cs="宋体"/>
                <w:color w:val="auto"/>
                <w:szCs w:val="21"/>
                <w:highlight w:val="none"/>
              </w:rPr>
              <w:t>即：F1=[C/（B1，B2，…，Bn）]×30</w:t>
            </w:r>
          </w:p>
          <w:p w14:paraId="32FF7216">
            <w:pPr>
              <w:shd w:val="clear"/>
              <w:spacing w:line="360" w:lineRule="auto"/>
              <w:rPr>
                <w:rFonts w:ascii="宋体" w:hAnsi="宋体" w:cs="宋体"/>
                <w:color w:val="auto"/>
                <w:szCs w:val="21"/>
                <w:highlight w:val="none"/>
              </w:rPr>
            </w:pPr>
            <w:r>
              <w:rPr>
                <w:rFonts w:hint="eastAsia" w:ascii="宋体" w:hAnsi="宋体" w:cs="宋体"/>
                <w:color w:val="auto"/>
                <w:szCs w:val="21"/>
                <w:highlight w:val="none"/>
              </w:rPr>
              <w:t>注：C为评标基准价，即经初步审查合格且投标价格最低的有效投标报价；</w:t>
            </w:r>
          </w:p>
          <w:p w14:paraId="736DE9E8">
            <w:pPr>
              <w:shd w:val="clear"/>
              <w:spacing w:line="360" w:lineRule="auto"/>
              <w:rPr>
                <w:rFonts w:ascii="宋体" w:hAnsi="宋体" w:cs="宋体"/>
                <w:color w:val="auto"/>
                <w:szCs w:val="21"/>
                <w:highlight w:val="none"/>
              </w:rPr>
            </w:pPr>
            <w:r>
              <w:rPr>
                <w:rFonts w:hint="eastAsia" w:ascii="宋体" w:hAnsi="宋体" w:cs="宋体"/>
                <w:color w:val="auto"/>
                <w:szCs w:val="21"/>
                <w:highlight w:val="none"/>
              </w:rPr>
              <w:t>B1，B2，…，Bn为第n个经初步审查合格的有效投标报价。</w:t>
            </w:r>
          </w:p>
          <w:p w14:paraId="6F6AB4E9">
            <w:pPr>
              <w:shd w:val="clear"/>
              <w:snapToGrid w:val="0"/>
              <w:spacing w:line="360" w:lineRule="auto"/>
              <w:rPr>
                <w:color w:val="auto"/>
                <w:szCs w:val="21"/>
                <w:highlight w:val="none"/>
              </w:rPr>
            </w:pPr>
            <w:r>
              <w:rPr>
                <w:rFonts w:hint="eastAsia" w:ascii="宋体" w:hAnsi="宋体" w:cs="宋体"/>
                <w:color w:val="auto"/>
                <w:szCs w:val="21"/>
                <w:highlight w:val="none"/>
              </w:rPr>
              <w:t>注：在计算投标报价得分时，对小型或微型企业产品的价格给予10%的扣除，对监狱企业、残疾人福利性单位的价格给予10%的扣除（不重复享受政策）。</w:t>
            </w:r>
          </w:p>
        </w:tc>
      </w:tr>
      <w:tr w14:paraId="423FD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restart"/>
            <w:vAlign w:val="center"/>
          </w:tcPr>
          <w:p w14:paraId="6B6AC6FB">
            <w:pPr>
              <w:shd w:val="clear"/>
              <w:spacing w:line="360" w:lineRule="auto"/>
              <w:jc w:val="center"/>
              <w:rPr>
                <w:b/>
                <w:bCs/>
                <w:color w:val="auto"/>
                <w:szCs w:val="21"/>
                <w:highlight w:val="none"/>
              </w:rPr>
            </w:pPr>
            <w:bookmarkStart w:id="234" w:name="_Hlk161420502"/>
            <w:r>
              <w:rPr>
                <w:b/>
                <w:bCs/>
                <w:color w:val="auto"/>
                <w:szCs w:val="21"/>
                <w:highlight w:val="none"/>
              </w:rPr>
              <w:t>F2</w:t>
            </w:r>
          </w:p>
          <w:p w14:paraId="15F01E08">
            <w:pPr>
              <w:shd w:val="clear"/>
              <w:spacing w:line="360" w:lineRule="auto"/>
              <w:jc w:val="center"/>
              <w:rPr>
                <w:b/>
                <w:bCs/>
                <w:color w:val="auto"/>
                <w:szCs w:val="21"/>
                <w:highlight w:val="none"/>
              </w:rPr>
            </w:pPr>
            <w:r>
              <w:rPr>
                <w:b/>
                <w:bCs/>
                <w:color w:val="auto"/>
                <w:szCs w:val="21"/>
                <w:highlight w:val="none"/>
              </w:rPr>
              <w:t>技术部分</w:t>
            </w:r>
          </w:p>
        </w:tc>
        <w:tc>
          <w:tcPr>
            <w:tcW w:w="655" w:type="dxa"/>
            <w:vMerge w:val="restart"/>
            <w:vAlign w:val="center"/>
          </w:tcPr>
          <w:p w14:paraId="4691B3E1">
            <w:pPr>
              <w:shd w:val="clear"/>
              <w:spacing w:line="360" w:lineRule="auto"/>
              <w:jc w:val="center"/>
              <w:rPr>
                <w:b/>
                <w:bCs/>
                <w:color w:val="auto"/>
                <w:szCs w:val="21"/>
                <w:highlight w:val="none"/>
              </w:rPr>
            </w:pPr>
            <w:r>
              <w:rPr>
                <w:rFonts w:hint="eastAsia"/>
                <w:b/>
                <w:bCs/>
                <w:color w:val="auto"/>
                <w:szCs w:val="21"/>
                <w:highlight w:val="none"/>
              </w:rPr>
              <w:t>46</w:t>
            </w:r>
            <w:r>
              <w:rPr>
                <w:b/>
                <w:bCs/>
                <w:color w:val="auto"/>
                <w:szCs w:val="21"/>
                <w:highlight w:val="none"/>
              </w:rPr>
              <w:t>分</w:t>
            </w:r>
          </w:p>
        </w:tc>
        <w:tc>
          <w:tcPr>
            <w:tcW w:w="1824" w:type="dxa"/>
            <w:vAlign w:val="center"/>
          </w:tcPr>
          <w:p w14:paraId="3B2E3938">
            <w:pPr>
              <w:shd w:val="clear"/>
              <w:spacing w:line="360" w:lineRule="auto"/>
              <w:jc w:val="center"/>
              <w:rPr>
                <w:b/>
                <w:bCs/>
                <w:color w:val="auto"/>
                <w:szCs w:val="21"/>
                <w:highlight w:val="none"/>
              </w:rPr>
            </w:pPr>
            <w:r>
              <w:rPr>
                <w:rFonts w:hint="eastAsia"/>
                <w:b/>
                <w:bCs/>
                <w:color w:val="auto"/>
                <w:szCs w:val="21"/>
                <w:highlight w:val="none"/>
              </w:rPr>
              <w:t>技术指标的响应程度</w:t>
            </w:r>
          </w:p>
          <w:p w14:paraId="5A36E252">
            <w:pPr>
              <w:shd w:val="clear"/>
              <w:spacing w:line="360" w:lineRule="auto"/>
              <w:jc w:val="center"/>
              <w:rPr>
                <w:b/>
                <w:bCs/>
                <w:color w:val="auto"/>
                <w:szCs w:val="21"/>
                <w:highlight w:val="none"/>
              </w:rPr>
            </w:pPr>
            <w:r>
              <w:rPr>
                <w:rFonts w:hint="eastAsia"/>
                <w:b/>
                <w:bCs/>
                <w:color w:val="auto"/>
                <w:szCs w:val="21"/>
                <w:highlight w:val="none"/>
              </w:rPr>
              <w:t>（满分45分）</w:t>
            </w:r>
          </w:p>
        </w:tc>
        <w:tc>
          <w:tcPr>
            <w:tcW w:w="6594" w:type="dxa"/>
          </w:tcPr>
          <w:p w14:paraId="4DACFDCA">
            <w:pPr>
              <w:shd w:val="clea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根据投标文件对招标文件</w:t>
            </w:r>
            <w:r>
              <w:rPr>
                <w:rFonts w:hint="eastAsia" w:ascii="宋体" w:hAnsi="宋体" w:cs="宋体"/>
                <w:b/>
                <w:color w:val="auto"/>
                <w:szCs w:val="21"/>
                <w:highlight w:val="none"/>
              </w:rPr>
              <w:t xml:space="preserve">第五章 采购需求 </w:t>
            </w:r>
            <w:r>
              <w:rPr>
                <w:rFonts w:hint="eastAsia" w:ascii="宋体" w:hAnsi="宋体" w:cs="宋体"/>
                <w:color w:val="auto"/>
                <w:szCs w:val="21"/>
                <w:highlight w:val="none"/>
              </w:rPr>
              <w:t>中相应指标的响应程度进行评分：</w:t>
            </w:r>
          </w:p>
          <w:p w14:paraId="5ABF7030">
            <w:pPr>
              <w:pStyle w:val="12"/>
              <w:shd w:val="clear"/>
              <w:jc w:val="center"/>
              <w:rPr>
                <w:rFonts w:hint="default" w:eastAsia="宋体"/>
                <w:b/>
                <w:bCs/>
                <w:color w:val="auto"/>
                <w:highlight w:val="none"/>
                <w:lang w:val="en-US" w:eastAsia="zh-CN"/>
              </w:rPr>
            </w:pPr>
            <w:r>
              <w:rPr>
                <w:rFonts w:hint="eastAsia" w:ascii="宋体" w:hAnsi="宋体" w:cs="宋体"/>
                <w:b/>
                <w:bCs/>
                <w:color w:val="auto"/>
                <w:szCs w:val="21"/>
                <w:highlight w:val="none"/>
                <w:lang w:val="en-US" w:eastAsia="zh-CN"/>
              </w:rPr>
              <w:t>1标段：</w:t>
            </w:r>
          </w:p>
          <w:p w14:paraId="2DB1E6C1">
            <w:pPr>
              <w:shd w:val="clea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a.招标文件第五章“</w:t>
            </w:r>
            <w:r>
              <w:rPr>
                <w:rFonts w:hint="eastAsia" w:ascii="宋体" w:hAnsi="宋体" w:cs="宋体"/>
                <w:b/>
                <w:color w:val="auto"/>
                <w:szCs w:val="21"/>
                <w:highlight w:val="none"/>
              </w:rPr>
              <w:t>采购需求</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标段的技术要求中，标注“</w:t>
            </w:r>
            <w:r>
              <w:rPr>
                <w:rFonts w:hint="eastAsia" w:ascii="宋体" w:hAnsi="宋体" w:cs="宋体"/>
                <w:b/>
                <w:color w:val="auto"/>
                <w:szCs w:val="21"/>
                <w:highlight w:val="none"/>
              </w:rPr>
              <w:t>▲</w:t>
            </w:r>
            <w:r>
              <w:rPr>
                <w:rFonts w:hint="eastAsia" w:ascii="宋体" w:hAnsi="宋体" w:cs="宋体"/>
                <w:b/>
                <w:bCs/>
                <w:color w:val="auto"/>
                <w:szCs w:val="21"/>
                <w:highlight w:val="none"/>
              </w:rPr>
              <w:t>”号的为重要技术参数，共</w:t>
            </w:r>
            <w:r>
              <w:rPr>
                <w:rFonts w:hint="eastAsia" w:ascii="宋体" w:hAnsi="宋体" w:cs="宋体"/>
                <w:b/>
                <w:bCs/>
                <w:color w:val="auto"/>
                <w:szCs w:val="21"/>
                <w:highlight w:val="none"/>
                <w:u w:val="single"/>
              </w:rPr>
              <w:t>20</w:t>
            </w:r>
            <w:r>
              <w:rPr>
                <w:rFonts w:hint="eastAsia" w:ascii="宋体" w:hAnsi="宋体" w:cs="宋体"/>
                <w:b/>
                <w:bCs/>
                <w:color w:val="auto"/>
                <w:szCs w:val="21"/>
                <w:highlight w:val="none"/>
              </w:rPr>
              <w:t>分，标注星号（“</w:t>
            </w:r>
            <w:r>
              <w:rPr>
                <w:rFonts w:hint="eastAsia" w:ascii="宋体" w:hAnsi="宋体" w:cs="宋体"/>
                <w:b/>
                <w:color w:val="auto"/>
                <w:szCs w:val="21"/>
                <w:highlight w:val="none"/>
              </w:rPr>
              <w:t>▲</w:t>
            </w:r>
            <w:r>
              <w:rPr>
                <w:rFonts w:hint="eastAsia" w:ascii="宋体" w:hAnsi="宋体" w:cs="宋体"/>
                <w:b/>
                <w:bCs/>
                <w:color w:val="auto"/>
                <w:szCs w:val="21"/>
                <w:highlight w:val="none"/>
              </w:rPr>
              <w:t>”）的重要技术参数全部满足招标文件得</w:t>
            </w:r>
            <w:r>
              <w:rPr>
                <w:rFonts w:hint="eastAsia" w:ascii="宋体" w:hAnsi="宋体" w:cs="宋体"/>
                <w:b/>
                <w:bCs/>
                <w:color w:val="auto"/>
                <w:szCs w:val="21"/>
                <w:highlight w:val="none"/>
                <w:u w:val="single"/>
              </w:rPr>
              <w:t>20</w:t>
            </w:r>
            <w:r>
              <w:rPr>
                <w:rFonts w:hint="eastAsia" w:ascii="宋体" w:hAnsi="宋体" w:cs="宋体"/>
                <w:b/>
                <w:bCs/>
                <w:color w:val="auto"/>
                <w:szCs w:val="21"/>
                <w:highlight w:val="none"/>
              </w:rPr>
              <w:t>分，存在1项标注星号（“</w:t>
            </w:r>
            <w:r>
              <w:rPr>
                <w:rFonts w:hint="eastAsia" w:ascii="宋体" w:hAnsi="宋体" w:cs="宋体"/>
                <w:b/>
                <w:color w:val="auto"/>
                <w:szCs w:val="21"/>
                <w:highlight w:val="none"/>
              </w:rPr>
              <w:t>▲</w:t>
            </w:r>
            <w:r>
              <w:rPr>
                <w:rFonts w:hint="eastAsia" w:ascii="宋体" w:hAnsi="宋体" w:cs="宋体"/>
                <w:b/>
                <w:bCs/>
                <w:color w:val="auto"/>
                <w:szCs w:val="21"/>
                <w:highlight w:val="none"/>
              </w:rPr>
              <w:t>”）的技术参数负偏离的扣</w:t>
            </w:r>
            <w:r>
              <w:rPr>
                <w:rFonts w:hint="eastAsia" w:ascii="宋体" w:hAnsi="宋体" w:cs="宋体"/>
                <w:b/>
                <w:bCs/>
                <w:color w:val="auto"/>
                <w:szCs w:val="21"/>
                <w:highlight w:val="none"/>
                <w:u w:val="single"/>
                <w:lang w:val="en-US" w:eastAsia="zh-CN"/>
              </w:rPr>
              <w:t>3</w:t>
            </w:r>
            <w:r>
              <w:rPr>
                <w:rFonts w:hint="eastAsia" w:ascii="宋体" w:hAnsi="宋体" w:cs="宋体"/>
                <w:b/>
                <w:bCs/>
                <w:color w:val="auto"/>
                <w:szCs w:val="21"/>
                <w:highlight w:val="none"/>
              </w:rPr>
              <w:t>分，扣完为止。</w:t>
            </w:r>
          </w:p>
          <w:p w14:paraId="1A9E66D5">
            <w:pPr>
              <w:shd w:val="clea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b.招标文件第五章“</w:t>
            </w:r>
            <w:r>
              <w:rPr>
                <w:rFonts w:hint="eastAsia" w:ascii="宋体" w:hAnsi="宋体" w:cs="宋体"/>
                <w:b/>
                <w:color w:val="auto"/>
                <w:szCs w:val="21"/>
                <w:highlight w:val="none"/>
              </w:rPr>
              <w:t>采购需求</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标段的技术要求中，非“</w:t>
            </w:r>
            <w:r>
              <w:rPr>
                <w:rFonts w:hint="eastAsia" w:ascii="宋体" w:hAnsi="宋体" w:cs="宋体"/>
                <w:b/>
                <w:color w:val="auto"/>
                <w:szCs w:val="21"/>
                <w:highlight w:val="none"/>
              </w:rPr>
              <w:t>▲</w:t>
            </w:r>
            <w:r>
              <w:rPr>
                <w:rFonts w:hint="eastAsia" w:ascii="宋体" w:hAnsi="宋体" w:cs="宋体"/>
                <w:b/>
                <w:bCs/>
                <w:color w:val="auto"/>
                <w:szCs w:val="21"/>
                <w:highlight w:val="none"/>
              </w:rPr>
              <w:t>”技术参数共</w:t>
            </w:r>
            <w:r>
              <w:rPr>
                <w:rFonts w:hint="eastAsia" w:ascii="宋体" w:hAnsi="宋体" w:cs="宋体"/>
                <w:b/>
                <w:bCs/>
                <w:color w:val="auto"/>
                <w:szCs w:val="21"/>
                <w:highlight w:val="none"/>
                <w:u w:val="single"/>
              </w:rPr>
              <w:t>25</w:t>
            </w:r>
            <w:r>
              <w:rPr>
                <w:rFonts w:hint="eastAsia" w:ascii="宋体" w:hAnsi="宋体" w:cs="宋体"/>
                <w:b/>
                <w:bCs/>
                <w:color w:val="auto"/>
                <w:szCs w:val="21"/>
                <w:highlight w:val="none"/>
              </w:rPr>
              <w:t>分，非“</w:t>
            </w:r>
            <w:r>
              <w:rPr>
                <w:rFonts w:hint="eastAsia" w:ascii="宋体" w:hAnsi="宋体" w:cs="宋体"/>
                <w:b/>
                <w:color w:val="auto"/>
                <w:szCs w:val="21"/>
                <w:highlight w:val="none"/>
              </w:rPr>
              <w:t>▲</w:t>
            </w:r>
            <w:r>
              <w:rPr>
                <w:rFonts w:hint="eastAsia" w:ascii="宋体" w:hAnsi="宋体" w:cs="宋体"/>
                <w:b/>
                <w:bCs/>
                <w:color w:val="auto"/>
                <w:szCs w:val="21"/>
                <w:highlight w:val="none"/>
              </w:rPr>
              <w:t>”技术参数全部满足招标文件要求得</w:t>
            </w:r>
            <w:r>
              <w:rPr>
                <w:rFonts w:hint="eastAsia" w:ascii="宋体" w:hAnsi="宋体" w:cs="宋体"/>
                <w:b/>
                <w:bCs/>
                <w:color w:val="auto"/>
                <w:szCs w:val="21"/>
                <w:highlight w:val="none"/>
                <w:u w:val="single"/>
              </w:rPr>
              <w:t>25</w:t>
            </w:r>
            <w:r>
              <w:rPr>
                <w:rFonts w:hint="eastAsia" w:ascii="宋体" w:hAnsi="宋体" w:cs="宋体"/>
                <w:b/>
                <w:bCs/>
                <w:color w:val="auto"/>
                <w:szCs w:val="21"/>
                <w:highlight w:val="none"/>
              </w:rPr>
              <w:t>分，一般参数不满足一条扣</w:t>
            </w:r>
            <w:r>
              <w:rPr>
                <w:rFonts w:hint="eastAsia" w:ascii="宋体" w:hAnsi="宋体" w:cs="宋体"/>
                <w:b/>
                <w:bCs/>
                <w:color w:val="auto"/>
                <w:szCs w:val="21"/>
                <w:highlight w:val="none"/>
                <w:u w:val="single"/>
              </w:rPr>
              <w:t>2</w:t>
            </w:r>
            <w:r>
              <w:rPr>
                <w:rFonts w:hint="eastAsia" w:ascii="宋体" w:hAnsi="宋体" w:cs="宋体"/>
                <w:b/>
                <w:bCs/>
                <w:color w:val="auto"/>
                <w:szCs w:val="21"/>
                <w:highlight w:val="none"/>
                <w:u w:val="single"/>
                <w:lang w:val="en-US" w:eastAsia="zh-CN"/>
              </w:rPr>
              <w:t>.5</w:t>
            </w:r>
            <w:r>
              <w:rPr>
                <w:rFonts w:hint="eastAsia" w:ascii="宋体" w:hAnsi="宋体" w:cs="宋体"/>
                <w:b/>
                <w:bCs/>
                <w:color w:val="auto"/>
                <w:szCs w:val="21"/>
                <w:highlight w:val="none"/>
              </w:rPr>
              <w:t>分，扣完为止。</w:t>
            </w:r>
          </w:p>
          <w:p w14:paraId="25B03BA4">
            <w:pPr>
              <w:pStyle w:val="12"/>
              <w:shd w:val="clear"/>
              <w:rPr>
                <w:rFonts w:hint="eastAsia" w:ascii="宋体" w:hAnsi="宋体" w:cs="宋体"/>
                <w:b/>
                <w:bCs/>
                <w:color w:val="auto"/>
                <w:szCs w:val="21"/>
                <w:highlight w:val="none"/>
                <w:lang w:val="en-US" w:eastAsia="zh-CN"/>
              </w:rPr>
            </w:pPr>
          </w:p>
          <w:p w14:paraId="27B1132F">
            <w:pPr>
              <w:pStyle w:val="12"/>
              <w:shd w:val="clear"/>
              <w:jc w:val="center"/>
              <w:rPr>
                <w:rFonts w:hint="default" w:eastAsia="宋体"/>
                <w:b/>
                <w:bCs/>
                <w:color w:val="auto"/>
                <w:highlight w:val="none"/>
                <w:lang w:val="en-US" w:eastAsia="zh-CN"/>
              </w:rPr>
            </w:pPr>
            <w:r>
              <w:rPr>
                <w:rFonts w:hint="eastAsia" w:ascii="宋体" w:hAnsi="宋体" w:cs="宋体"/>
                <w:b/>
                <w:bCs/>
                <w:color w:val="auto"/>
                <w:szCs w:val="21"/>
                <w:highlight w:val="none"/>
                <w:lang w:val="en-US" w:eastAsia="zh-CN"/>
              </w:rPr>
              <w:t>2标段：</w:t>
            </w:r>
          </w:p>
          <w:p w14:paraId="6E3C8223">
            <w:pPr>
              <w:shd w:val="clea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a.招标文件第五章“</w:t>
            </w:r>
            <w:r>
              <w:rPr>
                <w:rFonts w:hint="eastAsia" w:ascii="宋体" w:hAnsi="宋体" w:cs="宋体"/>
                <w:b/>
                <w:color w:val="auto"/>
                <w:szCs w:val="21"/>
                <w:highlight w:val="none"/>
              </w:rPr>
              <w:t>采购需求</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标段的技术要求中，标注“</w:t>
            </w:r>
            <w:r>
              <w:rPr>
                <w:rFonts w:hint="eastAsia" w:ascii="宋体" w:hAnsi="宋体" w:cs="宋体"/>
                <w:b/>
                <w:color w:val="auto"/>
                <w:szCs w:val="21"/>
                <w:highlight w:val="none"/>
              </w:rPr>
              <w:t>▲</w:t>
            </w:r>
            <w:r>
              <w:rPr>
                <w:rFonts w:hint="eastAsia" w:ascii="宋体" w:hAnsi="宋体" w:cs="宋体"/>
                <w:b/>
                <w:bCs/>
                <w:color w:val="auto"/>
                <w:szCs w:val="21"/>
                <w:highlight w:val="none"/>
              </w:rPr>
              <w:t>”号的为重要技术参数，共</w:t>
            </w:r>
            <w:r>
              <w:rPr>
                <w:rFonts w:hint="eastAsia" w:ascii="宋体" w:hAnsi="宋体" w:cs="宋体"/>
                <w:b/>
                <w:bCs/>
                <w:color w:val="auto"/>
                <w:szCs w:val="21"/>
                <w:highlight w:val="none"/>
                <w:u w:val="single"/>
                <w:lang w:val="en-US" w:eastAsia="zh-CN"/>
              </w:rPr>
              <w:t>24</w:t>
            </w:r>
            <w:r>
              <w:rPr>
                <w:rFonts w:hint="eastAsia" w:ascii="宋体" w:hAnsi="宋体" w:cs="宋体"/>
                <w:b/>
                <w:bCs/>
                <w:color w:val="auto"/>
                <w:szCs w:val="21"/>
                <w:highlight w:val="none"/>
              </w:rPr>
              <w:t>分，标注星号（“</w:t>
            </w:r>
            <w:r>
              <w:rPr>
                <w:rFonts w:hint="eastAsia" w:ascii="宋体" w:hAnsi="宋体" w:cs="宋体"/>
                <w:b/>
                <w:color w:val="auto"/>
                <w:szCs w:val="21"/>
                <w:highlight w:val="none"/>
              </w:rPr>
              <w:t>▲</w:t>
            </w:r>
            <w:r>
              <w:rPr>
                <w:rFonts w:hint="eastAsia" w:ascii="宋体" w:hAnsi="宋体" w:cs="宋体"/>
                <w:b/>
                <w:bCs/>
                <w:color w:val="auto"/>
                <w:szCs w:val="21"/>
                <w:highlight w:val="none"/>
              </w:rPr>
              <w:t>”）的重要技术参数全部满足招标文件得</w:t>
            </w:r>
            <w:r>
              <w:rPr>
                <w:rFonts w:hint="eastAsia" w:ascii="宋体" w:hAnsi="宋体" w:cs="宋体"/>
                <w:b/>
                <w:bCs/>
                <w:color w:val="auto"/>
                <w:szCs w:val="21"/>
                <w:highlight w:val="none"/>
                <w:u w:val="single"/>
                <w:lang w:val="en-US" w:eastAsia="zh-CN"/>
              </w:rPr>
              <w:t>24</w:t>
            </w:r>
            <w:r>
              <w:rPr>
                <w:rFonts w:hint="eastAsia" w:ascii="宋体" w:hAnsi="宋体" w:cs="宋体"/>
                <w:b/>
                <w:bCs/>
                <w:color w:val="auto"/>
                <w:szCs w:val="21"/>
                <w:highlight w:val="none"/>
              </w:rPr>
              <w:t>分，存在1项标注星号（“</w:t>
            </w:r>
            <w:r>
              <w:rPr>
                <w:rFonts w:hint="eastAsia" w:ascii="宋体" w:hAnsi="宋体" w:cs="宋体"/>
                <w:b/>
                <w:color w:val="auto"/>
                <w:szCs w:val="21"/>
                <w:highlight w:val="none"/>
              </w:rPr>
              <w:t>▲</w:t>
            </w:r>
            <w:r>
              <w:rPr>
                <w:rFonts w:hint="eastAsia" w:ascii="宋体" w:hAnsi="宋体" w:cs="宋体"/>
                <w:b/>
                <w:bCs/>
                <w:color w:val="auto"/>
                <w:szCs w:val="21"/>
                <w:highlight w:val="none"/>
              </w:rPr>
              <w:t>”）的技术参数负偏离的扣</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分，扣完为止。</w:t>
            </w:r>
          </w:p>
          <w:p w14:paraId="45722567">
            <w:pPr>
              <w:shd w:val="clea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b.招标文件第五章“</w:t>
            </w:r>
            <w:r>
              <w:rPr>
                <w:rFonts w:hint="eastAsia" w:ascii="宋体" w:hAnsi="宋体" w:cs="宋体"/>
                <w:b/>
                <w:color w:val="auto"/>
                <w:szCs w:val="21"/>
                <w:highlight w:val="none"/>
              </w:rPr>
              <w:t>采购需求</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标段的技术要求中，非“</w:t>
            </w:r>
            <w:r>
              <w:rPr>
                <w:rFonts w:hint="eastAsia" w:ascii="宋体" w:hAnsi="宋体" w:cs="宋体"/>
                <w:b/>
                <w:color w:val="auto"/>
                <w:szCs w:val="21"/>
                <w:highlight w:val="none"/>
              </w:rPr>
              <w:t>▲</w:t>
            </w:r>
            <w:r>
              <w:rPr>
                <w:rFonts w:hint="eastAsia" w:ascii="宋体" w:hAnsi="宋体" w:cs="宋体"/>
                <w:b/>
                <w:bCs/>
                <w:color w:val="auto"/>
                <w:szCs w:val="21"/>
                <w:highlight w:val="none"/>
              </w:rPr>
              <w:t>”技术参数共</w:t>
            </w:r>
            <w:r>
              <w:rPr>
                <w:rFonts w:hint="eastAsia" w:ascii="宋体" w:hAnsi="宋体" w:cs="宋体"/>
                <w:b/>
                <w:bCs/>
                <w:color w:val="auto"/>
                <w:szCs w:val="21"/>
                <w:highlight w:val="none"/>
                <w:u w:val="single"/>
              </w:rPr>
              <w:t>2</w:t>
            </w:r>
            <w:r>
              <w:rPr>
                <w:rFonts w:hint="eastAsia" w:ascii="宋体" w:hAnsi="宋体" w:cs="宋体"/>
                <w:b/>
                <w:bCs/>
                <w:color w:val="auto"/>
                <w:szCs w:val="21"/>
                <w:highlight w:val="none"/>
                <w:u w:val="single"/>
                <w:lang w:val="en-US" w:eastAsia="zh-CN"/>
              </w:rPr>
              <w:t>1</w:t>
            </w:r>
            <w:r>
              <w:rPr>
                <w:rFonts w:hint="eastAsia" w:ascii="宋体" w:hAnsi="宋体" w:cs="宋体"/>
                <w:b/>
                <w:bCs/>
                <w:color w:val="auto"/>
                <w:szCs w:val="21"/>
                <w:highlight w:val="none"/>
              </w:rPr>
              <w:t>分，</w:t>
            </w:r>
            <w:r>
              <w:rPr>
                <w:rFonts w:hint="eastAsia" w:ascii="宋体" w:hAnsi="宋体" w:cs="宋体"/>
                <w:b/>
                <w:bCs/>
                <w:color w:val="auto"/>
                <w:szCs w:val="21"/>
                <w:highlight w:val="none"/>
                <w:lang w:val="en-US" w:eastAsia="zh-CN"/>
              </w:rPr>
              <w:t>共7项产品。每项产品内</w:t>
            </w:r>
            <w:r>
              <w:rPr>
                <w:rFonts w:hint="eastAsia" w:ascii="宋体" w:hAnsi="宋体" w:cs="宋体"/>
                <w:b/>
                <w:bCs/>
                <w:color w:val="auto"/>
                <w:szCs w:val="21"/>
                <w:highlight w:val="none"/>
              </w:rPr>
              <w:t>非“</w:t>
            </w:r>
            <w:r>
              <w:rPr>
                <w:rFonts w:hint="eastAsia" w:ascii="宋体" w:hAnsi="宋体" w:cs="宋体"/>
                <w:b/>
                <w:color w:val="auto"/>
                <w:szCs w:val="21"/>
                <w:highlight w:val="none"/>
              </w:rPr>
              <w:t>▲</w:t>
            </w:r>
            <w:r>
              <w:rPr>
                <w:rFonts w:hint="eastAsia" w:ascii="宋体" w:hAnsi="宋体" w:cs="宋体"/>
                <w:b/>
                <w:bCs/>
                <w:color w:val="auto"/>
                <w:szCs w:val="21"/>
                <w:highlight w:val="none"/>
              </w:rPr>
              <w:t>”技术参数全部满足招标文件要求得</w:t>
            </w:r>
            <w:r>
              <w:rPr>
                <w:rFonts w:hint="eastAsia" w:ascii="宋体" w:hAnsi="宋体" w:cs="宋体"/>
                <w:b/>
                <w:bCs/>
                <w:color w:val="auto"/>
                <w:szCs w:val="21"/>
                <w:highlight w:val="none"/>
                <w:u w:val="single"/>
                <w:lang w:val="en-US" w:eastAsia="zh-CN"/>
              </w:rPr>
              <w:t>3</w:t>
            </w:r>
            <w:r>
              <w:rPr>
                <w:rFonts w:hint="eastAsia" w:ascii="宋体" w:hAnsi="宋体" w:cs="宋体"/>
                <w:b/>
                <w:bCs/>
                <w:color w:val="auto"/>
                <w:szCs w:val="21"/>
                <w:highlight w:val="none"/>
              </w:rPr>
              <w:t>分，</w:t>
            </w:r>
            <w:r>
              <w:rPr>
                <w:rFonts w:hint="eastAsia" w:ascii="宋体" w:hAnsi="宋体" w:cs="宋体"/>
                <w:b/>
                <w:bCs/>
                <w:color w:val="auto"/>
                <w:szCs w:val="21"/>
                <w:highlight w:val="none"/>
                <w:lang w:val="en-US" w:eastAsia="zh-CN"/>
              </w:rPr>
              <w:t>否则该项产品不得分</w:t>
            </w:r>
            <w:r>
              <w:rPr>
                <w:rFonts w:hint="eastAsia" w:ascii="宋体" w:hAnsi="宋体" w:cs="宋体"/>
                <w:b/>
                <w:bCs/>
                <w:color w:val="auto"/>
                <w:szCs w:val="21"/>
                <w:highlight w:val="none"/>
              </w:rPr>
              <w:t>。</w:t>
            </w:r>
          </w:p>
          <w:p w14:paraId="0AEF8236">
            <w:pPr>
              <w:pStyle w:val="12"/>
              <w:shd w:val="clear"/>
              <w:jc w:val="center"/>
              <w:rPr>
                <w:rFonts w:hint="eastAsia" w:ascii="宋体" w:hAnsi="宋体" w:cs="宋体"/>
                <w:b/>
                <w:bCs/>
                <w:color w:val="auto"/>
                <w:szCs w:val="21"/>
                <w:highlight w:val="none"/>
                <w:lang w:val="en-US" w:eastAsia="zh-CN"/>
              </w:rPr>
            </w:pPr>
          </w:p>
          <w:p w14:paraId="7B611CFA">
            <w:pPr>
              <w:pStyle w:val="12"/>
              <w:shd w:val="clear"/>
              <w:jc w:val="center"/>
              <w:rPr>
                <w:rFonts w:hint="default" w:eastAsia="宋体"/>
                <w:b/>
                <w:bCs/>
                <w:color w:val="auto"/>
                <w:highlight w:val="none"/>
                <w:lang w:val="en-US" w:eastAsia="zh-CN"/>
              </w:rPr>
            </w:pPr>
            <w:r>
              <w:rPr>
                <w:rFonts w:hint="eastAsia" w:ascii="宋体" w:hAnsi="宋体" w:cs="宋体"/>
                <w:b/>
                <w:bCs/>
                <w:color w:val="auto"/>
                <w:szCs w:val="21"/>
                <w:highlight w:val="none"/>
                <w:lang w:val="en-US" w:eastAsia="zh-CN"/>
              </w:rPr>
              <w:t>3标段：</w:t>
            </w:r>
          </w:p>
          <w:p w14:paraId="4DA328A4">
            <w:pPr>
              <w:shd w:val="clea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a.招标文件第五章“</w:t>
            </w:r>
            <w:r>
              <w:rPr>
                <w:rFonts w:hint="eastAsia" w:ascii="宋体" w:hAnsi="宋体" w:cs="宋体"/>
                <w:b/>
                <w:color w:val="auto"/>
                <w:szCs w:val="21"/>
                <w:highlight w:val="none"/>
              </w:rPr>
              <w:t>采购需求</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标段的技术要求中，标注“</w:t>
            </w:r>
            <w:r>
              <w:rPr>
                <w:rFonts w:hint="eastAsia" w:ascii="宋体" w:hAnsi="宋体" w:cs="宋体"/>
                <w:b/>
                <w:color w:val="auto"/>
                <w:szCs w:val="21"/>
                <w:highlight w:val="none"/>
              </w:rPr>
              <w:t>▲</w:t>
            </w:r>
            <w:r>
              <w:rPr>
                <w:rFonts w:hint="eastAsia" w:ascii="宋体" w:hAnsi="宋体" w:cs="宋体"/>
                <w:b/>
                <w:bCs/>
                <w:color w:val="auto"/>
                <w:szCs w:val="21"/>
                <w:highlight w:val="none"/>
              </w:rPr>
              <w:t>”号的为重要技术参数，共</w:t>
            </w:r>
            <w:r>
              <w:rPr>
                <w:rFonts w:hint="eastAsia" w:ascii="宋体" w:hAnsi="宋体" w:cs="宋体"/>
                <w:b/>
                <w:bCs/>
                <w:color w:val="auto"/>
                <w:szCs w:val="21"/>
                <w:highlight w:val="none"/>
                <w:u w:val="single"/>
                <w:lang w:val="en-US" w:eastAsia="zh-CN"/>
              </w:rPr>
              <w:t>24</w:t>
            </w:r>
            <w:r>
              <w:rPr>
                <w:rFonts w:hint="eastAsia" w:ascii="宋体" w:hAnsi="宋体" w:cs="宋体"/>
                <w:b/>
                <w:bCs/>
                <w:color w:val="auto"/>
                <w:szCs w:val="21"/>
                <w:highlight w:val="none"/>
              </w:rPr>
              <w:t>分，标注星号（“</w:t>
            </w:r>
            <w:r>
              <w:rPr>
                <w:rFonts w:hint="eastAsia" w:ascii="宋体" w:hAnsi="宋体" w:cs="宋体"/>
                <w:b/>
                <w:color w:val="auto"/>
                <w:szCs w:val="21"/>
                <w:highlight w:val="none"/>
              </w:rPr>
              <w:t>▲</w:t>
            </w:r>
            <w:r>
              <w:rPr>
                <w:rFonts w:hint="eastAsia" w:ascii="宋体" w:hAnsi="宋体" w:cs="宋体"/>
                <w:b/>
                <w:bCs/>
                <w:color w:val="auto"/>
                <w:szCs w:val="21"/>
                <w:highlight w:val="none"/>
              </w:rPr>
              <w:t>”）的重要技术参数全部满足招标文件得</w:t>
            </w:r>
            <w:r>
              <w:rPr>
                <w:rFonts w:hint="eastAsia" w:ascii="宋体" w:hAnsi="宋体" w:cs="宋体"/>
                <w:b/>
                <w:bCs/>
                <w:color w:val="auto"/>
                <w:szCs w:val="21"/>
                <w:highlight w:val="none"/>
                <w:u w:val="single"/>
                <w:lang w:val="en-US" w:eastAsia="zh-CN"/>
              </w:rPr>
              <w:t>24</w:t>
            </w:r>
            <w:r>
              <w:rPr>
                <w:rFonts w:hint="eastAsia" w:ascii="宋体" w:hAnsi="宋体" w:cs="宋体"/>
                <w:b/>
                <w:bCs/>
                <w:color w:val="auto"/>
                <w:szCs w:val="21"/>
                <w:highlight w:val="none"/>
              </w:rPr>
              <w:t>分，存在1项标注星号（“</w:t>
            </w:r>
            <w:r>
              <w:rPr>
                <w:rFonts w:hint="eastAsia" w:ascii="宋体" w:hAnsi="宋体" w:cs="宋体"/>
                <w:b/>
                <w:color w:val="auto"/>
                <w:szCs w:val="21"/>
                <w:highlight w:val="none"/>
              </w:rPr>
              <w:t>▲</w:t>
            </w:r>
            <w:r>
              <w:rPr>
                <w:rFonts w:hint="eastAsia" w:ascii="宋体" w:hAnsi="宋体" w:cs="宋体"/>
                <w:b/>
                <w:bCs/>
                <w:color w:val="auto"/>
                <w:szCs w:val="21"/>
                <w:highlight w:val="none"/>
              </w:rPr>
              <w:t>”）的技术参数负偏离的扣</w:t>
            </w:r>
            <w:r>
              <w:rPr>
                <w:rFonts w:hint="eastAsia" w:ascii="宋体" w:hAnsi="宋体" w:cs="宋体"/>
                <w:b/>
                <w:bCs/>
                <w:color w:val="auto"/>
                <w:szCs w:val="21"/>
                <w:highlight w:val="none"/>
                <w:u w:val="single"/>
                <w:lang w:val="en-US" w:eastAsia="zh-CN"/>
              </w:rPr>
              <w:t>4</w:t>
            </w:r>
            <w:r>
              <w:rPr>
                <w:rFonts w:hint="eastAsia" w:ascii="宋体" w:hAnsi="宋体" w:cs="宋体"/>
                <w:b/>
                <w:bCs/>
                <w:color w:val="auto"/>
                <w:szCs w:val="21"/>
                <w:highlight w:val="none"/>
              </w:rPr>
              <w:t>分，扣完为止。</w:t>
            </w:r>
          </w:p>
          <w:p w14:paraId="2D14E0A8">
            <w:pPr>
              <w:shd w:val="clea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b.招标文件第五章“</w:t>
            </w:r>
            <w:r>
              <w:rPr>
                <w:rFonts w:hint="eastAsia" w:ascii="宋体" w:hAnsi="宋体" w:cs="宋体"/>
                <w:b/>
                <w:color w:val="auto"/>
                <w:szCs w:val="21"/>
                <w:highlight w:val="none"/>
              </w:rPr>
              <w:t>采购需求</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标段的技术要求中，非“</w:t>
            </w:r>
            <w:r>
              <w:rPr>
                <w:rFonts w:hint="eastAsia" w:ascii="宋体" w:hAnsi="宋体" w:cs="宋体"/>
                <w:b/>
                <w:color w:val="auto"/>
                <w:szCs w:val="21"/>
                <w:highlight w:val="none"/>
              </w:rPr>
              <w:t>▲</w:t>
            </w:r>
            <w:r>
              <w:rPr>
                <w:rFonts w:hint="eastAsia" w:ascii="宋体" w:hAnsi="宋体" w:cs="宋体"/>
                <w:b/>
                <w:bCs/>
                <w:color w:val="auto"/>
                <w:szCs w:val="21"/>
                <w:highlight w:val="none"/>
              </w:rPr>
              <w:t>”技术参数共</w:t>
            </w:r>
            <w:r>
              <w:rPr>
                <w:rFonts w:hint="eastAsia" w:ascii="宋体" w:hAnsi="宋体" w:cs="宋体"/>
                <w:b/>
                <w:bCs/>
                <w:color w:val="auto"/>
                <w:szCs w:val="21"/>
                <w:highlight w:val="none"/>
                <w:u w:val="single"/>
                <w:lang w:val="en-US" w:eastAsia="zh-CN"/>
              </w:rPr>
              <w:t>21</w:t>
            </w:r>
            <w:r>
              <w:rPr>
                <w:rFonts w:hint="eastAsia" w:ascii="宋体" w:hAnsi="宋体" w:cs="宋体"/>
                <w:b/>
                <w:bCs/>
                <w:color w:val="auto"/>
                <w:szCs w:val="21"/>
                <w:highlight w:val="none"/>
              </w:rPr>
              <w:t>分，非“</w:t>
            </w:r>
            <w:r>
              <w:rPr>
                <w:rFonts w:hint="eastAsia" w:ascii="宋体" w:hAnsi="宋体" w:cs="宋体"/>
                <w:b/>
                <w:color w:val="auto"/>
                <w:szCs w:val="21"/>
                <w:highlight w:val="none"/>
              </w:rPr>
              <w:t>▲</w:t>
            </w:r>
            <w:r>
              <w:rPr>
                <w:rFonts w:hint="eastAsia" w:ascii="宋体" w:hAnsi="宋体" w:cs="宋体"/>
                <w:b/>
                <w:bCs/>
                <w:color w:val="auto"/>
                <w:szCs w:val="21"/>
                <w:highlight w:val="none"/>
              </w:rPr>
              <w:t>”技术参数全部满足招标文件要求得</w:t>
            </w:r>
            <w:r>
              <w:rPr>
                <w:rFonts w:hint="eastAsia" w:ascii="宋体" w:hAnsi="宋体" w:cs="宋体"/>
                <w:b/>
                <w:bCs/>
                <w:color w:val="auto"/>
                <w:szCs w:val="21"/>
                <w:highlight w:val="none"/>
                <w:u w:val="single"/>
                <w:lang w:val="en-US" w:eastAsia="zh-CN"/>
              </w:rPr>
              <w:t>21</w:t>
            </w:r>
            <w:r>
              <w:rPr>
                <w:rFonts w:hint="eastAsia" w:ascii="宋体" w:hAnsi="宋体" w:cs="宋体"/>
                <w:b/>
                <w:bCs/>
                <w:color w:val="auto"/>
                <w:szCs w:val="21"/>
                <w:highlight w:val="none"/>
              </w:rPr>
              <w:t>分，一般参数不满足一条扣</w:t>
            </w:r>
            <w:r>
              <w:rPr>
                <w:rFonts w:hint="eastAsia" w:ascii="宋体" w:hAnsi="宋体" w:cs="宋体"/>
                <w:b/>
                <w:bCs/>
                <w:color w:val="auto"/>
                <w:szCs w:val="21"/>
                <w:highlight w:val="none"/>
                <w:u w:val="single"/>
                <w:lang w:val="en-US" w:eastAsia="zh-CN"/>
              </w:rPr>
              <w:t>1</w:t>
            </w:r>
            <w:r>
              <w:rPr>
                <w:rFonts w:hint="eastAsia" w:ascii="宋体" w:hAnsi="宋体" w:cs="宋体"/>
                <w:b/>
                <w:bCs/>
                <w:color w:val="auto"/>
                <w:szCs w:val="21"/>
                <w:highlight w:val="none"/>
              </w:rPr>
              <w:t>分，扣完为止。</w:t>
            </w:r>
          </w:p>
          <w:p w14:paraId="24CF4D7A">
            <w:pPr>
              <w:shd w:val="clea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注：</w:t>
            </w:r>
          </w:p>
          <w:p w14:paraId="225AED80">
            <w:pPr>
              <w:shd w:val="clear"/>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、投标人拟投产品出现任意内容不满足对应技术指标项下的内容，即视为不满足该项技术指标。</w:t>
            </w:r>
          </w:p>
          <w:p w14:paraId="1C872621">
            <w:pPr>
              <w:shd w:val="clear"/>
              <w:spacing w:line="360" w:lineRule="auto"/>
              <w:jc w:val="left"/>
              <w:rPr>
                <w:rFonts w:ascii="宋体" w:hAnsi="宋体"/>
                <w:color w:val="auto"/>
                <w:szCs w:val="21"/>
                <w:highlight w:val="none"/>
              </w:rPr>
            </w:pPr>
            <w:r>
              <w:rPr>
                <w:rFonts w:hint="eastAsia" w:ascii="宋体" w:hAnsi="宋体" w:cs="宋体"/>
                <w:b/>
                <w:bCs/>
                <w:color w:val="auto"/>
                <w:szCs w:val="21"/>
                <w:highlight w:val="none"/>
              </w:rPr>
              <w:t>2</w:t>
            </w:r>
            <w:r>
              <w:rPr>
                <w:rFonts w:ascii="宋体" w:hAnsi="宋体" w:cs="宋体"/>
                <w:b/>
                <w:bCs/>
                <w:color w:val="auto"/>
                <w:szCs w:val="21"/>
                <w:highlight w:val="none"/>
              </w:rPr>
              <w:t>、技术指标的响应程度的评审参考投标人提供的技术偏离表，以投标人提供的技术支持资料为准。</w:t>
            </w:r>
            <w:r>
              <w:rPr>
                <w:rFonts w:hint="eastAsia" w:ascii="宋体" w:hAnsi="宋体" w:cs="宋体"/>
                <w:b/>
                <w:bCs/>
                <w:color w:val="auto"/>
                <w:szCs w:val="21"/>
                <w:highlight w:val="none"/>
              </w:rPr>
              <w:t>（</w:t>
            </w:r>
            <w:r>
              <w:rPr>
                <w:rFonts w:ascii="宋体" w:hAnsi="宋体" w:cs="宋体"/>
                <w:b/>
                <w:bCs/>
                <w:color w:val="auto"/>
                <w:szCs w:val="21"/>
                <w:highlight w:val="none"/>
              </w:rPr>
              <w:t>技术支持资料</w:t>
            </w:r>
            <w:r>
              <w:rPr>
                <w:rFonts w:hint="eastAsia" w:ascii="宋体" w:hAnsi="宋体" w:cs="宋体"/>
                <w:b/>
                <w:bCs/>
                <w:color w:val="auto"/>
                <w:szCs w:val="21"/>
                <w:highlight w:val="none"/>
              </w:rPr>
              <w:t>包含但不限于：检验报告、认证证书、证明文件、制造厂商发布的最新技术资料彩页等）</w:t>
            </w:r>
          </w:p>
        </w:tc>
      </w:tr>
      <w:tr w14:paraId="7D992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vAlign w:val="center"/>
          </w:tcPr>
          <w:p w14:paraId="73FA726B">
            <w:pPr>
              <w:shd w:val="clear"/>
              <w:spacing w:line="360" w:lineRule="auto"/>
              <w:jc w:val="center"/>
              <w:rPr>
                <w:b/>
                <w:bCs/>
                <w:color w:val="auto"/>
                <w:szCs w:val="21"/>
                <w:highlight w:val="none"/>
              </w:rPr>
            </w:pPr>
          </w:p>
        </w:tc>
        <w:tc>
          <w:tcPr>
            <w:tcW w:w="655" w:type="dxa"/>
            <w:vMerge w:val="continue"/>
            <w:vAlign w:val="center"/>
          </w:tcPr>
          <w:p w14:paraId="0307B727">
            <w:pPr>
              <w:shd w:val="clear"/>
              <w:spacing w:line="360" w:lineRule="auto"/>
              <w:jc w:val="center"/>
              <w:rPr>
                <w:b/>
                <w:bCs/>
                <w:color w:val="auto"/>
                <w:szCs w:val="21"/>
                <w:highlight w:val="none"/>
              </w:rPr>
            </w:pPr>
          </w:p>
        </w:tc>
        <w:tc>
          <w:tcPr>
            <w:tcW w:w="1824" w:type="dxa"/>
            <w:vAlign w:val="center"/>
          </w:tcPr>
          <w:p w14:paraId="20CE088C">
            <w:pPr>
              <w:shd w:val="clea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节能、环保产品评分</w:t>
            </w:r>
          </w:p>
          <w:p w14:paraId="3D61FB63">
            <w:pPr>
              <w:shd w:val="clear"/>
              <w:spacing w:line="440" w:lineRule="exact"/>
              <w:jc w:val="center"/>
              <w:rPr>
                <w:rFonts w:ascii="宋体" w:hAnsi="宋体" w:cs="宋体"/>
                <w:bCs/>
                <w:color w:val="auto"/>
                <w:szCs w:val="21"/>
                <w:highlight w:val="none"/>
              </w:rPr>
            </w:pPr>
            <w:r>
              <w:rPr>
                <w:rFonts w:hint="eastAsia" w:ascii="宋体" w:hAnsi="宋体" w:cs="宋体"/>
                <w:b/>
                <w:color w:val="auto"/>
                <w:szCs w:val="21"/>
                <w:highlight w:val="none"/>
              </w:rPr>
              <w:t>（满分1分）</w:t>
            </w:r>
          </w:p>
        </w:tc>
        <w:tc>
          <w:tcPr>
            <w:tcW w:w="6594" w:type="dxa"/>
          </w:tcPr>
          <w:p w14:paraId="67C0CA74">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投标产品认定为节能产品（非政府强制采购节能产品）的得0.5分，环保产品的得0.5分。</w:t>
            </w:r>
          </w:p>
        </w:tc>
      </w:tr>
      <w:tr w14:paraId="292CB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3" w:hRule="atLeast"/>
          <w:jc w:val="center"/>
        </w:trPr>
        <w:tc>
          <w:tcPr>
            <w:tcW w:w="841" w:type="dxa"/>
            <w:vMerge w:val="restart"/>
            <w:vAlign w:val="center"/>
          </w:tcPr>
          <w:p w14:paraId="0ADE7651">
            <w:pPr>
              <w:shd w:val="clear"/>
              <w:spacing w:line="360" w:lineRule="auto"/>
              <w:jc w:val="center"/>
              <w:rPr>
                <w:b/>
                <w:bCs/>
                <w:color w:val="auto"/>
                <w:szCs w:val="21"/>
                <w:highlight w:val="none"/>
              </w:rPr>
            </w:pPr>
            <w:r>
              <w:rPr>
                <w:b/>
                <w:bCs/>
                <w:color w:val="auto"/>
                <w:szCs w:val="21"/>
                <w:highlight w:val="none"/>
              </w:rPr>
              <w:t>F3</w:t>
            </w:r>
          </w:p>
          <w:p w14:paraId="5E240C0E">
            <w:pPr>
              <w:shd w:val="clear"/>
              <w:spacing w:line="360" w:lineRule="auto"/>
              <w:jc w:val="center"/>
              <w:rPr>
                <w:b/>
                <w:bCs/>
                <w:color w:val="auto"/>
                <w:szCs w:val="21"/>
                <w:highlight w:val="none"/>
              </w:rPr>
            </w:pPr>
            <w:r>
              <w:rPr>
                <w:b/>
                <w:bCs/>
                <w:color w:val="auto"/>
                <w:szCs w:val="21"/>
                <w:highlight w:val="none"/>
              </w:rPr>
              <w:t>商务部分</w:t>
            </w:r>
          </w:p>
        </w:tc>
        <w:tc>
          <w:tcPr>
            <w:tcW w:w="655" w:type="dxa"/>
            <w:vMerge w:val="restart"/>
            <w:vAlign w:val="center"/>
          </w:tcPr>
          <w:p w14:paraId="61B4D059">
            <w:pPr>
              <w:shd w:val="clear"/>
              <w:spacing w:line="360" w:lineRule="auto"/>
              <w:jc w:val="center"/>
              <w:rPr>
                <w:b/>
                <w:bCs/>
                <w:color w:val="auto"/>
                <w:szCs w:val="21"/>
                <w:highlight w:val="none"/>
              </w:rPr>
            </w:pPr>
            <w:r>
              <w:rPr>
                <w:rFonts w:hint="eastAsia"/>
                <w:b/>
                <w:bCs/>
                <w:color w:val="auto"/>
                <w:szCs w:val="21"/>
                <w:highlight w:val="none"/>
              </w:rPr>
              <w:t>24</w:t>
            </w:r>
            <w:r>
              <w:rPr>
                <w:b/>
                <w:bCs/>
                <w:color w:val="auto"/>
                <w:szCs w:val="21"/>
                <w:highlight w:val="none"/>
              </w:rPr>
              <w:t>分</w:t>
            </w:r>
          </w:p>
        </w:tc>
        <w:tc>
          <w:tcPr>
            <w:tcW w:w="1824" w:type="dxa"/>
            <w:vAlign w:val="center"/>
          </w:tcPr>
          <w:p w14:paraId="6C65B218">
            <w:pPr>
              <w:shd w:val="clear"/>
              <w:spacing w:line="360" w:lineRule="auto"/>
              <w:jc w:val="center"/>
              <w:rPr>
                <w:b/>
                <w:bCs/>
                <w:color w:val="auto"/>
                <w:szCs w:val="21"/>
                <w:highlight w:val="none"/>
              </w:rPr>
            </w:pPr>
            <w:r>
              <w:rPr>
                <w:rFonts w:hint="eastAsia"/>
                <w:b/>
                <w:bCs/>
                <w:color w:val="auto"/>
                <w:szCs w:val="21"/>
                <w:highlight w:val="none"/>
              </w:rPr>
              <w:t>供货方案评审</w:t>
            </w:r>
          </w:p>
          <w:p w14:paraId="761068B1">
            <w:pPr>
              <w:shd w:val="clear"/>
              <w:spacing w:line="360" w:lineRule="auto"/>
              <w:jc w:val="center"/>
              <w:rPr>
                <w:b/>
                <w:bCs/>
                <w:color w:val="auto"/>
                <w:szCs w:val="21"/>
                <w:highlight w:val="none"/>
              </w:rPr>
            </w:pPr>
            <w:r>
              <w:rPr>
                <w:rFonts w:hint="eastAsia"/>
                <w:b/>
                <w:bCs/>
                <w:color w:val="auto"/>
                <w:szCs w:val="21"/>
                <w:highlight w:val="none"/>
              </w:rPr>
              <w:t>（满分6分）</w:t>
            </w:r>
          </w:p>
        </w:tc>
        <w:tc>
          <w:tcPr>
            <w:tcW w:w="6594" w:type="dxa"/>
          </w:tcPr>
          <w:p w14:paraId="43F8798B">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一、根据投标申请人提供的以下4项方案进行综合评审，评审规则如下：（满分6分）</w:t>
            </w:r>
          </w:p>
          <w:p w14:paraId="29B2A0C4">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①供货方案。</w:t>
            </w:r>
          </w:p>
          <w:p w14:paraId="32D0823B">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②安装调试方案。</w:t>
            </w:r>
          </w:p>
          <w:p w14:paraId="7C691CAE">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③供货进度方案。</w:t>
            </w:r>
          </w:p>
          <w:p w14:paraId="72F621F7">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④保障措施。</w:t>
            </w:r>
          </w:p>
          <w:p w14:paraId="2EFE5CAF">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注：以上4项方案内容均有描述且符合项目需求的得6分，每缺少一项要求的内容扣1.5分，扣完为止；每有一项要求的方案内容有错误或逻辑错误的扣0.2分，每有一项要求的方案内容有缺漏或不切合项目实际的扣0.5分。不提供方案的不得分。</w:t>
            </w:r>
          </w:p>
        </w:tc>
      </w:tr>
      <w:tr w14:paraId="3D284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vAlign w:val="center"/>
          </w:tcPr>
          <w:p w14:paraId="65104C90">
            <w:pPr>
              <w:shd w:val="clear"/>
              <w:spacing w:line="360" w:lineRule="auto"/>
              <w:jc w:val="center"/>
              <w:rPr>
                <w:b/>
                <w:bCs/>
                <w:color w:val="auto"/>
                <w:szCs w:val="21"/>
                <w:highlight w:val="none"/>
              </w:rPr>
            </w:pPr>
          </w:p>
        </w:tc>
        <w:tc>
          <w:tcPr>
            <w:tcW w:w="655" w:type="dxa"/>
            <w:vMerge w:val="continue"/>
            <w:vAlign w:val="center"/>
          </w:tcPr>
          <w:p w14:paraId="707F1830">
            <w:pPr>
              <w:shd w:val="clear"/>
              <w:spacing w:line="360" w:lineRule="auto"/>
              <w:jc w:val="center"/>
              <w:rPr>
                <w:b/>
                <w:bCs/>
                <w:color w:val="auto"/>
                <w:szCs w:val="21"/>
                <w:highlight w:val="none"/>
              </w:rPr>
            </w:pPr>
          </w:p>
        </w:tc>
        <w:tc>
          <w:tcPr>
            <w:tcW w:w="1824" w:type="dxa"/>
            <w:vAlign w:val="center"/>
          </w:tcPr>
          <w:p w14:paraId="311F82C5">
            <w:pPr>
              <w:shd w:val="clea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人员培训方案评审</w:t>
            </w:r>
          </w:p>
          <w:p w14:paraId="732FA6D0">
            <w:pPr>
              <w:shd w:val="clear"/>
              <w:spacing w:line="360" w:lineRule="auto"/>
              <w:jc w:val="center"/>
              <w:rPr>
                <w:b/>
                <w:bCs/>
                <w:color w:val="auto"/>
                <w:szCs w:val="21"/>
                <w:highlight w:val="none"/>
              </w:rPr>
            </w:pPr>
            <w:r>
              <w:rPr>
                <w:rFonts w:hint="eastAsia" w:ascii="宋体" w:hAnsi="宋体" w:cs="宋体"/>
                <w:b/>
                <w:bCs/>
                <w:color w:val="auto"/>
                <w:szCs w:val="21"/>
                <w:highlight w:val="none"/>
              </w:rPr>
              <w:t>（满分6分）</w:t>
            </w:r>
          </w:p>
        </w:tc>
        <w:tc>
          <w:tcPr>
            <w:tcW w:w="6594" w:type="dxa"/>
          </w:tcPr>
          <w:p w14:paraId="372B51F7">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一、根据投标申请人提供的以下4项方案进行综合评审，评审规则如下：（满分6分）</w:t>
            </w:r>
          </w:p>
          <w:p w14:paraId="1B893118">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①培训目标</w:t>
            </w:r>
          </w:p>
          <w:p w14:paraId="2124832C">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②培训大纲</w:t>
            </w:r>
          </w:p>
          <w:p w14:paraId="654A3786">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③培训计划</w:t>
            </w:r>
          </w:p>
          <w:p w14:paraId="5282FF8D">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④培训内容</w:t>
            </w:r>
          </w:p>
          <w:p w14:paraId="7A3FAA06">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注：以上4项方案内容均有描述且符合项目需求的得6分，每缺少一项要求的内容扣1.5分，扣完为止；每有一项要求的方案内容有错误或逻辑错误的扣0.2分，每有一项要求的方案内容有缺漏或不切合项目实际的扣0.5分。不提供方案的不得分。</w:t>
            </w:r>
          </w:p>
        </w:tc>
      </w:tr>
      <w:tr w14:paraId="68A0B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vAlign w:val="center"/>
          </w:tcPr>
          <w:p w14:paraId="5A979582">
            <w:pPr>
              <w:shd w:val="clear"/>
              <w:spacing w:line="360" w:lineRule="auto"/>
              <w:jc w:val="center"/>
              <w:rPr>
                <w:b/>
                <w:bCs/>
                <w:color w:val="auto"/>
                <w:szCs w:val="21"/>
                <w:highlight w:val="none"/>
              </w:rPr>
            </w:pPr>
          </w:p>
        </w:tc>
        <w:tc>
          <w:tcPr>
            <w:tcW w:w="655" w:type="dxa"/>
            <w:vMerge w:val="continue"/>
            <w:vAlign w:val="center"/>
          </w:tcPr>
          <w:p w14:paraId="32AB2705">
            <w:pPr>
              <w:shd w:val="clear"/>
              <w:spacing w:line="360" w:lineRule="auto"/>
              <w:jc w:val="center"/>
              <w:rPr>
                <w:b/>
                <w:bCs/>
                <w:color w:val="auto"/>
                <w:szCs w:val="21"/>
                <w:highlight w:val="none"/>
              </w:rPr>
            </w:pPr>
          </w:p>
        </w:tc>
        <w:tc>
          <w:tcPr>
            <w:tcW w:w="1824" w:type="dxa"/>
            <w:vAlign w:val="center"/>
          </w:tcPr>
          <w:p w14:paraId="3188D840">
            <w:pPr>
              <w:shd w:val="clea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质量保证及承诺</w:t>
            </w:r>
          </w:p>
          <w:p w14:paraId="30683998">
            <w:pPr>
              <w:shd w:val="clear"/>
              <w:spacing w:line="360" w:lineRule="auto"/>
              <w:jc w:val="center"/>
              <w:rPr>
                <w:b/>
                <w:bCs/>
                <w:color w:val="auto"/>
                <w:szCs w:val="21"/>
                <w:highlight w:val="none"/>
              </w:rPr>
            </w:pPr>
            <w:r>
              <w:rPr>
                <w:rFonts w:hint="eastAsia" w:ascii="宋体" w:hAnsi="宋体" w:cs="宋体"/>
                <w:b/>
                <w:bCs/>
                <w:color w:val="auto"/>
                <w:szCs w:val="21"/>
                <w:highlight w:val="none"/>
              </w:rPr>
              <w:t>（满分6分）</w:t>
            </w:r>
          </w:p>
        </w:tc>
        <w:tc>
          <w:tcPr>
            <w:tcW w:w="6594" w:type="dxa"/>
          </w:tcPr>
          <w:p w14:paraId="0596BB7A">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一、根据投标申请人提供的以下4项方案进行综合评审，评审规则如下：（满分6分）</w:t>
            </w:r>
          </w:p>
          <w:p w14:paraId="46A49B26">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①质量保证及承诺</w:t>
            </w:r>
          </w:p>
          <w:p w14:paraId="3802BD9F">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②质量保障措施</w:t>
            </w:r>
          </w:p>
          <w:p w14:paraId="71B2ECAF">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③若出现质量问题的详细的惩罚方案</w:t>
            </w:r>
          </w:p>
          <w:p w14:paraId="607A9A02">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④违约措施</w:t>
            </w:r>
          </w:p>
          <w:p w14:paraId="75E7D301">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注：以上4项方案内容均有描述且符合项目需求的得6分，每缺少一项要求的内容扣1.5分，扣完为止；每有一项要求的方案内容有错误或逻辑错误的扣0.2分，每有一项要求的方案内容有缺漏或不切合项目实际的扣0.5分。不提供方案的不得分。</w:t>
            </w:r>
          </w:p>
        </w:tc>
      </w:tr>
      <w:tr w14:paraId="50DFA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vAlign w:val="center"/>
          </w:tcPr>
          <w:p w14:paraId="7C74221C">
            <w:pPr>
              <w:shd w:val="clear"/>
              <w:spacing w:line="360" w:lineRule="auto"/>
              <w:jc w:val="center"/>
              <w:rPr>
                <w:b/>
                <w:bCs/>
                <w:color w:val="auto"/>
                <w:szCs w:val="21"/>
                <w:highlight w:val="none"/>
              </w:rPr>
            </w:pPr>
          </w:p>
        </w:tc>
        <w:tc>
          <w:tcPr>
            <w:tcW w:w="655" w:type="dxa"/>
            <w:vMerge w:val="continue"/>
            <w:vAlign w:val="center"/>
          </w:tcPr>
          <w:p w14:paraId="74E63593">
            <w:pPr>
              <w:shd w:val="clear"/>
              <w:spacing w:line="360" w:lineRule="auto"/>
              <w:jc w:val="center"/>
              <w:rPr>
                <w:b/>
                <w:bCs/>
                <w:color w:val="auto"/>
                <w:szCs w:val="21"/>
                <w:highlight w:val="none"/>
              </w:rPr>
            </w:pPr>
          </w:p>
        </w:tc>
        <w:tc>
          <w:tcPr>
            <w:tcW w:w="1824" w:type="dxa"/>
            <w:vAlign w:val="center"/>
          </w:tcPr>
          <w:p w14:paraId="6474F040">
            <w:pPr>
              <w:shd w:val="clea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售后服务承诺评审</w:t>
            </w:r>
          </w:p>
          <w:p w14:paraId="7758D7AD">
            <w:pPr>
              <w:shd w:val="clea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（满分3分）</w:t>
            </w:r>
          </w:p>
        </w:tc>
        <w:tc>
          <w:tcPr>
            <w:tcW w:w="6594" w:type="dxa"/>
            <w:vAlign w:val="center"/>
          </w:tcPr>
          <w:p w14:paraId="5F3998E2">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一、根据投标申请人提供的以下3项方案进行评审，评审规则如下：（满分3分）</w:t>
            </w:r>
          </w:p>
          <w:p w14:paraId="14643B08">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①中标后拟派的售后服务人员</w:t>
            </w:r>
          </w:p>
          <w:p w14:paraId="78D5B7D9">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②售后服务承诺</w:t>
            </w:r>
          </w:p>
          <w:p w14:paraId="2C81E94E">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③售后服务保障措施</w:t>
            </w:r>
          </w:p>
          <w:p w14:paraId="5ED51470">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注：以上3项方案内容均有描述且符合项目需求的得3分，每缺少一项要求的内容扣1分，扣完为止；每有一项要求的方案内容有错误或逻辑错误的扣0.2分，每有一项要求的方案内容有缺漏或不切合项目实际的扣0.5分。不提供方案的不得分。</w:t>
            </w:r>
          </w:p>
        </w:tc>
      </w:tr>
      <w:tr w14:paraId="43AC4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1" w:type="dxa"/>
            <w:vMerge w:val="continue"/>
            <w:vAlign w:val="center"/>
          </w:tcPr>
          <w:p w14:paraId="0133FCF3">
            <w:pPr>
              <w:shd w:val="clear"/>
              <w:spacing w:line="360" w:lineRule="auto"/>
              <w:jc w:val="center"/>
              <w:rPr>
                <w:b/>
                <w:bCs/>
                <w:color w:val="auto"/>
                <w:szCs w:val="21"/>
                <w:highlight w:val="none"/>
              </w:rPr>
            </w:pPr>
          </w:p>
        </w:tc>
        <w:tc>
          <w:tcPr>
            <w:tcW w:w="655" w:type="dxa"/>
            <w:vMerge w:val="continue"/>
            <w:vAlign w:val="center"/>
          </w:tcPr>
          <w:p w14:paraId="3F11F528">
            <w:pPr>
              <w:shd w:val="clear"/>
              <w:spacing w:line="360" w:lineRule="auto"/>
              <w:jc w:val="center"/>
              <w:rPr>
                <w:b/>
                <w:bCs/>
                <w:color w:val="auto"/>
                <w:szCs w:val="21"/>
                <w:highlight w:val="none"/>
              </w:rPr>
            </w:pPr>
          </w:p>
        </w:tc>
        <w:tc>
          <w:tcPr>
            <w:tcW w:w="1824" w:type="dxa"/>
            <w:vAlign w:val="center"/>
          </w:tcPr>
          <w:p w14:paraId="0FEA8C8D">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业绩评审</w:t>
            </w:r>
          </w:p>
          <w:p w14:paraId="5A6FD113">
            <w:pPr>
              <w:pStyle w:val="16"/>
              <w:shd w:val="clear"/>
              <w:spacing w:after="0" w:line="240" w:lineRule="auto"/>
              <w:ind w:left="0" w:leftChars="0"/>
              <w:jc w:val="center"/>
              <w:rPr>
                <w:rFonts w:ascii="宋体" w:hAnsi="宋体" w:cs="宋体"/>
                <w:b/>
                <w:bCs/>
                <w:color w:val="auto"/>
                <w:szCs w:val="21"/>
                <w:highlight w:val="none"/>
              </w:rPr>
            </w:pPr>
            <w:r>
              <w:rPr>
                <w:rFonts w:hint="eastAsia"/>
                <w:b/>
                <w:bCs/>
                <w:color w:val="auto"/>
                <w:highlight w:val="none"/>
              </w:rPr>
              <w:t>（满分3分）</w:t>
            </w:r>
          </w:p>
        </w:tc>
        <w:tc>
          <w:tcPr>
            <w:tcW w:w="6594" w:type="dxa"/>
            <w:tcBorders>
              <w:bottom w:val="single" w:color="auto" w:sz="4" w:space="0"/>
            </w:tcBorders>
            <w:vAlign w:val="center"/>
          </w:tcPr>
          <w:p w14:paraId="1AE9F094">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根据投标人自身类似产品销售业绩进行评审，评审规则如下：</w:t>
            </w:r>
          </w:p>
          <w:p w14:paraId="5E8F0337">
            <w:pPr>
              <w:shd w:val="clear"/>
              <w:spacing w:line="440" w:lineRule="exact"/>
              <w:rPr>
                <w:rFonts w:ascii="宋体" w:hAnsi="宋体" w:cs="宋体"/>
                <w:bCs/>
                <w:color w:val="auto"/>
                <w:szCs w:val="21"/>
                <w:highlight w:val="none"/>
              </w:rPr>
            </w:pPr>
            <w:r>
              <w:rPr>
                <w:rFonts w:hint="eastAsia" w:ascii="宋体" w:hAnsi="宋体" w:cs="宋体"/>
                <w:bCs/>
                <w:color w:val="auto"/>
                <w:szCs w:val="21"/>
                <w:highlight w:val="none"/>
              </w:rPr>
              <w:t>1.投标人自身每提供一个近3年（2021年至今）类似产品销售业绩的证明材料（如中标通知书或合同扫描件等有效证明文件，扫描件须加盖电子公章）得1分，此部分最多得3分。</w:t>
            </w:r>
          </w:p>
          <w:p w14:paraId="6BF80EED">
            <w:pPr>
              <w:shd w:val="clear"/>
              <w:spacing w:line="440" w:lineRule="exact"/>
              <w:rPr>
                <w:rFonts w:ascii="宋体" w:hAnsi="宋体"/>
                <w:b/>
                <w:bCs/>
                <w:color w:val="auto"/>
                <w:szCs w:val="21"/>
                <w:highlight w:val="none"/>
              </w:rPr>
            </w:pPr>
            <w:r>
              <w:rPr>
                <w:rFonts w:hint="eastAsia" w:ascii="宋体" w:hAnsi="宋体" w:cs="宋体"/>
                <w:bCs/>
                <w:color w:val="auto"/>
                <w:szCs w:val="21"/>
                <w:highlight w:val="none"/>
              </w:rPr>
              <w:t>2.未提供类似产品销售业绩的证明材料，或提供的材料无效的不得分。</w:t>
            </w:r>
          </w:p>
        </w:tc>
      </w:tr>
      <w:bookmarkEnd w:id="233"/>
      <w:bookmarkEnd w:id="234"/>
    </w:tbl>
    <w:p w14:paraId="11B77008">
      <w:pPr>
        <w:widowControl/>
        <w:shd w:val="clear"/>
        <w:jc w:val="left"/>
        <w:rPr>
          <w:rFonts w:ascii="宋体" w:hAnsi="宋体"/>
          <w:b/>
          <w:bCs/>
          <w:color w:val="auto"/>
          <w:sz w:val="32"/>
          <w:szCs w:val="32"/>
          <w:highlight w:val="none"/>
        </w:rPr>
      </w:pPr>
      <w:r>
        <w:rPr>
          <w:rFonts w:ascii="宋体" w:hAnsi="宋体"/>
          <w:b/>
          <w:bCs/>
          <w:color w:val="auto"/>
          <w:sz w:val="32"/>
          <w:szCs w:val="32"/>
          <w:highlight w:val="none"/>
        </w:rPr>
        <w:br w:type="page"/>
      </w:r>
    </w:p>
    <w:p w14:paraId="0D1EAC96">
      <w:pPr>
        <w:pStyle w:val="12"/>
        <w:shd w:val="clear"/>
        <w:rPr>
          <w:color w:val="auto"/>
          <w:highlight w:val="none"/>
        </w:rPr>
      </w:pPr>
    </w:p>
    <w:p w14:paraId="0C0C7FF5">
      <w:pPr>
        <w:shd w:val="clear"/>
        <w:spacing w:before="120"/>
        <w:jc w:val="center"/>
        <w:rPr>
          <w:rFonts w:ascii="宋体" w:hAnsi="宋体"/>
          <w:b/>
          <w:bCs/>
          <w:color w:val="auto"/>
          <w:sz w:val="40"/>
          <w:szCs w:val="44"/>
          <w:highlight w:val="none"/>
        </w:rPr>
      </w:pPr>
      <w:r>
        <w:rPr>
          <w:rFonts w:hint="eastAsia" w:ascii="宋体" w:hAnsi="宋体"/>
          <w:b/>
          <w:bCs/>
          <w:color w:val="auto"/>
          <w:sz w:val="32"/>
          <w:szCs w:val="32"/>
          <w:highlight w:val="none"/>
        </w:rPr>
        <w:t>评标程序及评审办法</w:t>
      </w:r>
    </w:p>
    <w:p w14:paraId="5612EFE3">
      <w:pPr>
        <w:shd w:val="clear"/>
        <w:tabs>
          <w:tab w:val="left" w:pos="843"/>
        </w:tabs>
        <w:spacing w:line="460" w:lineRule="exact"/>
        <w:jc w:val="left"/>
        <w:rPr>
          <w:rFonts w:ascii="宋体" w:hAnsi="宋体"/>
          <w:b/>
          <w:color w:val="auto"/>
          <w:sz w:val="24"/>
          <w:highlight w:val="none"/>
        </w:rPr>
      </w:pPr>
    </w:p>
    <w:p w14:paraId="5F95DBD4">
      <w:pPr>
        <w:shd w:val="clear"/>
        <w:spacing w:line="360" w:lineRule="auto"/>
        <w:jc w:val="left"/>
        <w:outlineLvl w:val="2"/>
        <w:rPr>
          <w:b/>
          <w:color w:val="auto"/>
          <w:kern w:val="0"/>
          <w:szCs w:val="21"/>
          <w:highlight w:val="none"/>
        </w:rPr>
      </w:pPr>
      <w:bookmarkStart w:id="235" w:name="_Toc22854"/>
      <w:r>
        <w:rPr>
          <w:b/>
          <w:color w:val="auto"/>
          <w:kern w:val="0"/>
          <w:szCs w:val="21"/>
          <w:highlight w:val="none"/>
        </w:rPr>
        <w:t>1</w:t>
      </w:r>
      <w:r>
        <w:rPr>
          <w:rFonts w:hint="eastAsia"/>
          <w:b/>
          <w:color w:val="auto"/>
          <w:kern w:val="0"/>
          <w:szCs w:val="21"/>
          <w:highlight w:val="none"/>
        </w:rPr>
        <w:t>.</w:t>
      </w:r>
      <w:r>
        <w:rPr>
          <w:b/>
          <w:color w:val="auto"/>
          <w:kern w:val="0"/>
          <w:szCs w:val="21"/>
          <w:highlight w:val="none"/>
        </w:rPr>
        <w:t>总则</w:t>
      </w:r>
      <w:bookmarkEnd w:id="235"/>
    </w:p>
    <w:p w14:paraId="11B9EED9">
      <w:pPr>
        <w:pStyle w:val="61"/>
        <w:shd w:val="clear"/>
        <w:spacing w:line="360" w:lineRule="auto"/>
        <w:ind w:firstLine="424" w:firstLineChars="202"/>
        <w:jc w:val="left"/>
        <w:rPr>
          <w:rFonts w:ascii="宋体" w:eastAsia="宋体"/>
          <w:color w:val="auto"/>
          <w:sz w:val="21"/>
          <w:szCs w:val="21"/>
          <w:highlight w:val="none"/>
        </w:rPr>
      </w:pPr>
      <w:r>
        <w:rPr>
          <w:rFonts w:hint="eastAsia" w:ascii="宋体" w:eastAsia="宋体"/>
          <w:color w:val="auto"/>
          <w:sz w:val="21"/>
          <w:szCs w:val="21"/>
          <w:highlight w:val="none"/>
        </w:rPr>
        <w:t>根据《中华人民共和国政府采购法》、《中华人民共和国政府采购法实施条例》、《政府采购货物和服务招标投标管理办法》等有关法律、法规和规章的规定，制定本办法。</w:t>
      </w:r>
    </w:p>
    <w:p w14:paraId="33090D56">
      <w:pPr>
        <w:shd w:val="clear"/>
        <w:spacing w:line="360" w:lineRule="auto"/>
        <w:jc w:val="left"/>
        <w:outlineLvl w:val="2"/>
        <w:rPr>
          <w:b/>
          <w:color w:val="auto"/>
          <w:kern w:val="0"/>
          <w:szCs w:val="21"/>
          <w:highlight w:val="none"/>
        </w:rPr>
      </w:pPr>
      <w:bookmarkStart w:id="236" w:name="_Toc32055"/>
      <w:r>
        <w:rPr>
          <w:rFonts w:hint="eastAsia"/>
          <w:b/>
          <w:color w:val="auto"/>
          <w:kern w:val="0"/>
          <w:szCs w:val="21"/>
          <w:highlight w:val="none"/>
        </w:rPr>
        <w:t>2.评审机构</w:t>
      </w:r>
      <w:bookmarkEnd w:id="236"/>
    </w:p>
    <w:p w14:paraId="58872980">
      <w:pPr>
        <w:pStyle w:val="61"/>
        <w:shd w:val="clear"/>
        <w:spacing w:line="360" w:lineRule="auto"/>
        <w:ind w:firstLine="424" w:firstLineChars="202"/>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2.1本次</w:t>
      </w:r>
      <w:r>
        <w:rPr>
          <w:rFonts w:hint="eastAsia" w:ascii="Times New Roman" w:hAnsi="Times New Roman" w:eastAsia="宋体"/>
          <w:color w:val="auto"/>
          <w:sz w:val="21"/>
          <w:szCs w:val="21"/>
          <w:highlight w:val="none"/>
        </w:rPr>
        <w:t>公开招标</w:t>
      </w:r>
      <w:r>
        <w:rPr>
          <w:rFonts w:ascii="Times New Roman" w:hAnsi="Times New Roman" w:eastAsia="宋体"/>
          <w:color w:val="auto"/>
          <w:sz w:val="21"/>
          <w:szCs w:val="21"/>
          <w:highlight w:val="none"/>
        </w:rPr>
        <w:t>项目依法组建评标委员会</w:t>
      </w:r>
      <w:r>
        <w:rPr>
          <w:rFonts w:hint="eastAsia" w:ascii="Times New Roman" w:hAnsi="Times New Roman" w:eastAsia="宋体"/>
          <w:color w:val="auto"/>
          <w:sz w:val="21"/>
          <w:szCs w:val="21"/>
          <w:highlight w:val="none"/>
        </w:rPr>
        <w:t>。</w:t>
      </w:r>
    </w:p>
    <w:p w14:paraId="1C037117">
      <w:pPr>
        <w:pStyle w:val="61"/>
        <w:shd w:val="clear"/>
        <w:spacing w:line="360" w:lineRule="auto"/>
        <w:ind w:firstLine="424" w:firstLineChars="202"/>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2.2</w:t>
      </w:r>
      <w:r>
        <w:rPr>
          <w:rFonts w:hint="eastAsia" w:ascii="Times New Roman" w:hAnsi="Times New Roman" w:eastAsia="宋体"/>
          <w:color w:val="auto"/>
          <w:sz w:val="21"/>
          <w:szCs w:val="21"/>
          <w:highlight w:val="none"/>
        </w:rPr>
        <w:t>评标委员会由采购人代表和评审专家共5人及以上单数组成，其中评审专家人数不得少于评标委员会成员总数的2/3</w:t>
      </w:r>
      <w:r>
        <w:rPr>
          <w:rFonts w:ascii="Times New Roman" w:hAnsi="Times New Roman" w:eastAsia="宋体"/>
          <w:color w:val="auto"/>
          <w:sz w:val="21"/>
          <w:szCs w:val="21"/>
          <w:highlight w:val="none"/>
        </w:rPr>
        <w:t>。采购人代表不得以评审专家身份参加本部门或本单位采购项目的评审。采购代理机构人员不得参加本机构代理的采购项目的评审。</w:t>
      </w:r>
    </w:p>
    <w:p w14:paraId="067C61F7">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2.3</w:t>
      </w:r>
      <w:r>
        <w:rPr>
          <w:rFonts w:ascii="Times New Roman" w:hAnsi="Times New Roman" w:eastAsia="宋体"/>
          <w:color w:val="auto"/>
          <w:sz w:val="21"/>
          <w:szCs w:val="21"/>
          <w:highlight w:val="none"/>
        </w:rPr>
        <w:t>评标委员会应当推选组长，采购人代表不得担任组长。采购人委派代表参加</w:t>
      </w:r>
      <w:r>
        <w:rPr>
          <w:rFonts w:hint="eastAsia" w:ascii="Times New Roman" w:hAnsi="Times New Roman" w:eastAsia="宋体"/>
          <w:color w:val="auto"/>
          <w:sz w:val="21"/>
          <w:szCs w:val="21"/>
          <w:highlight w:val="none"/>
        </w:rPr>
        <w:t>评标</w:t>
      </w:r>
      <w:r>
        <w:rPr>
          <w:rFonts w:ascii="Times New Roman" w:hAnsi="Times New Roman" w:eastAsia="宋体"/>
          <w:color w:val="auto"/>
          <w:sz w:val="21"/>
          <w:szCs w:val="21"/>
          <w:highlight w:val="none"/>
        </w:rPr>
        <w:t>会议的，应当向采购代理机构出具授权函。除授权代表外，采购人可以委派纪检监察等相关人员进入</w:t>
      </w:r>
      <w:r>
        <w:rPr>
          <w:rFonts w:hint="eastAsia" w:ascii="Times New Roman" w:hAnsi="Times New Roman" w:eastAsia="宋体"/>
          <w:color w:val="auto"/>
          <w:sz w:val="21"/>
          <w:szCs w:val="21"/>
          <w:highlight w:val="none"/>
        </w:rPr>
        <w:t>评标</w:t>
      </w:r>
      <w:r>
        <w:rPr>
          <w:rFonts w:ascii="Times New Roman" w:hAnsi="Times New Roman" w:eastAsia="宋体"/>
          <w:color w:val="auto"/>
          <w:sz w:val="21"/>
          <w:szCs w:val="21"/>
          <w:highlight w:val="none"/>
        </w:rPr>
        <w:t>现场，对</w:t>
      </w:r>
      <w:r>
        <w:rPr>
          <w:rFonts w:hint="eastAsia" w:ascii="Times New Roman" w:hAnsi="Times New Roman" w:eastAsia="宋体"/>
          <w:color w:val="auto"/>
          <w:sz w:val="21"/>
          <w:szCs w:val="21"/>
          <w:highlight w:val="none"/>
        </w:rPr>
        <w:t>评标</w:t>
      </w:r>
      <w:r>
        <w:rPr>
          <w:rFonts w:ascii="Times New Roman" w:hAnsi="Times New Roman" w:eastAsia="宋体"/>
          <w:color w:val="auto"/>
          <w:sz w:val="21"/>
          <w:szCs w:val="21"/>
          <w:highlight w:val="none"/>
        </w:rPr>
        <w:t>工作实施监督。</w:t>
      </w:r>
    </w:p>
    <w:p w14:paraId="11E75EC3">
      <w:pPr>
        <w:shd w:val="clear"/>
        <w:spacing w:line="360" w:lineRule="auto"/>
        <w:jc w:val="left"/>
        <w:outlineLvl w:val="2"/>
        <w:rPr>
          <w:b/>
          <w:color w:val="auto"/>
          <w:kern w:val="0"/>
          <w:szCs w:val="21"/>
          <w:highlight w:val="none"/>
        </w:rPr>
      </w:pPr>
      <w:bookmarkStart w:id="237" w:name="_Toc28661"/>
      <w:r>
        <w:rPr>
          <w:rFonts w:hint="eastAsia"/>
          <w:b/>
          <w:color w:val="auto"/>
          <w:kern w:val="0"/>
          <w:szCs w:val="21"/>
          <w:highlight w:val="none"/>
        </w:rPr>
        <w:t>3.评审原则</w:t>
      </w:r>
      <w:bookmarkEnd w:id="237"/>
    </w:p>
    <w:p w14:paraId="45609D64">
      <w:pPr>
        <w:pStyle w:val="61"/>
        <w:shd w:val="clear"/>
        <w:spacing w:line="360" w:lineRule="auto"/>
        <w:ind w:firstLine="424" w:firstLineChars="202"/>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3.1坚持公平、公正、科学、择优的原则，本着实事求是的精神，不带有任何主观意愿和偏见，认真负责地做好评审工作，公平、公正地对待每一个</w:t>
      </w:r>
      <w:r>
        <w:rPr>
          <w:rFonts w:hint="eastAsia" w:ascii="Times New Roman" w:hAnsi="Times New Roman" w:eastAsia="宋体"/>
          <w:color w:val="auto"/>
          <w:sz w:val="21"/>
          <w:szCs w:val="21"/>
          <w:highlight w:val="none"/>
        </w:rPr>
        <w:t>投标人</w:t>
      </w:r>
      <w:r>
        <w:rPr>
          <w:rFonts w:ascii="Times New Roman" w:hAnsi="Times New Roman" w:eastAsia="宋体"/>
          <w:color w:val="auto"/>
          <w:sz w:val="21"/>
          <w:szCs w:val="21"/>
          <w:highlight w:val="none"/>
        </w:rPr>
        <w:t>。</w:t>
      </w:r>
    </w:p>
    <w:p w14:paraId="676C5F41">
      <w:pPr>
        <w:pStyle w:val="61"/>
        <w:shd w:val="clear"/>
        <w:spacing w:line="360" w:lineRule="auto"/>
        <w:ind w:firstLine="424" w:firstLineChars="202"/>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3.2全面分析，综合评审。</w:t>
      </w:r>
    </w:p>
    <w:p w14:paraId="15343B46">
      <w:pPr>
        <w:pStyle w:val="61"/>
        <w:shd w:val="clear"/>
        <w:spacing w:line="360" w:lineRule="auto"/>
        <w:ind w:firstLine="424" w:firstLineChars="202"/>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3.3评标只对投标人的投标文件进行评审，投标文件以外的资料、信息不应作为评标的依据。</w:t>
      </w:r>
    </w:p>
    <w:p w14:paraId="08E9F688">
      <w:pPr>
        <w:shd w:val="clear"/>
        <w:spacing w:line="360" w:lineRule="auto"/>
        <w:jc w:val="left"/>
        <w:outlineLvl w:val="2"/>
        <w:rPr>
          <w:b/>
          <w:color w:val="auto"/>
          <w:kern w:val="0"/>
          <w:szCs w:val="21"/>
          <w:highlight w:val="none"/>
        </w:rPr>
      </w:pPr>
      <w:bookmarkStart w:id="238" w:name="_Toc6011"/>
      <w:r>
        <w:rPr>
          <w:rFonts w:hint="eastAsia"/>
          <w:b/>
          <w:color w:val="auto"/>
          <w:kern w:val="0"/>
          <w:szCs w:val="21"/>
          <w:highlight w:val="none"/>
        </w:rPr>
        <w:t>4.评审纪律</w:t>
      </w:r>
      <w:bookmarkEnd w:id="238"/>
    </w:p>
    <w:p w14:paraId="0729A7B3">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4.1评审专家应当遵守评审工作纪律，不得泄露评审情况和评审中获悉的商业秘密。</w:t>
      </w:r>
    </w:p>
    <w:p w14:paraId="2E20B3D4">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4.2评标委员会在评审过程中发现投标人有行贿、提供虚假材料或者串通等违法行为的，应当及时向财政部门报告。</w:t>
      </w:r>
    </w:p>
    <w:p w14:paraId="268A2053">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4.3评审内容和评审过程要严格保密，不得向投标人或与该过程无关的其他人员泄露。</w:t>
      </w:r>
    </w:p>
    <w:p w14:paraId="3FE75949">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4.4评审期间的一切资料，包括评审意见、评审记录和评审结论，一律不得向外传和泄露。</w:t>
      </w:r>
    </w:p>
    <w:p w14:paraId="55B4F564">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4.5任何属于投标文件审查、澄清、评价和比较的资料，不得向投标人或与该过程无关的其他人员泄露。</w:t>
      </w:r>
    </w:p>
    <w:p w14:paraId="5521FFAB">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4.6所有资料(包括招标文件、投标文件、评标表格及各种文字记录)在评标结束后均应分别整理、存档备查，任何人不得私自复制和保留。</w:t>
      </w:r>
    </w:p>
    <w:p w14:paraId="606220ED">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4.7评审期间，评审人员不得外出，确需外出时应事先请假。</w:t>
      </w:r>
    </w:p>
    <w:p w14:paraId="56FC2CD2">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4.8评审期间，所有与会人员均不得私自以任何方式和投标人进行联系，需询问、澄清的问题由评标委员会统一组织。</w:t>
      </w:r>
    </w:p>
    <w:p w14:paraId="6688687A">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4.9评审期间，未经允许，评标委员会以外的任何单位或部门不得参加评审和采访评审工作。</w:t>
      </w:r>
    </w:p>
    <w:p w14:paraId="2828E14A">
      <w:pPr>
        <w:pStyle w:val="61"/>
        <w:shd w:val="clear"/>
        <w:spacing w:line="360" w:lineRule="auto"/>
        <w:ind w:firstLine="424" w:firstLineChars="202"/>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4.10评审结束后，与会人员不得向外界透露评审人员的评审意见，如因此造成的后果由责任者承担。</w:t>
      </w:r>
    </w:p>
    <w:p w14:paraId="711FA2C2">
      <w:pPr>
        <w:shd w:val="clear"/>
        <w:spacing w:line="360" w:lineRule="auto"/>
        <w:jc w:val="left"/>
        <w:outlineLvl w:val="2"/>
        <w:rPr>
          <w:b/>
          <w:color w:val="auto"/>
          <w:kern w:val="0"/>
          <w:szCs w:val="21"/>
          <w:highlight w:val="none"/>
        </w:rPr>
      </w:pPr>
      <w:bookmarkStart w:id="239" w:name="_Toc3929"/>
      <w:bookmarkStart w:id="240" w:name="_Toc107796275"/>
      <w:bookmarkStart w:id="241" w:name="_Toc107796054"/>
      <w:r>
        <w:rPr>
          <w:b/>
          <w:color w:val="auto"/>
          <w:kern w:val="0"/>
          <w:szCs w:val="21"/>
          <w:highlight w:val="none"/>
        </w:rPr>
        <w:t>5</w:t>
      </w:r>
      <w:r>
        <w:rPr>
          <w:rFonts w:hint="eastAsia"/>
          <w:b/>
          <w:color w:val="auto"/>
          <w:kern w:val="0"/>
          <w:szCs w:val="21"/>
          <w:highlight w:val="none"/>
        </w:rPr>
        <w:t>.评标程序及标准</w:t>
      </w:r>
      <w:bookmarkEnd w:id="239"/>
    </w:p>
    <w:p w14:paraId="1B19B948">
      <w:pPr>
        <w:shd w:val="clear"/>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5</w:t>
      </w:r>
      <w:r>
        <w:rPr>
          <w:rFonts w:ascii="宋体" w:hAnsi="宋体"/>
          <w:b/>
          <w:bCs/>
          <w:color w:val="auto"/>
          <w:szCs w:val="21"/>
          <w:highlight w:val="none"/>
        </w:rPr>
        <w:t>.1</w:t>
      </w:r>
      <w:r>
        <w:rPr>
          <w:rFonts w:hint="eastAsia" w:ascii="宋体" w:hAnsi="宋体"/>
          <w:b/>
          <w:bCs/>
          <w:color w:val="auto"/>
          <w:szCs w:val="21"/>
          <w:highlight w:val="none"/>
        </w:rPr>
        <w:t>资格评审</w:t>
      </w:r>
    </w:p>
    <w:p w14:paraId="2907DF9B">
      <w:pPr>
        <w:shd w:val="clear"/>
        <w:adjustRightInd w:val="0"/>
        <w:spacing w:line="360" w:lineRule="auto"/>
        <w:ind w:firstLine="420" w:firstLineChars="200"/>
        <w:jc w:val="left"/>
        <w:rPr>
          <w:rFonts w:ascii="宋体" w:hAnsi="宋体" w:cs="宋体"/>
          <w:b/>
          <w:bCs/>
          <w:color w:val="auto"/>
          <w:szCs w:val="21"/>
          <w:highlight w:val="none"/>
        </w:rPr>
      </w:pPr>
      <w:r>
        <w:rPr>
          <w:rFonts w:hint="eastAsia" w:ascii="宋体" w:hAnsi="宋体"/>
          <w:color w:val="auto"/>
          <w:szCs w:val="21"/>
          <w:highlight w:val="none"/>
        </w:rPr>
        <w:t>公开招标采购项目开标结束后，采购人或采购代理机构依据招标文件的规定，对投标人的资格进行审查。合格投标人不足3家的，不得进入符合性评审，只有通过资格审查的投标文件才能进入符合性评审。</w:t>
      </w:r>
    </w:p>
    <w:p w14:paraId="07C39BB6">
      <w:pPr>
        <w:shd w:val="clear"/>
        <w:spacing w:line="360" w:lineRule="auto"/>
        <w:ind w:firstLine="422" w:firstLineChars="200"/>
        <w:rPr>
          <w:rFonts w:ascii="宋体" w:hAnsi="宋体"/>
          <w:b/>
          <w:bCs/>
          <w:color w:val="auto"/>
          <w:szCs w:val="21"/>
          <w:highlight w:val="none"/>
        </w:rPr>
      </w:pPr>
      <w:r>
        <w:rPr>
          <w:rFonts w:ascii="宋体" w:hAnsi="宋体"/>
          <w:b/>
          <w:bCs/>
          <w:color w:val="auto"/>
          <w:szCs w:val="21"/>
          <w:highlight w:val="none"/>
        </w:rPr>
        <w:t>5</w:t>
      </w:r>
      <w:r>
        <w:rPr>
          <w:rFonts w:hint="eastAsia" w:ascii="宋体" w:hAnsi="宋体"/>
          <w:b/>
          <w:bCs/>
          <w:color w:val="auto"/>
          <w:szCs w:val="21"/>
          <w:highlight w:val="none"/>
        </w:rPr>
        <w:t>.</w:t>
      </w:r>
      <w:r>
        <w:rPr>
          <w:rFonts w:ascii="宋体" w:hAnsi="宋体"/>
          <w:b/>
          <w:bCs/>
          <w:color w:val="auto"/>
          <w:szCs w:val="21"/>
          <w:highlight w:val="none"/>
        </w:rPr>
        <w:t>2</w:t>
      </w:r>
      <w:r>
        <w:rPr>
          <w:rFonts w:hint="eastAsia" w:ascii="宋体" w:hAnsi="宋体"/>
          <w:b/>
          <w:bCs/>
          <w:color w:val="auto"/>
          <w:szCs w:val="21"/>
          <w:highlight w:val="none"/>
        </w:rPr>
        <w:t xml:space="preserve"> 符合性评审</w:t>
      </w:r>
    </w:p>
    <w:p w14:paraId="7A68D7F8">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依据招标文件的规定，评标委员会对符合资格的投标人的投标文件从有效性、完整性和对招标文件的实质性响应程度等方面进行审查，见评标方法前附表。</w:t>
      </w:r>
    </w:p>
    <w:p w14:paraId="7803E5B1">
      <w:pPr>
        <w:shd w:val="clear"/>
        <w:spacing w:line="360" w:lineRule="auto"/>
        <w:ind w:firstLine="422" w:firstLineChars="200"/>
        <w:rPr>
          <w:rFonts w:ascii="宋体" w:hAnsi="宋体"/>
          <w:b/>
          <w:bCs/>
          <w:color w:val="auto"/>
          <w:szCs w:val="21"/>
          <w:highlight w:val="none"/>
        </w:rPr>
      </w:pPr>
      <w:r>
        <w:rPr>
          <w:rFonts w:ascii="宋体" w:hAnsi="宋体"/>
          <w:b/>
          <w:bCs/>
          <w:color w:val="auto"/>
          <w:szCs w:val="21"/>
          <w:highlight w:val="none"/>
        </w:rPr>
        <w:t>5</w:t>
      </w:r>
      <w:r>
        <w:rPr>
          <w:rFonts w:hint="eastAsia" w:ascii="宋体" w:hAnsi="宋体"/>
          <w:b/>
          <w:bCs/>
          <w:color w:val="auto"/>
          <w:szCs w:val="21"/>
          <w:highlight w:val="none"/>
        </w:rPr>
        <w:t>.</w:t>
      </w:r>
      <w:r>
        <w:rPr>
          <w:rFonts w:ascii="宋体" w:hAnsi="宋体"/>
          <w:b/>
          <w:bCs/>
          <w:color w:val="auto"/>
          <w:szCs w:val="21"/>
          <w:highlight w:val="none"/>
        </w:rPr>
        <w:t>3</w:t>
      </w:r>
      <w:r>
        <w:rPr>
          <w:rFonts w:hint="eastAsia" w:ascii="宋体" w:hAnsi="宋体"/>
          <w:b/>
          <w:bCs/>
          <w:color w:val="auto"/>
          <w:szCs w:val="21"/>
          <w:highlight w:val="none"/>
        </w:rPr>
        <w:t xml:space="preserve"> 综合评分</w:t>
      </w:r>
    </w:p>
    <w:p w14:paraId="182F89BD">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.1评标委员会按照招标文件中规定的评标方法和标准，对符合性审查合格的投标文件进行商务和技术评估，综合比较与评价,见评标方法前附表。</w:t>
      </w:r>
    </w:p>
    <w:p w14:paraId="18355B6F">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.2评标委员会各成员要依法独立评审，并对评审意见承担个人责任。对投标人的客观评分项的评分应当一致，对其他需要借助专业知识评判的主观评分项，应当严格按照评分细则公正评分。</w:t>
      </w:r>
    </w:p>
    <w:p w14:paraId="335114E5">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.3评标委员会成员对需要共同认定的事项存在争议的，按照少数服从多数的原则做出结论。持不同意见的评标委员会成员应当在评标报告上签署不同意见并说明理由，否则视为同意。</w:t>
      </w:r>
    </w:p>
    <w:p w14:paraId="7CAA8BAD">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.4 投标文件报价出现前后不一致的，按照下列规定修正：</w:t>
      </w:r>
    </w:p>
    <w:p w14:paraId="51E7046F">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（一）投标文件中开标一览表（报价表）内容与投标文件中相应内容不一致的，以开标一览表（报价表）为准；</w:t>
      </w:r>
    </w:p>
    <w:p w14:paraId="4465DCE1">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（二）大写金额和小写金额不一致的，以大写金额为准；</w:t>
      </w:r>
    </w:p>
    <w:p w14:paraId="7877B14D">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（三）单价金额小数点或者百分比有明显错位的，以开标一览表的总价为准，并修改单价；</w:t>
      </w:r>
    </w:p>
    <w:p w14:paraId="2ED96012">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（四）总价金额与按单价汇总金额不一致的，以单价金额计算结果为准。</w:t>
      </w:r>
    </w:p>
    <w:p w14:paraId="76FAB6D1">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同时出现两种以上不一致的，按照前款规定的顺序修正。修正后的报价按照本章</w:t>
      </w:r>
      <w:r>
        <w:rPr>
          <w:rFonts w:ascii="宋体" w:hAnsi="宋体"/>
          <w:color w:val="auto"/>
          <w:szCs w:val="21"/>
          <w:highlight w:val="none"/>
        </w:rPr>
        <w:t>5</w:t>
      </w:r>
      <w:r>
        <w:rPr>
          <w:rFonts w:hint="eastAsia" w:ascii="宋体" w:hAnsi="宋体"/>
          <w:color w:val="auto"/>
          <w:szCs w:val="21"/>
          <w:highlight w:val="none"/>
        </w:rPr>
        <w:t>.2 款的规定经投标人确认后产生约束力，投标人不确认的，其投标无效。</w:t>
      </w:r>
    </w:p>
    <w:p w14:paraId="7186378B">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.5 价格部分（F1）按评标方法前附表规定的投标报价计算公式，计算出各投标人报价部分得分。技术部分（F2）和商务部分（F3）得分由评标委员会成员独立评分，投标人各项评分因素得分为该项因素各评委评分的算术平均值。所有计算结果均保留小数点后两位，小数点后第三位“四舍五入”。</w:t>
      </w:r>
    </w:p>
    <w:p w14:paraId="4F4CA8B9">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1E80E50">
      <w:pPr>
        <w:shd w:val="clear"/>
        <w:spacing w:line="360" w:lineRule="auto"/>
        <w:jc w:val="left"/>
        <w:outlineLvl w:val="2"/>
        <w:rPr>
          <w:b/>
          <w:color w:val="auto"/>
          <w:kern w:val="0"/>
          <w:szCs w:val="21"/>
          <w:highlight w:val="none"/>
        </w:rPr>
      </w:pPr>
      <w:bookmarkStart w:id="242" w:name="_Toc21342"/>
      <w:r>
        <w:rPr>
          <w:b/>
          <w:color w:val="auto"/>
          <w:kern w:val="0"/>
          <w:szCs w:val="21"/>
          <w:highlight w:val="none"/>
        </w:rPr>
        <w:t>6</w:t>
      </w:r>
      <w:r>
        <w:rPr>
          <w:rFonts w:hint="eastAsia"/>
          <w:b/>
          <w:color w:val="auto"/>
          <w:kern w:val="0"/>
          <w:szCs w:val="21"/>
          <w:highlight w:val="none"/>
        </w:rPr>
        <w:t>.投标文件的澄清</w:t>
      </w:r>
      <w:bookmarkEnd w:id="242"/>
    </w:p>
    <w:p w14:paraId="0C9D6C1C">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0CB1B7DB">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27C5ED03">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.3评标委员会对投标人提交的澄清、说明有疑问的，可以要求投标人进一步澄清、说明。</w:t>
      </w:r>
    </w:p>
    <w:p w14:paraId="7358ADDE">
      <w:pPr>
        <w:shd w:val="clear"/>
        <w:spacing w:line="360" w:lineRule="auto"/>
        <w:jc w:val="left"/>
        <w:outlineLvl w:val="2"/>
        <w:rPr>
          <w:b/>
          <w:color w:val="auto"/>
          <w:kern w:val="0"/>
          <w:szCs w:val="21"/>
          <w:highlight w:val="none"/>
        </w:rPr>
      </w:pPr>
      <w:bookmarkStart w:id="243" w:name="_Toc24487"/>
      <w:r>
        <w:rPr>
          <w:b/>
          <w:color w:val="auto"/>
          <w:kern w:val="0"/>
          <w:szCs w:val="21"/>
          <w:highlight w:val="none"/>
        </w:rPr>
        <w:t>7</w:t>
      </w:r>
      <w:r>
        <w:rPr>
          <w:rFonts w:hint="eastAsia"/>
          <w:b/>
          <w:color w:val="auto"/>
          <w:kern w:val="0"/>
          <w:szCs w:val="21"/>
          <w:highlight w:val="none"/>
        </w:rPr>
        <w:t>.评标结果</w:t>
      </w:r>
      <w:bookmarkEnd w:id="243"/>
    </w:p>
    <w:p w14:paraId="0E47FE31">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.1评标委员会按最终得分由高到低顺序推荐3名中标候选人，并提出书面评标报告。</w:t>
      </w:r>
    </w:p>
    <w:p w14:paraId="66337C59">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.2采购人根据评标委员会提出的书面评标报告和推荐的中标候选人名单，确定中标人。</w:t>
      </w:r>
    </w:p>
    <w:p w14:paraId="3EFB6172">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3评审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投标人提供虚假材料、串通等违法违规行为的，要及时向采购人或采购代理机构报告。</w:t>
      </w:r>
    </w:p>
    <w:p w14:paraId="3C457980">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有下列情形之一的，视为投标人串通投标，其投标无效：</w:t>
      </w:r>
    </w:p>
    <w:p w14:paraId="1DFA7C2D">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（一）不同投标人的投标文件由同一单位或者个人编制；</w:t>
      </w:r>
    </w:p>
    <w:p w14:paraId="46BFEB79">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（二）不同投标人委托同一单位或者个人办理投标事宜；</w:t>
      </w:r>
    </w:p>
    <w:p w14:paraId="0CE3418B">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（三）不同投标人的投标文件载明的项目管理成员或者联系人员为同一人；</w:t>
      </w:r>
    </w:p>
    <w:p w14:paraId="747E4AA9">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（四）不同投标人的投标文件异常一致或者投标报价呈规律性差异；</w:t>
      </w:r>
    </w:p>
    <w:p w14:paraId="2A7C597C">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（五）不同投标人的投标文件相互混装；</w:t>
      </w:r>
    </w:p>
    <w:p w14:paraId="24696761">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（六）不同投标人的投标保证金从同一单位或者个人的账户转出。</w:t>
      </w:r>
    </w:p>
    <w:p w14:paraId="5B63FF0D">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7.5</w:t>
      </w:r>
      <w:r>
        <w:rPr>
          <w:rFonts w:hint="eastAsia" w:ascii="宋体" w:hAnsi="宋体"/>
          <w:color w:val="auto"/>
          <w:szCs w:val="21"/>
          <w:highlight w:val="none"/>
        </w:rPr>
        <w:t>在招标采购中，出现下列情形之一的，应予废标：</w:t>
      </w:r>
    </w:p>
    <w:p w14:paraId="4D056CFD">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（1）符合专业条件的投标人或者对招标文件作实质响应的投标人不足3家的；</w:t>
      </w:r>
    </w:p>
    <w:p w14:paraId="064E7FCF">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（2）出现影响采购公正的违法、违规行为的；</w:t>
      </w:r>
    </w:p>
    <w:p w14:paraId="2624170D">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（3）投标人的报价均超过了采购预算（最高限价），采购人不能支付的；</w:t>
      </w:r>
    </w:p>
    <w:p w14:paraId="6BFD8A6B">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（4）因重大变故，采购任务取消的。</w:t>
      </w:r>
    </w:p>
    <w:p w14:paraId="7DDD393C">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7.6（适用于综合评分法）提供相同品牌产品且通过资格审查、符合性审查的不同投标人参加同一合同项下投标的，按一家投标人计算，评审后得分最高的同品牌投标人获得中标人推荐资格；评审得分相同的，评标委员会将依次按技术部分得分高优先、价格部分得分高优先、商务部分得分高优先的顺序确定；所有得分均相等的，技术指标高优先、产品有效期长优先、交货时间短优先、故障到达时间短优先的顺序确定一个投标人获得中标人推荐资格，其他同品牌投标人不作为中标候选人。</w:t>
      </w:r>
    </w:p>
    <w:p w14:paraId="707D76DB">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7.7（适用于最低评标价法）提供相同品牌产品的不同投标人参加同一合同项下投标的，以其中通过资格审查、符合性审查且报价最低的参加评标；报价相同的，评标委员会将依次按技术指标高优先、产品有效期长优先、交货时间短优先、故障到达时间短优先的顺序确定一个参加评标的投标人，其他投标无效。</w:t>
      </w:r>
    </w:p>
    <w:p w14:paraId="05915B7F">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7.8若单个标段为非单一产品采购，对于招标文件第五章规定的核心产品，多家投标人提供的核心产品品牌有一项品牌相同的，按前两款规定处理。</w:t>
      </w:r>
    </w:p>
    <w:p w14:paraId="0181852A">
      <w:pPr>
        <w:shd w:val="clear"/>
        <w:spacing w:line="360" w:lineRule="auto"/>
        <w:jc w:val="left"/>
        <w:outlineLvl w:val="2"/>
        <w:rPr>
          <w:b/>
          <w:color w:val="auto"/>
          <w:kern w:val="0"/>
          <w:szCs w:val="21"/>
          <w:highlight w:val="none"/>
        </w:rPr>
      </w:pPr>
      <w:bookmarkStart w:id="244" w:name="_Toc24624"/>
      <w:r>
        <w:rPr>
          <w:b/>
          <w:color w:val="auto"/>
          <w:kern w:val="0"/>
          <w:szCs w:val="21"/>
          <w:highlight w:val="none"/>
        </w:rPr>
        <w:t>8</w:t>
      </w:r>
      <w:r>
        <w:rPr>
          <w:rFonts w:hint="eastAsia"/>
          <w:b/>
          <w:color w:val="auto"/>
          <w:kern w:val="0"/>
          <w:szCs w:val="21"/>
          <w:highlight w:val="none"/>
        </w:rPr>
        <w:t>.政府采购政策</w:t>
      </w:r>
      <w:bookmarkEnd w:id="244"/>
    </w:p>
    <w:p w14:paraId="71F63726">
      <w:pPr>
        <w:shd w:val="clear"/>
        <w:snapToGrid w:val="0"/>
        <w:spacing w:line="360" w:lineRule="auto"/>
        <w:rPr>
          <w:rFonts w:ascii="宋体" w:hAnsi="宋体"/>
          <w:b/>
          <w:color w:val="auto"/>
          <w:szCs w:val="21"/>
          <w:highlight w:val="none"/>
        </w:rPr>
      </w:pPr>
      <w:r>
        <w:rPr>
          <w:rFonts w:ascii="宋体" w:hAnsi="宋体"/>
          <w:b/>
          <w:color w:val="auto"/>
          <w:szCs w:val="21"/>
          <w:highlight w:val="none"/>
        </w:rPr>
        <w:t>8.1</w:t>
      </w:r>
      <w:r>
        <w:rPr>
          <w:rFonts w:hint="eastAsia" w:ascii="宋体" w:hAnsi="宋体"/>
          <w:b/>
          <w:color w:val="auto"/>
          <w:szCs w:val="21"/>
          <w:highlight w:val="none"/>
        </w:rPr>
        <w:t>中小企业扶持政策</w:t>
      </w:r>
    </w:p>
    <w:p w14:paraId="3E82C710">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.1根据《</w:t>
      </w:r>
      <w:r>
        <w:rPr>
          <w:rFonts w:ascii="宋体" w:hAnsi="宋体"/>
          <w:color w:val="auto"/>
          <w:szCs w:val="21"/>
          <w:highlight w:val="none"/>
        </w:rPr>
        <w:t>关于印发</w:t>
      </w:r>
      <w:r>
        <w:rPr>
          <w:rFonts w:hint="eastAsia" w:ascii="宋体" w:hAnsi="宋体"/>
          <w:color w:val="auto"/>
          <w:szCs w:val="21"/>
          <w:highlight w:val="none"/>
        </w:rPr>
        <w:t>&lt;政府采购促进中小企业发展管理办法&gt;</w:t>
      </w:r>
      <w:r>
        <w:rPr>
          <w:rFonts w:ascii="宋体" w:hAnsi="宋体"/>
          <w:color w:val="auto"/>
          <w:szCs w:val="21"/>
          <w:highlight w:val="none"/>
        </w:rPr>
        <w:t>的通知</w:t>
      </w:r>
      <w:r>
        <w:rPr>
          <w:rFonts w:hint="eastAsia" w:ascii="宋体" w:hAnsi="宋体"/>
          <w:color w:val="auto"/>
          <w:szCs w:val="21"/>
          <w:highlight w:val="none"/>
        </w:rPr>
        <w:t>》（财库【2020】46号）的规定，供应商提供的货物、工程或者服务符合下列情形的，享受评标方法中小企业扶持政策：</w:t>
      </w:r>
    </w:p>
    <w:p w14:paraId="3777A49F">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（一）在货物采购项目中，货物由中小企业制造，即货物由中小企业生产且使用该中小企业商号或者注册商标；</w:t>
      </w:r>
    </w:p>
    <w:p w14:paraId="50AFDF00">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（二）在工程采购项目中，工程由中小企业承建，即工程施工单位为中小企业；</w:t>
      </w:r>
    </w:p>
    <w:p w14:paraId="23D8C494">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（三）在服务采购项目中，服务由中小企业承接，即提供服务的人员为中小企业依照《中华人民共和国劳动合同法》订立劳动合同的从业人员。</w:t>
      </w:r>
    </w:p>
    <w:p w14:paraId="26677048">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在货物采购项目中，供应商提供的货物既有中小企业制造货物，也有大型企业制造货物的，不享受评标方法规定的中小企业扶持政策。</w:t>
      </w:r>
    </w:p>
    <w:p w14:paraId="09BAD96E">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以联合体形式参加政府采购活动，联合体各方均为中小企业的，联合体视同中小企业。其中，联合体各方均为小微企业的，联合体视同小微企业。</w:t>
      </w:r>
    </w:p>
    <w:p w14:paraId="52744FC1">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8.1.2</w:t>
      </w:r>
      <w:r>
        <w:rPr>
          <w:rFonts w:hint="eastAsia" w:ascii="宋体" w:hAnsi="宋体"/>
          <w:color w:val="auto"/>
          <w:szCs w:val="21"/>
          <w:highlight w:val="none"/>
        </w:rPr>
        <w:t>根据《云南省工业和信息化厅关于落实政府采购促进中小企业发展政策意见的通知》（云财采〔2022〕13号）的规定，供应商提供的货物既有中型企业制造，也有小微企业制造的，不享受《办法》规定的小微企业扶持政策。</w:t>
      </w:r>
    </w:p>
    <w:p w14:paraId="13DFB4FA">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5E44332">
      <w:pPr>
        <w:shd w:val="clea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符合中小企业划分标准的个体工商户，在政府采购活动中视同中小企业。</w:t>
      </w:r>
    </w:p>
    <w:p w14:paraId="14DD947E">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中小企业参加政府采购活动，应当出具《中小企业声明函》（详见《投标文件格式》），否则不得享受相关中小企业扶持政策。</w:t>
      </w:r>
    </w:p>
    <w:p w14:paraId="034EC55D">
      <w:pPr>
        <w:pStyle w:val="15"/>
        <w:shd w:val="clear"/>
        <w:tabs>
          <w:tab w:val="left" w:pos="2472"/>
        </w:tabs>
        <w:snapToGrid w:val="0"/>
        <w:spacing w:line="360" w:lineRule="auto"/>
        <w:rPr>
          <w:rFonts w:hAnsi="宋体"/>
          <w:b/>
          <w:color w:val="auto"/>
          <w:szCs w:val="21"/>
          <w:highlight w:val="none"/>
        </w:rPr>
      </w:pPr>
      <w:r>
        <w:rPr>
          <w:rFonts w:hAnsi="宋体"/>
          <w:b/>
          <w:color w:val="auto"/>
          <w:szCs w:val="21"/>
          <w:highlight w:val="none"/>
        </w:rPr>
        <w:t>8</w:t>
      </w:r>
      <w:r>
        <w:rPr>
          <w:rFonts w:hint="eastAsia" w:hAnsi="宋体"/>
          <w:b/>
          <w:color w:val="auto"/>
          <w:szCs w:val="21"/>
          <w:highlight w:val="none"/>
        </w:rPr>
        <w:t>.</w:t>
      </w:r>
      <w:r>
        <w:rPr>
          <w:rFonts w:hAnsi="宋体"/>
          <w:b/>
          <w:color w:val="auto"/>
          <w:szCs w:val="21"/>
          <w:highlight w:val="none"/>
        </w:rPr>
        <w:t>2</w:t>
      </w:r>
      <w:r>
        <w:rPr>
          <w:rFonts w:hint="eastAsia" w:hAnsi="宋体"/>
          <w:b/>
          <w:color w:val="auto"/>
          <w:szCs w:val="21"/>
          <w:highlight w:val="none"/>
        </w:rPr>
        <w:t>监狱企业扶持政策</w:t>
      </w:r>
    </w:p>
    <w:p w14:paraId="305B777E">
      <w:pPr>
        <w:shd w:val="clear"/>
        <w:spacing w:line="360" w:lineRule="auto"/>
        <w:ind w:firstLine="420" w:firstLineChars="20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E625421">
      <w:pPr>
        <w:pStyle w:val="15"/>
        <w:shd w:val="clear"/>
        <w:tabs>
          <w:tab w:val="left" w:pos="2472"/>
        </w:tabs>
        <w:snapToGrid w:val="0"/>
        <w:spacing w:line="360" w:lineRule="auto"/>
        <w:rPr>
          <w:rFonts w:hAnsi="宋体"/>
          <w:b/>
          <w:color w:val="auto"/>
          <w:szCs w:val="21"/>
          <w:highlight w:val="none"/>
        </w:rPr>
      </w:pPr>
      <w:r>
        <w:rPr>
          <w:rFonts w:hAnsi="宋体"/>
          <w:b/>
          <w:color w:val="auto"/>
          <w:szCs w:val="21"/>
          <w:highlight w:val="none"/>
        </w:rPr>
        <w:t>8</w:t>
      </w:r>
      <w:r>
        <w:rPr>
          <w:rFonts w:hint="eastAsia" w:hAnsi="宋体"/>
          <w:b/>
          <w:color w:val="auto"/>
          <w:szCs w:val="21"/>
          <w:highlight w:val="none"/>
        </w:rPr>
        <w:t>.3残疾人福利性单位扶持政策</w:t>
      </w:r>
    </w:p>
    <w:p w14:paraId="0060D858">
      <w:pPr>
        <w:shd w:val="clear"/>
        <w:spacing w:line="360" w:lineRule="exact"/>
        <w:ind w:firstLine="420" w:firstLineChars="20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.3</w:t>
      </w:r>
      <w:r>
        <w:rPr>
          <w:rFonts w:ascii="宋体" w:hAnsi="宋体"/>
          <w:color w:val="auto"/>
          <w:szCs w:val="21"/>
          <w:highlight w:val="none"/>
        </w:rPr>
        <w:t>.1根据</w:t>
      </w:r>
      <w:r>
        <w:rPr>
          <w:rFonts w:hint="eastAsia" w:ascii="宋体" w:hAnsi="宋体"/>
          <w:color w:val="auto"/>
          <w:szCs w:val="21"/>
          <w:highlight w:val="none"/>
        </w:rPr>
        <w:t>《财政部 民政部 中国残疾人联合会关于促进残疾人就业政府采购政策的通知》，享受政府采购支持政策的残疾人福利性单位应当同时满足以下条件：</w:t>
      </w:r>
    </w:p>
    <w:p w14:paraId="788A89C0">
      <w:pPr>
        <w:shd w:val="clea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（1）安置的残疾人占本单位在职职工人数的比例不低于25%（含25%），并且安置的残疾人人数不少于10人（含10人）；</w:t>
      </w:r>
    </w:p>
    <w:p w14:paraId="509E64F3">
      <w:pPr>
        <w:shd w:val="clea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（2）依法与安置的每位残疾人签订了一年以上（含一年）的劳动合同或服务协议；</w:t>
      </w:r>
    </w:p>
    <w:p w14:paraId="5E7971BD">
      <w:pPr>
        <w:shd w:val="clea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（3）为安置的每位残疾人按月足额缴纳了基本养老保险、基本医疗保险、失业保险、工伤保险和生育保险等社会保险费；</w:t>
      </w:r>
    </w:p>
    <w:p w14:paraId="3BBF2755">
      <w:pPr>
        <w:shd w:val="clea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（4）通过银行等金融机构向安置的每位残疾人，按月支付了不低于单位所在区县适用的经省级人民政府批准的月最低工资标准的工资；</w:t>
      </w:r>
    </w:p>
    <w:p w14:paraId="5B6A0A0A">
      <w:pPr>
        <w:shd w:val="clea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（5）提供本单位制造的货物、承担的工程或者服务（以下简称产品），或者提供其他残疾人福利性单位制造的货物（不包括使用非残疾人福利性单位注册商标的货物）。</w:t>
      </w:r>
    </w:p>
    <w:p w14:paraId="7DA56DCA">
      <w:pPr>
        <w:shd w:val="clear"/>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97F3FE2">
      <w:pPr>
        <w:shd w:val="clear"/>
        <w:spacing w:line="360" w:lineRule="exact"/>
        <w:ind w:firstLine="420" w:firstLineChars="20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.3.2符合条件的残疾人福利性单位在参加政府采购活动时，应当提供《残疾人福利性单位声明函》，并对声明的真实性负责。</w:t>
      </w:r>
    </w:p>
    <w:bookmarkEnd w:id="240"/>
    <w:bookmarkEnd w:id="241"/>
    <w:p w14:paraId="427F5C7F">
      <w:pPr>
        <w:shd w:val="clear"/>
        <w:spacing w:line="360" w:lineRule="auto"/>
        <w:rPr>
          <w:rFonts w:ascii="宋体" w:hAnsi="宋体"/>
          <w:color w:val="auto"/>
          <w:sz w:val="24"/>
          <w:highlight w:val="none"/>
        </w:rPr>
      </w:pPr>
    </w:p>
    <w:p w14:paraId="4B31BB89">
      <w:pPr>
        <w:shd w:val="clear"/>
        <w:rPr>
          <w:rFonts w:ascii="宋体" w:hAnsi="宋体"/>
          <w:color w:val="auto"/>
          <w:sz w:val="24"/>
          <w:highlight w:val="none"/>
        </w:rPr>
      </w:pPr>
      <w:r>
        <w:rPr>
          <w:rFonts w:ascii="宋体" w:hAnsi="宋体"/>
          <w:color w:val="auto"/>
          <w:sz w:val="24"/>
          <w:highlight w:val="none"/>
        </w:rPr>
        <w:br w:type="page"/>
      </w:r>
    </w:p>
    <w:p w14:paraId="44A8782C">
      <w:pPr>
        <w:shd w:val="clear"/>
        <w:spacing w:line="360" w:lineRule="auto"/>
        <w:jc w:val="center"/>
        <w:rPr>
          <w:rFonts w:ascii="宋体" w:hAnsi="宋体"/>
          <w:color w:val="auto"/>
          <w:sz w:val="24"/>
          <w:highlight w:val="none"/>
        </w:rPr>
      </w:pPr>
    </w:p>
    <w:p w14:paraId="7EE2035D">
      <w:pPr>
        <w:shd w:val="clear"/>
        <w:spacing w:line="360" w:lineRule="auto"/>
        <w:jc w:val="center"/>
        <w:rPr>
          <w:rFonts w:ascii="宋体" w:hAnsi="宋体"/>
          <w:color w:val="auto"/>
          <w:sz w:val="24"/>
          <w:highlight w:val="none"/>
        </w:rPr>
      </w:pPr>
    </w:p>
    <w:p w14:paraId="2A6DFE87">
      <w:pPr>
        <w:shd w:val="clear"/>
        <w:spacing w:line="360" w:lineRule="auto"/>
        <w:jc w:val="center"/>
        <w:rPr>
          <w:rFonts w:ascii="宋体" w:hAnsi="宋体"/>
          <w:color w:val="auto"/>
          <w:sz w:val="24"/>
          <w:highlight w:val="none"/>
        </w:rPr>
      </w:pPr>
    </w:p>
    <w:p w14:paraId="016AFC38">
      <w:pPr>
        <w:shd w:val="clear"/>
        <w:spacing w:line="360" w:lineRule="auto"/>
        <w:jc w:val="center"/>
        <w:rPr>
          <w:rFonts w:ascii="宋体" w:hAnsi="宋体"/>
          <w:color w:val="auto"/>
          <w:sz w:val="24"/>
          <w:highlight w:val="none"/>
        </w:rPr>
      </w:pPr>
    </w:p>
    <w:p w14:paraId="6C19643F">
      <w:pPr>
        <w:shd w:val="clear"/>
        <w:spacing w:line="360" w:lineRule="auto"/>
        <w:jc w:val="center"/>
        <w:rPr>
          <w:rFonts w:ascii="宋体" w:hAnsi="宋体"/>
          <w:color w:val="auto"/>
          <w:sz w:val="24"/>
          <w:highlight w:val="none"/>
        </w:rPr>
      </w:pPr>
    </w:p>
    <w:p w14:paraId="23FB9832">
      <w:pPr>
        <w:shd w:val="clear"/>
        <w:spacing w:line="360" w:lineRule="auto"/>
        <w:jc w:val="center"/>
        <w:rPr>
          <w:rFonts w:ascii="宋体" w:hAnsi="宋体"/>
          <w:color w:val="auto"/>
          <w:sz w:val="24"/>
          <w:highlight w:val="none"/>
        </w:rPr>
      </w:pPr>
    </w:p>
    <w:p w14:paraId="3DC06C47">
      <w:pPr>
        <w:shd w:val="clear"/>
        <w:spacing w:line="360" w:lineRule="auto"/>
        <w:jc w:val="center"/>
        <w:rPr>
          <w:rFonts w:ascii="宋体" w:hAnsi="宋体"/>
          <w:color w:val="auto"/>
          <w:sz w:val="24"/>
          <w:highlight w:val="none"/>
        </w:rPr>
      </w:pPr>
    </w:p>
    <w:p w14:paraId="4FE126E1">
      <w:pPr>
        <w:shd w:val="clear"/>
        <w:spacing w:line="360" w:lineRule="auto"/>
        <w:jc w:val="center"/>
        <w:rPr>
          <w:rFonts w:ascii="宋体" w:hAnsi="宋体"/>
          <w:color w:val="auto"/>
          <w:sz w:val="24"/>
          <w:highlight w:val="none"/>
        </w:rPr>
      </w:pPr>
    </w:p>
    <w:p w14:paraId="024374E0">
      <w:pPr>
        <w:shd w:val="clear"/>
        <w:spacing w:line="360" w:lineRule="auto"/>
        <w:jc w:val="center"/>
        <w:rPr>
          <w:rFonts w:ascii="宋体" w:hAnsi="宋体"/>
          <w:color w:val="auto"/>
          <w:sz w:val="24"/>
          <w:highlight w:val="none"/>
        </w:rPr>
      </w:pPr>
    </w:p>
    <w:bookmarkEnd w:id="222"/>
    <w:p w14:paraId="1BDA5270">
      <w:pPr>
        <w:pStyle w:val="88"/>
        <w:shd w:val="clear"/>
        <w:rPr>
          <w:color w:val="auto"/>
          <w:highlight w:val="none"/>
        </w:rPr>
      </w:pPr>
      <w:bookmarkStart w:id="245" w:name="_Toc389644547"/>
      <w:bookmarkEnd w:id="245"/>
      <w:bookmarkStart w:id="246" w:name="_Toc450064596"/>
      <w:bookmarkEnd w:id="246"/>
      <w:bookmarkStart w:id="247" w:name="_Toc8980"/>
      <w:bookmarkStart w:id="248" w:name="_Toc389644565"/>
      <w:r>
        <w:rPr>
          <w:rFonts w:hint="eastAsia"/>
          <w:color w:val="auto"/>
          <w:sz w:val="40"/>
          <w:highlight w:val="none"/>
        </w:rPr>
        <w:t>第四章  合同主要条款及格式</w:t>
      </w:r>
      <w:bookmarkEnd w:id="247"/>
      <w:bookmarkStart w:id="249" w:name="_Toc304994102"/>
      <w:bookmarkStart w:id="250" w:name="_Toc265756888"/>
      <w:bookmarkStart w:id="251" w:name="_Toc416941165"/>
    </w:p>
    <w:bookmarkEnd w:id="249"/>
    <w:bookmarkEnd w:id="250"/>
    <w:bookmarkEnd w:id="251"/>
    <w:p w14:paraId="2CB81E42">
      <w:pPr>
        <w:pStyle w:val="11"/>
        <w:shd w:val="clear"/>
        <w:adjustRightInd w:val="0"/>
        <w:snapToGrid w:val="0"/>
        <w:spacing w:line="560" w:lineRule="exact"/>
        <w:jc w:val="center"/>
        <w:rPr>
          <w:rFonts w:hAnsi="宋体"/>
          <w:b/>
          <w:bCs/>
          <w:color w:val="auto"/>
          <w:sz w:val="24"/>
          <w:highlight w:val="none"/>
        </w:rPr>
      </w:pPr>
      <w:r>
        <w:rPr>
          <w:rFonts w:hint="eastAsia" w:hAnsi="宋体"/>
          <w:b/>
          <w:bCs/>
          <w:color w:val="auto"/>
          <w:sz w:val="24"/>
          <w:highlight w:val="none"/>
        </w:rPr>
        <w:t>说明：合同格式以中标人与采购人最终协商确定的合同格式为准。</w:t>
      </w:r>
    </w:p>
    <w:p w14:paraId="0100222E">
      <w:pPr>
        <w:widowControl/>
        <w:shd w:val="clear"/>
        <w:jc w:val="left"/>
        <w:rPr>
          <w:rFonts w:hAnsi="宋体"/>
          <w:b/>
          <w:bCs/>
          <w:color w:val="auto"/>
          <w:sz w:val="24"/>
          <w:szCs w:val="16"/>
          <w:highlight w:val="none"/>
        </w:rPr>
      </w:pPr>
      <w:r>
        <w:rPr>
          <w:rFonts w:hAnsi="宋体"/>
          <w:b/>
          <w:bCs/>
          <w:color w:val="auto"/>
          <w:sz w:val="24"/>
          <w:highlight w:val="none"/>
        </w:rPr>
        <w:br w:type="page"/>
      </w:r>
    </w:p>
    <w:tbl>
      <w:tblPr>
        <w:tblStyle w:val="26"/>
        <w:tblW w:w="978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239"/>
        <w:gridCol w:w="6623"/>
      </w:tblGrid>
      <w:tr w14:paraId="6AD760D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926" w:type="dxa"/>
            <w:vAlign w:val="center"/>
          </w:tcPr>
          <w:p w14:paraId="42DDD1ED">
            <w:pPr>
              <w:pStyle w:val="15"/>
              <w:shd w:val="clear"/>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序号</w:t>
            </w:r>
          </w:p>
        </w:tc>
        <w:tc>
          <w:tcPr>
            <w:tcW w:w="2239" w:type="dxa"/>
            <w:vAlign w:val="center"/>
          </w:tcPr>
          <w:p w14:paraId="23D18447">
            <w:pPr>
              <w:pStyle w:val="15"/>
              <w:shd w:val="clear"/>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项目</w:t>
            </w:r>
          </w:p>
        </w:tc>
        <w:tc>
          <w:tcPr>
            <w:tcW w:w="6623" w:type="dxa"/>
            <w:vAlign w:val="center"/>
          </w:tcPr>
          <w:p w14:paraId="5EECD30A">
            <w:pPr>
              <w:pStyle w:val="15"/>
              <w:shd w:val="clear"/>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内      容</w:t>
            </w:r>
          </w:p>
        </w:tc>
      </w:tr>
      <w:tr w14:paraId="1932250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926" w:type="dxa"/>
            <w:vAlign w:val="center"/>
          </w:tcPr>
          <w:p w14:paraId="21C57E53">
            <w:pPr>
              <w:pStyle w:val="15"/>
              <w:shd w:val="clear"/>
              <w:spacing w:line="276" w:lineRule="auto"/>
              <w:jc w:val="center"/>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1</w:t>
            </w:r>
          </w:p>
        </w:tc>
        <w:tc>
          <w:tcPr>
            <w:tcW w:w="2239" w:type="dxa"/>
            <w:vAlign w:val="center"/>
          </w:tcPr>
          <w:p w14:paraId="13AAB575">
            <w:pPr>
              <w:pStyle w:val="15"/>
              <w:shd w:val="clear"/>
              <w:spacing w:line="276" w:lineRule="auto"/>
              <w:jc w:val="left"/>
              <w:rPr>
                <w:rFonts w:hint="eastAsia" w:ascii="仿宋" w:hAnsi="仿宋" w:eastAsia="仿宋"/>
                <w:bCs/>
                <w:color w:val="auto"/>
                <w:sz w:val="24"/>
                <w:szCs w:val="20"/>
                <w:highlight w:val="none"/>
              </w:rPr>
            </w:pPr>
            <w:r>
              <w:rPr>
                <w:rFonts w:hint="eastAsia" w:ascii="仿宋" w:hAnsi="仿宋" w:eastAsia="仿宋"/>
                <w:bCs/>
                <w:color w:val="auto"/>
                <w:sz w:val="24"/>
                <w:highlight w:val="none"/>
              </w:rPr>
              <w:t>合同履行期限</w:t>
            </w:r>
          </w:p>
        </w:tc>
        <w:tc>
          <w:tcPr>
            <w:tcW w:w="6623" w:type="dxa"/>
            <w:vAlign w:val="center"/>
          </w:tcPr>
          <w:p w14:paraId="759BD8D0">
            <w:pPr>
              <w:pStyle w:val="15"/>
              <w:shd w:val="clear"/>
              <w:spacing w:line="276" w:lineRule="auto"/>
              <w:jc w:val="left"/>
              <w:rPr>
                <w:rFonts w:hint="eastAsia" w:ascii="仿宋" w:hAnsi="仿宋" w:eastAsia="仿宋"/>
                <w:bCs/>
                <w:color w:val="auto"/>
                <w:sz w:val="24"/>
                <w:szCs w:val="20"/>
                <w:highlight w:val="none"/>
              </w:rPr>
            </w:pPr>
            <w:r>
              <w:rPr>
                <w:rFonts w:hint="eastAsia" w:ascii="仿宋" w:hAnsi="仿宋" w:eastAsia="仿宋"/>
                <w:bCs/>
                <w:color w:val="auto"/>
                <w:sz w:val="24"/>
                <w:highlight w:val="none"/>
              </w:rPr>
              <w:t>合同签订后</w:t>
            </w:r>
            <w:r>
              <w:rPr>
                <w:rFonts w:hint="eastAsia" w:ascii="仿宋" w:hAnsi="仿宋" w:eastAsia="仿宋"/>
                <w:bCs/>
                <w:color w:val="auto"/>
                <w:sz w:val="24"/>
                <w:highlight w:val="none"/>
                <w:u w:val="single"/>
              </w:rPr>
              <w:t xml:space="preserve"> 30 </w:t>
            </w:r>
            <w:r>
              <w:rPr>
                <w:rFonts w:hint="eastAsia" w:ascii="仿宋" w:hAnsi="仿宋" w:eastAsia="仿宋"/>
                <w:bCs/>
                <w:color w:val="auto"/>
                <w:sz w:val="24"/>
                <w:highlight w:val="none"/>
              </w:rPr>
              <w:t>日历天内完成供货、安装并调试完毕。</w:t>
            </w:r>
          </w:p>
        </w:tc>
      </w:tr>
      <w:tr w14:paraId="57F8B10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926" w:type="dxa"/>
            <w:vAlign w:val="center"/>
          </w:tcPr>
          <w:p w14:paraId="077D575F">
            <w:pPr>
              <w:pStyle w:val="15"/>
              <w:shd w:val="clear"/>
              <w:spacing w:line="276" w:lineRule="auto"/>
              <w:jc w:val="center"/>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2</w:t>
            </w:r>
          </w:p>
        </w:tc>
        <w:tc>
          <w:tcPr>
            <w:tcW w:w="2239" w:type="dxa"/>
            <w:vAlign w:val="center"/>
          </w:tcPr>
          <w:p w14:paraId="5F45ECD1">
            <w:pPr>
              <w:pStyle w:val="15"/>
              <w:shd w:val="clear"/>
              <w:spacing w:line="276" w:lineRule="auto"/>
              <w:jc w:val="left"/>
              <w:rPr>
                <w:rFonts w:hint="eastAsia" w:ascii="仿宋" w:hAnsi="仿宋" w:eastAsia="仿宋"/>
                <w:bCs/>
                <w:color w:val="auto"/>
                <w:sz w:val="24"/>
                <w:szCs w:val="20"/>
                <w:highlight w:val="none"/>
              </w:rPr>
            </w:pPr>
            <w:r>
              <w:rPr>
                <w:rFonts w:hint="eastAsia" w:ascii="仿宋" w:hAnsi="仿宋" w:eastAsia="仿宋"/>
                <w:bCs/>
                <w:color w:val="auto"/>
                <w:sz w:val="24"/>
                <w:highlight w:val="none"/>
              </w:rPr>
              <w:t>交货地点</w:t>
            </w:r>
          </w:p>
        </w:tc>
        <w:tc>
          <w:tcPr>
            <w:tcW w:w="6623" w:type="dxa"/>
            <w:vAlign w:val="center"/>
          </w:tcPr>
          <w:p w14:paraId="1292D14C">
            <w:pPr>
              <w:pStyle w:val="15"/>
              <w:shd w:val="clear"/>
              <w:spacing w:line="276" w:lineRule="auto"/>
              <w:jc w:val="lef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昆明市妇幼保健院指定地点</w:t>
            </w:r>
          </w:p>
        </w:tc>
      </w:tr>
      <w:tr w14:paraId="6D4706C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2069" w:hRule="atLeast"/>
          <w:jc w:val="center"/>
        </w:trPr>
        <w:tc>
          <w:tcPr>
            <w:tcW w:w="926" w:type="dxa"/>
            <w:vAlign w:val="center"/>
          </w:tcPr>
          <w:p w14:paraId="7BAC5F08">
            <w:pPr>
              <w:pStyle w:val="15"/>
              <w:shd w:val="clear"/>
              <w:spacing w:line="276" w:lineRule="auto"/>
              <w:jc w:val="center"/>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3</w:t>
            </w:r>
          </w:p>
        </w:tc>
        <w:tc>
          <w:tcPr>
            <w:tcW w:w="2239" w:type="dxa"/>
            <w:vAlign w:val="center"/>
          </w:tcPr>
          <w:p w14:paraId="60B80FFD">
            <w:pPr>
              <w:pStyle w:val="15"/>
              <w:shd w:val="clear"/>
              <w:spacing w:line="276" w:lineRule="auto"/>
              <w:jc w:val="left"/>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付款方式</w:t>
            </w:r>
          </w:p>
        </w:tc>
        <w:tc>
          <w:tcPr>
            <w:tcW w:w="6623" w:type="dxa"/>
            <w:vAlign w:val="center"/>
          </w:tcPr>
          <w:p w14:paraId="5CC1656F">
            <w:pPr>
              <w:pStyle w:val="15"/>
              <w:shd w:val="clear"/>
              <w:autoSpaceDE/>
              <w:autoSpaceDN/>
              <w:adjustRightInd/>
              <w:spacing w:line="276" w:lineRule="auto"/>
              <w:ind w:right="0" w:firstLineChars="0"/>
              <w:jc w:val="left"/>
              <w:rPr>
                <w:rFonts w:hint="eastAsia" w:ascii="仿宋" w:hAnsi="仿宋" w:eastAsia="仿宋"/>
                <w:bCs/>
                <w:color w:val="auto"/>
                <w:sz w:val="24"/>
                <w:highlight w:val="none"/>
              </w:rPr>
            </w:pPr>
            <w:r>
              <w:rPr>
                <w:rFonts w:hint="eastAsia" w:ascii="仿宋" w:hAnsi="仿宋" w:eastAsia="仿宋"/>
                <w:bCs/>
                <w:color w:val="auto"/>
                <w:sz w:val="24"/>
                <w:highlight w:val="none"/>
              </w:rPr>
              <w:t>1．合同价款支付方式</w:t>
            </w:r>
          </w:p>
          <w:p w14:paraId="5228AF0B">
            <w:pPr>
              <w:pStyle w:val="15"/>
              <w:shd w:val="clear"/>
              <w:spacing w:line="276" w:lineRule="auto"/>
              <w:ind w:firstLineChars="0"/>
              <w:jc w:val="left"/>
              <w:rPr>
                <w:rFonts w:hint="eastAsia" w:ascii="仿宋" w:hAnsi="仿宋" w:eastAsia="仿宋" w:cs="Times New Roman"/>
                <w:bCs/>
                <w:color w:val="auto"/>
                <w:sz w:val="24"/>
                <w:highlight w:val="none"/>
              </w:rPr>
            </w:pPr>
            <w:r>
              <w:rPr>
                <w:rFonts w:hint="eastAsia" w:ascii="仿宋" w:hAnsi="仿宋" w:eastAsia="仿宋" w:cs="Times New Roman"/>
                <w:bCs/>
                <w:color w:val="auto"/>
                <w:sz w:val="24"/>
                <w:highlight w:val="none"/>
              </w:rPr>
              <w:t>⑴-设备到货进场、安装调试、使用培训、验收合格支付50%合同款项。</w:t>
            </w:r>
          </w:p>
          <w:p w14:paraId="66BE4727">
            <w:pPr>
              <w:pStyle w:val="15"/>
              <w:shd w:val="clear"/>
              <w:spacing w:line="276" w:lineRule="auto"/>
              <w:ind w:firstLineChars="0"/>
              <w:jc w:val="left"/>
              <w:rPr>
                <w:rFonts w:hint="eastAsia" w:ascii="仿宋" w:hAnsi="仿宋" w:eastAsia="仿宋" w:cs="Times New Roman"/>
                <w:bCs/>
                <w:color w:val="auto"/>
                <w:sz w:val="24"/>
                <w:highlight w:val="none"/>
              </w:rPr>
            </w:pPr>
            <w:r>
              <w:rPr>
                <w:rFonts w:hint="eastAsia" w:ascii="仿宋" w:hAnsi="仿宋" w:eastAsia="仿宋" w:cs="Times New Roman"/>
                <w:bCs/>
                <w:color w:val="auto"/>
                <w:sz w:val="24"/>
                <w:highlight w:val="none"/>
              </w:rPr>
              <w:t>⑵-自本合同标的验收合格之日起满12个月、乙方履行期间阶段维护保养等义务且设备运行正常的支付20%合同款项。</w:t>
            </w:r>
          </w:p>
          <w:p w14:paraId="6AD286AD">
            <w:pPr>
              <w:pStyle w:val="15"/>
              <w:shd w:val="clear"/>
              <w:spacing w:line="276" w:lineRule="auto"/>
              <w:ind w:firstLineChars="0"/>
              <w:jc w:val="left"/>
              <w:rPr>
                <w:rFonts w:hint="eastAsia" w:ascii="仿宋" w:hAnsi="仿宋" w:eastAsia="仿宋" w:cs="Times New Roman"/>
                <w:bCs/>
                <w:color w:val="auto"/>
                <w:sz w:val="24"/>
                <w:highlight w:val="none"/>
              </w:rPr>
            </w:pPr>
            <w:r>
              <w:rPr>
                <w:rFonts w:hint="eastAsia" w:ascii="仿宋" w:hAnsi="仿宋" w:eastAsia="仿宋" w:cs="Times New Roman"/>
                <w:bCs/>
                <w:color w:val="auto"/>
                <w:sz w:val="24"/>
                <w:highlight w:val="none"/>
              </w:rPr>
              <w:t>⑶-自本合同标的验收合格之日起满24个月、乙方履行期间阶段维护保养等义务且设备运行正常的支付20%合同款项。</w:t>
            </w:r>
          </w:p>
          <w:p w14:paraId="0B36CF50">
            <w:pPr>
              <w:pStyle w:val="15"/>
              <w:shd w:val="clear"/>
              <w:spacing w:line="276" w:lineRule="auto"/>
              <w:ind w:firstLineChars="0"/>
              <w:jc w:val="left"/>
              <w:rPr>
                <w:rFonts w:hint="eastAsia" w:ascii="仿宋" w:hAnsi="仿宋" w:eastAsia="仿宋" w:cs="Times New Roman"/>
                <w:bCs/>
                <w:color w:val="auto"/>
                <w:sz w:val="24"/>
                <w:highlight w:val="none"/>
              </w:rPr>
            </w:pPr>
            <w:r>
              <w:rPr>
                <w:rFonts w:hint="eastAsia" w:ascii="仿宋" w:hAnsi="仿宋" w:eastAsia="仿宋" w:cs="Times New Roman"/>
                <w:bCs/>
                <w:color w:val="auto"/>
                <w:sz w:val="24"/>
                <w:highlight w:val="none"/>
              </w:rPr>
              <w:t>⑷-自本合同标的验收合格之日起满36个月、乙方履行期间阶段维护保养等义务且设备运行正常的支付10%合同款项。</w:t>
            </w:r>
          </w:p>
          <w:p w14:paraId="54D97B66">
            <w:pPr>
              <w:pStyle w:val="15"/>
              <w:shd w:val="clear"/>
              <w:spacing w:line="276" w:lineRule="auto"/>
              <w:ind w:firstLineChars="0"/>
              <w:jc w:val="left"/>
              <w:rPr>
                <w:rFonts w:hint="eastAsia" w:ascii="仿宋" w:hAnsi="仿宋" w:eastAsia="仿宋"/>
                <w:bCs/>
                <w:color w:val="auto"/>
                <w:sz w:val="24"/>
                <w:highlight w:val="none"/>
              </w:rPr>
            </w:pPr>
            <w:r>
              <w:rPr>
                <w:rFonts w:hint="eastAsia" w:ascii="仿宋" w:hAnsi="仿宋" w:eastAsia="仿宋"/>
                <w:bCs/>
                <w:color w:val="auto"/>
                <w:sz w:val="24"/>
                <w:highlight w:val="none"/>
              </w:rPr>
              <w:t>注:以上各合同款项百分比数字仅保留两位小数点精度显示，以其后实际金额为准。</w:t>
            </w:r>
          </w:p>
          <w:p w14:paraId="5686198D">
            <w:pPr>
              <w:pStyle w:val="15"/>
              <w:shd w:val="clear"/>
              <w:spacing w:line="276" w:lineRule="auto"/>
              <w:jc w:val="left"/>
              <w:rPr>
                <w:rFonts w:hint="eastAsia" w:ascii="仿宋" w:hAnsi="仿宋" w:eastAsia="仿宋"/>
                <w:bCs/>
                <w:color w:val="auto"/>
                <w:sz w:val="24"/>
                <w:highlight w:val="none"/>
              </w:rPr>
            </w:pPr>
            <w:r>
              <w:rPr>
                <w:rFonts w:hint="eastAsia" w:ascii="仿宋" w:hAnsi="仿宋" w:eastAsia="仿宋"/>
                <w:bCs/>
                <w:color w:val="auto"/>
                <w:sz w:val="24"/>
                <w:highlight w:val="none"/>
              </w:rPr>
              <w:t>2．</w:t>
            </w:r>
            <w:r>
              <w:rPr>
                <w:rFonts w:hint="eastAsia" w:ascii="仿宋" w:hAnsi="仿宋" w:eastAsia="仿宋" w:cs="Times New Roman"/>
                <w:bCs/>
                <w:color w:val="auto"/>
                <w:sz w:val="24"/>
                <w:highlight w:val="none"/>
              </w:rPr>
              <w:t>乙方应在申请付款时向甲方提供税务机构合规正式发票且</w:t>
            </w:r>
            <w:r>
              <w:rPr>
                <w:rFonts w:hint="eastAsia" w:ascii="仿宋" w:hAnsi="仿宋" w:eastAsia="仿宋"/>
                <w:bCs/>
                <w:color w:val="auto"/>
                <w:sz w:val="24"/>
                <w:highlight w:val="none"/>
              </w:rPr>
              <w:t>对所开具发票的真实合法性承担其相应责任，并按照甲方验收及财务管理规定提供相应资料。</w:t>
            </w:r>
          </w:p>
        </w:tc>
      </w:tr>
      <w:tr w14:paraId="01B8C57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26" w:type="dxa"/>
            <w:vAlign w:val="center"/>
          </w:tcPr>
          <w:p w14:paraId="7E87BB8E">
            <w:pPr>
              <w:pStyle w:val="15"/>
              <w:shd w:val="clear"/>
              <w:spacing w:line="276" w:lineRule="auto"/>
              <w:jc w:val="center"/>
              <w:rPr>
                <w:rFonts w:hint="eastAsia" w:ascii="仿宋" w:hAnsi="仿宋" w:eastAsia="仿宋"/>
                <w:bCs/>
                <w:color w:val="auto"/>
                <w:sz w:val="24"/>
                <w:szCs w:val="20"/>
                <w:highlight w:val="none"/>
              </w:rPr>
            </w:pPr>
            <w:r>
              <w:rPr>
                <w:rFonts w:hint="eastAsia" w:ascii="仿宋" w:hAnsi="仿宋" w:eastAsia="仿宋"/>
                <w:bCs/>
                <w:color w:val="auto"/>
                <w:sz w:val="24"/>
                <w:szCs w:val="20"/>
                <w:highlight w:val="none"/>
              </w:rPr>
              <w:t>4</w:t>
            </w:r>
          </w:p>
        </w:tc>
        <w:tc>
          <w:tcPr>
            <w:tcW w:w="2239" w:type="dxa"/>
            <w:vAlign w:val="center"/>
          </w:tcPr>
          <w:p w14:paraId="2FA49A41">
            <w:pPr>
              <w:pStyle w:val="15"/>
              <w:shd w:val="clear"/>
              <w:spacing w:line="276" w:lineRule="auto"/>
              <w:jc w:val="left"/>
              <w:rPr>
                <w:rFonts w:hint="eastAsia" w:ascii="仿宋" w:hAnsi="仿宋" w:eastAsia="仿宋"/>
                <w:bCs/>
                <w:color w:val="auto"/>
                <w:sz w:val="24"/>
                <w:highlight w:val="none"/>
              </w:rPr>
            </w:pPr>
            <w:r>
              <w:rPr>
                <w:rFonts w:hint="eastAsia" w:ascii="仿宋" w:hAnsi="仿宋" w:eastAsia="仿宋"/>
                <w:bCs/>
                <w:color w:val="auto"/>
                <w:sz w:val="24"/>
                <w:highlight w:val="none"/>
              </w:rPr>
              <w:t>合同份数</w:t>
            </w:r>
          </w:p>
        </w:tc>
        <w:tc>
          <w:tcPr>
            <w:tcW w:w="6623" w:type="dxa"/>
            <w:vAlign w:val="center"/>
          </w:tcPr>
          <w:p w14:paraId="44DCAA01">
            <w:pPr>
              <w:pStyle w:val="15"/>
              <w:shd w:val="clear"/>
              <w:spacing w:line="276" w:lineRule="auto"/>
              <w:jc w:val="left"/>
              <w:rPr>
                <w:rFonts w:hint="eastAsia" w:ascii="仿宋" w:hAnsi="仿宋" w:eastAsia="仿宋"/>
                <w:bCs/>
                <w:color w:val="auto"/>
                <w:sz w:val="24"/>
                <w:highlight w:val="none"/>
              </w:rPr>
            </w:pPr>
            <w:r>
              <w:rPr>
                <w:rFonts w:hint="eastAsia" w:ascii="仿宋" w:hAnsi="仿宋" w:eastAsia="仿宋"/>
                <w:bCs/>
                <w:color w:val="auto"/>
                <w:sz w:val="24"/>
                <w:highlight w:val="none"/>
              </w:rPr>
              <w:t>本合同一式伍份，甲方叁份，乙方执壹份，丙方（鉴证方）执壹份</w:t>
            </w:r>
          </w:p>
        </w:tc>
      </w:tr>
    </w:tbl>
    <w:p w14:paraId="3FAD32E6">
      <w:pPr>
        <w:shd w:val="clear"/>
        <w:rPr>
          <w:rFonts w:cs="Tahoma" w:asciiTheme="minorEastAsia" w:hAnsiTheme="minorEastAsia" w:eastAsiaTheme="minorEastAsia"/>
          <w:color w:val="auto"/>
          <w:highlight w:val="none"/>
        </w:rPr>
      </w:pPr>
      <w:r>
        <w:rPr>
          <w:rFonts w:hint="eastAsia" w:cs="Tahoma" w:asciiTheme="minorEastAsia" w:hAnsiTheme="minorEastAsia" w:eastAsiaTheme="minorEastAsia"/>
          <w:color w:val="auto"/>
          <w:highlight w:val="none"/>
        </w:rPr>
        <w:br w:type="page"/>
      </w:r>
    </w:p>
    <w:p w14:paraId="49CEEFF1">
      <w:pPr>
        <w:shd w:val="clear"/>
        <w:autoSpaceDE w:val="0"/>
        <w:autoSpaceDN w:val="0"/>
        <w:adjustRightInd w:val="0"/>
        <w:spacing w:line="360" w:lineRule="auto"/>
        <w:ind w:right="-72"/>
        <w:rPr>
          <w:rFonts w:asciiTheme="minorEastAsia" w:hAnsiTheme="minorEastAsia" w:eastAsiaTheme="minorEastAsia"/>
          <w:b/>
          <w:color w:val="auto"/>
          <w:sz w:val="18"/>
          <w:szCs w:val="18"/>
          <w:highlight w:val="none"/>
        </w:rPr>
      </w:pPr>
      <w:r>
        <w:rPr>
          <w:rFonts w:hint="eastAsia" w:cs="Tahoma" w:asciiTheme="minorEastAsia" w:hAnsiTheme="minorEastAsia" w:eastAsiaTheme="minorEastAsia"/>
          <w:color w:val="auto"/>
          <w:highlight w:val="none"/>
        </w:rPr>
        <w:t>合同编号：</w:t>
      </w:r>
      <w:r>
        <w:rPr>
          <w:rFonts w:cs="Calibri" w:asciiTheme="minorEastAsia" w:hAnsiTheme="minorEastAsia" w:eastAsiaTheme="minorEastAsia"/>
          <w:color w:val="auto"/>
          <w:highlight w:val="none"/>
        </w:rPr>
        <w:t> </w:t>
      </w:r>
      <w:r>
        <w:rPr>
          <w:rFonts w:cs="Tahoma" w:asciiTheme="minorEastAsia" w:hAnsiTheme="minorEastAsia" w:eastAsiaTheme="minorEastAsia"/>
          <w:color w:val="auto"/>
          <w:highlight w:val="none"/>
        </w:rPr>
        <w:t xml:space="preserve">                      </w:t>
      </w:r>
      <w:r>
        <w:rPr>
          <w:rFonts w:hint="eastAsia" w:cs="Tahoma" w:asciiTheme="minorEastAsia" w:hAnsiTheme="minorEastAsia" w:eastAsiaTheme="minorEastAsia"/>
          <w:color w:val="auto"/>
          <w:highlight w:val="none"/>
        </w:rPr>
        <w:t>合同自编号：</w:t>
      </w:r>
      <w:r>
        <w:rPr>
          <w:rFonts w:hint="eastAsia" w:cs="Tahoma" w:asciiTheme="minorEastAsia" w:hAnsiTheme="minorEastAsia" w:eastAsiaTheme="minorEastAsia"/>
          <w:color w:val="auto"/>
          <w:highlight w:val="none"/>
        </w:rPr>
        <w:tab/>
      </w:r>
      <w:r>
        <w:rPr>
          <w:rFonts w:hint="eastAsia" w:cs="Tahoma" w:asciiTheme="minorEastAsia" w:hAnsiTheme="minorEastAsia" w:eastAsiaTheme="minorEastAsia"/>
          <w:color w:val="auto"/>
          <w:highlight w:val="none"/>
        </w:rPr>
        <w:tab/>
      </w:r>
      <w:r>
        <w:rPr>
          <w:rFonts w:cs="Tahoma" w:asciiTheme="minorEastAsia" w:hAnsiTheme="minorEastAsia" w:eastAsiaTheme="minorEastAsia"/>
          <w:color w:val="auto"/>
          <w:highlight w:val="none"/>
        </w:rPr>
        <w:t xml:space="preserve">            </w:t>
      </w:r>
      <w:r>
        <w:rPr>
          <w:rFonts w:hint="eastAsia" w:cs="Tahoma" w:asciiTheme="minorEastAsia" w:hAnsiTheme="minorEastAsia" w:eastAsiaTheme="minorEastAsia"/>
          <w:color w:val="auto"/>
          <w:highlight w:val="none"/>
        </w:rPr>
        <w:t>项目编号：</w:t>
      </w:r>
    </w:p>
    <w:p w14:paraId="3B3B5D5D">
      <w:pPr>
        <w:shd w:val="clear"/>
        <w:autoSpaceDE w:val="0"/>
        <w:autoSpaceDN w:val="0"/>
        <w:adjustRightInd w:val="0"/>
        <w:spacing w:line="360" w:lineRule="auto"/>
        <w:ind w:right="5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●本合同须加盖甲乙双方骑缝章有效</w:t>
      </w:r>
    </w:p>
    <w:p w14:paraId="42883687">
      <w:pPr>
        <w:shd w:val="clear"/>
        <w:autoSpaceDE w:val="0"/>
        <w:autoSpaceDN w:val="0"/>
        <w:adjustRightInd w:val="0"/>
        <w:spacing w:line="360" w:lineRule="auto"/>
        <w:jc w:val="center"/>
        <w:rPr>
          <w:rFonts w:asciiTheme="minorEastAsia" w:hAnsiTheme="minorEastAsia" w:eastAsiaTheme="minorEastAsia"/>
          <w:color w:val="auto"/>
          <w:sz w:val="32"/>
          <w:szCs w:val="32"/>
          <w:highlight w:val="none"/>
        </w:rPr>
      </w:pPr>
    </w:p>
    <w:p w14:paraId="22806CCA">
      <w:pPr>
        <w:shd w:val="clear"/>
        <w:autoSpaceDE w:val="0"/>
        <w:autoSpaceDN w:val="0"/>
        <w:adjustRightInd w:val="0"/>
        <w:spacing w:line="360" w:lineRule="auto"/>
        <w:jc w:val="center"/>
        <w:rPr>
          <w:rFonts w:asciiTheme="minorEastAsia" w:hAnsiTheme="minorEastAsia" w:eastAsiaTheme="minorEastAsia"/>
          <w:color w:val="auto"/>
          <w:sz w:val="52"/>
          <w:szCs w:val="52"/>
          <w:highlight w:val="none"/>
        </w:rPr>
      </w:pPr>
      <w:r>
        <w:rPr>
          <w:rFonts w:asciiTheme="minorEastAsia" w:hAnsiTheme="minorEastAsia" w:eastAsiaTheme="minorEastAsia"/>
          <w:color w:val="auto"/>
          <w:sz w:val="52"/>
          <w:szCs w:val="52"/>
          <w:highlight w:val="none"/>
        </w:rPr>
        <w:t>云南省</w:t>
      </w:r>
      <w:r>
        <w:rPr>
          <w:rFonts w:hint="eastAsia" w:asciiTheme="minorEastAsia" w:hAnsiTheme="minorEastAsia" w:eastAsiaTheme="minorEastAsia"/>
          <w:color w:val="auto"/>
          <w:sz w:val="52"/>
          <w:szCs w:val="52"/>
          <w:highlight w:val="none"/>
        </w:rPr>
        <w:t>政府</w:t>
      </w:r>
      <w:r>
        <w:rPr>
          <w:rFonts w:asciiTheme="minorEastAsia" w:hAnsiTheme="minorEastAsia" w:eastAsiaTheme="minorEastAsia"/>
          <w:color w:val="auto"/>
          <w:sz w:val="52"/>
          <w:szCs w:val="52"/>
          <w:highlight w:val="none"/>
        </w:rPr>
        <w:t>采购</w:t>
      </w:r>
    </w:p>
    <w:p w14:paraId="3503CE1B">
      <w:pPr>
        <w:shd w:val="clear"/>
        <w:autoSpaceDE w:val="0"/>
        <w:autoSpaceDN w:val="0"/>
        <w:adjustRightInd w:val="0"/>
        <w:spacing w:line="360" w:lineRule="auto"/>
        <w:jc w:val="center"/>
        <w:rPr>
          <w:rFonts w:asciiTheme="minorEastAsia" w:hAnsiTheme="minorEastAsia" w:eastAsiaTheme="minorEastAsia"/>
          <w:b/>
          <w:color w:val="auto"/>
          <w:sz w:val="44"/>
          <w:szCs w:val="44"/>
          <w:highlight w:val="none"/>
        </w:rPr>
      </w:pPr>
    </w:p>
    <w:p w14:paraId="23044103">
      <w:pPr>
        <w:shd w:val="clear"/>
        <w:autoSpaceDE w:val="0"/>
        <w:autoSpaceDN w:val="0"/>
        <w:adjustRightInd w:val="0"/>
        <w:spacing w:line="360" w:lineRule="auto"/>
        <w:jc w:val="center"/>
        <w:rPr>
          <w:rFonts w:asciiTheme="minorEastAsia" w:hAnsiTheme="minorEastAsia" w:eastAsiaTheme="minorEastAsia"/>
          <w:b/>
          <w:color w:val="auto"/>
          <w:sz w:val="44"/>
          <w:szCs w:val="44"/>
          <w:highlight w:val="none"/>
        </w:rPr>
      </w:pPr>
      <w:r>
        <w:rPr>
          <w:rFonts w:hint="eastAsia" w:cs="Tahoma" w:asciiTheme="minorEastAsia" w:hAnsiTheme="minorEastAsia" w:eastAsiaTheme="minorEastAsia"/>
          <w:color w:val="auto"/>
          <w:sz w:val="33"/>
          <w:szCs w:val="33"/>
          <w:highlight w:val="none"/>
        </w:rPr>
        <w:t>（委托采购）</w:t>
      </w:r>
    </w:p>
    <w:p w14:paraId="1B4EFF3E">
      <w:pPr>
        <w:shd w:val="clear"/>
        <w:autoSpaceDE w:val="0"/>
        <w:autoSpaceDN w:val="0"/>
        <w:adjustRightInd w:val="0"/>
        <w:spacing w:line="360" w:lineRule="auto"/>
        <w:jc w:val="center"/>
        <w:rPr>
          <w:rFonts w:asciiTheme="minorEastAsia" w:hAnsiTheme="minorEastAsia" w:eastAsiaTheme="minorEastAsia"/>
          <w:color w:val="auto"/>
          <w:sz w:val="18"/>
          <w:szCs w:val="18"/>
          <w:highlight w:val="none"/>
        </w:rPr>
      </w:pPr>
    </w:p>
    <w:p w14:paraId="50CC86EF">
      <w:pPr>
        <w:shd w:val="clear"/>
        <w:autoSpaceDE w:val="0"/>
        <w:autoSpaceDN w:val="0"/>
        <w:adjustRightInd w:val="0"/>
        <w:spacing w:line="360" w:lineRule="auto"/>
        <w:jc w:val="center"/>
        <w:rPr>
          <w:rFonts w:asciiTheme="minorEastAsia" w:hAnsiTheme="minorEastAsia" w:eastAsiaTheme="minorEastAsia"/>
          <w:color w:val="auto"/>
          <w:sz w:val="18"/>
          <w:szCs w:val="18"/>
          <w:highlight w:val="none"/>
        </w:rPr>
      </w:pPr>
    </w:p>
    <w:p w14:paraId="5C2CEF7A">
      <w:pPr>
        <w:shd w:val="clear"/>
        <w:autoSpaceDE w:val="0"/>
        <w:autoSpaceDN w:val="0"/>
        <w:adjustRightInd w:val="0"/>
        <w:spacing w:line="360" w:lineRule="auto"/>
        <w:jc w:val="center"/>
        <w:rPr>
          <w:rFonts w:asciiTheme="minorEastAsia" w:hAnsiTheme="minorEastAsia" w:eastAsiaTheme="minorEastAsia"/>
          <w:color w:val="auto"/>
          <w:sz w:val="18"/>
          <w:szCs w:val="18"/>
          <w:highlight w:val="none"/>
        </w:rPr>
      </w:pPr>
    </w:p>
    <w:p w14:paraId="79C54D2F">
      <w:pPr>
        <w:shd w:val="clear"/>
        <w:autoSpaceDE w:val="0"/>
        <w:autoSpaceDN w:val="0"/>
        <w:adjustRightInd w:val="0"/>
        <w:spacing w:line="360" w:lineRule="auto"/>
        <w:jc w:val="center"/>
        <w:rPr>
          <w:rFonts w:asciiTheme="minorEastAsia" w:hAnsiTheme="minorEastAsia" w:eastAsiaTheme="minorEastAsia"/>
          <w:color w:val="auto"/>
          <w:sz w:val="84"/>
          <w:szCs w:val="84"/>
          <w:highlight w:val="none"/>
        </w:rPr>
      </w:pPr>
      <w:r>
        <w:rPr>
          <w:rFonts w:asciiTheme="minorEastAsia" w:hAnsiTheme="minorEastAsia" w:eastAsiaTheme="minorEastAsia"/>
          <w:color w:val="auto"/>
          <w:sz w:val="84"/>
          <w:szCs w:val="84"/>
          <w:highlight w:val="none"/>
        </w:rPr>
        <w:t>合</w:t>
      </w:r>
    </w:p>
    <w:p w14:paraId="0E845D73">
      <w:pPr>
        <w:shd w:val="clear"/>
        <w:autoSpaceDE w:val="0"/>
        <w:autoSpaceDN w:val="0"/>
        <w:adjustRightInd w:val="0"/>
        <w:spacing w:line="360" w:lineRule="auto"/>
        <w:jc w:val="center"/>
        <w:rPr>
          <w:rFonts w:asciiTheme="minorEastAsia" w:hAnsiTheme="minorEastAsia" w:eastAsiaTheme="minorEastAsia"/>
          <w:color w:val="auto"/>
          <w:sz w:val="72"/>
          <w:szCs w:val="72"/>
          <w:highlight w:val="none"/>
        </w:rPr>
      </w:pPr>
      <w:r>
        <w:rPr>
          <w:rFonts w:asciiTheme="minorEastAsia" w:hAnsiTheme="minorEastAsia" w:eastAsiaTheme="minorEastAsia"/>
          <w:color w:val="auto"/>
          <w:sz w:val="84"/>
          <w:szCs w:val="84"/>
          <w:highlight w:val="none"/>
        </w:rPr>
        <w:t>同</w:t>
      </w:r>
    </w:p>
    <w:p w14:paraId="0F1FD3C3">
      <w:pPr>
        <w:shd w:val="clear"/>
        <w:autoSpaceDE w:val="0"/>
        <w:autoSpaceDN w:val="0"/>
        <w:adjustRightInd w:val="0"/>
        <w:spacing w:line="360" w:lineRule="auto"/>
        <w:jc w:val="center"/>
        <w:rPr>
          <w:rFonts w:asciiTheme="minorEastAsia" w:hAnsiTheme="minorEastAsia" w:eastAsiaTheme="minorEastAsia"/>
          <w:color w:val="auto"/>
          <w:sz w:val="84"/>
          <w:szCs w:val="84"/>
          <w:highlight w:val="none"/>
        </w:rPr>
      </w:pPr>
      <w:r>
        <w:rPr>
          <w:rFonts w:asciiTheme="minorEastAsia" w:hAnsiTheme="minorEastAsia" w:eastAsiaTheme="minorEastAsia"/>
          <w:color w:val="auto"/>
          <w:sz w:val="84"/>
          <w:szCs w:val="84"/>
          <w:highlight w:val="none"/>
        </w:rPr>
        <w:t>书</w:t>
      </w:r>
    </w:p>
    <w:p w14:paraId="03F59470">
      <w:pPr>
        <w:shd w:val="clear"/>
        <w:autoSpaceDE w:val="0"/>
        <w:autoSpaceDN w:val="0"/>
        <w:adjustRightInd w:val="0"/>
        <w:spacing w:line="360" w:lineRule="auto"/>
        <w:ind w:firstLine="3388" w:firstLineChars="1250"/>
        <w:rPr>
          <w:rFonts w:cs="Tahoma" w:asciiTheme="minorEastAsia" w:hAnsiTheme="minorEastAsia" w:eastAsiaTheme="minorEastAsia"/>
          <w:b/>
          <w:bCs/>
          <w:color w:val="auto"/>
          <w:sz w:val="27"/>
          <w:szCs w:val="27"/>
          <w:highlight w:val="none"/>
        </w:rPr>
      </w:pPr>
    </w:p>
    <w:p w14:paraId="4D0C9537">
      <w:pPr>
        <w:shd w:val="clear"/>
        <w:autoSpaceDE w:val="0"/>
        <w:autoSpaceDN w:val="0"/>
        <w:adjustRightInd w:val="0"/>
        <w:spacing w:line="360" w:lineRule="auto"/>
        <w:ind w:firstLine="3388" w:firstLineChars="1250"/>
        <w:rPr>
          <w:rFonts w:cs="Tahoma" w:asciiTheme="minorEastAsia" w:hAnsiTheme="minorEastAsia" w:eastAsiaTheme="minorEastAsia"/>
          <w:b/>
          <w:bCs/>
          <w:color w:val="auto"/>
          <w:sz w:val="27"/>
          <w:szCs w:val="27"/>
          <w:highlight w:val="none"/>
        </w:rPr>
      </w:pPr>
    </w:p>
    <w:p w14:paraId="79A9C907">
      <w:pPr>
        <w:shd w:val="clear"/>
        <w:autoSpaceDE w:val="0"/>
        <w:autoSpaceDN w:val="0"/>
        <w:adjustRightInd w:val="0"/>
        <w:spacing w:line="360" w:lineRule="auto"/>
        <w:ind w:firstLine="3388" w:firstLineChars="1250"/>
        <w:rPr>
          <w:rFonts w:cs="Tahoma" w:asciiTheme="minorEastAsia" w:hAnsiTheme="minorEastAsia" w:eastAsiaTheme="minorEastAsia"/>
          <w:b/>
          <w:bCs/>
          <w:color w:val="auto"/>
          <w:sz w:val="27"/>
          <w:szCs w:val="27"/>
          <w:highlight w:val="none"/>
        </w:rPr>
      </w:pPr>
    </w:p>
    <w:p w14:paraId="1B356F36">
      <w:pPr>
        <w:shd w:val="clear"/>
        <w:autoSpaceDE w:val="0"/>
        <w:autoSpaceDN w:val="0"/>
        <w:adjustRightInd w:val="0"/>
        <w:spacing w:line="360" w:lineRule="auto"/>
        <w:ind w:firstLine="3388" w:firstLineChars="1250"/>
        <w:rPr>
          <w:rFonts w:cs="Tahoma" w:asciiTheme="minorEastAsia" w:hAnsiTheme="minorEastAsia" w:eastAsiaTheme="minorEastAsia"/>
          <w:b/>
          <w:bCs/>
          <w:color w:val="auto"/>
          <w:sz w:val="27"/>
          <w:szCs w:val="27"/>
          <w:highlight w:val="none"/>
        </w:rPr>
      </w:pPr>
      <w:r>
        <w:rPr>
          <w:rFonts w:cs="Tahoma" w:asciiTheme="minorEastAsia" w:hAnsiTheme="minorEastAsia" w:eastAsiaTheme="minorEastAsia"/>
          <w:b/>
          <w:bCs/>
          <w:color w:val="auto"/>
          <w:sz w:val="27"/>
          <w:szCs w:val="27"/>
          <w:highlight w:val="none"/>
        </w:rPr>
        <w:t>签订地点：</w:t>
      </w:r>
    </w:p>
    <w:p w14:paraId="0CB0006B">
      <w:pPr>
        <w:shd w:val="clear"/>
        <w:autoSpaceDE w:val="0"/>
        <w:autoSpaceDN w:val="0"/>
        <w:adjustRightInd w:val="0"/>
        <w:spacing w:line="360" w:lineRule="auto"/>
        <w:jc w:val="center"/>
        <w:rPr>
          <w:rFonts w:cs="Tahoma" w:asciiTheme="minorEastAsia" w:hAnsiTheme="minorEastAsia" w:eastAsiaTheme="minorEastAsia"/>
          <w:b/>
          <w:bCs/>
          <w:color w:val="auto"/>
          <w:sz w:val="27"/>
          <w:szCs w:val="27"/>
          <w:highlight w:val="none"/>
        </w:rPr>
      </w:pPr>
      <w:r>
        <w:rPr>
          <w:rFonts w:cs="Tahoma" w:asciiTheme="minorEastAsia" w:hAnsiTheme="minorEastAsia" w:eastAsiaTheme="minorEastAsia"/>
          <w:b/>
          <w:bCs/>
          <w:color w:val="auto"/>
          <w:sz w:val="27"/>
          <w:szCs w:val="27"/>
          <w:highlight w:val="none"/>
        </w:rPr>
        <w:t>签订日期：年　月　日</w:t>
      </w:r>
    </w:p>
    <w:p w14:paraId="795C3090">
      <w:pPr>
        <w:shd w:val="clear"/>
        <w:jc w:val="center"/>
        <w:rPr>
          <w:rFonts w:cs="Tahoma" w:asciiTheme="minorEastAsia" w:hAnsiTheme="minorEastAsia" w:eastAsiaTheme="minorEastAsia"/>
          <w:color w:val="auto"/>
          <w:szCs w:val="21"/>
          <w:highlight w:val="none"/>
        </w:rPr>
      </w:pPr>
      <w:r>
        <w:rPr>
          <w:rFonts w:cs="Tahoma" w:asciiTheme="minorEastAsia" w:hAnsiTheme="minorEastAsia" w:eastAsiaTheme="minorEastAsia"/>
          <w:b/>
          <w:bCs/>
          <w:color w:val="auto"/>
          <w:sz w:val="27"/>
          <w:szCs w:val="27"/>
          <w:highlight w:val="none"/>
        </w:rPr>
        <w:t>云南省财政厅　制</w:t>
      </w:r>
    </w:p>
    <w:p w14:paraId="729DFE41">
      <w:pPr>
        <w:widowControl/>
        <w:shd w:val="clear"/>
        <w:jc w:val="left"/>
        <w:rPr>
          <w:rFonts w:cs="Tahoma" w:asciiTheme="minorEastAsia" w:hAnsiTheme="minorEastAsia" w:eastAsiaTheme="minorEastAsia"/>
          <w:color w:val="auto"/>
          <w:szCs w:val="21"/>
          <w:highlight w:val="none"/>
        </w:rPr>
      </w:pPr>
      <w:r>
        <w:rPr>
          <w:rFonts w:cs="Tahoma" w:asciiTheme="minorEastAsia" w:hAnsiTheme="minorEastAsia" w:eastAsiaTheme="minorEastAsia"/>
          <w:color w:val="auto"/>
          <w:szCs w:val="21"/>
          <w:highlight w:val="none"/>
        </w:rPr>
        <w:br w:type="page"/>
      </w:r>
    </w:p>
    <w:p w14:paraId="0F48FFE0">
      <w:pPr>
        <w:shd w:val="clear"/>
        <w:spacing w:line="360" w:lineRule="auto"/>
        <w:ind w:left="1619" w:leftChars="338" w:hanging="909" w:hangingChars="433"/>
        <w:rPr>
          <w:rFonts w:cs="Tahoma" w:asciiTheme="minorEastAsia" w:hAnsiTheme="minorEastAsia" w:eastAsiaTheme="minorEastAsia"/>
          <w:color w:val="auto"/>
          <w:szCs w:val="21"/>
          <w:highlight w:val="none"/>
        </w:rPr>
      </w:pPr>
    </w:p>
    <w:p w14:paraId="01A15C06">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甲方（采购人公章）名</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称：</w:t>
      </w:r>
      <w:r>
        <w:rPr>
          <w:rFonts w:cs="Tahoma" w:asciiTheme="minorEastAsia" w:hAnsiTheme="minorEastAsia" w:eastAsiaTheme="minorEastAsia"/>
          <w:color w:val="auto"/>
          <w:szCs w:val="21"/>
          <w:highlight w:val="none"/>
        </w:rPr>
        <w:t xml:space="preserve"> </w:t>
      </w:r>
    </w:p>
    <w:p w14:paraId="6352ADAC">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地</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 xml:space="preserve">址： </w:t>
      </w:r>
    </w:p>
    <w:p w14:paraId="3A74032D">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邮</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编：</w:t>
      </w:r>
    </w:p>
    <w:p w14:paraId="10B7B8CA">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法定代表人或委托代理人：</w:t>
      </w:r>
    </w:p>
    <w:p w14:paraId="41A42FF5">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项目（技术）负责人：</w:t>
      </w:r>
    </w:p>
    <w:p w14:paraId="59AAD719">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电</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话：</w:t>
      </w:r>
    </w:p>
    <w:p w14:paraId="00CC7793">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签订日期：</w:t>
      </w:r>
    </w:p>
    <w:p w14:paraId="5BBE3401">
      <w:pPr>
        <w:pStyle w:val="25"/>
        <w:shd w:val="clear"/>
        <w:spacing w:line="360" w:lineRule="auto"/>
        <w:ind w:left="1619" w:leftChars="338" w:hanging="909" w:hangingChars="433"/>
        <w:rPr>
          <w:rFonts w:asciiTheme="minorEastAsia" w:hAnsiTheme="minorEastAsia" w:eastAsiaTheme="minorEastAsia"/>
          <w:color w:val="auto"/>
          <w:highlight w:val="none"/>
        </w:rPr>
      </w:pPr>
    </w:p>
    <w:p w14:paraId="0F3FEA81">
      <w:pPr>
        <w:shd w:val="clear"/>
        <w:spacing w:line="360" w:lineRule="auto"/>
        <w:ind w:left="1619" w:leftChars="338" w:hanging="909" w:hangingChars="433"/>
        <w:rPr>
          <w:rFonts w:cs="Tahoma" w:asciiTheme="minorEastAsia" w:hAnsiTheme="minorEastAsia" w:eastAsiaTheme="minorEastAsia"/>
          <w:color w:val="auto"/>
          <w:szCs w:val="21"/>
          <w:highlight w:val="none"/>
        </w:rPr>
      </w:pPr>
    </w:p>
    <w:p w14:paraId="37591DFC">
      <w:pPr>
        <w:shd w:val="clear"/>
        <w:spacing w:line="360" w:lineRule="auto"/>
        <w:ind w:left="1619" w:leftChars="338" w:hanging="909" w:hangingChars="433"/>
        <w:rPr>
          <w:rFonts w:cs="Tahoma" w:asciiTheme="minorEastAsia" w:hAnsiTheme="minorEastAsia" w:eastAsiaTheme="minorEastAsia"/>
          <w:color w:val="auto"/>
          <w:szCs w:val="21"/>
          <w:highlight w:val="none"/>
        </w:rPr>
      </w:pPr>
    </w:p>
    <w:p w14:paraId="41E99B20">
      <w:pPr>
        <w:shd w:val="clear"/>
        <w:spacing w:line="360" w:lineRule="auto"/>
        <w:ind w:left="1619" w:leftChars="338" w:hanging="909" w:hangingChars="433"/>
        <w:rPr>
          <w:rFonts w:cs="Tahoma" w:asciiTheme="minorEastAsia" w:hAnsiTheme="minorEastAsia" w:eastAsiaTheme="minorEastAsia"/>
          <w:color w:val="auto"/>
          <w:szCs w:val="21"/>
          <w:highlight w:val="none"/>
        </w:rPr>
      </w:pPr>
    </w:p>
    <w:p w14:paraId="0877AE8A">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乙方（供应商公章）名</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 xml:space="preserve">称： </w:t>
      </w:r>
    </w:p>
    <w:p w14:paraId="7993DF0B">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地</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址：</w:t>
      </w:r>
    </w:p>
    <w:p w14:paraId="5163F4E1">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邮</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编：</w:t>
      </w:r>
    </w:p>
    <w:p w14:paraId="71B4BB6A">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法定代表人或委托代理人：</w:t>
      </w:r>
      <w:r>
        <w:rPr>
          <w:rFonts w:cs="Calibri" w:asciiTheme="minorEastAsia" w:hAnsiTheme="minorEastAsia" w:eastAsiaTheme="minorEastAsia"/>
          <w:color w:val="auto"/>
          <w:szCs w:val="21"/>
          <w:highlight w:val="none"/>
        </w:rPr>
        <w:t>                    </w:t>
      </w:r>
    </w:p>
    <w:p w14:paraId="41280DB0">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经办人：</w:t>
      </w:r>
    </w:p>
    <w:p w14:paraId="3385F3C0">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 xml:space="preserve">电 </w:t>
      </w:r>
      <w:r>
        <w:rPr>
          <w:rFonts w:cs="Tahoma" w:asciiTheme="minorEastAsia" w:hAnsiTheme="minorEastAsia" w:eastAsiaTheme="minorEastAsia"/>
          <w:color w:val="auto"/>
          <w:szCs w:val="21"/>
          <w:highlight w:val="none"/>
        </w:rPr>
        <w:t xml:space="preserve"> </w:t>
      </w:r>
      <w:r>
        <w:rPr>
          <w:rFonts w:hint="eastAsia" w:cs="Tahoma" w:asciiTheme="minorEastAsia" w:hAnsiTheme="minorEastAsia" w:eastAsiaTheme="minorEastAsia"/>
          <w:color w:val="auto"/>
          <w:szCs w:val="21"/>
          <w:highlight w:val="none"/>
        </w:rPr>
        <w:t>话：</w:t>
      </w:r>
    </w:p>
    <w:p w14:paraId="7E57C2A3">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签订日期：</w:t>
      </w:r>
    </w:p>
    <w:p w14:paraId="20DC54AD">
      <w:pPr>
        <w:shd w:val="clear"/>
        <w:spacing w:line="360" w:lineRule="auto"/>
        <w:ind w:left="1619" w:leftChars="338" w:hanging="909" w:hangingChars="433"/>
        <w:rPr>
          <w:rFonts w:cs="Tahoma" w:asciiTheme="minorEastAsia" w:hAnsiTheme="minorEastAsia" w:eastAsiaTheme="minorEastAsia"/>
          <w:color w:val="auto"/>
          <w:szCs w:val="21"/>
          <w:highlight w:val="none"/>
        </w:rPr>
      </w:pPr>
    </w:p>
    <w:p w14:paraId="7BE4FB30">
      <w:pPr>
        <w:shd w:val="clear"/>
        <w:spacing w:line="360" w:lineRule="auto"/>
        <w:ind w:left="1619" w:leftChars="338" w:hanging="909" w:hangingChars="433"/>
        <w:rPr>
          <w:rFonts w:cs="Tahoma" w:asciiTheme="minorEastAsia" w:hAnsiTheme="minorEastAsia" w:eastAsiaTheme="minorEastAsia"/>
          <w:color w:val="auto"/>
          <w:szCs w:val="21"/>
          <w:highlight w:val="none"/>
        </w:rPr>
      </w:pPr>
    </w:p>
    <w:p w14:paraId="475A0A0C">
      <w:pPr>
        <w:pStyle w:val="25"/>
        <w:shd w:val="clear"/>
        <w:spacing w:line="360" w:lineRule="auto"/>
        <w:ind w:left="1619" w:leftChars="338" w:hanging="909" w:hangingChars="433"/>
        <w:rPr>
          <w:rFonts w:asciiTheme="minorEastAsia" w:hAnsiTheme="minorEastAsia" w:eastAsiaTheme="minorEastAsia"/>
          <w:color w:val="auto"/>
          <w:highlight w:val="none"/>
        </w:rPr>
      </w:pPr>
    </w:p>
    <w:p w14:paraId="7C8583F0">
      <w:pPr>
        <w:shd w:val="clear"/>
        <w:spacing w:line="360" w:lineRule="auto"/>
        <w:ind w:left="1619" w:leftChars="338" w:hanging="909" w:hangingChars="433"/>
        <w:rPr>
          <w:rFonts w:cs="Tahoma" w:asciiTheme="minorEastAsia" w:hAnsiTheme="minorEastAsia" w:eastAsiaTheme="minorEastAsia"/>
          <w:vanish/>
          <w:color w:val="auto"/>
          <w:szCs w:val="21"/>
          <w:highlight w:val="none"/>
        </w:rPr>
      </w:pPr>
    </w:p>
    <w:p w14:paraId="352D7331">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丙方（鉴证方公章）名</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称：</w:t>
      </w:r>
      <w:r>
        <w:rPr>
          <w:rFonts w:cs="Tahoma" w:asciiTheme="minorEastAsia" w:hAnsiTheme="minorEastAsia" w:eastAsiaTheme="minorEastAsia"/>
          <w:color w:val="auto"/>
          <w:szCs w:val="21"/>
          <w:highlight w:val="none"/>
        </w:rPr>
        <w:t xml:space="preserve"> </w:t>
      </w:r>
    </w:p>
    <w:p w14:paraId="303FA57F">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地</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址：</w:t>
      </w:r>
      <w:r>
        <w:rPr>
          <w:rFonts w:cs="Tahoma" w:asciiTheme="minorEastAsia" w:hAnsiTheme="minorEastAsia" w:eastAsiaTheme="minorEastAsia"/>
          <w:color w:val="auto"/>
          <w:szCs w:val="21"/>
          <w:highlight w:val="none"/>
        </w:rPr>
        <w:t xml:space="preserve"> </w:t>
      </w:r>
    </w:p>
    <w:p w14:paraId="68C148A2">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邮</w:t>
      </w:r>
      <w:r>
        <w:rPr>
          <w:rFonts w:cs="Calibri" w:asciiTheme="minorEastAsia" w:hAnsiTheme="minorEastAsia" w:eastAsiaTheme="minorEastAsia"/>
          <w:color w:val="auto"/>
          <w:szCs w:val="21"/>
          <w:highlight w:val="none"/>
        </w:rPr>
        <w:t>   </w:t>
      </w:r>
      <w:r>
        <w:rPr>
          <w:rFonts w:hint="eastAsia" w:cs="Tahoma" w:asciiTheme="minorEastAsia" w:hAnsiTheme="minorEastAsia" w:eastAsiaTheme="minorEastAsia"/>
          <w:color w:val="auto"/>
          <w:szCs w:val="21"/>
          <w:highlight w:val="none"/>
        </w:rPr>
        <w:t>编：</w:t>
      </w:r>
    </w:p>
    <w:p w14:paraId="56C94C6B">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法定代表人或委托代理人：</w:t>
      </w:r>
    </w:p>
    <w:p w14:paraId="1E21A200">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经办人：</w:t>
      </w:r>
    </w:p>
    <w:p w14:paraId="047BD07D">
      <w:pPr>
        <w:shd w:val="clear"/>
        <w:spacing w:line="360" w:lineRule="auto"/>
        <w:ind w:left="1619" w:leftChars="338" w:hanging="909" w:hangingChars="433"/>
        <w:rPr>
          <w:rFonts w:cs="Tahoma" w:asciiTheme="minorEastAsia" w:hAnsiTheme="minorEastAsia" w:eastAsiaTheme="minorEastAsia"/>
          <w:color w:val="auto"/>
          <w:szCs w:val="21"/>
          <w:highlight w:val="none"/>
        </w:rPr>
      </w:pPr>
      <w:r>
        <w:rPr>
          <w:rFonts w:hint="eastAsia" w:cs="Tahoma" w:asciiTheme="minorEastAsia" w:hAnsiTheme="minorEastAsia" w:eastAsiaTheme="minorEastAsia"/>
          <w:color w:val="auto"/>
          <w:szCs w:val="21"/>
          <w:highlight w:val="none"/>
        </w:rPr>
        <w:t>电</w:t>
      </w:r>
      <w:r>
        <w:rPr>
          <w:rFonts w:cs="Calibri" w:asciiTheme="minorEastAsia" w:hAnsiTheme="minorEastAsia" w:eastAsiaTheme="minorEastAsia"/>
          <w:color w:val="auto"/>
          <w:szCs w:val="21"/>
          <w:highlight w:val="none"/>
        </w:rPr>
        <w:t xml:space="preserve">    </w:t>
      </w:r>
      <w:r>
        <w:rPr>
          <w:rFonts w:hint="eastAsia" w:cs="Tahoma" w:asciiTheme="minorEastAsia" w:hAnsiTheme="minorEastAsia" w:eastAsiaTheme="minorEastAsia"/>
          <w:color w:val="auto"/>
          <w:szCs w:val="21"/>
          <w:highlight w:val="none"/>
        </w:rPr>
        <w:t xml:space="preserve">话： </w:t>
      </w:r>
    </w:p>
    <w:p w14:paraId="3DA4B304">
      <w:pPr>
        <w:shd w:val="clear"/>
        <w:spacing w:line="276" w:lineRule="auto"/>
        <w:ind w:left="2" w:firstLine="2"/>
        <w:jc w:val="center"/>
        <w:rPr>
          <w:rFonts w:asciiTheme="minorEastAsia" w:hAnsiTheme="minorEastAsia" w:eastAsiaTheme="minorEastAsia"/>
          <w:b/>
          <w:color w:val="auto"/>
          <w:spacing w:val="-12"/>
          <w:sz w:val="28"/>
          <w:highlight w:val="none"/>
        </w:rPr>
      </w:pPr>
      <w:r>
        <w:rPr>
          <w:rFonts w:hint="eastAsia" w:asciiTheme="minorEastAsia" w:hAnsiTheme="minorEastAsia" w:eastAsiaTheme="minorEastAsia"/>
          <w:b/>
          <w:color w:val="auto"/>
          <w:szCs w:val="21"/>
          <w:highlight w:val="none"/>
        </w:rPr>
        <w:br w:type="page"/>
      </w:r>
    </w:p>
    <w:p w14:paraId="6EA97FAD">
      <w:pPr>
        <w:shd w:val="clear"/>
        <w:spacing w:line="360" w:lineRule="auto"/>
        <w:textAlignment w:val="baseline"/>
        <w:rPr>
          <w:rFonts w:ascii="宋体" w:hAnsi="宋体"/>
          <w:b/>
          <w:color w:val="auto"/>
          <w:szCs w:val="21"/>
          <w:highlight w:val="none"/>
        </w:rPr>
      </w:pPr>
      <w:r>
        <w:rPr>
          <w:rFonts w:hint="eastAsia" w:ascii="宋体" w:hAnsi="宋体"/>
          <w:b/>
          <w:color w:val="auto"/>
          <w:szCs w:val="21"/>
          <w:highlight w:val="none"/>
        </w:rPr>
        <w:t>甲方：</w:t>
      </w:r>
    </w:p>
    <w:p w14:paraId="214380C7">
      <w:pPr>
        <w:shd w:val="clear"/>
        <w:spacing w:line="360" w:lineRule="auto"/>
        <w:textAlignment w:val="baseline"/>
        <w:rPr>
          <w:rFonts w:ascii="宋体" w:hAnsi="宋体"/>
          <w:b/>
          <w:color w:val="auto"/>
          <w:szCs w:val="21"/>
          <w:highlight w:val="none"/>
        </w:rPr>
      </w:pPr>
      <w:r>
        <w:rPr>
          <w:rFonts w:hint="eastAsia" w:ascii="宋体" w:hAnsi="宋体"/>
          <w:b/>
          <w:color w:val="auto"/>
          <w:szCs w:val="21"/>
          <w:highlight w:val="none"/>
        </w:rPr>
        <w:t xml:space="preserve">乙方: </w:t>
      </w:r>
    </w:p>
    <w:p w14:paraId="7D892ED9">
      <w:pPr>
        <w:shd w:val="clear"/>
        <w:spacing w:line="360" w:lineRule="auto"/>
        <w:textAlignment w:val="baseline"/>
        <w:rPr>
          <w:rFonts w:ascii="宋体" w:hAnsi="宋体"/>
          <w:b/>
          <w:color w:val="auto"/>
          <w:szCs w:val="21"/>
          <w:highlight w:val="none"/>
        </w:rPr>
      </w:pPr>
      <w:r>
        <w:rPr>
          <w:rFonts w:hint="eastAsia" w:ascii="宋体" w:hAnsi="宋体"/>
          <w:b/>
          <w:color w:val="auto"/>
          <w:szCs w:val="21"/>
          <w:highlight w:val="none"/>
        </w:rPr>
        <w:t>丙方：（招标代理机构）</w:t>
      </w:r>
    </w:p>
    <w:p w14:paraId="3A34B46A">
      <w:pPr>
        <w:shd w:val="clear"/>
        <w:spacing w:line="360" w:lineRule="auto"/>
        <w:ind w:firstLine="525" w:firstLineChars="250"/>
        <w:textAlignment w:val="baseline"/>
        <w:rPr>
          <w:rFonts w:ascii="宋体" w:hAnsi="宋体"/>
          <w:color w:val="auto"/>
          <w:szCs w:val="21"/>
          <w:highlight w:val="none"/>
        </w:rPr>
      </w:pPr>
    </w:p>
    <w:p w14:paraId="5BD6F32F">
      <w:pPr>
        <w:shd w:val="clear"/>
        <w:spacing w:line="360" w:lineRule="auto"/>
        <w:textAlignment w:val="baseline"/>
        <w:rPr>
          <w:rFonts w:ascii="宋体" w:hAnsi="宋体"/>
          <w:color w:val="auto"/>
          <w:szCs w:val="21"/>
          <w:highlight w:val="none"/>
        </w:rPr>
      </w:pPr>
      <w:r>
        <w:rPr>
          <w:rFonts w:hint="eastAsia" w:ascii="宋体" w:hAnsi="宋体"/>
          <w:color w:val="auto"/>
          <w:szCs w:val="21"/>
          <w:highlight w:val="none"/>
        </w:rPr>
        <w:t>本合同由甲乙双方根据招标编号为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的</w:t>
      </w:r>
      <w:r>
        <w:rPr>
          <w:rFonts w:hint="eastAsia" w:ascii="宋体" w:hAnsi="宋体"/>
          <w:color w:val="auto"/>
          <w:szCs w:val="21"/>
          <w:highlight w:val="none"/>
          <w:u w:val="single"/>
        </w:rPr>
        <w:t>公开招标</w:t>
      </w:r>
      <w:r>
        <w:rPr>
          <w:rFonts w:hint="eastAsia" w:ascii="宋体" w:hAnsi="宋体"/>
          <w:color w:val="auto"/>
          <w:szCs w:val="21"/>
          <w:highlight w:val="none"/>
        </w:rPr>
        <w:t>采购结果，经双方协定达成一致，签订以下合同，共同信守：</w:t>
      </w:r>
    </w:p>
    <w:p w14:paraId="62C2D620">
      <w:pPr>
        <w:shd w:val="clear"/>
        <w:spacing w:line="360" w:lineRule="auto"/>
        <w:textAlignment w:val="baseline"/>
        <w:rPr>
          <w:rFonts w:ascii="宋体" w:hAnsi="宋体"/>
          <w:color w:val="auto"/>
          <w:szCs w:val="21"/>
          <w:highlight w:val="none"/>
        </w:rPr>
      </w:pPr>
      <w:r>
        <w:rPr>
          <w:rFonts w:hint="eastAsia" w:ascii="宋体" w:hAnsi="宋体"/>
          <w:b/>
          <w:color w:val="auto"/>
          <w:szCs w:val="21"/>
          <w:highlight w:val="none"/>
        </w:rPr>
        <w:t>第一条甲方向乙方采购的产品、总价及付款方式</w:t>
      </w:r>
    </w:p>
    <w:p w14:paraId="093A4920">
      <w:pPr>
        <w:shd w:val="clear"/>
        <w:spacing w:line="360" w:lineRule="auto"/>
        <w:ind w:right="-512" w:rightChars="-244"/>
        <w:rPr>
          <w:rFonts w:ascii="宋体" w:hAnsi="宋体"/>
          <w:color w:val="auto"/>
          <w:szCs w:val="21"/>
          <w:highlight w:val="none"/>
        </w:rPr>
      </w:pPr>
      <w:r>
        <w:rPr>
          <w:rFonts w:hint="eastAsia" w:ascii="宋体" w:hAnsi="宋体"/>
          <w:color w:val="auto"/>
          <w:szCs w:val="21"/>
          <w:highlight w:val="none"/>
        </w:rPr>
        <w:t>1.1产品清单及价格（此表须与招标文件一致）</w:t>
      </w:r>
    </w:p>
    <w:tbl>
      <w:tblPr>
        <w:tblStyle w:val="26"/>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8"/>
        <w:gridCol w:w="1283"/>
        <w:gridCol w:w="883"/>
        <w:gridCol w:w="720"/>
        <w:gridCol w:w="720"/>
        <w:gridCol w:w="1440"/>
        <w:gridCol w:w="1260"/>
        <w:gridCol w:w="540"/>
        <w:gridCol w:w="957"/>
        <w:gridCol w:w="1172"/>
      </w:tblGrid>
      <w:tr w14:paraId="019DB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vAlign w:val="center"/>
          </w:tcPr>
          <w:p w14:paraId="5017BC47">
            <w:pPr>
              <w:shd w:val="clea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1283" w:type="dxa"/>
            <w:vAlign w:val="center"/>
          </w:tcPr>
          <w:p w14:paraId="7C92FE92">
            <w:pPr>
              <w:shd w:val="clear"/>
              <w:adjustRightInd w:val="0"/>
              <w:snapToGrid w:val="0"/>
              <w:spacing w:line="360" w:lineRule="auto"/>
              <w:ind w:firstLine="105" w:firstLineChars="50"/>
              <w:jc w:val="center"/>
              <w:rPr>
                <w:rFonts w:ascii="宋体" w:hAnsi="宋体"/>
                <w:color w:val="auto"/>
                <w:szCs w:val="21"/>
                <w:highlight w:val="none"/>
              </w:rPr>
            </w:pPr>
            <w:r>
              <w:rPr>
                <w:rFonts w:hint="eastAsia" w:ascii="宋体" w:hAnsi="宋体"/>
                <w:color w:val="auto"/>
                <w:szCs w:val="21"/>
                <w:highlight w:val="none"/>
              </w:rPr>
              <w:t>设备名称</w:t>
            </w:r>
          </w:p>
        </w:tc>
        <w:tc>
          <w:tcPr>
            <w:tcW w:w="883" w:type="dxa"/>
            <w:vAlign w:val="center"/>
          </w:tcPr>
          <w:p w14:paraId="47E46327">
            <w:pPr>
              <w:shd w:val="clea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品牌</w:t>
            </w:r>
          </w:p>
        </w:tc>
        <w:tc>
          <w:tcPr>
            <w:tcW w:w="720" w:type="dxa"/>
            <w:vAlign w:val="center"/>
          </w:tcPr>
          <w:p w14:paraId="28AFCBFF">
            <w:pPr>
              <w:shd w:val="clea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设备型号</w:t>
            </w:r>
          </w:p>
        </w:tc>
        <w:tc>
          <w:tcPr>
            <w:tcW w:w="720" w:type="dxa"/>
            <w:vAlign w:val="center"/>
          </w:tcPr>
          <w:p w14:paraId="5C44E805">
            <w:pPr>
              <w:shd w:val="clea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产地</w:t>
            </w:r>
          </w:p>
        </w:tc>
        <w:tc>
          <w:tcPr>
            <w:tcW w:w="1440" w:type="dxa"/>
            <w:vAlign w:val="center"/>
          </w:tcPr>
          <w:p w14:paraId="17F17CDB">
            <w:pPr>
              <w:shd w:val="clear"/>
              <w:adjustRightInd w:val="0"/>
              <w:snapToGrid w:val="0"/>
              <w:spacing w:line="360" w:lineRule="auto"/>
              <w:ind w:firstLine="210" w:firstLineChars="100"/>
              <w:jc w:val="center"/>
              <w:rPr>
                <w:rFonts w:ascii="宋体" w:hAnsi="宋体"/>
                <w:color w:val="auto"/>
                <w:szCs w:val="21"/>
                <w:highlight w:val="none"/>
              </w:rPr>
            </w:pPr>
            <w:r>
              <w:rPr>
                <w:rFonts w:hint="eastAsia" w:ascii="宋体" w:hAnsi="宋体"/>
                <w:color w:val="auto"/>
                <w:szCs w:val="21"/>
                <w:highlight w:val="none"/>
              </w:rPr>
              <w:t>注册证号</w:t>
            </w:r>
          </w:p>
        </w:tc>
        <w:tc>
          <w:tcPr>
            <w:tcW w:w="1260" w:type="dxa"/>
            <w:vAlign w:val="center"/>
          </w:tcPr>
          <w:p w14:paraId="2BBF24F7">
            <w:pPr>
              <w:shd w:val="clear"/>
              <w:adjustRightInd w:val="0"/>
              <w:snapToGrid w:val="0"/>
              <w:spacing w:line="360" w:lineRule="auto"/>
              <w:ind w:firstLine="105" w:firstLineChars="50"/>
              <w:jc w:val="center"/>
              <w:rPr>
                <w:rFonts w:ascii="宋体" w:hAnsi="宋体"/>
                <w:color w:val="auto"/>
                <w:szCs w:val="21"/>
                <w:highlight w:val="none"/>
              </w:rPr>
            </w:pPr>
            <w:r>
              <w:rPr>
                <w:rFonts w:hint="eastAsia" w:ascii="宋体" w:hAnsi="宋体"/>
                <w:color w:val="auto"/>
                <w:szCs w:val="21"/>
                <w:highlight w:val="none"/>
              </w:rPr>
              <w:t>生产厂家</w:t>
            </w:r>
          </w:p>
        </w:tc>
        <w:tc>
          <w:tcPr>
            <w:tcW w:w="540" w:type="dxa"/>
            <w:vAlign w:val="center"/>
          </w:tcPr>
          <w:p w14:paraId="588EE763">
            <w:pPr>
              <w:shd w:val="clea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数量</w:t>
            </w:r>
          </w:p>
        </w:tc>
        <w:tc>
          <w:tcPr>
            <w:tcW w:w="957" w:type="dxa"/>
            <w:vAlign w:val="center"/>
          </w:tcPr>
          <w:p w14:paraId="078E0481">
            <w:pPr>
              <w:shd w:val="clea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单价（万元）</w:t>
            </w:r>
          </w:p>
        </w:tc>
        <w:tc>
          <w:tcPr>
            <w:tcW w:w="1172" w:type="dxa"/>
            <w:vAlign w:val="center"/>
          </w:tcPr>
          <w:p w14:paraId="7EDE4798">
            <w:pPr>
              <w:shd w:val="clear"/>
              <w:adjustRightInd w:val="0"/>
              <w:snapToGrid w:val="0"/>
              <w:spacing w:line="360" w:lineRule="auto"/>
              <w:ind w:firstLine="105" w:firstLineChars="50"/>
              <w:jc w:val="center"/>
              <w:rPr>
                <w:rFonts w:ascii="宋体" w:hAnsi="宋体"/>
                <w:color w:val="auto"/>
                <w:szCs w:val="21"/>
                <w:highlight w:val="none"/>
              </w:rPr>
            </w:pPr>
            <w:r>
              <w:rPr>
                <w:rFonts w:hint="eastAsia" w:ascii="宋体" w:hAnsi="宋体"/>
                <w:color w:val="auto"/>
                <w:szCs w:val="21"/>
                <w:highlight w:val="none"/>
              </w:rPr>
              <w:t>金额（万元）</w:t>
            </w:r>
          </w:p>
        </w:tc>
      </w:tr>
      <w:tr w14:paraId="45E4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5A3B9BE2">
            <w:pPr>
              <w:shd w:val="clear"/>
              <w:adjustRightInd w:val="0"/>
              <w:snapToGrid w:val="0"/>
              <w:spacing w:line="360" w:lineRule="auto"/>
              <w:rPr>
                <w:rFonts w:ascii="宋体" w:hAnsi="宋体"/>
                <w:color w:val="auto"/>
                <w:szCs w:val="21"/>
                <w:highlight w:val="none"/>
              </w:rPr>
            </w:pPr>
          </w:p>
        </w:tc>
        <w:tc>
          <w:tcPr>
            <w:tcW w:w="1283" w:type="dxa"/>
          </w:tcPr>
          <w:p w14:paraId="3E1E2059">
            <w:pPr>
              <w:shd w:val="clear"/>
              <w:adjustRightInd w:val="0"/>
              <w:snapToGrid w:val="0"/>
              <w:spacing w:line="360" w:lineRule="auto"/>
              <w:rPr>
                <w:rFonts w:ascii="宋体" w:hAnsi="宋体"/>
                <w:color w:val="auto"/>
                <w:szCs w:val="21"/>
                <w:highlight w:val="none"/>
              </w:rPr>
            </w:pPr>
          </w:p>
        </w:tc>
        <w:tc>
          <w:tcPr>
            <w:tcW w:w="883" w:type="dxa"/>
          </w:tcPr>
          <w:p w14:paraId="125CEC98">
            <w:pPr>
              <w:shd w:val="clear"/>
              <w:adjustRightInd w:val="0"/>
              <w:snapToGrid w:val="0"/>
              <w:spacing w:line="360" w:lineRule="auto"/>
              <w:rPr>
                <w:rFonts w:ascii="宋体" w:hAnsi="宋体"/>
                <w:color w:val="auto"/>
                <w:szCs w:val="21"/>
                <w:highlight w:val="none"/>
              </w:rPr>
            </w:pPr>
          </w:p>
        </w:tc>
        <w:tc>
          <w:tcPr>
            <w:tcW w:w="720" w:type="dxa"/>
          </w:tcPr>
          <w:p w14:paraId="7F91D25A">
            <w:pPr>
              <w:shd w:val="clear"/>
              <w:adjustRightInd w:val="0"/>
              <w:snapToGrid w:val="0"/>
              <w:spacing w:line="360" w:lineRule="auto"/>
              <w:rPr>
                <w:rFonts w:ascii="宋体" w:hAnsi="宋体"/>
                <w:color w:val="auto"/>
                <w:szCs w:val="21"/>
                <w:highlight w:val="none"/>
              </w:rPr>
            </w:pPr>
          </w:p>
        </w:tc>
        <w:tc>
          <w:tcPr>
            <w:tcW w:w="720" w:type="dxa"/>
          </w:tcPr>
          <w:p w14:paraId="23C7477F">
            <w:pPr>
              <w:shd w:val="clear"/>
              <w:adjustRightInd w:val="0"/>
              <w:snapToGrid w:val="0"/>
              <w:spacing w:line="360" w:lineRule="auto"/>
              <w:rPr>
                <w:rFonts w:ascii="宋体" w:hAnsi="宋体"/>
                <w:color w:val="auto"/>
                <w:szCs w:val="21"/>
                <w:highlight w:val="none"/>
              </w:rPr>
            </w:pPr>
          </w:p>
        </w:tc>
        <w:tc>
          <w:tcPr>
            <w:tcW w:w="1440" w:type="dxa"/>
          </w:tcPr>
          <w:p w14:paraId="416617C9">
            <w:pPr>
              <w:shd w:val="clear"/>
              <w:adjustRightInd w:val="0"/>
              <w:snapToGrid w:val="0"/>
              <w:spacing w:line="360" w:lineRule="auto"/>
              <w:rPr>
                <w:rFonts w:ascii="宋体" w:hAnsi="宋体"/>
                <w:color w:val="auto"/>
                <w:szCs w:val="21"/>
                <w:highlight w:val="none"/>
              </w:rPr>
            </w:pPr>
          </w:p>
        </w:tc>
        <w:tc>
          <w:tcPr>
            <w:tcW w:w="1260" w:type="dxa"/>
          </w:tcPr>
          <w:p w14:paraId="019EF58B">
            <w:pPr>
              <w:shd w:val="clear"/>
              <w:adjustRightInd w:val="0"/>
              <w:snapToGrid w:val="0"/>
              <w:spacing w:line="360" w:lineRule="auto"/>
              <w:rPr>
                <w:rFonts w:ascii="宋体" w:hAnsi="宋体"/>
                <w:color w:val="auto"/>
                <w:szCs w:val="21"/>
                <w:highlight w:val="none"/>
              </w:rPr>
            </w:pPr>
          </w:p>
        </w:tc>
        <w:tc>
          <w:tcPr>
            <w:tcW w:w="540" w:type="dxa"/>
          </w:tcPr>
          <w:p w14:paraId="71B513AA">
            <w:pPr>
              <w:shd w:val="clear"/>
              <w:adjustRightInd w:val="0"/>
              <w:snapToGrid w:val="0"/>
              <w:spacing w:line="360" w:lineRule="auto"/>
              <w:rPr>
                <w:rFonts w:ascii="宋体" w:hAnsi="宋体"/>
                <w:color w:val="auto"/>
                <w:szCs w:val="21"/>
                <w:highlight w:val="none"/>
              </w:rPr>
            </w:pPr>
          </w:p>
        </w:tc>
        <w:tc>
          <w:tcPr>
            <w:tcW w:w="957" w:type="dxa"/>
          </w:tcPr>
          <w:p w14:paraId="6243F5B5">
            <w:pPr>
              <w:shd w:val="clear"/>
              <w:adjustRightInd w:val="0"/>
              <w:snapToGrid w:val="0"/>
              <w:spacing w:line="360" w:lineRule="auto"/>
              <w:rPr>
                <w:rFonts w:ascii="宋体" w:hAnsi="宋体"/>
                <w:color w:val="auto"/>
                <w:szCs w:val="21"/>
                <w:highlight w:val="none"/>
              </w:rPr>
            </w:pPr>
          </w:p>
        </w:tc>
        <w:tc>
          <w:tcPr>
            <w:tcW w:w="1172" w:type="dxa"/>
          </w:tcPr>
          <w:p w14:paraId="5432DED7">
            <w:pPr>
              <w:shd w:val="clear"/>
              <w:adjustRightInd w:val="0"/>
              <w:snapToGrid w:val="0"/>
              <w:spacing w:line="360" w:lineRule="auto"/>
              <w:rPr>
                <w:rFonts w:ascii="宋体" w:hAnsi="宋体"/>
                <w:color w:val="auto"/>
                <w:szCs w:val="21"/>
                <w:highlight w:val="none"/>
              </w:rPr>
            </w:pPr>
          </w:p>
          <w:p w14:paraId="166A6ADF">
            <w:pPr>
              <w:shd w:val="clear"/>
              <w:adjustRightInd w:val="0"/>
              <w:snapToGrid w:val="0"/>
              <w:spacing w:line="360" w:lineRule="auto"/>
              <w:rPr>
                <w:rFonts w:ascii="宋体" w:hAnsi="宋体"/>
                <w:color w:val="auto"/>
                <w:szCs w:val="21"/>
                <w:highlight w:val="none"/>
              </w:rPr>
            </w:pPr>
          </w:p>
        </w:tc>
      </w:tr>
      <w:tr w14:paraId="4FF64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3F826032">
            <w:pPr>
              <w:shd w:val="clear"/>
              <w:adjustRightInd w:val="0"/>
              <w:snapToGrid w:val="0"/>
              <w:spacing w:line="360" w:lineRule="auto"/>
              <w:rPr>
                <w:rFonts w:ascii="宋体" w:hAnsi="宋体"/>
                <w:color w:val="auto"/>
                <w:szCs w:val="21"/>
                <w:highlight w:val="none"/>
              </w:rPr>
            </w:pPr>
          </w:p>
        </w:tc>
        <w:tc>
          <w:tcPr>
            <w:tcW w:w="1283" w:type="dxa"/>
          </w:tcPr>
          <w:p w14:paraId="3ADB49AF">
            <w:pPr>
              <w:shd w:val="clear"/>
              <w:adjustRightInd w:val="0"/>
              <w:snapToGrid w:val="0"/>
              <w:spacing w:line="360" w:lineRule="auto"/>
              <w:rPr>
                <w:rFonts w:ascii="宋体" w:hAnsi="宋体"/>
                <w:color w:val="auto"/>
                <w:szCs w:val="21"/>
                <w:highlight w:val="none"/>
              </w:rPr>
            </w:pPr>
          </w:p>
        </w:tc>
        <w:tc>
          <w:tcPr>
            <w:tcW w:w="883" w:type="dxa"/>
          </w:tcPr>
          <w:p w14:paraId="7F305739">
            <w:pPr>
              <w:shd w:val="clear"/>
              <w:adjustRightInd w:val="0"/>
              <w:snapToGrid w:val="0"/>
              <w:spacing w:line="360" w:lineRule="auto"/>
              <w:rPr>
                <w:rFonts w:ascii="宋体" w:hAnsi="宋体"/>
                <w:color w:val="auto"/>
                <w:szCs w:val="21"/>
                <w:highlight w:val="none"/>
              </w:rPr>
            </w:pPr>
          </w:p>
        </w:tc>
        <w:tc>
          <w:tcPr>
            <w:tcW w:w="720" w:type="dxa"/>
          </w:tcPr>
          <w:p w14:paraId="6163148E">
            <w:pPr>
              <w:shd w:val="clear"/>
              <w:adjustRightInd w:val="0"/>
              <w:snapToGrid w:val="0"/>
              <w:spacing w:line="360" w:lineRule="auto"/>
              <w:rPr>
                <w:rFonts w:ascii="宋体" w:hAnsi="宋体"/>
                <w:color w:val="auto"/>
                <w:szCs w:val="21"/>
                <w:highlight w:val="none"/>
              </w:rPr>
            </w:pPr>
          </w:p>
        </w:tc>
        <w:tc>
          <w:tcPr>
            <w:tcW w:w="720" w:type="dxa"/>
          </w:tcPr>
          <w:p w14:paraId="206D1630">
            <w:pPr>
              <w:shd w:val="clear"/>
              <w:adjustRightInd w:val="0"/>
              <w:snapToGrid w:val="0"/>
              <w:spacing w:line="360" w:lineRule="auto"/>
              <w:rPr>
                <w:rFonts w:ascii="宋体" w:hAnsi="宋体"/>
                <w:color w:val="auto"/>
                <w:szCs w:val="21"/>
                <w:highlight w:val="none"/>
              </w:rPr>
            </w:pPr>
          </w:p>
        </w:tc>
        <w:tc>
          <w:tcPr>
            <w:tcW w:w="1440" w:type="dxa"/>
          </w:tcPr>
          <w:p w14:paraId="2A120BA0">
            <w:pPr>
              <w:shd w:val="clear"/>
              <w:adjustRightInd w:val="0"/>
              <w:snapToGrid w:val="0"/>
              <w:spacing w:line="360" w:lineRule="auto"/>
              <w:rPr>
                <w:rFonts w:ascii="宋体" w:hAnsi="宋体"/>
                <w:color w:val="auto"/>
                <w:szCs w:val="21"/>
                <w:highlight w:val="none"/>
              </w:rPr>
            </w:pPr>
          </w:p>
        </w:tc>
        <w:tc>
          <w:tcPr>
            <w:tcW w:w="1260" w:type="dxa"/>
          </w:tcPr>
          <w:p w14:paraId="40278371">
            <w:pPr>
              <w:shd w:val="clear"/>
              <w:adjustRightInd w:val="0"/>
              <w:snapToGrid w:val="0"/>
              <w:spacing w:line="360" w:lineRule="auto"/>
              <w:rPr>
                <w:rFonts w:ascii="宋体" w:hAnsi="宋体"/>
                <w:color w:val="auto"/>
                <w:szCs w:val="21"/>
                <w:highlight w:val="none"/>
              </w:rPr>
            </w:pPr>
          </w:p>
        </w:tc>
        <w:tc>
          <w:tcPr>
            <w:tcW w:w="540" w:type="dxa"/>
          </w:tcPr>
          <w:p w14:paraId="13F3F584">
            <w:pPr>
              <w:shd w:val="clear"/>
              <w:adjustRightInd w:val="0"/>
              <w:snapToGrid w:val="0"/>
              <w:spacing w:line="360" w:lineRule="auto"/>
              <w:rPr>
                <w:rFonts w:ascii="宋体" w:hAnsi="宋体"/>
                <w:color w:val="auto"/>
                <w:szCs w:val="21"/>
                <w:highlight w:val="none"/>
              </w:rPr>
            </w:pPr>
          </w:p>
        </w:tc>
        <w:tc>
          <w:tcPr>
            <w:tcW w:w="957" w:type="dxa"/>
          </w:tcPr>
          <w:p w14:paraId="49811079">
            <w:pPr>
              <w:shd w:val="clear"/>
              <w:adjustRightInd w:val="0"/>
              <w:snapToGrid w:val="0"/>
              <w:spacing w:line="360" w:lineRule="auto"/>
              <w:rPr>
                <w:rFonts w:ascii="宋体" w:hAnsi="宋体"/>
                <w:color w:val="auto"/>
                <w:szCs w:val="21"/>
                <w:highlight w:val="none"/>
              </w:rPr>
            </w:pPr>
          </w:p>
        </w:tc>
        <w:tc>
          <w:tcPr>
            <w:tcW w:w="1172" w:type="dxa"/>
          </w:tcPr>
          <w:p w14:paraId="456D0090">
            <w:pPr>
              <w:shd w:val="clear"/>
              <w:adjustRightInd w:val="0"/>
              <w:snapToGrid w:val="0"/>
              <w:spacing w:line="360" w:lineRule="auto"/>
              <w:rPr>
                <w:rFonts w:ascii="宋体" w:hAnsi="宋体"/>
                <w:color w:val="auto"/>
                <w:szCs w:val="21"/>
                <w:highlight w:val="none"/>
              </w:rPr>
            </w:pPr>
          </w:p>
          <w:p w14:paraId="7D2507B4">
            <w:pPr>
              <w:shd w:val="clear"/>
              <w:adjustRightInd w:val="0"/>
              <w:snapToGrid w:val="0"/>
              <w:spacing w:line="360" w:lineRule="auto"/>
              <w:rPr>
                <w:rFonts w:ascii="宋体" w:hAnsi="宋体"/>
                <w:color w:val="auto"/>
                <w:szCs w:val="21"/>
                <w:highlight w:val="none"/>
              </w:rPr>
            </w:pPr>
          </w:p>
        </w:tc>
      </w:tr>
      <w:tr w14:paraId="019E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8" w:type="dxa"/>
          </w:tcPr>
          <w:p w14:paraId="6793EA01">
            <w:pPr>
              <w:shd w:val="clear"/>
              <w:adjustRightInd w:val="0"/>
              <w:snapToGrid w:val="0"/>
              <w:spacing w:line="360" w:lineRule="auto"/>
              <w:rPr>
                <w:rFonts w:ascii="宋体" w:hAnsi="宋体"/>
                <w:color w:val="auto"/>
                <w:szCs w:val="21"/>
                <w:highlight w:val="none"/>
              </w:rPr>
            </w:pPr>
          </w:p>
        </w:tc>
        <w:tc>
          <w:tcPr>
            <w:tcW w:w="1283" w:type="dxa"/>
          </w:tcPr>
          <w:p w14:paraId="783EBF30">
            <w:pPr>
              <w:shd w:val="clear"/>
              <w:adjustRightInd w:val="0"/>
              <w:snapToGrid w:val="0"/>
              <w:spacing w:line="360" w:lineRule="auto"/>
              <w:rPr>
                <w:rFonts w:ascii="宋体" w:hAnsi="宋体"/>
                <w:color w:val="auto"/>
                <w:szCs w:val="21"/>
                <w:highlight w:val="none"/>
              </w:rPr>
            </w:pPr>
          </w:p>
        </w:tc>
        <w:tc>
          <w:tcPr>
            <w:tcW w:w="883" w:type="dxa"/>
          </w:tcPr>
          <w:p w14:paraId="056115D2">
            <w:pPr>
              <w:shd w:val="clear"/>
              <w:adjustRightInd w:val="0"/>
              <w:snapToGrid w:val="0"/>
              <w:spacing w:line="360" w:lineRule="auto"/>
              <w:rPr>
                <w:rFonts w:ascii="宋体" w:hAnsi="宋体"/>
                <w:color w:val="auto"/>
                <w:szCs w:val="21"/>
                <w:highlight w:val="none"/>
              </w:rPr>
            </w:pPr>
          </w:p>
        </w:tc>
        <w:tc>
          <w:tcPr>
            <w:tcW w:w="720" w:type="dxa"/>
          </w:tcPr>
          <w:p w14:paraId="2BFC85C5">
            <w:pPr>
              <w:shd w:val="clear"/>
              <w:adjustRightInd w:val="0"/>
              <w:snapToGrid w:val="0"/>
              <w:spacing w:line="360" w:lineRule="auto"/>
              <w:rPr>
                <w:rFonts w:ascii="宋体" w:hAnsi="宋体"/>
                <w:color w:val="auto"/>
                <w:szCs w:val="21"/>
                <w:highlight w:val="none"/>
              </w:rPr>
            </w:pPr>
          </w:p>
        </w:tc>
        <w:tc>
          <w:tcPr>
            <w:tcW w:w="720" w:type="dxa"/>
          </w:tcPr>
          <w:p w14:paraId="48E2E306">
            <w:pPr>
              <w:shd w:val="clear"/>
              <w:adjustRightInd w:val="0"/>
              <w:snapToGrid w:val="0"/>
              <w:spacing w:line="360" w:lineRule="auto"/>
              <w:rPr>
                <w:rFonts w:ascii="宋体" w:hAnsi="宋体"/>
                <w:color w:val="auto"/>
                <w:szCs w:val="21"/>
                <w:highlight w:val="none"/>
              </w:rPr>
            </w:pPr>
          </w:p>
        </w:tc>
        <w:tc>
          <w:tcPr>
            <w:tcW w:w="1440" w:type="dxa"/>
          </w:tcPr>
          <w:p w14:paraId="354A1080">
            <w:pPr>
              <w:shd w:val="clear"/>
              <w:adjustRightInd w:val="0"/>
              <w:snapToGrid w:val="0"/>
              <w:spacing w:line="360" w:lineRule="auto"/>
              <w:rPr>
                <w:rFonts w:ascii="宋体" w:hAnsi="宋体"/>
                <w:color w:val="auto"/>
                <w:szCs w:val="21"/>
                <w:highlight w:val="none"/>
              </w:rPr>
            </w:pPr>
          </w:p>
        </w:tc>
        <w:tc>
          <w:tcPr>
            <w:tcW w:w="1260" w:type="dxa"/>
          </w:tcPr>
          <w:p w14:paraId="3D2C8416">
            <w:pPr>
              <w:shd w:val="clear"/>
              <w:adjustRightInd w:val="0"/>
              <w:snapToGrid w:val="0"/>
              <w:spacing w:line="360" w:lineRule="auto"/>
              <w:rPr>
                <w:rFonts w:ascii="宋体" w:hAnsi="宋体"/>
                <w:color w:val="auto"/>
                <w:szCs w:val="21"/>
                <w:highlight w:val="none"/>
              </w:rPr>
            </w:pPr>
          </w:p>
        </w:tc>
        <w:tc>
          <w:tcPr>
            <w:tcW w:w="540" w:type="dxa"/>
          </w:tcPr>
          <w:p w14:paraId="121787A3">
            <w:pPr>
              <w:shd w:val="clear"/>
              <w:adjustRightInd w:val="0"/>
              <w:snapToGrid w:val="0"/>
              <w:spacing w:line="360" w:lineRule="auto"/>
              <w:rPr>
                <w:rFonts w:ascii="宋体" w:hAnsi="宋体"/>
                <w:color w:val="auto"/>
                <w:szCs w:val="21"/>
                <w:highlight w:val="none"/>
              </w:rPr>
            </w:pPr>
          </w:p>
        </w:tc>
        <w:tc>
          <w:tcPr>
            <w:tcW w:w="957" w:type="dxa"/>
          </w:tcPr>
          <w:p w14:paraId="740B6A93">
            <w:pPr>
              <w:shd w:val="clear"/>
              <w:adjustRightInd w:val="0"/>
              <w:snapToGrid w:val="0"/>
              <w:spacing w:line="360" w:lineRule="auto"/>
              <w:rPr>
                <w:rFonts w:ascii="宋体" w:hAnsi="宋体"/>
                <w:color w:val="auto"/>
                <w:szCs w:val="21"/>
                <w:highlight w:val="none"/>
              </w:rPr>
            </w:pPr>
          </w:p>
        </w:tc>
        <w:tc>
          <w:tcPr>
            <w:tcW w:w="1172" w:type="dxa"/>
          </w:tcPr>
          <w:p w14:paraId="198CB5F1">
            <w:pPr>
              <w:shd w:val="clear"/>
              <w:adjustRightInd w:val="0"/>
              <w:snapToGrid w:val="0"/>
              <w:spacing w:line="360" w:lineRule="auto"/>
              <w:rPr>
                <w:rFonts w:ascii="宋体" w:hAnsi="宋体"/>
                <w:color w:val="auto"/>
                <w:szCs w:val="21"/>
                <w:highlight w:val="none"/>
              </w:rPr>
            </w:pPr>
          </w:p>
          <w:p w14:paraId="0208DE25">
            <w:pPr>
              <w:shd w:val="clear"/>
              <w:adjustRightInd w:val="0"/>
              <w:snapToGrid w:val="0"/>
              <w:spacing w:line="360" w:lineRule="auto"/>
              <w:rPr>
                <w:rFonts w:ascii="宋体" w:hAnsi="宋体"/>
                <w:color w:val="auto"/>
                <w:szCs w:val="21"/>
                <w:highlight w:val="none"/>
              </w:rPr>
            </w:pPr>
          </w:p>
        </w:tc>
      </w:tr>
      <w:tr w14:paraId="23A2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3" w:type="dxa"/>
            <w:gridSpan w:val="10"/>
          </w:tcPr>
          <w:p w14:paraId="62E7DCA3">
            <w:pPr>
              <w:shd w:val="clea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总价格（大写）：</w:t>
            </w:r>
          </w:p>
        </w:tc>
      </w:tr>
    </w:tbl>
    <w:p w14:paraId="0327CD08">
      <w:pPr>
        <w:shd w:val="clear"/>
        <w:spacing w:line="360" w:lineRule="auto"/>
        <w:rPr>
          <w:rFonts w:ascii="宋体" w:hAnsi="宋体"/>
          <w:color w:val="auto"/>
          <w:szCs w:val="21"/>
          <w:highlight w:val="none"/>
        </w:rPr>
      </w:pPr>
      <w:r>
        <w:rPr>
          <w:rFonts w:hint="eastAsia" w:ascii="宋体" w:hAnsi="宋体"/>
          <w:color w:val="auto"/>
          <w:szCs w:val="21"/>
          <w:highlight w:val="none"/>
        </w:rPr>
        <w:t>交货价格：货到招标人指定地点交货价包括一切运费、保险及税费、报关手续费，并包含吊装、安装、调试、培训等全部费用。</w:t>
      </w:r>
    </w:p>
    <w:p w14:paraId="172938A4">
      <w:pPr>
        <w:shd w:val="clear"/>
        <w:spacing w:line="360" w:lineRule="auto"/>
        <w:rPr>
          <w:rFonts w:ascii="宋体" w:hAnsi="宋体"/>
          <w:color w:val="auto"/>
          <w:szCs w:val="21"/>
          <w:highlight w:val="none"/>
        </w:rPr>
      </w:pPr>
      <w:r>
        <w:rPr>
          <w:rFonts w:hint="eastAsia" w:ascii="宋体" w:hAnsi="宋体"/>
          <w:color w:val="auto"/>
          <w:szCs w:val="21"/>
          <w:highlight w:val="none"/>
        </w:rPr>
        <w:t>1.2、付款方式：</w:t>
      </w:r>
    </w:p>
    <w:p w14:paraId="20800A05">
      <w:pPr>
        <w:shd w:val="clear"/>
        <w:spacing w:line="360" w:lineRule="auto"/>
        <w:rPr>
          <w:rFonts w:hint="eastAsia" w:ascii="宋体" w:hAnsi="宋体"/>
          <w:color w:val="auto"/>
          <w:szCs w:val="21"/>
          <w:highlight w:val="none"/>
        </w:rPr>
      </w:pPr>
      <w:r>
        <w:rPr>
          <w:rFonts w:hint="eastAsia" w:ascii="宋体" w:hAnsi="宋体"/>
          <w:color w:val="auto"/>
          <w:szCs w:val="21"/>
          <w:highlight w:val="none"/>
        </w:rPr>
        <w:t>⑴-设备到货进场、安装调试、使用培训、验收合格支付50%合同款项。</w:t>
      </w:r>
    </w:p>
    <w:p w14:paraId="2346BBAC">
      <w:pPr>
        <w:shd w:val="clear"/>
        <w:spacing w:line="360" w:lineRule="auto"/>
        <w:rPr>
          <w:rFonts w:hint="eastAsia" w:ascii="宋体" w:hAnsi="宋体"/>
          <w:color w:val="auto"/>
          <w:szCs w:val="21"/>
          <w:highlight w:val="none"/>
        </w:rPr>
      </w:pPr>
      <w:r>
        <w:rPr>
          <w:rFonts w:hint="eastAsia" w:ascii="宋体" w:hAnsi="宋体"/>
          <w:color w:val="auto"/>
          <w:szCs w:val="21"/>
          <w:highlight w:val="none"/>
        </w:rPr>
        <w:t>⑵-自本合同标的验收合格之日起满12个月、乙方履行期间阶段维护保养等义务且设备运行正常的支付20%合同款项。</w:t>
      </w:r>
    </w:p>
    <w:p w14:paraId="15343B11">
      <w:pPr>
        <w:shd w:val="clear"/>
        <w:spacing w:line="360" w:lineRule="auto"/>
        <w:rPr>
          <w:rFonts w:hint="eastAsia" w:ascii="宋体" w:hAnsi="宋体"/>
          <w:color w:val="auto"/>
          <w:szCs w:val="21"/>
          <w:highlight w:val="none"/>
        </w:rPr>
      </w:pPr>
      <w:r>
        <w:rPr>
          <w:rFonts w:hint="eastAsia" w:ascii="宋体" w:hAnsi="宋体"/>
          <w:color w:val="auto"/>
          <w:szCs w:val="21"/>
          <w:highlight w:val="none"/>
        </w:rPr>
        <w:t>⑶-自本合同标的验收合格之日起满24个月、乙方履行期间阶段维护保养等义务且设备运行正常的支付20%合同款项。</w:t>
      </w:r>
    </w:p>
    <w:p w14:paraId="6C20D13B">
      <w:pPr>
        <w:shd w:val="clear"/>
        <w:spacing w:line="360" w:lineRule="auto"/>
        <w:rPr>
          <w:rFonts w:hint="eastAsia" w:ascii="宋体" w:hAnsi="宋体"/>
          <w:color w:val="auto"/>
          <w:szCs w:val="21"/>
          <w:highlight w:val="none"/>
        </w:rPr>
      </w:pPr>
      <w:r>
        <w:rPr>
          <w:rFonts w:hint="eastAsia" w:ascii="宋体" w:hAnsi="宋体"/>
          <w:color w:val="auto"/>
          <w:szCs w:val="21"/>
          <w:highlight w:val="none"/>
        </w:rPr>
        <w:t>⑷-自本合同标的验收合格之日起满36个月、乙方履行期间阶段维护保养等义务且设备运行正常的支付10%合同款项。</w:t>
      </w:r>
    </w:p>
    <w:p w14:paraId="472DF931">
      <w:pPr>
        <w:shd w:val="clear"/>
        <w:spacing w:line="360" w:lineRule="auto"/>
        <w:rPr>
          <w:rFonts w:hint="eastAsia" w:ascii="宋体" w:hAnsi="宋体"/>
          <w:color w:val="auto"/>
          <w:szCs w:val="21"/>
          <w:highlight w:val="none"/>
        </w:rPr>
      </w:pPr>
      <w:r>
        <w:rPr>
          <w:rFonts w:hint="eastAsia" w:ascii="宋体" w:hAnsi="宋体"/>
          <w:color w:val="auto"/>
          <w:szCs w:val="21"/>
          <w:highlight w:val="none"/>
        </w:rPr>
        <w:t>注:以上各合同款项百分比数字仅保留两位小数点精度显示，以其后实际金额为准。</w:t>
      </w:r>
    </w:p>
    <w:p w14:paraId="59BBF296">
      <w:pPr>
        <w:shd w:val="clear"/>
        <w:spacing w:line="360" w:lineRule="auto"/>
        <w:ind w:right="-512" w:rightChars="-244"/>
        <w:rPr>
          <w:rFonts w:ascii="宋体" w:hAnsi="宋体"/>
          <w:color w:val="auto"/>
          <w:szCs w:val="21"/>
          <w:highlight w:val="none"/>
        </w:rPr>
      </w:pPr>
      <w:r>
        <w:rPr>
          <w:rFonts w:hint="eastAsia" w:ascii="宋体" w:hAnsi="宋体"/>
          <w:color w:val="auto"/>
          <w:szCs w:val="21"/>
          <w:highlight w:val="none"/>
        </w:rPr>
        <w:t>2．乙方应在申请付款时向甲方提供税务机构合规正式发票且对所开具发票的真实合法性承担其相应责任，并按照甲方验收及财务管理规定提供相应资料。</w:t>
      </w:r>
    </w:p>
    <w:p w14:paraId="73D84283">
      <w:pPr>
        <w:shd w:val="clear"/>
        <w:spacing w:line="360" w:lineRule="auto"/>
        <w:ind w:right="-512" w:rightChars="-244"/>
        <w:rPr>
          <w:rFonts w:ascii="宋体" w:hAnsi="宋体"/>
          <w:b/>
          <w:color w:val="auto"/>
          <w:szCs w:val="21"/>
          <w:highlight w:val="none"/>
        </w:rPr>
      </w:pPr>
      <w:r>
        <w:rPr>
          <w:rFonts w:hint="eastAsia" w:ascii="宋体" w:hAnsi="宋体"/>
          <w:b/>
          <w:color w:val="auto"/>
          <w:szCs w:val="21"/>
          <w:highlight w:val="none"/>
        </w:rPr>
        <w:t>第二条交货时间、地点及范围</w:t>
      </w:r>
    </w:p>
    <w:p w14:paraId="0B8DF480">
      <w:pPr>
        <w:shd w:val="clear"/>
        <w:spacing w:line="360" w:lineRule="auto"/>
        <w:ind w:right="-512" w:rightChars="-244"/>
        <w:rPr>
          <w:rFonts w:ascii="宋体" w:hAnsi="宋体"/>
          <w:color w:val="auto"/>
          <w:szCs w:val="21"/>
          <w:highlight w:val="none"/>
        </w:rPr>
      </w:pPr>
      <w:r>
        <w:rPr>
          <w:rFonts w:hint="eastAsia" w:ascii="宋体" w:hAnsi="宋体"/>
          <w:color w:val="auto"/>
          <w:szCs w:val="21"/>
          <w:highlight w:val="none"/>
        </w:rPr>
        <w:t>2.1交货时间：_________。若延期交货，乙方每天应向甲方缴纳延期额的千分千分之一作为罚金。因不可抗拒力所导致的交货、服务及付款延迟等按照《中华人民共和国民法典》合同编有关条文处理。</w:t>
      </w:r>
    </w:p>
    <w:p w14:paraId="672E57E3">
      <w:pPr>
        <w:shd w:val="clear"/>
        <w:spacing w:line="360" w:lineRule="auto"/>
        <w:ind w:right="-512" w:rightChars="-244"/>
        <w:rPr>
          <w:rFonts w:ascii="宋体" w:hAnsi="宋体"/>
          <w:color w:val="auto"/>
          <w:szCs w:val="21"/>
          <w:highlight w:val="none"/>
        </w:rPr>
      </w:pPr>
      <w:r>
        <w:rPr>
          <w:rFonts w:hint="eastAsia" w:ascii="宋体" w:hAnsi="宋体"/>
          <w:color w:val="auto"/>
          <w:szCs w:val="21"/>
          <w:highlight w:val="none"/>
        </w:rPr>
        <w:t>2.2交货地点：送货上门到甲方指定的地点。</w:t>
      </w:r>
    </w:p>
    <w:p w14:paraId="33CC8713">
      <w:pPr>
        <w:shd w:val="clear"/>
        <w:spacing w:line="360" w:lineRule="auto"/>
        <w:rPr>
          <w:rFonts w:ascii="宋体" w:hAnsi="宋体"/>
          <w:color w:val="auto"/>
          <w:szCs w:val="21"/>
          <w:highlight w:val="none"/>
        </w:rPr>
      </w:pPr>
      <w:r>
        <w:rPr>
          <w:rFonts w:hint="eastAsia" w:ascii="宋体" w:hAnsi="宋体"/>
          <w:color w:val="auto"/>
          <w:szCs w:val="21"/>
          <w:highlight w:val="none"/>
        </w:rPr>
        <w:t>2.3交货范围：合同约定的主机以及附件清单上所有产品（含随机资料、软件等）以及配套附属设备（按招投标文件要求执行并满足甲方需要）。</w:t>
      </w:r>
    </w:p>
    <w:p w14:paraId="482A33B1">
      <w:pPr>
        <w:shd w:val="clear"/>
        <w:spacing w:line="360" w:lineRule="auto"/>
        <w:rPr>
          <w:rFonts w:ascii="宋体" w:hAnsi="宋体"/>
          <w:color w:val="auto"/>
          <w:szCs w:val="21"/>
          <w:highlight w:val="none"/>
        </w:rPr>
      </w:pPr>
      <w:r>
        <w:rPr>
          <w:rFonts w:hint="eastAsia" w:ascii="宋体" w:hAnsi="宋体"/>
          <w:color w:val="auto"/>
          <w:szCs w:val="21"/>
          <w:highlight w:val="none"/>
        </w:rPr>
        <w:t>2.4随机资料包括原产地证明、合格证、保修卡等相关资料（如操作手册、使用指南、维修手册、安装调试说明书、服务手册等）及配备的用件、工具等。</w:t>
      </w:r>
    </w:p>
    <w:p w14:paraId="71FCA1F9">
      <w:pPr>
        <w:shd w:val="clear"/>
        <w:spacing w:line="360" w:lineRule="auto"/>
        <w:rPr>
          <w:rFonts w:ascii="宋体" w:hAnsi="宋体"/>
          <w:color w:val="auto"/>
          <w:szCs w:val="21"/>
          <w:highlight w:val="none"/>
        </w:rPr>
      </w:pPr>
      <w:r>
        <w:rPr>
          <w:rFonts w:hint="eastAsia" w:ascii="宋体" w:hAnsi="宋体"/>
          <w:b/>
          <w:color w:val="auto"/>
          <w:szCs w:val="21"/>
          <w:highlight w:val="none"/>
        </w:rPr>
        <w:t>第三条安装调试要求</w:t>
      </w:r>
    </w:p>
    <w:p w14:paraId="46F74D4F">
      <w:pPr>
        <w:shd w:val="clear"/>
        <w:spacing w:line="360" w:lineRule="auto"/>
        <w:ind w:firstLine="480"/>
        <w:rPr>
          <w:rFonts w:ascii="宋体" w:hAnsi="宋体"/>
          <w:color w:val="auto"/>
          <w:szCs w:val="21"/>
          <w:highlight w:val="none"/>
        </w:rPr>
      </w:pPr>
      <w:r>
        <w:rPr>
          <w:rFonts w:hint="eastAsia" w:ascii="宋体" w:hAnsi="宋体"/>
          <w:color w:val="auto"/>
          <w:szCs w:val="21"/>
          <w:highlight w:val="none"/>
        </w:rPr>
        <w:t>设备安装、调试必须符合国家质量检测标准，并满足甲方技术要求，乙方负责免费进行设备的安装调试（不另计费）。</w:t>
      </w:r>
    </w:p>
    <w:p w14:paraId="670BA5D8">
      <w:pPr>
        <w:shd w:val="clear"/>
        <w:spacing w:line="360" w:lineRule="auto"/>
        <w:ind w:firstLine="207" w:firstLineChars="98"/>
        <w:rPr>
          <w:rFonts w:ascii="宋体" w:hAnsi="宋体"/>
          <w:b/>
          <w:color w:val="auto"/>
          <w:szCs w:val="21"/>
          <w:highlight w:val="none"/>
        </w:rPr>
      </w:pPr>
      <w:r>
        <w:rPr>
          <w:rFonts w:hint="eastAsia" w:ascii="宋体" w:hAnsi="宋体"/>
          <w:b/>
          <w:color w:val="auto"/>
          <w:szCs w:val="21"/>
          <w:highlight w:val="none"/>
        </w:rPr>
        <w:t>第四条验收及验收标准</w:t>
      </w:r>
    </w:p>
    <w:p w14:paraId="3D7F8A9A">
      <w:pPr>
        <w:shd w:val="clear"/>
        <w:spacing w:line="360" w:lineRule="auto"/>
        <w:ind w:firstLine="315" w:firstLineChars="150"/>
        <w:rPr>
          <w:rFonts w:ascii="宋体" w:hAnsi="宋体"/>
          <w:color w:val="auto"/>
          <w:szCs w:val="21"/>
          <w:highlight w:val="none"/>
        </w:rPr>
      </w:pPr>
      <w:r>
        <w:rPr>
          <w:rFonts w:hint="eastAsia" w:ascii="宋体" w:hAnsi="宋体"/>
          <w:color w:val="auto"/>
          <w:szCs w:val="21"/>
          <w:highlight w:val="none"/>
        </w:rPr>
        <w:t>4.1 设备验收：设备到达甲方指定地点后，甲乙双方根据合同及其附件进行开箱、清点所有货品。符合后由乙方负责进行设备的安装和调试，安装调试完毕后，由甲方测试是否合格并满足技术要求。若开箱、清点发现货品不相符合的，乙方必须更换。更换所产生的费用由乙方负责。</w:t>
      </w:r>
    </w:p>
    <w:p w14:paraId="289FB7F3">
      <w:pPr>
        <w:shd w:val="clear"/>
        <w:spacing w:line="360" w:lineRule="auto"/>
        <w:ind w:left="449" w:leftChars="114" w:right="-512" w:rightChars="-244" w:hanging="210" w:hangingChars="100"/>
        <w:rPr>
          <w:rFonts w:ascii="宋体" w:hAnsi="宋体"/>
          <w:color w:val="auto"/>
          <w:szCs w:val="21"/>
          <w:highlight w:val="none"/>
        </w:rPr>
      </w:pPr>
      <w:r>
        <w:rPr>
          <w:rFonts w:hint="eastAsia" w:ascii="宋体" w:hAnsi="宋体"/>
          <w:color w:val="auto"/>
          <w:szCs w:val="21"/>
          <w:highlight w:val="none"/>
        </w:rPr>
        <w:t>4.2 实质性操作验收：乙方将设备安装调试完毕后，甲方在使用过程中检验设备是否正常运作</w:t>
      </w:r>
    </w:p>
    <w:p w14:paraId="4DE8F056">
      <w:pPr>
        <w:shd w:val="clear"/>
        <w:spacing w:line="360" w:lineRule="auto"/>
        <w:ind w:left="449" w:leftChars="114" w:right="-512" w:rightChars="-244" w:hanging="210" w:hangingChars="100"/>
        <w:rPr>
          <w:rFonts w:ascii="宋体" w:hAnsi="宋体"/>
          <w:color w:val="auto"/>
          <w:szCs w:val="21"/>
          <w:highlight w:val="none"/>
        </w:rPr>
      </w:pPr>
      <w:r>
        <w:rPr>
          <w:rFonts w:hint="eastAsia" w:ascii="宋体" w:hAnsi="宋体"/>
          <w:color w:val="auto"/>
          <w:szCs w:val="21"/>
          <w:highlight w:val="none"/>
        </w:rPr>
        <w:t>或使用。</w:t>
      </w:r>
    </w:p>
    <w:p w14:paraId="63A932DC">
      <w:pPr>
        <w:shd w:val="clear"/>
        <w:spacing w:line="360" w:lineRule="auto"/>
        <w:ind w:left="449" w:leftChars="114" w:right="-512" w:rightChars="-244" w:hanging="210" w:hangingChars="100"/>
        <w:rPr>
          <w:rFonts w:ascii="宋体" w:hAnsi="宋体"/>
          <w:b/>
          <w:color w:val="auto"/>
          <w:szCs w:val="21"/>
          <w:highlight w:val="none"/>
        </w:rPr>
      </w:pPr>
      <w:r>
        <w:rPr>
          <w:rFonts w:hint="eastAsia" w:ascii="宋体" w:hAnsi="宋体"/>
          <w:color w:val="auto"/>
          <w:szCs w:val="21"/>
          <w:highlight w:val="none"/>
        </w:rPr>
        <w:t>4.3 一般性项目由甲方组成验收小组进行项目验收。大型或复杂的项目，应当邀请国家认可的的质量检测机构参与验收，验收方成员应在验收书上签字。</w:t>
      </w:r>
    </w:p>
    <w:p w14:paraId="7E5A5435">
      <w:pPr>
        <w:shd w:val="clear"/>
        <w:spacing w:line="360" w:lineRule="auto"/>
        <w:ind w:left="450" w:leftChars="114" w:right="-512" w:rightChars="-244" w:hanging="211" w:hangingChars="100"/>
        <w:rPr>
          <w:rFonts w:ascii="宋体" w:hAnsi="宋体"/>
          <w:b/>
          <w:color w:val="auto"/>
          <w:szCs w:val="21"/>
          <w:highlight w:val="none"/>
        </w:rPr>
      </w:pPr>
      <w:r>
        <w:rPr>
          <w:rFonts w:hint="eastAsia" w:ascii="宋体" w:hAnsi="宋体"/>
          <w:b/>
          <w:color w:val="auto"/>
          <w:szCs w:val="21"/>
          <w:highlight w:val="none"/>
        </w:rPr>
        <w:t>第五条保修条款</w:t>
      </w:r>
    </w:p>
    <w:p w14:paraId="2766A31B">
      <w:pPr>
        <w:shd w:val="clear"/>
        <w:spacing w:line="360" w:lineRule="auto"/>
        <w:ind w:left="420" w:right="-512" w:rightChars="-244" w:hanging="420" w:hangingChars="200"/>
        <w:rPr>
          <w:rFonts w:ascii="宋体" w:hAnsi="宋体"/>
          <w:color w:val="auto"/>
          <w:szCs w:val="21"/>
          <w:highlight w:val="none"/>
        </w:rPr>
      </w:pPr>
      <w:r>
        <w:rPr>
          <w:rFonts w:hint="eastAsia" w:ascii="宋体" w:hAnsi="宋体"/>
          <w:color w:val="auto"/>
          <w:szCs w:val="21"/>
          <w:highlight w:val="none"/>
        </w:rPr>
        <w:t>5.1乙方提供的货物须为正规渠道销售的全新的合格货物，且没有任何质量瑕疵。</w:t>
      </w:r>
    </w:p>
    <w:p w14:paraId="4FF3995C">
      <w:pPr>
        <w:shd w:val="clear"/>
        <w:spacing w:line="360" w:lineRule="auto"/>
        <w:ind w:left="420" w:right="-512" w:rightChars="-244" w:hanging="420" w:hangingChars="200"/>
        <w:rPr>
          <w:rFonts w:ascii="宋体" w:hAnsi="宋体"/>
          <w:color w:val="auto"/>
          <w:szCs w:val="21"/>
          <w:highlight w:val="none"/>
        </w:rPr>
      </w:pPr>
      <w:r>
        <w:rPr>
          <w:rFonts w:hint="eastAsia" w:ascii="宋体" w:hAnsi="宋体"/>
          <w:color w:val="auto"/>
          <w:szCs w:val="21"/>
          <w:highlight w:val="none"/>
        </w:rPr>
        <w:t>5.2设备整机质量保证期为验收合格之日起个月。</w:t>
      </w:r>
    </w:p>
    <w:p w14:paraId="19BBE2C7">
      <w:pPr>
        <w:shd w:val="clear"/>
        <w:spacing w:line="360" w:lineRule="auto"/>
        <w:ind w:right="-512" w:rightChars="-244"/>
        <w:rPr>
          <w:rFonts w:ascii="宋体" w:hAnsi="宋体"/>
          <w:color w:val="auto"/>
          <w:szCs w:val="21"/>
          <w:highlight w:val="none"/>
        </w:rPr>
      </w:pPr>
      <w:r>
        <w:rPr>
          <w:rFonts w:hint="eastAsia" w:ascii="宋体" w:hAnsi="宋体"/>
          <w:color w:val="auto"/>
          <w:szCs w:val="21"/>
          <w:highlight w:val="none"/>
        </w:rPr>
        <w:t>5.3本项目的安装、培训及售后服务保修等事项，请乙方根据双方约定以附件方式附在本合同后。</w:t>
      </w:r>
    </w:p>
    <w:p w14:paraId="3CBAAFC7">
      <w:pPr>
        <w:shd w:val="clear"/>
        <w:spacing w:line="360" w:lineRule="auto"/>
        <w:rPr>
          <w:rFonts w:ascii="宋体" w:hAnsi="宋体"/>
          <w:color w:val="auto"/>
          <w:szCs w:val="21"/>
          <w:highlight w:val="none"/>
        </w:rPr>
      </w:pPr>
      <w:r>
        <w:rPr>
          <w:rFonts w:hint="eastAsia" w:ascii="宋体" w:hAnsi="宋体"/>
          <w:color w:val="auto"/>
          <w:szCs w:val="21"/>
          <w:highlight w:val="none"/>
        </w:rPr>
        <w:t>5.4下例情况不属保修范围：</w:t>
      </w:r>
    </w:p>
    <w:p w14:paraId="5EEDCA6A">
      <w:pPr>
        <w:shd w:val="clear"/>
        <w:spacing w:line="360" w:lineRule="auto"/>
        <w:rPr>
          <w:rFonts w:ascii="宋体" w:hAnsi="宋体"/>
          <w:color w:val="auto"/>
          <w:szCs w:val="21"/>
          <w:highlight w:val="none"/>
        </w:rPr>
      </w:pPr>
      <w:r>
        <w:rPr>
          <w:rFonts w:hint="eastAsia" w:ascii="宋体" w:hAnsi="宋体"/>
          <w:color w:val="auto"/>
          <w:szCs w:val="21"/>
          <w:highlight w:val="none"/>
        </w:rPr>
        <w:t>（1）．不可抗力引起的损害；</w:t>
      </w:r>
    </w:p>
    <w:p w14:paraId="528F469B">
      <w:pPr>
        <w:shd w:val="clear"/>
        <w:spacing w:line="360" w:lineRule="auto"/>
        <w:rPr>
          <w:rFonts w:ascii="宋体" w:hAnsi="宋体"/>
          <w:color w:val="auto"/>
          <w:szCs w:val="21"/>
          <w:highlight w:val="none"/>
        </w:rPr>
      </w:pPr>
      <w:r>
        <w:rPr>
          <w:rFonts w:hint="eastAsia" w:ascii="宋体" w:hAnsi="宋体"/>
          <w:color w:val="auto"/>
          <w:szCs w:val="21"/>
          <w:highlight w:val="none"/>
        </w:rPr>
        <w:t>（2）．用户电力系统故障（如接地不良、电压超过规定范围等）引起的损坏；</w:t>
      </w:r>
    </w:p>
    <w:p w14:paraId="21DB7B11">
      <w:pPr>
        <w:shd w:val="clear"/>
        <w:spacing w:line="360" w:lineRule="auto"/>
        <w:rPr>
          <w:rFonts w:ascii="宋体" w:hAnsi="宋体"/>
          <w:color w:val="auto"/>
          <w:szCs w:val="21"/>
          <w:highlight w:val="none"/>
        </w:rPr>
      </w:pPr>
      <w:r>
        <w:rPr>
          <w:rFonts w:hint="eastAsia" w:ascii="宋体" w:hAnsi="宋体"/>
          <w:color w:val="auto"/>
          <w:szCs w:val="21"/>
          <w:highlight w:val="none"/>
        </w:rPr>
        <w:t>（3）．用户私自维修引起的损坏；</w:t>
      </w:r>
    </w:p>
    <w:p w14:paraId="0DD5D565">
      <w:pPr>
        <w:shd w:val="clear"/>
        <w:spacing w:line="360" w:lineRule="auto"/>
        <w:rPr>
          <w:rFonts w:ascii="宋体" w:hAnsi="宋体"/>
          <w:color w:val="auto"/>
          <w:szCs w:val="21"/>
          <w:highlight w:val="none"/>
        </w:rPr>
      </w:pPr>
      <w:r>
        <w:rPr>
          <w:rFonts w:hint="eastAsia" w:ascii="宋体" w:hAnsi="宋体"/>
          <w:color w:val="auto"/>
          <w:szCs w:val="21"/>
          <w:highlight w:val="none"/>
        </w:rPr>
        <w:t>（4）．用户自行造成的机械损坏（用户正常使用除外）；</w:t>
      </w:r>
    </w:p>
    <w:p w14:paraId="7B663F6D">
      <w:pPr>
        <w:shd w:val="clear"/>
        <w:spacing w:line="360" w:lineRule="auto"/>
        <w:rPr>
          <w:rFonts w:ascii="宋体" w:hAnsi="宋体"/>
          <w:b/>
          <w:color w:val="auto"/>
          <w:szCs w:val="21"/>
          <w:highlight w:val="none"/>
        </w:rPr>
      </w:pPr>
      <w:r>
        <w:rPr>
          <w:rFonts w:hint="eastAsia" w:ascii="宋体" w:hAnsi="宋体"/>
          <w:color w:val="auto"/>
          <w:szCs w:val="21"/>
          <w:highlight w:val="none"/>
        </w:rPr>
        <w:t>（5）．其它不属于供应商负担的保修事宜。</w:t>
      </w:r>
    </w:p>
    <w:p w14:paraId="0402003D">
      <w:pPr>
        <w:shd w:val="clear"/>
        <w:spacing w:line="360" w:lineRule="auto"/>
        <w:rPr>
          <w:rFonts w:ascii="宋体" w:hAnsi="宋体"/>
          <w:b/>
          <w:color w:val="auto"/>
          <w:szCs w:val="21"/>
          <w:highlight w:val="none"/>
        </w:rPr>
      </w:pPr>
      <w:r>
        <w:rPr>
          <w:rFonts w:hint="eastAsia" w:ascii="宋体" w:hAnsi="宋体"/>
          <w:b/>
          <w:color w:val="auto"/>
          <w:szCs w:val="21"/>
          <w:highlight w:val="none"/>
        </w:rPr>
        <w:t>第六条配套设备、消耗品要求及长期供应优惠条件</w:t>
      </w:r>
    </w:p>
    <w:p w14:paraId="76FEB03F">
      <w:pPr>
        <w:shd w:val="clear"/>
        <w:spacing w:line="360" w:lineRule="auto"/>
        <w:ind w:firstLine="480"/>
        <w:rPr>
          <w:rFonts w:ascii="宋体" w:hAnsi="宋体"/>
          <w:color w:val="auto"/>
          <w:szCs w:val="21"/>
          <w:highlight w:val="none"/>
        </w:rPr>
      </w:pPr>
      <w:r>
        <w:rPr>
          <w:rFonts w:hint="eastAsia" w:ascii="宋体" w:hAnsi="宋体"/>
          <w:color w:val="auto"/>
          <w:szCs w:val="21"/>
          <w:highlight w:val="none"/>
        </w:rPr>
        <w:t>乙方严格按照招投标文件执行。乙方同时承诺：乙方向甲方提供的配套设备、消耗品不高于市场同类产品的价格。</w:t>
      </w:r>
    </w:p>
    <w:p w14:paraId="4861CEF8">
      <w:pPr>
        <w:shd w:val="clear"/>
        <w:spacing w:line="360" w:lineRule="auto"/>
        <w:rPr>
          <w:rFonts w:ascii="宋体" w:hAnsi="宋体"/>
          <w:b/>
          <w:color w:val="auto"/>
          <w:szCs w:val="21"/>
          <w:highlight w:val="none"/>
        </w:rPr>
      </w:pPr>
      <w:r>
        <w:rPr>
          <w:rFonts w:hint="eastAsia" w:ascii="宋体" w:hAnsi="宋体"/>
          <w:b/>
          <w:color w:val="auto"/>
          <w:szCs w:val="21"/>
          <w:highlight w:val="none"/>
        </w:rPr>
        <w:t>第七条备品备件（含易损件）要求及长期供应优惠条件</w:t>
      </w:r>
    </w:p>
    <w:p w14:paraId="4AC74D9E">
      <w:pPr>
        <w:shd w:val="clear"/>
        <w:spacing w:line="360" w:lineRule="auto"/>
        <w:ind w:firstLine="480"/>
        <w:rPr>
          <w:rFonts w:ascii="宋体" w:hAnsi="宋体"/>
          <w:color w:val="auto"/>
          <w:szCs w:val="21"/>
          <w:highlight w:val="none"/>
        </w:rPr>
      </w:pPr>
      <w:r>
        <w:rPr>
          <w:rFonts w:hint="eastAsia" w:ascii="宋体" w:hAnsi="宋体"/>
          <w:color w:val="auto"/>
          <w:szCs w:val="21"/>
          <w:highlight w:val="none"/>
        </w:rPr>
        <w:t>乙方严格按照招投标文件执行。乙方同时承诺：乙方向甲方提供的备品备件（含易损件）不高于市场同类产品的价格。</w:t>
      </w:r>
    </w:p>
    <w:p w14:paraId="33651669">
      <w:pPr>
        <w:shd w:val="clear"/>
        <w:spacing w:line="360" w:lineRule="auto"/>
        <w:rPr>
          <w:rFonts w:ascii="宋体" w:hAnsi="宋体"/>
          <w:b/>
          <w:color w:val="auto"/>
          <w:szCs w:val="21"/>
          <w:highlight w:val="none"/>
        </w:rPr>
      </w:pPr>
      <w:r>
        <w:rPr>
          <w:rFonts w:hint="eastAsia" w:ascii="宋体" w:hAnsi="宋体"/>
          <w:b/>
          <w:color w:val="auto"/>
          <w:szCs w:val="21"/>
          <w:highlight w:val="none"/>
        </w:rPr>
        <w:t>第八条甲方的权利与义务</w:t>
      </w:r>
    </w:p>
    <w:p w14:paraId="129CEA95">
      <w:pPr>
        <w:shd w:val="clear"/>
        <w:spacing w:line="360" w:lineRule="auto"/>
        <w:textAlignment w:val="baseline"/>
        <w:rPr>
          <w:rFonts w:ascii="宋体" w:hAnsi="宋体"/>
          <w:color w:val="auto"/>
          <w:szCs w:val="21"/>
          <w:highlight w:val="none"/>
        </w:rPr>
      </w:pPr>
      <w:r>
        <w:rPr>
          <w:rFonts w:hint="eastAsia" w:ascii="宋体" w:hAnsi="宋体"/>
          <w:color w:val="auto"/>
          <w:szCs w:val="21"/>
          <w:highlight w:val="none"/>
        </w:rPr>
        <w:t>8.1 甲方负责提供设备安装、培训所需的场地。</w:t>
      </w:r>
    </w:p>
    <w:p w14:paraId="094668A0">
      <w:pPr>
        <w:shd w:val="clear"/>
        <w:spacing w:line="360" w:lineRule="auto"/>
        <w:textAlignment w:val="baseline"/>
        <w:rPr>
          <w:rFonts w:ascii="宋体" w:hAnsi="宋体"/>
          <w:color w:val="auto"/>
          <w:szCs w:val="21"/>
          <w:highlight w:val="none"/>
        </w:rPr>
      </w:pPr>
      <w:r>
        <w:rPr>
          <w:rFonts w:hint="eastAsia" w:ascii="宋体" w:hAnsi="宋体"/>
          <w:color w:val="auto"/>
          <w:szCs w:val="21"/>
          <w:highlight w:val="none"/>
        </w:rPr>
        <w:t>8.2 甲方负责组织操作人员、设备科工程师及乙方人员，进行设备的安装、调试、培训及移交工作。</w:t>
      </w:r>
    </w:p>
    <w:p w14:paraId="5C6763A7">
      <w:pPr>
        <w:shd w:val="clear"/>
        <w:spacing w:line="360" w:lineRule="auto"/>
        <w:textAlignment w:val="baseline"/>
        <w:rPr>
          <w:rFonts w:ascii="宋体" w:hAnsi="宋体"/>
          <w:color w:val="auto"/>
          <w:szCs w:val="21"/>
          <w:highlight w:val="none"/>
        </w:rPr>
      </w:pPr>
      <w:r>
        <w:rPr>
          <w:rFonts w:hint="eastAsia" w:ascii="宋体" w:hAnsi="宋体"/>
          <w:color w:val="auto"/>
          <w:szCs w:val="21"/>
          <w:highlight w:val="none"/>
        </w:rPr>
        <w:t>8.3 甲方负责按甲方的工作程序，组织设备试用后的验收工作。</w:t>
      </w:r>
    </w:p>
    <w:p w14:paraId="276474CC">
      <w:pPr>
        <w:shd w:val="clear"/>
        <w:spacing w:line="360" w:lineRule="auto"/>
        <w:textAlignment w:val="baseline"/>
        <w:rPr>
          <w:rFonts w:ascii="宋体" w:hAnsi="宋体"/>
          <w:b/>
          <w:color w:val="auto"/>
          <w:szCs w:val="21"/>
          <w:highlight w:val="none"/>
        </w:rPr>
      </w:pPr>
      <w:r>
        <w:rPr>
          <w:rFonts w:hint="eastAsia" w:ascii="宋体" w:hAnsi="宋体"/>
          <w:color w:val="auto"/>
          <w:szCs w:val="21"/>
          <w:highlight w:val="none"/>
        </w:rPr>
        <w:t>8.4 甲方负责在设备验收合格及全部相关手续办妥后，按本合同所约定的付款程序付款并依本合同约定享有乙方提供的售后服务。</w:t>
      </w:r>
    </w:p>
    <w:p w14:paraId="0B54E29F">
      <w:pPr>
        <w:shd w:val="clear"/>
        <w:spacing w:line="360" w:lineRule="auto"/>
        <w:textAlignment w:val="baseline"/>
        <w:rPr>
          <w:rFonts w:ascii="宋体" w:hAnsi="宋体"/>
          <w:b/>
          <w:color w:val="auto"/>
          <w:szCs w:val="21"/>
          <w:highlight w:val="none"/>
        </w:rPr>
      </w:pPr>
      <w:r>
        <w:rPr>
          <w:rFonts w:hint="eastAsia" w:ascii="宋体" w:hAnsi="宋体"/>
          <w:b/>
          <w:color w:val="auto"/>
          <w:szCs w:val="21"/>
          <w:highlight w:val="none"/>
        </w:rPr>
        <w:t>第九条乙方责任</w:t>
      </w:r>
    </w:p>
    <w:p w14:paraId="1E011B6B">
      <w:pPr>
        <w:shd w:val="clear"/>
        <w:spacing w:line="360" w:lineRule="auto"/>
        <w:rPr>
          <w:rFonts w:ascii="宋体" w:hAnsi="宋体"/>
          <w:color w:val="auto"/>
          <w:szCs w:val="21"/>
          <w:highlight w:val="none"/>
        </w:rPr>
      </w:pPr>
      <w:r>
        <w:rPr>
          <w:rFonts w:hint="eastAsia" w:ascii="宋体" w:hAnsi="宋体"/>
          <w:color w:val="auto"/>
          <w:szCs w:val="21"/>
          <w:highlight w:val="none"/>
        </w:rPr>
        <w:t>9.1乙方保证按本合同条款负责完成供货和其他义务，并保证提供的设备是全新原装（包括零部件）、符合招投标文件规定、具有国家有关部门注册证明并符合国家质量检测标准（进口设备具有国家有关部门完整手续）和产品出厂标准的设备；乙方对所提供的设备全部实行三包；</w:t>
      </w:r>
      <w:r>
        <w:rPr>
          <w:rFonts w:hint="eastAsia"/>
          <w:color w:val="auto"/>
          <w:highlight w:val="none"/>
        </w:rPr>
        <w:t>且设备出厂日期以安装验收期计算为三个月内产品</w:t>
      </w:r>
      <w:r>
        <w:rPr>
          <w:color w:val="auto"/>
          <w:highlight w:val="none"/>
        </w:rPr>
        <w:t>；</w:t>
      </w:r>
      <w:r>
        <w:rPr>
          <w:rFonts w:hint="eastAsia" w:ascii="宋体" w:hAnsi="宋体"/>
          <w:color w:val="auto"/>
          <w:szCs w:val="21"/>
          <w:highlight w:val="none"/>
        </w:rPr>
        <w:t>设备及主要部件的免费保修期见本合同5.2款，自设备交付甲方且正常运行之日起算，终身负责维修；并保证设备在甲方报废</w:t>
      </w:r>
      <w:r>
        <w:rPr>
          <w:rStyle w:val="150"/>
          <w:rFonts w:hint="eastAsia" w:ascii="宋体" w:hAnsi="宋体"/>
          <w:color w:val="auto"/>
          <w:szCs w:val="21"/>
          <w:highlight w:val="none"/>
        </w:rPr>
        <w:t>前正常</w:t>
      </w:r>
      <w:r>
        <w:rPr>
          <w:rFonts w:hint="eastAsia" w:ascii="宋体" w:hAnsi="宋体"/>
          <w:color w:val="auto"/>
          <w:szCs w:val="21"/>
          <w:highlight w:val="none"/>
        </w:rPr>
        <w:t>运行。具体服务：保修期内，乙方对设备提供全免费保修或免费更换（自然灾害及人为故意损坏除外）；保修期后，优惠收取成本费维修；乙方提供现场维修，维修人员在甲方发出故障通知后小时内作出响应，小时内派原厂认证合格专业工程师到达甲方进行现场维修，小时内不能排除故障时，在天内保证修复，若在天内不能修复的，免费无条件提供相同型号设备给用户使用，待原设备修复正常使用后换回。同时，保证购买时软件为最新版本，已有软件乙方提供终身免费升级服务，对用户无条件开放维护密码；乙方保证在甲方指定地点供应备品备件（含易损件）和配套消耗品；乙方对其所提供的设备实行每三个月定期随访一次。</w:t>
      </w:r>
    </w:p>
    <w:p w14:paraId="3C377C8E">
      <w:pPr>
        <w:shd w:val="clear"/>
        <w:spacing w:line="360" w:lineRule="auto"/>
        <w:rPr>
          <w:rFonts w:ascii="宋体" w:hAnsi="宋体"/>
          <w:color w:val="auto"/>
          <w:szCs w:val="21"/>
          <w:highlight w:val="none"/>
        </w:rPr>
      </w:pPr>
      <w:r>
        <w:rPr>
          <w:rFonts w:hint="eastAsia" w:ascii="宋体" w:hAnsi="宋体"/>
          <w:color w:val="auto"/>
          <w:szCs w:val="21"/>
          <w:highlight w:val="none"/>
        </w:rPr>
        <w:t>9.2 乙方确保所供进口设备的电源及电源插头，符合中国要求、能够满足甲方使用需要。乙方向甲方提供中文操作说明书。</w:t>
      </w:r>
    </w:p>
    <w:p w14:paraId="0E340CCF">
      <w:pPr>
        <w:shd w:val="clear"/>
        <w:spacing w:line="360" w:lineRule="auto"/>
        <w:rPr>
          <w:rFonts w:ascii="宋体" w:hAnsi="宋体"/>
          <w:color w:val="auto"/>
          <w:szCs w:val="21"/>
          <w:highlight w:val="none"/>
        </w:rPr>
      </w:pPr>
      <w:r>
        <w:rPr>
          <w:rFonts w:hint="eastAsia" w:ascii="宋体" w:hAnsi="宋体"/>
          <w:color w:val="auto"/>
          <w:szCs w:val="21"/>
          <w:highlight w:val="none"/>
        </w:rPr>
        <w:t>9.3 乙方保证：甲方在设备及配件（有配套软件的还包括软件产品）使用期间不受第三方提出侵犯其专利权、商标权和工业设计权等的起诉。</w:t>
      </w:r>
    </w:p>
    <w:p w14:paraId="7C01B189">
      <w:pPr>
        <w:shd w:val="clear"/>
        <w:spacing w:line="360" w:lineRule="auto"/>
        <w:rPr>
          <w:rFonts w:ascii="宋体" w:hAnsi="宋体"/>
          <w:color w:val="auto"/>
          <w:szCs w:val="21"/>
          <w:highlight w:val="none"/>
        </w:rPr>
      </w:pPr>
      <w:r>
        <w:rPr>
          <w:rFonts w:hint="eastAsia" w:ascii="宋体" w:hAnsi="宋体"/>
          <w:color w:val="auto"/>
          <w:szCs w:val="21"/>
          <w:highlight w:val="none"/>
        </w:rPr>
        <w:t>9.4 乙方严格遵守投标、技术澄清、商务谈判、中标所承诺的一切规定和条款。</w:t>
      </w:r>
    </w:p>
    <w:p w14:paraId="1B748381">
      <w:pPr>
        <w:shd w:val="clear"/>
        <w:spacing w:line="360" w:lineRule="auto"/>
        <w:textAlignment w:val="baseline"/>
        <w:rPr>
          <w:rFonts w:ascii="宋体" w:hAnsi="宋体"/>
          <w:color w:val="auto"/>
          <w:szCs w:val="21"/>
          <w:highlight w:val="none"/>
        </w:rPr>
      </w:pPr>
      <w:r>
        <w:rPr>
          <w:rFonts w:hint="eastAsia" w:ascii="宋体" w:hAnsi="宋体"/>
          <w:color w:val="auto"/>
          <w:szCs w:val="21"/>
          <w:highlight w:val="none"/>
        </w:rPr>
        <w:t>9.5 参与甲方共同进行设备验收。</w:t>
      </w:r>
    </w:p>
    <w:p w14:paraId="5D371FCB">
      <w:pPr>
        <w:shd w:val="clear"/>
        <w:spacing w:line="360" w:lineRule="auto"/>
        <w:rPr>
          <w:rFonts w:ascii="宋体" w:hAnsi="宋体"/>
          <w:b/>
          <w:color w:val="auto"/>
          <w:szCs w:val="21"/>
          <w:highlight w:val="none"/>
        </w:rPr>
      </w:pPr>
      <w:r>
        <w:rPr>
          <w:rFonts w:hint="eastAsia" w:ascii="宋体" w:hAnsi="宋体"/>
          <w:b/>
          <w:color w:val="auto"/>
          <w:szCs w:val="21"/>
          <w:highlight w:val="none"/>
        </w:rPr>
        <w:t>第十条技术培训</w:t>
      </w:r>
    </w:p>
    <w:p w14:paraId="1354A621">
      <w:pPr>
        <w:shd w:val="clear"/>
        <w:spacing w:line="360" w:lineRule="auto"/>
        <w:ind w:firstLine="420" w:firstLineChars="200"/>
        <w:rPr>
          <w:rFonts w:ascii="宋体" w:hAnsi="宋体"/>
          <w:color w:val="auto"/>
          <w:szCs w:val="21"/>
          <w:highlight w:val="none"/>
        </w:rPr>
      </w:pPr>
      <w:r>
        <w:rPr>
          <w:rStyle w:val="150"/>
          <w:rFonts w:hint="eastAsia" w:ascii="宋体" w:hAnsi="宋体"/>
          <w:color w:val="auto"/>
          <w:szCs w:val="21"/>
          <w:highlight w:val="none"/>
        </w:rPr>
        <w:t>乙方向</w:t>
      </w:r>
      <w:r>
        <w:rPr>
          <w:rFonts w:hint="eastAsia" w:ascii="宋体" w:hAnsi="宋体"/>
          <w:color w:val="auto"/>
          <w:szCs w:val="21"/>
          <w:highlight w:val="none"/>
        </w:rPr>
        <w:t>甲方提供</w:t>
      </w:r>
      <w:r>
        <w:rPr>
          <w:rFonts w:hint="eastAsia" w:ascii="宋体" w:hAnsi="宋体"/>
          <w:color w:val="auto"/>
          <w:szCs w:val="21"/>
          <w:highlight w:val="none"/>
          <w:u w:val="single"/>
        </w:rPr>
        <w:t>不少于</w:t>
      </w:r>
      <w:r>
        <w:rPr>
          <w:rFonts w:hint="eastAsia" w:ascii="宋体" w:hAnsi="宋体"/>
          <w:color w:val="auto"/>
          <w:szCs w:val="21"/>
          <w:highlight w:val="none"/>
        </w:rPr>
        <w:t>天的设备现场例行免费培训，直至使用人员及工程师能完全掌握使用方法，独立完成操作为止。培训内容包括设备的调试、使用、一般的维修、维护及保养等；食宿自理（各自负责）。</w:t>
      </w:r>
    </w:p>
    <w:p w14:paraId="31A16F9A">
      <w:pPr>
        <w:shd w:val="clear"/>
        <w:spacing w:line="360" w:lineRule="auto"/>
        <w:rPr>
          <w:rFonts w:ascii="宋体" w:hAnsi="宋体"/>
          <w:color w:val="auto"/>
          <w:szCs w:val="21"/>
          <w:highlight w:val="none"/>
        </w:rPr>
      </w:pPr>
      <w:r>
        <w:rPr>
          <w:rFonts w:hint="eastAsia" w:ascii="宋体" w:hAnsi="宋体"/>
          <w:b/>
          <w:color w:val="auto"/>
          <w:szCs w:val="21"/>
          <w:highlight w:val="none"/>
        </w:rPr>
        <w:t>第十一条甲方在设备使用过程中发生技术或质量问题，乙方应提供及时有效的技术支持。乙方的24小时免费技术支持电话：</w:t>
      </w:r>
    </w:p>
    <w:p w14:paraId="5FE38C91">
      <w:pPr>
        <w:shd w:val="clear"/>
        <w:spacing w:line="360" w:lineRule="auto"/>
        <w:ind w:firstLine="413" w:firstLineChars="196"/>
        <w:rPr>
          <w:rFonts w:ascii="宋体" w:hAnsi="宋体"/>
          <w:b/>
          <w:color w:val="auto"/>
          <w:szCs w:val="21"/>
          <w:highlight w:val="none"/>
        </w:rPr>
      </w:pPr>
      <w:r>
        <w:rPr>
          <w:rFonts w:hint="eastAsia" w:ascii="宋体" w:hAnsi="宋体"/>
          <w:b/>
          <w:color w:val="auto"/>
          <w:szCs w:val="21"/>
          <w:highlight w:val="none"/>
        </w:rPr>
        <w:t>第十二条违约责任</w:t>
      </w:r>
    </w:p>
    <w:p w14:paraId="3F78D104">
      <w:pPr>
        <w:shd w:val="clear"/>
        <w:spacing w:line="360" w:lineRule="auto"/>
        <w:rPr>
          <w:rFonts w:ascii="宋体" w:hAnsi="宋体"/>
          <w:color w:val="auto"/>
          <w:szCs w:val="21"/>
          <w:highlight w:val="none"/>
        </w:rPr>
      </w:pPr>
      <w:r>
        <w:rPr>
          <w:rFonts w:hint="eastAsia" w:ascii="宋体" w:hAnsi="宋体"/>
          <w:color w:val="auto"/>
          <w:szCs w:val="21"/>
          <w:highlight w:val="none"/>
        </w:rPr>
        <w:t>12.1如乙方所交设备（含选购件）或安装调试与合同标准不相符合，则甲方有权拒收设备（含选购件）、解除本合同、拒付本合同项下的价款并追究乙方违约责任，乙方应按合同总价款的30%向甲方支付违约金，若因此给甲方造成损失，由乙方负责赔偿。</w:t>
      </w:r>
    </w:p>
    <w:p w14:paraId="4F6EC9AA">
      <w:pPr>
        <w:shd w:val="clear"/>
        <w:spacing w:line="360" w:lineRule="auto"/>
        <w:rPr>
          <w:rFonts w:ascii="宋体" w:hAnsi="宋体"/>
          <w:color w:val="auto"/>
          <w:szCs w:val="21"/>
          <w:highlight w:val="none"/>
        </w:rPr>
      </w:pPr>
      <w:r>
        <w:rPr>
          <w:rFonts w:hint="eastAsia" w:ascii="宋体" w:hAnsi="宋体"/>
          <w:color w:val="auto"/>
          <w:szCs w:val="21"/>
          <w:highlight w:val="none"/>
        </w:rPr>
        <w:t>12.2在设备（含选购件）验收后的质保期内，乙方应对由于设计、工艺或者材料的缺陷而发生的任何不足或故障负责，并按本合同约定以及甲方要求承担维修义务，由此而发生的一切费用由乙方承担，若因此导致甲方不能正常使用设备（含选购件），甲方有权退货并追究乙方违约责任，乙方应返还甲方已支付的全部款项、按合同总价款的30%向甲方支付违约金并赔偿甲方因此而遭受的一切损失。</w:t>
      </w:r>
    </w:p>
    <w:p w14:paraId="328B7D01">
      <w:pPr>
        <w:shd w:val="clear"/>
        <w:spacing w:line="360" w:lineRule="auto"/>
        <w:rPr>
          <w:rFonts w:ascii="宋体" w:hAnsi="宋体"/>
          <w:color w:val="auto"/>
          <w:szCs w:val="21"/>
          <w:highlight w:val="none"/>
        </w:rPr>
      </w:pPr>
      <w:r>
        <w:rPr>
          <w:rFonts w:hint="eastAsia" w:ascii="宋体" w:hAnsi="宋体"/>
          <w:color w:val="auto"/>
          <w:szCs w:val="21"/>
          <w:highlight w:val="none"/>
        </w:rPr>
        <w:t>12.3除发生不可抗力事件（不可抗力事件仅指自然灾害、战争）外，如乙方逾期交货或安装调试逾期，则每逾期一天，乙方按合同总价的1%向甲方支付违约金，逾期30天，甲方有权解除合同并追究乙方违约责任，乙方应返还甲方已支付的全部款项、向甲方支付合同总价款30%的违约金并赔偿甲方因此而遭受的损失。</w:t>
      </w:r>
    </w:p>
    <w:p w14:paraId="343B7FEC">
      <w:pPr>
        <w:shd w:val="clear"/>
        <w:spacing w:line="360" w:lineRule="auto"/>
        <w:rPr>
          <w:rFonts w:ascii="宋体" w:hAnsi="宋体"/>
          <w:color w:val="auto"/>
          <w:szCs w:val="21"/>
          <w:highlight w:val="none"/>
        </w:rPr>
      </w:pPr>
      <w:r>
        <w:rPr>
          <w:rFonts w:hint="eastAsia" w:ascii="宋体" w:hAnsi="宋体"/>
          <w:color w:val="auto"/>
          <w:szCs w:val="21"/>
          <w:highlight w:val="none"/>
        </w:rPr>
        <w:t>12.4保修期内，如乙方未按本合同约定提供保修服务，则甲方有权没收质保金并追究乙方违约责任，乙方应按合同总价款的30%向甲方支付违约金并赔偿甲方因此而遭受的损失。</w:t>
      </w:r>
    </w:p>
    <w:p w14:paraId="1D9B8F73">
      <w:pPr>
        <w:shd w:val="clear"/>
        <w:spacing w:line="360" w:lineRule="auto"/>
        <w:rPr>
          <w:rFonts w:ascii="宋体" w:hAnsi="宋体"/>
          <w:color w:val="auto"/>
          <w:szCs w:val="21"/>
          <w:highlight w:val="none"/>
        </w:rPr>
      </w:pPr>
      <w:r>
        <w:rPr>
          <w:rFonts w:hint="eastAsia" w:ascii="宋体" w:hAnsi="宋体"/>
          <w:color w:val="auto"/>
          <w:szCs w:val="21"/>
          <w:highlight w:val="none"/>
        </w:rPr>
        <w:t>12.5如乙方出现除上述12.1—12.4以外的其他违约行为或违反保证与承诺义务，应按合同总价款的30%向甲方支付违约金并赔偿甲方因此而遭受的损失。</w:t>
      </w:r>
    </w:p>
    <w:p w14:paraId="5950163E">
      <w:pPr>
        <w:shd w:val="clear"/>
        <w:spacing w:line="360" w:lineRule="auto"/>
        <w:rPr>
          <w:rFonts w:ascii="宋体" w:hAnsi="宋体"/>
          <w:color w:val="auto"/>
          <w:szCs w:val="21"/>
          <w:highlight w:val="none"/>
        </w:rPr>
      </w:pPr>
      <w:r>
        <w:rPr>
          <w:rFonts w:hint="eastAsia" w:ascii="宋体" w:hAnsi="宋体"/>
          <w:color w:val="auto"/>
          <w:szCs w:val="21"/>
          <w:highlight w:val="none"/>
        </w:rPr>
        <w:t>12.6如甲方无正当理由拒收设备，应按合同总价款的百分之五向乙方支付违约金以作为对乙方的损失赔偿。</w:t>
      </w:r>
    </w:p>
    <w:p w14:paraId="7E6F3C20">
      <w:pPr>
        <w:shd w:val="clear"/>
        <w:spacing w:line="360" w:lineRule="auto"/>
        <w:rPr>
          <w:rFonts w:ascii="宋体" w:hAnsi="宋体"/>
          <w:color w:val="auto"/>
          <w:szCs w:val="21"/>
          <w:highlight w:val="none"/>
        </w:rPr>
      </w:pPr>
      <w:r>
        <w:rPr>
          <w:rFonts w:hint="eastAsia" w:ascii="宋体" w:hAnsi="宋体"/>
          <w:color w:val="auto"/>
          <w:szCs w:val="21"/>
          <w:highlight w:val="none"/>
        </w:rPr>
        <w:t>12.7由于不可抗力（不可抗力仅指自然灾害、战争）所导致的违约，根据不可抗力的影响范围，可部分或全部免除违约方的违约责任，但违约方应及时通知对方并在不可抗力事件发生之日起5日内提供符合法律规定的证明文件，否则应赔偿对方因此而遭受的损失。</w:t>
      </w:r>
    </w:p>
    <w:p w14:paraId="1E41338F">
      <w:pPr>
        <w:shd w:val="clear"/>
        <w:spacing w:line="360" w:lineRule="auto"/>
        <w:rPr>
          <w:rFonts w:ascii="宋体" w:hAnsi="宋体"/>
          <w:b/>
          <w:color w:val="auto"/>
          <w:szCs w:val="21"/>
          <w:highlight w:val="none"/>
        </w:rPr>
      </w:pPr>
      <w:r>
        <w:rPr>
          <w:rFonts w:hint="eastAsia" w:ascii="宋体" w:hAnsi="宋体"/>
          <w:b/>
          <w:color w:val="auto"/>
          <w:szCs w:val="21"/>
          <w:highlight w:val="none"/>
        </w:rPr>
        <w:t>第十三条合同生效</w:t>
      </w:r>
    </w:p>
    <w:p w14:paraId="6F771358">
      <w:pPr>
        <w:shd w:val="clear"/>
        <w:tabs>
          <w:tab w:val="left" w:pos="6930"/>
        </w:tabs>
        <w:spacing w:line="360" w:lineRule="auto"/>
        <w:ind w:firstLine="630" w:firstLineChars="300"/>
        <w:rPr>
          <w:rFonts w:ascii="宋体" w:hAnsi="宋体"/>
          <w:color w:val="auto"/>
          <w:szCs w:val="21"/>
          <w:highlight w:val="none"/>
        </w:rPr>
      </w:pPr>
      <w:r>
        <w:rPr>
          <w:rFonts w:hint="eastAsia" w:ascii="宋体" w:hAnsi="宋体"/>
          <w:color w:val="auto"/>
          <w:szCs w:val="21"/>
          <w:highlight w:val="none"/>
        </w:rPr>
        <w:t>乙方应根据招标文件要求向采购代理机构交纳招标代理服务费并取得甲方的签章后，合同才正式生效。</w:t>
      </w:r>
    </w:p>
    <w:p w14:paraId="00C613C2">
      <w:pPr>
        <w:pStyle w:val="16"/>
        <w:shd w:val="clear"/>
        <w:spacing w:line="360" w:lineRule="auto"/>
        <w:ind w:left="0" w:leftChars="0"/>
        <w:rPr>
          <w:rFonts w:ascii="宋体" w:hAnsi="宋体"/>
          <w:b/>
          <w:color w:val="auto"/>
          <w:szCs w:val="21"/>
          <w:highlight w:val="none"/>
        </w:rPr>
      </w:pPr>
      <w:r>
        <w:rPr>
          <w:rFonts w:hint="eastAsia" w:ascii="宋体" w:hAnsi="宋体"/>
          <w:b/>
          <w:color w:val="auto"/>
          <w:szCs w:val="21"/>
          <w:highlight w:val="none"/>
        </w:rPr>
        <w:t>第十四条甲方有权拒付合同价以外的任何费用；乙方有权拒绝合同整体范围以外的条件。</w:t>
      </w:r>
    </w:p>
    <w:p w14:paraId="1AED8845">
      <w:pPr>
        <w:shd w:val="clear"/>
        <w:spacing w:line="360" w:lineRule="auto"/>
        <w:rPr>
          <w:rFonts w:ascii="宋体" w:hAnsi="宋体"/>
          <w:color w:val="auto"/>
          <w:szCs w:val="21"/>
          <w:highlight w:val="none"/>
        </w:rPr>
      </w:pPr>
      <w:r>
        <w:rPr>
          <w:rFonts w:hint="eastAsia" w:ascii="宋体" w:hAnsi="宋体"/>
          <w:b/>
          <w:color w:val="auto"/>
          <w:szCs w:val="21"/>
          <w:highlight w:val="none"/>
        </w:rPr>
        <w:t>第十五条因本合同发生纠纷，由甲乙双方协商解决，协商不成，应向甲方所在地有管辖权的人民法院提起诉讼解决。</w:t>
      </w:r>
    </w:p>
    <w:p w14:paraId="3BBED62C">
      <w:pPr>
        <w:shd w:val="clear"/>
        <w:spacing w:line="360" w:lineRule="auto"/>
        <w:rPr>
          <w:rFonts w:ascii="宋体" w:hAnsi="宋体"/>
          <w:color w:val="auto"/>
          <w:szCs w:val="21"/>
          <w:highlight w:val="none"/>
        </w:rPr>
      </w:pPr>
      <w:r>
        <w:rPr>
          <w:rFonts w:hint="eastAsia" w:ascii="宋体" w:hAnsi="宋体"/>
          <w:b/>
          <w:color w:val="auto"/>
          <w:szCs w:val="21"/>
          <w:highlight w:val="none"/>
        </w:rPr>
        <w:t>第十六条下列文件是本合同的组成部分，与本合同具有同等法律效力，如有与本合同不一致之处，以本合同为准。</w:t>
      </w:r>
    </w:p>
    <w:p w14:paraId="5C17BA2E">
      <w:pPr>
        <w:numPr>
          <w:ilvl w:val="0"/>
          <w:numId w:val="2"/>
        </w:numPr>
        <w:shd w:val="clear"/>
        <w:spacing w:line="360" w:lineRule="auto"/>
        <w:rPr>
          <w:rFonts w:ascii="宋体" w:hAnsi="宋体"/>
          <w:color w:val="auto"/>
          <w:szCs w:val="21"/>
          <w:highlight w:val="none"/>
        </w:rPr>
      </w:pPr>
      <w:r>
        <w:rPr>
          <w:rFonts w:hint="eastAsia" w:ascii="宋体" w:hAnsi="宋体"/>
          <w:color w:val="auto"/>
          <w:szCs w:val="21"/>
          <w:highlight w:val="none"/>
        </w:rPr>
        <w:t>甲方招标文件；</w:t>
      </w:r>
    </w:p>
    <w:p w14:paraId="7324225A">
      <w:pPr>
        <w:numPr>
          <w:ilvl w:val="0"/>
          <w:numId w:val="2"/>
        </w:numPr>
        <w:shd w:val="clear"/>
        <w:spacing w:line="360" w:lineRule="auto"/>
        <w:rPr>
          <w:rFonts w:ascii="宋体" w:hAnsi="宋体"/>
          <w:color w:val="auto"/>
          <w:szCs w:val="21"/>
          <w:highlight w:val="none"/>
        </w:rPr>
      </w:pPr>
      <w:r>
        <w:rPr>
          <w:rFonts w:hint="eastAsia" w:ascii="宋体" w:hAnsi="宋体"/>
          <w:color w:val="auto"/>
          <w:szCs w:val="21"/>
          <w:highlight w:val="none"/>
        </w:rPr>
        <w:t>乙方投标文件；</w:t>
      </w:r>
    </w:p>
    <w:p w14:paraId="66D918C6">
      <w:pPr>
        <w:numPr>
          <w:ilvl w:val="0"/>
          <w:numId w:val="2"/>
        </w:numPr>
        <w:shd w:val="clear"/>
        <w:spacing w:line="360" w:lineRule="auto"/>
        <w:rPr>
          <w:rFonts w:ascii="宋体" w:hAnsi="宋体"/>
          <w:color w:val="auto"/>
          <w:szCs w:val="21"/>
          <w:highlight w:val="none"/>
        </w:rPr>
      </w:pPr>
      <w:r>
        <w:rPr>
          <w:rFonts w:hint="eastAsia" w:ascii="宋体" w:hAnsi="宋体"/>
          <w:color w:val="auto"/>
          <w:szCs w:val="21"/>
          <w:highlight w:val="none"/>
        </w:rPr>
        <w:t>中标通知书；</w:t>
      </w:r>
    </w:p>
    <w:p w14:paraId="1E1A9643">
      <w:pPr>
        <w:numPr>
          <w:ilvl w:val="0"/>
          <w:numId w:val="2"/>
        </w:numPr>
        <w:shd w:val="clear"/>
        <w:spacing w:line="360" w:lineRule="auto"/>
        <w:rPr>
          <w:rFonts w:ascii="宋体" w:hAnsi="宋体"/>
          <w:color w:val="auto"/>
          <w:szCs w:val="21"/>
          <w:highlight w:val="none"/>
        </w:rPr>
      </w:pPr>
      <w:r>
        <w:rPr>
          <w:rFonts w:hint="eastAsia" w:ascii="宋体" w:hAnsi="宋体"/>
          <w:color w:val="auto"/>
          <w:szCs w:val="21"/>
          <w:highlight w:val="none"/>
        </w:rPr>
        <w:t>投标文件及澄清。</w:t>
      </w:r>
    </w:p>
    <w:p w14:paraId="72F65F0C">
      <w:pPr>
        <w:shd w:val="clear"/>
        <w:spacing w:line="360" w:lineRule="auto"/>
        <w:rPr>
          <w:rFonts w:ascii="宋体" w:hAnsi="宋体"/>
          <w:b/>
          <w:color w:val="auto"/>
          <w:szCs w:val="21"/>
          <w:highlight w:val="none"/>
        </w:rPr>
      </w:pPr>
      <w:r>
        <w:rPr>
          <w:rFonts w:hint="eastAsia" w:ascii="宋体" w:hAnsi="宋体"/>
          <w:b/>
          <w:color w:val="auto"/>
          <w:szCs w:val="21"/>
          <w:highlight w:val="none"/>
        </w:rPr>
        <w:t>第十八条本合同自三方签字盖章之日起生效，未尽事宜，由甲乙双方协商解决。</w:t>
      </w:r>
    </w:p>
    <w:p w14:paraId="3B55CE04">
      <w:pPr>
        <w:shd w:val="clear"/>
        <w:spacing w:line="360" w:lineRule="auto"/>
        <w:rPr>
          <w:rFonts w:ascii="宋体" w:hAnsi="宋体"/>
          <w:b/>
          <w:color w:val="auto"/>
          <w:szCs w:val="21"/>
          <w:highlight w:val="none"/>
        </w:rPr>
      </w:pPr>
      <w:r>
        <w:rPr>
          <w:rFonts w:hint="eastAsia" w:ascii="宋体" w:hAnsi="宋体"/>
          <w:b/>
          <w:color w:val="auto"/>
          <w:szCs w:val="21"/>
          <w:highlight w:val="none"/>
        </w:rPr>
        <w:t>第十九条本合同一式伍份，甲方叁份，乙方执壹份，丙方（鉴证方）执壹份，具有同等法律效力。</w:t>
      </w:r>
    </w:p>
    <w:p w14:paraId="1F410B56">
      <w:pPr>
        <w:shd w:val="clear"/>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（以下无正文）</w:t>
      </w:r>
    </w:p>
    <w:p w14:paraId="69F6913F">
      <w:pPr>
        <w:shd w:val="clear"/>
        <w:spacing w:line="276" w:lineRule="auto"/>
        <w:ind w:left="2" w:firstLine="2"/>
        <w:jc w:val="center"/>
        <w:rPr>
          <w:rFonts w:ascii="宋体" w:hAnsi="宋体"/>
          <w:b/>
          <w:color w:val="auto"/>
          <w:spacing w:val="-12"/>
          <w:sz w:val="28"/>
          <w:highlight w:val="none"/>
        </w:rPr>
      </w:pPr>
      <w:r>
        <w:rPr>
          <w:rFonts w:hint="eastAsia" w:ascii="宋体" w:hAnsi="宋体"/>
          <w:b/>
          <w:color w:val="auto"/>
          <w:szCs w:val="21"/>
          <w:highlight w:val="none"/>
        </w:rPr>
        <w:br w:type="page"/>
      </w:r>
    </w:p>
    <w:p w14:paraId="5231C7B0">
      <w:pPr>
        <w:shd w:val="clear"/>
        <w:spacing w:line="500" w:lineRule="exact"/>
        <w:jc w:val="center"/>
        <w:rPr>
          <w:rFonts w:ascii="宋体" w:hAnsi="宋体"/>
          <w:b/>
          <w:bCs/>
          <w:color w:val="auto"/>
          <w:highlight w:val="none"/>
        </w:rPr>
      </w:pPr>
    </w:p>
    <w:p w14:paraId="08B61ED0">
      <w:pPr>
        <w:shd w:val="clear"/>
        <w:spacing w:line="500" w:lineRule="exact"/>
        <w:jc w:val="center"/>
        <w:rPr>
          <w:rFonts w:ascii="宋体" w:hAnsi="宋体"/>
          <w:b/>
          <w:bCs/>
          <w:color w:val="auto"/>
          <w:highlight w:val="none"/>
        </w:rPr>
      </w:pPr>
    </w:p>
    <w:p w14:paraId="4B780E62">
      <w:pPr>
        <w:shd w:val="clear"/>
        <w:spacing w:line="500" w:lineRule="exact"/>
        <w:jc w:val="center"/>
        <w:rPr>
          <w:rFonts w:ascii="宋体" w:hAnsi="宋体"/>
          <w:b/>
          <w:bCs/>
          <w:color w:val="auto"/>
          <w:highlight w:val="none"/>
        </w:rPr>
      </w:pPr>
    </w:p>
    <w:p w14:paraId="6B5508DB">
      <w:pPr>
        <w:shd w:val="clear"/>
        <w:spacing w:line="500" w:lineRule="exact"/>
        <w:jc w:val="center"/>
        <w:rPr>
          <w:rFonts w:ascii="宋体" w:hAnsi="宋体"/>
          <w:b/>
          <w:bCs/>
          <w:color w:val="auto"/>
          <w:highlight w:val="none"/>
        </w:rPr>
      </w:pPr>
    </w:p>
    <w:p w14:paraId="1632A42E">
      <w:pPr>
        <w:shd w:val="clear"/>
        <w:spacing w:line="500" w:lineRule="exact"/>
        <w:jc w:val="center"/>
        <w:rPr>
          <w:rFonts w:ascii="宋体" w:hAnsi="宋体"/>
          <w:b/>
          <w:bCs/>
          <w:color w:val="auto"/>
          <w:highlight w:val="none"/>
        </w:rPr>
      </w:pPr>
    </w:p>
    <w:p w14:paraId="4575B1E7">
      <w:pPr>
        <w:shd w:val="clear"/>
        <w:spacing w:line="500" w:lineRule="exact"/>
        <w:jc w:val="center"/>
        <w:rPr>
          <w:rFonts w:ascii="宋体" w:hAnsi="宋体"/>
          <w:b/>
          <w:bCs/>
          <w:color w:val="auto"/>
          <w:highlight w:val="none"/>
        </w:rPr>
      </w:pPr>
    </w:p>
    <w:p w14:paraId="30BDB137">
      <w:pPr>
        <w:shd w:val="clear"/>
        <w:spacing w:line="500" w:lineRule="exact"/>
        <w:jc w:val="center"/>
        <w:rPr>
          <w:rFonts w:ascii="宋体" w:hAnsi="宋体"/>
          <w:b/>
          <w:bCs/>
          <w:color w:val="auto"/>
          <w:highlight w:val="none"/>
        </w:rPr>
      </w:pPr>
    </w:p>
    <w:p w14:paraId="62072F24">
      <w:pPr>
        <w:shd w:val="clear"/>
        <w:spacing w:line="500" w:lineRule="exact"/>
        <w:jc w:val="center"/>
        <w:rPr>
          <w:rFonts w:ascii="宋体" w:hAnsi="宋体"/>
          <w:b/>
          <w:bCs/>
          <w:color w:val="auto"/>
          <w:highlight w:val="none"/>
        </w:rPr>
      </w:pPr>
    </w:p>
    <w:p w14:paraId="0720435B">
      <w:pPr>
        <w:shd w:val="clear"/>
        <w:rPr>
          <w:rFonts w:ascii="宋体" w:hAnsi="宋体"/>
          <w:color w:val="auto"/>
          <w:kern w:val="0"/>
          <w:szCs w:val="21"/>
          <w:highlight w:val="none"/>
        </w:rPr>
      </w:pPr>
    </w:p>
    <w:bookmarkEnd w:id="248"/>
    <w:p w14:paraId="75AAE588">
      <w:pPr>
        <w:pStyle w:val="88"/>
        <w:shd w:val="clear"/>
        <w:rPr>
          <w:color w:val="auto"/>
          <w:szCs w:val="21"/>
          <w:highlight w:val="none"/>
        </w:rPr>
      </w:pPr>
      <w:bookmarkStart w:id="252" w:name="_Toc450064597"/>
      <w:bookmarkEnd w:id="252"/>
      <w:bookmarkStart w:id="253" w:name="_Toc389644548"/>
      <w:bookmarkEnd w:id="253"/>
      <w:bookmarkStart w:id="254" w:name="_Toc30968"/>
      <w:bookmarkStart w:id="255" w:name="_Toc158046566"/>
      <w:r>
        <w:rPr>
          <w:rFonts w:hint="eastAsia"/>
          <w:color w:val="auto"/>
          <w:sz w:val="40"/>
          <w:highlight w:val="none"/>
        </w:rPr>
        <w:t xml:space="preserve">第五章 </w:t>
      </w:r>
      <w:r>
        <w:rPr>
          <w:color w:val="auto"/>
          <w:sz w:val="40"/>
          <w:highlight w:val="none"/>
        </w:rPr>
        <w:t xml:space="preserve"> </w:t>
      </w:r>
      <w:r>
        <w:rPr>
          <w:rFonts w:hint="eastAsia"/>
          <w:color w:val="auto"/>
          <w:sz w:val="40"/>
          <w:highlight w:val="none"/>
        </w:rPr>
        <w:t>采购需求</w:t>
      </w:r>
      <w:bookmarkEnd w:id="254"/>
      <w:bookmarkEnd w:id="255"/>
    </w:p>
    <w:p w14:paraId="17CAA322">
      <w:pPr>
        <w:shd w:val="clear"/>
        <w:spacing w:line="360" w:lineRule="auto"/>
        <w:jc w:val="center"/>
        <w:rPr>
          <w:rFonts w:ascii="宋体" w:hAnsi="宋体" w:cs="宋体"/>
          <w:bCs/>
          <w:color w:val="auto"/>
          <w:szCs w:val="21"/>
          <w:highlight w:val="none"/>
        </w:rPr>
      </w:pPr>
      <w:bookmarkStart w:id="256" w:name="_Toc78603129"/>
      <w:bookmarkStart w:id="257" w:name="_Toc29357077"/>
      <w:r>
        <w:rPr>
          <w:rFonts w:ascii="宋体" w:hAnsi="宋体"/>
          <w:color w:val="auto"/>
          <w:sz w:val="24"/>
          <w:highlight w:val="none"/>
        </w:rPr>
        <w:br w:type="page"/>
      </w:r>
    </w:p>
    <w:p w14:paraId="125801A1">
      <w:pPr>
        <w:widowControl/>
        <w:shd w:val="clear"/>
        <w:jc w:val="center"/>
        <w:rPr>
          <w:rFonts w:ascii="仿宋" w:hAnsi="仿宋" w:eastAsia="仿宋" w:cs="宋体"/>
          <w:b/>
          <w:bCs/>
          <w:color w:val="auto"/>
          <w:sz w:val="36"/>
          <w:szCs w:val="36"/>
          <w:highlight w:val="none"/>
        </w:rPr>
      </w:pPr>
      <w:r>
        <w:rPr>
          <w:rFonts w:hint="eastAsia" w:ascii="宋体" w:hAnsi="宋体" w:cs="宋体"/>
          <w:b/>
          <w:bCs/>
          <w:color w:val="auto"/>
          <w:sz w:val="28"/>
          <w:szCs w:val="40"/>
          <w:highlight w:val="none"/>
        </w:rPr>
        <w:t>一、货物需求一览表</w:t>
      </w:r>
    </w:p>
    <w:tbl>
      <w:tblPr>
        <w:tblStyle w:val="26"/>
        <w:tblW w:w="4856" w:type="pct"/>
        <w:jc w:val="center"/>
        <w:tblLayout w:type="autofit"/>
        <w:tblCellMar>
          <w:top w:w="0" w:type="dxa"/>
          <w:left w:w="108" w:type="dxa"/>
          <w:bottom w:w="0" w:type="dxa"/>
          <w:right w:w="108" w:type="dxa"/>
        </w:tblCellMar>
      </w:tblPr>
      <w:tblGrid>
        <w:gridCol w:w="545"/>
        <w:gridCol w:w="910"/>
        <w:gridCol w:w="975"/>
        <w:gridCol w:w="2576"/>
        <w:gridCol w:w="724"/>
        <w:gridCol w:w="751"/>
        <w:gridCol w:w="1155"/>
        <w:gridCol w:w="1385"/>
      </w:tblGrid>
      <w:tr w14:paraId="62199F3E">
        <w:tblPrEx>
          <w:tblCellMar>
            <w:top w:w="0" w:type="dxa"/>
            <w:left w:w="108" w:type="dxa"/>
            <w:bottom w:w="0" w:type="dxa"/>
            <w:right w:w="108" w:type="dxa"/>
          </w:tblCellMar>
        </w:tblPrEx>
        <w:trPr>
          <w:trHeight w:val="66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15717A26">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2AC2C9D6">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标段</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5FDF33B">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是否接受进口</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44AAB569">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采购内容</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DB85E22">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数量</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2C279E11">
            <w:pPr>
              <w:shd w:val="clear"/>
              <w:jc w:val="center"/>
              <w:rPr>
                <w:rFonts w:ascii="宋体" w:hAnsi="宋体" w:cs="宋体"/>
                <w:b/>
                <w:bCs/>
                <w:color w:val="auto"/>
                <w:szCs w:val="21"/>
                <w:highlight w:val="none"/>
              </w:rPr>
            </w:pPr>
            <w:r>
              <w:rPr>
                <w:rFonts w:hint="eastAsia" w:ascii="宋体" w:hAnsi="宋体" w:cs="宋体"/>
                <w:b/>
                <w:bCs/>
                <w:color w:val="auto"/>
                <w:szCs w:val="21"/>
                <w:highlight w:val="none"/>
              </w:rPr>
              <w:t>计量单位</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64A87458">
            <w:pPr>
              <w:widowControl/>
              <w:shd w:val="clear"/>
              <w:jc w:val="center"/>
              <w:rPr>
                <w:rFonts w:ascii="宋体" w:hAnsi="宋体" w:cs="宋体"/>
                <w:b/>
                <w:bCs/>
                <w:color w:val="auto"/>
                <w:szCs w:val="21"/>
                <w:highlight w:val="none"/>
              </w:rPr>
            </w:pPr>
            <w:r>
              <w:rPr>
                <w:rFonts w:hint="eastAsia" w:ascii="宋体" w:hAnsi="宋体" w:cs="宋体"/>
                <w:b/>
                <w:bCs/>
                <w:color w:val="auto"/>
                <w:kern w:val="0"/>
                <w:szCs w:val="21"/>
                <w:highlight w:val="none"/>
              </w:rPr>
              <w:t>是否属于核心产品</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4E1A629A">
            <w:pPr>
              <w:widowControl/>
              <w:shd w:val="clear"/>
              <w:jc w:val="center"/>
              <w:rPr>
                <w:rFonts w:ascii="宋体" w:hAnsi="宋体" w:cs="宋体"/>
                <w:b/>
                <w:bCs/>
                <w:color w:val="auto"/>
                <w:szCs w:val="21"/>
                <w:highlight w:val="none"/>
              </w:rPr>
            </w:pPr>
            <w:r>
              <w:rPr>
                <w:rFonts w:hint="eastAsia" w:ascii="宋体" w:hAnsi="宋体" w:cs="宋体"/>
                <w:b/>
                <w:bCs/>
                <w:color w:val="auto"/>
                <w:kern w:val="0"/>
                <w:szCs w:val="21"/>
                <w:highlight w:val="none"/>
              </w:rPr>
              <w:t>中小企业划分标准所属行业</w:t>
            </w:r>
          </w:p>
        </w:tc>
      </w:tr>
      <w:tr w14:paraId="23144A19">
        <w:tblPrEx>
          <w:tblCellMar>
            <w:top w:w="0" w:type="dxa"/>
            <w:left w:w="108" w:type="dxa"/>
            <w:bottom w:w="0" w:type="dxa"/>
            <w:right w:w="108" w:type="dxa"/>
          </w:tblCellMar>
        </w:tblPrEx>
        <w:trPr>
          <w:trHeight w:val="66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1D69BF72">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22E80A6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1767275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73BD862D">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显微镜(带摄像头）</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86FFE2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3</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5C3927C0">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21CC2E5E">
            <w:pPr>
              <w:widowControl/>
              <w:shd w:val="clear"/>
              <w:jc w:val="center"/>
              <w:textAlignment w:val="center"/>
              <w:rPr>
                <w:rFonts w:ascii="宋体" w:hAnsi="宋体" w:cs="宋体"/>
                <w:b/>
                <w:bCs/>
                <w:color w:val="auto"/>
                <w:szCs w:val="21"/>
                <w:highlight w:val="none"/>
              </w:rPr>
            </w:pPr>
            <w:r>
              <w:rPr>
                <w:rFonts w:hint="eastAsia"/>
                <w:color w:val="auto"/>
                <w:szCs w:val="21"/>
                <w:highlight w:val="none"/>
              </w:rPr>
              <w:t>是</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353D8343">
            <w:pPr>
              <w:widowControl/>
              <w:shd w:val="clear"/>
              <w:jc w:val="center"/>
              <w:textAlignment w:val="center"/>
              <w:rPr>
                <w:color w:val="auto"/>
                <w:szCs w:val="21"/>
                <w:highlight w:val="none"/>
              </w:rPr>
            </w:pPr>
            <w:r>
              <w:rPr>
                <w:rFonts w:hint="eastAsia"/>
                <w:color w:val="auto"/>
                <w:szCs w:val="21"/>
                <w:highlight w:val="none"/>
              </w:rPr>
              <w:t>工业</w:t>
            </w:r>
          </w:p>
        </w:tc>
      </w:tr>
      <w:tr w14:paraId="176828C5">
        <w:tblPrEx>
          <w:tblCellMar>
            <w:top w:w="0" w:type="dxa"/>
            <w:left w:w="108" w:type="dxa"/>
            <w:bottom w:w="0" w:type="dxa"/>
            <w:right w:w="108" w:type="dxa"/>
          </w:tblCellMar>
        </w:tblPrEx>
        <w:trPr>
          <w:trHeight w:val="650"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3B41835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6B8785C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2AC648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760D346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智能生物自动脱水机</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286788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1</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580325DE">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7B4C69FA">
            <w:pPr>
              <w:widowControl/>
              <w:shd w:val="clear"/>
              <w:jc w:val="center"/>
              <w:textAlignment w:val="center"/>
              <w:rPr>
                <w:rFonts w:ascii="宋体" w:hAnsi="宋体" w:cs="宋体"/>
                <w:b/>
                <w:bCs/>
                <w:color w:val="auto"/>
                <w:szCs w:val="21"/>
                <w:highlight w:val="none"/>
              </w:rPr>
            </w:pPr>
            <w:r>
              <w:rPr>
                <w:rFonts w:hint="eastAsia"/>
                <w:color w:val="auto"/>
                <w:szCs w:val="21"/>
                <w:highlight w:val="none"/>
              </w:rPr>
              <w:t>否</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3F3AB7ED">
            <w:pPr>
              <w:widowControl/>
              <w:shd w:val="clear"/>
              <w:jc w:val="center"/>
              <w:textAlignment w:val="center"/>
              <w:rPr>
                <w:color w:val="auto"/>
                <w:szCs w:val="21"/>
                <w:highlight w:val="none"/>
              </w:rPr>
            </w:pPr>
            <w:r>
              <w:rPr>
                <w:rFonts w:hint="eastAsia"/>
                <w:color w:val="auto"/>
                <w:szCs w:val="21"/>
                <w:highlight w:val="none"/>
              </w:rPr>
              <w:t>工业</w:t>
            </w:r>
          </w:p>
        </w:tc>
      </w:tr>
      <w:tr w14:paraId="7B344AFD">
        <w:tblPrEx>
          <w:tblCellMar>
            <w:top w:w="0" w:type="dxa"/>
            <w:left w:w="108" w:type="dxa"/>
            <w:bottom w:w="0" w:type="dxa"/>
            <w:right w:w="108" w:type="dxa"/>
          </w:tblCellMar>
        </w:tblPrEx>
        <w:trPr>
          <w:trHeight w:val="41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050DBEA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4DB48BB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5AF6A79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2022884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耳内镜</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1A40BA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2</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26E6A989">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4371C407">
            <w:pPr>
              <w:widowControl/>
              <w:shd w:val="clear"/>
              <w:jc w:val="center"/>
              <w:textAlignment w:val="center"/>
              <w:rPr>
                <w:rFonts w:ascii="宋体" w:hAnsi="宋体" w:cs="宋体"/>
                <w:b/>
                <w:bCs/>
                <w:color w:val="auto"/>
                <w:szCs w:val="21"/>
                <w:highlight w:val="none"/>
              </w:rPr>
            </w:pPr>
            <w:r>
              <w:rPr>
                <w:rFonts w:hint="eastAsia"/>
                <w:color w:val="auto"/>
                <w:szCs w:val="21"/>
                <w:highlight w:val="none"/>
              </w:rPr>
              <w:t>否</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5157B954">
            <w:pPr>
              <w:widowControl/>
              <w:shd w:val="clear"/>
              <w:jc w:val="center"/>
              <w:textAlignment w:val="center"/>
              <w:rPr>
                <w:color w:val="auto"/>
                <w:szCs w:val="21"/>
                <w:highlight w:val="none"/>
              </w:rPr>
            </w:pPr>
            <w:r>
              <w:rPr>
                <w:rFonts w:hint="eastAsia"/>
                <w:color w:val="auto"/>
                <w:szCs w:val="21"/>
                <w:highlight w:val="none"/>
              </w:rPr>
              <w:t>工业</w:t>
            </w:r>
          </w:p>
        </w:tc>
      </w:tr>
      <w:tr w14:paraId="04C561E4">
        <w:tblPrEx>
          <w:tblCellMar>
            <w:top w:w="0" w:type="dxa"/>
            <w:left w:w="108" w:type="dxa"/>
            <w:bottom w:w="0" w:type="dxa"/>
            <w:right w:w="108" w:type="dxa"/>
          </w:tblCellMar>
        </w:tblPrEx>
        <w:trPr>
          <w:trHeight w:val="520"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3C2942C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1F2D8C4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38AAADE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5A59A05D">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鼻窦镜</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EA76A4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2</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589751EE">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724E2C60">
            <w:pPr>
              <w:widowControl/>
              <w:shd w:val="clear"/>
              <w:jc w:val="center"/>
              <w:textAlignment w:val="center"/>
              <w:rPr>
                <w:rFonts w:ascii="宋体" w:hAnsi="宋体" w:cs="宋体"/>
                <w:b/>
                <w:bCs/>
                <w:color w:val="auto"/>
                <w:szCs w:val="21"/>
                <w:highlight w:val="none"/>
              </w:rPr>
            </w:pPr>
            <w:r>
              <w:rPr>
                <w:rFonts w:hint="eastAsia"/>
                <w:color w:val="auto"/>
                <w:szCs w:val="21"/>
                <w:highlight w:val="none"/>
              </w:rPr>
              <w:t>否</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50078B94">
            <w:pPr>
              <w:widowControl/>
              <w:shd w:val="clear"/>
              <w:jc w:val="center"/>
              <w:textAlignment w:val="center"/>
              <w:rPr>
                <w:color w:val="auto"/>
                <w:szCs w:val="21"/>
                <w:highlight w:val="none"/>
              </w:rPr>
            </w:pPr>
            <w:r>
              <w:rPr>
                <w:rFonts w:hint="eastAsia"/>
                <w:color w:val="auto"/>
                <w:szCs w:val="21"/>
                <w:highlight w:val="none"/>
              </w:rPr>
              <w:t>工业</w:t>
            </w:r>
          </w:p>
        </w:tc>
      </w:tr>
      <w:tr w14:paraId="33B65210">
        <w:tblPrEx>
          <w:tblCellMar>
            <w:top w:w="0" w:type="dxa"/>
            <w:left w:w="108" w:type="dxa"/>
            <w:bottom w:w="0" w:type="dxa"/>
            <w:right w:w="108" w:type="dxa"/>
          </w:tblCellMar>
        </w:tblPrEx>
        <w:trPr>
          <w:trHeight w:val="490"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511AEFE5">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4206777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304EC2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725750C9">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回弹式眼压计</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F59C85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1</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150E9D37">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2BC580E1">
            <w:pPr>
              <w:widowControl/>
              <w:shd w:val="clear"/>
              <w:jc w:val="center"/>
              <w:textAlignment w:val="center"/>
              <w:rPr>
                <w:rFonts w:ascii="宋体" w:hAnsi="宋体" w:cs="宋体"/>
                <w:b/>
                <w:bCs/>
                <w:color w:val="auto"/>
                <w:szCs w:val="21"/>
                <w:highlight w:val="none"/>
              </w:rPr>
            </w:pPr>
            <w:r>
              <w:rPr>
                <w:rFonts w:hint="eastAsia"/>
                <w:color w:val="auto"/>
                <w:szCs w:val="21"/>
                <w:highlight w:val="none"/>
              </w:rPr>
              <w:t>否</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44C7B046">
            <w:pPr>
              <w:widowControl/>
              <w:shd w:val="clear"/>
              <w:jc w:val="center"/>
              <w:textAlignment w:val="center"/>
              <w:rPr>
                <w:color w:val="auto"/>
                <w:szCs w:val="21"/>
                <w:highlight w:val="none"/>
              </w:rPr>
            </w:pPr>
            <w:r>
              <w:rPr>
                <w:rFonts w:hint="eastAsia"/>
                <w:color w:val="auto"/>
                <w:szCs w:val="21"/>
                <w:highlight w:val="none"/>
              </w:rPr>
              <w:t>工业</w:t>
            </w:r>
          </w:p>
        </w:tc>
      </w:tr>
      <w:tr w14:paraId="53018844">
        <w:tblPrEx>
          <w:tblCellMar>
            <w:top w:w="0" w:type="dxa"/>
            <w:left w:w="108" w:type="dxa"/>
            <w:bottom w:w="0" w:type="dxa"/>
            <w:right w:w="108" w:type="dxa"/>
          </w:tblCellMar>
        </w:tblPrEx>
        <w:trPr>
          <w:trHeight w:val="53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1C9AE3B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2564C69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20B384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1BA158C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喉镜</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7292E5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2</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3E002778">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29AC6976">
            <w:pPr>
              <w:widowControl/>
              <w:shd w:val="clear"/>
              <w:jc w:val="center"/>
              <w:textAlignment w:val="center"/>
              <w:rPr>
                <w:rFonts w:ascii="宋体" w:hAnsi="宋体" w:cs="宋体"/>
                <w:b/>
                <w:bCs/>
                <w:color w:val="auto"/>
                <w:szCs w:val="21"/>
                <w:highlight w:val="none"/>
              </w:rPr>
            </w:pPr>
            <w:r>
              <w:rPr>
                <w:rFonts w:hint="eastAsia"/>
                <w:color w:val="auto"/>
                <w:szCs w:val="21"/>
                <w:highlight w:val="none"/>
              </w:rPr>
              <w:t>否</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21600F74">
            <w:pPr>
              <w:widowControl/>
              <w:shd w:val="clear"/>
              <w:jc w:val="center"/>
              <w:textAlignment w:val="center"/>
              <w:rPr>
                <w:color w:val="auto"/>
                <w:szCs w:val="21"/>
                <w:highlight w:val="none"/>
              </w:rPr>
            </w:pPr>
            <w:r>
              <w:rPr>
                <w:rFonts w:hint="eastAsia"/>
                <w:color w:val="auto"/>
                <w:szCs w:val="21"/>
                <w:highlight w:val="none"/>
              </w:rPr>
              <w:t>工业</w:t>
            </w:r>
          </w:p>
        </w:tc>
      </w:tr>
      <w:tr w14:paraId="718F0993">
        <w:tblPrEx>
          <w:tblCellMar>
            <w:top w:w="0" w:type="dxa"/>
            <w:left w:w="108" w:type="dxa"/>
            <w:bottom w:w="0" w:type="dxa"/>
            <w:right w:w="108" w:type="dxa"/>
          </w:tblCellMar>
        </w:tblPrEx>
        <w:trPr>
          <w:trHeight w:val="66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47C6CDB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7</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3638D82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7A55730">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27B4E21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鼻窦负压置换仪</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136715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1</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7ABD46CD">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668BC399">
            <w:pPr>
              <w:widowControl/>
              <w:shd w:val="clear"/>
              <w:jc w:val="center"/>
              <w:textAlignment w:val="center"/>
              <w:rPr>
                <w:rFonts w:ascii="宋体" w:hAnsi="宋体" w:cs="宋体"/>
                <w:b/>
                <w:bCs/>
                <w:color w:val="auto"/>
                <w:szCs w:val="21"/>
                <w:highlight w:val="none"/>
              </w:rPr>
            </w:pPr>
            <w:r>
              <w:rPr>
                <w:rFonts w:hint="eastAsia"/>
                <w:color w:val="auto"/>
                <w:szCs w:val="21"/>
                <w:highlight w:val="none"/>
              </w:rPr>
              <w:t>是</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731EFC09">
            <w:pPr>
              <w:widowControl/>
              <w:shd w:val="clear"/>
              <w:jc w:val="center"/>
              <w:textAlignment w:val="center"/>
              <w:rPr>
                <w:color w:val="auto"/>
                <w:szCs w:val="21"/>
                <w:highlight w:val="none"/>
              </w:rPr>
            </w:pPr>
            <w:r>
              <w:rPr>
                <w:rFonts w:hint="eastAsia"/>
                <w:color w:val="auto"/>
                <w:szCs w:val="21"/>
                <w:highlight w:val="none"/>
              </w:rPr>
              <w:t>工业</w:t>
            </w:r>
          </w:p>
        </w:tc>
      </w:tr>
      <w:tr w14:paraId="21E22850">
        <w:tblPrEx>
          <w:tblCellMar>
            <w:top w:w="0" w:type="dxa"/>
            <w:left w:w="108" w:type="dxa"/>
            <w:bottom w:w="0" w:type="dxa"/>
            <w:right w:w="108" w:type="dxa"/>
          </w:tblCellMar>
        </w:tblPrEx>
        <w:trPr>
          <w:trHeight w:val="66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1E7FEFE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8</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11BD1F7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889832D">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7FAF092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鼻窦镜图文报告系统</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AAAE03E">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1</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789D3CF4">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5C3D98C0">
            <w:pPr>
              <w:widowControl/>
              <w:shd w:val="clear"/>
              <w:jc w:val="center"/>
              <w:textAlignment w:val="center"/>
              <w:rPr>
                <w:rFonts w:ascii="宋体" w:hAnsi="宋体" w:cs="宋体"/>
                <w:b/>
                <w:bCs/>
                <w:color w:val="auto"/>
                <w:szCs w:val="21"/>
                <w:highlight w:val="none"/>
              </w:rPr>
            </w:pPr>
            <w:r>
              <w:rPr>
                <w:rFonts w:hint="eastAsia"/>
                <w:color w:val="auto"/>
                <w:szCs w:val="21"/>
                <w:highlight w:val="none"/>
              </w:rPr>
              <w:t>否</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067601AE">
            <w:pPr>
              <w:widowControl/>
              <w:shd w:val="clear"/>
              <w:jc w:val="center"/>
              <w:textAlignment w:val="center"/>
              <w:rPr>
                <w:color w:val="auto"/>
                <w:szCs w:val="21"/>
                <w:highlight w:val="none"/>
              </w:rPr>
            </w:pPr>
            <w:r>
              <w:rPr>
                <w:rFonts w:hint="eastAsia"/>
                <w:color w:val="auto"/>
                <w:szCs w:val="21"/>
                <w:highlight w:val="none"/>
              </w:rPr>
              <w:t>工业</w:t>
            </w:r>
          </w:p>
        </w:tc>
      </w:tr>
      <w:tr w14:paraId="22AD408B">
        <w:tblPrEx>
          <w:tblCellMar>
            <w:top w:w="0" w:type="dxa"/>
            <w:left w:w="108" w:type="dxa"/>
            <w:bottom w:w="0" w:type="dxa"/>
            <w:right w:w="108" w:type="dxa"/>
          </w:tblCellMar>
        </w:tblPrEx>
        <w:trPr>
          <w:trHeight w:val="66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4281223B">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9</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647E062C">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7B6A6E7">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2FF1E82F">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鼻、颅底内镜手术器械套件</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1880DE3">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1</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41BDD5CE">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49D9FCD3">
            <w:pPr>
              <w:widowControl/>
              <w:shd w:val="clear"/>
              <w:jc w:val="center"/>
              <w:textAlignment w:val="center"/>
              <w:rPr>
                <w:rFonts w:ascii="宋体" w:hAnsi="宋体" w:cs="宋体"/>
                <w:b/>
                <w:bCs/>
                <w:color w:val="auto"/>
                <w:szCs w:val="21"/>
                <w:highlight w:val="none"/>
              </w:rPr>
            </w:pPr>
            <w:r>
              <w:rPr>
                <w:rFonts w:hint="eastAsia"/>
                <w:color w:val="auto"/>
                <w:szCs w:val="21"/>
                <w:highlight w:val="none"/>
              </w:rPr>
              <w:t>否</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008447E6">
            <w:pPr>
              <w:widowControl/>
              <w:shd w:val="clear"/>
              <w:jc w:val="center"/>
              <w:textAlignment w:val="center"/>
              <w:rPr>
                <w:color w:val="auto"/>
                <w:szCs w:val="21"/>
                <w:highlight w:val="none"/>
              </w:rPr>
            </w:pPr>
            <w:r>
              <w:rPr>
                <w:rFonts w:hint="eastAsia"/>
                <w:color w:val="auto"/>
                <w:szCs w:val="21"/>
                <w:highlight w:val="none"/>
              </w:rPr>
              <w:t>工业</w:t>
            </w:r>
          </w:p>
        </w:tc>
      </w:tr>
      <w:tr w14:paraId="1514C6B0">
        <w:tblPrEx>
          <w:tblCellMar>
            <w:top w:w="0" w:type="dxa"/>
            <w:left w:w="108" w:type="dxa"/>
            <w:bottom w:w="0" w:type="dxa"/>
            <w:right w:w="108" w:type="dxa"/>
          </w:tblCellMar>
        </w:tblPrEx>
        <w:trPr>
          <w:trHeight w:val="665" w:hRule="atLeast"/>
          <w:jc w:val="center"/>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359FFBF6">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10</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14:paraId="226372F4">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D422281">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c>
          <w:tcPr>
            <w:tcW w:w="1427" w:type="pct"/>
            <w:tcBorders>
              <w:top w:val="single" w:color="auto" w:sz="4" w:space="0"/>
              <w:left w:val="single" w:color="auto" w:sz="4" w:space="0"/>
              <w:bottom w:val="single" w:color="auto" w:sz="4" w:space="0"/>
              <w:right w:val="single" w:color="auto" w:sz="4" w:space="0"/>
            </w:tcBorders>
            <w:shd w:val="clear" w:color="auto" w:fill="auto"/>
            <w:vAlign w:val="center"/>
          </w:tcPr>
          <w:p w14:paraId="10BC8A8A">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Cs w:val="21"/>
                <w:highlight w:val="none"/>
                <w:lang w:bidi="ar"/>
              </w:rPr>
              <w:t>脉冲磁场刺激仪</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33595AE8">
            <w:pPr>
              <w:widowControl/>
              <w:shd w:val="clear"/>
              <w:jc w:val="center"/>
              <w:textAlignment w:val="center"/>
              <w:rPr>
                <w:rFonts w:ascii="宋体" w:hAnsi="宋体" w:cs="宋体"/>
                <w:color w:val="auto"/>
                <w:kern w:val="0"/>
                <w:szCs w:val="21"/>
                <w:highlight w:val="none"/>
                <w:lang w:bidi="ar"/>
              </w:rPr>
            </w:pPr>
            <w:r>
              <w:rPr>
                <w:rFonts w:hint="eastAsia" w:ascii="宋体" w:hAnsi="宋体" w:cs="宋体"/>
                <w:color w:val="auto"/>
                <w:kern w:val="0"/>
                <w:sz w:val="22"/>
                <w:szCs w:val="22"/>
                <w:highlight w:val="none"/>
                <w:lang w:bidi="ar"/>
              </w:rPr>
              <w:t>1</w:t>
            </w:r>
          </w:p>
        </w:tc>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14:paraId="4AD06902">
            <w:pPr>
              <w:widowControl/>
              <w:shd w:val="clear"/>
              <w:jc w:val="center"/>
              <w:textAlignment w:val="center"/>
              <w:rPr>
                <w:rFonts w:ascii="宋体" w:hAnsi="宋体" w:cs="宋体"/>
                <w:color w:val="auto"/>
                <w:kern w:val="0"/>
                <w:szCs w:val="21"/>
                <w:highlight w:val="none"/>
                <w:lang w:bidi="ar"/>
              </w:rPr>
            </w:pPr>
            <w:r>
              <w:rPr>
                <w:rFonts w:ascii="宋体" w:hAnsi="宋体" w:cs="宋体"/>
                <w:color w:val="auto"/>
                <w:kern w:val="0"/>
                <w:szCs w:val="21"/>
                <w:highlight w:val="none"/>
                <w:lang w:bidi="ar"/>
              </w:rPr>
              <w:t>台</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523F44F0">
            <w:pPr>
              <w:widowControl/>
              <w:shd w:val="clear"/>
              <w:jc w:val="center"/>
              <w:textAlignment w:val="center"/>
              <w:rPr>
                <w:rFonts w:ascii="宋体" w:hAnsi="宋体" w:cs="宋体"/>
                <w:b/>
                <w:bCs/>
                <w:color w:val="auto"/>
                <w:szCs w:val="21"/>
                <w:highlight w:val="none"/>
              </w:rPr>
            </w:pPr>
            <w:r>
              <w:rPr>
                <w:rFonts w:hint="eastAsia"/>
                <w:color w:val="auto"/>
                <w:szCs w:val="21"/>
                <w:highlight w:val="none"/>
              </w:rPr>
              <w:t>是</w:t>
            </w:r>
          </w:p>
        </w:tc>
        <w:tc>
          <w:tcPr>
            <w:tcW w:w="767" w:type="pct"/>
            <w:tcBorders>
              <w:top w:val="single" w:color="auto" w:sz="4" w:space="0"/>
              <w:left w:val="single" w:color="auto" w:sz="4" w:space="0"/>
              <w:bottom w:val="single" w:color="auto" w:sz="4" w:space="0"/>
              <w:right w:val="single" w:color="auto" w:sz="4" w:space="0"/>
            </w:tcBorders>
            <w:shd w:val="clear" w:color="auto" w:fill="auto"/>
            <w:vAlign w:val="center"/>
          </w:tcPr>
          <w:p w14:paraId="1EA4EA10">
            <w:pPr>
              <w:widowControl/>
              <w:shd w:val="clear"/>
              <w:jc w:val="center"/>
              <w:textAlignment w:val="center"/>
              <w:rPr>
                <w:color w:val="auto"/>
                <w:szCs w:val="21"/>
                <w:highlight w:val="none"/>
              </w:rPr>
            </w:pPr>
            <w:r>
              <w:rPr>
                <w:rFonts w:hint="eastAsia"/>
                <w:color w:val="auto"/>
                <w:szCs w:val="21"/>
                <w:highlight w:val="none"/>
              </w:rPr>
              <w:t>工业</w:t>
            </w:r>
          </w:p>
        </w:tc>
      </w:tr>
    </w:tbl>
    <w:p w14:paraId="3769CC76">
      <w:pPr>
        <w:shd w:val="clear"/>
        <w:rPr>
          <w:rFonts w:ascii="宋体" w:hAnsi="宋体" w:cs="宋体"/>
          <w:b/>
          <w:color w:val="auto"/>
          <w:szCs w:val="21"/>
          <w:highlight w:val="none"/>
        </w:rPr>
      </w:pPr>
      <w:r>
        <w:rPr>
          <w:rFonts w:hint="eastAsia" w:ascii="宋体" w:hAnsi="宋体" w:cs="宋体"/>
          <w:b/>
          <w:color w:val="auto"/>
          <w:szCs w:val="21"/>
          <w:highlight w:val="none"/>
        </w:rPr>
        <w:t>★注：</w:t>
      </w:r>
    </w:p>
    <w:p w14:paraId="1B820AEB">
      <w:pPr>
        <w:shd w:val="clear"/>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 xml:space="preserve">    1、本项目明确的所属行业为“</w:t>
      </w:r>
      <w:r>
        <w:rPr>
          <w:rFonts w:hint="eastAsia" w:ascii="宋体" w:hAnsi="宋体" w:cs="宋体"/>
          <w:b/>
          <w:bCs/>
          <w:color w:val="auto"/>
          <w:kern w:val="0"/>
          <w:sz w:val="22"/>
          <w:szCs w:val="20"/>
          <w:highlight w:val="none"/>
        </w:rPr>
        <w:t>工业</w:t>
      </w:r>
      <w:r>
        <w:rPr>
          <w:rFonts w:hint="eastAsia" w:ascii="宋体" w:hAnsi="宋体" w:cs="宋体"/>
          <w:b/>
          <w:color w:val="auto"/>
          <w:szCs w:val="21"/>
          <w:highlight w:val="none"/>
        </w:rPr>
        <w:t>”。</w:t>
      </w:r>
    </w:p>
    <w:p w14:paraId="729FE677">
      <w:pPr>
        <w:shd w:val="clear"/>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2、投标人须对所投标段内的所有项目内容进行整体投标报价，不得缺项漏项，否则按不实质性响应招标文件要求处理。</w:t>
      </w:r>
    </w:p>
    <w:p w14:paraId="1A58E114">
      <w:pPr>
        <w:shd w:val="clear"/>
        <w:spacing w:line="360" w:lineRule="auto"/>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3、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商务部分得分高优先的顺序确定；所有得分均相等的，技术指标高优先、质保期长优先、交货时间短优先、故障到达时间短优先的顺序确定一个投标人获得中标人推荐资格，其他同品牌投标人不作为中标候选人。</w:t>
      </w:r>
    </w:p>
    <w:p w14:paraId="5F479458">
      <w:pPr>
        <w:shd w:val="clear"/>
        <w:spacing w:line="360" w:lineRule="auto"/>
        <w:ind w:firstLine="422" w:firstLineChars="200"/>
        <w:jc w:val="left"/>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4、本章货物需求中以“★”标注的部分为实质性要求和条件，投标人必须作出满足或者优于原要求和条件的承诺，否则投标无效。以“▲”标注的参数部分为重要参数。</w:t>
      </w:r>
    </w:p>
    <w:p w14:paraId="34B5FFDF">
      <w:pPr>
        <w:widowControl/>
        <w:shd w:val="clear"/>
        <w:jc w:val="left"/>
        <w:rPr>
          <w:rFonts w:ascii="仿宋" w:hAnsi="仿宋" w:eastAsia="仿宋" w:cs="宋体"/>
          <w:b/>
          <w:bCs/>
          <w:color w:val="auto"/>
          <w:sz w:val="24"/>
          <w:highlight w:val="none"/>
        </w:rPr>
        <w:sectPr>
          <w:headerReference r:id="rId7" w:type="default"/>
          <w:footerReference r:id="rId8" w:type="default"/>
          <w:pgSz w:w="11906" w:h="16838"/>
          <w:pgMar w:top="1418" w:right="1274" w:bottom="1560" w:left="1560" w:header="907" w:footer="901" w:gutter="0"/>
          <w:pgNumType w:start="1"/>
          <w:cols w:space="720" w:num="1"/>
          <w:docGrid w:linePitch="312" w:charSpace="0"/>
        </w:sectPr>
      </w:pPr>
    </w:p>
    <w:p w14:paraId="71FD7F3D">
      <w:pPr>
        <w:widowControl/>
        <w:shd w:val="clear"/>
        <w:jc w:val="center"/>
        <w:rPr>
          <w:rFonts w:ascii="宋体" w:hAnsi="宋体" w:cs="宋体"/>
          <w:b/>
          <w:bCs/>
          <w:color w:val="auto"/>
          <w:sz w:val="28"/>
          <w:szCs w:val="40"/>
          <w:highlight w:val="none"/>
        </w:rPr>
      </w:pPr>
      <w:r>
        <w:rPr>
          <w:rFonts w:hint="eastAsia" w:ascii="宋体" w:hAnsi="宋体" w:cs="宋体"/>
          <w:b/>
          <w:bCs/>
          <w:color w:val="auto"/>
          <w:sz w:val="28"/>
          <w:szCs w:val="40"/>
          <w:highlight w:val="none"/>
        </w:rPr>
        <w:t>二、技 术 要 求</w:t>
      </w:r>
    </w:p>
    <w:p w14:paraId="0218F117">
      <w:pPr>
        <w:shd w:val="clea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标段1</w:t>
      </w:r>
    </w:p>
    <w:p w14:paraId="122E1613">
      <w:pPr>
        <w:shd w:val="clear"/>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序号1：显微镜(带摄像头）</w:t>
      </w:r>
    </w:p>
    <w:p w14:paraId="4A8AC5EB">
      <w:pPr>
        <w:numPr>
          <w:ilvl w:val="0"/>
          <w:numId w:val="3"/>
        </w:numPr>
        <w:shd w:val="clear"/>
        <w:spacing w:line="360" w:lineRule="auto"/>
        <w:rPr>
          <w:rFonts w:ascii="宋体" w:hAnsi="宋体" w:cs="宋体"/>
          <w:color w:val="auto"/>
          <w:sz w:val="24"/>
          <w:highlight w:val="none"/>
        </w:rPr>
      </w:pPr>
      <w:r>
        <w:rPr>
          <w:rFonts w:hint="eastAsia" w:ascii="宋体" w:hAnsi="宋体" w:cs="宋体"/>
          <w:color w:val="auto"/>
          <w:sz w:val="24"/>
          <w:highlight w:val="none"/>
        </w:rPr>
        <w:t>技术指标：</w:t>
      </w:r>
    </w:p>
    <w:p w14:paraId="662EE8E3">
      <w:pPr>
        <w:pStyle w:val="12"/>
        <w:shd w:val="clear"/>
        <w:spacing w:line="360" w:lineRule="auto"/>
        <w:rPr>
          <w:rFonts w:ascii="宋体" w:hAnsi="宋体" w:cs="宋体"/>
          <w:color w:val="auto"/>
          <w:sz w:val="24"/>
          <w:highlight w:val="none"/>
        </w:rPr>
      </w:pPr>
      <w:r>
        <w:rPr>
          <w:rFonts w:hint="eastAsia" w:ascii="宋体" w:hAnsi="宋体" w:cs="宋体"/>
          <w:color w:val="auto"/>
          <w:sz w:val="24"/>
          <w:highlight w:val="none"/>
        </w:rPr>
        <w:t>1、光学系统：采用无限远校正光学系统（UIS2），可进行明场观察。</w:t>
      </w:r>
    </w:p>
    <w:p w14:paraId="1F50249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2、物镜齐焦距离≤45mm。</w:t>
      </w:r>
    </w:p>
    <w:p w14:paraId="0DE5D7C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3、调焦：载物台垂直移动，行程不小于25mm，带聚焦粗调限位器，粗调旋钮扭矩可调，微调最小调节精度≤1微米。</w:t>
      </w:r>
    </w:p>
    <w:p w14:paraId="4EAFF85D">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4、照明装置：内置透射光柯勒照明器，高亮度高色彩还原LED光源，亮度最高支持≥26人共揽，可选配加装色温调整滤光片，使用寿命≥50000小时。</w:t>
      </w:r>
    </w:p>
    <w:p w14:paraId="30998AE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5、具有光强预设按钮、最新光强管理按钮，光强通过预设后，转换物镜光强随之变化，无需再次进行调节。</w:t>
      </w:r>
    </w:p>
    <w:p w14:paraId="25F4B47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6、物镜转盘：≥六孔编码物镜转盘</w:t>
      </w:r>
      <w:r>
        <w:rPr>
          <w:rFonts w:hint="eastAsia" w:ascii="宋体" w:hAnsi="宋体" w:cs="宋体"/>
          <w:color w:val="auto"/>
          <w:sz w:val="24"/>
          <w:highlight w:val="none"/>
          <w:shd w:val="clear" w:color="050000" w:fill="auto"/>
        </w:rPr>
        <w:t>，与软件连接后能够保存物镜信息，随物镜转换能够自动校准标尺</w:t>
      </w:r>
      <w:r>
        <w:rPr>
          <w:rFonts w:hint="eastAsia" w:ascii="宋体" w:hAnsi="宋体" w:cs="宋体"/>
          <w:color w:val="auto"/>
          <w:sz w:val="24"/>
          <w:highlight w:val="none"/>
        </w:rPr>
        <w:t>。</w:t>
      </w:r>
    </w:p>
    <w:p w14:paraId="7F7255A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7、观察筒：固定角三目观察筒，倾角为≥30°，三档分光，视野数≥22mm,可拓展升级≥26.5mm。</w:t>
      </w:r>
    </w:p>
    <w:p w14:paraId="5D65E17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▲8、物镜：万能平场消色差物镜</w:t>
      </w:r>
    </w:p>
    <w:p w14:paraId="07855DD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4x(N.A.≥0.1，W.D.≥18.5mm)</w:t>
      </w:r>
    </w:p>
    <w:p w14:paraId="154458E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10x(N.A.≥0.25，W.D.≥10.6mm)</w:t>
      </w:r>
    </w:p>
    <w:p w14:paraId="4C4F4EA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20x(N.A.≥0.4，W.D.≥1.2mm)</w:t>
      </w:r>
    </w:p>
    <w:p w14:paraId="3CA1B08E">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40x(N.A.≥0.65，W.D.≥0.6mm)</w:t>
      </w:r>
    </w:p>
    <w:p w14:paraId="43187FB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9、目镜：≥10X宽视场目镜，超宽视野≥22mm,带屈光度校准,可升级拓展≥26.5mm。</w:t>
      </w:r>
    </w:p>
    <w:p w14:paraId="0E3FF43F">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10、载物台：</w:t>
      </w:r>
      <w:r>
        <w:rPr>
          <w:rFonts w:hint="eastAsia" w:ascii="宋体" w:hAnsi="宋体" w:cs="宋体"/>
          <w:color w:val="auto"/>
          <w:kern w:val="0"/>
          <w:sz w:val="24"/>
          <w:highlight w:val="none"/>
        </w:rPr>
        <w:t>钢丝传动油式载物台，运行静音无磨损，无突出的棱角和齿轮，避免意外误伤和划伤手指</w:t>
      </w:r>
      <w:r>
        <w:rPr>
          <w:rFonts w:hint="eastAsia" w:ascii="宋体" w:hAnsi="宋体" w:cs="宋体"/>
          <w:color w:val="auto"/>
          <w:sz w:val="24"/>
          <w:highlight w:val="none"/>
        </w:rPr>
        <w:t>带有旋转装置和扭矩调节装置，高抗磨损性陶瓷覆盖层载物台。</w:t>
      </w:r>
    </w:p>
    <w:p w14:paraId="5692190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11、聚光镜：通用阿贝聚光镜，可满足4X-100X观察。</w:t>
      </w:r>
    </w:p>
    <w:p w14:paraId="37AE66E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12、扩展性能：机身标配保留扩展接口，可扩展相差、微分干涉、荧光、暗场、偏光等多种观察方式。</w:t>
      </w:r>
    </w:p>
    <w:p w14:paraId="62ACA5C6">
      <w:pPr>
        <w:pStyle w:val="12"/>
        <w:shd w:val="clear"/>
        <w:spacing w:line="360" w:lineRule="auto"/>
        <w:rPr>
          <w:rFonts w:ascii="宋体" w:hAnsi="宋体" w:cs="宋体"/>
          <w:color w:val="auto"/>
          <w:sz w:val="24"/>
          <w:highlight w:val="none"/>
        </w:rPr>
      </w:pPr>
      <w:r>
        <w:rPr>
          <w:rFonts w:hint="eastAsia" w:ascii="宋体" w:hAnsi="宋体" w:cs="宋体"/>
          <w:color w:val="auto"/>
          <w:sz w:val="24"/>
          <w:highlight w:val="none"/>
        </w:rPr>
        <w:t>▲13、显微镜相机：显微成像系统，高清高速摄像头，≥500W真实物理像素彩色逐行扫描图像传感器，无压缩、无插补，芯片尺寸≥1/2.5英寸，≥2592*1944@7.5fps,极高的采集和传输速度带≥32MB缓存，支持包括不限于TWAIN和DirectShow接口；多相机性能，能支持单 PC 上 ≥4 相机全速工作。</w:t>
      </w:r>
    </w:p>
    <w:p w14:paraId="1C541F1D">
      <w:pPr>
        <w:pStyle w:val="12"/>
        <w:shd w:val="clear"/>
        <w:spacing w:line="360" w:lineRule="auto"/>
        <w:rPr>
          <w:rFonts w:ascii="宋体" w:hAnsi="宋体" w:cs="宋体"/>
          <w:color w:val="auto"/>
          <w:sz w:val="24"/>
          <w:highlight w:val="none"/>
        </w:rPr>
      </w:pPr>
      <w:r>
        <w:rPr>
          <w:rFonts w:hint="eastAsia" w:ascii="宋体" w:hAnsi="宋体" w:cs="宋体"/>
          <w:color w:val="auto"/>
          <w:sz w:val="24"/>
          <w:highlight w:val="none"/>
        </w:rPr>
        <w:t>▲14、负责免费集成接入医院的信息系统（如PACS系统）。</w:t>
      </w:r>
    </w:p>
    <w:p w14:paraId="0CCC24D9">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二、配置清单：</w:t>
      </w:r>
    </w:p>
    <w:p w14:paraId="1FDFB2F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1、显微镜主机：                   1台</w:t>
      </w:r>
    </w:p>
    <w:p w14:paraId="21F80AD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2、万能平场消色差物镜（4X、10X、20X、40X）:各1套</w:t>
      </w:r>
    </w:p>
    <w:p w14:paraId="41ED1009">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3、宽视野三目观察筒:             ≥1个</w:t>
      </w:r>
    </w:p>
    <w:p w14:paraId="458AFAAD">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4、宽视野目镜:                   ≥1对</w:t>
      </w:r>
    </w:p>
    <w:p w14:paraId="12BE510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5、阿贝聚光镜 :                  ≥1个</w:t>
      </w:r>
    </w:p>
    <w:p w14:paraId="1DEC052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6、陶瓷载物台:                   ≥1个</w:t>
      </w:r>
    </w:p>
    <w:p w14:paraId="1C0BE80E">
      <w:pPr>
        <w:shd w:val="clear"/>
        <w:spacing w:line="360" w:lineRule="auto"/>
        <w:rPr>
          <w:rFonts w:ascii="宋体" w:hAnsi="宋体" w:cs="宋体"/>
          <w:color w:val="auto"/>
          <w:sz w:val="24"/>
          <w:highlight w:val="none"/>
        </w:rPr>
      </w:pPr>
      <w:r>
        <w:rPr>
          <w:rFonts w:hint="eastAsia" w:ascii="宋体" w:hAnsi="宋体" w:cs="宋体"/>
          <w:color w:val="auto"/>
          <w:sz w:val="24"/>
          <w:highlight w:val="none"/>
        </w:rPr>
        <w:t>7、夹片器:                        ≥1套</w:t>
      </w:r>
    </w:p>
    <w:p w14:paraId="5CD648B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8、LED透射光照明装置:           ≥1套</w:t>
      </w:r>
    </w:p>
    <w:p w14:paraId="56A0A04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9、六孔物镜转盘:                 ≥1个</w:t>
      </w:r>
    </w:p>
    <w:p w14:paraId="49BA8D9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10、电源线 :                     ≥1根</w:t>
      </w:r>
    </w:p>
    <w:p w14:paraId="4FDF35A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11、显微镜相机 ;                  ≥1个</w:t>
      </w:r>
    </w:p>
    <w:p w14:paraId="235CDFD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12、相机接口;                     ≥1个</w:t>
      </w:r>
    </w:p>
    <w:p w14:paraId="4471BB0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三、其它要求：</w:t>
      </w:r>
    </w:p>
    <w:p w14:paraId="7FE4414D">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1.负责定期的技术培训和指导。</w:t>
      </w:r>
    </w:p>
    <w:p w14:paraId="6B08F47C">
      <w:pPr>
        <w:pStyle w:val="12"/>
        <w:shd w:val="clear"/>
        <w:spacing w:line="360" w:lineRule="auto"/>
        <w:rPr>
          <w:rFonts w:ascii="宋体" w:hAnsi="宋体" w:cs="宋体"/>
          <w:color w:val="auto"/>
          <w:sz w:val="24"/>
          <w:highlight w:val="none"/>
        </w:rPr>
      </w:pPr>
      <w:r>
        <w:rPr>
          <w:rFonts w:hint="eastAsia" w:ascii="宋体" w:hAnsi="宋体" w:cs="宋体"/>
          <w:color w:val="auto"/>
          <w:sz w:val="24"/>
          <w:highlight w:val="none"/>
        </w:rPr>
        <w:t>2.负责定期的产品质保期设备的保养、维修处理及转运费用。</w:t>
      </w:r>
    </w:p>
    <w:p w14:paraId="20DA3563">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232FB4CF">
      <w:pPr>
        <w:shd w:val="clea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序号2：智能生物自动脱水机</w:t>
      </w:r>
    </w:p>
    <w:p w14:paraId="604B55B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一、技术参数：</w:t>
      </w:r>
    </w:p>
    <w:p w14:paraId="079976EE">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▲1.标本室容积：≥7升。</w:t>
      </w:r>
    </w:p>
    <w:p w14:paraId="56F0A5AD">
      <w:pPr>
        <w:shd w:val="clea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一次处理标本量：≥300个（标准塑料组织包埋盒）。</w:t>
      </w:r>
    </w:p>
    <w:p w14:paraId="2201063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2.彩色中文屏尺寸：≥10.1寸。</w:t>
      </w:r>
    </w:p>
    <w:p w14:paraId="379FCDEE">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3.蜡缸与工作缸分布方式：水平平行分布。</w:t>
      </w:r>
    </w:p>
    <w:p w14:paraId="7243E63D">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4.试剂和石蜡供给结构：分开过滤双通道供给。</w:t>
      </w:r>
    </w:p>
    <w:p w14:paraId="54089EE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▲5.设有冷凝加过滤层级：≥4级。</w:t>
      </w:r>
    </w:p>
    <w:p w14:paraId="43B0D0E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▲6.试剂壶接口结构：双自锁双密封快接式。</w:t>
      </w:r>
    </w:p>
    <w:p w14:paraId="7D78A76F">
      <w:pPr>
        <w:shd w:val="clear"/>
        <w:spacing w:line="360" w:lineRule="auto"/>
        <w:rPr>
          <w:rFonts w:ascii="宋体" w:hAnsi="宋体" w:cs="宋体"/>
          <w:color w:val="auto"/>
          <w:sz w:val="24"/>
          <w:highlight w:val="none"/>
        </w:rPr>
      </w:pPr>
      <w:r>
        <w:rPr>
          <w:rFonts w:hint="eastAsia" w:ascii="宋体" w:hAnsi="宋体" w:cs="宋体"/>
          <w:color w:val="auto"/>
          <w:sz w:val="24"/>
          <w:highlight w:val="none"/>
        </w:rPr>
        <w:t>7.缸温控制范围：0-99℃（可调）。</w:t>
      </w:r>
    </w:p>
    <w:p w14:paraId="7C5C0F0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8.进排液时间：1-20分钟（可调）。</w:t>
      </w:r>
    </w:p>
    <w:p w14:paraId="16DC5DB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9.搅拌时间：1-20分钟（可调）。</w:t>
      </w:r>
    </w:p>
    <w:p w14:paraId="35B62CB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10.搅拌时间间隔：1-20分钟（可调）。</w:t>
      </w:r>
    </w:p>
    <w:p w14:paraId="6DB08C5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▲11.标本缸自动清洗、手动可调取任一缸试剂。能自动更换试剂。</w:t>
      </w:r>
    </w:p>
    <w:p w14:paraId="4E35237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12.涡轮式搅拌，让不同方位的标本达到最佳的脱水效果。</w:t>
      </w:r>
    </w:p>
    <w:p w14:paraId="096BE77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13.定时开机，满足节假日需要。</w:t>
      </w:r>
    </w:p>
    <w:p w14:paraId="2470674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二、配置要求：</w:t>
      </w:r>
    </w:p>
    <w:p w14:paraId="33848E57">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1.主机一台。</w:t>
      </w:r>
    </w:p>
    <w:p w14:paraId="4E0E07B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2.脱水篮≥2个。 </w:t>
      </w:r>
    </w:p>
    <w:p w14:paraId="5D98052F">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3.配套托盘≥1个。</w:t>
      </w:r>
    </w:p>
    <w:p w14:paraId="21196A5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三、售后服务：</w:t>
      </w:r>
    </w:p>
    <w:p w14:paraId="0EBFF36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1.相应的技术培训和指导。</w:t>
      </w:r>
    </w:p>
    <w:p w14:paraId="716C033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2.产品质保期设备的维修处理及转运费用。</w:t>
      </w:r>
    </w:p>
    <w:p w14:paraId="66F0E128">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72FB7982">
      <w:pPr>
        <w:shd w:val="clea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标段2</w:t>
      </w:r>
    </w:p>
    <w:p w14:paraId="77CF0A92">
      <w:pPr>
        <w:shd w:val="clear"/>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序号1：</w:t>
      </w:r>
      <w:r>
        <w:rPr>
          <w:rFonts w:hint="eastAsia" w:ascii="宋体" w:hAnsi="宋体" w:cs="宋体"/>
          <w:b/>
          <w:bCs/>
          <w:color w:val="auto"/>
          <w:kern w:val="0"/>
          <w:sz w:val="24"/>
          <w:highlight w:val="none"/>
          <w:lang w:bidi="ar"/>
        </w:rPr>
        <w:t>耳内镜</w:t>
      </w:r>
    </w:p>
    <w:p w14:paraId="4E8BE98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一、耳内窥镜技术</w:t>
      </w:r>
    </w:p>
    <w:p w14:paraId="297F667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▲1、柱状晶体，光学广角硬质内窥镜，满足高通光量内窥镜技术；</w:t>
      </w:r>
    </w:p>
    <w:p w14:paraId="74A9E45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▲2、镜面前端用人工蓝宝石制作，不易磨损；</w:t>
      </w:r>
    </w:p>
    <w:p w14:paraId="75E2367E">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3、镜体采用医用级不锈钢材料，表面作磨砂抗反光处理；</w:t>
      </w:r>
    </w:p>
    <w:p w14:paraId="09718DF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4、集成光纤传输；</w:t>
      </w:r>
    </w:p>
    <w:p w14:paraId="0727B77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▲5、可高温、高压消毒；</w:t>
      </w:r>
    </w:p>
    <w:p w14:paraId="6684E3C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6、可以连接常规摄像主机使用；</w:t>
      </w:r>
    </w:p>
    <w:p w14:paraId="5FC54F4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7、增强组织表面、边缘及血管的色彩表现，实现完美色彩还原。</w:t>
      </w:r>
    </w:p>
    <w:p w14:paraId="7189F1B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二、耳内窥镜参数</w:t>
      </w:r>
    </w:p>
    <w:p w14:paraId="56925DA2">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1.插入部分最大直径：≥2.7mm；</w:t>
      </w:r>
    </w:p>
    <w:p w14:paraId="7842493D">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2.工作长度：≥110mm；</w:t>
      </w:r>
    </w:p>
    <w:p w14:paraId="41EA5290">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3.视向角:包括不限于0°、30°；</w:t>
      </w:r>
    </w:p>
    <w:p w14:paraId="76EDC205">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4.视场角:70°（</w:t>
      </w:r>
      <w:r>
        <w:rPr>
          <w:rFonts w:hint="eastAsia" w:ascii="宋体" w:hAnsi="宋体" w:cs="宋体"/>
          <w:color w:val="auto"/>
          <w:sz w:val="24"/>
          <w:szCs w:val="24"/>
          <w:highlight w:val="none"/>
          <w:shd w:val="clear" w:color="auto" w:fill="FFFFFF"/>
        </w:rPr>
        <w:t>±15%）</w:t>
      </w:r>
      <w:r>
        <w:rPr>
          <w:rFonts w:hint="eastAsia" w:ascii="宋体" w:hAnsi="宋体" w:cs="宋体"/>
          <w:color w:val="auto"/>
          <w:sz w:val="24"/>
          <w:szCs w:val="24"/>
          <w:highlight w:val="none"/>
        </w:rPr>
        <w:t>；</w:t>
      </w:r>
    </w:p>
    <w:p w14:paraId="022CE5F9">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5.设计光学工作距离:10mm（</w:t>
      </w:r>
      <w:r>
        <w:rPr>
          <w:rFonts w:hint="eastAsia" w:ascii="宋体" w:hAnsi="宋体" w:cs="宋体"/>
          <w:color w:val="auto"/>
          <w:sz w:val="24"/>
          <w:szCs w:val="24"/>
          <w:highlight w:val="none"/>
          <w:shd w:val="clear" w:color="auto" w:fill="FFFFFF"/>
        </w:rPr>
        <w:t>-10%）</w:t>
      </w:r>
      <w:r>
        <w:rPr>
          <w:rFonts w:hint="eastAsia" w:ascii="宋体" w:hAnsi="宋体" w:cs="宋体"/>
          <w:color w:val="auto"/>
          <w:sz w:val="24"/>
          <w:szCs w:val="24"/>
          <w:highlight w:val="none"/>
        </w:rPr>
        <w:t>；</w:t>
      </w:r>
    </w:p>
    <w:p w14:paraId="51A53E25">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6.视场中心角分辨力ra (d):3.20C/(°)；</w:t>
      </w:r>
    </w:p>
    <w:p w14:paraId="640ADD8E">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7.光学镜的有效景深范围:  3～100mm。</w:t>
      </w:r>
    </w:p>
    <w:p w14:paraId="252A91D5">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059B9506">
      <w:pPr>
        <w:shd w:val="clea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序号2：鼻窦镜</w:t>
      </w:r>
    </w:p>
    <w:p w14:paraId="0C46773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一、鼻窦内窥镜技术</w:t>
      </w:r>
    </w:p>
    <w:p w14:paraId="0EB115C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▲1、柱状晶体，光学广角硬质内窥镜，满足高通光量内窥镜技术；</w:t>
      </w:r>
    </w:p>
    <w:p w14:paraId="0726C8A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▲2、镜面前端用人工蓝宝石制作，不易磨损；</w:t>
      </w:r>
    </w:p>
    <w:p w14:paraId="350DCF8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3、镜体采用医用级不锈钢材料，表面作磨砂抗反光处理；</w:t>
      </w:r>
    </w:p>
    <w:p w14:paraId="1E00DFD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4、集成光纤传输；</w:t>
      </w:r>
    </w:p>
    <w:p w14:paraId="1C22510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▲5、可高温、高压消毒；</w:t>
      </w:r>
    </w:p>
    <w:p w14:paraId="3EB3B1C9">
      <w:pPr>
        <w:shd w:val="clear"/>
        <w:spacing w:line="360" w:lineRule="auto"/>
        <w:rPr>
          <w:rFonts w:ascii="宋体" w:hAnsi="宋体" w:cs="宋体"/>
          <w:color w:val="auto"/>
          <w:sz w:val="24"/>
          <w:highlight w:val="none"/>
        </w:rPr>
      </w:pPr>
      <w:r>
        <w:rPr>
          <w:rFonts w:hint="eastAsia" w:ascii="宋体" w:hAnsi="宋体" w:cs="宋体"/>
          <w:color w:val="auto"/>
          <w:sz w:val="24"/>
          <w:highlight w:val="none"/>
        </w:rPr>
        <w:t>6、可以连接常规摄像主机使用；</w:t>
      </w:r>
    </w:p>
    <w:p w14:paraId="2ED7DB1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7、增强组织表面、边缘及血管的色彩表现，实现完美色彩还原。</w:t>
      </w:r>
    </w:p>
    <w:p w14:paraId="4C35741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二、鼻窦内窥镜参数</w:t>
      </w:r>
    </w:p>
    <w:p w14:paraId="1D5D5766">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1.插入部分最大直径：≥4mm；</w:t>
      </w:r>
    </w:p>
    <w:p w14:paraId="793B7D10">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2.工作长度：≥175mm；</w:t>
      </w:r>
    </w:p>
    <w:p w14:paraId="3912BAA8">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3.视向角: 包括不限于0°、45°；</w:t>
      </w:r>
    </w:p>
    <w:p w14:paraId="70F711CC">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4.视场角:50°（</w:t>
      </w:r>
      <w:r>
        <w:rPr>
          <w:rFonts w:hint="eastAsia" w:ascii="宋体" w:hAnsi="宋体" w:cs="宋体"/>
          <w:color w:val="auto"/>
          <w:sz w:val="24"/>
          <w:szCs w:val="24"/>
          <w:highlight w:val="none"/>
          <w:shd w:val="clear" w:color="auto" w:fill="FFFFFF"/>
        </w:rPr>
        <w:t>±15%）</w:t>
      </w:r>
      <w:r>
        <w:rPr>
          <w:rFonts w:hint="eastAsia" w:ascii="宋体" w:hAnsi="宋体" w:cs="宋体"/>
          <w:color w:val="auto"/>
          <w:sz w:val="24"/>
          <w:szCs w:val="24"/>
          <w:highlight w:val="none"/>
        </w:rPr>
        <w:t>；</w:t>
      </w:r>
    </w:p>
    <w:p w14:paraId="577AFA71">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5.设计光学工作距离:10mm（</w:t>
      </w:r>
      <w:r>
        <w:rPr>
          <w:rFonts w:hint="eastAsia" w:ascii="宋体" w:hAnsi="宋体" w:cs="宋体"/>
          <w:color w:val="auto"/>
          <w:sz w:val="24"/>
          <w:szCs w:val="24"/>
          <w:highlight w:val="none"/>
          <w:shd w:val="clear" w:color="auto" w:fill="FFFFFF"/>
        </w:rPr>
        <w:t>-10%）</w:t>
      </w:r>
      <w:r>
        <w:rPr>
          <w:rFonts w:hint="eastAsia" w:ascii="宋体" w:hAnsi="宋体" w:cs="宋体"/>
          <w:color w:val="auto"/>
          <w:sz w:val="24"/>
          <w:szCs w:val="24"/>
          <w:highlight w:val="none"/>
        </w:rPr>
        <w:t>；</w:t>
      </w:r>
    </w:p>
    <w:p w14:paraId="6E561F9C">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6.视场中心角分辨力ra (d): 2.39C/(°)；</w:t>
      </w:r>
    </w:p>
    <w:p w14:paraId="25E076BE">
      <w:pPr>
        <w:pStyle w:val="126"/>
        <w:shd w:val="clear"/>
        <w:spacing w:line="360" w:lineRule="auto"/>
        <w:ind w:left="420" w:hanging="420" w:firstLineChars="0"/>
        <w:rPr>
          <w:rFonts w:ascii="宋体" w:hAnsi="宋体" w:cs="宋体"/>
          <w:color w:val="auto"/>
          <w:sz w:val="24"/>
          <w:szCs w:val="24"/>
          <w:highlight w:val="none"/>
        </w:rPr>
      </w:pPr>
      <w:r>
        <w:rPr>
          <w:rFonts w:hint="eastAsia" w:ascii="宋体" w:hAnsi="宋体" w:cs="宋体"/>
          <w:color w:val="auto"/>
          <w:sz w:val="24"/>
          <w:szCs w:val="24"/>
          <w:highlight w:val="none"/>
        </w:rPr>
        <w:t>7.光学镜的有效景深范围:  3～100mm。</w:t>
      </w:r>
    </w:p>
    <w:p w14:paraId="4E4CAE2F">
      <w:pPr>
        <w:shd w:val="clear"/>
        <w:rPr>
          <w:rFonts w:ascii="宋体" w:hAnsi="宋体" w:cs="宋体"/>
          <w:color w:val="auto"/>
          <w:sz w:val="24"/>
          <w:highlight w:val="none"/>
        </w:rPr>
      </w:pPr>
      <w:r>
        <w:rPr>
          <w:rFonts w:hint="eastAsia" w:ascii="宋体" w:hAnsi="宋体" w:cs="宋体"/>
          <w:color w:val="auto"/>
          <w:sz w:val="24"/>
          <w:highlight w:val="none"/>
        </w:rPr>
        <w:br w:type="page"/>
      </w:r>
    </w:p>
    <w:p w14:paraId="15B0A241">
      <w:pPr>
        <w:shd w:val="clea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序号3：回弹式眼压计</w:t>
      </w:r>
    </w:p>
    <w:p w14:paraId="53C96919">
      <w:pPr>
        <w:shd w:val="clea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1.测量范围：3mmHg～70mmHg;</w:t>
      </w:r>
    </w:p>
    <w:p w14:paraId="40236407">
      <w:pPr>
        <w:shd w:val="clear"/>
        <w:spacing w:line="360" w:lineRule="auto"/>
        <w:ind w:right="-693" w:rightChars="-330" w:firstLine="240" w:firstLineChars="100"/>
        <w:rPr>
          <w:rFonts w:ascii="宋体" w:hAnsi="宋体" w:cs="宋体"/>
          <w:color w:val="auto"/>
          <w:sz w:val="24"/>
          <w:highlight w:val="none"/>
        </w:rPr>
      </w:pPr>
      <w:r>
        <w:rPr>
          <w:rFonts w:hint="eastAsia" w:ascii="宋体" w:hAnsi="宋体" w:cs="宋体"/>
          <w:color w:val="auto"/>
          <w:sz w:val="24"/>
          <w:highlight w:val="none"/>
        </w:rPr>
        <w:t>2.测量误差：±1.5mmHg（3mmHg≤被测眼球内压≤25mmHg）</w:t>
      </w:r>
    </w:p>
    <w:p w14:paraId="756D3B97">
      <w:pPr>
        <w:shd w:val="clear"/>
        <w:spacing w:line="360" w:lineRule="auto"/>
        <w:ind w:right="-693" w:rightChars="-330" w:firstLine="1440" w:firstLineChars="600"/>
        <w:rPr>
          <w:rFonts w:ascii="宋体" w:hAnsi="宋体" w:cs="宋体"/>
          <w:color w:val="auto"/>
          <w:sz w:val="24"/>
          <w:highlight w:val="none"/>
        </w:rPr>
      </w:pPr>
      <w:r>
        <w:rPr>
          <w:rFonts w:hint="eastAsia" w:ascii="宋体" w:hAnsi="宋体" w:cs="宋体"/>
          <w:color w:val="auto"/>
          <w:sz w:val="24"/>
          <w:highlight w:val="none"/>
        </w:rPr>
        <w:t>±2.5mmHg（25mmHg＜被测眼球内压≤70mmHg）</w:t>
      </w:r>
    </w:p>
    <w:p w14:paraId="2F650280">
      <w:pPr>
        <w:shd w:val="clear"/>
        <w:spacing w:line="360" w:lineRule="auto"/>
        <w:ind w:right="-693" w:rightChars="-330" w:firstLine="240" w:firstLineChars="100"/>
        <w:rPr>
          <w:rFonts w:ascii="宋体" w:hAnsi="宋体" w:cs="宋体"/>
          <w:color w:val="auto"/>
          <w:sz w:val="24"/>
          <w:highlight w:val="none"/>
        </w:rPr>
      </w:pPr>
      <w:r>
        <w:rPr>
          <w:rFonts w:hint="eastAsia" w:ascii="宋体" w:hAnsi="宋体" w:cs="宋体"/>
          <w:color w:val="auto"/>
          <w:sz w:val="24"/>
          <w:highlight w:val="none"/>
        </w:rPr>
        <w:t>3.可实现立式和卧式测量</w:t>
      </w:r>
    </w:p>
    <w:p w14:paraId="2E03D690">
      <w:pPr>
        <w:shd w:val="clear"/>
        <w:spacing w:line="360" w:lineRule="auto"/>
        <w:ind w:right="-693" w:rightChars="-330"/>
        <w:rPr>
          <w:rFonts w:ascii="宋体" w:hAnsi="宋体" w:cs="宋体"/>
          <w:color w:val="auto"/>
          <w:sz w:val="24"/>
          <w:highlight w:val="none"/>
        </w:rPr>
      </w:pPr>
      <w:r>
        <w:rPr>
          <w:rFonts w:hint="eastAsia" w:ascii="宋体" w:hAnsi="宋体" w:cs="宋体"/>
          <w:color w:val="auto"/>
          <w:sz w:val="24"/>
          <w:highlight w:val="none"/>
        </w:rPr>
        <w:t>▲4.无线传输打印数据</w:t>
      </w:r>
    </w:p>
    <w:p w14:paraId="606DD884">
      <w:pPr>
        <w:shd w:val="clear"/>
        <w:spacing w:line="360" w:lineRule="auto"/>
        <w:ind w:right="-693" w:rightChars="-330" w:firstLine="240" w:firstLineChars="100"/>
        <w:rPr>
          <w:rFonts w:ascii="宋体" w:hAnsi="宋体" w:cs="宋体"/>
          <w:color w:val="auto"/>
          <w:sz w:val="24"/>
          <w:highlight w:val="none"/>
        </w:rPr>
      </w:pPr>
      <w:r>
        <w:rPr>
          <w:rFonts w:hint="eastAsia" w:ascii="宋体" w:hAnsi="宋体" w:cs="宋体"/>
          <w:color w:val="auto"/>
          <w:sz w:val="24"/>
          <w:highlight w:val="none"/>
        </w:rPr>
        <w:t>5.测量简便，易学易用</w:t>
      </w:r>
    </w:p>
    <w:p w14:paraId="7202E481">
      <w:pPr>
        <w:shd w:val="clear"/>
        <w:spacing w:line="360" w:lineRule="auto"/>
        <w:ind w:right="-693" w:rightChars="-330" w:firstLine="240" w:firstLineChars="100"/>
        <w:rPr>
          <w:rFonts w:ascii="宋体" w:hAnsi="宋体" w:cs="宋体"/>
          <w:color w:val="auto"/>
          <w:sz w:val="24"/>
          <w:highlight w:val="none"/>
        </w:rPr>
      </w:pPr>
      <w:r>
        <w:rPr>
          <w:rFonts w:hint="eastAsia" w:ascii="宋体" w:hAnsi="宋体" w:cs="宋体"/>
          <w:color w:val="auto"/>
          <w:sz w:val="24"/>
          <w:highlight w:val="none"/>
        </w:rPr>
        <w:t>6.小巧轻便，易于携带</w:t>
      </w:r>
    </w:p>
    <w:p w14:paraId="45EE128D">
      <w:pPr>
        <w:shd w:val="clear"/>
        <w:spacing w:line="360" w:lineRule="auto"/>
        <w:ind w:right="-693" w:rightChars="-330" w:firstLine="240" w:firstLineChars="100"/>
        <w:rPr>
          <w:rFonts w:ascii="宋体" w:hAnsi="宋体" w:cs="宋体"/>
          <w:color w:val="auto"/>
          <w:sz w:val="24"/>
          <w:highlight w:val="none"/>
        </w:rPr>
      </w:pPr>
      <w:r>
        <w:rPr>
          <w:rFonts w:hint="eastAsia" w:ascii="宋体" w:hAnsi="宋体" w:cs="宋体"/>
          <w:color w:val="auto"/>
          <w:sz w:val="24"/>
          <w:highlight w:val="none"/>
        </w:rPr>
        <w:t>7.无需麻醉，无不适感</w:t>
      </w:r>
    </w:p>
    <w:p w14:paraId="517C0BA0">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3008416F">
      <w:pPr>
        <w:shd w:val="clea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序号4：喉镜</w:t>
      </w:r>
    </w:p>
    <w:p w14:paraId="398A49B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喉镜技术参数</w:t>
      </w:r>
    </w:p>
    <w:p w14:paraId="6062924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1.镜体可高温高压消毒</w:t>
      </w:r>
      <w:r>
        <w:rPr>
          <w:rFonts w:hint="eastAsia" w:ascii="宋体" w:hAnsi="宋体" w:cs="宋体"/>
          <w:color w:val="auto"/>
          <w:sz w:val="24"/>
          <w:highlight w:val="none"/>
          <w:lang w:val="en-US" w:eastAsia="zh-CN"/>
        </w:rPr>
        <w:t>。</w:t>
      </w:r>
    </w:p>
    <w:p w14:paraId="1C78252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2.带色环标识视向角</w:t>
      </w:r>
      <w:r>
        <w:rPr>
          <w:rFonts w:hint="eastAsia" w:ascii="宋体" w:hAnsi="宋体" w:cs="宋体"/>
          <w:color w:val="auto"/>
          <w:sz w:val="24"/>
          <w:highlight w:val="none"/>
          <w:lang w:val="en-US" w:eastAsia="zh-CN"/>
        </w:rPr>
        <w:t>。</w:t>
      </w:r>
    </w:p>
    <w:p w14:paraId="46E4567B">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3.镜体直径4mm（±5%）,工作长度≥175mm</w:t>
      </w:r>
      <w:r>
        <w:rPr>
          <w:rFonts w:hint="eastAsia" w:ascii="宋体" w:hAnsi="宋体" w:cs="宋体"/>
          <w:color w:val="auto"/>
          <w:sz w:val="24"/>
          <w:highlight w:val="none"/>
          <w:lang w:val="en-US" w:eastAsia="zh-CN"/>
        </w:rPr>
        <w:t>。</w:t>
      </w:r>
    </w:p>
    <w:p w14:paraId="2C6F5ECF">
      <w:pPr>
        <w:shd w:val="clea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4.角度0°、45°各一支</w:t>
      </w:r>
      <w:r>
        <w:rPr>
          <w:rFonts w:hint="eastAsia" w:ascii="宋体" w:hAnsi="宋体" w:cs="宋体"/>
          <w:color w:val="auto"/>
          <w:sz w:val="24"/>
          <w:highlight w:val="none"/>
          <w:lang w:eastAsia="zh-CN"/>
        </w:rPr>
        <w:t>。</w:t>
      </w:r>
    </w:p>
    <w:p w14:paraId="1C288420">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4A45447C">
      <w:pPr>
        <w:shd w:val="clea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序号5：鼻窦负压置换仪</w:t>
      </w:r>
    </w:p>
    <w:p w14:paraId="04299738">
      <w:pPr>
        <w:numPr>
          <w:ilvl w:val="0"/>
          <w:numId w:val="4"/>
        </w:numPr>
        <w:shd w:val="clear"/>
        <w:spacing w:line="360" w:lineRule="auto"/>
        <w:rPr>
          <w:rFonts w:ascii="宋体" w:hAnsi="宋体" w:cs="宋体"/>
          <w:color w:val="auto"/>
          <w:sz w:val="24"/>
          <w:highlight w:val="none"/>
        </w:rPr>
      </w:pPr>
      <w:r>
        <w:rPr>
          <w:rFonts w:hint="eastAsia" w:ascii="宋体" w:hAnsi="宋体" w:cs="宋体"/>
          <w:color w:val="auto"/>
          <w:sz w:val="24"/>
          <w:highlight w:val="none"/>
        </w:rPr>
        <w:t>具有医疗器械注册证或备案证，适用于。</w:t>
      </w:r>
    </w:p>
    <w:p w14:paraId="3A718F48">
      <w:pPr>
        <w:numPr>
          <w:ilvl w:val="0"/>
          <w:numId w:val="4"/>
        </w:numPr>
        <w:shd w:val="clear"/>
        <w:spacing w:line="360" w:lineRule="auto"/>
        <w:rPr>
          <w:rFonts w:ascii="宋体" w:hAnsi="宋体" w:cs="宋体"/>
          <w:color w:val="auto"/>
          <w:sz w:val="24"/>
          <w:highlight w:val="none"/>
        </w:rPr>
      </w:pPr>
      <w:r>
        <w:rPr>
          <w:rFonts w:hint="eastAsia" w:ascii="宋体" w:hAnsi="宋体" w:cs="宋体"/>
          <w:color w:val="auto"/>
          <w:sz w:val="24"/>
          <w:highlight w:val="none"/>
        </w:rPr>
        <w:t>设备安全分类：Ⅰ类BF型。</w:t>
      </w:r>
    </w:p>
    <w:p w14:paraId="24E4A35E">
      <w:pPr>
        <w:numPr>
          <w:ilvl w:val="0"/>
          <w:numId w:val="4"/>
        </w:numPr>
        <w:shd w:val="clear"/>
        <w:spacing w:line="360" w:lineRule="auto"/>
        <w:rPr>
          <w:rFonts w:ascii="宋体" w:hAnsi="宋体" w:cs="宋体"/>
          <w:color w:val="auto"/>
          <w:sz w:val="24"/>
          <w:highlight w:val="none"/>
        </w:rPr>
      </w:pPr>
      <w:r>
        <w:rPr>
          <w:rFonts w:hint="eastAsia" w:ascii="宋体" w:hAnsi="宋体" w:cs="宋体"/>
          <w:color w:val="auto"/>
          <w:sz w:val="24"/>
          <w:highlight w:val="none"/>
        </w:rPr>
        <w:t>电源： ～220V   50Hz。</w:t>
      </w:r>
    </w:p>
    <w:p w14:paraId="2FE006E7">
      <w:pPr>
        <w:numPr>
          <w:ilvl w:val="0"/>
          <w:numId w:val="4"/>
        </w:numPr>
        <w:shd w:val="clear"/>
        <w:spacing w:line="360" w:lineRule="auto"/>
        <w:rPr>
          <w:rFonts w:ascii="宋体" w:hAnsi="宋体" w:cs="宋体"/>
          <w:color w:val="auto"/>
          <w:sz w:val="24"/>
          <w:highlight w:val="none"/>
        </w:rPr>
      </w:pPr>
      <w:r>
        <w:rPr>
          <w:rFonts w:hint="eastAsia" w:ascii="宋体" w:hAnsi="宋体" w:cs="宋体"/>
          <w:color w:val="auto"/>
          <w:sz w:val="24"/>
          <w:highlight w:val="none"/>
        </w:rPr>
        <w:t>输入功率：≤10VA。</w:t>
      </w:r>
    </w:p>
    <w:p w14:paraId="0BFAF061">
      <w:pPr>
        <w:numPr>
          <w:ilvl w:val="0"/>
          <w:numId w:val="4"/>
        </w:numPr>
        <w:shd w:val="clear"/>
        <w:spacing w:line="360" w:lineRule="auto"/>
        <w:rPr>
          <w:rFonts w:ascii="宋体" w:hAnsi="宋体" w:cs="宋体"/>
          <w:color w:val="auto"/>
          <w:sz w:val="24"/>
          <w:highlight w:val="none"/>
        </w:rPr>
      </w:pPr>
      <w:r>
        <w:rPr>
          <w:rFonts w:hint="eastAsia" w:ascii="宋体" w:hAnsi="宋体" w:cs="宋体"/>
          <w:color w:val="auto"/>
          <w:sz w:val="24"/>
          <w:highlight w:val="none"/>
        </w:rPr>
        <w:t>熔断器的额定值：F0.1AL250V。</w:t>
      </w:r>
    </w:p>
    <w:p w14:paraId="6DAE2C96">
      <w:pPr>
        <w:numPr>
          <w:ilvl w:val="0"/>
          <w:numId w:val="4"/>
        </w:numPr>
        <w:shd w:val="clear"/>
        <w:spacing w:line="360" w:lineRule="auto"/>
        <w:rPr>
          <w:rFonts w:ascii="宋体" w:hAnsi="宋体" w:cs="宋体"/>
          <w:color w:val="auto"/>
          <w:sz w:val="24"/>
          <w:highlight w:val="none"/>
        </w:rPr>
      </w:pPr>
      <w:r>
        <w:rPr>
          <w:rFonts w:hint="eastAsia" w:ascii="宋体" w:hAnsi="宋体" w:cs="宋体"/>
          <w:color w:val="auto"/>
          <w:sz w:val="24"/>
          <w:highlight w:val="none"/>
        </w:rPr>
        <w:t>输出压力范围：输出压力在-24kPa～-1kPa压力范围内可调，步幅±1kPa。</w:t>
      </w:r>
    </w:p>
    <w:p w14:paraId="1106FE07">
      <w:pPr>
        <w:pStyle w:val="178"/>
        <w:shd w:val="clear"/>
        <w:spacing w:line="360" w:lineRule="auto"/>
        <w:rPr>
          <w:rFonts w:hAnsi="宋体" w:cs="宋体"/>
          <w:color w:val="auto"/>
          <w:kern w:val="2"/>
          <w:sz w:val="24"/>
          <w:szCs w:val="24"/>
          <w:highlight w:val="none"/>
        </w:rPr>
      </w:pPr>
      <w:r>
        <w:rPr>
          <w:rFonts w:hint="eastAsia" w:hAnsi="宋体" w:cs="宋体"/>
          <w:color w:val="auto"/>
          <w:kern w:val="2"/>
          <w:sz w:val="24"/>
          <w:szCs w:val="24"/>
          <w:highlight w:val="none"/>
        </w:rPr>
        <w:t>7、压力输出次数设置范围：压力输出次数范围在1～30次可调，步幅±1次。</w:t>
      </w:r>
    </w:p>
    <w:p w14:paraId="3807827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8、工作环境要求</w:t>
      </w:r>
    </w:p>
    <w:p w14:paraId="24ACC209">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   8.1  环境温度范围：+5℃～+40℃。</w:t>
      </w:r>
    </w:p>
    <w:p w14:paraId="15D6304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   8.2  相对湿度：≤80%。</w:t>
      </w:r>
    </w:p>
    <w:p w14:paraId="76C0798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   8.3  大气压力范围：86.0kPa～106.0kPa。</w:t>
      </w:r>
    </w:p>
    <w:p w14:paraId="03DE4661">
      <w:pPr>
        <w:shd w:val="clear"/>
        <w:spacing w:line="360" w:lineRule="auto"/>
        <w:ind w:left="480" w:hanging="480" w:hangingChars="200"/>
        <w:rPr>
          <w:rFonts w:ascii="宋体" w:hAnsi="宋体" w:cs="宋体"/>
          <w:color w:val="auto"/>
          <w:sz w:val="24"/>
          <w:highlight w:val="none"/>
        </w:rPr>
      </w:pPr>
      <w:r>
        <w:rPr>
          <w:rFonts w:hint="eastAsia" w:ascii="宋体" w:hAnsi="宋体" w:cs="宋体"/>
          <w:color w:val="auto"/>
          <w:sz w:val="24"/>
          <w:highlight w:val="none"/>
        </w:rPr>
        <w:t>9、控制系统：采用智能控制技术，控制真空泵的痛断，完成鼻窦负压置换以及鼻内异物的吸取。</w:t>
      </w:r>
    </w:p>
    <w:p w14:paraId="78159896">
      <w:pPr>
        <w:shd w:val="clear"/>
        <w:spacing w:line="360" w:lineRule="auto"/>
        <w:ind w:left="480" w:hanging="480" w:hangingChars="200"/>
        <w:rPr>
          <w:rFonts w:ascii="宋体" w:hAnsi="宋体" w:cs="宋体"/>
          <w:color w:val="auto"/>
          <w:sz w:val="24"/>
          <w:highlight w:val="none"/>
        </w:rPr>
      </w:pPr>
      <w:r>
        <w:rPr>
          <w:rFonts w:hint="eastAsia" w:ascii="宋体" w:hAnsi="宋体" w:cs="宋体"/>
          <w:color w:val="auto"/>
          <w:sz w:val="24"/>
          <w:highlight w:val="none"/>
        </w:rPr>
        <w:t>10、机壳外观：采用医用ABS材料加工制造成型，表面光洁平整，各种标识清晰易认。</w:t>
      </w:r>
    </w:p>
    <w:p w14:paraId="60BDDD9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11、采用按键式操作面板，操作简单灵活、方便可靠。</w:t>
      </w:r>
    </w:p>
    <w:p w14:paraId="47EEA70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12、通过EMC检测认证。</w:t>
      </w:r>
    </w:p>
    <w:p w14:paraId="11F25E6B">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047807DD">
      <w:pPr>
        <w:shd w:val="clea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序号6：鼻窦镜图文报告系统</w:t>
      </w:r>
    </w:p>
    <w:tbl>
      <w:tblPr>
        <w:tblStyle w:val="26"/>
        <w:tblW w:w="10113" w:type="dxa"/>
        <w:tblInd w:w="-7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833"/>
        <w:gridCol w:w="1703"/>
        <w:gridCol w:w="1368"/>
        <w:gridCol w:w="626"/>
        <w:gridCol w:w="5583"/>
      </w:tblGrid>
      <w:tr w14:paraId="0ACC31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trPr>
        <w:tc>
          <w:tcPr>
            <w:tcW w:w="833" w:type="dxa"/>
            <w:vAlign w:val="center"/>
          </w:tcPr>
          <w:p w14:paraId="78A1DE0B">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序 号</w:t>
            </w:r>
          </w:p>
        </w:tc>
        <w:tc>
          <w:tcPr>
            <w:tcW w:w="1703" w:type="dxa"/>
            <w:vAlign w:val="center"/>
          </w:tcPr>
          <w:p w14:paraId="4263D752">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产品名称</w:t>
            </w:r>
          </w:p>
        </w:tc>
        <w:tc>
          <w:tcPr>
            <w:tcW w:w="7577" w:type="dxa"/>
            <w:gridSpan w:val="3"/>
            <w:vAlign w:val="center"/>
          </w:tcPr>
          <w:p w14:paraId="6E4D0FF8">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产品描述</w:t>
            </w:r>
          </w:p>
        </w:tc>
      </w:tr>
      <w:tr w14:paraId="666375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833" w:type="dxa"/>
            <w:vAlign w:val="center"/>
          </w:tcPr>
          <w:p w14:paraId="4CF1DF8E">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03" w:type="dxa"/>
            <w:vAlign w:val="center"/>
          </w:tcPr>
          <w:p w14:paraId="2D34C352">
            <w:pPr>
              <w:shd w:val="clear"/>
              <w:spacing w:line="360" w:lineRule="auto"/>
              <w:jc w:val="center"/>
              <w:rPr>
                <w:rFonts w:ascii="宋体" w:hAnsi="宋体" w:cs="宋体"/>
                <w:color w:val="auto"/>
                <w:sz w:val="24"/>
                <w:highlight w:val="none"/>
              </w:rPr>
            </w:pPr>
            <w:r>
              <w:rPr>
                <w:rStyle w:val="29"/>
                <w:rFonts w:hint="eastAsia" w:ascii="宋体" w:hAnsi="宋体" w:cs="宋体"/>
                <w:b w:val="0"/>
                <w:color w:val="auto"/>
                <w:sz w:val="24"/>
                <w:highlight w:val="none"/>
                <w:shd w:val="clear" w:color="auto" w:fill="FFFFFF"/>
              </w:rPr>
              <w:t>内窥镜工作站</w:t>
            </w:r>
          </w:p>
        </w:tc>
        <w:tc>
          <w:tcPr>
            <w:tcW w:w="7577" w:type="dxa"/>
            <w:gridSpan w:val="3"/>
          </w:tcPr>
          <w:p w14:paraId="2093C389">
            <w:pPr>
              <w:shd w:val="clear"/>
              <w:spacing w:line="360" w:lineRule="auto"/>
              <w:rPr>
                <w:rFonts w:ascii="宋体" w:hAnsi="宋体" w:cs="宋体"/>
                <w:color w:val="auto"/>
                <w:sz w:val="24"/>
                <w:highlight w:val="none"/>
              </w:rPr>
            </w:pPr>
            <w:r>
              <w:rPr>
                <w:rFonts w:hint="eastAsia" w:ascii="宋体" w:hAnsi="宋体" w:cs="宋体"/>
                <w:color w:val="auto"/>
                <w:sz w:val="24"/>
                <w:highlight w:val="none"/>
              </w:rPr>
              <w:t>具有中文WINDOWS10及以上正版操作系统授权，先进的逻辑设计、友好的中文操作用户界面，全图标化操作；拥有大量专家诊断词库和丰富的诊断模板，无须输入汉字就可生成规范化诊断报告单，而且可以根据操作医生的需求随意改写或增加模板 。</w:t>
            </w:r>
          </w:p>
          <w:p w14:paraId="2C9D519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1、可根据设备配置的不同，自由选择视频信号，工作站根据视频源的不同自动选择视频制式。</w:t>
            </w:r>
          </w:p>
          <w:p w14:paraId="1F8072D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2、可对视频影像任意调节动态的亮度、对比度、彩度、饱和度。</w:t>
            </w:r>
          </w:p>
          <w:p w14:paraId="3C782E4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3、一个病员拥有对应的动态图片库，该图片库可采集并保存无限幅图片，同时该图片库随新建病员而清空。</w:t>
            </w:r>
          </w:p>
          <w:p w14:paraId="2F9FA44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4、快速高质量采集动态真彩色图像，医学图像实时高保真采集和录像，图像清晰，具有动态图片库，滚动式回放浏览 ，并支持录像回放采集 。</w:t>
            </w:r>
          </w:p>
          <w:p w14:paraId="5389096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5、对于医师选定的需要打印的报告影像，支持自动记忆保存的功能。可支持设置无限幅图像的打印，满足医师对打印影像的要求。</w:t>
            </w:r>
          </w:p>
          <w:p w14:paraId="5A0F631C">
            <w:pPr>
              <w:shd w:val="clear"/>
              <w:spacing w:line="360" w:lineRule="auto"/>
              <w:rPr>
                <w:rFonts w:ascii="宋体" w:hAnsi="宋体" w:cs="宋体"/>
                <w:color w:val="auto"/>
                <w:sz w:val="24"/>
                <w:highlight w:val="none"/>
              </w:rPr>
            </w:pPr>
            <w:r>
              <w:rPr>
                <w:rFonts w:hint="eastAsia" w:ascii="宋体" w:hAnsi="宋体" w:cs="宋体"/>
                <w:color w:val="auto"/>
                <w:sz w:val="24"/>
                <w:highlight w:val="none"/>
              </w:rPr>
              <w:t>6、工作站图像可进行自定义伪彩编码模块，彩色显示方式灵活方便。</w:t>
            </w:r>
          </w:p>
          <w:p w14:paraId="190D090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7、对采集后的图像可进行测量、亮度、饱和度、对比度、增强、放大、镜像等的调节，在图像任意位置标注文字信息，对图像进行镜像。</w:t>
            </w:r>
          </w:p>
          <w:p w14:paraId="03ACA5B7">
            <w:pPr>
              <w:shd w:val="clear"/>
              <w:spacing w:line="360" w:lineRule="auto"/>
              <w:rPr>
                <w:rFonts w:ascii="宋体" w:hAnsi="宋体" w:cs="宋体"/>
                <w:color w:val="auto"/>
                <w:sz w:val="24"/>
                <w:highlight w:val="none"/>
              </w:rPr>
            </w:pPr>
            <w:r>
              <w:rPr>
                <w:rFonts w:hint="eastAsia" w:ascii="宋体" w:hAnsi="宋体" w:cs="宋体"/>
                <w:color w:val="auto"/>
                <w:sz w:val="24"/>
                <w:highlight w:val="none"/>
              </w:rPr>
              <w:t>8、可输出色彩逼真、图像清晰的图文报告单，且具有多种打印报告模式，支持A4、16开、B5等打印纸的打印，打印的报告图文并茂，打印报告时可通过预览打印，也可直接打印，</w:t>
            </w:r>
          </w:p>
          <w:p w14:paraId="2E20EEA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9、拥有大容量专家诊断词库和丰富的诊断模版，无须输入汉字就可生成规范化的诊断报告单。医生可按自己的使用频率设定模板的排列顺序</w:t>
            </w:r>
          </w:p>
          <w:p w14:paraId="2F14D0D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10、动态实时采集图像，支持后台脚踏开关高保真采集图像，图像采集可使用脚踏开关和鼠标。</w:t>
            </w:r>
          </w:p>
          <w:p w14:paraId="288CB77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11、可同时对多个病历进行操作，节约病人就诊时间，可解决医院由于病人多而来不及写报告的问题。</w:t>
            </w:r>
          </w:p>
          <w:p w14:paraId="576BBAB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12、病人的资料以网页的形式显示，便于携带，适用于医院、医学院，医师可编辑带图像的文件，进行学术研究和对外交流。</w:t>
            </w:r>
          </w:p>
          <w:p w14:paraId="70214FD9">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13、快捷的病历查询及统计，通过简单的查询方法，即可对以前做过的病员信息进行查询及统计。方便医院进行考核及评估。同时程序提供图片预览，可满足诊断医师的不同要求。</w:t>
            </w:r>
          </w:p>
          <w:p w14:paraId="6619D39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14、具有软件备份功能，在误操作或系统出现问题时可进行系统恢复。</w:t>
            </w:r>
          </w:p>
          <w:p w14:paraId="475015A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15、可选择没有打印报告单的病人进行集中打印。 </w:t>
            </w:r>
          </w:p>
          <w:p w14:paraId="2A3D5EBD">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16、具有大格式动态电影回放功能，保存录像文件为AVI大影像格式；支持录像回放、暂停显示；录像及回放过程中支持影像资料的采集。 </w:t>
            </w:r>
          </w:p>
          <w:p w14:paraId="113EA06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17、可提供定制病例项操作，满足医院对工作站扩展和延展性的要求</w:t>
            </w:r>
          </w:p>
          <w:p w14:paraId="49C91D0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18、具备自定义工具栏功能，可以方便使用者把最常用的操作放在最显著的位置</w:t>
            </w:r>
          </w:p>
          <w:p w14:paraId="447E6E9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19、检查部位、检查医生等经常需要输入的资料可通过在下拉列表中一次添加，永久选择来减轻医师的负担，提高检查和出报告的效率。</w:t>
            </w:r>
          </w:p>
          <w:p w14:paraId="00A0F3D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20、模板支持词条可选项功能，当模板中有关一个描述为多种描术时，这个词条呈现绿色，点击这个词条可弹出多个词条选择，节省工作时间，减少删除添加内容的麻烦，并支持词条的自定义功能。</w:t>
            </w:r>
          </w:p>
          <w:p w14:paraId="4606731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支持医院信息的自定义，包括医院的名称和logo等，自由设置院部信息，填写或更改院部名称、表头名称、起始序列号和部位、临床论断等信息，可使用多种输入法，输入病人的信息。</w:t>
            </w:r>
          </w:p>
          <w:p w14:paraId="1949155F">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21、提供多种图像采集方式，可自由设置采集图像的上下翻转和左右翻转，并可自定义翻转度数。</w:t>
            </w:r>
          </w:p>
          <w:p w14:paraId="1F492FA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22、支持视频的动态伪彩功能，具备22种不同的伪彩，对医生提高诊断率有很大帮助。</w:t>
            </w:r>
          </w:p>
          <w:p w14:paraId="4880A357">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23、具备视频动态裁剪功能，能对需要的视频区域裁剪，只采集有用的视频部分，可针对当前目前市场上设备的图像输出格式，剪裁为长方形、正方形、圆形、八角形等</w:t>
            </w:r>
          </w:p>
          <w:p w14:paraId="43310D9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24、支持图像的导入功能。</w:t>
            </w:r>
          </w:p>
          <w:p w14:paraId="2CE8A22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25、具备权限管理功能，为每个操作医生分配一个用户名，分配不同的操作权限，方便管理。</w:t>
            </w:r>
          </w:p>
          <w:p w14:paraId="75FC97D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26、支持报告单自定义功能。报告格式用户可自行任意修改，其界面全中文，支持拖放操作，所见即所得。</w:t>
            </w:r>
          </w:p>
          <w:p w14:paraId="15A466B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27、病人资料、影像和诊断信息实时自动保存，不会因误操作、病毒、断电等外界因素而导致病人信息的丢失。</w:t>
            </w:r>
          </w:p>
          <w:p w14:paraId="7110A21D">
            <w:pPr>
              <w:shd w:val="clear"/>
              <w:spacing w:line="360" w:lineRule="auto"/>
              <w:rPr>
                <w:rFonts w:hint="eastAsia" w:ascii="宋体" w:hAnsi="宋体" w:cs="宋体"/>
                <w:color w:val="auto"/>
                <w:sz w:val="24"/>
                <w:highlight w:val="none"/>
              </w:rPr>
            </w:pPr>
            <w:r>
              <w:rPr>
                <w:rFonts w:hint="eastAsia" w:ascii="宋体" w:hAnsi="宋体" w:cs="宋体"/>
                <w:color w:val="auto"/>
                <w:sz w:val="24"/>
                <w:highlight w:val="none"/>
              </w:rPr>
              <w:t>28、可设置自动登陆，开机后工作站软件运行并自动登陆</w:t>
            </w:r>
          </w:p>
          <w:p w14:paraId="1FA93772">
            <w:pPr>
              <w:pStyle w:val="12"/>
              <w:shd w:val="clear"/>
              <w:spacing w:line="360" w:lineRule="auto"/>
              <w:rPr>
                <w:rFonts w:ascii="宋体" w:hAnsi="宋体" w:cs="宋体"/>
                <w:color w:val="auto"/>
                <w:sz w:val="24"/>
                <w:highlight w:val="none"/>
              </w:rPr>
            </w:pPr>
            <w:r>
              <w:rPr>
                <w:rFonts w:hint="eastAsia"/>
                <w:color w:val="auto"/>
                <w:highlight w:val="none"/>
              </w:rPr>
              <w:t>29、</w:t>
            </w:r>
            <w:r>
              <w:rPr>
                <w:rFonts w:hint="eastAsia" w:ascii="宋体" w:hAnsi="宋体" w:cs="宋体"/>
                <w:color w:val="auto"/>
                <w:sz w:val="24"/>
                <w:highlight w:val="none"/>
              </w:rPr>
              <w:t>▲负责免费集成接入医院的信息系统（如PACS系统）。</w:t>
            </w:r>
          </w:p>
        </w:tc>
      </w:tr>
      <w:tr w14:paraId="052E5A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33" w:type="dxa"/>
            <w:vMerge w:val="restart"/>
            <w:vAlign w:val="center"/>
          </w:tcPr>
          <w:p w14:paraId="3AEC08DA">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03" w:type="dxa"/>
            <w:vMerge w:val="restart"/>
            <w:vAlign w:val="center"/>
          </w:tcPr>
          <w:p w14:paraId="4F0314D4">
            <w:pPr>
              <w:shd w:val="clear"/>
              <w:tabs>
                <w:tab w:val="left" w:pos="1620"/>
              </w:tabs>
              <w:spacing w:line="360" w:lineRule="auto"/>
              <w:ind w:left="27" w:leftChars="-90" w:hanging="216" w:hangingChars="90"/>
              <w:jc w:val="center"/>
              <w:rPr>
                <w:rFonts w:ascii="宋体" w:hAnsi="宋体" w:cs="宋体"/>
                <w:color w:val="auto"/>
                <w:sz w:val="24"/>
                <w:highlight w:val="none"/>
              </w:rPr>
            </w:pPr>
            <w:r>
              <w:rPr>
                <w:rFonts w:hint="eastAsia" w:ascii="宋体" w:hAnsi="宋体" w:cs="宋体"/>
                <w:color w:val="auto"/>
                <w:sz w:val="24"/>
                <w:highlight w:val="none"/>
              </w:rPr>
              <w:t>计 算 机</w:t>
            </w:r>
          </w:p>
        </w:tc>
        <w:tc>
          <w:tcPr>
            <w:tcW w:w="1368" w:type="dxa"/>
            <w:vAlign w:val="center"/>
          </w:tcPr>
          <w:p w14:paraId="09C4AB40">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CPU</w:t>
            </w:r>
          </w:p>
        </w:tc>
        <w:tc>
          <w:tcPr>
            <w:tcW w:w="6209" w:type="dxa"/>
            <w:gridSpan w:val="2"/>
            <w:vAlign w:val="center"/>
          </w:tcPr>
          <w:p w14:paraId="1B9903B0">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INTEL或AMD，≥四核芯，</w:t>
            </w:r>
            <w:r>
              <w:rPr>
                <w:rFonts w:hint="eastAsia" w:ascii="宋体" w:hAnsi="宋体" w:cs="宋体"/>
                <w:color w:val="auto"/>
                <w:sz w:val="24"/>
                <w:highlight w:val="none"/>
                <w:shd w:val="clear" w:color="auto" w:fill="FFFFFF"/>
              </w:rPr>
              <w:t>基准频率≥3.4GHz，最大加速频率≥4.2GHz</w:t>
            </w:r>
          </w:p>
        </w:tc>
      </w:tr>
      <w:tr w14:paraId="3A47C3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33" w:type="dxa"/>
            <w:vMerge w:val="continue"/>
            <w:vAlign w:val="center"/>
          </w:tcPr>
          <w:p w14:paraId="7028D2D6">
            <w:pPr>
              <w:shd w:val="clear"/>
              <w:spacing w:line="360" w:lineRule="auto"/>
              <w:jc w:val="center"/>
              <w:rPr>
                <w:rFonts w:ascii="宋体" w:hAnsi="宋体" w:cs="宋体"/>
                <w:color w:val="auto"/>
                <w:sz w:val="24"/>
                <w:highlight w:val="none"/>
              </w:rPr>
            </w:pPr>
          </w:p>
        </w:tc>
        <w:tc>
          <w:tcPr>
            <w:tcW w:w="1703" w:type="dxa"/>
            <w:vMerge w:val="continue"/>
            <w:vAlign w:val="center"/>
          </w:tcPr>
          <w:p w14:paraId="33A72CD1">
            <w:pPr>
              <w:shd w:val="clear"/>
              <w:spacing w:line="360" w:lineRule="auto"/>
              <w:jc w:val="center"/>
              <w:rPr>
                <w:rFonts w:ascii="宋体" w:hAnsi="宋体" w:cs="宋体"/>
                <w:color w:val="auto"/>
                <w:sz w:val="24"/>
                <w:highlight w:val="none"/>
              </w:rPr>
            </w:pPr>
          </w:p>
        </w:tc>
        <w:tc>
          <w:tcPr>
            <w:tcW w:w="1368" w:type="dxa"/>
            <w:vAlign w:val="center"/>
          </w:tcPr>
          <w:p w14:paraId="6867FEA5">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内存</w:t>
            </w:r>
          </w:p>
        </w:tc>
        <w:tc>
          <w:tcPr>
            <w:tcW w:w="6209" w:type="dxa"/>
            <w:gridSpan w:val="2"/>
            <w:vAlign w:val="center"/>
          </w:tcPr>
          <w:p w14:paraId="148C5C73">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≥16G DDR4</w:t>
            </w:r>
          </w:p>
        </w:tc>
      </w:tr>
      <w:tr w14:paraId="40A51C5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33" w:type="dxa"/>
            <w:vMerge w:val="continue"/>
            <w:vAlign w:val="center"/>
          </w:tcPr>
          <w:p w14:paraId="58045155">
            <w:pPr>
              <w:shd w:val="clear"/>
              <w:spacing w:line="360" w:lineRule="auto"/>
              <w:jc w:val="center"/>
              <w:rPr>
                <w:rFonts w:ascii="宋体" w:hAnsi="宋体" w:cs="宋体"/>
                <w:color w:val="auto"/>
                <w:sz w:val="24"/>
                <w:highlight w:val="none"/>
              </w:rPr>
            </w:pPr>
          </w:p>
        </w:tc>
        <w:tc>
          <w:tcPr>
            <w:tcW w:w="1703" w:type="dxa"/>
            <w:vMerge w:val="continue"/>
            <w:vAlign w:val="center"/>
          </w:tcPr>
          <w:p w14:paraId="3585BA0C">
            <w:pPr>
              <w:shd w:val="clear"/>
              <w:spacing w:line="360" w:lineRule="auto"/>
              <w:jc w:val="center"/>
              <w:rPr>
                <w:rFonts w:ascii="宋体" w:hAnsi="宋体" w:cs="宋体"/>
                <w:color w:val="auto"/>
                <w:sz w:val="24"/>
                <w:highlight w:val="none"/>
              </w:rPr>
            </w:pPr>
          </w:p>
        </w:tc>
        <w:tc>
          <w:tcPr>
            <w:tcW w:w="1368" w:type="dxa"/>
            <w:vAlign w:val="center"/>
          </w:tcPr>
          <w:p w14:paraId="3351DBDC">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硬盘</w:t>
            </w:r>
          </w:p>
        </w:tc>
        <w:tc>
          <w:tcPr>
            <w:tcW w:w="6209" w:type="dxa"/>
            <w:gridSpan w:val="2"/>
            <w:vAlign w:val="center"/>
          </w:tcPr>
          <w:p w14:paraId="642A169C">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≥256G固态+2TB 机械</w:t>
            </w:r>
          </w:p>
        </w:tc>
      </w:tr>
      <w:tr w14:paraId="7F06671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33" w:type="dxa"/>
            <w:vMerge w:val="continue"/>
            <w:vAlign w:val="center"/>
          </w:tcPr>
          <w:p w14:paraId="6D7889E7">
            <w:pPr>
              <w:shd w:val="clear"/>
              <w:spacing w:line="360" w:lineRule="auto"/>
              <w:jc w:val="center"/>
              <w:rPr>
                <w:rFonts w:ascii="宋体" w:hAnsi="宋体" w:cs="宋体"/>
                <w:color w:val="auto"/>
                <w:sz w:val="24"/>
                <w:highlight w:val="none"/>
              </w:rPr>
            </w:pPr>
          </w:p>
        </w:tc>
        <w:tc>
          <w:tcPr>
            <w:tcW w:w="1703" w:type="dxa"/>
            <w:vMerge w:val="continue"/>
            <w:vAlign w:val="center"/>
          </w:tcPr>
          <w:p w14:paraId="1E88C185">
            <w:pPr>
              <w:shd w:val="clear"/>
              <w:spacing w:line="360" w:lineRule="auto"/>
              <w:jc w:val="center"/>
              <w:rPr>
                <w:rFonts w:ascii="宋体" w:hAnsi="宋体" w:cs="宋体"/>
                <w:color w:val="auto"/>
                <w:sz w:val="24"/>
                <w:highlight w:val="none"/>
              </w:rPr>
            </w:pPr>
          </w:p>
        </w:tc>
        <w:tc>
          <w:tcPr>
            <w:tcW w:w="1368" w:type="dxa"/>
            <w:vAlign w:val="center"/>
          </w:tcPr>
          <w:p w14:paraId="475419A7">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网卡</w:t>
            </w:r>
          </w:p>
        </w:tc>
        <w:tc>
          <w:tcPr>
            <w:tcW w:w="6209" w:type="dxa"/>
            <w:gridSpan w:val="2"/>
            <w:vAlign w:val="center"/>
          </w:tcPr>
          <w:p w14:paraId="6E8B495A">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无线网卡自带蓝牙，集成1000M以太网卡</w:t>
            </w:r>
          </w:p>
        </w:tc>
      </w:tr>
      <w:tr w14:paraId="0C74FD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33" w:type="dxa"/>
            <w:vMerge w:val="continue"/>
            <w:vAlign w:val="center"/>
          </w:tcPr>
          <w:p w14:paraId="37A84CB4">
            <w:pPr>
              <w:shd w:val="clear"/>
              <w:spacing w:line="360" w:lineRule="auto"/>
              <w:jc w:val="center"/>
              <w:rPr>
                <w:rFonts w:ascii="宋体" w:hAnsi="宋体" w:cs="宋体"/>
                <w:color w:val="auto"/>
                <w:sz w:val="24"/>
                <w:highlight w:val="none"/>
              </w:rPr>
            </w:pPr>
          </w:p>
        </w:tc>
        <w:tc>
          <w:tcPr>
            <w:tcW w:w="1703" w:type="dxa"/>
            <w:vMerge w:val="continue"/>
            <w:vAlign w:val="center"/>
          </w:tcPr>
          <w:p w14:paraId="4F41DA47">
            <w:pPr>
              <w:shd w:val="clear"/>
              <w:spacing w:line="360" w:lineRule="auto"/>
              <w:jc w:val="center"/>
              <w:rPr>
                <w:rFonts w:ascii="宋体" w:hAnsi="宋体" w:cs="宋体"/>
                <w:color w:val="auto"/>
                <w:sz w:val="24"/>
                <w:highlight w:val="none"/>
              </w:rPr>
            </w:pPr>
          </w:p>
        </w:tc>
        <w:tc>
          <w:tcPr>
            <w:tcW w:w="1368" w:type="dxa"/>
            <w:vAlign w:val="center"/>
          </w:tcPr>
          <w:p w14:paraId="0449A83C">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光驱</w:t>
            </w:r>
          </w:p>
        </w:tc>
        <w:tc>
          <w:tcPr>
            <w:tcW w:w="6209" w:type="dxa"/>
            <w:gridSpan w:val="2"/>
            <w:vAlign w:val="center"/>
          </w:tcPr>
          <w:p w14:paraId="7E3E0352">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无</w:t>
            </w:r>
          </w:p>
        </w:tc>
      </w:tr>
      <w:tr w14:paraId="6F1BDE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33" w:type="dxa"/>
            <w:vMerge w:val="continue"/>
            <w:vAlign w:val="center"/>
          </w:tcPr>
          <w:p w14:paraId="7C6A0E63">
            <w:pPr>
              <w:shd w:val="clear"/>
              <w:spacing w:line="360" w:lineRule="auto"/>
              <w:jc w:val="center"/>
              <w:rPr>
                <w:rFonts w:ascii="宋体" w:hAnsi="宋体" w:cs="宋体"/>
                <w:color w:val="auto"/>
                <w:sz w:val="24"/>
                <w:highlight w:val="none"/>
              </w:rPr>
            </w:pPr>
          </w:p>
        </w:tc>
        <w:tc>
          <w:tcPr>
            <w:tcW w:w="1703" w:type="dxa"/>
            <w:vMerge w:val="continue"/>
            <w:vAlign w:val="center"/>
          </w:tcPr>
          <w:p w14:paraId="34A87ED1">
            <w:pPr>
              <w:shd w:val="clear"/>
              <w:spacing w:line="360" w:lineRule="auto"/>
              <w:jc w:val="center"/>
              <w:rPr>
                <w:rFonts w:ascii="宋体" w:hAnsi="宋体" w:cs="宋体"/>
                <w:color w:val="auto"/>
                <w:sz w:val="24"/>
                <w:highlight w:val="none"/>
              </w:rPr>
            </w:pPr>
          </w:p>
        </w:tc>
        <w:tc>
          <w:tcPr>
            <w:tcW w:w="1368" w:type="dxa"/>
            <w:vAlign w:val="center"/>
          </w:tcPr>
          <w:p w14:paraId="082FF3BA">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显示器</w:t>
            </w:r>
          </w:p>
        </w:tc>
        <w:tc>
          <w:tcPr>
            <w:tcW w:w="6209" w:type="dxa"/>
            <w:gridSpan w:val="2"/>
            <w:vAlign w:val="center"/>
          </w:tcPr>
          <w:p w14:paraId="37295FF2">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≥24英寸≥2K分辨率液晶 ≥75Hz</w:t>
            </w:r>
          </w:p>
          <w:p w14:paraId="437E9FE8">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ΔE＜2 广色域</w:t>
            </w:r>
          </w:p>
        </w:tc>
      </w:tr>
      <w:tr w14:paraId="186A95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833" w:type="dxa"/>
            <w:vAlign w:val="center"/>
          </w:tcPr>
          <w:p w14:paraId="438D42E7">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703" w:type="dxa"/>
            <w:vAlign w:val="center"/>
          </w:tcPr>
          <w:p w14:paraId="4DF8EA71">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打 印 机</w:t>
            </w:r>
          </w:p>
        </w:tc>
        <w:tc>
          <w:tcPr>
            <w:tcW w:w="7577" w:type="dxa"/>
            <w:gridSpan w:val="3"/>
            <w:vAlign w:val="center"/>
          </w:tcPr>
          <w:p w14:paraId="034415C4">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彩色打印机</w:t>
            </w:r>
          </w:p>
        </w:tc>
      </w:tr>
      <w:tr w14:paraId="14CFFA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11" w:hRule="atLeast"/>
        </w:trPr>
        <w:tc>
          <w:tcPr>
            <w:tcW w:w="833" w:type="dxa"/>
            <w:vAlign w:val="center"/>
          </w:tcPr>
          <w:p w14:paraId="4DDE8AFE">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703" w:type="dxa"/>
            <w:vAlign w:val="center"/>
          </w:tcPr>
          <w:p w14:paraId="7C5DA74C">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高清视频采集卡 </w:t>
            </w:r>
          </w:p>
        </w:tc>
        <w:tc>
          <w:tcPr>
            <w:tcW w:w="7577" w:type="dxa"/>
            <w:gridSpan w:val="3"/>
            <w:vAlign w:val="center"/>
          </w:tcPr>
          <w:p w14:paraId="7461728F">
            <w:pPr>
              <w:numPr>
                <w:ilvl w:val="0"/>
                <w:numId w:val="5"/>
              </w:numPr>
              <w:shd w:val="clear"/>
              <w:spacing w:line="360" w:lineRule="auto"/>
              <w:ind w:left="240" w:hanging="240" w:hangingChars="100"/>
              <w:rPr>
                <w:rFonts w:ascii="宋体" w:hAnsi="宋体" w:cs="宋体"/>
                <w:color w:val="auto"/>
                <w:sz w:val="24"/>
                <w:highlight w:val="none"/>
              </w:rPr>
            </w:pPr>
            <w:r>
              <w:rPr>
                <w:rFonts w:hint="eastAsia" w:ascii="宋体" w:hAnsi="宋体" w:cs="宋体"/>
                <w:color w:val="auto"/>
                <w:sz w:val="24"/>
                <w:highlight w:val="none"/>
              </w:rPr>
              <w:t>支持DVI、HDMI、SDI等高清信号接入；</w:t>
            </w:r>
          </w:p>
          <w:p w14:paraId="3ED5F57E">
            <w:pPr>
              <w:shd w:val="clear"/>
              <w:spacing w:line="360" w:lineRule="auto"/>
              <w:ind w:left="240" w:hanging="240" w:hangingChars="100"/>
              <w:rPr>
                <w:rFonts w:ascii="宋体" w:hAnsi="宋体" w:cs="宋体"/>
                <w:color w:val="auto"/>
                <w:sz w:val="24"/>
                <w:highlight w:val="none"/>
              </w:rPr>
            </w:pPr>
            <w:r>
              <w:rPr>
                <w:rFonts w:hint="eastAsia" w:ascii="宋体" w:hAnsi="宋体" w:cs="宋体"/>
                <w:color w:val="auto"/>
                <w:sz w:val="24"/>
                <w:highlight w:val="none"/>
              </w:rPr>
              <w:t>2. 支持1280x720、1920x1080等高分辨率、高清逐行信号；</w:t>
            </w:r>
          </w:p>
          <w:p w14:paraId="3A8AA470">
            <w:pPr>
              <w:shd w:val="clear"/>
              <w:adjustRightInd w:val="0"/>
              <w:snapToGrid w:val="0"/>
              <w:spacing w:line="360" w:lineRule="auto"/>
              <w:rPr>
                <w:rFonts w:ascii="宋体" w:hAnsi="宋体" w:cs="宋体"/>
                <w:color w:val="auto"/>
                <w:sz w:val="24"/>
                <w:highlight w:val="none"/>
              </w:rPr>
            </w:pPr>
            <w:r>
              <w:rPr>
                <w:rFonts w:hint="eastAsia" w:ascii="宋体" w:hAnsi="宋体" w:cs="宋体"/>
                <w:color w:val="auto"/>
                <w:sz w:val="24"/>
                <w:highlight w:val="none"/>
              </w:rPr>
              <w:t>3. 支持视频分辨率等参数侦测；</w:t>
            </w:r>
          </w:p>
        </w:tc>
      </w:tr>
      <w:tr w14:paraId="66B4B7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trPr>
        <w:tc>
          <w:tcPr>
            <w:tcW w:w="833" w:type="dxa"/>
            <w:vMerge w:val="restart"/>
            <w:vAlign w:val="center"/>
          </w:tcPr>
          <w:p w14:paraId="0AAE3BAC">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1703" w:type="dxa"/>
            <w:vMerge w:val="restart"/>
            <w:vAlign w:val="center"/>
          </w:tcPr>
          <w:p w14:paraId="01E31B33">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相关配件</w:t>
            </w:r>
          </w:p>
        </w:tc>
        <w:tc>
          <w:tcPr>
            <w:tcW w:w="1994" w:type="dxa"/>
            <w:gridSpan w:val="2"/>
            <w:vAlign w:val="center"/>
          </w:tcPr>
          <w:p w14:paraId="02DA2674">
            <w:pPr>
              <w:pStyle w:val="12"/>
              <w:shd w:val="clear"/>
              <w:spacing w:line="360" w:lineRule="auto"/>
              <w:rPr>
                <w:rFonts w:ascii="宋体" w:hAnsi="宋体" w:cs="宋体"/>
                <w:color w:val="auto"/>
                <w:sz w:val="24"/>
                <w:highlight w:val="none"/>
              </w:rPr>
            </w:pPr>
            <w:r>
              <w:rPr>
                <w:rFonts w:hint="eastAsia" w:ascii="宋体" w:hAnsi="宋体" w:cs="宋体"/>
                <w:color w:val="auto"/>
                <w:sz w:val="24"/>
                <w:highlight w:val="none"/>
              </w:rPr>
              <w:t>采集开关</w:t>
            </w:r>
          </w:p>
        </w:tc>
        <w:tc>
          <w:tcPr>
            <w:tcW w:w="5583" w:type="dxa"/>
            <w:vAlign w:val="center"/>
          </w:tcPr>
          <w:p w14:paraId="6B48C917">
            <w:pPr>
              <w:shd w:val="clear"/>
              <w:spacing w:line="360" w:lineRule="auto"/>
              <w:ind w:firstLine="1200" w:firstLineChars="500"/>
              <w:rPr>
                <w:rFonts w:ascii="宋体" w:hAnsi="宋体" w:cs="宋体"/>
                <w:color w:val="auto"/>
                <w:sz w:val="24"/>
                <w:highlight w:val="none"/>
              </w:rPr>
            </w:pPr>
            <w:r>
              <w:rPr>
                <w:rFonts w:hint="eastAsia" w:ascii="宋体" w:hAnsi="宋体" w:cs="宋体"/>
                <w:color w:val="auto"/>
                <w:sz w:val="24"/>
                <w:highlight w:val="none"/>
              </w:rPr>
              <w:t>USB脚踏采集开关</w:t>
            </w:r>
          </w:p>
        </w:tc>
      </w:tr>
      <w:tr w14:paraId="22F0CC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trPr>
        <w:tc>
          <w:tcPr>
            <w:tcW w:w="833" w:type="dxa"/>
            <w:vMerge w:val="continue"/>
            <w:vAlign w:val="center"/>
          </w:tcPr>
          <w:p w14:paraId="71A7DC98">
            <w:pPr>
              <w:shd w:val="clear"/>
              <w:spacing w:line="360" w:lineRule="auto"/>
              <w:jc w:val="center"/>
              <w:rPr>
                <w:rFonts w:ascii="宋体" w:hAnsi="宋体" w:cs="宋体"/>
                <w:color w:val="auto"/>
                <w:sz w:val="24"/>
                <w:highlight w:val="none"/>
              </w:rPr>
            </w:pPr>
          </w:p>
        </w:tc>
        <w:tc>
          <w:tcPr>
            <w:tcW w:w="1703" w:type="dxa"/>
            <w:vMerge w:val="continue"/>
            <w:vAlign w:val="center"/>
          </w:tcPr>
          <w:p w14:paraId="7EFACEF2">
            <w:pPr>
              <w:shd w:val="clear"/>
              <w:spacing w:line="360" w:lineRule="auto"/>
              <w:ind w:left="135"/>
              <w:rPr>
                <w:rFonts w:ascii="宋体" w:hAnsi="宋体" w:cs="宋体"/>
                <w:color w:val="auto"/>
                <w:sz w:val="24"/>
                <w:highlight w:val="none"/>
              </w:rPr>
            </w:pPr>
          </w:p>
        </w:tc>
        <w:tc>
          <w:tcPr>
            <w:tcW w:w="1994" w:type="dxa"/>
            <w:gridSpan w:val="2"/>
            <w:vAlign w:val="center"/>
          </w:tcPr>
          <w:p w14:paraId="1A841E69">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视频数据线</w:t>
            </w:r>
          </w:p>
        </w:tc>
        <w:tc>
          <w:tcPr>
            <w:tcW w:w="5583" w:type="dxa"/>
            <w:vAlign w:val="center"/>
          </w:tcPr>
          <w:p w14:paraId="0EE5CC94">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高品质SDI视频输入线</w:t>
            </w:r>
          </w:p>
        </w:tc>
      </w:tr>
      <w:tr w14:paraId="0D8810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trPr>
        <w:tc>
          <w:tcPr>
            <w:tcW w:w="833" w:type="dxa"/>
            <w:vMerge w:val="continue"/>
            <w:vAlign w:val="center"/>
          </w:tcPr>
          <w:p w14:paraId="663E9A5F">
            <w:pPr>
              <w:shd w:val="clear"/>
              <w:spacing w:line="360" w:lineRule="auto"/>
              <w:jc w:val="center"/>
              <w:rPr>
                <w:rFonts w:ascii="宋体" w:hAnsi="宋体" w:cs="宋体"/>
                <w:color w:val="auto"/>
                <w:sz w:val="24"/>
                <w:highlight w:val="none"/>
              </w:rPr>
            </w:pPr>
          </w:p>
        </w:tc>
        <w:tc>
          <w:tcPr>
            <w:tcW w:w="1703" w:type="dxa"/>
            <w:vMerge w:val="continue"/>
            <w:vAlign w:val="center"/>
          </w:tcPr>
          <w:p w14:paraId="6195103F">
            <w:pPr>
              <w:shd w:val="clear"/>
              <w:spacing w:line="360" w:lineRule="auto"/>
              <w:rPr>
                <w:rFonts w:ascii="宋体" w:hAnsi="宋体" w:cs="宋体"/>
                <w:color w:val="auto"/>
                <w:sz w:val="24"/>
                <w:highlight w:val="none"/>
              </w:rPr>
            </w:pPr>
          </w:p>
        </w:tc>
        <w:tc>
          <w:tcPr>
            <w:tcW w:w="1994" w:type="dxa"/>
            <w:gridSpan w:val="2"/>
            <w:vAlign w:val="center"/>
          </w:tcPr>
          <w:p w14:paraId="163A2B55">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软件加密狗</w:t>
            </w:r>
          </w:p>
        </w:tc>
        <w:tc>
          <w:tcPr>
            <w:tcW w:w="5583" w:type="dxa"/>
            <w:vAlign w:val="center"/>
          </w:tcPr>
          <w:p w14:paraId="206EFCDE">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USB加密狗</w:t>
            </w:r>
          </w:p>
        </w:tc>
      </w:tr>
      <w:tr w14:paraId="57A11DF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97" w:hRule="atLeast"/>
        </w:trPr>
        <w:tc>
          <w:tcPr>
            <w:tcW w:w="833" w:type="dxa"/>
            <w:vMerge w:val="continue"/>
            <w:vAlign w:val="center"/>
          </w:tcPr>
          <w:p w14:paraId="582F9BF8">
            <w:pPr>
              <w:shd w:val="clear"/>
              <w:spacing w:line="360" w:lineRule="auto"/>
              <w:jc w:val="center"/>
              <w:rPr>
                <w:rFonts w:ascii="宋体" w:hAnsi="宋体" w:cs="宋体"/>
                <w:color w:val="auto"/>
                <w:sz w:val="24"/>
                <w:highlight w:val="none"/>
              </w:rPr>
            </w:pPr>
          </w:p>
        </w:tc>
        <w:tc>
          <w:tcPr>
            <w:tcW w:w="1703" w:type="dxa"/>
            <w:vMerge w:val="continue"/>
            <w:vAlign w:val="center"/>
          </w:tcPr>
          <w:p w14:paraId="65EC18DA">
            <w:pPr>
              <w:shd w:val="clear"/>
              <w:spacing w:line="360" w:lineRule="auto"/>
              <w:rPr>
                <w:rFonts w:ascii="宋体" w:hAnsi="宋体" w:cs="宋体"/>
                <w:color w:val="auto"/>
                <w:sz w:val="24"/>
                <w:highlight w:val="none"/>
              </w:rPr>
            </w:pPr>
          </w:p>
        </w:tc>
        <w:tc>
          <w:tcPr>
            <w:tcW w:w="1994" w:type="dxa"/>
            <w:gridSpan w:val="2"/>
            <w:vAlign w:val="center"/>
          </w:tcPr>
          <w:p w14:paraId="1714A442">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软件安装包</w:t>
            </w:r>
          </w:p>
        </w:tc>
        <w:tc>
          <w:tcPr>
            <w:tcW w:w="5583" w:type="dxa"/>
            <w:vAlign w:val="center"/>
          </w:tcPr>
          <w:p w14:paraId="159FF7DB">
            <w:pPr>
              <w:shd w:val="clear"/>
              <w:spacing w:line="360" w:lineRule="auto"/>
              <w:jc w:val="center"/>
              <w:rPr>
                <w:rFonts w:ascii="宋体" w:hAnsi="宋体" w:cs="宋体"/>
                <w:color w:val="auto"/>
                <w:sz w:val="24"/>
                <w:highlight w:val="none"/>
              </w:rPr>
            </w:pPr>
            <w:r>
              <w:rPr>
                <w:rFonts w:hint="eastAsia" w:ascii="宋体" w:hAnsi="宋体" w:cs="宋体"/>
                <w:color w:val="auto"/>
                <w:sz w:val="24"/>
                <w:highlight w:val="none"/>
              </w:rPr>
              <w:t>数字版文件直接拷贝至电脑</w:t>
            </w:r>
          </w:p>
        </w:tc>
      </w:tr>
    </w:tbl>
    <w:p w14:paraId="2E9AC46A">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33397014">
      <w:pPr>
        <w:shd w:val="clea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序号7：鼻、颅底内镜手术器械套件</w:t>
      </w:r>
    </w:p>
    <w:p w14:paraId="5758E30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一、鼻科器械</w:t>
      </w:r>
    </w:p>
    <w:p w14:paraId="6DBB769E">
      <w:pPr>
        <w:shd w:val="clear"/>
        <w:spacing w:line="360" w:lineRule="auto"/>
        <w:jc w:val="left"/>
        <w:rPr>
          <w:rFonts w:ascii="宋体" w:hAnsi="宋体" w:cs="宋体"/>
          <w:color w:val="auto"/>
          <w:sz w:val="24"/>
          <w:highlight w:val="none"/>
        </w:rPr>
      </w:pPr>
      <w:r>
        <w:rPr>
          <w:rFonts w:ascii="宋体" w:hAnsi="宋体"/>
          <w:color w:val="auto"/>
          <w:sz w:val="24"/>
          <w:highlight w:val="none"/>
        </w:rPr>
        <w:t>1.</w:t>
      </w:r>
      <w:r>
        <w:rPr>
          <w:rFonts w:hint="eastAsia" w:ascii="宋体" w:hAnsi="宋体" w:cs="宋体"/>
          <w:color w:val="auto"/>
          <w:sz w:val="24"/>
          <w:highlight w:val="none"/>
        </w:rPr>
        <w:t>鼻用镊：长≥160mm，3把</w:t>
      </w:r>
    </w:p>
    <w:p w14:paraId="0C8DA92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1.1材质：鼻用镊采用05Cr17Ni4Cu4Nb(YY0672.1-2008)材质；</w:t>
      </w:r>
    </w:p>
    <w:p w14:paraId="05737BA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1.2粗糙度：鼻用镊表面粗糙度Ra值≤0.8um</w:t>
      </w:r>
    </w:p>
    <w:p w14:paraId="5D56779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1.3鼻用镊韧性及回弹力好，镊齿均匀，表面平整光滑、无毛刺和锋棱、无肉眼可见的孔隙、裂缝、沟槽和烧结物，以及无磨削剂、抛光剂和防腐剂。</w:t>
      </w:r>
    </w:p>
    <w:p w14:paraId="134BFC9B">
      <w:pPr>
        <w:shd w:val="clear"/>
        <w:spacing w:line="360" w:lineRule="auto"/>
        <w:jc w:val="left"/>
        <w:rPr>
          <w:rFonts w:ascii="宋体" w:hAnsi="宋体" w:cs="宋体"/>
          <w:color w:val="auto"/>
          <w:sz w:val="24"/>
          <w:highlight w:val="none"/>
        </w:rPr>
      </w:pPr>
      <w:r>
        <w:rPr>
          <w:rFonts w:ascii="宋体" w:hAnsi="宋体"/>
          <w:color w:val="auto"/>
          <w:sz w:val="24"/>
          <w:highlight w:val="none"/>
        </w:rPr>
        <w:t>2.</w:t>
      </w:r>
      <w:r>
        <w:rPr>
          <w:rFonts w:hint="eastAsia" w:ascii="宋体" w:hAnsi="宋体" w:cs="宋体"/>
          <w:color w:val="auto"/>
          <w:sz w:val="24"/>
          <w:highlight w:val="none"/>
        </w:rPr>
        <w:t>鼻用镊：长≥180mm ，3把</w:t>
      </w:r>
    </w:p>
    <w:p w14:paraId="6B810576">
      <w:pPr>
        <w:shd w:val="clear"/>
        <w:spacing w:line="360" w:lineRule="auto"/>
        <w:jc w:val="left"/>
        <w:rPr>
          <w:rFonts w:ascii="宋体" w:hAnsi="宋体" w:cs="宋体"/>
          <w:color w:val="auto"/>
          <w:sz w:val="24"/>
          <w:highlight w:val="none"/>
        </w:rPr>
      </w:pPr>
      <w:r>
        <w:rPr>
          <w:rFonts w:ascii="宋体" w:hAnsi="宋体"/>
          <w:color w:val="auto"/>
          <w:sz w:val="24"/>
          <w:highlight w:val="none"/>
        </w:rPr>
        <w:t>2.</w:t>
      </w:r>
      <w:r>
        <w:rPr>
          <w:rFonts w:hint="eastAsia" w:ascii="宋体" w:hAnsi="宋体"/>
          <w:color w:val="auto"/>
          <w:sz w:val="24"/>
          <w:highlight w:val="none"/>
        </w:rPr>
        <w:t>1</w:t>
      </w:r>
      <w:r>
        <w:rPr>
          <w:rFonts w:hint="eastAsia" w:ascii="宋体" w:hAnsi="宋体" w:cs="宋体"/>
          <w:color w:val="auto"/>
          <w:sz w:val="24"/>
          <w:highlight w:val="none"/>
        </w:rPr>
        <w:t>材质：鼻用镊采用05Cr17Ni4Cu4Nb(YY0672.1-2008)材质；</w:t>
      </w:r>
    </w:p>
    <w:p w14:paraId="002393F1">
      <w:pPr>
        <w:shd w:val="clear"/>
        <w:spacing w:line="360" w:lineRule="auto"/>
        <w:jc w:val="left"/>
        <w:rPr>
          <w:rFonts w:ascii="宋体" w:hAnsi="宋体" w:cs="宋体"/>
          <w:color w:val="auto"/>
          <w:sz w:val="24"/>
          <w:highlight w:val="none"/>
        </w:rPr>
      </w:pPr>
      <w:r>
        <w:rPr>
          <w:rFonts w:ascii="宋体" w:hAnsi="宋体"/>
          <w:color w:val="auto"/>
          <w:sz w:val="24"/>
          <w:highlight w:val="none"/>
        </w:rPr>
        <w:t>2.</w:t>
      </w:r>
      <w:r>
        <w:rPr>
          <w:rFonts w:hint="eastAsia" w:ascii="宋体" w:hAnsi="宋体"/>
          <w:color w:val="auto"/>
          <w:sz w:val="24"/>
          <w:highlight w:val="none"/>
        </w:rPr>
        <w:t>2</w:t>
      </w:r>
      <w:r>
        <w:rPr>
          <w:rFonts w:hint="eastAsia" w:ascii="宋体" w:hAnsi="宋体" w:cs="宋体"/>
          <w:color w:val="auto"/>
          <w:sz w:val="24"/>
          <w:highlight w:val="none"/>
        </w:rPr>
        <w:t>粗糙度：鼻用镊表面粗糙度Ra值≤0.8um</w:t>
      </w:r>
    </w:p>
    <w:p w14:paraId="3A872DF7">
      <w:pPr>
        <w:shd w:val="clear"/>
        <w:spacing w:line="360" w:lineRule="auto"/>
        <w:jc w:val="left"/>
        <w:rPr>
          <w:rFonts w:ascii="宋体" w:hAnsi="宋体" w:cs="宋体"/>
          <w:color w:val="auto"/>
          <w:sz w:val="24"/>
          <w:highlight w:val="none"/>
        </w:rPr>
      </w:pPr>
      <w:r>
        <w:rPr>
          <w:rFonts w:ascii="宋体" w:hAnsi="宋体"/>
          <w:color w:val="auto"/>
          <w:sz w:val="24"/>
          <w:highlight w:val="none"/>
        </w:rPr>
        <w:t>2.</w:t>
      </w:r>
      <w:r>
        <w:rPr>
          <w:rFonts w:hint="eastAsia" w:ascii="宋体" w:hAnsi="宋体"/>
          <w:color w:val="auto"/>
          <w:sz w:val="24"/>
          <w:highlight w:val="none"/>
        </w:rPr>
        <w:t>3</w:t>
      </w:r>
      <w:r>
        <w:rPr>
          <w:rFonts w:hint="eastAsia" w:ascii="宋体" w:hAnsi="宋体" w:cs="宋体"/>
          <w:color w:val="auto"/>
          <w:sz w:val="24"/>
          <w:highlight w:val="none"/>
        </w:rPr>
        <w:t>鼻用镊韧性及回弹力好，镊齿均匀，表面平整光滑、无毛刺和锋棱、无肉眼可见的孔隙、裂缝、沟槽和烧结物，以及无磨削剂、抛光剂和防腐剂。</w:t>
      </w:r>
    </w:p>
    <w:p w14:paraId="2FEDD742">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w:t>
      </w:r>
      <w:r>
        <w:rPr>
          <w:rFonts w:hint="eastAsia" w:ascii="宋体" w:hAnsi="宋体" w:cs="宋体"/>
          <w:color w:val="auto"/>
          <w:kern w:val="0"/>
          <w:sz w:val="24"/>
          <w:highlight w:val="none"/>
          <w:lang w:bidi="ar"/>
        </w:rPr>
        <w:t>鼻吸引管：φ2.5mm,工长≥140mm ，1根</w:t>
      </w:r>
    </w:p>
    <w:p w14:paraId="70A49860">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493B5665">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366F699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68DF0CA1">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4.</w:t>
      </w:r>
      <w:r>
        <w:rPr>
          <w:rFonts w:hint="eastAsia" w:ascii="宋体" w:hAnsi="宋体" w:cs="宋体"/>
          <w:color w:val="auto"/>
          <w:kern w:val="0"/>
          <w:sz w:val="24"/>
          <w:highlight w:val="none"/>
          <w:lang w:bidi="ar"/>
        </w:rPr>
        <w:t>鼻吸引管: φ3.5mm,工长≥140mm ,1根</w:t>
      </w:r>
    </w:p>
    <w:p w14:paraId="515FD56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7D17929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6C28F77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3892622A">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5.鼻吸引管:φ2.5mm,工长≥105mm，上颌窦平口60°防堵塞大弯,2根</w:t>
      </w:r>
    </w:p>
    <w:p w14:paraId="013EECC6">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5.</w:t>
      </w:r>
      <w:r>
        <w:rPr>
          <w:rFonts w:hint="eastAsia" w:ascii="宋体" w:hAnsi="宋体" w:cs="宋体"/>
          <w:color w:val="auto"/>
          <w:sz w:val="24"/>
          <w:highlight w:val="none"/>
        </w:rPr>
        <w:t>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4839A3BD">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5.</w:t>
      </w:r>
      <w:r>
        <w:rPr>
          <w:rFonts w:hint="eastAsia" w:ascii="宋体" w:hAnsi="宋体" w:cs="宋体"/>
          <w:color w:val="auto"/>
          <w:sz w:val="24"/>
          <w:highlight w:val="none"/>
        </w:rPr>
        <w:t>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43857CDE">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5.</w:t>
      </w:r>
      <w:r>
        <w:rPr>
          <w:rFonts w:hint="eastAsia" w:ascii="宋体" w:hAnsi="宋体" w:cs="宋体"/>
          <w:color w:val="auto"/>
          <w:sz w:val="24"/>
          <w:highlight w:val="none"/>
        </w:rPr>
        <w:t>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3EB84ED1">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6. </w:t>
      </w:r>
      <w:r>
        <w:rPr>
          <w:rFonts w:hint="eastAsia" w:ascii="宋体" w:hAnsi="宋体" w:cs="宋体"/>
          <w:color w:val="auto"/>
          <w:kern w:val="0"/>
          <w:sz w:val="24"/>
          <w:highlight w:val="none"/>
          <w:lang w:bidi="ar"/>
        </w:rPr>
        <w:t>鼻吸引管:φ3.5mm,工长≥105mm，上颌窦平口60°防堵塞大弯, 2根</w:t>
      </w:r>
    </w:p>
    <w:p w14:paraId="3C00AC1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6.1材质：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30AB2B5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6.2粗糙度：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4942CFE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0983821F">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7. </w:t>
      </w:r>
      <w:r>
        <w:rPr>
          <w:rFonts w:hint="eastAsia" w:ascii="宋体" w:hAnsi="宋体" w:cs="宋体"/>
          <w:color w:val="auto"/>
          <w:kern w:val="0"/>
          <w:sz w:val="24"/>
          <w:highlight w:val="none"/>
          <w:lang w:bidi="ar"/>
        </w:rPr>
        <w:t>鼻吸引管:φ2.5mm,工长≥105mm，上颌窦平口90°防堵塞,2根</w:t>
      </w:r>
    </w:p>
    <w:p w14:paraId="617831D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7.1材质：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4175EA9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7.2粗糙度：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0EB6D71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7.3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0239BBA5">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8. </w:t>
      </w:r>
      <w:r>
        <w:rPr>
          <w:rFonts w:hint="eastAsia" w:ascii="宋体" w:hAnsi="宋体" w:cs="宋体"/>
          <w:color w:val="auto"/>
          <w:kern w:val="0"/>
          <w:sz w:val="24"/>
          <w:highlight w:val="none"/>
          <w:lang w:bidi="ar"/>
        </w:rPr>
        <w:t>鼻骨复位器: 长20cm,间隙≥1.8mm,1把</w:t>
      </w:r>
    </w:p>
    <w:p w14:paraId="3F435DF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8.1材质：</w:t>
      </w:r>
      <w:r>
        <w:rPr>
          <w:rFonts w:hint="eastAsia" w:ascii="宋体" w:hAnsi="宋体" w:cs="宋体"/>
          <w:color w:val="auto"/>
          <w:kern w:val="0"/>
          <w:sz w:val="24"/>
          <w:highlight w:val="none"/>
          <w:lang w:bidi="ar"/>
        </w:rPr>
        <w:t>鼻骨复位器</w:t>
      </w:r>
      <w:r>
        <w:rPr>
          <w:rFonts w:hint="eastAsia" w:ascii="宋体" w:hAnsi="宋体" w:cs="宋体"/>
          <w:color w:val="auto"/>
          <w:sz w:val="24"/>
          <w:highlight w:val="none"/>
        </w:rPr>
        <w:t>采用05Cr17Ni4Cu4Nb(YY0672.1-2008)材质；</w:t>
      </w:r>
    </w:p>
    <w:p w14:paraId="7B86D39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8.2粗糙度：</w:t>
      </w:r>
      <w:r>
        <w:rPr>
          <w:rFonts w:hint="eastAsia" w:ascii="宋体" w:hAnsi="宋体" w:cs="宋体"/>
          <w:color w:val="auto"/>
          <w:kern w:val="0"/>
          <w:sz w:val="24"/>
          <w:highlight w:val="none"/>
          <w:lang w:bidi="ar"/>
        </w:rPr>
        <w:t>鼻骨复位器</w:t>
      </w:r>
      <w:r>
        <w:rPr>
          <w:rFonts w:hint="eastAsia" w:ascii="宋体" w:hAnsi="宋体" w:cs="宋体"/>
          <w:color w:val="auto"/>
          <w:sz w:val="24"/>
          <w:highlight w:val="none"/>
        </w:rPr>
        <w:t>表面粗糙度Ra值≤0.8um</w:t>
      </w:r>
    </w:p>
    <w:p w14:paraId="6B1F6AE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8.3</w:t>
      </w:r>
      <w:r>
        <w:rPr>
          <w:rFonts w:hint="eastAsia" w:ascii="宋体" w:hAnsi="宋体" w:cs="宋体"/>
          <w:color w:val="auto"/>
          <w:kern w:val="0"/>
          <w:sz w:val="24"/>
          <w:highlight w:val="none"/>
          <w:lang w:bidi="ar"/>
        </w:rPr>
        <w:t>鼻骨复位器</w:t>
      </w:r>
      <w:r>
        <w:rPr>
          <w:rFonts w:hint="eastAsia" w:ascii="宋体" w:hAnsi="宋体" w:cs="宋体"/>
          <w:color w:val="auto"/>
          <w:sz w:val="24"/>
          <w:highlight w:val="none"/>
        </w:rPr>
        <w:t>钳齿均匀，表面平整光滑、无毛刺和锋棱、无肉眼可见的孔隙、裂缝、沟槽和烧结物，以及无磨削剂、抛光剂和防腐剂。</w:t>
      </w:r>
    </w:p>
    <w:p w14:paraId="768D552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9. </w:t>
      </w:r>
      <w:r>
        <w:rPr>
          <w:rFonts w:hint="eastAsia" w:ascii="宋体" w:hAnsi="宋体" w:cs="宋体"/>
          <w:color w:val="auto"/>
          <w:kern w:val="0"/>
          <w:sz w:val="24"/>
          <w:highlight w:val="none"/>
          <w:lang w:bidi="ar"/>
        </w:rPr>
        <w:t>鼻筛窦钳: 0°口3.5mm,工长≥115mm ,1把</w:t>
      </w:r>
    </w:p>
    <w:p w14:paraId="57B752F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9.1材质：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7EFE4F3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9.2粗糙度：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48DAE01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9.3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61EA46B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10. </w:t>
      </w:r>
      <w:r>
        <w:rPr>
          <w:rFonts w:hint="eastAsia" w:ascii="宋体" w:hAnsi="宋体" w:cs="宋体"/>
          <w:color w:val="auto"/>
          <w:kern w:val="0"/>
          <w:sz w:val="24"/>
          <w:highlight w:val="none"/>
          <w:lang w:bidi="ar"/>
        </w:rPr>
        <w:t>鼻筛窦钳: 45°口3.5mm,工长≥115mm,1把</w:t>
      </w:r>
    </w:p>
    <w:p w14:paraId="39C8F770">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10.1材质：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29D7127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10.2粗糙度：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50B50470">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10.3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1AEC5598">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11. </w:t>
      </w:r>
      <w:r>
        <w:rPr>
          <w:rFonts w:hint="eastAsia" w:ascii="宋体" w:hAnsi="宋体" w:cs="宋体"/>
          <w:color w:val="auto"/>
          <w:kern w:val="0"/>
          <w:sz w:val="24"/>
          <w:highlight w:val="none"/>
          <w:lang w:bidi="ar"/>
        </w:rPr>
        <w:t>鼻筛窦钳:90°口3.5mm,工长≥115mm,1把</w:t>
      </w:r>
    </w:p>
    <w:p w14:paraId="7B3776C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460FB32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6DD9AB0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45EB795C">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12. </w:t>
      </w:r>
      <w:r>
        <w:rPr>
          <w:rFonts w:hint="eastAsia" w:ascii="宋体" w:hAnsi="宋体" w:cs="宋体"/>
          <w:color w:val="auto"/>
          <w:kern w:val="0"/>
          <w:sz w:val="24"/>
          <w:highlight w:val="none"/>
          <w:lang w:bidi="ar"/>
        </w:rPr>
        <w:t>鼻筛窦钳: 90°口3.5mm,工长≥115mm,1把</w:t>
      </w:r>
    </w:p>
    <w:p w14:paraId="1F536BE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266C3D4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4760408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162318D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13. </w:t>
      </w:r>
      <w:r>
        <w:rPr>
          <w:rFonts w:hint="eastAsia" w:ascii="宋体" w:hAnsi="宋体" w:cs="宋体"/>
          <w:color w:val="auto"/>
          <w:kern w:val="0"/>
          <w:sz w:val="24"/>
          <w:highlight w:val="none"/>
          <w:lang w:bidi="ar"/>
        </w:rPr>
        <w:t>鼻筛窦钳:60°口3.5mm,工长≥140mm ,1把</w:t>
      </w:r>
    </w:p>
    <w:p w14:paraId="1CCFDF6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6AB7ACD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01D4A1F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620740D8">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14. 鼻组织剪:直,长≥115mm ,1把</w:t>
      </w:r>
    </w:p>
    <w:p w14:paraId="441AE84D">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14.</w:t>
      </w:r>
      <w:r>
        <w:rPr>
          <w:rFonts w:hint="eastAsia" w:ascii="宋体" w:hAnsi="宋体" w:cs="宋体"/>
          <w:color w:val="auto"/>
          <w:sz w:val="24"/>
          <w:highlight w:val="none"/>
        </w:rPr>
        <w:t>1材质：</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采用05Cr17Ni4Cu4Nb(YY0672.1-2008)材质；</w:t>
      </w:r>
    </w:p>
    <w:p w14:paraId="2090CF71">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14.</w:t>
      </w:r>
      <w:r>
        <w:rPr>
          <w:rFonts w:hint="eastAsia" w:ascii="宋体" w:hAnsi="宋体" w:cs="宋体"/>
          <w:color w:val="auto"/>
          <w:sz w:val="24"/>
          <w:highlight w:val="none"/>
        </w:rPr>
        <w:t>2粗糙度：</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表面粗糙度Ra值≤0.8um</w:t>
      </w:r>
    </w:p>
    <w:p w14:paraId="27223793">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14.</w:t>
      </w:r>
      <w:r>
        <w:rPr>
          <w:rFonts w:hint="eastAsia" w:ascii="宋体" w:hAnsi="宋体" w:cs="宋体"/>
          <w:color w:val="auto"/>
          <w:sz w:val="24"/>
          <w:highlight w:val="none"/>
        </w:rPr>
        <w:t>3</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契合度好，剪口锋利，表面平整光滑、无毛刺和锋棱、无肉眼可见的孔隙、裂缝、沟槽和烧结物，以及无磨削剂、抛光剂和防腐剂。</w:t>
      </w:r>
    </w:p>
    <w:p w14:paraId="611E5453">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15. 鼻组织剪:左弯,长≥115mm,1把</w:t>
      </w:r>
    </w:p>
    <w:p w14:paraId="2D5B8701">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15.</w:t>
      </w:r>
      <w:r>
        <w:rPr>
          <w:rFonts w:hint="eastAsia" w:ascii="宋体" w:hAnsi="宋体" w:cs="宋体"/>
          <w:color w:val="auto"/>
          <w:sz w:val="24"/>
          <w:highlight w:val="none"/>
        </w:rPr>
        <w:t>1材质：</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采用05Cr17Ni4Cu4Nb(YY0672.1-2008)材质；</w:t>
      </w:r>
    </w:p>
    <w:p w14:paraId="59521939">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15.</w:t>
      </w:r>
      <w:r>
        <w:rPr>
          <w:rFonts w:hint="eastAsia" w:ascii="宋体" w:hAnsi="宋体" w:cs="宋体"/>
          <w:color w:val="auto"/>
          <w:sz w:val="24"/>
          <w:highlight w:val="none"/>
        </w:rPr>
        <w:t>2粗糙度：</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表面粗糙度Ra值≤0.8um</w:t>
      </w:r>
    </w:p>
    <w:p w14:paraId="1E924122">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15.</w:t>
      </w:r>
      <w:r>
        <w:rPr>
          <w:rFonts w:hint="eastAsia" w:ascii="宋体" w:hAnsi="宋体" w:cs="宋体"/>
          <w:color w:val="auto"/>
          <w:sz w:val="24"/>
          <w:highlight w:val="none"/>
        </w:rPr>
        <w:t>3</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契合度好，剪口锋利，表面平整光滑、无毛刺和锋棱、无肉眼可见的孔隙、裂缝、沟槽和烧结物，以及无磨削剂、抛光剂和防腐剂。</w:t>
      </w:r>
    </w:p>
    <w:p w14:paraId="4C237EB0">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16. 鼻组织剪:右弯,长≥115mm ,1把</w:t>
      </w:r>
    </w:p>
    <w:p w14:paraId="64673E94">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16.</w:t>
      </w:r>
      <w:r>
        <w:rPr>
          <w:rFonts w:hint="eastAsia" w:ascii="宋体" w:hAnsi="宋体" w:cs="宋体"/>
          <w:color w:val="auto"/>
          <w:sz w:val="24"/>
          <w:highlight w:val="none"/>
        </w:rPr>
        <w:t>1材质：</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采用05Cr17Ni4Cu4Nb(YY0672.1-2008)材质；</w:t>
      </w:r>
    </w:p>
    <w:p w14:paraId="7F6A96BA">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16.</w:t>
      </w:r>
      <w:r>
        <w:rPr>
          <w:rFonts w:hint="eastAsia" w:ascii="宋体" w:hAnsi="宋体" w:cs="宋体"/>
          <w:color w:val="auto"/>
          <w:sz w:val="24"/>
          <w:highlight w:val="none"/>
        </w:rPr>
        <w:t>2粗糙度：</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表面粗糙度Ra值≤0.8um</w:t>
      </w:r>
    </w:p>
    <w:p w14:paraId="54876415">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16.</w:t>
      </w:r>
      <w:r>
        <w:rPr>
          <w:rFonts w:hint="eastAsia" w:ascii="宋体" w:hAnsi="宋体" w:cs="宋体"/>
          <w:color w:val="auto"/>
          <w:sz w:val="24"/>
          <w:highlight w:val="none"/>
        </w:rPr>
        <w:t>3</w:t>
      </w:r>
      <w:r>
        <w:rPr>
          <w:rFonts w:hint="eastAsia" w:ascii="宋体" w:hAnsi="宋体" w:cs="宋体"/>
          <w:color w:val="auto"/>
          <w:kern w:val="0"/>
          <w:sz w:val="24"/>
          <w:highlight w:val="none"/>
          <w:lang w:bidi="ar"/>
        </w:rPr>
        <w:t>鼻组织剪</w:t>
      </w:r>
      <w:r>
        <w:rPr>
          <w:rFonts w:hint="eastAsia" w:ascii="宋体" w:hAnsi="宋体" w:cs="宋体"/>
          <w:color w:val="auto"/>
          <w:sz w:val="24"/>
          <w:highlight w:val="none"/>
        </w:rPr>
        <w:t>契合度好，剪口锋利，表面平整光滑、无毛刺和锋棱、无肉眼可见的孔隙、裂缝、沟槽和烧结物，以及无磨削剂、抛光剂和防腐剂。</w:t>
      </w:r>
    </w:p>
    <w:p w14:paraId="785252DC">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17. </w:t>
      </w:r>
      <w:r>
        <w:rPr>
          <w:rFonts w:hint="eastAsia" w:ascii="宋体" w:hAnsi="宋体" w:cs="宋体"/>
          <w:color w:val="auto"/>
          <w:kern w:val="0"/>
          <w:sz w:val="24"/>
          <w:highlight w:val="none"/>
          <w:lang w:bidi="ar"/>
        </w:rPr>
        <w:t>鼻咬切钳:  45°口≥2.5mm（卵圆口）,1把</w:t>
      </w:r>
    </w:p>
    <w:p w14:paraId="20A0A10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17.1 材质：</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采用05Cr17Ni4Cu4Nb(YY0672.1-2008)材质；</w:t>
      </w:r>
    </w:p>
    <w:p w14:paraId="5E30C26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17.2粗糙度：</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表面粗糙度Ra值≤0.8um</w:t>
      </w:r>
    </w:p>
    <w:p w14:paraId="07C6AB4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17.3</w:t>
      </w:r>
      <w:r>
        <w:rPr>
          <w:rFonts w:hint="eastAsia" w:ascii="宋体" w:hAnsi="宋体" w:cs="宋体"/>
          <w:color w:val="auto"/>
          <w:kern w:val="0"/>
          <w:sz w:val="24"/>
          <w:highlight w:val="none"/>
          <w:lang w:bidi="ar"/>
        </w:rPr>
        <w:t>鼻咬切钳咬口</w:t>
      </w:r>
      <w:r>
        <w:rPr>
          <w:rFonts w:hint="eastAsia" w:ascii="宋体" w:hAnsi="宋体" w:cs="宋体"/>
          <w:color w:val="auto"/>
          <w:sz w:val="24"/>
          <w:highlight w:val="none"/>
        </w:rPr>
        <w:t>最大间隙＜0.1mm，咬口锋利，表面平整光滑、无毛刺和锋棱、无肉眼可见的孔隙、裂缝、沟槽和烧结物，以及无磨削剂、抛光剂和防腐剂。</w:t>
      </w:r>
    </w:p>
    <w:p w14:paraId="32041008">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18. </w:t>
      </w:r>
      <w:r>
        <w:rPr>
          <w:rFonts w:hint="eastAsia" w:ascii="宋体" w:hAnsi="宋体" w:cs="宋体"/>
          <w:color w:val="auto"/>
          <w:kern w:val="0"/>
          <w:sz w:val="24"/>
          <w:highlight w:val="none"/>
          <w:lang w:bidi="ar"/>
        </w:rPr>
        <w:t>鼻咬切钳, 0°口≥2.5mm（卵圆口）,1把</w:t>
      </w:r>
    </w:p>
    <w:p w14:paraId="604ED1A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18.1材质：</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采用05Cr17Ni4Cu4Nb(YY0672.1-2008)材质；</w:t>
      </w:r>
    </w:p>
    <w:p w14:paraId="7CD8A825">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18.2粗糙度：</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表面粗糙度Ra值≤0.8um</w:t>
      </w:r>
    </w:p>
    <w:p w14:paraId="45BDD03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18.3</w:t>
      </w:r>
      <w:r>
        <w:rPr>
          <w:rFonts w:hint="eastAsia" w:ascii="宋体" w:hAnsi="宋体" w:cs="宋体"/>
          <w:color w:val="auto"/>
          <w:kern w:val="0"/>
          <w:sz w:val="24"/>
          <w:highlight w:val="none"/>
          <w:lang w:bidi="ar"/>
        </w:rPr>
        <w:t>鼻咬切钳咬口</w:t>
      </w:r>
      <w:r>
        <w:rPr>
          <w:rFonts w:hint="eastAsia" w:ascii="宋体" w:hAnsi="宋体" w:cs="宋体"/>
          <w:color w:val="auto"/>
          <w:sz w:val="24"/>
          <w:highlight w:val="none"/>
        </w:rPr>
        <w:t>最大间隙＜0.1mm，咬口锋利，表面平整光滑、无毛刺和锋棱、无肉眼可见的孔隙、裂缝、沟槽和烧结物，以及无磨削剂、抛光剂和防腐剂。</w:t>
      </w:r>
    </w:p>
    <w:p w14:paraId="2F0FD860">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19. </w:t>
      </w:r>
      <w:r>
        <w:rPr>
          <w:rFonts w:hint="eastAsia" w:ascii="宋体" w:hAnsi="宋体" w:cs="宋体"/>
          <w:color w:val="auto"/>
          <w:kern w:val="0"/>
          <w:sz w:val="24"/>
          <w:highlight w:val="none"/>
          <w:lang w:bidi="ar"/>
        </w:rPr>
        <w:t>鼻筛窦钳:0°口3.5mm工长≥130mm,1把</w:t>
      </w:r>
    </w:p>
    <w:p w14:paraId="470F813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19.1.材质：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1E5D93E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19.2.粗糙度：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591969E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0ADCB645">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20. </w:t>
      </w:r>
      <w:r>
        <w:rPr>
          <w:rFonts w:hint="eastAsia" w:ascii="宋体" w:hAnsi="宋体" w:cs="宋体"/>
          <w:color w:val="auto"/>
          <w:kern w:val="0"/>
          <w:sz w:val="24"/>
          <w:highlight w:val="none"/>
          <w:lang w:bidi="ar"/>
        </w:rPr>
        <w:t>鼻筛窦钳,45°口3.5mm工长≥130mm ,1把</w:t>
      </w:r>
    </w:p>
    <w:p w14:paraId="47A17CB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20.1.材质：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43B4CA9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20.2.粗糙度：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16F821C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20.3.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1753916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21. </w:t>
      </w:r>
      <w:r>
        <w:rPr>
          <w:rFonts w:hint="eastAsia" w:ascii="宋体" w:hAnsi="宋体" w:cs="宋体"/>
          <w:color w:val="auto"/>
          <w:kern w:val="0"/>
          <w:sz w:val="24"/>
          <w:highlight w:val="none"/>
          <w:lang w:bidi="ar"/>
        </w:rPr>
        <w:t>鼻咬切钳, 45°口2.5mm工长≥130mm（卵圆口）,1把</w:t>
      </w:r>
    </w:p>
    <w:p w14:paraId="44234CF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21.1.材质：</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采用05Cr17Ni4Cu4Nb(YY0672.1-2008)材质；</w:t>
      </w:r>
    </w:p>
    <w:p w14:paraId="40EEDF4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21.2.粗糙度：</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表面粗糙度Ra值≤0.8um</w:t>
      </w:r>
    </w:p>
    <w:p w14:paraId="6AC426A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21.3.</w:t>
      </w:r>
      <w:r>
        <w:rPr>
          <w:rFonts w:hint="eastAsia" w:ascii="宋体" w:hAnsi="宋体" w:cs="宋体"/>
          <w:color w:val="auto"/>
          <w:kern w:val="0"/>
          <w:sz w:val="24"/>
          <w:highlight w:val="none"/>
          <w:lang w:bidi="ar"/>
        </w:rPr>
        <w:t>鼻咬切钳咬口</w:t>
      </w:r>
      <w:r>
        <w:rPr>
          <w:rFonts w:hint="eastAsia" w:ascii="宋体" w:hAnsi="宋体" w:cs="宋体"/>
          <w:color w:val="auto"/>
          <w:sz w:val="24"/>
          <w:highlight w:val="none"/>
        </w:rPr>
        <w:t>最大间隙＜0.1mm，咬口锋利，表面平整光滑、无毛刺和锋棱、无肉眼可见的孔隙、裂缝、沟槽和烧结物，以及无磨削剂、抛光剂和防腐剂。</w:t>
      </w:r>
    </w:p>
    <w:p w14:paraId="3594694B">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22. </w:t>
      </w:r>
      <w:r>
        <w:rPr>
          <w:rFonts w:hint="eastAsia" w:ascii="宋体" w:hAnsi="宋体" w:cs="宋体"/>
          <w:color w:val="auto"/>
          <w:kern w:val="0"/>
          <w:sz w:val="24"/>
          <w:highlight w:val="none"/>
          <w:lang w:bidi="ar"/>
        </w:rPr>
        <w:t>鼻咬切钳:90°口3mm工长≥130mm（卵圆口）,1把</w:t>
      </w:r>
    </w:p>
    <w:p w14:paraId="1E3D2A3E">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22.1.材质：</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采用05Cr17Ni4Cu4Nb(YY0672.1-2008)材质；</w:t>
      </w:r>
    </w:p>
    <w:p w14:paraId="44BB47D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22.2.粗糙度：</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表面粗糙度Ra值≤0.8um</w:t>
      </w:r>
    </w:p>
    <w:p w14:paraId="6813013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22.3.</w:t>
      </w:r>
      <w:r>
        <w:rPr>
          <w:rFonts w:hint="eastAsia" w:ascii="宋体" w:hAnsi="宋体" w:cs="宋体"/>
          <w:color w:val="auto"/>
          <w:kern w:val="0"/>
          <w:sz w:val="24"/>
          <w:highlight w:val="none"/>
          <w:lang w:bidi="ar"/>
        </w:rPr>
        <w:t>鼻咬切钳咬口</w:t>
      </w:r>
      <w:r>
        <w:rPr>
          <w:rFonts w:hint="eastAsia" w:ascii="宋体" w:hAnsi="宋体" w:cs="宋体"/>
          <w:color w:val="auto"/>
          <w:sz w:val="24"/>
          <w:highlight w:val="none"/>
        </w:rPr>
        <w:t>最大间隙＜0.1mm，咬口锋利，表面平整光滑、无毛刺和锋棱、无肉眼可见的孔隙、裂缝、沟槽和烧结物，以及无磨削剂、抛光剂和防腐剂。</w:t>
      </w:r>
    </w:p>
    <w:p w14:paraId="492003F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23. </w:t>
      </w:r>
      <w:r>
        <w:rPr>
          <w:rFonts w:hint="eastAsia" w:ascii="宋体" w:hAnsi="宋体" w:cs="宋体"/>
          <w:color w:val="auto"/>
          <w:kern w:val="0"/>
          <w:sz w:val="24"/>
          <w:highlight w:val="none"/>
          <w:lang w:bidi="ar"/>
        </w:rPr>
        <w:t>鼻息肉钳:下弯115°张开125°,1把</w:t>
      </w:r>
    </w:p>
    <w:p w14:paraId="1AE5E7F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23.1.材质：</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采用05Cr17Ni4Cu4Nb(YY0672.1-2008)材质；</w:t>
      </w:r>
    </w:p>
    <w:p w14:paraId="22CC18D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23.2.粗糙度：</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表面粗糙度Ra值≤0.8um</w:t>
      </w:r>
    </w:p>
    <w:p w14:paraId="22669D2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23.3.</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2A41DB9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24. </w:t>
      </w:r>
      <w:r>
        <w:rPr>
          <w:rFonts w:hint="eastAsia" w:ascii="宋体" w:hAnsi="宋体" w:cs="宋体"/>
          <w:color w:val="auto"/>
          <w:kern w:val="0"/>
          <w:sz w:val="24"/>
          <w:highlight w:val="none"/>
          <w:lang w:bidi="ar"/>
        </w:rPr>
        <w:t>鼻息肉钳:上弯70°口4mm工长≥130mm (前后开口), 1把</w:t>
      </w:r>
    </w:p>
    <w:p w14:paraId="1E56E48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24.1.材质：</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采用05Cr17Ni4Cu4Nb(YY0672.1-2008)材质；</w:t>
      </w:r>
    </w:p>
    <w:p w14:paraId="30C417F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24.2.粗糙度：</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表面粗糙度Ra值≤0.8um</w:t>
      </w:r>
    </w:p>
    <w:p w14:paraId="67DEDD2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24.3.</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696773EC">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25. </w:t>
      </w:r>
      <w:r>
        <w:rPr>
          <w:rFonts w:hint="eastAsia" w:ascii="宋体" w:hAnsi="宋体" w:cs="宋体"/>
          <w:color w:val="auto"/>
          <w:kern w:val="0"/>
          <w:sz w:val="24"/>
          <w:highlight w:val="none"/>
          <w:lang w:bidi="ar"/>
        </w:rPr>
        <w:t>鼻息肉钳,上弯70°口4mm工长≥130mm (左右开口),1把</w:t>
      </w:r>
    </w:p>
    <w:p w14:paraId="6B4B38D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25.1.材质：</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采用05Cr17Ni4Cu4Nb(YY0672.1-2008)材质；</w:t>
      </w:r>
    </w:p>
    <w:p w14:paraId="11D5662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25.2.粗糙度：</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表面粗糙度Ra值≤0.8um</w:t>
      </w:r>
    </w:p>
    <w:p w14:paraId="76FD16B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25.3.</w:t>
      </w:r>
      <w:r>
        <w:rPr>
          <w:rFonts w:hint="eastAsia" w:ascii="宋体" w:hAnsi="宋体" w:cs="宋体"/>
          <w:color w:val="auto"/>
          <w:kern w:val="0"/>
          <w:sz w:val="24"/>
          <w:highlight w:val="none"/>
          <w:lang w:bidi="ar"/>
        </w:rPr>
        <w:t>鼻息肉钳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6B2A02E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26. </w:t>
      </w:r>
      <w:r>
        <w:rPr>
          <w:rFonts w:hint="eastAsia" w:ascii="宋体" w:hAnsi="宋体" w:cs="宋体"/>
          <w:color w:val="auto"/>
          <w:kern w:val="0"/>
          <w:sz w:val="24"/>
          <w:highlight w:val="none"/>
          <w:lang w:bidi="ar"/>
        </w:rPr>
        <w:t>蝶窦咬骨钳:  90°推板式 口2mm,1把</w:t>
      </w:r>
    </w:p>
    <w:p w14:paraId="461DC2E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26.1.材质：</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采用05Cr17Ni4Cu4Nb(YY0672.1-2008)材质；</w:t>
      </w:r>
    </w:p>
    <w:p w14:paraId="6A62C50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26.2.粗糙度：</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表面粗糙度Ra值≤0.8um</w:t>
      </w:r>
    </w:p>
    <w:p w14:paraId="4EBAD09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26.3.</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18BAB379">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27. </w:t>
      </w:r>
      <w:r>
        <w:rPr>
          <w:rFonts w:hint="eastAsia" w:ascii="宋体" w:hAnsi="宋体" w:cs="宋体"/>
          <w:color w:val="auto"/>
          <w:kern w:val="0"/>
          <w:sz w:val="24"/>
          <w:highlight w:val="none"/>
          <w:lang w:bidi="ar"/>
        </w:rPr>
        <w:t>蝶窦咬骨钳,120°推板式 口2mm ,1把</w:t>
      </w:r>
    </w:p>
    <w:p w14:paraId="49E4216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27.1.材质：</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采用05Cr17Ni4Cu4Nb(YY0672.1-2008)材质；</w:t>
      </w:r>
    </w:p>
    <w:p w14:paraId="1E633A3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27.2.粗糙度：</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表面粗糙度Ra值≤0.8um</w:t>
      </w:r>
    </w:p>
    <w:p w14:paraId="6FC4AC2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27.3.</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529260CF">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28.</w:t>
      </w:r>
      <w:r>
        <w:rPr>
          <w:rFonts w:hint="eastAsia" w:ascii="宋体" w:hAnsi="宋体" w:cs="宋体"/>
          <w:color w:val="auto"/>
          <w:kern w:val="0"/>
          <w:sz w:val="24"/>
          <w:highlight w:val="none"/>
          <w:lang w:bidi="ar"/>
        </w:rPr>
        <w:t>鼻剥离器 :工长≥115mm,产型锐头,1把</w:t>
      </w:r>
    </w:p>
    <w:p w14:paraId="4E82B0F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28.1.材质：</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采用05Cr17Ni4Cu4Nb(YY0672.1-2008)材质；</w:t>
      </w:r>
    </w:p>
    <w:p w14:paraId="0BBEF09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28.2.粗糙度：</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表面粗糙度Ra值≤0.8um</w:t>
      </w:r>
    </w:p>
    <w:p w14:paraId="46B56E5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28.3.</w:t>
      </w:r>
      <w:r>
        <w:rPr>
          <w:rFonts w:hint="eastAsia" w:ascii="宋体" w:hAnsi="宋体" w:cs="宋体"/>
          <w:color w:val="auto"/>
          <w:kern w:val="0"/>
          <w:sz w:val="24"/>
          <w:highlight w:val="none"/>
          <w:lang w:bidi="ar"/>
        </w:rPr>
        <w:t>鼻剥离器韧性好</w:t>
      </w:r>
      <w:r>
        <w:rPr>
          <w:rFonts w:hint="eastAsia" w:ascii="宋体" w:hAnsi="宋体" w:cs="宋体"/>
          <w:color w:val="auto"/>
          <w:sz w:val="24"/>
          <w:highlight w:val="none"/>
        </w:rPr>
        <w:t>，表面平整光滑、无毛刺和锋棱、无肉眼可见的孔隙、裂缝、沟槽和烧结物，以及无磨削剂、抛光剂和防腐剂</w:t>
      </w:r>
    </w:p>
    <w:p w14:paraId="1DCE2495">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29.  </w:t>
      </w:r>
      <w:r>
        <w:rPr>
          <w:rFonts w:hint="eastAsia" w:ascii="宋体" w:hAnsi="宋体" w:cs="宋体"/>
          <w:color w:val="auto"/>
          <w:kern w:val="0"/>
          <w:sz w:val="24"/>
          <w:highlight w:val="none"/>
          <w:lang w:bidi="ar"/>
        </w:rPr>
        <w:t>鼻剥离器,头2.5mm-3.5 mm 工长115mm,(双头一头铲型),1把</w:t>
      </w:r>
    </w:p>
    <w:p w14:paraId="49592BF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29.1.材质：</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采用05Cr17Ni4Cu4Nb(YY0672.1-2008)材质；</w:t>
      </w:r>
    </w:p>
    <w:p w14:paraId="28BC9A5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29.2.粗糙度：</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表面粗糙度Ra值≤0.8um</w:t>
      </w:r>
    </w:p>
    <w:p w14:paraId="65DA118D">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29.3.</w:t>
      </w:r>
      <w:r>
        <w:rPr>
          <w:rFonts w:hint="eastAsia" w:ascii="宋体" w:hAnsi="宋体" w:cs="宋体"/>
          <w:color w:val="auto"/>
          <w:kern w:val="0"/>
          <w:sz w:val="24"/>
          <w:highlight w:val="none"/>
          <w:lang w:bidi="ar"/>
        </w:rPr>
        <w:t>鼻剥离器韧性好</w:t>
      </w:r>
      <w:r>
        <w:rPr>
          <w:rFonts w:hint="eastAsia" w:ascii="宋体" w:hAnsi="宋体" w:cs="宋体"/>
          <w:color w:val="auto"/>
          <w:sz w:val="24"/>
          <w:highlight w:val="none"/>
        </w:rPr>
        <w:t>，表面平整光滑、无毛刺和锋棱、无肉眼可见的孔隙、裂缝、沟槽和烧结物，以及无磨削剂、抛光剂和防腐剂</w:t>
      </w:r>
    </w:p>
    <w:p w14:paraId="78120489">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30.  </w:t>
      </w:r>
      <w:r>
        <w:rPr>
          <w:rFonts w:hint="eastAsia" w:ascii="宋体" w:hAnsi="宋体" w:cs="宋体"/>
          <w:color w:val="auto"/>
          <w:kern w:val="0"/>
          <w:sz w:val="24"/>
          <w:highlight w:val="none"/>
          <w:lang w:bidi="ar"/>
        </w:rPr>
        <w:t>鼻剥离器:  0° 头3 mm 工长≥115mm,单面（带旋转吸引）,2把</w:t>
      </w:r>
    </w:p>
    <w:p w14:paraId="2B58F38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30.1.材质：</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采用05Cr17Ni4Cu4Nb(YY0672.1-2008)材质；</w:t>
      </w:r>
    </w:p>
    <w:p w14:paraId="1B222600">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30.2.粗糙度：</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表面粗糙度Ra值≤0.8um</w:t>
      </w:r>
    </w:p>
    <w:p w14:paraId="38395662">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30.3.</w:t>
      </w:r>
      <w:r>
        <w:rPr>
          <w:rFonts w:hint="eastAsia" w:ascii="宋体" w:hAnsi="宋体" w:cs="宋体"/>
          <w:color w:val="auto"/>
          <w:kern w:val="0"/>
          <w:sz w:val="24"/>
          <w:highlight w:val="none"/>
          <w:lang w:bidi="ar"/>
        </w:rPr>
        <w:t>鼻剥离器韧性好</w:t>
      </w:r>
      <w:r>
        <w:rPr>
          <w:rFonts w:hint="eastAsia" w:ascii="宋体" w:hAnsi="宋体" w:cs="宋体"/>
          <w:color w:val="auto"/>
          <w:sz w:val="24"/>
          <w:highlight w:val="none"/>
        </w:rPr>
        <w:t>，表面平整光滑、无毛刺和锋棱、无肉眼可见的孔隙、裂缝、沟槽和烧结物，以及无磨削剂、抛光剂和防腐剂</w:t>
      </w:r>
    </w:p>
    <w:p w14:paraId="4187351A">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31.  </w:t>
      </w:r>
      <w:r>
        <w:rPr>
          <w:rFonts w:hint="eastAsia" w:ascii="宋体" w:hAnsi="宋体" w:cs="宋体"/>
          <w:color w:val="auto"/>
          <w:kern w:val="0"/>
          <w:sz w:val="24"/>
          <w:highlight w:val="none"/>
          <w:lang w:bidi="ar"/>
        </w:rPr>
        <w:t>上颌窦探针:双头（超细带钩）, 2支</w:t>
      </w:r>
    </w:p>
    <w:p w14:paraId="1AFF6D4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31.1.材质：</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采用05Cr17Ni4Cu4Nb(YY0672.1-2008)材质；</w:t>
      </w:r>
    </w:p>
    <w:p w14:paraId="15385B6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31.2.粗糙度：</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表面粗糙度Ra值≤0.8um</w:t>
      </w:r>
    </w:p>
    <w:p w14:paraId="720BDFEA">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31.3.</w:t>
      </w:r>
      <w:r>
        <w:rPr>
          <w:rFonts w:hint="eastAsia" w:ascii="宋体" w:hAnsi="宋体" w:cs="宋体"/>
          <w:color w:val="auto"/>
          <w:kern w:val="0"/>
          <w:sz w:val="24"/>
          <w:highlight w:val="none"/>
          <w:lang w:bidi="ar"/>
        </w:rPr>
        <w:t>上颌窦探针韧性好</w:t>
      </w:r>
      <w:r>
        <w:rPr>
          <w:rFonts w:hint="eastAsia" w:ascii="宋体" w:hAnsi="宋体" w:cs="宋体"/>
          <w:color w:val="auto"/>
          <w:sz w:val="24"/>
          <w:highlight w:val="none"/>
        </w:rPr>
        <w:t>，表面平整光滑、无毛刺和锋棱、无肉眼可见的孔隙、裂缝、沟槽和烧结物，以及无磨削剂、抛光剂和防腐剂</w:t>
      </w:r>
    </w:p>
    <w:p w14:paraId="5D64440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32.  </w:t>
      </w:r>
      <w:r>
        <w:rPr>
          <w:rFonts w:hint="eastAsia" w:ascii="宋体" w:hAnsi="宋体" w:cs="宋体"/>
          <w:color w:val="auto"/>
          <w:kern w:val="0"/>
          <w:sz w:val="24"/>
          <w:highlight w:val="none"/>
          <w:lang w:bidi="ar"/>
        </w:rPr>
        <w:t>上颌窦探针:双头, 2支</w:t>
      </w:r>
    </w:p>
    <w:p w14:paraId="48FC84D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32.1.材质：</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采用05Cr17Ni4Cu4Nb(YY0672.1-2008)材质；</w:t>
      </w:r>
    </w:p>
    <w:p w14:paraId="2764B99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32.2.粗糙度：</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表面粗糙度Ra值≤0.8um</w:t>
      </w:r>
    </w:p>
    <w:p w14:paraId="581E0644">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32.3.</w:t>
      </w:r>
      <w:r>
        <w:rPr>
          <w:rFonts w:hint="eastAsia" w:ascii="宋体" w:hAnsi="宋体" w:cs="宋体"/>
          <w:color w:val="auto"/>
          <w:kern w:val="0"/>
          <w:sz w:val="24"/>
          <w:highlight w:val="none"/>
          <w:lang w:bidi="ar"/>
        </w:rPr>
        <w:t>上颌窦探针韧性好</w:t>
      </w:r>
      <w:r>
        <w:rPr>
          <w:rFonts w:hint="eastAsia" w:ascii="宋体" w:hAnsi="宋体" w:cs="宋体"/>
          <w:color w:val="auto"/>
          <w:sz w:val="24"/>
          <w:highlight w:val="none"/>
        </w:rPr>
        <w:t>，表面平整光滑、无毛刺和锋棱、无肉眼可见的孔隙、裂缝、沟槽和烧结物，以及无磨削剂、抛光剂和防腐剂</w:t>
      </w:r>
    </w:p>
    <w:p w14:paraId="2881F4A8">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33.  </w:t>
      </w:r>
      <w:r>
        <w:rPr>
          <w:rFonts w:hint="eastAsia" w:ascii="宋体" w:hAnsi="宋体" w:cs="宋体"/>
          <w:color w:val="auto"/>
          <w:kern w:val="0"/>
          <w:sz w:val="24"/>
          <w:highlight w:val="none"/>
          <w:lang w:bidi="ar"/>
        </w:rPr>
        <w:t>上颌窦探针: 90°单头,1支</w:t>
      </w:r>
    </w:p>
    <w:p w14:paraId="5B4CBFF0">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33.1.材质：</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采用05Cr17Ni4Cu4Nb(YY0672.1-2008)材质；</w:t>
      </w:r>
    </w:p>
    <w:p w14:paraId="54416A2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33.2.粗糙度：</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表面粗糙度Ra值≤0.8um</w:t>
      </w:r>
    </w:p>
    <w:p w14:paraId="1F51A5B9">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33.3.</w:t>
      </w:r>
      <w:r>
        <w:rPr>
          <w:rFonts w:hint="eastAsia" w:ascii="宋体" w:hAnsi="宋体" w:cs="宋体"/>
          <w:color w:val="auto"/>
          <w:kern w:val="0"/>
          <w:sz w:val="24"/>
          <w:highlight w:val="none"/>
          <w:lang w:bidi="ar"/>
        </w:rPr>
        <w:t>上颌窦探针韧性好</w:t>
      </w:r>
      <w:r>
        <w:rPr>
          <w:rFonts w:hint="eastAsia" w:ascii="宋体" w:hAnsi="宋体" w:cs="宋体"/>
          <w:color w:val="auto"/>
          <w:sz w:val="24"/>
          <w:highlight w:val="none"/>
        </w:rPr>
        <w:t>，表面平整光滑、无毛刺和锋棱、无肉眼可见的孔隙、裂缝、沟槽和烧结物，以及无磨削剂、抛光剂和防腐剂</w:t>
      </w:r>
    </w:p>
    <w:p w14:paraId="6060249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34. </w:t>
      </w:r>
      <w:r>
        <w:rPr>
          <w:rFonts w:hint="eastAsia" w:ascii="宋体" w:hAnsi="宋体" w:cs="宋体"/>
          <w:color w:val="auto"/>
          <w:kern w:val="0"/>
          <w:sz w:val="24"/>
          <w:highlight w:val="none"/>
          <w:lang w:bidi="ar"/>
        </w:rPr>
        <w:t>上颌窦探针: 60°（带吸引）, 2支</w:t>
      </w:r>
    </w:p>
    <w:p w14:paraId="09784F5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34.1.材质：</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采用05Cr17Ni4Cu4Nb(YY0672.1-2008)材质；</w:t>
      </w:r>
    </w:p>
    <w:p w14:paraId="6A304DC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34.2.粗糙度：</w:t>
      </w:r>
      <w:r>
        <w:rPr>
          <w:rFonts w:hint="eastAsia" w:ascii="宋体" w:hAnsi="宋体" w:cs="宋体"/>
          <w:color w:val="auto"/>
          <w:kern w:val="0"/>
          <w:sz w:val="24"/>
          <w:highlight w:val="none"/>
          <w:lang w:bidi="ar"/>
        </w:rPr>
        <w:t>上颌窦探针</w:t>
      </w:r>
      <w:r>
        <w:rPr>
          <w:rFonts w:hint="eastAsia" w:ascii="宋体" w:hAnsi="宋体" w:cs="宋体"/>
          <w:color w:val="auto"/>
          <w:sz w:val="24"/>
          <w:highlight w:val="none"/>
        </w:rPr>
        <w:t>表面粗糙度Ra值≤0.8um</w:t>
      </w:r>
    </w:p>
    <w:p w14:paraId="1104B10D">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34.3.</w:t>
      </w:r>
      <w:r>
        <w:rPr>
          <w:rFonts w:hint="eastAsia" w:ascii="宋体" w:hAnsi="宋体" w:cs="宋体"/>
          <w:color w:val="auto"/>
          <w:kern w:val="0"/>
          <w:sz w:val="24"/>
          <w:highlight w:val="none"/>
          <w:lang w:bidi="ar"/>
        </w:rPr>
        <w:t>上颌窦探针韧性好</w:t>
      </w:r>
      <w:r>
        <w:rPr>
          <w:rFonts w:hint="eastAsia" w:ascii="宋体" w:hAnsi="宋体" w:cs="宋体"/>
          <w:color w:val="auto"/>
          <w:sz w:val="24"/>
          <w:highlight w:val="none"/>
        </w:rPr>
        <w:t>，表面平整光滑、无毛刺和锋棱、无肉眼可见的孔隙、裂缝、沟槽和烧结物，以及无磨削剂、抛光剂和防腐剂</w:t>
      </w:r>
    </w:p>
    <w:p w14:paraId="154722D1">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35.  </w:t>
      </w:r>
      <w:r>
        <w:rPr>
          <w:rFonts w:hint="eastAsia" w:ascii="宋体" w:hAnsi="宋体" w:cs="宋体"/>
          <w:color w:val="auto"/>
          <w:kern w:val="0"/>
          <w:sz w:val="24"/>
          <w:highlight w:val="none"/>
          <w:lang w:bidi="ar"/>
        </w:rPr>
        <w:t>鼻骨凿,头3mm工长≥60mm,(半圆枪式), 1把</w:t>
      </w:r>
    </w:p>
    <w:p w14:paraId="76DB031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35.1.材质：</w:t>
      </w:r>
      <w:r>
        <w:rPr>
          <w:rFonts w:hint="eastAsia" w:ascii="宋体" w:hAnsi="宋体" w:cs="宋体"/>
          <w:color w:val="auto"/>
          <w:kern w:val="0"/>
          <w:sz w:val="24"/>
          <w:highlight w:val="none"/>
          <w:lang w:bidi="ar"/>
        </w:rPr>
        <w:t>鼻骨凿</w:t>
      </w:r>
      <w:r>
        <w:rPr>
          <w:rFonts w:hint="eastAsia" w:ascii="宋体" w:hAnsi="宋体" w:cs="宋体"/>
          <w:color w:val="auto"/>
          <w:sz w:val="24"/>
          <w:highlight w:val="none"/>
        </w:rPr>
        <w:t>采用05Cr17Ni4Cu4Nb(YY0672.1-2008)材质；</w:t>
      </w:r>
    </w:p>
    <w:p w14:paraId="20E56F7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35.2.粗糙度：</w:t>
      </w:r>
      <w:r>
        <w:rPr>
          <w:rFonts w:hint="eastAsia" w:ascii="宋体" w:hAnsi="宋体" w:cs="宋体"/>
          <w:color w:val="auto"/>
          <w:kern w:val="0"/>
          <w:sz w:val="24"/>
          <w:highlight w:val="none"/>
          <w:lang w:bidi="ar"/>
        </w:rPr>
        <w:t>鼻骨凿</w:t>
      </w:r>
      <w:r>
        <w:rPr>
          <w:rFonts w:hint="eastAsia" w:ascii="宋体" w:hAnsi="宋体" w:cs="宋体"/>
          <w:color w:val="auto"/>
          <w:sz w:val="24"/>
          <w:highlight w:val="none"/>
        </w:rPr>
        <w:t>表面粗糙度Ra值≤0.8um</w:t>
      </w:r>
    </w:p>
    <w:p w14:paraId="7E43CA9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35.3.</w:t>
      </w:r>
      <w:r>
        <w:rPr>
          <w:rFonts w:hint="eastAsia" w:ascii="宋体" w:hAnsi="宋体" w:cs="宋体"/>
          <w:color w:val="auto"/>
          <w:kern w:val="0"/>
          <w:sz w:val="24"/>
          <w:highlight w:val="none"/>
          <w:lang w:bidi="ar"/>
        </w:rPr>
        <w:t>鼻骨凿</w:t>
      </w:r>
      <w:r>
        <w:rPr>
          <w:rFonts w:hint="eastAsia" w:ascii="宋体" w:hAnsi="宋体" w:cs="宋体"/>
          <w:color w:val="auto"/>
          <w:sz w:val="24"/>
          <w:highlight w:val="none"/>
        </w:rPr>
        <w:t>表面平整光滑、无毛刺和锋棱、无肉眼可见的孔隙、裂缝、沟槽和烧结物，以及无磨削剂、抛光剂和防腐剂</w:t>
      </w:r>
    </w:p>
    <w:p w14:paraId="19BB6B39">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36.  </w:t>
      </w:r>
      <w:r>
        <w:rPr>
          <w:rFonts w:hint="eastAsia" w:ascii="宋体" w:hAnsi="宋体" w:cs="宋体"/>
          <w:color w:val="auto"/>
          <w:kern w:val="0"/>
          <w:sz w:val="24"/>
          <w:highlight w:val="none"/>
          <w:lang w:bidi="ar"/>
        </w:rPr>
        <w:t>鼻腔撑开器,工长≥55mm ,1把</w:t>
      </w:r>
    </w:p>
    <w:p w14:paraId="16A3F93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36.1.材质：</w:t>
      </w:r>
      <w:r>
        <w:rPr>
          <w:rFonts w:hint="eastAsia" w:ascii="宋体" w:hAnsi="宋体" w:cs="宋体"/>
          <w:color w:val="auto"/>
          <w:kern w:val="0"/>
          <w:sz w:val="24"/>
          <w:highlight w:val="none"/>
          <w:lang w:bidi="ar"/>
        </w:rPr>
        <w:t>鼻腔撑开器</w:t>
      </w:r>
      <w:r>
        <w:rPr>
          <w:rFonts w:hint="eastAsia" w:ascii="宋体" w:hAnsi="宋体" w:cs="宋体"/>
          <w:color w:val="auto"/>
          <w:sz w:val="24"/>
          <w:highlight w:val="none"/>
        </w:rPr>
        <w:t>采用05Cr17Ni4Cu4Nb(YY0672.1-2008)材质；</w:t>
      </w:r>
    </w:p>
    <w:p w14:paraId="79FD642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36.2.粗糙度：</w:t>
      </w:r>
      <w:r>
        <w:rPr>
          <w:rFonts w:hint="eastAsia" w:ascii="宋体" w:hAnsi="宋体" w:cs="宋体"/>
          <w:color w:val="auto"/>
          <w:kern w:val="0"/>
          <w:sz w:val="24"/>
          <w:highlight w:val="none"/>
          <w:lang w:bidi="ar"/>
        </w:rPr>
        <w:t>鼻腔撑开器</w:t>
      </w:r>
      <w:r>
        <w:rPr>
          <w:rFonts w:hint="eastAsia" w:ascii="宋体" w:hAnsi="宋体" w:cs="宋体"/>
          <w:color w:val="auto"/>
          <w:sz w:val="24"/>
          <w:highlight w:val="none"/>
        </w:rPr>
        <w:t>表面粗糙度Ra值≤0.8um</w:t>
      </w:r>
    </w:p>
    <w:p w14:paraId="44740AD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36.3.</w:t>
      </w:r>
      <w:r>
        <w:rPr>
          <w:rFonts w:hint="eastAsia" w:ascii="宋体" w:hAnsi="宋体" w:cs="宋体"/>
          <w:color w:val="auto"/>
          <w:kern w:val="0"/>
          <w:sz w:val="24"/>
          <w:highlight w:val="none"/>
          <w:lang w:bidi="ar"/>
        </w:rPr>
        <w:t>鼻腔撑开器</w:t>
      </w:r>
      <w:r>
        <w:rPr>
          <w:rFonts w:hint="eastAsia" w:ascii="宋体" w:hAnsi="宋体" w:cs="宋体"/>
          <w:color w:val="auto"/>
          <w:sz w:val="24"/>
          <w:highlight w:val="none"/>
        </w:rPr>
        <w:t>表面平整光滑、无毛刺和锋棱、无肉眼可见的孔隙、裂缝、沟槽和烧结物，以及无磨削剂、抛光剂和防腐剂</w:t>
      </w:r>
    </w:p>
    <w:p w14:paraId="1F60FF1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37.  </w:t>
      </w:r>
      <w:r>
        <w:rPr>
          <w:rFonts w:hint="eastAsia" w:ascii="宋体" w:hAnsi="宋体" w:cs="宋体"/>
          <w:color w:val="auto"/>
          <w:kern w:val="0"/>
          <w:sz w:val="24"/>
          <w:highlight w:val="none"/>
          <w:lang w:bidi="ar"/>
        </w:rPr>
        <w:t>鼻粘膜刀,头3mm-4mm,双头,1把</w:t>
      </w:r>
    </w:p>
    <w:p w14:paraId="774B7E7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37.1.材质：</w:t>
      </w:r>
      <w:r>
        <w:rPr>
          <w:rFonts w:hint="eastAsia" w:ascii="宋体" w:hAnsi="宋体" w:cs="宋体"/>
          <w:color w:val="auto"/>
          <w:kern w:val="0"/>
          <w:sz w:val="24"/>
          <w:highlight w:val="none"/>
          <w:lang w:bidi="ar"/>
        </w:rPr>
        <w:t>鼻粘膜刀</w:t>
      </w:r>
      <w:r>
        <w:rPr>
          <w:rFonts w:hint="eastAsia" w:ascii="宋体" w:hAnsi="宋体" w:cs="宋体"/>
          <w:color w:val="auto"/>
          <w:sz w:val="24"/>
          <w:highlight w:val="none"/>
        </w:rPr>
        <w:t>采用05Cr17Ni4Cu4Nb(YY0672.1-2008)材质；</w:t>
      </w:r>
    </w:p>
    <w:p w14:paraId="4165C90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37.2.粗糙度：</w:t>
      </w:r>
      <w:r>
        <w:rPr>
          <w:rFonts w:hint="eastAsia" w:ascii="宋体" w:hAnsi="宋体" w:cs="宋体"/>
          <w:color w:val="auto"/>
          <w:kern w:val="0"/>
          <w:sz w:val="24"/>
          <w:highlight w:val="none"/>
          <w:lang w:bidi="ar"/>
        </w:rPr>
        <w:t>鼻粘膜刀</w:t>
      </w:r>
      <w:r>
        <w:rPr>
          <w:rFonts w:hint="eastAsia" w:ascii="宋体" w:hAnsi="宋体" w:cs="宋体"/>
          <w:color w:val="auto"/>
          <w:sz w:val="24"/>
          <w:highlight w:val="none"/>
        </w:rPr>
        <w:t>表面粗糙度Ra值≤0.8um</w:t>
      </w:r>
    </w:p>
    <w:p w14:paraId="67A1C274">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37.3.</w:t>
      </w:r>
      <w:r>
        <w:rPr>
          <w:rFonts w:hint="eastAsia" w:ascii="宋体" w:hAnsi="宋体" w:cs="宋体"/>
          <w:color w:val="auto"/>
          <w:kern w:val="0"/>
          <w:sz w:val="24"/>
          <w:highlight w:val="none"/>
          <w:lang w:bidi="ar"/>
        </w:rPr>
        <w:t>鼻粘膜刀刀口锋利，</w:t>
      </w:r>
      <w:r>
        <w:rPr>
          <w:rFonts w:hint="eastAsia" w:ascii="宋体" w:hAnsi="宋体" w:cs="宋体"/>
          <w:color w:val="auto"/>
          <w:sz w:val="24"/>
          <w:highlight w:val="none"/>
        </w:rPr>
        <w:t>表面平整光滑、无毛刺和锋棱、无肉眼可见的孔隙、裂缝、沟槽和烧结物，以及无磨削剂、抛光剂和防腐剂</w:t>
      </w:r>
    </w:p>
    <w:p w14:paraId="346795D9">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38. 鼻剪,上介,1把</w:t>
      </w:r>
    </w:p>
    <w:p w14:paraId="69B11C10">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38.</w:t>
      </w:r>
      <w:r>
        <w:rPr>
          <w:rFonts w:hint="eastAsia" w:ascii="宋体" w:hAnsi="宋体" w:cs="宋体"/>
          <w:color w:val="auto"/>
          <w:sz w:val="24"/>
          <w:highlight w:val="none"/>
        </w:rPr>
        <w:t>1.材质：</w:t>
      </w:r>
      <w:r>
        <w:rPr>
          <w:rFonts w:hint="eastAsia" w:ascii="宋体" w:hAnsi="宋体" w:cs="宋体"/>
          <w:color w:val="auto"/>
          <w:kern w:val="0"/>
          <w:sz w:val="24"/>
          <w:highlight w:val="none"/>
          <w:lang w:bidi="ar"/>
        </w:rPr>
        <w:t>鼻剪</w:t>
      </w:r>
      <w:r>
        <w:rPr>
          <w:rFonts w:hint="eastAsia" w:ascii="宋体" w:hAnsi="宋体" w:cs="宋体"/>
          <w:color w:val="auto"/>
          <w:sz w:val="24"/>
          <w:highlight w:val="none"/>
        </w:rPr>
        <w:t>采用05Cr17Ni4Cu4Nb(YY0672.1-2008)材质；</w:t>
      </w:r>
    </w:p>
    <w:p w14:paraId="7A0F19E8">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38.</w:t>
      </w:r>
      <w:r>
        <w:rPr>
          <w:rFonts w:hint="eastAsia" w:ascii="宋体" w:hAnsi="宋体" w:cs="宋体"/>
          <w:color w:val="auto"/>
          <w:sz w:val="24"/>
          <w:highlight w:val="none"/>
        </w:rPr>
        <w:t>2.粗糙度：</w:t>
      </w:r>
      <w:r>
        <w:rPr>
          <w:rFonts w:hint="eastAsia" w:ascii="宋体" w:hAnsi="宋体" w:cs="宋体"/>
          <w:color w:val="auto"/>
          <w:kern w:val="0"/>
          <w:sz w:val="24"/>
          <w:highlight w:val="none"/>
          <w:lang w:bidi="ar"/>
        </w:rPr>
        <w:t>鼻剪</w:t>
      </w:r>
      <w:r>
        <w:rPr>
          <w:rFonts w:hint="eastAsia" w:ascii="宋体" w:hAnsi="宋体" w:cs="宋体"/>
          <w:color w:val="auto"/>
          <w:sz w:val="24"/>
          <w:highlight w:val="none"/>
        </w:rPr>
        <w:t>表面粗糙度Ra值≤0.8um</w:t>
      </w:r>
    </w:p>
    <w:p w14:paraId="74AC126B">
      <w:pPr>
        <w:shd w:val="clear"/>
        <w:spacing w:line="360" w:lineRule="auto"/>
        <w:jc w:val="left"/>
        <w:rPr>
          <w:rFonts w:ascii="宋体" w:hAnsi="宋体" w:cs="宋体"/>
          <w:color w:val="auto"/>
          <w:sz w:val="24"/>
          <w:highlight w:val="none"/>
        </w:rPr>
      </w:pPr>
      <w:r>
        <w:rPr>
          <w:rFonts w:hint="eastAsia" w:ascii="宋体" w:hAnsi="宋体" w:cs="宋体"/>
          <w:color w:val="auto"/>
          <w:kern w:val="0"/>
          <w:sz w:val="24"/>
          <w:highlight w:val="none"/>
          <w:lang w:bidi="ar"/>
        </w:rPr>
        <w:t>38.</w:t>
      </w:r>
      <w:r>
        <w:rPr>
          <w:rFonts w:hint="eastAsia" w:ascii="宋体" w:hAnsi="宋体" w:cs="宋体"/>
          <w:color w:val="auto"/>
          <w:sz w:val="24"/>
          <w:highlight w:val="none"/>
        </w:rPr>
        <w:t>3.</w:t>
      </w:r>
      <w:r>
        <w:rPr>
          <w:rFonts w:hint="eastAsia" w:ascii="宋体" w:hAnsi="宋体" w:cs="宋体"/>
          <w:color w:val="auto"/>
          <w:kern w:val="0"/>
          <w:sz w:val="24"/>
          <w:highlight w:val="none"/>
          <w:lang w:bidi="ar"/>
        </w:rPr>
        <w:t>鼻剪</w:t>
      </w:r>
      <w:r>
        <w:rPr>
          <w:rFonts w:hint="eastAsia" w:ascii="宋体" w:hAnsi="宋体" w:cs="宋体"/>
          <w:color w:val="auto"/>
          <w:sz w:val="24"/>
          <w:highlight w:val="none"/>
        </w:rPr>
        <w:t>契合度好，剪口锋利，表面平整光滑、无毛刺和锋棱、无肉眼可见的孔隙、裂缝、沟槽和烧结物，以及无磨削剂、抛光剂和防腐剂。</w:t>
      </w:r>
    </w:p>
    <w:p w14:paraId="369FDBF3">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39. </w:t>
      </w:r>
      <w:r>
        <w:rPr>
          <w:rFonts w:hint="eastAsia" w:ascii="宋体" w:hAnsi="宋体" w:cs="宋体"/>
          <w:color w:val="auto"/>
          <w:kern w:val="0"/>
          <w:sz w:val="24"/>
          <w:highlight w:val="none"/>
          <w:lang w:bidi="ar"/>
        </w:rPr>
        <w:t>鼻粘膜刀,刀口长6mm±1mm 长≥160mm镰状尖头   1把</w:t>
      </w:r>
    </w:p>
    <w:p w14:paraId="47319C8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39.1.材质：</w:t>
      </w:r>
      <w:r>
        <w:rPr>
          <w:rFonts w:hint="eastAsia" w:ascii="宋体" w:hAnsi="宋体" w:cs="宋体"/>
          <w:color w:val="auto"/>
          <w:kern w:val="0"/>
          <w:sz w:val="24"/>
          <w:highlight w:val="none"/>
          <w:lang w:bidi="ar"/>
        </w:rPr>
        <w:t>鼻粘膜刀</w:t>
      </w:r>
      <w:r>
        <w:rPr>
          <w:rFonts w:hint="eastAsia" w:ascii="宋体" w:hAnsi="宋体" w:cs="宋体"/>
          <w:color w:val="auto"/>
          <w:sz w:val="24"/>
          <w:highlight w:val="none"/>
        </w:rPr>
        <w:t>采用05Cr17Ni4Cu4Nb(YY0672.1-2008)材质；</w:t>
      </w:r>
    </w:p>
    <w:p w14:paraId="226C694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39.2.粗糙度：</w:t>
      </w:r>
      <w:r>
        <w:rPr>
          <w:rFonts w:hint="eastAsia" w:ascii="宋体" w:hAnsi="宋体" w:cs="宋体"/>
          <w:color w:val="auto"/>
          <w:kern w:val="0"/>
          <w:sz w:val="24"/>
          <w:highlight w:val="none"/>
          <w:lang w:bidi="ar"/>
        </w:rPr>
        <w:t>鼻粘膜刀</w:t>
      </w:r>
      <w:r>
        <w:rPr>
          <w:rFonts w:hint="eastAsia" w:ascii="宋体" w:hAnsi="宋体" w:cs="宋体"/>
          <w:color w:val="auto"/>
          <w:sz w:val="24"/>
          <w:highlight w:val="none"/>
        </w:rPr>
        <w:t>表面粗糙度Ra值≤0.8um</w:t>
      </w:r>
    </w:p>
    <w:p w14:paraId="15926D6B">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39.3.</w:t>
      </w:r>
      <w:r>
        <w:rPr>
          <w:rFonts w:hint="eastAsia" w:ascii="宋体" w:hAnsi="宋体" w:cs="宋体"/>
          <w:color w:val="auto"/>
          <w:kern w:val="0"/>
          <w:sz w:val="24"/>
          <w:highlight w:val="none"/>
          <w:lang w:bidi="ar"/>
        </w:rPr>
        <w:t>鼻粘膜刀刀口锋利，</w:t>
      </w:r>
      <w:r>
        <w:rPr>
          <w:rFonts w:hint="eastAsia" w:ascii="宋体" w:hAnsi="宋体" w:cs="宋体"/>
          <w:color w:val="auto"/>
          <w:sz w:val="24"/>
          <w:highlight w:val="none"/>
        </w:rPr>
        <w:t>表面平整光滑、无毛刺和锋棱、无肉眼可见的孔隙、裂缝、沟槽和烧结物，以及无磨削剂、抛光剂和防腐剂</w:t>
      </w:r>
    </w:p>
    <w:p w14:paraId="0B8B27DA">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40. </w:t>
      </w:r>
      <w:r>
        <w:rPr>
          <w:rFonts w:hint="eastAsia" w:ascii="宋体" w:hAnsi="宋体" w:cs="宋体"/>
          <w:color w:val="auto"/>
          <w:kern w:val="0"/>
          <w:sz w:val="24"/>
          <w:highlight w:val="none"/>
          <w:lang w:bidi="ar"/>
        </w:rPr>
        <w:t>鼻骨锤:φ28x30mm（±5%）,1把</w:t>
      </w:r>
    </w:p>
    <w:p w14:paraId="1BCA29E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40.1.材质：</w:t>
      </w:r>
      <w:r>
        <w:rPr>
          <w:rFonts w:hint="eastAsia" w:ascii="宋体" w:hAnsi="宋体" w:cs="宋体"/>
          <w:color w:val="auto"/>
          <w:kern w:val="0"/>
          <w:sz w:val="24"/>
          <w:highlight w:val="none"/>
          <w:lang w:bidi="ar"/>
        </w:rPr>
        <w:t>鼻骨锤刀</w:t>
      </w:r>
      <w:r>
        <w:rPr>
          <w:rFonts w:hint="eastAsia" w:ascii="宋体" w:hAnsi="宋体" w:cs="宋体"/>
          <w:color w:val="auto"/>
          <w:sz w:val="24"/>
          <w:highlight w:val="none"/>
        </w:rPr>
        <w:t>采用05Cr17Ni4Cu4Nb(YY0672.1-2008)材质；</w:t>
      </w:r>
    </w:p>
    <w:p w14:paraId="70B532F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40.2.粗糙度：</w:t>
      </w:r>
      <w:r>
        <w:rPr>
          <w:rFonts w:hint="eastAsia" w:ascii="宋体" w:hAnsi="宋体" w:cs="宋体"/>
          <w:color w:val="auto"/>
          <w:kern w:val="0"/>
          <w:sz w:val="24"/>
          <w:highlight w:val="none"/>
          <w:lang w:bidi="ar"/>
        </w:rPr>
        <w:t>鼻骨锤</w:t>
      </w:r>
      <w:r>
        <w:rPr>
          <w:rFonts w:hint="eastAsia" w:ascii="宋体" w:hAnsi="宋体" w:cs="宋体"/>
          <w:color w:val="auto"/>
          <w:sz w:val="24"/>
          <w:highlight w:val="none"/>
        </w:rPr>
        <w:t>表面粗糙度Ra值≤0.8um</w:t>
      </w:r>
    </w:p>
    <w:p w14:paraId="36128DF5">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40.3.</w:t>
      </w:r>
      <w:r>
        <w:rPr>
          <w:rFonts w:hint="eastAsia" w:ascii="宋体" w:hAnsi="宋体" w:cs="宋体"/>
          <w:color w:val="auto"/>
          <w:kern w:val="0"/>
          <w:sz w:val="24"/>
          <w:highlight w:val="none"/>
          <w:lang w:bidi="ar"/>
        </w:rPr>
        <w:t>鼻骨锤</w:t>
      </w:r>
      <w:r>
        <w:rPr>
          <w:rFonts w:hint="eastAsia" w:ascii="宋体" w:hAnsi="宋体" w:cs="宋体"/>
          <w:color w:val="auto"/>
          <w:sz w:val="24"/>
          <w:highlight w:val="none"/>
        </w:rPr>
        <w:t>表面平整光滑、无毛刺和锋棱、无肉眼可见的孔隙、裂缝、沟槽和烧结物，以及无磨削剂、抛光剂和防腐剂</w:t>
      </w:r>
    </w:p>
    <w:p w14:paraId="6518DE80">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41. </w:t>
      </w:r>
      <w:r>
        <w:rPr>
          <w:rFonts w:hint="eastAsia" w:ascii="宋体" w:hAnsi="宋体" w:cs="宋体"/>
          <w:color w:val="auto"/>
          <w:kern w:val="0"/>
          <w:sz w:val="24"/>
          <w:highlight w:val="none"/>
          <w:lang w:bidi="ar"/>
        </w:rPr>
        <w:t>鼻吸引管:  φ2.5mm,工长≥105mm，上颌窦90°防堵塞,1根</w:t>
      </w:r>
    </w:p>
    <w:p w14:paraId="0EAE60FE">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41.1.材质：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1FA557E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41.2.粗糙度：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49F1E98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41.3.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6B75A36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42.  </w:t>
      </w:r>
      <w:r>
        <w:rPr>
          <w:rFonts w:hint="eastAsia" w:ascii="宋体" w:hAnsi="宋体" w:cs="宋体"/>
          <w:color w:val="auto"/>
          <w:kern w:val="0"/>
          <w:sz w:val="24"/>
          <w:highlight w:val="none"/>
          <w:lang w:bidi="ar"/>
        </w:rPr>
        <w:t>持针钳</w:t>
      </w:r>
      <w:r>
        <w:rPr>
          <w:rFonts w:hint="eastAsia" w:ascii="宋体" w:hAnsi="宋体" w:cs="宋体"/>
          <w:color w:val="auto"/>
          <w:sz w:val="24"/>
          <w:highlight w:val="none"/>
        </w:rPr>
        <w:t>:长</w:t>
      </w:r>
      <w:r>
        <w:rPr>
          <w:rFonts w:hint="eastAsia" w:ascii="宋体" w:hAnsi="宋体" w:cs="宋体"/>
          <w:color w:val="auto"/>
          <w:kern w:val="0"/>
          <w:sz w:val="24"/>
          <w:highlight w:val="none"/>
          <w:lang w:bidi="ar"/>
        </w:rPr>
        <w:t>≥</w:t>
      </w:r>
      <w:r>
        <w:rPr>
          <w:rFonts w:hint="eastAsia" w:ascii="宋体" w:hAnsi="宋体" w:cs="宋体"/>
          <w:color w:val="auto"/>
          <w:sz w:val="24"/>
          <w:highlight w:val="none"/>
        </w:rPr>
        <w:t xml:space="preserve">140mm </w:t>
      </w:r>
      <w:r>
        <w:rPr>
          <w:rFonts w:hint="eastAsia" w:ascii="宋体" w:hAnsi="宋体" w:cs="宋体"/>
          <w:color w:val="auto"/>
          <w:kern w:val="0"/>
          <w:sz w:val="24"/>
          <w:highlight w:val="none"/>
          <w:lang w:bidi="ar"/>
        </w:rPr>
        <w:t xml:space="preserve">（硬质合金镶片）, </w:t>
      </w:r>
      <w:r>
        <w:rPr>
          <w:rFonts w:hint="eastAsia" w:ascii="宋体" w:hAnsi="宋体" w:cs="宋体"/>
          <w:color w:val="auto"/>
          <w:sz w:val="24"/>
          <w:highlight w:val="none"/>
        </w:rPr>
        <w:t>1把</w:t>
      </w:r>
    </w:p>
    <w:p w14:paraId="4B1F154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42.1.材质：</w:t>
      </w:r>
      <w:r>
        <w:rPr>
          <w:rFonts w:hint="eastAsia" w:ascii="宋体" w:hAnsi="宋体" w:cs="宋体"/>
          <w:color w:val="auto"/>
          <w:kern w:val="0"/>
          <w:sz w:val="24"/>
          <w:highlight w:val="none"/>
          <w:lang w:bidi="ar"/>
        </w:rPr>
        <w:t>持针钳</w:t>
      </w:r>
      <w:r>
        <w:rPr>
          <w:rFonts w:hint="eastAsia" w:ascii="宋体" w:hAnsi="宋体" w:cs="宋体"/>
          <w:color w:val="auto"/>
          <w:sz w:val="24"/>
          <w:highlight w:val="none"/>
        </w:rPr>
        <w:t>采用05Cr17Ni4Cu4Nb(YY0672.1-2008)材质；</w:t>
      </w:r>
    </w:p>
    <w:p w14:paraId="45177FB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42.2.粗糙度：</w:t>
      </w:r>
      <w:r>
        <w:rPr>
          <w:rFonts w:hint="eastAsia" w:ascii="宋体" w:hAnsi="宋体" w:cs="宋体"/>
          <w:color w:val="auto"/>
          <w:kern w:val="0"/>
          <w:sz w:val="24"/>
          <w:highlight w:val="none"/>
          <w:lang w:bidi="ar"/>
        </w:rPr>
        <w:t>持针钳</w:t>
      </w:r>
      <w:r>
        <w:rPr>
          <w:rFonts w:hint="eastAsia" w:ascii="宋体" w:hAnsi="宋体" w:cs="宋体"/>
          <w:color w:val="auto"/>
          <w:sz w:val="24"/>
          <w:highlight w:val="none"/>
        </w:rPr>
        <w:t>表面粗糙度Ra值≤0.8um</w:t>
      </w:r>
    </w:p>
    <w:p w14:paraId="567F70D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42.3.</w:t>
      </w:r>
      <w:r>
        <w:rPr>
          <w:rFonts w:hint="eastAsia" w:ascii="宋体" w:hAnsi="宋体" w:cs="宋体"/>
          <w:color w:val="auto"/>
          <w:kern w:val="0"/>
          <w:sz w:val="24"/>
          <w:highlight w:val="none"/>
          <w:lang w:bidi="ar"/>
        </w:rPr>
        <w:t>持针钳钳面采用硬质合金镶片经久耐用，</w:t>
      </w:r>
      <w:r>
        <w:rPr>
          <w:rFonts w:hint="eastAsia" w:ascii="宋体" w:hAnsi="宋体" w:cs="宋体"/>
          <w:color w:val="auto"/>
          <w:sz w:val="24"/>
          <w:highlight w:val="none"/>
        </w:rPr>
        <w:t>韧性好，钳齿均匀，表面平整光滑、无毛刺和锋棱、无肉眼可见的孔隙、裂缝、沟槽和烧结物，以及无磨削剂、抛光剂和防腐剂。</w:t>
      </w:r>
    </w:p>
    <w:p w14:paraId="4AE587DE">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43.  </w:t>
      </w:r>
      <w:r>
        <w:rPr>
          <w:rFonts w:hint="eastAsia" w:ascii="宋体" w:hAnsi="宋体" w:cs="宋体"/>
          <w:color w:val="auto"/>
          <w:kern w:val="0"/>
          <w:sz w:val="24"/>
          <w:highlight w:val="none"/>
          <w:lang w:bidi="ar"/>
        </w:rPr>
        <w:t>鼻内窥镜手术器械消毒盒:390x240x100mm±5mm,1个</w:t>
      </w:r>
    </w:p>
    <w:p w14:paraId="09F5196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43.1.材质：</w:t>
      </w:r>
      <w:r>
        <w:rPr>
          <w:rFonts w:hint="eastAsia" w:ascii="宋体" w:hAnsi="宋体" w:cs="宋体"/>
          <w:color w:val="auto"/>
          <w:kern w:val="0"/>
          <w:sz w:val="24"/>
          <w:highlight w:val="none"/>
          <w:lang w:bidi="ar"/>
        </w:rPr>
        <w:t>鼻内窥镜手术器械消毒盒</w:t>
      </w:r>
      <w:r>
        <w:rPr>
          <w:rFonts w:hint="eastAsia" w:ascii="宋体" w:hAnsi="宋体" w:cs="宋体"/>
          <w:color w:val="auto"/>
          <w:sz w:val="24"/>
          <w:highlight w:val="none"/>
        </w:rPr>
        <w:t>采用05Cr17Ni4Cu4Nb(YY0672.1-2008)材质；</w:t>
      </w:r>
    </w:p>
    <w:p w14:paraId="1146666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43.2.粗糙度：</w:t>
      </w:r>
      <w:r>
        <w:rPr>
          <w:rFonts w:hint="eastAsia" w:ascii="宋体" w:hAnsi="宋体" w:cs="宋体"/>
          <w:color w:val="auto"/>
          <w:kern w:val="0"/>
          <w:sz w:val="24"/>
          <w:highlight w:val="none"/>
          <w:lang w:bidi="ar"/>
        </w:rPr>
        <w:t>鼻内窥镜手术器械消毒盒</w:t>
      </w:r>
      <w:r>
        <w:rPr>
          <w:rFonts w:hint="eastAsia" w:ascii="宋体" w:hAnsi="宋体" w:cs="宋体"/>
          <w:color w:val="auto"/>
          <w:sz w:val="24"/>
          <w:highlight w:val="none"/>
        </w:rPr>
        <w:t>表面粗糙度Ra值≤2um</w:t>
      </w:r>
    </w:p>
    <w:p w14:paraId="723B0BA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43.3.</w:t>
      </w:r>
      <w:r>
        <w:rPr>
          <w:rFonts w:hint="eastAsia" w:ascii="宋体" w:hAnsi="宋体" w:cs="宋体"/>
          <w:color w:val="auto"/>
          <w:kern w:val="0"/>
          <w:sz w:val="24"/>
          <w:highlight w:val="none"/>
          <w:lang w:bidi="ar"/>
        </w:rPr>
        <w:t>鼻内窥镜手术器械消毒盒，</w:t>
      </w:r>
      <w:r>
        <w:rPr>
          <w:rFonts w:hint="eastAsia" w:ascii="宋体" w:hAnsi="宋体" w:cs="宋体"/>
          <w:color w:val="auto"/>
          <w:sz w:val="24"/>
          <w:highlight w:val="none"/>
        </w:rPr>
        <w:t>表面平整光滑、无毛刺和锋棱、无肉眼可见的孔隙、裂缝、沟槽和烧结物，以及无磨削剂、抛光剂和防腐剂。</w:t>
      </w:r>
    </w:p>
    <w:p w14:paraId="048DB6F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二、鼻颅底器械</w:t>
      </w:r>
    </w:p>
    <w:p w14:paraId="7664436D">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1.</w:t>
      </w:r>
      <w:r>
        <w:rPr>
          <w:rFonts w:hint="eastAsia" w:ascii="宋体" w:hAnsi="宋体" w:cs="宋体"/>
          <w:color w:val="auto"/>
          <w:kern w:val="0"/>
          <w:sz w:val="24"/>
          <w:highlight w:val="none"/>
          <w:lang w:bidi="ar"/>
        </w:rPr>
        <w:t>鼻筛窦钳:0°口3mm工长≥150mm （卵圆口）,1把</w:t>
      </w:r>
    </w:p>
    <w:p w14:paraId="1F74EA5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6DE114F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04F7CC4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51DD1235">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2. </w:t>
      </w:r>
      <w:r>
        <w:rPr>
          <w:rFonts w:hint="eastAsia" w:ascii="宋体" w:hAnsi="宋体" w:cs="宋体"/>
          <w:color w:val="auto"/>
          <w:kern w:val="0"/>
          <w:sz w:val="24"/>
          <w:highlight w:val="none"/>
          <w:lang w:bidi="ar"/>
        </w:rPr>
        <w:t>鼻筛窦钳:45°口3mm工长≥150mm （长圆口）,1把</w:t>
      </w:r>
    </w:p>
    <w:p w14:paraId="6409E93E">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2.1.材质：</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采用05Cr17Ni4Cu4Nb(YY0672.1-2008)材质；</w:t>
      </w:r>
    </w:p>
    <w:p w14:paraId="52F37DF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2.2.粗糙度：</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表面粗糙度Ra值≤0.8um</w:t>
      </w:r>
    </w:p>
    <w:p w14:paraId="3DC17CB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2.3.</w:t>
      </w:r>
      <w:r>
        <w:rPr>
          <w:rFonts w:hint="eastAsia" w:ascii="宋体" w:hAnsi="宋体" w:cs="宋体"/>
          <w:color w:val="auto"/>
          <w:kern w:val="0"/>
          <w:sz w:val="24"/>
          <w:highlight w:val="none"/>
          <w:lang w:bidi="ar"/>
        </w:rPr>
        <w:t>鼻筛窦钳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3C93D61F">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3. </w:t>
      </w:r>
      <w:r>
        <w:rPr>
          <w:rFonts w:hint="eastAsia" w:ascii="宋体" w:hAnsi="宋体" w:cs="宋体"/>
          <w:color w:val="auto"/>
          <w:kern w:val="0"/>
          <w:sz w:val="24"/>
          <w:highlight w:val="none"/>
          <w:lang w:bidi="ar"/>
        </w:rPr>
        <w:t>鼻咬切钳: 0°口1mm工长≥180mm ,1把</w:t>
      </w:r>
    </w:p>
    <w:p w14:paraId="4A13E9D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3.1.材质：</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采用05Cr17Ni4Cu4Nb(YY0672.1-2008)材质；</w:t>
      </w:r>
    </w:p>
    <w:p w14:paraId="5153B94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3.2.粗糙度：</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表面粗糙度Ra值≤0.8um</w:t>
      </w:r>
    </w:p>
    <w:p w14:paraId="3BF4312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3.3.</w:t>
      </w:r>
      <w:r>
        <w:rPr>
          <w:rFonts w:hint="eastAsia" w:ascii="宋体" w:hAnsi="宋体" w:cs="宋体"/>
          <w:color w:val="auto"/>
          <w:kern w:val="0"/>
          <w:sz w:val="24"/>
          <w:highlight w:val="none"/>
          <w:lang w:bidi="ar"/>
        </w:rPr>
        <w:t>鼻咬切钳咬口</w:t>
      </w:r>
      <w:r>
        <w:rPr>
          <w:rFonts w:hint="eastAsia" w:ascii="宋体" w:hAnsi="宋体" w:cs="宋体"/>
          <w:color w:val="auto"/>
          <w:sz w:val="24"/>
          <w:highlight w:val="none"/>
        </w:rPr>
        <w:t>最大间隙＜0.1mm，咬口锋利，表面平整光滑、无毛刺和锋棱、无肉眼可见的孔隙、裂缝、沟槽和烧结物，以及无磨削剂、抛光剂和防腐剂。</w:t>
      </w:r>
    </w:p>
    <w:p w14:paraId="273ABEC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4. </w:t>
      </w:r>
      <w:r>
        <w:rPr>
          <w:rFonts w:hint="eastAsia" w:ascii="宋体" w:hAnsi="宋体" w:cs="宋体"/>
          <w:color w:val="auto"/>
          <w:kern w:val="0"/>
          <w:sz w:val="24"/>
          <w:highlight w:val="none"/>
          <w:lang w:bidi="ar"/>
        </w:rPr>
        <w:t>鼻咬切钳:30°口1mm工长≥180mm ,1把</w:t>
      </w:r>
    </w:p>
    <w:p w14:paraId="7513AD1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4.1.材质：</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采用05Cr17Ni4Cu4Nb(YY0672.1-2008)材质；</w:t>
      </w:r>
    </w:p>
    <w:p w14:paraId="1D277F6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4.2.粗糙度：</w:t>
      </w:r>
      <w:r>
        <w:rPr>
          <w:rFonts w:hint="eastAsia" w:ascii="宋体" w:hAnsi="宋体" w:cs="宋体"/>
          <w:color w:val="auto"/>
          <w:kern w:val="0"/>
          <w:sz w:val="24"/>
          <w:highlight w:val="none"/>
          <w:lang w:bidi="ar"/>
        </w:rPr>
        <w:t>鼻咬切钳</w:t>
      </w:r>
      <w:r>
        <w:rPr>
          <w:rFonts w:hint="eastAsia" w:ascii="宋体" w:hAnsi="宋体" w:cs="宋体"/>
          <w:color w:val="auto"/>
          <w:sz w:val="24"/>
          <w:highlight w:val="none"/>
        </w:rPr>
        <w:t>表面粗糙度Ra值≤0.8um</w:t>
      </w:r>
    </w:p>
    <w:p w14:paraId="29A1446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4.3.</w:t>
      </w:r>
      <w:r>
        <w:rPr>
          <w:rFonts w:hint="eastAsia" w:ascii="宋体" w:hAnsi="宋体" w:cs="宋体"/>
          <w:color w:val="auto"/>
          <w:kern w:val="0"/>
          <w:sz w:val="24"/>
          <w:highlight w:val="none"/>
          <w:lang w:bidi="ar"/>
        </w:rPr>
        <w:t>鼻咬切钳咬口</w:t>
      </w:r>
      <w:r>
        <w:rPr>
          <w:rFonts w:hint="eastAsia" w:ascii="宋体" w:hAnsi="宋体" w:cs="宋体"/>
          <w:color w:val="auto"/>
          <w:sz w:val="24"/>
          <w:highlight w:val="none"/>
        </w:rPr>
        <w:t>最大间隙＜0.1mm，咬口锋利，表面平整光滑、无毛刺和锋棱、无肉眼可见的孔隙、裂缝、沟槽和烧结物，以及无磨削剂、抛光剂和防腐剂。</w:t>
      </w:r>
    </w:p>
    <w:p w14:paraId="3E00549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5. </w:t>
      </w:r>
      <w:r>
        <w:rPr>
          <w:rFonts w:hint="eastAsia" w:ascii="宋体" w:hAnsi="宋体" w:cs="宋体"/>
          <w:color w:val="auto"/>
          <w:kern w:val="0"/>
          <w:sz w:val="24"/>
          <w:highlight w:val="none"/>
          <w:lang w:bidi="ar"/>
        </w:rPr>
        <w:t>髓核钳:0°口4mm工长≥180mm,1把</w:t>
      </w:r>
    </w:p>
    <w:p w14:paraId="698C97D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5.1.材质：</w:t>
      </w:r>
      <w:r>
        <w:rPr>
          <w:rFonts w:hint="eastAsia" w:ascii="宋体" w:hAnsi="宋体" w:cs="宋体"/>
          <w:color w:val="auto"/>
          <w:kern w:val="0"/>
          <w:sz w:val="24"/>
          <w:highlight w:val="none"/>
          <w:lang w:bidi="ar"/>
        </w:rPr>
        <w:t>髓核钳</w:t>
      </w:r>
      <w:r>
        <w:rPr>
          <w:rFonts w:hint="eastAsia" w:ascii="宋体" w:hAnsi="宋体" w:cs="宋体"/>
          <w:color w:val="auto"/>
          <w:sz w:val="24"/>
          <w:highlight w:val="none"/>
        </w:rPr>
        <w:t>采用05Cr17Ni4Cu4Nb(YY0672.1-2008)材质；</w:t>
      </w:r>
    </w:p>
    <w:p w14:paraId="4C4F7B3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5.2.粗糙度：</w:t>
      </w:r>
      <w:r>
        <w:rPr>
          <w:rFonts w:hint="eastAsia" w:ascii="宋体" w:hAnsi="宋体" w:cs="宋体"/>
          <w:color w:val="auto"/>
          <w:kern w:val="0"/>
          <w:sz w:val="24"/>
          <w:highlight w:val="none"/>
          <w:lang w:bidi="ar"/>
        </w:rPr>
        <w:t>髓核钳</w:t>
      </w:r>
      <w:r>
        <w:rPr>
          <w:rFonts w:hint="eastAsia" w:ascii="宋体" w:hAnsi="宋体" w:cs="宋体"/>
          <w:color w:val="auto"/>
          <w:sz w:val="24"/>
          <w:highlight w:val="none"/>
        </w:rPr>
        <w:t>表面粗糙度Ra值≤0.8um</w:t>
      </w:r>
    </w:p>
    <w:p w14:paraId="3A3060B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5.3.</w:t>
      </w:r>
      <w:r>
        <w:rPr>
          <w:rFonts w:hint="eastAsia" w:ascii="宋体" w:hAnsi="宋体" w:cs="宋体"/>
          <w:color w:val="auto"/>
          <w:kern w:val="0"/>
          <w:sz w:val="24"/>
          <w:highlight w:val="none"/>
          <w:lang w:bidi="ar"/>
        </w:rPr>
        <w:t>髓核钳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03B3A3F0">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6. </w:t>
      </w:r>
      <w:r>
        <w:rPr>
          <w:rFonts w:hint="eastAsia" w:ascii="宋体" w:hAnsi="宋体" w:cs="宋体"/>
          <w:color w:val="auto"/>
          <w:kern w:val="0"/>
          <w:sz w:val="24"/>
          <w:highlight w:val="none"/>
          <w:lang w:bidi="ar"/>
        </w:rPr>
        <w:t>蝶窦咬骨钳:120°推板式口2mm ,1把</w:t>
      </w:r>
    </w:p>
    <w:p w14:paraId="3A5087A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6.1.材质：</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采用05Cr17Ni4Cu4Nb(YY0672.1-2008)材质；</w:t>
      </w:r>
    </w:p>
    <w:p w14:paraId="7237BF3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6.2.粗糙度：</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表面粗糙度Ra值≤0.8um</w:t>
      </w:r>
    </w:p>
    <w:p w14:paraId="3D70318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kern w:val="0"/>
          <w:sz w:val="24"/>
          <w:highlight w:val="none"/>
          <w:lang w:bidi="ar"/>
        </w:rPr>
        <w:t>蝶窦咬骨钳</w:t>
      </w:r>
      <w:r>
        <w:rPr>
          <w:rFonts w:hint="eastAsia" w:ascii="宋体" w:hAnsi="宋体" w:cs="宋体"/>
          <w:color w:val="auto"/>
          <w:sz w:val="24"/>
          <w:highlight w:val="none"/>
        </w:rPr>
        <w:t>咬合度好无错口，表面平整光滑、无毛刺和锋棱、无肉眼可见的孔隙、裂缝、沟槽和烧结物，以及无磨削剂、抛光剂和防腐剂。</w:t>
      </w:r>
    </w:p>
    <w:p w14:paraId="4824EAD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7. </w:t>
      </w:r>
      <w:r>
        <w:rPr>
          <w:rFonts w:hint="eastAsia" w:ascii="宋体" w:hAnsi="宋体" w:cs="宋体"/>
          <w:color w:val="auto"/>
          <w:kern w:val="0"/>
          <w:sz w:val="24"/>
          <w:highlight w:val="none"/>
          <w:lang w:bidi="ar"/>
        </w:rPr>
        <w:t>鼻探针:30°头1.2mm长≥250mm ,1支</w:t>
      </w:r>
    </w:p>
    <w:p w14:paraId="47D8F43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7.1.材质：</w:t>
      </w:r>
      <w:r>
        <w:rPr>
          <w:rFonts w:hint="eastAsia" w:ascii="宋体" w:hAnsi="宋体" w:cs="宋体"/>
          <w:color w:val="auto"/>
          <w:kern w:val="0"/>
          <w:sz w:val="24"/>
          <w:highlight w:val="none"/>
          <w:lang w:bidi="ar"/>
        </w:rPr>
        <w:t>鼻探针</w:t>
      </w:r>
      <w:r>
        <w:rPr>
          <w:rFonts w:hint="eastAsia" w:ascii="宋体" w:hAnsi="宋体" w:cs="宋体"/>
          <w:color w:val="auto"/>
          <w:sz w:val="24"/>
          <w:highlight w:val="none"/>
        </w:rPr>
        <w:t>采用05Cr17Ni4Cu4Nb(YY0672.1-2008)材质；</w:t>
      </w:r>
    </w:p>
    <w:p w14:paraId="72D5C38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7.2.粗糙度：</w:t>
      </w:r>
      <w:r>
        <w:rPr>
          <w:rFonts w:hint="eastAsia" w:ascii="宋体" w:hAnsi="宋体" w:cs="宋体"/>
          <w:color w:val="auto"/>
          <w:kern w:val="0"/>
          <w:sz w:val="24"/>
          <w:highlight w:val="none"/>
          <w:lang w:bidi="ar"/>
        </w:rPr>
        <w:t>鼻探针</w:t>
      </w:r>
      <w:r>
        <w:rPr>
          <w:rFonts w:hint="eastAsia" w:ascii="宋体" w:hAnsi="宋体" w:cs="宋体"/>
          <w:color w:val="auto"/>
          <w:sz w:val="24"/>
          <w:highlight w:val="none"/>
        </w:rPr>
        <w:t>表面粗糙度Ra值≤0.8um</w:t>
      </w:r>
    </w:p>
    <w:p w14:paraId="25727A8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7.3.</w:t>
      </w:r>
      <w:r>
        <w:rPr>
          <w:rFonts w:hint="eastAsia" w:ascii="宋体" w:hAnsi="宋体" w:cs="宋体"/>
          <w:color w:val="auto"/>
          <w:kern w:val="0"/>
          <w:sz w:val="24"/>
          <w:highlight w:val="none"/>
          <w:lang w:bidi="ar"/>
        </w:rPr>
        <w:t>鼻探针</w:t>
      </w:r>
      <w:r>
        <w:rPr>
          <w:rFonts w:hint="eastAsia" w:ascii="宋体" w:hAnsi="宋体" w:cs="宋体"/>
          <w:color w:val="auto"/>
          <w:sz w:val="24"/>
          <w:highlight w:val="none"/>
        </w:rPr>
        <w:t>表面平整光滑、无毛刺和锋棱、无肉眼可见的孔隙、裂缝、沟槽和烧结物，以及无磨削剂、抛光剂和防腐剂。</w:t>
      </w:r>
    </w:p>
    <w:p w14:paraId="5EEFF6E8">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8. </w:t>
      </w:r>
      <w:r>
        <w:rPr>
          <w:rFonts w:hint="eastAsia" w:ascii="宋体" w:hAnsi="宋体" w:cs="宋体"/>
          <w:color w:val="auto"/>
          <w:kern w:val="0"/>
          <w:sz w:val="24"/>
          <w:highlight w:val="none"/>
          <w:lang w:bidi="ar"/>
        </w:rPr>
        <w:t>鼻探针:90°头1.2mm长≥250mm,1支</w:t>
      </w:r>
    </w:p>
    <w:p w14:paraId="459E8D0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8.1.材质：</w:t>
      </w:r>
      <w:r>
        <w:rPr>
          <w:rFonts w:hint="eastAsia" w:ascii="宋体" w:hAnsi="宋体" w:cs="宋体"/>
          <w:color w:val="auto"/>
          <w:kern w:val="0"/>
          <w:sz w:val="24"/>
          <w:highlight w:val="none"/>
          <w:lang w:bidi="ar"/>
        </w:rPr>
        <w:t>鼻探针</w:t>
      </w:r>
      <w:r>
        <w:rPr>
          <w:rFonts w:hint="eastAsia" w:ascii="宋体" w:hAnsi="宋体" w:cs="宋体"/>
          <w:color w:val="auto"/>
          <w:sz w:val="24"/>
          <w:highlight w:val="none"/>
        </w:rPr>
        <w:t>采用05Cr17Ni4Cu4Nb(YY0672.1-2008)材质；</w:t>
      </w:r>
    </w:p>
    <w:p w14:paraId="05312A0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8.2.粗糙度：</w:t>
      </w:r>
      <w:r>
        <w:rPr>
          <w:rFonts w:hint="eastAsia" w:ascii="宋体" w:hAnsi="宋体" w:cs="宋体"/>
          <w:color w:val="auto"/>
          <w:kern w:val="0"/>
          <w:sz w:val="24"/>
          <w:highlight w:val="none"/>
          <w:lang w:bidi="ar"/>
        </w:rPr>
        <w:t>鼻探针</w:t>
      </w:r>
      <w:r>
        <w:rPr>
          <w:rFonts w:hint="eastAsia" w:ascii="宋体" w:hAnsi="宋体" w:cs="宋体"/>
          <w:color w:val="auto"/>
          <w:sz w:val="24"/>
          <w:highlight w:val="none"/>
        </w:rPr>
        <w:t>表面粗糙度Ra值≤0.8um</w:t>
      </w:r>
    </w:p>
    <w:p w14:paraId="48AE83F5">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8.3.</w:t>
      </w:r>
      <w:r>
        <w:rPr>
          <w:rFonts w:hint="eastAsia" w:ascii="宋体" w:hAnsi="宋体" w:cs="宋体"/>
          <w:color w:val="auto"/>
          <w:kern w:val="0"/>
          <w:sz w:val="24"/>
          <w:highlight w:val="none"/>
          <w:lang w:bidi="ar"/>
        </w:rPr>
        <w:t>鼻探针</w:t>
      </w:r>
      <w:r>
        <w:rPr>
          <w:rFonts w:hint="eastAsia" w:ascii="宋体" w:hAnsi="宋体" w:cs="宋体"/>
          <w:color w:val="auto"/>
          <w:sz w:val="24"/>
          <w:highlight w:val="none"/>
        </w:rPr>
        <w:t>表面平整光滑、无毛刺和锋棱、无肉眼可见的孔隙、裂缝、沟槽和烧结物，以及无磨削剂、抛光剂和防腐剂。</w:t>
      </w:r>
    </w:p>
    <w:p w14:paraId="3BA89501">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9. </w:t>
      </w:r>
      <w:r>
        <w:rPr>
          <w:rFonts w:hint="eastAsia" w:ascii="宋体" w:hAnsi="宋体" w:cs="宋体"/>
          <w:color w:val="auto"/>
          <w:kern w:val="0"/>
          <w:sz w:val="24"/>
          <w:highlight w:val="none"/>
          <w:lang w:bidi="ar"/>
        </w:rPr>
        <w:t>鼻剥离器:铲型钝头，头≥3mm，长≥250mm ,1支</w:t>
      </w:r>
    </w:p>
    <w:p w14:paraId="2D5227B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9.1.材质：</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采用05Cr17Ni4Cu4Nb(YY0672.1-2008)材质；</w:t>
      </w:r>
    </w:p>
    <w:p w14:paraId="133CEB05">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9.2.粗糙度：</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表面粗糙度Ra值≤0.8um</w:t>
      </w:r>
    </w:p>
    <w:p w14:paraId="3F005480">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9.3.</w:t>
      </w:r>
      <w:r>
        <w:rPr>
          <w:rFonts w:hint="eastAsia" w:ascii="宋体" w:hAnsi="宋体" w:cs="宋体"/>
          <w:color w:val="auto"/>
          <w:kern w:val="0"/>
          <w:sz w:val="24"/>
          <w:highlight w:val="none"/>
          <w:lang w:bidi="ar"/>
        </w:rPr>
        <w:t>鼻剥离器</w:t>
      </w:r>
      <w:r>
        <w:rPr>
          <w:rFonts w:hint="eastAsia" w:ascii="宋体" w:hAnsi="宋体" w:cs="宋体"/>
          <w:color w:val="auto"/>
          <w:sz w:val="24"/>
          <w:highlight w:val="none"/>
        </w:rPr>
        <w:t>表面平整光滑、无毛刺和锋棱、无肉眼可见的孔隙、裂缝、沟槽和烧结物，以及无磨削剂、抛光剂和防腐剂。</w:t>
      </w:r>
    </w:p>
    <w:p w14:paraId="43BDB185">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10. </w:t>
      </w:r>
      <w:r>
        <w:rPr>
          <w:rFonts w:hint="eastAsia" w:ascii="宋体" w:hAnsi="宋体" w:cs="宋体"/>
          <w:color w:val="auto"/>
          <w:kern w:val="0"/>
          <w:sz w:val="24"/>
          <w:highlight w:val="none"/>
          <w:lang w:bidi="ar"/>
        </w:rPr>
        <w:t>刮匙:45°φ3mm,长≥250mm ,1支</w:t>
      </w:r>
    </w:p>
    <w:p w14:paraId="4A1FA26A">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10.1.材质：</w:t>
      </w:r>
      <w:r>
        <w:rPr>
          <w:rFonts w:hint="eastAsia" w:ascii="宋体" w:hAnsi="宋体" w:cs="宋体"/>
          <w:color w:val="auto"/>
          <w:kern w:val="0"/>
          <w:sz w:val="24"/>
          <w:highlight w:val="none"/>
          <w:lang w:bidi="ar"/>
        </w:rPr>
        <w:t>刮匙</w:t>
      </w:r>
      <w:r>
        <w:rPr>
          <w:rFonts w:hint="eastAsia" w:ascii="宋体" w:hAnsi="宋体" w:cs="宋体"/>
          <w:color w:val="auto"/>
          <w:sz w:val="24"/>
          <w:highlight w:val="none"/>
        </w:rPr>
        <w:t>采用05Cr17Ni4Cu4Nb(YY0672.1-2008)材质；</w:t>
      </w:r>
    </w:p>
    <w:p w14:paraId="541E089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10.2.粗糙度：</w:t>
      </w:r>
      <w:r>
        <w:rPr>
          <w:rFonts w:hint="eastAsia" w:ascii="宋体" w:hAnsi="宋体" w:cs="宋体"/>
          <w:color w:val="auto"/>
          <w:kern w:val="0"/>
          <w:sz w:val="24"/>
          <w:highlight w:val="none"/>
          <w:lang w:bidi="ar"/>
        </w:rPr>
        <w:t>刮匙</w:t>
      </w:r>
      <w:r>
        <w:rPr>
          <w:rFonts w:hint="eastAsia" w:ascii="宋体" w:hAnsi="宋体" w:cs="宋体"/>
          <w:color w:val="auto"/>
          <w:sz w:val="24"/>
          <w:highlight w:val="none"/>
        </w:rPr>
        <w:t>表面粗糙度Ra值≤0.8um</w:t>
      </w:r>
    </w:p>
    <w:p w14:paraId="100EBC2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10.3.</w:t>
      </w:r>
      <w:r>
        <w:rPr>
          <w:rFonts w:hint="eastAsia" w:ascii="宋体" w:hAnsi="宋体" w:cs="宋体"/>
          <w:color w:val="auto"/>
          <w:kern w:val="0"/>
          <w:sz w:val="24"/>
          <w:highlight w:val="none"/>
          <w:lang w:bidi="ar"/>
        </w:rPr>
        <w:t>刮匙</w:t>
      </w:r>
      <w:r>
        <w:rPr>
          <w:rFonts w:hint="eastAsia" w:ascii="宋体" w:hAnsi="宋体" w:cs="宋体"/>
          <w:color w:val="auto"/>
          <w:sz w:val="24"/>
          <w:highlight w:val="none"/>
        </w:rPr>
        <w:t>表面平整光滑、无毛刺和锋棱、无肉眼可见的孔隙、裂缝、沟槽和烧结物，以及无磨削剂、抛光剂和防腐剂。</w:t>
      </w:r>
    </w:p>
    <w:p w14:paraId="223F668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11. </w:t>
      </w:r>
      <w:r>
        <w:rPr>
          <w:rFonts w:hint="eastAsia" w:ascii="宋体" w:hAnsi="宋体" w:cs="宋体"/>
          <w:color w:val="auto"/>
          <w:kern w:val="0"/>
          <w:sz w:val="24"/>
          <w:highlight w:val="none"/>
          <w:lang w:bidi="ar"/>
        </w:rPr>
        <w:t>外科吸引管:φ1.5mm,（可塑形）,1支</w:t>
      </w:r>
    </w:p>
    <w:p w14:paraId="009F206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11.1.材质：</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采用钛镍记忆合金材质；</w:t>
      </w:r>
    </w:p>
    <w:p w14:paraId="792167D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11.2.粗糙度：</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表面粗糙度Ra值≤0.8um</w:t>
      </w:r>
    </w:p>
    <w:p w14:paraId="1128B57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11.3.</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表面</w:t>
      </w:r>
      <w:r>
        <w:rPr>
          <w:rFonts w:hint="eastAsia" w:ascii="宋体" w:hAnsi="宋体" w:cs="宋体"/>
          <w:color w:val="auto"/>
          <w:kern w:val="0"/>
          <w:sz w:val="24"/>
          <w:highlight w:val="none"/>
          <w:lang w:bidi="ar"/>
        </w:rPr>
        <w:t>及管壁</w:t>
      </w:r>
      <w:r>
        <w:rPr>
          <w:rFonts w:hint="eastAsia" w:ascii="宋体" w:hAnsi="宋体" w:cs="宋体"/>
          <w:color w:val="auto"/>
          <w:sz w:val="24"/>
          <w:highlight w:val="none"/>
        </w:rPr>
        <w:t>平整光滑、无毛刺和锋棱、无肉眼可见的孔隙、裂缝、沟槽和烧结物，以及无磨削剂、抛光剂和防腐剂。</w:t>
      </w:r>
    </w:p>
    <w:p w14:paraId="02088C74">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12. </w:t>
      </w:r>
      <w:r>
        <w:rPr>
          <w:rFonts w:hint="eastAsia" w:ascii="宋体" w:hAnsi="宋体" w:cs="宋体"/>
          <w:color w:val="auto"/>
          <w:kern w:val="0"/>
          <w:sz w:val="24"/>
          <w:highlight w:val="none"/>
          <w:lang w:bidi="ar"/>
        </w:rPr>
        <w:t>外科吸引管:φ3mm,（可塑形）,1支</w:t>
      </w:r>
    </w:p>
    <w:p w14:paraId="0D9D660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12.1.材质：</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采用钛镍记忆合金材质；</w:t>
      </w:r>
    </w:p>
    <w:p w14:paraId="5310B50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12.2.粗糙度：</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表面粗糙度Ra值≤0.8um</w:t>
      </w:r>
    </w:p>
    <w:p w14:paraId="7BA338D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12.3.</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7DCA6C66">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13. </w:t>
      </w:r>
      <w:r>
        <w:rPr>
          <w:rFonts w:hint="eastAsia" w:ascii="宋体" w:hAnsi="宋体" w:cs="宋体"/>
          <w:color w:val="auto"/>
          <w:kern w:val="0"/>
          <w:sz w:val="24"/>
          <w:highlight w:val="none"/>
          <w:lang w:bidi="ar"/>
        </w:rPr>
        <w:t>外科吸引管≥φ4mm,（可塑形）,1支</w:t>
      </w:r>
    </w:p>
    <w:p w14:paraId="3ADC835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13.1.材质：</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采用钛镍记忆合金材质；</w:t>
      </w:r>
    </w:p>
    <w:p w14:paraId="243CBE6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13.2.粗糙度：</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表面粗糙度Ra值≤0.8um</w:t>
      </w:r>
    </w:p>
    <w:p w14:paraId="0A67647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13.3.</w:t>
      </w:r>
      <w:r>
        <w:rPr>
          <w:rFonts w:hint="eastAsia" w:ascii="宋体" w:hAnsi="宋体" w:cs="宋体"/>
          <w:color w:val="auto"/>
          <w:kern w:val="0"/>
          <w:sz w:val="24"/>
          <w:highlight w:val="none"/>
          <w:lang w:bidi="ar"/>
        </w:rPr>
        <w:t>外科吸引管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4E47EED5">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14. </w:t>
      </w:r>
      <w:r>
        <w:rPr>
          <w:rFonts w:hint="eastAsia" w:ascii="宋体" w:hAnsi="宋体" w:cs="宋体"/>
          <w:color w:val="auto"/>
          <w:kern w:val="0"/>
          <w:sz w:val="24"/>
          <w:highlight w:val="none"/>
          <w:lang w:bidi="ar"/>
        </w:rPr>
        <w:t>鼻吸引管:φ2.5mm,工长≥150mm,1根</w:t>
      </w:r>
    </w:p>
    <w:p w14:paraId="33560AF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14.1.材质：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6827048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14.2.粗糙度：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5122830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14.3.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4DD0D837">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15. </w:t>
      </w:r>
      <w:r>
        <w:rPr>
          <w:rFonts w:hint="eastAsia" w:ascii="宋体" w:hAnsi="宋体" w:cs="宋体"/>
          <w:color w:val="auto"/>
          <w:kern w:val="0"/>
          <w:sz w:val="24"/>
          <w:highlight w:val="none"/>
          <w:lang w:bidi="ar"/>
        </w:rPr>
        <w:t>鼻吸引管,φ3mm,工长≥150mm,1根</w:t>
      </w:r>
    </w:p>
    <w:p w14:paraId="36A3560E">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15.1.材质：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3C2CD1F4">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15.2.粗糙度：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2A7FCB62">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15.3.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7E611919">
      <w:pPr>
        <w:shd w:val="clear"/>
        <w:spacing w:line="360" w:lineRule="auto"/>
        <w:jc w:val="left"/>
        <w:rPr>
          <w:rFonts w:ascii="宋体" w:hAnsi="宋体" w:cs="宋体"/>
          <w:color w:val="auto"/>
          <w:kern w:val="0"/>
          <w:sz w:val="24"/>
          <w:highlight w:val="none"/>
          <w:lang w:bidi="ar"/>
        </w:rPr>
      </w:pPr>
      <w:r>
        <w:rPr>
          <w:rFonts w:hint="eastAsia" w:ascii="宋体" w:hAnsi="宋体" w:cs="宋体"/>
          <w:color w:val="auto"/>
          <w:sz w:val="24"/>
          <w:highlight w:val="none"/>
        </w:rPr>
        <w:t xml:space="preserve">16. </w:t>
      </w:r>
      <w:r>
        <w:rPr>
          <w:rFonts w:hint="eastAsia" w:ascii="宋体" w:hAnsi="宋体" w:cs="宋体"/>
          <w:color w:val="auto"/>
          <w:kern w:val="0"/>
          <w:sz w:val="24"/>
          <w:highlight w:val="none"/>
          <w:lang w:bidi="ar"/>
        </w:rPr>
        <w:t>鼻吸引管  上弯30°φ3mm,工长150mm      1根</w:t>
      </w:r>
    </w:p>
    <w:p w14:paraId="54F6741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16.1.材质：</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采用05Cr17Ni4Cu4Nb(YY0672.1-2008)材质；</w:t>
      </w:r>
    </w:p>
    <w:p w14:paraId="5AF7C83E">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16.2.粗糙度：</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表面粗糙度Ra值≤0.8um</w:t>
      </w:r>
    </w:p>
    <w:p w14:paraId="2206909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16.3.</w:t>
      </w:r>
      <w:r>
        <w:rPr>
          <w:rFonts w:hint="eastAsia" w:ascii="宋体" w:hAnsi="宋体" w:cs="宋体"/>
          <w:color w:val="auto"/>
          <w:kern w:val="0"/>
          <w:sz w:val="24"/>
          <w:highlight w:val="none"/>
          <w:lang w:bidi="ar"/>
        </w:rPr>
        <w:t>鼻吸引管</w:t>
      </w:r>
      <w:r>
        <w:rPr>
          <w:rFonts w:hint="eastAsia" w:ascii="宋体" w:hAnsi="宋体" w:cs="宋体"/>
          <w:color w:val="auto"/>
          <w:sz w:val="24"/>
          <w:highlight w:val="none"/>
        </w:rPr>
        <w:t>表面及管壁平整光滑、无毛刺和锋棱、无肉眼可见的孔隙、裂缝、沟槽和烧结物，以及无磨削剂、抛光剂和防腐剂</w:t>
      </w:r>
    </w:p>
    <w:p w14:paraId="2587B53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17.  耳用镊:长≥160mm</w:t>
      </w:r>
      <w:r>
        <w:rPr>
          <w:rFonts w:hint="eastAsia" w:ascii="宋体" w:hAnsi="宋体" w:cs="宋体"/>
          <w:color w:val="auto"/>
          <w:kern w:val="0"/>
          <w:sz w:val="24"/>
          <w:highlight w:val="none"/>
          <w:lang w:bidi="ar"/>
        </w:rPr>
        <w:t>膝状镊</w:t>
      </w:r>
      <w:r>
        <w:rPr>
          <w:rFonts w:hint="eastAsia" w:ascii="宋体" w:hAnsi="宋体" w:cs="宋体"/>
          <w:color w:val="auto"/>
          <w:sz w:val="24"/>
          <w:highlight w:val="none"/>
        </w:rPr>
        <w:t>,5把</w:t>
      </w:r>
    </w:p>
    <w:p w14:paraId="5A15882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17.1.材质：耳用镊采用05Cr17Ni4Cu4Nb(YY0672.1-2008)材质；</w:t>
      </w:r>
    </w:p>
    <w:p w14:paraId="0BCB2AE3">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17.2.粗糙度：耳用镊表面粗糙度Ra值≤0.8um</w:t>
      </w:r>
    </w:p>
    <w:p w14:paraId="2FEB24E6">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17.3.耳用镊韧性及回弹力好，镊齿均匀，表面平整光滑、无毛刺和锋棱、无肉眼可见的孔隙、裂缝、沟槽和烧结物，以及无磨削剂、抛光剂和防腐剂。</w:t>
      </w:r>
    </w:p>
    <w:p w14:paraId="5E56A0E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18.  鼻用镊:长≥160mm</w:t>
      </w:r>
      <w:r>
        <w:rPr>
          <w:rFonts w:hint="eastAsia" w:ascii="宋体" w:hAnsi="宋体" w:cs="宋体"/>
          <w:color w:val="auto"/>
          <w:kern w:val="0"/>
          <w:sz w:val="24"/>
          <w:highlight w:val="none"/>
          <w:lang w:bidi="ar"/>
        </w:rPr>
        <w:t>精细型</w:t>
      </w:r>
      <w:r>
        <w:rPr>
          <w:rFonts w:hint="eastAsia" w:ascii="宋体" w:hAnsi="宋体" w:cs="宋体"/>
          <w:color w:val="auto"/>
          <w:sz w:val="24"/>
          <w:highlight w:val="none"/>
        </w:rPr>
        <w:t>,5把</w:t>
      </w:r>
    </w:p>
    <w:p w14:paraId="24176B2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18.1.材质：鼻用镊采用05Cr17Ni4Cu4Nb(YY0672.1-2008)材质；</w:t>
      </w:r>
    </w:p>
    <w:p w14:paraId="6E7B7A8C">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18.2.粗糙度：鼻用镊表面粗糙度Ra值≤0.8um</w:t>
      </w:r>
    </w:p>
    <w:p w14:paraId="1702D7F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18.3.鼻用镊韧性及回弹力好，镊齿均匀，表面平整光滑、无毛刺和锋棱、无肉眼可见的孔隙、裂缝、沟槽和烧结物，以及无磨削剂、抛光剂和防腐剂。</w:t>
      </w:r>
    </w:p>
    <w:p w14:paraId="036F6F85">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19.  </w:t>
      </w:r>
      <w:r>
        <w:rPr>
          <w:rFonts w:hint="eastAsia" w:ascii="宋体" w:hAnsi="宋体" w:cs="宋体"/>
          <w:color w:val="auto"/>
          <w:kern w:val="0"/>
          <w:sz w:val="24"/>
          <w:highlight w:val="none"/>
          <w:lang w:bidi="ar"/>
        </w:rPr>
        <w:t>耳镜</w:t>
      </w:r>
      <w:r>
        <w:rPr>
          <w:rFonts w:hint="eastAsia" w:ascii="宋体" w:hAnsi="宋体" w:cs="宋体"/>
          <w:color w:val="auto"/>
          <w:sz w:val="24"/>
          <w:highlight w:val="none"/>
        </w:rPr>
        <w:t>,2个</w:t>
      </w:r>
    </w:p>
    <w:p w14:paraId="01B5141D">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19.1.材质：耳镜采用05Cr17Ni4Cu4Nb(YY0672.1-2008)材质；</w:t>
      </w:r>
    </w:p>
    <w:p w14:paraId="2F698337">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19.2.粗糙度：耳镜表面粗糙度Ra值≤0.8um</w:t>
      </w:r>
    </w:p>
    <w:p w14:paraId="696900F1">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19.3.耳镜韧性及回弹力好，镊齿均匀，表面平整光滑、无毛刺和锋棱、无肉眼可见的孔隙、裂缝、沟槽和烧结物，以及无磨削剂、抛光剂和防腐剂。</w:t>
      </w:r>
    </w:p>
    <w:p w14:paraId="5D7AF7B8">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20.  </w:t>
      </w:r>
      <w:r>
        <w:rPr>
          <w:rFonts w:hint="eastAsia" w:ascii="宋体" w:hAnsi="宋体" w:cs="宋体"/>
          <w:color w:val="auto"/>
          <w:kern w:val="0"/>
          <w:sz w:val="24"/>
          <w:highlight w:val="none"/>
          <w:lang w:bidi="ar"/>
        </w:rPr>
        <w:t>鼻颅底手术器械消毒盒,360x260x100mm±5mm ,三层, 1个</w:t>
      </w:r>
    </w:p>
    <w:p w14:paraId="5F57D869">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20.1.材质：</w:t>
      </w:r>
      <w:r>
        <w:rPr>
          <w:rFonts w:hint="eastAsia" w:ascii="宋体" w:hAnsi="宋体" w:cs="宋体"/>
          <w:color w:val="auto"/>
          <w:kern w:val="0"/>
          <w:sz w:val="24"/>
          <w:highlight w:val="none"/>
          <w:lang w:bidi="ar"/>
        </w:rPr>
        <w:t>鼻颅底手术器械消毒盒</w:t>
      </w:r>
      <w:r>
        <w:rPr>
          <w:rFonts w:hint="eastAsia" w:ascii="宋体" w:hAnsi="宋体" w:cs="宋体"/>
          <w:color w:val="auto"/>
          <w:sz w:val="24"/>
          <w:highlight w:val="none"/>
        </w:rPr>
        <w:t>采用05Cr17Ni4Cu4Nb(YY0672.1-2008)材质；</w:t>
      </w:r>
    </w:p>
    <w:p w14:paraId="124FB96F">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20.2.粗糙度：</w:t>
      </w:r>
      <w:r>
        <w:rPr>
          <w:rFonts w:hint="eastAsia" w:ascii="宋体" w:hAnsi="宋体" w:cs="宋体"/>
          <w:color w:val="auto"/>
          <w:kern w:val="0"/>
          <w:sz w:val="24"/>
          <w:highlight w:val="none"/>
          <w:lang w:bidi="ar"/>
        </w:rPr>
        <w:t>鼻颅底手术器械消毒盒</w:t>
      </w:r>
      <w:r>
        <w:rPr>
          <w:rFonts w:hint="eastAsia" w:ascii="宋体" w:hAnsi="宋体" w:cs="宋体"/>
          <w:color w:val="auto"/>
          <w:sz w:val="24"/>
          <w:highlight w:val="none"/>
        </w:rPr>
        <w:t>表面粗糙度Ra值≤2um</w:t>
      </w:r>
    </w:p>
    <w:p w14:paraId="721C503B">
      <w:pPr>
        <w:shd w:val="clear"/>
        <w:spacing w:line="360" w:lineRule="auto"/>
        <w:jc w:val="left"/>
        <w:rPr>
          <w:rFonts w:ascii="宋体" w:hAnsi="宋体" w:cs="宋体"/>
          <w:color w:val="auto"/>
          <w:sz w:val="24"/>
          <w:highlight w:val="none"/>
        </w:rPr>
      </w:pPr>
      <w:r>
        <w:rPr>
          <w:rFonts w:hint="eastAsia" w:ascii="宋体" w:hAnsi="宋体" w:cs="宋体"/>
          <w:color w:val="auto"/>
          <w:sz w:val="24"/>
          <w:highlight w:val="none"/>
        </w:rPr>
        <w:t>20.3.</w:t>
      </w:r>
      <w:r>
        <w:rPr>
          <w:rFonts w:hint="eastAsia" w:ascii="宋体" w:hAnsi="宋体" w:cs="宋体"/>
          <w:color w:val="auto"/>
          <w:kern w:val="0"/>
          <w:sz w:val="24"/>
          <w:highlight w:val="none"/>
          <w:lang w:bidi="ar"/>
        </w:rPr>
        <w:t>鼻颅底手术器械消毒盒，</w:t>
      </w:r>
      <w:r>
        <w:rPr>
          <w:rFonts w:hint="eastAsia" w:ascii="宋体" w:hAnsi="宋体" w:cs="宋体"/>
          <w:color w:val="auto"/>
          <w:sz w:val="24"/>
          <w:highlight w:val="none"/>
        </w:rPr>
        <w:t>表面平整光滑、无毛刺和锋棱、无肉眼可见的孔隙、裂缝、沟槽和烧结物，以及无磨削剂、抛光剂和防腐剂。</w:t>
      </w:r>
    </w:p>
    <w:p w14:paraId="008F9D23">
      <w:pPr>
        <w:shd w:val="clear"/>
        <w:spacing w:line="360" w:lineRule="auto"/>
        <w:rPr>
          <w:rFonts w:ascii="宋体" w:hAnsi="宋体" w:cs="宋体"/>
          <w:color w:val="auto"/>
          <w:sz w:val="24"/>
          <w:highlight w:val="none"/>
        </w:rPr>
      </w:pPr>
      <w:r>
        <w:rPr>
          <w:rFonts w:hint="eastAsia" w:ascii="宋体" w:hAnsi="宋体" w:cs="宋体"/>
          <w:color w:val="auto"/>
          <w:sz w:val="24"/>
          <w:highlight w:val="none"/>
        </w:rPr>
        <w:br w:type="page"/>
      </w:r>
    </w:p>
    <w:p w14:paraId="196A9A01">
      <w:pPr>
        <w:shd w:val="clea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标段3</w:t>
      </w:r>
    </w:p>
    <w:p w14:paraId="527F4A5B">
      <w:pPr>
        <w:shd w:val="clea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序号1：脉冲磁场刺激仪</w:t>
      </w:r>
    </w:p>
    <w:p w14:paraId="50FDD91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1.产品注册适用范围：用于人体中枢神经和外周神经功能的检测、辅助评定和治疗。</w:t>
      </w:r>
    </w:p>
    <w:p w14:paraId="2E5A7E9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2.产品应符合GB 9706.1-2020、YY/T 0994-2015标准，通过EMC电磁兼容测试。</w:t>
      </w:r>
    </w:p>
    <w:p w14:paraId="43A5755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3.▲产品组成至少包括控制电脑、刺激发生器、液冷循环系统、盆底刺激线圈和外置刺激线圈，所有组成均采用分体式结构设计。</w:t>
      </w:r>
    </w:p>
    <w:p w14:paraId="4C185FEE">
      <w:pPr>
        <w:shd w:val="clear"/>
        <w:spacing w:line="360" w:lineRule="auto"/>
        <w:rPr>
          <w:rFonts w:ascii="宋体" w:hAnsi="宋体" w:cs="宋体"/>
          <w:color w:val="auto"/>
          <w:sz w:val="24"/>
          <w:highlight w:val="none"/>
        </w:rPr>
      </w:pPr>
      <w:r>
        <w:rPr>
          <w:rFonts w:hint="eastAsia" w:ascii="宋体" w:hAnsi="宋体" w:cs="宋体"/>
          <w:color w:val="auto"/>
          <w:sz w:val="24"/>
          <w:highlight w:val="none"/>
        </w:rPr>
        <w:t>4.▲最大磁感应强度不小于8T。输出脉冲刺激频率范围在0-90Hz间，1Hz 以下时，步长为 0.1Hz。</w:t>
      </w:r>
    </w:p>
    <w:p w14:paraId="6D2FD52F">
      <w:pPr>
        <w:shd w:val="clear"/>
        <w:spacing w:line="360" w:lineRule="auto"/>
        <w:rPr>
          <w:rFonts w:ascii="宋体" w:hAnsi="宋体" w:cs="宋体"/>
          <w:color w:val="auto"/>
          <w:sz w:val="24"/>
          <w:highlight w:val="none"/>
        </w:rPr>
      </w:pPr>
      <w:r>
        <w:rPr>
          <w:rFonts w:hint="eastAsia" w:ascii="宋体" w:hAnsi="宋体" w:cs="宋体"/>
          <w:color w:val="auto"/>
          <w:sz w:val="24"/>
          <w:highlight w:val="none"/>
        </w:rPr>
        <w:t>5.▲磁感应强度的最大变化率范围≥10-120KT/s；脉冲上升时间调节范围≥0-120μs；双相波脉冲宽度范围≥200～400μs。</w:t>
      </w:r>
    </w:p>
    <w:p w14:paraId="1A7E0C3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6.▲具有独立外置分体式刺激发生器，内置微电脑，并配置液晶屏，与电脑一体机组成双屏，可同时实时显示患者信息、磁刺激方案参数和刺激发生器状态信息。</w:t>
      </w:r>
    </w:p>
    <w:p w14:paraId="50C24DE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7.▲具有独立外置分体式刺激发生器，可脱离电脑单独工作。通过刺激发生器面板按键，可直接在显示屏内选择所需磁刺激治疗方案开启治疗，内置多种磁刺激方案。</w:t>
      </w:r>
    </w:p>
    <w:p w14:paraId="649C1237">
      <w:pPr>
        <w:shd w:val="clear"/>
        <w:spacing w:line="360" w:lineRule="auto"/>
        <w:rPr>
          <w:rFonts w:ascii="宋体" w:hAnsi="宋体" w:cs="宋体"/>
          <w:color w:val="auto"/>
          <w:sz w:val="24"/>
          <w:highlight w:val="none"/>
        </w:rPr>
      </w:pPr>
      <w:r>
        <w:rPr>
          <w:rFonts w:hint="eastAsia" w:ascii="宋体" w:hAnsi="宋体" w:cs="宋体"/>
          <w:color w:val="auto"/>
          <w:sz w:val="24"/>
          <w:highlight w:val="none"/>
        </w:rPr>
        <w:t>8.▲支持压力生物反馈功能，可实现快速压力评估，自动生成评估报告，以及压力生物反馈训练，包括kegel模板训练以及多媒体游戏功能。</w:t>
      </w:r>
    </w:p>
    <w:p w14:paraId="355C38E9">
      <w:pPr>
        <w:shd w:val="clear"/>
        <w:spacing w:line="360" w:lineRule="auto"/>
        <w:rPr>
          <w:rFonts w:ascii="宋体" w:hAnsi="宋体" w:cs="宋体"/>
          <w:color w:val="auto"/>
          <w:sz w:val="24"/>
          <w:highlight w:val="none"/>
        </w:rPr>
      </w:pPr>
      <w:r>
        <w:rPr>
          <w:rFonts w:hint="eastAsia" w:ascii="宋体" w:hAnsi="宋体" w:cs="宋体"/>
          <w:color w:val="auto"/>
          <w:sz w:val="24"/>
          <w:highlight w:val="none"/>
        </w:rPr>
        <w:t>9.具有腹肌肌电监测功能，可反馈主动训练时的腹部肌肉运动情况，利于及时纠正患者错误的盆底运动。</w:t>
      </w:r>
    </w:p>
    <w:p w14:paraId="2D001B1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10.独立外置分体式液体冷却主机，采用智能液态循环冷却，配置液晶屏实时监控温度、循环量和循环状态。</w:t>
      </w:r>
    </w:p>
    <w:p w14:paraId="1D53722E">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11.刺激线圈与刺激发生器采用外部插拔式连接，临床可以自行手动更换刺激线圈，便于多个刺激线圈切换使用。</w:t>
      </w:r>
    </w:p>
    <w:p w14:paraId="7994B8B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12.治疗座椅电动可调，座椅背靠可在90°-180°范围内调节。</w:t>
      </w:r>
    </w:p>
    <w:p w14:paraId="4B255D7B">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13.电脑为电容多点触屏一体机，≥21.5寸，且通过3C认证及EMC认证。</w:t>
      </w:r>
    </w:p>
    <w:p w14:paraId="23EB4A0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14.支持多种刺激模式至少包括：单脉冲刺激模式、重复脉冲刺激模式、阶梯脉冲刺激模式和爆发脉冲刺激模式。</w:t>
      </w:r>
    </w:p>
    <w:p w14:paraId="619CA20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15.具有患者电子病历信息系统，至少包括体格检查、POP-Q评分、手检肌力、腹直肌分离等信息，且支持病症及诊断术语自定义。</w:t>
      </w:r>
    </w:p>
    <w:p w14:paraId="509B55A7">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16.内置多种盆底疾病治疗方案，包括尿失禁、盆腔器官脱垂、便秘、性功能障碍、神经源性膀胱等。</w:t>
      </w:r>
    </w:p>
    <w:p w14:paraId="419949F0">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17.内置多种骶神经调控治疗方案，患者可采用俯卧位，通过外置刺激线圈精准刺激骶神经治疗。</w:t>
      </w:r>
    </w:p>
    <w:p w14:paraId="04D06C95">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18.具有智能方案和固定方案两种疗程方案类型，可根据治疗次数自动调用当前治疗方案，治疗过程中参数可调。</w:t>
      </w:r>
    </w:p>
    <w:p w14:paraId="337F0354">
      <w:pPr>
        <w:shd w:val="clear"/>
        <w:spacing w:line="360" w:lineRule="auto"/>
        <w:rPr>
          <w:rFonts w:ascii="宋体" w:hAnsi="宋体" w:cs="宋体"/>
          <w:color w:val="auto"/>
          <w:sz w:val="24"/>
          <w:highlight w:val="none"/>
        </w:rPr>
      </w:pPr>
      <w:r>
        <w:rPr>
          <w:rFonts w:hint="eastAsia" w:ascii="宋体" w:hAnsi="宋体" w:cs="宋体"/>
          <w:color w:val="auto"/>
          <w:sz w:val="24"/>
          <w:highlight w:val="none"/>
        </w:rPr>
        <w:t>19.可根据盆底功能评估结果自动生成个性化磁电疗程治疗方案，智能调节刺激频率、刺激时间等参数。可在磁电设备上各自调用对应的磁电方案，并支持个性化生成单纯磁疗程方案。</w:t>
      </w:r>
    </w:p>
    <w:p w14:paraId="0CE8046D">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20.可预设起始刺激强度，刺激休息周期时间通过动画及倒计时显示，方便观察。</w:t>
      </w:r>
    </w:p>
    <w:p w14:paraId="65FD5B5D">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21.刺激过程中软件界面可显示线圈温度和刺激发生器温度，当超过温度上限，系统自动暂停保护。</w:t>
      </w:r>
    </w:p>
    <w:p w14:paraId="6E6CD24A">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22.支持疗程方案及单个方案自定义，可对刺激频率、刺激时间、休息时间以及治疗时间等进行编辑，支持多个阶段不同方案组合。</w:t>
      </w:r>
    </w:p>
    <w:p w14:paraId="58D9F86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23.MEP检测可对静息运动阈值和活动运动阈值调节，自动计算超过阈值比例，并生成MEP报告。</w:t>
      </w:r>
    </w:p>
    <w:p w14:paraId="7B79F71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24.可对MEP模块的采样频率、放大倍数、滤波等进行设置，且MEP报告格式可设置患者基本信息、医院信息以及备注信息等。</w:t>
      </w:r>
    </w:p>
    <w:p w14:paraId="65A80CE8">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25.可对MEP诱发波形进行放大、删除、组合、标记点重置、计算平均线等操作，并支持波形数据导出。</w:t>
      </w:r>
    </w:p>
    <w:p w14:paraId="68EACED1">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26.具有提示语音设置，包括系统语音、语音包以及自定义语音。</w:t>
      </w:r>
    </w:p>
    <w:p w14:paraId="41780D33">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27.支持治疗数据查看、导出、导入、删除等操作，可进行多条件数据检索及工作量统计，并通过直方图和饼图等图表形式显示。</w:t>
      </w:r>
    </w:p>
    <w:p w14:paraId="34F2E372">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28.可对接盆底信息综合管理系统，该系统具有居家治疗管理、家庭训练管理以及医联体管理等模式，实现院内治疗和居家治疗的盆底数据整合管理。</w:t>
      </w:r>
    </w:p>
    <w:p w14:paraId="53391667">
      <w:pPr>
        <w:shd w:val="clear"/>
        <w:spacing w:line="360" w:lineRule="auto"/>
        <w:rPr>
          <w:rFonts w:ascii="宋体" w:hAnsi="宋体" w:cs="宋体"/>
          <w:color w:val="auto"/>
          <w:sz w:val="24"/>
          <w:highlight w:val="none"/>
        </w:rPr>
      </w:pPr>
      <w:r>
        <w:rPr>
          <w:rFonts w:hint="eastAsia" w:ascii="宋体" w:hAnsi="宋体" w:cs="宋体"/>
          <w:color w:val="auto"/>
          <w:sz w:val="24"/>
          <w:highlight w:val="none"/>
        </w:rPr>
        <w:t>29.支持与同品牌电刺激生物反馈设备之间数据共享，包括患者基本信息、病史信息、诊疗记录等。</w:t>
      </w:r>
      <w:r>
        <w:rPr>
          <w:rFonts w:hint="eastAsia" w:ascii="宋体" w:hAnsi="宋体" w:cs="宋体"/>
          <w:color w:val="auto"/>
          <w:sz w:val="24"/>
          <w:highlight w:val="none"/>
        </w:rPr>
        <w:br w:type="page"/>
      </w:r>
    </w:p>
    <w:p w14:paraId="1380DB6F">
      <w:pPr>
        <w:shd w:val="clear"/>
        <w:spacing w:before="156" w:beforeLines="50" w:line="360" w:lineRule="auto"/>
        <w:outlineLvl w:val="2"/>
        <w:rPr>
          <w:rStyle w:val="44"/>
          <w:rFonts w:hint="eastAsia" w:ascii="宋体" w:hAnsi="宋体" w:eastAsia="宋体" w:cs="宋体"/>
          <w:color w:val="auto"/>
          <w:sz w:val="24"/>
          <w:szCs w:val="24"/>
          <w:highlight w:val="none"/>
          <w:lang w:eastAsia="zh-CN"/>
        </w:rPr>
      </w:pPr>
      <w:r>
        <w:rPr>
          <w:rFonts w:hint="eastAsia" w:ascii="宋体" w:hAnsi="宋体" w:cs="宋体"/>
          <w:b/>
          <w:color w:val="auto"/>
          <w:sz w:val="24"/>
          <w:szCs w:val="32"/>
          <w:highlight w:val="none"/>
        </w:rPr>
        <w:t>商务要求</w:t>
      </w:r>
      <w:r>
        <w:rPr>
          <w:rFonts w:hint="eastAsia" w:ascii="宋体" w:hAnsi="宋体" w:cs="宋体"/>
          <w:b/>
          <w:color w:val="auto"/>
          <w:sz w:val="24"/>
          <w:szCs w:val="32"/>
          <w:highlight w:val="none"/>
          <w:lang w:eastAsia="zh-CN"/>
        </w:rPr>
        <w:t>：</w:t>
      </w:r>
    </w:p>
    <w:p w14:paraId="1788C73A">
      <w:pPr>
        <w:widowControl/>
        <w:shd w:val="clea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所有设备的技术支持与售后</w:t>
      </w:r>
    </w:p>
    <w:p w14:paraId="2500E331">
      <w:pPr>
        <w:widowControl/>
        <w:shd w:val="clea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★（一）机器出现故障后，2小时内响应，24小时到达现场检修。</w:t>
      </w:r>
    </w:p>
    <w:p w14:paraId="486B0893">
      <w:pPr>
        <w:widowControl/>
        <w:shd w:val="clea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★（二）定期巡访为设备作保养。</w:t>
      </w:r>
    </w:p>
    <w:p w14:paraId="1BCC4ECB">
      <w:pPr>
        <w:widowControl/>
        <w:shd w:val="clea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（三）设备安装完成后，由厂家人员负责使用和维护培训，培训内容包括设备的专业操作和维护、清洗、消毒、保养的基本知识，使用过程需注意的事项等，保证医院相关人员熟悉掌握。</w:t>
      </w:r>
    </w:p>
    <w:p w14:paraId="7B442176">
      <w:pPr>
        <w:widowControl/>
        <w:shd w:val="clear"/>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四）投标人如果是代理商或经销商，具有制造商针对本项目的授权书（扫描件）或有长期代理证书（扫描件），（如果授权是二级或二级以下的，必须提供每一级别的授权）（若制造商投标无需提供，视为满足该项要求）</w:t>
      </w:r>
      <w:r>
        <w:rPr>
          <w:rFonts w:hint="eastAsia" w:ascii="宋体" w:hAnsi="宋体" w:cs="宋体"/>
          <w:bCs/>
          <w:color w:val="auto"/>
          <w:sz w:val="24"/>
          <w:szCs w:val="24"/>
          <w:highlight w:val="none"/>
          <w:lang w:eastAsia="zh-CN"/>
        </w:rPr>
        <w:t>。</w:t>
      </w:r>
    </w:p>
    <w:p w14:paraId="2954DFD5">
      <w:pPr>
        <w:widowControl/>
        <w:shd w:val="clear"/>
        <w:spacing w:line="360" w:lineRule="auto"/>
        <w:ind w:firstLine="480" w:firstLineChars="200"/>
        <w:rPr>
          <w:rFonts w:hint="eastAsia" w:ascii="宋体" w:hAnsi="宋体" w:cs="宋体"/>
          <w:color w:val="auto"/>
          <w:sz w:val="24"/>
          <w:szCs w:val="24"/>
          <w:highlight w:val="none"/>
        </w:rPr>
      </w:pPr>
      <w:r>
        <w:rPr>
          <w:rFonts w:hint="eastAsia" w:ascii="宋体" w:hAnsi="宋体" w:cs="宋体"/>
          <w:bCs/>
          <w:color w:val="auto"/>
          <w:sz w:val="24"/>
          <w:szCs w:val="24"/>
          <w:highlight w:val="none"/>
        </w:rPr>
        <w:t>（五）交货地点</w:t>
      </w:r>
      <w:r>
        <w:rPr>
          <w:rFonts w:hint="eastAsia" w:ascii="宋体" w:hAnsi="宋体" w:cs="宋体"/>
          <w:color w:val="auto"/>
          <w:sz w:val="24"/>
          <w:szCs w:val="24"/>
          <w:highlight w:val="none"/>
        </w:rPr>
        <w:t>：昆明市妇幼保健院，采购人指定地点</w:t>
      </w:r>
      <w:r>
        <w:rPr>
          <w:rFonts w:hint="eastAsia" w:ascii="宋体" w:hAnsi="宋体" w:cs="宋体"/>
          <w:bCs/>
          <w:color w:val="auto"/>
          <w:sz w:val="24"/>
          <w:szCs w:val="24"/>
          <w:highlight w:val="none"/>
        </w:rPr>
        <w:t>。</w:t>
      </w:r>
    </w:p>
    <w:p w14:paraId="3F8BBF10">
      <w:pPr>
        <w:widowControl/>
        <w:shd w:val="clea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（六）设备质保期：所有设备质保期不少于3年，自验收合格之日起计算。</w:t>
      </w:r>
    </w:p>
    <w:p w14:paraId="54A4026A">
      <w:pPr>
        <w:widowControl/>
        <w:shd w:val="clea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七）质量要求：符合国家及行业有关生产、制造的规定、规范和标准，满足招标文件规定的技术要求和采购人使用需要，一次验收合格。产品质保期内的任何质量问题，中标人必须及时、按质、主动处理解决并承担一切费用，直至满足采购人要求</w:t>
      </w:r>
      <w:r>
        <w:rPr>
          <w:rFonts w:hint="eastAsia" w:ascii="宋体" w:hAnsi="宋体" w:cs="宋体"/>
          <w:bCs/>
          <w:color w:val="auto"/>
          <w:sz w:val="24"/>
          <w:szCs w:val="24"/>
          <w:highlight w:val="none"/>
        </w:rPr>
        <w:t>。</w:t>
      </w:r>
    </w:p>
    <w:p w14:paraId="19403053">
      <w:pPr>
        <w:widowControl/>
        <w:shd w:val="clear"/>
        <w:adjustRightInd w:val="0"/>
        <w:snapToGrid w:val="0"/>
        <w:spacing w:line="360" w:lineRule="auto"/>
        <w:ind w:firstLine="480" w:firstLineChars="200"/>
        <w:jc w:val="left"/>
        <w:rPr>
          <w:rFonts w:hint="eastAsia" w:ascii="宋体" w:hAnsi="宋体" w:cs="宋体"/>
          <w:b/>
          <w:color w:val="auto"/>
          <w:sz w:val="24"/>
          <w:szCs w:val="24"/>
          <w:highlight w:val="none"/>
        </w:rPr>
      </w:pPr>
      <w:r>
        <w:rPr>
          <w:rFonts w:hint="eastAsia" w:ascii="宋体" w:hAnsi="宋体" w:cs="宋体"/>
          <w:color w:val="auto"/>
          <w:sz w:val="24"/>
          <w:szCs w:val="24"/>
          <w:highlight w:val="none"/>
        </w:rPr>
        <w:t>（八）合同履行期限：自合同签订之日起30个日历日内完成设备的供货及安装调试，确保一次性验收合格，具体以合同签订为准</w:t>
      </w:r>
      <w:r>
        <w:rPr>
          <w:rFonts w:hint="eastAsia" w:ascii="宋体" w:hAnsi="宋体" w:cs="宋体"/>
          <w:bCs/>
          <w:color w:val="auto"/>
          <w:sz w:val="24"/>
          <w:szCs w:val="24"/>
          <w:highlight w:val="none"/>
        </w:rPr>
        <w:t>。</w:t>
      </w:r>
    </w:p>
    <w:p w14:paraId="2A5FC496">
      <w:pPr>
        <w:widowControl/>
        <w:shd w:val="clea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★（九）交货方式和要求：原则上所交设备为出厂日期3个月内产品。</w:t>
      </w:r>
    </w:p>
    <w:p w14:paraId="5825CBBA">
      <w:pPr>
        <w:widowControl/>
        <w:shd w:val="clear"/>
        <w:spacing w:line="360" w:lineRule="auto"/>
        <w:ind w:firstLine="480" w:firstLineChars="200"/>
        <w:rPr>
          <w:rFonts w:ascii="仿宋" w:hAnsi="仿宋" w:eastAsia="仿宋" w:cs="宋体"/>
          <w:b/>
          <w:bCs/>
          <w:color w:val="auto"/>
          <w:sz w:val="24"/>
          <w:szCs w:val="24"/>
          <w:highlight w:val="none"/>
        </w:rPr>
      </w:pPr>
      <w:r>
        <w:rPr>
          <w:rFonts w:hint="eastAsia" w:ascii="宋体" w:hAnsi="宋体" w:cs="宋体"/>
          <w:color w:val="auto"/>
          <w:sz w:val="24"/>
          <w:szCs w:val="24"/>
          <w:highlight w:val="none"/>
        </w:rPr>
        <w:t>★（十）负责接入医院信息系统（如HIS、LIS、PACS）</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如产生费用由中标单位承担</w:t>
      </w:r>
      <w:r>
        <w:rPr>
          <w:rFonts w:hint="eastAsia" w:ascii="宋体" w:hAnsi="宋体" w:cs="宋体"/>
          <w:color w:val="auto"/>
          <w:sz w:val="24"/>
          <w:szCs w:val="24"/>
          <w:highlight w:val="none"/>
        </w:rPr>
        <w:t>。</w:t>
      </w:r>
      <w:r>
        <w:rPr>
          <w:rFonts w:hint="eastAsia" w:ascii="仿宋" w:hAnsi="仿宋" w:eastAsia="仿宋" w:cs="宋体"/>
          <w:b/>
          <w:bCs/>
          <w:color w:val="auto"/>
          <w:sz w:val="24"/>
          <w:szCs w:val="24"/>
          <w:highlight w:val="none"/>
        </w:rPr>
        <w:br w:type="page"/>
      </w:r>
    </w:p>
    <w:p w14:paraId="4BB2AE74">
      <w:pPr>
        <w:shd w:val="clear"/>
        <w:tabs>
          <w:tab w:val="left" w:pos="0"/>
        </w:tabs>
        <w:spacing w:line="360" w:lineRule="auto"/>
        <w:rPr>
          <w:rFonts w:ascii="仿宋" w:hAnsi="仿宋" w:eastAsia="仿宋" w:cs="宋体"/>
          <w:b/>
          <w:bCs/>
          <w:color w:val="auto"/>
          <w:sz w:val="24"/>
          <w:highlight w:val="none"/>
        </w:rPr>
      </w:pPr>
    </w:p>
    <w:p w14:paraId="7E6AE8A0">
      <w:pPr>
        <w:shd w:val="clear"/>
        <w:spacing w:line="720" w:lineRule="auto"/>
        <w:jc w:val="center"/>
        <w:rPr>
          <w:rFonts w:ascii="宋体" w:hAnsi="宋体"/>
          <w:color w:val="auto"/>
          <w:sz w:val="24"/>
          <w:highlight w:val="none"/>
        </w:rPr>
      </w:pPr>
    </w:p>
    <w:p w14:paraId="19EDB5D6">
      <w:pPr>
        <w:shd w:val="clear"/>
        <w:spacing w:line="720" w:lineRule="auto"/>
        <w:jc w:val="center"/>
        <w:rPr>
          <w:rFonts w:ascii="宋体" w:hAnsi="宋体"/>
          <w:color w:val="auto"/>
          <w:sz w:val="24"/>
          <w:highlight w:val="none"/>
        </w:rPr>
      </w:pPr>
    </w:p>
    <w:p w14:paraId="32708A52">
      <w:pPr>
        <w:shd w:val="clear"/>
        <w:spacing w:line="720" w:lineRule="auto"/>
        <w:jc w:val="center"/>
        <w:rPr>
          <w:rFonts w:ascii="宋体" w:hAnsi="宋体"/>
          <w:color w:val="auto"/>
          <w:sz w:val="24"/>
          <w:highlight w:val="none"/>
        </w:rPr>
      </w:pPr>
    </w:p>
    <w:p w14:paraId="672052CB">
      <w:pPr>
        <w:shd w:val="clear"/>
        <w:spacing w:line="720" w:lineRule="auto"/>
        <w:jc w:val="center"/>
        <w:rPr>
          <w:rFonts w:ascii="宋体" w:hAnsi="宋体"/>
          <w:color w:val="auto"/>
          <w:sz w:val="24"/>
          <w:highlight w:val="none"/>
        </w:rPr>
      </w:pPr>
    </w:p>
    <w:p w14:paraId="3D8F5B3E">
      <w:pPr>
        <w:shd w:val="clear"/>
        <w:spacing w:line="720" w:lineRule="auto"/>
        <w:jc w:val="center"/>
        <w:rPr>
          <w:rFonts w:ascii="宋体" w:hAnsi="宋体"/>
          <w:color w:val="auto"/>
          <w:sz w:val="24"/>
          <w:highlight w:val="none"/>
        </w:rPr>
      </w:pPr>
    </w:p>
    <w:bookmarkEnd w:id="256"/>
    <w:bookmarkEnd w:id="257"/>
    <w:p w14:paraId="28429AFD">
      <w:pPr>
        <w:pStyle w:val="88"/>
        <w:shd w:val="clear"/>
        <w:rPr>
          <w:color w:val="auto"/>
          <w:sz w:val="40"/>
          <w:highlight w:val="none"/>
        </w:rPr>
      </w:pPr>
      <w:bookmarkStart w:id="258" w:name="_Toc12538"/>
      <w:r>
        <w:rPr>
          <w:rFonts w:hint="eastAsia"/>
          <w:color w:val="auto"/>
          <w:sz w:val="40"/>
          <w:highlight w:val="none"/>
        </w:rPr>
        <w:t>第六章  投标文件格式</w:t>
      </w:r>
      <w:bookmarkEnd w:id="258"/>
    </w:p>
    <w:p w14:paraId="16A5BC6B">
      <w:pPr>
        <w:shd w:val="clear"/>
        <w:rPr>
          <w:rFonts w:ascii="黑体" w:hAnsi="黑体" w:eastAsia="黑体"/>
          <w:color w:val="auto"/>
          <w:highlight w:val="none"/>
        </w:rPr>
      </w:pPr>
      <w:bookmarkStart w:id="259" w:name="_Toc450064598"/>
      <w:bookmarkEnd w:id="259"/>
      <w:bookmarkStart w:id="260" w:name="_Toc389644549"/>
      <w:bookmarkEnd w:id="260"/>
      <w:bookmarkStart w:id="261" w:name="_Toc78603130"/>
      <w:r>
        <w:rPr>
          <w:color w:val="auto"/>
          <w:highlight w:val="none"/>
        </w:rPr>
        <w:br w:type="page"/>
      </w:r>
      <w:r>
        <w:rPr>
          <w:rFonts w:hint="eastAsia" w:ascii="黑体" w:hAnsi="黑体" w:eastAsia="黑体"/>
          <w:b/>
          <w:color w:val="auto"/>
          <w:sz w:val="24"/>
          <w:highlight w:val="none"/>
        </w:rPr>
        <w:t>投标文件封面格式</w:t>
      </w:r>
    </w:p>
    <w:p w14:paraId="6076D008">
      <w:pPr>
        <w:shd w:val="clear"/>
        <w:rPr>
          <w:rFonts w:ascii="黑体" w:hAnsi="黑体" w:eastAsia="黑体"/>
          <w:b/>
          <w:color w:val="auto"/>
          <w:highlight w:val="none"/>
        </w:rPr>
      </w:pPr>
    </w:p>
    <w:p w14:paraId="7B19C416">
      <w:pPr>
        <w:shd w:val="clear"/>
        <w:spacing w:before="120" w:after="120" w:line="400" w:lineRule="atLeast"/>
        <w:jc w:val="center"/>
        <w:rPr>
          <w:rFonts w:hint="eastAsia" w:ascii="黑体" w:hAnsi="黑体" w:eastAsia="黑体"/>
          <w:b/>
          <w:color w:val="auto"/>
          <w:sz w:val="48"/>
          <w:szCs w:val="48"/>
          <w:highlight w:val="none"/>
          <w:lang w:eastAsia="zh-CN"/>
        </w:rPr>
      </w:pPr>
      <w:r>
        <w:rPr>
          <w:rFonts w:hint="eastAsia" w:ascii="黑体" w:hAnsi="黑体" w:eastAsia="黑体"/>
          <w:b/>
          <w:color w:val="auto"/>
          <w:sz w:val="48"/>
          <w:szCs w:val="48"/>
          <w:highlight w:val="none"/>
          <w:lang w:eastAsia="zh-CN"/>
        </w:rPr>
        <w:t>昆明市妇幼保健院鼻窦负压置换仪、脉冲磁场刺激仪等医疗设备采购项目（二次）</w:t>
      </w:r>
    </w:p>
    <w:p w14:paraId="164A8DA2">
      <w:pPr>
        <w:shd w:val="clear"/>
        <w:spacing w:before="120" w:after="120" w:line="400" w:lineRule="atLeast"/>
        <w:jc w:val="center"/>
        <w:rPr>
          <w:rFonts w:ascii="黑体" w:hAnsi="黑体" w:eastAsia="黑体"/>
          <w:color w:val="auto"/>
          <w:sz w:val="24"/>
          <w:highlight w:val="none"/>
        </w:rPr>
      </w:pPr>
    </w:p>
    <w:p w14:paraId="5A22869A">
      <w:pPr>
        <w:shd w:val="clear"/>
        <w:spacing w:before="120" w:after="120" w:line="400" w:lineRule="atLeast"/>
        <w:jc w:val="center"/>
        <w:rPr>
          <w:rFonts w:ascii="黑体" w:hAnsi="黑体" w:eastAsia="黑体"/>
          <w:color w:val="auto"/>
          <w:sz w:val="24"/>
          <w:highlight w:val="none"/>
        </w:rPr>
      </w:pPr>
    </w:p>
    <w:p w14:paraId="4BF408EC">
      <w:pPr>
        <w:shd w:val="clear"/>
        <w:spacing w:before="120" w:after="120" w:line="400" w:lineRule="atLeast"/>
        <w:rPr>
          <w:rFonts w:ascii="黑体" w:hAnsi="黑体" w:eastAsia="黑体"/>
          <w:color w:val="auto"/>
          <w:sz w:val="24"/>
          <w:highlight w:val="none"/>
        </w:rPr>
      </w:pPr>
    </w:p>
    <w:p w14:paraId="371DE721">
      <w:pPr>
        <w:shd w:val="clear"/>
        <w:spacing w:before="120" w:after="120" w:line="400" w:lineRule="atLeast"/>
        <w:jc w:val="center"/>
        <w:rPr>
          <w:rFonts w:ascii="黑体" w:hAnsi="黑体" w:eastAsia="黑体"/>
          <w:color w:val="auto"/>
          <w:sz w:val="24"/>
          <w:highlight w:val="none"/>
        </w:rPr>
      </w:pPr>
    </w:p>
    <w:p w14:paraId="74DF8709">
      <w:pPr>
        <w:shd w:val="clear"/>
        <w:spacing w:before="120" w:after="120" w:line="400" w:lineRule="atLeast"/>
        <w:jc w:val="center"/>
        <w:rPr>
          <w:rFonts w:ascii="黑体" w:hAnsi="黑体" w:eastAsia="黑体"/>
          <w:color w:val="auto"/>
          <w:sz w:val="24"/>
          <w:highlight w:val="none"/>
        </w:rPr>
      </w:pPr>
    </w:p>
    <w:p w14:paraId="1D233635">
      <w:pPr>
        <w:shd w:val="clear"/>
        <w:spacing w:line="360" w:lineRule="auto"/>
        <w:jc w:val="center"/>
        <w:rPr>
          <w:rFonts w:ascii="黑体" w:hAnsi="黑体" w:eastAsia="黑体"/>
          <w:b/>
          <w:color w:val="auto"/>
          <w:sz w:val="72"/>
          <w:szCs w:val="56"/>
          <w:highlight w:val="none"/>
        </w:rPr>
      </w:pPr>
      <w:r>
        <w:rPr>
          <w:rFonts w:hint="eastAsia" w:ascii="黑体" w:hAnsi="黑体" w:eastAsia="黑体"/>
          <w:b/>
          <w:color w:val="auto"/>
          <w:sz w:val="72"/>
          <w:szCs w:val="56"/>
          <w:highlight w:val="none"/>
        </w:rPr>
        <w:t>投 标 文 件</w:t>
      </w:r>
    </w:p>
    <w:p w14:paraId="5C0F3EC4">
      <w:pPr>
        <w:shd w:val="clear"/>
        <w:spacing w:before="120" w:after="120" w:line="400" w:lineRule="atLeast"/>
        <w:jc w:val="center"/>
        <w:rPr>
          <w:rFonts w:ascii="黑体" w:hAnsi="黑体" w:eastAsia="黑体"/>
          <w:b/>
          <w:bCs/>
          <w:color w:val="auto"/>
          <w:sz w:val="28"/>
          <w:highlight w:val="none"/>
        </w:rPr>
      </w:pPr>
      <w:r>
        <w:rPr>
          <w:rFonts w:hint="eastAsia" w:ascii="黑体" w:hAnsi="黑体" w:eastAsia="黑体"/>
          <w:b/>
          <w:bCs/>
          <w:color w:val="auto"/>
          <w:sz w:val="28"/>
          <w:highlight w:val="none"/>
        </w:rPr>
        <w:t>项目编号：</w:t>
      </w:r>
      <w:r>
        <w:rPr>
          <w:rFonts w:hint="eastAsia" w:ascii="黑体" w:hAnsi="黑体" w:eastAsia="黑体"/>
          <w:bCs/>
          <w:color w:val="auto"/>
          <w:sz w:val="28"/>
          <w:szCs w:val="32"/>
          <w:highlight w:val="none"/>
          <w:lang w:eastAsia="zh-CN"/>
        </w:rPr>
        <w:t>KMZC2024-G1-02008-YNCK-0059</w:t>
      </w:r>
      <w:r>
        <w:rPr>
          <w:rFonts w:ascii="黑体" w:hAnsi="黑体" w:eastAsia="黑体"/>
          <w:b/>
          <w:bCs/>
          <w:color w:val="auto"/>
          <w:sz w:val="28"/>
          <w:highlight w:val="none"/>
        </w:rPr>
        <w:t xml:space="preserve"> </w:t>
      </w:r>
    </w:p>
    <w:p w14:paraId="0D500B83">
      <w:pPr>
        <w:shd w:val="clear"/>
        <w:spacing w:before="120" w:after="120" w:line="400" w:lineRule="atLeast"/>
        <w:jc w:val="center"/>
        <w:rPr>
          <w:rFonts w:ascii="黑体" w:hAnsi="黑体" w:eastAsia="黑体"/>
          <w:b/>
          <w:bCs/>
          <w:color w:val="auto"/>
          <w:sz w:val="28"/>
          <w:highlight w:val="none"/>
        </w:rPr>
      </w:pPr>
      <w:r>
        <w:rPr>
          <w:rFonts w:hint="eastAsia" w:ascii="黑体" w:hAnsi="黑体" w:eastAsia="黑体"/>
          <w:b/>
          <w:bCs/>
          <w:color w:val="auto"/>
          <w:sz w:val="28"/>
          <w:highlight w:val="none"/>
        </w:rPr>
        <w:t>标段号：</w:t>
      </w:r>
      <w:r>
        <w:rPr>
          <w:rFonts w:hint="eastAsia" w:ascii="黑体" w:hAnsi="黑体" w:eastAsia="黑体"/>
          <w:b/>
          <w:bCs/>
          <w:color w:val="auto"/>
          <w:sz w:val="28"/>
          <w:highlight w:val="none"/>
          <w:u w:val="single"/>
        </w:rPr>
        <w:t xml:space="preserve">    </w:t>
      </w:r>
    </w:p>
    <w:p w14:paraId="667ACE8F">
      <w:pPr>
        <w:shd w:val="clear"/>
        <w:spacing w:before="120" w:after="120" w:line="400" w:lineRule="atLeast"/>
        <w:jc w:val="center"/>
        <w:rPr>
          <w:rFonts w:ascii="黑体" w:hAnsi="黑体" w:eastAsia="黑体"/>
          <w:color w:val="auto"/>
          <w:sz w:val="24"/>
          <w:highlight w:val="none"/>
        </w:rPr>
      </w:pPr>
    </w:p>
    <w:p w14:paraId="05D11191">
      <w:pPr>
        <w:shd w:val="clear"/>
        <w:spacing w:before="120" w:after="120" w:line="400" w:lineRule="atLeast"/>
        <w:jc w:val="center"/>
        <w:rPr>
          <w:rFonts w:ascii="黑体" w:hAnsi="黑体" w:eastAsia="黑体"/>
          <w:color w:val="auto"/>
          <w:sz w:val="24"/>
          <w:highlight w:val="none"/>
        </w:rPr>
      </w:pPr>
    </w:p>
    <w:p w14:paraId="02395B94">
      <w:pPr>
        <w:shd w:val="clear"/>
        <w:spacing w:before="120" w:after="120" w:line="400" w:lineRule="atLeast"/>
        <w:rPr>
          <w:rFonts w:ascii="黑体" w:hAnsi="黑体" w:eastAsia="黑体"/>
          <w:color w:val="auto"/>
          <w:sz w:val="24"/>
          <w:highlight w:val="none"/>
        </w:rPr>
      </w:pPr>
    </w:p>
    <w:p w14:paraId="3A125871">
      <w:pPr>
        <w:shd w:val="clear"/>
        <w:spacing w:before="120" w:after="120" w:line="400" w:lineRule="atLeast"/>
        <w:jc w:val="center"/>
        <w:rPr>
          <w:rFonts w:ascii="黑体" w:hAnsi="黑体" w:eastAsia="黑体"/>
          <w:color w:val="auto"/>
          <w:sz w:val="24"/>
          <w:highlight w:val="none"/>
        </w:rPr>
      </w:pPr>
    </w:p>
    <w:p w14:paraId="5BD6AD11">
      <w:pPr>
        <w:shd w:val="clear"/>
        <w:spacing w:before="120" w:after="120" w:line="400" w:lineRule="atLeast"/>
        <w:jc w:val="center"/>
        <w:rPr>
          <w:rFonts w:ascii="黑体" w:hAnsi="黑体" w:eastAsia="黑体"/>
          <w:color w:val="auto"/>
          <w:sz w:val="24"/>
          <w:highlight w:val="none"/>
        </w:rPr>
      </w:pPr>
    </w:p>
    <w:p w14:paraId="32B4E19A">
      <w:pPr>
        <w:shd w:val="clear"/>
        <w:spacing w:before="120" w:after="120" w:line="400" w:lineRule="atLeast"/>
        <w:jc w:val="center"/>
        <w:rPr>
          <w:rFonts w:ascii="黑体" w:hAnsi="黑体" w:eastAsia="黑体"/>
          <w:color w:val="auto"/>
          <w:szCs w:val="21"/>
          <w:highlight w:val="none"/>
        </w:rPr>
      </w:pPr>
    </w:p>
    <w:p w14:paraId="7FDC880F">
      <w:pPr>
        <w:shd w:val="clear"/>
        <w:spacing w:line="360" w:lineRule="auto"/>
        <w:ind w:left="840" w:leftChars="400"/>
        <w:rPr>
          <w:rFonts w:ascii="黑体" w:hAnsi="黑体" w:eastAsia="黑体"/>
          <w:b/>
          <w:bCs/>
          <w:color w:val="auto"/>
          <w:sz w:val="24"/>
          <w:szCs w:val="21"/>
          <w:highlight w:val="none"/>
        </w:rPr>
      </w:pPr>
      <w:r>
        <w:rPr>
          <w:rFonts w:hint="eastAsia" w:ascii="黑体" w:hAnsi="黑体" w:eastAsia="黑体"/>
          <w:b/>
          <w:bCs/>
          <w:color w:val="auto"/>
          <w:sz w:val="24"/>
          <w:szCs w:val="21"/>
          <w:highlight w:val="none"/>
        </w:rPr>
        <w:t>投标人(电子签章)：</w:t>
      </w:r>
      <w:r>
        <w:rPr>
          <w:rFonts w:hint="eastAsia" w:ascii="黑体" w:hAnsi="黑体" w:eastAsia="黑体"/>
          <w:b/>
          <w:bCs/>
          <w:color w:val="auto"/>
          <w:sz w:val="24"/>
          <w:szCs w:val="21"/>
          <w:highlight w:val="none"/>
          <w:u w:val="single"/>
        </w:rPr>
        <w:t xml:space="preserve">                          </w:t>
      </w:r>
      <w:r>
        <w:rPr>
          <w:rFonts w:ascii="黑体" w:hAnsi="黑体" w:eastAsia="黑体"/>
          <w:b/>
          <w:bCs/>
          <w:color w:val="auto"/>
          <w:sz w:val="24"/>
          <w:szCs w:val="21"/>
          <w:highlight w:val="none"/>
          <w:u w:val="single"/>
        </w:rPr>
        <w:t xml:space="preserve"> </w:t>
      </w:r>
      <w:r>
        <w:rPr>
          <w:rFonts w:hint="eastAsia" w:ascii="黑体" w:hAnsi="黑体" w:eastAsia="黑体"/>
          <w:b/>
          <w:bCs/>
          <w:color w:val="auto"/>
          <w:sz w:val="24"/>
          <w:szCs w:val="21"/>
          <w:highlight w:val="none"/>
          <w:u w:val="single"/>
        </w:rPr>
        <w:t xml:space="preserve">    </w:t>
      </w:r>
    </w:p>
    <w:p w14:paraId="6E000F3F">
      <w:pPr>
        <w:shd w:val="clear"/>
        <w:spacing w:line="360" w:lineRule="auto"/>
        <w:ind w:left="840" w:leftChars="400"/>
        <w:rPr>
          <w:rFonts w:ascii="黑体" w:hAnsi="黑体" w:eastAsia="黑体"/>
          <w:b/>
          <w:bCs/>
          <w:color w:val="auto"/>
          <w:sz w:val="24"/>
          <w:szCs w:val="21"/>
          <w:highlight w:val="none"/>
        </w:rPr>
      </w:pPr>
      <w:r>
        <w:rPr>
          <w:rFonts w:hint="eastAsia" w:ascii="黑体" w:hAnsi="黑体" w:eastAsia="黑体"/>
          <w:b/>
          <w:bCs/>
          <w:color w:val="auto"/>
          <w:sz w:val="24"/>
          <w:szCs w:val="21"/>
          <w:highlight w:val="none"/>
        </w:rPr>
        <w:t>地  址：</w:t>
      </w:r>
      <w:r>
        <w:rPr>
          <w:rFonts w:hint="eastAsia" w:ascii="黑体" w:hAnsi="黑体" w:eastAsia="黑体"/>
          <w:b/>
          <w:bCs/>
          <w:color w:val="auto"/>
          <w:sz w:val="24"/>
          <w:szCs w:val="21"/>
          <w:highlight w:val="none"/>
          <w:u w:val="single"/>
        </w:rPr>
        <w:t xml:space="preserve">                                         </w:t>
      </w:r>
    </w:p>
    <w:p w14:paraId="59BE0BA4">
      <w:pPr>
        <w:shd w:val="clear"/>
        <w:spacing w:line="360" w:lineRule="auto"/>
        <w:ind w:left="840" w:leftChars="400"/>
        <w:rPr>
          <w:rFonts w:ascii="黑体" w:hAnsi="黑体" w:eastAsia="黑体"/>
          <w:b/>
          <w:bCs/>
          <w:color w:val="auto"/>
          <w:sz w:val="24"/>
          <w:szCs w:val="21"/>
          <w:highlight w:val="none"/>
        </w:rPr>
      </w:pPr>
      <w:r>
        <w:rPr>
          <w:rFonts w:hint="eastAsia" w:ascii="黑体" w:hAnsi="黑体" w:eastAsia="黑体"/>
          <w:b/>
          <w:bCs/>
          <w:color w:val="auto"/>
          <w:sz w:val="24"/>
          <w:szCs w:val="21"/>
          <w:highlight w:val="none"/>
        </w:rPr>
        <w:t>法定代表人或委托代理人（电子签名）：</w:t>
      </w:r>
      <w:r>
        <w:rPr>
          <w:rFonts w:hint="eastAsia" w:ascii="黑体" w:hAnsi="黑体" w:eastAsia="黑体"/>
          <w:b/>
          <w:bCs/>
          <w:color w:val="auto"/>
          <w:sz w:val="24"/>
          <w:szCs w:val="21"/>
          <w:highlight w:val="none"/>
          <w:u w:val="single"/>
        </w:rPr>
        <w:t xml:space="preserve">              </w:t>
      </w:r>
    </w:p>
    <w:p w14:paraId="0EC08DB3">
      <w:pPr>
        <w:shd w:val="clear"/>
        <w:spacing w:line="360" w:lineRule="auto"/>
        <w:ind w:left="840" w:leftChars="400"/>
        <w:rPr>
          <w:rFonts w:ascii="黑体" w:hAnsi="黑体" w:eastAsia="黑体"/>
          <w:b/>
          <w:bCs/>
          <w:color w:val="auto"/>
          <w:sz w:val="24"/>
          <w:szCs w:val="21"/>
          <w:highlight w:val="none"/>
        </w:rPr>
      </w:pPr>
      <w:r>
        <w:rPr>
          <w:rFonts w:hint="eastAsia" w:ascii="黑体" w:hAnsi="黑体" w:eastAsia="黑体"/>
          <w:b/>
          <w:bCs/>
          <w:color w:val="auto"/>
          <w:sz w:val="24"/>
          <w:szCs w:val="21"/>
          <w:highlight w:val="none"/>
        </w:rPr>
        <w:t>联系电话：</w:t>
      </w:r>
      <w:r>
        <w:rPr>
          <w:rFonts w:hint="eastAsia" w:ascii="黑体" w:hAnsi="黑体" w:eastAsia="黑体"/>
          <w:b/>
          <w:bCs/>
          <w:color w:val="auto"/>
          <w:sz w:val="24"/>
          <w:szCs w:val="21"/>
          <w:highlight w:val="none"/>
          <w:u w:val="single"/>
        </w:rPr>
        <w:t xml:space="preserve">                                       </w:t>
      </w:r>
    </w:p>
    <w:p w14:paraId="7CF156DB">
      <w:pPr>
        <w:shd w:val="clear"/>
        <w:spacing w:line="360" w:lineRule="auto"/>
        <w:ind w:left="840" w:leftChars="400"/>
        <w:rPr>
          <w:rFonts w:ascii="黑体" w:hAnsi="黑体" w:eastAsia="黑体"/>
          <w:b/>
          <w:bCs/>
          <w:color w:val="auto"/>
          <w:sz w:val="24"/>
          <w:szCs w:val="21"/>
          <w:highlight w:val="none"/>
        </w:rPr>
      </w:pPr>
      <w:r>
        <w:rPr>
          <w:rFonts w:hint="eastAsia" w:ascii="黑体" w:hAnsi="黑体" w:eastAsia="黑体"/>
          <w:b/>
          <w:bCs/>
          <w:color w:val="auto"/>
          <w:sz w:val="24"/>
          <w:szCs w:val="21"/>
          <w:highlight w:val="none"/>
        </w:rPr>
        <w:t>日  期：     年    月    日</w:t>
      </w:r>
    </w:p>
    <w:p w14:paraId="53C0F8E6">
      <w:pPr>
        <w:shd w:val="clear"/>
        <w:spacing w:line="360" w:lineRule="auto"/>
        <w:jc w:val="center"/>
        <w:rPr>
          <w:rFonts w:ascii="宋体" w:hAnsi="宋体"/>
          <w:b/>
          <w:bCs/>
          <w:color w:val="auto"/>
          <w:sz w:val="30"/>
          <w:highlight w:val="none"/>
        </w:rPr>
      </w:pPr>
    </w:p>
    <w:p w14:paraId="65635A61">
      <w:pPr>
        <w:shd w:val="clear"/>
        <w:spacing w:line="360" w:lineRule="auto"/>
        <w:jc w:val="center"/>
        <w:rPr>
          <w:rFonts w:ascii="宋体" w:hAnsi="宋体"/>
          <w:b/>
          <w:bCs/>
          <w:color w:val="auto"/>
          <w:sz w:val="30"/>
          <w:highlight w:val="none"/>
        </w:rPr>
      </w:pPr>
    </w:p>
    <w:p w14:paraId="3A77D64C">
      <w:pPr>
        <w:shd w:val="clear"/>
        <w:spacing w:line="360" w:lineRule="auto"/>
        <w:jc w:val="center"/>
        <w:rPr>
          <w:rFonts w:ascii="宋体" w:hAnsi="宋体"/>
          <w:b/>
          <w:bCs/>
          <w:color w:val="auto"/>
          <w:sz w:val="30"/>
          <w:highlight w:val="none"/>
        </w:rPr>
      </w:pPr>
    </w:p>
    <w:p w14:paraId="66702334">
      <w:pPr>
        <w:shd w:val="clear"/>
        <w:spacing w:line="360" w:lineRule="auto"/>
        <w:jc w:val="center"/>
        <w:rPr>
          <w:rFonts w:ascii="宋体" w:hAnsi="宋体"/>
          <w:b/>
          <w:bCs/>
          <w:color w:val="auto"/>
          <w:sz w:val="30"/>
          <w:highlight w:val="none"/>
        </w:rPr>
      </w:pPr>
    </w:p>
    <w:p w14:paraId="5F75A89E">
      <w:pPr>
        <w:shd w:val="clear"/>
        <w:spacing w:line="360" w:lineRule="auto"/>
        <w:jc w:val="center"/>
        <w:rPr>
          <w:rFonts w:ascii="宋体" w:hAnsi="宋体"/>
          <w:b/>
          <w:bCs/>
          <w:color w:val="auto"/>
          <w:sz w:val="30"/>
          <w:highlight w:val="none"/>
        </w:rPr>
      </w:pPr>
    </w:p>
    <w:p w14:paraId="3672C384">
      <w:pPr>
        <w:shd w:val="clear"/>
        <w:spacing w:line="360" w:lineRule="auto"/>
        <w:jc w:val="center"/>
        <w:rPr>
          <w:rFonts w:ascii="宋体" w:hAnsi="宋体"/>
          <w:b/>
          <w:bCs/>
          <w:color w:val="auto"/>
          <w:sz w:val="30"/>
          <w:highlight w:val="none"/>
        </w:rPr>
      </w:pPr>
    </w:p>
    <w:p w14:paraId="116FD6CC">
      <w:pPr>
        <w:shd w:val="clear"/>
        <w:spacing w:line="360" w:lineRule="auto"/>
        <w:jc w:val="center"/>
        <w:rPr>
          <w:rFonts w:ascii="宋体" w:hAnsi="宋体"/>
          <w:b/>
          <w:bCs/>
          <w:color w:val="auto"/>
          <w:sz w:val="30"/>
          <w:highlight w:val="none"/>
        </w:rPr>
      </w:pPr>
    </w:p>
    <w:p w14:paraId="5A1026C2">
      <w:pPr>
        <w:shd w:val="clear"/>
        <w:spacing w:line="360" w:lineRule="auto"/>
        <w:jc w:val="center"/>
        <w:rPr>
          <w:rFonts w:ascii="宋体" w:hAnsi="宋体"/>
          <w:b/>
          <w:bCs/>
          <w:color w:val="auto"/>
          <w:sz w:val="30"/>
          <w:highlight w:val="none"/>
        </w:rPr>
      </w:pPr>
    </w:p>
    <w:p w14:paraId="59E570F1">
      <w:pPr>
        <w:pStyle w:val="24"/>
        <w:shd w:val="clear"/>
        <w:rPr>
          <w:rFonts w:ascii="黑体" w:hAnsi="黑体" w:eastAsia="黑体"/>
          <w:color w:val="auto"/>
          <w:sz w:val="44"/>
          <w:szCs w:val="44"/>
          <w:highlight w:val="none"/>
        </w:rPr>
      </w:pPr>
      <w:bookmarkStart w:id="262" w:name="_Toc21064"/>
      <w:r>
        <w:rPr>
          <w:rFonts w:hint="eastAsia" w:ascii="黑体" w:hAnsi="黑体" w:eastAsia="黑体"/>
          <w:color w:val="auto"/>
          <w:sz w:val="44"/>
          <w:szCs w:val="44"/>
          <w:highlight w:val="none"/>
        </w:rPr>
        <w:t>（一）报价部分</w:t>
      </w:r>
      <w:bookmarkEnd w:id="262"/>
    </w:p>
    <w:p w14:paraId="6EFC5A82">
      <w:pPr>
        <w:shd w:val="clear"/>
        <w:spacing w:line="360" w:lineRule="auto"/>
        <w:rPr>
          <w:color w:val="auto"/>
          <w:sz w:val="40"/>
          <w:szCs w:val="40"/>
          <w:highlight w:val="none"/>
        </w:rPr>
      </w:pPr>
      <w:r>
        <w:rPr>
          <w:color w:val="auto"/>
          <w:sz w:val="40"/>
          <w:szCs w:val="40"/>
          <w:highlight w:val="none"/>
        </w:rPr>
        <w:br w:type="page"/>
      </w:r>
    </w:p>
    <w:p w14:paraId="67FFF117">
      <w:pPr>
        <w:shd w:val="clear"/>
        <w:rPr>
          <w:color w:val="auto"/>
          <w:highlight w:val="none"/>
        </w:rPr>
      </w:pPr>
      <w:bookmarkStart w:id="263" w:name="_Toc113985031"/>
      <w:bookmarkEnd w:id="263"/>
    </w:p>
    <w:p w14:paraId="2BA105D2">
      <w:pPr>
        <w:pStyle w:val="33"/>
        <w:shd w:val="clear"/>
        <w:spacing w:before="240"/>
        <w:jc w:val="center"/>
        <w:rPr>
          <w:rFonts w:ascii="宋体" w:hAnsi="宋体"/>
          <w:color w:val="auto"/>
          <w:highlight w:val="none"/>
        </w:rPr>
      </w:pPr>
      <w:bookmarkStart w:id="264" w:name="_Toc21841"/>
      <w:r>
        <w:rPr>
          <w:rFonts w:hint="eastAsia" w:ascii="宋体" w:hAnsi="宋体"/>
          <w:color w:val="auto"/>
          <w:highlight w:val="none"/>
        </w:rPr>
        <w:t>一、开标一览表</w:t>
      </w:r>
      <w:bookmarkEnd w:id="264"/>
    </w:p>
    <w:p w14:paraId="259DB6C2">
      <w:pPr>
        <w:shd w:val="clear"/>
        <w:spacing w:line="400" w:lineRule="atLeast"/>
        <w:rPr>
          <w:rFonts w:hint="eastAsia" w:ascii="宋体" w:hAnsi="宋体" w:eastAsia="宋体"/>
          <w:b/>
          <w:color w:val="auto"/>
          <w:szCs w:val="21"/>
          <w:highlight w:val="none"/>
          <w:lang w:eastAsia="zh-CN"/>
        </w:rPr>
      </w:pPr>
      <w:r>
        <w:rPr>
          <w:rFonts w:hint="eastAsia" w:ascii="宋体" w:hAnsi="宋体"/>
          <w:b/>
          <w:color w:val="auto"/>
          <w:szCs w:val="21"/>
          <w:highlight w:val="none"/>
        </w:rPr>
        <w:t>项目名称：</w:t>
      </w:r>
      <w:r>
        <w:rPr>
          <w:rFonts w:hint="eastAsia" w:ascii="宋体" w:hAnsi="宋体"/>
          <w:b/>
          <w:color w:val="auto"/>
          <w:szCs w:val="21"/>
          <w:highlight w:val="none"/>
          <w:lang w:eastAsia="zh-CN"/>
        </w:rPr>
        <w:t>昆明市妇幼保健院鼻窦负压置换仪、脉冲磁场刺激仪等医疗设备采购项目（二次）</w:t>
      </w:r>
    </w:p>
    <w:p w14:paraId="0C9226A0">
      <w:pPr>
        <w:shd w:val="clear"/>
        <w:spacing w:line="400" w:lineRule="atLeast"/>
        <w:rPr>
          <w:rFonts w:ascii="宋体" w:hAnsi="宋体"/>
          <w:b/>
          <w:color w:val="auto"/>
          <w:szCs w:val="21"/>
          <w:highlight w:val="none"/>
        </w:rPr>
      </w:pPr>
      <w:r>
        <w:rPr>
          <w:rFonts w:hint="eastAsia" w:ascii="宋体" w:hAnsi="宋体"/>
          <w:b/>
          <w:color w:val="auto"/>
          <w:szCs w:val="21"/>
          <w:highlight w:val="none"/>
        </w:rPr>
        <w:t>项目编号：</w:t>
      </w:r>
      <w:r>
        <w:rPr>
          <w:rFonts w:hint="eastAsia" w:ascii="宋体" w:hAnsi="宋体"/>
          <w:b/>
          <w:color w:val="auto"/>
          <w:szCs w:val="21"/>
          <w:highlight w:val="none"/>
          <w:lang w:eastAsia="zh-CN"/>
        </w:rPr>
        <w:t>KMZC2024-G1-02008-YNCK-0059</w:t>
      </w:r>
      <w:r>
        <w:rPr>
          <w:rFonts w:ascii="宋体" w:hAnsi="宋体"/>
          <w:b/>
          <w:color w:val="auto"/>
          <w:szCs w:val="21"/>
          <w:highlight w:val="none"/>
        </w:rPr>
        <w:t xml:space="preserve"> </w:t>
      </w:r>
    </w:p>
    <w:tbl>
      <w:tblPr>
        <w:tblStyle w:val="26"/>
        <w:tblW w:w="921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580"/>
        <w:gridCol w:w="6634"/>
      </w:tblGrid>
      <w:tr w14:paraId="6968C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1FDC5B27">
            <w:pPr>
              <w:shd w:val="clear"/>
              <w:spacing w:line="400" w:lineRule="atLeast"/>
              <w:jc w:val="left"/>
              <w:rPr>
                <w:rFonts w:ascii="宋体" w:hAnsi="宋体"/>
                <w:color w:val="auto"/>
                <w:szCs w:val="21"/>
                <w:highlight w:val="none"/>
              </w:rPr>
            </w:pPr>
            <w:r>
              <w:rPr>
                <w:rFonts w:hint="eastAsia" w:ascii="宋体" w:hAnsi="宋体"/>
                <w:color w:val="auto"/>
                <w:szCs w:val="21"/>
                <w:highlight w:val="none"/>
              </w:rPr>
              <w:t>投标报价（元）</w:t>
            </w:r>
          </w:p>
        </w:tc>
        <w:tc>
          <w:tcPr>
            <w:tcW w:w="6634" w:type="dxa"/>
            <w:vAlign w:val="center"/>
          </w:tcPr>
          <w:p w14:paraId="26B8259A">
            <w:pPr>
              <w:shd w:val="clear"/>
              <w:spacing w:line="400" w:lineRule="atLeast"/>
              <w:jc w:val="left"/>
              <w:rPr>
                <w:rFonts w:ascii="宋体" w:hAnsi="宋体"/>
                <w:color w:val="auto"/>
                <w:szCs w:val="21"/>
                <w:highlight w:val="none"/>
              </w:rPr>
            </w:pPr>
          </w:p>
        </w:tc>
      </w:tr>
      <w:tr w14:paraId="79A77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5EA1027A">
            <w:pPr>
              <w:shd w:val="clear"/>
              <w:spacing w:line="400" w:lineRule="atLeast"/>
              <w:jc w:val="left"/>
              <w:rPr>
                <w:color w:val="auto"/>
                <w:highlight w:val="none"/>
              </w:rPr>
            </w:pPr>
            <w:r>
              <w:rPr>
                <w:rFonts w:hint="eastAsia"/>
                <w:color w:val="auto"/>
                <w:highlight w:val="none"/>
              </w:rPr>
              <w:t>合同履行期限</w:t>
            </w:r>
          </w:p>
        </w:tc>
        <w:tc>
          <w:tcPr>
            <w:tcW w:w="6634" w:type="dxa"/>
            <w:vAlign w:val="center"/>
          </w:tcPr>
          <w:p w14:paraId="781DA079">
            <w:pPr>
              <w:shd w:val="clear"/>
              <w:spacing w:line="400" w:lineRule="atLeast"/>
              <w:jc w:val="center"/>
              <w:rPr>
                <w:rFonts w:ascii="宋体" w:hAnsi="宋体"/>
                <w:color w:val="auto"/>
                <w:szCs w:val="21"/>
                <w:highlight w:val="none"/>
              </w:rPr>
            </w:pPr>
          </w:p>
        </w:tc>
      </w:tr>
      <w:tr w14:paraId="07A7A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6CDFEAD7">
            <w:pPr>
              <w:shd w:val="clear"/>
              <w:spacing w:line="400" w:lineRule="atLeast"/>
              <w:jc w:val="left"/>
              <w:rPr>
                <w:color w:val="auto"/>
                <w:kern w:val="0"/>
                <w:szCs w:val="21"/>
                <w:highlight w:val="none"/>
              </w:rPr>
            </w:pPr>
            <w:r>
              <w:rPr>
                <w:rFonts w:hint="eastAsia"/>
                <w:color w:val="auto"/>
                <w:kern w:val="0"/>
                <w:szCs w:val="21"/>
                <w:highlight w:val="none"/>
              </w:rPr>
              <w:t>交货地点</w:t>
            </w:r>
          </w:p>
        </w:tc>
        <w:tc>
          <w:tcPr>
            <w:tcW w:w="6634" w:type="dxa"/>
            <w:vAlign w:val="center"/>
          </w:tcPr>
          <w:p w14:paraId="6C859535">
            <w:pPr>
              <w:shd w:val="clear"/>
              <w:spacing w:line="400" w:lineRule="atLeast"/>
              <w:jc w:val="center"/>
              <w:rPr>
                <w:rFonts w:ascii="宋体" w:hAnsi="宋体"/>
                <w:color w:val="auto"/>
                <w:szCs w:val="21"/>
                <w:highlight w:val="none"/>
              </w:rPr>
            </w:pPr>
          </w:p>
        </w:tc>
      </w:tr>
      <w:tr w14:paraId="1405B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04824816">
            <w:pPr>
              <w:shd w:val="clear"/>
              <w:spacing w:line="400" w:lineRule="atLeast"/>
              <w:jc w:val="left"/>
              <w:rPr>
                <w:color w:val="auto"/>
                <w:highlight w:val="none"/>
              </w:rPr>
            </w:pPr>
            <w:r>
              <w:rPr>
                <w:rFonts w:hint="eastAsia" w:ascii="宋体" w:hAnsi="宋体"/>
                <w:color w:val="auto"/>
                <w:szCs w:val="21"/>
                <w:highlight w:val="none"/>
              </w:rPr>
              <w:t>质量要求</w:t>
            </w:r>
          </w:p>
        </w:tc>
        <w:tc>
          <w:tcPr>
            <w:tcW w:w="6634" w:type="dxa"/>
            <w:vAlign w:val="center"/>
          </w:tcPr>
          <w:p w14:paraId="2C6F2939">
            <w:pPr>
              <w:shd w:val="clear"/>
              <w:spacing w:line="400" w:lineRule="atLeast"/>
              <w:jc w:val="center"/>
              <w:rPr>
                <w:rFonts w:ascii="宋体" w:hAnsi="宋体"/>
                <w:color w:val="auto"/>
                <w:szCs w:val="21"/>
                <w:highlight w:val="none"/>
              </w:rPr>
            </w:pPr>
          </w:p>
        </w:tc>
      </w:tr>
      <w:tr w14:paraId="3DD92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5CCF5C28">
            <w:pPr>
              <w:shd w:val="clear"/>
              <w:spacing w:line="400" w:lineRule="atLeast"/>
              <w:jc w:val="left"/>
              <w:rPr>
                <w:color w:val="auto"/>
                <w:spacing w:val="-2"/>
                <w:highlight w:val="none"/>
              </w:rPr>
            </w:pPr>
            <w:r>
              <w:rPr>
                <w:rFonts w:hint="eastAsia"/>
                <w:color w:val="auto"/>
                <w:spacing w:val="-2"/>
                <w:highlight w:val="none"/>
              </w:rPr>
              <w:t>投标保证金</w:t>
            </w:r>
            <w:r>
              <w:rPr>
                <w:rFonts w:hint="eastAsia" w:ascii="宋体" w:hAnsi="宋体"/>
                <w:color w:val="auto"/>
                <w:szCs w:val="21"/>
                <w:highlight w:val="none"/>
              </w:rPr>
              <w:t>（元）</w:t>
            </w:r>
          </w:p>
        </w:tc>
        <w:tc>
          <w:tcPr>
            <w:tcW w:w="6634" w:type="dxa"/>
            <w:vAlign w:val="center"/>
          </w:tcPr>
          <w:p w14:paraId="39F75A78">
            <w:pPr>
              <w:shd w:val="clear"/>
              <w:spacing w:line="400" w:lineRule="atLeast"/>
              <w:jc w:val="center"/>
              <w:rPr>
                <w:rFonts w:ascii="宋体" w:hAnsi="宋体"/>
                <w:color w:val="auto"/>
                <w:szCs w:val="21"/>
                <w:highlight w:val="none"/>
              </w:rPr>
            </w:pPr>
          </w:p>
        </w:tc>
      </w:tr>
      <w:tr w14:paraId="26741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520557AE">
            <w:pPr>
              <w:shd w:val="clear"/>
              <w:spacing w:line="400" w:lineRule="atLeast"/>
              <w:jc w:val="left"/>
              <w:rPr>
                <w:color w:val="auto"/>
                <w:highlight w:val="none"/>
              </w:rPr>
            </w:pPr>
            <w:r>
              <w:rPr>
                <w:color w:val="auto"/>
                <w:highlight w:val="none"/>
              </w:rPr>
              <w:t>其他声明</w:t>
            </w:r>
          </w:p>
        </w:tc>
        <w:tc>
          <w:tcPr>
            <w:tcW w:w="6634" w:type="dxa"/>
            <w:vAlign w:val="center"/>
          </w:tcPr>
          <w:p w14:paraId="6116D14A">
            <w:pPr>
              <w:shd w:val="clear"/>
              <w:spacing w:line="400" w:lineRule="atLeast"/>
              <w:jc w:val="center"/>
              <w:rPr>
                <w:rFonts w:ascii="宋体" w:hAnsi="宋体"/>
                <w:color w:val="auto"/>
                <w:szCs w:val="21"/>
                <w:highlight w:val="none"/>
              </w:rPr>
            </w:pPr>
          </w:p>
        </w:tc>
      </w:tr>
    </w:tbl>
    <w:p w14:paraId="5302A03D">
      <w:pPr>
        <w:shd w:val="clear"/>
        <w:spacing w:line="360" w:lineRule="auto"/>
        <w:ind w:right="111" w:rightChars="53"/>
        <w:rPr>
          <w:rFonts w:ascii="宋体" w:hAnsi="宋体"/>
          <w:color w:val="auto"/>
          <w:sz w:val="18"/>
          <w:szCs w:val="18"/>
          <w:highlight w:val="none"/>
        </w:rPr>
      </w:pPr>
      <w:r>
        <w:rPr>
          <w:rFonts w:hint="eastAsia" w:ascii="宋体" w:hAnsi="宋体"/>
          <w:color w:val="auto"/>
          <w:sz w:val="18"/>
          <w:szCs w:val="18"/>
          <w:highlight w:val="none"/>
        </w:rPr>
        <w:t>注：1、投标人应依据招标文件、项目需求、技术和服务要求等有关资料，并综合考虑成本、税金、保险、利润和风险等一切因素，结合市场情况，由投标人自行测算自主报价。</w:t>
      </w:r>
    </w:p>
    <w:p w14:paraId="28AB9F14">
      <w:pPr>
        <w:shd w:val="clear"/>
        <w:spacing w:line="360" w:lineRule="auto"/>
        <w:ind w:right="111" w:rightChars="53" w:firstLine="360" w:firstLineChars="200"/>
        <w:rPr>
          <w:rFonts w:ascii="宋体" w:hAnsi="宋体"/>
          <w:color w:val="auto"/>
          <w:sz w:val="18"/>
          <w:szCs w:val="18"/>
          <w:highlight w:val="none"/>
        </w:rPr>
      </w:pPr>
      <w:r>
        <w:rPr>
          <w:rFonts w:hint="eastAsia" w:ascii="宋体" w:hAnsi="宋体"/>
          <w:color w:val="auto"/>
          <w:sz w:val="18"/>
          <w:szCs w:val="18"/>
          <w:highlight w:val="none"/>
        </w:rPr>
        <w:t>2、本表中报价应与投标函一致。</w:t>
      </w:r>
    </w:p>
    <w:p w14:paraId="66E6AB03">
      <w:pPr>
        <w:shd w:val="clear"/>
        <w:spacing w:line="400" w:lineRule="atLeast"/>
        <w:rPr>
          <w:rFonts w:ascii="宋体" w:hAnsi="宋体"/>
          <w:color w:val="auto"/>
          <w:sz w:val="24"/>
          <w:highlight w:val="none"/>
        </w:rPr>
      </w:pPr>
    </w:p>
    <w:p w14:paraId="2AD70F33">
      <w:pPr>
        <w:shd w:val="clear"/>
        <w:spacing w:line="400" w:lineRule="atLeast"/>
        <w:rPr>
          <w:rFonts w:ascii="宋体" w:hAnsi="宋体"/>
          <w:color w:val="auto"/>
          <w:sz w:val="24"/>
          <w:highlight w:val="none"/>
        </w:rPr>
      </w:pPr>
    </w:p>
    <w:p w14:paraId="0D953110">
      <w:pPr>
        <w:shd w:val="clear"/>
        <w:spacing w:line="400" w:lineRule="atLeast"/>
        <w:rPr>
          <w:rFonts w:ascii="宋体" w:hAnsi="宋体"/>
          <w:color w:val="auto"/>
          <w:sz w:val="24"/>
          <w:highlight w:val="none"/>
        </w:rPr>
      </w:pPr>
    </w:p>
    <w:p w14:paraId="796311C8">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5E2A7447">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41BE7AE1">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rPr>
        <w:t>______</w:t>
      </w:r>
      <w:r>
        <w:rPr>
          <w:rFonts w:hint="eastAsia" w:ascii="宋体" w:hAnsi="宋体"/>
          <w:color w:val="auto"/>
          <w:szCs w:val="21"/>
          <w:highlight w:val="none"/>
        </w:rPr>
        <w:t>年</w:t>
      </w:r>
      <w:r>
        <w:rPr>
          <w:rFonts w:ascii="宋体" w:hAnsi="宋体"/>
          <w:color w:val="auto"/>
          <w:szCs w:val="21"/>
          <w:highlight w:val="none"/>
        </w:rPr>
        <w:t>_____</w:t>
      </w:r>
      <w:r>
        <w:rPr>
          <w:rFonts w:hint="eastAsia" w:ascii="宋体" w:hAnsi="宋体"/>
          <w:color w:val="auto"/>
          <w:szCs w:val="21"/>
          <w:highlight w:val="none"/>
        </w:rPr>
        <w:t>月</w:t>
      </w:r>
      <w:r>
        <w:rPr>
          <w:rFonts w:ascii="宋体" w:hAnsi="宋体"/>
          <w:color w:val="auto"/>
          <w:szCs w:val="21"/>
          <w:highlight w:val="none"/>
        </w:rPr>
        <w:t>_____</w:t>
      </w:r>
      <w:r>
        <w:rPr>
          <w:rFonts w:hint="eastAsia" w:ascii="宋体" w:hAnsi="宋体"/>
          <w:color w:val="auto"/>
          <w:szCs w:val="21"/>
          <w:highlight w:val="none"/>
        </w:rPr>
        <w:t>日</w:t>
      </w:r>
    </w:p>
    <w:p w14:paraId="046A1F17">
      <w:pPr>
        <w:shd w:val="clear"/>
        <w:spacing w:line="420" w:lineRule="exact"/>
        <w:ind w:firstLine="210" w:firstLineChars="100"/>
        <w:rPr>
          <w:rFonts w:ascii="宋体" w:hAnsi="宋体"/>
          <w:color w:val="auto"/>
          <w:szCs w:val="21"/>
          <w:highlight w:val="none"/>
        </w:rPr>
      </w:pPr>
    </w:p>
    <w:p w14:paraId="6D1A7987">
      <w:pPr>
        <w:shd w:val="clear"/>
        <w:ind w:firstLine="180" w:firstLineChars="100"/>
        <w:rPr>
          <w:rFonts w:ascii="宋体" w:hAnsi="宋体"/>
          <w:color w:val="auto"/>
          <w:sz w:val="18"/>
          <w:szCs w:val="18"/>
          <w:highlight w:val="none"/>
        </w:rPr>
      </w:pPr>
      <w:r>
        <w:rPr>
          <w:rFonts w:ascii="宋体" w:hAnsi="宋体"/>
          <w:color w:val="auto"/>
          <w:sz w:val="18"/>
          <w:szCs w:val="18"/>
          <w:highlight w:val="none"/>
        </w:rPr>
        <w:br w:type="page"/>
      </w:r>
    </w:p>
    <w:p w14:paraId="4ACDB5BE">
      <w:pPr>
        <w:shd w:val="clear"/>
        <w:rPr>
          <w:color w:val="auto"/>
          <w:highlight w:val="none"/>
        </w:rPr>
      </w:pPr>
      <w:bookmarkStart w:id="265" w:name="_Toc389644551"/>
      <w:bookmarkEnd w:id="265"/>
      <w:bookmarkStart w:id="266" w:name="_Toc113985032"/>
      <w:bookmarkEnd w:id="266"/>
      <w:bookmarkStart w:id="267" w:name="_Toc450064600"/>
      <w:bookmarkEnd w:id="267"/>
    </w:p>
    <w:p w14:paraId="211F254C">
      <w:pPr>
        <w:shd w:val="clear"/>
        <w:spacing w:line="360" w:lineRule="auto"/>
        <w:ind w:left="840" w:leftChars="400"/>
        <w:jc w:val="center"/>
        <w:rPr>
          <w:rFonts w:ascii="宋体" w:hAnsi="宋体"/>
          <w:b/>
          <w:bCs/>
          <w:color w:val="auto"/>
          <w:sz w:val="30"/>
          <w:highlight w:val="none"/>
        </w:rPr>
      </w:pPr>
    </w:p>
    <w:p w14:paraId="00BCCDA4">
      <w:pPr>
        <w:shd w:val="clear"/>
        <w:spacing w:line="360" w:lineRule="auto"/>
        <w:ind w:left="840" w:leftChars="400"/>
        <w:jc w:val="center"/>
        <w:rPr>
          <w:rFonts w:ascii="宋体" w:hAnsi="宋体"/>
          <w:b/>
          <w:bCs/>
          <w:color w:val="auto"/>
          <w:sz w:val="30"/>
          <w:highlight w:val="none"/>
        </w:rPr>
      </w:pPr>
    </w:p>
    <w:p w14:paraId="450FFE60">
      <w:pPr>
        <w:shd w:val="clear"/>
        <w:spacing w:line="360" w:lineRule="auto"/>
        <w:ind w:left="840" w:leftChars="400"/>
        <w:jc w:val="center"/>
        <w:rPr>
          <w:rFonts w:ascii="宋体" w:hAnsi="宋体"/>
          <w:b/>
          <w:bCs/>
          <w:color w:val="auto"/>
          <w:sz w:val="30"/>
          <w:highlight w:val="none"/>
        </w:rPr>
      </w:pPr>
    </w:p>
    <w:p w14:paraId="75443C32">
      <w:pPr>
        <w:shd w:val="clear"/>
        <w:spacing w:line="360" w:lineRule="auto"/>
        <w:ind w:left="840" w:leftChars="400"/>
        <w:jc w:val="center"/>
        <w:rPr>
          <w:rFonts w:ascii="宋体" w:hAnsi="宋体"/>
          <w:b/>
          <w:bCs/>
          <w:color w:val="auto"/>
          <w:sz w:val="30"/>
          <w:highlight w:val="none"/>
        </w:rPr>
      </w:pPr>
    </w:p>
    <w:p w14:paraId="209BDC39">
      <w:pPr>
        <w:shd w:val="clear"/>
        <w:spacing w:line="360" w:lineRule="auto"/>
        <w:ind w:left="840" w:leftChars="400"/>
        <w:jc w:val="center"/>
        <w:rPr>
          <w:rFonts w:ascii="宋体" w:hAnsi="宋体"/>
          <w:b/>
          <w:bCs/>
          <w:color w:val="auto"/>
          <w:sz w:val="30"/>
          <w:highlight w:val="none"/>
        </w:rPr>
      </w:pPr>
    </w:p>
    <w:p w14:paraId="5C3C7C5C">
      <w:pPr>
        <w:shd w:val="clear"/>
        <w:spacing w:line="360" w:lineRule="auto"/>
        <w:ind w:left="840" w:leftChars="400"/>
        <w:jc w:val="center"/>
        <w:rPr>
          <w:rFonts w:ascii="宋体" w:hAnsi="宋体"/>
          <w:b/>
          <w:bCs/>
          <w:color w:val="auto"/>
          <w:sz w:val="30"/>
          <w:highlight w:val="none"/>
        </w:rPr>
      </w:pPr>
    </w:p>
    <w:p w14:paraId="18E5880D">
      <w:pPr>
        <w:shd w:val="clear"/>
        <w:spacing w:line="360" w:lineRule="auto"/>
        <w:ind w:left="840" w:leftChars="400"/>
        <w:jc w:val="center"/>
        <w:rPr>
          <w:rFonts w:ascii="宋体" w:hAnsi="宋体"/>
          <w:b/>
          <w:bCs/>
          <w:color w:val="auto"/>
          <w:sz w:val="30"/>
          <w:highlight w:val="none"/>
        </w:rPr>
      </w:pPr>
    </w:p>
    <w:p w14:paraId="38863F13">
      <w:pPr>
        <w:shd w:val="clear"/>
        <w:spacing w:line="360" w:lineRule="auto"/>
        <w:ind w:left="840" w:leftChars="400"/>
        <w:jc w:val="center"/>
        <w:rPr>
          <w:rFonts w:ascii="宋体" w:hAnsi="宋体"/>
          <w:b/>
          <w:bCs/>
          <w:color w:val="auto"/>
          <w:sz w:val="30"/>
          <w:highlight w:val="none"/>
        </w:rPr>
      </w:pPr>
    </w:p>
    <w:p w14:paraId="4B4B5EA9">
      <w:pPr>
        <w:pStyle w:val="24"/>
        <w:shd w:val="clear"/>
        <w:rPr>
          <w:rFonts w:ascii="黑体" w:hAnsi="黑体" w:eastAsia="黑体"/>
          <w:color w:val="auto"/>
          <w:sz w:val="44"/>
          <w:szCs w:val="44"/>
          <w:highlight w:val="none"/>
        </w:rPr>
      </w:pPr>
      <w:bookmarkStart w:id="268" w:name="_Toc3721"/>
      <w:r>
        <w:rPr>
          <w:rFonts w:hint="eastAsia" w:ascii="黑体" w:hAnsi="黑体" w:eastAsia="黑体"/>
          <w:color w:val="auto"/>
          <w:sz w:val="44"/>
          <w:szCs w:val="44"/>
          <w:highlight w:val="none"/>
        </w:rPr>
        <w:t>（二）资格审查部分</w:t>
      </w:r>
      <w:bookmarkEnd w:id="268"/>
    </w:p>
    <w:p w14:paraId="55C06B6C">
      <w:pPr>
        <w:shd w:val="clear"/>
        <w:rPr>
          <w:b/>
          <w:bCs/>
          <w:color w:val="auto"/>
          <w:sz w:val="30"/>
          <w:highlight w:val="none"/>
        </w:rPr>
      </w:pPr>
      <w:r>
        <w:rPr>
          <w:b/>
          <w:bCs/>
          <w:color w:val="auto"/>
          <w:sz w:val="30"/>
          <w:highlight w:val="none"/>
        </w:rPr>
        <w:br w:type="page"/>
      </w:r>
    </w:p>
    <w:p w14:paraId="55EF54D5">
      <w:pPr>
        <w:shd w:val="clear"/>
        <w:rPr>
          <w:color w:val="auto"/>
          <w:highlight w:val="none"/>
        </w:rPr>
      </w:pPr>
      <w:bookmarkStart w:id="269" w:name="_Toc113985043"/>
      <w:bookmarkEnd w:id="269"/>
    </w:p>
    <w:p w14:paraId="0264C5CC">
      <w:pPr>
        <w:pStyle w:val="33"/>
        <w:shd w:val="clear"/>
        <w:spacing w:before="240" w:after="0"/>
        <w:jc w:val="left"/>
        <w:rPr>
          <w:rFonts w:ascii="宋体" w:hAnsi="宋体"/>
          <w:color w:val="auto"/>
          <w:sz w:val="24"/>
          <w:szCs w:val="24"/>
          <w:highlight w:val="none"/>
        </w:rPr>
      </w:pPr>
      <w:bookmarkStart w:id="270" w:name="_Toc30294"/>
      <w:r>
        <w:rPr>
          <w:rFonts w:hint="eastAsia" w:ascii="宋体" w:hAnsi="宋体"/>
          <w:color w:val="auto"/>
          <w:sz w:val="24"/>
          <w:szCs w:val="24"/>
          <w:highlight w:val="none"/>
        </w:rPr>
        <w:t>一、具有独立承担民事责任的能力</w:t>
      </w:r>
      <w:bookmarkEnd w:id="270"/>
    </w:p>
    <w:p w14:paraId="2985F711">
      <w:pPr>
        <w:shd w:val="clear"/>
        <w:spacing w:line="360" w:lineRule="auto"/>
        <w:ind w:firstLine="567" w:firstLineChars="270"/>
        <w:jc w:val="left"/>
        <w:rPr>
          <w:color w:val="auto"/>
          <w:highlight w:val="none"/>
        </w:rPr>
      </w:pPr>
      <w:r>
        <w:rPr>
          <w:rFonts w:hint="eastAsia" w:ascii="宋体" w:hAnsi="宋体"/>
          <w:color w:val="auto"/>
          <w:szCs w:val="21"/>
          <w:highlight w:val="none"/>
        </w:rPr>
        <w:t>提供法人或者其他组织的营业执照等证明文件（</w:t>
      </w:r>
      <w:r>
        <w:rPr>
          <w:rFonts w:hint="eastAsia" w:ascii="宋体" w:hAnsi="宋体"/>
          <w:b/>
          <w:color w:val="auto"/>
          <w:szCs w:val="21"/>
          <w:highlight w:val="none"/>
        </w:rPr>
        <w:t>扫描件加盖电子公章</w:t>
      </w:r>
      <w:r>
        <w:rPr>
          <w:rFonts w:hint="eastAsia" w:ascii="宋体" w:hAnsi="宋体"/>
          <w:color w:val="auto"/>
          <w:szCs w:val="21"/>
          <w:highlight w:val="none"/>
        </w:rPr>
        <w:t>）</w:t>
      </w:r>
      <w:r>
        <w:rPr>
          <w:color w:val="auto"/>
          <w:highlight w:val="none"/>
        </w:rPr>
        <w:t>。</w:t>
      </w:r>
    </w:p>
    <w:p w14:paraId="34D1B330">
      <w:pPr>
        <w:pStyle w:val="33"/>
        <w:shd w:val="clear"/>
        <w:spacing w:before="240" w:after="0"/>
        <w:jc w:val="left"/>
        <w:rPr>
          <w:rFonts w:ascii="宋体" w:hAnsi="宋体"/>
          <w:color w:val="auto"/>
          <w:sz w:val="24"/>
          <w:szCs w:val="24"/>
          <w:highlight w:val="none"/>
        </w:rPr>
      </w:pPr>
      <w:bookmarkStart w:id="271" w:name="_Toc113985044"/>
      <w:bookmarkEnd w:id="271"/>
      <w:bookmarkStart w:id="272" w:name="_Toc13632"/>
      <w:r>
        <w:rPr>
          <w:rFonts w:hint="eastAsia" w:ascii="宋体" w:hAnsi="宋体"/>
          <w:color w:val="auto"/>
          <w:sz w:val="24"/>
          <w:szCs w:val="24"/>
          <w:highlight w:val="none"/>
        </w:rPr>
        <w:t>二、具有良好的商业信誉和健全的财务会计制度</w:t>
      </w:r>
      <w:bookmarkEnd w:id="272"/>
    </w:p>
    <w:p w14:paraId="279DEB6C">
      <w:pPr>
        <w:shd w:val="clear"/>
        <w:spacing w:line="360" w:lineRule="auto"/>
        <w:ind w:firstLine="567" w:firstLineChars="270"/>
        <w:rPr>
          <w:color w:val="auto"/>
          <w:highlight w:val="none"/>
        </w:rPr>
      </w:pPr>
      <w:r>
        <w:rPr>
          <w:rFonts w:hint="eastAsia"/>
          <w:color w:val="auto"/>
          <w:szCs w:val="21"/>
          <w:highlight w:val="none"/>
        </w:rPr>
        <w:t>提供2022或2023年经审计的财务报告（复印件）或近三个月内基本开户银行出具的资信证明（原件或复印件）或财政部门认可的政府采购专业担保机构出具的投标担保函（成立时间不足一年的，可提供近三个月内基本开户银行出具的资信证明或自成立至今经第三方审计的财务报告；如提供投标担保函的，需同时提供专业担保机构经财政部门认可的证明文件）；</w:t>
      </w:r>
      <w:r>
        <w:rPr>
          <w:rFonts w:hint="eastAsia" w:ascii="宋体" w:hAnsi="宋体"/>
          <w:color w:val="auto"/>
          <w:szCs w:val="21"/>
          <w:highlight w:val="none"/>
        </w:rPr>
        <w:t>（</w:t>
      </w:r>
      <w:r>
        <w:rPr>
          <w:rFonts w:hint="eastAsia" w:ascii="宋体" w:hAnsi="宋体"/>
          <w:b/>
          <w:color w:val="auto"/>
          <w:szCs w:val="21"/>
          <w:highlight w:val="none"/>
        </w:rPr>
        <w:t>扫描件加盖电子公章</w:t>
      </w:r>
      <w:r>
        <w:rPr>
          <w:rFonts w:hint="eastAsia" w:ascii="宋体" w:hAnsi="宋体"/>
          <w:color w:val="auto"/>
          <w:szCs w:val="21"/>
          <w:highlight w:val="none"/>
        </w:rPr>
        <w:t>）</w:t>
      </w:r>
      <w:r>
        <w:rPr>
          <w:rFonts w:hint="eastAsia"/>
          <w:color w:val="auto"/>
          <w:highlight w:val="none"/>
        </w:rPr>
        <w:t>。</w:t>
      </w:r>
    </w:p>
    <w:p w14:paraId="5B0CAA3B">
      <w:pPr>
        <w:pStyle w:val="33"/>
        <w:shd w:val="clear"/>
        <w:spacing w:before="240" w:after="0"/>
        <w:jc w:val="left"/>
        <w:rPr>
          <w:rFonts w:ascii="宋体" w:hAnsi="宋体"/>
          <w:color w:val="auto"/>
          <w:sz w:val="24"/>
          <w:szCs w:val="24"/>
          <w:highlight w:val="none"/>
        </w:rPr>
      </w:pPr>
      <w:bookmarkStart w:id="273" w:name="_Toc113985045"/>
      <w:bookmarkEnd w:id="273"/>
      <w:bookmarkStart w:id="274" w:name="_Toc17275"/>
      <w:r>
        <w:rPr>
          <w:rFonts w:hint="eastAsia" w:ascii="宋体" w:hAnsi="宋体"/>
          <w:color w:val="auto"/>
          <w:sz w:val="24"/>
          <w:szCs w:val="24"/>
          <w:highlight w:val="none"/>
        </w:rPr>
        <w:t>三、具有履行合同所必需的设备和专业技术能力</w:t>
      </w:r>
      <w:bookmarkEnd w:id="274"/>
    </w:p>
    <w:p w14:paraId="1949AC71">
      <w:pPr>
        <w:shd w:val="clear"/>
        <w:spacing w:line="360" w:lineRule="auto"/>
        <w:ind w:firstLine="567" w:firstLineChars="270"/>
        <w:jc w:val="left"/>
        <w:rPr>
          <w:color w:val="auto"/>
          <w:highlight w:val="none"/>
        </w:rPr>
      </w:pPr>
      <w:r>
        <w:rPr>
          <w:rFonts w:hint="eastAsia"/>
          <w:color w:val="auto"/>
          <w:highlight w:val="none"/>
        </w:rPr>
        <w:t>提供相关声明函或证明材料（</w:t>
      </w:r>
      <w:r>
        <w:rPr>
          <w:rFonts w:hint="eastAsia"/>
          <w:b/>
          <w:color w:val="auto"/>
          <w:highlight w:val="none"/>
        </w:rPr>
        <w:t>格式自拟，加盖电子公章</w:t>
      </w:r>
      <w:r>
        <w:rPr>
          <w:rFonts w:hint="eastAsia"/>
          <w:color w:val="auto"/>
          <w:highlight w:val="none"/>
        </w:rPr>
        <w:t>）；</w:t>
      </w:r>
    </w:p>
    <w:p w14:paraId="5F34F447">
      <w:pPr>
        <w:pStyle w:val="33"/>
        <w:shd w:val="clear"/>
        <w:spacing w:before="240" w:after="0"/>
        <w:jc w:val="left"/>
        <w:rPr>
          <w:rFonts w:ascii="宋体" w:hAnsi="宋体"/>
          <w:color w:val="auto"/>
          <w:sz w:val="24"/>
          <w:szCs w:val="24"/>
          <w:highlight w:val="none"/>
        </w:rPr>
      </w:pPr>
      <w:bookmarkStart w:id="275" w:name="_Toc113985046"/>
      <w:bookmarkEnd w:id="275"/>
      <w:bookmarkStart w:id="276" w:name="_Toc28181"/>
      <w:r>
        <w:rPr>
          <w:rFonts w:hint="eastAsia" w:ascii="宋体" w:hAnsi="宋体"/>
          <w:color w:val="auto"/>
          <w:sz w:val="24"/>
          <w:szCs w:val="24"/>
          <w:highlight w:val="none"/>
        </w:rPr>
        <w:t>四、有依法缴纳税收和社会保障资金的良好记录</w:t>
      </w:r>
      <w:bookmarkEnd w:id="276"/>
    </w:p>
    <w:p w14:paraId="41600DC8">
      <w:pPr>
        <w:shd w:val="clear"/>
        <w:spacing w:line="360" w:lineRule="auto"/>
        <w:ind w:firstLine="567" w:firstLineChars="270"/>
        <w:rPr>
          <w:color w:val="auto"/>
          <w:highlight w:val="none"/>
        </w:rPr>
      </w:pPr>
      <w:r>
        <w:rPr>
          <w:rFonts w:hint="eastAsia"/>
          <w:color w:val="auto"/>
          <w:highlight w:val="none"/>
        </w:rPr>
        <w:t>提供2023年01月后投标人任意3个月的税收缴纳凭证；提供2023年01月后投标人任意3个月的社会保险缴纳凭证；若成立时间不足1个月的，提供成立以来的税收和社保资金缴纳凭证；依法免税或不需要缴纳社会保障资金的投标人，提供相应证明文件</w:t>
      </w:r>
      <w:r>
        <w:rPr>
          <w:rFonts w:hint="eastAsia" w:ascii="宋体" w:hAnsi="宋体"/>
          <w:color w:val="auto"/>
          <w:szCs w:val="21"/>
          <w:highlight w:val="none"/>
        </w:rPr>
        <w:t>（</w:t>
      </w:r>
      <w:r>
        <w:rPr>
          <w:rFonts w:hint="eastAsia" w:ascii="宋体" w:hAnsi="宋体"/>
          <w:b/>
          <w:color w:val="auto"/>
          <w:szCs w:val="21"/>
          <w:highlight w:val="none"/>
        </w:rPr>
        <w:t>扫描件加盖电子公章</w:t>
      </w:r>
      <w:r>
        <w:rPr>
          <w:rFonts w:hint="eastAsia" w:ascii="宋体" w:hAnsi="宋体"/>
          <w:color w:val="auto"/>
          <w:szCs w:val="21"/>
          <w:highlight w:val="none"/>
        </w:rPr>
        <w:t>）</w:t>
      </w:r>
      <w:r>
        <w:rPr>
          <w:rFonts w:hint="eastAsia"/>
          <w:color w:val="auto"/>
          <w:highlight w:val="none"/>
        </w:rPr>
        <w:t>；</w:t>
      </w:r>
    </w:p>
    <w:p w14:paraId="6F03ADD5">
      <w:pPr>
        <w:pStyle w:val="33"/>
        <w:shd w:val="clear"/>
        <w:spacing w:before="240" w:after="0"/>
        <w:jc w:val="left"/>
        <w:rPr>
          <w:rFonts w:ascii="宋体" w:hAnsi="宋体"/>
          <w:color w:val="auto"/>
          <w:sz w:val="24"/>
          <w:szCs w:val="24"/>
          <w:highlight w:val="none"/>
        </w:rPr>
      </w:pPr>
      <w:bookmarkStart w:id="277" w:name="_Toc113985047"/>
      <w:bookmarkEnd w:id="277"/>
      <w:bookmarkStart w:id="278" w:name="_Toc3036"/>
      <w:r>
        <w:rPr>
          <w:rFonts w:hint="eastAsia" w:ascii="宋体" w:hAnsi="宋体"/>
          <w:color w:val="auto"/>
          <w:sz w:val="24"/>
          <w:szCs w:val="24"/>
          <w:highlight w:val="none"/>
        </w:rPr>
        <w:t>五、参加本次采购活动前三年内，在经营活动中没有重大违法记录</w:t>
      </w:r>
      <w:bookmarkEnd w:id="278"/>
    </w:p>
    <w:p w14:paraId="1EB6A437">
      <w:pPr>
        <w:shd w:val="clear"/>
        <w:spacing w:line="360" w:lineRule="auto"/>
        <w:ind w:firstLine="567" w:firstLineChars="270"/>
        <w:rPr>
          <w:color w:val="auto"/>
          <w:highlight w:val="none"/>
        </w:rPr>
      </w:pPr>
      <w:r>
        <w:rPr>
          <w:rFonts w:hint="eastAsia"/>
          <w:color w:val="auto"/>
          <w:highlight w:val="none"/>
        </w:rPr>
        <w:t>投标人参加本次采购活动前三年内，在经营活动中没有重大违法记录；</w:t>
      </w:r>
    </w:p>
    <w:p w14:paraId="44AE10F3">
      <w:pPr>
        <w:shd w:val="clear"/>
        <w:spacing w:line="360" w:lineRule="auto"/>
        <w:ind w:firstLine="567" w:firstLineChars="270"/>
        <w:rPr>
          <w:bCs/>
          <w:color w:val="auto"/>
          <w:kern w:val="0"/>
          <w:szCs w:val="21"/>
          <w:highlight w:val="none"/>
          <w:u w:val="single"/>
        </w:rPr>
      </w:pPr>
      <w:r>
        <w:rPr>
          <w:rFonts w:hint="eastAsia"/>
          <w:color w:val="auto"/>
          <w:highlight w:val="none"/>
        </w:rPr>
        <w:t>提供承诺书，格式自拟（</w:t>
      </w:r>
      <w:r>
        <w:rPr>
          <w:rFonts w:hint="eastAsia"/>
          <w:b/>
          <w:color w:val="auto"/>
          <w:highlight w:val="none"/>
        </w:rPr>
        <w:t>加盖电子公章</w:t>
      </w:r>
      <w:r>
        <w:rPr>
          <w:rFonts w:hint="eastAsia"/>
          <w:color w:val="auto"/>
          <w:highlight w:val="none"/>
        </w:rPr>
        <w:t>）；</w:t>
      </w:r>
    </w:p>
    <w:p w14:paraId="401932F5">
      <w:pPr>
        <w:pStyle w:val="33"/>
        <w:shd w:val="clear"/>
        <w:spacing w:before="240" w:after="0"/>
        <w:jc w:val="left"/>
        <w:rPr>
          <w:rFonts w:ascii="宋体" w:hAnsi="宋体"/>
          <w:color w:val="auto"/>
          <w:sz w:val="24"/>
          <w:szCs w:val="24"/>
          <w:highlight w:val="none"/>
        </w:rPr>
      </w:pPr>
      <w:bookmarkStart w:id="279" w:name="_Toc16755"/>
      <w:r>
        <w:rPr>
          <w:rFonts w:hint="eastAsia" w:ascii="宋体" w:hAnsi="宋体"/>
          <w:color w:val="auto"/>
          <w:sz w:val="24"/>
          <w:szCs w:val="24"/>
          <w:highlight w:val="none"/>
        </w:rPr>
        <w:t>六、特定资格要求</w:t>
      </w:r>
      <w:bookmarkEnd w:id="279"/>
    </w:p>
    <w:p w14:paraId="1FFE1B9B">
      <w:pPr>
        <w:shd w:val="clear"/>
        <w:spacing w:line="360" w:lineRule="auto"/>
        <w:ind w:firstLine="567" w:firstLineChars="270"/>
        <w:rPr>
          <w:color w:val="auto"/>
          <w:highlight w:val="none"/>
        </w:rPr>
      </w:pPr>
      <w:r>
        <w:rPr>
          <w:rFonts w:hint="eastAsia"/>
          <w:color w:val="auto"/>
          <w:highlight w:val="none"/>
        </w:rPr>
        <w:t>（1）</w:t>
      </w:r>
      <w:r>
        <w:rPr>
          <w:rFonts w:hint="eastAsia"/>
          <w:color w:val="auto"/>
          <w:szCs w:val="21"/>
          <w:highlight w:val="none"/>
        </w:rPr>
        <w:t>投标人是代理商或经销商的，须提供有效的医疗器械经营许可证/备案凭证，所投产品制造商有效的医疗器械生产许可证（制造商工商注册地在中华人民共和国境外的，不做此要求）、所投产品有效的医疗器械注册证；投标人是制造商的，须提供有效的医疗器械生产许可证（制造商工商注册地在中华人民共和国境外的，不做此要求）、所投产品有效的医疗器械注册证。“医疗器械生产许可证”或“医疗器械经营许可证/备案凭证”的生产或经营范围须覆盖所投医疗器械（根据《医疗器械监督管理条例》（中华人民共和国国务院令第739号）的规定，在《医疗器械分类目录》内的产品必须按照《医疗器械监督管理条例》的要求提供，其他不在《医疗器械分类目录》内的不作强行要求，但须提供相关证明材料或书面声明）【加盖公司电子签章】</w:t>
      </w:r>
      <w:r>
        <w:rPr>
          <w:rFonts w:hint="eastAsia"/>
          <w:color w:val="auto"/>
          <w:highlight w:val="none"/>
        </w:rPr>
        <w:t>。</w:t>
      </w:r>
    </w:p>
    <w:p w14:paraId="689C3598">
      <w:pPr>
        <w:shd w:val="clear"/>
        <w:spacing w:line="360" w:lineRule="auto"/>
        <w:ind w:firstLine="567" w:firstLineChars="270"/>
        <w:rPr>
          <w:color w:val="auto"/>
          <w:highlight w:val="none"/>
        </w:rPr>
      </w:pPr>
      <w:r>
        <w:rPr>
          <w:rFonts w:hint="eastAsia"/>
          <w:color w:val="auto"/>
          <w:highlight w:val="none"/>
        </w:rPr>
        <w:t>（2）信用要求：未被列入“信用中国”网站（www.creditchina.gov.cn）失信被执行人、重大税收违法案件当事人名单、政府采购严重违法失信名单及“中国政府采购网”（www.ccgp.gov.cn）政府采购严重违法失信行为信息记录。采购代理机构将于投标文件递交截止时间后在上述网站对投标人信用情况进行查询，存在上述不良信用记录的，其投标将被拒绝，查询记录为上述网站信用信息查询结果的网页截图。</w:t>
      </w:r>
    </w:p>
    <w:p w14:paraId="11DCF8CC">
      <w:pPr>
        <w:shd w:val="clear"/>
        <w:spacing w:line="360" w:lineRule="auto"/>
        <w:ind w:firstLine="567" w:firstLineChars="270"/>
        <w:rPr>
          <w:color w:val="auto"/>
          <w:highlight w:val="none"/>
        </w:rPr>
      </w:pPr>
      <w:r>
        <w:rPr>
          <w:rFonts w:hint="eastAsia"/>
          <w:color w:val="auto"/>
          <w:highlight w:val="none"/>
        </w:rPr>
        <w:t>（3）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承诺书，格式自拟（加盖电子公章）。</w:t>
      </w:r>
    </w:p>
    <w:p w14:paraId="2CBF4211">
      <w:pPr>
        <w:pStyle w:val="33"/>
        <w:shd w:val="clear"/>
        <w:spacing w:before="240" w:after="0"/>
        <w:jc w:val="left"/>
        <w:rPr>
          <w:rFonts w:ascii="宋体" w:hAnsi="宋体"/>
          <w:color w:val="auto"/>
          <w:sz w:val="24"/>
          <w:szCs w:val="24"/>
          <w:highlight w:val="none"/>
        </w:rPr>
      </w:pPr>
      <w:bookmarkStart w:id="280" w:name="_Toc113985049"/>
      <w:bookmarkEnd w:id="280"/>
      <w:bookmarkStart w:id="281" w:name="_Toc31958"/>
      <w:r>
        <w:rPr>
          <w:rFonts w:hint="eastAsia" w:ascii="宋体" w:hAnsi="宋体"/>
          <w:color w:val="auto"/>
          <w:sz w:val="24"/>
          <w:szCs w:val="24"/>
          <w:highlight w:val="none"/>
        </w:rPr>
        <w:t>七、其他要求</w:t>
      </w:r>
      <w:bookmarkEnd w:id="281"/>
    </w:p>
    <w:p w14:paraId="3F4C417F">
      <w:pPr>
        <w:shd w:val="clear"/>
        <w:spacing w:line="360" w:lineRule="auto"/>
        <w:ind w:firstLine="567" w:firstLineChars="270"/>
        <w:rPr>
          <w:color w:val="auto"/>
          <w:highlight w:val="none"/>
        </w:rPr>
      </w:pPr>
      <w:r>
        <w:rPr>
          <w:rFonts w:hint="eastAsia"/>
          <w:color w:val="auto"/>
          <w:highlight w:val="none"/>
        </w:rPr>
        <w:t>招标文件要求或投标人认为需要提供的其他材料（格式自拟）</w:t>
      </w:r>
    </w:p>
    <w:p w14:paraId="58C845DD">
      <w:pPr>
        <w:widowControl/>
        <w:shd w:val="clear"/>
        <w:ind w:firstLine="567" w:firstLineChars="270"/>
        <w:jc w:val="left"/>
        <w:rPr>
          <w:color w:val="auto"/>
          <w:highlight w:val="none"/>
        </w:rPr>
      </w:pPr>
      <w:r>
        <w:rPr>
          <w:color w:val="auto"/>
          <w:highlight w:val="none"/>
        </w:rPr>
        <w:br w:type="page"/>
      </w:r>
    </w:p>
    <w:p w14:paraId="65179C63">
      <w:pPr>
        <w:widowControl/>
        <w:shd w:val="clear"/>
        <w:jc w:val="center"/>
        <w:rPr>
          <w:color w:val="auto"/>
          <w:kern w:val="0"/>
          <w:highlight w:val="none"/>
        </w:rPr>
      </w:pPr>
    </w:p>
    <w:p w14:paraId="2A01E322">
      <w:pPr>
        <w:widowControl/>
        <w:shd w:val="clear"/>
        <w:jc w:val="center"/>
        <w:rPr>
          <w:color w:val="auto"/>
          <w:kern w:val="0"/>
          <w:highlight w:val="none"/>
        </w:rPr>
      </w:pPr>
    </w:p>
    <w:p w14:paraId="2D523049">
      <w:pPr>
        <w:widowControl/>
        <w:shd w:val="clear"/>
        <w:jc w:val="center"/>
        <w:rPr>
          <w:color w:val="auto"/>
          <w:kern w:val="0"/>
          <w:highlight w:val="none"/>
        </w:rPr>
      </w:pPr>
    </w:p>
    <w:p w14:paraId="23F6504B">
      <w:pPr>
        <w:widowControl/>
        <w:shd w:val="clear"/>
        <w:jc w:val="center"/>
        <w:rPr>
          <w:color w:val="auto"/>
          <w:kern w:val="0"/>
          <w:highlight w:val="none"/>
        </w:rPr>
      </w:pPr>
    </w:p>
    <w:p w14:paraId="7F9DF0E5">
      <w:pPr>
        <w:widowControl/>
        <w:shd w:val="clear"/>
        <w:jc w:val="center"/>
        <w:rPr>
          <w:color w:val="auto"/>
          <w:kern w:val="0"/>
          <w:highlight w:val="none"/>
        </w:rPr>
      </w:pPr>
    </w:p>
    <w:p w14:paraId="15DD2063">
      <w:pPr>
        <w:widowControl/>
        <w:shd w:val="clear"/>
        <w:jc w:val="center"/>
        <w:rPr>
          <w:color w:val="auto"/>
          <w:kern w:val="0"/>
          <w:highlight w:val="none"/>
        </w:rPr>
      </w:pPr>
    </w:p>
    <w:p w14:paraId="3413FF87">
      <w:pPr>
        <w:widowControl/>
        <w:shd w:val="clear"/>
        <w:jc w:val="center"/>
        <w:rPr>
          <w:color w:val="auto"/>
          <w:kern w:val="0"/>
          <w:highlight w:val="none"/>
        </w:rPr>
      </w:pPr>
    </w:p>
    <w:p w14:paraId="6E1B7831">
      <w:pPr>
        <w:widowControl/>
        <w:shd w:val="clear"/>
        <w:jc w:val="center"/>
        <w:rPr>
          <w:color w:val="auto"/>
          <w:kern w:val="0"/>
          <w:highlight w:val="none"/>
        </w:rPr>
      </w:pPr>
    </w:p>
    <w:p w14:paraId="2F174104">
      <w:pPr>
        <w:widowControl/>
        <w:shd w:val="clear"/>
        <w:jc w:val="center"/>
        <w:rPr>
          <w:color w:val="auto"/>
          <w:kern w:val="0"/>
          <w:highlight w:val="none"/>
        </w:rPr>
      </w:pPr>
    </w:p>
    <w:p w14:paraId="7B8B71FE">
      <w:pPr>
        <w:widowControl/>
        <w:shd w:val="clear"/>
        <w:jc w:val="center"/>
        <w:rPr>
          <w:color w:val="auto"/>
          <w:kern w:val="0"/>
          <w:highlight w:val="none"/>
        </w:rPr>
      </w:pPr>
    </w:p>
    <w:p w14:paraId="3DBE9A4C">
      <w:pPr>
        <w:widowControl/>
        <w:shd w:val="clear"/>
        <w:jc w:val="center"/>
        <w:rPr>
          <w:color w:val="auto"/>
          <w:kern w:val="0"/>
          <w:highlight w:val="none"/>
        </w:rPr>
      </w:pPr>
    </w:p>
    <w:p w14:paraId="27181D28">
      <w:pPr>
        <w:widowControl/>
        <w:shd w:val="clear"/>
        <w:jc w:val="center"/>
        <w:rPr>
          <w:color w:val="auto"/>
          <w:kern w:val="0"/>
          <w:highlight w:val="none"/>
        </w:rPr>
      </w:pPr>
    </w:p>
    <w:p w14:paraId="04977F23">
      <w:pPr>
        <w:widowControl/>
        <w:shd w:val="clear"/>
        <w:jc w:val="center"/>
        <w:rPr>
          <w:color w:val="auto"/>
          <w:kern w:val="0"/>
          <w:highlight w:val="none"/>
        </w:rPr>
      </w:pPr>
    </w:p>
    <w:p w14:paraId="5DDDB280">
      <w:pPr>
        <w:widowControl/>
        <w:shd w:val="clear"/>
        <w:jc w:val="center"/>
        <w:rPr>
          <w:color w:val="auto"/>
          <w:kern w:val="0"/>
          <w:highlight w:val="none"/>
        </w:rPr>
      </w:pPr>
    </w:p>
    <w:p w14:paraId="5CDC2B5F">
      <w:pPr>
        <w:widowControl/>
        <w:shd w:val="clear"/>
        <w:jc w:val="center"/>
        <w:rPr>
          <w:color w:val="auto"/>
          <w:kern w:val="0"/>
          <w:highlight w:val="none"/>
        </w:rPr>
      </w:pPr>
    </w:p>
    <w:p w14:paraId="1A990C4C">
      <w:pPr>
        <w:widowControl/>
        <w:shd w:val="clear"/>
        <w:jc w:val="left"/>
        <w:rPr>
          <w:color w:val="auto"/>
          <w:highlight w:val="none"/>
        </w:rPr>
      </w:pPr>
    </w:p>
    <w:p w14:paraId="5192F96F">
      <w:pPr>
        <w:pStyle w:val="24"/>
        <w:shd w:val="clear"/>
        <w:rPr>
          <w:rFonts w:ascii="黑体" w:hAnsi="黑体" w:eastAsia="黑体"/>
          <w:color w:val="auto"/>
          <w:sz w:val="44"/>
          <w:szCs w:val="44"/>
          <w:highlight w:val="none"/>
        </w:rPr>
      </w:pPr>
      <w:bookmarkStart w:id="282" w:name="_Toc23399"/>
      <w:r>
        <w:rPr>
          <w:rFonts w:hint="eastAsia" w:ascii="黑体" w:hAnsi="黑体" w:eastAsia="黑体"/>
          <w:color w:val="auto"/>
          <w:sz w:val="44"/>
          <w:szCs w:val="44"/>
          <w:highlight w:val="none"/>
        </w:rPr>
        <w:t>（三）商务</w:t>
      </w:r>
      <w:r>
        <w:rPr>
          <w:rFonts w:ascii="黑体" w:hAnsi="黑体" w:eastAsia="黑体"/>
          <w:color w:val="auto"/>
          <w:sz w:val="44"/>
          <w:szCs w:val="44"/>
          <w:highlight w:val="none"/>
        </w:rPr>
        <w:t>部分</w:t>
      </w:r>
      <w:bookmarkEnd w:id="282"/>
    </w:p>
    <w:p w14:paraId="1FE06EC0">
      <w:pPr>
        <w:pStyle w:val="33"/>
        <w:shd w:val="clear"/>
        <w:spacing w:before="240"/>
        <w:jc w:val="center"/>
        <w:rPr>
          <w:color w:val="auto"/>
          <w:highlight w:val="none"/>
        </w:rPr>
      </w:pPr>
      <w:bookmarkStart w:id="283" w:name="_Toc450064607"/>
      <w:bookmarkStart w:id="284" w:name="_Toc389644558"/>
      <w:bookmarkStart w:id="285" w:name="_Toc113985051"/>
      <w:r>
        <w:rPr>
          <w:color w:val="auto"/>
          <w:highlight w:val="none"/>
        </w:rPr>
        <w:br w:type="page"/>
      </w:r>
    </w:p>
    <w:p w14:paraId="080CC2CB">
      <w:pPr>
        <w:pStyle w:val="33"/>
        <w:shd w:val="clear"/>
        <w:spacing w:before="240"/>
        <w:jc w:val="center"/>
        <w:rPr>
          <w:color w:val="auto"/>
          <w:highlight w:val="none"/>
        </w:rPr>
      </w:pPr>
      <w:bookmarkStart w:id="286" w:name="_Toc222025324"/>
      <w:bookmarkStart w:id="287" w:name="_Toc24056"/>
      <w:r>
        <w:rPr>
          <w:rFonts w:hint="eastAsia"/>
          <w:color w:val="auto"/>
          <w:highlight w:val="none"/>
        </w:rPr>
        <w:t>一、投标分项报价表</w:t>
      </w:r>
      <w:bookmarkEnd w:id="286"/>
      <w:bookmarkEnd w:id="287"/>
    </w:p>
    <w:p w14:paraId="5A6B4B76">
      <w:pPr>
        <w:shd w:val="clear"/>
        <w:spacing w:line="400" w:lineRule="atLeast"/>
        <w:rPr>
          <w:color w:val="auto"/>
          <w:sz w:val="24"/>
          <w:highlight w:val="none"/>
        </w:rPr>
      </w:pPr>
      <w:r>
        <w:rPr>
          <w:rFonts w:hint="eastAsia"/>
          <w:color w:val="auto"/>
          <w:sz w:val="22"/>
          <w:szCs w:val="22"/>
          <w:highlight w:val="none"/>
        </w:rPr>
        <w:t>项目名称：</w:t>
      </w:r>
      <w:r>
        <w:rPr>
          <w:rFonts w:hint="eastAsia"/>
          <w:color w:val="auto"/>
          <w:sz w:val="22"/>
          <w:szCs w:val="22"/>
          <w:highlight w:val="none"/>
          <w:u w:val="single"/>
        </w:rPr>
        <w:t xml:space="preserve">                            </w:t>
      </w:r>
      <w:r>
        <w:rPr>
          <w:rFonts w:hint="eastAsia"/>
          <w:color w:val="auto"/>
          <w:sz w:val="22"/>
          <w:szCs w:val="22"/>
          <w:highlight w:val="none"/>
        </w:rPr>
        <w:t xml:space="preserve">                 招标编号：</w:t>
      </w:r>
      <w:r>
        <w:rPr>
          <w:rFonts w:hint="eastAsia"/>
          <w:color w:val="auto"/>
          <w:sz w:val="22"/>
          <w:szCs w:val="22"/>
          <w:highlight w:val="none"/>
          <w:u w:val="single"/>
        </w:rPr>
        <w:t xml:space="preserve">               </w:t>
      </w:r>
      <w:r>
        <w:rPr>
          <w:rFonts w:hint="eastAsia"/>
          <w:color w:val="auto"/>
          <w:sz w:val="24"/>
          <w:highlight w:val="none"/>
          <w:u w:val="single"/>
        </w:rPr>
        <w:t xml:space="preserve"> </w:t>
      </w:r>
    </w:p>
    <w:tbl>
      <w:tblPr>
        <w:tblStyle w:val="26"/>
        <w:tblW w:w="10656" w:type="dxa"/>
        <w:jc w:val="center"/>
        <w:tblLayout w:type="fixed"/>
        <w:tblCellMar>
          <w:top w:w="0" w:type="dxa"/>
          <w:left w:w="108" w:type="dxa"/>
          <w:bottom w:w="0" w:type="dxa"/>
          <w:right w:w="108" w:type="dxa"/>
        </w:tblCellMar>
      </w:tblPr>
      <w:tblGrid>
        <w:gridCol w:w="733"/>
        <w:gridCol w:w="1295"/>
        <w:gridCol w:w="1375"/>
        <w:gridCol w:w="937"/>
        <w:gridCol w:w="1588"/>
        <w:gridCol w:w="1100"/>
        <w:gridCol w:w="1487"/>
        <w:gridCol w:w="2141"/>
      </w:tblGrid>
      <w:tr w14:paraId="13A51FE3">
        <w:tblPrEx>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vAlign w:val="center"/>
          </w:tcPr>
          <w:p w14:paraId="33B3C4C6">
            <w:pPr>
              <w:shd w:val="clear"/>
              <w:spacing w:line="400" w:lineRule="atLeast"/>
              <w:jc w:val="center"/>
              <w:rPr>
                <w:b/>
                <w:bCs/>
                <w:color w:val="auto"/>
                <w:highlight w:val="none"/>
              </w:rPr>
            </w:pPr>
            <w:r>
              <w:rPr>
                <w:rFonts w:hint="eastAsia"/>
                <w:b/>
                <w:bCs/>
                <w:color w:val="auto"/>
                <w:highlight w:val="none"/>
              </w:rPr>
              <w:t>序号</w:t>
            </w:r>
          </w:p>
        </w:tc>
        <w:tc>
          <w:tcPr>
            <w:tcW w:w="1295" w:type="dxa"/>
            <w:tcBorders>
              <w:top w:val="single" w:color="000000" w:sz="4" w:space="0"/>
              <w:left w:val="single" w:color="000000" w:sz="4" w:space="0"/>
              <w:bottom w:val="single" w:color="000000" w:sz="4" w:space="0"/>
              <w:right w:val="single" w:color="000000" w:sz="4" w:space="0"/>
            </w:tcBorders>
            <w:vAlign w:val="center"/>
          </w:tcPr>
          <w:p w14:paraId="6C05B1A8">
            <w:pPr>
              <w:shd w:val="clear"/>
              <w:spacing w:line="400" w:lineRule="atLeast"/>
              <w:jc w:val="center"/>
              <w:rPr>
                <w:b/>
                <w:bCs/>
                <w:color w:val="auto"/>
                <w:highlight w:val="none"/>
              </w:rPr>
            </w:pPr>
            <w:r>
              <w:rPr>
                <w:rFonts w:hint="eastAsia"/>
                <w:b/>
                <w:bCs/>
                <w:color w:val="auto"/>
                <w:highlight w:val="none"/>
              </w:rPr>
              <w:t>货物名称</w:t>
            </w:r>
          </w:p>
        </w:tc>
        <w:tc>
          <w:tcPr>
            <w:tcW w:w="1375" w:type="dxa"/>
            <w:tcBorders>
              <w:top w:val="single" w:color="000000" w:sz="4" w:space="0"/>
              <w:left w:val="single" w:color="000000" w:sz="4" w:space="0"/>
              <w:bottom w:val="single" w:color="000000" w:sz="4" w:space="0"/>
              <w:right w:val="single" w:color="000000" w:sz="4" w:space="0"/>
            </w:tcBorders>
            <w:vAlign w:val="center"/>
          </w:tcPr>
          <w:p w14:paraId="57D97236">
            <w:pPr>
              <w:shd w:val="clear"/>
              <w:spacing w:line="400" w:lineRule="atLeast"/>
              <w:jc w:val="center"/>
              <w:rPr>
                <w:b/>
                <w:bCs/>
                <w:color w:val="auto"/>
                <w:highlight w:val="none"/>
              </w:rPr>
            </w:pPr>
            <w:r>
              <w:rPr>
                <w:rFonts w:hint="eastAsia"/>
                <w:b/>
                <w:bCs/>
                <w:color w:val="auto"/>
                <w:highlight w:val="none"/>
              </w:rPr>
              <w:t>品牌型号和规格</w:t>
            </w:r>
          </w:p>
        </w:tc>
        <w:tc>
          <w:tcPr>
            <w:tcW w:w="937" w:type="dxa"/>
            <w:tcBorders>
              <w:top w:val="single" w:color="000000" w:sz="4" w:space="0"/>
              <w:left w:val="single" w:color="000000" w:sz="4" w:space="0"/>
              <w:bottom w:val="single" w:color="000000" w:sz="4" w:space="0"/>
              <w:right w:val="single" w:color="000000" w:sz="4" w:space="0"/>
            </w:tcBorders>
            <w:vAlign w:val="center"/>
          </w:tcPr>
          <w:p w14:paraId="23C52F30">
            <w:pPr>
              <w:shd w:val="clear"/>
              <w:spacing w:line="400" w:lineRule="atLeast"/>
              <w:jc w:val="center"/>
              <w:rPr>
                <w:b/>
                <w:bCs/>
                <w:color w:val="auto"/>
                <w:highlight w:val="none"/>
              </w:rPr>
            </w:pPr>
            <w:r>
              <w:rPr>
                <w:rFonts w:hint="eastAsia"/>
                <w:b/>
                <w:bCs/>
                <w:color w:val="auto"/>
                <w:highlight w:val="none"/>
              </w:rPr>
              <w:t>数量</w:t>
            </w:r>
          </w:p>
        </w:tc>
        <w:tc>
          <w:tcPr>
            <w:tcW w:w="1588" w:type="dxa"/>
            <w:tcBorders>
              <w:top w:val="single" w:color="000000" w:sz="4" w:space="0"/>
              <w:left w:val="single" w:color="000000" w:sz="4" w:space="0"/>
              <w:bottom w:val="single" w:color="000000" w:sz="4" w:space="0"/>
              <w:right w:val="single" w:color="000000" w:sz="4" w:space="0"/>
            </w:tcBorders>
            <w:vAlign w:val="center"/>
          </w:tcPr>
          <w:p w14:paraId="5159E89F">
            <w:pPr>
              <w:shd w:val="clear"/>
              <w:spacing w:line="400" w:lineRule="atLeast"/>
              <w:jc w:val="center"/>
              <w:rPr>
                <w:b/>
                <w:bCs/>
                <w:color w:val="auto"/>
                <w:highlight w:val="none"/>
              </w:rPr>
            </w:pPr>
            <w:r>
              <w:rPr>
                <w:rFonts w:hint="eastAsia"/>
                <w:b/>
                <w:bCs/>
                <w:color w:val="auto"/>
                <w:highlight w:val="none"/>
              </w:rPr>
              <w:t>原产地和制造商名称</w:t>
            </w:r>
          </w:p>
        </w:tc>
        <w:tc>
          <w:tcPr>
            <w:tcW w:w="1100" w:type="dxa"/>
            <w:tcBorders>
              <w:top w:val="single" w:color="000000" w:sz="4" w:space="0"/>
              <w:left w:val="single" w:color="000000" w:sz="4" w:space="0"/>
              <w:bottom w:val="single" w:color="000000" w:sz="4" w:space="0"/>
              <w:right w:val="single" w:color="000000" w:sz="4" w:space="0"/>
            </w:tcBorders>
            <w:vAlign w:val="center"/>
          </w:tcPr>
          <w:p w14:paraId="4CF6173E">
            <w:pPr>
              <w:shd w:val="clear"/>
              <w:spacing w:line="400" w:lineRule="atLeast"/>
              <w:jc w:val="center"/>
              <w:rPr>
                <w:b/>
                <w:bCs/>
                <w:color w:val="auto"/>
                <w:highlight w:val="none"/>
              </w:rPr>
            </w:pPr>
            <w:r>
              <w:rPr>
                <w:rFonts w:hint="eastAsia"/>
                <w:b/>
                <w:bCs/>
                <w:color w:val="auto"/>
                <w:highlight w:val="none"/>
              </w:rPr>
              <w:t>单价</w:t>
            </w:r>
          </w:p>
          <w:p w14:paraId="46ECE4F7">
            <w:pPr>
              <w:shd w:val="clear"/>
              <w:spacing w:line="400" w:lineRule="atLeast"/>
              <w:jc w:val="center"/>
              <w:rPr>
                <w:b/>
                <w:bCs/>
                <w:color w:val="auto"/>
                <w:highlight w:val="none"/>
              </w:rPr>
            </w:pPr>
            <w:r>
              <w:rPr>
                <w:rFonts w:hint="eastAsia"/>
                <w:b/>
                <w:bCs/>
                <w:color w:val="auto"/>
                <w:highlight w:val="none"/>
              </w:rPr>
              <w:t>（元）</w:t>
            </w:r>
          </w:p>
        </w:tc>
        <w:tc>
          <w:tcPr>
            <w:tcW w:w="1487" w:type="dxa"/>
            <w:tcBorders>
              <w:top w:val="single" w:color="000000" w:sz="4" w:space="0"/>
              <w:left w:val="single" w:color="000000" w:sz="4" w:space="0"/>
              <w:bottom w:val="single" w:color="000000" w:sz="4" w:space="0"/>
              <w:right w:val="single" w:color="000000" w:sz="4" w:space="0"/>
            </w:tcBorders>
            <w:vAlign w:val="center"/>
          </w:tcPr>
          <w:p w14:paraId="29F707D0">
            <w:pPr>
              <w:shd w:val="clear"/>
              <w:spacing w:line="400" w:lineRule="atLeast"/>
              <w:jc w:val="center"/>
              <w:rPr>
                <w:b/>
                <w:bCs/>
                <w:color w:val="auto"/>
                <w:highlight w:val="none"/>
              </w:rPr>
            </w:pPr>
            <w:r>
              <w:rPr>
                <w:rFonts w:hint="eastAsia"/>
                <w:b/>
                <w:bCs/>
                <w:color w:val="auto"/>
                <w:highlight w:val="none"/>
              </w:rPr>
              <w:t>总价（元）</w:t>
            </w:r>
          </w:p>
        </w:tc>
        <w:tc>
          <w:tcPr>
            <w:tcW w:w="2141" w:type="dxa"/>
            <w:tcBorders>
              <w:top w:val="single" w:color="000000" w:sz="4" w:space="0"/>
              <w:left w:val="single" w:color="000000" w:sz="4" w:space="0"/>
              <w:bottom w:val="single" w:color="000000" w:sz="4" w:space="0"/>
              <w:right w:val="single" w:color="000000" w:sz="4" w:space="0"/>
            </w:tcBorders>
            <w:vAlign w:val="center"/>
          </w:tcPr>
          <w:p w14:paraId="79EC93E3">
            <w:pPr>
              <w:shd w:val="clear"/>
              <w:spacing w:line="400" w:lineRule="atLeast"/>
              <w:jc w:val="center"/>
              <w:rPr>
                <w:b/>
                <w:bCs/>
                <w:color w:val="auto"/>
                <w:highlight w:val="none"/>
              </w:rPr>
            </w:pPr>
            <w:r>
              <w:rPr>
                <w:rFonts w:hint="eastAsia"/>
                <w:b/>
                <w:bCs/>
                <w:color w:val="auto"/>
                <w:highlight w:val="none"/>
              </w:rPr>
              <w:t>生产商规模（微型企业、小型企业、中型企业、大型企业）</w:t>
            </w:r>
          </w:p>
        </w:tc>
      </w:tr>
      <w:tr w14:paraId="7E97C737">
        <w:tblPrEx>
          <w:tblCellMar>
            <w:top w:w="0" w:type="dxa"/>
            <w:left w:w="108" w:type="dxa"/>
            <w:bottom w:w="0" w:type="dxa"/>
            <w:right w:w="108" w:type="dxa"/>
          </w:tblCellMar>
        </w:tblPrEx>
        <w:trPr>
          <w:trHeight w:val="797" w:hRule="atLeast"/>
          <w:jc w:val="center"/>
        </w:trPr>
        <w:tc>
          <w:tcPr>
            <w:tcW w:w="733" w:type="dxa"/>
            <w:tcBorders>
              <w:top w:val="single" w:color="000000" w:sz="4" w:space="0"/>
              <w:left w:val="single" w:color="000000" w:sz="4" w:space="0"/>
              <w:right w:val="single" w:color="000000" w:sz="4" w:space="0"/>
            </w:tcBorders>
            <w:vAlign w:val="center"/>
          </w:tcPr>
          <w:p w14:paraId="2383EC05">
            <w:pPr>
              <w:shd w:val="clear"/>
              <w:spacing w:line="400" w:lineRule="atLeast"/>
              <w:jc w:val="center"/>
              <w:rPr>
                <w:color w:val="auto"/>
                <w:highlight w:val="none"/>
              </w:rPr>
            </w:pPr>
            <w:r>
              <w:rPr>
                <w:rFonts w:hint="eastAsia"/>
                <w:color w:val="auto"/>
                <w:highlight w:val="none"/>
              </w:rPr>
              <w:t>1</w:t>
            </w:r>
          </w:p>
        </w:tc>
        <w:tc>
          <w:tcPr>
            <w:tcW w:w="1295" w:type="dxa"/>
            <w:tcBorders>
              <w:top w:val="single" w:color="000000" w:sz="4" w:space="0"/>
              <w:left w:val="single" w:color="000000" w:sz="4" w:space="0"/>
              <w:right w:val="single" w:color="000000" w:sz="4" w:space="0"/>
            </w:tcBorders>
            <w:vAlign w:val="center"/>
          </w:tcPr>
          <w:p w14:paraId="0D82EEFC">
            <w:pPr>
              <w:shd w:val="clear"/>
              <w:spacing w:line="400" w:lineRule="atLeast"/>
              <w:jc w:val="center"/>
              <w:rPr>
                <w:color w:val="auto"/>
                <w:highlight w:val="none"/>
              </w:rPr>
            </w:pPr>
          </w:p>
        </w:tc>
        <w:tc>
          <w:tcPr>
            <w:tcW w:w="1375" w:type="dxa"/>
            <w:tcBorders>
              <w:top w:val="single" w:color="000000" w:sz="4" w:space="0"/>
              <w:left w:val="single" w:color="000000" w:sz="4" w:space="0"/>
              <w:right w:val="single" w:color="000000" w:sz="4" w:space="0"/>
            </w:tcBorders>
            <w:vAlign w:val="center"/>
          </w:tcPr>
          <w:p w14:paraId="1D48A99E">
            <w:pPr>
              <w:shd w:val="clear"/>
              <w:spacing w:line="400" w:lineRule="atLeast"/>
              <w:jc w:val="center"/>
              <w:rPr>
                <w:color w:val="auto"/>
                <w:highlight w:val="none"/>
              </w:rPr>
            </w:pPr>
          </w:p>
        </w:tc>
        <w:tc>
          <w:tcPr>
            <w:tcW w:w="937" w:type="dxa"/>
            <w:tcBorders>
              <w:top w:val="single" w:color="000000" w:sz="4" w:space="0"/>
              <w:left w:val="single" w:color="000000" w:sz="4" w:space="0"/>
              <w:right w:val="single" w:color="000000" w:sz="4" w:space="0"/>
            </w:tcBorders>
            <w:vAlign w:val="center"/>
          </w:tcPr>
          <w:p w14:paraId="10E797C2">
            <w:pPr>
              <w:shd w:val="clear"/>
              <w:spacing w:line="400" w:lineRule="atLeast"/>
              <w:jc w:val="center"/>
              <w:rPr>
                <w:color w:val="auto"/>
                <w:highlight w:val="none"/>
              </w:rPr>
            </w:pPr>
          </w:p>
        </w:tc>
        <w:tc>
          <w:tcPr>
            <w:tcW w:w="1588" w:type="dxa"/>
            <w:tcBorders>
              <w:top w:val="single" w:color="000000" w:sz="4" w:space="0"/>
              <w:left w:val="single" w:color="000000" w:sz="4" w:space="0"/>
              <w:right w:val="single" w:color="000000" w:sz="4" w:space="0"/>
            </w:tcBorders>
          </w:tcPr>
          <w:p w14:paraId="5F92936F">
            <w:pPr>
              <w:shd w:val="clear"/>
              <w:spacing w:line="400" w:lineRule="atLeast"/>
              <w:jc w:val="center"/>
              <w:rPr>
                <w:color w:val="auto"/>
                <w:highlight w:val="none"/>
              </w:rPr>
            </w:pPr>
          </w:p>
        </w:tc>
        <w:tc>
          <w:tcPr>
            <w:tcW w:w="1100" w:type="dxa"/>
            <w:tcBorders>
              <w:top w:val="single" w:color="000000" w:sz="4" w:space="0"/>
              <w:left w:val="single" w:color="000000" w:sz="4" w:space="0"/>
              <w:right w:val="single" w:color="000000" w:sz="4" w:space="0"/>
            </w:tcBorders>
          </w:tcPr>
          <w:p w14:paraId="24605200">
            <w:pPr>
              <w:shd w:val="clear"/>
              <w:spacing w:line="400" w:lineRule="atLeast"/>
              <w:jc w:val="center"/>
              <w:rPr>
                <w:color w:val="auto"/>
                <w:highlight w:val="none"/>
              </w:rPr>
            </w:pPr>
          </w:p>
        </w:tc>
        <w:tc>
          <w:tcPr>
            <w:tcW w:w="1487" w:type="dxa"/>
            <w:tcBorders>
              <w:top w:val="single" w:color="000000" w:sz="4" w:space="0"/>
              <w:left w:val="single" w:color="000000" w:sz="4" w:space="0"/>
              <w:right w:val="single" w:color="000000" w:sz="4" w:space="0"/>
            </w:tcBorders>
            <w:vAlign w:val="center"/>
          </w:tcPr>
          <w:p w14:paraId="6B48B0C8">
            <w:pPr>
              <w:shd w:val="clear"/>
              <w:spacing w:line="400" w:lineRule="atLeast"/>
              <w:jc w:val="center"/>
              <w:rPr>
                <w:color w:val="auto"/>
                <w:highlight w:val="none"/>
              </w:rPr>
            </w:pPr>
          </w:p>
        </w:tc>
        <w:tc>
          <w:tcPr>
            <w:tcW w:w="2141" w:type="dxa"/>
            <w:tcBorders>
              <w:top w:val="single" w:color="000000" w:sz="4" w:space="0"/>
              <w:left w:val="single" w:color="000000" w:sz="4" w:space="0"/>
              <w:right w:val="single" w:color="000000" w:sz="4" w:space="0"/>
            </w:tcBorders>
            <w:vAlign w:val="center"/>
          </w:tcPr>
          <w:p w14:paraId="4C913A61">
            <w:pPr>
              <w:shd w:val="clear"/>
              <w:spacing w:line="400" w:lineRule="atLeast"/>
              <w:jc w:val="center"/>
              <w:rPr>
                <w:color w:val="auto"/>
                <w:highlight w:val="none"/>
              </w:rPr>
            </w:pPr>
          </w:p>
        </w:tc>
      </w:tr>
      <w:tr w14:paraId="50FE7030">
        <w:tblPrEx>
          <w:tblCellMar>
            <w:top w:w="0" w:type="dxa"/>
            <w:left w:w="108" w:type="dxa"/>
            <w:bottom w:w="0" w:type="dxa"/>
            <w:right w:w="108" w:type="dxa"/>
          </w:tblCellMar>
        </w:tblPrEx>
        <w:trPr>
          <w:trHeight w:val="847" w:hRule="atLeast"/>
          <w:jc w:val="center"/>
        </w:trPr>
        <w:tc>
          <w:tcPr>
            <w:tcW w:w="733" w:type="dxa"/>
            <w:tcBorders>
              <w:top w:val="single" w:color="000000" w:sz="4" w:space="0"/>
              <w:left w:val="single" w:color="000000" w:sz="4" w:space="0"/>
              <w:right w:val="single" w:color="000000" w:sz="4" w:space="0"/>
            </w:tcBorders>
            <w:vAlign w:val="center"/>
          </w:tcPr>
          <w:p w14:paraId="39B2960D">
            <w:pPr>
              <w:shd w:val="clear"/>
              <w:spacing w:line="400" w:lineRule="atLeast"/>
              <w:jc w:val="center"/>
              <w:rPr>
                <w:color w:val="auto"/>
                <w:highlight w:val="none"/>
              </w:rPr>
            </w:pPr>
            <w:r>
              <w:rPr>
                <w:rFonts w:hint="eastAsia"/>
                <w:color w:val="auto"/>
                <w:highlight w:val="none"/>
              </w:rPr>
              <w:t>2</w:t>
            </w:r>
          </w:p>
        </w:tc>
        <w:tc>
          <w:tcPr>
            <w:tcW w:w="1295" w:type="dxa"/>
            <w:tcBorders>
              <w:top w:val="single" w:color="000000" w:sz="4" w:space="0"/>
              <w:left w:val="single" w:color="000000" w:sz="4" w:space="0"/>
              <w:right w:val="single" w:color="000000" w:sz="4" w:space="0"/>
            </w:tcBorders>
            <w:vAlign w:val="center"/>
          </w:tcPr>
          <w:p w14:paraId="4B93784A">
            <w:pPr>
              <w:shd w:val="clear"/>
              <w:spacing w:line="400" w:lineRule="atLeast"/>
              <w:jc w:val="center"/>
              <w:rPr>
                <w:color w:val="auto"/>
                <w:highlight w:val="none"/>
              </w:rPr>
            </w:pPr>
          </w:p>
        </w:tc>
        <w:tc>
          <w:tcPr>
            <w:tcW w:w="1375" w:type="dxa"/>
            <w:tcBorders>
              <w:top w:val="single" w:color="000000" w:sz="4" w:space="0"/>
              <w:left w:val="single" w:color="000000" w:sz="4" w:space="0"/>
              <w:right w:val="single" w:color="000000" w:sz="4" w:space="0"/>
            </w:tcBorders>
            <w:vAlign w:val="center"/>
          </w:tcPr>
          <w:p w14:paraId="035ECDAE">
            <w:pPr>
              <w:shd w:val="clear"/>
              <w:spacing w:line="400" w:lineRule="atLeast"/>
              <w:jc w:val="center"/>
              <w:rPr>
                <w:color w:val="auto"/>
                <w:highlight w:val="none"/>
              </w:rPr>
            </w:pPr>
          </w:p>
        </w:tc>
        <w:tc>
          <w:tcPr>
            <w:tcW w:w="937" w:type="dxa"/>
            <w:tcBorders>
              <w:top w:val="single" w:color="000000" w:sz="4" w:space="0"/>
              <w:left w:val="single" w:color="000000" w:sz="4" w:space="0"/>
              <w:right w:val="single" w:color="000000" w:sz="4" w:space="0"/>
            </w:tcBorders>
            <w:vAlign w:val="center"/>
          </w:tcPr>
          <w:p w14:paraId="5D69589D">
            <w:pPr>
              <w:shd w:val="clear"/>
              <w:spacing w:line="400" w:lineRule="atLeast"/>
              <w:jc w:val="center"/>
              <w:rPr>
                <w:color w:val="auto"/>
                <w:highlight w:val="none"/>
              </w:rPr>
            </w:pPr>
          </w:p>
        </w:tc>
        <w:tc>
          <w:tcPr>
            <w:tcW w:w="1588" w:type="dxa"/>
            <w:tcBorders>
              <w:top w:val="single" w:color="000000" w:sz="4" w:space="0"/>
              <w:left w:val="single" w:color="000000" w:sz="4" w:space="0"/>
              <w:right w:val="single" w:color="000000" w:sz="4" w:space="0"/>
            </w:tcBorders>
          </w:tcPr>
          <w:p w14:paraId="5E34BCC6">
            <w:pPr>
              <w:shd w:val="clear"/>
              <w:spacing w:line="400" w:lineRule="atLeast"/>
              <w:jc w:val="center"/>
              <w:rPr>
                <w:color w:val="auto"/>
                <w:highlight w:val="none"/>
              </w:rPr>
            </w:pPr>
          </w:p>
        </w:tc>
        <w:tc>
          <w:tcPr>
            <w:tcW w:w="1100" w:type="dxa"/>
            <w:tcBorders>
              <w:top w:val="single" w:color="000000" w:sz="4" w:space="0"/>
              <w:left w:val="single" w:color="000000" w:sz="4" w:space="0"/>
              <w:right w:val="single" w:color="000000" w:sz="4" w:space="0"/>
            </w:tcBorders>
          </w:tcPr>
          <w:p w14:paraId="40770893">
            <w:pPr>
              <w:shd w:val="clear"/>
              <w:spacing w:line="400" w:lineRule="atLeast"/>
              <w:jc w:val="center"/>
              <w:rPr>
                <w:color w:val="auto"/>
                <w:highlight w:val="none"/>
              </w:rPr>
            </w:pPr>
          </w:p>
        </w:tc>
        <w:tc>
          <w:tcPr>
            <w:tcW w:w="1487" w:type="dxa"/>
            <w:tcBorders>
              <w:top w:val="single" w:color="000000" w:sz="4" w:space="0"/>
              <w:left w:val="single" w:color="000000" w:sz="4" w:space="0"/>
              <w:right w:val="single" w:color="000000" w:sz="4" w:space="0"/>
            </w:tcBorders>
            <w:vAlign w:val="center"/>
          </w:tcPr>
          <w:p w14:paraId="5169B98B">
            <w:pPr>
              <w:shd w:val="clear"/>
              <w:spacing w:line="400" w:lineRule="atLeast"/>
              <w:jc w:val="center"/>
              <w:rPr>
                <w:color w:val="auto"/>
                <w:highlight w:val="none"/>
              </w:rPr>
            </w:pPr>
          </w:p>
        </w:tc>
        <w:tc>
          <w:tcPr>
            <w:tcW w:w="2141" w:type="dxa"/>
            <w:tcBorders>
              <w:top w:val="single" w:color="000000" w:sz="4" w:space="0"/>
              <w:left w:val="single" w:color="000000" w:sz="4" w:space="0"/>
              <w:right w:val="single" w:color="000000" w:sz="4" w:space="0"/>
            </w:tcBorders>
            <w:vAlign w:val="center"/>
          </w:tcPr>
          <w:p w14:paraId="5730BEB6">
            <w:pPr>
              <w:shd w:val="clear"/>
              <w:spacing w:line="400" w:lineRule="atLeast"/>
              <w:jc w:val="center"/>
              <w:rPr>
                <w:color w:val="auto"/>
                <w:highlight w:val="none"/>
              </w:rPr>
            </w:pPr>
          </w:p>
        </w:tc>
      </w:tr>
      <w:tr w14:paraId="419461AE">
        <w:tblPrEx>
          <w:tblCellMar>
            <w:top w:w="0" w:type="dxa"/>
            <w:left w:w="108" w:type="dxa"/>
            <w:bottom w:w="0" w:type="dxa"/>
            <w:right w:w="108" w:type="dxa"/>
          </w:tblCellMar>
        </w:tblPrEx>
        <w:trPr>
          <w:trHeight w:val="794" w:hRule="atLeast"/>
          <w:jc w:val="center"/>
        </w:trPr>
        <w:tc>
          <w:tcPr>
            <w:tcW w:w="733" w:type="dxa"/>
            <w:tcBorders>
              <w:top w:val="single" w:color="000000" w:sz="4" w:space="0"/>
              <w:left w:val="single" w:color="000000" w:sz="4" w:space="0"/>
              <w:right w:val="single" w:color="000000" w:sz="4" w:space="0"/>
            </w:tcBorders>
            <w:vAlign w:val="center"/>
          </w:tcPr>
          <w:p w14:paraId="16B70BDE">
            <w:pPr>
              <w:shd w:val="clear"/>
              <w:spacing w:line="400" w:lineRule="atLeast"/>
              <w:jc w:val="center"/>
              <w:rPr>
                <w:color w:val="auto"/>
                <w:highlight w:val="none"/>
              </w:rPr>
            </w:pPr>
            <w:r>
              <w:rPr>
                <w:rFonts w:hint="eastAsia"/>
                <w:color w:val="auto"/>
                <w:highlight w:val="none"/>
              </w:rPr>
              <w:t>3</w:t>
            </w:r>
          </w:p>
        </w:tc>
        <w:tc>
          <w:tcPr>
            <w:tcW w:w="1295" w:type="dxa"/>
            <w:tcBorders>
              <w:top w:val="single" w:color="000000" w:sz="4" w:space="0"/>
              <w:left w:val="single" w:color="000000" w:sz="4" w:space="0"/>
              <w:right w:val="single" w:color="000000" w:sz="4" w:space="0"/>
            </w:tcBorders>
            <w:vAlign w:val="center"/>
          </w:tcPr>
          <w:p w14:paraId="51CBB01C">
            <w:pPr>
              <w:shd w:val="clear"/>
              <w:spacing w:line="400" w:lineRule="atLeast"/>
              <w:jc w:val="center"/>
              <w:rPr>
                <w:color w:val="auto"/>
                <w:highlight w:val="none"/>
              </w:rPr>
            </w:pPr>
          </w:p>
        </w:tc>
        <w:tc>
          <w:tcPr>
            <w:tcW w:w="1375" w:type="dxa"/>
            <w:tcBorders>
              <w:top w:val="single" w:color="000000" w:sz="4" w:space="0"/>
              <w:left w:val="single" w:color="000000" w:sz="4" w:space="0"/>
              <w:right w:val="single" w:color="000000" w:sz="4" w:space="0"/>
            </w:tcBorders>
            <w:vAlign w:val="center"/>
          </w:tcPr>
          <w:p w14:paraId="6E8BC0C5">
            <w:pPr>
              <w:shd w:val="clear"/>
              <w:spacing w:line="400" w:lineRule="atLeast"/>
              <w:jc w:val="center"/>
              <w:rPr>
                <w:color w:val="auto"/>
                <w:highlight w:val="none"/>
              </w:rPr>
            </w:pPr>
          </w:p>
        </w:tc>
        <w:tc>
          <w:tcPr>
            <w:tcW w:w="937" w:type="dxa"/>
            <w:tcBorders>
              <w:top w:val="single" w:color="000000" w:sz="4" w:space="0"/>
              <w:left w:val="single" w:color="000000" w:sz="4" w:space="0"/>
              <w:right w:val="single" w:color="000000" w:sz="4" w:space="0"/>
            </w:tcBorders>
            <w:vAlign w:val="center"/>
          </w:tcPr>
          <w:p w14:paraId="55517377">
            <w:pPr>
              <w:shd w:val="clear"/>
              <w:spacing w:line="400" w:lineRule="atLeast"/>
              <w:jc w:val="center"/>
              <w:rPr>
                <w:color w:val="auto"/>
                <w:highlight w:val="none"/>
              </w:rPr>
            </w:pPr>
          </w:p>
        </w:tc>
        <w:tc>
          <w:tcPr>
            <w:tcW w:w="1588" w:type="dxa"/>
            <w:tcBorders>
              <w:top w:val="single" w:color="000000" w:sz="4" w:space="0"/>
              <w:left w:val="single" w:color="000000" w:sz="4" w:space="0"/>
              <w:right w:val="single" w:color="000000" w:sz="4" w:space="0"/>
            </w:tcBorders>
          </w:tcPr>
          <w:p w14:paraId="7C0FA362">
            <w:pPr>
              <w:shd w:val="clear"/>
              <w:spacing w:line="400" w:lineRule="atLeast"/>
              <w:jc w:val="center"/>
              <w:rPr>
                <w:color w:val="auto"/>
                <w:highlight w:val="none"/>
              </w:rPr>
            </w:pPr>
          </w:p>
        </w:tc>
        <w:tc>
          <w:tcPr>
            <w:tcW w:w="1100" w:type="dxa"/>
            <w:tcBorders>
              <w:top w:val="single" w:color="000000" w:sz="4" w:space="0"/>
              <w:left w:val="single" w:color="000000" w:sz="4" w:space="0"/>
              <w:right w:val="single" w:color="000000" w:sz="4" w:space="0"/>
            </w:tcBorders>
          </w:tcPr>
          <w:p w14:paraId="4BE2D256">
            <w:pPr>
              <w:shd w:val="clear"/>
              <w:spacing w:line="400" w:lineRule="atLeast"/>
              <w:jc w:val="center"/>
              <w:rPr>
                <w:color w:val="auto"/>
                <w:highlight w:val="none"/>
              </w:rPr>
            </w:pPr>
          </w:p>
        </w:tc>
        <w:tc>
          <w:tcPr>
            <w:tcW w:w="1487" w:type="dxa"/>
            <w:tcBorders>
              <w:top w:val="single" w:color="000000" w:sz="4" w:space="0"/>
              <w:left w:val="single" w:color="000000" w:sz="4" w:space="0"/>
              <w:right w:val="single" w:color="000000" w:sz="4" w:space="0"/>
            </w:tcBorders>
            <w:vAlign w:val="center"/>
          </w:tcPr>
          <w:p w14:paraId="38BAEA5C">
            <w:pPr>
              <w:shd w:val="clear"/>
              <w:spacing w:line="400" w:lineRule="atLeast"/>
              <w:jc w:val="center"/>
              <w:rPr>
                <w:color w:val="auto"/>
                <w:highlight w:val="none"/>
              </w:rPr>
            </w:pPr>
          </w:p>
        </w:tc>
        <w:tc>
          <w:tcPr>
            <w:tcW w:w="2141" w:type="dxa"/>
            <w:tcBorders>
              <w:top w:val="single" w:color="000000" w:sz="4" w:space="0"/>
              <w:left w:val="single" w:color="000000" w:sz="4" w:space="0"/>
              <w:right w:val="single" w:color="000000" w:sz="4" w:space="0"/>
            </w:tcBorders>
            <w:vAlign w:val="center"/>
          </w:tcPr>
          <w:p w14:paraId="23E1F7FB">
            <w:pPr>
              <w:shd w:val="clear"/>
              <w:spacing w:line="400" w:lineRule="atLeast"/>
              <w:jc w:val="center"/>
              <w:rPr>
                <w:color w:val="auto"/>
                <w:highlight w:val="none"/>
              </w:rPr>
            </w:pPr>
          </w:p>
        </w:tc>
      </w:tr>
      <w:tr w14:paraId="1967374F">
        <w:tblPrEx>
          <w:tblCellMar>
            <w:top w:w="0" w:type="dxa"/>
            <w:left w:w="108" w:type="dxa"/>
            <w:bottom w:w="0" w:type="dxa"/>
            <w:right w:w="108" w:type="dxa"/>
          </w:tblCellMar>
        </w:tblPrEx>
        <w:trPr>
          <w:trHeight w:val="794" w:hRule="atLeast"/>
          <w:jc w:val="center"/>
        </w:trPr>
        <w:tc>
          <w:tcPr>
            <w:tcW w:w="733" w:type="dxa"/>
            <w:tcBorders>
              <w:top w:val="single" w:color="000000" w:sz="4" w:space="0"/>
              <w:left w:val="single" w:color="000000" w:sz="4" w:space="0"/>
              <w:right w:val="single" w:color="000000" w:sz="4" w:space="0"/>
            </w:tcBorders>
            <w:vAlign w:val="center"/>
          </w:tcPr>
          <w:p w14:paraId="6A34CDBC">
            <w:pPr>
              <w:shd w:val="clear"/>
              <w:spacing w:line="400" w:lineRule="atLeast"/>
              <w:jc w:val="center"/>
              <w:rPr>
                <w:color w:val="auto"/>
                <w:highlight w:val="none"/>
              </w:rPr>
            </w:pPr>
            <w:r>
              <w:rPr>
                <w:rFonts w:hint="eastAsia"/>
                <w:color w:val="auto"/>
                <w:highlight w:val="none"/>
              </w:rPr>
              <w:t>4</w:t>
            </w:r>
          </w:p>
        </w:tc>
        <w:tc>
          <w:tcPr>
            <w:tcW w:w="1295" w:type="dxa"/>
            <w:tcBorders>
              <w:top w:val="single" w:color="000000" w:sz="4" w:space="0"/>
              <w:left w:val="single" w:color="000000" w:sz="4" w:space="0"/>
              <w:right w:val="single" w:color="000000" w:sz="4" w:space="0"/>
            </w:tcBorders>
            <w:vAlign w:val="center"/>
          </w:tcPr>
          <w:p w14:paraId="0E04D3B6">
            <w:pPr>
              <w:shd w:val="clear"/>
              <w:spacing w:line="400" w:lineRule="atLeast"/>
              <w:jc w:val="center"/>
              <w:rPr>
                <w:color w:val="auto"/>
                <w:highlight w:val="none"/>
              </w:rPr>
            </w:pPr>
          </w:p>
        </w:tc>
        <w:tc>
          <w:tcPr>
            <w:tcW w:w="1375" w:type="dxa"/>
            <w:tcBorders>
              <w:top w:val="single" w:color="000000" w:sz="4" w:space="0"/>
              <w:left w:val="single" w:color="000000" w:sz="4" w:space="0"/>
              <w:right w:val="single" w:color="000000" w:sz="4" w:space="0"/>
            </w:tcBorders>
            <w:vAlign w:val="center"/>
          </w:tcPr>
          <w:p w14:paraId="494BA266">
            <w:pPr>
              <w:shd w:val="clear"/>
              <w:spacing w:line="400" w:lineRule="atLeast"/>
              <w:jc w:val="center"/>
              <w:rPr>
                <w:color w:val="auto"/>
                <w:highlight w:val="none"/>
              </w:rPr>
            </w:pPr>
          </w:p>
        </w:tc>
        <w:tc>
          <w:tcPr>
            <w:tcW w:w="937" w:type="dxa"/>
            <w:tcBorders>
              <w:top w:val="single" w:color="000000" w:sz="4" w:space="0"/>
              <w:left w:val="single" w:color="000000" w:sz="4" w:space="0"/>
              <w:right w:val="single" w:color="000000" w:sz="4" w:space="0"/>
            </w:tcBorders>
            <w:vAlign w:val="center"/>
          </w:tcPr>
          <w:p w14:paraId="36A3ABC6">
            <w:pPr>
              <w:shd w:val="clear"/>
              <w:spacing w:line="400" w:lineRule="atLeast"/>
              <w:jc w:val="center"/>
              <w:rPr>
                <w:color w:val="auto"/>
                <w:highlight w:val="none"/>
              </w:rPr>
            </w:pPr>
          </w:p>
        </w:tc>
        <w:tc>
          <w:tcPr>
            <w:tcW w:w="1588" w:type="dxa"/>
            <w:tcBorders>
              <w:top w:val="single" w:color="000000" w:sz="4" w:space="0"/>
              <w:left w:val="single" w:color="000000" w:sz="4" w:space="0"/>
              <w:right w:val="single" w:color="000000" w:sz="4" w:space="0"/>
            </w:tcBorders>
          </w:tcPr>
          <w:p w14:paraId="59B6859F">
            <w:pPr>
              <w:shd w:val="clear"/>
              <w:spacing w:line="400" w:lineRule="atLeast"/>
              <w:jc w:val="center"/>
              <w:rPr>
                <w:color w:val="auto"/>
                <w:highlight w:val="none"/>
              </w:rPr>
            </w:pPr>
          </w:p>
        </w:tc>
        <w:tc>
          <w:tcPr>
            <w:tcW w:w="1100" w:type="dxa"/>
            <w:tcBorders>
              <w:top w:val="single" w:color="000000" w:sz="4" w:space="0"/>
              <w:left w:val="single" w:color="000000" w:sz="4" w:space="0"/>
              <w:right w:val="single" w:color="000000" w:sz="4" w:space="0"/>
            </w:tcBorders>
          </w:tcPr>
          <w:p w14:paraId="0761BC5F">
            <w:pPr>
              <w:shd w:val="clear"/>
              <w:spacing w:line="400" w:lineRule="atLeast"/>
              <w:jc w:val="center"/>
              <w:rPr>
                <w:color w:val="auto"/>
                <w:highlight w:val="none"/>
              </w:rPr>
            </w:pPr>
          </w:p>
        </w:tc>
        <w:tc>
          <w:tcPr>
            <w:tcW w:w="1487" w:type="dxa"/>
            <w:tcBorders>
              <w:top w:val="single" w:color="000000" w:sz="4" w:space="0"/>
              <w:left w:val="single" w:color="000000" w:sz="4" w:space="0"/>
              <w:right w:val="single" w:color="000000" w:sz="4" w:space="0"/>
            </w:tcBorders>
            <w:vAlign w:val="center"/>
          </w:tcPr>
          <w:p w14:paraId="04207250">
            <w:pPr>
              <w:shd w:val="clear"/>
              <w:spacing w:line="400" w:lineRule="atLeast"/>
              <w:jc w:val="center"/>
              <w:rPr>
                <w:color w:val="auto"/>
                <w:highlight w:val="none"/>
              </w:rPr>
            </w:pPr>
          </w:p>
        </w:tc>
        <w:tc>
          <w:tcPr>
            <w:tcW w:w="2141" w:type="dxa"/>
            <w:tcBorders>
              <w:top w:val="single" w:color="000000" w:sz="4" w:space="0"/>
              <w:left w:val="single" w:color="000000" w:sz="4" w:space="0"/>
              <w:right w:val="single" w:color="000000" w:sz="4" w:space="0"/>
            </w:tcBorders>
            <w:vAlign w:val="center"/>
          </w:tcPr>
          <w:p w14:paraId="75B1119D">
            <w:pPr>
              <w:shd w:val="clear"/>
              <w:spacing w:line="400" w:lineRule="atLeast"/>
              <w:jc w:val="center"/>
              <w:rPr>
                <w:color w:val="auto"/>
                <w:highlight w:val="none"/>
              </w:rPr>
            </w:pPr>
          </w:p>
        </w:tc>
      </w:tr>
      <w:tr w14:paraId="4CFDF542">
        <w:tblPrEx>
          <w:tblCellMar>
            <w:top w:w="0" w:type="dxa"/>
            <w:left w:w="108" w:type="dxa"/>
            <w:bottom w:w="0" w:type="dxa"/>
            <w:right w:w="108" w:type="dxa"/>
          </w:tblCellMar>
        </w:tblPrEx>
        <w:trPr>
          <w:trHeight w:val="794" w:hRule="atLeast"/>
          <w:jc w:val="center"/>
        </w:trPr>
        <w:tc>
          <w:tcPr>
            <w:tcW w:w="733" w:type="dxa"/>
            <w:tcBorders>
              <w:top w:val="single" w:color="000000" w:sz="4" w:space="0"/>
              <w:left w:val="single" w:color="000000" w:sz="4" w:space="0"/>
              <w:right w:val="single" w:color="000000" w:sz="4" w:space="0"/>
            </w:tcBorders>
            <w:vAlign w:val="center"/>
          </w:tcPr>
          <w:p w14:paraId="6BA9F9E4">
            <w:pPr>
              <w:shd w:val="clear"/>
              <w:spacing w:line="400" w:lineRule="atLeast"/>
              <w:jc w:val="center"/>
              <w:rPr>
                <w:color w:val="auto"/>
                <w:highlight w:val="none"/>
                <w:lang w:eastAsia="zh-Hans"/>
              </w:rPr>
            </w:pPr>
            <w:r>
              <w:rPr>
                <w:rFonts w:hint="eastAsia"/>
                <w:color w:val="auto"/>
                <w:highlight w:val="none"/>
              </w:rPr>
              <w:t>...</w:t>
            </w:r>
          </w:p>
        </w:tc>
        <w:tc>
          <w:tcPr>
            <w:tcW w:w="1295" w:type="dxa"/>
            <w:tcBorders>
              <w:top w:val="single" w:color="000000" w:sz="4" w:space="0"/>
              <w:left w:val="single" w:color="000000" w:sz="4" w:space="0"/>
              <w:right w:val="single" w:color="000000" w:sz="4" w:space="0"/>
            </w:tcBorders>
            <w:vAlign w:val="center"/>
          </w:tcPr>
          <w:p w14:paraId="753C1C55">
            <w:pPr>
              <w:shd w:val="clear"/>
              <w:spacing w:line="400" w:lineRule="atLeast"/>
              <w:jc w:val="center"/>
              <w:rPr>
                <w:color w:val="auto"/>
                <w:highlight w:val="none"/>
              </w:rPr>
            </w:pPr>
            <w:r>
              <w:rPr>
                <w:rFonts w:hint="eastAsia"/>
                <w:color w:val="auto"/>
                <w:highlight w:val="none"/>
              </w:rPr>
              <w:t>...</w:t>
            </w:r>
          </w:p>
        </w:tc>
        <w:tc>
          <w:tcPr>
            <w:tcW w:w="1375" w:type="dxa"/>
            <w:tcBorders>
              <w:top w:val="single" w:color="000000" w:sz="4" w:space="0"/>
              <w:left w:val="single" w:color="000000" w:sz="4" w:space="0"/>
              <w:right w:val="single" w:color="000000" w:sz="4" w:space="0"/>
            </w:tcBorders>
            <w:vAlign w:val="center"/>
          </w:tcPr>
          <w:p w14:paraId="37AAA3C1">
            <w:pPr>
              <w:shd w:val="clear"/>
              <w:spacing w:line="400" w:lineRule="atLeast"/>
              <w:jc w:val="center"/>
              <w:rPr>
                <w:color w:val="auto"/>
                <w:highlight w:val="none"/>
              </w:rPr>
            </w:pPr>
          </w:p>
        </w:tc>
        <w:tc>
          <w:tcPr>
            <w:tcW w:w="937" w:type="dxa"/>
            <w:tcBorders>
              <w:top w:val="single" w:color="000000" w:sz="4" w:space="0"/>
              <w:left w:val="single" w:color="000000" w:sz="4" w:space="0"/>
              <w:right w:val="single" w:color="000000" w:sz="4" w:space="0"/>
            </w:tcBorders>
            <w:vAlign w:val="center"/>
          </w:tcPr>
          <w:p w14:paraId="0F43ADEC">
            <w:pPr>
              <w:shd w:val="clear"/>
              <w:spacing w:line="400" w:lineRule="atLeast"/>
              <w:jc w:val="center"/>
              <w:rPr>
                <w:color w:val="auto"/>
                <w:highlight w:val="none"/>
              </w:rPr>
            </w:pPr>
          </w:p>
        </w:tc>
        <w:tc>
          <w:tcPr>
            <w:tcW w:w="1588" w:type="dxa"/>
            <w:tcBorders>
              <w:top w:val="single" w:color="000000" w:sz="4" w:space="0"/>
              <w:left w:val="single" w:color="000000" w:sz="4" w:space="0"/>
              <w:right w:val="single" w:color="000000" w:sz="4" w:space="0"/>
            </w:tcBorders>
          </w:tcPr>
          <w:p w14:paraId="1AD40114">
            <w:pPr>
              <w:shd w:val="clear"/>
              <w:spacing w:line="400" w:lineRule="atLeast"/>
              <w:jc w:val="center"/>
              <w:rPr>
                <w:color w:val="auto"/>
                <w:highlight w:val="none"/>
              </w:rPr>
            </w:pPr>
          </w:p>
        </w:tc>
        <w:tc>
          <w:tcPr>
            <w:tcW w:w="1100" w:type="dxa"/>
            <w:tcBorders>
              <w:top w:val="single" w:color="000000" w:sz="4" w:space="0"/>
              <w:left w:val="single" w:color="000000" w:sz="4" w:space="0"/>
              <w:right w:val="single" w:color="000000" w:sz="4" w:space="0"/>
            </w:tcBorders>
          </w:tcPr>
          <w:p w14:paraId="5AAE7AE5">
            <w:pPr>
              <w:shd w:val="clear"/>
              <w:spacing w:line="400" w:lineRule="atLeast"/>
              <w:jc w:val="center"/>
              <w:rPr>
                <w:color w:val="auto"/>
                <w:highlight w:val="none"/>
              </w:rPr>
            </w:pPr>
          </w:p>
        </w:tc>
        <w:tc>
          <w:tcPr>
            <w:tcW w:w="1487" w:type="dxa"/>
            <w:tcBorders>
              <w:top w:val="single" w:color="000000" w:sz="4" w:space="0"/>
              <w:left w:val="single" w:color="000000" w:sz="4" w:space="0"/>
              <w:right w:val="single" w:color="000000" w:sz="4" w:space="0"/>
            </w:tcBorders>
            <w:vAlign w:val="center"/>
          </w:tcPr>
          <w:p w14:paraId="74FC23BA">
            <w:pPr>
              <w:shd w:val="clear"/>
              <w:spacing w:line="400" w:lineRule="atLeast"/>
              <w:jc w:val="center"/>
              <w:rPr>
                <w:color w:val="auto"/>
                <w:highlight w:val="none"/>
              </w:rPr>
            </w:pPr>
          </w:p>
        </w:tc>
        <w:tc>
          <w:tcPr>
            <w:tcW w:w="2141" w:type="dxa"/>
            <w:tcBorders>
              <w:top w:val="single" w:color="000000" w:sz="4" w:space="0"/>
              <w:left w:val="single" w:color="000000" w:sz="4" w:space="0"/>
              <w:right w:val="single" w:color="000000" w:sz="4" w:space="0"/>
            </w:tcBorders>
            <w:vAlign w:val="center"/>
          </w:tcPr>
          <w:p w14:paraId="1FC355CC">
            <w:pPr>
              <w:shd w:val="clear"/>
              <w:spacing w:line="400" w:lineRule="atLeast"/>
              <w:jc w:val="center"/>
              <w:rPr>
                <w:color w:val="auto"/>
                <w:highlight w:val="none"/>
              </w:rPr>
            </w:pPr>
          </w:p>
        </w:tc>
      </w:tr>
      <w:tr w14:paraId="711B0221">
        <w:tblPrEx>
          <w:tblCellMar>
            <w:top w:w="0" w:type="dxa"/>
            <w:left w:w="108" w:type="dxa"/>
            <w:bottom w:w="0" w:type="dxa"/>
            <w:right w:w="108" w:type="dxa"/>
          </w:tblCellMar>
        </w:tblPrEx>
        <w:trPr>
          <w:jc w:val="center"/>
        </w:trPr>
        <w:tc>
          <w:tcPr>
            <w:tcW w:w="7028" w:type="dxa"/>
            <w:gridSpan w:val="6"/>
            <w:tcBorders>
              <w:top w:val="single" w:color="000000" w:sz="4" w:space="0"/>
              <w:left w:val="single" w:color="000000" w:sz="4" w:space="0"/>
              <w:bottom w:val="single" w:color="000000" w:sz="4" w:space="0"/>
              <w:right w:val="single" w:color="000000" w:sz="4" w:space="0"/>
            </w:tcBorders>
          </w:tcPr>
          <w:p w14:paraId="226DC787">
            <w:pPr>
              <w:shd w:val="clear"/>
              <w:spacing w:line="400" w:lineRule="atLeast"/>
              <w:jc w:val="center"/>
              <w:rPr>
                <w:color w:val="auto"/>
                <w:highlight w:val="none"/>
              </w:rPr>
            </w:pPr>
            <w:r>
              <w:rPr>
                <w:rFonts w:hint="eastAsia"/>
                <w:color w:val="auto"/>
                <w:highlight w:val="none"/>
              </w:rPr>
              <w:t>总计：</w:t>
            </w:r>
          </w:p>
        </w:tc>
        <w:tc>
          <w:tcPr>
            <w:tcW w:w="3628" w:type="dxa"/>
            <w:gridSpan w:val="2"/>
            <w:tcBorders>
              <w:top w:val="single" w:color="000000" w:sz="4" w:space="0"/>
              <w:left w:val="single" w:color="000000" w:sz="4" w:space="0"/>
              <w:bottom w:val="single" w:color="000000" w:sz="4" w:space="0"/>
              <w:right w:val="single" w:color="000000" w:sz="4" w:space="0"/>
            </w:tcBorders>
            <w:vAlign w:val="center"/>
          </w:tcPr>
          <w:p w14:paraId="2503E338">
            <w:pPr>
              <w:shd w:val="clear"/>
              <w:spacing w:line="400" w:lineRule="atLeast"/>
              <w:jc w:val="center"/>
              <w:rPr>
                <w:color w:val="auto"/>
                <w:highlight w:val="none"/>
              </w:rPr>
            </w:pPr>
          </w:p>
        </w:tc>
      </w:tr>
    </w:tbl>
    <w:p w14:paraId="558B6A60">
      <w:pPr>
        <w:shd w:val="clear"/>
        <w:spacing w:line="400" w:lineRule="atLeast"/>
        <w:rPr>
          <w:color w:val="auto"/>
          <w:sz w:val="24"/>
          <w:highlight w:val="none"/>
        </w:rPr>
      </w:pPr>
    </w:p>
    <w:p w14:paraId="1E2529E0">
      <w:pPr>
        <w:shd w:val="clear"/>
        <w:spacing w:line="400" w:lineRule="atLeast"/>
        <w:rPr>
          <w:color w:val="auto"/>
          <w:sz w:val="22"/>
          <w:szCs w:val="22"/>
          <w:highlight w:val="none"/>
        </w:rPr>
      </w:pPr>
      <w:r>
        <w:rPr>
          <w:rFonts w:hint="eastAsia"/>
          <w:color w:val="auto"/>
          <w:sz w:val="22"/>
          <w:szCs w:val="22"/>
          <w:highlight w:val="none"/>
        </w:rPr>
        <w:t>注：1、如果按单价计算的结果与总价不一致，以单价为准修正总价。</w:t>
      </w:r>
    </w:p>
    <w:p w14:paraId="141B4B3C">
      <w:pPr>
        <w:shd w:val="clear"/>
        <w:spacing w:line="500" w:lineRule="exact"/>
        <w:rPr>
          <w:rFonts w:ascii="宋体" w:hAnsi="宋体"/>
          <w:color w:val="auto"/>
          <w:sz w:val="20"/>
          <w:szCs w:val="22"/>
          <w:highlight w:val="none"/>
        </w:rPr>
      </w:pPr>
      <w:r>
        <w:rPr>
          <w:rFonts w:hint="eastAsia"/>
          <w:color w:val="auto"/>
          <w:sz w:val="22"/>
          <w:szCs w:val="22"/>
          <w:highlight w:val="none"/>
        </w:rPr>
        <w:t xml:space="preserve">    2、</w:t>
      </w:r>
      <w:r>
        <w:rPr>
          <w:rFonts w:hint="eastAsia"/>
          <w:b/>
          <w:color w:val="auto"/>
          <w:sz w:val="22"/>
          <w:szCs w:val="22"/>
          <w:highlight w:val="none"/>
        </w:rPr>
        <w:t>如果不提供详细分项报价将视为没有实质性响应招标文件</w:t>
      </w:r>
      <w:r>
        <w:rPr>
          <w:rFonts w:hint="eastAsia"/>
          <w:color w:val="auto"/>
          <w:sz w:val="22"/>
          <w:szCs w:val="22"/>
          <w:highlight w:val="none"/>
        </w:rPr>
        <w:t>。</w:t>
      </w:r>
    </w:p>
    <w:p w14:paraId="3CA027A6">
      <w:pPr>
        <w:shd w:val="clear"/>
        <w:spacing w:before="60" w:after="60" w:line="480" w:lineRule="auto"/>
        <w:rPr>
          <w:rFonts w:ascii="宋体" w:hAnsi="宋体"/>
          <w:color w:val="auto"/>
          <w:szCs w:val="21"/>
          <w:highlight w:val="none"/>
        </w:rPr>
      </w:pPr>
    </w:p>
    <w:p w14:paraId="50408F95">
      <w:pPr>
        <w:shd w:val="clear"/>
        <w:spacing w:before="60" w:after="60" w:line="480" w:lineRule="auto"/>
        <w:rPr>
          <w:rFonts w:ascii="宋体" w:hAnsi="宋体"/>
          <w:color w:val="auto"/>
          <w:szCs w:val="21"/>
          <w:highlight w:val="none"/>
        </w:rPr>
      </w:pPr>
    </w:p>
    <w:p w14:paraId="6D75667D">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234FE48F">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49B0F206">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rPr>
        <w:t>______</w:t>
      </w:r>
      <w:r>
        <w:rPr>
          <w:rFonts w:hint="eastAsia" w:ascii="宋体" w:hAnsi="宋体"/>
          <w:color w:val="auto"/>
          <w:szCs w:val="21"/>
          <w:highlight w:val="none"/>
        </w:rPr>
        <w:t>年</w:t>
      </w:r>
      <w:r>
        <w:rPr>
          <w:rFonts w:ascii="宋体" w:hAnsi="宋体"/>
          <w:color w:val="auto"/>
          <w:szCs w:val="21"/>
          <w:highlight w:val="none"/>
        </w:rPr>
        <w:t>_____</w:t>
      </w:r>
      <w:r>
        <w:rPr>
          <w:rFonts w:hint="eastAsia" w:ascii="宋体" w:hAnsi="宋体"/>
          <w:color w:val="auto"/>
          <w:szCs w:val="21"/>
          <w:highlight w:val="none"/>
        </w:rPr>
        <w:t>月</w:t>
      </w:r>
      <w:r>
        <w:rPr>
          <w:rFonts w:ascii="宋体" w:hAnsi="宋体"/>
          <w:color w:val="auto"/>
          <w:szCs w:val="21"/>
          <w:highlight w:val="none"/>
        </w:rPr>
        <w:t>_____</w:t>
      </w:r>
      <w:r>
        <w:rPr>
          <w:rFonts w:hint="eastAsia" w:ascii="宋体" w:hAnsi="宋体"/>
          <w:color w:val="auto"/>
          <w:szCs w:val="21"/>
          <w:highlight w:val="none"/>
        </w:rPr>
        <w:t>日</w:t>
      </w:r>
    </w:p>
    <w:p w14:paraId="72828F6A">
      <w:pPr>
        <w:shd w:val="clear"/>
        <w:rPr>
          <w:color w:val="auto"/>
          <w:highlight w:val="none"/>
        </w:rPr>
      </w:pPr>
      <w:r>
        <w:rPr>
          <w:rFonts w:hint="eastAsia"/>
          <w:color w:val="auto"/>
          <w:highlight w:val="none"/>
        </w:rPr>
        <w:br w:type="page"/>
      </w:r>
    </w:p>
    <w:p w14:paraId="15F35104">
      <w:pPr>
        <w:pStyle w:val="33"/>
        <w:shd w:val="clear"/>
        <w:spacing w:before="240"/>
        <w:jc w:val="center"/>
        <w:rPr>
          <w:color w:val="auto"/>
          <w:highlight w:val="none"/>
        </w:rPr>
      </w:pPr>
      <w:bookmarkStart w:id="288" w:name="_Toc18986"/>
      <w:r>
        <w:rPr>
          <w:rFonts w:hint="eastAsia"/>
          <w:color w:val="auto"/>
          <w:highlight w:val="none"/>
        </w:rPr>
        <w:t>二、</w:t>
      </w:r>
      <w:bookmarkEnd w:id="283"/>
      <w:bookmarkEnd w:id="284"/>
      <w:bookmarkEnd w:id="285"/>
      <w:r>
        <w:rPr>
          <w:rFonts w:hint="eastAsia" w:ascii="宋体" w:hAnsi="宋体"/>
          <w:color w:val="auto"/>
          <w:highlight w:val="none"/>
        </w:rPr>
        <w:t>商务条款偏离表</w:t>
      </w:r>
      <w:bookmarkEnd w:id="288"/>
    </w:p>
    <w:tbl>
      <w:tblPr>
        <w:tblStyle w:val="26"/>
        <w:tblW w:w="9356"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73"/>
        <w:gridCol w:w="1340"/>
        <w:gridCol w:w="3255"/>
        <w:gridCol w:w="2245"/>
        <w:gridCol w:w="1843"/>
      </w:tblGrid>
      <w:tr w14:paraId="475B5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shd w:val="clear" w:color="auto" w:fill="F2F2F2"/>
            <w:vAlign w:val="center"/>
          </w:tcPr>
          <w:p w14:paraId="30038EE0">
            <w:pPr>
              <w:shd w:val="clear"/>
              <w:spacing w:line="400" w:lineRule="atLeast"/>
              <w:jc w:val="center"/>
              <w:rPr>
                <w:rFonts w:ascii="宋体" w:hAnsi="宋体"/>
                <w:b/>
                <w:bCs/>
                <w:color w:val="auto"/>
                <w:szCs w:val="21"/>
                <w:highlight w:val="none"/>
              </w:rPr>
            </w:pPr>
            <w:r>
              <w:rPr>
                <w:rFonts w:hint="eastAsia" w:ascii="宋体" w:hAnsi="宋体"/>
                <w:b/>
                <w:bCs/>
                <w:color w:val="auto"/>
                <w:szCs w:val="21"/>
                <w:highlight w:val="none"/>
              </w:rPr>
              <w:t>序号</w:t>
            </w:r>
          </w:p>
        </w:tc>
        <w:tc>
          <w:tcPr>
            <w:tcW w:w="1340" w:type="dxa"/>
            <w:shd w:val="clear" w:color="auto" w:fill="F2F2F2"/>
            <w:vAlign w:val="center"/>
          </w:tcPr>
          <w:p w14:paraId="2F1423D0">
            <w:pPr>
              <w:shd w:val="clear"/>
              <w:spacing w:line="400" w:lineRule="atLeast"/>
              <w:jc w:val="center"/>
              <w:rPr>
                <w:rFonts w:ascii="宋体" w:hAnsi="宋体"/>
                <w:b/>
                <w:bCs/>
                <w:color w:val="auto"/>
                <w:szCs w:val="21"/>
                <w:highlight w:val="none"/>
              </w:rPr>
            </w:pPr>
            <w:r>
              <w:rPr>
                <w:rFonts w:hint="eastAsia" w:ascii="宋体" w:hAnsi="宋体"/>
                <w:b/>
                <w:bCs/>
                <w:color w:val="auto"/>
                <w:szCs w:val="21"/>
                <w:highlight w:val="none"/>
              </w:rPr>
              <w:t>商务条款</w:t>
            </w:r>
          </w:p>
        </w:tc>
        <w:tc>
          <w:tcPr>
            <w:tcW w:w="3255" w:type="dxa"/>
            <w:shd w:val="clear" w:color="auto" w:fill="F2F2F2"/>
            <w:vAlign w:val="center"/>
          </w:tcPr>
          <w:p w14:paraId="2E03CDFA">
            <w:pPr>
              <w:shd w:val="clear"/>
              <w:spacing w:line="400" w:lineRule="atLeast"/>
              <w:jc w:val="center"/>
              <w:rPr>
                <w:rFonts w:ascii="宋体" w:hAnsi="宋体"/>
                <w:b/>
                <w:bCs/>
                <w:color w:val="auto"/>
                <w:szCs w:val="21"/>
                <w:highlight w:val="none"/>
              </w:rPr>
            </w:pPr>
            <w:r>
              <w:rPr>
                <w:rFonts w:hint="eastAsia" w:ascii="宋体" w:hAnsi="宋体"/>
                <w:b/>
                <w:bCs/>
                <w:color w:val="auto"/>
                <w:szCs w:val="21"/>
                <w:highlight w:val="none"/>
              </w:rPr>
              <w:t>招标文件的条款要求</w:t>
            </w:r>
          </w:p>
        </w:tc>
        <w:tc>
          <w:tcPr>
            <w:tcW w:w="2245" w:type="dxa"/>
            <w:shd w:val="clear" w:color="auto" w:fill="F2F2F2"/>
            <w:vAlign w:val="center"/>
          </w:tcPr>
          <w:p w14:paraId="341E8862">
            <w:pPr>
              <w:shd w:val="clear"/>
              <w:spacing w:line="400" w:lineRule="atLeast"/>
              <w:jc w:val="center"/>
              <w:rPr>
                <w:rFonts w:ascii="宋体" w:hAnsi="宋体"/>
                <w:b/>
                <w:bCs/>
                <w:color w:val="auto"/>
                <w:szCs w:val="21"/>
                <w:highlight w:val="none"/>
              </w:rPr>
            </w:pPr>
            <w:r>
              <w:rPr>
                <w:rFonts w:hint="eastAsia" w:ascii="宋体" w:hAnsi="宋体"/>
                <w:b/>
                <w:bCs/>
                <w:color w:val="auto"/>
                <w:szCs w:val="21"/>
                <w:highlight w:val="none"/>
              </w:rPr>
              <w:t>投标文件商务条款投标情况</w:t>
            </w:r>
          </w:p>
        </w:tc>
        <w:tc>
          <w:tcPr>
            <w:tcW w:w="1843" w:type="dxa"/>
            <w:shd w:val="clear" w:color="auto" w:fill="F2F2F2"/>
            <w:vAlign w:val="center"/>
          </w:tcPr>
          <w:p w14:paraId="08A7A2A4">
            <w:pPr>
              <w:shd w:val="clear"/>
              <w:spacing w:line="400" w:lineRule="atLeast"/>
              <w:jc w:val="center"/>
              <w:rPr>
                <w:rFonts w:ascii="宋体" w:hAnsi="宋体"/>
                <w:b/>
                <w:bCs/>
                <w:color w:val="auto"/>
                <w:szCs w:val="21"/>
                <w:highlight w:val="none"/>
              </w:rPr>
            </w:pPr>
            <w:r>
              <w:rPr>
                <w:rFonts w:hint="eastAsia" w:ascii="宋体" w:hAnsi="宋体"/>
                <w:b/>
                <w:bCs/>
                <w:color w:val="auto"/>
                <w:szCs w:val="21"/>
                <w:highlight w:val="none"/>
              </w:rPr>
              <w:t>响应/正偏离</w:t>
            </w:r>
          </w:p>
          <w:p w14:paraId="0DA928F6">
            <w:pPr>
              <w:shd w:val="clear"/>
              <w:spacing w:line="400" w:lineRule="atLeast"/>
              <w:jc w:val="center"/>
              <w:rPr>
                <w:rFonts w:ascii="宋体" w:hAnsi="宋体"/>
                <w:b/>
                <w:bCs/>
                <w:color w:val="auto"/>
                <w:szCs w:val="21"/>
                <w:highlight w:val="none"/>
              </w:rPr>
            </w:pPr>
            <w:r>
              <w:rPr>
                <w:rFonts w:hint="eastAsia" w:ascii="宋体" w:hAnsi="宋体"/>
                <w:b/>
                <w:bCs/>
                <w:color w:val="auto"/>
                <w:szCs w:val="21"/>
                <w:highlight w:val="none"/>
              </w:rPr>
              <w:t>/负偏离</w:t>
            </w:r>
          </w:p>
        </w:tc>
      </w:tr>
      <w:tr w14:paraId="698DB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68C82749">
            <w:pPr>
              <w:shd w:val="clear"/>
              <w:spacing w:line="400" w:lineRule="atLeast"/>
              <w:jc w:val="center"/>
              <w:rPr>
                <w:rFonts w:ascii="宋体" w:hAnsi="宋体"/>
                <w:color w:val="auto"/>
                <w:szCs w:val="21"/>
                <w:highlight w:val="none"/>
              </w:rPr>
            </w:pPr>
            <w:r>
              <w:rPr>
                <w:rFonts w:hint="eastAsia" w:ascii="宋体" w:hAnsi="宋体"/>
                <w:color w:val="auto"/>
                <w:szCs w:val="21"/>
                <w:highlight w:val="none"/>
              </w:rPr>
              <w:t>1</w:t>
            </w:r>
          </w:p>
        </w:tc>
        <w:tc>
          <w:tcPr>
            <w:tcW w:w="1340" w:type="dxa"/>
            <w:vAlign w:val="center"/>
          </w:tcPr>
          <w:p w14:paraId="65AF0AC4">
            <w:pPr>
              <w:shd w:val="clear"/>
              <w:spacing w:line="400" w:lineRule="atLeast"/>
              <w:jc w:val="center"/>
              <w:rPr>
                <w:color w:val="auto"/>
                <w:highlight w:val="none"/>
              </w:rPr>
            </w:pPr>
            <w:r>
              <w:rPr>
                <w:rFonts w:hint="eastAsia"/>
                <w:color w:val="auto"/>
                <w:highlight w:val="none"/>
              </w:rPr>
              <w:t>合同履行期限</w:t>
            </w:r>
          </w:p>
        </w:tc>
        <w:tc>
          <w:tcPr>
            <w:tcW w:w="3255" w:type="dxa"/>
            <w:vAlign w:val="center"/>
          </w:tcPr>
          <w:p w14:paraId="018E2EC6">
            <w:pPr>
              <w:shd w:val="clear"/>
              <w:spacing w:line="400" w:lineRule="atLeast"/>
              <w:rPr>
                <w:rFonts w:ascii="宋体" w:hAnsi="宋体"/>
                <w:color w:val="auto"/>
                <w:szCs w:val="21"/>
                <w:highlight w:val="none"/>
              </w:rPr>
            </w:pPr>
            <w:r>
              <w:rPr>
                <w:rFonts w:hint="eastAsia" w:ascii="宋体" w:hAnsi="宋体"/>
                <w:color w:val="auto"/>
                <w:szCs w:val="21"/>
                <w:highlight w:val="none"/>
              </w:rPr>
              <w:t>合同签订后 30 日历天内完成供货、安装并调试完毕</w:t>
            </w:r>
          </w:p>
        </w:tc>
        <w:tc>
          <w:tcPr>
            <w:tcW w:w="2245" w:type="dxa"/>
            <w:vAlign w:val="center"/>
          </w:tcPr>
          <w:p w14:paraId="51D6FC47">
            <w:pPr>
              <w:shd w:val="clear"/>
              <w:spacing w:line="400" w:lineRule="atLeast"/>
              <w:rPr>
                <w:rFonts w:ascii="宋体" w:hAnsi="宋体"/>
                <w:color w:val="auto"/>
                <w:szCs w:val="21"/>
                <w:highlight w:val="none"/>
              </w:rPr>
            </w:pPr>
          </w:p>
        </w:tc>
        <w:tc>
          <w:tcPr>
            <w:tcW w:w="1843" w:type="dxa"/>
            <w:vAlign w:val="center"/>
          </w:tcPr>
          <w:p w14:paraId="7F7C913E">
            <w:pPr>
              <w:shd w:val="clear"/>
              <w:spacing w:line="400" w:lineRule="atLeast"/>
              <w:rPr>
                <w:rFonts w:ascii="宋体" w:hAnsi="宋体"/>
                <w:color w:val="auto"/>
                <w:szCs w:val="21"/>
                <w:highlight w:val="none"/>
              </w:rPr>
            </w:pPr>
          </w:p>
        </w:tc>
      </w:tr>
      <w:tr w14:paraId="79E5E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6C3945B3">
            <w:pPr>
              <w:shd w:val="clear"/>
              <w:spacing w:line="400" w:lineRule="atLeast"/>
              <w:jc w:val="center"/>
              <w:rPr>
                <w:rFonts w:ascii="宋体" w:hAnsi="宋体"/>
                <w:color w:val="auto"/>
                <w:szCs w:val="21"/>
                <w:highlight w:val="none"/>
              </w:rPr>
            </w:pPr>
            <w:r>
              <w:rPr>
                <w:rFonts w:hint="eastAsia" w:ascii="宋体" w:hAnsi="宋体"/>
                <w:color w:val="auto"/>
                <w:szCs w:val="21"/>
                <w:highlight w:val="none"/>
              </w:rPr>
              <w:t>2</w:t>
            </w:r>
          </w:p>
        </w:tc>
        <w:tc>
          <w:tcPr>
            <w:tcW w:w="1340" w:type="dxa"/>
            <w:vAlign w:val="center"/>
          </w:tcPr>
          <w:p w14:paraId="765E0154">
            <w:pPr>
              <w:shd w:val="clear"/>
              <w:spacing w:line="400" w:lineRule="atLeast"/>
              <w:jc w:val="center"/>
              <w:rPr>
                <w:color w:val="auto"/>
                <w:szCs w:val="21"/>
                <w:highlight w:val="none"/>
              </w:rPr>
            </w:pPr>
            <w:r>
              <w:rPr>
                <w:rFonts w:hint="eastAsia"/>
                <w:color w:val="auto"/>
                <w:szCs w:val="21"/>
                <w:highlight w:val="none"/>
              </w:rPr>
              <w:t>质量要求</w:t>
            </w:r>
          </w:p>
        </w:tc>
        <w:tc>
          <w:tcPr>
            <w:tcW w:w="3255" w:type="dxa"/>
            <w:vAlign w:val="center"/>
          </w:tcPr>
          <w:p w14:paraId="7CDF6803">
            <w:pPr>
              <w:shd w:val="clear"/>
              <w:spacing w:line="400" w:lineRule="atLeast"/>
              <w:rPr>
                <w:rFonts w:ascii="宋体" w:hAnsi="宋体"/>
                <w:color w:val="auto"/>
                <w:szCs w:val="21"/>
                <w:highlight w:val="none"/>
              </w:rPr>
            </w:pPr>
            <w:r>
              <w:rPr>
                <w:rFonts w:hint="eastAsia" w:ascii="宋体" w:hAnsi="宋体"/>
                <w:color w:val="auto"/>
                <w:szCs w:val="21"/>
                <w:highlight w:val="none"/>
              </w:rPr>
              <w:t>符合国家及行业有关生产、制造的规定、规范和标准，满足招标文件规定的技术要求和采购人使用需要，一次验收合格。产品质保期内的任何质量问题，中标人必须及时、按质、主动处理解决并承担一切费用，直至满足采购人要求。</w:t>
            </w:r>
          </w:p>
        </w:tc>
        <w:tc>
          <w:tcPr>
            <w:tcW w:w="2245" w:type="dxa"/>
            <w:vAlign w:val="center"/>
          </w:tcPr>
          <w:p w14:paraId="0982E9F9">
            <w:pPr>
              <w:shd w:val="clear"/>
              <w:spacing w:line="400" w:lineRule="atLeast"/>
              <w:rPr>
                <w:rFonts w:ascii="宋体" w:hAnsi="宋体"/>
                <w:color w:val="auto"/>
                <w:szCs w:val="21"/>
                <w:highlight w:val="none"/>
              </w:rPr>
            </w:pPr>
          </w:p>
        </w:tc>
        <w:tc>
          <w:tcPr>
            <w:tcW w:w="1843" w:type="dxa"/>
            <w:vAlign w:val="center"/>
          </w:tcPr>
          <w:p w14:paraId="7D2796E2">
            <w:pPr>
              <w:shd w:val="clear"/>
              <w:spacing w:line="400" w:lineRule="atLeast"/>
              <w:rPr>
                <w:rFonts w:ascii="宋体" w:hAnsi="宋体"/>
                <w:color w:val="auto"/>
                <w:szCs w:val="21"/>
                <w:highlight w:val="none"/>
              </w:rPr>
            </w:pPr>
          </w:p>
        </w:tc>
      </w:tr>
      <w:tr w14:paraId="6545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4AFC229F">
            <w:pPr>
              <w:shd w:val="clear"/>
              <w:spacing w:line="400" w:lineRule="atLeast"/>
              <w:jc w:val="center"/>
              <w:rPr>
                <w:rFonts w:ascii="宋体" w:hAnsi="宋体"/>
                <w:color w:val="auto"/>
                <w:szCs w:val="21"/>
                <w:highlight w:val="none"/>
              </w:rPr>
            </w:pPr>
            <w:r>
              <w:rPr>
                <w:rFonts w:hint="eastAsia" w:ascii="宋体" w:hAnsi="宋体"/>
                <w:color w:val="auto"/>
                <w:szCs w:val="21"/>
                <w:highlight w:val="none"/>
              </w:rPr>
              <w:t>3</w:t>
            </w:r>
          </w:p>
        </w:tc>
        <w:tc>
          <w:tcPr>
            <w:tcW w:w="1340" w:type="dxa"/>
            <w:vAlign w:val="center"/>
          </w:tcPr>
          <w:p w14:paraId="02794886">
            <w:pPr>
              <w:shd w:val="clear"/>
              <w:spacing w:line="40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3255" w:type="dxa"/>
            <w:vAlign w:val="center"/>
          </w:tcPr>
          <w:p w14:paraId="78D36E8C">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1．合同价款支付方式</w:t>
            </w:r>
          </w:p>
          <w:p w14:paraId="705FF6CF">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⑴-设备到货进场、安装调试、使用培训、验收合格支付50%合同款项。</w:t>
            </w:r>
          </w:p>
          <w:p w14:paraId="6589C85B">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⑵-自本合同标的验收合格之日起满12个月、乙方履行期间阶段维护保养等义务且设备运行正常的支付20%合同款项。</w:t>
            </w:r>
          </w:p>
          <w:p w14:paraId="2B57BDCF">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⑶-自本合同标的验收合格之日起满24个月、乙方履行期间阶段维护保养等义务且设备运行正常的支付20%合同款项。</w:t>
            </w:r>
          </w:p>
          <w:p w14:paraId="3AB36E97">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⑷-自本合同标的验收合格之日起满36个月、乙方履行期间阶段维护保养等义务且设备运行正常的支付10%合同款项。</w:t>
            </w:r>
          </w:p>
          <w:p w14:paraId="0F3EE2FB">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注:以上各合同款项百分比数字仅保留两位小数点精度显示，以其后实际金额为准。</w:t>
            </w:r>
          </w:p>
          <w:p w14:paraId="4B81F64B">
            <w:pPr>
              <w:shd w:val="clear"/>
              <w:spacing w:line="400" w:lineRule="atLeast"/>
              <w:rPr>
                <w:rFonts w:ascii="宋体" w:hAnsi="宋体"/>
                <w:color w:val="auto"/>
                <w:szCs w:val="21"/>
                <w:highlight w:val="none"/>
              </w:rPr>
            </w:pPr>
            <w:r>
              <w:rPr>
                <w:rFonts w:hint="eastAsia" w:ascii="宋体" w:hAnsi="宋体"/>
                <w:color w:val="auto"/>
                <w:szCs w:val="21"/>
                <w:highlight w:val="none"/>
              </w:rPr>
              <w:t>2．乙方应在申请付款时向甲方提供税务机构合规正式发票且对所开具发票的真实合法性承担其相应责任，并按照甲方验收及财务管理规定提供相应资料。</w:t>
            </w:r>
          </w:p>
        </w:tc>
        <w:tc>
          <w:tcPr>
            <w:tcW w:w="2245" w:type="dxa"/>
            <w:vAlign w:val="center"/>
          </w:tcPr>
          <w:p w14:paraId="261AC6B6">
            <w:pPr>
              <w:shd w:val="clear"/>
              <w:spacing w:line="400" w:lineRule="atLeast"/>
              <w:rPr>
                <w:rFonts w:ascii="宋体" w:hAnsi="宋体"/>
                <w:color w:val="auto"/>
                <w:szCs w:val="21"/>
                <w:highlight w:val="none"/>
              </w:rPr>
            </w:pPr>
          </w:p>
        </w:tc>
        <w:tc>
          <w:tcPr>
            <w:tcW w:w="1843" w:type="dxa"/>
            <w:vAlign w:val="center"/>
          </w:tcPr>
          <w:p w14:paraId="40E5015A">
            <w:pPr>
              <w:shd w:val="clear"/>
              <w:spacing w:line="400" w:lineRule="atLeast"/>
              <w:rPr>
                <w:rFonts w:ascii="宋体" w:hAnsi="宋体"/>
                <w:color w:val="auto"/>
                <w:szCs w:val="21"/>
                <w:highlight w:val="none"/>
              </w:rPr>
            </w:pPr>
          </w:p>
        </w:tc>
      </w:tr>
      <w:tr w14:paraId="2B7FB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58B0E734">
            <w:pPr>
              <w:shd w:val="clear"/>
              <w:spacing w:line="400" w:lineRule="atLeast"/>
              <w:jc w:val="center"/>
              <w:rPr>
                <w:rFonts w:ascii="宋体" w:hAnsi="宋体"/>
                <w:color w:val="auto"/>
                <w:szCs w:val="21"/>
                <w:highlight w:val="none"/>
              </w:rPr>
            </w:pPr>
            <w:r>
              <w:rPr>
                <w:rFonts w:hint="eastAsia" w:ascii="宋体" w:hAnsi="宋体"/>
                <w:color w:val="auto"/>
                <w:szCs w:val="21"/>
                <w:highlight w:val="none"/>
              </w:rPr>
              <w:t>4</w:t>
            </w:r>
          </w:p>
        </w:tc>
        <w:tc>
          <w:tcPr>
            <w:tcW w:w="1340" w:type="dxa"/>
            <w:vAlign w:val="center"/>
          </w:tcPr>
          <w:p w14:paraId="79EBD0C2">
            <w:pPr>
              <w:shd w:val="clear"/>
              <w:spacing w:line="400" w:lineRule="atLeast"/>
              <w:jc w:val="center"/>
              <w:rPr>
                <w:rFonts w:ascii="宋体" w:hAnsi="宋体"/>
                <w:color w:val="auto"/>
                <w:szCs w:val="21"/>
                <w:highlight w:val="none"/>
              </w:rPr>
            </w:pPr>
            <w:r>
              <w:rPr>
                <w:rFonts w:hint="eastAsia" w:ascii="宋体" w:hAnsi="宋体"/>
                <w:color w:val="auto"/>
                <w:szCs w:val="21"/>
                <w:highlight w:val="none"/>
                <w:lang w:val="en-US" w:eastAsia="zh-CN"/>
              </w:rPr>
              <w:t>交货</w:t>
            </w:r>
            <w:r>
              <w:rPr>
                <w:rFonts w:hint="eastAsia" w:ascii="宋体" w:hAnsi="宋体"/>
                <w:color w:val="auto"/>
                <w:szCs w:val="21"/>
                <w:highlight w:val="none"/>
              </w:rPr>
              <w:t>地点</w:t>
            </w:r>
          </w:p>
        </w:tc>
        <w:tc>
          <w:tcPr>
            <w:tcW w:w="3255" w:type="dxa"/>
            <w:vAlign w:val="center"/>
          </w:tcPr>
          <w:p w14:paraId="5516F67B">
            <w:pPr>
              <w:shd w:val="clear"/>
              <w:spacing w:line="400" w:lineRule="atLeast"/>
              <w:rPr>
                <w:rFonts w:ascii="宋体" w:hAnsi="宋体"/>
                <w:color w:val="auto"/>
                <w:szCs w:val="21"/>
                <w:highlight w:val="none"/>
              </w:rPr>
            </w:pPr>
            <w:r>
              <w:rPr>
                <w:rFonts w:hint="eastAsia" w:ascii="宋体" w:hAnsi="宋体"/>
                <w:color w:val="auto"/>
                <w:szCs w:val="21"/>
                <w:highlight w:val="none"/>
              </w:rPr>
              <w:t>昆明市妇幼保健院指定地点</w:t>
            </w:r>
          </w:p>
        </w:tc>
        <w:tc>
          <w:tcPr>
            <w:tcW w:w="2245" w:type="dxa"/>
            <w:vAlign w:val="center"/>
          </w:tcPr>
          <w:p w14:paraId="142AA35F">
            <w:pPr>
              <w:shd w:val="clear"/>
              <w:spacing w:line="400" w:lineRule="atLeast"/>
              <w:rPr>
                <w:rFonts w:ascii="宋体" w:hAnsi="宋体"/>
                <w:color w:val="auto"/>
                <w:szCs w:val="21"/>
                <w:highlight w:val="none"/>
              </w:rPr>
            </w:pPr>
          </w:p>
        </w:tc>
        <w:tc>
          <w:tcPr>
            <w:tcW w:w="1843" w:type="dxa"/>
            <w:vAlign w:val="center"/>
          </w:tcPr>
          <w:p w14:paraId="303D93E6">
            <w:pPr>
              <w:shd w:val="clear"/>
              <w:spacing w:line="400" w:lineRule="atLeast"/>
              <w:rPr>
                <w:rFonts w:ascii="宋体" w:hAnsi="宋体"/>
                <w:color w:val="auto"/>
                <w:szCs w:val="21"/>
                <w:highlight w:val="none"/>
              </w:rPr>
            </w:pPr>
          </w:p>
        </w:tc>
      </w:tr>
      <w:tr w14:paraId="0AA10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451BF726">
            <w:pPr>
              <w:shd w:val="clear"/>
              <w:spacing w:line="400" w:lineRule="atLeast"/>
              <w:jc w:val="center"/>
              <w:rPr>
                <w:rFonts w:ascii="宋体" w:hAnsi="宋体"/>
                <w:color w:val="auto"/>
                <w:szCs w:val="21"/>
                <w:highlight w:val="none"/>
              </w:rPr>
            </w:pPr>
            <w:r>
              <w:rPr>
                <w:rFonts w:ascii="宋体" w:hAnsi="宋体"/>
                <w:color w:val="auto"/>
                <w:szCs w:val="21"/>
                <w:highlight w:val="none"/>
              </w:rPr>
              <w:t>5</w:t>
            </w:r>
          </w:p>
        </w:tc>
        <w:tc>
          <w:tcPr>
            <w:tcW w:w="1340" w:type="dxa"/>
            <w:vAlign w:val="center"/>
          </w:tcPr>
          <w:p w14:paraId="5EB7F990">
            <w:pPr>
              <w:shd w:val="clear"/>
              <w:spacing w:line="400" w:lineRule="atLeast"/>
              <w:rPr>
                <w:rFonts w:hint="eastAsia" w:ascii="宋体" w:hAnsi="宋体" w:eastAsia="宋体"/>
                <w:color w:val="auto"/>
                <w:szCs w:val="21"/>
                <w:highlight w:val="none"/>
                <w:lang w:eastAsia="zh-CN"/>
              </w:rPr>
            </w:pPr>
            <w:r>
              <w:rPr>
                <w:rFonts w:hint="eastAsia" w:ascii="宋体" w:hAnsi="宋体"/>
                <w:color w:val="auto"/>
                <w:szCs w:val="21"/>
                <w:highlight w:val="none"/>
              </w:rPr>
              <w:t>商务要求</w:t>
            </w:r>
          </w:p>
        </w:tc>
        <w:tc>
          <w:tcPr>
            <w:tcW w:w="3255" w:type="dxa"/>
            <w:vAlign w:val="center"/>
          </w:tcPr>
          <w:p w14:paraId="27B3E85A">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所有设备的技术支持与售后</w:t>
            </w:r>
          </w:p>
          <w:p w14:paraId="17741328">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★（一）机器出现故障后，2小时内响应，24小时到达现场检修。</w:t>
            </w:r>
          </w:p>
          <w:p w14:paraId="3B188691">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★（二）定期巡访为设备作保养。</w:t>
            </w:r>
          </w:p>
          <w:p w14:paraId="3392EEB2">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（三）设备安装完成后，由厂家人员负责使用和维护培训，培训内容包括设备的专业操作和维护、清洗、消毒、保养的基本知识，使用过程需注意的事项等，保证医院相关人员熟悉掌握。</w:t>
            </w:r>
          </w:p>
          <w:p w14:paraId="285BE4A1">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四）投标人如果是代理商或经销商，具有制造商针对本项目的授权书（扫描件）或有长期代理证书（扫描件），（如果授权是二级或二级以下的，必须提供每一级别的授权）（若制造商投标无需提供，视为满足该项要求）。</w:t>
            </w:r>
          </w:p>
          <w:p w14:paraId="61B5001F">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（五）交货地点：昆明市妇幼保健院，采购人指定地点。</w:t>
            </w:r>
          </w:p>
          <w:p w14:paraId="3BF4BC9D">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（六）设备质保期：所有设备质保期不少于3年，自验收合格之日起计算。</w:t>
            </w:r>
          </w:p>
          <w:p w14:paraId="78F8A9BB">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七）质量要求：符合国家及行业有关生产、制造的规定、规范和标准，满足招标文件规定的技术要求和采购人使用需要，一次验收合格。产品质保期内的任何质量问题，中标人必须及时、按质、主动处理解决并承担一切费用，直至满足采购人要求。</w:t>
            </w:r>
          </w:p>
          <w:p w14:paraId="3BCFAA3C">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（八）合同履行期限：自合同签订之日起30个日历日内完成设备的供货及安装调试，确保一次性验收合格，具体以合同签订为准。</w:t>
            </w:r>
          </w:p>
          <w:p w14:paraId="583A62E1">
            <w:pPr>
              <w:shd w:val="clear"/>
              <w:spacing w:line="400" w:lineRule="atLeast"/>
              <w:rPr>
                <w:rFonts w:hint="eastAsia" w:ascii="宋体" w:hAnsi="宋体"/>
                <w:color w:val="auto"/>
                <w:szCs w:val="21"/>
                <w:highlight w:val="none"/>
              </w:rPr>
            </w:pPr>
            <w:r>
              <w:rPr>
                <w:rFonts w:hint="eastAsia" w:ascii="宋体" w:hAnsi="宋体"/>
                <w:color w:val="auto"/>
                <w:szCs w:val="21"/>
                <w:highlight w:val="none"/>
              </w:rPr>
              <w:t>★（九）交货方式和要求：原则上所交设备为出厂日期3个月内产品。</w:t>
            </w:r>
          </w:p>
          <w:p w14:paraId="0B7F53D1">
            <w:pPr>
              <w:shd w:val="clear"/>
              <w:spacing w:line="400" w:lineRule="atLeast"/>
              <w:rPr>
                <w:rFonts w:ascii="宋体" w:hAnsi="宋体"/>
                <w:color w:val="auto"/>
                <w:szCs w:val="21"/>
                <w:highlight w:val="none"/>
              </w:rPr>
            </w:pPr>
            <w:r>
              <w:rPr>
                <w:rFonts w:hint="eastAsia" w:ascii="宋体" w:hAnsi="宋体"/>
                <w:color w:val="auto"/>
                <w:szCs w:val="21"/>
                <w:highlight w:val="none"/>
              </w:rPr>
              <w:t>★（十）负责接入医院信息系统（如HIS、LIS、PACS），如产生费用由中标单位承担。</w:t>
            </w:r>
          </w:p>
        </w:tc>
        <w:tc>
          <w:tcPr>
            <w:tcW w:w="2245" w:type="dxa"/>
            <w:vAlign w:val="center"/>
          </w:tcPr>
          <w:p w14:paraId="3C44D310">
            <w:pPr>
              <w:shd w:val="clear"/>
              <w:spacing w:line="400" w:lineRule="atLeast"/>
              <w:rPr>
                <w:rFonts w:ascii="宋体" w:hAnsi="宋体"/>
                <w:color w:val="auto"/>
                <w:szCs w:val="21"/>
                <w:highlight w:val="none"/>
              </w:rPr>
            </w:pPr>
          </w:p>
        </w:tc>
        <w:tc>
          <w:tcPr>
            <w:tcW w:w="1843" w:type="dxa"/>
            <w:vAlign w:val="center"/>
          </w:tcPr>
          <w:p w14:paraId="75669BE0">
            <w:pPr>
              <w:shd w:val="clear"/>
              <w:spacing w:line="400" w:lineRule="atLeast"/>
              <w:rPr>
                <w:rFonts w:ascii="宋体" w:hAnsi="宋体"/>
                <w:color w:val="auto"/>
                <w:szCs w:val="21"/>
                <w:highlight w:val="none"/>
              </w:rPr>
            </w:pPr>
          </w:p>
        </w:tc>
      </w:tr>
      <w:tr w14:paraId="59288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1B58AD9D">
            <w:pPr>
              <w:shd w:val="clear"/>
              <w:spacing w:line="400" w:lineRule="atLeast"/>
              <w:jc w:val="center"/>
              <w:rPr>
                <w:rFonts w:ascii="宋体" w:hAnsi="宋体"/>
                <w:color w:val="auto"/>
                <w:szCs w:val="21"/>
                <w:highlight w:val="none"/>
              </w:rPr>
            </w:pPr>
            <w:r>
              <w:rPr>
                <w:rFonts w:hint="eastAsia" w:ascii="宋体" w:hAnsi="宋体"/>
                <w:color w:val="auto"/>
                <w:szCs w:val="21"/>
                <w:highlight w:val="none"/>
              </w:rPr>
              <w:t>……</w:t>
            </w:r>
          </w:p>
        </w:tc>
        <w:tc>
          <w:tcPr>
            <w:tcW w:w="1340" w:type="dxa"/>
            <w:vAlign w:val="center"/>
          </w:tcPr>
          <w:p w14:paraId="49E10C15">
            <w:pPr>
              <w:shd w:val="clear"/>
              <w:spacing w:line="400" w:lineRule="atLeast"/>
              <w:jc w:val="center"/>
              <w:rPr>
                <w:rFonts w:ascii="宋体" w:hAnsi="宋体"/>
                <w:color w:val="auto"/>
                <w:szCs w:val="21"/>
                <w:highlight w:val="none"/>
              </w:rPr>
            </w:pPr>
            <w:r>
              <w:rPr>
                <w:rFonts w:hint="eastAsia" w:ascii="宋体" w:hAnsi="宋体"/>
                <w:color w:val="auto"/>
                <w:szCs w:val="21"/>
                <w:highlight w:val="none"/>
              </w:rPr>
              <w:t>……</w:t>
            </w:r>
          </w:p>
        </w:tc>
        <w:tc>
          <w:tcPr>
            <w:tcW w:w="3255" w:type="dxa"/>
            <w:vAlign w:val="center"/>
          </w:tcPr>
          <w:p w14:paraId="069622F0">
            <w:pPr>
              <w:shd w:val="clear"/>
              <w:spacing w:line="400" w:lineRule="atLeast"/>
              <w:rPr>
                <w:rFonts w:ascii="宋体" w:hAnsi="宋体"/>
                <w:color w:val="auto"/>
                <w:szCs w:val="21"/>
                <w:highlight w:val="none"/>
              </w:rPr>
            </w:pPr>
          </w:p>
        </w:tc>
        <w:tc>
          <w:tcPr>
            <w:tcW w:w="2245" w:type="dxa"/>
            <w:vAlign w:val="center"/>
          </w:tcPr>
          <w:p w14:paraId="1E904DC8">
            <w:pPr>
              <w:shd w:val="clear"/>
              <w:spacing w:line="400" w:lineRule="atLeast"/>
              <w:rPr>
                <w:rFonts w:ascii="宋体" w:hAnsi="宋体"/>
                <w:color w:val="auto"/>
                <w:szCs w:val="21"/>
                <w:highlight w:val="none"/>
              </w:rPr>
            </w:pPr>
          </w:p>
        </w:tc>
        <w:tc>
          <w:tcPr>
            <w:tcW w:w="1843" w:type="dxa"/>
            <w:vAlign w:val="center"/>
          </w:tcPr>
          <w:p w14:paraId="4A0C707B">
            <w:pPr>
              <w:shd w:val="clear"/>
              <w:spacing w:line="400" w:lineRule="atLeast"/>
              <w:rPr>
                <w:rFonts w:ascii="宋体" w:hAnsi="宋体"/>
                <w:color w:val="auto"/>
                <w:szCs w:val="21"/>
                <w:highlight w:val="none"/>
              </w:rPr>
            </w:pPr>
          </w:p>
        </w:tc>
      </w:tr>
    </w:tbl>
    <w:p w14:paraId="42B0DDF5">
      <w:pPr>
        <w:pStyle w:val="52"/>
        <w:shd w:val="clear"/>
        <w:ind w:firstLine="0"/>
        <w:rPr>
          <w:rFonts w:ascii="宋体" w:hAnsi="宋体"/>
          <w:color w:val="auto"/>
          <w:sz w:val="18"/>
          <w:szCs w:val="18"/>
          <w:highlight w:val="none"/>
        </w:rPr>
      </w:pPr>
      <w:r>
        <w:rPr>
          <w:rFonts w:hint="eastAsia" w:ascii="宋体" w:hAnsi="宋体"/>
          <w:color w:val="auto"/>
          <w:sz w:val="18"/>
          <w:szCs w:val="18"/>
          <w:highlight w:val="none"/>
        </w:rPr>
        <w:t>注：</w:t>
      </w:r>
      <w:r>
        <w:rPr>
          <w:rFonts w:ascii="宋体" w:hAnsi="宋体"/>
          <w:color w:val="auto"/>
          <w:sz w:val="18"/>
          <w:szCs w:val="18"/>
          <w:highlight w:val="none"/>
        </w:rPr>
        <w:t>1</w:t>
      </w:r>
      <w:r>
        <w:rPr>
          <w:rFonts w:hint="eastAsia" w:ascii="宋体" w:hAnsi="宋体"/>
          <w:color w:val="auto"/>
          <w:sz w:val="18"/>
          <w:szCs w:val="18"/>
          <w:highlight w:val="none"/>
        </w:rPr>
        <w:t>、投标人应对招标文件的商务条款做出响应，并申明与本招标文件所要求商务条款的偏差和例外，如未填写视为全部响应招标文件要求。</w:t>
      </w:r>
    </w:p>
    <w:p w14:paraId="71A4422B">
      <w:pPr>
        <w:pStyle w:val="52"/>
        <w:shd w:val="clear"/>
        <w:ind w:firstLine="284"/>
        <w:rPr>
          <w:rFonts w:ascii="宋体" w:hAnsi="宋体"/>
          <w:color w:val="auto"/>
          <w:sz w:val="18"/>
          <w:szCs w:val="18"/>
          <w:highlight w:val="none"/>
        </w:rPr>
      </w:pPr>
      <w:r>
        <w:rPr>
          <w:rFonts w:ascii="宋体" w:hAnsi="宋体"/>
          <w:color w:val="auto"/>
          <w:sz w:val="18"/>
          <w:szCs w:val="18"/>
          <w:highlight w:val="none"/>
        </w:rPr>
        <w:t>2</w:t>
      </w:r>
      <w:r>
        <w:rPr>
          <w:rFonts w:hint="eastAsia" w:ascii="宋体" w:hAnsi="宋体"/>
          <w:color w:val="auto"/>
          <w:sz w:val="18"/>
          <w:szCs w:val="18"/>
          <w:highlight w:val="none"/>
        </w:rPr>
        <w:t>、不提供商务条款偏离表将视为没有实质性响应招标文件。</w:t>
      </w:r>
    </w:p>
    <w:p w14:paraId="2CB0522A">
      <w:pPr>
        <w:shd w:val="clear"/>
        <w:spacing w:line="400" w:lineRule="atLeast"/>
        <w:ind w:firstLine="315" w:firstLineChars="150"/>
        <w:rPr>
          <w:rFonts w:ascii="宋体" w:hAnsi="宋体"/>
          <w:color w:val="auto"/>
          <w:highlight w:val="none"/>
        </w:rPr>
      </w:pPr>
    </w:p>
    <w:p w14:paraId="3A69C2DC">
      <w:pPr>
        <w:shd w:val="clear"/>
        <w:spacing w:line="400" w:lineRule="atLeast"/>
        <w:ind w:firstLine="315" w:firstLineChars="150"/>
        <w:rPr>
          <w:rFonts w:ascii="宋体" w:hAnsi="宋体"/>
          <w:color w:val="auto"/>
          <w:highlight w:val="none"/>
        </w:rPr>
      </w:pPr>
    </w:p>
    <w:p w14:paraId="284C989E">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38863C6A">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464EDD1D">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rPr>
        <w:t>______</w:t>
      </w:r>
      <w:r>
        <w:rPr>
          <w:rFonts w:hint="eastAsia" w:ascii="宋体" w:hAnsi="宋体"/>
          <w:color w:val="auto"/>
          <w:szCs w:val="21"/>
          <w:highlight w:val="none"/>
        </w:rPr>
        <w:t>年</w:t>
      </w:r>
      <w:r>
        <w:rPr>
          <w:rFonts w:ascii="宋体" w:hAnsi="宋体"/>
          <w:color w:val="auto"/>
          <w:szCs w:val="21"/>
          <w:highlight w:val="none"/>
        </w:rPr>
        <w:t>_____</w:t>
      </w:r>
      <w:r>
        <w:rPr>
          <w:rFonts w:hint="eastAsia" w:ascii="宋体" w:hAnsi="宋体"/>
          <w:color w:val="auto"/>
          <w:szCs w:val="21"/>
          <w:highlight w:val="none"/>
        </w:rPr>
        <w:t>月</w:t>
      </w:r>
      <w:r>
        <w:rPr>
          <w:rFonts w:ascii="宋体" w:hAnsi="宋体"/>
          <w:color w:val="auto"/>
          <w:szCs w:val="21"/>
          <w:highlight w:val="none"/>
        </w:rPr>
        <w:t>_____</w:t>
      </w:r>
      <w:r>
        <w:rPr>
          <w:rFonts w:hint="eastAsia" w:ascii="宋体" w:hAnsi="宋体"/>
          <w:color w:val="auto"/>
          <w:szCs w:val="21"/>
          <w:highlight w:val="none"/>
        </w:rPr>
        <w:t>日</w:t>
      </w:r>
    </w:p>
    <w:p w14:paraId="5A986532">
      <w:pPr>
        <w:widowControl/>
        <w:shd w:val="clear"/>
        <w:jc w:val="left"/>
        <w:rPr>
          <w:rFonts w:ascii="宋体" w:hAnsi="宋体"/>
          <w:color w:val="auto"/>
          <w:szCs w:val="21"/>
          <w:highlight w:val="none"/>
        </w:rPr>
      </w:pPr>
      <w:r>
        <w:rPr>
          <w:rFonts w:ascii="宋体" w:hAnsi="宋体"/>
          <w:color w:val="auto"/>
          <w:szCs w:val="21"/>
          <w:highlight w:val="none"/>
        </w:rPr>
        <w:br w:type="page"/>
      </w:r>
    </w:p>
    <w:p w14:paraId="0D819DBD">
      <w:pPr>
        <w:pStyle w:val="33"/>
        <w:shd w:val="clear"/>
        <w:spacing w:before="240"/>
        <w:jc w:val="center"/>
        <w:rPr>
          <w:rFonts w:ascii="宋体" w:hAnsi="宋体"/>
          <w:color w:val="auto"/>
          <w:highlight w:val="none"/>
        </w:rPr>
      </w:pPr>
      <w:bookmarkStart w:id="289" w:name="_Toc32216"/>
      <w:r>
        <w:rPr>
          <w:rFonts w:hint="eastAsia" w:ascii="宋体" w:hAnsi="宋体"/>
          <w:color w:val="auto"/>
          <w:highlight w:val="none"/>
        </w:rPr>
        <w:t>三、投标函</w:t>
      </w:r>
      <w:bookmarkEnd w:id="289"/>
    </w:p>
    <w:p w14:paraId="16BD5A48">
      <w:pPr>
        <w:shd w:val="clear"/>
        <w:spacing w:line="400" w:lineRule="atLeast"/>
        <w:rPr>
          <w:rFonts w:ascii="宋体" w:hAnsi="宋体"/>
          <w:b/>
          <w:color w:val="auto"/>
          <w:szCs w:val="21"/>
          <w:highlight w:val="none"/>
        </w:rPr>
      </w:pPr>
      <w:r>
        <w:rPr>
          <w:rFonts w:hint="eastAsia" w:ascii="宋体" w:hAnsi="宋体"/>
          <w:b/>
          <w:color w:val="auto"/>
          <w:szCs w:val="21"/>
          <w:highlight w:val="none"/>
        </w:rPr>
        <w:t>致：（采购人）</w:t>
      </w:r>
    </w:p>
    <w:p w14:paraId="2251D942">
      <w:pPr>
        <w:shd w:val="clear"/>
        <w:spacing w:line="400" w:lineRule="atLeast"/>
        <w:rPr>
          <w:rFonts w:ascii="宋体" w:hAnsi="宋体"/>
          <w:color w:val="auto"/>
          <w:szCs w:val="21"/>
          <w:highlight w:val="none"/>
        </w:rPr>
      </w:pPr>
      <w:r>
        <w:rPr>
          <w:rFonts w:ascii="宋体" w:hAnsi="宋体"/>
          <w:color w:val="auto"/>
          <w:szCs w:val="21"/>
          <w:highlight w:val="none"/>
        </w:rPr>
        <w:t xml:space="preserve">     </w:t>
      </w:r>
    </w:p>
    <w:p w14:paraId="3EC2D6D9">
      <w:pPr>
        <w:shd w:val="clear"/>
        <w:spacing w:line="400" w:lineRule="atLeast"/>
        <w:ind w:firstLine="480"/>
        <w:rPr>
          <w:rFonts w:ascii="宋体" w:hAnsi="宋体"/>
          <w:color w:val="auto"/>
          <w:szCs w:val="21"/>
          <w:highlight w:val="none"/>
        </w:rPr>
      </w:pPr>
      <w:r>
        <w:rPr>
          <w:rFonts w:hint="eastAsia" w:ascii="宋体" w:hAnsi="宋体"/>
          <w:color w:val="auto"/>
          <w:szCs w:val="21"/>
          <w:highlight w:val="none"/>
        </w:rPr>
        <w:t>我方仔细研究了</w:t>
      </w:r>
      <w:r>
        <w:rPr>
          <w:rFonts w:hint="eastAsia" w:ascii="宋体" w:hAnsi="宋体"/>
          <w:color w:val="auto"/>
          <w:szCs w:val="21"/>
          <w:highlight w:val="none"/>
          <w:u w:val="single"/>
        </w:rPr>
        <w:t xml:space="preserve">                   </w:t>
      </w:r>
      <w:r>
        <w:rPr>
          <w:rFonts w:hint="eastAsia" w:ascii="宋体" w:hAnsi="宋体"/>
          <w:color w:val="auto"/>
          <w:szCs w:val="21"/>
          <w:highlight w:val="none"/>
        </w:rPr>
        <w:t>项目（项目编号：      ）的招标文件全部内容，我方授权</w:t>
      </w:r>
      <w:r>
        <w:rPr>
          <w:rFonts w:hint="eastAsia"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授权委托人姓名</w:t>
      </w:r>
      <w:r>
        <w:rPr>
          <w:rFonts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职务、职称</w:t>
      </w:r>
      <w:r>
        <w:rPr>
          <w:rFonts w:ascii="宋体" w:hAnsi="宋体"/>
          <w:color w:val="auto"/>
          <w:szCs w:val="21"/>
          <w:highlight w:val="none"/>
        </w:rPr>
        <w:t>)</w:t>
      </w:r>
      <w:r>
        <w:rPr>
          <w:rFonts w:hint="eastAsia" w:ascii="宋体" w:hAnsi="宋体"/>
          <w:color w:val="auto"/>
          <w:szCs w:val="21"/>
          <w:highlight w:val="none"/>
        </w:rPr>
        <w:t>为全权代表参与投标，提交投标文件，并对所需服务进行响应。</w:t>
      </w:r>
    </w:p>
    <w:p w14:paraId="476BAD4F">
      <w:pPr>
        <w:shd w:val="clear"/>
        <w:spacing w:line="400" w:lineRule="atLeast"/>
        <w:ind w:firstLine="480"/>
        <w:rPr>
          <w:rFonts w:ascii="宋体" w:hAnsi="宋体"/>
          <w:color w:val="auto"/>
          <w:szCs w:val="21"/>
          <w:highlight w:val="none"/>
        </w:rPr>
      </w:pPr>
      <w:r>
        <w:rPr>
          <w:rFonts w:hint="eastAsia" w:ascii="宋体" w:hAnsi="宋体"/>
          <w:color w:val="auto"/>
          <w:szCs w:val="21"/>
          <w:highlight w:val="none"/>
        </w:rPr>
        <w:t>据此函，签字人兹宣布同意如下：</w:t>
      </w:r>
    </w:p>
    <w:p w14:paraId="4FE76493">
      <w:pPr>
        <w:shd w:val="clear"/>
        <w:spacing w:line="400" w:lineRule="atLeast"/>
        <w:ind w:firstLine="480"/>
        <w:rPr>
          <w:rFonts w:ascii="宋体" w:hAnsi="宋体"/>
          <w:color w:val="auto"/>
          <w:szCs w:val="21"/>
          <w:highlight w:val="none"/>
        </w:rPr>
      </w:pPr>
      <w:r>
        <w:rPr>
          <w:rFonts w:hint="eastAsia" w:ascii="宋体" w:hAnsi="宋体"/>
          <w:color w:val="auto"/>
          <w:szCs w:val="21"/>
          <w:highlight w:val="none"/>
        </w:rPr>
        <w:t>1.我方为完成本项目，总报价为：</w:t>
      </w:r>
      <w:r>
        <w:rPr>
          <w:rFonts w:hint="eastAsia" w:ascii="宋体" w:hAnsi="宋体"/>
          <w:color w:val="auto"/>
          <w:szCs w:val="21"/>
          <w:highlight w:val="none"/>
          <w:u w:val="single"/>
        </w:rPr>
        <w:t xml:space="preserve">           元（大写：        ）</w:t>
      </w:r>
      <w:r>
        <w:rPr>
          <w:rFonts w:hint="eastAsia" w:ascii="宋体" w:hAnsi="宋体"/>
          <w:color w:val="auto"/>
          <w:szCs w:val="21"/>
          <w:highlight w:val="none"/>
        </w:rPr>
        <w:t>。</w:t>
      </w:r>
    </w:p>
    <w:p w14:paraId="36F71F2A">
      <w:pPr>
        <w:shd w:val="clear"/>
        <w:spacing w:line="400" w:lineRule="atLeast"/>
        <w:ind w:firstLine="480"/>
        <w:rPr>
          <w:rFonts w:ascii="宋体" w:hAnsi="宋体"/>
          <w:color w:val="auto"/>
          <w:szCs w:val="21"/>
          <w:highlight w:val="none"/>
        </w:rPr>
      </w:pPr>
      <w:r>
        <w:rPr>
          <w:rFonts w:hint="eastAsia" w:ascii="宋体" w:hAnsi="宋体"/>
          <w:color w:val="auto"/>
          <w:szCs w:val="21"/>
          <w:highlight w:val="none"/>
        </w:rPr>
        <w:t>2.我方已详细审查全部招标文件，包括修改文件以及全部参考资料和所有附件。我方对招标文件各项条款和评审办法无异议，且同意放弃对这方面有不明及误解的权利。</w:t>
      </w:r>
    </w:p>
    <w:p w14:paraId="402A2F78">
      <w:pPr>
        <w:shd w:val="clear"/>
        <w:spacing w:line="400" w:lineRule="atLeast"/>
        <w:ind w:firstLine="480"/>
        <w:rPr>
          <w:rFonts w:ascii="宋体" w:hAnsi="宋体"/>
          <w:color w:val="auto"/>
          <w:szCs w:val="21"/>
          <w:highlight w:val="none"/>
        </w:rPr>
      </w:pPr>
      <w:r>
        <w:rPr>
          <w:rFonts w:hint="eastAsia" w:ascii="宋体" w:hAnsi="宋体"/>
          <w:color w:val="auto"/>
          <w:szCs w:val="21"/>
          <w:highlight w:val="none"/>
        </w:rPr>
        <w:t>3.我方承诺已经具备招标文件中规定的参加本次采购活动的投标人应当具备的条件。</w:t>
      </w:r>
    </w:p>
    <w:p w14:paraId="284DCC6F">
      <w:pPr>
        <w:shd w:val="clear"/>
        <w:spacing w:line="400" w:lineRule="atLeast"/>
        <w:ind w:firstLine="48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.我方同意在投标人须知规定的开始时间起遵循本投标文件，并在投标文件有效期满之前均具有约束力。如果我方被接受，则至合同履行完毕、服务周期满为止，本投标函保持有效。</w:t>
      </w:r>
    </w:p>
    <w:p w14:paraId="73E90F56">
      <w:pPr>
        <w:shd w:val="clear"/>
        <w:spacing w:line="400" w:lineRule="atLeast"/>
        <w:ind w:firstLine="48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.我方承诺严格遵守招标文件中的各项要求及合同条款，并在服务期限内承担合同规定的责任义务。</w:t>
      </w:r>
    </w:p>
    <w:p w14:paraId="3595877B">
      <w:pPr>
        <w:shd w:val="clear"/>
        <w:spacing w:line="400" w:lineRule="atLeast"/>
        <w:ind w:firstLine="48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.我方同意投标人须知中关于不予退还保证金的规定。</w:t>
      </w:r>
    </w:p>
    <w:p w14:paraId="43DAB3C2">
      <w:pPr>
        <w:shd w:val="clear"/>
        <w:spacing w:line="400" w:lineRule="atLeast"/>
        <w:ind w:firstLine="48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.同意应贵方要求提供与本次招标有关的任何数据和资料，并保证数据和资料的完整性和真实性。</w:t>
      </w:r>
    </w:p>
    <w:p w14:paraId="13A73CFE">
      <w:pPr>
        <w:shd w:val="clear"/>
        <w:spacing w:line="400" w:lineRule="atLeast"/>
        <w:ind w:firstLine="48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.我方完全理解贵方不一定接受最低报价的投标人为成交投标人的行为。</w:t>
      </w:r>
    </w:p>
    <w:p w14:paraId="6D42CDE9">
      <w:pPr>
        <w:shd w:val="clear"/>
        <w:spacing w:line="400" w:lineRule="atLeast"/>
        <w:ind w:firstLine="480"/>
        <w:rPr>
          <w:rFonts w:ascii="宋体" w:hAnsi="宋体"/>
          <w:color w:val="auto"/>
          <w:szCs w:val="21"/>
          <w:highlight w:val="none"/>
        </w:rPr>
      </w:pPr>
      <w:r>
        <w:rPr>
          <w:rFonts w:ascii="宋体" w:hAnsi="宋体"/>
          <w:color w:val="auto"/>
          <w:szCs w:val="21"/>
          <w:highlight w:val="none"/>
        </w:rPr>
        <w:t>9</w:t>
      </w:r>
      <w:r>
        <w:rPr>
          <w:rFonts w:hint="eastAsia" w:ascii="宋体" w:hAnsi="宋体"/>
          <w:color w:val="auto"/>
          <w:szCs w:val="21"/>
          <w:highlight w:val="none"/>
        </w:rPr>
        <w:t>.若贵方需要，我方愿意提供我方作出的一切承诺的证明材料。</w:t>
      </w:r>
    </w:p>
    <w:p w14:paraId="4993B5D0">
      <w:pPr>
        <w:shd w:val="clear"/>
        <w:spacing w:line="400" w:lineRule="atLeast"/>
        <w:ind w:firstLine="480"/>
        <w:rPr>
          <w:rFonts w:ascii="宋体" w:hAnsi="宋体"/>
          <w:color w:val="auto"/>
          <w:szCs w:val="21"/>
          <w:highlight w:val="none"/>
        </w:rPr>
      </w:pPr>
      <w:r>
        <w:rPr>
          <w:rFonts w:ascii="宋体" w:hAnsi="宋体"/>
          <w:color w:val="auto"/>
          <w:szCs w:val="21"/>
          <w:highlight w:val="none"/>
        </w:rPr>
        <w:t>10</w:t>
      </w:r>
      <w:r>
        <w:rPr>
          <w:rFonts w:hint="eastAsia" w:ascii="宋体" w:hAnsi="宋体"/>
          <w:color w:val="auto"/>
          <w:szCs w:val="21"/>
          <w:highlight w:val="none"/>
        </w:rPr>
        <w:t>.投标文件有效期为</w:t>
      </w:r>
      <w:r>
        <w:rPr>
          <w:color w:val="auto"/>
          <w:szCs w:val="21"/>
          <w:highlight w:val="none"/>
        </w:rPr>
        <w:t>自</w:t>
      </w:r>
      <w:r>
        <w:rPr>
          <w:rFonts w:hint="eastAsia" w:asciiTheme="minorEastAsia" w:hAnsiTheme="minorEastAsia" w:eastAsiaTheme="minorEastAsia"/>
          <w:color w:val="auto"/>
          <w:kern w:val="0"/>
          <w:szCs w:val="21"/>
          <w:highlight w:val="none"/>
        </w:rPr>
        <w:t>投标文件递交截止之日</w:t>
      </w:r>
      <w:r>
        <w:rPr>
          <w:color w:val="auto"/>
          <w:szCs w:val="21"/>
          <w:highlight w:val="none"/>
        </w:rPr>
        <w:t>起90天</w:t>
      </w:r>
      <w:r>
        <w:rPr>
          <w:rFonts w:hint="eastAsia" w:ascii="宋体" w:hAnsi="宋体"/>
          <w:color w:val="auto"/>
          <w:szCs w:val="21"/>
          <w:highlight w:val="none"/>
        </w:rPr>
        <w:t>。</w:t>
      </w:r>
    </w:p>
    <w:p w14:paraId="1B6D026D">
      <w:pPr>
        <w:shd w:val="clear"/>
        <w:spacing w:line="400" w:lineRule="atLeast"/>
        <w:ind w:firstLine="480"/>
        <w:rPr>
          <w:rFonts w:ascii="宋体" w:hAnsi="宋体"/>
          <w:color w:val="auto"/>
          <w:szCs w:val="21"/>
          <w:highlight w:val="none"/>
        </w:rPr>
      </w:pPr>
      <w:r>
        <w:rPr>
          <w:rFonts w:ascii="宋体" w:hAnsi="宋体"/>
          <w:color w:val="auto"/>
          <w:szCs w:val="21"/>
          <w:highlight w:val="none"/>
        </w:rPr>
        <w:t>11</w:t>
      </w:r>
      <w:r>
        <w:rPr>
          <w:rFonts w:hint="eastAsia" w:ascii="宋体" w:hAnsi="宋体"/>
          <w:color w:val="auto"/>
          <w:szCs w:val="21"/>
          <w:highlight w:val="none"/>
        </w:rPr>
        <w:t>.与本次招标有关的一切往来通讯地址为：</w:t>
      </w:r>
    </w:p>
    <w:p w14:paraId="72E7CD08">
      <w:pPr>
        <w:shd w:val="clear"/>
        <w:spacing w:line="400" w:lineRule="atLeast"/>
        <w:ind w:firstLine="480"/>
        <w:rPr>
          <w:rFonts w:ascii="宋体" w:hAnsi="宋体"/>
          <w:color w:val="auto"/>
          <w:szCs w:val="21"/>
          <w:highlight w:val="none"/>
        </w:rPr>
      </w:pPr>
    </w:p>
    <w:p w14:paraId="1F51A062">
      <w:pPr>
        <w:shd w:val="clear"/>
        <w:spacing w:line="400" w:lineRule="atLeast"/>
        <w:ind w:firstLine="480"/>
        <w:rPr>
          <w:rFonts w:ascii="宋体" w:hAnsi="宋体"/>
          <w:color w:val="auto"/>
          <w:szCs w:val="21"/>
          <w:highlight w:val="none"/>
        </w:rPr>
      </w:pPr>
    </w:p>
    <w:p w14:paraId="62D3B84D">
      <w:pPr>
        <w:shd w:val="clear"/>
        <w:spacing w:line="48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地址：</w:t>
      </w:r>
      <w:r>
        <w:rPr>
          <w:rFonts w:hint="eastAsia" w:ascii="宋体" w:hAnsi="宋体"/>
          <w:color w:val="auto"/>
          <w:szCs w:val="21"/>
          <w:highlight w:val="none"/>
          <w:u w:val="single"/>
        </w:rPr>
        <w:t>　　　　　　　　　                             　　　</w:t>
      </w:r>
    </w:p>
    <w:p w14:paraId="3CBA414F">
      <w:pPr>
        <w:shd w:val="clear"/>
        <w:spacing w:line="48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邮编：</w:t>
      </w:r>
      <w:r>
        <w:rPr>
          <w:rFonts w:hint="eastAsia" w:ascii="宋体" w:hAnsi="宋体"/>
          <w:color w:val="auto"/>
          <w:szCs w:val="21"/>
          <w:highlight w:val="none"/>
          <w:u w:val="single"/>
        </w:rPr>
        <w:t xml:space="preserve">       　　　</w:t>
      </w:r>
      <w:r>
        <w:rPr>
          <w:rFonts w:hint="eastAsia" w:ascii="宋体" w:hAnsi="宋体"/>
          <w:color w:val="auto"/>
          <w:szCs w:val="21"/>
          <w:highlight w:val="none"/>
        </w:rPr>
        <w:t>　电话：</w:t>
      </w:r>
      <w:r>
        <w:rPr>
          <w:rFonts w:hint="eastAsia" w:ascii="宋体" w:hAnsi="宋体"/>
          <w:color w:val="auto"/>
          <w:szCs w:val="21"/>
          <w:highlight w:val="none"/>
          <w:u w:val="single"/>
        </w:rPr>
        <w:t xml:space="preserve">       　　　</w:t>
      </w:r>
      <w:r>
        <w:rPr>
          <w:rFonts w:hint="eastAsia" w:ascii="宋体" w:hAnsi="宋体"/>
          <w:color w:val="auto"/>
          <w:szCs w:val="21"/>
          <w:highlight w:val="none"/>
        </w:rPr>
        <w:t>　传真：</w:t>
      </w:r>
      <w:r>
        <w:rPr>
          <w:rFonts w:hint="eastAsia" w:ascii="宋体" w:hAnsi="宋体"/>
          <w:color w:val="auto"/>
          <w:szCs w:val="21"/>
          <w:highlight w:val="none"/>
          <w:u w:val="single"/>
        </w:rPr>
        <w:t xml:space="preserve">       　　</w:t>
      </w:r>
    </w:p>
    <w:p w14:paraId="360F1976">
      <w:pPr>
        <w:shd w:val="clear"/>
        <w:spacing w:before="60" w:after="60" w:line="480" w:lineRule="auto"/>
        <w:ind w:firstLine="424" w:firstLineChars="202"/>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690EDD3D">
      <w:pPr>
        <w:shd w:val="clear"/>
        <w:spacing w:before="60" w:after="60" w:line="480" w:lineRule="auto"/>
        <w:ind w:firstLine="424" w:firstLineChars="202"/>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5C2B2C71">
      <w:pPr>
        <w:shd w:val="clear"/>
        <w:spacing w:before="60" w:after="60" w:line="480" w:lineRule="auto"/>
        <w:ind w:firstLine="424" w:firstLineChars="202"/>
        <w:rPr>
          <w:rFonts w:ascii="宋体" w:hAns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rPr>
        <w:t>______</w:t>
      </w:r>
      <w:r>
        <w:rPr>
          <w:rFonts w:hint="eastAsia" w:ascii="宋体" w:hAnsi="宋体"/>
          <w:color w:val="auto"/>
          <w:szCs w:val="21"/>
          <w:highlight w:val="none"/>
        </w:rPr>
        <w:t>年</w:t>
      </w:r>
      <w:r>
        <w:rPr>
          <w:rFonts w:ascii="宋体" w:hAnsi="宋体"/>
          <w:color w:val="auto"/>
          <w:szCs w:val="21"/>
          <w:highlight w:val="none"/>
        </w:rPr>
        <w:t>_____</w:t>
      </w:r>
      <w:r>
        <w:rPr>
          <w:rFonts w:hint="eastAsia" w:ascii="宋体" w:hAnsi="宋体"/>
          <w:color w:val="auto"/>
          <w:szCs w:val="21"/>
          <w:highlight w:val="none"/>
        </w:rPr>
        <w:t>月</w:t>
      </w:r>
      <w:r>
        <w:rPr>
          <w:rFonts w:ascii="宋体" w:hAnsi="宋体"/>
          <w:color w:val="auto"/>
          <w:szCs w:val="21"/>
          <w:highlight w:val="none"/>
        </w:rPr>
        <w:t>_____</w:t>
      </w:r>
      <w:r>
        <w:rPr>
          <w:rFonts w:hint="eastAsia" w:ascii="宋体" w:hAnsi="宋体"/>
          <w:color w:val="auto"/>
          <w:szCs w:val="21"/>
          <w:highlight w:val="none"/>
        </w:rPr>
        <w:t>日</w:t>
      </w:r>
    </w:p>
    <w:p w14:paraId="2FE0CF0C">
      <w:pPr>
        <w:shd w:val="clear"/>
        <w:rPr>
          <w:rFonts w:ascii="宋体" w:hAnsi="宋体"/>
          <w:color w:val="auto"/>
          <w:szCs w:val="21"/>
          <w:highlight w:val="none"/>
        </w:rPr>
      </w:pPr>
      <w:r>
        <w:rPr>
          <w:color w:val="auto"/>
          <w:highlight w:val="none"/>
        </w:rPr>
        <w:br w:type="page"/>
      </w:r>
    </w:p>
    <w:p w14:paraId="6045764B">
      <w:pPr>
        <w:pStyle w:val="33"/>
        <w:shd w:val="clear"/>
        <w:spacing w:before="240"/>
        <w:jc w:val="center"/>
        <w:rPr>
          <w:rFonts w:ascii="宋体" w:hAnsi="宋体"/>
          <w:color w:val="auto"/>
          <w:highlight w:val="none"/>
        </w:rPr>
      </w:pPr>
      <w:bookmarkStart w:id="290" w:name="_Toc17453027"/>
      <w:bookmarkStart w:id="291" w:name="_Toc1440"/>
      <w:bookmarkStart w:id="292" w:name="_Toc417298426"/>
      <w:bookmarkStart w:id="293" w:name="_Toc522782883"/>
      <w:bookmarkStart w:id="294" w:name="_Toc15924"/>
      <w:bookmarkStart w:id="295" w:name="_Toc444940156"/>
      <w:r>
        <w:rPr>
          <w:rFonts w:hint="eastAsia" w:ascii="宋体" w:hAnsi="宋体"/>
          <w:color w:val="auto"/>
          <w:highlight w:val="none"/>
        </w:rPr>
        <w:t>四、质量保证书</w:t>
      </w:r>
      <w:bookmarkEnd w:id="290"/>
      <w:bookmarkEnd w:id="291"/>
      <w:bookmarkEnd w:id="292"/>
      <w:bookmarkEnd w:id="293"/>
      <w:bookmarkEnd w:id="294"/>
      <w:bookmarkEnd w:id="295"/>
    </w:p>
    <w:p w14:paraId="4C521385">
      <w:pPr>
        <w:shd w:val="clear"/>
        <w:spacing w:line="400" w:lineRule="atLeast"/>
        <w:rPr>
          <w:rFonts w:ascii="宋体" w:hAnsi="宋体"/>
          <w:b/>
          <w:color w:val="auto"/>
          <w:szCs w:val="21"/>
          <w:highlight w:val="none"/>
        </w:rPr>
      </w:pPr>
      <w:r>
        <w:rPr>
          <w:rFonts w:hint="eastAsia" w:ascii="宋体" w:hAnsi="宋体"/>
          <w:b/>
          <w:color w:val="auto"/>
          <w:szCs w:val="21"/>
          <w:highlight w:val="none"/>
        </w:rPr>
        <w:t>致：（采购人）</w:t>
      </w:r>
    </w:p>
    <w:p w14:paraId="451339C5">
      <w:pPr>
        <w:shd w:val="clear"/>
        <w:spacing w:line="360" w:lineRule="auto"/>
        <w:ind w:firstLine="420" w:firstLineChars="200"/>
        <w:rPr>
          <w:rFonts w:ascii="宋体" w:hAnsi="宋体" w:cs="宋体"/>
          <w:color w:val="auto"/>
          <w:szCs w:val="21"/>
          <w:highlight w:val="none"/>
        </w:rPr>
      </w:pPr>
    </w:p>
    <w:p w14:paraId="56801CF4">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本书作为</w:t>
      </w:r>
      <w:r>
        <w:rPr>
          <w:rFonts w:hint="eastAsia" w:ascii="宋体" w:hAnsi="宋体" w:cs="宋体"/>
          <w:color w:val="auto"/>
          <w:szCs w:val="21"/>
          <w:highlight w:val="none"/>
          <w:u w:val="single"/>
        </w:rPr>
        <w:t>（投标人名称）</w:t>
      </w:r>
      <w:r>
        <w:rPr>
          <w:rFonts w:hint="eastAsia" w:ascii="宋体" w:hAnsi="宋体" w:cs="宋体"/>
          <w:color w:val="auto"/>
          <w:szCs w:val="21"/>
          <w:highlight w:val="none"/>
        </w:rPr>
        <w:t>对</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）公开招标提供的质量和服务的保证。</w:t>
      </w:r>
    </w:p>
    <w:p w14:paraId="2D657341">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我方承诺提供以下质量保证并承担相应的法律责任：</w:t>
      </w:r>
    </w:p>
    <w:p w14:paraId="1C19AE89">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1．提供的产品是全新的、符合国家质量标准、中国有关部门手续完备、具有生产厂家质量保证书（或合格证书）的货物；</w:t>
      </w:r>
    </w:p>
    <w:p w14:paraId="227E758C">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2．提供的产品符合投标文件承诺和所签合同规定的技术要求及配套范围；</w:t>
      </w:r>
    </w:p>
    <w:p w14:paraId="033207A0">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3．保证“售后服务承诺”全部内容的满足。</w:t>
      </w:r>
    </w:p>
    <w:p w14:paraId="5B4198C9">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w:t>
      </w:r>
    </w:p>
    <w:p w14:paraId="64A98953">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本保证书自投标之日起90天内有效，如我方中标则按照招标文件要求的保质期要求执行。</w:t>
      </w:r>
    </w:p>
    <w:p w14:paraId="36B2C42C">
      <w:pPr>
        <w:shd w:val="clear"/>
        <w:spacing w:before="60" w:after="60" w:line="480" w:lineRule="auto"/>
        <w:ind w:firstLine="424" w:firstLineChars="202"/>
        <w:rPr>
          <w:rFonts w:ascii="宋体" w:hAnsi="宋体"/>
          <w:color w:val="auto"/>
          <w:szCs w:val="21"/>
          <w:highlight w:val="none"/>
        </w:rPr>
      </w:pPr>
    </w:p>
    <w:p w14:paraId="479065A6">
      <w:pPr>
        <w:shd w:val="clear"/>
        <w:spacing w:before="60" w:after="60" w:line="480" w:lineRule="auto"/>
        <w:ind w:firstLine="424" w:firstLineChars="202"/>
        <w:rPr>
          <w:rFonts w:ascii="宋体" w:hAnsi="宋体"/>
          <w:color w:val="auto"/>
          <w:szCs w:val="21"/>
          <w:highlight w:val="none"/>
        </w:rPr>
      </w:pPr>
    </w:p>
    <w:p w14:paraId="27D95C44">
      <w:pPr>
        <w:shd w:val="clear"/>
        <w:spacing w:before="60" w:after="60" w:line="480" w:lineRule="auto"/>
        <w:ind w:firstLine="424" w:firstLineChars="202"/>
        <w:rPr>
          <w:rFonts w:ascii="宋体" w:hAnsi="宋体"/>
          <w:color w:val="auto"/>
          <w:szCs w:val="21"/>
          <w:highlight w:val="none"/>
        </w:rPr>
      </w:pPr>
    </w:p>
    <w:p w14:paraId="21FF1D69">
      <w:pPr>
        <w:shd w:val="clear"/>
        <w:spacing w:before="60" w:after="60" w:line="480" w:lineRule="auto"/>
        <w:ind w:firstLine="424" w:firstLineChars="202"/>
        <w:rPr>
          <w:rFonts w:ascii="宋体" w:hAnsi="宋体"/>
          <w:color w:val="auto"/>
          <w:szCs w:val="21"/>
          <w:highlight w:val="none"/>
        </w:rPr>
      </w:pPr>
    </w:p>
    <w:p w14:paraId="09B2A2D1">
      <w:pPr>
        <w:shd w:val="clear"/>
        <w:spacing w:before="60" w:after="60" w:line="480" w:lineRule="auto"/>
        <w:ind w:firstLine="424" w:firstLineChars="202"/>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02EF232E">
      <w:pPr>
        <w:shd w:val="clear"/>
        <w:spacing w:before="60" w:after="60" w:line="480" w:lineRule="auto"/>
        <w:ind w:firstLine="424" w:firstLineChars="202"/>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6A4037D3">
      <w:pPr>
        <w:shd w:val="clear"/>
        <w:spacing w:before="60" w:after="60" w:line="480" w:lineRule="auto"/>
        <w:ind w:firstLine="424" w:firstLineChars="202"/>
        <w:rPr>
          <w:rFonts w:ascii="宋体" w:hAns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rPr>
        <w:t>______</w:t>
      </w:r>
      <w:r>
        <w:rPr>
          <w:rFonts w:hint="eastAsia" w:ascii="宋体" w:hAnsi="宋体"/>
          <w:color w:val="auto"/>
          <w:szCs w:val="21"/>
          <w:highlight w:val="none"/>
        </w:rPr>
        <w:t>年</w:t>
      </w:r>
      <w:r>
        <w:rPr>
          <w:rFonts w:ascii="宋体" w:hAnsi="宋体"/>
          <w:color w:val="auto"/>
          <w:szCs w:val="21"/>
          <w:highlight w:val="none"/>
        </w:rPr>
        <w:t>_____</w:t>
      </w:r>
      <w:r>
        <w:rPr>
          <w:rFonts w:hint="eastAsia" w:ascii="宋体" w:hAnsi="宋体"/>
          <w:color w:val="auto"/>
          <w:szCs w:val="21"/>
          <w:highlight w:val="none"/>
        </w:rPr>
        <w:t>月</w:t>
      </w:r>
      <w:r>
        <w:rPr>
          <w:rFonts w:ascii="宋体" w:hAnsi="宋体"/>
          <w:color w:val="auto"/>
          <w:szCs w:val="21"/>
          <w:highlight w:val="none"/>
        </w:rPr>
        <w:t>_____</w:t>
      </w:r>
      <w:r>
        <w:rPr>
          <w:rFonts w:hint="eastAsia" w:ascii="宋体" w:hAnsi="宋体"/>
          <w:color w:val="auto"/>
          <w:szCs w:val="21"/>
          <w:highlight w:val="none"/>
        </w:rPr>
        <w:t>日</w:t>
      </w:r>
    </w:p>
    <w:p w14:paraId="062B3A0F">
      <w:pPr>
        <w:shd w:val="clear"/>
        <w:rPr>
          <w:rFonts w:ascii="宋体" w:hAnsi="宋体"/>
          <w:color w:val="auto"/>
          <w:szCs w:val="21"/>
          <w:highlight w:val="none"/>
        </w:rPr>
      </w:pPr>
      <w:r>
        <w:rPr>
          <w:rFonts w:hint="eastAsia" w:ascii="宋体" w:hAnsi="宋体"/>
          <w:color w:val="auto"/>
          <w:szCs w:val="21"/>
          <w:highlight w:val="none"/>
        </w:rPr>
        <w:br w:type="page"/>
      </w:r>
    </w:p>
    <w:p w14:paraId="02C3FD1A">
      <w:pPr>
        <w:pStyle w:val="33"/>
        <w:shd w:val="clear"/>
        <w:spacing w:before="240"/>
        <w:jc w:val="center"/>
        <w:rPr>
          <w:rFonts w:ascii="宋体" w:hAnsi="宋体"/>
          <w:color w:val="auto"/>
          <w:highlight w:val="none"/>
        </w:rPr>
      </w:pPr>
      <w:bookmarkStart w:id="296" w:name="_Toc389644554"/>
      <w:bookmarkEnd w:id="296"/>
      <w:bookmarkStart w:id="297" w:name="_Toc113985033"/>
      <w:bookmarkEnd w:id="297"/>
      <w:bookmarkStart w:id="298" w:name="_Toc450064603"/>
      <w:bookmarkEnd w:id="298"/>
      <w:bookmarkStart w:id="299" w:name="_Toc24157"/>
      <w:r>
        <w:rPr>
          <w:rFonts w:hint="eastAsia" w:ascii="宋体" w:hAnsi="宋体"/>
          <w:color w:val="auto"/>
          <w:highlight w:val="none"/>
        </w:rPr>
        <w:t>五、法定代表人身份证明书</w:t>
      </w:r>
      <w:bookmarkEnd w:id="299"/>
    </w:p>
    <w:p w14:paraId="5098947F">
      <w:pPr>
        <w:shd w:val="clear"/>
        <w:jc w:val="center"/>
        <w:rPr>
          <w:rFonts w:ascii="宋体" w:hAnsi="宋体"/>
          <w:b/>
          <w:color w:val="auto"/>
          <w:sz w:val="36"/>
          <w:highlight w:val="none"/>
        </w:rPr>
      </w:pPr>
    </w:p>
    <w:p w14:paraId="5FCD2CAF">
      <w:pPr>
        <w:shd w:val="clear"/>
        <w:rPr>
          <w:rFonts w:ascii="宋体" w:hAnsi="宋体"/>
          <w:b/>
          <w:color w:val="auto"/>
          <w:highlight w:val="none"/>
        </w:rPr>
      </w:pPr>
    </w:p>
    <w:p w14:paraId="339FDA50">
      <w:pPr>
        <w:shd w:val="clear"/>
        <w:spacing w:line="360" w:lineRule="auto"/>
        <w:ind w:firstLine="612"/>
        <w:rPr>
          <w:rFonts w:ascii="宋体" w:hAnsi="宋体"/>
          <w:color w:val="auto"/>
          <w:szCs w:val="21"/>
          <w:highlight w:val="none"/>
        </w:rPr>
      </w:pPr>
      <w:r>
        <w:rPr>
          <w:rFonts w:hint="eastAsia" w:ascii="宋体" w:hAnsi="宋体"/>
          <w:color w:val="auto"/>
          <w:szCs w:val="21"/>
          <w:highlight w:val="none"/>
        </w:rPr>
        <w:t>单位名称：</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r>
        <w:rPr>
          <w:rFonts w:hint="eastAsia" w:ascii="宋体" w:hAnsi="宋体"/>
          <w:color w:val="auto"/>
          <w:szCs w:val="21"/>
          <w:highlight w:val="none"/>
          <w:u w:val="single"/>
        </w:rPr>
        <w:tab/>
      </w:r>
    </w:p>
    <w:p w14:paraId="0919EB01">
      <w:pPr>
        <w:shd w:val="clear"/>
        <w:spacing w:line="360" w:lineRule="auto"/>
        <w:ind w:firstLine="610"/>
        <w:rPr>
          <w:rFonts w:ascii="宋体" w:hAnsi="宋体"/>
          <w:color w:val="auto"/>
          <w:szCs w:val="21"/>
          <w:highlight w:val="none"/>
        </w:rPr>
      </w:pPr>
      <w:r>
        <w:rPr>
          <w:rFonts w:hint="eastAsia" w:ascii="宋体" w:hAnsi="宋体"/>
          <w:color w:val="auto"/>
          <w:szCs w:val="21"/>
          <w:highlight w:val="none"/>
        </w:rPr>
        <w:t>单位性质：</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p>
    <w:p w14:paraId="48A134F7">
      <w:pPr>
        <w:shd w:val="clear"/>
        <w:spacing w:line="360" w:lineRule="auto"/>
        <w:ind w:firstLine="610"/>
        <w:rPr>
          <w:rFonts w:ascii="宋体" w:hAnsi="宋体"/>
          <w:color w:val="auto"/>
          <w:szCs w:val="21"/>
          <w:highlight w:val="none"/>
        </w:rPr>
      </w:pPr>
      <w:r>
        <w:rPr>
          <w:rFonts w:hint="eastAsia" w:ascii="宋体" w:hAnsi="宋体"/>
          <w:color w:val="auto"/>
          <w:szCs w:val="21"/>
          <w:highlight w:val="none"/>
        </w:rPr>
        <w:t>地</w:t>
      </w:r>
      <w:r>
        <w:rPr>
          <w:rFonts w:ascii="宋体" w:hAnsi="宋体"/>
          <w:color w:val="auto"/>
          <w:szCs w:val="21"/>
          <w:highlight w:val="none"/>
        </w:rPr>
        <w:t xml:space="preserve">    址：</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p>
    <w:p w14:paraId="40B4E852">
      <w:pPr>
        <w:shd w:val="clear"/>
        <w:spacing w:line="360" w:lineRule="auto"/>
        <w:ind w:firstLine="610"/>
        <w:rPr>
          <w:rFonts w:ascii="宋体" w:hAnsi="宋体"/>
          <w:color w:val="auto"/>
          <w:szCs w:val="21"/>
          <w:highlight w:val="none"/>
        </w:rPr>
      </w:pPr>
      <w:r>
        <w:rPr>
          <w:rFonts w:hint="eastAsia" w:ascii="宋体" w:hAnsi="宋体"/>
          <w:color w:val="auto"/>
          <w:szCs w:val="21"/>
          <w:highlight w:val="none"/>
        </w:rPr>
        <w:t>成立时间：</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14:paraId="67814886">
      <w:pPr>
        <w:shd w:val="clear"/>
        <w:spacing w:line="360" w:lineRule="auto"/>
        <w:ind w:firstLine="610"/>
        <w:rPr>
          <w:rFonts w:ascii="宋体" w:hAnsi="宋体"/>
          <w:color w:val="auto"/>
          <w:szCs w:val="21"/>
          <w:highlight w:val="none"/>
        </w:rPr>
      </w:pPr>
      <w:r>
        <w:rPr>
          <w:rFonts w:hint="eastAsia" w:ascii="宋体" w:hAnsi="宋体"/>
          <w:color w:val="auto"/>
          <w:szCs w:val="21"/>
          <w:highlight w:val="none"/>
        </w:rPr>
        <w:t>经营期限：</w:t>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p>
    <w:p w14:paraId="5302533D">
      <w:pPr>
        <w:shd w:val="clear"/>
        <w:spacing w:line="360" w:lineRule="auto"/>
        <w:ind w:firstLine="610"/>
        <w:rPr>
          <w:rFonts w:ascii="宋体" w:hAns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性别：</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年龄：</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职务：</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p>
    <w:p w14:paraId="17D5F6CC">
      <w:pPr>
        <w:shd w:val="clear"/>
        <w:spacing w:line="360" w:lineRule="auto"/>
        <w:ind w:firstLine="610"/>
        <w:rPr>
          <w:rFonts w:ascii="宋体" w:hAnsi="宋体"/>
          <w:color w:val="auto"/>
          <w:szCs w:val="21"/>
          <w:highlight w:val="none"/>
        </w:rPr>
      </w:pPr>
      <w:r>
        <w:rPr>
          <w:rFonts w:hint="eastAsia" w:ascii="宋体" w:hAnsi="宋体"/>
          <w:color w:val="auto"/>
          <w:szCs w:val="21"/>
          <w:highlight w:val="none"/>
        </w:rPr>
        <w:t>系</w:t>
      </w:r>
      <w:r>
        <w:rPr>
          <w:rFonts w:ascii="宋体" w:hAnsi="宋体"/>
          <w:color w:val="auto"/>
          <w:szCs w:val="21"/>
          <w:highlight w:val="none"/>
          <w:u w:val="single"/>
        </w:rPr>
        <w:t xml:space="preserve">     (投标人</w:t>
      </w:r>
      <w:r>
        <w:rPr>
          <w:rFonts w:hint="eastAsia" w:ascii="宋体" w:hAnsi="宋体"/>
          <w:color w:val="auto"/>
          <w:szCs w:val="21"/>
          <w:highlight w:val="none"/>
          <w:u w:val="single"/>
        </w:rPr>
        <w:t>全</w:t>
      </w:r>
      <w:r>
        <w:rPr>
          <w:rFonts w:ascii="宋体" w:hAnsi="宋体"/>
          <w:color w:val="auto"/>
          <w:szCs w:val="21"/>
          <w:highlight w:val="none"/>
          <w:u w:val="single"/>
        </w:rPr>
        <w:t xml:space="preserve">称)    </w:t>
      </w:r>
      <w:r>
        <w:rPr>
          <w:rFonts w:hint="eastAsia" w:ascii="宋体" w:hAnsi="宋体"/>
          <w:color w:val="auto"/>
          <w:szCs w:val="21"/>
          <w:highlight w:val="none"/>
        </w:rPr>
        <w:t>的法定代表人。</w:t>
      </w:r>
    </w:p>
    <w:p w14:paraId="102243AD">
      <w:pPr>
        <w:shd w:val="clear"/>
        <w:spacing w:line="360" w:lineRule="auto"/>
        <w:ind w:firstLine="610"/>
        <w:rPr>
          <w:rFonts w:ascii="宋体" w:hAnsi="宋体"/>
          <w:color w:val="auto"/>
          <w:szCs w:val="21"/>
          <w:highlight w:val="none"/>
        </w:rPr>
      </w:pPr>
    </w:p>
    <w:p w14:paraId="0ADA3400">
      <w:pPr>
        <w:shd w:val="clear"/>
        <w:spacing w:line="360" w:lineRule="auto"/>
        <w:ind w:firstLine="610"/>
        <w:rPr>
          <w:rFonts w:ascii="宋体" w:hAnsi="宋体"/>
          <w:color w:val="auto"/>
          <w:szCs w:val="21"/>
          <w:highlight w:val="none"/>
        </w:rPr>
      </w:pPr>
      <w:r>
        <w:rPr>
          <w:rFonts w:hint="eastAsia" w:ascii="宋体" w:hAnsi="宋体"/>
          <w:color w:val="auto"/>
          <w:szCs w:val="21"/>
          <w:highlight w:val="none"/>
        </w:rPr>
        <w:t>特此证明。</w:t>
      </w:r>
    </w:p>
    <w:tbl>
      <w:tblPr>
        <w:tblStyle w:val="26"/>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4846"/>
        <w:gridCol w:w="257"/>
        <w:gridCol w:w="4674"/>
      </w:tblGrid>
      <w:tr w14:paraId="7A3E24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3010" w:hRule="atLeast"/>
          <w:jc w:val="center"/>
        </w:trPr>
        <w:tc>
          <w:tcPr>
            <w:tcW w:w="4846" w:type="dxa"/>
            <w:vAlign w:val="center"/>
          </w:tcPr>
          <w:p w14:paraId="3E300420">
            <w:pPr>
              <w:shd w:val="clear"/>
              <w:spacing w:line="460" w:lineRule="exact"/>
              <w:jc w:val="center"/>
              <w:rPr>
                <w:rFonts w:ascii="宋体" w:hAnsi="宋体"/>
                <w:color w:val="auto"/>
                <w:szCs w:val="21"/>
                <w:highlight w:val="none"/>
              </w:rPr>
            </w:pPr>
            <w:r>
              <w:rPr>
                <w:rFonts w:hint="eastAsia" w:ascii="宋体" w:hAnsi="宋体"/>
                <w:color w:val="auto"/>
                <w:szCs w:val="21"/>
                <w:highlight w:val="none"/>
              </w:rPr>
              <w:t>法定代表人身份证复印件</w:t>
            </w:r>
          </w:p>
          <w:p w14:paraId="2A7DCB91">
            <w:pPr>
              <w:shd w:val="clear"/>
              <w:spacing w:line="460" w:lineRule="exact"/>
              <w:jc w:val="center"/>
              <w:rPr>
                <w:rFonts w:ascii="宋体" w:hAnsi="宋体"/>
                <w:color w:val="auto"/>
                <w:szCs w:val="21"/>
                <w:highlight w:val="none"/>
              </w:rPr>
            </w:pPr>
            <w:r>
              <w:rPr>
                <w:rFonts w:hint="eastAsia" w:ascii="宋体" w:hAnsi="宋体"/>
                <w:color w:val="auto"/>
                <w:szCs w:val="21"/>
                <w:highlight w:val="none"/>
              </w:rPr>
              <w:t>或扫描件正面</w:t>
            </w:r>
          </w:p>
        </w:tc>
        <w:tc>
          <w:tcPr>
            <w:tcW w:w="257" w:type="dxa"/>
            <w:tcBorders>
              <w:top w:val="nil"/>
              <w:bottom w:val="nil"/>
            </w:tcBorders>
            <w:vAlign w:val="center"/>
          </w:tcPr>
          <w:p w14:paraId="22A9CCBF">
            <w:pPr>
              <w:widowControl/>
              <w:shd w:val="clear"/>
              <w:spacing w:line="460" w:lineRule="exact"/>
              <w:jc w:val="center"/>
              <w:rPr>
                <w:rFonts w:ascii="宋体" w:hAnsi="宋体"/>
                <w:color w:val="auto"/>
                <w:szCs w:val="21"/>
                <w:highlight w:val="none"/>
              </w:rPr>
            </w:pPr>
          </w:p>
          <w:p w14:paraId="0DEC5947">
            <w:pPr>
              <w:shd w:val="clear"/>
              <w:spacing w:line="460" w:lineRule="exact"/>
              <w:jc w:val="center"/>
              <w:rPr>
                <w:rFonts w:ascii="宋体" w:hAnsi="宋体"/>
                <w:color w:val="auto"/>
                <w:szCs w:val="21"/>
                <w:highlight w:val="none"/>
              </w:rPr>
            </w:pPr>
          </w:p>
        </w:tc>
        <w:tc>
          <w:tcPr>
            <w:tcW w:w="4674" w:type="dxa"/>
            <w:vAlign w:val="center"/>
          </w:tcPr>
          <w:p w14:paraId="677ED377">
            <w:pPr>
              <w:shd w:val="clear"/>
              <w:spacing w:line="460" w:lineRule="exact"/>
              <w:jc w:val="center"/>
              <w:rPr>
                <w:rFonts w:ascii="宋体" w:hAnsi="宋体"/>
                <w:color w:val="auto"/>
                <w:szCs w:val="21"/>
                <w:highlight w:val="none"/>
              </w:rPr>
            </w:pPr>
            <w:r>
              <w:rPr>
                <w:rFonts w:hint="eastAsia" w:ascii="宋体" w:hAnsi="宋体"/>
                <w:color w:val="auto"/>
                <w:szCs w:val="21"/>
                <w:highlight w:val="none"/>
              </w:rPr>
              <w:t>法定代表人身份证复印件</w:t>
            </w:r>
          </w:p>
          <w:p w14:paraId="021645ED">
            <w:pPr>
              <w:shd w:val="clear"/>
              <w:spacing w:line="460" w:lineRule="exact"/>
              <w:jc w:val="center"/>
              <w:rPr>
                <w:rFonts w:ascii="宋体" w:hAnsi="宋体"/>
                <w:color w:val="auto"/>
                <w:szCs w:val="21"/>
                <w:highlight w:val="none"/>
              </w:rPr>
            </w:pPr>
            <w:r>
              <w:rPr>
                <w:rFonts w:hint="eastAsia" w:ascii="宋体" w:hAnsi="宋体"/>
                <w:color w:val="auto"/>
                <w:szCs w:val="21"/>
                <w:highlight w:val="none"/>
              </w:rPr>
              <w:t>或扫描件背面</w:t>
            </w:r>
          </w:p>
        </w:tc>
      </w:tr>
    </w:tbl>
    <w:p w14:paraId="24A012B7">
      <w:pPr>
        <w:shd w:val="clear"/>
        <w:tabs>
          <w:tab w:val="left" w:pos="720"/>
          <w:tab w:val="left" w:pos="900"/>
        </w:tabs>
        <w:spacing w:line="360" w:lineRule="auto"/>
        <w:jc w:val="center"/>
        <w:rPr>
          <w:rFonts w:ascii="宋体" w:hAnsi="宋体"/>
          <w:color w:val="auto"/>
          <w:szCs w:val="21"/>
          <w:highlight w:val="none"/>
        </w:rPr>
      </w:pPr>
    </w:p>
    <w:p w14:paraId="451AE2BE">
      <w:pPr>
        <w:shd w:val="clear"/>
        <w:tabs>
          <w:tab w:val="left" w:pos="720"/>
          <w:tab w:val="left" w:pos="900"/>
        </w:tabs>
        <w:spacing w:line="360" w:lineRule="auto"/>
        <w:jc w:val="center"/>
        <w:rPr>
          <w:rFonts w:ascii="宋体" w:hAnsi="宋体"/>
          <w:color w:val="auto"/>
          <w:szCs w:val="21"/>
          <w:highlight w:val="none"/>
        </w:rPr>
      </w:pPr>
    </w:p>
    <w:p w14:paraId="2B48251B">
      <w:pPr>
        <w:shd w:val="clear"/>
        <w:tabs>
          <w:tab w:val="left" w:pos="720"/>
          <w:tab w:val="left" w:pos="900"/>
        </w:tabs>
        <w:spacing w:line="360" w:lineRule="auto"/>
        <w:jc w:val="center"/>
        <w:rPr>
          <w:rFonts w:ascii="宋体" w:hAnsi="宋体"/>
          <w:color w:val="auto"/>
          <w:szCs w:val="21"/>
          <w:highlight w:val="none"/>
        </w:rPr>
      </w:pPr>
    </w:p>
    <w:p w14:paraId="38DED02E">
      <w:pPr>
        <w:shd w:val="clear"/>
        <w:tabs>
          <w:tab w:val="left" w:pos="720"/>
          <w:tab w:val="left" w:pos="900"/>
        </w:tabs>
        <w:spacing w:line="360" w:lineRule="auto"/>
        <w:jc w:val="center"/>
        <w:rPr>
          <w:rFonts w:ascii="宋体" w:hAnsi="宋体"/>
          <w:color w:val="auto"/>
          <w:szCs w:val="21"/>
          <w:highlight w:val="none"/>
        </w:rPr>
      </w:pPr>
    </w:p>
    <w:p w14:paraId="6CBEFB7F">
      <w:pPr>
        <w:shd w:val="clear"/>
        <w:tabs>
          <w:tab w:val="left" w:pos="720"/>
          <w:tab w:val="left" w:pos="900"/>
        </w:tabs>
        <w:spacing w:line="360" w:lineRule="auto"/>
        <w:jc w:val="center"/>
        <w:rPr>
          <w:rFonts w:ascii="宋体" w:hAnsi="宋体"/>
          <w:color w:val="auto"/>
          <w:szCs w:val="21"/>
          <w:highlight w:val="none"/>
        </w:rPr>
      </w:pPr>
    </w:p>
    <w:p w14:paraId="28823FA1">
      <w:pPr>
        <w:shd w:val="clear"/>
        <w:spacing w:before="60" w:after="60" w:line="480" w:lineRule="auto"/>
        <w:ind w:firstLine="3261"/>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0954D4FC">
      <w:pPr>
        <w:shd w:val="clear"/>
        <w:tabs>
          <w:tab w:val="left" w:pos="720"/>
          <w:tab w:val="left" w:pos="900"/>
        </w:tabs>
        <w:spacing w:line="360" w:lineRule="auto"/>
        <w:ind w:firstLine="3259" w:firstLineChars="1552"/>
        <w:rPr>
          <w:rFonts w:ascii="宋体" w:hAnsi="宋体"/>
          <w:color w:val="auto"/>
          <w:szCs w:val="21"/>
          <w:highlight w:val="none"/>
        </w:rPr>
      </w:pPr>
      <w:r>
        <w:rPr>
          <w:rFonts w:hint="eastAsia" w:ascii="宋体" w:hAnsi="宋体"/>
          <w:color w:val="auto"/>
          <w:szCs w:val="21"/>
          <w:highlight w:val="none"/>
        </w:rPr>
        <w:t>日</w:t>
      </w:r>
      <w:r>
        <w:rPr>
          <w:rFonts w:ascii="宋体" w:hAnsi="宋体"/>
          <w:color w:val="auto"/>
          <w:szCs w:val="21"/>
          <w:highlight w:val="none"/>
        </w:rPr>
        <w:t xml:space="preserve">    期：</w:t>
      </w:r>
      <w:r>
        <w:rPr>
          <w:rFonts w:hint="eastAsia" w:ascii="宋体" w:hAnsi="宋体"/>
          <w:color w:val="auto"/>
          <w:szCs w:val="21"/>
          <w:highlight w:val="none"/>
        </w:rPr>
        <w:t xml:space="preserve">      </w:t>
      </w:r>
      <w:r>
        <w:rPr>
          <w:rFonts w:ascii="宋体" w:hAnsi="宋体"/>
          <w:color w:val="auto"/>
          <w:szCs w:val="21"/>
          <w:highlight w:val="none"/>
        </w:rPr>
        <w:t>年</w:t>
      </w:r>
      <w:r>
        <w:rPr>
          <w:rFonts w:hint="eastAsia" w:ascii="宋体" w:hAnsi="宋体"/>
          <w:color w:val="auto"/>
          <w:szCs w:val="21"/>
          <w:highlight w:val="none"/>
        </w:rPr>
        <w:t xml:space="preserve">    </w:t>
      </w:r>
      <w:r>
        <w:rPr>
          <w:rFonts w:ascii="宋体" w:hAnsi="宋体"/>
          <w:color w:val="auto"/>
          <w:szCs w:val="21"/>
          <w:highlight w:val="none"/>
        </w:rPr>
        <w:t>月</w:t>
      </w:r>
      <w:r>
        <w:rPr>
          <w:rFonts w:hint="eastAsia" w:ascii="宋体" w:hAnsi="宋体"/>
          <w:color w:val="auto"/>
          <w:szCs w:val="21"/>
          <w:highlight w:val="none"/>
        </w:rPr>
        <w:t xml:space="preserve">    </w:t>
      </w:r>
      <w:r>
        <w:rPr>
          <w:rFonts w:ascii="宋体" w:hAnsi="宋体"/>
          <w:color w:val="auto"/>
          <w:szCs w:val="21"/>
          <w:highlight w:val="none"/>
        </w:rPr>
        <w:t>日</w:t>
      </w:r>
    </w:p>
    <w:p w14:paraId="03D1F23E">
      <w:pPr>
        <w:shd w:val="clear"/>
        <w:rPr>
          <w:color w:val="auto"/>
          <w:highlight w:val="none"/>
        </w:rPr>
      </w:pPr>
      <w:bookmarkStart w:id="300" w:name="_Toc450064604"/>
      <w:bookmarkStart w:id="301" w:name="_Toc78603137"/>
      <w:bookmarkStart w:id="302" w:name="_Toc38173200"/>
      <w:bookmarkStart w:id="303" w:name="_Toc389644555"/>
      <w:r>
        <w:rPr>
          <w:color w:val="auto"/>
          <w:highlight w:val="none"/>
        </w:rPr>
        <w:br w:type="page"/>
      </w:r>
    </w:p>
    <w:bookmarkEnd w:id="300"/>
    <w:bookmarkEnd w:id="301"/>
    <w:bookmarkEnd w:id="302"/>
    <w:bookmarkEnd w:id="303"/>
    <w:p w14:paraId="5E08A24B">
      <w:pPr>
        <w:pStyle w:val="33"/>
        <w:shd w:val="clear"/>
        <w:spacing w:before="240"/>
        <w:jc w:val="center"/>
        <w:rPr>
          <w:rFonts w:ascii="宋体" w:hAnsi="宋体"/>
          <w:color w:val="auto"/>
          <w:highlight w:val="none"/>
        </w:rPr>
      </w:pPr>
      <w:bookmarkStart w:id="304" w:name="_Toc113985034"/>
      <w:bookmarkEnd w:id="304"/>
      <w:bookmarkStart w:id="305" w:name="_Toc16343"/>
      <w:r>
        <w:rPr>
          <w:rFonts w:hint="eastAsia" w:ascii="宋体" w:hAnsi="宋体"/>
          <w:color w:val="auto"/>
          <w:highlight w:val="none"/>
        </w:rPr>
        <w:t>六、法定代表人授权委托书</w:t>
      </w:r>
      <w:bookmarkEnd w:id="305"/>
    </w:p>
    <w:p w14:paraId="2E082FCA">
      <w:pPr>
        <w:shd w:val="clear"/>
        <w:spacing w:line="500" w:lineRule="exact"/>
        <w:rPr>
          <w:rFonts w:ascii="宋体" w:hAnsi="宋体"/>
          <w:color w:val="auto"/>
          <w:sz w:val="24"/>
          <w:highlight w:val="none"/>
        </w:rPr>
      </w:pPr>
    </w:p>
    <w:p w14:paraId="6769298D">
      <w:pPr>
        <w:shd w:val="clear"/>
        <w:spacing w:line="500" w:lineRule="exact"/>
        <w:ind w:firstLine="420"/>
        <w:rPr>
          <w:rFonts w:ascii="宋体" w:hAnsi="宋体"/>
          <w:color w:val="auto"/>
          <w:szCs w:val="21"/>
          <w:highlight w:val="none"/>
        </w:rPr>
      </w:pPr>
      <w:r>
        <w:rPr>
          <w:rFonts w:hint="eastAsia" w:ascii="宋体" w:hAnsi="宋体"/>
          <w:color w:val="auto"/>
          <w:szCs w:val="21"/>
          <w:highlight w:val="none"/>
        </w:rPr>
        <w:t>本授权委托书声明：我</w:t>
      </w:r>
      <w:r>
        <w:rPr>
          <w:rFonts w:hint="eastAsia" w:ascii="宋体" w:hAnsi="宋体"/>
          <w:color w:val="auto"/>
          <w:szCs w:val="21"/>
          <w:highlight w:val="none"/>
          <w:u w:val="single"/>
        </w:rPr>
        <w:t xml:space="preserve">        </w:t>
      </w:r>
      <w:r>
        <w:rPr>
          <w:rFonts w:hint="eastAsia" w:ascii="宋体" w:hAnsi="宋体"/>
          <w:color w:val="auto"/>
          <w:szCs w:val="21"/>
          <w:highlight w:val="none"/>
        </w:rPr>
        <w:t>(姓名</w:t>
      </w:r>
      <w:r>
        <w:rPr>
          <w:rFonts w:ascii="宋体" w:hAnsi="宋体"/>
          <w:color w:val="auto"/>
          <w:szCs w:val="21"/>
          <w:highlight w:val="none"/>
        </w:rPr>
        <w:t>)</w:t>
      </w:r>
      <w:r>
        <w:rPr>
          <w:rFonts w:hint="eastAsia" w:ascii="宋体" w:hAnsi="宋体"/>
          <w:color w:val="auto"/>
          <w:szCs w:val="21"/>
          <w:highlight w:val="none"/>
        </w:rPr>
        <w:t>系</w:t>
      </w:r>
      <w:r>
        <w:rPr>
          <w:rFonts w:hint="eastAsia"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投标人名称</w:t>
      </w:r>
      <w:r>
        <w:rPr>
          <w:rFonts w:ascii="宋体" w:hAnsi="宋体"/>
          <w:color w:val="auto"/>
          <w:szCs w:val="21"/>
          <w:highlight w:val="none"/>
        </w:rPr>
        <w:t>)</w:t>
      </w:r>
      <w:r>
        <w:rPr>
          <w:rFonts w:hint="eastAsia" w:ascii="宋体" w:hAnsi="宋体"/>
          <w:color w:val="auto"/>
          <w:szCs w:val="21"/>
          <w:highlight w:val="none"/>
        </w:rPr>
        <w:t xml:space="preserve">的法定代表人，现授权委托我单位的 </w:t>
      </w:r>
      <w:r>
        <w:rPr>
          <w:rFonts w:hint="eastAsia" w:ascii="宋体" w:hAnsi="宋体"/>
          <w:color w:val="auto"/>
          <w:szCs w:val="21"/>
          <w:highlight w:val="none"/>
          <w:u w:val="single"/>
        </w:rPr>
        <w:t xml:space="preserve">         </w:t>
      </w:r>
      <w:r>
        <w:rPr>
          <w:rFonts w:hint="eastAsia" w:ascii="宋体" w:hAnsi="宋体"/>
          <w:color w:val="auto"/>
          <w:szCs w:val="21"/>
          <w:highlight w:val="none"/>
        </w:rPr>
        <w:t>(姓名</w:t>
      </w:r>
      <w:r>
        <w:rPr>
          <w:rFonts w:ascii="宋体" w:hAnsi="宋体"/>
          <w:color w:val="auto"/>
          <w:szCs w:val="21"/>
          <w:highlight w:val="none"/>
        </w:rPr>
        <w:t>)</w:t>
      </w:r>
      <w:r>
        <w:rPr>
          <w:rFonts w:hint="eastAsia" w:ascii="宋体" w:hAnsi="宋体"/>
          <w:color w:val="auto"/>
          <w:szCs w:val="21"/>
          <w:highlight w:val="none"/>
        </w:rPr>
        <w:t>为我公司代理人，以公司名义参加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(项目名称)（招标编号：</w:t>
      </w:r>
      <w:r>
        <w:rPr>
          <w:rFonts w:hint="eastAsia" w:ascii="宋体" w:hAnsi="宋体"/>
          <w:color w:val="auto"/>
          <w:szCs w:val="21"/>
          <w:highlight w:val="none"/>
          <w:u w:val="single"/>
        </w:rPr>
        <w:t xml:space="preserve">          </w:t>
      </w:r>
      <w:r>
        <w:rPr>
          <w:rFonts w:hint="eastAsia" w:ascii="宋体" w:hAnsi="宋体"/>
          <w:color w:val="auto"/>
          <w:szCs w:val="21"/>
          <w:highlight w:val="none"/>
        </w:rPr>
        <w:t>)的公开招标活动。代理人在开标、评标、合同过程中所签署的一切文件和处理与之有关的一切事务，我均予以承认。</w:t>
      </w:r>
    </w:p>
    <w:p w14:paraId="312231BF">
      <w:pPr>
        <w:shd w:val="clear"/>
        <w:spacing w:line="500" w:lineRule="exact"/>
        <w:ind w:firstLine="420"/>
        <w:rPr>
          <w:rFonts w:ascii="宋体" w:hAnsi="宋体"/>
          <w:color w:val="auto"/>
          <w:szCs w:val="21"/>
          <w:highlight w:val="none"/>
        </w:rPr>
      </w:pPr>
    </w:p>
    <w:p w14:paraId="66F1A521">
      <w:pPr>
        <w:shd w:val="clear"/>
        <w:spacing w:before="120" w:line="500" w:lineRule="exact"/>
        <w:rPr>
          <w:rFonts w:ascii="宋体" w:hAnsi="宋体"/>
          <w:color w:val="auto"/>
          <w:szCs w:val="21"/>
          <w:highlight w:val="none"/>
        </w:rPr>
      </w:pPr>
      <w:r>
        <w:rPr>
          <w:rFonts w:hint="eastAsia" w:ascii="宋体" w:hAnsi="宋体"/>
          <w:color w:val="auto"/>
          <w:szCs w:val="21"/>
          <w:highlight w:val="none"/>
        </w:rPr>
        <w:t>代理人(电子签名或签字)：</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47BC9F6C">
      <w:pPr>
        <w:shd w:val="clear"/>
        <w:spacing w:before="120" w:line="500" w:lineRule="exact"/>
        <w:rPr>
          <w:rFonts w:ascii="宋体" w:hAnsi="宋体"/>
          <w:color w:val="auto"/>
          <w:szCs w:val="21"/>
          <w:highlight w:val="none"/>
        </w:rPr>
      </w:pPr>
      <w:r>
        <w:rPr>
          <w:rFonts w:hint="eastAsia" w:ascii="宋体" w:hAnsi="宋体"/>
          <w:color w:val="auto"/>
          <w:szCs w:val="21"/>
          <w:highlight w:val="none"/>
        </w:rPr>
        <w:t>代理人无转委托权，特此委托。</w:t>
      </w:r>
    </w:p>
    <w:p w14:paraId="1B65EBF6">
      <w:pPr>
        <w:shd w:val="clear"/>
        <w:spacing w:before="120" w:line="500" w:lineRule="exact"/>
        <w:rPr>
          <w:rFonts w:ascii="宋体" w:hAnsi="宋体"/>
          <w:color w:val="auto"/>
          <w:szCs w:val="21"/>
          <w:highlight w:val="none"/>
          <w:u w:val="single"/>
        </w:rPr>
      </w:pPr>
      <w:r>
        <w:rPr>
          <w:rFonts w:hint="eastAsia" w:ascii="宋体" w:hAnsi="宋体"/>
          <w:color w:val="auto"/>
          <w:szCs w:val="21"/>
          <w:highlight w:val="none"/>
        </w:rPr>
        <w:t>投标人(电子签章)：</w:t>
      </w:r>
      <w:r>
        <w:rPr>
          <w:rFonts w:ascii="宋体" w:hAnsi="宋体"/>
          <w:color w:val="auto"/>
          <w:szCs w:val="21"/>
          <w:highlight w:val="none"/>
        </w:rPr>
        <w:t xml:space="preserve"> </w:t>
      </w:r>
      <w:r>
        <w:rPr>
          <w:rFonts w:ascii="宋体" w:hAnsi="宋体"/>
          <w:color w:val="auto"/>
          <w:szCs w:val="21"/>
          <w:highlight w:val="none"/>
          <w:u w:val="single"/>
        </w:rPr>
        <w:t xml:space="preserve">                         </w:t>
      </w:r>
    </w:p>
    <w:p w14:paraId="43F86F9D">
      <w:pPr>
        <w:pStyle w:val="56"/>
        <w:shd w:val="clear"/>
        <w:spacing w:line="500" w:lineRule="exact"/>
        <w:rPr>
          <w:rFonts w:ascii="宋体" w:hAnsi="宋体"/>
          <w:color w:val="auto"/>
          <w:sz w:val="21"/>
          <w:szCs w:val="21"/>
          <w:highlight w:val="none"/>
        </w:rPr>
      </w:pPr>
      <w:r>
        <w:rPr>
          <w:rFonts w:hint="eastAsia" w:ascii="宋体" w:hAnsi="宋体"/>
          <w:color w:val="auto"/>
          <w:sz w:val="21"/>
          <w:szCs w:val="21"/>
          <w:highlight w:val="none"/>
        </w:rPr>
        <w:t>法定代表人(电子签名或签字)：</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44686E30">
      <w:pPr>
        <w:shd w:val="clear"/>
        <w:spacing w:before="120" w:line="500" w:lineRule="exac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C8C6EA2">
      <w:pPr>
        <w:shd w:val="clear"/>
        <w:spacing w:before="120" w:line="500" w:lineRule="exact"/>
        <w:rPr>
          <w:rFonts w:ascii="宋体" w:hAnsi="宋体"/>
          <w:color w:val="auto"/>
          <w:sz w:val="24"/>
          <w:highlight w:val="none"/>
        </w:rPr>
      </w:pPr>
    </w:p>
    <w:tbl>
      <w:tblPr>
        <w:tblStyle w:val="26"/>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4846"/>
        <w:gridCol w:w="257"/>
        <w:gridCol w:w="4674"/>
      </w:tblGrid>
      <w:tr w14:paraId="6D1E9AF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3010" w:hRule="atLeast"/>
          <w:jc w:val="center"/>
        </w:trPr>
        <w:tc>
          <w:tcPr>
            <w:tcW w:w="4846" w:type="dxa"/>
            <w:vAlign w:val="center"/>
          </w:tcPr>
          <w:p w14:paraId="07704E1D">
            <w:pPr>
              <w:shd w:val="clear"/>
              <w:spacing w:line="460" w:lineRule="exact"/>
              <w:jc w:val="center"/>
              <w:rPr>
                <w:rFonts w:ascii="宋体" w:hAnsi="宋体"/>
                <w:color w:val="auto"/>
                <w:szCs w:val="21"/>
                <w:highlight w:val="none"/>
              </w:rPr>
            </w:pPr>
            <w:r>
              <w:rPr>
                <w:rFonts w:hint="eastAsia" w:ascii="宋体" w:hAnsi="宋体"/>
                <w:color w:val="auto"/>
                <w:szCs w:val="21"/>
                <w:highlight w:val="none"/>
              </w:rPr>
              <w:t>代理人身份证复印件或扫描件正面</w:t>
            </w:r>
          </w:p>
        </w:tc>
        <w:tc>
          <w:tcPr>
            <w:tcW w:w="257" w:type="dxa"/>
            <w:tcBorders>
              <w:top w:val="nil"/>
              <w:bottom w:val="nil"/>
            </w:tcBorders>
            <w:vAlign w:val="center"/>
          </w:tcPr>
          <w:p w14:paraId="52B2C522">
            <w:pPr>
              <w:widowControl/>
              <w:shd w:val="clear"/>
              <w:spacing w:line="460" w:lineRule="exact"/>
              <w:jc w:val="center"/>
              <w:rPr>
                <w:rFonts w:ascii="宋体" w:hAnsi="宋体"/>
                <w:color w:val="auto"/>
                <w:szCs w:val="21"/>
                <w:highlight w:val="none"/>
              </w:rPr>
            </w:pPr>
          </w:p>
          <w:p w14:paraId="0CE1EDB2">
            <w:pPr>
              <w:shd w:val="clear"/>
              <w:spacing w:line="460" w:lineRule="exact"/>
              <w:jc w:val="center"/>
              <w:rPr>
                <w:rFonts w:ascii="宋体" w:hAnsi="宋体"/>
                <w:color w:val="auto"/>
                <w:szCs w:val="21"/>
                <w:highlight w:val="none"/>
              </w:rPr>
            </w:pPr>
          </w:p>
        </w:tc>
        <w:tc>
          <w:tcPr>
            <w:tcW w:w="4674" w:type="dxa"/>
            <w:vAlign w:val="center"/>
          </w:tcPr>
          <w:p w14:paraId="5D9E8586">
            <w:pPr>
              <w:shd w:val="clear"/>
              <w:spacing w:line="460" w:lineRule="exact"/>
              <w:jc w:val="center"/>
              <w:rPr>
                <w:rFonts w:ascii="宋体" w:hAnsi="宋体"/>
                <w:color w:val="auto"/>
                <w:szCs w:val="21"/>
                <w:highlight w:val="none"/>
              </w:rPr>
            </w:pPr>
            <w:r>
              <w:rPr>
                <w:rFonts w:hint="eastAsia" w:ascii="宋体" w:hAnsi="宋体"/>
                <w:color w:val="auto"/>
                <w:szCs w:val="21"/>
                <w:highlight w:val="none"/>
              </w:rPr>
              <w:t>代理人身份证复印件或扫描件背面</w:t>
            </w:r>
          </w:p>
        </w:tc>
      </w:tr>
    </w:tbl>
    <w:p w14:paraId="0B408EC8">
      <w:pPr>
        <w:shd w:val="clear"/>
        <w:rPr>
          <w:color w:val="auto"/>
          <w:highlight w:val="none"/>
        </w:rPr>
      </w:pPr>
    </w:p>
    <w:p w14:paraId="5112B6E8">
      <w:pPr>
        <w:widowControl/>
        <w:shd w:val="clear"/>
        <w:jc w:val="left"/>
        <w:rPr>
          <w:color w:val="auto"/>
          <w:highlight w:val="none"/>
        </w:rPr>
      </w:pPr>
      <w:r>
        <w:rPr>
          <w:color w:val="auto"/>
          <w:highlight w:val="none"/>
        </w:rPr>
        <w:br w:type="page"/>
      </w:r>
    </w:p>
    <w:p w14:paraId="2DAD6CF6">
      <w:pPr>
        <w:pStyle w:val="33"/>
        <w:shd w:val="clear"/>
        <w:spacing w:before="240"/>
        <w:jc w:val="center"/>
        <w:rPr>
          <w:rFonts w:ascii="宋体" w:hAnsi="宋体"/>
          <w:color w:val="auto"/>
          <w:highlight w:val="none"/>
        </w:rPr>
      </w:pPr>
      <w:bookmarkStart w:id="306" w:name="_Toc113985035"/>
      <w:bookmarkEnd w:id="306"/>
      <w:bookmarkStart w:id="307" w:name="_Toc25717"/>
      <w:r>
        <w:rPr>
          <w:rFonts w:hint="eastAsia" w:ascii="宋体" w:hAnsi="宋体"/>
          <w:color w:val="auto"/>
          <w:highlight w:val="none"/>
        </w:rPr>
        <w:t>七、</w:t>
      </w:r>
      <w:r>
        <w:rPr>
          <w:rFonts w:hint="eastAsia"/>
          <w:color w:val="auto"/>
          <w:spacing w:val="-2"/>
          <w:highlight w:val="none"/>
        </w:rPr>
        <w:t>投标保证金</w:t>
      </w:r>
      <w:r>
        <w:rPr>
          <w:rFonts w:hint="eastAsia" w:ascii="宋体" w:hAnsi="宋体"/>
          <w:color w:val="auto"/>
          <w:highlight w:val="none"/>
        </w:rPr>
        <w:t>交纳凭据</w:t>
      </w:r>
      <w:bookmarkEnd w:id="307"/>
    </w:p>
    <w:p w14:paraId="3DB84CB0">
      <w:pPr>
        <w:widowControl/>
        <w:shd w:val="clear"/>
        <w:spacing w:line="480" w:lineRule="auto"/>
        <w:jc w:val="center"/>
        <w:rPr>
          <w:color w:val="auto"/>
          <w:highlight w:val="none"/>
        </w:rPr>
      </w:pPr>
      <w:r>
        <w:rPr>
          <w:rFonts w:hint="eastAsia"/>
          <w:color w:val="auto"/>
          <w:highlight w:val="none"/>
        </w:rPr>
        <w:t>（附</w:t>
      </w:r>
      <w:r>
        <w:rPr>
          <w:rFonts w:hint="eastAsia"/>
          <w:color w:val="auto"/>
          <w:spacing w:val="-2"/>
          <w:highlight w:val="none"/>
        </w:rPr>
        <w:t>投标保证金</w:t>
      </w:r>
      <w:r>
        <w:rPr>
          <w:rFonts w:hint="eastAsia"/>
          <w:color w:val="auto"/>
          <w:highlight w:val="none"/>
        </w:rPr>
        <w:t>交纳凭据）</w:t>
      </w:r>
    </w:p>
    <w:p w14:paraId="5A4092A9">
      <w:pPr>
        <w:shd w:val="clear"/>
        <w:rPr>
          <w:color w:val="auto"/>
          <w:highlight w:val="none"/>
        </w:rPr>
      </w:pPr>
    </w:p>
    <w:p w14:paraId="2FAA9039">
      <w:pPr>
        <w:pStyle w:val="33"/>
        <w:shd w:val="clear"/>
        <w:spacing w:before="240" w:after="0"/>
        <w:jc w:val="center"/>
        <w:rPr>
          <w:color w:val="auto"/>
          <w:highlight w:val="none"/>
        </w:rPr>
      </w:pPr>
      <w:bookmarkStart w:id="308" w:name="_Toc455047387"/>
      <w:bookmarkEnd w:id="308"/>
      <w:bookmarkStart w:id="309" w:name="_Toc113985036"/>
      <w:bookmarkEnd w:id="309"/>
      <w:r>
        <w:rPr>
          <w:color w:val="auto"/>
          <w:highlight w:val="none"/>
        </w:rPr>
        <w:br w:type="page"/>
      </w:r>
      <w:bookmarkStart w:id="310" w:name="_Toc11947"/>
      <w:r>
        <w:rPr>
          <w:rFonts w:hint="eastAsia" w:ascii="宋体" w:hAnsi="宋体"/>
          <w:color w:val="auto"/>
          <w:highlight w:val="none"/>
        </w:rPr>
        <w:t>八、投标人基本情况表</w:t>
      </w:r>
      <w:bookmarkEnd w:id="310"/>
    </w:p>
    <w:tbl>
      <w:tblPr>
        <w:tblStyle w:val="26"/>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10"/>
        <w:gridCol w:w="1418"/>
        <w:gridCol w:w="1842"/>
        <w:gridCol w:w="1701"/>
        <w:gridCol w:w="1701"/>
      </w:tblGrid>
      <w:tr w14:paraId="2F980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2410" w:type="dxa"/>
            <w:vAlign w:val="center"/>
          </w:tcPr>
          <w:p w14:paraId="72A187ED">
            <w:pPr>
              <w:pStyle w:val="135"/>
              <w:shd w:val="clear"/>
              <w:spacing w:line="360" w:lineRule="auto"/>
              <w:ind w:left="139" w:right="20"/>
              <w:jc w:val="center"/>
              <w:rPr>
                <w:color w:val="auto"/>
                <w:sz w:val="21"/>
                <w:szCs w:val="21"/>
                <w:highlight w:val="none"/>
              </w:rPr>
            </w:pPr>
            <w:r>
              <w:rPr>
                <w:color w:val="auto"/>
                <w:sz w:val="21"/>
                <w:szCs w:val="21"/>
                <w:highlight w:val="none"/>
              </w:rPr>
              <w:t xml:space="preserve">投标人名称 </w:t>
            </w:r>
          </w:p>
        </w:tc>
        <w:tc>
          <w:tcPr>
            <w:tcW w:w="6662" w:type="dxa"/>
            <w:gridSpan w:val="4"/>
            <w:vAlign w:val="center"/>
          </w:tcPr>
          <w:p w14:paraId="7236FC20">
            <w:pPr>
              <w:pStyle w:val="135"/>
              <w:shd w:val="clear"/>
              <w:spacing w:line="360" w:lineRule="auto"/>
              <w:ind w:left="125"/>
              <w:jc w:val="center"/>
              <w:rPr>
                <w:color w:val="auto"/>
                <w:sz w:val="21"/>
                <w:szCs w:val="21"/>
                <w:highlight w:val="none"/>
              </w:rPr>
            </w:pPr>
            <w:r>
              <w:rPr>
                <w:color w:val="auto"/>
                <w:sz w:val="21"/>
                <w:szCs w:val="21"/>
                <w:highlight w:val="none"/>
              </w:rPr>
              <w:t xml:space="preserve"> </w:t>
            </w:r>
          </w:p>
        </w:tc>
      </w:tr>
      <w:tr w14:paraId="188A2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10" w:type="dxa"/>
            <w:vAlign w:val="center"/>
          </w:tcPr>
          <w:p w14:paraId="4EA8ED32">
            <w:pPr>
              <w:pStyle w:val="135"/>
              <w:shd w:val="clear"/>
              <w:spacing w:line="360" w:lineRule="auto"/>
              <w:ind w:left="139" w:right="20"/>
              <w:jc w:val="center"/>
              <w:rPr>
                <w:color w:val="auto"/>
                <w:sz w:val="21"/>
                <w:szCs w:val="21"/>
                <w:highlight w:val="none"/>
              </w:rPr>
            </w:pPr>
            <w:r>
              <w:rPr>
                <w:color w:val="auto"/>
                <w:sz w:val="21"/>
                <w:szCs w:val="21"/>
                <w:highlight w:val="none"/>
              </w:rPr>
              <w:t xml:space="preserve">注册资金 </w:t>
            </w:r>
          </w:p>
        </w:tc>
        <w:tc>
          <w:tcPr>
            <w:tcW w:w="3260" w:type="dxa"/>
            <w:gridSpan w:val="2"/>
            <w:vAlign w:val="center"/>
          </w:tcPr>
          <w:p w14:paraId="52DACA3C">
            <w:pPr>
              <w:pStyle w:val="135"/>
              <w:shd w:val="clear"/>
              <w:spacing w:line="360" w:lineRule="auto"/>
              <w:ind w:left="121"/>
              <w:jc w:val="center"/>
              <w:rPr>
                <w:color w:val="auto"/>
                <w:sz w:val="21"/>
                <w:szCs w:val="21"/>
                <w:highlight w:val="none"/>
              </w:rPr>
            </w:pPr>
            <w:r>
              <w:rPr>
                <w:color w:val="auto"/>
                <w:sz w:val="21"/>
                <w:szCs w:val="21"/>
                <w:highlight w:val="none"/>
              </w:rPr>
              <w:t xml:space="preserve"> </w:t>
            </w:r>
          </w:p>
        </w:tc>
        <w:tc>
          <w:tcPr>
            <w:tcW w:w="1701" w:type="dxa"/>
            <w:vAlign w:val="center"/>
          </w:tcPr>
          <w:p w14:paraId="2850B8CB">
            <w:pPr>
              <w:pStyle w:val="135"/>
              <w:shd w:val="clear"/>
              <w:spacing w:line="360" w:lineRule="auto"/>
              <w:ind w:left="256" w:right="137"/>
              <w:jc w:val="center"/>
              <w:rPr>
                <w:color w:val="auto"/>
                <w:sz w:val="21"/>
                <w:szCs w:val="21"/>
                <w:highlight w:val="none"/>
              </w:rPr>
            </w:pPr>
            <w:r>
              <w:rPr>
                <w:color w:val="auto"/>
                <w:sz w:val="21"/>
                <w:szCs w:val="21"/>
                <w:highlight w:val="none"/>
              </w:rPr>
              <w:t xml:space="preserve">成立时间 </w:t>
            </w:r>
          </w:p>
        </w:tc>
        <w:tc>
          <w:tcPr>
            <w:tcW w:w="1701" w:type="dxa"/>
            <w:vAlign w:val="center"/>
          </w:tcPr>
          <w:p w14:paraId="74CC8558">
            <w:pPr>
              <w:pStyle w:val="135"/>
              <w:shd w:val="clear"/>
              <w:spacing w:line="360" w:lineRule="auto"/>
              <w:ind w:right="856"/>
              <w:jc w:val="right"/>
              <w:rPr>
                <w:color w:val="auto"/>
                <w:sz w:val="21"/>
                <w:szCs w:val="21"/>
                <w:highlight w:val="none"/>
              </w:rPr>
            </w:pPr>
            <w:r>
              <w:rPr>
                <w:color w:val="auto"/>
                <w:sz w:val="21"/>
                <w:szCs w:val="21"/>
                <w:highlight w:val="none"/>
              </w:rPr>
              <w:t xml:space="preserve"> </w:t>
            </w:r>
          </w:p>
        </w:tc>
      </w:tr>
      <w:tr w14:paraId="13C53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2410" w:type="dxa"/>
            <w:vAlign w:val="center"/>
          </w:tcPr>
          <w:p w14:paraId="471CF9C2">
            <w:pPr>
              <w:pStyle w:val="135"/>
              <w:shd w:val="clear"/>
              <w:spacing w:line="360" w:lineRule="auto"/>
              <w:ind w:left="139" w:right="20"/>
              <w:jc w:val="center"/>
              <w:rPr>
                <w:color w:val="auto"/>
                <w:sz w:val="21"/>
                <w:szCs w:val="21"/>
                <w:highlight w:val="none"/>
              </w:rPr>
            </w:pPr>
            <w:r>
              <w:rPr>
                <w:color w:val="auto"/>
                <w:sz w:val="21"/>
                <w:szCs w:val="21"/>
                <w:highlight w:val="none"/>
              </w:rPr>
              <w:t xml:space="preserve">注册地址 </w:t>
            </w:r>
          </w:p>
        </w:tc>
        <w:tc>
          <w:tcPr>
            <w:tcW w:w="6662" w:type="dxa"/>
            <w:gridSpan w:val="4"/>
            <w:vAlign w:val="center"/>
          </w:tcPr>
          <w:p w14:paraId="26248FFC">
            <w:pPr>
              <w:pStyle w:val="135"/>
              <w:shd w:val="clear"/>
              <w:spacing w:line="360" w:lineRule="auto"/>
              <w:ind w:left="125"/>
              <w:jc w:val="center"/>
              <w:rPr>
                <w:color w:val="auto"/>
                <w:sz w:val="21"/>
                <w:szCs w:val="21"/>
                <w:highlight w:val="none"/>
              </w:rPr>
            </w:pPr>
            <w:r>
              <w:rPr>
                <w:color w:val="auto"/>
                <w:sz w:val="21"/>
                <w:szCs w:val="21"/>
                <w:highlight w:val="none"/>
              </w:rPr>
              <w:t xml:space="preserve"> </w:t>
            </w:r>
          </w:p>
        </w:tc>
      </w:tr>
      <w:tr w14:paraId="751A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2410" w:type="dxa"/>
            <w:vAlign w:val="center"/>
          </w:tcPr>
          <w:p w14:paraId="52B32625">
            <w:pPr>
              <w:pStyle w:val="135"/>
              <w:shd w:val="clear"/>
              <w:spacing w:line="360" w:lineRule="auto"/>
              <w:ind w:left="139" w:right="20"/>
              <w:jc w:val="center"/>
              <w:rPr>
                <w:color w:val="auto"/>
                <w:sz w:val="21"/>
                <w:szCs w:val="21"/>
                <w:highlight w:val="none"/>
              </w:rPr>
            </w:pPr>
            <w:r>
              <w:rPr>
                <w:color w:val="auto"/>
                <w:sz w:val="21"/>
                <w:szCs w:val="21"/>
                <w:highlight w:val="none"/>
              </w:rPr>
              <w:t xml:space="preserve">邮政编码 </w:t>
            </w:r>
          </w:p>
        </w:tc>
        <w:tc>
          <w:tcPr>
            <w:tcW w:w="3260" w:type="dxa"/>
            <w:gridSpan w:val="2"/>
            <w:vAlign w:val="center"/>
          </w:tcPr>
          <w:p w14:paraId="23E7876B">
            <w:pPr>
              <w:pStyle w:val="135"/>
              <w:shd w:val="clear"/>
              <w:spacing w:line="360" w:lineRule="auto"/>
              <w:ind w:left="121"/>
              <w:jc w:val="center"/>
              <w:rPr>
                <w:color w:val="auto"/>
                <w:sz w:val="21"/>
                <w:szCs w:val="21"/>
                <w:highlight w:val="none"/>
              </w:rPr>
            </w:pPr>
            <w:r>
              <w:rPr>
                <w:color w:val="auto"/>
                <w:sz w:val="21"/>
                <w:szCs w:val="21"/>
                <w:highlight w:val="none"/>
              </w:rPr>
              <w:t xml:space="preserve"> </w:t>
            </w:r>
          </w:p>
        </w:tc>
        <w:tc>
          <w:tcPr>
            <w:tcW w:w="1701" w:type="dxa"/>
            <w:vAlign w:val="center"/>
          </w:tcPr>
          <w:p w14:paraId="19F10127">
            <w:pPr>
              <w:pStyle w:val="135"/>
              <w:shd w:val="clear"/>
              <w:spacing w:line="360" w:lineRule="auto"/>
              <w:ind w:left="256" w:right="137"/>
              <w:jc w:val="center"/>
              <w:rPr>
                <w:color w:val="auto"/>
                <w:sz w:val="21"/>
                <w:szCs w:val="21"/>
                <w:highlight w:val="none"/>
              </w:rPr>
            </w:pPr>
            <w:r>
              <w:rPr>
                <w:color w:val="auto"/>
                <w:sz w:val="21"/>
                <w:szCs w:val="21"/>
                <w:highlight w:val="none"/>
              </w:rPr>
              <w:t xml:space="preserve">员工总数 </w:t>
            </w:r>
          </w:p>
        </w:tc>
        <w:tc>
          <w:tcPr>
            <w:tcW w:w="1701" w:type="dxa"/>
            <w:vAlign w:val="center"/>
          </w:tcPr>
          <w:p w14:paraId="502EEDF5">
            <w:pPr>
              <w:pStyle w:val="135"/>
              <w:shd w:val="clear"/>
              <w:spacing w:line="360" w:lineRule="auto"/>
              <w:ind w:right="856"/>
              <w:jc w:val="right"/>
              <w:rPr>
                <w:color w:val="auto"/>
                <w:sz w:val="21"/>
                <w:szCs w:val="21"/>
                <w:highlight w:val="none"/>
              </w:rPr>
            </w:pPr>
            <w:r>
              <w:rPr>
                <w:color w:val="auto"/>
                <w:sz w:val="21"/>
                <w:szCs w:val="21"/>
                <w:highlight w:val="none"/>
              </w:rPr>
              <w:t xml:space="preserve"> </w:t>
            </w:r>
          </w:p>
        </w:tc>
      </w:tr>
      <w:tr w14:paraId="091CA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6" w:hRule="atLeast"/>
        </w:trPr>
        <w:tc>
          <w:tcPr>
            <w:tcW w:w="2410" w:type="dxa"/>
            <w:vMerge w:val="restart"/>
            <w:vAlign w:val="center"/>
          </w:tcPr>
          <w:p w14:paraId="45837532">
            <w:pPr>
              <w:pStyle w:val="135"/>
              <w:shd w:val="clear"/>
              <w:spacing w:line="360" w:lineRule="auto"/>
              <w:ind w:left="-2" w:leftChars="-1"/>
              <w:jc w:val="center"/>
              <w:rPr>
                <w:color w:val="auto"/>
                <w:sz w:val="21"/>
                <w:szCs w:val="21"/>
                <w:highlight w:val="none"/>
              </w:rPr>
            </w:pPr>
            <w:r>
              <w:rPr>
                <w:color w:val="auto"/>
                <w:sz w:val="21"/>
                <w:szCs w:val="21"/>
                <w:highlight w:val="none"/>
              </w:rPr>
              <w:t>联系方式</w:t>
            </w:r>
          </w:p>
        </w:tc>
        <w:tc>
          <w:tcPr>
            <w:tcW w:w="1418" w:type="dxa"/>
            <w:vAlign w:val="center"/>
          </w:tcPr>
          <w:p w14:paraId="564946AF">
            <w:pPr>
              <w:pStyle w:val="135"/>
              <w:shd w:val="clear"/>
              <w:spacing w:line="360" w:lineRule="auto"/>
              <w:ind w:left="352" w:right="227"/>
              <w:jc w:val="center"/>
              <w:rPr>
                <w:color w:val="auto"/>
                <w:sz w:val="21"/>
                <w:szCs w:val="21"/>
                <w:highlight w:val="none"/>
              </w:rPr>
            </w:pPr>
            <w:r>
              <w:rPr>
                <w:color w:val="auto"/>
                <w:sz w:val="21"/>
                <w:szCs w:val="21"/>
                <w:highlight w:val="none"/>
              </w:rPr>
              <w:t xml:space="preserve">联系人 </w:t>
            </w:r>
          </w:p>
        </w:tc>
        <w:tc>
          <w:tcPr>
            <w:tcW w:w="1842" w:type="dxa"/>
            <w:vAlign w:val="center"/>
          </w:tcPr>
          <w:p w14:paraId="6A8E7A51">
            <w:pPr>
              <w:pStyle w:val="135"/>
              <w:shd w:val="clear"/>
              <w:spacing w:line="360" w:lineRule="auto"/>
              <w:ind w:right="1231"/>
              <w:jc w:val="right"/>
              <w:rPr>
                <w:color w:val="auto"/>
                <w:sz w:val="21"/>
                <w:szCs w:val="21"/>
                <w:highlight w:val="none"/>
              </w:rPr>
            </w:pPr>
            <w:r>
              <w:rPr>
                <w:color w:val="auto"/>
                <w:sz w:val="21"/>
                <w:szCs w:val="21"/>
                <w:highlight w:val="none"/>
              </w:rPr>
              <w:t xml:space="preserve"> </w:t>
            </w:r>
          </w:p>
        </w:tc>
        <w:tc>
          <w:tcPr>
            <w:tcW w:w="1701" w:type="dxa"/>
            <w:vAlign w:val="center"/>
          </w:tcPr>
          <w:p w14:paraId="4C6AA994">
            <w:pPr>
              <w:pStyle w:val="135"/>
              <w:shd w:val="clear"/>
              <w:spacing w:line="360" w:lineRule="auto"/>
              <w:ind w:left="256" w:right="137"/>
              <w:jc w:val="center"/>
              <w:rPr>
                <w:color w:val="auto"/>
                <w:sz w:val="21"/>
                <w:szCs w:val="21"/>
                <w:highlight w:val="none"/>
              </w:rPr>
            </w:pPr>
            <w:r>
              <w:rPr>
                <w:color w:val="auto"/>
                <w:sz w:val="21"/>
                <w:szCs w:val="21"/>
                <w:highlight w:val="none"/>
              </w:rPr>
              <w:t xml:space="preserve">电话 </w:t>
            </w:r>
          </w:p>
        </w:tc>
        <w:tc>
          <w:tcPr>
            <w:tcW w:w="1701" w:type="dxa"/>
            <w:vAlign w:val="center"/>
          </w:tcPr>
          <w:p w14:paraId="48A21F02">
            <w:pPr>
              <w:pStyle w:val="135"/>
              <w:shd w:val="clear"/>
              <w:spacing w:line="360" w:lineRule="auto"/>
              <w:ind w:right="856"/>
              <w:jc w:val="right"/>
              <w:rPr>
                <w:color w:val="auto"/>
                <w:sz w:val="21"/>
                <w:szCs w:val="21"/>
                <w:highlight w:val="none"/>
              </w:rPr>
            </w:pPr>
            <w:r>
              <w:rPr>
                <w:color w:val="auto"/>
                <w:sz w:val="21"/>
                <w:szCs w:val="21"/>
                <w:highlight w:val="none"/>
              </w:rPr>
              <w:t xml:space="preserve"> </w:t>
            </w:r>
          </w:p>
        </w:tc>
      </w:tr>
      <w:tr w14:paraId="4B4A9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33" w:hRule="atLeast"/>
        </w:trPr>
        <w:tc>
          <w:tcPr>
            <w:tcW w:w="2410" w:type="dxa"/>
            <w:vMerge w:val="continue"/>
            <w:vAlign w:val="center"/>
          </w:tcPr>
          <w:p w14:paraId="59A982E6">
            <w:pPr>
              <w:shd w:val="clear"/>
              <w:autoSpaceDE w:val="0"/>
              <w:autoSpaceDN w:val="0"/>
              <w:spacing w:line="360" w:lineRule="auto"/>
              <w:rPr>
                <w:rFonts w:ascii="宋体" w:hAnsi="宋体"/>
                <w:color w:val="auto"/>
                <w:szCs w:val="21"/>
                <w:highlight w:val="none"/>
              </w:rPr>
            </w:pPr>
          </w:p>
        </w:tc>
        <w:tc>
          <w:tcPr>
            <w:tcW w:w="1418" w:type="dxa"/>
            <w:vAlign w:val="center"/>
          </w:tcPr>
          <w:p w14:paraId="708476BD">
            <w:pPr>
              <w:pStyle w:val="135"/>
              <w:shd w:val="clear"/>
              <w:spacing w:line="360" w:lineRule="auto"/>
              <w:ind w:left="352" w:right="227"/>
              <w:jc w:val="center"/>
              <w:rPr>
                <w:color w:val="auto"/>
                <w:sz w:val="21"/>
                <w:szCs w:val="21"/>
                <w:highlight w:val="none"/>
              </w:rPr>
            </w:pPr>
            <w:r>
              <w:rPr>
                <w:color w:val="auto"/>
                <w:sz w:val="21"/>
                <w:szCs w:val="21"/>
                <w:highlight w:val="none"/>
              </w:rPr>
              <w:t xml:space="preserve">网址 </w:t>
            </w:r>
          </w:p>
        </w:tc>
        <w:tc>
          <w:tcPr>
            <w:tcW w:w="1842" w:type="dxa"/>
            <w:vAlign w:val="center"/>
          </w:tcPr>
          <w:p w14:paraId="16F800A6">
            <w:pPr>
              <w:pStyle w:val="135"/>
              <w:shd w:val="clear"/>
              <w:spacing w:line="360" w:lineRule="auto"/>
              <w:ind w:right="1231"/>
              <w:jc w:val="right"/>
              <w:rPr>
                <w:color w:val="auto"/>
                <w:sz w:val="21"/>
                <w:szCs w:val="21"/>
                <w:highlight w:val="none"/>
              </w:rPr>
            </w:pPr>
            <w:r>
              <w:rPr>
                <w:color w:val="auto"/>
                <w:sz w:val="21"/>
                <w:szCs w:val="21"/>
                <w:highlight w:val="none"/>
              </w:rPr>
              <w:t xml:space="preserve"> </w:t>
            </w:r>
          </w:p>
        </w:tc>
        <w:tc>
          <w:tcPr>
            <w:tcW w:w="1701" w:type="dxa"/>
            <w:vAlign w:val="center"/>
          </w:tcPr>
          <w:p w14:paraId="172CD202">
            <w:pPr>
              <w:pStyle w:val="135"/>
              <w:shd w:val="clear"/>
              <w:spacing w:line="360" w:lineRule="auto"/>
              <w:ind w:left="256" w:right="137"/>
              <w:jc w:val="center"/>
              <w:rPr>
                <w:color w:val="auto"/>
                <w:sz w:val="21"/>
                <w:szCs w:val="21"/>
                <w:highlight w:val="none"/>
              </w:rPr>
            </w:pPr>
            <w:r>
              <w:rPr>
                <w:color w:val="auto"/>
                <w:sz w:val="21"/>
                <w:szCs w:val="21"/>
                <w:highlight w:val="none"/>
              </w:rPr>
              <w:t xml:space="preserve">传真 </w:t>
            </w:r>
          </w:p>
        </w:tc>
        <w:tc>
          <w:tcPr>
            <w:tcW w:w="1701" w:type="dxa"/>
            <w:vAlign w:val="center"/>
          </w:tcPr>
          <w:p w14:paraId="24DC58F2">
            <w:pPr>
              <w:pStyle w:val="135"/>
              <w:shd w:val="clear"/>
              <w:spacing w:line="360" w:lineRule="auto"/>
              <w:ind w:right="856"/>
              <w:jc w:val="right"/>
              <w:rPr>
                <w:color w:val="auto"/>
                <w:sz w:val="21"/>
                <w:szCs w:val="21"/>
                <w:highlight w:val="none"/>
              </w:rPr>
            </w:pPr>
            <w:r>
              <w:rPr>
                <w:color w:val="auto"/>
                <w:sz w:val="21"/>
                <w:szCs w:val="21"/>
                <w:highlight w:val="none"/>
              </w:rPr>
              <w:t xml:space="preserve"> </w:t>
            </w:r>
          </w:p>
        </w:tc>
      </w:tr>
      <w:tr w14:paraId="365CE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2410" w:type="dxa"/>
            <w:vAlign w:val="center"/>
          </w:tcPr>
          <w:p w14:paraId="31DE60E6">
            <w:pPr>
              <w:pStyle w:val="135"/>
              <w:shd w:val="clear"/>
              <w:spacing w:line="276" w:lineRule="auto"/>
              <w:ind w:left="139" w:right="20"/>
              <w:jc w:val="center"/>
              <w:rPr>
                <w:color w:val="auto"/>
                <w:sz w:val="21"/>
                <w:szCs w:val="21"/>
                <w:highlight w:val="none"/>
              </w:rPr>
            </w:pPr>
            <w:r>
              <w:rPr>
                <w:color w:val="auto"/>
                <w:sz w:val="21"/>
                <w:szCs w:val="21"/>
                <w:highlight w:val="none"/>
              </w:rPr>
              <w:t xml:space="preserve">法定代表人 </w:t>
            </w:r>
          </w:p>
          <w:p w14:paraId="37FBD9B7">
            <w:pPr>
              <w:pStyle w:val="135"/>
              <w:shd w:val="clear"/>
              <w:spacing w:line="276" w:lineRule="auto"/>
              <w:ind w:left="139" w:right="20"/>
              <w:jc w:val="center"/>
              <w:rPr>
                <w:color w:val="auto"/>
                <w:sz w:val="21"/>
                <w:szCs w:val="21"/>
                <w:highlight w:val="none"/>
              </w:rPr>
            </w:pPr>
            <w:r>
              <w:rPr>
                <w:color w:val="auto"/>
                <w:sz w:val="21"/>
                <w:szCs w:val="21"/>
                <w:highlight w:val="none"/>
              </w:rPr>
              <w:t xml:space="preserve">(单位负责人) </w:t>
            </w:r>
          </w:p>
        </w:tc>
        <w:tc>
          <w:tcPr>
            <w:tcW w:w="1418" w:type="dxa"/>
            <w:vAlign w:val="center"/>
          </w:tcPr>
          <w:p w14:paraId="5AF15603">
            <w:pPr>
              <w:pStyle w:val="135"/>
              <w:shd w:val="clear"/>
              <w:spacing w:line="276" w:lineRule="auto"/>
              <w:ind w:left="352" w:right="227"/>
              <w:jc w:val="center"/>
              <w:rPr>
                <w:color w:val="auto"/>
                <w:sz w:val="21"/>
                <w:szCs w:val="21"/>
                <w:highlight w:val="none"/>
              </w:rPr>
            </w:pPr>
            <w:r>
              <w:rPr>
                <w:color w:val="auto"/>
                <w:sz w:val="21"/>
                <w:szCs w:val="21"/>
                <w:highlight w:val="none"/>
              </w:rPr>
              <w:t xml:space="preserve">姓名 </w:t>
            </w:r>
          </w:p>
        </w:tc>
        <w:tc>
          <w:tcPr>
            <w:tcW w:w="1842" w:type="dxa"/>
            <w:vAlign w:val="center"/>
          </w:tcPr>
          <w:p w14:paraId="7815E9A0">
            <w:pPr>
              <w:pStyle w:val="135"/>
              <w:shd w:val="clear"/>
              <w:spacing w:line="276" w:lineRule="auto"/>
              <w:rPr>
                <w:b/>
                <w:color w:val="auto"/>
                <w:sz w:val="21"/>
                <w:szCs w:val="21"/>
                <w:highlight w:val="none"/>
              </w:rPr>
            </w:pPr>
          </w:p>
          <w:p w14:paraId="71E46BA4">
            <w:pPr>
              <w:pStyle w:val="135"/>
              <w:shd w:val="clear"/>
              <w:spacing w:line="276" w:lineRule="auto"/>
              <w:ind w:right="1231"/>
              <w:jc w:val="right"/>
              <w:rPr>
                <w:color w:val="auto"/>
                <w:sz w:val="21"/>
                <w:szCs w:val="21"/>
                <w:highlight w:val="none"/>
              </w:rPr>
            </w:pPr>
            <w:r>
              <w:rPr>
                <w:color w:val="auto"/>
                <w:sz w:val="21"/>
                <w:szCs w:val="21"/>
                <w:highlight w:val="none"/>
              </w:rPr>
              <w:t xml:space="preserve"> </w:t>
            </w:r>
          </w:p>
        </w:tc>
        <w:tc>
          <w:tcPr>
            <w:tcW w:w="1701" w:type="dxa"/>
            <w:vAlign w:val="center"/>
          </w:tcPr>
          <w:p w14:paraId="000090A2">
            <w:pPr>
              <w:pStyle w:val="135"/>
              <w:shd w:val="clear"/>
              <w:spacing w:line="276" w:lineRule="auto"/>
              <w:ind w:left="256" w:right="137"/>
              <w:jc w:val="center"/>
              <w:rPr>
                <w:color w:val="auto"/>
                <w:sz w:val="21"/>
                <w:szCs w:val="21"/>
                <w:highlight w:val="none"/>
              </w:rPr>
            </w:pPr>
            <w:r>
              <w:rPr>
                <w:color w:val="auto"/>
                <w:sz w:val="21"/>
                <w:szCs w:val="21"/>
                <w:highlight w:val="none"/>
              </w:rPr>
              <w:t xml:space="preserve">电话 </w:t>
            </w:r>
          </w:p>
        </w:tc>
        <w:tc>
          <w:tcPr>
            <w:tcW w:w="1701" w:type="dxa"/>
            <w:vAlign w:val="center"/>
          </w:tcPr>
          <w:p w14:paraId="2E8D216C">
            <w:pPr>
              <w:pStyle w:val="135"/>
              <w:shd w:val="clear"/>
              <w:spacing w:line="276" w:lineRule="auto"/>
              <w:rPr>
                <w:b/>
                <w:color w:val="auto"/>
                <w:sz w:val="21"/>
                <w:szCs w:val="21"/>
                <w:highlight w:val="none"/>
              </w:rPr>
            </w:pPr>
          </w:p>
          <w:p w14:paraId="5F98FCBC">
            <w:pPr>
              <w:pStyle w:val="135"/>
              <w:shd w:val="clear"/>
              <w:spacing w:line="276" w:lineRule="auto"/>
              <w:ind w:right="856"/>
              <w:jc w:val="right"/>
              <w:rPr>
                <w:color w:val="auto"/>
                <w:sz w:val="21"/>
                <w:szCs w:val="21"/>
                <w:highlight w:val="none"/>
              </w:rPr>
            </w:pPr>
            <w:r>
              <w:rPr>
                <w:color w:val="auto"/>
                <w:sz w:val="21"/>
                <w:szCs w:val="21"/>
                <w:highlight w:val="none"/>
              </w:rPr>
              <w:t xml:space="preserve"> </w:t>
            </w:r>
          </w:p>
        </w:tc>
      </w:tr>
      <w:tr w14:paraId="467BD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2410" w:type="dxa"/>
            <w:vAlign w:val="center"/>
          </w:tcPr>
          <w:p w14:paraId="7C968114">
            <w:pPr>
              <w:pStyle w:val="135"/>
              <w:shd w:val="clear"/>
              <w:spacing w:line="360" w:lineRule="auto"/>
              <w:ind w:left="139" w:right="139"/>
              <w:jc w:val="center"/>
              <w:rPr>
                <w:color w:val="auto"/>
                <w:sz w:val="21"/>
                <w:szCs w:val="21"/>
                <w:highlight w:val="none"/>
              </w:rPr>
            </w:pPr>
            <w:r>
              <w:rPr>
                <w:color w:val="auto"/>
                <w:sz w:val="21"/>
                <w:szCs w:val="21"/>
                <w:highlight w:val="none"/>
              </w:rPr>
              <w:t>投标人须知要求投标人需具有的各类资质</w:t>
            </w:r>
          </w:p>
          <w:p w14:paraId="278491B2">
            <w:pPr>
              <w:pStyle w:val="135"/>
              <w:shd w:val="clear"/>
              <w:spacing w:line="360" w:lineRule="auto"/>
              <w:ind w:left="139" w:right="20"/>
              <w:jc w:val="center"/>
              <w:rPr>
                <w:color w:val="auto"/>
                <w:sz w:val="21"/>
                <w:szCs w:val="21"/>
                <w:highlight w:val="none"/>
              </w:rPr>
            </w:pPr>
            <w:r>
              <w:rPr>
                <w:color w:val="auto"/>
                <w:sz w:val="21"/>
                <w:szCs w:val="21"/>
                <w:highlight w:val="none"/>
              </w:rPr>
              <w:t xml:space="preserve">证书(若有) </w:t>
            </w:r>
          </w:p>
        </w:tc>
        <w:tc>
          <w:tcPr>
            <w:tcW w:w="6662" w:type="dxa"/>
            <w:gridSpan w:val="4"/>
            <w:vAlign w:val="center"/>
          </w:tcPr>
          <w:p w14:paraId="122D172C">
            <w:pPr>
              <w:pStyle w:val="135"/>
              <w:shd w:val="clear"/>
              <w:spacing w:line="360" w:lineRule="auto"/>
              <w:ind w:left="105"/>
              <w:rPr>
                <w:color w:val="auto"/>
                <w:sz w:val="21"/>
                <w:szCs w:val="21"/>
                <w:highlight w:val="none"/>
              </w:rPr>
            </w:pPr>
            <w:r>
              <w:rPr>
                <w:color w:val="auto"/>
                <w:sz w:val="21"/>
                <w:szCs w:val="21"/>
                <w:highlight w:val="none"/>
              </w:rPr>
              <w:t xml:space="preserve">类 型： </w:t>
            </w:r>
          </w:p>
          <w:p w14:paraId="3AD96CB6">
            <w:pPr>
              <w:pStyle w:val="135"/>
              <w:shd w:val="clear"/>
              <w:spacing w:line="360" w:lineRule="auto"/>
              <w:ind w:left="105"/>
              <w:rPr>
                <w:color w:val="auto"/>
                <w:sz w:val="21"/>
                <w:szCs w:val="21"/>
                <w:highlight w:val="none"/>
              </w:rPr>
            </w:pPr>
            <w:r>
              <w:rPr>
                <w:color w:val="auto"/>
                <w:sz w:val="21"/>
                <w:szCs w:val="21"/>
                <w:highlight w:val="none"/>
              </w:rPr>
              <w:t xml:space="preserve">等 级： </w:t>
            </w:r>
          </w:p>
          <w:p w14:paraId="08873B9E">
            <w:pPr>
              <w:pStyle w:val="135"/>
              <w:shd w:val="clear"/>
              <w:spacing w:line="360" w:lineRule="auto"/>
              <w:ind w:left="105"/>
              <w:rPr>
                <w:color w:val="auto"/>
                <w:sz w:val="21"/>
                <w:szCs w:val="21"/>
                <w:highlight w:val="none"/>
              </w:rPr>
            </w:pPr>
            <w:r>
              <w:rPr>
                <w:color w:val="auto"/>
                <w:sz w:val="21"/>
                <w:szCs w:val="21"/>
                <w:highlight w:val="none"/>
              </w:rPr>
              <w:t xml:space="preserve">证书号： </w:t>
            </w:r>
          </w:p>
        </w:tc>
      </w:tr>
      <w:tr w14:paraId="3B896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2410" w:type="dxa"/>
            <w:vAlign w:val="center"/>
          </w:tcPr>
          <w:p w14:paraId="32F81AFF">
            <w:pPr>
              <w:pStyle w:val="135"/>
              <w:shd w:val="clear"/>
              <w:spacing w:line="360" w:lineRule="auto"/>
              <w:ind w:left="139" w:right="20"/>
              <w:jc w:val="center"/>
              <w:rPr>
                <w:color w:val="auto"/>
                <w:sz w:val="21"/>
                <w:szCs w:val="21"/>
                <w:highlight w:val="none"/>
              </w:rPr>
            </w:pPr>
            <w:r>
              <w:rPr>
                <w:color w:val="auto"/>
                <w:sz w:val="21"/>
                <w:szCs w:val="21"/>
                <w:highlight w:val="none"/>
              </w:rPr>
              <w:t xml:space="preserve">基本账户开户银行 </w:t>
            </w:r>
          </w:p>
        </w:tc>
        <w:tc>
          <w:tcPr>
            <w:tcW w:w="6662" w:type="dxa"/>
            <w:gridSpan w:val="4"/>
            <w:vAlign w:val="center"/>
          </w:tcPr>
          <w:p w14:paraId="7643760F">
            <w:pPr>
              <w:pStyle w:val="135"/>
              <w:shd w:val="clear"/>
              <w:spacing w:line="360" w:lineRule="auto"/>
              <w:ind w:left="125"/>
              <w:jc w:val="center"/>
              <w:rPr>
                <w:color w:val="auto"/>
                <w:sz w:val="21"/>
                <w:szCs w:val="21"/>
                <w:highlight w:val="none"/>
              </w:rPr>
            </w:pPr>
            <w:r>
              <w:rPr>
                <w:color w:val="auto"/>
                <w:sz w:val="21"/>
                <w:szCs w:val="21"/>
                <w:highlight w:val="none"/>
              </w:rPr>
              <w:t xml:space="preserve"> </w:t>
            </w:r>
          </w:p>
        </w:tc>
      </w:tr>
      <w:tr w14:paraId="2B69A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410" w:type="dxa"/>
            <w:vAlign w:val="center"/>
          </w:tcPr>
          <w:p w14:paraId="0836E00C">
            <w:pPr>
              <w:pStyle w:val="135"/>
              <w:shd w:val="clear"/>
              <w:spacing w:line="360" w:lineRule="auto"/>
              <w:ind w:left="139" w:right="20"/>
              <w:jc w:val="center"/>
              <w:rPr>
                <w:color w:val="auto"/>
                <w:sz w:val="21"/>
                <w:szCs w:val="21"/>
                <w:highlight w:val="none"/>
              </w:rPr>
            </w:pPr>
            <w:r>
              <w:rPr>
                <w:color w:val="auto"/>
                <w:sz w:val="21"/>
                <w:szCs w:val="21"/>
                <w:highlight w:val="none"/>
              </w:rPr>
              <w:t xml:space="preserve">基本账户银行账号 </w:t>
            </w:r>
          </w:p>
        </w:tc>
        <w:tc>
          <w:tcPr>
            <w:tcW w:w="6662" w:type="dxa"/>
            <w:gridSpan w:val="4"/>
            <w:vAlign w:val="center"/>
          </w:tcPr>
          <w:p w14:paraId="22C7D74E">
            <w:pPr>
              <w:pStyle w:val="135"/>
              <w:shd w:val="clear"/>
              <w:spacing w:line="360" w:lineRule="auto"/>
              <w:rPr>
                <w:b/>
                <w:color w:val="auto"/>
                <w:sz w:val="21"/>
                <w:szCs w:val="21"/>
                <w:highlight w:val="none"/>
              </w:rPr>
            </w:pPr>
          </w:p>
          <w:p w14:paraId="49564175">
            <w:pPr>
              <w:pStyle w:val="135"/>
              <w:shd w:val="clear"/>
              <w:spacing w:line="360" w:lineRule="auto"/>
              <w:ind w:left="125"/>
              <w:jc w:val="center"/>
              <w:rPr>
                <w:color w:val="auto"/>
                <w:sz w:val="21"/>
                <w:szCs w:val="21"/>
                <w:highlight w:val="none"/>
              </w:rPr>
            </w:pPr>
            <w:r>
              <w:rPr>
                <w:color w:val="auto"/>
                <w:sz w:val="21"/>
                <w:szCs w:val="21"/>
                <w:highlight w:val="none"/>
              </w:rPr>
              <w:t xml:space="preserve"> </w:t>
            </w:r>
          </w:p>
        </w:tc>
      </w:tr>
      <w:tr w14:paraId="2D944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8" w:hRule="atLeast"/>
        </w:trPr>
        <w:tc>
          <w:tcPr>
            <w:tcW w:w="2410" w:type="dxa"/>
            <w:vAlign w:val="center"/>
          </w:tcPr>
          <w:p w14:paraId="5BC523E9">
            <w:pPr>
              <w:pStyle w:val="135"/>
              <w:shd w:val="clear"/>
              <w:spacing w:line="360" w:lineRule="auto"/>
              <w:ind w:left="138"/>
              <w:jc w:val="center"/>
              <w:rPr>
                <w:color w:val="auto"/>
                <w:sz w:val="21"/>
                <w:szCs w:val="21"/>
                <w:highlight w:val="none"/>
              </w:rPr>
            </w:pPr>
            <w:r>
              <w:rPr>
                <w:color w:val="auto"/>
                <w:sz w:val="21"/>
                <w:szCs w:val="21"/>
                <w:highlight w:val="none"/>
              </w:rPr>
              <w:t>投标人关联企业情况</w:t>
            </w:r>
          </w:p>
          <w:p w14:paraId="29188BE8">
            <w:pPr>
              <w:pStyle w:val="135"/>
              <w:shd w:val="clear"/>
              <w:spacing w:line="360" w:lineRule="auto"/>
              <w:ind w:left="138" w:right="139" w:firstLine="62"/>
              <w:jc w:val="center"/>
              <w:rPr>
                <w:color w:val="auto"/>
                <w:sz w:val="21"/>
                <w:szCs w:val="21"/>
                <w:highlight w:val="none"/>
              </w:rPr>
            </w:pPr>
            <w:r>
              <w:rPr>
                <w:color w:val="auto"/>
                <w:sz w:val="21"/>
                <w:szCs w:val="21"/>
                <w:highlight w:val="none"/>
              </w:rPr>
              <w:t>(包括但不限于与投标人法定代表人(单位负责人)为同一人</w:t>
            </w:r>
            <w:r>
              <w:rPr>
                <w:color w:val="auto"/>
                <w:spacing w:val="-2"/>
                <w:sz w:val="21"/>
                <w:szCs w:val="21"/>
                <w:highlight w:val="none"/>
              </w:rPr>
              <w:t>或者存在控股、管理</w:t>
            </w:r>
            <w:r>
              <w:rPr>
                <w:color w:val="auto"/>
                <w:sz w:val="21"/>
                <w:szCs w:val="21"/>
                <w:highlight w:val="none"/>
              </w:rPr>
              <w:t>关系的不同单位)</w:t>
            </w:r>
          </w:p>
        </w:tc>
        <w:tc>
          <w:tcPr>
            <w:tcW w:w="6662" w:type="dxa"/>
            <w:gridSpan w:val="4"/>
            <w:vAlign w:val="center"/>
          </w:tcPr>
          <w:p w14:paraId="1613D398">
            <w:pPr>
              <w:pStyle w:val="135"/>
              <w:shd w:val="clear"/>
              <w:spacing w:line="360" w:lineRule="auto"/>
              <w:rPr>
                <w:b/>
                <w:color w:val="auto"/>
                <w:sz w:val="21"/>
                <w:szCs w:val="21"/>
                <w:highlight w:val="none"/>
              </w:rPr>
            </w:pPr>
          </w:p>
          <w:p w14:paraId="31B0257F">
            <w:pPr>
              <w:pStyle w:val="135"/>
              <w:shd w:val="clear"/>
              <w:spacing w:line="360" w:lineRule="auto"/>
              <w:rPr>
                <w:b/>
                <w:color w:val="auto"/>
                <w:sz w:val="21"/>
                <w:szCs w:val="21"/>
                <w:highlight w:val="none"/>
              </w:rPr>
            </w:pPr>
          </w:p>
          <w:p w14:paraId="17B9D2C0">
            <w:pPr>
              <w:pStyle w:val="135"/>
              <w:shd w:val="clear"/>
              <w:spacing w:line="360" w:lineRule="auto"/>
              <w:rPr>
                <w:b/>
                <w:color w:val="auto"/>
                <w:sz w:val="21"/>
                <w:szCs w:val="21"/>
                <w:highlight w:val="none"/>
              </w:rPr>
            </w:pPr>
          </w:p>
          <w:p w14:paraId="76D097DC">
            <w:pPr>
              <w:pStyle w:val="135"/>
              <w:shd w:val="clear"/>
              <w:spacing w:line="360" w:lineRule="auto"/>
              <w:ind w:left="125"/>
              <w:jc w:val="center"/>
              <w:rPr>
                <w:color w:val="auto"/>
                <w:sz w:val="21"/>
                <w:szCs w:val="21"/>
                <w:highlight w:val="none"/>
              </w:rPr>
            </w:pPr>
            <w:r>
              <w:rPr>
                <w:color w:val="auto"/>
                <w:sz w:val="21"/>
                <w:szCs w:val="21"/>
                <w:highlight w:val="none"/>
              </w:rPr>
              <w:t xml:space="preserve"> </w:t>
            </w:r>
          </w:p>
        </w:tc>
      </w:tr>
      <w:tr w14:paraId="24CA8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410" w:type="dxa"/>
            <w:vAlign w:val="center"/>
          </w:tcPr>
          <w:p w14:paraId="6BA5BF07">
            <w:pPr>
              <w:pStyle w:val="135"/>
              <w:shd w:val="clear"/>
              <w:spacing w:line="360" w:lineRule="auto"/>
              <w:ind w:left="139" w:right="19"/>
              <w:jc w:val="center"/>
              <w:rPr>
                <w:color w:val="auto"/>
                <w:sz w:val="21"/>
                <w:szCs w:val="21"/>
                <w:highlight w:val="none"/>
              </w:rPr>
            </w:pPr>
            <w:r>
              <w:rPr>
                <w:color w:val="auto"/>
                <w:sz w:val="21"/>
                <w:szCs w:val="21"/>
                <w:highlight w:val="none"/>
              </w:rPr>
              <w:t xml:space="preserve">备注 </w:t>
            </w:r>
          </w:p>
        </w:tc>
        <w:tc>
          <w:tcPr>
            <w:tcW w:w="6662" w:type="dxa"/>
            <w:gridSpan w:val="4"/>
            <w:vAlign w:val="center"/>
          </w:tcPr>
          <w:p w14:paraId="14B455A2">
            <w:pPr>
              <w:pStyle w:val="135"/>
              <w:shd w:val="clear"/>
              <w:spacing w:line="360" w:lineRule="auto"/>
              <w:ind w:left="125"/>
              <w:jc w:val="center"/>
              <w:rPr>
                <w:color w:val="auto"/>
                <w:sz w:val="21"/>
                <w:szCs w:val="21"/>
                <w:highlight w:val="none"/>
              </w:rPr>
            </w:pPr>
            <w:r>
              <w:rPr>
                <w:color w:val="auto"/>
                <w:sz w:val="21"/>
                <w:szCs w:val="21"/>
                <w:highlight w:val="none"/>
              </w:rPr>
              <w:t xml:space="preserve"> </w:t>
            </w:r>
          </w:p>
        </w:tc>
      </w:tr>
    </w:tbl>
    <w:p w14:paraId="178CAF5E">
      <w:pPr>
        <w:shd w:val="clear"/>
        <w:spacing w:line="360" w:lineRule="auto"/>
        <w:rPr>
          <w:color w:val="auto"/>
          <w:sz w:val="20"/>
          <w:szCs w:val="32"/>
          <w:highlight w:val="none"/>
        </w:rPr>
      </w:pPr>
      <w:r>
        <w:rPr>
          <w:rFonts w:hint="eastAsia"/>
          <w:color w:val="auto"/>
          <w:sz w:val="20"/>
          <w:szCs w:val="32"/>
          <w:highlight w:val="none"/>
        </w:rPr>
        <w:t>注：附投标人简介。</w:t>
      </w:r>
    </w:p>
    <w:p w14:paraId="3FFB6C4D">
      <w:pPr>
        <w:shd w:val="clear"/>
        <w:spacing w:before="60" w:after="60" w:line="480" w:lineRule="auto"/>
        <w:rPr>
          <w:rFonts w:ascii="宋体" w:hAnsi="宋体"/>
          <w:color w:val="auto"/>
          <w:szCs w:val="21"/>
          <w:highlight w:val="none"/>
        </w:rPr>
      </w:pPr>
    </w:p>
    <w:p w14:paraId="4BE4FC9A">
      <w:pPr>
        <w:pStyle w:val="33"/>
        <w:shd w:val="clear"/>
        <w:spacing w:before="240" w:after="0"/>
        <w:jc w:val="center"/>
        <w:rPr>
          <w:rFonts w:ascii="宋体" w:hAnsi="宋体"/>
          <w:color w:val="auto"/>
          <w:highlight w:val="none"/>
        </w:rPr>
      </w:pPr>
      <w:bookmarkStart w:id="311" w:name="_Toc111047018"/>
      <w:bookmarkStart w:id="312" w:name="_Toc11852"/>
      <w:r>
        <w:rPr>
          <w:rFonts w:hint="eastAsia" w:ascii="宋体" w:hAnsi="宋体"/>
          <w:color w:val="auto"/>
          <w:highlight w:val="none"/>
        </w:rPr>
        <w:t>九、中小企业声明函</w:t>
      </w:r>
      <w:bookmarkEnd w:id="311"/>
      <w:bookmarkEnd w:id="312"/>
    </w:p>
    <w:p w14:paraId="6B6E7C3E">
      <w:pPr>
        <w:shd w:val="clear"/>
        <w:jc w:val="center"/>
        <w:rPr>
          <w:b/>
          <w:bCs/>
          <w:color w:val="auto"/>
          <w:sz w:val="28"/>
          <w:szCs w:val="36"/>
          <w:highlight w:val="none"/>
        </w:rPr>
      </w:pPr>
      <w:r>
        <w:rPr>
          <w:rFonts w:hint="eastAsia" w:ascii="宋体" w:hAnsi="宋体"/>
          <w:b/>
          <w:bCs/>
          <w:color w:val="auto"/>
          <w:sz w:val="28"/>
          <w:szCs w:val="36"/>
          <w:highlight w:val="none"/>
        </w:rPr>
        <w:t>中小企业声明函</w:t>
      </w:r>
    </w:p>
    <w:p w14:paraId="4934CA98">
      <w:pPr>
        <w:pStyle w:val="121"/>
        <w:shd w:val="clear"/>
        <w:spacing w:line="360" w:lineRule="auto"/>
        <w:ind w:firstLine="480" w:firstLineChars="200"/>
        <w:rPr>
          <w:color w:val="auto"/>
          <w:highlight w:val="none"/>
        </w:rPr>
      </w:pPr>
    </w:p>
    <w:p w14:paraId="42942945">
      <w:pPr>
        <w:pStyle w:val="121"/>
        <w:shd w:val="clear"/>
        <w:spacing w:line="360" w:lineRule="auto"/>
        <w:ind w:firstLine="420" w:firstLineChars="200"/>
        <w:rPr>
          <w:color w:val="auto"/>
          <w:sz w:val="21"/>
          <w:szCs w:val="21"/>
          <w:highlight w:val="none"/>
        </w:rPr>
      </w:pPr>
      <w:r>
        <w:rPr>
          <w:rFonts w:hint="eastAsia"/>
          <w:color w:val="auto"/>
          <w:sz w:val="21"/>
          <w:szCs w:val="21"/>
          <w:highlight w:val="none"/>
        </w:rPr>
        <w:t>本公司（联合体）郑重声明，根据《政府采购促进中小企业发展管理办法》（财库</w:t>
      </w:r>
      <w:r>
        <w:rPr>
          <w:color w:val="auto"/>
          <w:sz w:val="21"/>
          <w:szCs w:val="21"/>
          <w:highlight w:val="none"/>
        </w:rPr>
        <w:t>[2020]46</w:t>
      </w:r>
      <w:r>
        <w:rPr>
          <w:rFonts w:hint="eastAsia"/>
          <w:color w:val="auto"/>
          <w:sz w:val="21"/>
          <w:szCs w:val="21"/>
          <w:highlight w:val="none"/>
        </w:rPr>
        <w:t>号）的规定，本公司（联合体）参加</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rPr>
        <w:t>（单位名称）</w:t>
      </w:r>
      <w:r>
        <w:rPr>
          <w:rFonts w:hint="eastAsia"/>
          <w:color w:val="auto"/>
          <w:sz w:val="21"/>
          <w:szCs w:val="21"/>
          <w:highlight w:val="none"/>
        </w:rPr>
        <w:t>的</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rPr>
        <w:t>（项目名称）</w:t>
      </w:r>
      <w:r>
        <w:rPr>
          <w:rFonts w:hint="eastAsia"/>
          <w:color w:val="auto"/>
          <w:sz w:val="21"/>
          <w:szCs w:val="21"/>
          <w:highlight w:val="none"/>
        </w:rPr>
        <w:t>采购活动，货物全部由符合政策要求的中小企业承接。相关企业（含联合体中的中小企业、签订分包意向协议的中小企业）的具体情况如下：</w:t>
      </w:r>
    </w:p>
    <w:p w14:paraId="36432867">
      <w:pPr>
        <w:pStyle w:val="121"/>
        <w:shd w:val="clear"/>
        <w:spacing w:line="360" w:lineRule="auto"/>
        <w:ind w:firstLine="420" w:firstLineChars="200"/>
        <w:rPr>
          <w:color w:val="auto"/>
          <w:sz w:val="21"/>
          <w:szCs w:val="21"/>
          <w:highlight w:val="none"/>
          <w:u w:val="single"/>
        </w:rPr>
      </w:pPr>
      <w:r>
        <w:rPr>
          <w:color w:val="auto"/>
          <w:sz w:val="21"/>
          <w:szCs w:val="21"/>
          <w:highlight w:val="none"/>
        </w:rPr>
        <w:t>1.</w:t>
      </w:r>
      <w:r>
        <w:rPr>
          <w:rFonts w:hint="eastAsia"/>
          <w:color w:val="auto"/>
          <w:sz w:val="21"/>
          <w:szCs w:val="21"/>
          <w:highlight w:val="none"/>
          <w:u w:val="single"/>
        </w:rPr>
        <w:t>（标的名称），</w:t>
      </w:r>
      <w:r>
        <w:rPr>
          <w:rFonts w:hint="eastAsia"/>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rPr>
        <w:t>（采购文件中明确的所属行业）</w:t>
      </w:r>
      <w:r>
        <w:rPr>
          <w:rFonts w:hint="eastAsia"/>
          <w:color w:val="auto"/>
          <w:sz w:val="21"/>
          <w:szCs w:val="21"/>
          <w:highlight w:val="none"/>
        </w:rPr>
        <w:t>；承建（承接）企业为</w:t>
      </w:r>
      <w:r>
        <w:rPr>
          <w:color w:val="auto"/>
          <w:sz w:val="21"/>
          <w:szCs w:val="21"/>
          <w:highlight w:val="none"/>
          <w:u w:val="single"/>
        </w:rPr>
        <w:t xml:space="preserve">     </w:t>
      </w:r>
      <w:r>
        <w:rPr>
          <w:rFonts w:hint="eastAsia"/>
          <w:color w:val="auto"/>
          <w:sz w:val="21"/>
          <w:szCs w:val="21"/>
          <w:highlight w:val="none"/>
        </w:rPr>
        <w:t>（企业名称），从业人员</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万元</w:t>
      </w:r>
      <w:r>
        <w:rPr>
          <w:rFonts w:hint="eastAsia"/>
          <w:color w:val="auto"/>
          <w:sz w:val="21"/>
          <w:szCs w:val="21"/>
          <w:highlight w:val="none"/>
          <w:vertAlign w:val="superscript"/>
        </w:rPr>
        <w:t>1</w:t>
      </w:r>
      <w:r>
        <w:rPr>
          <w:rFonts w:hint="eastAsia"/>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rPr>
        <w:t>（中型企业、小型企业、微型企业）；</w:t>
      </w:r>
    </w:p>
    <w:p w14:paraId="0585864B">
      <w:pPr>
        <w:pStyle w:val="121"/>
        <w:shd w:val="clear"/>
        <w:spacing w:line="360" w:lineRule="auto"/>
        <w:ind w:firstLine="420" w:firstLineChars="200"/>
        <w:rPr>
          <w:color w:val="auto"/>
          <w:sz w:val="21"/>
          <w:szCs w:val="21"/>
          <w:highlight w:val="none"/>
          <w:u w:val="single"/>
        </w:rPr>
      </w:pPr>
      <w:r>
        <w:rPr>
          <w:color w:val="auto"/>
          <w:sz w:val="21"/>
          <w:szCs w:val="21"/>
          <w:highlight w:val="none"/>
        </w:rPr>
        <w:t>2.</w:t>
      </w:r>
      <w:r>
        <w:rPr>
          <w:rFonts w:hint="eastAsia"/>
          <w:color w:val="auto"/>
          <w:sz w:val="21"/>
          <w:szCs w:val="21"/>
          <w:highlight w:val="none"/>
          <w:u w:val="single"/>
        </w:rPr>
        <w:t>（标的名称），</w:t>
      </w:r>
      <w:r>
        <w:rPr>
          <w:rFonts w:hint="eastAsia"/>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rPr>
        <w:t>（采购文件中明确的所属行业）</w:t>
      </w:r>
      <w:r>
        <w:rPr>
          <w:rFonts w:hint="eastAsia"/>
          <w:color w:val="auto"/>
          <w:sz w:val="21"/>
          <w:szCs w:val="21"/>
          <w:highlight w:val="none"/>
        </w:rPr>
        <w:t>；承建（承接）企业为</w:t>
      </w:r>
      <w:r>
        <w:rPr>
          <w:color w:val="auto"/>
          <w:sz w:val="21"/>
          <w:szCs w:val="21"/>
          <w:highlight w:val="none"/>
          <w:u w:val="single"/>
        </w:rPr>
        <w:t xml:space="preserve">     </w:t>
      </w:r>
      <w:r>
        <w:rPr>
          <w:rFonts w:hint="eastAsia"/>
          <w:color w:val="auto"/>
          <w:sz w:val="21"/>
          <w:szCs w:val="21"/>
          <w:highlight w:val="none"/>
        </w:rPr>
        <w:t>（企业名称），从业人员</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人，营业收入为</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万元，资产总额为</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万元</w:t>
      </w:r>
      <w:r>
        <w:rPr>
          <w:rFonts w:hint="eastAsia"/>
          <w:color w:val="auto"/>
          <w:sz w:val="21"/>
          <w:szCs w:val="21"/>
          <w:highlight w:val="none"/>
          <w:vertAlign w:val="superscript"/>
        </w:rPr>
        <w:t>1</w:t>
      </w:r>
      <w:r>
        <w:rPr>
          <w:rFonts w:hint="eastAsia"/>
          <w:color w:val="auto"/>
          <w:sz w:val="21"/>
          <w:szCs w:val="21"/>
          <w:highlight w:val="none"/>
        </w:rPr>
        <w:t>，属于</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rPr>
        <w:t>（中型企业、小型企业、微型企业）；</w:t>
      </w:r>
    </w:p>
    <w:p w14:paraId="25FC9E20">
      <w:pPr>
        <w:pStyle w:val="121"/>
        <w:shd w:val="clear"/>
        <w:spacing w:line="360" w:lineRule="auto"/>
        <w:ind w:firstLine="420" w:firstLineChars="200"/>
        <w:rPr>
          <w:color w:val="auto"/>
          <w:sz w:val="21"/>
          <w:szCs w:val="21"/>
          <w:highlight w:val="none"/>
          <w:u w:val="single"/>
        </w:rPr>
      </w:pPr>
    </w:p>
    <w:p w14:paraId="6E1F984E">
      <w:pPr>
        <w:pStyle w:val="121"/>
        <w:shd w:val="clear"/>
        <w:spacing w:line="360" w:lineRule="auto"/>
        <w:ind w:firstLine="420" w:firstLineChars="200"/>
        <w:rPr>
          <w:color w:val="auto"/>
          <w:sz w:val="21"/>
          <w:szCs w:val="21"/>
          <w:highlight w:val="none"/>
        </w:rPr>
      </w:pPr>
      <w:r>
        <w:rPr>
          <w:rFonts w:hint="eastAsia"/>
          <w:color w:val="auto"/>
          <w:sz w:val="21"/>
          <w:szCs w:val="21"/>
          <w:highlight w:val="none"/>
        </w:rPr>
        <w:t>……</w:t>
      </w:r>
    </w:p>
    <w:p w14:paraId="649CA85C">
      <w:pPr>
        <w:shd w:val="clear"/>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以上企业，不属于大企业的分支机构，不存在控股股东为大企业的情形，也不存在与大企业的负责人为同一人的情形。</w:t>
      </w:r>
    </w:p>
    <w:p w14:paraId="2647B065">
      <w:pPr>
        <w:shd w:val="clear"/>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本企业对上述声明内容的真实性负责。如有虚假，将依法承担相应责任。</w:t>
      </w:r>
    </w:p>
    <w:p w14:paraId="29AA6E86">
      <w:pPr>
        <w:shd w:val="clear"/>
        <w:spacing w:line="360" w:lineRule="auto"/>
        <w:ind w:firstLine="2520" w:firstLineChars="1200"/>
        <w:rPr>
          <w:rFonts w:ascii="宋体" w:cs="宋体"/>
          <w:color w:val="auto"/>
          <w:kern w:val="0"/>
          <w:szCs w:val="21"/>
          <w:highlight w:val="none"/>
        </w:rPr>
      </w:pPr>
    </w:p>
    <w:p w14:paraId="4C9960E3">
      <w:pPr>
        <w:shd w:val="clear"/>
        <w:spacing w:line="360" w:lineRule="auto"/>
        <w:ind w:firstLine="5040" w:firstLineChars="2400"/>
        <w:rPr>
          <w:rFonts w:ascii="宋体" w:cs="宋体"/>
          <w:color w:val="auto"/>
          <w:kern w:val="0"/>
          <w:szCs w:val="21"/>
          <w:highlight w:val="none"/>
        </w:rPr>
      </w:pPr>
      <w:r>
        <w:rPr>
          <w:rFonts w:hint="eastAsia" w:ascii="宋体" w:cs="宋体"/>
          <w:color w:val="auto"/>
          <w:kern w:val="0"/>
          <w:szCs w:val="21"/>
          <w:highlight w:val="none"/>
        </w:rPr>
        <w:t>企业名称（盖章）：</w:t>
      </w:r>
    </w:p>
    <w:p w14:paraId="3A8123B6">
      <w:pPr>
        <w:shd w:val="clear"/>
        <w:spacing w:line="360" w:lineRule="auto"/>
        <w:ind w:firstLine="5040" w:firstLineChars="2400"/>
        <w:rPr>
          <w:rFonts w:ascii="宋体" w:cs="宋体"/>
          <w:color w:val="auto"/>
          <w:kern w:val="0"/>
          <w:szCs w:val="21"/>
          <w:highlight w:val="none"/>
        </w:rPr>
      </w:pPr>
    </w:p>
    <w:p w14:paraId="72247DB7">
      <w:pPr>
        <w:shd w:val="clear"/>
        <w:spacing w:line="360" w:lineRule="auto"/>
        <w:ind w:firstLine="6163" w:firstLineChars="2935"/>
        <w:rPr>
          <w:rFonts w:ascii="宋体" w:cs="宋体"/>
          <w:color w:val="auto"/>
          <w:kern w:val="0"/>
          <w:szCs w:val="21"/>
          <w:highlight w:val="none"/>
        </w:rPr>
      </w:pPr>
      <w:r>
        <w:rPr>
          <w:rFonts w:hint="eastAsia" w:ascii="宋体" w:cs="宋体"/>
          <w:color w:val="auto"/>
          <w:kern w:val="0"/>
          <w:szCs w:val="21"/>
          <w:highlight w:val="none"/>
        </w:rPr>
        <w:t>日 期：</w:t>
      </w:r>
    </w:p>
    <w:p w14:paraId="1CD55C3E">
      <w:pPr>
        <w:shd w:val="clear"/>
        <w:spacing w:line="360" w:lineRule="auto"/>
        <w:ind w:firstLine="420" w:firstLineChars="200"/>
        <w:rPr>
          <w:rFonts w:ascii="宋体" w:cs="宋体"/>
          <w:color w:val="auto"/>
          <w:kern w:val="0"/>
          <w:szCs w:val="21"/>
          <w:highlight w:val="none"/>
          <w:u w:val="single"/>
        </w:rPr>
      </w:pPr>
      <w:r>
        <w:rPr>
          <w:rFonts w:hint="eastAsia" w:ascii="宋体" w:cs="宋体"/>
          <w:color w:val="auto"/>
          <w:kern w:val="0"/>
          <w:szCs w:val="21"/>
          <w:highlight w:val="none"/>
          <w:u w:val="single"/>
        </w:rPr>
        <w:t xml:space="preserve"> </w:t>
      </w:r>
      <w:r>
        <w:rPr>
          <w:rFonts w:ascii="宋体" w:cs="宋体"/>
          <w:color w:val="auto"/>
          <w:kern w:val="0"/>
          <w:szCs w:val="21"/>
          <w:highlight w:val="none"/>
          <w:u w:val="single"/>
        </w:rPr>
        <w:t xml:space="preserve">                                                                                 </w:t>
      </w:r>
    </w:p>
    <w:p w14:paraId="063F2561">
      <w:pPr>
        <w:shd w:val="clear"/>
        <w:spacing w:line="360" w:lineRule="auto"/>
        <w:ind w:firstLine="420" w:firstLineChars="200"/>
        <w:rPr>
          <w:color w:val="auto"/>
          <w:sz w:val="18"/>
          <w:szCs w:val="18"/>
          <w:highlight w:val="none"/>
        </w:rPr>
      </w:pPr>
      <w:r>
        <w:rPr>
          <w:rFonts w:hint="eastAsia" w:ascii="宋体" w:cs="宋体"/>
          <w:color w:val="auto"/>
          <w:kern w:val="0"/>
          <w:szCs w:val="21"/>
          <w:highlight w:val="none"/>
          <w:vertAlign w:val="superscript"/>
        </w:rPr>
        <w:t xml:space="preserve">1 </w:t>
      </w:r>
      <w:r>
        <w:rPr>
          <w:rFonts w:hint="eastAsia" w:ascii="宋体" w:cs="宋体"/>
          <w:color w:val="auto"/>
          <w:kern w:val="0"/>
          <w:szCs w:val="21"/>
          <w:highlight w:val="none"/>
        </w:rPr>
        <w:t>从业人员、营业收入、资产总额填报上一年度数据，无上一年度数据的新成立企业可不填报。</w:t>
      </w:r>
    </w:p>
    <w:p w14:paraId="43CC67F3">
      <w:pPr>
        <w:pStyle w:val="12"/>
        <w:shd w:val="clear"/>
        <w:rPr>
          <w:rFonts w:ascii="宋体" w:hAnsi="宋体"/>
          <w:b/>
          <w:color w:val="auto"/>
          <w:highlight w:val="none"/>
        </w:rPr>
      </w:pPr>
      <w:r>
        <w:rPr>
          <w:rFonts w:hint="eastAsia" w:ascii="宋体" w:hAnsi="宋体"/>
          <w:b/>
          <w:color w:val="auto"/>
          <w:highlight w:val="none"/>
        </w:rPr>
        <w:t>注：</w:t>
      </w:r>
    </w:p>
    <w:p w14:paraId="24261CB1">
      <w:pPr>
        <w:pStyle w:val="12"/>
        <w:shd w:val="clear"/>
        <w:rPr>
          <w:rFonts w:ascii="宋体" w:hAnsi="宋体"/>
          <w:b/>
          <w:color w:val="auto"/>
          <w:highlight w:val="none"/>
        </w:rPr>
      </w:pPr>
      <w:r>
        <w:rPr>
          <w:rFonts w:hint="eastAsia" w:ascii="宋体" w:hAnsi="宋体"/>
          <w:b/>
          <w:color w:val="auto"/>
          <w:highlight w:val="none"/>
        </w:rPr>
        <w:t>1.投</w:t>
      </w:r>
      <w:r>
        <w:rPr>
          <w:rFonts w:hint="eastAsia" w:ascii="宋体" w:hAnsi="宋体" w:cs="微软雅黑"/>
          <w:b/>
          <w:color w:val="auto"/>
          <w:highlight w:val="none"/>
        </w:rPr>
        <w:t>标</w:t>
      </w:r>
      <w:r>
        <w:rPr>
          <w:rFonts w:hint="eastAsia" w:ascii="宋体" w:hAnsi="宋体" w:cs="Malgun Gothic"/>
          <w:b/>
          <w:color w:val="auto"/>
          <w:highlight w:val="none"/>
        </w:rPr>
        <w:t>人</w:t>
      </w:r>
      <w:r>
        <w:rPr>
          <w:rFonts w:hint="eastAsia" w:ascii="宋体" w:hAnsi="宋体" w:cs="微软雅黑"/>
          <w:b/>
          <w:color w:val="auto"/>
          <w:highlight w:val="none"/>
        </w:rPr>
        <w:t>须</w:t>
      </w:r>
      <w:r>
        <w:rPr>
          <w:rFonts w:hint="eastAsia" w:ascii="宋体" w:hAnsi="宋体" w:cs="Malgun Gothic"/>
          <w:b/>
          <w:color w:val="auto"/>
          <w:highlight w:val="none"/>
        </w:rPr>
        <w:t>根据制造商情</w:t>
      </w:r>
      <w:r>
        <w:rPr>
          <w:rFonts w:hint="eastAsia" w:ascii="宋体" w:hAnsi="宋体" w:cs="微软雅黑"/>
          <w:b/>
          <w:color w:val="auto"/>
          <w:highlight w:val="none"/>
        </w:rPr>
        <w:t>况</w:t>
      </w:r>
      <w:r>
        <w:rPr>
          <w:rFonts w:hint="eastAsia" w:ascii="宋体" w:hAnsi="宋体" w:cs="Malgun Gothic"/>
          <w:b/>
          <w:color w:val="auto"/>
          <w:highlight w:val="none"/>
        </w:rPr>
        <w:t>如</w:t>
      </w:r>
      <w:r>
        <w:rPr>
          <w:rFonts w:hint="eastAsia" w:ascii="宋体" w:hAnsi="宋体" w:cs="微软雅黑"/>
          <w:b/>
          <w:color w:val="auto"/>
          <w:highlight w:val="none"/>
        </w:rPr>
        <w:t>实</w:t>
      </w:r>
      <w:r>
        <w:rPr>
          <w:rFonts w:hint="eastAsia" w:ascii="宋体" w:hAnsi="宋体" w:cs="Malgun Gothic"/>
          <w:b/>
          <w:color w:val="auto"/>
          <w:highlight w:val="none"/>
        </w:rPr>
        <w:t>出具</w:t>
      </w:r>
      <w:r>
        <w:rPr>
          <w:rFonts w:hint="eastAsia" w:ascii="宋体" w:hAnsi="宋体" w:cs="微软雅黑"/>
          <w:b/>
          <w:color w:val="auto"/>
          <w:highlight w:val="none"/>
        </w:rPr>
        <w:t>声</w:t>
      </w:r>
      <w:r>
        <w:rPr>
          <w:rFonts w:hint="eastAsia" w:ascii="宋体" w:hAnsi="宋体" w:cs="Malgun Gothic"/>
          <w:b/>
          <w:color w:val="auto"/>
          <w:highlight w:val="none"/>
        </w:rPr>
        <w:t>明函。享受本招</w:t>
      </w:r>
      <w:r>
        <w:rPr>
          <w:rFonts w:hint="eastAsia" w:ascii="宋体" w:hAnsi="宋体" w:cs="微软雅黑"/>
          <w:b/>
          <w:color w:val="auto"/>
          <w:highlight w:val="none"/>
        </w:rPr>
        <w:t>标</w:t>
      </w:r>
      <w:r>
        <w:rPr>
          <w:rFonts w:hint="eastAsia" w:ascii="宋体" w:hAnsi="宋体" w:cs="Malgun Gothic"/>
          <w:b/>
          <w:color w:val="auto"/>
          <w:highlight w:val="none"/>
        </w:rPr>
        <w:t>文件</w:t>
      </w:r>
      <w:r>
        <w:rPr>
          <w:rFonts w:hint="eastAsia" w:ascii="宋体" w:hAnsi="宋体" w:cs="微软雅黑"/>
          <w:b/>
          <w:color w:val="auto"/>
          <w:highlight w:val="none"/>
        </w:rPr>
        <w:t>规</w:t>
      </w:r>
      <w:r>
        <w:rPr>
          <w:rFonts w:hint="eastAsia" w:ascii="宋体" w:hAnsi="宋体" w:cs="Malgun Gothic"/>
          <w:b/>
          <w:color w:val="auto"/>
          <w:highlight w:val="none"/>
        </w:rPr>
        <w:t>定的中小企</w:t>
      </w:r>
      <w:r>
        <w:rPr>
          <w:rFonts w:hint="eastAsia" w:ascii="宋体" w:hAnsi="宋体" w:cs="微软雅黑"/>
          <w:b/>
          <w:color w:val="auto"/>
          <w:highlight w:val="none"/>
        </w:rPr>
        <w:t>业</w:t>
      </w:r>
      <w:r>
        <w:rPr>
          <w:rFonts w:hint="eastAsia" w:ascii="宋体" w:hAnsi="宋体" w:cs="Malgun Gothic"/>
          <w:b/>
          <w:color w:val="auto"/>
          <w:highlight w:val="none"/>
        </w:rPr>
        <w:t>扶持政策的，</w:t>
      </w:r>
      <w:r>
        <w:rPr>
          <w:rFonts w:hint="eastAsia" w:ascii="宋体" w:hAnsi="宋体" w:cs="微软雅黑"/>
          <w:b/>
          <w:color w:val="auto"/>
          <w:highlight w:val="none"/>
        </w:rPr>
        <w:t>将随</w:t>
      </w:r>
      <w:r>
        <w:rPr>
          <w:rFonts w:hint="eastAsia" w:ascii="宋体" w:hAnsi="宋体" w:cs="Malgun Gothic"/>
          <w:b/>
          <w:color w:val="auto"/>
          <w:highlight w:val="none"/>
        </w:rPr>
        <w:t>中</w:t>
      </w:r>
      <w:r>
        <w:rPr>
          <w:rFonts w:hint="eastAsia" w:ascii="宋体" w:hAnsi="宋体" w:cs="微软雅黑"/>
          <w:b/>
          <w:color w:val="auto"/>
          <w:highlight w:val="none"/>
        </w:rPr>
        <w:t>标结</w:t>
      </w:r>
      <w:r>
        <w:rPr>
          <w:rFonts w:hint="eastAsia" w:ascii="宋体" w:hAnsi="宋体" w:cs="Malgun Gothic"/>
          <w:b/>
          <w:color w:val="auto"/>
          <w:highlight w:val="none"/>
        </w:rPr>
        <w:t>果公</w:t>
      </w:r>
      <w:r>
        <w:rPr>
          <w:rFonts w:hint="eastAsia" w:ascii="宋体" w:hAnsi="宋体" w:cs="微软雅黑"/>
          <w:b/>
          <w:color w:val="auto"/>
          <w:highlight w:val="none"/>
        </w:rPr>
        <w:t>开</w:t>
      </w:r>
      <w:r>
        <w:rPr>
          <w:rFonts w:hint="eastAsia" w:ascii="宋体" w:hAnsi="宋体" w:cs="Malgun Gothic"/>
          <w:b/>
          <w:color w:val="auto"/>
          <w:highlight w:val="none"/>
        </w:rPr>
        <w:t>中</w:t>
      </w:r>
      <w:r>
        <w:rPr>
          <w:rFonts w:hint="eastAsia" w:ascii="宋体" w:hAnsi="宋体" w:cs="微软雅黑"/>
          <w:b/>
          <w:color w:val="auto"/>
          <w:highlight w:val="none"/>
        </w:rPr>
        <w:t>标</w:t>
      </w:r>
      <w:r>
        <w:rPr>
          <w:rFonts w:hint="eastAsia" w:ascii="宋体" w:hAnsi="宋体" w:cs="Malgun Gothic"/>
          <w:b/>
          <w:color w:val="auto"/>
          <w:highlight w:val="none"/>
        </w:rPr>
        <w:t>人的《中小企</w:t>
      </w:r>
      <w:r>
        <w:rPr>
          <w:rFonts w:hint="eastAsia" w:ascii="宋体" w:hAnsi="宋体" w:cs="微软雅黑"/>
          <w:b/>
          <w:color w:val="auto"/>
          <w:highlight w:val="none"/>
        </w:rPr>
        <w:t>业声</w:t>
      </w:r>
      <w:r>
        <w:rPr>
          <w:rFonts w:hint="eastAsia" w:ascii="宋体" w:hAnsi="宋体" w:cs="Malgun Gothic"/>
          <w:b/>
          <w:color w:val="auto"/>
          <w:highlight w:val="none"/>
        </w:rPr>
        <w:t>明函》。</w:t>
      </w:r>
    </w:p>
    <w:p w14:paraId="28820520">
      <w:pPr>
        <w:pStyle w:val="12"/>
        <w:shd w:val="clear"/>
        <w:rPr>
          <w:rFonts w:ascii="宋体" w:hAnsi="宋体"/>
          <w:b/>
          <w:color w:val="auto"/>
          <w:highlight w:val="none"/>
        </w:rPr>
      </w:pPr>
      <w:r>
        <w:rPr>
          <w:rFonts w:hint="eastAsia" w:ascii="宋体" w:hAnsi="宋体"/>
          <w:b/>
          <w:color w:val="auto"/>
          <w:highlight w:val="none"/>
        </w:rPr>
        <w:t>2.所</w:t>
      </w:r>
      <w:r>
        <w:rPr>
          <w:rFonts w:hint="eastAsia" w:ascii="宋体" w:hAnsi="宋体" w:cs="微软雅黑"/>
          <w:b/>
          <w:color w:val="auto"/>
          <w:highlight w:val="none"/>
        </w:rPr>
        <w:t>声</w:t>
      </w:r>
      <w:r>
        <w:rPr>
          <w:rFonts w:hint="eastAsia" w:ascii="宋体" w:hAnsi="宋体" w:cs="Malgun Gothic"/>
          <w:b/>
          <w:color w:val="auto"/>
          <w:highlight w:val="none"/>
        </w:rPr>
        <w:t>明的</w:t>
      </w:r>
      <w:r>
        <w:rPr>
          <w:rFonts w:hint="eastAsia" w:ascii="宋体" w:hAnsi="宋体" w:cs="微软雅黑"/>
          <w:b/>
          <w:color w:val="auto"/>
          <w:highlight w:val="none"/>
        </w:rPr>
        <w:t>从业</w:t>
      </w:r>
      <w:r>
        <w:rPr>
          <w:rFonts w:hint="eastAsia" w:ascii="宋体" w:hAnsi="宋体" w:cs="Malgun Gothic"/>
          <w:b/>
          <w:color w:val="auto"/>
          <w:highlight w:val="none"/>
        </w:rPr>
        <w:t>人</w:t>
      </w:r>
      <w:r>
        <w:rPr>
          <w:rFonts w:hint="eastAsia" w:ascii="宋体" w:hAnsi="宋体" w:cs="微软雅黑"/>
          <w:b/>
          <w:color w:val="auto"/>
          <w:highlight w:val="none"/>
        </w:rPr>
        <w:t>员</w:t>
      </w:r>
      <w:r>
        <w:rPr>
          <w:rFonts w:hint="eastAsia" w:ascii="宋体" w:hAnsi="宋体" w:cs="Malgun Gothic"/>
          <w:b/>
          <w:color w:val="auto"/>
          <w:highlight w:val="none"/>
        </w:rPr>
        <w:t>人</w:t>
      </w:r>
      <w:r>
        <w:rPr>
          <w:rFonts w:hint="eastAsia" w:ascii="宋体" w:hAnsi="宋体" w:cs="微软雅黑"/>
          <w:b/>
          <w:color w:val="auto"/>
          <w:highlight w:val="none"/>
        </w:rPr>
        <w:t>数</w:t>
      </w:r>
      <w:r>
        <w:rPr>
          <w:rFonts w:hint="eastAsia" w:ascii="宋体" w:hAnsi="宋体" w:cs="Malgun Gothic"/>
          <w:b/>
          <w:color w:val="auto"/>
          <w:highlight w:val="none"/>
        </w:rPr>
        <w:t>、</w:t>
      </w:r>
      <w:r>
        <w:rPr>
          <w:rFonts w:hint="eastAsia" w:ascii="宋体" w:hAnsi="宋体" w:cs="微软雅黑"/>
          <w:b/>
          <w:color w:val="auto"/>
          <w:highlight w:val="none"/>
        </w:rPr>
        <w:t>营业</w:t>
      </w:r>
      <w:r>
        <w:rPr>
          <w:rFonts w:hint="eastAsia" w:ascii="宋体" w:hAnsi="宋体" w:cs="Malgun Gothic"/>
          <w:b/>
          <w:color w:val="auto"/>
          <w:highlight w:val="none"/>
        </w:rPr>
        <w:t>收入金</w:t>
      </w:r>
      <w:r>
        <w:rPr>
          <w:rFonts w:hint="eastAsia" w:ascii="宋体" w:hAnsi="宋体" w:cs="微软雅黑"/>
          <w:b/>
          <w:color w:val="auto"/>
          <w:highlight w:val="none"/>
        </w:rPr>
        <w:t>额</w:t>
      </w:r>
      <w:r>
        <w:rPr>
          <w:rFonts w:hint="eastAsia" w:ascii="宋体" w:hAnsi="宋体" w:cs="Malgun Gothic"/>
          <w:b/>
          <w:color w:val="auto"/>
          <w:highlight w:val="none"/>
        </w:rPr>
        <w:t>或</w:t>
      </w:r>
      <w:r>
        <w:rPr>
          <w:rFonts w:hint="eastAsia" w:ascii="宋体" w:hAnsi="宋体" w:cs="微软雅黑"/>
          <w:b/>
          <w:color w:val="auto"/>
          <w:highlight w:val="none"/>
        </w:rPr>
        <w:t>资产总额</w:t>
      </w:r>
      <w:r>
        <w:rPr>
          <w:rFonts w:hint="eastAsia" w:ascii="宋体" w:hAnsi="宋体" w:cs="Malgun Gothic"/>
          <w:b/>
          <w:color w:val="auto"/>
          <w:highlight w:val="none"/>
        </w:rPr>
        <w:t>不</w:t>
      </w:r>
      <w:r>
        <w:rPr>
          <w:rFonts w:hint="eastAsia" w:ascii="宋体" w:hAnsi="宋体" w:cs="微软雅黑"/>
          <w:b/>
          <w:color w:val="auto"/>
          <w:highlight w:val="none"/>
        </w:rPr>
        <w:t>实</w:t>
      </w:r>
      <w:r>
        <w:rPr>
          <w:rFonts w:hint="eastAsia" w:ascii="宋体" w:hAnsi="宋体" w:cs="Malgun Gothic"/>
          <w:b/>
          <w:color w:val="auto"/>
          <w:highlight w:val="none"/>
        </w:rPr>
        <w:t>的，依照《中</w:t>
      </w:r>
      <w:r>
        <w:rPr>
          <w:rFonts w:hint="eastAsia" w:ascii="宋体" w:hAnsi="宋体" w:cs="微软雅黑"/>
          <w:b/>
          <w:color w:val="auto"/>
          <w:highlight w:val="none"/>
        </w:rPr>
        <w:t>华</w:t>
      </w:r>
      <w:r>
        <w:rPr>
          <w:rFonts w:hint="eastAsia" w:ascii="宋体" w:hAnsi="宋体" w:cs="Malgun Gothic"/>
          <w:b/>
          <w:color w:val="auto"/>
          <w:highlight w:val="none"/>
        </w:rPr>
        <w:t>人民共和</w:t>
      </w:r>
      <w:r>
        <w:rPr>
          <w:rFonts w:hint="eastAsia" w:ascii="宋体" w:hAnsi="宋体" w:cs="微软雅黑"/>
          <w:b/>
          <w:color w:val="auto"/>
          <w:highlight w:val="none"/>
        </w:rPr>
        <w:t>国</w:t>
      </w:r>
      <w:r>
        <w:rPr>
          <w:rFonts w:hint="eastAsia" w:ascii="宋体" w:hAnsi="宋体" w:cs="Malgun Gothic"/>
          <w:b/>
          <w:color w:val="auto"/>
          <w:highlight w:val="none"/>
        </w:rPr>
        <w:t>政府采</w:t>
      </w:r>
      <w:r>
        <w:rPr>
          <w:rFonts w:hint="eastAsia" w:ascii="宋体" w:hAnsi="宋体" w:cs="微软雅黑"/>
          <w:b/>
          <w:color w:val="auto"/>
          <w:highlight w:val="none"/>
        </w:rPr>
        <w:t>购</w:t>
      </w:r>
      <w:r>
        <w:rPr>
          <w:rFonts w:hint="eastAsia" w:ascii="宋体" w:hAnsi="宋体" w:cs="Malgun Gothic"/>
          <w:b/>
          <w:color w:val="auto"/>
          <w:highlight w:val="none"/>
        </w:rPr>
        <w:t>法》等</w:t>
      </w:r>
      <w:r>
        <w:rPr>
          <w:rFonts w:hint="eastAsia" w:ascii="宋体" w:hAnsi="宋体" w:cs="微软雅黑"/>
          <w:b/>
          <w:color w:val="auto"/>
          <w:highlight w:val="none"/>
        </w:rPr>
        <w:t>国</w:t>
      </w:r>
      <w:r>
        <w:rPr>
          <w:rFonts w:hint="eastAsia" w:ascii="宋体" w:hAnsi="宋体" w:cs="Malgun Gothic"/>
          <w:b/>
          <w:color w:val="auto"/>
          <w:highlight w:val="none"/>
        </w:rPr>
        <w:t>家有</w:t>
      </w:r>
      <w:r>
        <w:rPr>
          <w:rFonts w:hint="eastAsia" w:ascii="宋体" w:hAnsi="宋体" w:cs="微软雅黑"/>
          <w:b/>
          <w:color w:val="auto"/>
          <w:highlight w:val="none"/>
        </w:rPr>
        <w:t>关规</w:t>
      </w:r>
      <w:r>
        <w:rPr>
          <w:rFonts w:hint="eastAsia" w:ascii="宋体" w:hAnsi="宋体" w:cs="Malgun Gothic"/>
          <w:b/>
          <w:color w:val="auto"/>
          <w:highlight w:val="none"/>
        </w:rPr>
        <w:t>定追究相</w:t>
      </w:r>
      <w:r>
        <w:rPr>
          <w:rFonts w:hint="eastAsia" w:ascii="宋体" w:hAnsi="宋体" w:cs="微软雅黑"/>
          <w:b/>
          <w:color w:val="auto"/>
          <w:highlight w:val="none"/>
        </w:rPr>
        <w:t>应责</w:t>
      </w:r>
      <w:r>
        <w:rPr>
          <w:rFonts w:hint="eastAsia" w:ascii="宋体" w:hAnsi="宋体" w:cs="Malgun Gothic"/>
          <w:b/>
          <w:color w:val="auto"/>
          <w:highlight w:val="none"/>
        </w:rPr>
        <w:t>任。</w:t>
      </w:r>
    </w:p>
    <w:p w14:paraId="4332E994">
      <w:pPr>
        <w:pStyle w:val="12"/>
        <w:shd w:val="clear"/>
        <w:rPr>
          <w:rFonts w:ascii="宋体" w:hAnsi="宋体" w:cs="Malgun Gothic"/>
          <w:b/>
          <w:color w:val="auto"/>
          <w:highlight w:val="none"/>
        </w:rPr>
      </w:pPr>
      <w:r>
        <w:rPr>
          <w:rFonts w:hint="eastAsia" w:ascii="宋体" w:hAnsi="宋体"/>
          <w:b/>
          <w:color w:val="auto"/>
          <w:highlight w:val="none"/>
        </w:rPr>
        <w:t>3.投</w:t>
      </w:r>
      <w:r>
        <w:rPr>
          <w:rFonts w:hint="eastAsia" w:ascii="宋体" w:hAnsi="宋体" w:cs="微软雅黑"/>
          <w:b/>
          <w:color w:val="auto"/>
          <w:highlight w:val="none"/>
        </w:rPr>
        <w:t>标</w:t>
      </w:r>
      <w:r>
        <w:rPr>
          <w:rFonts w:hint="eastAsia" w:ascii="宋体" w:hAnsi="宋体" w:cs="Malgun Gothic"/>
          <w:b/>
          <w:color w:val="auto"/>
          <w:highlight w:val="none"/>
        </w:rPr>
        <w:t>人</w:t>
      </w:r>
      <w:r>
        <w:rPr>
          <w:rFonts w:hint="eastAsia" w:ascii="宋体" w:hAnsi="宋体" w:cs="微软雅黑"/>
          <w:b/>
          <w:color w:val="auto"/>
          <w:highlight w:val="none"/>
        </w:rPr>
        <w:t>须按招标文件规定的所属行业，</w:t>
      </w:r>
      <w:r>
        <w:rPr>
          <w:rFonts w:hint="eastAsia" w:ascii="宋体" w:hAnsi="宋体" w:cs="Malgun Gothic"/>
          <w:b/>
          <w:color w:val="auto"/>
          <w:highlight w:val="none"/>
        </w:rPr>
        <w:t>核</w:t>
      </w:r>
      <w:r>
        <w:rPr>
          <w:rFonts w:hint="eastAsia" w:ascii="宋体" w:hAnsi="宋体" w:cs="微软雅黑"/>
          <w:b/>
          <w:color w:val="auto"/>
          <w:highlight w:val="none"/>
        </w:rPr>
        <w:t>对</w:t>
      </w:r>
      <w:r>
        <w:rPr>
          <w:rFonts w:hint="eastAsia" w:ascii="宋体" w:hAnsi="宋体" w:cs="Malgun Gothic"/>
          <w:b/>
          <w:color w:val="auto"/>
          <w:highlight w:val="none"/>
        </w:rPr>
        <w:t>《</w:t>
      </w:r>
      <w:r>
        <w:rPr>
          <w:rFonts w:hint="eastAsia" w:ascii="宋体" w:hAnsi="宋体" w:cs="微软雅黑"/>
          <w:b/>
          <w:color w:val="auto"/>
          <w:highlight w:val="none"/>
        </w:rPr>
        <w:t>关</w:t>
      </w:r>
      <w:r>
        <w:rPr>
          <w:rFonts w:hint="eastAsia" w:ascii="宋体" w:hAnsi="宋体" w:cs="Malgun Gothic"/>
          <w:b/>
          <w:color w:val="auto"/>
          <w:highlight w:val="none"/>
        </w:rPr>
        <w:t>于印</w:t>
      </w:r>
      <w:r>
        <w:rPr>
          <w:rFonts w:hint="eastAsia" w:ascii="宋体" w:hAnsi="宋体" w:cs="微软雅黑"/>
          <w:b/>
          <w:color w:val="auto"/>
          <w:highlight w:val="none"/>
        </w:rPr>
        <w:t>发</w:t>
      </w:r>
      <w:r>
        <w:rPr>
          <w:rFonts w:hint="eastAsia" w:ascii="宋体" w:hAnsi="宋体" w:cs="Malgun Gothic"/>
          <w:b/>
          <w:color w:val="auto"/>
          <w:highlight w:val="none"/>
        </w:rPr>
        <w:t>中小企</w:t>
      </w:r>
      <w:r>
        <w:rPr>
          <w:rFonts w:hint="eastAsia" w:ascii="宋体" w:hAnsi="宋体" w:cs="微软雅黑"/>
          <w:b/>
          <w:color w:val="auto"/>
          <w:highlight w:val="none"/>
        </w:rPr>
        <w:t>业划</w:t>
      </w:r>
      <w:r>
        <w:rPr>
          <w:rFonts w:hint="eastAsia" w:ascii="宋体" w:hAnsi="宋体" w:cs="Malgun Gothic"/>
          <w:b/>
          <w:color w:val="auto"/>
          <w:highlight w:val="none"/>
        </w:rPr>
        <w:t>型</w:t>
      </w:r>
      <w:r>
        <w:rPr>
          <w:rFonts w:hint="eastAsia" w:ascii="宋体" w:hAnsi="宋体" w:cs="微软雅黑"/>
          <w:b/>
          <w:color w:val="auto"/>
          <w:highlight w:val="none"/>
        </w:rPr>
        <w:t>标</w:t>
      </w:r>
      <w:r>
        <w:rPr>
          <w:rFonts w:hint="eastAsia" w:ascii="宋体" w:hAnsi="宋体" w:cs="Malgun Gothic"/>
          <w:b/>
          <w:color w:val="auto"/>
          <w:highlight w:val="none"/>
        </w:rPr>
        <w:t>准</w:t>
      </w:r>
      <w:r>
        <w:rPr>
          <w:rFonts w:hint="eastAsia" w:ascii="宋体" w:hAnsi="宋体" w:cs="微软雅黑"/>
          <w:b/>
          <w:color w:val="auto"/>
          <w:highlight w:val="none"/>
        </w:rPr>
        <w:t>规</w:t>
      </w:r>
      <w:r>
        <w:rPr>
          <w:rFonts w:hint="eastAsia" w:ascii="宋体" w:hAnsi="宋体" w:cs="Malgun Gothic"/>
          <w:b/>
          <w:color w:val="auto"/>
          <w:highlight w:val="none"/>
        </w:rPr>
        <w:t>定的通知》（工信部</w:t>
      </w:r>
      <w:r>
        <w:rPr>
          <w:rFonts w:hint="eastAsia" w:ascii="宋体" w:hAnsi="宋体" w:cs="微软雅黑"/>
          <w:b/>
          <w:color w:val="auto"/>
          <w:highlight w:val="none"/>
        </w:rPr>
        <w:t>联</w:t>
      </w:r>
      <w:r>
        <w:rPr>
          <w:rFonts w:hint="eastAsia" w:ascii="宋体" w:hAnsi="宋体" w:cs="Malgun Gothic"/>
          <w:b/>
          <w:color w:val="auto"/>
          <w:highlight w:val="none"/>
        </w:rPr>
        <w:t>企</w:t>
      </w:r>
      <w:r>
        <w:rPr>
          <w:rFonts w:hint="eastAsia" w:ascii="宋体" w:hAnsi="宋体" w:cs="微软雅黑"/>
          <w:b/>
          <w:color w:val="auto"/>
          <w:highlight w:val="none"/>
        </w:rPr>
        <w:t>业</w:t>
      </w:r>
      <w:r>
        <w:rPr>
          <w:rFonts w:hint="eastAsia" w:ascii="宋体" w:hAnsi="宋体" w:cs="Malgun Gothic"/>
          <w:b/>
          <w:color w:val="auto"/>
          <w:highlight w:val="none"/>
        </w:rPr>
        <w:t>〔</w:t>
      </w:r>
      <w:r>
        <w:rPr>
          <w:rFonts w:hint="eastAsia" w:ascii="宋体" w:hAnsi="宋体"/>
          <w:b/>
          <w:color w:val="auto"/>
          <w:highlight w:val="none"/>
        </w:rPr>
        <w:t>2011〕300</w:t>
      </w:r>
      <w:r>
        <w:rPr>
          <w:rFonts w:hint="eastAsia" w:ascii="宋体" w:hAnsi="宋体" w:cs="微软雅黑"/>
          <w:b/>
          <w:color w:val="auto"/>
          <w:highlight w:val="none"/>
        </w:rPr>
        <w:t>号</w:t>
      </w:r>
      <w:r>
        <w:rPr>
          <w:rFonts w:hint="eastAsia" w:ascii="宋体" w:hAnsi="宋体" w:cs="Malgun Gothic"/>
          <w:b/>
          <w:color w:val="auto"/>
          <w:highlight w:val="none"/>
        </w:rPr>
        <w:t>）</w:t>
      </w:r>
      <w:r>
        <w:rPr>
          <w:rFonts w:hint="eastAsia" w:ascii="宋体" w:hAnsi="宋体" w:cs="微软雅黑"/>
          <w:b/>
          <w:color w:val="auto"/>
          <w:highlight w:val="none"/>
        </w:rPr>
        <w:t>规</w:t>
      </w:r>
      <w:r>
        <w:rPr>
          <w:rFonts w:hint="eastAsia" w:ascii="宋体" w:hAnsi="宋体" w:cs="Malgun Gothic"/>
          <w:b/>
          <w:color w:val="auto"/>
          <w:highlight w:val="none"/>
        </w:rPr>
        <w:t>定的中小企</w:t>
      </w:r>
      <w:r>
        <w:rPr>
          <w:rFonts w:hint="eastAsia" w:ascii="宋体" w:hAnsi="宋体" w:cs="微软雅黑"/>
          <w:b/>
          <w:color w:val="auto"/>
          <w:highlight w:val="none"/>
        </w:rPr>
        <w:t>业划</w:t>
      </w:r>
      <w:r>
        <w:rPr>
          <w:rFonts w:hint="eastAsia" w:ascii="宋体" w:hAnsi="宋体" w:cs="Malgun Gothic"/>
          <w:b/>
          <w:color w:val="auto"/>
          <w:highlight w:val="none"/>
        </w:rPr>
        <w:t>型</w:t>
      </w:r>
      <w:r>
        <w:rPr>
          <w:rFonts w:hint="eastAsia" w:ascii="宋体" w:hAnsi="宋体" w:cs="微软雅黑"/>
          <w:b/>
          <w:color w:val="auto"/>
          <w:highlight w:val="none"/>
        </w:rPr>
        <w:t>标</w:t>
      </w:r>
      <w:r>
        <w:rPr>
          <w:rFonts w:hint="eastAsia" w:ascii="宋体" w:hAnsi="宋体" w:cs="Malgun Gothic"/>
          <w:b/>
          <w:color w:val="auto"/>
          <w:highlight w:val="none"/>
        </w:rPr>
        <w:t>准，如实出具声明函。中小企</w:t>
      </w:r>
      <w:r>
        <w:rPr>
          <w:rFonts w:hint="eastAsia" w:ascii="宋体" w:hAnsi="宋体" w:cs="微软雅黑"/>
          <w:b/>
          <w:color w:val="auto"/>
          <w:highlight w:val="none"/>
        </w:rPr>
        <w:t>业划</w:t>
      </w:r>
      <w:r>
        <w:rPr>
          <w:rFonts w:hint="eastAsia" w:ascii="宋体" w:hAnsi="宋体" w:cs="Malgun Gothic"/>
          <w:b/>
          <w:color w:val="auto"/>
          <w:highlight w:val="none"/>
        </w:rPr>
        <w:t>型</w:t>
      </w:r>
      <w:r>
        <w:rPr>
          <w:rFonts w:hint="eastAsia" w:ascii="宋体" w:hAnsi="宋体" w:cs="微软雅黑"/>
          <w:b/>
          <w:color w:val="auto"/>
          <w:highlight w:val="none"/>
        </w:rPr>
        <w:t>填写错误</w:t>
      </w:r>
      <w:r>
        <w:rPr>
          <w:rFonts w:hint="eastAsia" w:ascii="宋体" w:hAnsi="宋体" w:cs="Malgun Gothic"/>
          <w:b/>
          <w:color w:val="auto"/>
          <w:highlight w:val="none"/>
        </w:rPr>
        <w:t>或所</w:t>
      </w:r>
      <w:r>
        <w:rPr>
          <w:rFonts w:hint="eastAsia" w:ascii="宋体" w:hAnsi="宋体" w:cs="微软雅黑"/>
          <w:b/>
          <w:color w:val="auto"/>
          <w:highlight w:val="none"/>
        </w:rPr>
        <w:t>属</w:t>
      </w:r>
      <w:r>
        <w:rPr>
          <w:rFonts w:hint="eastAsia" w:ascii="宋体" w:hAnsi="宋体" w:cs="Malgun Gothic"/>
          <w:b/>
          <w:color w:val="auto"/>
          <w:highlight w:val="none"/>
        </w:rPr>
        <w:t>行</w:t>
      </w:r>
      <w:r>
        <w:rPr>
          <w:rFonts w:hint="eastAsia" w:ascii="宋体" w:hAnsi="宋体" w:cs="微软雅黑"/>
          <w:b/>
          <w:color w:val="auto"/>
          <w:highlight w:val="none"/>
        </w:rPr>
        <w:t>业填写错误</w:t>
      </w:r>
      <w:r>
        <w:rPr>
          <w:rFonts w:hint="eastAsia" w:ascii="宋体" w:hAnsi="宋体" w:cs="Malgun Gothic"/>
          <w:b/>
          <w:color w:val="auto"/>
          <w:highlight w:val="none"/>
        </w:rPr>
        <w:t>的，</w:t>
      </w:r>
      <w:r>
        <w:rPr>
          <w:rFonts w:hint="eastAsia" w:ascii="宋体" w:hAnsi="宋体" w:cs="微软雅黑"/>
          <w:b/>
          <w:color w:val="auto"/>
          <w:highlight w:val="none"/>
        </w:rPr>
        <w:t>评标</w:t>
      </w:r>
      <w:r>
        <w:rPr>
          <w:rFonts w:hint="eastAsia" w:ascii="宋体" w:hAnsi="宋体" w:cs="Malgun Gothic"/>
          <w:b/>
          <w:color w:val="auto"/>
          <w:highlight w:val="none"/>
        </w:rPr>
        <w:t>委</w:t>
      </w:r>
      <w:r>
        <w:rPr>
          <w:rFonts w:hint="eastAsia" w:ascii="宋体" w:hAnsi="宋体" w:cs="微软雅黑"/>
          <w:b/>
          <w:color w:val="auto"/>
          <w:highlight w:val="none"/>
        </w:rPr>
        <w:t>员会将</w:t>
      </w:r>
      <w:r>
        <w:rPr>
          <w:rFonts w:hint="eastAsia" w:ascii="宋体" w:hAnsi="宋体" w:cs="Malgun Gothic"/>
          <w:b/>
          <w:color w:val="auto"/>
          <w:highlight w:val="none"/>
        </w:rPr>
        <w:t>不予</w:t>
      </w:r>
      <w:r>
        <w:rPr>
          <w:rFonts w:hint="eastAsia" w:ascii="宋体" w:hAnsi="宋体" w:cs="微软雅黑"/>
          <w:b/>
          <w:color w:val="auto"/>
          <w:highlight w:val="none"/>
        </w:rPr>
        <w:t>进</w:t>
      </w:r>
      <w:r>
        <w:rPr>
          <w:rFonts w:hint="eastAsia" w:ascii="宋体" w:hAnsi="宋体" w:cs="Malgun Gothic"/>
          <w:b/>
          <w:color w:val="auto"/>
          <w:highlight w:val="none"/>
        </w:rPr>
        <w:t>行价格扣除。</w:t>
      </w:r>
    </w:p>
    <w:p w14:paraId="57BF282C">
      <w:pPr>
        <w:widowControl/>
        <w:shd w:val="clear"/>
        <w:spacing w:line="360" w:lineRule="auto"/>
        <w:jc w:val="left"/>
        <w:rPr>
          <w:rFonts w:ascii="仿宋" w:hAnsi="仿宋" w:eastAsia="仿宋" w:cs="仿宋"/>
          <w:color w:val="auto"/>
          <w:kern w:val="0"/>
          <w:sz w:val="32"/>
          <w:szCs w:val="32"/>
          <w:highlight w:val="none"/>
        </w:rPr>
      </w:pPr>
      <w:r>
        <w:rPr>
          <w:rFonts w:hint="eastAsia" w:ascii="宋体" w:hAnsi="宋体" w:cs="Malgun Gothic"/>
          <w:b/>
          <w:color w:val="auto"/>
          <w:highlight w:val="none"/>
        </w:rPr>
        <w:t>4</w:t>
      </w:r>
      <w:r>
        <w:rPr>
          <w:rFonts w:ascii="宋体" w:hAnsi="宋体" w:cs="Malgun Gothic"/>
          <w:b/>
          <w:color w:val="auto"/>
          <w:highlight w:val="none"/>
        </w:rPr>
        <w:t>.</w:t>
      </w:r>
      <w:r>
        <w:rPr>
          <w:rFonts w:hint="eastAsia" w:ascii="宋体" w:hAnsi="宋体" w:cs="Malgun Gothic"/>
          <w:b/>
          <w:color w:val="auto"/>
          <w:highlight w:val="none"/>
        </w:rPr>
        <w:t>若为货物采购项目包含多个标的物的，须逐项将货物制造商的相关信息全部列入《中小企业声明函》，并由投标人出具并加盖投标人公章。</w:t>
      </w:r>
      <w:r>
        <w:rPr>
          <w:color w:val="auto"/>
          <w:highlight w:val="none"/>
        </w:rPr>
        <w:br w:type="page"/>
      </w:r>
      <w:bookmarkStart w:id="313" w:name="_Toc21685908"/>
      <w:r>
        <w:rPr>
          <w:rFonts w:hint="eastAsia" w:ascii="仿宋" w:hAnsi="仿宋" w:eastAsia="仿宋" w:cs="仿宋"/>
          <w:color w:val="auto"/>
          <w:kern w:val="0"/>
          <w:sz w:val="32"/>
          <w:szCs w:val="32"/>
          <w:highlight w:val="none"/>
        </w:rPr>
        <w:t>附表</w:t>
      </w:r>
    </w:p>
    <w:p w14:paraId="2520D16A">
      <w:pPr>
        <w:widowControl/>
        <w:shd w:val="clear"/>
        <w:spacing w:line="360" w:lineRule="auto"/>
        <w:jc w:val="center"/>
        <w:rPr>
          <w:rFonts w:ascii="仿宋" w:hAnsi="仿宋" w:eastAsia="仿宋" w:cs="仿宋"/>
          <w:color w:val="auto"/>
          <w:kern w:val="0"/>
          <w:sz w:val="36"/>
          <w:szCs w:val="32"/>
          <w:highlight w:val="none"/>
        </w:rPr>
      </w:pPr>
      <w:r>
        <w:rPr>
          <w:rFonts w:hint="eastAsia" w:ascii="仿宋" w:hAnsi="仿宋" w:eastAsia="仿宋" w:cs="仿宋"/>
          <w:color w:val="auto"/>
          <w:kern w:val="0"/>
          <w:sz w:val="36"/>
          <w:szCs w:val="32"/>
          <w:highlight w:val="none"/>
        </w:rPr>
        <w:t>统计上大中小微型企业划分标准</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52FE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7DA14C9B">
            <w:pPr>
              <w:widowControl/>
              <w:shd w:val="clear"/>
              <w:spacing w:line="360" w:lineRule="auto"/>
              <w:jc w:val="center"/>
              <w:rPr>
                <w:rFonts w:ascii="仿宋" w:hAnsi="仿宋" w:eastAsia="仿宋" w:cs="仿宋"/>
                <w:b/>
                <w:bCs/>
                <w:color w:val="auto"/>
                <w:kern w:val="0"/>
                <w:sz w:val="18"/>
                <w:szCs w:val="21"/>
                <w:highlight w:val="none"/>
              </w:rPr>
            </w:pPr>
            <w:r>
              <w:rPr>
                <w:rFonts w:hint="eastAsia" w:ascii="仿宋" w:hAnsi="仿宋" w:eastAsia="仿宋" w:cs="仿宋"/>
                <w:b/>
                <w:bCs/>
                <w:color w:val="auto"/>
                <w:kern w:val="0"/>
                <w:sz w:val="18"/>
                <w:szCs w:val="21"/>
                <w:highlight w:val="none"/>
              </w:rPr>
              <w:t>行业名称</w:t>
            </w:r>
          </w:p>
        </w:tc>
        <w:tc>
          <w:tcPr>
            <w:tcW w:w="1369" w:type="dxa"/>
            <w:shd w:val="clear" w:color="auto" w:fill="auto"/>
            <w:vAlign w:val="center"/>
          </w:tcPr>
          <w:p w14:paraId="35E5654F">
            <w:pPr>
              <w:widowControl/>
              <w:shd w:val="clear"/>
              <w:spacing w:line="360" w:lineRule="auto"/>
              <w:jc w:val="center"/>
              <w:rPr>
                <w:rFonts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指标名称</w:t>
            </w:r>
          </w:p>
        </w:tc>
        <w:tc>
          <w:tcPr>
            <w:tcW w:w="709" w:type="dxa"/>
            <w:shd w:val="clear" w:color="auto" w:fill="auto"/>
            <w:vAlign w:val="center"/>
          </w:tcPr>
          <w:p w14:paraId="7E4A460A">
            <w:pPr>
              <w:widowControl/>
              <w:shd w:val="clear"/>
              <w:spacing w:line="360" w:lineRule="auto"/>
              <w:jc w:val="center"/>
              <w:rPr>
                <w:rFonts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计量</w:t>
            </w:r>
          </w:p>
          <w:p w14:paraId="50903277">
            <w:pPr>
              <w:widowControl/>
              <w:shd w:val="clear"/>
              <w:spacing w:line="360" w:lineRule="auto"/>
              <w:jc w:val="center"/>
              <w:rPr>
                <w:rFonts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单位</w:t>
            </w:r>
          </w:p>
        </w:tc>
        <w:tc>
          <w:tcPr>
            <w:tcW w:w="1125" w:type="dxa"/>
            <w:shd w:val="clear" w:color="auto" w:fill="auto"/>
            <w:vAlign w:val="center"/>
          </w:tcPr>
          <w:p w14:paraId="63E7EFB5">
            <w:pPr>
              <w:widowControl/>
              <w:shd w:val="clear"/>
              <w:spacing w:line="360" w:lineRule="auto"/>
              <w:jc w:val="center"/>
              <w:rPr>
                <w:rFonts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大型</w:t>
            </w:r>
          </w:p>
        </w:tc>
        <w:tc>
          <w:tcPr>
            <w:tcW w:w="1701" w:type="dxa"/>
            <w:shd w:val="clear" w:color="auto" w:fill="auto"/>
            <w:vAlign w:val="center"/>
          </w:tcPr>
          <w:p w14:paraId="3E6FD885">
            <w:pPr>
              <w:widowControl/>
              <w:shd w:val="clear"/>
              <w:spacing w:line="360" w:lineRule="auto"/>
              <w:jc w:val="center"/>
              <w:rPr>
                <w:rFonts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中型</w:t>
            </w:r>
          </w:p>
        </w:tc>
        <w:tc>
          <w:tcPr>
            <w:tcW w:w="1426" w:type="dxa"/>
            <w:shd w:val="clear" w:color="auto" w:fill="auto"/>
            <w:vAlign w:val="center"/>
          </w:tcPr>
          <w:p w14:paraId="374FEC87">
            <w:pPr>
              <w:widowControl/>
              <w:shd w:val="clear"/>
              <w:spacing w:line="360" w:lineRule="auto"/>
              <w:jc w:val="center"/>
              <w:rPr>
                <w:rFonts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小型</w:t>
            </w:r>
          </w:p>
        </w:tc>
        <w:tc>
          <w:tcPr>
            <w:tcW w:w="992" w:type="dxa"/>
            <w:shd w:val="clear" w:color="auto" w:fill="auto"/>
            <w:vAlign w:val="center"/>
          </w:tcPr>
          <w:p w14:paraId="2AC7A800">
            <w:pPr>
              <w:widowControl/>
              <w:shd w:val="clear"/>
              <w:spacing w:line="360" w:lineRule="auto"/>
              <w:jc w:val="center"/>
              <w:rPr>
                <w:rFonts w:ascii="仿宋" w:hAnsi="仿宋" w:eastAsia="仿宋" w:cs="仿宋"/>
                <w:b/>
                <w:bCs/>
                <w:color w:val="auto"/>
                <w:kern w:val="0"/>
                <w:sz w:val="18"/>
                <w:szCs w:val="18"/>
                <w:highlight w:val="none"/>
              </w:rPr>
            </w:pPr>
            <w:r>
              <w:rPr>
                <w:rFonts w:hint="eastAsia" w:ascii="仿宋" w:hAnsi="仿宋" w:eastAsia="仿宋" w:cs="仿宋"/>
                <w:b/>
                <w:bCs/>
                <w:color w:val="auto"/>
                <w:kern w:val="0"/>
                <w:sz w:val="18"/>
                <w:szCs w:val="18"/>
                <w:highlight w:val="none"/>
              </w:rPr>
              <w:t>微型</w:t>
            </w:r>
          </w:p>
        </w:tc>
      </w:tr>
      <w:tr w14:paraId="0CB6D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014FF04D">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农、林、牧、渔业</w:t>
            </w:r>
          </w:p>
        </w:tc>
        <w:tc>
          <w:tcPr>
            <w:tcW w:w="1369" w:type="dxa"/>
            <w:shd w:val="clear" w:color="auto" w:fill="auto"/>
            <w:vAlign w:val="center"/>
          </w:tcPr>
          <w:p w14:paraId="69156F9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4398CE9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5F9A864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Y≥20000</w:t>
            </w:r>
          </w:p>
        </w:tc>
        <w:tc>
          <w:tcPr>
            <w:tcW w:w="1701" w:type="dxa"/>
            <w:shd w:val="clear" w:color="auto" w:fill="auto"/>
            <w:vAlign w:val="center"/>
          </w:tcPr>
          <w:p w14:paraId="0E20213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500≤Y＜20000</w:t>
            </w:r>
          </w:p>
        </w:tc>
        <w:tc>
          <w:tcPr>
            <w:tcW w:w="1426" w:type="dxa"/>
            <w:shd w:val="clear" w:color="auto" w:fill="auto"/>
            <w:vAlign w:val="center"/>
          </w:tcPr>
          <w:p w14:paraId="4F6F0DD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50≤Y＜500</w:t>
            </w:r>
          </w:p>
        </w:tc>
        <w:tc>
          <w:tcPr>
            <w:tcW w:w="992" w:type="dxa"/>
            <w:shd w:val="clear" w:color="auto" w:fill="auto"/>
            <w:vAlign w:val="center"/>
          </w:tcPr>
          <w:p w14:paraId="44DA9EF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Y＜50</w:t>
            </w:r>
          </w:p>
        </w:tc>
      </w:tr>
      <w:tr w14:paraId="3DFE3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DC10DF2">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工业 *</w:t>
            </w:r>
          </w:p>
        </w:tc>
        <w:tc>
          <w:tcPr>
            <w:tcW w:w="1369" w:type="dxa"/>
            <w:shd w:val="clear" w:color="auto" w:fill="auto"/>
            <w:vAlign w:val="center"/>
          </w:tcPr>
          <w:p w14:paraId="78EC30B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1523524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11677F0A">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284B018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300≤X＜1000</w:t>
            </w:r>
          </w:p>
        </w:tc>
        <w:tc>
          <w:tcPr>
            <w:tcW w:w="1426" w:type="dxa"/>
            <w:shd w:val="clear" w:color="auto" w:fill="auto"/>
            <w:vAlign w:val="center"/>
          </w:tcPr>
          <w:p w14:paraId="1690E17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20≤X＜300</w:t>
            </w:r>
          </w:p>
        </w:tc>
        <w:tc>
          <w:tcPr>
            <w:tcW w:w="992" w:type="dxa"/>
            <w:shd w:val="clear" w:color="auto" w:fill="auto"/>
            <w:vAlign w:val="center"/>
          </w:tcPr>
          <w:p w14:paraId="59FFA2C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w:t>
            </w:r>
          </w:p>
        </w:tc>
      </w:tr>
      <w:tr w14:paraId="14816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700D3D9">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2F56A46A">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3923D855">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2BD7A82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Y≥40000</w:t>
            </w:r>
          </w:p>
        </w:tc>
        <w:tc>
          <w:tcPr>
            <w:tcW w:w="1701" w:type="dxa"/>
            <w:shd w:val="clear" w:color="auto" w:fill="auto"/>
            <w:vAlign w:val="center"/>
          </w:tcPr>
          <w:p w14:paraId="74D6314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2000≤Y＜40000</w:t>
            </w:r>
          </w:p>
        </w:tc>
        <w:tc>
          <w:tcPr>
            <w:tcW w:w="1426" w:type="dxa"/>
            <w:shd w:val="clear" w:color="auto" w:fill="auto"/>
            <w:vAlign w:val="center"/>
          </w:tcPr>
          <w:p w14:paraId="57BF45C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300≤Y＜2000</w:t>
            </w:r>
          </w:p>
        </w:tc>
        <w:tc>
          <w:tcPr>
            <w:tcW w:w="992" w:type="dxa"/>
            <w:shd w:val="clear" w:color="auto" w:fill="auto"/>
            <w:vAlign w:val="center"/>
          </w:tcPr>
          <w:p w14:paraId="5A8AB185">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w:t>
            </w:r>
          </w:p>
        </w:tc>
      </w:tr>
      <w:tr w14:paraId="08DB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BB595B5">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建筑业</w:t>
            </w:r>
          </w:p>
        </w:tc>
        <w:tc>
          <w:tcPr>
            <w:tcW w:w="1369" w:type="dxa"/>
            <w:shd w:val="clear" w:color="auto" w:fill="auto"/>
            <w:vAlign w:val="center"/>
          </w:tcPr>
          <w:p w14:paraId="4155561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5777BA5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77115DB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Y≥80000</w:t>
            </w:r>
          </w:p>
        </w:tc>
        <w:tc>
          <w:tcPr>
            <w:tcW w:w="1701" w:type="dxa"/>
            <w:shd w:val="clear" w:color="auto" w:fill="auto"/>
            <w:vAlign w:val="center"/>
          </w:tcPr>
          <w:p w14:paraId="50BB054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6000≤Y＜80000</w:t>
            </w:r>
          </w:p>
        </w:tc>
        <w:tc>
          <w:tcPr>
            <w:tcW w:w="1426" w:type="dxa"/>
            <w:shd w:val="clear" w:color="auto" w:fill="auto"/>
            <w:vAlign w:val="center"/>
          </w:tcPr>
          <w:p w14:paraId="356903A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300≤Y＜6000</w:t>
            </w:r>
          </w:p>
        </w:tc>
        <w:tc>
          <w:tcPr>
            <w:tcW w:w="992" w:type="dxa"/>
            <w:shd w:val="clear" w:color="auto" w:fill="auto"/>
            <w:vAlign w:val="center"/>
          </w:tcPr>
          <w:p w14:paraId="29AE1CC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w:t>
            </w:r>
          </w:p>
        </w:tc>
      </w:tr>
      <w:tr w14:paraId="4B26D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36351C6">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00A6A75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709" w:type="dxa"/>
            <w:shd w:val="clear" w:color="auto" w:fill="auto"/>
            <w:vAlign w:val="center"/>
          </w:tcPr>
          <w:p w14:paraId="6D51193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7A433C3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Z≥80000</w:t>
            </w:r>
          </w:p>
        </w:tc>
        <w:tc>
          <w:tcPr>
            <w:tcW w:w="1701" w:type="dxa"/>
            <w:shd w:val="clear" w:color="auto" w:fill="auto"/>
            <w:vAlign w:val="center"/>
          </w:tcPr>
          <w:p w14:paraId="0303213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5000≤Z＜80000</w:t>
            </w:r>
          </w:p>
        </w:tc>
        <w:tc>
          <w:tcPr>
            <w:tcW w:w="1426" w:type="dxa"/>
            <w:shd w:val="clear" w:color="auto" w:fill="auto"/>
            <w:vAlign w:val="center"/>
          </w:tcPr>
          <w:p w14:paraId="30DFA8B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300≤Z＜5000</w:t>
            </w:r>
          </w:p>
        </w:tc>
        <w:tc>
          <w:tcPr>
            <w:tcW w:w="992" w:type="dxa"/>
            <w:shd w:val="clear" w:color="auto" w:fill="auto"/>
            <w:vAlign w:val="center"/>
          </w:tcPr>
          <w:p w14:paraId="1D64AD4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Z＜300</w:t>
            </w:r>
          </w:p>
        </w:tc>
      </w:tr>
      <w:tr w14:paraId="7147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35ECAEA">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批发业</w:t>
            </w:r>
          </w:p>
        </w:tc>
        <w:tc>
          <w:tcPr>
            <w:tcW w:w="1369" w:type="dxa"/>
            <w:shd w:val="clear" w:color="auto" w:fill="auto"/>
            <w:vAlign w:val="center"/>
          </w:tcPr>
          <w:p w14:paraId="57FD72A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3D9503B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461F29D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X≥200</w:t>
            </w:r>
          </w:p>
        </w:tc>
        <w:tc>
          <w:tcPr>
            <w:tcW w:w="1701" w:type="dxa"/>
            <w:shd w:val="clear" w:color="auto" w:fill="auto"/>
            <w:vAlign w:val="center"/>
          </w:tcPr>
          <w:p w14:paraId="6A469C9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20≤X＜200</w:t>
            </w:r>
          </w:p>
        </w:tc>
        <w:tc>
          <w:tcPr>
            <w:tcW w:w="1426" w:type="dxa"/>
            <w:shd w:val="clear" w:color="auto" w:fill="auto"/>
            <w:vAlign w:val="center"/>
          </w:tcPr>
          <w:p w14:paraId="09536ED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5≤X＜20</w:t>
            </w:r>
          </w:p>
        </w:tc>
        <w:tc>
          <w:tcPr>
            <w:tcW w:w="992" w:type="dxa"/>
            <w:shd w:val="clear" w:color="auto" w:fill="auto"/>
            <w:vAlign w:val="center"/>
          </w:tcPr>
          <w:p w14:paraId="333F18FA">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X＜5</w:t>
            </w:r>
          </w:p>
        </w:tc>
      </w:tr>
      <w:tr w14:paraId="125DF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055E951">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0155DFB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19CF2C4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37CFBFE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Y≥40000</w:t>
            </w:r>
          </w:p>
        </w:tc>
        <w:tc>
          <w:tcPr>
            <w:tcW w:w="1701" w:type="dxa"/>
            <w:shd w:val="clear" w:color="auto" w:fill="auto"/>
            <w:vAlign w:val="center"/>
          </w:tcPr>
          <w:p w14:paraId="5473DFE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5000≤Y＜40000</w:t>
            </w:r>
          </w:p>
        </w:tc>
        <w:tc>
          <w:tcPr>
            <w:tcW w:w="1426" w:type="dxa"/>
            <w:shd w:val="clear" w:color="auto" w:fill="auto"/>
            <w:vAlign w:val="center"/>
          </w:tcPr>
          <w:p w14:paraId="147F05EC">
            <w:pPr>
              <w:widowControl/>
              <w:shd w:val="clear"/>
              <w:spacing w:line="360" w:lineRule="auto"/>
              <w:ind w:left="-1" w:leftChars="-1" w:hanging="1"/>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1000≤Y＜5000</w:t>
            </w:r>
          </w:p>
        </w:tc>
        <w:tc>
          <w:tcPr>
            <w:tcW w:w="992" w:type="dxa"/>
            <w:shd w:val="clear" w:color="auto" w:fill="auto"/>
            <w:vAlign w:val="center"/>
          </w:tcPr>
          <w:p w14:paraId="288B8CD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w:t>
            </w:r>
          </w:p>
        </w:tc>
      </w:tr>
      <w:tr w14:paraId="23E35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3A144AC">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零售业</w:t>
            </w:r>
          </w:p>
        </w:tc>
        <w:tc>
          <w:tcPr>
            <w:tcW w:w="1369" w:type="dxa"/>
            <w:shd w:val="clear" w:color="auto" w:fill="auto"/>
            <w:vAlign w:val="center"/>
          </w:tcPr>
          <w:p w14:paraId="59872CF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5D688B8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6002449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2D7A5B9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50≤X＜300</w:t>
            </w:r>
          </w:p>
        </w:tc>
        <w:tc>
          <w:tcPr>
            <w:tcW w:w="1426" w:type="dxa"/>
            <w:shd w:val="clear" w:color="auto" w:fill="auto"/>
            <w:vAlign w:val="center"/>
          </w:tcPr>
          <w:p w14:paraId="42E067A6">
            <w:pPr>
              <w:widowControl/>
              <w:shd w:val="clear"/>
              <w:spacing w:line="360" w:lineRule="auto"/>
              <w:ind w:left="-1" w:leftChars="-1" w:hanging="1"/>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10≤X＜50 </w:t>
            </w:r>
          </w:p>
        </w:tc>
        <w:tc>
          <w:tcPr>
            <w:tcW w:w="992" w:type="dxa"/>
            <w:shd w:val="clear" w:color="auto" w:fill="auto"/>
            <w:vAlign w:val="center"/>
          </w:tcPr>
          <w:p w14:paraId="52309F7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w:t>
            </w:r>
          </w:p>
        </w:tc>
      </w:tr>
      <w:tr w14:paraId="51A77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D29AE5B">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00F5484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70FB0248">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18D49208">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Y≥20000</w:t>
            </w:r>
          </w:p>
        </w:tc>
        <w:tc>
          <w:tcPr>
            <w:tcW w:w="1701" w:type="dxa"/>
            <w:shd w:val="clear" w:color="auto" w:fill="auto"/>
            <w:vAlign w:val="center"/>
          </w:tcPr>
          <w:p w14:paraId="088E87E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500≤Y＜20000</w:t>
            </w:r>
          </w:p>
        </w:tc>
        <w:tc>
          <w:tcPr>
            <w:tcW w:w="1426" w:type="dxa"/>
            <w:shd w:val="clear" w:color="auto" w:fill="auto"/>
            <w:vAlign w:val="center"/>
          </w:tcPr>
          <w:p w14:paraId="31FDD5F5">
            <w:pPr>
              <w:widowControl/>
              <w:shd w:val="clear"/>
              <w:spacing w:line="360" w:lineRule="auto"/>
              <w:ind w:left="-1" w:leftChars="-1" w:hanging="1"/>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100≤Y＜500 </w:t>
            </w:r>
          </w:p>
        </w:tc>
        <w:tc>
          <w:tcPr>
            <w:tcW w:w="992" w:type="dxa"/>
            <w:shd w:val="clear" w:color="auto" w:fill="auto"/>
            <w:vAlign w:val="center"/>
          </w:tcPr>
          <w:p w14:paraId="335FB78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w:t>
            </w:r>
          </w:p>
        </w:tc>
      </w:tr>
      <w:tr w14:paraId="355B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D133886">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交通运输业 *</w:t>
            </w:r>
          </w:p>
        </w:tc>
        <w:tc>
          <w:tcPr>
            <w:tcW w:w="1369" w:type="dxa"/>
            <w:shd w:val="clear" w:color="auto" w:fill="auto"/>
            <w:vAlign w:val="center"/>
          </w:tcPr>
          <w:p w14:paraId="5A160125">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6DD4A6C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1D75C108">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4EE4A4D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300≤X＜1000</w:t>
            </w:r>
          </w:p>
        </w:tc>
        <w:tc>
          <w:tcPr>
            <w:tcW w:w="1426" w:type="dxa"/>
            <w:shd w:val="clear" w:color="auto" w:fill="auto"/>
            <w:vAlign w:val="center"/>
          </w:tcPr>
          <w:p w14:paraId="7C10C47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20≤X＜300</w:t>
            </w:r>
          </w:p>
        </w:tc>
        <w:tc>
          <w:tcPr>
            <w:tcW w:w="992" w:type="dxa"/>
            <w:shd w:val="clear" w:color="auto" w:fill="auto"/>
            <w:vAlign w:val="center"/>
          </w:tcPr>
          <w:p w14:paraId="024CD46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w:t>
            </w:r>
          </w:p>
        </w:tc>
      </w:tr>
      <w:tr w14:paraId="7194F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E3FB5AB">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767B882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7A773D9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401806A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Y≥30000</w:t>
            </w:r>
          </w:p>
        </w:tc>
        <w:tc>
          <w:tcPr>
            <w:tcW w:w="1701" w:type="dxa"/>
            <w:shd w:val="clear" w:color="auto" w:fill="auto"/>
            <w:vAlign w:val="center"/>
          </w:tcPr>
          <w:p w14:paraId="11A453D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3000≤Y＜30000</w:t>
            </w:r>
          </w:p>
        </w:tc>
        <w:tc>
          <w:tcPr>
            <w:tcW w:w="1426" w:type="dxa"/>
            <w:shd w:val="clear" w:color="auto" w:fill="auto"/>
            <w:vAlign w:val="center"/>
          </w:tcPr>
          <w:p w14:paraId="4DFDD17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200≤Y＜3000</w:t>
            </w:r>
          </w:p>
        </w:tc>
        <w:tc>
          <w:tcPr>
            <w:tcW w:w="992" w:type="dxa"/>
            <w:shd w:val="clear" w:color="auto" w:fill="auto"/>
            <w:vAlign w:val="center"/>
          </w:tcPr>
          <w:p w14:paraId="58F55045">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Y＜200</w:t>
            </w:r>
          </w:p>
        </w:tc>
      </w:tr>
      <w:tr w14:paraId="21E63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E14ECFB">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仓储业*</w:t>
            </w:r>
          </w:p>
        </w:tc>
        <w:tc>
          <w:tcPr>
            <w:tcW w:w="1369" w:type="dxa"/>
            <w:shd w:val="clear" w:color="auto" w:fill="auto"/>
            <w:vAlign w:val="center"/>
          </w:tcPr>
          <w:p w14:paraId="20B923C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35D34C2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73439E7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X≥200</w:t>
            </w:r>
          </w:p>
        </w:tc>
        <w:tc>
          <w:tcPr>
            <w:tcW w:w="1701" w:type="dxa"/>
            <w:shd w:val="clear" w:color="auto" w:fill="auto"/>
            <w:vAlign w:val="center"/>
          </w:tcPr>
          <w:p w14:paraId="7902CEC1">
            <w:pPr>
              <w:widowControl/>
              <w:shd w:val="clear"/>
              <w:spacing w:line="360" w:lineRule="auto"/>
              <w:ind w:left="1" w:leftChars="-51" w:hanging="108" w:hangingChars="60"/>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100≤X＜200</w:t>
            </w:r>
          </w:p>
        </w:tc>
        <w:tc>
          <w:tcPr>
            <w:tcW w:w="1426" w:type="dxa"/>
            <w:shd w:val="clear" w:color="auto" w:fill="auto"/>
            <w:vAlign w:val="center"/>
          </w:tcPr>
          <w:p w14:paraId="352CF2F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20≤X＜100</w:t>
            </w:r>
          </w:p>
        </w:tc>
        <w:tc>
          <w:tcPr>
            <w:tcW w:w="992" w:type="dxa"/>
            <w:shd w:val="clear" w:color="auto" w:fill="auto"/>
            <w:vAlign w:val="center"/>
          </w:tcPr>
          <w:p w14:paraId="4CEAEF0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w:t>
            </w:r>
          </w:p>
        </w:tc>
      </w:tr>
      <w:tr w14:paraId="1F5B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10DB5CD">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7D0C264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5193749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4196C0F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Y≥30000</w:t>
            </w:r>
          </w:p>
        </w:tc>
        <w:tc>
          <w:tcPr>
            <w:tcW w:w="1701" w:type="dxa"/>
            <w:shd w:val="clear" w:color="auto" w:fill="auto"/>
            <w:vAlign w:val="center"/>
          </w:tcPr>
          <w:p w14:paraId="75DB08E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1000≤Y＜30000</w:t>
            </w:r>
          </w:p>
        </w:tc>
        <w:tc>
          <w:tcPr>
            <w:tcW w:w="1426" w:type="dxa"/>
            <w:shd w:val="clear" w:color="auto" w:fill="auto"/>
            <w:vAlign w:val="center"/>
          </w:tcPr>
          <w:p w14:paraId="4C6C2F9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100≤Y＜1000</w:t>
            </w:r>
          </w:p>
        </w:tc>
        <w:tc>
          <w:tcPr>
            <w:tcW w:w="992" w:type="dxa"/>
            <w:shd w:val="clear" w:color="auto" w:fill="auto"/>
            <w:vAlign w:val="center"/>
          </w:tcPr>
          <w:p w14:paraId="479FD72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w:t>
            </w:r>
          </w:p>
        </w:tc>
      </w:tr>
      <w:tr w14:paraId="21F0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990C192">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邮政业</w:t>
            </w:r>
          </w:p>
        </w:tc>
        <w:tc>
          <w:tcPr>
            <w:tcW w:w="1369" w:type="dxa"/>
            <w:shd w:val="clear" w:color="auto" w:fill="auto"/>
            <w:vAlign w:val="center"/>
          </w:tcPr>
          <w:p w14:paraId="2862544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55AB1D5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5BC76C7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557804A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300≤X＜1000</w:t>
            </w:r>
          </w:p>
        </w:tc>
        <w:tc>
          <w:tcPr>
            <w:tcW w:w="1426" w:type="dxa"/>
            <w:shd w:val="clear" w:color="auto" w:fill="auto"/>
            <w:vAlign w:val="center"/>
          </w:tcPr>
          <w:p w14:paraId="2FAAB08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20≤X＜300</w:t>
            </w:r>
          </w:p>
        </w:tc>
        <w:tc>
          <w:tcPr>
            <w:tcW w:w="992" w:type="dxa"/>
            <w:shd w:val="clear" w:color="auto" w:fill="auto"/>
            <w:vAlign w:val="center"/>
          </w:tcPr>
          <w:p w14:paraId="3290FCF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w:t>
            </w:r>
          </w:p>
        </w:tc>
      </w:tr>
      <w:tr w14:paraId="17AB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82FE3E0">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587C7A9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5986CA6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3DCAE43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Y≥30000</w:t>
            </w:r>
          </w:p>
        </w:tc>
        <w:tc>
          <w:tcPr>
            <w:tcW w:w="1701" w:type="dxa"/>
            <w:shd w:val="clear" w:color="auto" w:fill="auto"/>
            <w:vAlign w:val="center"/>
          </w:tcPr>
          <w:p w14:paraId="1187966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2000≤Y＜30000</w:t>
            </w:r>
          </w:p>
        </w:tc>
        <w:tc>
          <w:tcPr>
            <w:tcW w:w="1426" w:type="dxa"/>
            <w:shd w:val="clear" w:color="auto" w:fill="auto"/>
            <w:vAlign w:val="center"/>
          </w:tcPr>
          <w:p w14:paraId="716244B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100≤Y＜2000</w:t>
            </w:r>
          </w:p>
        </w:tc>
        <w:tc>
          <w:tcPr>
            <w:tcW w:w="992" w:type="dxa"/>
            <w:shd w:val="clear" w:color="auto" w:fill="auto"/>
            <w:vAlign w:val="center"/>
          </w:tcPr>
          <w:p w14:paraId="5B37843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w:t>
            </w:r>
          </w:p>
        </w:tc>
      </w:tr>
      <w:tr w14:paraId="35FA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0AFFAD0">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住宿业</w:t>
            </w:r>
          </w:p>
        </w:tc>
        <w:tc>
          <w:tcPr>
            <w:tcW w:w="1369" w:type="dxa"/>
            <w:shd w:val="clear" w:color="auto" w:fill="auto"/>
            <w:vAlign w:val="center"/>
          </w:tcPr>
          <w:p w14:paraId="2C58733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1205B08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63EFDDB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47ACF524">
            <w:pPr>
              <w:widowControl/>
              <w:shd w:val="clear"/>
              <w:spacing w:line="360" w:lineRule="auto"/>
              <w:ind w:left="1" w:leftChars="-51" w:hanging="108" w:hangingChars="60"/>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100≤X＜300 </w:t>
            </w:r>
          </w:p>
        </w:tc>
        <w:tc>
          <w:tcPr>
            <w:tcW w:w="1426" w:type="dxa"/>
            <w:shd w:val="clear" w:color="auto" w:fill="auto"/>
            <w:vAlign w:val="center"/>
          </w:tcPr>
          <w:p w14:paraId="3243F3E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10≤X＜100</w:t>
            </w:r>
          </w:p>
        </w:tc>
        <w:tc>
          <w:tcPr>
            <w:tcW w:w="992" w:type="dxa"/>
            <w:shd w:val="clear" w:color="auto" w:fill="auto"/>
            <w:vAlign w:val="center"/>
          </w:tcPr>
          <w:p w14:paraId="328AA58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w:t>
            </w:r>
          </w:p>
        </w:tc>
      </w:tr>
      <w:tr w14:paraId="4EF49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D524C1E">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5C14A2B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3ED55C3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3358DC2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w:t>
            </w:r>
          </w:p>
        </w:tc>
        <w:tc>
          <w:tcPr>
            <w:tcW w:w="1701" w:type="dxa"/>
            <w:shd w:val="clear" w:color="auto" w:fill="auto"/>
            <w:vAlign w:val="center"/>
          </w:tcPr>
          <w:p w14:paraId="30A3DF4A">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2000≤Y＜10000</w:t>
            </w:r>
          </w:p>
        </w:tc>
        <w:tc>
          <w:tcPr>
            <w:tcW w:w="1426" w:type="dxa"/>
            <w:shd w:val="clear" w:color="auto" w:fill="auto"/>
            <w:vAlign w:val="center"/>
          </w:tcPr>
          <w:p w14:paraId="70285A7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100≤Y＜2000</w:t>
            </w:r>
          </w:p>
        </w:tc>
        <w:tc>
          <w:tcPr>
            <w:tcW w:w="992" w:type="dxa"/>
            <w:shd w:val="clear" w:color="auto" w:fill="auto"/>
            <w:vAlign w:val="center"/>
          </w:tcPr>
          <w:p w14:paraId="1362037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w:t>
            </w:r>
          </w:p>
        </w:tc>
      </w:tr>
      <w:tr w14:paraId="10C63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0E7628C">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餐饮业</w:t>
            </w:r>
          </w:p>
        </w:tc>
        <w:tc>
          <w:tcPr>
            <w:tcW w:w="1369" w:type="dxa"/>
            <w:shd w:val="clear" w:color="auto" w:fill="auto"/>
            <w:vAlign w:val="center"/>
          </w:tcPr>
          <w:p w14:paraId="3E68E83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5FAA964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444DEE2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7E5FA2F3">
            <w:pPr>
              <w:widowControl/>
              <w:shd w:val="clear"/>
              <w:spacing w:line="360" w:lineRule="auto"/>
              <w:ind w:left="1" w:leftChars="-51" w:hanging="108" w:hangingChars="60"/>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100≤X＜300 </w:t>
            </w:r>
          </w:p>
        </w:tc>
        <w:tc>
          <w:tcPr>
            <w:tcW w:w="1426" w:type="dxa"/>
            <w:shd w:val="clear" w:color="auto" w:fill="auto"/>
            <w:vAlign w:val="center"/>
          </w:tcPr>
          <w:p w14:paraId="26265FF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10≤X＜100</w:t>
            </w:r>
          </w:p>
        </w:tc>
        <w:tc>
          <w:tcPr>
            <w:tcW w:w="992" w:type="dxa"/>
            <w:shd w:val="clear" w:color="auto" w:fill="auto"/>
            <w:vAlign w:val="center"/>
          </w:tcPr>
          <w:p w14:paraId="5A7063E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w:t>
            </w:r>
          </w:p>
        </w:tc>
      </w:tr>
      <w:tr w14:paraId="3113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7A56252">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0E03D6C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67F3C2B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58966D9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w:t>
            </w:r>
          </w:p>
        </w:tc>
        <w:tc>
          <w:tcPr>
            <w:tcW w:w="1701" w:type="dxa"/>
            <w:shd w:val="clear" w:color="auto" w:fill="auto"/>
            <w:vAlign w:val="center"/>
          </w:tcPr>
          <w:p w14:paraId="50C1347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2000≤Y＜10000</w:t>
            </w:r>
          </w:p>
        </w:tc>
        <w:tc>
          <w:tcPr>
            <w:tcW w:w="1426" w:type="dxa"/>
            <w:shd w:val="clear" w:color="auto" w:fill="auto"/>
            <w:vAlign w:val="center"/>
          </w:tcPr>
          <w:p w14:paraId="12DEC06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100≤Y＜2000</w:t>
            </w:r>
          </w:p>
        </w:tc>
        <w:tc>
          <w:tcPr>
            <w:tcW w:w="992" w:type="dxa"/>
            <w:shd w:val="clear" w:color="auto" w:fill="auto"/>
            <w:vAlign w:val="center"/>
          </w:tcPr>
          <w:p w14:paraId="2D2E7C6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w:t>
            </w:r>
          </w:p>
        </w:tc>
      </w:tr>
      <w:tr w14:paraId="4D24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6DE129D">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信息传输业 *</w:t>
            </w:r>
          </w:p>
        </w:tc>
        <w:tc>
          <w:tcPr>
            <w:tcW w:w="1369" w:type="dxa"/>
            <w:shd w:val="clear" w:color="auto" w:fill="auto"/>
            <w:vAlign w:val="center"/>
          </w:tcPr>
          <w:p w14:paraId="75E9AF6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4DF0F3E8">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3C076B1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X≥2000</w:t>
            </w:r>
          </w:p>
        </w:tc>
        <w:tc>
          <w:tcPr>
            <w:tcW w:w="1701" w:type="dxa"/>
            <w:shd w:val="clear" w:color="auto" w:fill="auto"/>
            <w:vAlign w:val="center"/>
          </w:tcPr>
          <w:p w14:paraId="15E42BA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100≤X＜2000</w:t>
            </w:r>
          </w:p>
        </w:tc>
        <w:tc>
          <w:tcPr>
            <w:tcW w:w="1426" w:type="dxa"/>
            <w:shd w:val="clear" w:color="auto" w:fill="auto"/>
            <w:vAlign w:val="center"/>
          </w:tcPr>
          <w:p w14:paraId="59516BC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10≤X＜100</w:t>
            </w:r>
          </w:p>
        </w:tc>
        <w:tc>
          <w:tcPr>
            <w:tcW w:w="992" w:type="dxa"/>
            <w:shd w:val="clear" w:color="auto" w:fill="auto"/>
            <w:vAlign w:val="center"/>
          </w:tcPr>
          <w:p w14:paraId="5140632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w:t>
            </w:r>
          </w:p>
        </w:tc>
      </w:tr>
      <w:tr w14:paraId="536D1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2CF3F01">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596E1425">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20770FE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73363666">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Y≥100000</w:t>
            </w:r>
          </w:p>
        </w:tc>
        <w:tc>
          <w:tcPr>
            <w:tcW w:w="1701" w:type="dxa"/>
            <w:shd w:val="clear" w:color="auto" w:fill="auto"/>
            <w:vAlign w:val="center"/>
          </w:tcPr>
          <w:p w14:paraId="0F6D357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1000≤Y＜100000</w:t>
            </w:r>
          </w:p>
        </w:tc>
        <w:tc>
          <w:tcPr>
            <w:tcW w:w="1426" w:type="dxa"/>
            <w:shd w:val="clear" w:color="auto" w:fill="auto"/>
            <w:vAlign w:val="center"/>
          </w:tcPr>
          <w:p w14:paraId="48C54BB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100≤Y＜1000</w:t>
            </w:r>
          </w:p>
        </w:tc>
        <w:tc>
          <w:tcPr>
            <w:tcW w:w="992" w:type="dxa"/>
            <w:shd w:val="clear" w:color="auto" w:fill="auto"/>
            <w:vAlign w:val="center"/>
          </w:tcPr>
          <w:p w14:paraId="02CF189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w:t>
            </w:r>
          </w:p>
        </w:tc>
      </w:tr>
      <w:tr w14:paraId="5CB6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2368B2C">
            <w:pPr>
              <w:widowControl/>
              <w:shd w:val="clear"/>
              <w:spacing w:line="360" w:lineRule="auto"/>
              <w:jc w:val="left"/>
              <w:rPr>
                <w:rFonts w:ascii="仿宋" w:hAnsi="仿宋" w:eastAsia="仿宋" w:cs="仿宋"/>
                <w:color w:val="auto"/>
                <w:spacing w:val="-12"/>
                <w:kern w:val="0"/>
                <w:sz w:val="18"/>
                <w:szCs w:val="18"/>
                <w:highlight w:val="none"/>
              </w:rPr>
            </w:pPr>
            <w:r>
              <w:rPr>
                <w:rFonts w:hint="eastAsia" w:ascii="仿宋" w:hAnsi="仿宋" w:eastAsia="仿宋" w:cs="仿宋"/>
                <w:color w:val="auto"/>
                <w:spacing w:val="-12"/>
                <w:kern w:val="0"/>
                <w:sz w:val="18"/>
                <w:szCs w:val="18"/>
                <w:highlight w:val="none"/>
              </w:rPr>
              <w:t>软件和信息技术服</w:t>
            </w:r>
            <w:r>
              <w:rPr>
                <w:rFonts w:hint="eastAsia" w:ascii="仿宋" w:hAnsi="仿宋" w:eastAsia="仿宋" w:cs="仿宋"/>
                <w:color w:val="auto"/>
                <w:kern w:val="0"/>
                <w:sz w:val="18"/>
                <w:szCs w:val="18"/>
                <w:highlight w:val="none"/>
              </w:rPr>
              <w:t>务业</w:t>
            </w:r>
          </w:p>
        </w:tc>
        <w:tc>
          <w:tcPr>
            <w:tcW w:w="1369" w:type="dxa"/>
            <w:shd w:val="clear" w:color="auto" w:fill="auto"/>
            <w:vAlign w:val="center"/>
          </w:tcPr>
          <w:p w14:paraId="74680DA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4BA7A24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5442CAB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236F8B19">
            <w:pPr>
              <w:widowControl/>
              <w:shd w:val="clear"/>
              <w:spacing w:line="360" w:lineRule="auto"/>
              <w:ind w:left="1" w:leftChars="-51" w:hanging="108" w:hangingChars="60"/>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100≤X＜300 </w:t>
            </w:r>
          </w:p>
        </w:tc>
        <w:tc>
          <w:tcPr>
            <w:tcW w:w="1426" w:type="dxa"/>
            <w:shd w:val="clear" w:color="auto" w:fill="auto"/>
            <w:vAlign w:val="center"/>
          </w:tcPr>
          <w:p w14:paraId="427A299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10≤X＜100</w:t>
            </w:r>
          </w:p>
        </w:tc>
        <w:tc>
          <w:tcPr>
            <w:tcW w:w="992" w:type="dxa"/>
            <w:shd w:val="clear" w:color="auto" w:fill="auto"/>
            <w:vAlign w:val="center"/>
          </w:tcPr>
          <w:p w14:paraId="69162D2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w:t>
            </w:r>
          </w:p>
        </w:tc>
      </w:tr>
      <w:tr w14:paraId="02FD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37DF5D2F">
            <w:pPr>
              <w:widowControl/>
              <w:shd w:val="clear"/>
              <w:spacing w:line="360" w:lineRule="auto"/>
              <w:jc w:val="left"/>
              <w:rPr>
                <w:rFonts w:ascii="仿宋" w:hAnsi="仿宋" w:eastAsia="仿宋" w:cs="仿宋"/>
                <w:color w:val="auto"/>
                <w:spacing w:val="-12"/>
                <w:kern w:val="0"/>
                <w:sz w:val="18"/>
                <w:szCs w:val="18"/>
                <w:highlight w:val="none"/>
              </w:rPr>
            </w:pPr>
          </w:p>
        </w:tc>
        <w:tc>
          <w:tcPr>
            <w:tcW w:w="1369" w:type="dxa"/>
            <w:shd w:val="clear" w:color="auto" w:fill="auto"/>
            <w:vAlign w:val="center"/>
          </w:tcPr>
          <w:p w14:paraId="3B249EF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6DE1FBA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3C1DF2B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Y≥10000</w:t>
            </w:r>
          </w:p>
        </w:tc>
        <w:tc>
          <w:tcPr>
            <w:tcW w:w="1701" w:type="dxa"/>
            <w:shd w:val="clear" w:color="auto" w:fill="auto"/>
            <w:vAlign w:val="center"/>
          </w:tcPr>
          <w:p w14:paraId="19E4BEE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1000≤Y＜10000</w:t>
            </w:r>
          </w:p>
        </w:tc>
        <w:tc>
          <w:tcPr>
            <w:tcW w:w="1426" w:type="dxa"/>
            <w:shd w:val="clear" w:color="auto" w:fill="auto"/>
            <w:vAlign w:val="center"/>
          </w:tcPr>
          <w:p w14:paraId="3A6E692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50≤Y＜1000</w:t>
            </w:r>
          </w:p>
        </w:tc>
        <w:tc>
          <w:tcPr>
            <w:tcW w:w="992" w:type="dxa"/>
            <w:shd w:val="clear" w:color="auto" w:fill="auto"/>
            <w:vAlign w:val="center"/>
          </w:tcPr>
          <w:p w14:paraId="362637E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Y＜50</w:t>
            </w:r>
          </w:p>
        </w:tc>
      </w:tr>
      <w:tr w14:paraId="3397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67D3C163">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房地产开发经营</w:t>
            </w:r>
          </w:p>
        </w:tc>
        <w:tc>
          <w:tcPr>
            <w:tcW w:w="1369" w:type="dxa"/>
            <w:shd w:val="clear" w:color="auto" w:fill="auto"/>
            <w:vAlign w:val="center"/>
          </w:tcPr>
          <w:p w14:paraId="0B51395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2AEEDD0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31444FF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Y≥200000</w:t>
            </w:r>
          </w:p>
        </w:tc>
        <w:tc>
          <w:tcPr>
            <w:tcW w:w="1701" w:type="dxa"/>
            <w:shd w:val="clear" w:color="auto" w:fill="auto"/>
            <w:vAlign w:val="center"/>
          </w:tcPr>
          <w:p w14:paraId="54E058A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1000≤Y＜200000</w:t>
            </w:r>
          </w:p>
        </w:tc>
        <w:tc>
          <w:tcPr>
            <w:tcW w:w="1426" w:type="dxa"/>
            <w:shd w:val="clear" w:color="auto" w:fill="auto"/>
            <w:vAlign w:val="center"/>
          </w:tcPr>
          <w:p w14:paraId="3542386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100≤Y＜1000</w:t>
            </w:r>
          </w:p>
        </w:tc>
        <w:tc>
          <w:tcPr>
            <w:tcW w:w="992" w:type="dxa"/>
            <w:shd w:val="clear" w:color="auto" w:fill="auto"/>
            <w:vAlign w:val="center"/>
          </w:tcPr>
          <w:p w14:paraId="16BB56A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Y＜100</w:t>
            </w:r>
          </w:p>
        </w:tc>
      </w:tr>
      <w:tr w14:paraId="6644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143572BB">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5E9B5E8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709" w:type="dxa"/>
            <w:shd w:val="clear" w:color="auto" w:fill="auto"/>
            <w:vAlign w:val="center"/>
          </w:tcPr>
          <w:p w14:paraId="6ED66648">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0EAA36B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Z≥10000</w:t>
            </w:r>
          </w:p>
        </w:tc>
        <w:tc>
          <w:tcPr>
            <w:tcW w:w="1701" w:type="dxa"/>
            <w:shd w:val="clear" w:color="auto" w:fill="auto"/>
            <w:vAlign w:val="center"/>
          </w:tcPr>
          <w:p w14:paraId="0BA190A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5000≤Z＜10000</w:t>
            </w:r>
          </w:p>
        </w:tc>
        <w:tc>
          <w:tcPr>
            <w:tcW w:w="1426" w:type="dxa"/>
            <w:shd w:val="clear" w:color="auto" w:fill="auto"/>
            <w:vAlign w:val="center"/>
          </w:tcPr>
          <w:p w14:paraId="43B43629">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2000≤Z＜5000   </w:t>
            </w:r>
          </w:p>
        </w:tc>
        <w:tc>
          <w:tcPr>
            <w:tcW w:w="992" w:type="dxa"/>
            <w:shd w:val="clear" w:color="auto" w:fill="auto"/>
            <w:vAlign w:val="center"/>
          </w:tcPr>
          <w:p w14:paraId="07C13B5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Z＜2000</w:t>
            </w:r>
          </w:p>
        </w:tc>
      </w:tr>
      <w:tr w14:paraId="117C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ED735C7">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物业管理</w:t>
            </w:r>
          </w:p>
        </w:tc>
        <w:tc>
          <w:tcPr>
            <w:tcW w:w="1369" w:type="dxa"/>
            <w:shd w:val="clear" w:color="auto" w:fill="auto"/>
            <w:vAlign w:val="center"/>
          </w:tcPr>
          <w:p w14:paraId="5C07B747">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15EFE57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3331BFC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X≥1000</w:t>
            </w:r>
          </w:p>
        </w:tc>
        <w:tc>
          <w:tcPr>
            <w:tcW w:w="1701" w:type="dxa"/>
            <w:shd w:val="clear" w:color="auto" w:fill="auto"/>
            <w:vAlign w:val="center"/>
          </w:tcPr>
          <w:p w14:paraId="2D2D9D1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300≤X＜1000</w:t>
            </w:r>
          </w:p>
        </w:tc>
        <w:tc>
          <w:tcPr>
            <w:tcW w:w="1426" w:type="dxa"/>
            <w:shd w:val="clear" w:color="auto" w:fill="auto"/>
            <w:vAlign w:val="center"/>
          </w:tcPr>
          <w:p w14:paraId="6B45C99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100≤X＜300 </w:t>
            </w:r>
          </w:p>
        </w:tc>
        <w:tc>
          <w:tcPr>
            <w:tcW w:w="992" w:type="dxa"/>
            <w:shd w:val="clear" w:color="auto" w:fill="auto"/>
            <w:vAlign w:val="center"/>
          </w:tcPr>
          <w:p w14:paraId="1A68744A">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X＜100</w:t>
            </w:r>
          </w:p>
        </w:tc>
      </w:tr>
      <w:tr w14:paraId="27A25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41DBDA6">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2B73CB7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营业收入(Y)</w:t>
            </w:r>
          </w:p>
        </w:tc>
        <w:tc>
          <w:tcPr>
            <w:tcW w:w="709" w:type="dxa"/>
            <w:shd w:val="clear" w:color="auto" w:fill="auto"/>
            <w:vAlign w:val="center"/>
          </w:tcPr>
          <w:p w14:paraId="75FF4B8E">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6AD2070B">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Y≥5000</w:t>
            </w:r>
          </w:p>
        </w:tc>
        <w:tc>
          <w:tcPr>
            <w:tcW w:w="1701" w:type="dxa"/>
            <w:shd w:val="clear" w:color="auto" w:fill="auto"/>
            <w:vAlign w:val="center"/>
          </w:tcPr>
          <w:p w14:paraId="5DEAE2CC">
            <w:pPr>
              <w:widowControl/>
              <w:shd w:val="clear"/>
              <w:spacing w:line="360" w:lineRule="auto"/>
              <w:ind w:left="1" w:leftChars="-51" w:hanging="108" w:hangingChars="60"/>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1000≤Y＜5000 </w:t>
            </w:r>
          </w:p>
        </w:tc>
        <w:tc>
          <w:tcPr>
            <w:tcW w:w="1426" w:type="dxa"/>
            <w:shd w:val="clear" w:color="auto" w:fill="auto"/>
            <w:vAlign w:val="center"/>
          </w:tcPr>
          <w:p w14:paraId="38599DD8">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500≤Y＜1000</w:t>
            </w:r>
          </w:p>
        </w:tc>
        <w:tc>
          <w:tcPr>
            <w:tcW w:w="992" w:type="dxa"/>
            <w:shd w:val="clear" w:color="auto" w:fill="auto"/>
            <w:vAlign w:val="center"/>
          </w:tcPr>
          <w:p w14:paraId="6D7EB95A">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Y＜500</w:t>
            </w:r>
          </w:p>
        </w:tc>
      </w:tr>
      <w:tr w14:paraId="7668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346E35C8">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租赁和商务服务业</w:t>
            </w:r>
          </w:p>
        </w:tc>
        <w:tc>
          <w:tcPr>
            <w:tcW w:w="1369" w:type="dxa"/>
            <w:shd w:val="clear" w:color="auto" w:fill="auto"/>
            <w:vAlign w:val="center"/>
          </w:tcPr>
          <w:p w14:paraId="35C2716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2C7D1595">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0132519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1241A25A">
            <w:pPr>
              <w:widowControl/>
              <w:shd w:val="clear"/>
              <w:spacing w:line="360" w:lineRule="auto"/>
              <w:ind w:left="1" w:leftChars="-51" w:hanging="108" w:hangingChars="60"/>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100≤X＜300 </w:t>
            </w:r>
          </w:p>
        </w:tc>
        <w:tc>
          <w:tcPr>
            <w:tcW w:w="1426" w:type="dxa"/>
            <w:shd w:val="clear" w:color="auto" w:fill="auto"/>
            <w:vAlign w:val="center"/>
          </w:tcPr>
          <w:p w14:paraId="26A20BF8">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10≤X＜100</w:t>
            </w:r>
          </w:p>
        </w:tc>
        <w:tc>
          <w:tcPr>
            <w:tcW w:w="992" w:type="dxa"/>
            <w:shd w:val="clear" w:color="auto" w:fill="auto"/>
            <w:vAlign w:val="center"/>
          </w:tcPr>
          <w:p w14:paraId="4B8E950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w:t>
            </w:r>
          </w:p>
        </w:tc>
      </w:tr>
      <w:tr w14:paraId="3EBC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913EAB9">
            <w:pPr>
              <w:widowControl/>
              <w:shd w:val="clear"/>
              <w:spacing w:line="360" w:lineRule="auto"/>
              <w:jc w:val="left"/>
              <w:rPr>
                <w:rFonts w:ascii="仿宋" w:hAnsi="仿宋" w:eastAsia="仿宋" w:cs="仿宋"/>
                <w:color w:val="auto"/>
                <w:kern w:val="0"/>
                <w:sz w:val="18"/>
                <w:szCs w:val="18"/>
                <w:highlight w:val="none"/>
              </w:rPr>
            </w:pPr>
          </w:p>
        </w:tc>
        <w:tc>
          <w:tcPr>
            <w:tcW w:w="1369" w:type="dxa"/>
            <w:shd w:val="clear" w:color="auto" w:fill="auto"/>
            <w:vAlign w:val="center"/>
          </w:tcPr>
          <w:p w14:paraId="13191FEF">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资产总额(Z)</w:t>
            </w:r>
          </w:p>
        </w:tc>
        <w:tc>
          <w:tcPr>
            <w:tcW w:w="709" w:type="dxa"/>
            <w:shd w:val="clear" w:color="auto" w:fill="auto"/>
            <w:vAlign w:val="center"/>
          </w:tcPr>
          <w:p w14:paraId="29F86C9C">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万元</w:t>
            </w:r>
          </w:p>
        </w:tc>
        <w:tc>
          <w:tcPr>
            <w:tcW w:w="1125" w:type="dxa"/>
            <w:shd w:val="clear" w:color="auto" w:fill="auto"/>
            <w:vAlign w:val="center"/>
          </w:tcPr>
          <w:p w14:paraId="5173ABE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Z≥120000</w:t>
            </w:r>
          </w:p>
        </w:tc>
        <w:tc>
          <w:tcPr>
            <w:tcW w:w="1701" w:type="dxa"/>
            <w:shd w:val="clear" w:color="auto" w:fill="auto"/>
            <w:vAlign w:val="center"/>
          </w:tcPr>
          <w:p w14:paraId="172AEC92">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8000≤Z＜120000</w:t>
            </w:r>
          </w:p>
        </w:tc>
        <w:tc>
          <w:tcPr>
            <w:tcW w:w="1426" w:type="dxa"/>
            <w:shd w:val="clear" w:color="auto" w:fill="auto"/>
            <w:vAlign w:val="center"/>
          </w:tcPr>
          <w:p w14:paraId="3F9D04A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100≤Z＜8000</w:t>
            </w:r>
          </w:p>
        </w:tc>
        <w:tc>
          <w:tcPr>
            <w:tcW w:w="992" w:type="dxa"/>
            <w:shd w:val="clear" w:color="auto" w:fill="auto"/>
            <w:vAlign w:val="center"/>
          </w:tcPr>
          <w:p w14:paraId="45DE2E84">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Z＜100</w:t>
            </w:r>
          </w:p>
        </w:tc>
      </w:tr>
      <w:tr w14:paraId="1CD6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79286AF8">
            <w:pPr>
              <w:widowControl/>
              <w:shd w:val="clear"/>
              <w:spacing w:line="360" w:lineRule="auto"/>
              <w:jc w:val="left"/>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其他未列明行业 *</w:t>
            </w:r>
          </w:p>
        </w:tc>
        <w:tc>
          <w:tcPr>
            <w:tcW w:w="1369" w:type="dxa"/>
            <w:shd w:val="clear" w:color="auto" w:fill="auto"/>
            <w:vAlign w:val="center"/>
          </w:tcPr>
          <w:p w14:paraId="6683757D">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从业人员(X)</w:t>
            </w:r>
          </w:p>
        </w:tc>
        <w:tc>
          <w:tcPr>
            <w:tcW w:w="709" w:type="dxa"/>
            <w:shd w:val="clear" w:color="auto" w:fill="auto"/>
            <w:vAlign w:val="center"/>
          </w:tcPr>
          <w:p w14:paraId="6C6872C1">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人</w:t>
            </w:r>
          </w:p>
        </w:tc>
        <w:tc>
          <w:tcPr>
            <w:tcW w:w="1125" w:type="dxa"/>
            <w:shd w:val="clear" w:color="auto" w:fill="auto"/>
            <w:vAlign w:val="center"/>
          </w:tcPr>
          <w:p w14:paraId="0A202733">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X≥300</w:t>
            </w:r>
          </w:p>
        </w:tc>
        <w:tc>
          <w:tcPr>
            <w:tcW w:w="1701" w:type="dxa"/>
            <w:shd w:val="clear" w:color="auto" w:fill="auto"/>
            <w:vAlign w:val="center"/>
          </w:tcPr>
          <w:p w14:paraId="7918A94D">
            <w:pPr>
              <w:widowControl/>
              <w:shd w:val="clear"/>
              <w:spacing w:line="360" w:lineRule="auto"/>
              <w:ind w:left="1" w:leftChars="-51" w:hanging="108" w:hangingChars="60"/>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100≤X＜300 </w:t>
            </w:r>
          </w:p>
        </w:tc>
        <w:tc>
          <w:tcPr>
            <w:tcW w:w="1426" w:type="dxa"/>
            <w:shd w:val="clear" w:color="auto" w:fill="auto"/>
            <w:vAlign w:val="center"/>
          </w:tcPr>
          <w:p w14:paraId="76B88AA5">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 xml:space="preserve"> 10≤X＜100</w:t>
            </w:r>
          </w:p>
        </w:tc>
        <w:tc>
          <w:tcPr>
            <w:tcW w:w="992" w:type="dxa"/>
            <w:shd w:val="clear" w:color="auto" w:fill="auto"/>
            <w:vAlign w:val="center"/>
          </w:tcPr>
          <w:p w14:paraId="04F12980">
            <w:pPr>
              <w:widowControl/>
              <w:shd w:val="clear"/>
              <w:spacing w:line="360" w:lineRule="auto"/>
              <w:jc w:val="center"/>
              <w:rPr>
                <w:rFonts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X＜10</w:t>
            </w:r>
          </w:p>
        </w:tc>
      </w:tr>
    </w:tbl>
    <w:p w14:paraId="15033F7C">
      <w:pPr>
        <w:widowControl/>
        <w:shd w:val="clear"/>
        <w:spacing w:line="360" w:lineRule="auto"/>
        <w:rPr>
          <w:rFonts w:ascii="仿宋" w:hAnsi="仿宋" w:eastAsia="仿宋" w:cs="仿宋"/>
          <w:color w:val="auto"/>
          <w:spacing w:val="8"/>
          <w:kern w:val="0"/>
          <w:szCs w:val="21"/>
          <w:highlight w:val="none"/>
        </w:rPr>
      </w:pPr>
    </w:p>
    <w:p w14:paraId="2ACC5E21">
      <w:pPr>
        <w:widowControl/>
        <w:shd w:val="clear"/>
        <w:spacing w:line="360" w:lineRule="auto"/>
        <w:jc w:val="left"/>
        <w:rPr>
          <w:rFonts w:ascii="仿宋" w:hAnsi="仿宋" w:eastAsia="仿宋" w:cs="仿宋"/>
          <w:color w:val="auto"/>
          <w:spacing w:val="8"/>
          <w:kern w:val="0"/>
          <w:szCs w:val="21"/>
          <w:highlight w:val="none"/>
        </w:rPr>
      </w:pPr>
      <w:r>
        <w:rPr>
          <w:rFonts w:hint="eastAsia" w:ascii="仿宋" w:hAnsi="仿宋" w:eastAsia="仿宋" w:cs="仿宋"/>
          <w:color w:val="auto"/>
          <w:spacing w:val="8"/>
          <w:kern w:val="0"/>
          <w:sz w:val="32"/>
          <w:szCs w:val="32"/>
          <w:highlight w:val="none"/>
        </w:rPr>
        <w:br w:type="page"/>
      </w:r>
    </w:p>
    <w:p w14:paraId="08420626">
      <w:pPr>
        <w:widowControl/>
        <w:shd w:val="clear"/>
        <w:spacing w:line="360" w:lineRule="auto"/>
        <w:rPr>
          <w:rFonts w:ascii="仿宋" w:hAnsi="仿宋" w:eastAsia="仿宋" w:cs="仿宋"/>
          <w:b/>
          <w:bCs/>
          <w:color w:val="auto"/>
          <w:spacing w:val="8"/>
          <w:kern w:val="0"/>
          <w:sz w:val="22"/>
          <w:szCs w:val="22"/>
          <w:highlight w:val="none"/>
        </w:rPr>
      </w:pPr>
      <w:r>
        <w:rPr>
          <w:rFonts w:hint="eastAsia" w:ascii="仿宋" w:hAnsi="仿宋" w:eastAsia="仿宋" w:cs="仿宋"/>
          <w:b/>
          <w:bCs/>
          <w:color w:val="auto"/>
          <w:spacing w:val="8"/>
          <w:kern w:val="0"/>
          <w:sz w:val="22"/>
          <w:szCs w:val="22"/>
          <w:highlight w:val="none"/>
        </w:rPr>
        <w:t>说明：</w:t>
      </w:r>
    </w:p>
    <w:p w14:paraId="244BE9CC">
      <w:pPr>
        <w:shd w:val="clear"/>
        <w:spacing w:line="360" w:lineRule="auto"/>
        <w:rPr>
          <w:rFonts w:ascii="仿宋" w:hAnsi="仿宋" w:eastAsia="仿宋" w:cs="仿宋"/>
          <w:color w:val="auto"/>
          <w:spacing w:val="8"/>
          <w:kern w:val="0"/>
          <w:sz w:val="22"/>
          <w:szCs w:val="22"/>
          <w:highlight w:val="none"/>
        </w:rPr>
      </w:pPr>
      <w:r>
        <w:rPr>
          <w:rFonts w:hint="eastAsia" w:ascii="仿宋" w:hAnsi="仿宋" w:eastAsia="仿宋" w:cs="仿宋"/>
          <w:color w:val="auto"/>
          <w:spacing w:val="8"/>
          <w:kern w:val="0"/>
          <w:sz w:val="22"/>
          <w:szCs w:val="22"/>
          <w:highlight w:val="none"/>
        </w:rPr>
        <w:t>1.大型、中型和小型企业须同时满足所列指标的下限，否则下划一档；微型企业只须满足所列指标中的一项即可。</w:t>
      </w:r>
    </w:p>
    <w:p w14:paraId="57D29678">
      <w:pPr>
        <w:shd w:val="clear"/>
        <w:spacing w:line="360" w:lineRule="auto"/>
        <w:rPr>
          <w:rFonts w:ascii="仿宋" w:hAnsi="仿宋" w:eastAsia="仿宋" w:cs="仿宋"/>
          <w:color w:val="auto"/>
          <w:spacing w:val="8"/>
          <w:kern w:val="0"/>
          <w:sz w:val="22"/>
          <w:szCs w:val="22"/>
          <w:highlight w:val="none"/>
        </w:rPr>
      </w:pPr>
      <w:r>
        <w:rPr>
          <w:rFonts w:hint="eastAsia" w:ascii="仿宋" w:hAnsi="仿宋" w:eastAsia="仿宋" w:cs="仿宋"/>
          <w:color w:val="auto"/>
          <w:spacing w:val="8"/>
          <w:kern w:val="0"/>
          <w:sz w:val="22"/>
          <w:szCs w:val="22"/>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2C82960">
      <w:pPr>
        <w:shd w:val="clear"/>
        <w:spacing w:line="360" w:lineRule="auto"/>
        <w:rPr>
          <w:rFonts w:ascii="仿宋" w:hAnsi="仿宋" w:eastAsia="仿宋" w:cs="仿宋"/>
          <w:color w:val="auto"/>
          <w:szCs w:val="21"/>
          <w:highlight w:val="none"/>
        </w:rPr>
      </w:pPr>
      <w:r>
        <w:rPr>
          <w:rFonts w:hint="eastAsia" w:ascii="仿宋" w:hAnsi="仿宋" w:eastAsia="仿宋" w:cs="仿宋"/>
          <w:color w:val="auto"/>
          <w:spacing w:val="8"/>
          <w:kern w:val="0"/>
          <w:sz w:val="22"/>
          <w:szCs w:val="22"/>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730E44F0">
      <w:pPr>
        <w:shd w:val="clear"/>
        <w:rPr>
          <w:color w:val="auto"/>
          <w:highlight w:val="none"/>
        </w:rPr>
      </w:pPr>
      <w:r>
        <w:rPr>
          <w:color w:val="auto"/>
          <w:highlight w:val="none"/>
        </w:rPr>
        <w:br w:type="page"/>
      </w:r>
    </w:p>
    <w:p w14:paraId="67BA1101">
      <w:pPr>
        <w:pStyle w:val="33"/>
        <w:shd w:val="clear"/>
        <w:spacing w:before="240" w:after="0"/>
        <w:jc w:val="center"/>
        <w:rPr>
          <w:rFonts w:ascii="宋体" w:hAnsi="宋体"/>
          <w:color w:val="auto"/>
          <w:highlight w:val="none"/>
        </w:rPr>
      </w:pPr>
      <w:bookmarkStart w:id="314" w:name="_Toc88479396"/>
      <w:bookmarkStart w:id="315" w:name="_Toc16718"/>
      <w:bookmarkStart w:id="316" w:name="_Toc111047019"/>
      <w:r>
        <w:rPr>
          <w:rFonts w:hint="eastAsia" w:ascii="宋体" w:hAnsi="宋体"/>
          <w:color w:val="auto"/>
          <w:highlight w:val="none"/>
        </w:rPr>
        <w:t>十、残疾人福利性单位声明函</w:t>
      </w:r>
      <w:bookmarkEnd w:id="313"/>
      <w:bookmarkEnd w:id="314"/>
      <w:bookmarkEnd w:id="315"/>
      <w:bookmarkEnd w:id="316"/>
    </w:p>
    <w:p w14:paraId="78E2012E">
      <w:pPr>
        <w:shd w:val="clear"/>
        <w:rPr>
          <w:color w:val="auto"/>
          <w:highlight w:val="none"/>
        </w:rPr>
      </w:pPr>
    </w:p>
    <w:p w14:paraId="63AD6571">
      <w:pPr>
        <w:shd w:val="clear"/>
        <w:spacing w:line="48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本单位郑重声明，根据《财政部 民政部 中国残疾人联合会关于促进残疾人就业政府采购政策的通知》（财库</w:t>
      </w:r>
      <w:r>
        <w:rPr>
          <w:rFonts w:hint="eastAsia" w:ascii="宋体" w:hAnsi="宋体"/>
          <w:color w:val="auto"/>
          <w:szCs w:val="21"/>
          <w:highlight w:val="none"/>
        </w:rPr>
        <w:t>〔2017〕 141</w:t>
      </w:r>
      <w:r>
        <w:rPr>
          <w:rFonts w:hint="eastAsia" w:ascii="宋体" w:hAnsi="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096E62">
      <w:pPr>
        <w:shd w:val="clear"/>
        <w:spacing w:line="48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本单位对上述声明的真实性负责。如有虚假，将依法承担相应责任。</w:t>
      </w:r>
    </w:p>
    <w:p w14:paraId="729A4FD3">
      <w:pPr>
        <w:pStyle w:val="121"/>
        <w:shd w:val="clear"/>
        <w:spacing w:line="360" w:lineRule="auto"/>
        <w:ind w:firstLine="5775" w:firstLineChars="2750"/>
        <w:rPr>
          <w:rFonts w:ascii="Times New Roman"/>
          <w:color w:val="auto"/>
          <w:kern w:val="2"/>
          <w:sz w:val="21"/>
          <w:szCs w:val="21"/>
          <w:highlight w:val="none"/>
        </w:rPr>
      </w:pPr>
    </w:p>
    <w:p w14:paraId="5E6DC7E4">
      <w:pPr>
        <w:pStyle w:val="121"/>
        <w:shd w:val="clear"/>
        <w:spacing w:line="360" w:lineRule="auto"/>
        <w:ind w:firstLine="5775" w:firstLineChars="2750"/>
        <w:rPr>
          <w:rFonts w:ascii="Times New Roman"/>
          <w:color w:val="auto"/>
          <w:kern w:val="2"/>
          <w:sz w:val="21"/>
          <w:szCs w:val="21"/>
          <w:highlight w:val="none"/>
        </w:rPr>
      </w:pPr>
    </w:p>
    <w:p w14:paraId="4E5EB3D5">
      <w:pPr>
        <w:pStyle w:val="121"/>
        <w:shd w:val="clear"/>
        <w:spacing w:line="360" w:lineRule="auto"/>
        <w:ind w:firstLine="5775" w:firstLineChars="2750"/>
        <w:rPr>
          <w:rFonts w:ascii="Times New Roman"/>
          <w:color w:val="auto"/>
          <w:kern w:val="2"/>
          <w:sz w:val="21"/>
          <w:szCs w:val="21"/>
          <w:highlight w:val="none"/>
        </w:rPr>
      </w:pPr>
    </w:p>
    <w:p w14:paraId="7752FB0E">
      <w:pPr>
        <w:pStyle w:val="121"/>
        <w:shd w:val="clear"/>
        <w:spacing w:line="360" w:lineRule="auto"/>
        <w:ind w:firstLine="5775" w:firstLineChars="2750"/>
        <w:rPr>
          <w:rFonts w:ascii="Times New Roman"/>
          <w:color w:val="auto"/>
          <w:kern w:val="2"/>
          <w:sz w:val="21"/>
          <w:szCs w:val="21"/>
          <w:highlight w:val="none"/>
        </w:rPr>
      </w:pPr>
    </w:p>
    <w:p w14:paraId="2F0878D5">
      <w:pPr>
        <w:pStyle w:val="121"/>
        <w:shd w:val="clear"/>
        <w:spacing w:line="360" w:lineRule="auto"/>
        <w:ind w:firstLine="3360" w:firstLineChars="1600"/>
        <w:rPr>
          <w:color w:val="auto"/>
          <w:sz w:val="21"/>
          <w:szCs w:val="21"/>
          <w:highlight w:val="none"/>
        </w:rPr>
      </w:pPr>
      <w:r>
        <w:rPr>
          <w:rFonts w:hint="eastAsia"/>
          <w:color w:val="auto"/>
          <w:sz w:val="21"/>
          <w:szCs w:val="21"/>
          <w:highlight w:val="none"/>
        </w:rPr>
        <w:t>企业名称（盖章）：</w:t>
      </w:r>
    </w:p>
    <w:p w14:paraId="3AC9AD27">
      <w:pPr>
        <w:shd w:val="clear"/>
        <w:spacing w:line="360" w:lineRule="auto"/>
        <w:ind w:right="960" w:firstLine="420" w:firstLineChars="200"/>
        <w:jc w:val="center"/>
        <w:rPr>
          <w:rFonts w:ascii="宋体" w:hAnsi="Calibri" w:cs="宋体"/>
          <w:color w:val="auto"/>
          <w:kern w:val="0"/>
          <w:szCs w:val="21"/>
          <w:highlight w:val="none"/>
        </w:rPr>
      </w:pPr>
      <w:r>
        <w:rPr>
          <w:rFonts w:hint="eastAsia" w:ascii="宋体" w:hAnsi="Calibri" w:cs="宋体"/>
          <w:color w:val="auto"/>
          <w:kern w:val="0"/>
          <w:szCs w:val="21"/>
          <w:highlight w:val="none"/>
        </w:rPr>
        <w:t xml:space="preserve"> </w:t>
      </w:r>
      <w:r>
        <w:rPr>
          <w:rFonts w:ascii="宋体" w:hAnsi="Calibri" w:cs="宋体"/>
          <w:color w:val="auto"/>
          <w:kern w:val="0"/>
          <w:szCs w:val="21"/>
          <w:highlight w:val="none"/>
        </w:rPr>
        <w:t xml:space="preserve">  </w:t>
      </w:r>
    </w:p>
    <w:p w14:paraId="469CB7F4">
      <w:pPr>
        <w:shd w:val="clear"/>
        <w:spacing w:line="360" w:lineRule="auto"/>
        <w:ind w:right="960" w:firstLine="420" w:firstLineChars="200"/>
        <w:jc w:val="center"/>
        <w:rPr>
          <w:rFonts w:ascii="宋体" w:hAnsi="Calibri" w:cs="宋体"/>
          <w:color w:val="auto"/>
          <w:kern w:val="0"/>
          <w:szCs w:val="21"/>
          <w:highlight w:val="none"/>
        </w:rPr>
      </w:pPr>
      <w:r>
        <w:rPr>
          <w:rFonts w:hint="eastAsia" w:ascii="宋体" w:hAnsi="Calibri" w:cs="宋体"/>
          <w:color w:val="auto"/>
          <w:kern w:val="0"/>
          <w:szCs w:val="21"/>
          <w:highlight w:val="none"/>
        </w:rPr>
        <w:t xml:space="preserve"> </w:t>
      </w:r>
      <w:r>
        <w:rPr>
          <w:rFonts w:ascii="宋体" w:hAnsi="Calibri" w:cs="宋体"/>
          <w:color w:val="auto"/>
          <w:kern w:val="0"/>
          <w:szCs w:val="21"/>
          <w:highlight w:val="none"/>
        </w:rPr>
        <w:t xml:space="preserve">           </w:t>
      </w:r>
      <w:r>
        <w:rPr>
          <w:rFonts w:hint="eastAsia" w:ascii="宋体" w:hAnsi="Calibri" w:cs="宋体"/>
          <w:color w:val="auto"/>
          <w:kern w:val="0"/>
          <w:szCs w:val="21"/>
          <w:highlight w:val="none"/>
        </w:rPr>
        <w:t>日 期</w:t>
      </w:r>
      <w:r>
        <w:rPr>
          <w:rFonts w:ascii="宋体" w:hAnsi="Calibri" w:cs="宋体"/>
          <w:color w:val="auto"/>
          <w:kern w:val="0"/>
          <w:szCs w:val="21"/>
          <w:highlight w:val="none"/>
        </w:rPr>
        <w:t>：</w:t>
      </w:r>
    </w:p>
    <w:p w14:paraId="50466B2C">
      <w:pPr>
        <w:shd w:val="clear"/>
        <w:spacing w:line="588" w:lineRule="exact"/>
        <w:ind w:firstLine="444" w:firstLineChars="200"/>
        <w:rPr>
          <w:rFonts w:ascii="宋体" w:hAnsi="宋体"/>
          <w:color w:val="auto"/>
          <w:spacing w:val="6"/>
          <w:highlight w:val="none"/>
        </w:rPr>
      </w:pPr>
    </w:p>
    <w:p w14:paraId="6FDAC74E">
      <w:pPr>
        <w:shd w:val="clear"/>
        <w:rPr>
          <w:color w:val="auto"/>
          <w:highlight w:val="none"/>
        </w:rPr>
      </w:pPr>
      <w:r>
        <w:rPr>
          <w:color w:val="auto"/>
          <w:highlight w:val="none"/>
        </w:rPr>
        <w:br w:type="page"/>
      </w:r>
    </w:p>
    <w:p w14:paraId="6CF89681">
      <w:pPr>
        <w:pStyle w:val="33"/>
        <w:shd w:val="clear"/>
        <w:spacing w:before="240" w:after="0"/>
        <w:jc w:val="center"/>
        <w:rPr>
          <w:rFonts w:ascii="宋体" w:hAnsi="宋体"/>
          <w:color w:val="auto"/>
          <w:highlight w:val="none"/>
        </w:rPr>
      </w:pPr>
      <w:bookmarkStart w:id="317" w:name="_Toc111047020"/>
      <w:bookmarkStart w:id="318" w:name="_Toc3208"/>
      <w:bookmarkStart w:id="319" w:name="_Toc88479397"/>
      <w:r>
        <w:rPr>
          <w:rFonts w:hint="eastAsia" w:ascii="宋体" w:hAnsi="宋体"/>
          <w:color w:val="auto"/>
          <w:highlight w:val="none"/>
        </w:rPr>
        <w:t>十一、监狱企业证明</w:t>
      </w:r>
      <w:bookmarkEnd w:id="317"/>
      <w:bookmarkEnd w:id="318"/>
      <w:bookmarkEnd w:id="319"/>
    </w:p>
    <w:p w14:paraId="002952D6">
      <w:pPr>
        <w:shd w:val="clear"/>
        <w:rPr>
          <w:color w:val="auto"/>
          <w:highlight w:val="none"/>
        </w:rPr>
      </w:pPr>
    </w:p>
    <w:p w14:paraId="767B7FF4">
      <w:pPr>
        <w:pStyle w:val="7"/>
        <w:shd w:val="clear"/>
        <w:spacing w:line="360" w:lineRule="auto"/>
        <w:ind w:firstLine="424" w:firstLineChars="202"/>
        <w:jc w:val="left"/>
        <w:rPr>
          <w:color w:val="auto"/>
          <w:szCs w:val="21"/>
          <w:highlight w:val="none"/>
        </w:rPr>
      </w:pPr>
      <w:r>
        <w:rPr>
          <w:rFonts w:hint="eastAsia"/>
          <w:color w:val="auto"/>
          <w:szCs w:val="21"/>
          <w:highlight w:val="none"/>
        </w:rPr>
        <w:t>监狱企业参加政府采购活动时，应当提供由省级以上监狱管理局、戒毒管理局（含新疆生产建设兵团）出具的属于监狱企业的证明文件（复印件</w:t>
      </w:r>
      <w:r>
        <w:rPr>
          <w:rFonts w:hint="eastAsia" w:ascii="宋体" w:hAnsi="宋体"/>
          <w:color w:val="auto"/>
          <w:szCs w:val="21"/>
          <w:highlight w:val="none"/>
        </w:rPr>
        <w:t>或扫描件</w:t>
      </w:r>
      <w:r>
        <w:rPr>
          <w:rFonts w:hint="eastAsia"/>
          <w:color w:val="auto"/>
          <w:szCs w:val="21"/>
          <w:highlight w:val="none"/>
        </w:rPr>
        <w:t>加盖公章）。</w:t>
      </w:r>
    </w:p>
    <w:p w14:paraId="13B7DA0A">
      <w:pPr>
        <w:widowControl/>
        <w:shd w:val="clear"/>
        <w:jc w:val="left"/>
        <w:rPr>
          <w:color w:val="auto"/>
          <w:szCs w:val="21"/>
          <w:highlight w:val="none"/>
        </w:rPr>
      </w:pPr>
      <w:r>
        <w:rPr>
          <w:color w:val="auto"/>
          <w:szCs w:val="21"/>
          <w:highlight w:val="none"/>
        </w:rPr>
        <w:br w:type="page"/>
      </w:r>
    </w:p>
    <w:p w14:paraId="17560C36">
      <w:pPr>
        <w:pStyle w:val="33"/>
        <w:shd w:val="clear"/>
        <w:spacing w:before="240" w:after="0"/>
        <w:jc w:val="center"/>
        <w:rPr>
          <w:rFonts w:ascii="宋体" w:hAnsi="宋体"/>
          <w:color w:val="auto"/>
          <w:highlight w:val="none"/>
        </w:rPr>
      </w:pPr>
      <w:bookmarkStart w:id="320" w:name="_Toc12365"/>
      <w:bookmarkStart w:id="321" w:name="_Toc21218"/>
      <w:r>
        <w:rPr>
          <w:rFonts w:hint="eastAsia" w:ascii="宋体" w:hAnsi="宋体"/>
          <w:color w:val="auto"/>
          <w:highlight w:val="none"/>
        </w:rPr>
        <w:t>十二、节能产品/环境标志产品承诺书</w:t>
      </w:r>
      <w:bookmarkEnd w:id="320"/>
      <w:bookmarkEnd w:id="321"/>
    </w:p>
    <w:p w14:paraId="698AA706">
      <w:pPr>
        <w:shd w:val="clear"/>
        <w:spacing w:line="588" w:lineRule="exact"/>
        <w:jc w:val="center"/>
        <w:rPr>
          <w:rFonts w:ascii="宋体" w:hAnsi="宋体" w:cs="宋体"/>
          <w:color w:val="auto"/>
          <w:spacing w:val="6"/>
          <w:szCs w:val="30"/>
          <w:highlight w:val="none"/>
        </w:rPr>
      </w:pPr>
      <w:r>
        <w:rPr>
          <w:rFonts w:hint="eastAsia" w:ascii="宋体" w:hAnsi="宋体" w:cs="宋体"/>
          <w:color w:val="auto"/>
          <w:spacing w:val="6"/>
          <w:szCs w:val="30"/>
          <w:highlight w:val="none"/>
        </w:rPr>
        <w:t>（根据投标人自身情况如实提供）</w:t>
      </w:r>
    </w:p>
    <w:p w14:paraId="64ADF308">
      <w:pPr>
        <w:shd w:val="clear"/>
        <w:spacing w:line="360" w:lineRule="auto"/>
        <w:ind w:firstLine="560" w:firstLineChars="200"/>
        <w:rPr>
          <w:rFonts w:ascii="宋体" w:hAnsi="宋体" w:cs="宋体"/>
          <w:b/>
          <w:color w:val="auto"/>
          <w:sz w:val="28"/>
          <w:szCs w:val="28"/>
          <w:highlight w:val="none"/>
        </w:rPr>
      </w:pPr>
    </w:p>
    <w:p w14:paraId="7DE6AE5C">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（采购人名称）</w:t>
      </w:r>
      <w:r>
        <w:rPr>
          <w:rFonts w:hint="eastAsia" w:ascii="宋体" w:hAnsi="宋体" w:cs="宋体"/>
          <w:color w:val="auto"/>
          <w:szCs w:val="21"/>
          <w:highlight w:val="none"/>
        </w:rPr>
        <w:t>：</w:t>
      </w:r>
    </w:p>
    <w:p w14:paraId="6B642E4F">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本单位承诺，根据《财政部发展改革委生态环境部市场监管总局关于调整优化节能产品、环境标志产品政府采购执行机制的通知》（财库〔2019〕9号）的规定，本单位提供的</w:t>
      </w:r>
      <w:r>
        <w:rPr>
          <w:rFonts w:hint="eastAsia" w:ascii="宋体" w:hAnsi="宋体" w:cs="宋体"/>
          <w:color w:val="auto"/>
          <w:szCs w:val="21"/>
          <w:highlight w:val="none"/>
          <w:u w:val="single"/>
        </w:rPr>
        <w:t>（产品名称）</w:t>
      </w:r>
      <w:r>
        <w:rPr>
          <w:rFonts w:hint="eastAsia" w:ascii="宋体" w:hAnsi="宋体" w:cs="宋体"/>
          <w:color w:val="auto"/>
          <w:szCs w:val="21"/>
          <w:highlight w:val="none"/>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ascii="宋体" w:hAnsi="宋体" w:cs="宋体"/>
          <w:color w:val="auto"/>
          <w:szCs w:val="21"/>
          <w:highlight w:val="none"/>
          <w:u w:val="single"/>
        </w:rPr>
        <w:t>（产品证书编号）</w:t>
      </w:r>
      <w:r>
        <w:rPr>
          <w:rFonts w:hint="eastAsia" w:ascii="宋体" w:hAnsi="宋体" w:cs="宋体"/>
          <w:color w:val="auto"/>
          <w:szCs w:val="21"/>
          <w:highlight w:val="none"/>
        </w:rPr>
        <w:t>。</w:t>
      </w:r>
    </w:p>
    <w:p w14:paraId="33F8E4FD">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本单位对上述承诺的真实性负责。如有虚假，将依法承担相应责任。</w:t>
      </w:r>
    </w:p>
    <w:p w14:paraId="6D3B3EAE">
      <w:pPr>
        <w:shd w:val="clear"/>
        <w:tabs>
          <w:tab w:val="left" w:pos="4860"/>
        </w:tabs>
        <w:spacing w:line="588" w:lineRule="exact"/>
        <w:ind w:right="1560" w:firstLine="420" w:firstLineChars="200"/>
        <w:jc w:val="center"/>
        <w:rPr>
          <w:rFonts w:ascii="宋体" w:hAnsi="宋体" w:cs="宋体"/>
          <w:color w:val="auto"/>
          <w:szCs w:val="21"/>
          <w:highlight w:val="none"/>
        </w:rPr>
      </w:pPr>
      <w:r>
        <w:rPr>
          <w:rFonts w:hint="eastAsia" w:ascii="宋体" w:hAnsi="宋体" w:cs="宋体"/>
          <w:color w:val="auto"/>
          <w:szCs w:val="21"/>
          <w:highlight w:val="none"/>
        </w:rPr>
        <w:t xml:space="preserve">       </w:t>
      </w:r>
    </w:p>
    <w:p w14:paraId="21FFC706">
      <w:pPr>
        <w:shd w:val="clear"/>
        <w:tabs>
          <w:tab w:val="left" w:pos="4860"/>
        </w:tabs>
        <w:spacing w:line="588" w:lineRule="exact"/>
        <w:ind w:right="1560" w:firstLine="420" w:firstLineChars="200"/>
        <w:jc w:val="center"/>
        <w:rPr>
          <w:rFonts w:ascii="宋体" w:hAnsi="宋体" w:cs="宋体"/>
          <w:color w:val="auto"/>
          <w:szCs w:val="21"/>
          <w:highlight w:val="none"/>
        </w:rPr>
      </w:pPr>
    </w:p>
    <w:p w14:paraId="5CD81486">
      <w:pPr>
        <w:shd w:val="clear"/>
        <w:tabs>
          <w:tab w:val="left" w:pos="4860"/>
        </w:tabs>
        <w:spacing w:line="588" w:lineRule="exact"/>
        <w:ind w:right="1560" w:firstLine="420" w:firstLineChars="200"/>
        <w:jc w:val="center"/>
        <w:rPr>
          <w:rFonts w:ascii="宋体" w:hAnsi="宋体" w:cs="宋体"/>
          <w:color w:val="auto"/>
          <w:spacing w:val="6"/>
          <w:szCs w:val="21"/>
          <w:highlight w:val="none"/>
        </w:rPr>
      </w:pPr>
      <w:r>
        <w:rPr>
          <w:rFonts w:hint="eastAsia" w:ascii="宋体" w:hAnsi="宋体" w:cs="宋体"/>
          <w:color w:val="auto"/>
          <w:szCs w:val="21"/>
          <w:highlight w:val="none"/>
        </w:rPr>
        <w:t xml:space="preserve">       </w:t>
      </w: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投标人（加盖电子公章）：</w:t>
      </w:r>
      <w:r>
        <w:rPr>
          <w:rFonts w:hint="eastAsia" w:ascii="宋体" w:hAnsi="宋体" w:cs="宋体"/>
          <w:color w:val="auto"/>
          <w:szCs w:val="21"/>
          <w:highlight w:val="none"/>
          <w:u w:val="single"/>
        </w:rPr>
        <w:t xml:space="preserve">                       </w:t>
      </w:r>
    </w:p>
    <w:p w14:paraId="6A1056AB">
      <w:pPr>
        <w:shd w:val="clear"/>
        <w:tabs>
          <w:tab w:val="left" w:pos="4860"/>
        </w:tabs>
        <w:spacing w:line="588" w:lineRule="exact"/>
        <w:ind w:right="1560" w:firstLine="444" w:firstLineChars="200"/>
        <w:jc w:val="center"/>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14:paraId="02055347">
      <w:pPr>
        <w:shd w:val="clear"/>
        <w:tabs>
          <w:tab w:val="left" w:pos="4860"/>
        </w:tabs>
        <w:spacing w:line="588" w:lineRule="exact"/>
        <w:ind w:right="1560"/>
        <w:rPr>
          <w:rFonts w:ascii="宋体" w:hAnsi="宋体" w:cs="宋体"/>
          <w:color w:val="auto"/>
          <w:spacing w:val="6"/>
          <w:szCs w:val="21"/>
          <w:highlight w:val="none"/>
        </w:rPr>
        <w:sectPr>
          <w:pgSz w:w="11906" w:h="16838"/>
          <w:pgMar w:top="1418" w:right="1418" w:bottom="1418" w:left="1418" w:header="964" w:footer="907" w:gutter="0"/>
          <w:cols w:space="720" w:num="1"/>
          <w:titlePg/>
          <w:docGrid w:type="linesAndChars" w:linePitch="331" w:charSpace="0"/>
        </w:sectPr>
      </w:pPr>
    </w:p>
    <w:p w14:paraId="37A871C7">
      <w:pPr>
        <w:shd w:val="clear"/>
        <w:spacing w:before="60" w:after="60" w:line="480" w:lineRule="auto"/>
        <w:rPr>
          <w:rFonts w:ascii="宋体" w:hAnsi="宋体"/>
          <w:color w:val="auto"/>
          <w:szCs w:val="21"/>
          <w:highlight w:val="none"/>
        </w:rPr>
      </w:pPr>
    </w:p>
    <w:p w14:paraId="228630B3">
      <w:pPr>
        <w:shd w:val="clear"/>
        <w:spacing w:line="360" w:lineRule="auto"/>
        <w:jc w:val="center"/>
        <w:rPr>
          <w:rFonts w:ascii="宋体" w:hAnsi="宋体"/>
          <w:b/>
          <w:bCs/>
          <w:color w:val="auto"/>
          <w:sz w:val="30"/>
          <w:highlight w:val="none"/>
        </w:rPr>
      </w:pPr>
    </w:p>
    <w:p w14:paraId="7252309E">
      <w:pPr>
        <w:shd w:val="clear"/>
        <w:spacing w:line="360" w:lineRule="auto"/>
        <w:jc w:val="center"/>
        <w:rPr>
          <w:rFonts w:ascii="宋体" w:hAnsi="宋体"/>
          <w:b/>
          <w:bCs/>
          <w:color w:val="auto"/>
          <w:sz w:val="30"/>
          <w:highlight w:val="none"/>
        </w:rPr>
      </w:pPr>
    </w:p>
    <w:p w14:paraId="2D41623D">
      <w:pPr>
        <w:shd w:val="clear"/>
        <w:spacing w:line="360" w:lineRule="auto"/>
        <w:jc w:val="center"/>
        <w:rPr>
          <w:rFonts w:ascii="宋体" w:hAnsi="宋体"/>
          <w:b/>
          <w:bCs/>
          <w:color w:val="auto"/>
          <w:sz w:val="30"/>
          <w:highlight w:val="none"/>
        </w:rPr>
      </w:pPr>
    </w:p>
    <w:p w14:paraId="30F85997">
      <w:pPr>
        <w:shd w:val="clear"/>
        <w:spacing w:line="360" w:lineRule="auto"/>
        <w:jc w:val="center"/>
        <w:rPr>
          <w:rFonts w:ascii="宋体" w:hAnsi="宋体"/>
          <w:b/>
          <w:bCs/>
          <w:color w:val="auto"/>
          <w:sz w:val="30"/>
          <w:highlight w:val="none"/>
        </w:rPr>
      </w:pPr>
    </w:p>
    <w:p w14:paraId="1A2612C9">
      <w:pPr>
        <w:shd w:val="clear"/>
        <w:spacing w:line="360" w:lineRule="auto"/>
        <w:jc w:val="center"/>
        <w:rPr>
          <w:rFonts w:ascii="宋体" w:hAnsi="宋体"/>
          <w:b/>
          <w:bCs/>
          <w:color w:val="auto"/>
          <w:sz w:val="30"/>
          <w:highlight w:val="none"/>
        </w:rPr>
      </w:pPr>
    </w:p>
    <w:p w14:paraId="4EDEAC35">
      <w:pPr>
        <w:shd w:val="clear"/>
        <w:spacing w:line="360" w:lineRule="auto"/>
        <w:jc w:val="center"/>
        <w:rPr>
          <w:rFonts w:ascii="宋体" w:hAnsi="宋体"/>
          <w:b/>
          <w:bCs/>
          <w:color w:val="auto"/>
          <w:sz w:val="30"/>
          <w:highlight w:val="none"/>
        </w:rPr>
      </w:pPr>
    </w:p>
    <w:p w14:paraId="414D17D4">
      <w:pPr>
        <w:shd w:val="clear"/>
        <w:spacing w:line="360" w:lineRule="auto"/>
        <w:jc w:val="center"/>
        <w:rPr>
          <w:rFonts w:ascii="宋体" w:hAnsi="宋体"/>
          <w:b/>
          <w:bCs/>
          <w:color w:val="auto"/>
          <w:sz w:val="30"/>
          <w:highlight w:val="none"/>
        </w:rPr>
      </w:pPr>
    </w:p>
    <w:p w14:paraId="7044840B">
      <w:pPr>
        <w:shd w:val="clear"/>
        <w:spacing w:line="360" w:lineRule="auto"/>
        <w:jc w:val="center"/>
        <w:rPr>
          <w:rFonts w:ascii="宋体" w:hAnsi="宋体"/>
          <w:b/>
          <w:bCs/>
          <w:color w:val="auto"/>
          <w:sz w:val="30"/>
          <w:highlight w:val="none"/>
        </w:rPr>
      </w:pPr>
    </w:p>
    <w:p w14:paraId="7C441F61">
      <w:pPr>
        <w:pStyle w:val="24"/>
        <w:shd w:val="clear"/>
        <w:rPr>
          <w:rFonts w:ascii="黑体" w:hAnsi="黑体" w:eastAsia="黑体"/>
          <w:color w:val="auto"/>
          <w:sz w:val="44"/>
          <w:szCs w:val="44"/>
          <w:highlight w:val="none"/>
        </w:rPr>
        <w:sectPr>
          <w:pgSz w:w="11906" w:h="16838"/>
          <w:pgMar w:top="1418" w:right="1274" w:bottom="1560" w:left="1560" w:header="907" w:footer="901" w:gutter="0"/>
          <w:cols w:space="720" w:num="1"/>
          <w:docGrid w:linePitch="312" w:charSpace="0"/>
        </w:sectPr>
      </w:pPr>
      <w:bookmarkStart w:id="322" w:name="_Toc15891"/>
      <w:r>
        <w:rPr>
          <w:rFonts w:hint="eastAsia" w:ascii="黑体" w:hAnsi="黑体" w:eastAsia="黑体"/>
          <w:color w:val="auto"/>
          <w:sz w:val="44"/>
          <w:szCs w:val="44"/>
          <w:highlight w:val="none"/>
        </w:rPr>
        <w:t>（四）</w:t>
      </w:r>
      <w:r>
        <w:rPr>
          <w:rFonts w:ascii="黑体" w:hAnsi="黑体" w:eastAsia="黑体"/>
          <w:color w:val="auto"/>
          <w:sz w:val="44"/>
          <w:szCs w:val="44"/>
          <w:highlight w:val="none"/>
        </w:rPr>
        <w:t>技术部分</w:t>
      </w:r>
      <w:bookmarkEnd w:id="322"/>
    </w:p>
    <w:p w14:paraId="2B8E1F73">
      <w:pPr>
        <w:pStyle w:val="5"/>
        <w:shd w:val="clear"/>
        <w:tabs>
          <w:tab w:val="left" w:pos="596"/>
        </w:tabs>
        <w:ind w:left="425"/>
        <w:jc w:val="center"/>
        <w:rPr>
          <w:rFonts w:ascii="宋体" w:hAnsi="宋体" w:eastAsia="黑体" w:cs="Times New Roman"/>
          <w:color w:val="auto"/>
          <w:highlight w:val="none"/>
        </w:rPr>
      </w:pPr>
      <w:bookmarkStart w:id="323" w:name="_Toc493600041"/>
      <w:bookmarkStart w:id="324" w:name="_Toc5370"/>
      <w:bookmarkStart w:id="325" w:name="_Toc496521009"/>
      <w:bookmarkStart w:id="326" w:name="_Toc213141099"/>
      <w:bookmarkStart w:id="327" w:name="_Toc19761"/>
      <w:bookmarkStart w:id="328" w:name="_Toc389644550"/>
      <w:bookmarkStart w:id="329" w:name="_Toc450064599"/>
      <w:r>
        <w:rPr>
          <w:rFonts w:hint="eastAsia" w:ascii="宋体" w:hAnsi="宋体" w:eastAsia="黑体" w:cs="Times New Roman"/>
          <w:color w:val="auto"/>
          <w:highlight w:val="none"/>
        </w:rPr>
        <w:t>一、技术规格偏离表</w:t>
      </w:r>
      <w:bookmarkEnd w:id="323"/>
      <w:bookmarkEnd w:id="324"/>
      <w:bookmarkEnd w:id="325"/>
      <w:bookmarkEnd w:id="326"/>
      <w:bookmarkEnd w:id="327"/>
    </w:p>
    <w:p w14:paraId="7C4AD676">
      <w:pPr>
        <w:pStyle w:val="15"/>
        <w:shd w:val="clear"/>
        <w:ind w:firstLine="210" w:firstLineChars="100"/>
        <w:rPr>
          <w:rFonts w:hAnsi="宋体" w:cs="宋体"/>
          <w:color w:val="auto"/>
          <w:szCs w:val="21"/>
          <w:highlight w:val="none"/>
        </w:rPr>
      </w:pPr>
      <w:r>
        <w:rPr>
          <w:rFonts w:hint="eastAsia" w:hAnsi="宋体" w:cs="宋体"/>
          <w:color w:val="auto"/>
          <w:szCs w:val="21"/>
          <w:highlight w:val="none"/>
        </w:rPr>
        <w:t xml:space="preserve">  请按投标产品的实际技术参数，逐条对应招标文件的“采购需求”中要求的技术规范认真填写该表，该表不能作为投标产品的技术文件。</w:t>
      </w:r>
    </w:p>
    <w:p w14:paraId="7CC79C3A">
      <w:pPr>
        <w:pStyle w:val="15"/>
        <w:shd w:val="clear"/>
        <w:ind w:firstLine="210" w:firstLineChars="100"/>
        <w:rPr>
          <w:rFonts w:hAnsi="宋体" w:cs="宋体"/>
          <w:color w:val="auto"/>
          <w:szCs w:val="21"/>
          <w:highlight w:val="none"/>
        </w:rPr>
      </w:pPr>
    </w:p>
    <w:p w14:paraId="6710AAC1">
      <w:pPr>
        <w:pStyle w:val="15"/>
        <w:shd w:val="clear"/>
        <w:rPr>
          <w:rFonts w:hAnsi="宋体" w:cs="宋体"/>
          <w:b/>
          <w:color w:val="auto"/>
          <w:szCs w:val="21"/>
          <w:highlight w:val="none"/>
          <w:u w:val="single"/>
        </w:rPr>
      </w:pPr>
      <w:r>
        <w:rPr>
          <w:rFonts w:hint="eastAsia" w:hAnsi="宋体" w:cs="宋体"/>
          <w:b/>
          <w:color w:val="auto"/>
          <w:szCs w:val="21"/>
          <w:highlight w:val="none"/>
        </w:rPr>
        <w:t>项目名称：</w:t>
      </w:r>
      <w:r>
        <w:rPr>
          <w:rFonts w:hint="eastAsia" w:hAnsi="宋体" w:cs="宋体"/>
          <w:b/>
          <w:color w:val="auto"/>
          <w:szCs w:val="21"/>
          <w:highlight w:val="none"/>
          <w:u w:val="single"/>
        </w:rPr>
        <w:t xml:space="preserve">          </w:t>
      </w:r>
      <w:r>
        <w:rPr>
          <w:rFonts w:hint="eastAsia" w:hAnsi="宋体" w:cs="宋体"/>
          <w:b/>
          <w:color w:val="auto"/>
          <w:szCs w:val="21"/>
          <w:highlight w:val="none"/>
        </w:rPr>
        <w:t xml:space="preserve">          招标编号：</w:t>
      </w:r>
      <w:r>
        <w:rPr>
          <w:rFonts w:hint="eastAsia" w:hAnsi="宋体" w:cs="宋体"/>
          <w:b/>
          <w:color w:val="auto"/>
          <w:szCs w:val="21"/>
          <w:highlight w:val="none"/>
          <w:u w:val="single"/>
        </w:rPr>
        <w:t xml:space="preserve">             </w:t>
      </w:r>
      <w:r>
        <w:rPr>
          <w:rFonts w:hint="eastAsia" w:hAnsi="宋体" w:cs="宋体"/>
          <w:b/>
          <w:color w:val="auto"/>
          <w:szCs w:val="21"/>
          <w:highlight w:val="none"/>
        </w:rPr>
        <w:t xml:space="preserve">   </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1094"/>
        <w:gridCol w:w="1571"/>
        <w:gridCol w:w="2150"/>
        <w:gridCol w:w="1529"/>
        <w:gridCol w:w="1987"/>
      </w:tblGrid>
      <w:tr w14:paraId="1AA0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581" w:type="pct"/>
            <w:vAlign w:val="center"/>
          </w:tcPr>
          <w:p w14:paraId="17B08F28">
            <w:pPr>
              <w:shd w:val="clear"/>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580" w:type="pct"/>
            <w:vAlign w:val="center"/>
          </w:tcPr>
          <w:p w14:paraId="53B8BB4A">
            <w:pPr>
              <w:shd w:val="clear"/>
              <w:jc w:val="center"/>
              <w:rPr>
                <w:rFonts w:ascii="宋体" w:hAnsi="宋体" w:cs="宋体"/>
                <w:b/>
                <w:color w:val="auto"/>
                <w:szCs w:val="21"/>
                <w:highlight w:val="none"/>
              </w:rPr>
            </w:pPr>
            <w:r>
              <w:rPr>
                <w:rFonts w:hint="eastAsia" w:ascii="宋体" w:hAnsi="宋体" w:cs="宋体"/>
                <w:b/>
                <w:color w:val="auto"/>
                <w:szCs w:val="21"/>
                <w:highlight w:val="none"/>
              </w:rPr>
              <w:t>产品名称</w:t>
            </w:r>
          </w:p>
        </w:tc>
        <w:tc>
          <w:tcPr>
            <w:tcW w:w="833" w:type="pct"/>
            <w:vAlign w:val="center"/>
          </w:tcPr>
          <w:p w14:paraId="3A22C538">
            <w:pPr>
              <w:shd w:val="clear"/>
              <w:jc w:val="center"/>
              <w:rPr>
                <w:rFonts w:ascii="宋体" w:hAnsi="宋体" w:cs="宋体"/>
                <w:b/>
                <w:color w:val="auto"/>
                <w:szCs w:val="21"/>
                <w:highlight w:val="none"/>
              </w:rPr>
            </w:pPr>
            <w:r>
              <w:rPr>
                <w:rFonts w:hint="eastAsia" w:ascii="宋体" w:hAnsi="宋体" w:cs="宋体"/>
                <w:b/>
                <w:color w:val="auto"/>
                <w:szCs w:val="21"/>
                <w:highlight w:val="none"/>
              </w:rPr>
              <w:t>招标文件技术规范、要求</w:t>
            </w:r>
          </w:p>
        </w:tc>
        <w:tc>
          <w:tcPr>
            <w:tcW w:w="1140" w:type="pct"/>
            <w:vAlign w:val="center"/>
          </w:tcPr>
          <w:p w14:paraId="66FF4AA4">
            <w:pPr>
              <w:shd w:val="clear"/>
              <w:jc w:val="center"/>
              <w:rPr>
                <w:rFonts w:ascii="宋体" w:hAnsi="宋体" w:cs="宋体"/>
                <w:b/>
                <w:color w:val="auto"/>
                <w:szCs w:val="21"/>
                <w:highlight w:val="none"/>
              </w:rPr>
            </w:pPr>
            <w:r>
              <w:rPr>
                <w:rFonts w:hint="eastAsia" w:ascii="宋体" w:hAnsi="宋体" w:cs="宋体"/>
                <w:b/>
                <w:color w:val="auto"/>
                <w:szCs w:val="21"/>
                <w:highlight w:val="none"/>
              </w:rPr>
              <w:t>投标品牌、型号、技术参数及配置</w:t>
            </w:r>
          </w:p>
        </w:tc>
        <w:tc>
          <w:tcPr>
            <w:tcW w:w="811" w:type="pct"/>
            <w:vAlign w:val="center"/>
          </w:tcPr>
          <w:p w14:paraId="157083B0">
            <w:pPr>
              <w:shd w:val="clear"/>
              <w:jc w:val="center"/>
              <w:rPr>
                <w:rFonts w:ascii="宋体" w:hAnsi="宋体" w:cs="宋体"/>
                <w:b/>
                <w:color w:val="auto"/>
                <w:szCs w:val="21"/>
                <w:highlight w:val="none"/>
              </w:rPr>
            </w:pPr>
            <w:r>
              <w:rPr>
                <w:rFonts w:hint="eastAsia" w:ascii="宋体" w:hAnsi="宋体" w:cs="宋体"/>
                <w:b/>
                <w:color w:val="auto"/>
                <w:szCs w:val="21"/>
                <w:highlight w:val="none"/>
              </w:rPr>
              <w:t>偏离</w:t>
            </w:r>
          </w:p>
        </w:tc>
        <w:tc>
          <w:tcPr>
            <w:tcW w:w="1054" w:type="pct"/>
            <w:vAlign w:val="center"/>
          </w:tcPr>
          <w:p w14:paraId="63C92347">
            <w:pPr>
              <w:shd w:val="clear"/>
              <w:jc w:val="center"/>
              <w:rPr>
                <w:rFonts w:ascii="宋体" w:hAnsi="宋体" w:cs="宋体"/>
                <w:b/>
                <w:color w:val="auto"/>
                <w:szCs w:val="21"/>
                <w:highlight w:val="none"/>
              </w:rPr>
            </w:pPr>
            <w:r>
              <w:rPr>
                <w:rFonts w:hint="eastAsia" w:ascii="宋体" w:hAnsi="宋体" w:cs="宋体"/>
                <w:b/>
                <w:color w:val="auto"/>
                <w:szCs w:val="21"/>
                <w:highlight w:val="none"/>
              </w:rPr>
              <w:t>技术支持资料索引（页码及条目号等）</w:t>
            </w:r>
          </w:p>
        </w:tc>
      </w:tr>
      <w:tr w14:paraId="0936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581" w:type="pct"/>
          </w:tcPr>
          <w:p w14:paraId="254CE326">
            <w:pPr>
              <w:shd w:val="clear"/>
              <w:spacing w:line="360" w:lineRule="auto"/>
              <w:jc w:val="center"/>
              <w:rPr>
                <w:rFonts w:ascii="宋体" w:hAnsi="宋体" w:cs="宋体"/>
                <w:color w:val="auto"/>
                <w:szCs w:val="21"/>
                <w:highlight w:val="none"/>
              </w:rPr>
            </w:pPr>
          </w:p>
        </w:tc>
        <w:tc>
          <w:tcPr>
            <w:tcW w:w="580" w:type="pct"/>
            <w:vAlign w:val="center"/>
          </w:tcPr>
          <w:p w14:paraId="044EED3B">
            <w:pPr>
              <w:shd w:val="clear"/>
              <w:spacing w:line="360" w:lineRule="auto"/>
              <w:jc w:val="center"/>
              <w:rPr>
                <w:rFonts w:ascii="宋体" w:hAnsi="宋体" w:cs="宋体"/>
                <w:color w:val="auto"/>
                <w:szCs w:val="21"/>
                <w:highlight w:val="none"/>
              </w:rPr>
            </w:pPr>
          </w:p>
        </w:tc>
        <w:tc>
          <w:tcPr>
            <w:tcW w:w="833" w:type="pct"/>
            <w:vAlign w:val="center"/>
          </w:tcPr>
          <w:p w14:paraId="2727D286">
            <w:pPr>
              <w:shd w:val="clear"/>
              <w:spacing w:line="360" w:lineRule="auto"/>
              <w:jc w:val="center"/>
              <w:rPr>
                <w:rFonts w:ascii="宋体" w:hAnsi="宋体" w:cs="宋体"/>
                <w:color w:val="auto"/>
                <w:szCs w:val="21"/>
                <w:highlight w:val="none"/>
              </w:rPr>
            </w:pPr>
          </w:p>
        </w:tc>
        <w:tc>
          <w:tcPr>
            <w:tcW w:w="1140" w:type="pct"/>
            <w:vAlign w:val="center"/>
          </w:tcPr>
          <w:p w14:paraId="7D4E1F32">
            <w:pPr>
              <w:shd w:val="clear"/>
              <w:spacing w:line="360" w:lineRule="auto"/>
              <w:jc w:val="center"/>
              <w:rPr>
                <w:rFonts w:ascii="宋体" w:hAnsi="宋体" w:cs="宋体"/>
                <w:color w:val="auto"/>
                <w:szCs w:val="21"/>
                <w:highlight w:val="none"/>
              </w:rPr>
            </w:pPr>
          </w:p>
        </w:tc>
        <w:tc>
          <w:tcPr>
            <w:tcW w:w="811" w:type="pct"/>
          </w:tcPr>
          <w:p w14:paraId="51EF0C1A">
            <w:pPr>
              <w:shd w:val="clear"/>
              <w:spacing w:line="360" w:lineRule="auto"/>
              <w:jc w:val="center"/>
              <w:rPr>
                <w:rFonts w:ascii="宋体" w:hAnsi="宋体" w:cs="宋体"/>
                <w:color w:val="auto"/>
                <w:szCs w:val="21"/>
                <w:highlight w:val="none"/>
              </w:rPr>
            </w:pPr>
          </w:p>
        </w:tc>
        <w:tc>
          <w:tcPr>
            <w:tcW w:w="1054" w:type="pct"/>
          </w:tcPr>
          <w:p w14:paraId="59AA3F2A">
            <w:pPr>
              <w:shd w:val="clear"/>
              <w:spacing w:line="360" w:lineRule="auto"/>
              <w:jc w:val="center"/>
              <w:rPr>
                <w:rFonts w:ascii="宋体" w:hAnsi="宋体" w:cs="宋体"/>
                <w:color w:val="auto"/>
                <w:szCs w:val="21"/>
                <w:highlight w:val="none"/>
              </w:rPr>
            </w:pPr>
          </w:p>
        </w:tc>
      </w:tr>
      <w:tr w14:paraId="229B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 w:hRule="atLeast"/>
          <w:jc w:val="center"/>
        </w:trPr>
        <w:tc>
          <w:tcPr>
            <w:tcW w:w="581" w:type="pct"/>
          </w:tcPr>
          <w:p w14:paraId="56055C33">
            <w:pPr>
              <w:shd w:val="clear"/>
              <w:spacing w:line="360" w:lineRule="auto"/>
              <w:jc w:val="center"/>
              <w:rPr>
                <w:rFonts w:ascii="宋体" w:hAnsi="宋体" w:cs="宋体"/>
                <w:color w:val="auto"/>
                <w:szCs w:val="21"/>
                <w:highlight w:val="none"/>
              </w:rPr>
            </w:pPr>
          </w:p>
        </w:tc>
        <w:tc>
          <w:tcPr>
            <w:tcW w:w="580" w:type="pct"/>
            <w:vAlign w:val="center"/>
          </w:tcPr>
          <w:p w14:paraId="21A454D0">
            <w:pPr>
              <w:shd w:val="clear"/>
              <w:spacing w:line="360" w:lineRule="auto"/>
              <w:jc w:val="center"/>
              <w:rPr>
                <w:rFonts w:ascii="宋体" w:hAnsi="宋体" w:cs="宋体"/>
                <w:color w:val="auto"/>
                <w:szCs w:val="21"/>
                <w:highlight w:val="none"/>
              </w:rPr>
            </w:pPr>
          </w:p>
        </w:tc>
        <w:tc>
          <w:tcPr>
            <w:tcW w:w="833" w:type="pct"/>
            <w:vAlign w:val="center"/>
          </w:tcPr>
          <w:p w14:paraId="13E653AC">
            <w:pPr>
              <w:shd w:val="clear"/>
              <w:spacing w:line="360" w:lineRule="auto"/>
              <w:jc w:val="center"/>
              <w:rPr>
                <w:rFonts w:ascii="宋体" w:hAnsi="宋体" w:cs="宋体"/>
                <w:color w:val="auto"/>
                <w:szCs w:val="21"/>
                <w:highlight w:val="none"/>
              </w:rPr>
            </w:pPr>
          </w:p>
        </w:tc>
        <w:tc>
          <w:tcPr>
            <w:tcW w:w="1140" w:type="pct"/>
            <w:vAlign w:val="center"/>
          </w:tcPr>
          <w:p w14:paraId="4B69FC2A">
            <w:pPr>
              <w:shd w:val="clear"/>
              <w:spacing w:line="360" w:lineRule="auto"/>
              <w:jc w:val="center"/>
              <w:rPr>
                <w:rFonts w:ascii="宋体" w:hAnsi="宋体" w:cs="宋体"/>
                <w:color w:val="auto"/>
                <w:szCs w:val="21"/>
                <w:highlight w:val="none"/>
              </w:rPr>
            </w:pPr>
          </w:p>
        </w:tc>
        <w:tc>
          <w:tcPr>
            <w:tcW w:w="811" w:type="pct"/>
          </w:tcPr>
          <w:p w14:paraId="7D6313BD">
            <w:pPr>
              <w:shd w:val="clear"/>
              <w:spacing w:line="360" w:lineRule="auto"/>
              <w:jc w:val="center"/>
              <w:rPr>
                <w:rFonts w:ascii="宋体" w:hAnsi="宋体" w:cs="宋体"/>
                <w:color w:val="auto"/>
                <w:szCs w:val="21"/>
                <w:highlight w:val="none"/>
              </w:rPr>
            </w:pPr>
          </w:p>
        </w:tc>
        <w:tc>
          <w:tcPr>
            <w:tcW w:w="1054" w:type="pct"/>
          </w:tcPr>
          <w:p w14:paraId="3B356BFC">
            <w:pPr>
              <w:shd w:val="clear"/>
              <w:spacing w:line="360" w:lineRule="auto"/>
              <w:jc w:val="center"/>
              <w:rPr>
                <w:rFonts w:ascii="宋体" w:hAnsi="宋体" w:cs="宋体"/>
                <w:color w:val="auto"/>
                <w:szCs w:val="21"/>
                <w:highlight w:val="none"/>
              </w:rPr>
            </w:pPr>
          </w:p>
        </w:tc>
      </w:tr>
      <w:tr w14:paraId="53B9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 w:hRule="atLeast"/>
          <w:jc w:val="center"/>
        </w:trPr>
        <w:tc>
          <w:tcPr>
            <w:tcW w:w="581" w:type="pct"/>
          </w:tcPr>
          <w:p w14:paraId="6570CD25">
            <w:pPr>
              <w:shd w:val="clear"/>
              <w:spacing w:line="360" w:lineRule="auto"/>
              <w:jc w:val="center"/>
              <w:rPr>
                <w:rFonts w:ascii="宋体" w:hAnsi="宋体" w:cs="宋体"/>
                <w:color w:val="auto"/>
                <w:szCs w:val="21"/>
                <w:highlight w:val="none"/>
              </w:rPr>
            </w:pPr>
          </w:p>
        </w:tc>
        <w:tc>
          <w:tcPr>
            <w:tcW w:w="580" w:type="pct"/>
            <w:vAlign w:val="center"/>
          </w:tcPr>
          <w:p w14:paraId="6D45D6AF">
            <w:pPr>
              <w:shd w:val="clear"/>
              <w:spacing w:line="360" w:lineRule="auto"/>
              <w:jc w:val="center"/>
              <w:rPr>
                <w:rFonts w:ascii="宋体" w:hAnsi="宋体" w:cs="宋体"/>
                <w:color w:val="auto"/>
                <w:szCs w:val="21"/>
                <w:highlight w:val="none"/>
              </w:rPr>
            </w:pPr>
          </w:p>
        </w:tc>
        <w:tc>
          <w:tcPr>
            <w:tcW w:w="833" w:type="pct"/>
            <w:vAlign w:val="center"/>
          </w:tcPr>
          <w:p w14:paraId="2044D3EF">
            <w:pPr>
              <w:shd w:val="clear"/>
              <w:spacing w:line="360" w:lineRule="auto"/>
              <w:jc w:val="center"/>
              <w:rPr>
                <w:rFonts w:ascii="宋体" w:hAnsi="宋体" w:cs="宋体"/>
                <w:color w:val="auto"/>
                <w:szCs w:val="21"/>
                <w:highlight w:val="none"/>
              </w:rPr>
            </w:pPr>
          </w:p>
        </w:tc>
        <w:tc>
          <w:tcPr>
            <w:tcW w:w="1140" w:type="pct"/>
            <w:vAlign w:val="center"/>
          </w:tcPr>
          <w:p w14:paraId="42982749">
            <w:pPr>
              <w:shd w:val="clear"/>
              <w:spacing w:line="360" w:lineRule="auto"/>
              <w:jc w:val="center"/>
              <w:rPr>
                <w:rFonts w:ascii="宋体" w:hAnsi="宋体" w:cs="宋体"/>
                <w:color w:val="auto"/>
                <w:szCs w:val="21"/>
                <w:highlight w:val="none"/>
              </w:rPr>
            </w:pPr>
          </w:p>
        </w:tc>
        <w:tc>
          <w:tcPr>
            <w:tcW w:w="811" w:type="pct"/>
          </w:tcPr>
          <w:p w14:paraId="35E0A285">
            <w:pPr>
              <w:shd w:val="clear"/>
              <w:spacing w:line="360" w:lineRule="auto"/>
              <w:jc w:val="center"/>
              <w:rPr>
                <w:rFonts w:ascii="宋体" w:hAnsi="宋体" w:cs="宋体"/>
                <w:color w:val="auto"/>
                <w:szCs w:val="21"/>
                <w:highlight w:val="none"/>
              </w:rPr>
            </w:pPr>
          </w:p>
        </w:tc>
        <w:tc>
          <w:tcPr>
            <w:tcW w:w="1054" w:type="pct"/>
          </w:tcPr>
          <w:p w14:paraId="1CC51B26">
            <w:pPr>
              <w:shd w:val="clear"/>
              <w:spacing w:line="360" w:lineRule="auto"/>
              <w:jc w:val="center"/>
              <w:rPr>
                <w:rFonts w:ascii="宋体" w:hAnsi="宋体" w:cs="宋体"/>
                <w:color w:val="auto"/>
                <w:szCs w:val="21"/>
                <w:highlight w:val="none"/>
              </w:rPr>
            </w:pPr>
          </w:p>
        </w:tc>
      </w:tr>
    </w:tbl>
    <w:p w14:paraId="7A6A3A75">
      <w:pPr>
        <w:pStyle w:val="15"/>
        <w:shd w:val="clear"/>
        <w:spacing w:line="440" w:lineRule="exact"/>
        <w:rPr>
          <w:rFonts w:hAnsi="宋体" w:cs="宋体"/>
          <w:color w:val="auto"/>
          <w:szCs w:val="21"/>
          <w:highlight w:val="none"/>
        </w:rPr>
      </w:pPr>
      <w:r>
        <w:rPr>
          <w:rFonts w:hint="eastAsia" w:hAnsi="宋体" w:cs="宋体"/>
          <w:color w:val="auto"/>
          <w:szCs w:val="21"/>
          <w:highlight w:val="none"/>
        </w:rPr>
        <w:t>注：1、表格中“偏离”一列，投标人只能如实填写“正偏离”、“负偏离”或“无偏离”。凡投标内容高于招标文件要求的，按“正偏离”填写；低于招标文件要求的，按“负偏离”填写；满足招标文件要求的，按“无偏离”填写。并在“</w:t>
      </w:r>
      <w:r>
        <w:rPr>
          <w:rFonts w:hint="eastAsia" w:hAnsi="宋体" w:cs="宋体"/>
          <w:b/>
          <w:color w:val="auto"/>
          <w:szCs w:val="21"/>
          <w:highlight w:val="none"/>
        </w:rPr>
        <w:t>投标品牌、型号、技术参数及配置”一列中</w:t>
      </w:r>
      <w:r>
        <w:rPr>
          <w:rFonts w:hint="eastAsia" w:hAnsi="宋体" w:cs="宋体"/>
          <w:color w:val="auto"/>
          <w:szCs w:val="21"/>
          <w:highlight w:val="none"/>
        </w:rPr>
        <w:t>写明技术参数。</w:t>
      </w:r>
    </w:p>
    <w:p w14:paraId="6A31D79D">
      <w:pPr>
        <w:pStyle w:val="15"/>
        <w:shd w:val="clear"/>
        <w:spacing w:line="440" w:lineRule="exact"/>
        <w:rPr>
          <w:rFonts w:hAnsi="宋体" w:cs="宋体"/>
          <w:bCs/>
          <w:color w:val="auto"/>
          <w:szCs w:val="21"/>
          <w:highlight w:val="none"/>
        </w:rPr>
      </w:pPr>
      <w:r>
        <w:rPr>
          <w:rFonts w:hint="eastAsia" w:hAnsi="宋体" w:cs="宋体"/>
          <w:color w:val="auto"/>
          <w:szCs w:val="21"/>
          <w:highlight w:val="none"/>
        </w:rPr>
        <w:t>2、序号应对应该产品在</w:t>
      </w:r>
      <w:r>
        <w:rPr>
          <w:rFonts w:hint="eastAsia" w:hAnsi="宋体" w:cs="宋体"/>
          <w:bCs/>
          <w:color w:val="auto"/>
          <w:szCs w:val="21"/>
          <w:highlight w:val="none"/>
        </w:rPr>
        <w:t>第五章《</w:t>
      </w:r>
      <w:r>
        <w:rPr>
          <w:rFonts w:hint="eastAsia" w:hAnsi="宋体" w:cs="宋体"/>
          <w:color w:val="auto"/>
          <w:szCs w:val="21"/>
          <w:highlight w:val="none"/>
        </w:rPr>
        <w:t>采购需求</w:t>
      </w:r>
      <w:r>
        <w:rPr>
          <w:rFonts w:hint="eastAsia" w:hAnsi="宋体" w:cs="宋体"/>
          <w:bCs/>
          <w:color w:val="auto"/>
          <w:szCs w:val="21"/>
          <w:highlight w:val="none"/>
        </w:rPr>
        <w:t>》中的序号。</w:t>
      </w:r>
    </w:p>
    <w:p w14:paraId="5B0F5EE2">
      <w:pPr>
        <w:pStyle w:val="15"/>
        <w:shd w:val="clear"/>
        <w:spacing w:line="440" w:lineRule="exact"/>
        <w:rPr>
          <w:rFonts w:hAnsi="宋体" w:cs="宋体"/>
          <w:color w:val="auto"/>
          <w:szCs w:val="21"/>
          <w:highlight w:val="none"/>
        </w:rPr>
      </w:pPr>
      <w:r>
        <w:rPr>
          <w:rFonts w:hint="eastAsia" w:hAnsi="宋体" w:cs="宋体"/>
          <w:color w:val="auto"/>
          <w:szCs w:val="21"/>
          <w:highlight w:val="none"/>
        </w:rPr>
        <w:t>3、表格中“投标品牌、型号、技术参数及配置”请投标人根据实际投标情况如实、完整、准确地填写，请勿复制、粘贴招标要求。</w:t>
      </w:r>
    </w:p>
    <w:p w14:paraId="6365ECDD">
      <w:pPr>
        <w:pStyle w:val="15"/>
        <w:shd w:val="clear"/>
        <w:spacing w:line="440" w:lineRule="exact"/>
        <w:rPr>
          <w:rFonts w:hAnsi="宋体" w:cs="宋体"/>
          <w:b/>
          <w:color w:val="auto"/>
          <w:szCs w:val="21"/>
          <w:highlight w:val="none"/>
        </w:rPr>
      </w:pPr>
      <w:r>
        <w:rPr>
          <w:rFonts w:hint="eastAsia" w:hAnsi="宋体" w:cs="宋体"/>
          <w:b/>
          <w:color w:val="auto"/>
          <w:szCs w:val="21"/>
          <w:highlight w:val="none"/>
        </w:rPr>
        <w:t>4、投标人须对招标文件第五章采购需求中的技术参数要求作出全面、真实的反映，投标人除如实填写技术规格偏离表外，投标文件中必须提供最新技术支持资料支持参数技术规格偏离表应答。第五章《采购需求》中要求提供技术支持资料的，投标人应按要求提供；第五章《采购需求》中未明确要求提供技术支持资料的，投标人可根据实际情况自行提供相关技术支持资料（技术支持资料可为技术白皮书或产品相关鉴定资料或试验报告或产品检验报告或技术彩页或宣传资料或图纸资料，如技术白皮书/产品相关鉴定资料/试验报告/技术彩页/宣传资料/图纸资料与产品检验报告不一致的，以产品检验报告为准）。</w:t>
      </w:r>
    </w:p>
    <w:p w14:paraId="463C3271">
      <w:pPr>
        <w:pStyle w:val="15"/>
        <w:shd w:val="clear"/>
        <w:spacing w:line="440" w:lineRule="exact"/>
        <w:rPr>
          <w:rFonts w:hAnsi="宋体" w:cs="宋体"/>
          <w:b/>
          <w:color w:val="auto"/>
          <w:szCs w:val="21"/>
          <w:highlight w:val="none"/>
        </w:rPr>
      </w:pPr>
      <w:r>
        <w:rPr>
          <w:rFonts w:hint="eastAsia" w:hAnsi="宋体" w:cs="宋体"/>
          <w:b/>
          <w:color w:val="auto"/>
          <w:szCs w:val="21"/>
          <w:highlight w:val="none"/>
        </w:rPr>
        <w:t>5、若投标文件中的技术支持资料与技术规格偏离表应答不符，或投标人未提供技术支持资料且投标人又未在投标文件中作出说明和解释的，视为不响应该条技术参数要求。</w:t>
      </w:r>
    </w:p>
    <w:p w14:paraId="12323068">
      <w:pPr>
        <w:pStyle w:val="15"/>
        <w:shd w:val="clear"/>
        <w:spacing w:line="440" w:lineRule="exact"/>
        <w:rPr>
          <w:rFonts w:hAnsi="宋体" w:cs="宋体"/>
          <w:b/>
          <w:color w:val="auto"/>
          <w:szCs w:val="21"/>
          <w:highlight w:val="none"/>
        </w:rPr>
      </w:pPr>
      <w:r>
        <w:rPr>
          <w:rFonts w:hint="eastAsia" w:hAnsi="宋体" w:cs="宋体"/>
          <w:b/>
          <w:color w:val="auto"/>
          <w:szCs w:val="21"/>
          <w:highlight w:val="none"/>
        </w:rPr>
        <w:t>6、投标人应将支持该项技术要求响应的技术支持资料在投标文件中的索引（页码及条目号等）标注在“技术支持资料索引”一栏中。</w:t>
      </w:r>
    </w:p>
    <w:p w14:paraId="56C93D9A">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30C27849">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0D9D576F">
      <w:pPr>
        <w:shd w:val="clear"/>
        <w:rPr>
          <w:rFonts w:ascii="宋体" w:hAnsi="宋体"/>
          <w:color w:val="auto"/>
          <w:szCs w:val="21"/>
          <w:highlight w:val="none"/>
        </w:rPr>
      </w:pPr>
      <w:r>
        <w:rPr>
          <w:rFonts w:hint="eastAsia" w:ascii="宋体" w:hAnsi="宋体"/>
          <w:color w:val="auto"/>
          <w:szCs w:val="21"/>
          <w:highlight w:val="none"/>
        </w:rPr>
        <w:t>日期：______年_____月_____日</w:t>
      </w:r>
      <w:r>
        <w:rPr>
          <w:rFonts w:ascii="宋体" w:hAnsi="宋体"/>
          <w:color w:val="auto"/>
          <w:szCs w:val="21"/>
          <w:highlight w:val="none"/>
        </w:rPr>
        <w:br w:type="page"/>
      </w:r>
      <w:bookmarkStart w:id="330" w:name="_Toc155278565"/>
    </w:p>
    <w:bookmarkEnd w:id="330"/>
    <w:p w14:paraId="25D82C19">
      <w:pPr>
        <w:pStyle w:val="5"/>
        <w:shd w:val="clear"/>
        <w:tabs>
          <w:tab w:val="left" w:pos="596"/>
        </w:tabs>
        <w:ind w:left="425"/>
        <w:jc w:val="center"/>
        <w:rPr>
          <w:rFonts w:ascii="宋体" w:hAnsi="宋体" w:eastAsia="黑体" w:cs="Times New Roman"/>
          <w:color w:val="auto"/>
          <w:highlight w:val="none"/>
        </w:rPr>
      </w:pPr>
      <w:bookmarkStart w:id="331" w:name="_Toc19317"/>
      <w:r>
        <w:rPr>
          <w:rFonts w:hint="eastAsia" w:ascii="宋体" w:hAnsi="宋体" w:eastAsia="黑体" w:cs="Times New Roman"/>
          <w:color w:val="auto"/>
          <w:highlight w:val="none"/>
        </w:rPr>
        <w:t>二、技术支持资料</w:t>
      </w:r>
      <w:bookmarkEnd w:id="331"/>
    </w:p>
    <w:p w14:paraId="67A1DE90">
      <w:pPr>
        <w:shd w:val="clea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五章《采购需求》中要求提供技术支持资料的，投标人应按要求提供；第五章《采购需求》中未明确要求提供技术支持资料的，投标人可根据实际情况自行提供相关技术支持资料（技术支持资料可为技术白皮书或产品相关鉴定资料或试验报告或产品检验报告或技术彩页或宣传资料或图纸资料，如技术白皮书/产品相关鉴定资料/试验报告/技术彩页/宣传资料/图纸资料与产品检验报告不一致的，以产品检验报告为准）。投标人根据自身实际情况和产品特点自行提供，以证明其产品具体配置情况及技术指标响应的真实性。未提供上述资料导致评委无法进行技术评审的，后果由投标人自行承担。</w:t>
      </w:r>
    </w:p>
    <w:p w14:paraId="1044CD29">
      <w:pPr>
        <w:shd w:val="clear"/>
        <w:rPr>
          <w:rFonts w:ascii="宋体" w:hAnsi="宋体" w:eastAsia="黑体"/>
          <w:b/>
          <w:bCs/>
          <w:color w:val="auto"/>
          <w:sz w:val="32"/>
          <w:szCs w:val="32"/>
          <w:highlight w:val="none"/>
        </w:rPr>
      </w:pPr>
      <w:r>
        <w:rPr>
          <w:rFonts w:hint="eastAsia" w:ascii="宋体" w:hAnsi="宋体" w:eastAsia="黑体"/>
          <w:b/>
          <w:bCs/>
          <w:color w:val="auto"/>
          <w:sz w:val="32"/>
          <w:szCs w:val="32"/>
          <w:highlight w:val="none"/>
        </w:rPr>
        <w:br w:type="page"/>
      </w:r>
    </w:p>
    <w:p w14:paraId="7FF1337A">
      <w:pPr>
        <w:pStyle w:val="5"/>
        <w:shd w:val="clear"/>
        <w:tabs>
          <w:tab w:val="left" w:pos="596"/>
        </w:tabs>
        <w:ind w:left="425"/>
        <w:jc w:val="center"/>
        <w:rPr>
          <w:rFonts w:ascii="宋体" w:hAnsi="宋体" w:eastAsia="黑体" w:cs="Times New Roman"/>
          <w:color w:val="auto"/>
          <w:highlight w:val="none"/>
        </w:rPr>
      </w:pPr>
      <w:bookmarkStart w:id="332" w:name="_Toc3839"/>
      <w:r>
        <w:rPr>
          <w:rFonts w:hint="eastAsia" w:ascii="宋体" w:hAnsi="宋体" w:eastAsia="黑体" w:cs="Times New Roman"/>
          <w:color w:val="auto"/>
          <w:highlight w:val="none"/>
        </w:rPr>
        <w:t>三、供货方案</w:t>
      </w:r>
      <w:bookmarkEnd w:id="332"/>
    </w:p>
    <w:p w14:paraId="7CF541DC">
      <w:pPr>
        <w:shd w:val="clear"/>
        <w:jc w:val="center"/>
        <w:rPr>
          <w:rFonts w:ascii="宋体" w:hAnsi="宋体"/>
          <w:color w:val="auto"/>
          <w:szCs w:val="21"/>
          <w:highlight w:val="none"/>
        </w:rPr>
      </w:pPr>
      <w:r>
        <w:rPr>
          <w:rFonts w:hint="eastAsia" w:ascii="宋体" w:hAnsi="宋体"/>
          <w:color w:val="auto"/>
          <w:szCs w:val="21"/>
          <w:highlight w:val="none"/>
        </w:rPr>
        <w:t>（投标人应对照评分办法评审内容，自行编制，格式自拟）</w:t>
      </w:r>
    </w:p>
    <w:p w14:paraId="318859B7">
      <w:pPr>
        <w:shd w:val="clear"/>
        <w:spacing w:before="60" w:after="60" w:line="480" w:lineRule="auto"/>
        <w:rPr>
          <w:rFonts w:ascii="宋体" w:hAnsi="宋体"/>
          <w:color w:val="auto"/>
          <w:szCs w:val="21"/>
          <w:highlight w:val="none"/>
        </w:rPr>
      </w:pPr>
    </w:p>
    <w:p w14:paraId="608EB30C">
      <w:pPr>
        <w:shd w:val="clear"/>
        <w:spacing w:before="60" w:after="60" w:line="480" w:lineRule="auto"/>
        <w:rPr>
          <w:rFonts w:ascii="宋体" w:hAnsi="宋体"/>
          <w:color w:val="auto"/>
          <w:szCs w:val="21"/>
          <w:highlight w:val="none"/>
        </w:rPr>
      </w:pPr>
    </w:p>
    <w:p w14:paraId="47F6A18B">
      <w:pPr>
        <w:shd w:val="clear"/>
        <w:spacing w:before="60" w:after="60" w:line="480" w:lineRule="auto"/>
        <w:rPr>
          <w:rFonts w:ascii="宋体" w:hAnsi="宋体"/>
          <w:color w:val="auto"/>
          <w:szCs w:val="21"/>
          <w:highlight w:val="none"/>
        </w:rPr>
      </w:pPr>
    </w:p>
    <w:p w14:paraId="0644ED65">
      <w:pPr>
        <w:shd w:val="clear"/>
        <w:spacing w:before="60" w:after="60" w:line="480" w:lineRule="auto"/>
        <w:rPr>
          <w:rFonts w:ascii="宋体" w:hAnsi="宋体"/>
          <w:color w:val="auto"/>
          <w:szCs w:val="21"/>
          <w:highlight w:val="none"/>
        </w:rPr>
      </w:pPr>
    </w:p>
    <w:p w14:paraId="5961DAC4">
      <w:pPr>
        <w:shd w:val="clear"/>
        <w:spacing w:before="60" w:after="60" w:line="480" w:lineRule="auto"/>
        <w:rPr>
          <w:rFonts w:ascii="宋体" w:hAnsi="宋体"/>
          <w:color w:val="auto"/>
          <w:szCs w:val="21"/>
          <w:highlight w:val="none"/>
        </w:rPr>
      </w:pPr>
    </w:p>
    <w:p w14:paraId="298F96C3">
      <w:pPr>
        <w:shd w:val="clear"/>
        <w:spacing w:before="60" w:after="60" w:line="480" w:lineRule="auto"/>
        <w:rPr>
          <w:rFonts w:ascii="宋体" w:hAnsi="宋体"/>
          <w:color w:val="auto"/>
          <w:szCs w:val="21"/>
          <w:highlight w:val="none"/>
        </w:rPr>
      </w:pPr>
    </w:p>
    <w:p w14:paraId="5B1E5F5A">
      <w:pPr>
        <w:shd w:val="clear"/>
        <w:spacing w:before="60" w:after="60" w:line="480" w:lineRule="auto"/>
        <w:rPr>
          <w:rFonts w:ascii="宋体" w:hAnsi="宋体"/>
          <w:color w:val="auto"/>
          <w:szCs w:val="21"/>
          <w:highlight w:val="none"/>
        </w:rPr>
      </w:pPr>
    </w:p>
    <w:p w14:paraId="361EB6E6">
      <w:pPr>
        <w:shd w:val="clear"/>
        <w:spacing w:before="60" w:after="60" w:line="480" w:lineRule="auto"/>
        <w:rPr>
          <w:rFonts w:ascii="宋体" w:hAnsi="宋体"/>
          <w:color w:val="auto"/>
          <w:szCs w:val="21"/>
          <w:highlight w:val="none"/>
        </w:rPr>
      </w:pPr>
    </w:p>
    <w:p w14:paraId="0A53C58B">
      <w:pPr>
        <w:shd w:val="clear"/>
        <w:spacing w:before="60" w:after="60" w:line="480" w:lineRule="auto"/>
        <w:rPr>
          <w:rFonts w:ascii="宋体" w:hAnsi="宋体"/>
          <w:color w:val="auto"/>
          <w:szCs w:val="21"/>
          <w:highlight w:val="none"/>
        </w:rPr>
      </w:pPr>
    </w:p>
    <w:p w14:paraId="6D079877">
      <w:pPr>
        <w:shd w:val="clear"/>
        <w:spacing w:before="60" w:after="60" w:line="480" w:lineRule="auto"/>
        <w:rPr>
          <w:rFonts w:ascii="宋体" w:hAnsi="宋体"/>
          <w:color w:val="auto"/>
          <w:szCs w:val="21"/>
          <w:highlight w:val="none"/>
        </w:rPr>
      </w:pPr>
    </w:p>
    <w:p w14:paraId="5E86A5C8">
      <w:pPr>
        <w:shd w:val="clear"/>
        <w:spacing w:before="60" w:after="60" w:line="480" w:lineRule="auto"/>
        <w:rPr>
          <w:rFonts w:ascii="宋体" w:hAnsi="宋体"/>
          <w:color w:val="auto"/>
          <w:szCs w:val="21"/>
          <w:highlight w:val="none"/>
        </w:rPr>
      </w:pPr>
    </w:p>
    <w:p w14:paraId="0CBB57E5">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3D862BC8">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56B07503">
      <w:pPr>
        <w:shd w:val="clear"/>
        <w:rPr>
          <w:rFonts w:ascii="宋体" w:hAnsi="宋体" w:eastAsia="黑体"/>
          <w:b/>
          <w:bCs/>
          <w:color w:val="auto"/>
          <w:sz w:val="32"/>
          <w:szCs w:val="32"/>
          <w:highlight w:val="none"/>
        </w:rPr>
      </w:pPr>
      <w:r>
        <w:rPr>
          <w:rFonts w:hint="eastAsia" w:ascii="宋体" w:hAnsi="宋体"/>
          <w:color w:val="auto"/>
          <w:szCs w:val="21"/>
          <w:highlight w:val="none"/>
        </w:rPr>
        <w:t>日期：______年_____月_____日</w:t>
      </w:r>
      <w:r>
        <w:rPr>
          <w:rFonts w:hint="eastAsia" w:ascii="宋体" w:hAnsi="宋体" w:eastAsia="黑体"/>
          <w:b/>
          <w:bCs/>
          <w:color w:val="auto"/>
          <w:sz w:val="32"/>
          <w:szCs w:val="32"/>
          <w:highlight w:val="none"/>
        </w:rPr>
        <w:br w:type="page"/>
      </w:r>
    </w:p>
    <w:p w14:paraId="7445BBAD">
      <w:pPr>
        <w:pStyle w:val="5"/>
        <w:shd w:val="clear"/>
        <w:tabs>
          <w:tab w:val="left" w:pos="596"/>
        </w:tabs>
        <w:ind w:left="425"/>
        <w:jc w:val="center"/>
        <w:rPr>
          <w:rFonts w:ascii="宋体" w:hAnsi="宋体" w:eastAsia="黑体" w:cs="Times New Roman"/>
          <w:color w:val="auto"/>
          <w:highlight w:val="none"/>
        </w:rPr>
      </w:pPr>
      <w:bookmarkStart w:id="333" w:name="_Toc1492"/>
      <w:r>
        <w:rPr>
          <w:rFonts w:hint="eastAsia" w:ascii="宋体" w:hAnsi="宋体" w:eastAsia="黑体" w:cs="Times New Roman"/>
          <w:color w:val="auto"/>
          <w:highlight w:val="none"/>
        </w:rPr>
        <w:t>四、人员培训方案</w:t>
      </w:r>
      <w:bookmarkEnd w:id="333"/>
    </w:p>
    <w:p w14:paraId="4F71DCD2">
      <w:pPr>
        <w:shd w:val="clear"/>
        <w:jc w:val="center"/>
        <w:rPr>
          <w:rFonts w:ascii="宋体" w:hAnsi="宋体"/>
          <w:color w:val="auto"/>
          <w:szCs w:val="21"/>
          <w:highlight w:val="none"/>
        </w:rPr>
      </w:pPr>
      <w:r>
        <w:rPr>
          <w:rFonts w:hint="eastAsia" w:ascii="宋体" w:hAnsi="宋体"/>
          <w:color w:val="auto"/>
          <w:szCs w:val="21"/>
          <w:highlight w:val="none"/>
        </w:rPr>
        <w:t>（投标人应对照评分办法评审内容，自行编制，格式自拟）</w:t>
      </w:r>
    </w:p>
    <w:p w14:paraId="097250A6">
      <w:pPr>
        <w:shd w:val="clear"/>
        <w:spacing w:before="60" w:after="60" w:line="480" w:lineRule="auto"/>
        <w:rPr>
          <w:rFonts w:ascii="宋体" w:hAnsi="宋体"/>
          <w:color w:val="auto"/>
          <w:szCs w:val="21"/>
          <w:highlight w:val="none"/>
        </w:rPr>
      </w:pPr>
    </w:p>
    <w:p w14:paraId="3202CA78">
      <w:pPr>
        <w:shd w:val="clear"/>
        <w:spacing w:before="60" w:after="60" w:line="480" w:lineRule="auto"/>
        <w:rPr>
          <w:rFonts w:ascii="宋体" w:hAnsi="宋体"/>
          <w:color w:val="auto"/>
          <w:szCs w:val="21"/>
          <w:highlight w:val="none"/>
        </w:rPr>
      </w:pPr>
    </w:p>
    <w:p w14:paraId="7E8563CA">
      <w:pPr>
        <w:shd w:val="clear"/>
        <w:spacing w:before="60" w:after="60" w:line="480" w:lineRule="auto"/>
        <w:rPr>
          <w:rFonts w:ascii="宋体" w:hAnsi="宋体"/>
          <w:color w:val="auto"/>
          <w:szCs w:val="21"/>
          <w:highlight w:val="none"/>
        </w:rPr>
      </w:pPr>
    </w:p>
    <w:p w14:paraId="51A10022">
      <w:pPr>
        <w:shd w:val="clear"/>
        <w:spacing w:before="60" w:after="60" w:line="480" w:lineRule="auto"/>
        <w:rPr>
          <w:rFonts w:ascii="宋体" w:hAnsi="宋体"/>
          <w:color w:val="auto"/>
          <w:szCs w:val="21"/>
          <w:highlight w:val="none"/>
        </w:rPr>
      </w:pPr>
    </w:p>
    <w:p w14:paraId="56471A80">
      <w:pPr>
        <w:shd w:val="clear"/>
        <w:spacing w:before="60" w:after="60" w:line="480" w:lineRule="auto"/>
        <w:rPr>
          <w:rFonts w:ascii="宋体" w:hAnsi="宋体"/>
          <w:color w:val="auto"/>
          <w:szCs w:val="21"/>
          <w:highlight w:val="none"/>
        </w:rPr>
      </w:pPr>
    </w:p>
    <w:p w14:paraId="68C6538F">
      <w:pPr>
        <w:shd w:val="clear"/>
        <w:spacing w:before="60" w:after="60" w:line="480" w:lineRule="auto"/>
        <w:rPr>
          <w:rFonts w:ascii="宋体" w:hAnsi="宋体"/>
          <w:color w:val="auto"/>
          <w:szCs w:val="21"/>
          <w:highlight w:val="none"/>
        </w:rPr>
      </w:pPr>
    </w:p>
    <w:p w14:paraId="1C39859E">
      <w:pPr>
        <w:shd w:val="clear"/>
        <w:spacing w:before="60" w:after="60" w:line="480" w:lineRule="auto"/>
        <w:rPr>
          <w:rFonts w:ascii="宋体" w:hAnsi="宋体"/>
          <w:color w:val="auto"/>
          <w:szCs w:val="21"/>
          <w:highlight w:val="none"/>
        </w:rPr>
      </w:pPr>
    </w:p>
    <w:p w14:paraId="457E3D03">
      <w:pPr>
        <w:shd w:val="clear"/>
        <w:spacing w:before="60" w:after="60" w:line="480" w:lineRule="auto"/>
        <w:rPr>
          <w:rFonts w:ascii="宋体" w:hAnsi="宋体"/>
          <w:color w:val="auto"/>
          <w:szCs w:val="21"/>
          <w:highlight w:val="none"/>
        </w:rPr>
      </w:pPr>
    </w:p>
    <w:p w14:paraId="40F284FD">
      <w:pPr>
        <w:shd w:val="clear"/>
        <w:spacing w:before="60" w:after="60" w:line="480" w:lineRule="auto"/>
        <w:rPr>
          <w:rFonts w:ascii="宋体" w:hAnsi="宋体"/>
          <w:color w:val="auto"/>
          <w:szCs w:val="21"/>
          <w:highlight w:val="none"/>
        </w:rPr>
      </w:pPr>
    </w:p>
    <w:p w14:paraId="5A9901F5">
      <w:pPr>
        <w:shd w:val="clear"/>
        <w:spacing w:before="60" w:after="60" w:line="480" w:lineRule="auto"/>
        <w:rPr>
          <w:rFonts w:ascii="宋体" w:hAnsi="宋体"/>
          <w:color w:val="auto"/>
          <w:szCs w:val="21"/>
          <w:highlight w:val="none"/>
        </w:rPr>
      </w:pPr>
    </w:p>
    <w:p w14:paraId="7A50789E">
      <w:pPr>
        <w:shd w:val="clear"/>
        <w:spacing w:before="60" w:after="60" w:line="480" w:lineRule="auto"/>
        <w:rPr>
          <w:rFonts w:ascii="宋体" w:hAnsi="宋体"/>
          <w:color w:val="auto"/>
          <w:szCs w:val="21"/>
          <w:highlight w:val="none"/>
        </w:rPr>
      </w:pPr>
    </w:p>
    <w:p w14:paraId="533347D2">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20B75E22">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48AC3960">
      <w:pPr>
        <w:shd w:val="clear"/>
        <w:rPr>
          <w:rFonts w:ascii="宋体" w:hAnsi="宋体" w:eastAsia="黑体"/>
          <w:b/>
          <w:bCs/>
          <w:color w:val="auto"/>
          <w:sz w:val="32"/>
          <w:szCs w:val="32"/>
          <w:highlight w:val="none"/>
        </w:rPr>
      </w:pPr>
      <w:r>
        <w:rPr>
          <w:rFonts w:hint="eastAsia" w:ascii="宋体" w:hAnsi="宋体"/>
          <w:color w:val="auto"/>
          <w:szCs w:val="21"/>
          <w:highlight w:val="none"/>
        </w:rPr>
        <w:t>日期：______年_____月_____日</w:t>
      </w:r>
      <w:r>
        <w:rPr>
          <w:rFonts w:hint="eastAsia" w:ascii="宋体" w:hAnsi="宋体" w:eastAsia="黑体"/>
          <w:b/>
          <w:bCs/>
          <w:color w:val="auto"/>
          <w:sz w:val="32"/>
          <w:szCs w:val="32"/>
          <w:highlight w:val="none"/>
        </w:rPr>
        <w:br w:type="page"/>
      </w:r>
    </w:p>
    <w:p w14:paraId="366543FB">
      <w:pPr>
        <w:pStyle w:val="5"/>
        <w:shd w:val="clear"/>
        <w:tabs>
          <w:tab w:val="left" w:pos="596"/>
        </w:tabs>
        <w:ind w:left="425"/>
        <w:jc w:val="center"/>
        <w:rPr>
          <w:rFonts w:ascii="宋体" w:hAnsi="宋体" w:eastAsia="黑体" w:cs="Times New Roman"/>
          <w:color w:val="auto"/>
          <w:highlight w:val="none"/>
        </w:rPr>
      </w:pPr>
      <w:bookmarkStart w:id="334" w:name="_Toc10156"/>
      <w:r>
        <w:rPr>
          <w:rFonts w:hint="eastAsia" w:ascii="宋体" w:hAnsi="宋体" w:eastAsia="黑体" w:cs="Times New Roman"/>
          <w:color w:val="auto"/>
          <w:highlight w:val="none"/>
        </w:rPr>
        <w:t>五、质量保证及承诺</w:t>
      </w:r>
      <w:bookmarkEnd w:id="334"/>
    </w:p>
    <w:p w14:paraId="62FD4340">
      <w:pPr>
        <w:shd w:val="clear"/>
        <w:jc w:val="center"/>
        <w:rPr>
          <w:rFonts w:ascii="宋体" w:hAnsi="宋体"/>
          <w:color w:val="auto"/>
          <w:szCs w:val="21"/>
          <w:highlight w:val="none"/>
        </w:rPr>
      </w:pPr>
      <w:r>
        <w:rPr>
          <w:rFonts w:hint="eastAsia" w:ascii="宋体" w:hAnsi="宋体"/>
          <w:color w:val="auto"/>
          <w:szCs w:val="21"/>
          <w:highlight w:val="none"/>
        </w:rPr>
        <w:t>（投标人应对照评分办法评审内容，自行编制，格式自拟）</w:t>
      </w:r>
    </w:p>
    <w:p w14:paraId="508F252B">
      <w:pPr>
        <w:shd w:val="clear"/>
        <w:spacing w:before="60" w:after="60" w:line="480" w:lineRule="auto"/>
        <w:rPr>
          <w:rFonts w:ascii="宋体" w:hAnsi="宋体"/>
          <w:color w:val="auto"/>
          <w:szCs w:val="21"/>
          <w:highlight w:val="none"/>
        </w:rPr>
      </w:pPr>
    </w:p>
    <w:p w14:paraId="2BBC82BA">
      <w:pPr>
        <w:shd w:val="clear"/>
        <w:spacing w:before="60" w:after="60" w:line="480" w:lineRule="auto"/>
        <w:rPr>
          <w:rFonts w:ascii="宋体" w:hAnsi="宋体"/>
          <w:color w:val="auto"/>
          <w:szCs w:val="21"/>
          <w:highlight w:val="none"/>
        </w:rPr>
      </w:pPr>
    </w:p>
    <w:p w14:paraId="76827170">
      <w:pPr>
        <w:shd w:val="clear"/>
        <w:spacing w:before="60" w:after="60" w:line="480" w:lineRule="auto"/>
        <w:rPr>
          <w:rFonts w:ascii="宋体" w:hAnsi="宋体"/>
          <w:color w:val="auto"/>
          <w:szCs w:val="21"/>
          <w:highlight w:val="none"/>
        </w:rPr>
      </w:pPr>
    </w:p>
    <w:p w14:paraId="423676C0">
      <w:pPr>
        <w:shd w:val="clear"/>
        <w:spacing w:before="60" w:after="60" w:line="480" w:lineRule="auto"/>
        <w:rPr>
          <w:rFonts w:ascii="宋体" w:hAnsi="宋体"/>
          <w:color w:val="auto"/>
          <w:szCs w:val="21"/>
          <w:highlight w:val="none"/>
        </w:rPr>
      </w:pPr>
    </w:p>
    <w:p w14:paraId="2A8878C2">
      <w:pPr>
        <w:shd w:val="clear"/>
        <w:spacing w:before="60" w:after="60" w:line="480" w:lineRule="auto"/>
        <w:rPr>
          <w:rFonts w:ascii="宋体" w:hAnsi="宋体"/>
          <w:color w:val="auto"/>
          <w:szCs w:val="21"/>
          <w:highlight w:val="none"/>
        </w:rPr>
      </w:pPr>
    </w:p>
    <w:p w14:paraId="01E9F31A">
      <w:pPr>
        <w:shd w:val="clear"/>
        <w:spacing w:before="60" w:after="60" w:line="480" w:lineRule="auto"/>
        <w:rPr>
          <w:rFonts w:ascii="宋体" w:hAnsi="宋体"/>
          <w:color w:val="auto"/>
          <w:szCs w:val="21"/>
          <w:highlight w:val="none"/>
        </w:rPr>
      </w:pPr>
    </w:p>
    <w:p w14:paraId="2E954AD3">
      <w:pPr>
        <w:shd w:val="clear"/>
        <w:spacing w:before="60" w:after="60" w:line="480" w:lineRule="auto"/>
        <w:rPr>
          <w:rFonts w:ascii="宋体" w:hAnsi="宋体"/>
          <w:color w:val="auto"/>
          <w:szCs w:val="21"/>
          <w:highlight w:val="none"/>
        </w:rPr>
      </w:pPr>
    </w:p>
    <w:p w14:paraId="435AB428">
      <w:pPr>
        <w:shd w:val="clear"/>
        <w:spacing w:before="60" w:after="60" w:line="480" w:lineRule="auto"/>
        <w:rPr>
          <w:rFonts w:ascii="宋体" w:hAnsi="宋体"/>
          <w:color w:val="auto"/>
          <w:szCs w:val="21"/>
          <w:highlight w:val="none"/>
        </w:rPr>
      </w:pPr>
    </w:p>
    <w:p w14:paraId="1E6BE75C">
      <w:pPr>
        <w:shd w:val="clear"/>
        <w:spacing w:before="60" w:after="60" w:line="480" w:lineRule="auto"/>
        <w:rPr>
          <w:rFonts w:ascii="宋体" w:hAnsi="宋体"/>
          <w:color w:val="auto"/>
          <w:szCs w:val="21"/>
          <w:highlight w:val="none"/>
        </w:rPr>
      </w:pPr>
    </w:p>
    <w:p w14:paraId="7A2E8594">
      <w:pPr>
        <w:shd w:val="clear"/>
        <w:spacing w:before="60" w:after="60" w:line="480" w:lineRule="auto"/>
        <w:rPr>
          <w:rFonts w:ascii="宋体" w:hAnsi="宋体"/>
          <w:color w:val="auto"/>
          <w:szCs w:val="21"/>
          <w:highlight w:val="none"/>
        </w:rPr>
      </w:pPr>
    </w:p>
    <w:p w14:paraId="3F196314">
      <w:pPr>
        <w:shd w:val="clear"/>
        <w:spacing w:before="60" w:after="60" w:line="480" w:lineRule="auto"/>
        <w:rPr>
          <w:rFonts w:ascii="宋体" w:hAnsi="宋体"/>
          <w:color w:val="auto"/>
          <w:szCs w:val="21"/>
          <w:highlight w:val="none"/>
        </w:rPr>
      </w:pPr>
    </w:p>
    <w:p w14:paraId="43A760F0">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13389F58">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68088AB6">
      <w:pPr>
        <w:shd w:val="clear"/>
        <w:rPr>
          <w:rFonts w:ascii="宋体" w:hAnsi="宋体" w:eastAsia="黑体"/>
          <w:b/>
          <w:bCs/>
          <w:color w:val="auto"/>
          <w:sz w:val="32"/>
          <w:szCs w:val="32"/>
          <w:highlight w:val="none"/>
        </w:rPr>
      </w:pPr>
      <w:r>
        <w:rPr>
          <w:rFonts w:hint="eastAsia" w:ascii="宋体" w:hAnsi="宋体"/>
          <w:color w:val="auto"/>
          <w:szCs w:val="21"/>
          <w:highlight w:val="none"/>
        </w:rPr>
        <w:t>日期：______年_____月_____日</w:t>
      </w:r>
      <w:r>
        <w:rPr>
          <w:rFonts w:hint="eastAsia" w:ascii="宋体" w:hAnsi="宋体" w:eastAsia="黑体"/>
          <w:b/>
          <w:bCs/>
          <w:color w:val="auto"/>
          <w:sz w:val="32"/>
          <w:szCs w:val="32"/>
          <w:highlight w:val="none"/>
        </w:rPr>
        <w:br w:type="page"/>
      </w:r>
    </w:p>
    <w:p w14:paraId="1E47DAB6">
      <w:pPr>
        <w:pStyle w:val="5"/>
        <w:shd w:val="clear"/>
        <w:tabs>
          <w:tab w:val="left" w:pos="596"/>
        </w:tabs>
        <w:ind w:left="425"/>
        <w:jc w:val="center"/>
        <w:rPr>
          <w:rFonts w:ascii="宋体" w:hAnsi="宋体" w:eastAsia="黑体" w:cs="Times New Roman"/>
          <w:color w:val="auto"/>
          <w:highlight w:val="none"/>
        </w:rPr>
      </w:pPr>
      <w:bookmarkStart w:id="335" w:name="_Toc3852"/>
      <w:r>
        <w:rPr>
          <w:rFonts w:hint="eastAsia" w:ascii="宋体" w:hAnsi="宋体" w:eastAsia="黑体" w:cs="Times New Roman"/>
          <w:color w:val="auto"/>
          <w:highlight w:val="none"/>
        </w:rPr>
        <w:t>六、售后服务承诺</w:t>
      </w:r>
      <w:bookmarkEnd w:id="335"/>
    </w:p>
    <w:p w14:paraId="634A75F3">
      <w:pPr>
        <w:shd w:val="clear"/>
        <w:jc w:val="center"/>
        <w:rPr>
          <w:rFonts w:ascii="宋体" w:hAnsi="宋体"/>
          <w:color w:val="auto"/>
          <w:szCs w:val="21"/>
          <w:highlight w:val="none"/>
        </w:rPr>
      </w:pPr>
      <w:r>
        <w:rPr>
          <w:rFonts w:hint="eastAsia" w:ascii="宋体" w:hAnsi="宋体"/>
          <w:color w:val="auto"/>
          <w:szCs w:val="21"/>
          <w:highlight w:val="none"/>
        </w:rPr>
        <w:t>（投标人应对照评分办法评审内容，自行编制，格式自拟）</w:t>
      </w:r>
    </w:p>
    <w:p w14:paraId="4EA9F2F9">
      <w:pPr>
        <w:shd w:val="clear"/>
        <w:spacing w:before="60" w:after="60" w:line="480" w:lineRule="auto"/>
        <w:rPr>
          <w:rFonts w:ascii="宋体" w:hAnsi="宋体"/>
          <w:color w:val="auto"/>
          <w:szCs w:val="21"/>
          <w:highlight w:val="none"/>
        </w:rPr>
      </w:pPr>
    </w:p>
    <w:p w14:paraId="384FC29D">
      <w:pPr>
        <w:shd w:val="clear"/>
        <w:spacing w:before="60" w:after="60" w:line="480" w:lineRule="auto"/>
        <w:rPr>
          <w:rFonts w:ascii="宋体" w:hAnsi="宋体"/>
          <w:color w:val="auto"/>
          <w:szCs w:val="21"/>
          <w:highlight w:val="none"/>
        </w:rPr>
      </w:pPr>
    </w:p>
    <w:p w14:paraId="03911F08">
      <w:pPr>
        <w:shd w:val="clear"/>
        <w:spacing w:before="60" w:after="60" w:line="480" w:lineRule="auto"/>
        <w:rPr>
          <w:rFonts w:ascii="宋体" w:hAnsi="宋体"/>
          <w:color w:val="auto"/>
          <w:szCs w:val="21"/>
          <w:highlight w:val="none"/>
        </w:rPr>
      </w:pPr>
    </w:p>
    <w:p w14:paraId="5363D9F9">
      <w:pPr>
        <w:shd w:val="clear"/>
        <w:spacing w:before="60" w:after="60" w:line="480" w:lineRule="auto"/>
        <w:rPr>
          <w:rFonts w:ascii="宋体" w:hAnsi="宋体"/>
          <w:color w:val="auto"/>
          <w:szCs w:val="21"/>
          <w:highlight w:val="none"/>
        </w:rPr>
      </w:pPr>
    </w:p>
    <w:p w14:paraId="7DB81D8F">
      <w:pPr>
        <w:shd w:val="clear"/>
        <w:spacing w:before="60" w:after="60" w:line="480" w:lineRule="auto"/>
        <w:rPr>
          <w:rFonts w:ascii="宋体" w:hAnsi="宋体"/>
          <w:color w:val="auto"/>
          <w:szCs w:val="21"/>
          <w:highlight w:val="none"/>
        </w:rPr>
      </w:pPr>
    </w:p>
    <w:p w14:paraId="4907EBFB">
      <w:pPr>
        <w:shd w:val="clear"/>
        <w:spacing w:before="60" w:after="60" w:line="480" w:lineRule="auto"/>
        <w:rPr>
          <w:rFonts w:ascii="宋体" w:hAnsi="宋体"/>
          <w:color w:val="auto"/>
          <w:szCs w:val="21"/>
          <w:highlight w:val="none"/>
        </w:rPr>
      </w:pPr>
    </w:p>
    <w:p w14:paraId="1183F0D6">
      <w:pPr>
        <w:shd w:val="clear"/>
        <w:spacing w:before="60" w:after="60" w:line="480" w:lineRule="auto"/>
        <w:rPr>
          <w:rFonts w:ascii="宋体" w:hAnsi="宋体"/>
          <w:color w:val="auto"/>
          <w:szCs w:val="21"/>
          <w:highlight w:val="none"/>
        </w:rPr>
      </w:pPr>
    </w:p>
    <w:p w14:paraId="3C47D207">
      <w:pPr>
        <w:shd w:val="clear"/>
        <w:spacing w:before="60" w:after="60" w:line="480" w:lineRule="auto"/>
        <w:rPr>
          <w:rFonts w:ascii="宋体" w:hAnsi="宋体"/>
          <w:color w:val="auto"/>
          <w:szCs w:val="21"/>
          <w:highlight w:val="none"/>
        </w:rPr>
      </w:pPr>
    </w:p>
    <w:p w14:paraId="286E723D">
      <w:pPr>
        <w:shd w:val="clear"/>
        <w:spacing w:before="60" w:after="60" w:line="480" w:lineRule="auto"/>
        <w:rPr>
          <w:rFonts w:ascii="宋体" w:hAnsi="宋体"/>
          <w:color w:val="auto"/>
          <w:szCs w:val="21"/>
          <w:highlight w:val="none"/>
        </w:rPr>
      </w:pPr>
    </w:p>
    <w:p w14:paraId="79CFFB07">
      <w:pPr>
        <w:shd w:val="clear"/>
        <w:spacing w:before="60" w:after="60" w:line="480" w:lineRule="auto"/>
        <w:rPr>
          <w:rFonts w:ascii="宋体" w:hAnsi="宋体"/>
          <w:color w:val="auto"/>
          <w:szCs w:val="21"/>
          <w:highlight w:val="none"/>
        </w:rPr>
      </w:pPr>
    </w:p>
    <w:p w14:paraId="4A32D357">
      <w:pPr>
        <w:shd w:val="clear"/>
        <w:spacing w:before="60" w:after="60" w:line="480" w:lineRule="auto"/>
        <w:rPr>
          <w:rFonts w:ascii="宋体" w:hAnsi="宋体"/>
          <w:color w:val="auto"/>
          <w:szCs w:val="21"/>
          <w:highlight w:val="none"/>
        </w:rPr>
      </w:pPr>
    </w:p>
    <w:p w14:paraId="18563A37">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278C3BFC">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21FBCA33">
      <w:pPr>
        <w:shd w:val="clear"/>
        <w:rPr>
          <w:rFonts w:ascii="宋体" w:hAnsi="宋体" w:eastAsia="黑体"/>
          <w:b/>
          <w:bCs/>
          <w:color w:val="auto"/>
          <w:sz w:val="32"/>
          <w:szCs w:val="32"/>
          <w:highlight w:val="none"/>
        </w:rPr>
      </w:pPr>
      <w:r>
        <w:rPr>
          <w:rFonts w:hint="eastAsia" w:ascii="宋体" w:hAnsi="宋体"/>
          <w:color w:val="auto"/>
          <w:szCs w:val="21"/>
          <w:highlight w:val="none"/>
        </w:rPr>
        <w:t>日期：______年_____月_____日</w:t>
      </w:r>
      <w:r>
        <w:rPr>
          <w:rFonts w:hint="eastAsia" w:ascii="宋体" w:hAnsi="宋体" w:eastAsia="黑体"/>
          <w:b/>
          <w:bCs/>
          <w:color w:val="auto"/>
          <w:sz w:val="32"/>
          <w:szCs w:val="32"/>
          <w:highlight w:val="none"/>
        </w:rPr>
        <w:br w:type="page"/>
      </w:r>
    </w:p>
    <w:p w14:paraId="7BA2B299">
      <w:pPr>
        <w:pStyle w:val="5"/>
        <w:shd w:val="clear"/>
        <w:tabs>
          <w:tab w:val="left" w:pos="596"/>
        </w:tabs>
        <w:ind w:left="425"/>
        <w:jc w:val="center"/>
        <w:rPr>
          <w:rFonts w:ascii="宋体" w:hAnsi="宋体" w:eastAsia="黑体" w:cs="Times New Roman"/>
          <w:color w:val="auto"/>
          <w:highlight w:val="none"/>
        </w:rPr>
      </w:pPr>
      <w:bookmarkStart w:id="336" w:name="_Toc4701"/>
      <w:r>
        <w:rPr>
          <w:rFonts w:hint="eastAsia" w:ascii="宋体" w:hAnsi="宋体" w:eastAsia="黑体" w:cs="Times New Roman"/>
          <w:color w:val="auto"/>
          <w:highlight w:val="none"/>
        </w:rPr>
        <w:t>七、业绩</w:t>
      </w:r>
      <w:bookmarkEnd w:id="336"/>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194"/>
        <w:gridCol w:w="1279"/>
        <w:gridCol w:w="1145"/>
        <w:gridCol w:w="851"/>
        <w:gridCol w:w="1214"/>
        <w:gridCol w:w="817"/>
      </w:tblGrid>
      <w:tr w14:paraId="3A44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50" w:type="dxa"/>
            <w:vAlign w:val="center"/>
          </w:tcPr>
          <w:p w14:paraId="07C885B9">
            <w:pPr>
              <w:shd w:val="clea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194" w:type="dxa"/>
            <w:vAlign w:val="center"/>
          </w:tcPr>
          <w:p w14:paraId="7A55F7B6">
            <w:pPr>
              <w:shd w:val="clea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类似项目业绩名称</w:t>
            </w:r>
          </w:p>
        </w:tc>
        <w:tc>
          <w:tcPr>
            <w:tcW w:w="1279" w:type="dxa"/>
            <w:vAlign w:val="center"/>
          </w:tcPr>
          <w:p w14:paraId="2B943E73">
            <w:pPr>
              <w:shd w:val="clea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用户单位</w:t>
            </w:r>
          </w:p>
        </w:tc>
        <w:tc>
          <w:tcPr>
            <w:tcW w:w="1145" w:type="dxa"/>
            <w:vAlign w:val="center"/>
          </w:tcPr>
          <w:p w14:paraId="7737EB0D">
            <w:pPr>
              <w:shd w:val="clea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联系人</w:t>
            </w:r>
          </w:p>
        </w:tc>
        <w:tc>
          <w:tcPr>
            <w:tcW w:w="851" w:type="dxa"/>
            <w:vAlign w:val="center"/>
          </w:tcPr>
          <w:p w14:paraId="434E38A1">
            <w:pPr>
              <w:shd w:val="clear"/>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电话</w:t>
            </w:r>
          </w:p>
        </w:tc>
        <w:tc>
          <w:tcPr>
            <w:tcW w:w="1214" w:type="dxa"/>
            <w:vAlign w:val="center"/>
          </w:tcPr>
          <w:p w14:paraId="7E2A6D93">
            <w:pPr>
              <w:shd w:val="clear"/>
              <w:spacing w:line="360" w:lineRule="auto"/>
              <w:jc w:val="center"/>
              <w:rPr>
                <w:rFonts w:ascii="宋体" w:hAnsi="宋体" w:cs="宋体"/>
                <w:color w:val="auto"/>
                <w:szCs w:val="21"/>
                <w:highlight w:val="none"/>
              </w:rPr>
            </w:pPr>
            <w:r>
              <w:rPr>
                <w:rFonts w:hint="eastAsia" w:ascii="宋体" w:hAnsi="宋体" w:cs="宋体"/>
                <w:color w:val="auto"/>
                <w:szCs w:val="32"/>
                <w:highlight w:val="none"/>
              </w:rPr>
              <w:t>合同金额（万元）</w:t>
            </w:r>
          </w:p>
        </w:tc>
        <w:tc>
          <w:tcPr>
            <w:tcW w:w="817" w:type="dxa"/>
            <w:vAlign w:val="center"/>
          </w:tcPr>
          <w:p w14:paraId="73F89BFA">
            <w:pPr>
              <w:shd w:val="clea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7F75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50" w:type="dxa"/>
          </w:tcPr>
          <w:p w14:paraId="6DD32EA3">
            <w:pPr>
              <w:shd w:val="clear"/>
              <w:spacing w:line="360" w:lineRule="auto"/>
              <w:rPr>
                <w:rFonts w:ascii="宋体" w:hAnsi="宋体" w:cs="宋体"/>
                <w:color w:val="auto"/>
                <w:szCs w:val="21"/>
                <w:highlight w:val="none"/>
              </w:rPr>
            </w:pPr>
          </w:p>
        </w:tc>
        <w:tc>
          <w:tcPr>
            <w:tcW w:w="2194" w:type="dxa"/>
          </w:tcPr>
          <w:p w14:paraId="39D4228D">
            <w:pPr>
              <w:shd w:val="clear"/>
              <w:spacing w:line="360" w:lineRule="auto"/>
              <w:rPr>
                <w:rFonts w:ascii="宋体" w:hAnsi="宋体" w:cs="宋体"/>
                <w:color w:val="auto"/>
                <w:szCs w:val="21"/>
                <w:highlight w:val="none"/>
              </w:rPr>
            </w:pPr>
          </w:p>
        </w:tc>
        <w:tc>
          <w:tcPr>
            <w:tcW w:w="1279" w:type="dxa"/>
          </w:tcPr>
          <w:p w14:paraId="55D8768B">
            <w:pPr>
              <w:shd w:val="clear"/>
              <w:spacing w:line="360" w:lineRule="auto"/>
              <w:rPr>
                <w:rFonts w:ascii="宋体" w:hAnsi="宋体" w:cs="宋体"/>
                <w:color w:val="auto"/>
                <w:szCs w:val="21"/>
                <w:highlight w:val="none"/>
              </w:rPr>
            </w:pPr>
          </w:p>
        </w:tc>
        <w:tc>
          <w:tcPr>
            <w:tcW w:w="1145" w:type="dxa"/>
          </w:tcPr>
          <w:p w14:paraId="1E308EE5">
            <w:pPr>
              <w:shd w:val="clear"/>
              <w:spacing w:line="360" w:lineRule="auto"/>
              <w:rPr>
                <w:rFonts w:ascii="宋体" w:hAnsi="宋体" w:cs="宋体"/>
                <w:color w:val="auto"/>
                <w:szCs w:val="21"/>
                <w:highlight w:val="none"/>
              </w:rPr>
            </w:pPr>
          </w:p>
        </w:tc>
        <w:tc>
          <w:tcPr>
            <w:tcW w:w="851" w:type="dxa"/>
          </w:tcPr>
          <w:p w14:paraId="1D7F7533">
            <w:pPr>
              <w:shd w:val="clear"/>
              <w:spacing w:line="360" w:lineRule="auto"/>
              <w:rPr>
                <w:rFonts w:ascii="宋体" w:hAnsi="宋体" w:cs="宋体"/>
                <w:color w:val="auto"/>
                <w:szCs w:val="21"/>
                <w:highlight w:val="none"/>
              </w:rPr>
            </w:pPr>
          </w:p>
        </w:tc>
        <w:tc>
          <w:tcPr>
            <w:tcW w:w="1214" w:type="dxa"/>
          </w:tcPr>
          <w:p w14:paraId="7C167225">
            <w:pPr>
              <w:shd w:val="clear"/>
              <w:spacing w:line="360" w:lineRule="auto"/>
              <w:rPr>
                <w:rFonts w:ascii="宋体" w:hAnsi="宋体" w:cs="宋体"/>
                <w:color w:val="auto"/>
                <w:szCs w:val="21"/>
                <w:highlight w:val="none"/>
              </w:rPr>
            </w:pPr>
          </w:p>
        </w:tc>
        <w:tc>
          <w:tcPr>
            <w:tcW w:w="817" w:type="dxa"/>
          </w:tcPr>
          <w:p w14:paraId="6E49FC9B">
            <w:pPr>
              <w:shd w:val="clear"/>
              <w:spacing w:line="360" w:lineRule="auto"/>
              <w:rPr>
                <w:rFonts w:ascii="宋体" w:hAnsi="宋体" w:cs="宋体"/>
                <w:color w:val="auto"/>
                <w:szCs w:val="21"/>
                <w:highlight w:val="none"/>
              </w:rPr>
            </w:pPr>
          </w:p>
        </w:tc>
      </w:tr>
      <w:tr w14:paraId="16482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50" w:type="dxa"/>
          </w:tcPr>
          <w:p w14:paraId="71AF4C00">
            <w:pPr>
              <w:shd w:val="clear"/>
              <w:spacing w:line="360" w:lineRule="auto"/>
              <w:rPr>
                <w:rFonts w:ascii="宋体" w:hAnsi="宋体" w:cs="宋体"/>
                <w:color w:val="auto"/>
                <w:szCs w:val="21"/>
                <w:highlight w:val="none"/>
              </w:rPr>
            </w:pPr>
          </w:p>
        </w:tc>
        <w:tc>
          <w:tcPr>
            <w:tcW w:w="2194" w:type="dxa"/>
          </w:tcPr>
          <w:p w14:paraId="3CF7CF08">
            <w:pPr>
              <w:shd w:val="clear"/>
              <w:spacing w:line="360" w:lineRule="auto"/>
              <w:rPr>
                <w:rFonts w:ascii="宋体" w:hAnsi="宋体" w:cs="宋体"/>
                <w:color w:val="auto"/>
                <w:szCs w:val="21"/>
                <w:highlight w:val="none"/>
              </w:rPr>
            </w:pPr>
          </w:p>
        </w:tc>
        <w:tc>
          <w:tcPr>
            <w:tcW w:w="1279" w:type="dxa"/>
          </w:tcPr>
          <w:p w14:paraId="3B055166">
            <w:pPr>
              <w:shd w:val="clear"/>
              <w:spacing w:line="360" w:lineRule="auto"/>
              <w:rPr>
                <w:rFonts w:ascii="宋体" w:hAnsi="宋体" w:cs="宋体"/>
                <w:color w:val="auto"/>
                <w:szCs w:val="21"/>
                <w:highlight w:val="none"/>
              </w:rPr>
            </w:pPr>
          </w:p>
        </w:tc>
        <w:tc>
          <w:tcPr>
            <w:tcW w:w="1145" w:type="dxa"/>
          </w:tcPr>
          <w:p w14:paraId="338911ED">
            <w:pPr>
              <w:shd w:val="clear"/>
              <w:spacing w:line="360" w:lineRule="auto"/>
              <w:rPr>
                <w:rFonts w:ascii="宋体" w:hAnsi="宋体" w:cs="宋体"/>
                <w:color w:val="auto"/>
                <w:szCs w:val="21"/>
                <w:highlight w:val="none"/>
              </w:rPr>
            </w:pPr>
          </w:p>
        </w:tc>
        <w:tc>
          <w:tcPr>
            <w:tcW w:w="851" w:type="dxa"/>
          </w:tcPr>
          <w:p w14:paraId="123B10DE">
            <w:pPr>
              <w:shd w:val="clear"/>
              <w:spacing w:line="360" w:lineRule="auto"/>
              <w:rPr>
                <w:rFonts w:ascii="宋体" w:hAnsi="宋体" w:cs="宋体"/>
                <w:color w:val="auto"/>
                <w:szCs w:val="21"/>
                <w:highlight w:val="none"/>
              </w:rPr>
            </w:pPr>
          </w:p>
        </w:tc>
        <w:tc>
          <w:tcPr>
            <w:tcW w:w="1214" w:type="dxa"/>
          </w:tcPr>
          <w:p w14:paraId="6D0E5E4E">
            <w:pPr>
              <w:shd w:val="clear"/>
              <w:spacing w:line="360" w:lineRule="auto"/>
              <w:rPr>
                <w:rFonts w:ascii="宋体" w:hAnsi="宋体" w:cs="宋体"/>
                <w:color w:val="auto"/>
                <w:szCs w:val="21"/>
                <w:highlight w:val="none"/>
              </w:rPr>
            </w:pPr>
          </w:p>
        </w:tc>
        <w:tc>
          <w:tcPr>
            <w:tcW w:w="817" w:type="dxa"/>
          </w:tcPr>
          <w:p w14:paraId="44D2BF43">
            <w:pPr>
              <w:shd w:val="clear"/>
              <w:spacing w:line="360" w:lineRule="auto"/>
              <w:rPr>
                <w:rFonts w:ascii="宋体" w:hAnsi="宋体" w:cs="宋体"/>
                <w:color w:val="auto"/>
                <w:szCs w:val="21"/>
                <w:highlight w:val="none"/>
              </w:rPr>
            </w:pPr>
          </w:p>
        </w:tc>
      </w:tr>
      <w:tr w14:paraId="4116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50" w:type="dxa"/>
          </w:tcPr>
          <w:p w14:paraId="67618E0B">
            <w:pPr>
              <w:shd w:val="clear"/>
              <w:spacing w:line="360" w:lineRule="auto"/>
              <w:rPr>
                <w:rFonts w:ascii="宋体" w:hAnsi="宋体" w:cs="宋体"/>
                <w:color w:val="auto"/>
                <w:szCs w:val="21"/>
                <w:highlight w:val="none"/>
              </w:rPr>
            </w:pPr>
          </w:p>
        </w:tc>
        <w:tc>
          <w:tcPr>
            <w:tcW w:w="2194" w:type="dxa"/>
          </w:tcPr>
          <w:p w14:paraId="0C67B147">
            <w:pPr>
              <w:shd w:val="clear"/>
              <w:spacing w:line="360" w:lineRule="auto"/>
              <w:rPr>
                <w:rFonts w:ascii="宋体" w:hAnsi="宋体" w:cs="宋体"/>
                <w:color w:val="auto"/>
                <w:szCs w:val="21"/>
                <w:highlight w:val="none"/>
              </w:rPr>
            </w:pPr>
          </w:p>
        </w:tc>
        <w:tc>
          <w:tcPr>
            <w:tcW w:w="1279" w:type="dxa"/>
          </w:tcPr>
          <w:p w14:paraId="49F149D2">
            <w:pPr>
              <w:shd w:val="clear"/>
              <w:spacing w:line="360" w:lineRule="auto"/>
              <w:rPr>
                <w:rFonts w:ascii="宋体" w:hAnsi="宋体" w:cs="宋体"/>
                <w:color w:val="auto"/>
                <w:szCs w:val="21"/>
                <w:highlight w:val="none"/>
              </w:rPr>
            </w:pPr>
          </w:p>
        </w:tc>
        <w:tc>
          <w:tcPr>
            <w:tcW w:w="1145" w:type="dxa"/>
          </w:tcPr>
          <w:p w14:paraId="5423A8A7">
            <w:pPr>
              <w:shd w:val="clear"/>
              <w:spacing w:line="360" w:lineRule="auto"/>
              <w:rPr>
                <w:rFonts w:ascii="宋体" w:hAnsi="宋体" w:cs="宋体"/>
                <w:color w:val="auto"/>
                <w:szCs w:val="21"/>
                <w:highlight w:val="none"/>
              </w:rPr>
            </w:pPr>
          </w:p>
        </w:tc>
        <w:tc>
          <w:tcPr>
            <w:tcW w:w="851" w:type="dxa"/>
          </w:tcPr>
          <w:p w14:paraId="5FEC02AC">
            <w:pPr>
              <w:shd w:val="clear"/>
              <w:spacing w:line="360" w:lineRule="auto"/>
              <w:rPr>
                <w:rFonts w:ascii="宋体" w:hAnsi="宋体" w:cs="宋体"/>
                <w:color w:val="auto"/>
                <w:szCs w:val="21"/>
                <w:highlight w:val="none"/>
              </w:rPr>
            </w:pPr>
          </w:p>
        </w:tc>
        <w:tc>
          <w:tcPr>
            <w:tcW w:w="1214" w:type="dxa"/>
          </w:tcPr>
          <w:p w14:paraId="01777911">
            <w:pPr>
              <w:shd w:val="clear"/>
              <w:spacing w:line="360" w:lineRule="auto"/>
              <w:rPr>
                <w:rFonts w:ascii="宋体" w:hAnsi="宋体" w:cs="宋体"/>
                <w:color w:val="auto"/>
                <w:szCs w:val="21"/>
                <w:highlight w:val="none"/>
              </w:rPr>
            </w:pPr>
          </w:p>
        </w:tc>
        <w:tc>
          <w:tcPr>
            <w:tcW w:w="817" w:type="dxa"/>
          </w:tcPr>
          <w:p w14:paraId="1761E1F0">
            <w:pPr>
              <w:shd w:val="clear"/>
              <w:spacing w:line="360" w:lineRule="auto"/>
              <w:rPr>
                <w:rFonts w:ascii="宋体" w:hAnsi="宋体" w:cs="宋体"/>
                <w:color w:val="auto"/>
                <w:szCs w:val="21"/>
                <w:highlight w:val="none"/>
              </w:rPr>
            </w:pPr>
          </w:p>
        </w:tc>
      </w:tr>
    </w:tbl>
    <w:p w14:paraId="0702DDBE">
      <w:pPr>
        <w:shd w:val="clear"/>
        <w:spacing w:before="60" w:after="60" w:line="480" w:lineRule="auto"/>
        <w:rPr>
          <w:rFonts w:ascii="宋体" w:hAnsi="宋体"/>
          <w:color w:val="auto"/>
          <w:szCs w:val="21"/>
          <w:highlight w:val="none"/>
        </w:rPr>
      </w:pPr>
      <w:r>
        <w:rPr>
          <w:rFonts w:hint="eastAsia" w:ascii="宋体" w:hAnsi="宋体" w:cs="宋体"/>
          <w:bCs/>
          <w:color w:val="auto"/>
          <w:szCs w:val="21"/>
          <w:highlight w:val="none"/>
        </w:rPr>
        <w:t>注：1、证明材料（如中标通知书或合同扫描件等有效证明文件）</w:t>
      </w:r>
    </w:p>
    <w:p w14:paraId="7E4C852A">
      <w:pPr>
        <w:shd w:val="clear"/>
        <w:spacing w:line="360" w:lineRule="auto"/>
        <w:rPr>
          <w:rFonts w:ascii="宋体" w:hAnsi="宋体" w:cs="宋体"/>
          <w:bCs/>
          <w:color w:val="auto"/>
          <w:szCs w:val="21"/>
          <w:highlight w:val="none"/>
        </w:rPr>
      </w:pPr>
      <w:r>
        <w:rPr>
          <w:rFonts w:hint="eastAsia" w:ascii="宋体" w:hAnsi="宋体" w:cs="宋体"/>
          <w:bCs/>
          <w:color w:val="auto"/>
          <w:szCs w:val="21"/>
          <w:highlight w:val="none"/>
        </w:rPr>
        <w:t>2、投标人可根据实际情况拓展本表。</w:t>
      </w:r>
    </w:p>
    <w:p w14:paraId="4EC750AD">
      <w:pPr>
        <w:shd w:val="clear"/>
        <w:spacing w:before="60" w:after="60" w:line="480" w:lineRule="auto"/>
        <w:rPr>
          <w:rFonts w:ascii="宋体" w:hAnsi="宋体"/>
          <w:color w:val="auto"/>
          <w:szCs w:val="21"/>
          <w:highlight w:val="none"/>
        </w:rPr>
      </w:pPr>
    </w:p>
    <w:p w14:paraId="02860F12">
      <w:pPr>
        <w:shd w:val="clear"/>
        <w:spacing w:before="60" w:after="60" w:line="480" w:lineRule="auto"/>
        <w:rPr>
          <w:rFonts w:ascii="宋体" w:hAnsi="宋体"/>
          <w:color w:val="auto"/>
          <w:szCs w:val="21"/>
          <w:highlight w:val="none"/>
        </w:rPr>
      </w:pPr>
    </w:p>
    <w:p w14:paraId="3982FA4C">
      <w:pPr>
        <w:shd w:val="clear"/>
        <w:spacing w:before="60" w:after="60" w:line="480" w:lineRule="auto"/>
        <w:rPr>
          <w:rFonts w:ascii="宋体" w:hAnsi="宋体"/>
          <w:color w:val="auto"/>
          <w:szCs w:val="21"/>
          <w:highlight w:val="none"/>
        </w:rPr>
      </w:pPr>
    </w:p>
    <w:p w14:paraId="26AE3271">
      <w:pPr>
        <w:shd w:val="clear"/>
        <w:spacing w:before="60" w:after="60" w:line="480" w:lineRule="auto"/>
        <w:rPr>
          <w:rFonts w:ascii="宋体" w:hAnsi="宋体"/>
          <w:color w:val="auto"/>
          <w:szCs w:val="21"/>
          <w:highlight w:val="none"/>
        </w:rPr>
      </w:pPr>
    </w:p>
    <w:p w14:paraId="2DF97420">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投标人(电子签章)：</w:t>
      </w:r>
      <w:r>
        <w:rPr>
          <w:rFonts w:ascii="宋体" w:hAnsi="宋体"/>
          <w:color w:val="auto"/>
          <w:szCs w:val="21"/>
          <w:highlight w:val="none"/>
          <w:u w:val="single"/>
        </w:rPr>
        <w:t xml:space="preserve">                                    </w:t>
      </w:r>
      <w:r>
        <w:rPr>
          <w:rFonts w:hint="eastAsia" w:ascii="宋体" w:hAnsi="宋体"/>
          <w:color w:val="auto"/>
          <w:szCs w:val="21"/>
          <w:highlight w:val="none"/>
        </w:rPr>
        <w:t xml:space="preserve">    </w:t>
      </w:r>
    </w:p>
    <w:p w14:paraId="4F16B76E">
      <w:pPr>
        <w:shd w:val="clear"/>
        <w:spacing w:before="60" w:after="60" w:line="480" w:lineRule="auto"/>
        <w:rPr>
          <w:rFonts w:ascii="宋体" w:hAnsi="宋体"/>
          <w:color w:val="auto"/>
          <w:szCs w:val="21"/>
          <w:highlight w:val="none"/>
        </w:rPr>
      </w:pPr>
      <w:r>
        <w:rPr>
          <w:rFonts w:hint="eastAsia" w:ascii="宋体" w:hAnsi="宋体"/>
          <w:color w:val="auto"/>
          <w:szCs w:val="21"/>
          <w:highlight w:val="none"/>
        </w:rPr>
        <w:t>法定代表人或委托代理人（电子签名）：</w:t>
      </w:r>
      <w:r>
        <w:rPr>
          <w:rFonts w:hint="eastAsia" w:ascii="宋体" w:hAnsi="宋体"/>
          <w:color w:val="auto"/>
          <w:szCs w:val="21"/>
          <w:highlight w:val="none"/>
          <w:u w:val="single"/>
        </w:rPr>
        <w:t xml:space="preserve">                    </w:t>
      </w:r>
    </w:p>
    <w:p w14:paraId="133517E0">
      <w:pPr>
        <w:shd w:val="clear"/>
        <w:rPr>
          <w:rFonts w:ascii="宋体" w:hAnsi="宋体"/>
          <w:color w:val="auto"/>
          <w:szCs w:val="21"/>
          <w:highlight w:val="none"/>
        </w:rPr>
      </w:pPr>
      <w:r>
        <w:rPr>
          <w:rFonts w:hint="eastAsia" w:ascii="宋体" w:hAnsi="宋体"/>
          <w:color w:val="auto"/>
          <w:szCs w:val="21"/>
          <w:highlight w:val="none"/>
        </w:rPr>
        <w:t>日期：______年_____月_____日</w:t>
      </w:r>
      <w:r>
        <w:rPr>
          <w:rFonts w:ascii="宋体" w:hAnsi="宋体"/>
          <w:color w:val="auto"/>
          <w:szCs w:val="21"/>
          <w:highlight w:val="none"/>
        </w:rPr>
        <w:br w:type="page"/>
      </w:r>
    </w:p>
    <w:p w14:paraId="562E0837">
      <w:pPr>
        <w:widowControl/>
        <w:shd w:val="clear"/>
        <w:jc w:val="left"/>
        <w:rPr>
          <w:rFonts w:ascii="宋体" w:hAnsi="宋体"/>
          <w:color w:val="auto"/>
          <w:szCs w:val="21"/>
          <w:highlight w:val="none"/>
        </w:rPr>
      </w:pPr>
    </w:p>
    <w:bookmarkEnd w:id="261"/>
    <w:bookmarkEnd w:id="328"/>
    <w:bookmarkEnd w:id="329"/>
    <w:p w14:paraId="6FF2A70F">
      <w:pPr>
        <w:shd w:val="clear"/>
        <w:rPr>
          <w:color w:val="auto"/>
          <w:highlight w:val="none"/>
        </w:rPr>
      </w:pPr>
      <w:bookmarkStart w:id="337" w:name="_Toc38173198"/>
      <w:bookmarkStart w:id="338" w:name="_Toc78603135"/>
    </w:p>
    <w:p w14:paraId="3C8FED60">
      <w:pPr>
        <w:pStyle w:val="88"/>
        <w:shd w:val="clear"/>
        <w:rPr>
          <w:color w:val="auto"/>
          <w:sz w:val="40"/>
          <w:highlight w:val="none"/>
        </w:rPr>
      </w:pPr>
      <w:bookmarkStart w:id="339" w:name="_Toc15239"/>
      <w:r>
        <w:rPr>
          <w:rFonts w:hint="eastAsia"/>
          <w:color w:val="auto"/>
          <w:sz w:val="40"/>
          <w:highlight w:val="none"/>
        </w:rPr>
        <w:t xml:space="preserve">第七章 </w:t>
      </w:r>
      <w:r>
        <w:rPr>
          <w:color w:val="auto"/>
          <w:sz w:val="40"/>
          <w:highlight w:val="none"/>
        </w:rPr>
        <w:t xml:space="preserve"> </w:t>
      </w:r>
      <w:r>
        <w:rPr>
          <w:rFonts w:hint="eastAsia"/>
          <w:color w:val="auto"/>
          <w:sz w:val="40"/>
          <w:highlight w:val="none"/>
        </w:rPr>
        <w:t>其他资料</w:t>
      </w:r>
      <w:bookmarkEnd w:id="339"/>
    </w:p>
    <w:bookmarkEnd w:id="337"/>
    <w:bookmarkEnd w:id="338"/>
    <w:p w14:paraId="3E61C1D3">
      <w:pPr>
        <w:shd w:val="clear"/>
        <w:spacing w:before="60" w:after="60" w:line="480" w:lineRule="auto"/>
        <w:jc w:val="center"/>
        <w:rPr>
          <w:rFonts w:ascii="宋体" w:hAnsi="宋体"/>
          <w:color w:val="auto"/>
          <w:szCs w:val="21"/>
          <w:highlight w:val="none"/>
        </w:rPr>
      </w:pPr>
    </w:p>
    <w:p w14:paraId="61BFABB5">
      <w:pPr>
        <w:shd w:val="clear"/>
        <w:spacing w:before="60" w:after="60" w:line="480" w:lineRule="auto"/>
        <w:jc w:val="center"/>
        <w:rPr>
          <w:rFonts w:ascii="宋体" w:hAnsi="宋体"/>
          <w:color w:val="auto"/>
          <w:sz w:val="24"/>
          <w:highlight w:val="none"/>
        </w:rPr>
      </w:pPr>
      <w:r>
        <w:rPr>
          <w:rFonts w:hint="eastAsia" w:ascii="宋体" w:hAnsi="宋体"/>
          <w:color w:val="auto"/>
          <w:sz w:val="24"/>
          <w:highlight w:val="none"/>
        </w:rPr>
        <w:t>招标文件要求或投标人认为需要提交的其他证明材料</w:t>
      </w:r>
    </w:p>
    <w:sectPr>
      <w:pgSz w:w="11906" w:h="16838"/>
      <w:pgMar w:top="1243" w:right="1274" w:bottom="1134" w:left="1418" w:header="737" w:footer="73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algun Gothic">
    <w:panose1 w:val="020B0503020000020004"/>
    <w:charset w:val="81"/>
    <w:family w:val="swiss"/>
    <w:pitch w:val="default"/>
    <w:sig w:usb0="9000002F" w:usb1="29D77CFB" w:usb2="00000012" w:usb3="00000000" w:csb0="00080001"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163D0">
    <w:pPr>
      <w:pStyle w:val="73"/>
      <w:jc w:val="center"/>
    </w:pPr>
    <w:r>
      <w:fldChar w:fldCharType="begin"/>
    </w:r>
    <w:r>
      <w:instrText xml:space="preserve">PAGE   \* MERGEFORMAT</w:instrText>
    </w:r>
    <w:r>
      <w:fldChar w:fldCharType="separate"/>
    </w:r>
    <w:r>
      <w:rPr>
        <w:lang w:val="zh-CN"/>
      </w:rPr>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B4013">
    <w:pPr>
      <w:pStyle w:val="73"/>
      <w:framePr w:wrap="around" w:vAnchor="text" w:hAnchor="margin" w:xAlign="right" w:y="1"/>
    </w:pPr>
    <w:r>
      <w:fldChar w:fldCharType="begin"/>
    </w:r>
    <w:r>
      <w:rPr>
        <w:rStyle w:val="97"/>
      </w:rPr>
      <w:instrText xml:space="preserve">PAGE  </w:instrText>
    </w:r>
    <w:r>
      <w:fldChar w:fldCharType="end"/>
    </w:r>
  </w:p>
  <w:p w14:paraId="5D976A13">
    <w:pPr>
      <w:pStyle w:val="7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815A1">
    <w:pPr>
      <w:pStyle w:val="73"/>
      <w:jc w:val="center"/>
    </w:pPr>
    <w:r>
      <w:fldChar w:fldCharType="begin"/>
    </w:r>
    <w:r>
      <w:instrText xml:space="preserve">PAGE   \* MERGEFORMAT</w:instrText>
    </w:r>
    <w:r>
      <w:fldChar w:fldCharType="separate"/>
    </w:r>
    <w:r>
      <w:rPr>
        <w:lang w:val="zh-CN"/>
      </w:rPr>
      <w:t>70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7F76F">
    <w:pPr>
      <w:pStyle w:val="75"/>
      <w:jc w:val="left"/>
      <w:rPr>
        <w:i/>
        <w:sz w:val="15"/>
      </w:rPr>
    </w:pPr>
    <w:r>
      <w:rPr>
        <w:rFonts w:hint="eastAsia"/>
        <w:i/>
        <w:sz w:val="15"/>
      </w:rPr>
      <w:t xml:space="preserve">昆明市妇幼保健院饮用水采购项目 </w:t>
    </w:r>
    <w:r>
      <w:rPr>
        <w:i/>
        <w:sz w:val="15"/>
      </w:rPr>
      <w:t xml:space="preserve">            </w:t>
    </w:r>
    <w:r>
      <w:rPr>
        <w:rFonts w:hint="eastAsia"/>
        <w:i/>
        <w:sz w:val="15"/>
      </w:rPr>
      <w:t xml:space="preserve">                             </w:t>
    </w:r>
    <w:r>
      <w:rPr>
        <w:i/>
        <w:sz w:val="15"/>
      </w:rPr>
      <w:t xml:space="preserve">     </w:t>
    </w:r>
    <w:r>
      <w:rPr>
        <w:rFonts w:hint="eastAsia"/>
        <w:i/>
        <w:sz w:val="15"/>
      </w:rPr>
      <w:t xml:space="preserve">    </w:t>
    </w:r>
    <w:r>
      <w:rPr>
        <w:i/>
        <w:sz w:val="15"/>
      </w:rPr>
      <w:t xml:space="preserve">                                     </w:t>
    </w:r>
    <w:r>
      <w:rPr>
        <w:rFonts w:hint="eastAsia"/>
        <w:i/>
        <w:sz w:val="15"/>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DE88A">
    <w:pPr>
      <w:pStyle w:val="75"/>
      <w:jc w:val="left"/>
    </w:pPr>
    <w:r>
      <w:rPr>
        <w:rFonts w:hint="eastAsia"/>
        <w:i/>
        <w:sz w:val="15"/>
        <w:lang w:eastAsia="zh-CN"/>
      </w:rPr>
      <w:t>昆明市妇幼保健院鼻窦负压置换仪、脉冲磁场刺激仪等医疗设备采购项目（二次）</w:t>
    </w:r>
    <w:r>
      <w:rPr>
        <w:rFonts w:hint="eastAsia"/>
        <w:i/>
        <w:sz w:val="15"/>
      </w:rPr>
      <w:t xml:space="preserve">         </w:t>
    </w:r>
    <w:r>
      <w:rPr>
        <w:i/>
        <w:sz w:val="15"/>
      </w:rPr>
      <w:t xml:space="preserve">    </w:t>
    </w:r>
    <w:r>
      <w:rPr>
        <w:rFonts w:hint="eastAsia"/>
        <w:i/>
        <w:sz w:val="15"/>
      </w:rPr>
      <w:t xml:space="preserve">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E37B2">
    <w:pPr>
      <w:pStyle w:val="75"/>
      <w:jc w:val="left"/>
    </w:pPr>
    <w:r>
      <w:rPr>
        <w:rFonts w:hint="eastAsia"/>
        <w:i/>
        <w:sz w:val="15"/>
        <w:lang w:eastAsia="zh-CN"/>
      </w:rPr>
      <w:t>昆明市妇幼保健院鼻窦负压置换仪、脉冲磁场刺激仪等医疗设备采购项目（二次）</w:t>
    </w:r>
    <w:r>
      <w:rPr>
        <w:rFonts w:hint="eastAsia"/>
        <w:i/>
        <w:sz w:val="15"/>
      </w:rPr>
      <w:t xml:space="preserve">         </w:t>
    </w:r>
    <w:r>
      <w:rPr>
        <w:i/>
        <w:sz w:val="15"/>
      </w:rPr>
      <w:t xml:space="preserve">    </w:t>
    </w:r>
    <w:r>
      <w:rPr>
        <w:rFonts w:hint="eastAsia"/>
        <w:i/>
        <w:sz w:val="15"/>
      </w:rPr>
      <w:t xml:space="preserve"> </w:t>
    </w:r>
    <w:r>
      <w:rPr>
        <w:i/>
        <w:sz w:val="15"/>
      </w:rPr>
      <w:t xml:space="preserve">     </w:t>
    </w:r>
    <w:r>
      <w:rPr>
        <w:rFonts w:hint="eastAsia"/>
        <w:i/>
        <w:sz w:val="15"/>
      </w:rPr>
      <w:t xml:space="preserve">      </w:t>
    </w:r>
    <w:r>
      <w:rPr>
        <w:rFonts w:hint="eastAsia"/>
        <w:i/>
        <w:sz w:val="15"/>
        <w:lang w:val="en-US" w:eastAsia="zh-CN"/>
      </w:rPr>
      <w:t xml:space="preserve">       </w:t>
    </w:r>
    <w:r>
      <w:rPr>
        <w:rFonts w:hint="eastAsia"/>
        <w:i/>
        <w:sz w:val="15"/>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612AC6"/>
    <w:multiLevelType w:val="multilevel"/>
    <w:tmpl w:val="C0612AC6"/>
    <w:lvl w:ilvl="0" w:tentative="0">
      <w:start w:val="1"/>
      <w:numFmt w:val="chineseCounting"/>
      <w:suff w:val="nothing"/>
      <w:lvlText w:val="%1、"/>
      <w:lvlJc w:val="left"/>
      <w:rPr>
        <w:rFonts w:hint="default" w:cs="Times New Roman"/>
        <w:u w:val="none"/>
      </w:rPr>
    </w:lvl>
    <w:lvl w:ilvl="1" w:tentative="0">
      <w:start w:val="1"/>
      <w:numFmt w:val="decimal"/>
      <w:lvlText w:val=""/>
      <w:lvlJc w:val="left"/>
      <w:rPr>
        <w:rFonts w:hint="default"/>
        <w:u w:val="none"/>
      </w:rPr>
    </w:lvl>
    <w:lvl w:ilvl="2" w:tentative="0">
      <w:start w:val="1"/>
      <w:numFmt w:val="decimal"/>
      <w:lvlText w:val=""/>
      <w:lvlJc w:val="left"/>
      <w:rPr>
        <w:rFonts w:hint="default"/>
        <w:u w:val="none"/>
      </w:rPr>
    </w:lvl>
    <w:lvl w:ilvl="3" w:tentative="0">
      <w:start w:val="1"/>
      <w:numFmt w:val="decimal"/>
      <w:lvlText w:val=""/>
      <w:lvlJc w:val="left"/>
      <w:rPr>
        <w:rFonts w:hint="default"/>
        <w:u w:val="none"/>
      </w:rPr>
    </w:lvl>
    <w:lvl w:ilvl="4" w:tentative="0">
      <w:start w:val="1"/>
      <w:numFmt w:val="decimal"/>
      <w:lvlText w:val=""/>
      <w:lvlJc w:val="left"/>
      <w:rPr>
        <w:rFonts w:hint="default"/>
        <w:u w:val="none"/>
      </w:rPr>
    </w:lvl>
    <w:lvl w:ilvl="5" w:tentative="0">
      <w:start w:val="1"/>
      <w:numFmt w:val="decimal"/>
      <w:lvlText w:val=""/>
      <w:lvlJc w:val="left"/>
      <w:rPr>
        <w:rFonts w:hint="default"/>
        <w:u w:val="none"/>
      </w:rPr>
    </w:lvl>
    <w:lvl w:ilvl="6" w:tentative="0">
      <w:start w:val="1"/>
      <w:numFmt w:val="decimal"/>
      <w:lvlText w:val=""/>
      <w:lvlJc w:val="left"/>
      <w:rPr>
        <w:rFonts w:hint="default"/>
        <w:u w:val="none"/>
      </w:rPr>
    </w:lvl>
    <w:lvl w:ilvl="7" w:tentative="0">
      <w:start w:val="1"/>
      <w:numFmt w:val="decimal"/>
      <w:lvlText w:val=""/>
      <w:lvlJc w:val="left"/>
      <w:rPr>
        <w:rFonts w:hint="default"/>
        <w:u w:val="none"/>
      </w:rPr>
    </w:lvl>
    <w:lvl w:ilvl="8" w:tentative="0">
      <w:start w:val="1"/>
      <w:numFmt w:val="decimal"/>
      <w:lvlText w:val=""/>
      <w:lvlJc w:val="left"/>
      <w:rPr>
        <w:rFonts w:hint="default"/>
        <w:u w:val="none"/>
      </w:rPr>
    </w:lvl>
  </w:abstractNum>
  <w:abstractNum w:abstractNumId="1">
    <w:nsid w:val="00000009"/>
    <w:multiLevelType w:val="singleLevel"/>
    <w:tmpl w:val="00000009"/>
    <w:lvl w:ilvl="0" w:tentative="0">
      <w:start w:val="1"/>
      <w:numFmt w:val="decimal"/>
      <w:suff w:val="space"/>
      <w:lvlText w:val="%1."/>
      <w:lvlJc w:val="left"/>
    </w:lvl>
  </w:abstractNum>
  <w:abstractNum w:abstractNumId="2">
    <w:nsid w:val="4A1846E0"/>
    <w:multiLevelType w:val="multilevel"/>
    <w:tmpl w:val="4A1846E0"/>
    <w:lvl w:ilvl="0" w:tentative="0">
      <w:start w:val="1"/>
      <w:numFmt w:val="bullet"/>
      <w:pStyle w:val="109"/>
      <w:lvlText w:val="■"/>
      <w:lvlJc w:val="left"/>
      <w:pPr>
        <w:tabs>
          <w:tab w:val="left" w:pos="0"/>
        </w:tabs>
        <w:ind w:left="420" w:firstLine="0"/>
      </w:pPr>
      <w:rPr>
        <w:rFonts w:ascii="Arial" w:hAnsi="Arial" w:eastAsia="宋体"/>
        <w:b/>
        <w:i w:val="0"/>
        <w:color w:val="0087E2"/>
        <w:sz w:val="28"/>
      </w:rPr>
    </w:lvl>
    <w:lvl w:ilvl="1" w:tentative="0">
      <w:start w:val="1"/>
      <w:numFmt w:val="bullet"/>
      <w:lvlText w:val=""/>
      <w:lvlJc w:val="left"/>
      <w:pPr>
        <w:tabs>
          <w:tab w:val="left" w:pos="1040"/>
        </w:tabs>
        <w:ind w:left="1040" w:hanging="420"/>
      </w:pPr>
      <w:rPr>
        <w:rFonts w:ascii="Wingdings" w:hAnsi="Wingdings"/>
      </w:rPr>
    </w:lvl>
    <w:lvl w:ilvl="2" w:tentative="0">
      <w:start w:val="1"/>
      <w:numFmt w:val="bullet"/>
      <w:lvlText w:val=""/>
      <w:lvlJc w:val="left"/>
      <w:pPr>
        <w:tabs>
          <w:tab w:val="left" w:pos="1460"/>
        </w:tabs>
        <w:ind w:left="1460" w:hanging="420"/>
      </w:pPr>
      <w:rPr>
        <w:rFonts w:ascii="Wingdings" w:hAnsi="Wingdings"/>
      </w:rPr>
    </w:lvl>
    <w:lvl w:ilvl="3" w:tentative="0">
      <w:start w:val="1"/>
      <w:numFmt w:val="bullet"/>
      <w:lvlText w:val=""/>
      <w:lvlJc w:val="left"/>
      <w:pPr>
        <w:tabs>
          <w:tab w:val="left" w:pos="1880"/>
        </w:tabs>
        <w:ind w:left="1880" w:hanging="420"/>
      </w:pPr>
      <w:rPr>
        <w:rFonts w:ascii="Wingdings" w:hAnsi="Wingdings"/>
      </w:rPr>
    </w:lvl>
    <w:lvl w:ilvl="4" w:tentative="0">
      <w:start w:val="1"/>
      <w:numFmt w:val="bullet"/>
      <w:lvlText w:val=""/>
      <w:lvlJc w:val="left"/>
      <w:pPr>
        <w:tabs>
          <w:tab w:val="left" w:pos="2300"/>
        </w:tabs>
        <w:ind w:left="2300" w:hanging="420"/>
      </w:pPr>
      <w:rPr>
        <w:rFonts w:ascii="Wingdings" w:hAnsi="Wingdings"/>
      </w:rPr>
    </w:lvl>
    <w:lvl w:ilvl="5" w:tentative="0">
      <w:start w:val="1"/>
      <w:numFmt w:val="bullet"/>
      <w:lvlText w:val=""/>
      <w:lvlJc w:val="left"/>
      <w:pPr>
        <w:tabs>
          <w:tab w:val="left" w:pos="2720"/>
        </w:tabs>
        <w:ind w:left="2720" w:hanging="420"/>
      </w:pPr>
      <w:rPr>
        <w:rFonts w:ascii="Wingdings" w:hAnsi="Wingdings"/>
      </w:rPr>
    </w:lvl>
    <w:lvl w:ilvl="6" w:tentative="0">
      <w:start w:val="1"/>
      <w:numFmt w:val="bullet"/>
      <w:lvlText w:val=""/>
      <w:lvlJc w:val="left"/>
      <w:pPr>
        <w:tabs>
          <w:tab w:val="left" w:pos="3140"/>
        </w:tabs>
        <w:ind w:left="3140" w:hanging="420"/>
      </w:pPr>
      <w:rPr>
        <w:rFonts w:ascii="Wingdings" w:hAnsi="Wingdings"/>
      </w:rPr>
    </w:lvl>
    <w:lvl w:ilvl="7" w:tentative="0">
      <w:start w:val="1"/>
      <w:numFmt w:val="bullet"/>
      <w:lvlText w:val=""/>
      <w:lvlJc w:val="left"/>
      <w:pPr>
        <w:tabs>
          <w:tab w:val="left" w:pos="3560"/>
        </w:tabs>
        <w:ind w:left="3560" w:hanging="420"/>
      </w:pPr>
      <w:rPr>
        <w:rFonts w:ascii="Wingdings" w:hAnsi="Wingdings"/>
      </w:rPr>
    </w:lvl>
    <w:lvl w:ilvl="8" w:tentative="0">
      <w:start w:val="1"/>
      <w:numFmt w:val="bullet"/>
      <w:lvlText w:val=""/>
      <w:lvlJc w:val="left"/>
      <w:pPr>
        <w:tabs>
          <w:tab w:val="left" w:pos="3980"/>
        </w:tabs>
        <w:ind w:left="3980" w:hanging="420"/>
      </w:pPr>
      <w:rPr>
        <w:rFonts w:ascii="Wingdings" w:hAnsi="Wingdings"/>
      </w:rPr>
    </w:lvl>
  </w:abstractNum>
  <w:abstractNum w:abstractNumId="3">
    <w:nsid w:val="566E3E80"/>
    <w:multiLevelType w:val="singleLevel"/>
    <w:tmpl w:val="566E3E80"/>
    <w:lvl w:ilvl="0" w:tentative="0">
      <w:start w:val="1"/>
      <w:numFmt w:val="decimal"/>
      <w:suff w:val="nothing"/>
      <w:lvlText w:val="%1、"/>
      <w:lvlJc w:val="left"/>
    </w:lvl>
  </w:abstractNum>
  <w:abstractNum w:abstractNumId="4">
    <w:nsid w:val="5913DC24"/>
    <w:multiLevelType w:val="singleLevel"/>
    <w:tmpl w:val="5913DC24"/>
    <w:lvl w:ilvl="0" w:tentative="0">
      <w:start w:val="1"/>
      <w:numFmt w:val="decimal"/>
      <w:suff w:val="nothing"/>
      <w:lvlText w:val="%1、"/>
      <w:lvlJc w:val="left"/>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420"/>
  <w:drawingGridHorizontalSpacing w:val="105"/>
  <w:drawingGridVerticalSpacing w:val="156"/>
  <w:noPunctuationKerning w:val="1"/>
  <w:characterSpacingControl w:val="doNotCompress"/>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yZjJmMjhlZDEwNzI3ZmU1MDFhYzc0MTM5NGJiZGQifQ=="/>
    <w:docVar w:name="KSO_WPS_MARK_KEY" w:val="a98283db-b94a-4785-b278-d413cf5e5dac"/>
  </w:docVars>
  <w:rsids>
    <w:rsidRoot w:val="001E44A6"/>
    <w:rsid w:val="000003A8"/>
    <w:rsid w:val="000003C4"/>
    <w:rsid w:val="00000A6E"/>
    <w:rsid w:val="00000EC6"/>
    <w:rsid w:val="000036D6"/>
    <w:rsid w:val="0000593A"/>
    <w:rsid w:val="000061FA"/>
    <w:rsid w:val="000072DD"/>
    <w:rsid w:val="00007516"/>
    <w:rsid w:val="00007A5F"/>
    <w:rsid w:val="00007BD4"/>
    <w:rsid w:val="0001704D"/>
    <w:rsid w:val="00023EF2"/>
    <w:rsid w:val="000340AB"/>
    <w:rsid w:val="000347B6"/>
    <w:rsid w:val="00037FE6"/>
    <w:rsid w:val="00042055"/>
    <w:rsid w:val="0004244C"/>
    <w:rsid w:val="000426D8"/>
    <w:rsid w:val="00044A07"/>
    <w:rsid w:val="00047387"/>
    <w:rsid w:val="00050D20"/>
    <w:rsid w:val="00051B27"/>
    <w:rsid w:val="0005377E"/>
    <w:rsid w:val="00055AE1"/>
    <w:rsid w:val="00056687"/>
    <w:rsid w:val="000571A7"/>
    <w:rsid w:val="000573D0"/>
    <w:rsid w:val="0006188A"/>
    <w:rsid w:val="000624E2"/>
    <w:rsid w:val="00062BAC"/>
    <w:rsid w:val="00064662"/>
    <w:rsid w:val="00064E6E"/>
    <w:rsid w:val="000650E0"/>
    <w:rsid w:val="00066D0A"/>
    <w:rsid w:val="000725F4"/>
    <w:rsid w:val="00072C72"/>
    <w:rsid w:val="00072C8E"/>
    <w:rsid w:val="00073758"/>
    <w:rsid w:val="00074AC7"/>
    <w:rsid w:val="0007586C"/>
    <w:rsid w:val="00080E6C"/>
    <w:rsid w:val="000825A3"/>
    <w:rsid w:val="00087834"/>
    <w:rsid w:val="00087B38"/>
    <w:rsid w:val="00096AAD"/>
    <w:rsid w:val="000972AA"/>
    <w:rsid w:val="000A0D03"/>
    <w:rsid w:val="000A1034"/>
    <w:rsid w:val="000A129B"/>
    <w:rsid w:val="000A1502"/>
    <w:rsid w:val="000A21DF"/>
    <w:rsid w:val="000A5068"/>
    <w:rsid w:val="000A5A5C"/>
    <w:rsid w:val="000B625D"/>
    <w:rsid w:val="000B66FD"/>
    <w:rsid w:val="000C05BA"/>
    <w:rsid w:val="000C3A9E"/>
    <w:rsid w:val="000C5AE3"/>
    <w:rsid w:val="000C75F9"/>
    <w:rsid w:val="000C75FF"/>
    <w:rsid w:val="000D4318"/>
    <w:rsid w:val="000D52ED"/>
    <w:rsid w:val="000D636A"/>
    <w:rsid w:val="000D63A5"/>
    <w:rsid w:val="000E489E"/>
    <w:rsid w:val="000E4A1E"/>
    <w:rsid w:val="000E5D65"/>
    <w:rsid w:val="000F7F14"/>
    <w:rsid w:val="00101004"/>
    <w:rsid w:val="00101C03"/>
    <w:rsid w:val="00102171"/>
    <w:rsid w:val="001025DA"/>
    <w:rsid w:val="00103722"/>
    <w:rsid w:val="0010488E"/>
    <w:rsid w:val="00104DF3"/>
    <w:rsid w:val="00106690"/>
    <w:rsid w:val="00106CE2"/>
    <w:rsid w:val="001165C8"/>
    <w:rsid w:val="00120465"/>
    <w:rsid w:val="00121F1E"/>
    <w:rsid w:val="001221D8"/>
    <w:rsid w:val="0012250B"/>
    <w:rsid w:val="00123A97"/>
    <w:rsid w:val="00124B5D"/>
    <w:rsid w:val="0012761F"/>
    <w:rsid w:val="00127CBD"/>
    <w:rsid w:val="00130C98"/>
    <w:rsid w:val="00132A0E"/>
    <w:rsid w:val="00133F7A"/>
    <w:rsid w:val="00137176"/>
    <w:rsid w:val="00140700"/>
    <w:rsid w:val="001466D8"/>
    <w:rsid w:val="00150376"/>
    <w:rsid w:val="00151F9E"/>
    <w:rsid w:val="00152D0F"/>
    <w:rsid w:val="00156005"/>
    <w:rsid w:val="00156EE9"/>
    <w:rsid w:val="001618AD"/>
    <w:rsid w:val="00162CC8"/>
    <w:rsid w:val="00164208"/>
    <w:rsid w:val="00164E36"/>
    <w:rsid w:val="0016720D"/>
    <w:rsid w:val="0017106A"/>
    <w:rsid w:val="0017213D"/>
    <w:rsid w:val="00174A22"/>
    <w:rsid w:val="00175A1E"/>
    <w:rsid w:val="001835F5"/>
    <w:rsid w:val="0018368E"/>
    <w:rsid w:val="00190136"/>
    <w:rsid w:val="00192403"/>
    <w:rsid w:val="001A7497"/>
    <w:rsid w:val="001B0D3D"/>
    <w:rsid w:val="001B15D5"/>
    <w:rsid w:val="001B1EF7"/>
    <w:rsid w:val="001B2B22"/>
    <w:rsid w:val="001B2FF9"/>
    <w:rsid w:val="001C07F9"/>
    <w:rsid w:val="001C1C9B"/>
    <w:rsid w:val="001C1E4E"/>
    <w:rsid w:val="001C25C1"/>
    <w:rsid w:val="001C397D"/>
    <w:rsid w:val="001C44CD"/>
    <w:rsid w:val="001D1B0D"/>
    <w:rsid w:val="001D2604"/>
    <w:rsid w:val="001D51D4"/>
    <w:rsid w:val="001D5E0B"/>
    <w:rsid w:val="001D647B"/>
    <w:rsid w:val="001E19BC"/>
    <w:rsid w:val="001E44A6"/>
    <w:rsid w:val="001E61D9"/>
    <w:rsid w:val="001F000B"/>
    <w:rsid w:val="001F14C9"/>
    <w:rsid w:val="001F3254"/>
    <w:rsid w:val="001F4A42"/>
    <w:rsid w:val="001F51DC"/>
    <w:rsid w:val="001F547E"/>
    <w:rsid w:val="001F5E14"/>
    <w:rsid w:val="001F7F48"/>
    <w:rsid w:val="00203098"/>
    <w:rsid w:val="00203822"/>
    <w:rsid w:val="00203907"/>
    <w:rsid w:val="00205D7E"/>
    <w:rsid w:val="002103BD"/>
    <w:rsid w:val="00211ED7"/>
    <w:rsid w:val="00213407"/>
    <w:rsid w:val="00215CF2"/>
    <w:rsid w:val="00216303"/>
    <w:rsid w:val="00220585"/>
    <w:rsid w:val="00220A83"/>
    <w:rsid w:val="0022196A"/>
    <w:rsid w:val="00221AB0"/>
    <w:rsid w:val="0022399B"/>
    <w:rsid w:val="0022542B"/>
    <w:rsid w:val="00225F22"/>
    <w:rsid w:val="00226C27"/>
    <w:rsid w:val="00231750"/>
    <w:rsid w:val="00231987"/>
    <w:rsid w:val="002343A6"/>
    <w:rsid w:val="002351A4"/>
    <w:rsid w:val="00235917"/>
    <w:rsid w:val="002371E1"/>
    <w:rsid w:val="00242786"/>
    <w:rsid w:val="0024345C"/>
    <w:rsid w:val="0024349F"/>
    <w:rsid w:val="00243D1C"/>
    <w:rsid w:val="002455E0"/>
    <w:rsid w:val="002463B7"/>
    <w:rsid w:val="00255459"/>
    <w:rsid w:val="002569B6"/>
    <w:rsid w:val="00260F7E"/>
    <w:rsid w:val="0026761D"/>
    <w:rsid w:val="0027068B"/>
    <w:rsid w:val="0027264C"/>
    <w:rsid w:val="00273A2A"/>
    <w:rsid w:val="002810BC"/>
    <w:rsid w:val="00285C58"/>
    <w:rsid w:val="00293CB5"/>
    <w:rsid w:val="00294017"/>
    <w:rsid w:val="00296ED8"/>
    <w:rsid w:val="002A013B"/>
    <w:rsid w:val="002A14FF"/>
    <w:rsid w:val="002A38F9"/>
    <w:rsid w:val="002A51A5"/>
    <w:rsid w:val="002A59F2"/>
    <w:rsid w:val="002B129A"/>
    <w:rsid w:val="002B1E46"/>
    <w:rsid w:val="002B2A13"/>
    <w:rsid w:val="002B322B"/>
    <w:rsid w:val="002B3AE0"/>
    <w:rsid w:val="002B5EB0"/>
    <w:rsid w:val="002C086D"/>
    <w:rsid w:val="002C3916"/>
    <w:rsid w:val="002C687A"/>
    <w:rsid w:val="002D0214"/>
    <w:rsid w:val="002D18EB"/>
    <w:rsid w:val="002D2CDB"/>
    <w:rsid w:val="002D4BFE"/>
    <w:rsid w:val="002D5D24"/>
    <w:rsid w:val="002D648E"/>
    <w:rsid w:val="002E29C4"/>
    <w:rsid w:val="002E57C4"/>
    <w:rsid w:val="002F01E2"/>
    <w:rsid w:val="002F184E"/>
    <w:rsid w:val="002F1DD7"/>
    <w:rsid w:val="002F23AC"/>
    <w:rsid w:val="002F336B"/>
    <w:rsid w:val="00306B41"/>
    <w:rsid w:val="00311226"/>
    <w:rsid w:val="00312CB1"/>
    <w:rsid w:val="003148BF"/>
    <w:rsid w:val="00315396"/>
    <w:rsid w:val="00321234"/>
    <w:rsid w:val="00324FA3"/>
    <w:rsid w:val="003269CF"/>
    <w:rsid w:val="00331526"/>
    <w:rsid w:val="00332CBC"/>
    <w:rsid w:val="003335CF"/>
    <w:rsid w:val="00333663"/>
    <w:rsid w:val="0033520E"/>
    <w:rsid w:val="00337451"/>
    <w:rsid w:val="00344F18"/>
    <w:rsid w:val="00346CC3"/>
    <w:rsid w:val="00355EED"/>
    <w:rsid w:val="00356BB1"/>
    <w:rsid w:val="00357335"/>
    <w:rsid w:val="0036245B"/>
    <w:rsid w:val="0036533C"/>
    <w:rsid w:val="00365601"/>
    <w:rsid w:val="00366150"/>
    <w:rsid w:val="00370060"/>
    <w:rsid w:val="0037032D"/>
    <w:rsid w:val="00376CCA"/>
    <w:rsid w:val="00377608"/>
    <w:rsid w:val="003800E4"/>
    <w:rsid w:val="003809EC"/>
    <w:rsid w:val="00380CD0"/>
    <w:rsid w:val="00381100"/>
    <w:rsid w:val="00382708"/>
    <w:rsid w:val="00386531"/>
    <w:rsid w:val="00387E9E"/>
    <w:rsid w:val="00390EFC"/>
    <w:rsid w:val="00392444"/>
    <w:rsid w:val="00393A93"/>
    <w:rsid w:val="003950D4"/>
    <w:rsid w:val="003A1FA3"/>
    <w:rsid w:val="003A2AEB"/>
    <w:rsid w:val="003A3AFE"/>
    <w:rsid w:val="003A60C1"/>
    <w:rsid w:val="003A65A1"/>
    <w:rsid w:val="003A6601"/>
    <w:rsid w:val="003A6F8C"/>
    <w:rsid w:val="003B006F"/>
    <w:rsid w:val="003B2D47"/>
    <w:rsid w:val="003B3383"/>
    <w:rsid w:val="003C1084"/>
    <w:rsid w:val="003C2443"/>
    <w:rsid w:val="003C3034"/>
    <w:rsid w:val="003C6758"/>
    <w:rsid w:val="003C7AE6"/>
    <w:rsid w:val="003D3041"/>
    <w:rsid w:val="003D6469"/>
    <w:rsid w:val="003D75AA"/>
    <w:rsid w:val="003E07EF"/>
    <w:rsid w:val="003E3080"/>
    <w:rsid w:val="003E549C"/>
    <w:rsid w:val="003F31F9"/>
    <w:rsid w:val="003F32A9"/>
    <w:rsid w:val="003F3CE1"/>
    <w:rsid w:val="003F5DA6"/>
    <w:rsid w:val="003F5DB2"/>
    <w:rsid w:val="00400CB7"/>
    <w:rsid w:val="004038BB"/>
    <w:rsid w:val="004044A5"/>
    <w:rsid w:val="004061D7"/>
    <w:rsid w:val="00406F23"/>
    <w:rsid w:val="00407232"/>
    <w:rsid w:val="00407BC1"/>
    <w:rsid w:val="00407ED0"/>
    <w:rsid w:val="00413F67"/>
    <w:rsid w:val="00416773"/>
    <w:rsid w:val="004174EB"/>
    <w:rsid w:val="004242E5"/>
    <w:rsid w:val="0042431E"/>
    <w:rsid w:val="00432D54"/>
    <w:rsid w:val="00433481"/>
    <w:rsid w:val="00433CB6"/>
    <w:rsid w:val="004408F4"/>
    <w:rsid w:val="0044306C"/>
    <w:rsid w:val="004438F8"/>
    <w:rsid w:val="0044477D"/>
    <w:rsid w:val="00444AFB"/>
    <w:rsid w:val="00445221"/>
    <w:rsid w:val="00445DC7"/>
    <w:rsid w:val="00446490"/>
    <w:rsid w:val="004545F8"/>
    <w:rsid w:val="004558E4"/>
    <w:rsid w:val="004568FF"/>
    <w:rsid w:val="004576C5"/>
    <w:rsid w:val="004617E8"/>
    <w:rsid w:val="00461EC9"/>
    <w:rsid w:val="00470348"/>
    <w:rsid w:val="004722F1"/>
    <w:rsid w:val="00472B4B"/>
    <w:rsid w:val="00473D09"/>
    <w:rsid w:val="00475645"/>
    <w:rsid w:val="00476A05"/>
    <w:rsid w:val="004823E4"/>
    <w:rsid w:val="00486449"/>
    <w:rsid w:val="00492465"/>
    <w:rsid w:val="004932AC"/>
    <w:rsid w:val="004945FE"/>
    <w:rsid w:val="0049737F"/>
    <w:rsid w:val="00497C22"/>
    <w:rsid w:val="004A003F"/>
    <w:rsid w:val="004A5837"/>
    <w:rsid w:val="004A746D"/>
    <w:rsid w:val="004B220B"/>
    <w:rsid w:val="004B2AFD"/>
    <w:rsid w:val="004B327F"/>
    <w:rsid w:val="004B3A0A"/>
    <w:rsid w:val="004B47FC"/>
    <w:rsid w:val="004B7E30"/>
    <w:rsid w:val="004C11DA"/>
    <w:rsid w:val="004C2BD3"/>
    <w:rsid w:val="004C3772"/>
    <w:rsid w:val="004D0479"/>
    <w:rsid w:val="004D0DF1"/>
    <w:rsid w:val="004D0FF8"/>
    <w:rsid w:val="004D61C0"/>
    <w:rsid w:val="004D77CD"/>
    <w:rsid w:val="004E0B32"/>
    <w:rsid w:val="004E55F5"/>
    <w:rsid w:val="004F0C27"/>
    <w:rsid w:val="004F0DA3"/>
    <w:rsid w:val="004F1892"/>
    <w:rsid w:val="004F6075"/>
    <w:rsid w:val="004F61C7"/>
    <w:rsid w:val="00500E6E"/>
    <w:rsid w:val="00501FD1"/>
    <w:rsid w:val="00502AF0"/>
    <w:rsid w:val="00502BC7"/>
    <w:rsid w:val="00503D15"/>
    <w:rsid w:val="0050507E"/>
    <w:rsid w:val="0050544D"/>
    <w:rsid w:val="005114ED"/>
    <w:rsid w:val="00517D74"/>
    <w:rsid w:val="00520B1E"/>
    <w:rsid w:val="0052131F"/>
    <w:rsid w:val="00522DC4"/>
    <w:rsid w:val="005246BE"/>
    <w:rsid w:val="005258F3"/>
    <w:rsid w:val="00525D9F"/>
    <w:rsid w:val="0053112D"/>
    <w:rsid w:val="00533CFF"/>
    <w:rsid w:val="00534940"/>
    <w:rsid w:val="0053715A"/>
    <w:rsid w:val="00537BA1"/>
    <w:rsid w:val="0054116E"/>
    <w:rsid w:val="0054256E"/>
    <w:rsid w:val="00552870"/>
    <w:rsid w:val="00555CFC"/>
    <w:rsid w:val="00563279"/>
    <w:rsid w:val="0056493D"/>
    <w:rsid w:val="0057592B"/>
    <w:rsid w:val="005762F2"/>
    <w:rsid w:val="005871AF"/>
    <w:rsid w:val="00587D52"/>
    <w:rsid w:val="005929CE"/>
    <w:rsid w:val="00593951"/>
    <w:rsid w:val="0059415B"/>
    <w:rsid w:val="005A08E2"/>
    <w:rsid w:val="005A139D"/>
    <w:rsid w:val="005A4C91"/>
    <w:rsid w:val="005A6EFD"/>
    <w:rsid w:val="005B1A45"/>
    <w:rsid w:val="005B3F3E"/>
    <w:rsid w:val="005B6EAD"/>
    <w:rsid w:val="005C0B6B"/>
    <w:rsid w:val="005C0D07"/>
    <w:rsid w:val="005C1D47"/>
    <w:rsid w:val="005C2580"/>
    <w:rsid w:val="005C52D2"/>
    <w:rsid w:val="005C786D"/>
    <w:rsid w:val="005C79B1"/>
    <w:rsid w:val="005D15CB"/>
    <w:rsid w:val="005D2434"/>
    <w:rsid w:val="005D4426"/>
    <w:rsid w:val="005D44F0"/>
    <w:rsid w:val="005D4F43"/>
    <w:rsid w:val="005D58BF"/>
    <w:rsid w:val="005E1956"/>
    <w:rsid w:val="005E3C23"/>
    <w:rsid w:val="005E7DE8"/>
    <w:rsid w:val="005F375B"/>
    <w:rsid w:val="005F3D65"/>
    <w:rsid w:val="006023A7"/>
    <w:rsid w:val="00602807"/>
    <w:rsid w:val="00602B2C"/>
    <w:rsid w:val="00605418"/>
    <w:rsid w:val="0060771B"/>
    <w:rsid w:val="00610CD6"/>
    <w:rsid w:val="00611AC1"/>
    <w:rsid w:val="00612613"/>
    <w:rsid w:val="00612DFE"/>
    <w:rsid w:val="006140F6"/>
    <w:rsid w:val="00615E5B"/>
    <w:rsid w:val="006176EF"/>
    <w:rsid w:val="00620A56"/>
    <w:rsid w:val="00625A8B"/>
    <w:rsid w:val="00625F36"/>
    <w:rsid w:val="006273CA"/>
    <w:rsid w:val="00631809"/>
    <w:rsid w:val="00631E75"/>
    <w:rsid w:val="00640514"/>
    <w:rsid w:val="0064513E"/>
    <w:rsid w:val="00646E9C"/>
    <w:rsid w:val="00652201"/>
    <w:rsid w:val="00652642"/>
    <w:rsid w:val="00652CA9"/>
    <w:rsid w:val="0065436F"/>
    <w:rsid w:val="006610DB"/>
    <w:rsid w:val="0066309B"/>
    <w:rsid w:val="00663312"/>
    <w:rsid w:val="00664187"/>
    <w:rsid w:val="0066627E"/>
    <w:rsid w:val="00666436"/>
    <w:rsid w:val="00666DEB"/>
    <w:rsid w:val="0067437B"/>
    <w:rsid w:val="006849C1"/>
    <w:rsid w:val="00685634"/>
    <w:rsid w:val="0068679C"/>
    <w:rsid w:val="00686FF9"/>
    <w:rsid w:val="006870A8"/>
    <w:rsid w:val="00687562"/>
    <w:rsid w:val="006877EE"/>
    <w:rsid w:val="00687A47"/>
    <w:rsid w:val="00687FFD"/>
    <w:rsid w:val="00691954"/>
    <w:rsid w:val="00691F4A"/>
    <w:rsid w:val="00692F9D"/>
    <w:rsid w:val="00693A8F"/>
    <w:rsid w:val="00696EA7"/>
    <w:rsid w:val="006A0865"/>
    <w:rsid w:val="006A08FC"/>
    <w:rsid w:val="006A5AD8"/>
    <w:rsid w:val="006A67AD"/>
    <w:rsid w:val="006A6D1F"/>
    <w:rsid w:val="006A75E7"/>
    <w:rsid w:val="006B16A7"/>
    <w:rsid w:val="006B19B2"/>
    <w:rsid w:val="006B1D28"/>
    <w:rsid w:val="006B414D"/>
    <w:rsid w:val="006C1CEE"/>
    <w:rsid w:val="006C216C"/>
    <w:rsid w:val="006D01DC"/>
    <w:rsid w:val="006D0734"/>
    <w:rsid w:val="006D4344"/>
    <w:rsid w:val="006D4E7E"/>
    <w:rsid w:val="006E03BF"/>
    <w:rsid w:val="006E2529"/>
    <w:rsid w:val="006E28C1"/>
    <w:rsid w:val="006E2AFE"/>
    <w:rsid w:val="006E3024"/>
    <w:rsid w:val="006E5E11"/>
    <w:rsid w:val="006E6B4E"/>
    <w:rsid w:val="006E7420"/>
    <w:rsid w:val="006F1C0A"/>
    <w:rsid w:val="006F26FE"/>
    <w:rsid w:val="006F3A6E"/>
    <w:rsid w:val="006F3C96"/>
    <w:rsid w:val="006F58D0"/>
    <w:rsid w:val="00700A5B"/>
    <w:rsid w:val="007026C8"/>
    <w:rsid w:val="00702F39"/>
    <w:rsid w:val="00704FE9"/>
    <w:rsid w:val="0071090A"/>
    <w:rsid w:val="00712257"/>
    <w:rsid w:val="007134C5"/>
    <w:rsid w:val="0071450B"/>
    <w:rsid w:val="007150B6"/>
    <w:rsid w:val="00715F01"/>
    <w:rsid w:val="007211EC"/>
    <w:rsid w:val="00724B78"/>
    <w:rsid w:val="0072759E"/>
    <w:rsid w:val="00730A67"/>
    <w:rsid w:val="00731974"/>
    <w:rsid w:val="00732604"/>
    <w:rsid w:val="0073326F"/>
    <w:rsid w:val="00733A66"/>
    <w:rsid w:val="0073742B"/>
    <w:rsid w:val="007409A5"/>
    <w:rsid w:val="0074173D"/>
    <w:rsid w:val="007425B8"/>
    <w:rsid w:val="00744B01"/>
    <w:rsid w:val="00744B29"/>
    <w:rsid w:val="00744C56"/>
    <w:rsid w:val="00744F37"/>
    <w:rsid w:val="0074734B"/>
    <w:rsid w:val="007548BE"/>
    <w:rsid w:val="00754F9D"/>
    <w:rsid w:val="007554B7"/>
    <w:rsid w:val="00760448"/>
    <w:rsid w:val="007604F6"/>
    <w:rsid w:val="0076053E"/>
    <w:rsid w:val="00760B2B"/>
    <w:rsid w:val="007626B7"/>
    <w:rsid w:val="0076467D"/>
    <w:rsid w:val="00764CA0"/>
    <w:rsid w:val="00766C98"/>
    <w:rsid w:val="00772AE0"/>
    <w:rsid w:val="00772DE0"/>
    <w:rsid w:val="007737DB"/>
    <w:rsid w:val="00773CDB"/>
    <w:rsid w:val="007803AB"/>
    <w:rsid w:val="007907AF"/>
    <w:rsid w:val="00790868"/>
    <w:rsid w:val="007914C4"/>
    <w:rsid w:val="007915CD"/>
    <w:rsid w:val="007931B9"/>
    <w:rsid w:val="00793252"/>
    <w:rsid w:val="00793944"/>
    <w:rsid w:val="00793AAA"/>
    <w:rsid w:val="00793EE9"/>
    <w:rsid w:val="00794CFA"/>
    <w:rsid w:val="0079522D"/>
    <w:rsid w:val="007958E0"/>
    <w:rsid w:val="007A3B54"/>
    <w:rsid w:val="007A3E4B"/>
    <w:rsid w:val="007A5507"/>
    <w:rsid w:val="007A5BC8"/>
    <w:rsid w:val="007A6936"/>
    <w:rsid w:val="007B31FB"/>
    <w:rsid w:val="007B3EA2"/>
    <w:rsid w:val="007B5D16"/>
    <w:rsid w:val="007B74DB"/>
    <w:rsid w:val="007B7615"/>
    <w:rsid w:val="007C164E"/>
    <w:rsid w:val="007C2203"/>
    <w:rsid w:val="007C2300"/>
    <w:rsid w:val="007C2634"/>
    <w:rsid w:val="007C2733"/>
    <w:rsid w:val="007C7AC1"/>
    <w:rsid w:val="007C7E09"/>
    <w:rsid w:val="007D0185"/>
    <w:rsid w:val="007D08CD"/>
    <w:rsid w:val="007D3833"/>
    <w:rsid w:val="007D5EE2"/>
    <w:rsid w:val="007D733A"/>
    <w:rsid w:val="007D7636"/>
    <w:rsid w:val="007E074B"/>
    <w:rsid w:val="007E18A9"/>
    <w:rsid w:val="007E5071"/>
    <w:rsid w:val="007E6548"/>
    <w:rsid w:val="007F04D7"/>
    <w:rsid w:val="007F3681"/>
    <w:rsid w:val="007F47F2"/>
    <w:rsid w:val="007F5826"/>
    <w:rsid w:val="007F6410"/>
    <w:rsid w:val="007F7561"/>
    <w:rsid w:val="0080263D"/>
    <w:rsid w:val="0080314D"/>
    <w:rsid w:val="008044F7"/>
    <w:rsid w:val="00805631"/>
    <w:rsid w:val="00807920"/>
    <w:rsid w:val="0081042C"/>
    <w:rsid w:val="00811DFD"/>
    <w:rsid w:val="00813D6C"/>
    <w:rsid w:val="0081486C"/>
    <w:rsid w:val="0081697A"/>
    <w:rsid w:val="00817D81"/>
    <w:rsid w:val="00820AF9"/>
    <w:rsid w:val="00823E88"/>
    <w:rsid w:val="0083041D"/>
    <w:rsid w:val="00837BE5"/>
    <w:rsid w:val="00841C32"/>
    <w:rsid w:val="0084334C"/>
    <w:rsid w:val="00844475"/>
    <w:rsid w:val="00850436"/>
    <w:rsid w:val="00851132"/>
    <w:rsid w:val="00855874"/>
    <w:rsid w:val="008577A9"/>
    <w:rsid w:val="00860788"/>
    <w:rsid w:val="00863F0C"/>
    <w:rsid w:val="00864B3F"/>
    <w:rsid w:val="00866225"/>
    <w:rsid w:val="008705FB"/>
    <w:rsid w:val="00872056"/>
    <w:rsid w:val="00873C30"/>
    <w:rsid w:val="00873CAD"/>
    <w:rsid w:val="0087479C"/>
    <w:rsid w:val="00874DDD"/>
    <w:rsid w:val="00875257"/>
    <w:rsid w:val="008779F2"/>
    <w:rsid w:val="00877FFE"/>
    <w:rsid w:val="00887484"/>
    <w:rsid w:val="00887AB7"/>
    <w:rsid w:val="00890C71"/>
    <w:rsid w:val="00891BE8"/>
    <w:rsid w:val="00892876"/>
    <w:rsid w:val="00892EC1"/>
    <w:rsid w:val="008933A1"/>
    <w:rsid w:val="008944F5"/>
    <w:rsid w:val="00895F07"/>
    <w:rsid w:val="00896933"/>
    <w:rsid w:val="008A0996"/>
    <w:rsid w:val="008A1067"/>
    <w:rsid w:val="008A1A50"/>
    <w:rsid w:val="008A546D"/>
    <w:rsid w:val="008A6E38"/>
    <w:rsid w:val="008B11FE"/>
    <w:rsid w:val="008B4367"/>
    <w:rsid w:val="008B496A"/>
    <w:rsid w:val="008C1813"/>
    <w:rsid w:val="008C1BB8"/>
    <w:rsid w:val="008C67D7"/>
    <w:rsid w:val="008D060B"/>
    <w:rsid w:val="008D2CB1"/>
    <w:rsid w:val="008D3989"/>
    <w:rsid w:val="008D4825"/>
    <w:rsid w:val="008D4ADA"/>
    <w:rsid w:val="008D4F9D"/>
    <w:rsid w:val="008D5336"/>
    <w:rsid w:val="008D6CA8"/>
    <w:rsid w:val="008E3925"/>
    <w:rsid w:val="008F060B"/>
    <w:rsid w:val="008F1214"/>
    <w:rsid w:val="008F248D"/>
    <w:rsid w:val="008F4386"/>
    <w:rsid w:val="009011C5"/>
    <w:rsid w:val="009028D5"/>
    <w:rsid w:val="009036F4"/>
    <w:rsid w:val="0090441F"/>
    <w:rsid w:val="00910F1E"/>
    <w:rsid w:val="009124B4"/>
    <w:rsid w:val="00912E67"/>
    <w:rsid w:val="00913C23"/>
    <w:rsid w:val="0091530C"/>
    <w:rsid w:val="00915F75"/>
    <w:rsid w:val="00920573"/>
    <w:rsid w:val="00922103"/>
    <w:rsid w:val="00923B1C"/>
    <w:rsid w:val="00924AB9"/>
    <w:rsid w:val="00925E50"/>
    <w:rsid w:val="009260AD"/>
    <w:rsid w:val="00926AE7"/>
    <w:rsid w:val="009303FF"/>
    <w:rsid w:val="00931BC3"/>
    <w:rsid w:val="0094295B"/>
    <w:rsid w:val="009459A5"/>
    <w:rsid w:val="00947127"/>
    <w:rsid w:val="00952A5F"/>
    <w:rsid w:val="0095462E"/>
    <w:rsid w:val="00955A5F"/>
    <w:rsid w:val="00956653"/>
    <w:rsid w:val="00956C9E"/>
    <w:rsid w:val="00957C9B"/>
    <w:rsid w:val="00957F3B"/>
    <w:rsid w:val="00961949"/>
    <w:rsid w:val="00962960"/>
    <w:rsid w:val="00963646"/>
    <w:rsid w:val="00963663"/>
    <w:rsid w:val="00964113"/>
    <w:rsid w:val="009653BA"/>
    <w:rsid w:val="00967429"/>
    <w:rsid w:val="00970BE7"/>
    <w:rsid w:val="00972E2D"/>
    <w:rsid w:val="00983695"/>
    <w:rsid w:val="00984505"/>
    <w:rsid w:val="00984E93"/>
    <w:rsid w:val="00985B8C"/>
    <w:rsid w:val="00985C26"/>
    <w:rsid w:val="00986B61"/>
    <w:rsid w:val="00990344"/>
    <w:rsid w:val="00994561"/>
    <w:rsid w:val="009951C7"/>
    <w:rsid w:val="009A0347"/>
    <w:rsid w:val="009A06BA"/>
    <w:rsid w:val="009A131C"/>
    <w:rsid w:val="009B189E"/>
    <w:rsid w:val="009B738F"/>
    <w:rsid w:val="009B79C4"/>
    <w:rsid w:val="009C4C2C"/>
    <w:rsid w:val="009C7C07"/>
    <w:rsid w:val="009D022C"/>
    <w:rsid w:val="009D0A02"/>
    <w:rsid w:val="009D1B13"/>
    <w:rsid w:val="009D2657"/>
    <w:rsid w:val="009D290D"/>
    <w:rsid w:val="009D3B64"/>
    <w:rsid w:val="009D7CAD"/>
    <w:rsid w:val="009E6200"/>
    <w:rsid w:val="009E7209"/>
    <w:rsid w:val="009E7562"/>
    <w:rsid w:val="009E7D13"/>
    <w:rsid w:val="009F0B76"/>
    <w:rsid w:val="009F1DB4"/>
    <w:rsid w:val="009F4021"/>
    <w:rsid w:val="009F4252"/>
    <w:rsid w:val="009F5565"/>
    <w:rsid w:val="00A0194D"/>
    <w:rsid w:val="00A02673"/>
    <w:rsid w:val="00A048C4"/>
    <w:rsid w:val="00A05ECE"/>
    <w:rsid w:val="00A073F1"/>
    <w:rsid w:val="00A07705"/>
    <w:rsid w:val="00A077F8"/>
    <w:rsid w:val="00A11AA7"/>
    <w:rsid w:val="00A12AF9"/>
    <w:rsid w:val="00A144F5"/>
    <w:rsid w:val="00A14919"/>
    <w:rsid w:val="00A14A90"/>
    <w:rsid w:val="00A15922"/>
    <w:rsid w:val="00A20189"/>
    <w:rsid w:val="00A24E14"/>
    <w:rsid w:val="00A30AEA"/>
    <w:rsid w:val="00A30B40"/>
    <w:rsid w:val="00A3242B"/>
    <w:rsid w:val="00A32E77"/>
    <w:rsid w:val="00A33240"/>
    <w:rsid w:val="00A34F31"/>
    <w:rsid w:val="00A35B26"/>
    <w:rsid w:val="00A35BD6"/>
    <w:rsid w:val="00A36738"/>
    <w:rsid w:val="00A36B57"/>
    <w:rsid w:val="00A36C66"/>
    <w:rsid w:val="00A37646"/>
    <w:rsid w:val="00A41829"/>
    <w:rsid w:val="00A42BAC"/>
    <w:rsid w:val="00A432EF"/>
    <w:rsid w:val="00A50ACC"/>
    <w:rsid w:val="00A520E7"/>
    <w:rsid w:val="00A533A1"/>
    <w:rsid w:val="00A558B7"/>
    <w:rsid w:val="00A568BE"/>
    <w:rsid w:val="00A57CC6"/>
    <w:rsid w:val="00A63C4E"/>
    <w:rsid w:val="00A64C59"/>
    <w:rsid w:val="00A658D8"/>
    <w:rsid w:val="00A66EC7"/>
    <w:rsid w:val="00A706BE"/>
    <w:rsid w:val="00A75511"/>
    <w:rsid w:val="00A82F8D"/>
    <w:rsid w:val="00A83668"/>
    <w:rsid w:val="00A840A7"/>
    <w:rsid w:val="00A86085"/>
    <w:rsid w:val="00A91A6D"/>
    <w:rsid w:val="00A91B6F"/>
    <w:rsid w:val="00A92186"/>
    <w:rsid w:val="00A930C5"/>
    <w:rsid w:val="00A93110"/>
    <w:rsid w:val="00A931EC"/>
    <w:rsid w:val="00A931F1"/>
    <w:rsid w:val="00A93D85"/>
    <w:rsid w:val="00A978FC"/>
    <w:rsid w:val="00AA59B4"/>
    <w:rsid w:val="00AB6C6C"/>
    <w:rsid w:val="00AB6CE9"/>
    <w:rsid w:val="00AC0EC1"/>
    <w:rsid w:val="00AC2E5B"/>
    <w:rsid w:val="00AC3882"/>
    <w:rsid w:val="00AC3974"/>
    <w:rsid w:val="00AC3D99"/>
    <w:rsid w:val="00AC4422"/>
    <w:rsid w:val="00AC4593"/>
    <w:rsid w:val="00AC48E1"/>
    <w:rsid w:val="00AC4A46"/>
    <w:rsid w:val="00AD19E5"/>
    <w:rsid w:val="00AD370F"/>
    <w:rsid w:val="00AD5DB9"/>
    <w:rsid w:val="00AD633F"/>
    <w:rsid w:val="00AD66D7"/>
    <w:rsid w:val="00AD76C7"/>
    <w:rsid w:val="00AE43DE"/>
    <w:rsid w:val="00AF24EF"/>
    <w:rsid w:val="00AF29A0"/>
    <w:rsid w:val="00AF523D"/>
    <w:rsid w:val="00AF71B8"/>
    <w:rsid w:val="00B03C2B"/>
    <w:rsid w:val="00B1534D"/>
    <w:rsid w:val="00B1693D"/>
    <w:rsid w:val="00B17F03"/>
    <w:rsid w:val="00B2304E"/>
    <w:rsid w:val="00B2449B"/>
    <w:rsid w:val="00B24631"/>
    <w:rsid w:val="00B2630D"/>
    <w:rsid w:val="00B263AC"/>
    <w:rsid w:val="00B2650F"/>
    <w:rsid w:val="00B272B9"/>
    <w:rsid w:val="00B30C93"/>
    <w:rsid w:val="00B318D1"/>
    <w:rsid w:val="00B326C1"/>
    <w:rsid w:val="00B41DA8"/>
    <w:rsid w:val="00B42CAD"/>
    <w:rsid w:val="00B437F4"/>
    <w:rsid w:val="00B460BB"/>
    <w:rsid w:val="00B4692C"/>
    <w:rsid w:val="00B47421"/>
    <w:rsid w:val="00B50F66"/>
    <w:rsid w:val="00B51500"/>
    <w:rsid w:val="00B55E3E"/>
    <w:rsid w:val="00B5712B"/>
    <w:rsid w:val="00B62B20"/>
    <w:rsid w:val="00B66B2C"/>
    <w:rsid w:val="00B72345"/>
    <w:rsid w:val="00B72616"/>
    <w:rsid w:val="00B77EC3"/>
    <w:rsid w:val="00B83B82"/>
    <w:rsid w:val="00B83B9F"/>
    <w:rsid w:val="00B83C38"/>
    <w:rsid w:val="00B846F7"/>
    <w:rsid w:val="00B8547E"/>
    <w:rsid w:val="00B869AD"/>
    <w:rsid w:val="00B8764D"/>
    <w:rsid w:val="00B87A8B"/>
    <w:rsid w:val="00B87CD8"/>
    <w:rsid w:val="00B90635"/>
    <w:rsid w:val="00B909DF"/>
    <w:rsid w:val="00B91746"/>
    <w:rsid w:val="00BA4D7C"/>
    <w:rsid w:val="00BA6E4F"/>
    <w:rsid w:val="00BA789C"/>
    <w:rsid w:val="00BB0000"/>
    <w:rsid w:val="00BB3706"/>
    <w:rsid w:val="00BB38D1"/>
    <w:rsid w:val="00BB3C7D"/>
    <w:rsid w:val="00BC25FC"/>
    <w:rsid w:val="00BC495C"/>
    <w:rsid w:val="00BC5419"/>
    <w:rsid w:val="00BC5F72"/>
    <w:rsid w:val="00BD1F5A"/>
    <w:rsid w:val="00BD2D3B"/>
    <w:rsid w:val="00BD338A"/>
    <w:rsid w:val="00BD3F3C"/>
    <w:rsid w:val="00BD6A17"/>
    <w:rsid w:val="00BE2BAE"/>
    <w:rsid w:val="00BE4F60"/>
    <w:rsid w:val="00BE5459"/>
    <w:rsid w:val="00BE5AB4"/>
    <w:rsid w:val="00BE5C11"/>
    <w:rsid w:val="00BF14E4"/>
    <w:rsid w:val="00BF2409"/>
    <w:rsid w:val="00BF30EC"/>
    <w:rsid w:val="00BF7A20"/>
    <w:rsid w:val="00C01F38"/>
    <w:rsid w:val="00C02FC2"/>
    <w:rsid w:val="00C0328A"/>
    <w:rsid w:val="00C06E20"/>
    <w:rsid w:val="00C1078D"/>
    <w:rsid w:val="00C12CD4"/>
    <w:rsid w:val="00C1487D"/>
    <w:rsid w:val="00C22996"/>
    <w:rsid w:val="00C23648"/>
    <w:rsid w:val="00C238DD"/>
    <w:rsid w:val="00C23EC0"/>
    <w:rsid w:val="00C251E5"/>
    <w:rsid w:val="00C26551"/>
    <w:rsid w:val="00C26B06"/>
    <w:rsid w:val="00C27168"/>
    <w:rsid w:val="00C27527"/>
    <w:rsid w:val="00C27E58"/>
    <w:rsid w:val="00C27E67"/>
    <w:rsid w:val="00C30208"/>
    <w:rsid w:val="00C30D82"/>
    <w:rsid w:val="00C31191"/>
    <w:rsid w:val="00C32E9A"/>
    <w:rsid w:val="00C36ACF"/>
    <w:rsid w:val="00C403BD"/>
    <w:rsid w:val="00C41939"/>
    <w:rsid w:val="00C43FA9"/>
    <w:rsid w:val="00C46D7F"/>
    <w:rsid w:val="00C47B03"/>
    <w:rsid w:val="00C47D4F"/>
    <w:rsid w:val="00C5197F"/>
    <w:rsid w:val="00C5379C"/>
    <w:rsid w:val="00C53E2C"/>
    <w:rsid w:val="00C54431"/>
    <w:rsid w:val="00C55AF1"/>
    <w:rsid w:val="00C55EAF"/>
    <w:rsid w:val="00C56603"/>
    <w:rsid w:val="00C57299"/>
    <w:rsid w:val="00C62738"/>
    <w:rsid w:val="00C66AA2"/>
    <w:rsid w:val="00C67877"/>
    <w:rsid w:val="00C71707"/>
    <w:rsid w:val="00C8050B"/>
    <w:rsid w:val="00C838C3"/>
    <w:rsid w:val="00C87437"/>
    <w:rsid w:val="00C87540"/>
    <w:rsid w:val="00C87DC7"/>
    <w:rsid w:val="00C901DF"/>
    <w:rsid w:val="00C94A73"/>
    <w:rsid w:val="00C96CEA"/>
    <w:rsid w:val="00C97029"/>
    <w:rsid w:val="00C97840"/>
    <w:rsid w:val="00CA1651"/>
    <w:rsid w:val="00CB056F"/>
    <w:rsid w:val="00CB0C30"/>
    <w:rsid w:val="00CB318C"/>
    <w:rsid w:val="00CB5CE4"/>
    <w:rsid w:val="00CB64EF"/>
    <w:rsid w:val="00CC27C3"/>
    <w:rsid w:val="00CC52CD"/>
    <w:rsid w:val="00CC5408"/>
    <w:rsid w:val="00CC55C1"/>
    <w:rsid w:val="00CD0BB7"/>
    <w:rsid w:val="00CD11FA"/>
    <w:rsid w:val="00CD1ED9"/>
    <w:rsid w:val="00CD37C2"/>
    <w:rsid w:val="00CD58E2"/>
    <w:rsid w:val="00CD5CA6"/>
    <w:rsid w:val="00CD6509"/>
    <w:rsid w:val="00CE023F"/>
    <w:rsid w:val="00CE10D1"/>
    <w:rsid w:val="00CE2315"/>
    <w:rsid w:val="00CE25FF"/>
    <w:rsid w:val="00CE6A8F"/>
    <w:rsid w:val="00CE7353"/>
    <w:rsid w:val="00CF0B0F"/>
    <w:rsid w:val="00CF173B"/>
    <w:rsid w:val="00CF30D3"/>
    <w:rsid w:val="00CF3644"/>
    <w:rsid w:val="00CF699E"/>
    <w:rsid w:val="00CF72A1"/>
    <w:rsid w:val="00D00AAE"/>
    <w:rsid w:val="00D04353"/>
    <w:rsid w:val="00D06DC0"/>
    <w:rsid w:val="00D07492"/>
    <w:rsid w:val="00D10444"/>
    <w:rsid w:val="00D108E9"/>
    <w:rsid w:val="00D11270"/>
    <w:rsid w:val="00D11F90"/>
    <w:rsid w:val="00D123D4"/>
    <w:rsid w:val="00D128AB"/>
    <w:rsid w:val="00D13E1A"/>
    <w:rsid w:val="00D14C67"/>
    <w:rsid w:val="00D14F8D"/>
    <w:rsid w:val="00D168F9"/>
    <w:rsid w:val="00D17360"/>
    <w:rsid w:val="00D20CC9"/>
    <w:rsid w:val="00D23138"/>
    <w:rsid w:val="00D265C7"/>
    <w:rsid w:val="00D31DF5"/>
    <w:rsid w:val="00D36F92"/>
    <w:rsid w:val="00D40808"/>
    <w:rsid w:val="00D414EC"/>
    <w:rsid w:val="00D463C9"/>
    <w:rsid w:val="00D46639"/>
    <w:rsid w:val="00D47B0F"/>
    <w:rsid w:val="00D5150A"/>
    <w:rsid w:val="00D541F8"/>
    <w:rsid w:val="00D57777"/>
    <w:rsid w:val="00D61D6F"/>
    <w:rsid w:val="00D62A88"/>
    <w:rsid w:val="00D63587"/>
    <w:rsid w:val="00D63E5C"/>
    <w:rsid w:val="00D643B8"/>
    <w:rsid w:val="00D66946"/>
    <w:rsid w:val="00D711C1"/>
    <w:rsid w:val="00D74C97"/>
    <w:rsid w:val="00D74FC4"/>
    <w:rsid w:val="00D76C6D"/>
    <w:rsid w:val="00D77C6C"/>
    <w:rsid w:val="00D927AF"/>
    <w:rsid w:val="00D93388"/>
    <w:rsid w:val="00D93EB2"/>
    <w:rsid w:val="00D948AD"/>
    <w:rsid w:val="00D95CC0"/>
    <w:rsid w:val="00D95CD5"/>
    <w:rsid w:val="00D96802"/>
    <w:rsid w:val="00D97D07"/>
    <w:rsid w:val="00DA0C65"/>
    <w:rsid w:val="00DA2680"/>
    <w:rsid w:val="00DA486D"/>
    <w:rsid w:val="00DA561B"/>
    <w:rsid w:val="00DA5FA8"/>
    <w:rsid w:val="00DA6DB5"/>
    <w:rsid w:val="00DA70DB"/>
    <w:rsid w:val="00DA7C8C"/>
    <w:rsid w:val="00DB0095"/>
    <w:rsid w:val="00DB54AC"/>
    <w:rsid w:val="00DC17FF"/>
    <w:rsid w:val="00DC2FA4"/>
    <w:rsid w:val="00DD03EB"/>
    <w:rsid w:val="00DD0A64"/>
    <w:rsid w:val="00DD6926"/>
    <w:rsid w:val="00DE3967"/>
    <w:rsid w:val="00DE3D49"/>
    <w:rsid w:val="00DE4F9A"/>
    <w:rsid w:val="00DE671F"/>
    <w:rsid w:val="00DE72B0"/>
    <w:rsid w:val="00DE7DF5"/>
    <w:rsid w:val="00DF093D"/>
    <w:rsid w:val="00DF29A9"/>
    <w:rsid w:val="00E00644"/>
    <w:rsid w:val="00E01D45"/>
    <w:rsid w:val="00E05757"/>
    <w:rsid w:val="00E06688"/>
    <w:rsid w:val="00E0687A"/>
    <w:rsid w:val="00E06B54"/>
    <w:rsid w:val="00E07711"/>
    <w:rsid w:val="00E11D69"/>
    <w:rsid w:val="00E126FC"/>
    <w:rsid w:val="00E1532E"/>
    <w:rsid w:val="00E16622"/>
    <w:rsid w:val="00E16CAA"/>
    <w:rsid w:val="00E22E6C"/>
    <w:rsid w:val="00E2517E"/>
    <w:rsid w:val="00E315F3"/>
    <w:rsid w:val="00E33B00"/>
    <w:rsid w:val="00E34038"/>
    <w:rsid w:val="00E37069"/>
    <w:rsid w:val="00E42B7D"/>
    <w:rsid w:val="00E457FA"/>
    <w:rsid w:val="00E4798E"/>
    <w:rsid w:val="00E500C5"/>
    <w:rsid w:val="00E505B5"/>
    <w:rsid w:val="00E531F3"/>
    <w:rsid w:val="00E54BD2"/>
    <w:rsid w:val="00E55FB2"/>
    <w:rsid w:val="00E57698"/>
    <w:rsid w:val="00E634CA"/>
    <w:rsid w:val="00E65200"/>
    <w:rsid w:val="00E65595"/>
    <w:rsid w:val="00E67BA8"/>
    <w:rsid w:val="00E73651"/>
    <w:rsid w:val="00E74ABD"/>
    <w:rsid w:val="00E75E5A"/>
    <w:rsid w:val="00E81ACA"/>
    <w:rsid w:val="00E83664"/>
    <w:rsid w:val="00E84197"/>
    <w:rsid w:val="00E84940"/>
    <w:rsid w:val="00E8503C"/>
    <w:rsid w:val="00E851B1"/>
    <w:rsid w:val="00E86FD7"/>
    <w:rsid w:val="00E87A82"/>
    <w:rsid w:val="00E90740"/>
    <w:rsid w:val="00E94091"/>
    <w:rsid w:val="00EA0C2E"/>
    <w:rsid w:val="00EA3665"/>
    <w:rsid w:val="00EA3BB5"/>
    <w:rsid w:val="00EB07E0"/>
    <w:rsid w:val="00EB257E"/>
    <w:rsid w:val="00EB2EDA"/>
    <w:rsid w:val="00EB3D31"/>
    <w:rsid w:val="00EB7BFA"/>
    <w:rsid w:val="00EB7EE7"/>
    <w:rsid w:val="00EC09AA"/>
    <w:rsid w:val="00EC2002"/>
    <w:rsid w:val="00EC2FA3"/>
    <w:rsid w:val="00EC56BB"/>
    <w:rsid w:val="00EC7CC1"/>
    <w:rsid w:val="00ED3A1A"/>
    <w:rsid w:val="00ED4165"/>
    <w:rsid w:val="00ED5BB1"/>
    <w:rsid w:val="00ED6A02"/>
    <w:rsid w:val="00ED713F"/>
    <w:rsid w:val="00EE1C2A"/>
    <w:rsid w:val="00EF079E"/>
    <w:rsid w:val="00EF2B28"/>
    <w:rsid w:val="00EF2E2B"/>
    <w:rsid w:val="00EF76DB"/>
    <w:rsid w:val="00F006EC"/>
    <w:rsid w:val="00F01475"/>
    <w:rsid w:val="00F0180C"/>
    <w:rsid w:val="00F02128"/>
    <w:rsid w:val="00F02762"/>
    <w:rsid w:val="00F02CFB"/>
    <w:rsid w:val="00F02DE8"/>
    <w:rsid w:val="00F03AA8"/>
    <w:rsid w:val="00F057AE"/>
    <w:rsid w:val="00F0759A"/>
    <w:rsid w:val="00F07644"/>
    <w:rsid w:val="00F155A9"/>
    <w:rsid w:val="00F230AC"/>
    <w:rsid w:val="00F2576C"/>
    <w:rsid w:val="00F30389"/>
    <w:rsid w:val="00F30EB0"/>
    <w:rsid w:val="00F33F06"/>
    <w:rsid w:val="00F361C0"/>
    <w:rsid w:val="00F36883"/>
    <w:rsid w:val="00F36FFA"/>
    <w:rsid w:val="00F378EC"/>
    <w:rsid w:val="00F40E2A"/>
    <w:rsid w:val="00F41ABA"/>
    <w:rsid w:val="00F41E97"/>
    <w:rsid w:val="00F42812"/>
    <w:rsid w:val="00F446CF"/>
    <w:rsid w:val="00F5042E"/>
    <w:rsid w:val="00F512AF"/>
    <w:rsid w:val="00F537A6"/>
    <w:rsid w:val="00F5559D"/>
    <w:rsid w:val="00F55B69"/>
    <w:rsid w:val="00F561E2"/>
    <w:rsid w:val="00F6378B"/>
    <w:rsid w:val="00F648C9"/>
    <w:rsid w:val="00F65707"/>
    <w:rsid w:val="00F66E1B"/>
    <w:rsid w:val="00F67971"/>
    <w:rsid w:val="00F714CB"/>
    <w:rsid w:val="00F7227B"/>
    <w:rsid w:val="00F72B1C"/>
    <w:rsid w:val="00F7529F"/>
    <w:rsid w:val="00F822D6"/>
    <w:rsid w:val="00F91FB8"/>
    <w:rsid w:val="00F95AE9"/>
    <w:rsid w:val="00F9698B"/>
    <w:rsid w:val="00F97ADF"/>
    <w:rsid w:val="00FA02F8"/>
    <w:rsid w:val="00FA0642"/>
    <w:rsid w:val="00FA4E8D"/>
    <w:rsid w:val="00FA532D"/>
    <w:rsid w:val="00FA5C45"/>
    <w:rsid w:val="00FA6E07"/>
    <w:rsid w:val="00FA6E2E"/>
    <w:rsid w:val="00FA7A1E"/>
    <w:rsid w:val="00FA7DF7"/>
    <w:rsid w:val="00FB28E0"/>
    <w:rsid w:val="00FB365A"/>
    <w:rsid w:val="00FC4328"/>
    <w:rsid w:val="00FD0832"/>
    <w:rsid w:val="00FD7758"/>
    <w:rsid w:val="00FE2D07"/>
    <w:rsid w:val="00FF1FD2"/>
    <w:rsid w:val="00FF219B"/>
    <w:rsid w:val="00FF3B43"/>
    <w:rsid w:val="00FF6D49"/>
    <w:rsid w:val="00FF74E0"/>
    <w:rsid w:val="00FF7501"/>
    <w:rsid w:val="017D1BCF"/>
    <w:rsid w:val="023870D5"/>
    <w:rsid w:val="02587777"/>
    <w:rsid w:val="02753E85"/>
    <w:rsid w:val="038A69F0"/>
    <w:rsid w:val="03BF4944"/>
    <w:rsid w:val="03F90AE6"/>
    <w:rsid w:val="045D1075"/>
    <w:rsid w:val="04902CB6"/>
    <w:rsid w:val="04B51E26"/>
    <w:rsid w:val="05D97B26"/>
    <w:rsid w:val="05FC4B31"/>
    <w:rsid w:val="06232AAF"/>
    <w:rsid w:val="06467FBC"/>
    <w:rsid w:val="06F97555"/>
    <w:rsid w:val="07920791"/>
    <w:rsid w:val="07A14ABA"/>
    <w:rsid w:val="09053772"/>
    <w:rsid w:val="095913CD"/>
    <w:rsid w:val="09722ECD"/>
    <w:rsid w:val="09DA4F37"/>
    <w:rsid w:val="09DC47EA"/>
    <w:rsid w:val="0A130F1E"/>
    <w:rsid w:val="0A2C3F6E"/>
    <w:rsid w:val="0A5C617D"/>
    <w:rsid w:val="0A67799B"/>
    <w:rsid w:val="0A9F5F1D"/>
    <w:rsid w:val="0AE83634"/>
    <w:rsid w:val="0AEF7AD9"/>
    <w:rsid w:val="0B7A424B"/>
    <w:rsid w:val="0B7C6796"/>
    <w:rsid w:val="0BAB0918"/>
    <w:rsid w:val="0BE12940"/>
    <w:rsid w:val="0D1303C7"/>
    <w:rsid w:val="0D19085F"/>
    <w:rsid w:val="0D474670"/>
    <w:rsid w:val="0D8838E1"/>
    <w:rsid w:val="0D9B7B45"/>
    <w:rsid w:val="0E891A7D"/>
    <w:rsid w:val="0E912047"/>
    <w:rsid w:val="0EBF36D0"/>
    <w:rsid w:val="0ECE329B"/>
    <w:rsid w:val="0F20786F"/>
    <w:rsid w:val="0F4C2BBB"/>
    <w:rsid w:val="0FDA6D40"/>
    <w:rsid w:val="102D1F23"/>
    <w:rsid w:val="106043C7"/>
    <w:rsid w:val="10E64CED"/>
    <w:rsid w:val="110C00AB"/>
    <w:rsid w:val="11826AFE"/>
    <w:rsid w:val="12380A2C"/>
    <w:rsid w:val="130F79DE"/>
    <w:rsid w:val="132536A6"/>
    <w:rsid w:val="136E2957"/>
    <w:rsid w:val="13F2010B"/>
    <w:rsid w:val="14430F6A"/>
    <w:rsid w:val="146612C2"/>
    <w:rsid w:val="14691F96"/>
    <w:rsid w:val="14E14C31"/>
    <w:rsid w:val="15064E11"/>
    <w:rsid w:val="153B2D0D"/>
    <w:rsid w:val="15451DDD"/>
    <w:rsid w:val="154C6CC8"/>
    <w:rsid w:val="15516C20"/>
    <w:rsid w:val="15890DA3"/>
    <w:rsid w:val="15897F1C"/>
    <w:rsid w:val="15AB4BE4"/>
    <w:rsid w:val="164A3911"/>
    <w:rsid w:val="166B0E41"/>
    <w:rsid w:val="16A9014A"/>
    <w:rsid w:val="16BC7E7D"/>
    <w:rsid w:val="16E66CA8"/>
    <w:rsid w:val="17371DE5"/>
    <w:rsid w:val="17985D62"/>
    <w:rsid w:val="17DF606D"/>
    <w:rsid w:val="19101CCB"/>
    <w:rsid w:val="19781961"/>
    <w:rsid w:val="1A1911FD"/>
    <w:rsid w:val="1A9B4EC4"/>
    <w:rsid w:val="1B236319"/>
    <w:rsid w:val="1B565FBA"/>
    <w:rsid w:val="1BDF774F"/>
    <w:rsid w:val="1BE340FE"/>
    <w:rsid w:val="1C2949F2"/>
    <w:rsid w:val="1C387FA6"/>
    <w:rsid w:val="1C56042C"/>
    <w:rsid w:val="1C662D65"/>
    <w:rsid w:val="1C9F1DD3"/>
    <w:rsid w:val="1D2F590D"/>
    <w:rsid w:val="1DA97D6B"/>
    <w:rsid w:val="1DC2273E"/>
    <w:rsid w:val="1E1D56A5"/>
    <w:rsid w:val="1E21217F"/>
    <w:rsid w:val="1EC43D73"/>
    <w:rsid w:val="1EFA7794"/>
    <w:rsid w:val="1F1F740F"/>
    <w:rsid w:val="1F3802BD"/>
    <w:rsid w:val="1F42029C"/>
    <w:rsid w:val="20112FE8"/>
    <w:rsid w:val="202968CB"/>
    <w:rsid w:val="206F23D8"/>
    <w:rsid w:val="20783067"/>
    <w:rsid w:val="20826979"/>
    <w:rsid w:val="20D858B3"/>
    <w:rsid w:val="20FB5720"/>
    <w:rsid w:val="2165326F"/>
    <w:rsid w:val="22310A96"/>
    <w:rsid w:val="22422435"/>
    <w:rsid w:val="22E00F7B"/>
    <w:rsid w:val="23476D20"/>
    <w:rsid w:val="246F652F"/>
    <w:rsid w:val="24C26C86"/>
    <w:rsid w:val="25537BFE"/>
    <w:rsid w:val="26562AC8"/>
    <w:rsid w:val="26775B6F"/>
    <w:rsid w:val="26830430"/>
    <w:rsid w:val="26955FF5"/>
    <w:rsid w:val="279A1B15"/>
    <w:rsid w:val="27C0561D"/>
    <w:rsid w:val="27CF0C01"/>
    <w:rsid w:val="28280359"/>
    <w:rsid w:val="283A6E54"/>
    <w:rsid w:val="283C2BCC"/>
    <w:rsid w:val="28CE6601"/>
    <w:rsid w:val="28D37183"/>
    <w:rsid w:val="28EB42E2"/>
    <w:rsid w:val="29B56DB9"/>
    <w:rsid w:val="2A515DE3"/>
    <w:rsid w:val="2A77613D"/>
    <w:rsid w:val="2A9F38E6"/>
    <w:rsid w:val="2ACC411A"/>
    <w:rsid w:val="2AD36499"/>
    <w:rsid w:val="2B3A5600"/>
    <w:rsid w:val="2B45623B"/>
    <w:rsid w:val="2B861A47"/>
    <w:rsid w:val="2B894F88"/>
    <w:rsid w:val="2BCC24B9"/>
    <w:rsid w:val="2C07140B"/>
    <w:rsid w:val="2CD817D0"/>
    <w:rsid w:val="2D82597B"/>
    <w:rsid w:val="2DC45B3D"/>
    <w:rsid w:val="2DDD67E6"/>
    <w:rsid w:val="2E262492"/>
    <w:rsid w:val="2F177EEF"/>
    <w:rsid w:val="2F25260C"/>
    <w:rsid w:val="2F271BCF"/>
    <w:rsid w:val="30274F77"/>
    <w:rsid w:val="303B5E5F"/>
    <w:rsid w:val="309E653D"/>
    <w:rsid w:val="30A6152A"/>
    <w:rsid w:val="310622AA"/>
    <w:rsid w:val="32244DFC"/>
    <w:rsid w:val="32425283"/>
    <w:rsid w:val="32584AA6"/>
    <w:rsid w:val="32630FC4"/>
    <w:rsid w:val="326351F9"/>
    <w:rsid w:val="326571C3"/>
    <w:rsid w:val="32BB6DE3"/>
    <w:rsid w:val="330D3AE3"/>
    <w:rsid w:val="33364265"/>
    <w:rsid w:val="33AE09C1"/>
    <w:rsid w:val="33CB1BCD"/>
    <w:rsid w:val="341C1B03"/>
    <w:rsid w:val="34336CC1"/>
    <w:rsid w:val="34434C1B"/>
    <w:rsid w:val="34B56181"/>
    <w:rsid w:val="34B70F1E"/>
    <w:rsid w:val="34DF325D"/>
    <w:rsid w:val="3509652C"/>
    <w:rsid w:val="35367C36"/>
    <w:rsid w:val="35684934"/>
    <w:rsid w:val="35C8345D"/>
    <w:rsid w:val="35D703D8"/>
    <w:rsid w:val="35F132E5"/>
    <w:rsid w:val="35F85463"/>
    <w:rsid w:val="3626121B"/>
    <w:rsid w:val="36C0763F"/>
    <w:rsid w:val="36C344B8"/>
    <w:rsid w:val="36D36DF1"/>
    <w:rsid w:val="37054AD1"/>
    <w:rsid w:val="373B27C6"/>
    <w:rsid w:val="37CA21FC"/>
    <w:rsid w:val="398A2766"/>
    <w:rsid w:val="39BF540B"/>
    <w:rsid w:val="39FD0645"/>
    <w:rsid w:val="3A667E54"/>
    <w:rsid w:val="3B086C2F"/>
    <w:rsid w:val="3B4356E6"/>
    <w:rsid w:val="3C2641BE"/>
    <w:rsid w:val="3C5B1EE0"/>
    <w:rsid w:val="3C7F11EE"/>
    <w:rsid w:val="3C8F40C0"/>
    <w:rsid w:val="3CAA23A2"/>
    <w:rsid w:val="3CE37662"/>
    <w:rsid w:val="3D046552"/>
    <w:rsid w:val="3DA9265A"/>
    <w:rsid w:val="3DD76309"/>
    <w:rsid w:val="3E0B0C14"/>
    <w:rsid w:val="3E731800"/>
    <w:rsid w:val="3EAD3E81"/>
    <w:rsid w:val="3F0D2F02"/>
    <w:rsid w:val="40931D03"/>
    <w:rsid w:val="40F756AD"/>
    <w:rsid w:val="410D1152"/>
    <w:rsid w:val="41CF6407"/>
    <w:rsid w:val="429107C7"/>
    <w:rsid w:val="42EB2037"/>
    <w:rsid w:val="43C57AC2"/>
    <w:rsid w:val="440C749E"/>
    <w:rsid w:val="442E1B0B"/>
    <w:rsid w:val="44352D33"/>
    <w:rsid w:val="447A7EF9"/>
    <w:rsid w:val="448F3BA9"/>
    <w:rsid w:val="451A1E03"/>
    <w:rsid w:val="457F4BC7"/>
    <w:rsid w:val="459736E0"/>
    <w:rsid w:val="45A83C60"/>
    <w:rsid w:val="462431C5"/>
    <w:rsid w:val="46690BD8"/>
    <w:rsid w:val="46AE6F33"/>
    <w:rsid w:val="474D674C"/>
    <w:rsid w:val="47970E84"/>
    <w:rsid w:val="47C32F55"/>
    <w:rsid w:val="47EF335F"/>
    <w:rsid w:val="47F932DD"/>
    <w:rsid w:val="48082D38"/>
    <w:rsid w:val="4846543F"/>
    <w:rsid w:val="48496F13"/>
    <w:rsid w:val="484E79B3"/>
    <w:rsid w:val="489905C6"/>
    <w:rsid w:val="49437E06"/>
    <w:rsid w:val="4977185E"/>
    <w:rsid w:val="49E32828"/>
    <w:rsid w:val="4A525E27"/>
    <w:rsid w:val="4A895743"/>
    <w:rsid w:val="4AA93C99"/>
    <w:rsid w:val="4B1A4B97"/>
    <w:rsid w:val="4B667DDC"/>
    <w:rsid w:val="4C414861"/>
    <w:rsid w:val="4CA61C30"/>
    <w:rsid w:val="4D930C30"/>
    <w:rsid w:val="4DDA214B"/>
    <w:rsid w:val="4DF72F6D"/>
    <w:rsid w:val="4E067654"/>
    <w:rsid w:val="4E87606B"/>
    <w:rsid w:val="4EAF5DA4"/>
    <w:rsid w:val="4F860A4D"/>
    <w:rsid w:val="4F950C90"/>
    <w:rsid w:val="4FB629B4"/>
    <w:rsid w:val="501A2F43"/>
    <w:rsid w:val="503B1837"/>
    <w:rsid w:val="50650662"/>
    <w:rsid w:val="509C044B"/>
    <w:rsid w:val="50A15412"/>
    <w:rsid w:val="51DB6702"/>
    <w:rsid w:val="52567130"/>
    <w:rsid w:val="526844EE"/>
    <w:rsid w:val="530506CE"/>
    <w:rsid w:val="53334A48"/>
    <w:rsid w:val="535E4FF9"/>
    <w:rsid w:val="53D83664"/>
    <w:rsid w:val="5402441A"/>
    <w:rsid w:val="543162F7"/>
    <w:rsid w:val="549E44D1"/>
    <w:rsid w:val="54A44D18"/>
    <w:rsid w:val="54A50E28"/>
    <w:rsid w:val="54D04518"/>
    <w:rsid w:val="54D2203E"/>
    <w:rsid w:val="55103BD6"/>
    <w:rsid w:val="55425416"/>
    <w:rsid w:val="557E1247"/>
    <w:rsid w:val="55F72019"/>
    <w:rsid w:val="56521689"/>
    <w:rsid w:val="56605106"/>
    <w:rsid w:val="56794E67"/>
    <w:rsid w:val="56A812A9"/>
    <w:rsid w:val="57296FFD"/>
    <w:rsid w:val="573739FD"/>
    <w:rsid w:val="57FF75EE"/>
    <w:rsid w:val="59C30027"/>
    <w:rsid w:val="59D678B0"/>
    <w:rsid w:val="5A3D43FE"/>
    <w:rsid w:val="5AA4622B"/>
    <w:rsid w:val="5AB30F5A"/>
    <w:rsid w:val="5AD22BA3"/>
    <w:rsid w:val="5AE40D1D"/>
    <w:rsid w:val="5BD3361C"/>
    <w:rsid w:val="5BF6145E"/>
    <w:rsid w:val="5C180C7F"/>
    <w:rsid w:val="5C7B3445"/>
    <w:rsid w:val="5CF52295"/>
    <w:rsid w:val="5D861C18"/>
    <w:rsid w:val="5DB91FED"/>
    <w:rsid w:val="5DD46E27"/>
    <w:rsid w:val="5DFF5CC4"/>
    <w:rsid w:val="5F4F7027"/>
    <w:rsid w:val="5F9F13C6"/>
    <w:rsid w:val="5FD621A4"/>
    <w:rsid w:val="5FE33352"/>
    <w:rsid w:val="60000E41"/>
    <w:rsid w:val="60CF1B28"/>
    <w:rsid w:val="61154A79"/>
    <w:rsid w:val="61750921"/>
    <w:rsid w:val="61A94127"/>
    <w:rsid w:val="62015D11"/>
    <w:rsid w:val="623936FD"/>
    <w:rsid w:val="62414550"/>
    <w:rsid w:val="626B73B4"/>
    <w:rsid w:val="63170A32"/>
    <w:rsid w:val="63A454EE"/>
    <w:rsid w:val="63E8362C"/>
    <w:rsid w:val="645F6310"/>
    <w:rsid w:val="646A442E"/>
    <w:rsid w:val="64CA0F84"/>
    <w:rsid w:val="64D67929"/>
    <w:rsid w:val="64EB2FF3"/>
    <w:rsid w:val="64F25DE5"/>
    <w:rsid w:val="65102E3B"/>
    <w:rsid w:val="651907C2"/>
    <w:rsid w:val="65775CF5"/>
    <w:rsid w:val="65B043D2"/>
    <w:rsid w:val="65FB0B84"/>
    <w:rsid w:val="66483FB7"/>
    <w:rsid w:val="665E3732"/>
    <w:rsid w:val="66B74744"/>
    <w:rsid w:val="675863D3"/>
    <w:rsid w:val="67D85766"/>
    <w:rsid w:val="68637725"/>
    <w:rsid w:val="68877872"/>
    <w:rsid w:val="691649FD"/>
    <w:rsid w:val="69503271"/>
    <w:rsid w:val="69B1762F"/>
    <w:rsid w:val="69DB5F6E"/>
    <w:rsid w:val="6A6943DF"/>
    <w:rsid w:val="6B0625EA"/>
    <w:rsid w:val="6B621F16"/>
    <w:rsid w:val="6B90665E"/>
    <w:rsid w:val="6BA7650F"/>
    <w:rsid w:val="6BD05FBC"/>
    <w:rsid w:val="6CD31936"/>
    <w:rsid w:val="6CF52916"/>
    <w:rsid w:val="6E272FA3"/>
    <w:rsid w:val="6E4B6C92"/>
    <w:rsid w:val="6E55590F"/>
    <w:rsid w:val="6E57633D"/>
    <w:rsid w:val="6E9C72DD"/>
    <w:rsid w:val="6F230512"/>
    <w:rsid w:val="6F79782E"/>
    <w:rsid w:val="6F814935"/>
    <w:rsid w:val="6FCC3E6E"/>
    <w:rsid w:val="6FFB0243"/>
    <w:rsid w:val="702C69F7"/>
    <w:rsid w:val="7035021F"/>
    <w:rsid w:val="703E5A01"/>
    <w:rsid w:val="704240C4"/>
    <w:rsid w:val="714676C2"/>
    <w:rsid w:val="725704BC"/>
    <w:rsid w:val="72B32C09"/>
    <w:rsid w:val="730258AB"/>
    <w:rsid w:val="73DC6CD9"/>
    <w:rsid w:val="73E91D8E"/>
    <w:rsid w:val="743312D7"/>
    <w:rsid w:val="744D3038"/>
    <w:rsid w:val="75385A96"/>
    <w:rsid w:val="7544268D"/>
    <w:rsid w:val="75F5514C"/>
    <w:rsid w:val="760623F5"/>
    <w:rsid w:val="7622637C"/>
    <w:rsid w:val="76826D7C"/>
    <w:rsid w:val="768A639E"/>
    <w:rsid w:val="76FA12D1"/>
    <w:rsid w:val="77543004"/>
    <w:rsid w:val="77770AF7"/>
    <w:rsid w:val="77ED7C0B"/>
    <w:rsid w:val="787F0F94"/>
    <w:rsid w:val="78827754"/>
    <w:rsid w:val="7890644A"/>
    <w:rsid w:val="79507FD7"/>
    <w:rsid w:val="797F5D9C"/>
    <w:rsid w:val="799052E8"/>
    <w:rsid w:val="79BF5F60"/>
    <w:rsid w:val="79D55FA9"/>
    <w:rsid w:val="7AAE652A"/>
    <w:rsid w:val="7AC06311"/>
    <w:rsid w:val="7B9E7532"/>
    <w:rsid w:val="7D0B3E39"/>
    <w:rsid w:val="7D351277"/>
    <w:rsid w:val="7D533E21"/>
    <w:rsid w:val="7D7F24B4"/>
    <w:rsid w:val="7D990594"/>
    <w:rsid w:val="7DB71E23"/>
    <w:rsid w:val="7DF322F1"/>
    <w:rsid w:val="7E904E99"/>
    <w:rsid w:val="7ED95BF4"/>
    <w:rsid w:val="7EF26CB5"/>
    <w:rsid w:val="7F114A95"/>
    <w:rsid w:val="7F89586C"/>
    <w:rsid w:val="7F9612D0"/>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57"/>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6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7"/>
    <w:qFormat/>
    <w:uiPriority w:val="0"/>
    <w:pPr>
      <w:ind w:left="100"/>
      <w:jc w:val="left"/>
      <w:outlineLvl w:val="2"/>
    </w:pPr>
    <w:rPr>
      <w:rFonts w:ascii="Microsoft JhengHei" w:hAnsi="Microsoft JhengHei"/>
      <w:b/>
      <w:bCs/>
      <w:kern w:val="0"/>
      <w:sz w:val="30"/>
      <w:szCs w:val="32"/>
      <w:lang w:eastAsia="en-US"/>
    </w:rPr>
  </w:style>
  <w:style w:type="paragraph" w:styleId="8">
    <w:name w:val="heading 4"/>
    <w:basedOn w:val="1"/>
    <w:next w:val="1"/>
    <w:link w:val="16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9">
    <w:name w:val="heading 8"/>
    <w:basedOn w:val="1"/>
    <w:next w:val="1"/>
    <w:link w:val="162"/>
    <w:semiHidden/>
    <w:unhideWhenUsed/>
    <w:qFormat/>
    <w:uiPriority w:val="0"/>
    <w:pPr>
      <w:keepNext/>
      <w:keepLines/>
      <w:spacing w:before="240" w:after="64" w:line="320" w:lineRule="auto"/>
      <w:outlineLvl w:val="7"/>
    </w:pPr>
    <w:rPr>
      <w:rFonts w:asciiTheme="majorHAnsi" w:hAnsiTheme="majorHAnsi" w:eastAsiaTheme="majorEastAsia" w:cstheme="majorBidi"/>
      <w:sz w:val="24"/>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pPr>
  </w:style>
  <w:style w:type="paragraph" w:styleId="3">
    <w:name w:val="Body Text Indent"/>
    <w:basedOn w:val="1"/>
    <w:next w:val="2"/>
    <w:link w:val="167"/>
    <w:qFormat/>
    <w:uiPriority w:val="0"/>
    <w:pPr>
      <w:spacing w:after="120"/>
      <w:ind w:left="420" w:leftChars="200"/>
    </w:pPr>
  </w:style>
  <w:style w:type="paragraph" w:styleId="7">
    <w:name w:val="Normal Indent"/>
    <w:basedOn w:val="1"/>
    <w:qFormat/>
    <w:uiPriority w:val="0"/>
    <w:pPr>
      <w:ind w:firstLine="420"/>
    </w:pPr>
    <w:rPr>
      <w:szCs w:val="20"/>
    </w:rPr>
  </w:style>
  <w:style w:type="paragraph" w:styleId="10">
    <w:name w:val="annotation text"/>
    <w:basedOn w:val="1"/>
    <w:semiHidden/>
    <w:unhideWhenUsed/>
    <w:qFormat/>
    <w:uiPriority w:val="0"/>
    <w:pPr>
      <w:jc w:val="left"/>
    </w:pPr>
  </w:style>
  <w:style w:type="paragraph" w:styleId="11">
    <w:name w:val="Body Text 3"/>
    <w:basedOn w:val="1"/>
    <w:link w:val="160"/>
    <w:qFormat/>
    <w:uiPriority w:val="0"/>
    <w:pPr>
      <w:spacing w:after="120"/>
    </w:pPr>
    <w:rPr>
      <w:sz w:val="16"/>
      <w:szCs w:val="16"/>
    </w:rPr>
  </w:style>
  <w:style w:type="paragraph" w:styleId="12">
    <w:name w:val="Body Text"/>
    <w:basedOn w:val="1"/>
    <w:next w:val="1"/>
    <w:link w:val="158"/>
    <w:qFormat/>
    <w:uiPriority w:val="0"/>
    <w:pPr>
      <w:spacing w:after="120"/>
    </w:pPr>
  </w:style>
  <w:style w:type="paragraph" w:styleId="13">
    <w:name w:val="toc 5"/>
    <w:basedOn w:val="1"/>
    <w:next w:val="1"/>
    <w:qFormat/>
    <w:uiPriority w:val="0"/>
    <w:pPr>
      <w:ind w:left="1680" w:leftChars="800"/>
    </w:pPr>
  </w:style>
  <w:style w:type="paragraph" w:styleId="14">
    <w:name w:val="toc 3"/>
    <w:basedOn w:val="1"/>
    <w:next w:val="1"/>
    <w:qFormat/>
    <w:uiPriority w:val="39"/>
    <w:pPr>
      <w:ind w:left="840" w:leftChars="400"/>
    </w:pPr>
  </w:style>
  <w:style w:type="paragraph" w:styleId="15">
    <w:name w:val="Plain Text"/>
    <w:basedOn w:val="1"/>
    <w:link w:val="152"/>
    <w:qFormat/>
    <w:uiPriority w:val="0"/>
    <w:rPr>
      <w:rFonts w:ascii="宋体"/>
      <w:szCs w:val="20"/>
    </w:rPr>
  </w:style>
  <w:style w:type="paragraph" w:styleId="16">
    <w:name w:val="Body Text Indent 2"/>
    <w:basedOn w:val="1"/>
    <w:link w:val="163"/>
    <w:qFormat/>
    <w:uiPriority w:val="0"/>
    <w:pPr>
      <w:spacing w:after="120" w:line="480" w:lineRule="auto"/>
      <w:ind w:left="420" w:leftChars="200"/>
    </w:pPr>
  </w:style>
  <w:style w:type="paragraph" w:styleId="17">
    <w:name w:val="Balloon Text"/>
    <w:basedOn w:val="1"/>
    <w:link w:val="168"/>
    <w:qFormat/>
    <w:uiPriority w:val="0"/>
    <w:rPr>
      <w:sz w:val="18"/>
      <w:szCs w:val="18"/>
    </w:rPr>
  </w:style>
  <w:style w:type="paragraph" w:styleId="18">
    <w:name w:val="footer"/>
    <w:basedOn w:val="1"/>
    <w:link w:val="154"/>
    <w:qFormat/>
    <w:uiPriority w:val="0"/>
    <w:pPr>
      <w:tabs>
        <w:tab w:val="center" w:pos="4153"/>
        <w:tab w:val="right" w:pos="8306"/>
      </w:tabs>
      <w:snapToGrid w:val="0"/>
      <w:jc w:val="left"/>
    </w:pPr>
    <w:rPr>
      <w:sz w:val="18"/>
      <w:szCs w:val="18"/>
    </w:rPr>
  </w:style>
  <w:style w:type="paragraph" w:styleId="19">
    <w:name w:val="header"/>
    <w:basedOn w:val="1"/>
    <w:link w:val="153"/>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right" w:leader="dot" w:pos="9628"/>
      </w:tabs>
    </w:pPr>
    <w:rPr>
      <w:rFonts w:ascii="宋体" w:hAnsi="宋体"/>
      <w:sz w:val="32"/>
    </w:rPr>
  </w:style>
  <w:style w:type="paragraph" w:styleId="21">
    <w:name w:val="toc 4"/>
    <w:basedOn w:val="1"/>
    <w:next w:val="1"/>
    <w:qFormat/>
    <w:uiPriority w:val="0"/>
    <w:pPr>
      <w:ind w:left="1260" w:leftChars="600"/>
    </w:pPr>
  </w:style>
  <w:style w:type="paragraph" w:styleId="22">
    <w:name w:val="toc 2"/>
    <w:basedOn w:val="1"/>
    <w:next w:val="1"/>
    <w:qFormat/>
    <w:uiPriority w:val="39"/>
    <w:pPr>
      <w:ind w:left="420" w:leftChars="200"/>
    </w:pPr>
  </w:style>
  <w:style w:type="paragraph" w:styleId="23">
    <w:name w:val="Normal (Web)"/>
    <w:basedOn w:val="1"/>
    <w:qFormat/>
    <w:uiPriority w:val="0"/>
    <w:pPr>
      <w:widowControl/>
      <w:spacing w:before="100" w:beforeAutospacing="1" w:after="100" w:afterAutospacing="1"/>
      <w:jc w:val="left"/>
    </w:pPr>
    <w:rPr>
      <w:rFonts w:ascii="宋体" w:hAnsi="宋体"/>
      <w:kern w:val="0"/>
      <w:sz w:val="24"/>
    </w:rPr>
  </w:style>
  <w:style w:type="paragraph" w:styleId="24">
    <w:name w:val="Title"/>
    <w:basedOn w:val="1"/>
    <w:next w:val="1"/>
    <w:link w:val="166"/>
    <w:qFormat/>
    <w:uiPriority w:val="0"/>
    <w:pPr>
      <w:spacing w:before="240" w:after="60"/>
      <w:jc w:val="center"/>
      <w:outlineLvl w:val="0"/>
    </w:pPr>
    <w:rPr>
      <w:rFonts w:asciiTheme="majorHAnsi" w:hAnsiTheme="majorHAnsi" w:eastAsiaTheme="majorEastAsia" w:cstheme="majorBidi"/>
      <w:b/>
      <w:bCs/>
      <w:sz w:val="32"/>
      <w:szCs w:val="32"/>
    </w:rPr>
  </w:style>
  <w:style w:type="paragraph" w:styleId="25">
    <w:name w:val="Body Text First Indent"/>
    <w:basedOn w:val="12"/>
    <w:next w:val="1"/>
    <w:link w:val="159"/>
    <w:qFormat/>
    <w:uiPriority w:val="0"/>
    <w:pPr>
      <w:ind w:firstLine="420" w:firstLineChars="100"/>
    </w:pPr>
    <w:rPr>
      <w:rFonts w:ascii="Calibri" w:hAnsi="Calibri"/>
      <w:szCs w:val="22"/>
    </w:rPr>
  </w:style>
  <w:style w:type="table" w:styleId="27">
    <w:name w:val="Table Grid"/>
    <w:basedOn w:val="26"/>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rPr>
  </w:style>
  <w:style w:type="character" w:styleId="30">
    <w:name w:val="Hyperlink"/>
    <w:basedOn w:val="28"/>
    <w:unhideWhenUsed/>
    <w:qFormat/>
    <w:uiPriority w:val="99"/>
    <w:rPr>
      <w:color w:val="0000FF" w:themeColor="hyperlink"/>
      <w:u w:val="single"/>
      <w14:textFill>
        <w14:solidFill>
          <w14:schemeClr w14:val="hlink"/>
        </w14:solidFill>
      </w14:textFill>
    </w:rPr>
  </w:style>
  <w:style w:type="character" w:styleId="31">
    <w:name w:val="annotation reference"/>
    <w:basedOn w:val="28"/>
    <w:semiHidden/>
    <w:unhideWhenUsed/>
    <w:qFormat/>
    <w:uiPriority w:val="0"/>
    <w:rPr>
      <w:sz w:val="21"/>
      <w:szCs w:val="21"/>
    </w:rPr>
  </w:style>
  <w:style w:type="paragraph" w:customStyle="1" w:styleId="32">
    <w:name w:val="标题 11"/>
    <w:basedOn w:val="1"/>
    <w:link w:val="43"/>
    <w:qFormat/>
    <w:uiPriority w:val="0"/>
    <w:pPr>
      <w:keepNext/>
      <w:keepLines/>
      <w:spacing w:before="340" w:after="330" w:line="578" w:lineRule="auto"/>
      <w:outlineLvl w:val="0"/>
    </w:pPr>
    <w:rPr>
      <w:b/>
      <w:bCs/>
      <w:kern w:val="44"/>
      <w:sz w:val="44"/>
      <w:szCs w:val="44"/>
    </w:rPr>
  </w:style>
  <w:style w:type="paragraph" w:customStyle="1" w:styleId="33">
    <w:name w:val="标题 21"/>
    <w:basedOn w:val="1"/>
    <w:qFormat/>
    <w:uiPriority w:val="0"/>
    <w:pPr>
      <w:keepNext/>
      <w:keepLines/>
      <w:spacing w:before="260" w:after="260" w:line="415" w:lineRule="auto"/>
      <w:outlineLvl w:val="1"/>
    </w:pPr>
    <w:rPr>
      <w:rFonts w:ascii="Arial" w:hAnsi="Arial" w:eastAsia="黑体"/>
      <w:b/>
      <w:bCs/>
      <w:sz w:val="32"/>
      <w:szCs w:val="32"/>
    </w:rPr>
  </w:style>
  <w:style w:type="paragraph" w:customStyle="1" w:styleId="34">
    <w:name w:val="标题 31"/>
    <w:basedOn w:val="1"/>
    <w:link w:val="45"/>
    <w:qFormat/>
    <w:uiPriority w:val="0"/>
    <w:pPr>
      <w:keepNext/>
      <w:keepLines/>
      <w:spacing w:before="260" w:after="260" w:line="416" w:lineRule="auto"/>
      <w:outlineLvl w:val="2"/>
    </w:pPr>
    <w:rPr>
      <w:b/>
      <w:bCs/>
      <w:sz w:val="32"/>
      <w:szCs w:val="32"/>
    </w:rPr>
  </w:style>
  <w:style w:type="paragraph" w:customStyle="1" w:styleId="35">
    <w:name w:val="标题 41"/>
    <w:basedOn w:val="1"/>
    <w:link w:val="46"/>
    <w:qFormat/>
    <w:uiPriority w:val="0"/>
    <w:pPr>
      <w:keepNext/>
      <w:keepLines/>
      <w:spacing w:before="280" w:after="290" w:line="376" w:lineRule="auto"/>
      <w:outlineLvl w:val="3"/>
    </w:pPr>
    <w:rPr>
      <w:rFonts w:ascii="Cambria" w:hAnsi="Cambria"/>
      <w:b/>
      <w:bCs/>
      <w:sz w:val="28"/>
      <w:szCs w:val="28"/>
    </w:rPr>
  </w:style>
  <w:style w:type="paragraph" w:customStyle="1" w:styleId="36">
    <w:name w:val="标题 51"/>
    <w:basedOn w:val="1"/>
    <w:link w:val="47"/>
    <w:qFormat/>
    <w:uiPriority w:val="0"/>
    <w:pPr>
      <w:keepNext/>
      <w:keepLines/>
      <w:spacing w:before="280" w:after="290" w:line="376" w:lineRule="auto"/>
      <w:outlineLvl w:val="4"/>
    </w:pPr>
    <w:rPr>
      <w:b/>
      <w:bCs/>
      <w:sz w:val="28"/>
      <w:szCs w:val="28"/>
    </w:rPr>
  </w:style>
  <w:style w:type="paragraph" w:customStyle="1" w:styleId="37">
    <w:name w:val="标题 61"/>
    <w:basedOn w:val="1"/>
    <w:link w:val="48"/>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customStyle="1" w:styleId="38">
    <w:name w:val="标题 71"/>
    <w:basedOn w:val="1"/>
    <w:link w:val="49"/>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customStyle="1" w:styleId="39">
    <w:name w:val="标题 81"/>
    <w:basedOn w:val="1"/>
    <w:link w:val="50"/>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customStyle="1" w:styleId="40">
    <w:name w:val="标题 91"/>
    <w:basedOn w:val="1"/>
    <w:link w:val="51"/>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customStyle="1" w:styleId="41">
    <w:name w:val="默认段落字体1"/>
    <w:semiHidden/>
    <w:qFormat/>
    <w:uiPriority w:val="0"/>
  </w:style>
  <w:style w:type="table" w:customStyle="1" w:styleId="42">
    <w:name w:val="普通表格1"/>
    <w:semiHidden/>
    <w:qFormat/>
    <w:uiPriority w:val="0"/>
    <w:tblPr>
      <w:tblCellMar>
        <w:top w:w="0" w:type="dxa"/>
        <w:left w:w="0" w:type="dxa"/>
        <w:bottom w:w="0" w:type="dxa"/>
        <w:right w:w="0" w:type="dxa"/>
      </w:tblCellMar>
    </w:tblPr>
  </w:style>
  <w:style w:type="character" w:customStyle="1" w:styleId="43">
    <w:name w:val="标题 1 字符"/>
    <w:link w:val="32"/>
    <w:qFormat/>
    <w:uiPriority w:val="0"/>
    <w:rPr>
      <w:b/>
      <w:bCs/>
      <w:kern w:val="44"/>
      <w:sz w:val="44"/>
      <w:szCs w:val="44"/>
    </w:rPr>
  </w:style>
  <w:style w:type="character" w:customStyle="1" w:styleId="44">
    <w:name w:val="标题 2 字符"/>
    <w:link w:val="5"/>
    <w:qFormat/>
    <w:uiPriority w:val="0"/>
    <w:rPr>
      <w:rFonts w:ascii="Arial" w:hAnsi="Arial" w:eastAsia="黑体"/>
      <w:b/>
      <w:bCs/>
      <w:kern w:val="2"/>
      <w:sz w:val="32"/>
      <w:szCs w:val="32"/>
    </w:rPr>
  </w:style>
  <w:style w:type="character" w:customStyle="1" w:styleId="45">
    <w:name w:val="标题 3 字符"/>
    <w:link w:val="34"/>
    <w:qFormat/>
    <w:uiPriority w:val="0"/>
    <w:rPr>
      <w:b/>
      <w:bCs/>
      <w:kern w:val="2"/>
      <w:sz w:val="32"/>
      <w:szCs w:val="32"/>
    </w:rPr>
  </w:style>
  <w:style w:type="character" w:customStyle="1" w:styleId="46">
    <w:name w:val="标题 4 字符"/>
    <w:link w:val="35"/>
    <w:qFormat/>
    <w:uiPriority w:val="0"/>
    <w:rPr>
      <w:rFonts w:ascii="Cambria" w:hAnsi="Cambria" w:eastAsia="宋体"/>
      <w:b/>
      <w:bCs/>
      <w:kern w:val="2"/>
      <w:sz w:val="28"/>
      <w:szCs w:val="28"/>
    </w:rPr>
  </w:style>
  <w:style w:type="character" w:customStyle="1" w:styleId="47">
    <w:name w:val="标题 5 字符"/>
    <w:link w:val="36"/>
    <w:qFormat/>
    <w:uiPriority w:val="0"/>
    <w:rPr>
      <w:b/>
      <w:bCs/>
      <w:kern w:val="2"/>
      <w:sz w:val="28"/>
      <w:szCs w:val="28"/>
    </w:rPr>
  </w:style>
  <w:style w:type="character" w:customStyle="1" w:styleId="48">
    <w:name w:val="标题 6 字符"/>
    <w:link w:val="37"/>
    <w:qFormat/>
    <w:uiPriority w:val="0"/>
    <w:rPr>
      <w:rFonts w:ascii="Arial" w:hAnsi="Arial" w:eastAsia="黑体"/>
      <w:b/>
      <w:bCs/>
      <w:sz w:val="24"/>
      <w:szCs w:val="24"/>
    </w:rPr>
  </w:style>
  <w:style w:type="character" w:customStyle="1" w:styleId="49">
    <w:name w:val="标题 7 字符"/>
    <w:link w:val="38"/>
    <w:qFormat/>
    <w:uiPriority w:val="0"/>
    <w:rPr>
      <w:b/>
      <w:bCs/>
      <w:sz w:val="24"/>
      <w:szCs w:val="24"/>
    </w:rPr>
  </w:style>
  <w:style w:type="character" w:customStyle="1" w:styleId="50">
    <w:name w:val="标题 8 字符"/>
    <w:link w:val="39"/>
    <w:qFormat/>
    <w:uiPriority w:val="0"/>
    <w:rPr>
      <w:rFonts w:ascii="Arial" w:hAnsi="Arial" w:eastAsia="黑体"/>
      <w:sz w:val="24"/>
      <w:szCs w:val="24"/>
    </w:rPr>
  </w:style>
  <w:style w:type="character" w:customStyle="1" w:styleId="51">
    <w:name w:val="标题 9 字符"/>
    <w:link w:val="40"/>
    <w:qFormat/>
    <w:uiPriority w:val="0"/>
    <w:rPr>
      <w:rFonts w:ascii="Arial" w:hAnsi="Arial" w:eastAsia="黑体"/>
      <w:sz w:val="21"/>
      <w:szCs w:val="21"/>
    </w:rPr>
  </w:style>
  <w:style w:type="paragraph" w:customStyle="1" w:styleId="52">
    <w:name w:val="正文缩进1"/>
    <w:basedOn w:val="1"/>
    <w:link w:val="53"/>
    <w:qFormat/>
    <w:uiPriority w:val="0"/>
    <w:pPr>
      <w:ind w:firstLine="420"/>
    </w:pPr>
    <w:rPr>
      <w:szCs w:val="20"/>
    </w:rPr>
  </w:style>
  <w:style w:type="character" w:customStyle="1" w:styleId="53">
    <w:name w:val="正文缩进 字符"/>
    <w:link w:val="52"/>
    <w:qFormat/>
    <w:uiPriority w:val="0"/>
    <w:rPr>
      <w:kern w:val="2"/>
      <w:sz w:val="21"/>
    </w:rPr>
  </w:style>
  <w:style w:type="paragraph" w:customStyle="1" w:styleId="54">
    <w:name w:val="文档结构图1"/>
    <w:basedOn w:val="1"/>
    <w:link w:val="55"/>
    <w:qFormat/>
    <w:uiPriority w:val="0"/>
    <w:pPr>
      <w:shd w:val="clear" w:color="auto" w:fill="000080"/>
    </w:pPr>
  </w:style>
  <w:style w:type="character" w:customStyle="1" w:styleId="55">
    <w:name w:val="文档结构图 字符"/>
    <w:link w:val="54"/>
    <w:qFormat/>
    <w:uiPriority w:val="0"/>
    <w:rPr>
      <w:kern w:val="2"/>
      <w:sz w:val="21"/>
      <w:szCs w:val="24"/>
      <w:shd w:val="clear" w:color="auto" w:fill="000080"/>
    </w:rPr>
  </w:style>
  <w:style w:type="paragraph" w:customStyle="1" w:styleId="56">
    <w:name w:val="引文目录标题1"/>
    <w:basedOn w:val="1"/>
    <w:qFormat/>
    <w:uiPriority w:val="0"/>
    <w:pPr>
      <w:spacing w:before="120"/>
    </w:pPr>
    <w:rPr>
      <w:rFonts w:ascii="Arial" w:hAnsi="Arial"/>
      <w:sz w:val="24"/>
    </w:rPr>
  </w:style>
  <w:style w:type="paragraph" w:customStyle="1" w:styleId="57">
    <w:name w:val="批注文字1"/>
    <w:basedOn w:val="1"/>
    <w:link w:val="58"/>
    <w:qFormat/>
    <w:uiPriority w:val="0"/>
    <w:pPr>
      <w:jc w:val="left"/>
    </w:pPr>
  </w:style>
  <w:style w:type="character" w:customStyle="1" w:styleId="58">
    <w:name w:val="批注文字 字符"/>
    <w:link w:val="57"/>
    <w:qFormat/>
    <w:uiPriority w:val="0"/>
    <w:rPr>
      <w:kern w:val="2"/>
      <w:sz w:val="21"/>
      <w:szCs w:val="24"/>
    </w:rPr>
  </w:style>
  <w:style w:type="paragraph" w:customStyle="1" w:styleId="59">
    <w:name w:val="正文文本1"/>
    <w:basedOn w:val="1"/>
    <w:link w:val="60"/>
    <w:qFormat/>
    <w:uiPriority w:val="0"/>
    <w:pPr>
      <w:spacing w:after="120"/>
    </w:pPr>
  </w:style>
  <w:style w:type="character" w:customStyle="1" w:styleId="60">
    <w:name w:val="正文文本 字符"/>
    <w:link w:val="59"/>
    <w:qFormat/>
    <w:uiPriority w:val="0"/>
    <w:rPr>
      <w:kern w:val="2"/>
      <w:sz w:val="21"/>
      <w:szCs w:val="24"/>
    </w:rPr>
  </w:style>
  <w:style w:type="paragraph" w:customStyle="1" w:styleId="61">
    <w:name w:val="正文文本缩进1"/>
    <w:basedOn w:val="1"/>
    <w:link w:val="62"/>
    <w:qFormat/>
    <w:uiPriority w:val="0"/>
    <w:pPr>
      <w:ind w:firstLine="200" w:firstLineChars="200"/>
    </w:pPr>
    <w:rPr>
      <w:rFonts w:ascii="仿宋_GB2312" w:hAnsi="宋体" w:eastAsia="仿宋_GB2312"/>
      <w:sz w:val="28"/>
    </w:rPr>
  </w:style>
  <w:style w:type="character" w:customStyle="1" w:styleId="62">
    <w:name w:val="正文文本缩进 字符"/>
    <w:link w:val="61"/>
    <w:qFormat/>
    <w:uiPriority w:val="0"/>
    <w:rPr>
      <w:rFonts w:ascii="仿宋_GB2312" w:hAnsi="宋体" w:eastAsia="仿宋_GB2312"/>
      <w:kern w:val="2"/>
      <w:sz w:val="28"/>
      <w:szCs w:val="24"/>
    </w:rPr>
  </w:style>
  <w:style w:type="paragraph" w:customStyle="1" w:styleId="63">
    <w:name w:val="纯文本1"/>
    <w:basedOn w:val="1"/>
    <w:link w:val="64"/>
    <w:qFormat/>
    <w:uiPriority w:val="0"/>
    <w:pPr>
      <w:spacing w:line="480" w:lineRule="exact"/>
      <w:ind w:firstLine="426" w:firstLineChars="202"/>
    </w:pPr>
    <w:rPr>
      <w:rFonts w:ascii="宋体" w:hAnsi="宋体"/>
      <w:b/>
      <w:color w:val="ED0000"/>
      <w:szCs w:val="21"/>
    </w:rPr>
  </w:style>
  <w:style w:type="character" w:customStyle="1" w:styleId="64">
    <w:name w:val="纯文本 字符"/>
    <w:link w:val="63"/>
    <w:qFormat/>
    <w:uiPriority w:val="0"/>
    <w:rPr>
      <w:rFonts w:ascii="宋体" w:hAnsi="宋体"/>
      <w:b/>
      <w:color w:val="ED0000"/>
      <w:kern w:val="2"/>
      <w:sz w:val="21"/>
      <w:szCs w:val="21"/>
    </w:rPr>
  </w:style>
  <w:style w:type="paragraph" w:customStyle="1" w:styleId="65">
    <w:name w:val="日期1"/>
    <w:basedOn w:val="1"/>
    <w:link w:val="66"/>
    <w:qFormat/>
    <w:uiPriority w:val="0"/>
    <w:pPr>
      <w:ind w:left="100" w:leftChars="2500"/>
    </w:pPr>
    <w:rPr>
      <w:rFonts w:ascii="宋体"/>
      <w:sz w:val="24"/>
    </w:rPr>
  </w:style>
  <w:style w:type="character" w:customStyle="1" w:styleId="66">
    <w:name w:val="日期 字符"/>
    <w:link w:val="65"/>
    <w:qFormat/>
    <w:uiPriority w:val="0"/>
    <w:rPr>
      <w:rFonts w:ascii="宋体"/>
      <w:kern w:val="2"/>
      <w:sz w:val="24"/>
      <w:szCs w:val="24"/>
    </w:rPr>
  </w:style>
  <w:style w:type="paragraph" w:customStyle="1" w:styleId="67">
    <w:name w:val="正文文本缩进 21"/>
    <w:basedOn w:val="1"/>
    <w:link w:val="68"/>
    <w:qFormat/>
    <w:uiPriority w:val="0"/>
    <w:pPr>
      <w:spacing w:line="500" w:lineRule="exact"/>
      <w:ind w:firstLine="510"/>
    </w:pPr>
    <w:rPr>
      <w:rFonts w:ascii="宋体"/>
      <w:sz w:val="24"/>
      <w:szCs w:val="20"/>
    </w:rPr>
  </w:style>
  <w:style w:type="character" w:customStyle="1" w:styleId="68">
    <w:name w:val="正文文本缩进 2 字符"/>
    <w:link w:val="67"/>
    <w:qFormat/>
    <w:uiPriority w:val="0"/>
    <w:rPr>
      <w:rFonts w:ascii="宋体"/>
      <w:kern w:val="2"/>
      <w:sz w:val="24"/>
    </w:rPr>
  </w:style>
  <w:style w:type="paragraph" w:customStyle="1" w:styleId="69">
    <w:name w:val="尾注文本1"/>
    <w:basedOn w:val="1"/>
    <w:link w:val="70"/>
    <w:qFormat/>
    <w:uiPriority w:val="0"/>
    <w:pPr>
      <w:snapToGrid w:val="0"/>
      <w:jc w:val="left"/>
    </w:pPr>
  </w:style>
  <w:style w:type="character" w:customStyle="1" w:styleId="70">
    <w:name w:val="尾注文本 字符"/>
    <w:link w:val="69"/>
    <w:qFormat/>
    <w:uiPriority w:val="0"/>
    <w:rPr>
      <w:kern w:val="2"/>
      <w:sz w:val="21"/>
      <w:szCs w:val="24"/>
    </w:rPr>
  </w:style>
  <w:style w:type="paragraph" w:customStyle="1" w:styleId="71">
    <w:name w:val="批注框文本1"/>
    <w:basedOn w:val="1"/>
    <w:link w:val="72"/>
    <w:qFormat/>
    <w:uiPriority w:val="0"/>
    <w:rPr>
      <w:sz w:val="18"/>
      <w:szCs w:val="18"/>
    </w:rPr>
  </w:style>
  <w:style w:type="character" w:customStyle="1" w:styleId="72">
    <w:name w:val="批注框文本 字符"/>
    <w:link w:val="71"/>
    <w:qFormat/>
    <w:uiPriority w:val="0"/>
    <w:rPr>
      <w:kern w:val="2"/>
      <w:sz w:val="18"/>
      <w:szCs w:val="18"/>
    </w:rPr>
  </w:style>
  <w:style w:type="paragraph" w:customStyle="1" w:styleId="73">
    <w:name w:val="页脚11"/>
    <w:basedOn w:val="1"/>
    <w:link w:val="74"/>
    <w:qFormat/>
    <w:uiPriority w:val="0"/>
    <w:pPr>
      <w:tabs>
        <w:tab w:val="center" w:pos="4153"/>
        <w:tab w:val="right" w:pos="8306"/>
      </w:tabs>
      <w:snapToGrid w:val="0"/>
      <w:jc w:val="left"/>
    </w:pPr>
    <w:rPr>
      <w:sz w:val="18"/>
      <w:szCs w:val="18"/>
    </w:rPr>
  </w:style>
  <w:style w:type="character" w:customStyle="1" w:styleId="74">
    <w:name w:val="页脚 字符"/>
    <w:link w:val="73"/>
    <w:qFormat/>
    <w:uiPriority w:val="0"/>
    <w:rPr>
      <w:kern w:val="2"/>
      <w:sz w:val="18"/>
      <w:szCs w:val="18"/>
    </w:rPr>
  </w:style>
  <w:style w:type="paragraph" w:customStyle="1" w:styleId="75">
    <w:name w:val="页眉1"/>
    <w:basedOn w:val="1"/>
    <w:link w:val="76"/>
    <w:qFormat/>
    <w:uiPriority w:val="0"/>
    <w:pPr>
      <w:pBdr>
        <w:bottom w:val="single" w:color="000000" w:sz="6" w:space="1"/>
      </w:pBdr>
      <w:tabs>
        <w:tab w:val="center" w:pos="4153"/>
        <w:tab w:val="right" w:pos="8306"/>
      </w:tabs>
      <w:snapToGrid w:val="0"/>
      <w:jc w:val="center"/>
    </w:pPr>
    <w:rPr>
      <w:sz w:val="18"/>
      <w:szCs w:val="18"/>
    </w:rPr>
  </w:style>
  <w:style w:type="character" w:customStyle="1" w:styleId="76">
    <w:name w:val="页眉 字符"/>
    <w:link w:val="75"/>
    <w:qFormat/>
    <w:uiPriority w:val="0"/>
    <w:rPr>
      <w:kern w:val="2"/>
      <w:sz w:val="18"/>
      <w:szCs w:val="18"/>
    </w:rPr>
  </w:style>
  <w:style w:type="paragraph" w:customStyle="1" w:styleId="77">
    <w:name w:val="副标题1"/>
    <w:basedOn w:val="1"/>
    <w:link w:val="78"/>
    <w:qFormat/>
    <w:uiPriority w:val="0"/>
    <w:pPr>
      <w:ind w:left="420" w:hanging="420"/>
      <w:jc w:val="left"/>
      <w:outlineLvl w:val="1"/>
    </w:pPr>
    <w:rPr>
      <w:rFonts w:ascii="Century Gothic" w:hAnsi="Century Gothic"/>
      <w:bCs/>
      <w:kern w:val="28"/>
      <w:szCs w:val="32"/>
    </w:rPr>
  </w:style>
  <w:style w:type="character" w:customStyle="1" w:styleId="78">
    <w:name w:val="副标题 字符"/>
    <w:link w:val="77"/>
    <w:qFormat/>
    <w:uiPriority w:val="0"/>
    <w:rPr>
      <w:rFonts w:ascii="Century Gothic" w:hAnsi="Century Gothic"/>
      <w:bCs/>
      <w:kern w:val="28"/>
      <w:sz w:val="21"/>
      <w:szCs w:val="32"/>
    </w:rPr>
  </w:style>
  <w:style w:type="paragraph" w:customStyle="1" w:styleId="79">
    <w:name w:val="脚注文本1"/>
    <w:basedOn w:val="1"/>
    <w:link w:val="80"/>
    <w:qFormat/>
    <w:uiPriority w:val="0"/>
    <w:pPr>
      <w:snapToGrid w:val="0"/>
      <w:jc w:val="left"/>
    </w:pPr>
    <w:rPr>
      <w:sz w:val="18"/>
      <w:szCs w:val="18"/>
    </w:rPr>
  </w:style>
  <w:style w:type="character" w:customStyle="1" w:styleId="80">
    <w:name w:val="脚注文本 字符"/>
    <w:link w:val="79"/>
    <w:qFormat/>
    <w:uiPriority w:val="0"/>
    <w:rPr>
      <w:kern w:val="2"/>
      <w:sz w:val="18"/>
      <w:szCs w:val="18"/>
    </w:rPr>
  </w:style>
  <w:style w:type="paragraph" w:customStyle="1" w:styleId="81">
    <w:name w:val="正文文本缩进 31"/>
    <w:basedOn w:val="1"/>
    <w:link w:val="82"/>
    <w:qFormat/>
    <w:uiPriority w:val="0"/>
    <w:pPr>
      <w:spacing w:after="120"/>
      <w:ind w:left="420" w:leftChars="200"/>
    </w:pPr>
    <w:rPr>
      <w:sz w:val="16"/>
      <w:szCs w:val="16"/>
    </w:rPr>
  </w:style>
  <w:style w:type="character" w:customStyle="1" w:styleId="82">
    <w:name w:val="正文文本缩进 3 字符1"/>
    <w:link w:val="81"/>
    <w:qFormat/>
    <w:uiPriority w:val="0"/>
    <w:rPr>
      <w:kern w:val="2"/>
      <w:sz w:val="16"/>
      <w:szCs w:val="16"/>
    </w:rPr>
  </w:style>
  <w:style w:type="paragraph" w:customStyle="1" w:styleId="83">
    <w:name w:val="正文文本 21"/>
    <w:basedOn w:val="1"/>
    <w:link w:val="84"/>
    <w:qFormat/>
    <w:uiPriority w:val="0"/>
    <w:pPr>
      <w:spacing w:after="120" w:line="480" w:lineRule="auto"/>
    </w:pPr>
  </w:style>
  <w:style w:type="character" w:customStyle="1" w:styleId="84">
    <w:name w:val="正文文本 2 字符"/>
    <w:link w:val="83"/>
    <w:qFormat/>
    <w:uiPriority w:val="0"/>
    <w:rPr>
      <w:kern w:val="2"/>
      <w:sz w:val="21"/>
      <w:szCs w:val="24"/>
    </w:rPr>
  </w:style>
  <w:style w:type="paragraph" w:customStyle="1" w:styleId="85">
    <w:name w:val="普通(网站)1"/>
    <w:basedOn w:val="1"/>
    <w:link w:val="86"/>
    <w:qFormat/>
    <w:uiPriority w:val="0"/>
    <w:pPr>
      <w:widowControl/>
      <w:spacing w:before="100" w:beforeAutospacing="1" w:after="100" w:afterAutospacing="1"/>
      <w:jc w:val="left"/>
    </w:pPr>
    <w:rPr>
      <w:rFonts w:ascii="宋体" w:hAnsi="宋体"/>
      <w:kern w:val="0"/>
      <w:sz w:val="24"/>
    </w:rPr>
  </w:style>
  <w:style w:type="character" w:customStyle="1" w:styleId="86">
    <w:name w:val="普通(网站) 字符"/>
    <w:link w:val="85"/>
    <w:qFormat/>
    <w:uiPriority w:val="0"/>
    <w:rPr>
      <w:rFonts w:ascii="宋体" w:hAnsi="宋体"/>
      <w:sz w:val="24"/>
      <w:szCs w:val="24"/>
    </w:rPr>
  </w:style>
  <w:style w:type="paragraph" w:customStyle="1" w:styleId="87">
    <w:name w:val="索引 11"/>
    <w:basedOn w:val="1"/>
    <w:qFormat/>
    <w:uiPriority w:val="0"/>
  </w:style>
  <w:style w:type="paragraph" w:customStyle="1" w:styleId="88">
    <w:name w:val="标题1"/>
    <w:basedOn w:val="1"/>
    <w:link w:val="89"/>
    <w:qFormat/>
    <w:uiPriority w:val="0"/>
    <w:pPr>
      <w:spacing w:before="240" w:after="60"/>
      <w:jc w:val="center"/>
      <w:outlineLvl w:val="0"/>
    </w:pPr>
    <w:rPr>
      <w:rFonts w:ascii="Cambria" w:hAnsi="Cambria"/>
      <w:b/>
      <w:bCs/>
      <w:sz w:val="32"/>
      <w:szCs w:val="32"/>
    </w:rPr>
  </w:style>
  <w:style w:type="character" w:customStyle="1" w:styleId="89">
    <w:name w:val="标题 字符"/>
    <w:link w:val="88"/>
    <w:qFormat/>
    <w:uiPriority w:val="0"/>
    <w:rPr>
      <w:rFonts w:ascii="Cambria" w:hAnsi="Cambria"/>
      <w:b/>
      <w:bCs/>
      <w:kern w:val="2"/>
      <w:sz w:val="32"/>
      <w:szCs w:val="32"/>
    </w:rPr>
  </w:style>
  <w:style w:type="paragraph" w:customStyle="1" w:styleId="90">
    <w:name w:val="批注主题1"/>
    <w:basedOn w:val="57"/>
    <w:link w:val="91"/>
    <w:qFormat/>
    <w:uiPriority w:val="0"/>
    <w:rPr>
      <w:b/>
      <w:bCs/>
    </w:rPr>
  </w:style>
  <w:style w:type="character" w:customStyle="1" w:styleId="91">
    <w:name w:val="批注主题 字符"/>
    <w:link w:val="90"/>
    <w:qFormat/>
    <w:uiPriority w:val="0"/>
    <w:rPr>
      <w:b/>
      <w:bCs/>
      <w:kern w:val="2"/>
      <w:sz w:val="21"/>
      <w:szCs w:val="24"/>
    </w:rPr>
  </w:style>
  <w:style w:type="paragraph" w:customStyle="1" w:styleId="92">
    <w:name w:val="正文文本首行缩进1"/>
    <w:basedOn w:val="59"/>
    <w:link w:val="93"/>
    <w:qFormat/>
    <w:uiPriority w:val="0"/>
    <w:pPr>
      <w:ind w:firstLine="420" w:firstLineChars="100"/>
    </w:pPr>
    <w:rPr>
      <w:szCs w:val="21"/>
    </w:rPr>
  </w:style>
  <w:style w:type="character" w:customStyle="1" w:styleId="93">
    <w:name w:val="正文文本首行缩进 字符"/>
    <w:link w:val="92"/>
    <w:qFormat/>
    <w:uiPriority w:val="0"/>
    <w:rPr>
      <w:kern w:val="2"/>
      <w:sz w:val="21"/>
      <w:szCs w:val="21"/>
    </w:rPr>
  </w:style>
  <w:style w:type="table" w:customStyle="1" w:styleId="94">
    <w:name w:val="网格型1"/>
    <w:basedOn w:val="42"/>
    <w:qFormat/>
    <w:uiPriority w:val="0"/>
    <w:pPr>
      <w:widowControl w:val="0"/>
      <w:jc w:val="both"/>
    </w:pPr>
    <w:tblPr>
      <w:tblCellMar>
        <w:top w:w="0" w:type="dxa"/>
        <w:left w:w="0" w:type="dxa"/>
        <w:bottom w:w="0" w:type="dxa"/>
        <w:right w:w="0" w:type="dxa"/>
      </w:tblCellMar>
    </w:tblPr>
  </w:style>
  <w:style w:type="character" w:customStyle="1" w:styleId="95">
    <w:name w:val="要点1"/>
    <w:qFormat/>
    <w:uiPriority w:val="0"/>
    <w:rPr>
      <w:b/>
      <w:bCs/>
    </w:rPr>
  </w:style>
  <w:style w:type="character" w:customStyle="1" w:styleId="96">
    <w:name w:val="尾注引用1"/>
    <w:qFormat/>
    <w:uiPriority w:val="0"/>
    <w:rPr>
      <w:vertAlign w:val="superscript"/>
    </w:rPr>
  </w:style>
  <w:style w:type="character" w:customStyle="1" w:styleId="97">
    <w:name w:val="页码1"/>
    <w:qFormat/>
    <w:uiPriority w:val="0"/>
  </w:style>
  <w:style w:type="character" w:customStyle="1" w:styleId="98">
    <w:name w:val="超链接1"/>
    <w:qFormat/>
    <w:uiPriority w:val="0"/>
    <w:rPr>
      <w:color w:val="0000FF"/>
      <w:u w:val="single"/>
    </w:rPr>
  </w:style>
  <w:style w:type="character" w:customStyle="1" w:styleId="99">
    <w:name w:val="批注引用1"/>
    <w:qFormat/>
    <w:uiPriority w:val="0"/>
    <w:rPr>
      <w:sz w:val="21"/>
      <w:szCs w:val="21"/>
    </w:rPr>
  </w:style>
  <w:style w:type="character" w:customStyle="1" w:styleId="100">
    <w:name w:val="脚注引用1"/>
    <w:qFormat/>
    <w:uiPriority w:val="0"/>
    <w:rPr>
      <w:vertAlign w:val="superscript"/>
    </w:rPr>
  </w:style>
  <w:style w:type="character" w:customStyle="1" w:styleId="101">
    <w:name w:val="正文文本 字符1"/>
    <w:qFormat/>
    <w:uiPriority w:val="0"/>
    <w:rPr>
      <w:rFonts w:ascii="宋体"/>
      <w:sz w:val="21"/>
      <w:szCs w:val="21"/>
    </w:rPr>
  </w:style>
  <w:style w:type="character" w:customStyle="1" w:styleId="102">
    <w:name w:val="apple-converted-space"/>
    <w:qFormat/>
    <w:uiPriority w:val="0"/>
  </w:style>
  <w:style w:type="character" w:customStyle="1" w:styleId="103">
    <w:name w:val="参审审核标题1 Char"/>
    <w:link w:val="104"/>
    <w:qFormat/>
    <w:uiPriority w:val="0"/>
    <w:rPr>
      <w:rFonts w:ascii="黑体" w:hAnsi="黑体" w:eastAsia="黑体"/>
      <w:b/>
      <w:kern w:val="2"/>
      <w:sz w:val="21"/>
      <w:szCs w:val="21"/>
    </w:rPr>
  </w:style>
  <w:style w:type="paragraph" w:customStyle="1" w:styleId="104">
    <w:name w:val="参审审核标题1"/>
    <w:basedOn w:val="1"/>
    <w:link w:val="103"/>
    <w:qFormat/>
    <w:uiPriority w:val="0"/>
    <w:pPr>
      <w:jc w:val="left"/>
      <w:outlineLvl w:val="0"/>
    </w:pPr>
    <w:rPr>
      <w:rFonts w:ascii="黑体" w:hAnsi="黑体" w:eastAsia="黑体"/>
      <w:b/>
      <w:szCs w:val="21"/>
    </w:rPr>
  </w:style>
  <w:style w:type="character" w:customStyle="1" w:styleId="105">
    <w:name w:val="style5"/>
    <w:qFormat/>
    <w:uiPriority w:val="0"/>
  </w:style>
  <w:style w:type="character" w:customStyle="1" w:styleId="106">
    <w:name w:val="日期 Char1"/>
    <w:qFormat/>
    <w:uiPriority w:val="0"/>
    <w:rPr>
      <w:kern w:val="2"/>
      <w:sz w:val="21"/>
      <w:szCs w:val="24"/>
    </w:rPr>
  </w:style>
  <w:style w:type="character" w:customStyle="1" w:styleId="107">
    <w:name w:val="副标题 Char1"/>
    <w:qFormat/>
    <w:uiPriority w:val="0"/>
    <w:rPr>
      <w:rFonts w:ascii="Cambria" w:hAnsi="Cambria"/>
      <w:b/>
      <w:bCs/>
      <w:kern w:val="28"/>
      <w:sz w:val="32"/>
      <w:szCs w:val="32"/>
    </w:rPr>
  </w:style>
  <w:style w:type="character" w:customStyle="1" w:styleId="108">
    <w:name w:val="缩进小标题4（一页纸） Char Char"/>
    <w:link w:val="109"/>
    <w:qFormat/>
    <w:uiPriority w:val="0"/>
    <w:rPr>
      <w:rFonts w:ascii="Arial" w:hAnsi="Arial" w:eastAsia="微软雅黑"/>
      <w:sz w:val="18"/>
      <w:szCs w:val="24"/>
    </w:rPr>
  </w:style>
  <w:style w:type="paragraph" w:customStyle="1" w:styleId="109">
    <w:name w:val="缩进小标题4（一页纸）"/>
    <w:basedOn w:val="1"/>
    <w:link w:val="108"/>
    <w:qFormat/>
    <w:uiPriority w:val="0"/>
    <w:pPr>
      <w:widowControl/>
      <w:numPr>
        <w:ilvl w:val="0"/>
        <w:numId w:val="1"/>
      </w:numPr>
      <w:tabs>
        <w:tab w:val="clear" w:pos="0"/>
      </w:tabs>
      <w:spacing w:line="360" w:lineRule="auto"/>
    </w:pPr>
    <w:rPr>
      <w:rFonts w:ascii="Arial" w:hAnsi="Arial" w:eastAsia="微软雅黑"/>
      <w:kern w:val="0"/>
      <w:sz w:val="18"/>
    </w:rPr>
  </w:style>
  <w:style w:type="character" w:customStyle="1" w:styleId="110">
    <w:name w:val="标题 2 Char_1_0"/>
    <w:link w:val="111"/>
    <w:qFormat/>
    <w:uiPriority w:val="0"/>
    <w:rPr>
      <w:rFonts w:ascii="Cambria" w:hAnsi="Cambria"/>
      <w:b/>
      <w:bCs/>
      <w:kern w:val="2"/>
      <w:sz w:val="32"/>
      <w:szCs w:val="32"/>
    </w:rPr>
  </w:style>
  <w:style w:type="paragraph" w:customStyle="1" w:styleId="111">
    <w:name w:val="标题 2_1_0"/>
    <w:basedOn w:val="112"/>
    <w:link w:val="110"/>
    <w:qFormat/>
    <w:uiPriority w:val="0"/>
    <w:pPr>
      <w:keepNext/>
      <w:keepLines/>
      <w:spacing w:before="260" w:after="260" w:line="416" w:lineRule="auto"/>
      <w:outlineLvl w:val="1"/>
    </w:pPr>
    <w:rPr>
      <w:rFonts w:ascii="Cambria" w:hAnsi="Cambria"/>
      <w:b/>
      <w:bCs/>
      <w:sz w:val="32"/>
      <w:szCs w:val="32"/>
    </w:rPr>
  </w:style>
  <w:style w:type="paragraph" w:customStyle="1" w:styleId="112">
    <w:name w:val="正文_12"/>
    <w:qFormat/>
    <w:uiPriority w:val="0"/>
    <w:pPr>
      <w:widowControl w:val="0"/>
      <w:autoSpaceDE w:val="0"/>
      <w:autoSpaceDN w:val="0"/>
      <w:ind w:left="-337" w:leftChars="-337" w:hanging="708" w:hangingChars="336"/>
    </w:pPr>
    <w:rPr>
      <w:rFonts w:ascii="Calibri" w:hAnsi="Calibri" w:eastAsia="宋体" w:cs="Times New Roman"/>
      <w:kern w:val="2"/>
      <w:sz w:val="21"/>
      <w:szCs w:val="22"/>
      <w:lang w:val="en-US" w:eastAsia="zh-CN" w:bidi="ar-SA"/>
    </w:rPr>
  </w:style>
  <w:style w:type="character" w:customStyle="1" w:styleId="113">
    <w:name w:val="纯文本 Char1_4"/>
    <w:link w:val="114"/>
    <w:qFormat/>
    <w:uiPriority w:val="0"/>
    <w:rPr>
      <w:rFonts w:ascii="宋体" w:hAnsi="Courier New"/>
      <w:kern w:val="2"/>
      <w:sz w:val="21"/>
    </w:rPr>
  </w:style>
  <w:style w:type="paragraph" w:customStyle="1" w:styleId="114">
    <w:name w:val="纯文本_4"/>
    <w:basedOn w:val="112"/>
    <w:link w:val="113"/>
    <w:qFormat/>
    <w:uiPriority w:val="0"/>
    <w:rPr>
      <w:rFonts w:ascii="宋体" w:hAnsi="Courier New"/>
      <w:szCs w:val="20"/>
    </w:rPr>
  </w:style>
  <w:style w:type="character" w:customStyle="1" w:styleId="115">
    <w:name w:val="GEDI正文样式 Char"/>
    <w:link w:val="116"/>
    <w:qFormat/>
    <w:uiPriority w:val="0"/>
    <w:rPr>
      <w:kern w:val="2"/>
      <w:sz w:val="21"/>
      <w:szCs w:val="24"/>
    </w:rPr>
  </w:style>
  <w:style w:type="paragraph" w:customStyle="1" w:styleId="116">
    <w:name w:val="GEDI正文样式"/>
    <w:basedOn w:val="1"/>
    <w:link w:val="115"/>
    <w:qFormat/>
    <w:uiPriority w:val="0"/>
    <w:pPr>
      <w:snapToGrid w:val="0"/>
      <w:spacing w:line="480" w:lineRule="atLeast"/>
      <w:ind w:firstLine="480" w:firstLineChars="200"/>
    </w:pPr>
  </w:style>
  <w:style w:type="paragraph" w:customStyle="1" w:styleId="117">
    <w:name w:val="Char"/>
    <w:basedOn w:val="1"/>
    <w:qFormat/>
    <w:uiPriority w:val="0"/>
  </w:style>
  <w:style w:type="paragraph" w:customStyle="1" w:styleId="118">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9">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0">
    <w:name w:val="列出段落1"/>
    <w:basedOn w:val="1"/>
    <w:qFormat/>
    <w:uiPriority w:val="0"/>
    <w:pPr>
      <w:ind w:firstLine="420" w:firstLineChars="200"/>
    </w:pPr>
    <w:rPr>
      <w:rFonts w:ascii="Calibri" w:hAnsi="Calibri"/>
      <w:szCs w:val="22"/>
    </w:rPr>
  </w:style>
  <w:style w:type="paragraph" w:customStyle="1" w:styleId="121">
    <w:name w:val="Default"/>
    <w:qFormat/>
    <w:uiPriority w:val="0"/>
    <w:pPr>
      <w:widowControl w:val="0"/>
      <w:autoSpaceDE w:val="0"/>
      <w:autoSpaceDN w:val="0"/>
    </w:pPr>
    <w:rPr>
      <w:rFonts w:ascii="宋体" w:hAnsi="Times New Roman" w:eastAsia="宋体" w:cs="Times New Roman"/>
      <w:color w:val="000000"/>
      <w:sz w:val="24"/>
      <w:szCs w:val="24"/>
      <w:lang w:val="en-US" w:eastAsia="zh-CN" w:bidi="ar-SA"/>
    </w:rPr>
  </w:style>
  <w:style w:type="paragraph" w:customStyle="1" w:styleId="122">
    <w:name w:val="采购申报表正文"/>
    <w:basedOn w:val="1"/>
    <w:qFormat/>
    <w:uiPriority w:val="0"/>
    <w:rPr>
      <w:rFonts w:ascii="仿宋_GB2312" w:eastAsia="仿宋_GB2312"/>
      <w:szCs w:val="28"/>
    </w:rPr>
  </w:style>
  <w:style w:type="paragraph" w:customStyle="1" w:styleId="123">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采购申报表备注"/>
    <w:basedOn w:val="1"/>
    <w:qFormat/>
    <w:uiPriority w:val="0"/>
    <w:pPr>
      <w:tabs>
        <w:tab w:val="left" w:pos="2634"/>
      </w:tabs>
    </w:pPr>
    <w:rPr>
      <w:rFonts w:ascii="仿宋_GB2312" w:eastAsia="仿宋_GB2312"/>
    </w:rPr>
  </w:style>
  <w:style w:type="paragraph" w:customStyle="1" w:styleId="125">
    <w:name w:val="TOC 标题1"/>
    <w:basedOn w:val="32"/>
    <w:qFormat/>
    <w:uiPriority w:val="0"/>
    <w:pPr>
      <w:widowControl/>
      <w:spacing w:before="480" w:after="0" w:line="276" w:lineRule="auto"/>
      <w:jc w:val="left"/>
      <w:outlineLvl w:val="9"/>
    </w:pPr>
    <w:rPr>
      <w:rFonts w:ascii="Cambria" w:hAnsi="Cambria"/>
      <w:color w:val="365F91"/>
      <w:kern w:val="0"/>
      <w:sz w:val="28"/>
      <w:szCs w:val="28"/>
    </w:rPr>
  </w:style>
  <w:style w:type="paragraph" w:styleId="126">
    <w:name w:val="List Paragraph"/>
    <w:basedOn w:val="1"/>
    <w:qFormat/>
    <w:uiPriority w:val="0"/>
    <w:pPr>
      <w:ind w:firstLine="420" w:firstLineChars="200"/>
    </w:pPr>
    <w:rPr>
      <w:rFonts w:ascii="Calibri" w:hAnsi="Calibri"/>
      <w:szCs w:val="22"/>
    </w:rPr>
  </w:style>
  <w:style w:type="paragraph" w:customStyle="1" w:styleId="127">
    <w:name w:val="采购申报表居中正文"/>
    <w:basedOn w:val="122"/>
    <w:qFormat/>
    <w:uiPriority w:val="0"/>
    <w:pPr>
      <w:jc w:val="center"/>
    </w:pPr>
    <w:rPr>
      <w:b/>
      <w:szCs w:val="21"/>
    </w:rPr>
  </w:style>
  <w:style w:type="paragraph" w:customStyle="1" w:styleId="128">
    <w:name w:val="Normal_15"/>
    <w:qFormat/>
    <w:uiPriority w:val="0"/>
    <w:rPr>
      <w:rFonts w:ascii="黑体" w:hAnsi="黑体" w:eastAsia="黑体" w:cs="Times New Roman"/>
      <w:b/>
      <w:sz w:val="32"/>
      <w:szCs w:val="24"/>
      <w:lang w:val="en-US" w:eastAsia="zh-CN" w:bidi="ar-SA"/>
    </w:rPr>
  </w:style>
  <w:style w:type="paragraph" w:customStyle="1" w:styleId="129">
    <w:name w:val="Char2"/>
    <w:basedOn w:val="1"/>
    <w:qFormat/>
    <w:uiPriority w:val="0"/>
    <w:rPr>
      <w:rFonts w:ascii="Tahoma" w:hAnsi="Tahoma"/>
      <w:sz w:val="24"/>
      <w:szCs w:val="20"/>
    </w:rPr>
  </w:style>
  <w:style w:type="paragraph" w:customStyle="1" w:styleId="130">
    <w:name w:val="Char Char1"/>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31">
    <w:name w:val="正文文本 3 Char"/>
    <w:link w:val="132"/>
    <w:qFormat/>
    <w:uiPriority w:val="0"/>
    <w:rPr>
      <w:rFonts w:ascii="宋体"/>
      <w:sz w:val="24"/>
    </w:rPr>
  </w:style>
  <w:style w:type="paragraph" w:customStyle="1" w:styleId="132">
    <w:name w:val="正文文本 31"/>
    <w:basedOn w:val="1"/>
    <w:link w:val="131"/>
    <w:qFormat/>
    <w:uiPriority w:val="0"/>
    <w:rPr>
      <w:rFonts w:ascii="宋体"/>
      <w:kern w:val="0"/>
      <w:sz w:val="24"/>
      <w:szCs w:val="20"/>
    </w:rPr>
  </w:style>
  <w:style w:type="paragraph" w:customStyle="1" w:styleId="133">
    <w:name w:val="无间隔11"/>
    <w:link w:val="134"/>
    <w:qFormat/>
    <w:uiPriority w:val="0"/>
    <w:rPr>
      <w:rFonts w:ascii="Times New Roman" w:hAnsi="Times New Roman" w:eastAsia="宋体" w:cs="Times New Roman"/>
      <w:sz w:val="22"/>
      <w:lang w:val="en-US" w:eastAsia="zh-CN" w:bidi="ar-SA"/>
    </w:rPr>
  </w:style>
  <w:style w:type="character" w:customStyle="1" w:styleId="134">
    <w:name w:val="无间隔 Char"/>
    <w:link w:val="133"/>
    <w:qFormat/>
    <w:uiPriority w:val="0"/>
    <w:rPr>
      <w:sz w:val="22"/>
    </w:rPr>
  </w:style>
  <w:style w:type="paragraph" w:customStyle="1" w:styleId="135">
    <w:name w:val="Table Paragraph"/>
    <w:basedOn w:val="1"/>
    <w:qFormat/>
    <w:uiPriority w:val="0"/>
    <w:pPr>
      <w:autoSpaceDE w:val="0"/>
      <w:autoSpaceDN w:val="0"/>
      <w:jc w:val="left"/>
    </w:pPr>
    <w:rPr>
      <w:rFonts w:ascii="宋体" w:hAnsi="宋体"/>
      <w:kern w:val="0"/>
      <w:sz w:val="22"/>
      <w:szCs w:val="22"/>
      <w:lang w:val="zh-CN" w:bidi="zh-CN"/>
    </w:rPr>
  </w:style>
  <w:style w:type="paragraph" w:customStyle="1" w:styleId="136">
    <w:name w:val="列表段落1"/>
    <w:basedOn w:val="1"/>
    <w:qFormat/>
    <w:uiPriority w:val="34"/>
    <w:pPr>
      <w:autoSpaceDE w:val="0"/>
      <w:autoSpaceDN w:val="0"/>
      <w:ind w:left="446" w:firstLine="480"/>
      <w:jc w:val="left"/>
    </w:pPr>
    <w:rPr>
      <w:rFonts w:ascii="宋体" w:hAnsi="宋体"/>
      <w:kern w:val="0"/>
      <w:sz w:val="22"/>
      <w:szCs w:val="22"/>
      <w:lang w:val="zh-CN" w:bidi="zh-CN"/>
    </w:rPr>
  </w:style>
  <w:style w:type="table" w:customStyle="1" w:styleId="137">
    <w:name w:val="Table Normal"/>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138">
    <w:name w:val="批注文字 Char"/>
    <w:qFormat/>
    <w:uiPriority w:val="0"/>
    <w:rPr>
      <w:rFonts w:ascii="Times New Roman" w:hAnsi="Times New Roman" w:eastAsia="宋体"/>
      <w:szCs w:val="24"/>
    </w:rPr>
  </w:style>
  <w:style w:type="character" w:customStyle="1" w:styleId="139">
    <w:name w:val="正文文本缩进 3 字符"/>
    <w:qFormat/>
    <w:uiPriority w:val="0"/>
    <w:rPr>
      <w:kern w:val="2"/>
      <w:sz w:val="16"/>
      <w:szCs w:val="16"/>
    </w:rPr>
  </w:style>
  <w:style w:type="paragraph" w:customStyle="1" w:styleId="140">
    <w:name w:val="Normal_1"/>
    <w:qFormat/>
    <w:uiPriority w:val="0"/>
    <w:rPr>
      <w:rFonts w:ascii="Times New Roman" w:hAnsi="Times New Roman" w:eastAsia="Times New Roman" w:cs="Times New Roman"/>
      <w:sz w:val="24"/>
      <w:szCs w:val="24"/>
      <w:lang w:val="en-US" w:eastAsia="zh-CN" w:bidi="ar-SA"/>
    </w:rPr>
  </w:style>
  <w:style w:type="character" w:customStyle="1" w:styleId="141">
    <w:name w:val="批注框文本 Char1"/>
    <w:semiHidden/>
    <w:qFormat/>
    <w:uiPriority w:val="0"/>
    <w:rPr>
      <w:rFonts w:ascii="Times New Roman" w:hAnsi="Times New Roman" w:eastAsia="宋体"/>
      <w:sz w:val="18"/>
      <w:szCs w:val="18"/>
    </w:rPr>
  </w:style>
  <w:style w:type="character" w:customStyle="1" w:styleId="142">
    <w:name w:val="标题 5 Char1"/>
    <w:semiHidden/>
    <w:qFormat/>
    <w:uiPriority w:val="0"/>
    <w:rPr>
      <w:rFonts w:ascii="Times New Roman" w:hAnsi="Times New Roman" w:eastAsia="宋体"/>
      <w:b/>
      <w:bCs/>
      <w:kern w:val="2"/>
      <w:sz w:val="28"/>
      <w:szCs w:val="28"/>
    </w:rPr>
  </w:style>
  <w:style w:type="character" w:customStyle="1" w:styleId="143">
    <w:name w:val="正文文本 Char"/>
    <w:semiHidden/>
    <w:qFormat/>
    <w:uiPriority w:val="0"/>
    <w:rPr>
      <w:rFonts w:ascii="Times New Roman" w:hAnsi="Times New Roman" w:eastAsia="宋体"/>
      <w:kern w:val="2"/>
      <w:sz w:val="21"/>
      <w:szCs w:val="24"/>
    </w:rPr>
  </w:style>
  <w:style w:type="paragraph" w:customStyle="1" w:styleId="144">
    <w:name w:val="Normal_0"/>
    <w:qFormat/>
    <w:uiPriority w:val="0"/>
    <w:pPr>
      <w:widowControl w:val="0"/>
      <w:jc w:val="both"/>
    </w:pPr>
    <w:rPr>
      <w:rFonts w:ascii="Times New Roman" w:hAnsi="Times New Roman" w:eastAsia="宋体" w:cs="Times New Roman"/>
      <w:szCs w:val="24"/>
      <w:lang w:val="en-US" w:eastAsia="zh-CN" w:bidi="ar-SA"/>
    </w:rPr>
  </w:style>
  <w:style w:type="paragraph" w:customStyle="1" w:styleId="145">
    <w:name w:val="正文1"/>
    <w:qFormat/>
    <w:uiPriority w:val="0"/>
    <w:pPr>
      <w:widowControl w:val="0"/>
      <w:jc w:val="both"/>
    </w:pPr>
    <w:rPr>
      <w:rFonts w:ascii="Calibri" w:hAnsi="Calibri" w:eastAsia="宋体" w:cs="Times New Roman"/>
      <w:color w:val="000000"/>
      <w:kern w:val="2"/>
      <w:sz w:val="24"/>
      <w:szCs w:val="24"/>
      <w:lang w:val="en-US" w:eastAsia="zh-CN" w:bidi="ar-SA"/>
    </w:rPr>
  </w:style>
  <w:style w:type="paragraph" w:customStyle="1" w:styleId="146">
    <w:name w:val="页脚1"/>
    <w:basedOn w:val="145"/>
    <w:link w:val="147"/>
    <w:qFormat/>
    <w:uiPriority w:val="0"/>
    <w:pPr>
      <w:tabs>
        <w:tab w:val="center" w:pos="4153"/>
        <w:tab w:val="right" w:pos="8306"/>
      </w:tabs>
      <w:snapToGrid w:val="0"/>
      <w:jc w:val="left"/>
    </w:pPr>
    <w:rPr>
      <w:sz w:val="18"/>
      <w:szCs w:val="18"/>
    </w:rPr>
  </w:style>
  <w:style w:type="character" w:customStyle="1" w:styleId="147">
    <w:name w:val="页脚 Char_0"/>
    <w:link w:val="146"/>
    <w:qFormat/>
    <w:uiPriority w:val="0"/>
    <w:rPr>
      <w:rFonts w:ascii="Calibri" w:hAnsi="Calibri"/>
      <w:kern w:val="2"/>
      <w:sz w:val="18"/>
      <w:szCs w:val="18"/>
    </w:rPr>
  </w:style>
  <w:style w:type="character" w:customStyle="1" w:styleId="148">
    <w:name w:val="未处理的提及1"/>
    <w:qFormat/>
    <w:uiPriority w:val="0"/>
    <w:rPr>
      <w:color w:val="605E5C"/>
      <w:shd w:val="clear" w:color="auto" w:fill="E1DFDD"/>
    </w:rPr>
  </w:style>
  <w:style w:type="character" w:customStyle="1" w:styleId="149">
    <w:name w:val="正文文本缩进 2 字符1"/>
    <w:qFormat/>
    <w:uiPriority w:val="0"/>
    <w:rPr>
      <w:rFonts w:ascii="宋体"/>
      <w:kern w:val="2"/>
      <w:sz w:val="24"/>
    </w:rPr>
  </w:style>
  <w:style w:type="character" w:customStyle="1" w:styleId="150">
    <w:name w:val="grame"/>
    <w:qFormat/>
    <w:uiPriority w:val="0"/>
  </w:style>
  <w:style w:type="paragraph" w:customStyle="1" w:styleId="151">
    <w:name w:val="修订1"/>
    <w:qFormat/>
    <w:uiPriority w:val="0"/>
    <w:rPr>
      <w:rFonts w:ascii="Times New Roman" w:hAnsi="Times New Roman" w:eastAsia="宋体" w:cs="Times New Roman"/>
      <w:kern w:val="2"/>
      <w:sz w:val="21"/>
      <w:szCs w:val="24"/>
      <w:lang w:val="en-US" w:eastAsia="zh-CN" w:bidi="ar-SA"/>
    </w:rPr>
  </w:style>
  <w:style w:type="character" w:customStyle="1" w:styleId="152">
    <w:name w:val="纯文本 Char"/>
    <w:link w:val="15"/>
    <w:qFormat/>
    <w:uiPriority w:val="0"/>
    <w:rPr>
      <w:rFonts w:ascii="宋体" w:eastAsia="宋体"/>
      <w:kern w:val="2"/>
      <w:sz w:val="21"/>
      <w:lang w:val="en-US" w:eastAsia="zh-CN" w:bidi="ar-SA"/>
    </w:rPr>
  </w:style>
  <w:style w:type="character" w:customStyle="1" w:styleId="153">
    <w:name w:val="页眉 Char"/>
    <w:basedOn w:val="28"/>
    <w:link w:val="19"/>
    <w:qFormat/>
    <w:uiPriority w:val="0"/>
    <w:rPr>
      <w:kern w:val="2"/>
      <w:sz w:val="18"/>
      <w:szCs w:val="18"/>
    </w:rPr>
  </w:style>
  <w:style w:type="character" w:customStyle="1" w:styleId="154">
    <w:name w:val="页脚 Char"/>
    <w:basedOn w:val="28"/>
    <w:link w:val="18"/>
    <w:qFormat/>
    <w:uiPriority w:val="0"/>
    <w:rPr>
      <w:kern w:val="2"/>
      <w:sz w:val="18"/>
      <w:szCs w:val="18"/>
    </w:rPr>
  </w:style>
  <w:style w:type="character" w:customStyle="1" w:styleId="155">
    <w:name w:val="纯文本 字符1"/>
    <w:basedOn w:val="28"/>
    <w:qFormat/>
    <w:uiPriority w:val="0"/>
    <w:rPr>
      <w:rFonts w:hAnsi="Courier New" w:cs="Courier New" w:asciiTheme="minorEastAsia" w:eastAsiaTheme="minorEastAsia"/>
      <w:kern w:val="2"/>
      <w:sz w:val="21"/>
      <w:szCs w:val="24"/>
    </w:rPr>
  </w:style>
  <w:style w:type="character" w:customStyle="1" w:styleId="156">
    <w:name w:val="标题 3 字符1"/>
    <w:basedOn w:val="28"/>
    <w:semiHidden/>
    <w:qFormat/>
    <w:uiPriority w:val="0"/>
    <w:rPr>
      <w:b/>
      <w:bCs/>
      <w:kern w:val="2"/>
      <w:sz w:val="32"/>
      <w:szCs w:val="32"/>
    </w:rPr>
  </w:style>
  <w:style w:type="character" w:customStyle="1" w:styleId="157">
    <w:name w:val="标题 1 Char"/>
    <w:basedOn w:val="28"/>
    <w:link w:val="4"/>
    <w:qFormat/>
    <w:uiPriority w:val="0"/>
    <w:rPr>
      <w:b/>
      <w:bCs/>
      <w:kern w:val="44"/>
      <w:sz w:val="44"/>
      <w:szCs w:val="44"/>
    </w:rPr>
  </w:style>
  <w:style w:type="character" w:customStyle="1" w:styleId="158">
    <w:name w:val="正文文本 Char1"/>
    <w:basedOn w:val="28"/>
    <w:link w:val="12"/>
    <w:qFormat/>
    <w:uiPriority w:val="0"/>
    <w:rPr>
      <w:kern w:val="2"/>
      <w:sz w:val="21"/>
      <w:szCs w:val="24"/>
    </w:rPr>
  </w:style>
  <w:style w:type="character" w:customStyle="1" w:styleId="159">
    <w:name w:val="正文首行缩进 Char"/>
    <w:basedOn w:val="158"/>
    <w:link w:val="25"/>
    <w:qFormat/>
    <w:uiPriority w:val="0"/>
    <w:rPr>
      <w:rFonts w:ascii="Calibri" w:hAnsi="Calibri"/>
      <w:kern w:val="2"/>
      <w:sz w:val="21"/>
      <w:szCs w:val="22"/>
    </w:rPr>
  </w:style>
  <w:style w:type="character" w:customStyle="1" w:styleId="160">
    <w:name w:val="正文文本 3 Char1"/>
    <w:basedOn w:val="28"/>
    <w:link w:val="11"/>
    <w:qFormat/>
    <w:uiPriority w:val="0"/>
    <w:rPr>
      <w:kern w:val="2"/>
      <w:sz w:val="16"/>
      <w:szCs w:val="16"/>
    </w:rPr>
  </w:style>
  <w:style w:type="character" w:customStyle="1" w:styleId="161">
    <w:name w:val="标题 2 Char"/>
    <w:basedOn w:val="28"/>
    <w:link w:val="5"/>
    <w:qFormat/>
    <w:uiPriority w:val="0"/>
    <w:rPr>
      <w:rFonts w:asciiTheme="majorHAnsi" w:hAnsiTheme="majorHAnsi" w:eastAsiaTheme="majorEastAsia" w:cstheme="majorBidi"/>
      <w:b/>
      <w:bCs/>
      <w:kern w:val="2"/>
      <w:sz w:val="32"/>
      <w:szCs w:val="32"/>
    </w:rPr>
  </w:style>
  <w:style w:type="character" w:customStyle="1" w:styleId="162">
    <w:name w:val="标题 8 Char"/>
    <w:basedOn w:val="28"/>
    <w:link w:val="9"/>
    <w:semiHidden/>
    <w:qFormat/>
    <w:uiPriority w:val="0"/>
    <w:rPr>
      <w:rFonts w:asciiTheme="majorHAnsi" w:hAnsiTheme="majorHAnsi" w:eastAsiaTheme="majorEastAsia" w:cstheme="majorBidi"/>
      <w:kern w:val="2"/>
      <w:sz w:val="24"/>
      <w:szCs w:val="24"/>
    </w:rPr>
  </w:style>
  <w:style w:type="character" w:customStyle="1" w:styleId="163">
    <w:name w:val="正文文本缩进 2 Char"/>
    <w:basedOn w:val="28"/>
    <w:link w:val="16"/>
    <w:qFormat/>
    <w:uiPriority w:val="0"/>
    <w:rPr>
      <w:kern w:val="2"/>
      <w:sz w:val="21"/>
      <w:szCs w:val="24"/>
    </w:rPr>
  </w:style>
  <w:style w:type="paragraph" w:customStyle="1" w:styleId="164">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165">
    <w:name w:val="标题 4 Char"/>
    <w:basedOn w:val="28"/>
    <w:link w:val="8"/>
    <w:qFormat/>
    <w:uiPriority w:val="0"/>
    <w:rPr>
      <w:rFonts w:asciiTheme="majorHAnsi" w:hAnsiTheme="majorHAnsi" w:eastAsiaTheme="majorEastAsia" w:cstheme="majorBidi"/>
      <w:b/>
      <w:bCs/>
      <w:kern w:val="2"/>
      <w:sz w:val="28"/>
      <w:szCs w:val="28"/>
    </w:rPr>
  </w:style>
  <w:style w:type="character" w:customStyle="1" w:styleId="166">
    <w:name w:val="标题 Char"/>
    <w:basedOn w:val="28"/>
    <w:link w:val="24"/>
    <w:qFormat/>
    <w:uiPriority w:val="0"/>
    <w:rPr>
      <w:rFonts w:asciiTheme="majorHAnsi" w:hAnsiTheme="majorHAnsi" w:eastAsiaTheme="majorEastAsia" w:cstheme="majorBidi"/>
      <w:b/>
      <w:bCs/>
      <w:kern w:val="2"/>
      <w:sz w:val="32"/>
      <w:szCs w:val="32"/>
    </w:rPr>
  </w:style>
  <w:style w:type="character" w:customStyle="1" w:styleId="167">
    <w:name w:val="正文文本缩进 Char"/>
    <w:basedOn w:val="28"/>
    <w:link w:val="3"/>
    <w:qFormat/>
    <w:uiPriority w:val="0"/>
    <w:rPr>
      <w:kern w:val="2"/>
      <w:sz w:val="21"/>
      <w:szCs w:val="24"/>
    </w:rPr>
  </w:style>
  <w:style w:type="character" w:customStyle="1" w:styleId="168">
    <w:name w:val="批注框文本 Char"/>
    <w:basedOn w:val="28"/>
    <w:link w:val="17"/>
    <w:qFormat/>
    <w:uiPriority w:val="0"/>
    <w:rPr>
      <w:kern w:val="2"/>
      <w:sz w:val="18"/>
      <w:szCs w:val="18"/>
    </w:rPr>
  </w:style>
  <w:style w:type="paragraph" w:customStyle="1" w:styleId="169">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170">
    <w:name w:val="font41"/>
    <w:basedOn w:val="28"/>
    <w:qFormat/>
    <w:uiPriority w:val="0"/>
    <w:rPr>
      <w:rFonts w:hint="eastAsia" w:ascii="宋体" w:hAnsi="宋体" w:eastAsia="宋体" w:cs="宋体"/>
      <w:color w:val="333333"/>
      <w:sz w:val="22"/>
      <w:szCs w:val="22"/>
      <w:u w:val="none"/>
    </w:rPr>
  </w:style>
  <w:style w:type="character" w:customStyle="1" w:styleId="171">
    <w:name w:val="font31"/>
    <w:basedOn w:val="28"/>
    <w:qFormat/>
    <w:uiPriority w:val="0"/>
    <w:rPr>
      <w:rFonts w:ascii="宋体" w:hAnsi="宋体" w:eastAsia="宋体" w:cs="宋体"/>
      <w:color w:val="000000"/>
      <w:sz w:val="18"/>
      <w:szCs w:val="18"/>
      <w:u w:val="none"/>
    </w:rPr>
  </w:style>
  <w:style w:type="character" w:customStyle="1" w:styleId="172">
    <w:name w:val="font112"/>
    <w:basedOn w:val="28"/>
    <w:qFormat/>
    <w:uiPriority w:val="0"/>
    <w:rPr>
      <w:rFonts w:hint="default" w:ascii="Times New Roman" w:hAnsi="Times New Roman" w:cs="Times New Roman"/>
      <w:color w:val="000000"/>
      <w:sz w:val="18"/>
      <w:szCs w:val="18"/>
      <w:u w:val="none"/>
    </w:rPr>
  </w:style>
  <w:style w:type="character" w:customStyle="1" w:styleId="173">
    <w:name w:val="font51"/>
    <w:basedOn w:val="28"/>
    <w:qFormat/>
    <w:uiPriority w:val="0"/>
    <w:rPr>
      <w:rFonts w:hint="eastAsia" w:ascii="宋体" w:hAnsi="宋体" w:eastAsia="宋体" w:cs="宋体"/>
      <w:color w:val="000000"/>
      <w:sz w:val="18"/>
      <w:szCs w:val="18"/>
      <w:u w:val="none"/>
    </w:rPr>
  </w:style>
  <w:style w:type="character" w:customStyle="1" w:styleId="174">
    <w:name w:val="font121"/>
    <w:basedOn w:val="28"/>
    <w:qFormat/>
    <w:uiPriority w:val="0"/>
    <w:rPr>
      <w:rFonts w:hint="eastAsia" w:ascii="宋体" w:hAnsi="宋体" w:eastAsia="宋体" w:cs="宋体"/>
      <w:color w:val="333333"/>
      <w:sz w:val="22"/>
      <w:szCs w:val="22"/>
      <w:u w:val="none"/>
    </w:rPr>
  </w:style>
  <w:style w:type="character" w:customStyle="1" w:styleId="175">
    <w:name w:val="font21"/>
    <w:basedOn w:val="28"/>
    <w:qFormat/>
    <w:uiPriority w:val="0"/>
    <w:rPr>
      <w:rFonts w:hint="eastAsia" w:ascii="宋体" w:hAnsi="宋体" w:eastAsia="宋体" w:cs="宋体"/>
      <w:color w:val="000000"/>
      <w:sz w:val="22"/>
      <w:szCs w:val="22"/>
      <w:u w:val="none"/>
    </w:rPr>
  </w:style>
  <w:style w:type="character" w:customStyle="1" w:styleId="176">
    <w:name w:val="font131"/>
    <w:basedOn w:val="28"/>
    <w:qFormat/>
    <w:uiPriority w:val="0"/>
    <w:rPr>
      <w:rFonts w:ascii="Arial" w:hAnsi="Arial" w:cs="Arial"/>
      <w:color w:val="000000"/>
      <w:sz w:val="18"/>
      <w:szCs w:val="18"/>
      <w:u w:val="none"/>
    </w:rPr>
  </w:style>
  <w:style w:type="character" w:customStyle="1" w:styleId="177">
    <w:name w:val="font11"/>
    <w:basedOn w:val="28"/>
    <w:qFormat/>
    <w:uiPriority w:val="0"/>
    <w:rPr>
      <w:rFonts w:ascii="宋体" w:hAnsi="宋体" w:eastAsia="宋体" w:cs="宋体"/>
      <w:color w:val="000000"/>
      <w:sz w:val="18"/>
      <w:szCs w:val="18"/>
      <w:u w:val="none"/>
    </w:rPr>
  </w:style>
  <w:style w:type="paragraph" w:customStyle="1" w:styleId="178">
    <w:name w:val="注×："/>
    <w:qFormat/>
    <w:uiPriority w:val="99"/>
    <w:pPr>
      <w:widowControl w:val="0"/>
      <w:tabs>
        <w:tab w:val="left" w:pos="630"/>
      </w:tabs>
      <w:autoSpaceDE w:val="0"/>
      <w:autoSpaceDN w:val="0"/>
      <w:jc w:val="both"/>
    </w:pPr>
    <w:rPr>
      <w:rFonts w:ascii="宋体"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B3F8F-70C6-4FB9-924A-27F2B1FF877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107</Pages>
  <Words>48100</Words>
  <Characters>54690</Characters>
  <Lines>462</Lines>
  <Paragraphs>130</Paragraphs>
  <TotalTime>8</TotalTime>
  <ScaleCrop>false</ScaleCrop>
  <LinksUpToDate>false</LinksUpToDate>
  <CharactersWithSpaces>57332</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2024-07-02T08:41:00Z</dcterms:created>
  <dc:creator>云南宸凯招标信息咨询有限公司</dc:creator>
  <cp:lastModifiedBy>Rainbow</cp:lastModifiedBy>
  <cp:lastPrinted>2024-08-20T06:59:00Z</cp:lastPrinted>
  <dcterms:modified xsi:type="dcterms:W3CDTF">2024-08-29T07:57:18Z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C991C265872A40868FCB8922A2B0333D_13</vt:lpwstr>
  </property>
</Properties>
</file>