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F0C70">
      <w:pPr>
        <w:jc w:val="center"/>
        <w:rPr>
          <w:rFonts w:hint="eastAsia"/>
          <w:b/>
          <w:bCs/>
          <w:sz w:val="28"/>
          <w:szCs w:val="36"/>
          <w:lang w:val="en-US" w:eastAsia="zh-CN"/>
        </w:rPr>
      </w:pPr>
      <w:r>
        <w:rPr>
          <w:rFonts w:hint="eastAsia"/>
          <w:b/>
          <w:bCs/>
          <w:sz w:val="28"/>
          <w:szCs w:val="36"/>
          <w:lang w:val="en-US" w:eastAsia="zh-CN"/>
        </w:rPr>
        <w:t>采购需求</w:t>
      </w:r>
    </w:p>
    <w:p w14:paraId="707D3611">
      <w:pPr>
        <w:pStyle w:val="2"/>
        <w:spacing w:line="240" w:lineRule="auto"/>
        <w:rPr>
          <w:rFonts w:hint="eastAsia"/>
          <w:lang w:val="en-US" w:eastAsia="zh-CN"/>
        </w:rPr>
      </w:pPr>
    </w:p>
    <w:p w14:paraId="2386C814">
      <w:pPr>
        <w:shd w:val="clear" w:color="auto" w:fill="auto"/>
        <w:spacing w:line="360" w:lineRule="auto"/>
        <w:rPr>
          <w:rFonts w:hint="eastAsia"/>
          <w:b/>
          <w:bCs/>
          <w:sz w:val="24"/>
          <w:szCs w:val="22"/>
          <w:highlight w:val="none"/>
        </w:rPr>
      </w:pPr>
      <w:r>
        <w:rPr>
          <w:rStyle w:val="7"/>
          <w:rFonts w:hint="eastAsia" w:ascii="宋体" w:hAnsi="宋体" w:eastAsia="宋体" w:cs="宋体"/>
          <w:b/>
          <w:bCs/>
          <w:color w:val="auto"/>
          <w:sz w:val="24"/>
          <w:szCs w:val="24"/>
          <w:highlight w:val="none"/>
          <w:lang w:val="en-US" w:eastAsia="zh-CN"/>
        </w:rPr>
        <w:t>一</w:t>
      </w:r>
      <w:r>
        <w:rPr>
          <w:rStyle w:val="7"/>
          <w:rFonts w:hint="eastAsia" w:ascii="宋体" w:hAnsi="宋体" w:eastAsia="宋体" w:cs="宋体"/>
          <w:b/>
          <w:bCs/>
          <w:color w:val="auto"/>
          <w:sz w:val="24"/>
          <w:szCs w:val="24"/>
          <w:highlight w:val="none"/>
        </w:rPr>
        <w:t>、</w:t>
      </w:r>
      <w:r>
        <w:rPr>
          <w:rFonts w:hint="eastAsia"/>
          <w:b/>
          <w:bCs/>
          <w:sz w:val="24"/>
          <w:szCs w:val="22"/>
        </w:rPr>
        <w:t>项目背景</w:t>
      </w:r>
    </w:p>
    <w:p w14:paraId="7BFD1351">
      <w:pPr>
        <w:shd w:val="clear" w:color="auto" w:fill="auto"/>
        <w:spacing w:afterAutospacing="0"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为切实做好2026年民生实事中“为1000名65岁以上城乡独居老年人免费安装联网型独立感烟火灾报警器项目”工作，拟通过公开招标方式确定第三方专业单位</w:t>
      </w:r>
      <w:r>
        <w:rPr>
          <w:rFonts w:hint="eastAsia" w:ascii="宋体" w:hAnsi="宋体" w:eastAsia="宋体" w:cs="宋体"/>
          <w:sz w:val="24"/>
          <w:szCs w:val="24"/>
        </w:rPr>
        <w:t>。</w:t>
      </w:r>
      <w:r>
        <w:rPr>
          <w:rFonts w:hint="eastAsia" w:ascii="宋体" w:hAnsi="宋体" w:eastAsia="宋体" w:cs="宋体"/>
          <w:sz w:val="24"/>
          <w:szCs w:val="24"/>
          <w:lang w:val="en-US" w:eastAsia="zh-CN"/>
        </w:rPr>
        <w:tab/>
      </w:r>
    </w:p>
    <w:p w14:paraId="107B9F42">
      <w:pPr>
        <w:numPr>
          <w:ilvl w:val="0"/>
          <w:numId w:val="0"/>
        </w:numPr>
        <w:spacing w:beforeAutospacing="0" w:line="360" w:lineRule="auto"/>
        <w:ind w:leftChars="0"/>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采购清单</w:t>
      </w:r>
    </w:p>
    <w:tbl>
      <w:tblPr>
        <w:tblStyle w:val="5"/>
        <w:tblW w:w="53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110"/>
        <w:gridCol w:w="5739"/>
        <w:gridCol w:w="804"/>
        <w:gridCol w:w="807"/>
      </w:tblGrid>
      <w:tr w14:paraId="2DC97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1" w:type="pct"/>
            <w:noWrap w:val="0"/>
            <w:vAlign w:val="center"/>
          </w:tcPr>
          <w:p w14:paraId="06C14C73">
            <w:pPr>
              <w:widowControl w:val="0"/>
              <w:spacing w:line="360" w:lineRule="auto"/>
              <w:jc w:val="center"/>
              <w:rPr>
                <w:rStyle w:val="8"/>
                <w:rFonts w:hint="eastAsia" w:ascii="宋体" w:hAnsi="宋体" w:eastAsia="宋体" w:cs="宋体"/>
                <w:b/>
                <w:bCs/>
                <w:color w:val="000000"/>
                <w:sz w:val="24"/>
                <w:szCs w:val="24"/>
                <w:lang w:eastAsia="zh-CN" w:bidi="ar"/>
              </w:rPr>
            </w:pPr>
            <w:r>
              <w:rPr>
                <w:rStyle w:val="8"/>
                <w:rFonts w:hint="eastAsia" w:ascii="宋体" w:hAnsi="宋体" w:eastAsia="宋体" w:cs="宋体"/>
                <w:b/>
                <w:bCs/>
                <w:color w:val="000000"/>
                <w:sz w:val="24"/>
                <w:szCs w:val="24"/>
                <w:lang w:eastAsia="zh-CN" w:bidi="ar"/>
              </w:rPr>
              <w:t>序号</w:t>
            </w:r>
          </w:p>
        </w:tc>
        <w:tc>
          <w:tcPr>
            <w:tcW w:w="606" w:type="pct"/>
            <w:noWrap w:val="0"/>
            <w:vAlign w:val="center"/>
          </w:tcPr>
          <w:p w14:paraId="7A28B0B7">
            <w:pPr>
              <w:widowControl w:val="0"/>
              <w:spacing w:line="360" w:lineRule="auto"/>
              <w:jc w:val="center"/>
              <w:rPr>
                <w:rStyle w:val="8"/>
                <w:rFonts w:hint="eastAsia" w:ascii="宋体" w:hAnsi="宋体" w:eastAsia="宋体" w:cs="宋体"/>
                <w:b/>
                <w:bCs/>
                <w:color w:val="000000"/>
                <w:sz w:val="24"/>
                <w:szCs w:val="24"/>
                <w:lang w:eastAsia="zh-CN" w:bidi="ar"/>
              </w:rPr>
            </w:pPr>
            <w:r>
              <w:rPr>
                <w:rStyle w:val="8"/>
                <w:rFonts w:hint="eastAsia" w:ascii="宋体" w:hAnsi="宋体" w:eastAsia="宋体" w:cs="宋体"/>
                <w:b/>
                <w:bCs/>
                <w:color w:val="000000"/>
                <w:sz w:val="24"/>
                <w:szCs w:val="24"/>
                <w:lang w:eastAsia="zh-CN" w:bidi="ar"/>
              </w:rPr>
              <w:t>设备</w:t>
            </w:r>
          </w:p>
          <w:p w14:paraId="243D2E78">
            <w:pPr>
              <w:widowControl w:val="0"/>
              <w:spacing w:line="360" w:lineRule="auto"/>
              <w:jc w:val="center"/>
              <w:rPr>
                <w:rStyle w:val="8"/>
                <w:rFonts w:hint="eastAsia" w:ascii="宋体" w:hAnsi="宋体" w:eastAsia="宋体" w:cs="宋体"/>
                <w:b/>
                <w:bCs/>
                <w:color w:val="000000"/>
                <w:sz w:val="24"/>
                <w:szCs w:val="24"/>
                <w:lang w:eastAsia="zh-CN" w:bidi="ar"/>
              </w:rPr>
            </w:pPr>
            <w:r>
              <w:rPr>
                <w:rStyle w:val="8"/>
                <w:rFonts w:hint="eastAsia" w:ascii="宋体" w:hAnsi="宋体" w:eastAsia="宋体" w:cs="宋体"/>
                <w:b/>
                <w:bCs/>
                <w:color w:val="000000"/>
                <w:sz w:val="24"/>
                <w:szCs w:val="24"/>
                <w:lang w:eastAsia="zh-CN" w:bidi="ar"/>
              </w:rPr>
              <w:t>名称</w:t>
            </w:r>
          </w:p>
        </w:tc>
        <w:tc>
          <w:tcPr>
            <w:tcW w:w="3132" w:type="pct"/>
            <w:noWrap w:val="0"/>
            <w:vAlign w:val="center"/>
          </w:tcPr>
          <w:p w14:paraId="7F08E58F">
            <w:pPr>
              <w:widowControl w:val="0"/>
              <w:spacing w:line="360" w:lineRule="auto"/>
              <w:jc w:val="center"/>
              <w:rPr>
                <w:rStyle w:val="8"/>
                <w:rFonts w:hint="eastAsia" w:ascii="宋体" w:hAnsi="宋体" w:eastAsia="宋体" w:cs="宋体"/>
                <w:b/>
                <w:bCs/>
                <w:color w:val="000000"/>
                <w:sz w:val="24"/>
                <w:szCs w:val="24"/>
                <w:lang w:eastAsia="zh-CN" w:bidi="ar"/>
              </w:rPr>
            </w:pPr>
            <w:r>
              <w:rPr>
                <w:rStyle w:val="8"/>
                <w:rFonts w:hint="eastAsia" w:ascii="宋体" w:hAnsi="宋体" w:eastAsia="宋体" w:cs="宋体"/>
                <w:b/>
                <w:bCs/>
                <w:color w:val="000000"/>
                <w:sz w:val="24"/>
                <w:szCs w:val="24"/>
                <w:lang w:eastAsia="zh-CN" w:bidi="ar"/>
              </w:rPr>
              <w:t>技术参数</w:t>
            </w:r>
          </w:p>
        </w:tc>
        <w:tc>
          <w:tcPr>
            <w:tcW w:w="439" w:type="pct"/>
            <w:noWrap w:val="0"/>
            <w:vAlign w:val="center"/>
          </w:tcPr>
          <w:p w14:paraId="2CC6A4D6">
            <w:pPr>
              <w:widowControl w:val="0"/>
              <w:spacing w:line="360" w:lineRule="auto"/>
              <w:jc w:val="center"/>
              <w:rPr>
                <w:rStyle w:val="8"/>
                <w:rFonts w:hint="eastAsia" w:ascii="宋体" w:hAnsi="宋体" w:eastAsia="宋体" w:cs="宋体"/>
                <w:b/>
                <w:bCs/>
                <w:color w:val="000000"/>
                <w:sz w:val="24"/>
                <w:szCs w:val="24"/>
                <w:lang w:eastAsia="zh-CN" w:bidi="ar"/>
              </w:rPr>
            </w:pPr>
            <w:r>
              <w:rPr>
                <w:rStyle w:val="8"/>
                <w:rFonts w:hint="eastAsia" w:ascii="宋体" w:hAnsi="宋体" w:eastAsia="宋体" w:cs="宋体"/>
                <w:b/>
                <w:bCs/>
                <w:color w:val="000000"/>
                <w:sz w:val="24"/>
                <w:szCs w:val="24"/>
                <w:lang w:eastAsia="zh-CN" w:bidi="ar"/>
              </w:rPr>
              <w:t>单位</w:t>
            </w:r>
          </w:p>
        </w:tc>
        <w:tc>
          <w:tcPr>
            <w:tcW w:w="440" w:type="pct"/>
            <w:noWrap w:val="0"/>
            <w:vAlign w:val="center"/>
          </w:tcPr>
          <w:p w14:paraId="253B188B">
            <w:pPr>
              <w:widowControl w:val="0"/>
              <w:spacing w:line="360" w:lineRule="auto"/>
              <w:jc w:val="center"/>
              <w:rPr>
                <w:rStyle w:val="8"/>
                <w:rFonts w:hint="eastAsia" w:ascii="宋体" w:hAnsi="宋体" w:eastAsia="宋体" w:cs="宋体"/>
                <w:b/>
                <w:bCs/>
                <w:color w:val="000000"/>
                <w:sz w:val="24"/>
                <w:szCs w:val="24"/>
                <w:lang w:eastAsia="zh-CN" w:bidi="ar"/>
              </w:rPr>
            </w:pPr>
            <w:r>
              <w:rPr>
                <w:rStyle w:val="8"/>
                <w:rFonts w:hint="eastAsia" w:ascii="宋体" w:hAnsi="宋体" w:eastAsia="宋体" w:cs="宋体"/>
                <w:b/>
                <w:bCs/>
                <w:color w:val="000000"/>
                <w:sz w:val="24"/>
                <w:szCs w:val="24"/>
                <w:lang w:eastAsia="zh-CN" w:bidi="ar"/>
              </w:rPr>
              <w:t>数量</w:t>
            </w:r>
          </w:p>
        </w:tc>
      </w:tr>
      <w:tr w14:paraId="2EE5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1" w:type="pct"/>
            <w:noWrap w:val="0"/>
            <w:vAlign w:val="center"/>
          </w:tcPr>
          <w:p w14:paraId="69DDA707">
            <w:pPr>
              <w:widowControl w:val="0"/>
              <w:spacing w:line="360" w:lineRule="auto"/>
              <w:jc w:val="center"/>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1</w:t>
            </w:r>
          </w:p>
        </w:tc>
        <w:tc>
          <w:tcPr>
            <w:tcW w:w="606" w:type="pct"/>
            <w:noWrap w:val="0"/>
            <w:vAlign w:val="center"/>
          </w:tcPr>
          <w:p w14:paraId="0C23281A">
            <w:pPr>
              <w:keepNext w:val="0"/>
              <w:keepLines w:val="0"/>
              <w:widowControl/>
              <w:suppressLineNumbers w:val="0"/>
              <w:kinsoku/>
              <w:autoSpaceDE/>
              <w:autoSpaceDN/>
              <w:adjustRightInd/>
              <w:snapToGrid/>
              <w:spacing w:line="360" w:lineRule="auto"/>
              <w:jc w:val="center"/>
              <w:textAlignment w:val="top"/>
              <w:rPr>
                <w:rStyle w:val="8"/>
                <w:rFonts w:hint="eastAsia" w:ascii="宋体" w:hAnsi="宋体" w:eastAsia="宋体" w:cs="宋体"/>
                <w:color w:val="000000"/>
                <w:sz w:val="24"/>
                <w:szCs w:val="24"/>
                <w:lang w:eastAsia="zh-CN" w:bidi="ar"/>
              </w:rPr>
            </w:pPr>
            <w:r>
              <w:rPr>
                <w:rFonts w:hint="eastAsia" w:ascii="宋体" w:hAnsi="宋体" w:eastAsia="宋体" w:cs="宋体"/>
                <w:sz w:val="24"/>
                <w:szCs w:val="24"/>
                <w:lang w:val="en-US" w:eastAsia="zh-CN" w:bidi="ar"/>
              </w:rPr>
              <w:t>感烟火灾探测报警设备</w:t>
            </w:r>
          </w:p>
        </w:tc>
        <w:tc>
          <w:tcPr>
            <w:tcW w:w="3132" w:type="pct"/>
            <w:noWrap w:val="0"/>
            <w:vAlign w:val="top"/>
          </w:tcPr>
          <w:p w14:paraId="7CCCDD70">
            <w:pPr>
              <w:keepNext w:val="0"/>
              <w:keepLines w:val="0"/>
              <w:pageBreakBefore w:val="0"/>
              <w:widowControl w:val="0"/>
              <w:numPr>
                <w:ilvl w:val="0"/>
                <w:numId w:val="0"/>
              </w:numPr>
              <w:kinsoku/>
              <w:wordWrap/>
              <w:topLinePunct w:val="0"/>
              <w:autoSpaceDN/>
              <w:bidi w:val="0"/>
              <w:adjustRightInd/>
              <w:snapToGrid/>
              <w:spacing w:line="360" w:lineRule="auto"/>
              <w:ind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color w:val="auto"/>
                <w:sz w:val="24"/>
                <w:szCs w:val="24"/>
              </w:rPr>
              <w:t>报警器应符合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GB 20517-</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独立式感烟火灾探测报警器》</w:t>
            </w:r>
            <w:r>
              <w:rPr>
                <w:rFonts w:hint="eastAsia" w:ascii="宋体" w:hAnsi="宋体" w:eastAsia="宋体" w:cs="宋体"/>
                <w:color w:val="auto"/>
                <w:sz w:val="24"/>
                <w:szCs w:val="24"/>
                <w:lang w:val="en-US" w:eastAsia="zh-CN"/>
              </w:rPr>
              <w:t>标准要求</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rPr>
              <w:t>强制认证证书和认证标识</w:t>
            </w:r>
            <w:r>
              <w:rPr>
                <w:rFonts w:hint="eastAsia" w:ascii="宋体" w:hAnsi="宋体" w:eastAsia="宋体" w:cs="宋体"/>
                <w:color w:val="auto"/>
                <w:sz w:val="24"/>
                <w:szCs w:val="24"/>
                <w:lang w:eastAsia="zh-CN"/>
              </w:rPr>
              <w:t>；（具体执行</w:t>
            </w:r>
            <w:r>
              <w:rPr>
                <w:rFonts w:hint="eastAsia" w:ascii="宋体" w:hAnsi="宋体" w:eastAsia="宋体" w:cs="宋体"/>
                <w:color w:val="auto"/>
                <w:sz w:val="24"/>
                <w:szCs w:val="24"/>
                <w:lang w:val="en-US" w:eastAsia="zh-CN"/>
              </w:rPr>
              <w:t>详</w:t>
            </w:r>
            <w:r>
              <w:rPr>
                <w:rFonts w:hint="eastAsia" w:ascii="宋体" w:hAnsi="宋体" w:eastAsia="宋体" w:cs="宋体"/>
                <w:color w:val="auto"/>
                <w:sz w:val="24"/>
                <w:szCs w:val="24"/>
                <w:lang w:eastAsia="zh-CN"/>
              </w:rPr>
              <w:t>见应急管理部消防产品合格评定中心“关于火灾探测报警产品强制性认证实施细则（C/3版）修订及执行新版独立式感烟火灾探测报警器产品国家标准有关要求的通知”。）</w:t>
            </w:r>
          </w:p>
          <w:p w14:paraId="6D0FBCBF">
            <w:pPr>
              <w:keepNext w:val="0"/>
              <w:keepLines w:val="0"/>
              <w:pageBreakBefore w:val="0"/>
              <w:widowControl w:val="0"/>
              <w:numPr>
                <w:ilvl w:val="0"/>
                <w:numId w:val="1"/>
              </w:numPr>
              <w:kinsoku/>
              <w:wordWrap/>
              <w:topLinePunct w:val="0"/>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lang w:bidi="ar"/>
              </w:rPr>
              <w:t>电池容量应能保证报警器正常工作时间不少于3</w:t>
            </w:r>
            <w:bookmarkStart w:id="0" w:name="_GoBack"/>
            <w:bookmarkEnd w:id="0"/>
            <w:r>
              <w:rPr>
                <w:rFonts w:hint="eastAsia" w:ascii="宋体" w:hAnsi="宋体" w:eastAsia="宋体" w:cs="宋体"/>
                <w:sz w:val="24"/>
                <w:szCs w:val="24"/>
                <w:lang w:bidi="ar"/>
              </w:rPr>
              <w:t>年</w:t>
            </w:r>
            <w:r>
              <w:rPr>
                <w:rFonts w:hint="eastAsia" w:ascii="宋体" w:hAnsi="宋体" w:eastAsia="宋体" w:cs="宋体"/>
                <w:sz w:val="24"/>
                <w:szCs w:val="24"/>
                <w:lang w:eastAsia="zh-CN" w:bidi="ar"/>
              </w:rPr>
              <w:t>；</w:t>
            </w:r>
          </w:p>
          <w:p w14:paraId="24BCAE81">
            <w:pPr>
              <w:keepNext w:val="0"/>
              <w:keepLines w:val="0"/>
              <w:pageBreakBefore w:val="0"/>
              <w:widowControl w:val="0"/>
              <w:numPr>
                <w:ilvl w:val="0"/>
                <w:numId w:val="1"/>
              </w:numPr>
              <w:kinsoku/>
              <w:wordWrap/>
              <w:topLinePunct w:val="0"/>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▲报警</w:t>
            </w:r>
            <w:r>
              <w:rPr>
                <w:rFonts w:hint="eastAsia" w:ascii="宋体" w:hAnsi="宋体" w:eastAsia="宋体" w:cs="宋体"/>
                <w:color w:val="auto"/>
                <w:sz w:val="24"/>
                <w:szCs w:val="24"/>
                <w:lang w:val="en-US" w:eastAsia="zh-CN" w:bidi="ar"/>
              </w:rPr>
              <w:t>器宜采用双</w:t>
            </w:r>
            <w:r>
              <w:rPr>
                <w:rFonts w:hint="eastAsia" w:ascii="宋体" w:hAnsi="宋体" w:eastAsia="宋体" w:cs="宋体"/>
                <w:sz w:val="24"/>
                <w:szCs w:val="24"/>
                <w:lang w:val="en-US" w:eastAsia="zh-CN" w:bidi="ar"/>
              </w:rPr>
              <w:t>发一收或多发一收传感技术或两种火灾参数以上的复合型抗干扰（油烟、粉尘、水汽）报警器（提供国家认可的第三方检测机构出具的检测检验报告，并加盖投标人公章）；</w:t>
            </w:r>
          </w:p>
          <w:p w14:paraId="14190679">
            <w:pPr>
              <w:keepNext w:val="0"/>
              <w:keepLines w:val="0"/>
              <w:pageBreakBefore w:val="0"/>
              <w:widowControl w:val="0"/>
              <w:numPr>
                <w:ilvl w:val="0"/>
                <w:numId w:val="0"/>
              </w:numPr>
              <w:kinsoku/>
              <w:wordWrap/>
              <w:topLinePunct w:val="0"/>
              <w:autoSpaceDN/>
              <w:bidi w:val="0"/>
              <w:adjustRightInd/>
              <w:snapToGrid/>
              <w:spacing w:line="360" w:lineRule="auto"/>
              <w:ind w:leftChars="0" w:firstLine="480" w:firstLineChars="200"/>
              <w:jc w:val="both"/>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★报警器响应阈值m值不宜小于0.3dB/m（提供国家认可的第三方检测机构出具的</w:t>
            </w:r>
            <w:r>
              <w:rPr>
                <w:rFonts w:hint="eastAsia" w:ascii="宋体" w:hAnsi="宋体" w:eastAsia="宋体" w:cs="宋体"/>
                <w:sz w:val="24"/>
                <w:szCs w:val="24"/>
              </w:rPr>
              <w:t>型式检验</w:t>
            </w:r>
            <w:r>
              <w:rPr>
                <w:rFonts w:hint="eastAsia" w:ascii="宋体" w:hAnsi="宋体" w:eastAsia="宋体" w:cs="宋体"/>
                <w:sz w:val="24"/>
                <w:szCs w:val="24"/>
                <w:lang w:val="en-US" w:eastAsia="zh-CN" w:bidi="ar"/>
              </w:rPr>
              <w:t>报告或检测报告，并加盖投标人公章）；</w:t>
            </w:r>
          </w:p>
          <w:p w14:paraId="38928693">
            <w:pPr>
              <w:keepNext w:val="0"/>
              <w:keepLines w:val="0"/>
              <w:pageBreakBefore w:val="0"/>
              <w:widowControl w:val="0"/>
              <w:numPr>
                <w:ilvl w:val="0"/>
                <w:numId w:val="0"/>
              </w:numPr>
              <w:kinsoku/>
              <w:wordWrap/>
              <w:topLinePunct w:val="0"/>
              <w:autoSpaceDN/>
              <w:bidi w:val="0"/>
              <w:adjustRightInd/>
              <w:snapToGrid/>
              <w:spacing w:line="360" w:lineRule="auto"/>
              <w:ind w:leftChars="0" w:firstLine="480" w:firstLineChars="200"/>
              <w:jc w:val="both"/>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rPr>
              <w:t>★</w:t>
            </w:r>
            <w:r>
              <w:rPr>
                <w:rFonts w:hint="eastAsia" w:ascii="宋体" w:hAnsi="宋体" w:eastAsia="宋体" w:cs="宋体"/>
                <w:sz w:val="24"/>
                <w:szCs w:val="24"/>
                <w:lang w:val="en-US" w:eastAsia="zh-CN" w:bidi="ar"/>
              </w:rPr>
              <w:t>优先选用4G、NB-IoT、Cat.1方式进行联网。采用NB-IoT方式的，应当提供安装点位网络覆盖的证明材料；</w:t>
            </w:r>
          </w:p>
          <w:p w14:paraId="0E2A9119">
            <w:pPr>
              <w:keepNext w:val="0"/>
              <w:keepLines w:val="0"/>
              <w:pageBreakBefore w:val="0"/>
              <w:widowControl w:val="0"/>
              <w:numPr>
                <w:ilvl w:val="0"/>
                <w:numId w:val="1"/>
              </w:numPr>
              <w:kinsoku/>
              <w:wordWrap/>
              <w:topLinePunct w:val="0"/>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应对报警器主体部分自身故障、报警器主体脱离底座、电池欠压、报警器与管理平台之间通信异常（即离线故障）、报警器主体部分与无线传输部分失联（无线传输部分为分离结构时适用）、传感部件污染（具有此功能时适用）等故障进行监测，并将故障信号传送管理平台（提供国家认可的第三方检测机构出具的检测检验报告，并加盖投标人公章）；</w:t>
            </w:r>
          </w:p>
          <w:p w14:paraId="34733F18">
            <w:pPr>
              <w:keepNext w:val="0"/>
              <w:keepLines w:val="0"/>
              <w:pageBreakBefore w:val="0"/>
              <w:widowControl w:val="0"/>
              <w:numPr>
                <w:ilvl w:val="0"/>
                <w:numId w:val="0"/>
              </w:numPr>
              <w:kinsoku/>
              <w:wordWrap/>
              <w:topLinePunct w:val="0"/>
              <w:autoSpaceDN/>
              <w:bidi w:val="0"/>
              <w:adjustRightInd/>
              <w:snapToGrid/>
              <w:spacing w:line="360" w:lineRule="auto"/>
              <w:ind w:leftChars="0" w:firstLine="480" w:firstLineChars="200"/>
              <w:jc w:val="both"/>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★报警器</w:t>
            </w:r>
            <w:r>
              <w:rPr>
                <w:rFonts w:hint="eastAsia" w:ascii="宋体" w:hAnsi="宋体" w:eastAsia="宋体" w:cs="宋体"/>
                <w:sz w:val="24"/>
                <w:szCs w:val="24"/>
                <w:lang w:val="en-US" w:eastAsia="zh" w:bidi="ar"/>
              </w:rPr>
              <w:t>宜</w:t>
            </w:r>
            <w:r>
              <w:rPr>
                <w:rFonts w:hint="eastAsia" w:ascii="宋体" w:hAnsi="宋体" w:eastAsia="宋体" w:cs="宋体"/>
                <w:sz w:val="24"/>
                <w:szCs w:val="24"/>
                <w:lang w:val="en-US" w:eastAsia="zh-CN" w:bidi="ar"/>
              </w:rPr>
              <w:t>支持触</w:t>
            </w:r>
            <w:r>
              <w:rPr>
                <w:rFonts w:hint="eastAsia" w:ascii="宋体" w:hAnsi="宋体" w:eastAsia="宋体" w:cs="宋体"/>
                <w:color w:val="auto"/>
                <w:sz w:val="24"/>
                <w:szCs w:val="24"/>
                <w:lang w:val="en-US" w:eastAsia="zh-CN" w:bidi="ar"/>
              </w:rPr>
              <w:t>发报警器自身按钮</w:t>
            </w:r>
            <w:r>
              <w:rPr>
                <w:rFonts w:hint="eastAsia" w:ascii="宋体" w:hAnsi="宋体" w:eastAsia="宋体" w:cs="宋体"/>
                <w:color w:val="auto"/>
                <w:sz w:val="24"/>
                <w:szCs w:val="24"/>
                <w:lang w:val="en-US" w:eastAsia="zh" w:bidi="ar"/>
              </w:rPr>
              <w:t>、</w:t>
            </w:r>
            <w:r>
              <w:rPr>
                <w:rFonts w:hint="eastAsia" w:ascii="宋体" w:hAnsi="宋体" w:eastAsia="宋体" w:cs="宋体"/>
                <w:color w:val="auto"/>
                <w:sz w:val="24"/>
                <w:szCs w:val="24"/>
                <w:lang w:val="en-US" w:eastAsia="zh-CN" w:bidi="ar"/>
              </w:rPr>
              <w:t>管理平台</w:t>
            </w:r>
            <w:r>
              <w:rPr>
                <w:rFonts w:hint="eastAsia" w:ascii="宋体" w:hAnsi="宋体" w:eastAsia="宋体" w:cs="宋体"/>
                <w:color w:val="auto"/>
                <w:sz w:val="24"/>
                <w:szCs w:val="24"/>
                <w:lang w:val="en-US" w:eastAsia="zh" w:bidi="ar"/>
              </w:rPr>
              <w:t>控制</w:t>
            </w:r>
            <w:r>
              <w:rPr>
                <w:rFonts w:hint="eastAsia" w:ascii="宋体" w:hAnsi="宋体" w:eastAsia="宋体" w:cs="宋体"/>
                <w:color w:val="auto"/>
                <w:sz w:val="24"/>
                <w:szCs w:val="24"/>
                <w:lang w:val="en-US" w:eastAsia="zh-CN" w:bidi="ar"/>
              </w:rPr>
              <w:t>、现场遥控消音等多种</w:t>
            </w:r>
            <w:r>
              <w:rPr>
                <w:rFonts w:hint="eastAsia" w:ascii="宋体" w:hAnsi="宋体" w:eastAsia="宋体" w:cs="宋体"/>
                <w:color w:val="auto"/>
                <w:sz w:val="24"/>
                <w:szCs w:val="24"/>
                <w:lang w:val="en-US" w:eastAsia="zh" w:bidi="ar"/>
              </w:rPr>
              <w:t>消音功能</w:t>
            </w:r>
            <w:r>
              <w:rPr>
                <w:rFonts w:hint="eastAsia" w:ascii="宋体" w:hAnsi="宋体" w:eastAsia="宋体" w:cs="宋体"/>
                <w:color w:val="auto"/>
                <w:sz w:val="24"/>
                <w:szCs w:val="24"/>
                <w:lang w:val="en-US" w:eastAsia="zh-CN" w:bidi="ar"/>
              </w:rPr>
              <w:t>；</w:t>
            </w:r>
          </w:p>
          <w:p w14:paraId="7DA0E2E1">
            <w:pPr>
              <w:keepNext w:val="0"/>
              <w:keepLines w:val="0"/>
              <w:pageBreakBefore w:val="0"/>
              <w:widowControl w:val="0"/>
              <w:numPr>
                <w:ilvl w:val="0"/>
                <w:numId w:val="1"/>
              </w:numPr>
              <w:kinsoku/>
              <w:wordWrap/>
              <w:topLinePunct w:val="0"/>
              <w:autoSpaceDN/>
              <w:bidi w:val="0"/>
              <w:adjustRightInd/>
              <w:snapToGrid/>
              <w:spacing w:line="360" w:lineRule="auto"/>
              <w:ind w:left="0" w:leftChars="0" w:firstLine="0" w:firstLineChars="0"/>
              <w:jc w:val="both"/>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▲报警器报警初始音调采用渐变方式，逐渐增大，在距报警器3m处，渐变后达到最大声音使得火灾报警信号声压级≥85dB（提供国家认可的第三方检测机构出具的检测检验报告，并加盖投标人公章）</w:t>
            </w:r>
            <w:r>
              <w:rPr>
                <w:rFonts w:hint="eastAsia" w:ascii="宋体" w:hAnsi="宋体" w:eastAsia="宋体" w:cs="宋体"/>
                <w:sz w:val="24"/>
                <w:szCs w:val="24"/>
                <w:lang w:eastAsia="zh-CN"/>
              </w:rPr>
              <w:t>；</w:t>
            </w:r>
          </w:p>
          <w:p w14:paraId="0725FA3C">
            <w:pPr>
              <w:widowControl/>
              <w:numPr>
                <w:ilvl w:val="0"/>
                <w:numId w:val="1"/>
              </w:numPr>
              <w:spacing w:line="360" w:lineRule="auto"/>
              <w:ind w:left="0" w:leftChars="0" w:firstLine="0" w:firstLineChars="0"/>
              <w:jc w:val="both"/>
              <w:textAlignment w:val="center"/>
              <w:rPr>
                <w:rFonts w:hint="eastAsia"/>
                <w:lang w:val="en-US" w:eastAsia="zh-CN"/>
              </w:rPr>
            </w:pPr>
            <w:r>
              <w:rPr>
                <w:rFonts w:hint="eastAsia" w:ascii="宋体" w:hAnsi="宋体" w:eastAsia="宋体" w:cs="宋体"/>
                <w:color w:val="000000"/>
                <w:sz w:val="24"/>
                <w:szCs w:val="24"/>
                <w:lang w:val="en-US" w:eastAsia="zh-CN" w:bidi="ar"/>
              </w:rPr>
              <w:t>▲报警器需具备产品责任险（提供产品责任险（凭证）复印件并加盖投标人公章证明）。</w:t>
            </w:r>
          </w:p>
        </w:tc>
        <w:tc>
          <w:tcPr>
            <w:tcW w:w="439" w:type="pct"/>
            <w:noWrap w:val="0"/>
            <w:vAlign w:val="center"/>
          </w:tcPr>
          <w:p w14:paraId="536F6F92">
            <w:pPr>
              <w:widowControl w:val="0"/>
              <w:spacing w:line="360" w:lineRule="auto"/>
              <w:jc w:val="center"/>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个</w:t>
            </w:r>
          </w:p>
        </w:tc>
        <w:tc>
          <w:tcPr>
            <w:tcW w:w="440" w:type="pct"/>
            <w:noWrap w:val="0"/>
            <w:vAlign w:val="center"/>
          </w:tcPr>
          <w:p w14:paraId="34C89BDC">
            <w:pPr>
              <w:widowControl w:val="0"/>
              <w:spacing w:line="360" w:lineRule="auto"/>
              <w:jc w:val="center"/>
              <w:rPr>
                <w:rStyle w:val="8"/>
                <w:rFonts w:hint="eastAsia" w:ascii="宋体" w:hAnsi="宋体" w:eastAsia="宋体" w:cs="宋体"/>
                <w:color w:val="000000"/>
                <w:sz w:val="24"/>
                <w:szCs w:val="24"/>
                <w:lang w:val="en-US" w:eastAsia="zh-CN" w:bidi="ar"/>
              </w:rPr>
            </w:pPr>
            <w:r>
              <w:rPr>
                <w:rStyle w:val="8"/>
                <w:rFonts w:hint="eastAsia" w:ascii="宋体" w:hAnsi="宋体" w:eastAsia="宋体" w:cs="宋体"/>
                <w:color w:val="000000"/>
                <w:sz w:val="24"/>
                <w:szCs w:val="24"/>
                <w:lang w:val="en-US" w:eastAsia="zh-CN" w:bidi="ar"/>
              </w:rPr>
              <w:t>10000</w:t>
            </w:r>
          </w:p>
        </w:tc>
      </w:tr>
      <w:tr w14:paraId="743F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1" w:type="pct"/>
            <w:noWrap w:val="0"/>
            <w:vAlign w:val="center"/>
          </w:tcPr>
          <w:p w14:paraId="3A45664F">
            <w:pPr>
              <w:widowControl w:val="0"/>
              <w:spacing w:line="360" w:lineRule="auto"/>
              <w:jc w:val="center"/>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2</w:t>
            </w:r>
          </w:p>
        </w:tc>
        <w:tc>
          <w:tcPr>
            <w:tcW w:w="606" w:type="pct"/>
            <w:noWrap w:val="0"/>
            <w:vAlign w:val="center"/>
          </w:tcPr>
          <w:p w14:paraId="444D7844">
            <w:pPr>
              <w:widowControl w:val="0"/>
              <w:spacing w:line="360" w:lineRule="auto"/>
              <w:jc w:val="center"/>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消防安全管理平台</w:t>
            </w:r>
          </w:p>
        </w:tc>
        <w:tc>
          <w:tcPr>
            <w:tcW w:w="3132" w:type="pct"/>
            <w:noWrap w:val="0"/>
            <w:vAlign w:val="top"/>
          </w:tcPr>
          <w:p w14:paraId="3D39D119">
            <w:pPr>
              <w:widowControl w:val="0"/>
              <w:spacing w:line="360" w:lineRule="auto"/>
              <w:jc w:val="both"/>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1.信息展示。支持查看报警器编号、地址、经纬度等基础信息，实时获取信号值、电池电量、在线情况、响应时间等数据，以及历史报警信息、故障信息、复位动作等基本信息。支持统计并显示供应商监测服务范围内的报警器完好率、误报率、在线率、故障处置率、火警响应效率等。</w:t>
            </w:r>
          </w:p>
          <w:p w14:paraId="7ECFD7F1">
            <w:pPr>
              <w:widowControl w:val="0"/>
              <w:spacing w:line="360" w:lineRule="auto"/>
              <w:jc w:val="both"/>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2.火警值守。支持服务单位实时接收报警器火警信息，通过电话、自动语音、短信、App或小程序等方式通知老人及其联系人、</w:t>
            </w:r>
            <w:r>
              <w:rPr>
                <w:rStyle w:val="8"/>
                <w:rFonts w:hint="eastAsia" w:ascii="宋体" w:hAnsi="宋体" w:eastAsia="宋体" w:cs="宋体"/>
                <w:color w:val="000000"/>
                <w:sz w:val="24"/>
                <w:szCs w:val="24"/>
                <w:lang w:val="en-US" w:eastAsia="zh-CN" w:bidi="ar"/>
              </w:rPr>
              <w:t>服务单位</w:t>
            </w:r>
            <w:r>
              <w:rPr>
                <w:rStyle w:val="8"/>
                <w:rFonts w:hint="eastAsia" w:ascii="宋体" w:hAnsi="宋体" w:eastAsia="宋体" w:cs="宋体"/>
                <w:color w:val="000000"/>
                <w:sz w:val="24"/>
                <w:szCs w:val="24"/>
                <w:lang w:eastAsia="zh-CN" w:bidi="ar"/>
              </w:rPr>
              <w:t>。支持服务单位查看自动语音的拨打、接听结果，并对通知结果在管理平台进行录入；支持真实火警处理记录和结果查看。</w:t>
            </w:r>
          </w:p>
          <w:p w14:paraId="31575C72">
            <w:pPr>
              <w:widowControl w:val="0"/>
              <w:numPr>
                <w:ilvl w:val="0"/>
                <w:numId w:val="0"/>
              </w:numPr>
              <w:spacing w:line="360" w:lineRule="auto"/>
              <w:jc w:val="both"/>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val="en-US" w:eastAsia="zh-CN" w:bidi="ar"/>
              </w:rPr>
              <w:t>3.</w:t>
            </w:r>
            <w:r>
              <w:rPr>
                <w:rStyle w:val="8"/>
                <w:rFonts w:hint="eastAsia" w:ascii="宋体" w:hAnsi="宋体" w:eastAsia="宋体" w:cs="宋体"/>
                <w:color w:val="000000"/>
                <w:sz w:val="24"/>
                <w:szCs w:val="24"/>
                <w:lang w:eastAsia="zh-CN" w:bidi="ar"/>
              </w:rPr>
              <w:t>运维服务。支持上报故障信息处理信息、火警信息处置信息等数据。</w:t>
            </w:r>
          </w:p>
          <w:p w14:paraId="216BEC8B">
            <w:pPr>
              <w:widowControl w:val="0"/>
              <w:spacing w:line="360" w:lineRule="auto"/>
              <w:jc w:val="both"/>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val="en-US" w:eastAsia="zh-CN" w:bidi="ar"/>
              </w:rPr>
              <w:t>4</w:t>
            </w:r>
            <w:r>
              <w:rPr>
                <w:rStyle w:val="8"/>
                <w:rFonts w:hint="eastAsia" w:ascii="宋体" w:hAnsi="宋体" w:eastAsia="宋体" w:cs="宋体"/>
                <w:color w:val="000000"/>
                <w:sz w:val="24"/>
                <w:szCs w:val="24"/>
                <w:lang w:eastAsia="zh-CN" w:bidi="ar"/>
              </w:rPr>
              <w:t>.管理功能。支持管理用户信息；支持人员权限管理；支持报警器添加、删除，远程消音；支持报警联动语音、短信等配置；支持添加、修改、删除、导入、导出等行为的日志记录。</w:t>
            </w:r>
          </w:p>
          <w:p w14:paraId="57FA1AA6">
            <w:pPr>
              <w:pStyle w:val="2"/>
              <w:spacing w:line="360" w:lineRule="auto"/>
              <w:ind w:left="0" w:leftChars="0" w:firstLine="480" w:firstLineChars="200"/>
              <w:rPr>
                <w:rFonts w:hint="default"/>
                <w:lang w:val="en-US" w:eastAsia="zh-CN"/>
              </w:rPr>
            </w:pPr>
            <w:r>
              <w:rPr>
                <w:rFonts w:hint="eastAsia" w:ascii="宋体" w:hAnsi="宋体" w:eastAsia="宋体" w:cs="宋体"/>
                <w:color w:val="auto"/>
                <w:kern w:val="0"/>
                <w:sz w:val="24"/>
                <w:szCs w:val="24"/>
                <w:highlight w:val="none"/>
                <w:lang w:bidi="ar"/>
              </w:rPr>
              <w:t>★</w:t>
            </w:r>
            <w:r>
              <w:rPr>
                <w:rFonts w:hint="eastAsia"/>
                <w:color w:val="auto"/>
                <w:highlight w:val="none"/>
                <w:lang w:eastAsia="zh-CN"/>
              </w:rPr>
              <w:t>项目建设、运行、服务全过程，应保障网络安全、数据传输安全；访问应有实名身份认证和授权等安全措施；按照国家有关要求开展信息系统网络安全等级保护测评。（</w:t>
            </w:r>
            <w:r>
              <w:rPr>
                <w:rFonts w:hint="eastAsia"/>
                <w:color w:val="auto"/>
                <w:highlight w:val="none"/>
                <w:lang w:val="en-US" w:eastAsia="zh-CN"/>
              </w:rPr>
              <w:t>提供承诺函</w:t>
            </w:r>
            <w:r>
              <w:rPr>
                <w:rFonts w:hint="eastAsia"/>
                <w:color w:val="auto"/>
                <w:highlight w:val="none"/>
                <w:lang w:eastAsia="zh-CN"/>
              </w:rPr>
              <w:t>）</w:t>
            </w:r>
          </w:p>
        </w:tc>
        <w:tc>
          <w:tcPr>
            <w:tcW w:w="439" w:type="pct"/>
            <w:noWrap w:val="0"/>
            <w:vAlign w:val="center"/>
          </w:tcPr>
          <w:p w14:paraId="6DAE5694">
            <w:pPr>
              <w:widowControl w:val="0"/>
              <w:spacing w:line="360" w:lineRule="auto"/>
              <w:jc w:val="center"/>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套</w:t>
            </w:r>
          </w:p>
        </w:tc>
        <w:tc>
          <w:tcPr>
            <w:tcW w:w="440" w:type="pct"/>
            <w:noWrap w:val="0"/>
            <w:vAlign w:val="center"/>
          </w:tcPr>
          <w:p w14:paraId="0E3C9638">
            <w:pPr>
              <w:widowControl w:val="0"/>
              <w:spacing w:line="360" w:lineRule="auto"/>
              <w:jc w:val="center"/>
              <w:rPr>
                <w:rStyle w:val="8"/>
                <w:rFonts w:hint="eastAsia" w:ascii="宋体" w:hAnsi="宋体" w:eastAsia="宋体" w:cs="宋体"/>
                <w:color w:val="000000"/>
                <w:sz w:val="24"/>
                <w:szCs w:val="24"/>
                <w:lang w:eastAsia="zh-CN" w:bidi="ar"/>
              </w:rPr>
            </w:pPr>
            <w:r>
              <w:rPr>
                <w:rStyle w:val="8"/>
                <w:rFonts w:hint="eastAsia" w:ascii="宋体" w:hAnsi="宋体" w:eastAsia="宋体" w:cs="宋体"/>
                <w:color w:val="000000"/>
                <w:sz w:val="24"/>
                <w:szCs w:val="24"/>
                <w:lang w:eastAsia="zh-CN" w:bidi="ar"/>
              </w:rPr>
              <w:t>1</w:t>
            </w:r>
          </w:p>
        </w:tc>
      </w:tr>
    </w:tbl>
    <w:p w14:paraId="56C136DD">
      <w:pPr>
        <w:widowControl/>
        <w:spacing w:line="360" w:lineRule="auto"/>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★三、服务要求 </w:t>
      </w:r>
    </w:p>
    <w:p w14:paraId="7A631903">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1．基本要求 </w:t>
      </w:r>
    </w:p>
    <w:p w14:paraId="3A04A3AF">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中标人应制定并落实报警器服务相关的规章制度，建立健全的服务质量管理体系。 </w:t>
      </w:r>
    </w:p>
    <w:p w14:paraId="2EF5811C">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 中标人应承诺中标后配置属地化团队，实行24小时值守。负责火警信息、故障信息的监测通知；基础信息更新、故障信息处理、火警信息核实处置等工作。</w:t>
      </w:r>
      <w:r>
        <w:rPr>
          <w:rFonts w:hint="eastAsia" w:ascii="宋体" w:hAnsi="宋体" w:eastAsia="宋体" w:cs="宋体"/>
          <w:b/>
          <w:bCs/>
          <w:color w:val="000000"/>
          <w:kern w:val="0"/>
          <w:sz w:val="24"/>
          <w:szCs w:val="24"/>
          <w:lang w:val="en-US" w:eastAsia="zh-CN"/>
        </w:rPr>
        <w:t>（提供承诺函）</w:t>
      </w:r>
      <w:r>
        <w:rPr>
          <w:rFonts w:hint="eastAsia" w:ascii="宋体" w:hAnsi="宋体" w:eastAsia="宋体" w:cs="宋体"/>
          <w:color w:val="000000"/>
          <w:kern w:val="0"/>
          <w:sz w:val="24"/>
          <w:szCs w:val="24"/>
          <w:lang w:val="en-US" w:eastAsia="zh-CN"/>
        </w:rPr>
        <w:t xml:space="preserve"> </w:t>
      </w:r>
    </w:p>
    <w:p w14:paraId="00DC56A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(3) 中标人应定期开展故障信息、火警信息、日常维护、客户投诉情况等分析。 </w:t>
      </w:r>
    </w:p>
    <w:p w14:paraId="10ABB0A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(4) 中标人应具备管理平台的部署及服务器支撑能力。 </w:t>
      </w:r>
    </w:p>
    <w:p w14:paraId="3A485BE9">
      <w:pPr>
        <w:widowControl/>
        <w:spacing w:line="360" w:lineRule="auto"/>
        <w:ind w:firstLine="480" w:firstLineChars="200"/>
        <w:jc w:val="left"/>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(5) 服务期间，报警器在线率不应低于95%</w:t>
      </w:r>
      <w:r>
        <w:rPr>
          <w:rFonts w:hint="eastAsia" w:ascii="宋体" w:hAnsi="宋体" w:eastAsia="宋体" w:cs="宋体"/>
          <w:color w:val="000000"/>
          <w:kern w:val="0"/>
          <w:sz w:val="24"/>
          <w:szCs w:val="24"/>
          <w:lang w:val="en-US" w:eastAsia="zh-CN"/>
        </w:rPr>
        <w:tab/>
      </w:r>
      <w:r>
        <w:rPr>
          <w:rFonts w:hint="eastAsia" w:ascii="宋体" w:hAnsi="宋体" w:eastAsia="宋体" w:cs="宋体"/>
          <w:color w:val="000000"/>
          <w:kern w:val="0"/>
          <w:sz w:val="24"/>
          <w:szCs w:val="24"/>
          <w:lang w:val="en-US" w:eastAsia="zh-CN"/>
        </w:rPr>
        <w:t>。</w:t>
      </w:r>
    </w:p>
    <w:p w14:paraId="6127BB96">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2．报警器安装要求 </w:t>
      </w:r>
    </w:p>
    <w:p w14:paraId="2CF07EDD">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(1) 安装地址 </w:t>
      </w:r>
    </w:p>
    <w:p w14:paraId="4523172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属地消防救援机构向中标人提供本地独居老人基础数据。安装过程中发现地址有误、信号不佳或人员不符合安装范围的，中标人应做好备注，上报后进行统一调配。 </w:t>
      </w:r>
    </w:p>
    <w:p w14:paraId="0E0BCB3E">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(2) 安装位置 </w:t>
      </w:r>
    </w:p>
    <w:p w14:paraId="4F4E19D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安装实施过程中，应充分尊重安装对象生活习惯，确定指示灯合适的朝向。安装位置具体按照《火灾自动报警系统设计规范GB50116-2013》执行。 </w:t>
      </w:r>
    </w:p>
    <w:p w14:paraId="5E215661">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(3) 安装要求 </w:t>
      </w:r>
    </w:p>
    <w:p w14:paraId="357E962F">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中标人安装人员应严格按照网络信号测试、人员证件呈现、信息采集告知、产品调试培训、消防安全宣传等环节实施，留存安装对象签字确认、报警器安装位置、产品参数、标识标志等关键信息，做好电子化记录。 </w:t>
      </w:r>
    </w:p>
    <w:p w14:paraId="3865E571">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3．处置要求 </w:t>
      </w:r>
    </w:p>
    <w:p w14:paraId="42C4EE7E">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(1) 故障信息处置流程 </w:t>
      </w:r>
    </w:p>
    <w:p w14:paraId="3DAB95FA">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管理平台接收到报警器故障信息后，中标人应进行故障判别，组织人员修复，对单个故障修复时间不超过48小时。 </w:t>
      </w:r>
    </w:p>
    <w:p w14:paraId="77352B0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故障处置完毕后，中标人在30分钟内将处置结果记录到管理平台。 </w:t>
      </w:r>
    </w:p>
    <w:p w14:paraId="11F02DB8">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 对故障无法解决</w:t>
      </w:r>
      <w:r>
        <w:rPr>
          <w:rFonts w:hint="eastAsia" w:ascii="宋体" w:hAnsi="宋体" w:eastAsia="宋体" w:cs="宋体"/>
          <w:color w:val="auto"/>
          <w:kern w:val="0"/>
          <w:sz w:val="24"/>
          <w:szCs w:val="24"/>
          <w:lang w:val="en-US" w:eastAsia="zh-CN"/>
        </w:rPr>
        <w:t>的，中标人应依据实际情况在48小时内提出解决方案，</w:t>
      </w:r>
      <w:r>
        <w:rPr>
          <w:rFonts w:hint="eastAsia" w:ascii="宋体" w:hAnsi="宋体" w:eastAsia="宋体" w:cs="宋体"/>
          <w:color w:val="000000"/>
          <w:kern w:val="0"/>
          <w:sz w:val="24"/>
          <w:szCs w:val="24"/>
          <w:lang w:val="en-US" w:eastAsia="zh-CN"/>
        </w:rPr>
        <w:t>并上报属地消防救援机构。</w:t>
      </w:r>
    </w:p>
    <w:p w14:paraId="3568E30C">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(2) 火警信息处置流程 </w:t>
      </w:r>
    </w:p>
    <w:p w14:paraId="49B5094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①管理平台在接收到报警器发出的火警信息后，实时自动通过短信、自动语音、App或小程序等方式通知老人及其联系人、中标人。 </w:t>
      </w:r>
    </w:p>
    <w:p w14:paraId="5849688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②中标人在接收到火警信息后，应立即启动火警信息响应处置预案，在1分钟内通过人工电话的方式再次联系老人或其联系人核实火灾真实性，</w:t>
      </w:r>
      <w:r>
        <w:rPr>
          <w:rFonts w:hint="eastAsia" w:ascii="宋体" w:hAnsi="宋体" w:eastAsia="宋体" w:cs="宋体"/>
          <w:color w:val="auto"/>
          <w:kern w:val="0"/>
          <w:sz w:val="24"/>
          <w:szCs w:val="24"/>
          <w:lang w:val="en-US" w:eastAsia="zh-CN"/>
        </w:rPr>
        <w:t>并视情实施现场核</w:t>
      </w:r>
      <w:r>
        <w:rPr>
          <w:rFonts w:hint="eastAsia" w:ascii="宋体" w:hAnsi="宋体" w:eastAsia="宋体" w:cs="宋体"/>
          <w:color w:val="000000"/>
          <w:kern w:val="0"/>
          <w:sz w:val="24"/>
          <w:szCs w:val="24"/>
          <w:lang w:val="en-US" w:eastAsia="zh-CN"/>
        </w:rPr>
        <w:t>实。</w:t>
      </w:r>
    </w:p>
    <w:p w14:paraId="483F866F">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③中标人确认火警信息为真实火警的，立即拨打119报警。处置完成后，在30分钟内将处置过程记录到管理平台。 </w:t>
      </w:r>
    </w:p>
    <w:p w14:paraId="5E16AAB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④ 中标人确认火警信息为误报的，应查找误报原因。处置完成后，在30分钟内将结果记录到管理平台。 </w:t>
      </w:r>
    </w:p>
    <w:p w14:paraId="21FBAADE">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4．服务质量评价 </w:t>
      </w:r>
    </w:p>
    <w:p w14:paraId="02F63621">
      <w:pPr>
        <w:widowControl/>
        <w:spacing w:line="360" w:lineRule="auto"/>
        <w:ind w:firstLine="480" w:firstLineChars="200"/>
        <w:jc w:val="left"/>
        <w:rPr>
          <w:rFonts w:hint="eastAsia" w:ascii="宋体" w:hAnsi="宋体" w:eastAsia="宋体" w:cs="宋体"/>
          <w:color w:val="000000"/>
          <w:kern w:val="0"/>
          <w:sz w:val="24"/>
          <w:szCs w:val="24"/>
          <w:highlight w:val="red"/>
          <w:lang w:val="en-US" w:eastAsia="zh-CN"/>
        </w:rPr>
      </w:pPr>
      <w:r>
        <w:rPr>
          <w:rFonts w:hint="eastAsia" w:ascii="宋体" w:hAnsi="宋体" w:eastAsia="宋体" w:cs="宋体"/>
          <w:color w:val="000000"/>
          <w:kern w:val="0"/>
          <w:sz w:val="24"/>
          <w:szCs w:val="24"/>
          <w:lang w:val="en-US" w:eastAsia="zh-CN"/>
        </w:rPr>
        <w:t xml:space="preserve">四川省消防救援总队将按照《服务质量评价（试行）》（详见附件）制定具体标准，每季度对中标人服务情况开展线上线下质量评价工作。 </w:t>
      </w:r>
    </w:p>
    <w:p w14:paraId="5C1F9105">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★三、商务要求 </w:t>
      </w:r>
    </w:p>
    <w:p w14:paraId="7D1ACE46">
      <w:pPr>
        <w:widowControl/>
        <w:spacing w:line="360" w:lineRule="auto"/>
        <w:ind w:firstLine="482"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b/>
          <w:bCs/>
          <w:color w:val="000000"/>
          <w:kern w:val="0"/>
          <w:sz w:val="24"/>
          <w:szCs w:val="24"/>
          <w:lang w:val="en-US" w:eastAsia="zh-CN"/>
        </w:rPr>
        <w:t>1．项目建设周期：</w:t>
      </w:r>
      <w:r>
        <w:rPr>
          <w:rFonts w:hint="eastAsia" w:ascii="宋体" w:hAnsi="宋体" w:eastAsia="宋体" w:cs="宋体"/>
          <w:color w:val="000000"/>
          <w:kern w:val="0"/>
          <w:sz w:val="24"/>
          <w:szCs w:val="24"/>
          <w:lang w:val="en-US" w:eastAsia="zh-CN"/>
        </w:rPr>
        <w:t xml:space="preserve">合同签订后60个日历日内。 </w:t>
      </w:r>
    </w:p>
    <w:p w14:paraId="467208D5">
      <w:pPr>
        <w:widowControl/>
        <w:spacing w:line="360" w:lineRule="auto"/>
        <w:ind w:firstLine="482"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b/>
          <w:bCs/>
          <w:color w:val="000000"/>
          <w:kern w:val="0"/>
          <w:sz w:val="24"/>
          <w:szCs w:val="24"/>
          <w:lang w:val="en-US" w:eastAsia="zh-CN"/>
        </w:rPr>
        <w:t>2．服务期限：</w:t>
      </w:r>
      <w:r>
        <w:rPr>
          <w:rFonts w:hint="eastAsia" w:ascii="宋体" w:hAnsi="宋体" w:eastAsia="宋体" w:cs="宋体"/>
          <w:color w:val="000000"/>
          <w:kern w:val="0"/>
          <w:sz w:val="24"/>
          <w:szCs w:val="24"/>
          <w:lang w:val="en-US" w:eastAsia="zh-CN"/>
        </w:rPr>
        <w:t xml:space="preserve">项目初步验收后，中标人须提供管理平台运维服务，服务期限不低于3年。 </w:t>
      </w:r>
    </w:p>
    <w:p w14:paraId="13027C50">
      <w:pPr>
        <w:widowControl/>
        <w:spacing w:line="360" w:lineRule="auto"/>
        <w:ind w:firstLine="482"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b/>
          <w:bCs/>
          <w:color w:val="000000"/>
          <w:kern w:val="0"/>
          <w:sz w:val="24"/>
          <w:szCs w:val="24"/>
          <w:lang w:val="en-US" w:eastAsia="zh-CN"/>
        </w:rPr>
        <w:t>3．建设地点：</w:t>
      </w:r>
      <w:r>
        <w:rPr>
          <w:rFonts w:hint="eastAsia" w:ascii="宋体" w:hAnsi="宋体" w:eastAsia="宋体" w:cs="宋体"/>
          <w:color w:val="000000"/>
          <w:kern w:val="0"/>
          <w:sz w:val="24"/>
          <w:szCs w:val="24"/>
          <w:lang w:val="en-US" w:eastAsia="zh-CN"/>
        </w:rPr>
        <w:t xml:space="preserve">甘孜藏族自治州境内，甘孜藏族自治州消防救援支队指定地点。 </w:t>
      </w:r>
    </w:p>
    <w:p w14:paraId="761BAC1B">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4．履约保证金 </w:t>
      </w:r>
    </w:p>
    <w:p w14:paraId="439608F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金额：采购合同总金额的10%。 </w:t>
      </w:r>
    </w:p>
    <w:p w14:paraId="1E8977EC">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交款方式：履约保证金可以以支票、汇票、本票或者金融机构出具的保函等非现金形式提交（包括网银转账，电汇等方式）。 </w:t>
      </w:r>
    </w:p>
    <w:p w14:paraId="3873361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(3) 收款单位：甘孜藏族自治州市消防救援支队。 </w:t>
      </w:r>
    </w:p>
    <w:p w14:paraId="7118AA9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 交款时间：中标通知书发放后，合同签订前。</w:t>
      </w:r>
    </w:p>
    <w:p w14:paraId="47550BFC">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(5) 采用金融机构出具的保函方式提交履约保证金的，保函必须符合以下规定： </w:t>
      </w:r>
    </w:p>
    <w:p w14:paraId="47C37B1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a.提供保函的金融机构必须是依法成立的具有相关资质和偿付能力的担保机构，且应为无条件保函，并有详细明显的验证方法； </w:t>
      </w:r>
    </w:p>
    <w:p w14:paraId="00C2843B">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b.保函的受益人为甘孜藏族自治州市消防救援支队； </w:t>
      </w:r>
    </w:p>
    <w:p w14:paraId="06B9A76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c.保函的内容包括但不限于供应商名称、项目名称（如有分包，载明分包号）、项目编号、履约金额、保函的有效期（采用保函形式提交履约保证金的，保函有效期应不短于 3.5年）、履约担保的内容（即：如因供应商原因发生法律法规或合同规定的履约保证金不予退还或扣除的情况，由金融机构向受益人足额支付履约保证金）； </w:t>
      </w:r>
    </w:p>
    <w:p w14:paraId="0EFC1A1D">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(6) 履约保证金退还方式：a.以网银转账、电汇等方式提交的，履约保证金以网银转账、电汇等方式退至转款账户；b.以保函方式提交的，退还保函原件。 </w:t>
      </w:r>
    </w:p>
    <w:p w14:paraId="2E12DA9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(7) 履约保证金退还时间：最终验收合格后，乙方提出退款申请之日起，15个工作日内无息退还。采购人逾期退还的，将承担应退还金额万分之一每天的违约金。若遇项目单位因财务结算等原因封账而导致无法支付相应价款的，顺延至具备支付条件之日起 15个工作日内，且不视为采购人违约。 </w:t>
      </w:r>
    </w:p>
    <w:p w14:paraId="42E426E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(8) 履约保证金不予退还情形：出现合同约定的不予退还情形。 </w:t>
      </w:r>
    </w:p>
    <w:p w14:paraId="03EBEC46">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(9) 履约保证金不予退还的，将按照有关规定上缴国库。逾期退还履约保证金的，将依法承担法律责任，并赔偿供应商损失。 </w:t>
      </w:r>
    </w:p>
    <w:p w14:paraId="19F94875">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5．资金支付 </w:t>
      </w:r>
    </w:p>
    <w:p w14:paraId="11EC6D0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合同签订前，中标人向采购人支付合同总额10%的履约保证金； </w:t>
      </w:r>
    </w:p>
    <w:p w14:paraId="29BBC89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预付款：甲方在合同签订生效之日起接到乙方通知和票据凭证资料以及乙方 </w:t>
      </w:r>
    </w:p>
    <w:p w14:paraId="5397109A">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交给甲方的合同履约保证金后的15个工作日内支付合同金额的30%的价款。若遇甲方因财务结算等原因封账而导致无法支付相应价款的，顺延至具备支付条件之日起15个工作日内，且不视为甲方违约。 </w:t>
      </w:r>
    </w:p>
    <w:p w14:paraId="43CC0D8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(3) 进度款：报警器安全调试完毕，管理平台部署调试完毕进行初步验收。初步验收合格后，甲方在收到乙方通知和票据凭证资料后 15个工作日内，支付合同总金额的65%的价款。若遇甲方因财务结算等原因封账而导致无法支付相应价款的，顺延至具备支付条件之日起 15 个工作日内，且不视为甲方违约。 </w:t>
      </w:r>
    </w:p>
    <w:p w14:paraId="42FD82BA">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(4) 尾款：服务期限结束后进行最终验收。最终验收合格后，甲方在收到乙方通知和票据凭证资料后 15个工作日内，支付合同总金额的 5%的价款。若遇甲方因财务结算等原因封账而导致无法支付相应价款的，顺延至具备支付条件之日起 15个工作日内，且不视为甲方违约。 </w:t>
      </w:r>
    </w:p>
    <w:p w14:paraId="1AD4FEB9">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6．售后服务 </w:t>
      </w:r>
    </w:p>
    <w:p w14:paraId="65FDBC36">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烟感火灾报警器质保期：不少于3年。保修期内提供7×24小时维修电话服务。易损配件及零件储备期不少于5年。 </w:t>
      </w:r>
    </w:p>
    <w:p w14:paraId="09609A9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支持重大故障或特殊故障的紧急远程或现场抢修。一般故障，30分钟响应，4小时内到场，24小时内维修完毕；重大故障或特殊故障，30 分钟响应，4小时内到场，72小时维修完毕。 </w:t>
      </w:r>
    </w:p>
    <w:p w14:paraId="4FD2263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(3) 未经采购人同意，维修维护使用的备品备件及易损件，不得为非原厂件。 </w:t>
      </w:r>
    </w:p>
    <w:p w14:paraId="1EADC80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(4) 供应商需建立相应的售后维护档案，每次故障维修提交报告，并提出预防性维护措施，记录每次故障响应服务和预防性维护的详细情况。 </w:t>
      </w:r>
    </w:p>
    <w:p w14:paraId="75E82854">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7．验收要求 </w:t>
      </w:r>
    </w:p>
    <w:p w14:paraId="56668B59">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在合同约定内容全部履行完毕后，采购人按以下规定进行验收。 </w:t>
      </w:r>
    </w:p>
    <w:p w14:paraId="5B93E7F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履约验收主体：甘孜藏族自治州市消防救援支队。 </w:t>
      </w:r>
    </w:p>
    <w:p w14:paraId="259F0ECE">
      <w:pPr>
        <w:widowControl/>
        <w:spacing w:line="360" w:lineRule="auto"/>
        <w:ind w:left="479" w:leftChars="228" w:firstLine="0" w:firstLineChars="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履约验收时间                                                            ①初步验收：报警器安全调试完毕，管理平台部署调试完毕，中标人根据验收要求提供相关材料后提出初步验收申请，采购人在收到申请后7日内组织初步验收（若发生不可抗力导致验收时间推迟的，不视为采购人违约，采购人不承担任何违约责任）。 </w:t>
      </w:r>
    </w:p>
    <w:p w14:paraId="2C856CB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②最终验收：服务期限结束，中标人根据验收要求提供相关材料后提出最终验收申请，采购人在收到申请后7日内组织最终验收（若发生不可抗力导致验收时间推迟的，不视为采购人违约，采购人不承担任何违约责任）。 </w:t>
      </w:r>
    </w:p>
    <w:p w14:paraId="5A580D8B">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(3) 验收组织方式：组织验收小组，根据《四川省消防救援总队关于印发&lt;四川省城乡独居老年人免费安装联网型独立感烟火灾报警器建设指南&gt;的通知》相关要求，检验中标人项目建设及运维服务中的技术、商务、服务履约情况。 </w:t>
      </w:r>
    </w:p>
    <w:p w14:paraId="25A635D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(4) 履约验收程序：分阶段验收。 </w:t>
      </w:r>
    </w:p>
    <w:p w14:paraId="4A42F0DD">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(5) 验收地点：甘孜藏族自治州市消防救援支队指定地点。 </w:t>
      </w:r>
    </w:p>
    <w:p w14:paraId="0E4587E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(6) 验收内容：项目完成后，中标单位应在30天内通过管理平台向数据中台提交报警器合格证、强制认证材料；报警器安装位置、产品参数、标识标志等关键信息的图像资料、安装对象签收资料；报警器数据回流证明资料。同时提交相关纸质资料。 </w:t>
      </w:r>
    </w:p>
    <w:p w14:paraId="50C67D3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报警器实地验收抽查比例按照安装数量10%的比例抽检，不得低于20只。验收程序按照相关规定执行。 </w:t>
      </w:r>
    </w:p>
    <w:p w14:paraId="33F0F45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①资料验收 </w:t>
      </w:r>
    </w:p>
    <w:p w14:paraId="7C9F097A">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a. 中标通知书、采购合同； </w:t>
      </w:r>
    </w:p>
    <w:p w14:paraId="0427606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b. 项目实施方案、项目质量管理方案（安全文明施工）； </w:t>
      </w:r>
    </w:p>
    <w:p w14:paraId="7DF59DA9">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c. 到货验收单； </w:t>
      </w:r>
    </w:p>
    <w:p w14:paraId="62025DC8">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d. 报警器合格证、强制认证材料； </w:t>
      </w:r>
    </w:p>
    <w:p w14:paraId="6D6BA470">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e. 报警器安装、调试资料； </w:t>
      </w:r>
    </w:p>
    <w:p w14:paraId="20EDD32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f. 报警器台账； </w:t>
      </w:r>
    </w:p>
    <w:p w14:paraId="339C5E5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g. 安装对象签字确认记录； </w:t>
      </w:r>
    </w:p>
    <w:p w14:paraId="10D9CC6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h. 开展消防安全宣传、报警器使用培训资料； </w:t>
      </w:r>
    </w:p>
    <w:p w14:paraId="4D5C2A4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i. 项目验收方案、验收报告、服务方案； </w:t>
      </w:r>
    </w:p>
    <w:p w14:paraId="0B29E1B9">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j. 管理平台部署方案、数据对接方案； </w:t>
      </w:r>
    </w:p>
    <w:p w14:paraId="0DB509F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k. 管理平台用户手册； </w:t>
      </w:r>
    </w:p>
    <w:p w14:paraId="395AAF2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l. 管理平台测试报告； </w:t>
      </w:r>
    </w:p>
    <w:p w14:paraId="572A0D3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m. 报警器传输协议。 </w:t>
      </w:r>
    </w:p>
    <w:p w14:paraId="6F86561D">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②实地验收 </w:t>
      </w:r>
    </w:p>
    <w:p w14:paraId="45D4A2D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a. 报警器的安装位置、安装质量应符合《火灾自动报警系统施工及验收标准GB50166-2019》要求； </w:t>
      </w:r>
    </w:p>
    <w:p w14:paraId="2A93D98A">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b. 报警器的火灾报警功能、消音功能。 </w:t>
      </w:r>
    </w:p>
    <w:p w14:paraId="77423C0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③平台验收 </w:t>
      </w:r>
    </w:p>
    <w:p w14:paraId="08C35B8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a. 管理平台接收报警器的数据情况，自检、数据显示及相关功能；远程控制功能； </w:t>
      </w:r>
    </w:p>
    <w:p w14:paraId="55A4206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用户接收数据及相关功能；显示报警器完好率、误报率、在线率、故障处置率、火警响应效率等关键指标数据信息。 </w:t>
      </w:r>
    </w:p>
    <w:p w14:paraId="048044D1">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b. 数据中台管理服务单位，提供数据查看、管理等功能；对服务单位服务质量评价功能。 </w:t>
      </w:r>
    </w:p>
    <w:p w14:paraId="7AB5892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c. 管理平台与数据中台、数据中台与省级消防大数据平台数据同步。 </w:t>
      </w:r>
    </w:p>
    <w:p w14:paraId="1A0DD9FF">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④服务验收 </w:t>
      </w:r>
    </w:p>
    <w:p w14:paraId="118C5FF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a. 服务单位制定报警器服务相关的规章制度，建立服务质量管理体系。 </w:t>
      </w:r>
    </w:p>
    <w:p w14:paraId="34E5800D">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b. 服务单位配置属地化团队。 </w:t>
      </w:r>
    </w:p>
    <w:p w14:paraId="372055F9">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c. 验收时，报警器在线率不低于98%。 </w:t>
      </w:r>
    </w:p>
    <w:p w14:paraId="58C4E67C">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8．验收标准 </w:t>
      </w:r>
    </w:p>
    <w:p w14:paraId="2420178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基于本项目招标文件中相关技术、服务、商务要求、中标人投标文件相关响应内容。 </w:t>
      </w:r>
    </w:p>
    <w:p w14:paraId="393DCFA6">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《四川省消防救援总队关于印发&lt;四川省城乡独居老年人免费安装联网型独立感烟火灾报警器建设指南&gt;的通知》相关要求。 </w:t>
      </w:r>
    </w:p>
    <w:p w14:paraId="069D762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(3) 严格按照政府采购相关法律法规以及《财政部关于进一步加强政府采购需求和履约验收管理的指导意见》(财库(2016)205 号)、《政府采购需求管理办法》(财库(2021)22 号)的相关规定，根据《招标文件》、《投标文件》和双方签订的《采购合同》，对供应商履约情况进行验收。 </w:t>
      </w:r>
    </w:p>
    <w:p w14:paraId="27CE158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(4) 双方如对质量要求和技术指标的约定标准有相互抵触或异议的事项，由采购人在招标与投标文件中按质量要求和技术指标比较优胜的原则确定该项的约定标准进行验收。 </w:t>
      </w:r>
    </w:p>
    <w:p w14:paraId="0C92F3CF">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(5) 采购人可对中标人提供的产品封存送检。送检的产品质量合格，检测费用由采购人承担；送检的产品质量不达标，检测费用由中标人承担。因中标人产品质量不达标带来的一切安全问题，采购人将进行追责，中标人承担相关法律责任。 </w:t>
      </w:r>
    </w:p>
    <w:p w14:paraId="51360608">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9．包装及运输 </w:t>
      </w:r>
    </w:p>
    <w:p w14:paraId="0754370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涉及的商品包装和快递包装，均应符合《商品包装政府采购需求标准（试行）》《快递包装政府采购需求标准（试行）》的要求，包装应适应于远距离运输、防潮、防震、防锈和防野蛮装卸，以确保产品安全无损运抵指定地点。 </w:t>
      </w:r>
    </w:p>
    <w:p w14:paraId="2FA5BF81">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10．违约责任与解决争议的方法 </w:t>
      </w:r>
    </w:p>
    <w:p w14:paraId="72FD439B">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 采购人违约责任 </w:t>
      </w:r>
    </w:p>
    <w:p w14:paraId="28A41FE3">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①采购人无正当理由拒收产品的，采购人按拒收产品金额的10％向供应商支付违约金。 </w:t>
      </w:r>
    </w:p>
    <w:p w14:paraId="7D256247">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②采购人未按合同规定的期限向供应商支付货款的，除应及时付足货款外，应向乙方偿付欠款总额万分之五/天的违约金；逾期付款超过 60 天的，乙方有权终止合同。 </w:t>
      </w:r>
    </w:p>
    <w:p w14:paraId="4919151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供应商（乙方）违约责任 </w:t>
      </w:r>
    </w:p>
    <w:p w14:paraId="4C386B82">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① 乙方所交付的货物、安装调试、运维服务等不符合本合同约定的，甲方有权拒收，同时乙方应在合同约定的履约期限内重新完成货物交付、安装调试、运维服务，否则视为供应商逾期。每逾期1日，乙方向甲方偿付相应货物金额0.1‰的违约金。如供应商逾期交货达60天，甲方有权解除合同，甲方解除合同的通知自到达乙方时生效，同时乙方应向甲方另行支付相应货物金额10%的违约金，并退还甲方已支付的相应货款及其利息。 </w:t>
      </w:r>
    </w:p>
    <w:p w14:paraId="0FB4730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②乙方未按照本合同约定提供服务的，每出现一次违约，乙方应按合同总金额的0.1‰向甲方支付违约金，并按照甲方要求限期整改。服务期内出现5次及以上违约的，甲方有权直接解除合同，解除通知自到达乙方时生效，乙方还应另按合同总金额的5%向甲方支付违约金。 </w:t>
      </w:r>
    </w:p>
    <w:p w14:paraId="1D83F340">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③乙方保证合同产品的权利无瑕疵，包括产品所有权及知识产权等权利无瑕疵。如任何第三方经法院（或仲裁机构）裁决有权对上述产品主张权利或国家机关依法对产品进行没收查处的，乙方除应向甲方返还已收款项外，还应另按合同总价的10%向甲方支付违约金并赔偿因此给甲方造成的一切损失。 </w:t>
      </w:r>
    </w:p>
    <w:p w14:paraId="5B44DEA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④ 未经双方协商一致，乙方不得单方面变更、中止、解除或终止本合同，否则，乙方应承担合同总金额20%的违约金，并赔偿由此给甲方造成的全部损失。 </w:t>
      </w:r>
    </w:p>
    <w:p w14:paraId="38BD873A">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⑤乙方未经甲方书面同意，不得擅自分包、转包，否则甲方有权立即终止合同，并要求乙方停止分包、转包行为，同时有权要求乙方承担合同总金额20%的违约金。 </w:t>
      </w:r>
    </w:p>
    <w:p w14:paraId="15549608">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⑥合同签订后，若因乙方在政府采购活动中存在违法违规行为的，甲方有权无条件解除本合同并根据合同履行情况要求乙方退还相应费用及利息。同时，乙方应向甲方另行支付合同总金额20%的违约金。 </w:t>
      </w:r>
    </w:p>
    <w:p w14:paraId="4FF05C55">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⑦乙方偿付的违约金不足以弥补甲方损失的，还应按甲方损失尚未弥补的部分予以补足。 </w:t>
      </w:r>
    </w:p>
    <w:p w14:paraId="6E6B347E">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⑧乙方货物如经甲方送交具有法定资格条件的质量技术监督机构检测后，如检测结果认定货物质量不符合本合同规定标准的，则视为乙方没有按时交货而违约，乙方须在60天内无条件更换合格的货物，如逾期不能更换合格的货物，甲方有权终止本合同，乙方应另付合同总价的3%的赔偿金给甲方。 </w:t>
      </w:r>
    </w:p>
    <w:p w14:paraId="4AA10CF9">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⑨本合同内容以及乙方因签订、履行本合同所获悉的甲方、关联单位及合作单位的相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追究因乙方泄密所造成的甲方损失，并要求乙方支付本合同总金额3%的违约金。 </w:t>
      </w:r>
    </w:p>
    <w:p w14:paraId="7997E5B6">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⑩以上所称“利息”按照中国人民银行授权全国银行间同业拆借中心公布的同期贷款市场报价利率（LPR）为标准，从甲方支付之日起计算。 </w:t>
      </w:r>
    </w:p>
    <w:p w14:paraId="1C11A0F9">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11．解决争议的方法 </w:t>
      </w:r>
    </w:p>
    <w:p w14:paraId="2326C55B">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（1） 争议解决 </w:t>
      </w:r>
    </w:p>
    <w:p w14:paraId="4C1D5C0B">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因产品的质量问题发生争议，由相关产品所属的质量技术监督部门或其指定的质量鉴定机构进行质量鉴定。产品符合标准的，鉴定费由采购人承担；产品不符合质量标准的，鉴定费由供应商承担。 </w:t>
      </w:r>
    </w:p>
    <w:p w14:paraId="5D753D88">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合同履行过程中发生的与本合同有关的纠纷，双方应通过友好协商解决，不能协商一致的，双方均有权向采购人所在地人民法院提起诉讼。 </w:t>
      </w:r>
    </w:p>
    <w:p w14:paraId="145E1C2B">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 本合同经双方签订后即具有约束力，当事双方应严格履行本合同，除不可抗力因素或经双方协商同意外，因任意一方违反本合同约定而产生纠纷的，违约方自愿承担因守约方对外已支付或可能支付的赔偿金、违约金、罚款等一切费用，以及守约方向其主张权利和守约方对外解决纠纷而产生的交通费、误工费、诉讼费、仲裁费、差旅费、查封保全担保费、保全保险费、公告费、执行费、公证费、鉴定费、中介服务费用（律师费用、会计费用、审计费用）等。守约方因此遭受的其他直接、间接损失和可期待利益，违约方也应当进行赔偿。 </w:t>
      </w:r>
    </w:p>
    <w:p w14:paraId="47094B9B">
      <w:pPr>
        <w:widowControl/>
        <w:spacing w:line="360" w:lineRule="auto"/>
        <w:ind w:firstLine="482" w:firstLineChars="200"/>
        <w:jc w:val="left"/>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 xml:space="preserve">四、其他要求 </w:t>
      </w:r>
    </w:p>
    <w:p w14:paraId="35038E7C">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1．供应商应针对本项目配置服务团队，团队成员至少包括项目经理1人、技术负责人1人、其他成员3人。 </w:t>
      </w:r>
    </w:p>
    <w:p w14:paraId="569DED1F">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2．供应商应针对本项目编制项目实施方案，方案内容至少包括①安全文明施工方案、②报警器安装及调试方案、③整个项目质量保证措施、④管理平台部署方案、⑤数据对接方案、⑥管理平台运维及故障处置方案。 </w:t>
      </w:r>
    </w:p>
    <w:p w14:paraId="492DF434">
      <w:pPr>
        <w:widowControl/>
        <w:spacing w:line="360" w:lineRule="auto"/>
        <w:ind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3．供应商应针对本项目编制售后服务方案，方案内容至少包括①响应时间及方式、②售后服务保障措施、③应急响应机制、④售后服务人员.</w:t>
      </w:r>
    </w:p>
    <w:p w14:paraId="028D5A3E">
      <w:pPr>
        <w:pStyle w:val="3"/>
        <w:spacing w:after="0" w:line="360" w:lineRule="auto"/>
        <w:ind w:firstLine="482" w:firstLineChars="200"/>
        <w:rPr>
          <w:rFonts w:hint="eastAsia" w:ascii="宋体" w:hAnsi="宋体" w:eastAsia="宋体" w:cs="宋体"/>
          <w:b/>
          <w:bCs/>
          <w:color w:val="auto"/>
          <w:sz w:val="24"/>
          <w:szCs w:val="24"/>
          <w:highlight w:val="none"/>
        </w:rPr>
      </w:pPr>
    </w:p>
    <w:p w14:paraId="58A1CCD9">
      <w:pPr>
        <w:pStyle w:val="3"/>
        <w:spacing w:after="0"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项为实质性要求，不允许负偏离，技术参数中有要求提供证明材料的，还应按要求提供证明材料，否则作无效投标处理；▲项为重要参数，无标记项为一般参数（技术参数中有要求提供证明材料的，还应按要求提供证明材料），若为负偏离将作不同分值的扣分(详见评分明细表)。</w:t>
      </w:r>
    </w:p>
    <w:p w14:paraId="4BD2D390">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2、带有“▲”标志的技术参数指标，需提供国家认可的具备相关资质的第三方检测机构出具的检测检验报告佐证（技术参数中另有要求提供其它证明材料的除外），所提供的检测（检验）报告应完整有效。</w:t>
      </w:r>
    </w:p>
    <w:p w14:paraId="6B2B101E">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参数</w:t>
      </w:r>
      <w:r>
        <w:rPr>
          <w:rFonts w:hint="eastAsia" w:ascii="宋体" w:hAnsi="宋体" w:eastAsia="宋体" w:cs="宋体"/>
          <w:b/>
          <w:bCs/>
          <w:color w:val="auto"/>
          <w:sz w:val="24"/>
          <w:szCs w:val="24"/>
          <w:highlight w:val="none"/>
        </w:rPr>
        <w:t>响应内容与所提供检测报告不一致的，以检测（检验）报告为准。</w:t>
      </w:r>
    </w:p>
    <w:p w14:paraId="45DDE889">
      <w:pPr>
        <w:jc w:val="left"/>
        <w:rPr>
          <w:rFonts w:hint="default"/>
          <w:b/>
          <w:bCs/>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20693F"/>
    <w:multiLevelType w:val="singleLevel"/>
    <w:tmpl w:val="0920693F"/>
    <w:lvl w:ilvl="0" w:tentative="0">
      <w:start w:val="1"/>
      <w:numFmt w:val="decimal"/>
      <w:lvlText w:val="%1."/>
      <w:lvlJc w:val="left"/>
      <w:pPr>
        <w:ind w:left="425" w:hanging="425"/>
      </w:pPr>
      <w:rPr>
        <w:rFonts w:hint="default" w:ascii="宋体" w:hAnsi="宋体" w:eastAsia="宋体" w:cs="宋体"/>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ED083D"/>
    <w:rsid w:val="72D01190"/>
    <w:rsid w:val="7DED0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spacing w:line="360" w:lineRule="auto"/>
    </w:pPr>
    <w:rPr>
      <w:rFonts w:ascii="宋体" w:hAnsi="Courier New"/>
      <w:sz w:val="24"/>
    </w:rPr>
  </w:style>
  <w:style w:type="paragraph" w:styleId="3">
    <w:name w:val="Body Text"/>
    <w:basedOn w:val="1"/>
    <w:next w:val="1"/>
    <w:qFormat/>
    <w:uiPriority w:val="0"/>
    <w:pPr>
      <w:spacing w:after="120" w:afterLines="0"/>
    </w:pPr>
  </w:style>
  <w:style w:type="table" w:styleId="5">
    <w:name w:val="Table Grid"/>
    <w:basedOn w:val="4"/>
    <w:qFormat/>
    <w:uiPriority w:val="0"/>
    <w:rPr>
      <w:rFonts w:ascii="Calibri" w:hAnsi="Calibri" w:eastAsia="宋体"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无"/>
    <w:qFormat/>
    <w:uiPriority w:val="0"/>
  </w:style>
  <w:style w:type="character" w:customStyle="1" w:styleId="8">
    <w:name w:val="font61"/>
    <w:basedOn w:val="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7137</Words>
  <Characters>7402</Characters>
  <Lines>0</Lines>
  <Paragraphs>0</Paragraphs>
  <TotalTime>2</TotalTime>
  <ScaleCrop>false</ScaleCrop>
  <LinksUpToDate>false</LinksUpToDate>
  <CharactersWithSpaces>7664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2026-06-11T09:53:00Z</dcterms:created>
  <dc:creator>111</dc:creator>
  <cp:lastModifiedBy>香橙味biu~</cp:lastModifiedBy>
  <dcterms:modified xsi:type="dcterms:W3CDTF">2026-06-11T10:11:50Z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6BC59E34DF42432D8D8212BF5705379F_11</vt:lpwstr>
  </property>
  <property fmtid="{D5CDD505-2E9C-101B-9397-08002B2CF9AE}" pid="4" name="KSOTemplateDocerSaveRecord">
    <vt:lpwstr>eyJoZGlkIjoiMWU2MzA2YThjYTYwNzQxMjE1OTI4Yjg1MDZiZTllZjQiLCJ1c2VySWQiOiIxNDAzNTc4OTE5In0=</vt:lpwstr>
  </property>
</Properties>
</file>