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540310">
      <w:pPr>
        <w:keepNext/>
        <w:keepLines/>
        <w:widowControl w:val="0"/>
        <w:spacing w:before="340" w:after="330" w:line="240" w:lineRule="atLeast"/>
        <w:jc w:val="center"/>
        <w:outlineLvl w:val="0"/>
        <w:rPr>
          <w:rFonts w:ascii="Times New Roman" w:hAnsi="Times New Roman" w:eastAsia="华文中宋" w:cs="Times New Roman"/>
          <w:b/>
          <w:bCs/>
          <w:kern w:val="44"/>
          <w:sz w:val="36"/>
          <w:szCs w:val="36"/>
          <w:lang w:val="en-US" w:eastAsia="zh-CN" w:bidi="ar-SA"/>
        </w:rPr>
      </w:pPr>
      <w:bookmarkStart w:id="0" w:name="_Toc513065351"/>
      <w:bookmarkStart w:id="14" w:name="_GoBack"/>
      <w:bookmarkEnd w:id="14"/>
      <w:r>
        <w:rPr>
          <w:rFonts w:ascii="Times New Roman" w:hAnsi="Times New Roman" w:eastAsia="华文中宋" w:cs="Times New Roman"/>
          <w:b/>
          <w:bCs/>
          <w:kern w:val="44"/>
          <w:sz w:val="36"/>
          <w:szCs w:val="36"/>
          <w:lang w:val="en-US" w:eastAsia="zh-CN" w:bidi="ar-SA"/>
        </w:rPr>
        <w:t>招标项目技术、服务、采购合同内容条款及其他商务要求</w:t>
      </w:r>
      <w:bookmarkEnd w:id="0"/>
    </w:p>
    <w:p w14:paraId="32BEABB5">
      <w:pPr>
        <w:keepNext/>
        <w:keepLines/>
        <w:widowControl w:val="0"/>
        <w:spacing w:before="260" w:after="260" w:line="400" w:lineRule="exact"/>
        <w:jc w:val="both"/>
        <w:outlineLvl w:val="1"/>
        <w:rPr>
          <w:rFonts w:ascii="Times New Roman" w:hAnsi="Times New Roman" w:eastAsia="宋体" w:cs="Times New Roman"/>
          <w:b/>
          <w:bCs/>
          <w:kern w:val="2"/>
          <w:sz w:val="24"/>
          <w:szCs w:val="24"/>
          <w:lang w:val="en-US" w:eastAsia="zh-CN" w:bidi="ar-SA"/>
        </w:rPr>
      </w:pPr>
      <w:r>
        <w:rPr>
          <w:rFonts w:ascii="Times New Roman" w:hAnsi="Times New Roman" w:eastAsia="宋体" w:cs="Times New Roman"/>
          <w:b/>
          <w:bCs/>
          <w:kern w:val="2"/>
          <w:sz w:val="24"/>
          <w:szCs w:val="24"/>
          <w:lang w:val="en-US" w:eastAsia="zh-CN" w:bidi="ar-SA"/>
        </w:rPr>
        <w:t>前提：本章中标注“★”的条款为本项目的实质性要求条款，投标人不满足的，将在符合性审查时按照无效投标处理。具体详见第七章“综合评分明细表”。</w:t>
      </w:r>
    </w:p>
    <w:p w14:paraId="3AB033DB">
      <w:pPr>
        <w:keepNext/>
        <w:keepLines/>
        <w:widowControl w:val="0"/>
        <w:numPr>
          <w:ilvl w:val="0"/>
          <w:numId w:val="1"/>
        </w:numPr>
        <w:spacing w:before="260" w:after="260" w:line="400" w:lineRule="exact"/>
        <w:ind w:left="504" w:hanging="504"/>
        <w:jc w:val="both"/>
        <w:outlineLvl w:val="1"/>
        <w:rPr>
          <w:rFonts w:ascii="Times New Roman" w:hAnsi="Times New Roman" w:eastAsia="宋体" w:cs="Times New Roman"/>
          <w:b/>
          <w:bCs/>
          <w:kern w:val="2"/>
          <w:sz w:val="24"/>
          <w:szCs w:val="24"/>
          <w:lang w:val="en-US" w:eastAsia="zh-CN" w:bidi="ar-SA"/>
        </w:rPr>
      </w:pPr>
      <w:r>
        <w:rPr>
          <w:rFonts w:ascii="Times New Roman" w:hAnsi="Times New Roman" w:eastAsia="宋体" w:cs="Times New Roman"/>
          <w:b/>
          <w:bCs/>
          <w:kern w:val="2"/>
          <w:sz w:val="24"/>
          <w:szCs w:val="24"/>
          <w:lang w:val="en-US" w:eastAsia="zh-CN" w:bidi="ar-SA"/>
        </w:rPr>
        <w:t>项目概述</w:t>
      </w:r>
    </w:p>
    <w:p w14:paraId="76D4A02D">
      <w:pPr>
        <w:spacing w:line="440" w:lineRule="exact"/>
        <w:ind w:firstLine="480" w:firstLineChars="200"/>
        <w:rPr>
          <w:rFonts w:ascii="Times New Roman" w:hAnsi="Times New Roman"/>
          <w:sz w:val="24"/>
        </w:rPr>
      </w:pPr>
      <w:r>
        <w:rPr>
          <w:rFonts w:hint="eastAsia" w:ascii="Times New Roman" w:hAnsi="Times New Roman"/>
          <w:sz w:val="24"/>
        </w:rPr>
        <w:t>1、项目概况</w:t>
      </w:r>
    </w:p>
    <w:p w14:paraId="0C103245">
      <w:pPr>
        <w:spacing w:line="440" w:lineRule="exact"/>
        <w:ind w:firstLine="480" w:firstLineChars="200"/>
        <w:rPr>
          <w:rFonts w:hint="eastAsia" w:ascii="Times New Roman" w:hAnsi="Times New Roman"/>
          <w:sz w:val="24"/>
        </w:rPr>
      </w:pPr>
      <w:r>
        <w:rPr>
          <w:rFonts w:hint="eastAsia" w:ascii="Times New Roman" w:hAnsi="Times New Roman"/>
          <w:sz w:val="24"/>
        </w:rPr>
        <w:t>根据学校《2026年秋季新生宿舍安排方案》的总体部署，为有效缓解校内学生住宿资源紧张状况，确保2026级新生住宿需求得到充分保障，学校拟对毕业生腾退的零散宿舍房间实施床位扩容改造，通过家具“1改2”“1改3”的方式扩充床位供给。项目涉及九里校区扬华斋、眷诚斋及犀浦校区鸿哲斋相关楼层，共计237间分散宿舍。定制家具须结合各宿舍楼栋的层高、房间实际尺寸及学生使用高度等因素进行个性化设计与适配，扬华斋1层与其他楼层层高不一致等问题，需根据具体情况对家具尺寸作局部调整；特殊情况如加长床（每年约90个）需学生入住后对具体床位做加长处理。</w:t>
      </w:r>
    </w:p>
    <w:p w14:paraId="3A726EC2">
      <w:pPr>
        <w:spacing w:line="440" w:lineRule="exact"/>
        <w:ind w:firstLine="480" w:firstLineChars="200"/>
        <w:rPr>
          <w:rFonts w:ascii="Times New Roman" w:hAnsi="Times New Roman"/>
          <w:sz w:val="24"/>
        </w:rPr>
      </w:pPr>
      <w:r>
        <w:rPr>
          <w:rFonts w:ascii="Times New Roman" w:hAnsi="Times New Roman"/>
          <w:sz w:val="24"/>
        </w:rPr>
        <w:t>特别提示：根据往年项目实施经验，本项目改造</w:t>
      </w:r>
      <w:r>
        <w:rPr>
          <w:rFonts w:hint="eastAsia" w:ascii="Times New Roman" w:hAnsi="Times New Roman"/>
          <w:sz w:val="24"/>
        </w:rPr>
        <w:t>宿舍的维修改造</w:t>
      </w:r>
      <w:r>
        <w:rPr>
          <w:rFonts w:ascii="Times New Roman" w:hAnsi="Times New Roman"/>
          <w:sz w:val="24"/>
        </w:rPr>
        <w:t>部分</w:t>
      </w:r>
      <w:r>
        <w:rPr>
          <w:rFonts w:hint="eastAsia" w:ascii="Times New Roman" w:hAnsi="Times New Roman"/>
          <w:sz w:val="24"/>
        </w:rPr>
        <w:t>工作</w:t>
      </w:r>
      <w:r>
        <w:rPr>
          <w:rFonts w:ascii="Times New Roman" w:hAnsi="Times New Roman"/>
          <w:sz w:val="24"/>
        </w:rPr>
        <w:t>预计在</w:t>
      </w:r>
      <w:r>
        <w:rPr>
          <w:rFonts w:hint="eastAsia" w:ascii="Times New Roman" w:hAnsi="Times New Roman"/>
          <w:sz w:val="24"/>
        </w:rPr>
        <w:t>8月23日</w:t>
      </w:r>
      <w:r>
        <w:rPr>
          <w:rFonts w:ascii="Times New Roman" w:hAnsi="Times New Roman"/>
          <w:sz w:val="24"/>
        </w:rPr>
        <w:t>完成交付，届时将具备家具进场安装条件。供应商应充分考虑上述工期窗口期较短的因素，合理安排生产计划、物流配送及现场安装人员，确保在交付后规定时限内完成家具安装并达到验收标准。</w:t>
      </w:r>
    </w:p>
    <w:p w14:paraId="26919D90">
      <w:pPr>
        <w:spacing w:line="440" w:lineRule="exact"/>
        <w:ind w:firstLine="480" w:firstLineChars="200"/>
        <w:rPr>
          <w:rFonts w:ascii="Times New Roman" w:hAnsi="Times New Roman"/>
          <w:sz w:val="24"/>
        </w:rPr>
      </w:pPr>
      <w:r>
        <w:rPr>
          <w:rFonts w:hint="eastAsia" w:ascii="Times New Roman" w:hAnsi="Times New Roman"/>
          <w:sz w:val="24"/>
        </w:rPr>
        <w:t>2、拟实现的主要功能或目标</w:t>
      </w:r>
    </w:p>
    <w:p w14:paraId="40F14DDF">
      <w:pPr>
        <w:spacing w:line="440" w:lineRule="exact"/>
        <w:ind w:firstLine="480" w:firstLineChars="200"/>
        <w:rPr>
          <w:rFonts w:hint="eastAsia" w:ascii="Times New Roman" w:hAnsi="Times New Roman"/>
          <w:sz w:val="24"/>
        </w:rPr>
      </w:pPr>
      <w:r>
        <w:rPr>
          <w:rFonts w:hint="eastAsia" w:ascii="Times New Roman" w:hAnsi="Times New Roman"/>
          <w:sz w:val="24"/>
        </w:rPr>
        <w:t>依据《2026年秋季新生宿舍安排方案》，拟对毕业生腾退零散宿舍进行家具改造扩容。其中：九里校区扬华斋130间、眷诚斋42间，犀浦校区鸿哲斋15间，共计187间实施“1改2”改造；九里校区眷诚斋50间实施1改3。所有家具须根据不同房型的实测尺寸进行定制化设计与空间布局优化，在有限空间内实现功能最大化，同时兼顾使用安全性与居住舒适性。家具选材须符合国家环保标准，成品质量须满足QB/T 2741-2013《学生公寓多功能家具》相关要求，确保安全环保、低有害物释放，切实保障学生住宿安全与健康。</w:t>
      </w:r>
    </w:p>
    <w:p w14:paraId="781C6146">
      <w:pPr>
        <w:spacing w:line="440" w:lineRule="exact"/>
        <w:ind w:firstLine="480" w:firstLineChars="200"/>
        <w:rPr>
          <w:rFonts w:ascii="Times New Roman" w:hAnsi="Times New Roman"/>
          <w:sz w:val="24"/>
        </w:rPr>
      </w:pPr>
      <w:r>
        <w:rPr>
          <w:rFonts w:hint="eastAsia" w:ascii="Times New Roman" w:hAnsi="Times New Roman"/>
          <w:sz w:val="24"/>
        </w:rPr>
        <w:t>3、采购清单</w:t>
      </w:r>
    </w:p>
    <w:tbl>
      <w:tblPr>
        <w:tblStyle w:val="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1"/>
        <w:gridCol w:w="1553"/>
        <w:gridCol w:w="873"/>
        <w:gridCol w:w="835"/>
        <w:gridCol w:w="1161"/>
        <w:gridCol w:w="1161"/>
        <w:gridCol w:w="1297"/>
        <w:gridCol w:w="1161"/>
      </w:tblGrid>
      <w:tr w14:paraId="0C552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8" w:hRule="atLeast"/>
          <w:jc w:val="center"/>
        </w:trPr>
        <w:tc>
          <w:tcPr>
            <w:tcW w:w="282" w:type="pct"/>
            <w:noWrap w:val="0"/>
            <w:vAlign w:val="center"/>
          </w:tcPr>
          <w:p w14:paraId="4DFE1815">
            <w:pPr>
              <w:jc w:val="center"/>
              <w:rPr>
                <w:rFonts w:hint="eastAsia" w:ascii="宋体" w:hAnsi="宋体"/>
                <w:b/>
                <w:sz w:val="24"/>
              </w:rPr>
            </w:pPr>
            <w:bookmarkStart w:id="1" w:name="_Hlk212463801"/>
            <w:r>
              <w:rPr>
                <w:rFonts w:ascii="宋体" w:hAnsi="宋体"/>
                <w:b/>
                <w:sz w:val="24"/>
              </w:rPr>
              <w:t>序号</w:t>
            </w:r>
          </w:p>
        </w:tc>
        <w:tc>
          <w:tcPr>
            <w:tcW w:w="911" w:type="pct"/>
            <w:noWrap w:val="0"/>
            <w:vAlign w:val="center"/>
          </w:tcPr>
          <w:p w14:paraId="0A17DB4E">
            <w:pPr>
              <w:jc w:val="center"/>
              <w:rPr>
                <w:rFonts w:hint="eastAsia" w:ascii="宋体" w:hAnsi="宋体"/>
                <w:b/>
                <w:sz w:val="24"/>
              </w:rPr>
            </w:pPr>
            <w:r>
              <w:rPr>
                <w:rFonts w:hint="eastAsia" w:ascii="宋体" w:hAnsi="宋体"/>
                <w:b/>
                <w:sz w:val="24"/>
              </w:rPr>
              <w:t>标的</w:t>
            </w:r>
            <w:r>
              <w:rPr>
                <w:rFonts w:ascii="宋体" w:hAnsi="宋体"/>
                <w:b/>
                <w:sz w:val="24"/>
              </w:rPr>
              <w:t>名称</w:t>
            </w:r>
          </w:p>
        </w:tc>
        <w:tc>
          <w:tcPr>
            <w:tcW w:w="512" w:type="pct"/>
            <w:noWrap w:val="0"/>
            <w:vAlign w:val="center"/>
          </w:tcPr>
          <w:p w14:paraId="68C98ECB">
            <w:pPr>
              <w:jc w:val="center"/>
              <w:rPr>
                <w:rFonts w:hint="eastAsia" w:ascii="宋体" w:hAnsi="宋体"/>
                <w:b/>
                <w:sz w:val="24"/>
              </w:rPr>
            </w:pPr>
            <w:r>
              <w:rPr>
                <w:rFonts w:hint="eastAsia" w:ascii="宋体" w:hAnsi="宋体"/>
                <w:b/>
                <w:sz w:val="24"/>
              </w:rPr>
              <w:t>★数量</w:t>
            </w:r>
          </w:p>
        </w:tc>
        <w:tc>
          <w:tcPr>
            <w:tcW w:w="490" w:type="pct"/>
            <w:noWrap w:val="0"/>
            <w:vAlign w:val="center"/>
          </w:tcPr>
          <w:p w14:paraId="323F38E0">
            <w:pPr>
              <w:jc w:val="center"/>
              <w:rPr>
                <w:rFonts w:hint="eastAsia" w:ascii="宋体" w:hAnsi="宋体"/>
                <w:b/>
                <w:sz w:val="24"/>
              </w:rPr>
            </w:pPr>
            <w:r>
              <w:rPr>
                <w:rFonts w:hint="eastAsia" w:ascii="宋体" w:hAnsi="宋体"/>
                <w:b/>
                <w:sz w:val="24"/>
              </w:rPr>
              <w:t>所属行业</w:t>
            </w:r>
          </w:p>
        </w:tc>
        <w:tc>
          <w:tcPr>
            <w:tcW w:w="681" w:type="pct"/>
            <w:noWrap w:val="0"/>
            <w:vAlign w:val="center"/>
          </w:tcPr>
          <w:p w14:paraId="0A094428">
            <w:pPr>
              <w:widowControl/>
              <w:spacing w:after="0" w:line="240" w:lineRule="auto"/>
              <w:jc w:val="center"/>
              <w:rPr>
                <w:rFonts w:hint="eastAsia" w:ascii="宋体" w:hAnsi="宋体"/>
                <w:b/>
                <w:sz w:val="24"/>
              </w:rPr>
            </w:pPr>
            <w:r>
              <w:rPr>
                <w:rFonts w:hint="eastAsia" w:ascii="宋体" w:hAnsi="宋体"/>
                <w:b/>
                <w:sz w:val="24"/>
              </w:rPr>
              <w:t>是否属于优先采购节能产品</w:t>
            </w:r>
          </w:p>
        </w:tc>
        <w:tc>
          <w:tcPr>
            <w:tcW w:w="681" w:type="pct"/>
            <w:noWrap w:val="0"/>
            <w:vAlign w:val="center"/>
          </w:tcPr>
          <w:p w14:paraId="663ED940">
            <w:pPr>
              <w:widowControl/>
              <w:spacing w:after="0" w:line="240" w:lineRule="auto"/>
              <w:jc w:val="center"/>
              <w:rPr>
                <w:rFonts w:hint="eastAsia" w:ascii="宋体" w:hAnsi="宋体"/>
                <w:b/>
                <w:sz w:val="24"/>
              </w:rPr>
            </w:pPr>
            <w:r>
              <w:rPr>
                <w:rFonts w:hint="eastAsia" w:ascii="宋体" w:hAnsi="宋体"/>
                <w:b/>
                <w:sz w:val="24"/>
              </w:rPr>
              <w:t>是否属于强制采购节能产品</w:t>
            </w:r>
          </w:p>
        </w:tc>
        <w:tc>
          <w:tcPr>
            <w:tcW w:w="761" w:type="pct"/>
            <w:noWrap w:val="0"/>
            <w:vAlign w:val="center"/>
          </w:tcPr>
          <w:p w14:paraId="590C6DEA">
            <w:pPr>
              <w:widowControl/>
              <w:spacing w:after="0" w:line="240" w:lineRule="auto"/>
              <w:jc w:val="center"/>
              <w:rPr>
                <w:rFonts w:hint="eastAsia" w:ascii="宋体" w:hAnsi="宋体"/>
                <w:b/>
                <w:sz w:val="24"/>
              </w:rPr>
            </w:pPr>
            <w:r>
              <w:rPr>
                <w:rFonts w:hint="eastAsia" w:ascii="宋体" w:hAnsi="宋体"/>
                <w:b/>
                <w:sz w:val="24"/>
              </w:rPr>
              <w:t>是否属于优先采购环境标志产品</w:t>
            </w:r>
          </w:p>
        </w:tc>
        <w:tc>
          <w:tcPr>
            <w:tcW w:w="681" w:type="pct"/>
            <w:noWrap w:val="0"/>
            <w:vAlign w:val="center"/>
          </w:tcPr>
          <w:p w14:paraId="21AA4FB9">
            <w:pPr>
              <w:widowControl/>
              <w:spacing w:after="0" w:line="240" w:lineRule="auto"/>
              <w:jc w:val="center"/>
              <w:rPr>
                <w:rFonts w:hint="eastAsia" w:ascii="宋体" w:hAnsi="宋体"/>
                <w:b/>
                <w:sz w:val="24"/>
              </w:rPr>
            </w:pPr>
            <w:r>
              <w:rPr>
                <w:rFonts w:hint="eastAsia" w:ascii="宋体" w:hAnsi="宋体"/>
                <w:b/>
                <w:sz w:val="24"/>
              </w:rPr>
              <w:t>是否允许进口产品参与投标</w:t>
            </w:r>
          </w:p>
        </w:tc>
      </w:tr>
      <w:bookmarkEnd w:id="1"/>
      <w:tr w14:paraId="7CED3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2" w:type="pct"/>
            <w:noWrap w:val="0"/>
            <w:vAlign w:val="center"/>
          </w:tcPr>
          <w:p w14:paraId="2DF4236E">
            <w:pPr>
              <w:tabs>
                <w:tab w:val="left" w:pos="0"/>
              </w:tabs>
              <w:spacing w:line="360" w:lineRule="exact"/>
              <w:jc w:val="center"/>
              <w:rPr>
                <w:rFonts w:hint="eastAsia" w:ascii="宋体" w:hAnsi="宋体" w:cs="宋体"/>
                <w:color w:val="000000"/>
                <w:sz w:val="24"/>
              </w:rPr>
            </w:pPr>
            <w:r>
              <w:rPr>
                <w:rFonts w:hint="eastAsia" w:ascii="宋体" w:hAnsi="宋体" w:cs="宋体"/>
                <w:color w:val="000000"/>
                <w:sz w:val="24"/>
              </w:rPr>
              <w:t>1</w:t>
            </w:r>
          </w:p>
        </w:tc>
        <w:tc>
          <w:tcPr>
            <w:tcW w:w="911" w:type="pct"/>
            <w:noWrap w:val="0"/>
            <w:vAlign w:val="center"/>
          </w:tcPr>
          <w:p w14:paraId="1248A6B0">
            <w:pPr>
              <w:widowControl/>
              <w:tabs>
                <w:tab w:val="left" w:pos="0"/>
              </w:tabs>
              <w:spacing w:line="360" w:lineRule="exact"/>
              <w:jc w:val="center"/>
              <w:textAlignment w:val="center"/>
              <w:rPr>
                <w:rFonts w:hint="eastAsia" w:ascii="宋体" w:hAnsi="宋体" w:cs="宋体"/>
                <w:color w:val="000000"/>
                <w:sz w:val="24"/>
              </w:rPr>
            </w:pPr>
            <w:r>
              <w:rPr>
                <w:rFonts w:hint="eastAsia" w:ascii="宋体" w:hAnsi="宋体" w:cs="宋体"/>
                <w:color w:val="000000"/>
                <w:sz w:val="24"/>
              </w:rPr>
              <w:t>定制学习桌1</w:t>
            </w:r>
          </w:p>
        </w:tc>
        <w:tc>
          <w:tcPr>
            <w:tcW w:w="512" w:type="pct"/>
            <w:noWrap w:val="0"/>
            <w:vAlign w:val="center"/>
          </w:tcPr>
          <w:p w14:paraId="650C4625">
            <w:pPr>
              <w:tabs>
                <w:tab w:val="left" w:pos="0"/>
              </w:tabs>
              <w:spacing w:line="360" w:lineRule="exact"/>
              <w:jc w:val="center"/>
              <w:rPr>
                <w:rFonts w:hint="eastAsia" w:ascii="宋体" w:hAnsi="宋体" w:cs="宋体"/>
                <w:color w:val="000000"/>
                <w:sz w:val="24"/>
              </w:rPr>
            </w:pPr>
            <w:r>
              <w:rPr>
                <w:rFonts w:hint="eastAsia" w:ascii="宋体" w:hAnsi="宋体" w:cs="宋体"/>
                <w:color w:val="000000"/>
                <w:sz w:val="24"/>
              </w:rPr>
              <w:t>290张</w:t>
            </w:r>
          </w:p>
        </w:tc>
        <w:tc>
          <w:tcPr>
            <w:tcW w:w="490" w:type="pct"/>
            <w:noWrap w:val="0"/>
            <w:vAlign w:val="center"/>
          </w:tcPr>
          <w:p w14:paraId="62A66F8F">
            <w:pPr>
              <w:tabs>
                <w:tab w:val="left" w:pos="0"/>
              </w:tabs>
              <w:spacing w:line="360" w:lineRule="exact"/>
              <w:jc w:val="center"/>
              <w:rPr>
                <w:rFonts w:hint="eastAsia" w:ascii="宋体" w:hAnsi="宋体" w:cs="宋体"/>
                <w:color w:val="000000"/>
                <w:sz w:val="24"/>
              </w:rPr>
            </w:pPr>
            <w:r>
              <w:rPr>
                <w:rFonts w:hint="eastAsia" w:ascii="宋体" w:hAnsi="宋体" w:cs="宋体"/>
                <w:color w:val="000000"/>
                <w:sz w:val="24"/>
              </w:rPr>
              <w:t>工业</w:t>
            </w:r>
          </w:p>
        </w:tc>
        <w:tc>
          <w:tcPr>
            <w:tcW w:w="681" w:type="pct"/>
            <w:noWrap w:val="0"/>
            <w:vAlign w:val="center"/>
          </w:tcPr>
          <w:p w14:paraId="635F6AFC">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否</w:t>
            </w:r>
          </w:p>
        </w:tc>
        <w:tc>
          <w:tcPr>
            <w:tcW w:w="681" w:type="pct"/>
            <w:noWrap w:val="0"/>
            <w:vAlign w:val="center"/>
          </w:tcPr>
          <w:p w14:paraId="1B9089AB">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否</w:t>
            </w:r>
          </w:p>
        </w:tc>
        <w:tc>
          <w:tcPr>
            <w:tcW w:w="761" w:type="pct"/>
            <w:noWrap w:val="0"/>
            <w:vAlign w:val="center"/>
          </w:tcPr>
          <w:p w14:paraId="4C41BF5F">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是</w:t>
            </w:r>
          </w:p>
        </w:tc>
        <w:tc>
          <w:tcPr>
            <w:tcW w:w="681" w:type="pct"/>
            <w:noWrap w:val="0"/>
            <w:vAlign w:val="center"/>
          </w:tcPr>
          <w:p w14:paraId="1C2163CB">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否</w:t>
            </w:r>
          </w:p>
        </w:tc>
      </w:tr>
      <w:tr w14:paraId="2A25D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2" w:type="pct"/>
            <w:noWrap w:val="0"/>
            <w:vAlign w:val="center"/>
          </w:tcPr>
          <w:p w14:paraId="5EAB9211">
            <w:pPr>
              <w:tabs>
                <w:tab w:val="left" w:pos="0"/>
              </w:tabs>
              <w:spacing w:line="360" w:lineRule="exact"/>
              <w:jc w:val="center"/>
              <w:rPr>
                <w:rFonts w:hint="eastAsia" w:ascii="宋体" w:hAnsi="宋体" w:cs="宋体"/>
                <w:color w:val="000000"/>
                <w:sz w:val="24"/>
              </w:rPr>
            </w:pPr>
            <w:r>
              <w:rPr>
                <w:rFonts w:hint="eastAsia" w:ascii="宋体" w:hAnsi="宋体" w:cs="宋体"/>
                <w:color w:val="000000"/>
                <w:sz w:val="24"/>
              </w:rPr>
              <w:t>2</w:t>
            </w:r>
          </w:p>
        </w:tc>
        <w:tc>
          <w:tcPr>
            <w:tcW w:w="911" w:type="pct"/>
            <w:noWrap w:val="0"/>
            <w:vAlign w:val="center"/>
          </w:tcPr>
          <w:p w14:paraId="12D46505">
            <w:pPr>
              <w:widowControl/>
              <w:tabs>
                <w:tab w:val="left" w:pos="0"/>
              </w:tabs>
              <w:spacing w:line="360" w:lineRule="exact"/>
              <w:jc w:val="center"/>
              <w:textAlignment w:val="center"/>
              <w:rPr>
                <w:rFonts w:ascii="宋体" w:hAnsi="宋体" w:cs="宋体"/>
                <w:color w:val="000000"/>
                <w:sz w:val="24"/>
              </w:rPr>
            </w:pPr>
            <w:r>
              <w:rPr>
                <w:rFonts w:hint="eastAsia" w:ascii="宋体" w:hAnsi="宋体" w:cs="宋体"/>
                <w:color w:val="000000"/>
                <w:sz w:val="24"/>
              </w:rPr>
              <w:t>定制学习桌2</w:t>
            </w:r>
          </w:p>
        </w:tc>
        <w:tc>
          <w:tcPr>
            <w:tcW w:w="512" w:type="pct"/>
            <w:noWrap w:val="0"/>
            <w:vAlign w:val="center"/>
          </w:tcPr>
          <w:p w14:paraId="2A093579">
            <w:pPr>
              <w:tabs>
                <w:tab w:val="left" w:pos="0"/>
              </w:tabs>
              <w:spacing w:line="360" w:lineRule="exact"/>
              <w:jc w:val="center"/>
              <w:rPr>
                <w:rFonts w:hint="eastAsia" w:ascii="宋体" w:hAnsi="宋体" w:cs="宋体"/>
                <w:color w:val="000000"/>
                <w:sz w:val="24"/>
              </w:rPr>
            </w:pPr>
            <w:r>
              <w:rPr>
                <w:rFonts w:hint="eastAsia" w:ascii="宋体" w:hAnsi="宋体" w:cs="宋体"/>
                <w:color w:val="000000"/>
                <w:sz w:val="24"/>
              </w:rPr>
              <w:t>150张</w:t>
            </w:r>
          </w:p>
        </w:tc>
        <w:tc>
          <w:tcPr>
            <w:tcW w:w="490" w:type="pct"/>
            <w:noWrap w:val="0"/>
            <w:vAlign w:val="center"/>
          </w:tcPr>
          <w:p w14:paraId="270535C5">
            <w:pPr>
              <w:tabs>
                <w:tab w:val="left" w:pos="0"/>
              </w:tabs>
              <w:spacing w:line="360" w:lineRule="exact"/>
              <w:jc w:val="center"/>
              <w:rPr>
                <w:rFonts w:hint="eastAsia" w:ascii="宋体" w:hAnsi="宋体" w:cs="宋体"/>
                <w:color w:val="000000"/>
                <w:sz w:val="24"/>
              </w:rPr>
            </w:pPr>
            <w:r>
              <w:rPr>
                <w:rFonts w:hint="eastAsia" w:ascii="宋体" w:hAnsi="宋体" w:cs="宋体"/>
                <w:color w:val="000000"/>
                <w:sz w:val="24"/>
              </w:rPr>
              <w:t>工业</w:t>
            </w:r>
          </w:p>
        </w:tc>
        <w:tc>
          <w:tcPr>
            <w:tcW w:w="681" w:type="pct"/>
            <w:noWrap w:val="0"/>
            <w:vAlign w:val="center"/>
          </w:tcPr>
          <w:p w14:paraId="6C49B8C8">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否</w:t>
            </w:r>
          </w:p>
        </w:tc>
        <w:tc>
          <w:tcPr>
            <w:tcW w:w="681" w:type="pct"/>
            <w:noWrap w:val="0"/>
            <w:vAlign w:val="center"/>
          </w:tcPr>
          <w:p w14:paraId="2A41B1B6">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否</w:t>
            </w:r>
          </w:p>
        </w:tc>
        <w:tc>
          <w:tcPr>
            <w:tcW w:w="761" w:type="pct"/>
            <w:noWrap w:val="0"/>
            <w:vAlign w:val="center"/>
          </w:tcPr>
          <w:p w14:paraId="572BC245">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是</w:t>
            </w:r>
          </w:p>
        </w:tc>
        <w:tc>
          <w:tcPr>
            <w:tcW w:w="681" w:type="pct"/>
            <w:noWrap w:val="0"/>
            <w:vAlign w:val="center"/>
          </w:tcPr>
          <w:p w14:paraId="509218C5">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否</w:t>
            </w:r>
          </w:p>
        </w:tc>
      </w:tr>
      <w:tr w14:paraId="241C9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2" w:type="pct"/>
            <w:noWrap w:val="0"/>
            <w:vAlign w:val="center"/>
          </w:tcPr>
          <w:p w14:paraId="2EDBF987">
            <w:pPr>
              <w:tabs>
                <w:tab w:val="left" w:pos="0"/>
              </w:tabs>
              <w:spacing w:line="360" w:lineRule="exact"/>
              <w:jc w:val="center"/>
              <w:rPr>
                <w:rFonts w:hint="eastAsia" w:ascii="宋体" w:hAnsi="宋体" w:cs="宋体"/>
                <w:color w:val="000000"/>
                <w:sz w:val="24"/>
              </w:rPr>
            </w:pPr>
            <w:r>
              <w:rPr>
                <w:rFonts w:hint="eastAsia" w:ascii="宋体" w:hAnsi="宋体" w:cs="宋体"/>
                <w:color w:val="000000"/>
                <w:sz w:val="24"/>
              </w:rPr>
              <w:t>3</w:t>
            </w:r>
          </w:p>
        </w:tc>
        <w:tc>
          <w:tcPr>
            <w:tcW w:w="911" w:type="pct"/>
            <w:noWrap w:val="0"/>
            <w:vAlign w:val="center"/>
          </w:tcPr>
          <w:p w14:paraId="1B6DACC8">
            <w:pPr>
              <w:widowControl/>
              <w:tabs>
                <w:tab w:val="left" w:pos="0"/>
              </w:tabs>
              <w:spacing w:line="360" w:lineRule="exact"/>
              <w:jc w:val="center"/>
              <w:textAlignment w:val="center"/>
              <w:rPr>
                <w:rFonts w:ascii="宋体" w:hAnsi="宋体" w:cs="宋体"/>
                <w:color w:val="000000"/>
                <w:sz w:val="24"/>
              </w:rPr>
            </w:pPr>
            <w:r>
              <w:rPr>
                <w:rFonts w:hint="eastAsia" w:ascii="宋体" w:hAnsi="宋体" w:cs="宋体"/>
                <w:color w:val="000000"/>
                <w:sz w:val="24"/>
              </w:rPr>
              <w:t>定制更衣柜</w:t>
            </w:r>
          </w:p>
        </w:tc>
        <w:tc>
          <w:tcPr>
            <w:tcW w:w="512" w:type="pct"/>
            <w:noWrap w:val="0"/>
            <w:vAlign w:val="center"/>
          </w:tcPr>
          <w:p w14:paraId="6EC82334">
            <w:pPr>
              <w:tabs>
                <w:tab w:val="left" w:pos="0"/>
              </w:tabs>
              <w:spacing w:line="360" w:lineRule="exact"/>
              <w:jc w:val="center"/>
              <w:rPr>
                <w:rFonts w:hint="eastAsia" w:ascii="宋体" w:hAnsi="宋体" w:cs="宋体"/>
                <w:color w:val="000000"/>
                <w:sz w:val="24"/>
              </w:rPr>
            </w:pPr>
            <w:r>
              <w:rPr>
                <w:rFonts w:hint="eastAsia" w:ascii="宋体" w:hAnsi="宋体" w:cs="宋体"/>
                <w:color w:val="000000"/>
                <w:sz w:val="24"/>
              </w:rPr>
              <w:t>114组</w:t>
            </w:r>
          </w:p>
        </w:tc>
        <w:tc>
          <w:tcPr>
            <w:tcW w:w="490" w:type="pct"/>
            <w:noWrap w:val="0"/>
            <w:vAlign w:val="center"/>
          </w:tcPr>
          <w:p w14:paraId="1035A725">
            <w:pPr>
              <w:tabs>
                <w:tab w:val="left" w:pos="0"/>
              </w:tabs>
              <w:spacing w:line="360" w:lineRule="exact"/>
              <w:jc w:val="center"/>
              <w:rPr>
                <w:rFonts w:hint="eastAsia" w:ascii="宋体" w:hAnsi="宋体" w:cs="宋体"/>
                <w:color w:val="000000"/>
                <w:sz w:val="24"/>
              </w:rPr>
            </w:pPr>
            <w:r>
              <w:rPr>
                <w:rFonts w:hint="eastAsia" w:ascii="宋体" w:hAnsi="宋体" w:cs="宋体"/>
                <w:color w:val="000000"/>
                <w:sz w:val="24"/>
              </w:rPr>
              <w:t>工业</w:t>
            </w:r>
          </w:p>
        </w:tc>
        <w:tc>
          <w:tcPr>
            <w:tcW w:w="681" w:type="pct"/>
            <w:noWrap w:val="0"/>
            <w:vAlign w:val="center"/>
          </w:tcPr>
          <w:p w14:paraId="40AEE49E">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否</w:t>
            </w:r>
          </w:p>
        </w:tc>
        <w:tc>
          <w:tcPr>
            <w:tcW w:w="681" w:type="pct"/>
            <w:noWrap w:val="0"/>
            <w:vAlign w:val="center"/>
          </w:tcPr>
          <w:p w14:paraId="2A378C83">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否</w:t>
            </w:r>
          </w:p>
        </w:tc>
        <w:tc>
          <w:tcPr>
            <w:tcW w:w="761" w:type="pct"/>
            <w:noWrap w:val="0"/>
            <w:vAlign w:val="center"/>
          </w:tcPr>
          <w:p w14:paraId="71FC54A8">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是</w:t>
            </w:r>
          </w:p>
        </w:tc>
        <w:tc>
          <w:tcPr>
            <w:tcW w:w="681" w:type="pct"/>
            <w:noWrap w:val="0"/>
            <w:vAlign w:val="center"/>
          </w:tcPr>
          <w:p w14:paraId="2338BA29">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否</w:t>
            </w:r>
          </w:p>
        </w:tc>
      </w:tr>
      <w:tr w14:paraId="1185B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2" w:type="pct"/>
            <w:noWrap w:val="0"/>
            <w:vAlign w:val="center"/>
          </w:tcPr>
          <w:p w14:paraId="71E0076C">
            <w:pPr>
              <w:tabs>
                <w:tab w:val="left" w:pos="0"/>
              </w:tabs>
              <w:spacing w:line="360" w:lineRule="exact"/>
              <w:jc w:val="center"/>
              <w:rPr>
                <w:rFonts w:hint="eastAsia" w:ascii="宋体" w:hAnsi="宋体" w:cs="宋体"/>
                <w:color w:val="000000"/>
                <w:sz w:val="24"/>
              </w:rPr>
            </w:pPr>
            <w:r>
              <w:rPr>
                <w:rFonts w:hint="eastAsia" w:ascii="宋体" w:hAnsi="宋体" w:cs="宋体"/>
                <w:color w:val="000000"/>
                <w:sz w:val="24"/>
              </w:rPr>
              <w:t>4</w:t>
            </w:r>
          </w:p>
        </w:tc>
        <w:tc>
          <w:tcPr>
            <w:tcW w:w="911" w:type="pct"/>
            <w:noWrap w:val="0"/>
            <w:vAlign w:val="center"/>
          </w:tcPr>
          <w:p w14:paraId="3AE7AEFE">
            <w:pPr>
              <w:widowControl/>
              <w:tabs>
                <w:tab w:val="left" w:pos="0"/>
              </w:tabs>
              <w:spacing w:line="360" w:lineRule="exact"/>
              <w:jc w:val="center"/>
              <w:textAlignment w:val="center"/>
              <w:rPr>
                <w:rFonts w:ascii="宋体" w:hAnsi="宋体" w:cs="宋体"/>
                <w:color w:val="000000"/>
                <w:sz w:val="24"/>
              </w:rPr>
            </w:pPr>
            <w:r>
              <w:rPr>
                <w:rFonts w:hint="eastAsia" w:ascii="宋体" w:hAnsi="宋体" w:cs="宋体"/>
                <w:color w:val="000000"/>
                <w:sz w:val="24"/>
              </w:rPr>
              <w:t>学习椅</w:t>
            </w:r>
          </w:p>
        </w:tc>
        <w:tc>
          <w:tcPr>
            <w:tcW w:w="512" w:type="pct"/>
            <w:noWrap w:val="0"/>
            <w:vAlign w:val="center"/>
          </w:tcPr>
          <w:p w14:paraId="35F64B64">
            <w:pPr>
              <w:tabs>
                <w:tab w:val="left" w:pos="0"/>
              </w:tabs>
              <w:spacing w:line="360" w:lineRule="exact"/>
              <w:jc w:val="center"/>
              <w:rPr>
                <w:rFonts w:hint="eastAsia" w:ascii="宋体" w:hAnsi="宋体" w:cs="宋体"/>
                <w:color w:val="000000"/>
                <w:sz w:val="24"/>
              </w:rPr>
            </w:pPr>
            <w:r>
              <w:rPr>
                <w:rFonts w:hint="eastAsia" w:ascii="宋体" w:hAnsi="宋体" w:cs="宋体"/>
                <w:color w:val="000000"/>
                <w:sz w:val="24"/>
              </w:rPr>
              <w:t>524把</w:t>
            </w:r>
          </w:p>
        </w:tc>
        <w:tc>
          <w:tcPr>
            <w:tcW w:w="490" w:type="pct"/>
            <w:noWrap w:val="0"/>
            <w:vAlign w:val="center"/>
          </w:tcPr>
          <w:p w14:paraId="0CFA39EB">
            <w:pPr>
              <w:tabs>
                <w:tab w:val="left" w:pos="0"/>
              </w:tabs>
              <w:spacing w:line="360" w:lineRule="exact"/>
              <w:jc w:val="center"/>
              <w:rPr>
                <w:rFonts w:hint="eastAsia" w:ascii="宋体" w:hAnsi="宋体" w:cs="宋体"/>
                <w:color w:val="000000"/>
                <w:sz w:val="24"/>
              </w:rPr>
            </w:pPr>
            <w:r>
              <w:rPr>
                <w:rFonts w:hint="eastAsia" w:ascii="宋体" w:hAnsi="宋体" w:cs="宋体"/>
                <w:color w:val="000000"/>
                <w:sz w:val="24"/>
              </w:rPr>
              <w:t>工业</w:t>
            </w:r>
          </w:p>
        </w:tc>
        <w:tc>
          <w:tcPr>
            <w:tcW w:w="681" w:type="pct"/>
            <w:noWrap w:val="0"/>
            <w:vAlign w:val="center"/>
          </w:tcPr>
          <w:p w14:paraId="4AAFB8D2">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否</w:t>
            </w:r>
          </w:p>
        </w:tc>
        <w:tc>
          <w:tcPr>
            <w:tcW w:w="681" w:type="pct"/>
            <w:noWrap w:val="0"/>
            <w:vAlign w:val="center"/>
          </w:tcPr>
          <w:p w14:paraId="10EBAF46">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否</w:t>
            </w:r>
          </w:p>
        </w:tc>
        <w:tc>
          <w:tcPr>
            <w:tcW w:w="761" w:type="pct"/>
            <w:noWrap w:val="0"/>
            <w:vAlign w:val="center"/>
          </w:tcPr>
          <w:p w14:paraId="2EFC69B3">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是</w:t>
            </w:r>
          </w:p>
        </w:tc>
        <w:tc>
          <w:tcPr>
            <w:tcW w:w="681" w:type="pct"/>
            <w:noWrap w:val="0"/>
            <w:vAlign w:val="center"/>
          </w:tcPr>
          <w:p w14:paraId="41B8E91A">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否</w:t>
            </w:r>
          </w:p>
        </w:tc>
      </w:tr>
      <w:tr w14:paraId="16F30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2" w:type="pct"/>
            <w:noWrap w:val="0"/>
            <w:vAlign w:val="center"/>
          </w:tcPr>
          <w:p w14:paraId="5DB311E4">
            <w:pPr>
              <w:tabs>
                <w:tab w:val="left" w:pos="0"/>
              </w:tabs>
              <w:spacing w:line="360" w:lineRule="exact"/>
              <w:jc w:val="center"/>
              <w:rPr>
                <w:rFonts w:hint="eastAsia" w:ascii="宋体" w:hAnsi="宋体" w:cs="宋体"/>
                <w:color w:val="000000"/>
                <w:sz w:val="24"/>
              </w:rPr>
            </w:pPr>
            <w:r>
              <w:rPr>
                <w:rFonts w:hint="eastAsia" w:ascii="宋体" w:hAnsi="宋体" w:cs="宋体"/>
                <w:color w:val="000000"/>
                <w:sz w:val="24"/>
              </w:rPr>
              <w:t>5</w:t>
            </w:r>
          </w:p>
        </w:tc>
        <w:tc>
          <w:tcPr>
            <w:tcW w:w="911" w:type="pct"/>
            <w:noWrap w:val="0"/>
            <w:vAlign w:val="center"/>
          </w:tcPr>
          <w:p w14:paraId="15F38A73">
            <w:pPr>
              <w:widowControl/>
              <w:tabs>
                <w:tab w:val="left" w:pos="0"/>
              </w:tabs>
              <w:spacing w:line="360" w:lineRule="exact"/>
              <w:jc w:val="center"/>
              <w:textAlignment w:val="center"/>
              <w:rPr>
                <w:rFonts w:ascii="宋体" w:hAnsi="宋体" w:cs="宋体"/>
                <w:color w:val="000000"/>
                <w:sz w:val="24"/>
              </w:rPr>
            </w:pPr>
            <w:r>
              <w:rPr>
                <w:rFonts w:hint="eastAsia" w:ascii="宋体" w:hAnsi="宋体" w:cs="宋体"/>
                <w:color w:val="000000"/>
                <w:sz w:val="24"/>
              </w:rPr>
              <w:t>定制单人公寓床（侧爬梯）</w:t>
            </w:r>
          </w:p>
        </w:tc>
        <w:tc>
          <w:tcPr>
            <w:tcW w:w="512" w:type="pct"/>
            <w:noWrap w:val="0"/>
            <w:vAlign w:val="center"/>
          </w:tcPr>
          <w:p w14:paraId="1584A179">
            <w:pPr>
              <w:tabs>
                <w:tab w:val="left" w:pos="0"/>
              </w:tabs>
              <w:spacing w:line="360" w:lineRule="exact"/>
              <w:jc w:val="center"/>
              <w:rPr>
                <w:rFonts w:hint="eastAsia" w:ascii="宋体" w:hAnsi="宋体" w:cs="宋体"/>
                <w:color w:val="000000"/>
                <w:sz w:val="24"/>
              </w:rPr>
            </w:pPr>
            <w:r>
              <w:rPr>
                <w:rFonts w:hint="eastAsia" w:ascii="宋体" w:hAnsi="宋体" w:cs="宋体"/>
                <w:color w:val="000000"/>
                <w:sz w:val="24"/>
              </w:rPr>
              <w:t>260套</w:t>
            </w:r>
          </w:p>
        </w:tc>
        <w:tc>
          <w:tcPr>
            <w:tcW w:w="490" w:type="pct"/>
            <w:noWrap w:val="0"/>
            <w:vAlign w:val="center"/>
          </w:tcPr>
          <w:p w14:paraId="6DFAF154">
            <w:pPr>
              <w:tabs>
                <w:tab w:val="left" w:pos="0"/>
              </w:tabs>
              <w:spacing w:line="360" w:lineRule="exact"/>
              <w:jc w:val="center"/>
              <w:rPr>
                <w:rFonts w:hint="eastAsia" w:ascii="宋体" w:hAnsi="宋体" w:cs="宋体"/>
                <w:color w:val="000000"/>
                <w:sz w:val="24"/>
              </w:rPr>
            </w:pPr>
            <w:r>
              <w:rPr>
                <w:rFonts w:hint="eastAsia" w:ascii="宋体" w:hAnsi="宋体" w:cs="宋体"/>
                <w:color w:val="000000"/>
                <w:sz w:val="24"/>
              </w:rPr>
              <w:t>工业</w:t>
            </w:r>
          </w:p>
        </w:tc>
        <w:tc>
          <w:tcPr>
            <w:tcW w:w="681" w:type="pct"/>
            <w:noWrap w:val="0"/>
            <w:vAlign w:val="center"/>
          </w:tcPr>
          <w:p w14:paraId="0EB65857">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否</w:t>
            </w:r>
          </w:p>
        </w:tc>
        <w:tc>
          <w:tcPr>
            <w:tcW w:w="681" w:type="pct"/>
            <w:noWrap w:val="0"/>
            <w:vAlign w:val="center"/>
          </w:tcPr>
          <w:p w14:paraId="01FABD27">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否</w:t>
            </w:r>
          </w:p>
        </w:tc>
        <w:tc>
          <w:tcPr>
            <w:tcW w:w="761" w:type="pct"/>
            <w:noWrap w:val="0"/>
            <w:vAlign w:val="center"/>
          </w:tcPr>
          <w:p w14:paraId="4DBBC09E">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是</w:t>
            </w:r>
          </w:p>
        </w:tc>
        <w:tc>
          <w:tcPr>
            <w:tcW w:w="681" w:type="pct"/>
            <w:noWrap w:val="0"/>
            <w:vAlign w:val="center"/>
          </w:tcPr>
          <w:p w14:paraId="19148381">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否</w:t>
            </w:r>
          </w:p>
        </w:tc>
      </w:tr>
      <w:tr w14:paraId="2F29B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2" w:type="pct"/>
            <w:noWrap w:val="0"/>
            <w:vAlign w:val="center"/>
          </w:tcPr>
          <w:p w14:paraId="225C3BB4">
            <w:pPr>
              <w:tabs>
                <w:tab w:val="left" w:pos="0"/>
              </w:tabs>
              <w:spacing w:line="360" w:lineRule="exact"/>
              <w:jc w:val="center"/>
              <w:rPr>
                <w:rFonts w:hint="eastAsia" w:ascii="宋体" w:hAnsi="宋体" w:cs="宋体"/>
                <w:color w:val="000000"/>
                <w:sz w:val="24"/>
              </w:rPr>
            </w:pPr>
            <w:r>
              <w:rPr>
                <w:rFonts w:hint="eastAsia" w:ascii="宋体" w:hAnsi="宋体" w:cs="宋体"/>
                <w:color w:val="000000"/>
                <w:sz w:val="24"/>
              </w:rPr>
              <w:t>6</w:t>
            </w:r>
          </w:p>
        </w:tc>
        <w:tc>
          <w:tcPr>
            <w:tcW w:w="911" w:type="pct"/>
            <w:noWrap w:val="0"/>
            <w:vAlign w:val="center"/>
          </w:tcPr>
          <w:p w14:paraId="547646D6">
            <w:pPr>
              <w:widowControl/>
              <w:tabs>
                <w:tab w:val="left" w:pos="0"/>
              </w:tabs>
              <w:spacing w:line="360" w:lineRule="exact"/>
              <w:jc w:val="center"/>
              <w:textAlignment w:val="center"/>
              <w:rPr>
                <w:rFonts w:ascii="宋体" w:hAnsi="宋体" w:cs="宋体"/>
                <w:color w:val="000000"/>
                <w:sz w:val="24"/>
              </w:rPr>
            </w:pPr>
            <w:r>
              <w:rPr>
                <w:rFonts w:hint="eastAsia" w:ascii="宋体" w:hAnsi="宋体" w:cs="宋体"/>
                <w:color w:val="000000"/>
                <w:sz w:val="24"/>
              </w:rPr>
              <w:t>两人位公寓床</w:t>
            </w:r>
          </w:p>
        </w:tc>
        <w:tc>
          <w:tcPr>
            <w:tcW w:w="512" w:type="pct"/>
            <w:noWrap w:val="0"/>
            <w:vAlign w:val="center"/>
          </w:tcPr>
          <w:p w14:paraId="70CEAB05">
            <w:pPr>
              <w:tabs>
                <w:tab w:val="left" w:pos="0"/>
              </w:tabs>
              <w:spacing w:line="360" w:lineRule="exact"/>
              <w:jc w:val="center"/>
              <w:rPr>
                <w:rFonts w:hint="eastAsia" w:ascii="宋体" w:hAnsi="宋体" w:cs="宋体"/>
                <w:color w:val="000000"/>
                <w:sz w:val="24"/>
              </w:rPr>
            </w:pPr>
            <w:r>
              <w:rPr>
                <w:rFonts w:hint="eastAsia" w:ascii="宋体" w:hAnsi="宋体" w:cs="宋体"/>
                <w:color w:val="000000"/>
                <w:sz w:val="24"/>
              </w:rPr>
              <w:t>50套</w:t>
            </w:r>
          </w:p>
        </w:tc>
        <w:tc>
          <w:tcPr>
            <w:tcW w:w="490" w:type="pct"/>
            <w:noWrap w:val="0"/>
            <w:vAlign w:val="center"/>
          </w:tcPr>
          <w:p w14:paraId="4F7BB9AD">
            <w:pPr>
              <w:tabs>
                <w:tab w:val="left" w:pos="0"/>
              </w:tabs>
              <w:spacing w:line="360" w:lineRule="exact"/>
              <w:jc w:val="center"/>
              <w:rPr>
                <w:rFonts w:hint="eastAsia" w:ascii="宋体" w:hAnsi="宋体" w:cs="宋体"/>
                <w:color w:val="000000"/>
                <w:sz w:val="24"/>
              </w:rPr>
            </w:pPr>
            <w:r>
              <w:rPr>
                <w:rFonts w:hint="eastAsia" w:ascii="宋体" w:hAnsi="宋体" w:cs="宋体"/>
                <w:color w:val="000000"/>
                <w:sz w:val="24"/>
              </w:rPr>
              <w:t>工业</w:t>
            </w:r>
          </w:p>
        </w:tc>
        <w:tc>
          <w:tcPr>
            <w:tcW w:w="681" w:type="pct"/>
            <w:noWrap w:val="0"/>
            <w:vAlign w:val="center"/>
          </w:tcPr>
          <w:p w14:paraId="351719C0">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否</w:t>
            </w:r>
          </w:p>
        </w:tc>
        <w:tc>
          <w:tcPr>
            <w:tcW w:w="681" w:type="pct"/>
            <w:noWrap w:val="0"/>
            <w:vAlign w:val="center"/>
          </w:tcPr>
          <w:p w14:paraId="1CB757B1">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否</w:t>
            </w:r>
          </w:p>
        </w:tc>
        <w:tc>
          <w:tcPr>
            <w:tcW w:w="761" w:type="pct"/>
            <w:noWrap w:val="0"/>
            <w:vAlign w:val="center"/>
          </w:tcPr>
          <w:p w14:paraId="5ACC01AA">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是</w:t>
            </w:r>
          </w:p>
        </w:tc>
        <w:tc>
          <w:tcPr>
            <w:tcW w:w="681" w:type="pct"/>
            <w:noWrap w:val="0"/>
            <w:vAlign w:val="center"/>
          </w:tcPr>
          <w:p w14:paraId="6F080D45">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否</w:t>
            </w:r>
          </w:p>
        </w:tc>
      </w:tr>
      <w:tr w14:paraId="0FE6E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2" w:type="pct"/>
            <w:noWrap w:val="0"/>
            <w:vAlign w:val="center"/>
          </w:tcPr>
          <w:p w14:paraId="29F72F80">
            <w:pPr>
              <w:tabs>
                <w:tab w:val="left" w:pos="0"/>
              </w:tabs>
              <w:spacing w:line="360" w:lineRule="exact"/>
              <w:jc w:val="center"/>
              <w:rPr>
                <w:rFonts w:hint="eastAsia" w:ascii="宋体" w:hAnsi="宋体" w:cs="宋体"/>
                <w:color w:val="000000"/>
                <w:sz w:val="24"/>
              </w:rPr>
            </w:pPr>
            <w:r>
              <w:rPr>
                <w:rFonts w:hint="eastAsia" w:ascii="宋体" w:hAnsi="宋体" w:cs="宋体"/>
                <w:color w:val="000000"/>
                <w:sz w:val="24"/>
              </w:rPr>
              <w:t>7</w:t>
            </w:r>
          </w:p>
        </w:tc>
        <w:tc>
          <w:tcPr>
            <w:tcW w:w="911" w:type="pct"/>
            <w:noWrap w:val="0"/>
            <w:vAlign w:val="center"/>
          </w:tcPr>
          <w:p w14:paraId="70B6B8DD">
            <w:pPr>
              <w:widowControl/>
              <w:tabs>
                <w:tab w:val="left" w:pos="0"/>
              </w:tabs>
              <w:spacing w:line="360" w:lineRule="exact"/>
              <w:jc w:val="center"/>
              <w:textAlignment w:val="center"/>
              <w:rPr>
                <w:rFonts w:ascii="宋体" w:hAnsi="宋体" w:cs="宋体"/>
                <w:color w:val="000000"/>
                <w:sz w:val="24"/>
              </w:rPr>
            </w:pPr>
            <w:r>
              <w:rPr>
                <w:rFonts w:hint="eastAsia" w:ascii="宋体" w:hAnsi="宋体" w:cs="宋体"/>
                <w:color w:val="000000"/>
                <w:sz w:val="24"/>
              </w:rPr>
              <w:t>上床下柜</w:t>
            </w:r>
          </w:p>
        </w:tc>
        <w:tc>
          <w:tcPr>
            <w:tcW w:w="512" w:type="pct"/>
            <w:noWrap w:val="0"/>
            <w:vAlign w:val="center"/>
          </w:tcPr>
          <w:p w14:paraId="07885AC1">
            <w:pPr>
              <w:tabs>
                <w:tab w:val="left" w:pos="0"/>
              </w:tabs>
              <w:spacing w:line="360" w:lineRule="exact"/>
              <w:jc w:val="center"/>
              <w:rPr>
                <w:rFonts w:hint="eastAsia" w:ascii="宋体" w:hAnsi="宋体" w:cs="宋体"/>
                <w:color w:val="000000"/>
                <w:sz w:val="24"/>
              </w:rPr>
            </w:pPr>
            <w:r>
              <w:rPr>
                <w:rFonts w:hint="eastAsia" w:ascii="宋体" w:hAnsi="宋体" w:cs="宋体"/>
                <w:color w:val="000000"/>
                <w:sz w:val="24"/>
              </w:rPr>
              <w:t>50套</w:t>
            </w:r>
          </w:p>
        </w:tc>
        <w:tc>
          <w:tcPr>
            <w:tcW w:w="490" w:type="pct"/>
            <w:noWrap w:val="0"/>
            <w:vAlign w:val="center"/>
          </w:tcPr>
          <w:p w14:paraId="2037F780">
            <w:pPr>
              <w:tabs>
                <w:tab w:val="left" w:pos="0"/>
              </w:tabs>
              <w:spacing w:line="360" w:lineRule="exact"/>
              <w:jc w:val="center"/>
              <w:rPr>
                <w:rFonts w:hint="eastAsia" w:ascii="宋体" w:hAnsi="宋体" w:cs="宋体"/>
                <w:color w:val="000000"/>
                <w:sz w:val="24"/>
              </w:rPr>
            </w:pPr>
            <w:r>
              <w:rPr>
                <w:rFonts w:hint="eastAsia" w:ascii="宋体" w:hAnsi="宋体" w:cs="宋体"/>
                <w:color w:val="000000"/>
                <w:sz w:val="24"/>
              </w:rPr>
              <w:t>工业</w:t>
            </w:r>
          </w:p>
        </w:tc>
        <w:tc>
          <w:tcPr>
            <w:tcW w:w="681" w:type="pct"/>
            <w:noWrap w:val="0"/>
            <w:vAlign w:val="center"/>
          </w:tcPr>
          <w:p w14:paraId="153DB12D">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否</w:t>
            </w:r>
          </w:p>
        </w:tc>
        <w:tc>
          <w:tcPr>
            <w:tcW w:w="681" w:type="pct"/>
            <w:noWrap w:val="0"/>
            <w:vAlign w:val="center"/>
          </w:tcPr>
          <w:p w14:paraId="1A518539">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否</w:t>
            </w:r>
          </w:p>
        </w:tc>
        <w:tc>
          <w:tcPr>
            <w:tcW w:w="761" w:type="pct"/>
            <w:noWrap w:val="0"/>
            <w:vAlign w:val="center"/>
          </w:tcPr>
          <w:p w14:paraId="0E0E8F95">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是</w:t>
            </w:r>
          </w:p>
        </w:tc>
        <w:tc>
          <w:tcPr>
            <w:tcW w:w="681" w:type="pct"/>
            <w:noWrap w:val="0"/>
            <w:vAlign w:val="center"/>
          </w:tcPr>
          <w:p w14:paraId="615CDC24">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否</w:t>
            </w:r>
          </w:p>
        </w:tc>
      </w:tr>
      <w:tr w14:paraId="65FC1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2" w:type="pct"/>
            <w:noWrap w:val="0"/>
            <w:vAlign w:val="center"/>
          </w:tcPr>
          <w:p w14:paraId="6C208BEF">
            <w:pPr>
              <w:tabs>
                <w:tab w:val="left" w:pos="0"/>
              </w:tabs>
              <w:spacing w:line="360" w:lineRule="exact"/>
              <w:jc w:val="center"/>
              <w:rPr>
                <w:rFonts w:hint="eastAsia" w:ascii="宋体" w:hAnsi="宋体" w:cs="宋体"/>
                <w:color w:val="000000"/>
                <w:sz w:val="24"/>
              </w:rPr>
            </w:pPr>
            <w:r>
              <w:rPr>
                <w:rFonts w:hint="eastAsia" w:ascii="宋体" w:hAnsi="宋体" w:cs="宋体"/>
                <w:color w:val="000000"/>
                <w:sz w:val="24"/>
              </w:rPr>
              <w:t>8</w:t>
            </w:r>
          </w:p>
        </w:tc>
        <w:tc>
          <w:tcPr>
            <w:tcW w:w="911" w:type="pct"/>
            <w:noWrap w:val="0"/>
            <w:vAlign w:val="center"/>
          </w:tcPr>
          <w:p w14:paraId="332F1D95">
            <w:pPr>
              <w:widowControl/>
              <w:tabs>
                <w:tab w:val="left" w:pos="0"/>
              </w:tabs>
              <w:spacing w:line="360" w:lineRule="exact"/>
              <w:jc w:val="center"/>
              <w:textAlignment w:val="center"/>
              <w:rPr>
                <w:rFonts w:ascii="宋体" w:hAnsi="宋体" w:cs="宋体"/>
                <w:color w:val="000000"/>
                <w:sz w:val="24"/>
              </w:rPr>
            </w:pPr>
            <w:r>
              <w:rPr>
                <w:rFonts w:hint="eastAsia" w:ascii="宋体" w:hAnsi="宋体" w:cs="宋体"/>
                <w:color w:val="000000"/>
                <w:sz w:val="24"/>
              </w:rPr>
              <w:t>单人床</w:t>
            </w:r>
          </w:p>
        </w:tc>
        <w:tc>
          <w:tcPr>
            <w:tcW w:w="512" w:type="pct"/>
            <w:noWrap w:val="0"/>
            <w:vAlign w:val="center"/>
          </w:tcPr>
          <w:p w14:paraId="2E8027F9">
            <w:pPr>
              <w:tabs>
                <w:tab w:val="left" w:pos="0"/>
              </w:tabs>
              <w:spacing w:line="360" w:lineRule="exact"/>
              <w:jc w:val="center"/>
              <w:rPr>
                <w:rFonts w:hint="eastAsia" w:ascii="宋体" w:hAnsi="宋体" w:cs="宋体"/>
                <w:color w:val="000000"/>
                <w:sz w:val="24"/>
              </w:rPr>
            </w:pPr>
            <w:r>
              <w:rPr>
                <w:rFonts w:hint="eastAsia" w:ascii="宋体" w:hAnsi="宋体" w:cs="宋体"/>
                <w:color w:val="000000"/>
                <w:sz w:val="24"/>
              </w:rPr>
              <w:t>30张</w:t>
            </w:r>
          </w:p>
        </w:tc>
        <w:tc>
          <w:tcPr>
            <w:tcW w:w="490" w:type="pct"/>
            <w:noWrap w:val="0"/>
            <w:vAlign w:val="center"/>
          </w:tcPr>
          <w:p w14:paraId="6E23EA0F">
            <w:pPr>
              <w:tabs>
                <w:tab w:val="left" w:pos="0"/>
              </w:tabs>
              <w:spacing w:line="360" w:lineRule="exact"/>
              <w:jc w:val="center"/>
              <w:rPr>
                <w:rFonts w:hint="eastAsia" w:ascii="宋体" w:hAnsi="宋体" w:cs="宋体"/>
                <w:color w:val="000000"/>
                <w:sz w:val="24"/>
              </w:rPr>
            </w:pPr>
            <w:r>
              <w:rPr>
                <w:rFonts w:hint="eastAsia" w:ascii="宋体" w:hAnsi="宋体" w:cs="宋体"/>
                <w:color w:val="000000"/>
                <w:sz w:val="24"/>
              </w:rPr>
              <w:t>工业</w:t>
            </w:r>
          </w:p>
        </w:tc>
        <w:tc>
          <w:tcPr>
            <w:tcW w:w="681" w:type="pct"/>
            <w:noWrap w:val="0"/>
            <w:vAlign w:val="center"/>
          </w:tcPr>
          <w:p w14:paraId="25002757">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否</w:t>
            </w:r>
          </w:p>
        </w:tc>
        <w:tc>
          <w:tcPr>
            <w:tcW w:w="681" w:type="pct"/>
            <w:noWrap w:val="0"/>
            <w:vAlign w:val="center"/>
          </w:tcPr>
          <w:p w14:paraId="1DDABF36">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否</w:t>
            </w:r>
          </w:p>
        </w:tc>
        <w:tc>
          <w:tcPr>
            <w:tcW w:w="761" w:type="pct"/>
            <w:noWrap w:val="0"/>
            <w:vAlign w:val="center"/>
          </w:tcPr>
          <w:p w14:paraId="5CB39A9E">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是</w:t>
            </w:r>
          </w:p>
        </w:tc>
        <w:tc>
          <w:tcPr>
            <w:tcW w:w="681" w:type="pct"/>
            <w:noWrap w:val="0"/>
            <w:vAlign w:val="center"/>
          </w:tcPr>
          <w:p w14:paraId="545E8EA0">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否</w:t>
            </w:r>
          </w:p>
        </w:tc>
      </w:tr>
      <w:tr w14:paraId="7B6C2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2" w:type="pct"/>
            <w:noWrap w:val="0"/>
            <w:vAlign w:val="center"/>
          </w:tcPr>
          <w:p w14:paraId="33A025EA">
            <w:pPr>
              <w:tabs>
                <w:tab w:val="left" w:pos="0"/>
              </w:tabs>
              <w:spacing w:line="360" w:lineRule="exact"/>
              <w:jc w:val="center"/>
              <w:rPr>
                <w:rFonts w:hint="eastAsia" w:ascii="宋体" w:hAnsi="宋体" w:cs="宋体"/>
                <w:color w:val="000000"/>
                <w:sz w:val="24"/>
              </w:rPr>
            </w:pPr>
            <w:r>
              <w:rPr>
                <w:rFonts w:hint="eastAsia" w:ascii="宋体" w:hAnsi="宋体" w:cs="宋体"/>
                <w:color w:val="000000"/>
                <w:sz w:val="24"/>
              </w:rPr>
              <w:t>9</w:t>
            </w:r>
          </w:p>
        </w:tc>
        <w:tc>
          <w:tcPr>
            <w:tcW w:w="911" w:type="pct"/>
            <w:noWrap w:val="0"/>
            <w:vAlign w:val="center"/>
          </w:tcPr>
          <w:p w14:paraId="297928C6">
            <w:pPr>
              <w:widowControl/>
              <w:tabs>
                <w:tab w:val="left" w:pos="0"/>
              </w:tabs>
              <w:spacing w:line="360" w:lineRule="exact"/>
              <w:jc w:val="center"/>
              <w:textAlignment w:val="center"/>
              <w:rPr>
                <w:rFonts w:ascii="宋体" w:hAnsi="宋体" w:cs="宋体"/>
                <w:color w:val="000000"/>
                <w:sz w:val="24"/>
              </w:rPr>
            </w:pPr>
            <w:r>
              <w:rPr>
                <w:rFonts w:hint="eastAsia" w:ascii="宋体" w:hAnsi="宋体" w:cs="宋体"/>
                <w:color w:val="000000"/>
                <w:sz w:val="24"/>
              </w:rPr>
              <w:t>两人位组合公寓床</w:t>
            </w:r>
          </w:p>
        </w:tc>
        <w:tc>
          <w:tcPr>
            <w:tcW w:w="512" w:type="pct"/>
            <w:noWrap w:val="0"/>
            <w:vAlign w:val="center"/>
          </w:tcPr>
          <w:p w14:paraId="2DD22300">
            <w:pPr>
              <w:tabs>
                <w:tab w:val="left" w:pos="0"/>
              </w:tabs>
              <w:spacing w:line="360" w:lineRule="exact"/>
              <w:jc w:val="center"/>
              <w:rPr>
                <w:rFonts w:hint="eastAsia" w:ascii="宋体" w:hAnsi="宋体" w:cs="宋体"/>
                <w:color w:val="000000"/>
                <w:sz w:val="24"/>
              </w:rPr>
            </w:pPr>
            <w:r>
              <w:rPr>
                <w:rFonts w:hint="eastAsia" w:ascii="宋体" w:hAnsi="宋体" w:cs="宋体"/>
                <w:color w:val="000000"/>
                <w:sz w:val="24"/>
              </w:rPr>
              <w:t>10组</w:t>
            </w:r>
          </w:p>
        </w:tc>
        <w:tc>
          <w:tcPr>
            <w:tcW w:w="490" w:type="pct"/>
            <w:noWrap w:val="0"/>
            <w:vAlign w:val="center"/>
          </w:tcPr>
          <w:p w14:paraId="5E5C3157">
            <w:pPr>
              <w:tabs>
                <w:tab w:val="left" w:pos="0"/>
              </w:tabs>
              <w:spacing w:line="360" w:lineRule="exact"/>
              <w:jc w:val="center"/>
              <w:rPr>
                <w:rFonts w:hint="eastAsia" w:ascii="宋体" w:hAnsi="宋体" w:cs="宋体"/>
                <w:color w:val="000000"/>
                <w:sz w:val="24"/>
              </w:rPr>
            </w:pPr>
            <w:r>
              <w:rPr>
                <w:rFonts w:hint="eastAsia" w:ascii="宋体" w:hAnsi="宋体" w:cs="宋体"/>
                <w:color w:val="000000"/>
                <w:sz w:val="24"/>
              </w:rPr>
              <w:t>工业</w:t>
            </w:r>
          </w:p>
        </w:tc>
        <w:tc>
          <w:tcPr>
            <w:tcW w:w="681" w:type="pct"/>
            <w:noWrap w:val="0"/>
            <w:vAlign w:val="center"/>
          </w:tcPr>
          <w:p w14:paraId="04B0A418">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否</w:t>
            </w:r>
          </w:p>
        </w:tc>
        <w:tc>
          <w:tcPr>
            <w:tcW w:w="681" w:type="pct"/>
            <w:noWrap w:val="0"/>
            <w:vAlign w:val="center"/>
          </w:tcPr>
          <w:p w14:paraId="6BA3ACD1">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否</w:t>
            </w:r>
          </w:p>
        </w:tc>
        <w:tc>
          <w:tcPr>
            <w:tcW w:w="761" w:type="pct"/>
            <w:noWrap w:val="0"/>
            <w:vAlign w:val="center"/>
          </w:tcPr>
          <w:p w14:paraId="624E8D3E">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是</w:t>
            </w:r>
          </w:p>
        </w:tc>
        <w:tc>
          <w:tcPr>
            <w:tcW w:w="681" w:type="pct"/>
            <w:noWrap w:val="0"/>
            <w:vAlign w:val="center"/>
          </w:tcPr>
          <w:p w14:paraId="15E5CF91">
            <w:pPr>
              <w:widowControl/>
              <w:tabs>
                <w:tab w:val="left" w:pos="0"/>
              </w:tabs>
              <w:spacing w:after="0" w:line="360" w:lineRule="exact"/>
              <w:jc w:val="center"/>
              <w:rPr>
                <w:rFonts w:hint="eastAsia" w:ascii="宋体" w:hAnsi="宋体" w:cs="宋体"/>
                <w:color w:val="000000"/>
                <w:sz w:val="24"/>
              </w:rPr>
            </w:pPr>
            <w:r>
              <w:rPr>
                <w:rFonts w:hint="eastAsia" w:ascii="宋体" w:hAnsi="宋体" w:cs="宋体"/>
                <w:color w:val="000000"/>
                <w:sz w:val="24"/>
              </w:rPr>
              <w:t>否</w:t>
            </w:r>
          </w:p>
        </w:tc>
      </w:tr>
    </w:tbl>
    <w:p w14:paraId="2E1D82DD">
      <w:pPr>
        <w:keepNext/>
        <w:keepLines/>
        <w:widowControl w:val="0"/>
        <w:spacing w:before="260" w:after="260" w:line="400" w:lineRule="exact"/>
        <w:jc w:val="both"/>
        <w:outlineLvl w:val="1"/>
        <w:rPr>
          <w:rFonts w:ascii="Times New Roman" w:hAnsi="Times New Roman" w:eastAsia="宋体" w:cs="Times New Roman"/>
          <w:b/>
          <w:bCs/>
          <w:kern w:val="2"/>
          <w:sz w:val="24"/>
          <w:szCs w:val="24"/>
          <w:lang w:val="en-US" w:eastAsia="zh-CN" w:bidi="ar-SA"/>
        </w:rPr>
      </w:pPr>
      <w:bookmarkStart w:id="2" w:name="PO_默认文件内容_21"/>
      <w:bookmarkStart w:id="3" w:name="_Toc217446095"/>
      <w:r>
        <w:rPr>
          <w:rFonts w:ascii="Times New Roman" w:hAnsi="Times New Roman" w:eastAsia="宋体" w:cs="Times New Roman"/>
          <w:b/>
          <w:bCs/>
          <w:kern w:val="2"/>
          <w:sz w:val="24"/>
          <w:szCs w:val="24"/>
          <w:lang w:val="en-US" w:eastAsia="zh-CN" w:bidi="ar-SA"/>
        </w:rPr>
        <w:t>二、商务要求</w:t>
      </w:r>
      <w:r>
        <w:rPr>
          <w:rFonts w:hint="eastAsia" w:ascii="Arial" w:hAnsi="Arial" w:eastAsia="黑体" w:cs="Times New Roman"/>
          <w:b/>
          <w:bCs/>
          <w:kern w:val="2"/>
          <w:sz w:val="32"/>
          <w:szCs w:val="32"/>
          <w:lang w:val="en-US" w:eastAsia="zh-CN" w:bidi="ar-SA"/>
        </w:rPr>
        <w:t xml:space="preserve"> </w:t>
      </w:r>
    </w:p>
    <w:p w14:paraId="393BF90C">
      <w:pPr>
        <w:snapToGrid w:val="0"/>
        <w:spacing w:line="360" w:lineRule="auto"/>
        <w:rPr>
          <w:rFonts w:hint="eastAsia" w:ascii="Times New Roman" w:hAnsi="Times New Roman"/>
          <w:bCs/>
          <w:sz w:val="24"/>
        </w:rPr>
      </w:pPr>
      <w:bookmarkStart w:id="4" w:name="OLE_LINK9"/>
      <w:r>
        <w:rPr>
          <w:rFonts w:hint="eastAsia" w:ascii="Times New Roman" w:hAnsi="Times New Roman"/>
          <w:bCs/>
          <w:sz w:val="24"/>
        </w:rPr>
        <w:t>★1、交货期：合同签订后15天内交货并完成安装调试。</w:t>
      </w:r>
    </w:p>
    <w:p w14:paraId="267CF29C">
      <w:pPr>
        <w:snapToGrid w:val="0"/>
        <w:spacing w:line="360" w:lineRule="auto"/>
        <w:rPr>
          <w:rFonts w:hint="eastAsia" w:ascii="Times New Roman" w:hAnsi="Times New Roman"/>
          <w:bCs/>
          <w:sz w:val="24"/>
        </w:rPr>
      </w:pPr>
      <w:r>
        <w:rPr>
          <w:rFonts w:hint="eastAsia" w:ascii="Times New Roman" w:hAnsi="Times New Roman"/>
          <w:bCs/>
          <w:sz w:val="24"/>
        </w:rPr>
        <w:t>★2、交货地点：西南交通大学九里校区、犀浦校区。</w:t>
      </w:r>
    </w:p>
    <w:p w14:paraId="3E1E362E">
      <w:pPr>
        <w:snapToGrid w:val="0"/>
        <w:spacing w:line="360" w:lineRule="auto"/>
        <w:rPr>
          <w:rFonts w:hint="eastAsia" w:ascii="Times New Roman" w:hAnsi="Times New Roman"/>
          <w:bCs/>
          <w:sz w:val="24"/>
        </w:rPr>
      </w:pPr>
      <w:r>
        <w:rPr>
          <w:rFonts w:hint="eastAsia" w:ascii="Times New Roman" w:hAnsi="Times New Roman"/>
          <w:bCs/>
          <w:sz w:val="24"/>
        </w:rPr>
        <w:t>★3、付款方式：</w:t>
      </w:r>
    </w:p>
    <w:p w14:paraId="6D0B1767">
      <w:pPr>
        <w:snapToGrid w:val="0"/>
        <w:spacing w:line="360" w:lineRule="auto"/>
        <w:rPr>
          <w:rFonts w:hint="eastAsia" w:ascii="Times New Roman" w:hAnsi="Times New Roman"/>
          <w:bCs/>
          <w:sz w:val="24"/>
        </w:rPr>
      </w:pPr>
      <w:r>
        <w:rPr>
          <w:rFonts w:hint="eastAsia" w:ascii="Times New Roman" w:hAnsi="Times New Roman"/>
          <w:bCs/>
          <w:sz w:val="24"/>
        </w:rPr>
        <w:t>3.1分期付款</w:t>
      </w:r>
    </w:p>
    <w:p w14:paraId="2FF0BF00">
      <w:pPr>
        <w:snapToGrid w:val="0"/>
        <w:spacing w:line="360" w:lineRule="auto"/>
        <w:rPr>
          <w:rFonts w:hint="eastAsia" w:ascii="Times New Roman" w:hAnsi="Times New Roman"/>
          <w:bCs/>
          <w:sz w:val="24"/>
        </w:rPr>
      </w:pPr>
      <w:r>
        <w:rPr>
          <w:rFonts w:hint="eastAsia" w:ascii="Times New Roman" w:hAnsi="Times New Roman"/>
          <w:bCs/>
          <w:sz w:val="24"/>
        </w:rPr>
        <w:t>第一期：合同生效且供应商提交履约保证金后，预付合同金额的40%；</w:t>
      </w:r>
    </w:p>
    <w:p w14:paraId="02B7DF93">
      <w:pPr>
        <w:snapToGrid w:val="0"/>
        <w:spacing w:line="360" w:lineRule="auto"/>
        <w:rPr>
          <w:rFonts w:hint="eastAsia" w:ascii="Times New Roman" w:hAnsi="Times New Roman"/>
          <w:bCs/>
          <w:sz w:val="24"/>
        </w:rPr>
      </w:pPr>
      <w:r>
        <w:rPr>
          <w:rFonts w:hint="eastAsia" w:ascii="Times New Roman" w:hAnsi="Times New Roman"/>
          <w:bCs/>
          <w:sz w:val="24"/>
        </w:rPr>
        <w:t>第二期：项目验收合格后，支付合同金额的60%。</w:t>
      </w:r>
    </w:p>
    <w:p w14:paraId="3955C164">
      <w:pPr>
        <w:snapToGrid w:val="0"/>
        <w:spacing w:line="360" w:lineRule="auto"/>
        <w:rPr>
          <w:rFonts w:hint="eastAsia" w:ascii="Times New Roman" w:hAnsi="Times New Roman"/>
          <w:bCs/>
          <w:sz w:val="24"/>
        </w:rPr>
      </w:pPr>
      <w:r>
        <w:rPr>
          <w:rFonts w:hint="eastAsia" w:ascii="Times New Roman" w:hAnsi="Times New Roman"/>
          <w:bCs/>
          <w:sz w:val="24"/>
        </w:rPr>
        <w:t>3.2每次付款前，供应商应出具等额增值税专用发票，发票与合同的银行账户信息应保持一致。</w:t>
      </w:r>
    </w:p>
    <w:p w14:paraId="39938914">
      <w:pPr>
        <w:snapToGrid w:val="0"/>
        <w:spacing w:line="360" w:lineRule="auto"/>
        <w:rPr>
          <w:rFonts w:hint="eastAsia" w:ascii="Times New Roman" w:hAnsi="Times New Roman"/>
          <w:bCs/>
          <w:sz w:val="24"/>
        </w:rPr>
      </w:pPr>
      <w:r>
        <w:rPr>
          <w:rFonts w:hint="eastAsia" w:ascii="Times New Roman" w:hAnsi="Times New Roman"/>
          <w:bCs/>
          <w:sz w:val="24"/>
        </w:rPr>
        <w:t>★4、验收方法和标准：</w:t>
      </w:r>
    </w:p>
    <w:p w14:paraId="171EE0E7">
      <w:pPr>
        <w:snapToGrid w:val="0"/>
        <w:spacing w:line="360" w:lineRule="auto"/>
        <w:rPr>
          <w:rFonts w:hint="eastAsia" w:ascii="Times New Roman" w:hAnsi="Times New Roman"/>
          <w:bCs/>
          <w:sz w:val="24"/>
        </w:rPr>
      </w:pPr>
      <w:r>
        <w:rPr>
          <w:rFonts w:hint="eastAsia" w:ascii="Times New Roman" w:hAnsi="Times New Roman"/>
          <w:bCs/>
          <w:sz w:val="24"/>
        </w:rPr>
        <w:t>4.1货物到达现场后，中标人应在采购人在场情况下当面开包，共同清点、检查外观，作出验货记录，双方签字确认后开始安装调试。</w:t>
      </w:r>
    </w:p>
    <w:p w14:paraId="2A4D935E">
      <w:pPr>
        <w:snapToGrid w:val="0"/>
        <w:spacing w:line="360" w:lineRule="auto"/>
        <w:rPr>
          <w:rFonts w:hint="eastAsia" w:ascii="Times New Roman" w:hAnsi="Times New Roman"/>
          <w:bCs/>
          <w:sz w:val="24"/>
        </w:rPr>
      </w:pPr>
      <w:r>
        <w:rPr>
          <w:rFonts w:hint="eastAsia" w:ascii="Times New Roman" w:hAnsi="Times New Roman"/>
          <w:bCs/>
          <w:sz w:val="24"/>
        </w:rPr>
        <w:t>4.2中标人应保证货物到达采购人所在地完好无损，如有缺漏、损坏，由供应商负责调换、补齐或赔偿。</w:t>
      </w:r>
    </w:p>
    <w:p w14:paraId="23ED5F39">
      <w:pPr>
        <w:snapToGrid w:val="0"/>
        <w:spacing w:line="360" w:lineRule="auto"/>
        <w:rPr>
          <w:rFonts w:hint="eastAsia" w:ascii="Times New Roman" w:hAnsi="Times New Roman"/>
          <w:bCs/>
          <w:sz w:val="24"/>
        </w:rPr>
      </w:pPr>
      <w:r>
        <w:rPr>
          <w:rFonts w:hint="eastAsia" w:ascii="Times New Roman" w:hAnsi="Times New Roman"/>
          <w:bCs/>
          <w:sz w:val="24"/>
        </w:rPr>
        <w:t>4.3中标人交货时应提供全套、完整的书面技术资料，包括采购标的说明书、操作手册、简单维修说明、检验检测报告、合格证等 （如涉及），并派遣专业技术人员进行现场部署调试。验收合格条件如下：</w:t>
      </w:r>
    </w:p>
    <w:p w14:paraId="28FA3D51">
      <w:pPr>
        <w:snapToGrid w:val="0"/>
        <w:spacing w:line="360" w:lineRule="auto"/>
        <w:rPr>
          <w:rFonts w:hint="eastAsia" w:ascii="Times New Roman" w:hAnsi="Times New Roman"/>
          <w:bCs/>
          <w:sz w:val="24"/>
        </w:rPr>
      </w:pPr>
      <w:r>
        <w:rPr>
          <w:rFonts w:hint="eastAsia" w:ascii="Times New Roman" w:hAnsi="Times New Roman"/>
          <w:bCs/>
          <w:sz w:val="24"/>
        </w:rPr>
        <w:t>(一) 各项技术参数、功能配置与投标文件一致；</w:t>
      </w:r>
    </w:p>
    <w:p w14:paraId="5AD326CB">
      <w:pPr>
        <w:snapToGrid w:val="0"/>
        <w:spacing w:line="360" w:lineRule="auto"/>
        <w:rPr>
          <w:rFonts w:hint="eastAsia" w:ascii="Times New Roman" w:hAnsi="Times New Roman"/>
          <w:bCs/>
          <w:sz w:val="24"/>
        </w:rPr>
      </w:pPr>
      <w:r>
        <w:rPr>
          <w:rFonts w:hint="eastAsia" w:ascii="Times New Roman" w:hAnsi="Times New Roman"/>
          <w:bCs/>
          <w:sz w:val="24"/>
        </w:rPr>
        <w:t>(二) 安装完毕的家具及周边环境应清理干净。中标人须负责全部家具的保护和清洁工作，直至所有家具验收合格并正常使用后为止。在安装过程中，如建筑结构或其他房间设施被损坏中标人应负责修理或赔偿损失；</w:t>
      </w:r>
    </w:p>
    <w:p w14:paraId="29044D60">
      <w:pPr>
        <w:snapToGrid w:val="0"/>
        <w:spacing w:line="360" w:lineRule="auto"/>
        <w:rPr>
          <w:rFonts w:hint="eastAsia" w:ascii="Times New Roman" w:hAnsi="Times New Roman"/>
          <w:bCs/>
          <w:sz w:val="24"/>
        </w:rPr>
      </w:pPr>
      <w:r>
        <w:rPr>
          <w:rFonts w:hint="eastAsia" w:ascii="Times New Roman" w:hAnsi="Times New Roman"/>
          <w:bCs/>
          <w:sz w:val="24"/>
        </w:rPr>
        <w:t>(三)在规定时间内完成交货并验收，并经采购人确认。</w:t>
      </w:r>
    </w:p>
    <w:p w14:paraId="7F0BFFC6">
      <w:pPr>
        <w:snapToGrid w:val="0"/>
        <w:spacing w:line="360" w:lineRule="auto"/>
        <w:rPr>
          <w:rFonts w:hint="eastAsia" w:ascii="Times New Roman" w:hAnsi="Times New Roman"/>
          <w:bCs/>
          <w:sz w:val="24"/>
        </w:rPr>
      </w:pPr>
      <w:r>
        <w:rPr>
          <w:rFonts w:hint="eastAsia" w:ascii="Times New Roman" w:hAnsi="Times New Roman"/>
          <w:bCs/>
          <w:sz w:val="24"/>
        </w:rPr>
        <w:t>4.4验收时，采购人有权随机抽取</w:t>
      </w:r>
      <w:r>
        <w:rPr>
          <w:rStyle w:val="8"/>
          <w:rFonts w:hint="eastAsia" w:ascii="Times New Roman" w:hAnsi="Times New Roman"/>
          <w:bCs/>
          <w:sz w:val="24"/>
          <w:szCs w:val="24"/>
        </w:rPr>
        <w:t>定制</w:t>
      </w:r>
      <w:r>
        <w:rPr>
          <w:rFonts w:hint="eastAsia" w:ascii="Times New Roman" w:hAnsi="Times New Roman"/>
          <w:bCs/>
          <w:sz w:val="24"/>
        </w:rPr>
        <w:t>学习桌1套、定制更衣柜1套、单人公寓床（侧梯）1套送至第三方检测机构进行破坏性检测，检测费用由中标人承担。如检测结果不符合招标文件要求及投标文件承诺，采购人有权拒收全部货物，并追究中标人相关法律责任。</w:t>
      </w:r>
    </w:p>
    <w:p w14:paraId="69526E52">
      <w:pPr>
        <w:snapToGrid w:val="0"/>
        <w:spacing w:line="360" w:lineRule="auto"/>
        <w:rPr>
          <w:rFonts w:hint="eastAsia" w:ascii="Times New Roman" w:hAnsi="Times New Roman"/>
          <w:bCs/>
          <w:sz w:val="24"/>
        </w:rPr>
      </w:pPr>
      <w:r>
        <w:rPr>
          <w:rFonts w:hint="eastAsia" w:ascii="Times New Roman" w:hAnsi="Times New Roman"/>
          <w:bCs/>
          <w:sz w:val="24"/>
        </w:rPr>
        <w:t>4.5产品在部署调试并试运行符合要求后，才作为最终验收。</w:t>
      </w:r>
    </w:p>
    <w:p w14:paraId="753FA936">
      <w:pPr>
        <w:snapToGrid w:val="0"/>
        <w:spacing w:line="360" w:lineRule="auto"/>
        <w:rPr>
          <w:rFonts w:hint="eastAsia" w:ascii="Times New Roman" w:hAnsi="Times New Roman"/>
          <w:bCs/>
          <w:sz w:val="24"/>
        </w:rPr>
      </w:pPr>
      <w:r>
        <w:rPr>
          <w:rFonts w:hint="eastAsia" w:ascii="Times New Roman" w:hAnsi="Times New Roman"/>
          <w:bCs/>
          <w:sz w:val="24"/>
        </w:rPr>
        <w:t>4.6采购人对供应商交付的产品（包括质量、技术参数等）进行确认，并出具书面验收意见。</w:t>
      </w:r>
    </w:p>
    <w:p w14:paraId="3611E0A1">
      <w:pPr>
        <w:snapToGrid w:val="0"/>
        <w:spacing w:line="360" w:lineRule="auto"/>
        <w:rPr>
          <w:rFonts w:hint="eastAsia" w:ascii="Times New Roman" w:hAnsi="Times New Roman"/>
          <w:bCs/>
          <w:sz w:val="24"/>
        </w:rPr>
      </w:pPr>
      <w:r>
        <w:rPr>
          <w:rFonts w:hint="eastAsia" w:ascii="Times New Roman" w:hAnsi="Times New Roman"/>
          <w:bCs/>
          <w:sz w:val="24"/>
        </w:rPr>
        <w:t>★5、中标人需在货物生产前现场复核尺寸并与采购人确认，按照复核尺寸进行生产，价格不作调整，质量要求和标准不变。在合同生效后中标人应向采购人提供详细的安装要求并提供技术咨询；在货物到达前，采购人配合供应商做好货物安装准备。货物到达采购人指定所在地，在接到采购人通知后一周内进行安装调试，直至通过验收。</w:t>
      </w:r>
    </w:p>
    <w:p w14:paraId="7F0FA562">
      <w:pPr>
        <w:snapToGrid w:val="0"/>
        <w:spacing w:line="360" w:lineRule="auto"/>
        <w:rPr>
          <w:rFonts w:hint="eastAsia" w:ascii="Times New Roman" w:hAnsi="Times New Roman"/>
          <w:bCs/>
          <w:sz w:val="24"/>
        </w:rPr>
      </w:pPr>
      <w:r>
        <w:rPr>
          <w:rFonts w:hint="eastAsia" w:ascii="Times New Roman" w:hAnsi="Times New Roman"/>
          <w:bCs/>
          <w:sz w:val="24"/>
        </w:rPr>
        <w:t>★6、鉴于新生入学后存在因身高原因需对公寓床进行加长处理的情况，投标人在中标后合同履行期间，根据采购人通知的具体数量和时间，配合采购人完成相应床位的加长改造，此部分费用均已包含在本次投标报价中。</w:t>
      </w:r>
    </w:p>
    <w:p w14:paraId="386B3596">
      <w:pPr>
        <w:snapToGrid w:val="0"/>
        <w:spacing w:line="360" w:lineRule="auto"/>
        <w:rPr>
          <w:rFonts w:hint="eastAsia" w:ascii="Times New Roman" w:hAnsi="Times New Roman"/>
          <w:bCs/>
          <w:sz w:val="24"/>
        </w:rPr>
      </w:pPr>
      <w:r>
        <w:rPr>
          <w:rFonts w:hint="eastAsia" w:ascii="Times New Roman" w:hAnsi="Times New Roman"/>
          <w:bCs/>
          <w:sz w:val="24"/>
        </w:rPr>
        <w:t>★7、售后服务</w:t>
      </w:r>
    </w:p>
    <w:p w14:paraId="70A1253D">
      <w:pPr>
        <w:snapToGrid w:val="0"/>
        <w:spacing w:line="360" w:lineRule="auto"/>
        <w:rPr>
          <w:rFonts w:hint="eastAsia" w:ascii="Times New Roman" w:hAnsi="Times New Roman"/>
          <w:bCs/>
          <w:sz w:val="24"/>
        </w:rPr>
      </w:pPr>
      <w:r>
        <w:rPr>
          <w:rFonts w:hint="eastAsia" w:ascii="Times New Roman" w:hAnsi="Times New Roman"/>
          <w:bCs/>
          <w:sz w:val="24"/>
        </w:rPr>
        <w:t>7.1质保期不低于五年，终身保修（质保期的起始日期为货物在最终用户现场验收合格之日起开始计算）。</w:t>
      </w:r>
    </w:p>
    <w:p w14:paraId="422EB1B8">
      <w:pPr>
        <w:snapToGrid w:val="0"/>
        <w:spacing w:line="360" w:lineRule="auto"/>
        <w:rPr>
          <w:rFonts w:hint="eastAsia" w:ascii="Times New Roman" w:hAnsi="Times New Roman"/>
          <w:bCs/>
          <w:sz w:val="24"/>
        </w:rPr>
      </w:pPr>
      <w:r>
        <w:rPr>
          <w:rFonts w:hint="eastAsia" w:ascii="Times New Roman" w:hAnsi="Times New Roman"/>
          <w:bCs/>
          <w:sz w:val="24"/>
        </w:rPr>
        <w:t>7.2质保期内中标人负责对产品上门保修、更换损坏的零部件（耗材和人为原因造成损坏除外），同一质量问题经中标人连续维修两次仍不能正常使用的，中标人应在一个月内更换全新产品并重新计算质保期（费用包含在本次报价中）。</w:t>
      </w:r>
    </w:p>
    <w:p w14:paraId="0ACFFEAD">
      <w:pPr>
        <w:snapToGrid w:val="0"/>
        <w:spacing w:line="360" w:lineRule="auto"/>
        <w:rPr>
          <w:rFonts w:hint="eastAsia" w:ascii="Times New Roman" w:hAnsi="Times New Roman"/>
          <w:bCs/>
          <w:sz w:val="24"/>
        </w:rPr>
      </w:pPr>
      <w:r>
        <w:rPr>
          <w:rFonts w:hint="eastAsia" w:ascii="Times New Roman" w:hAnsi="Times New Roman"/>
          <w:bCs/>
          <w:sz w:val="24"/>
        </w:rPr>
        <w:t>7.3质保期内中标人每年巡回保养二次。</w:t>
      </w:r>
    </w:p>
    <w:p w14:paraId="45A1FFBB">
      <w:pPr>
        <w:snapToGrid w:val="0"/>
        <w:spacing w:line="360" w:lineRule="auto"/>
        <w:rPr>
          <w:rFonts w:hint="eastAsia" w:ascii="Times New Roman" w:hAnsi="Times New Roman"/>
          <w:bCs/>
          <w:sz w:val="24"/>
        </w:rPr>
      </w:pPr>
      <w:r>
        <w:rPr>
          <w:rFonts w:hint="eastAsia" w:ascii="Times New Roman" w:hAnsi="Times New Roman"/>
          <w:bCs/>
          <w:sz w:val="24"/>
        </w:rPr>
        <w:t>7.4投标人须中标后提供产品7*24小时售后服务、故障处理服务、现场服务，若远程服务无法解决问题，须在2小时内到达现场处理服务，4小时内排除故障。</w:t>
      </w:r>
    </w:p>
    <w:p w14:paraId="7FAFE9A1">
      <w:pPr>
        <w:snapToGrid w:val="0"/>
        <w:spacing w:line="360" w:lineRule="auto"/>
        <w:rPr>
          <w:rFonts w:hint="eastAsia" w:ascii="Times New Roman" w:hAnsi="Times New Roman"/>
          <w:bCs/>
          <w:sz w:val="24"/>
        </w:rPr>
      </w:pPr>
      <w:r>
        <w:rPr>
          <w:rFonts w:hint="eastAsia" w:ascii="Times New Roman" w:hAnsi="Times New Roman"/>
          <w:bCs/>
          <w:sz w:val="24"/>
        </w:rPr>
        <w:t>7.5投标人质保期外继续提供服务，差旅费（包括机票，住宿，交通费等）和人工服务费包含在本次报价中，如需更换零配件、购买附（辅）件，将按成本价提供，响应速度同保修期响应速度。</w:t>
      </w:r>
    </w:p>
    <w:p w14:paraId="7EDD43D2">
      <w:pPr>
        <w:snapToGrid w:val="0"/>
        <w:spacing w:line="360" w:lineRule="auto"/>
        <w:rPr>
          <w:rFonts w:hint="eastAsia" w:ascii="Times New Roman" w:hAnsi="Times New Roman"/>
          <w:bCs/>
          <w:sz w:val="24"/>
        </w:rPr>
      </w:pPr>
      <w:r>
        <w:rPr>
          <w:rFonts w:hint="eastAsia" w:ascii="Times New Roman" w:hAnsi="Times New Roman"/>
          <w:bCs/>
          <w:sz w:val="24"/>
        </w:rPr>
        <w:t>★8、人员资格及技术水平：本项目需现场工程师不少于2名【投标时需提供上述人员与供应商有效的劳动关系证明（劳动关系证明材料不作具体限制）】。</w:t>
      </w:r>
    </w:p>
    <w:p w14:paraId="4D46C4CC">
      <w:pPr>
        <w:snapToGrid w:val="0"/>
        <w:spacing w:line="360" w:lineRule="auto"/>
        <w:rPr>
          <w:rFonts w:ascii="Times New Roman" w:hAnsi="Times New Roman"/>
          <w:bCs/>
          <w:color w:val="000000"/>
          <w:sz w:val="24"/>
        </w:rPr>
      </w:pPr>
      <w:r>
        <w:rPr>
          <w:rFonts w:hint="eastAsia" w:ascii="Times New Roman" w:hAnsi="Times New Roman"/>
          <w:bCs/>
          <w:sz w:val="24"/>
        </w:rPr>
        <w:t>★9、</w:t>
      </w:r>
      <w:r>
        <w:rPr>
          <w:rFonts w:hint="eastAsia" w:ascii="Times New Roman" w:hAnsi="Times New Roman"/>
          <w:bCs/>
          <w:color w:val="000000"/>
          <w:sz w:val="24"/>
        </w:rPr>
        <w:t>违约事项</w:t>
      </w:r>
    </w:p>
    <w:p w14:paraId="09A050E8">
      <w:pPr>
        <w:snapToGrid w:val="0"/>
        <w:spacing w:line="360" w:lineRule="auto"/>
        <w:rPr>
          <w:rFonts w:ascii="Times New Roman" w:hAnsi="Times New Roman"/>
          <w:bCs/>
          <w:color w:val="000000"/>
          <w:sz w:val="24"/>
        </w:rPr>
      </w:pPr>
      <w:r>
        <w:rPr>
          <w:rFonts w:hint="eastAsia" w:ascii="Times New Roman" w:hAnsi="Times New Roman"/>
          <w:bCs/>
          <w:color w:val="000000"/>
          <w:sz w:val="24"/>
        </w:rPr>
        <w:t>9.1中标人逾期交付货物或逾期完成安装调试并验收合格的，中标人应按逾期部分总价款每日1%向采购人支付违约金，由采购人从待付价款中直接扣除；逾期超过约定日期5个工作日不能交货的，视为合同继续履行将损害国家利益或社会公共利益，采购人可解除本合同。</w:t>
      </w:r>
    </w:p>
    <w:p w14:paraId="62D2722F">
      <w:pPr>
        <w:snapToGrid w:val="0"/>
        <w:spacing w:line="360" w:lineRule="auto"/>
        <w:rPr>
          <w:rFonts w:ascii="Times New Roman" w:hAnsi="Times New Roman"/>
          <w:bCs/>
          <w:color w:val="000000"/>
          <w:sz w:val="24"/>
        </w:rPr>
      </w:pPr>
      <w:r>
        <w:rPr>
          <w:rFonts w:hint="eastAsia" w:ascii="Times New Roman" w:hAnsi="Times New Roman"/>
          <w:bCs/>
          <w:color w:val="000000"/>
          <w:sz w:val="24"/>
        </w:rPr>
        <w:t>9.2中标人因逾期交货或逾期完成安装调试并验收合格或因其他违约行为导致采购人解除合同的，中标人应返回采购人已经支付的款项并向采购人支付本合同约定总价款10%的违约金，如造成采购人损失超过违约金的，超出部分由中标人继续承担赔偿责任。</w:t>
      </w:r>
    </w:p>
    <w:p w14:paraId="6D6FB718">
      <w:pPr>
        <w:snapToGrid w:val="0"/>
        <w:spacing w:line="360" w:lineRule="auto"/>
        <w:rPr>
          <w:rFonts w:ascii="Times New Roman" w:hAnsi="Times New Roman"/>
          <w:bCs/>
          <w:color w:val="000000"/>
          <w:sz w:val="24"/>
        </w:rPr>
      </w:pPr>
      <w:r>
        <w:rPr>
          <w:rFonts w:hint="eastAsia" w:ascii="Times New Roman" w:hAnsi="Times New Roman"/>
          <w:bCs/>
          <w:color w:val="000000"/>
          <w:sz w:val="24"/>
        </w:rPr>
        <w:t>9.3中标人所交的货物品种、型号、规格、技术参数、质量不符合合同约定及招标文件规定的标准的，采购人有权拒收该货物，中标人应按本合同总价款的10%向采购人支付违约金。中标人愿意更换货物且采购人同意的，按中标人逾期交货处理。中标人拒绝更换货物的，采购人可以单方面解除合同。</w:t>
      </w:r>
    </w:p>
    <w:p w14:paraId="77E0ADA1">
      <w:pPr>
        <w:snapToGrid w:val="0"/>
        <w:spacing w:line="360" w:lineRule="auto"/>
        <w:rPr>
          <w:rFonts w:ascii="Times New Roman" w:hAnsi="Times New Roman"/>
          <w:bCs/>
          <w:color w:val="000000"/>
          <w:sz w:val="24"/>
        </w:rPr>
      </w:pPr>
      <w:r>
        <w:rPr>
          <w:rFonts w:hint="eastAsia" w:ascii="Times New Roman" w:hAnsi="Times New Roman"/>
          <w:bCs/>
          <w:color w:val="000000"/>
          <w:sz w:val="24"/>
        </w:rPr>
        <w:t>9.4未经采购人书面同意，中标人擅自停止履行合同、撤场或以其他行为表明不再继续履约，严重影响采购人学校食堂工作正常进行的，采购人有权上报本项目财政主管部门并单方解除合同。供应商除应退还采购人已支付的全部款项外，还应向采购人支付相当于合同总金额100%的违约金。</w:t>
      </w:r>
    </w:p>
    <w:p w14:paraId="4CB1AEC0">
      <w:pPr>
        <w:snapToGrid w:val="0"/>
        <w:spacing w:line="360" w:lineRule="auto"/>
        <w:rPr>
          <w:rFonts w:hint="eastAsia" w:ascii="Times New Roman" w:hAnsi="Times New Roman"/>
          <w:bCs/>
          <w:sz w:val="24"/>
        </w:rPr>
      </w:pPr>
      <w:r>
        <w:rPr>
          <w:rFonts w:hint="eastAsia" w:ascii="Times New Roman" w:hAnsi="Times New Roman"/>
          <w:bCs/>
          <w:color w:val="000000"/>
          <w:sz w:val="24"/>
        </w:rPr>
        <w:t>9.5在质保期内，中标人未按照本项目招标文件及中标人投标文件条款对该项目涉及的货物进行维护保养或维修的，中标人应按照合同总价款每日1%计算，向采购人支付违约金。质保期内，中标人用于维修、更换的备件与原货物品种、技术参数、质量等不一致且中标人无正当理由不同意更换为原货物的，则中标人应按照该原件总价款100%向采购人支付违约金。</w:t>
      </w:r>
    </w:p>
    <w:p w14:paraId="126A5197">
      <w:pPr>
        <w:snapToGrid w:val="0"/>
        <w:spacing w:line="360" w:lineRule="auto"/>
        <w:rPr>
          <w:rFonts w:hint="eastAsia" w:ascii="Times New Roman" w:hAnsi="Times New Roman"/>
          <w:bCs/>
          <w:sz w:val="24"/>
        </w:rPr>
      </w:pPr>
      <w:r>
        <w:rPr>
          <w:rFonts w:hint="eastAsia" w:ascii="Times New Roman" w:hAnsi="Times New Roman"/>
          <w:bCs/>
          <w:sz w:val="24"/>
        </w:rPr>
        <w:t>★10、国家标准要求：在投标时或项目履约过程中，供应商所投或所供的产品、配件、原材料须符合国家强制标准。国家或行业主管部门对采购产品的技术标准、质量标准和资格资质条件等有强制性规定的，必须符合其要求。</w:t>
      </w:r>
    </w:p>
    <w:p w14:paraId="1953BAC4">
      <w:pPr>
        <w:snapToGrid w:val="0"/>
        <w:spacing w:line="360" w:lineRule="auto"/>
        <w:rPr>
          <w:rFonts w:ascii="Times New Roman" w:hAnsi="Times New Roman"/>
          <w:bCs/>
          <w:sz w:val="24"/>
        </w:rPr>
      </w:pPr>
      <w:r>
        <w:rPr>
          <w:rFonts w:hint="eastAsia" w:ascii="Times New Roman" w:hAnsi="Times New Roman"/>
          <w:bCs/>
          <w:sz w:val="24"/>
        </w:rPr>
        <w:t>★11、产品交付要求：交付产品的外观及颜色、标识应按图纸及技术文件要求进行，包装箱不得标识涉密信息，并附产品清单一份。本项目采购产品涉及包装的，应符合《商品包装政府采购需求标准（试行）》、《快递包装政府采购需求标准（试行）》的要求。</w:t>
      </w:r>
    </w:p>
    <w:p w14:paraId="2A3C174D">
      <w:pPr>
        <w:snapToGrid w:val="0"/>
        <w:spacing w:line="360" w:lineRule="auto"/>
        <w:rPr>
          <w:rFonts w:hint="eastAsia" w:ascii="Times New Roman" w:hAnsi="Times New Roman"/>
          <w:bCs/>
          <w:sz w:val="24"/>
        </w:rPr>
      </w:pPr>
      <w:r>
        <w:rPr>
          <w:rFonts w:hint="eastAsia" w:ascii="Times New Roman" w:hAnsi="Times New Roman"/>
          <w:bCs/>
          <w:sz w:val="24"/>
        </w:rPr>
        <w:t>★12、</w:t>
      </w:r>
      <w:r>
        <w:rPr>
          <w:rFonts w:ascii="Times New Roman" w:hAnsi="Times New Roman"/>
          <w:bCs/>
          <w:sz w:val="24"/>
        </w:rPr>
        <w:t>室内空气检测：</w:t>
      </w:r>
      <w:r>
        <w:rPr>
          <w:rFonts w:ascii="Cambria Math" w:hAnsi="Cambria Math" w:cs="Cambria Math"/>
          <w:bCs/>
          <w:sz w:val="24"/>
        </w:rPr>
        <w:t>①</w:t>
      </w:r>
      <w:r>
        <w:rPr>
          <w:rFonts w:ascii="Times New Roman" w:hAnsi="Times New Roman"/>
          <w:bCs/>
          <w:sz w:val="24"/>
        </w:rPr>
        <w:t>家具进场安装前，由采购人委托第三方检测机构做室内空气检测（检测标准 GB/T 18883-2022《室内空气质量标准》），检测合格后正式进场安装；</w:t>
      </w:r>
      <w:r>
        <w:rPr>
          <w:rFonts w:ascii="Cambria Math" w:hAnsi="Cambria Math" w:cs="Cambria Math"/>
          <w:bCs/>
          <w:sz w:val="24"/>
        </w:rPr>
        <w:t>②</w:t>
      </w:r>
      <w:r>
        <w:rPr>
          <w:rFonts w:ascii="Times New Roman" w:hAnsi="Times New Roman"/>
          <w:bCs/>
          <w:sz w:val="24"/>
        </w:rPr>
        <w:t>安装完成后，由采购人抽样委托第三方检测机构做室内空气检测（检测标准 GB/T 18883-2022《室内空气质量标准》）；</w:t>
      </w:r>
      <w:r>
        <w:rPr>
          <w:rFonts w:ascii="Cambria Math" w:hAnsi="Cambria Math" w:cs="Cambria Math"/>
          <w:bCs/>
          <w:sz w:val="24"/>
        </w:rPr>
        <w:t>③</w:t>
      </w:r>
      <w:r>
        <w:rPr>
          <w:rFonts w:ascii="Times New Roman" w:hAnsi="Times New Roman"/>
          <w:bCs/>
          <w:sz w:val="24"/>
        </w:rPr>
        <w:t>室内空气检测合格检测费用由采购人承担，如检测不合格的，供应商承担检测费用，采购人有权解除合同，要求供应商无条件退回已支付款项。</w:t>
      </w:r>
    </w:p>
    <w:bookmarkEnd w:id="4"/>
    <w:p w14:paraId="31DE6CD1">
      <w:pPr>
        <w:snapToGrid w:val="0"/>
        <w:spacing w:line="360" w:lineRule="auto"/>
        <w:rPr>
          <w:rFonts w:hint="eastAsia" w:ascii="Times New Roman" w:hAnsi="Times New Roman"/>
          <w:bCs/>
          <w:sz w:val="24"/>
        </w:rPr>
      </w:pPr>
      <w:r>
        <w:rPr>
          <w:rFonts w:hint="eastAsia" w:ascii="Times New Roman" w:hAnsi="Times New Roman"/>
          <w:bCs/>
          <w:sz w:val="24"/>
        </w:rPr>
        <w:t>★13、非特定美国企业生产产品：根据《关于在政府采购活动中对有关美国企业采取相关措施的通知》（财库〔2026〕10号）规定，供应商不得提供该通知中所列46家美国企业（不包括在华美资企业）生产的产品，否则投标无效。</w:t>
      </w:r>
    </w:p>
    <w:p w14:paraId="4428AE99">
      <w:pPr>
        <w:snapToGrid w:val="0"/>
        <w:spacing w:line="360" w:lineRule="auto"/>
        <w:rPr>
          <w:rFonts w:ascii="Times New Roman" w:hAnsi="Times New Roman"/>
          <w:bCs/>
          <w:sz w:val="24"/>
        </w:rPr>
      </w:pPr>
      <w:r>
        <w:rPr>
          <w:rFonts w:hint="eastAsia" w:ascii="Times New Roman" w:hAnsi="Times New Roman"/>
          <w:bCs/>
          <w:sz w:val="24"/>
        </w:rPr>
        <w:t>14、投标人结合对本项目的理解与采购人的实际需求提供</w:t>
      </w:r>
      <w:r>
        <w:rPr>
          <w:sz w:val="24"/>
        </w:rPr>
        <w:t>产品外观设计图</w:t>
      </w:r>
      <w:r>
        <w:rPr>
          <w:rFonts w:hint="eastAsia" w:ascii="Times New Roman" w:hAnsi="Times New Roman"/>
          <w:bCs/>
          <w:sz w:val="24"/>
        </w:rPr>
        <w:t>，至少包括：</w:t>
      </w:r>
      <w:r>
        <w:rPr>
          <w:rFonts w:hint="eastAsia"/>
          <w:sz w:val="24"/>
        </w:rPr>
        <w:t>（1）</w:t>
      </w:r>
      <w:r>
        <w:rPr>
          <w:sz w:val="24"/>
        </w:rPr>
        <w:t>三维彩色效果图，每款须含正面、侧面、俯瞰三个视角视图并标注外形尺寸</w:t>
      </w:r>
      <w:r>
        <w:rPr>
          <w:rFonts w:hint="eastAsia"/>
          <w:sz w:val="24"/>
        </w:rPr>
        <w:t>及说明；（2）结构设计、功能配置；（3）安全性分析；（4）外观设计（至少包含色彩搭配、造型）</w:t>
      </w:r>
      <w:r>
        <w:rPr>
          <w:rFonts w:hint="eastAsia" w:ascii="Times New Roman" w:hAnsi="Times New Roman"/>
          <w:bCs/>
          <w:sz w:val="24"/>
        </w:rPr>
        <w:t>。</w:t>
      </w:r>
      <w:bookmarkStart w:id="5" w:name="OLE_LINK7"/>
    </w:p>
    <w:p w14:paraId="026A2D80">
      <w:pPr>
        <w:snapToGrid w:val="0"/>
        <w:spacing w:line="360" w:lineRule="auto"/>
        <w:rPr>
          <w:rFonts w:ascii="Times New Roman" w:hAnsi="Times New Roman"/>
          <w:bCs/>
          <w:sz w:val="24"/>
        </w:rPr>
      </w:pPr>
      <w:r>
        <w:rPr>
          <w:rFonts w:hint="eastAsia" w:ascii="Times New Roman" w:hAnsi="Times New Roman"/>
          <w:bCs/>
          <w:sz w:val="24"/>
        </w:rPr>
        <w:t>15、投标人结合对本项目的理解与采购人的实际需求提供</w:t>
      </w:r>
      <w:r>
        <w:rPr>
          <w:rFonts w:hint="eastAsia" w:ascii="宋体" w:hAnsi="宋体"/>
          <w:color w:val="000000"/>
          <w:sz w:val="24"/>
          <w:lang w:val="zh-CN"/>
        </w:rPr>
        <w:t>项目实施方案</w:t>
      </w:r>
      <w:r>
        <w:rPr>
          <w:rFonts w:hint="eastAsia" w:ascii="Times New Roman" w:hAnsi="Times New Roman"/>
          <w:bCs/>
          <w:sz w:val="24"/>
        </w:rPr>
        <w:t>，方案至少包括：</w:t>
      </w:r>
      <w:r>
        <w:rPr>
          <w:rFonts w:hint="eastAsia" w:ascii="宋体" w:hAnsi="宋体"/>
          <w:color w:val="000000"/>
          <w:sz w:val="24"/>
          <w:lang w:val="zh-CN"/>
        </w:rPr>
        <w:t>（1）项目运输配送及进度安排；（2）拟投入本项目人员配置、分工及产品的安装调试；（3）项目实施难点分析及解决方案；（4）</w:t>
      </w:r>
      <w:r>
        <w:rPr>
          <w:rFonts w:ascii="宋体" w:hAnsi="宋体"/>
          <w:color w:val="000000"/>
          <w:sz w:val="24"/>
          <w:lang w:val="zh-CN"/>
        </w:rPr>
        <w:t>就项目实际情况对产品的改造方案</w:t>
      </w:r>
      <w:r>
        <w:rPr>
          <w:rFonts w:hint="eastAsia" w:ascii="宋体" w:hAnsi="宋体"/>
          <w:color w:val="000000"/>
          <w:sz w:val="24"/>
          <w:lang w:val="zh-CN"/>
        </w:rPr>
        <w:t>（加长床改造）</w:t>
      </w:r>
    </w:p>
    <w:p w14:paraId="31F4C69D">
      <w:pPr>
        <w:keepNext/>
        <w:keepLines/>
        <w:widowControl w:val="0"/>
        <w:spacing w:before="260" w:after="260" w:line="400" w:lineRule="exact"/>
        <w:jc w:val="both"/>
        <w:outlineLvl w:val="1"/>
        <w:rPr>
          <w:rFonts w:ascii="Times New Roman" w:hAnsi="Times New Roman" w:eastAsia="宋体" w:cs="Times New Roman"/>
          <w:b/>
          <w:bCs/>
          <w:kern w:val="2"/>
          <w:sz w:val="24"/>
          <w:szCs w:val="24"/>
          <w:lang w:val="en-US" w:eastAsia="zh-CN" w:bidi="ar-SA"/>
        </w:rPr>
      </w:pPr>
      <w:r>
        <w:rPr>
          <w:rFonts w:ascii="Times New Roman" w:hAnsi="Times New Roman" w:eastAsia="宋体" w:cs="Times New Roman"/>
          <w:b/>
          <w:bCs/>
          <w:kern w:val="2"/>
          <w:sz w:val="24"/>
          <w:szCs w:val="24"/>
          <w:lang w:val="en-US" w:eastAsia="zh-CN" w:bidi="ar-SA"/>
        </w:rPr>
        <w:t>三、技术服务、参数要求</w:t>
      </w:r>
    </w:p>
    <w:bookmarkEnd w:id="2"/>
    <w:bookmarkEnd w:id="3"/>
    <w:bookmarkEnd w:id="5"/>
    <w:tbl>
      <w:tblPr>
        <w:tblStyle w:val="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696"/>
        <w:gridCol w:w="6631"/>
        <w:gridCol w:w="738"/>
      </w:tblGrid>
      <w:tr w14:paraId="39CBE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50" w:type="pct"/>
            <w:noWrap w:val="0"/>
            <w:vAlign w:val="center"/>
          </w:tcPr>
          <w:p w14:paraId="4803BC98">
            <w:pPr>
              <w:widowControl/>
              <w:spacing w:after="0" w:line="240" w:lineRule="auto"/>
              <w:jc w:val="center"/>
              <w:rPr>
                <w:rFonts w:hint="eastAsia" w:ascii="宋体" w:hAnsi="宋体" w:cs="宋体"/>
                <w:b/>
                <w:kern w:val="0"/>
                <w:sz w:val="24"/>
              </w:rPr>
            </w:pPr>
            <w:r>
              <w:rPr>
                <w:rFonts w:hint="eastAsia" w:ascii="宋体" w:hAnsi="宋体" w:cs="宋体"/>
                <w:b/>
                <w:kern w:val="0"/>
                <w:sz w:val="24"/>
              </w:rPr>
              <w:t>序号</w:t>
            </w:r>
          </w:p>
        </w:tc>
        <w:tc>
          <w:tcPr>
            <w:tcW w:w="410" w:type="pct"/>
            <w:noWrap w:val="0"/>
            <w:vAlign w:val="center"/>
          </w:tcPr>
          <w:p w14:paraId="5727B841">
            <w:pPr>
              <w:widowControl/>
              <w:spacing w:after="0" w:line="240" w:lineRule="auto"/>
              <w:jc w:val="center"/>
              <w:rPr>
                <w:rFonts w:hint="eastAsia" w:ascii="宋体" w:hAnsi="宋体" w:cs="宋体"/>
                <w:b/>
                <w:kern w:val="0"/>
                <w:sz w:val="24"/>
              </w:rPr>
            </w:pPr>
            <w:r>
              <w:rPr>
                <w:rFonts w:hint="eastAsia" w:ascii="宋体" w:hAnsi="宋体" w:cs="宋体"/>
                <w:b/>
                <w:kern w:val="0"/>
                <w:sz w:val="24"/>
              </w:rPr>
              <w:t>家具名称</w:t>
            </w:r>
          </w:p>
        </w:tc>
        <w:tc>
          <w:tcPr>
            <w:tcW w:w="3899" w:type="pct"/>
            <w:noWrap w:val="0"/>
            <w:vAlign w:val="center"/>
          </w:tcPr>
          <w:p w14:paraId="72F63D1C">
            <w:pPr>
              <w:widowControl/>
              <w:spacing w:after="0" w:line="240" w:lineRule="auto"/>
              <w:jc w:val="center"/>
              <w:rPr>
                <w:rFonts w:hint="eastAsia" w:ascii="宋体" w:hAnsi="宋体" w:cs="宋体"/>
                <w:b/>
                <w:kern w:val="0"/>
                <w:sz w:val="24"/>
              </w:rPr>
            </w:pPr>
            <w:r>
              <w:rPr>
                <w:rFonts w:hint="eastAsia" w:ascii="宋体" w:hAnsi="宋体" w:cs="宋体"/>
                <w:b/>
                <w:kern w:val="0"/>
                <w:sz w:val="24"/>
              </w:rPr>
              <w:t>材质技术参数要求</w:t>
            </w:r>
          </w:p>
        </w:tc>
        <w:tc>
          <w:tcPr>
            <w:tcW w:w="439" w:type="pct"/>
            <w:noWrap w:val="0"/>
            <w:vAlign w:val="center"/>
          </w:tcPr>
          <w:p w14:paraId="20D8F355">
            <w:pPr>
              <w:widowControl/>
              <w:spacing w:after="0" w:line="240" w:lineRule="auto"/>
              <w:jc w:val="center"/>
              <w:rPr>
                <w:rFonts w:hint="eastAsia" w:ascii="宋体" w:hAnsi="宋体" w:cs="宋体"/>
                <w:b/>
                <w:kern w:val="0"/>
                <w:sz w:val="24"/>
              </w:rPr>
            </w:pPr>
            <w:r>
              <w:rPr>
                <w:rFonts w:hint="eastAsia" w:ascii="宋体" w:hAnsi="宋体" w:cs="宋体"/>
                <w:b/>
                <w:kern w:val="0"/>
                <w:sz w:val="24"/>
              </w:rPr>
              <w:t>所在位置</w:t>
            </w:r>
          </w:p>
        </w:tc>
      </w:tr>
      <w:tr w14:paraId="3B577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250" w:type="pct"/>
            <w:noWrap w:val="0"/>
            <w:vAlign w:val="center"/>
          </w:tcPr>
          <w:p w14:paraId="631511FA">
            <w:pPr>
              <w:widowControl/>
              <w:spacing w:after="0" w:line="240" w:lineRule="auto"/>
              <w:jc w:val="center"/>
              <w:textAlignment w:val="center"/>
              <w:rPr>
                <w:rFonts w:hint="eastAsia" w:ascii="宋体" w:hAnsi="宋体" w:cs="宋体"/>
                <w:kern w:val="0"/>
                <w:sz w:val="24"/>
              </w:rPr>
            </w:pPr>
            <w:r>
              <w:rPr>
                <w:rFonts w:hint="eastAsia" w:ascii="宋体" w:hAnsi="宋体" w:cs="宋体"/>
                <w:kern w:val="0"/>
                <w:sz w:val="24"/>
                <w:lang w:bidi="ar"/>
              </w:rPr>
              <w:t>1</w:t>
            </w:r>
          </w:p>
        </w:tc>
        <w:tc>
          <w:tcPr>
            <w:tcW w:w="410" w:type="pct"/>
            <w:noWrap w:val="0"/>
            <w:vAlign w:val="center"/>
          </w:tcPr>
          <w:p w14:paraId="05F8F8A3">
            <w:pPr>
              <w:widowControl/>
              <w:spacing w:after="0" w:line="240" w:lineRule="auto"/>
              <w:jc w:val="center"/>
              <w:textAlignment w:val="center"/>
              <w:rPr>
                <w:rFonts w:hint="eastAsia" w:ascii="宋体" w:hAnsi="宋体" w:cs="宋体"/>
                <w:kern w:val="0"/>
                <w:sz w:val="24"/>
              </w:rPr>
            </w:pPr>
            <w:r>
              <w:rPr>
                <w:rFonts w:hint="eastAsia" w:ascii="宋体" w:hAnsi="宋体" w:cs="宋体"/>
                <w:kern w:val="0"/>
                <w:sz w:val="24"/>
                <w:lang w:bidi="ar"/>
              </w:rPr>
              <w:t>定制学习桌1</w:t>
            </w:r>
          </w:p>
        </w:tc>
        <w:tc>
          <w:tcPr>
            <w:tcW w:w="3899" w:type="pct"/>
            <w:noWrap w:val="0"/>
            <w:vAlign w:val="center"/>
          </w:tcPr>
          <w:p w14:paraId="14F0FA78">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sz w:val="24"/>
              </w:rPr>
              <w:t>★</w:t>
            </w:r>
            <w:r>
              <w:rPr>
                <w:rFonts w:hint="eastAsia" w:ascii="宋体" w:hAnsi="宋体" w:cs="宋体"/>
                <w:kern w:val="0"/>
                <w:sz w:val="24"/>
                <w:lang w:bidi="ar"/>
              </w:rPr>
              <w:t>1.规格：长900mm（±10mm）×宽600mm（±10mm）×高1850mm（±10mm），颜色为：</w:t>
            </w:r>
            <w:r>
              <w:rPr>
                <w:rFonts w:ascii="宋体" w:hAnsi="宋体" w:cs="宋体"/>
                <w:kern w:val="0"/>
                <w:sz w:val="24"/>
                <w:lang w:bidi="ar"/>
              </w:rPr>
              <w:t>白色及木纹色组合</w:t>
            </w:r>
            <w:r>
              <w:rPr>
                <w:rFonts w:hint="eastAsia" w:ascii="宋体" w:hAnsi="宋体" w:cs="宋体"/>
                <w:kern w:val="0"/>
                <w:sz w:val="24"/>
                <w:lang w:bidi="ar"/>
              </w:rPr>
              <w:t>。</w:t>
            </w:r>
          </w:p>
          <w:p w14:paraId="6AB3362F">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sz w:val="24"/>
              </w:rPr>
              <w:t>★2.</w:t>
            </w:r>
            <w:r>
              <w:rPr>
                <w:rFonts w:hint="eastAsia" w:ascii="宋体" w:hAnsi="宋体" w:cs="宋体"/>
                <w:kern w:val="0"/>
                <w:sz w:val="24"/>
                <w:lang w:bidi="ar"/>
              </w:rPr>
              <w:t>书架：板材采用≥0.8mm厚的冷轧钢板，左右等分二格，每格上下分三层，最下层后空方便墙面插座使用，书架与桌面固定。</w:t>
            </w:r>
          </w:p>
          <w:p w14:paraId="4AA9D713">
            <w:pPr>
              <w:widowControl/>
              <w:spacing w:before="156" w:beforeLines="50" w:after="156" w:afterLines="50" w:line="240" w:lineRule="auto"/>
              <w:jc w:val="left"/>
              <w:textAlignment w:val="center"/>
              <w:rPr>
                <w:rFonts w:hint="eastAsia" w:ascii="宋体" w:hAnsi="宋体" w:cs="Calibri"/>
                <w:sz w:val="24"/>
              </w:rPr>
            </w:pPr>
            <w:r>
              <w:rPr>
                <w:rFonts w:hint="eastAsia" w:ascii="宋体" w:hAnsi="宋体" w:cs="宋体"/>
                <w:kern w:val="0"/>
                <w:sz w:val="24"/>
                <w:lang w:bidi="ar"/>
              </w:rPr>
              <w:t># 3.学习桌：桌面离地高度≥760mm，桌腿采用≥40mm×40</w:t>
            </w:r>
            <w:r>
              <w:rPr>
                <w:sz w:val="24"/>
              </w:rPr>
              <w:t xml:space="preserve"> </w:t>
            </w:r>
            <w:r>
              <w:rPr>
                <w:rFonts w:ascii="宋体" w:hAnsi="宋体" w:cs="宋体"/>
                <w:kern w:val="0"/>
                <w:sz w:val="24"/>
                <w:lang w:bidi="ar"/>
              </w:rPr>
              <w:t>mm</w:t>
            </w:r>
            <w:r>
              <w:rPr>
                <w:rFonts w:hint="eastAsia" w:ascii="宋体" w:hAnsi="宋体" w:cs="宋体"/>
                <w:kern w:val="0"/>
                <w:sz w:val="24"/>
                <w:lang w:bidi="ar"/>
              </w:rPr>
              <w:t>×1.2mm冷轧钢管制作；桌面采用≥25mm厚实木颗粒板， PVC封边条封边。</w:t>
            </w:r>
          </w:p>
          <w:p w14:paraId="65A94535">
            <w:pPr>
              <w:widowControl/>
              <w:spacing w:before="156" w:beforeLines="50" w:after="0" w:line="240" w:lineRule="auto"/>
              <w:jc w:val="left"/>
              <w:textAlignment w:val="center"/>
              <w:rPr>
                <w:rFonts w:hint="eastAsia" w:ascii="宋体" w:hAnsi="宋体" w:cs="宋体"/>
                <w:kern w:val="0"/>
                <w:sz w:val="24"/>
                <w:lang w:bidi="ar"/>
              </w:rPr>
            </w:pPr>
            <w:r>
              <w:rPr>
                <w:rFonts w:hint="eastAsia" w:ascii="宋体" w:hAnsi="宋体" w:cs="Calibri"/>
                <w:sz w:val="24"/>
              </w:rPr>
              <w:t>#</w:t>
            </w:r>
            <w:r>
              <w:rPr>
                <w:rFonts w:hint="eastAsia" w:ascii="宋体" w:hAnsi="宋体" w:cs="宋体"/>
                <w:kern w:val="0"/>
                <w:sz w:val="24"/>
                <w:lang w:bidi="ar"/>
              </w:rPr>
              <w:t xml:space="preserve"> 4.抽屉：整体采用≥0.8mm厚冷轧钢板制作。抽屉安装明挂转锁，滑轨采用三节导轨。</w:t>
            </w:r>
          </w:p>
          <w:p w14:paraId="0725A631">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5.扣手：为梯形内嵌一体式钢制压型扣手，规格长≥200mm×宽33mm×深15mm。</w:t>
            </w:r>
          </w:p>
        </w:tc>
        <w:tc>
          <w:tcPr>
            <w:tcW w:w="439" w:type="pct"/>
            <w:noWrap w:val="0"/>
            <w:vAlign w:val="center"/>
          </w:tcPr>
          <w:p w14:paraId="3936AECF">
            <w:pPr>
              <w:widowControl/>
              <w:spacing w:after="0" w:line="240" w:lineRule="auto"/>
              <w:jc w:val="center"/>
              <w:textAlignment w:val="center"/>
              <w:rPr>
                <w:rFonts w:hint="eastAsia" w:ascii="宋体" w:hAnsi="宋体" w:cs="宋体"/>
                <w:kern w:val="0"/>
                <w:sz w:val="24"/>
              </w:rPr>
            </w:pPr>
            <w:r>
              <w:rPr>
                <w:rFonts w:hint="eastAsia" w:ascii="宋体" w:hAnsi="宋体" w:cs="宋体"/>
                <w:kern w:val="0"/>
                <w:sz w:val="24"/>
              </w:rPr>
              <w:t>九里眷诚斋</w:t>
            </w:r>
          </w:p>
        </w:tc>
      </w:tr>
      <w:tr w14:paraId="00BD2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4" w:hRule="atLeast"/>
          <w:jc w:val="center"/>
        </w:trPr>
        <w:tc>
          <w:tcPr>
            <w:tcW w:w="250" w:type="pct"/>
            <w:noWrap w:val="0"/>
            <w:vAlign w:val="center"/>
          </w:tcPr>
          <w:p w14:paraId="57005C83">
            <w:pPr>
              <w:widowControl/>
              <w:spacing w:after="0" w:line="240" w:lineRule="auto"/>
              <w:jc w:val="center"/>
              <w:textAlignment w:val="center"/>
              <w:rPr>
                <w:rFonts w:hint="eastAsia" w:ascii="宋体" w:hAnsi="宋体" w:cs="宋体"/>
                <w:kern w:val="0"/>
                <w:sz w:val="24"/>
                <w:lang w:bidi="ar"/>
              </w:rPr>
            </w:pPr>
            <w:r>
              <w:rPr>
                <w:rFonts w:hint="eastAsia" w:ascii="宋体" w:hAnsi="宋体" w:cs="宋体"/>
                <w:kern w:val="0"/>
                <w:sz w:val="24"/>
                <w:lang w:bidi="ar"/>
              </w:rPr>
              <w:t>2</w:t>
            </w:r>
          </w:p>
        </w:tc>
        <w:tc>
          <w:tcPr>
            <w:tcW w:w="410" w:type="pct"/>
            <w:noWrap w:val="0"/>
            <w:vAlign w:val="center"/>
          </w:tcPr>
          <w:p w14:paraId="5D745D2C">
            <w:pPr>
              <w:widowControl/>
              <w:spacing w:after="0" w:line="240" w:lineRule="auto"/>
              <w:jc w:val="center"/>
              <w:textAlignment w:val="center"/>
              <w:rPr>
                <w:rFonts w:hint="eastAsia" w:ascii="宋体" w:hAnsi="宋体" w:cs="宋体"/>
                <w:kern w:val="0"/>
                <w:sz w:val="24"/>
              </w:rPr>
            </w:pPr>
            <w:r>
              <w:rPr>
                <w:rFonts w:hint="eastAsia" w:ascii="宋体" w:hAnsi="宋体" w:cs="宋体"/>
                <w:kern w:val="0"/>
                <w:sz w:val="24"/>
                <w:lang w:bidi="ar"/>
              </w:rPr>
              <w:t>定制学习桌2</w:t>
            </w:r>
          </w:p>
        </w:tc>
        <w:tc>
          <w:tcPr>
            <w:tcW w:w="3899" w:type="pct"/>
            <w:noWrap w:val="0"/>
            <w:vAlign w:val="center"/>
          </w:tcPr>
          <w:p w14:paraId="65A97C56">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★1.规格：长1200mm（±10mm）×宽600mm（±10mm）×高1850mm（±10mm），颜色为：</w:t>
            </w:r>
            <w:r>
              <w:rPr>
                <w:rFonts w:ascii="宋体" w:hAnsi="宋体" w:cs="宋体"/>
                <w:kern w:val="0"/>
                <w:sz w:val="24"/>
                <w:lang w:bidi="ar"/>
              </w:rPr>
              <w:t>白色及木纹色组合</w:t>
            </w:r>
            <w:r>
              <w:rPr>
                <w:rFonts w:hint="eastAsia" w:ascii="宋体" w:hAnsi="宋体" w:cs="宋体"/>
                <w:kern w:val="0"/>
                <w:sz w:val="24"/>
                <w:lang w:bidi="ar"/>
              </w:rPr>
              <w:t>。</w:t>
            </w:r>
          </w:p>
          <w:p w14:paraId="65953D62">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★2.书架：板材采用≥0.8mm厚的冷轧钢板，左右等分二格，每格上下分三层，最下层后空方便墙面插座使用，书架与桌面固定。</w:t>
            </w:r>
          </w:p>
          <w:p w14:paraId="5800A856">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3.学习桌：桌面离地高度≥760mm，桌腿采用≥40mm×40mm×1.2mm冷轧钢管制作；桌面采用≥25mm厚实木颗粒板， PVC封边条封边。</w:t>
            </w:r>
          </w:p>
          <w:p w14:paraId="6E39F6C5">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4.抽屉：整体采用≥0.8mm厚冷轧钢板制作。抽屉安装明挂转锁，滑轨采用三节导轨。</w:t>
            </w:r>
          </w:p>
          <w:p w14:paraId="52688E79">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△5.扣手：为梯形内嵌一体式钢制压型扣手，规格长≥200mm×宽33mm×深15mm。</w:t>
            </w:r>
          </w:p>
          <w:p w14:paraId="0235AACC">
            <w:pPr>
              <w:widowControl/>
              <w:spacing w:before="156" w:beforeLines="50" w:after="0" w:line="240" w:lineRule="auto"/>
              <w:jc w:val="left"/>
              <w:textAlignment w:val="center"/>
              <w:rPr>
                <w:rFonts w:hint="eastAsia" w:ascii="宋体" w:hAnsi="宋体" w:cs="宋体"/>
                <w:kern w:val="0"/>
                <w:sz w:val="24"/>
              </w:rPr>
            </w:pPr>
            <w:r>
              <w:rPr>
                <w:rFonts w:hint="eastAsia" w:ascii="宋体" w:hAnsi="宋体" w:cs="宋体"/>
                <w:kern w:val="0"/>
                <w:sz w:val="24"/>
                <w:lang w:bidi="ar"/>
              </w:rPr>
              <w:t># 6.学习桌：邻边垂直度、翘曲度、平整度、底脚着地平稳性，应无裂缝、叠缝、外露管口端面应封闭、焊接处应无脱焊、虚焊、焊穿、错位等。</w:t>
            </w:r>
          </w:p>
        </w:tc>
        <w:tc>
          <w:tcPr>
            <w:tcW w:w="439" w:type="pct"/>
            <w:noWrap w:val="0"/>
            <w:vAlign w:val="center"/>
          </w:tcPr>
          <w:p w14:paraId="3740C7D5">
            <w:pPr>
              <w:widowControl/>
              <w:spacing w:after="0" w:line="240" w:lineRule="auto"/>
              <w:jc w:val="center"/>
              <w:textAlignment w:val="center"/>
              <w:rPr>
                <w:rFonts w:hint="eastAsia" w:ascii="宋体" w:hAnsi="宋体" w:cs="宋体"/>
                <w:kern w:val="0"/>
                <w:sz w:val="24"/>
              </w:rPr>
            </w:pPr>
            <w:r>
              <w:rPr>
                <w:rFonts w:hint="eastAsia" w:ascii="宋体" w:hAnsi="宋体" w:cs="宋体"/>
                <w:kern w:val="0"/>
                <w:sz w:val="24"/>
              </w:rPr>
              <w:t>九里眷诚斋、扬华斋、犀浦鸿哲斋</w:t>
            </w:r>
          </w:p>
        </w:tc>
      </w:tr>
      <w:tr w14:paraId="1483E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250" w:type="pct"/>
            <w:noWrap w:val="0"/>
            <w:vAlign w:val="center"/>
          </w:tcPr>
          <w:p w14:paraId="44A19E6F">
            <w:pPr>
              <w:spacing w:before="156" w:beforeLines="50" w:after="156" w:afterLines="50" w:line="276" w:lineRule="auto"/>
              <w:jc w:val="center"/>
              <w:rPr>
                <w:rFonts w:hint="eastAsia" w:ascii="宋体" w:hAnsi="宋体" w:cs="宋体"/>
                <w:kern w:val="0"/>
                <w:sz w:val="24"/>
              </w:rPr>
            </w:pPr>
            <w:r>
              <w:rPr>
                <w:rFonts w:hint="eastAsia" w:ascii="宋体" w:hAnsi="宋体"/>
                <w:bCs/>
                <w:sz w:val="24"/>
              </w:rPr>
              <w:t>3</w:t>
            </w:r>
          </w:p>
        </w:tc>
        <w:tc>
          <w:tcPr>
            <w:tcW w:w="410" w:type="pct"/>
            <w:noWrap w:val="0"/>
            <w:vAlign w:val="center"/>
          </w:tcPr>
          <w:p w14:paraId="448255F3">
            <w:pPr>
              <w:widowControl/>
              <w:spacing w:after="0" w:line="240" w:lineRule="auto"/>
              <w:jc w:val="center"/>
              <w:textAlignment w:val="center"/>
              <w:rPr>
                <w:rFonts w:hint="eastAsia" w:ascii="宋体" w:hAnsi="宋体" w:cs="宋体"/>
                <w:kern w:val="0"/>
                <w:sz w:val="24"/>
              </w:rPr>
            </w:pPr>
            <w:r>
              <w:rPr>
                <w:rFonts w:hint="eastAsia" w:ascii="宋体" w:hAnsi="宋体" w:cs="宋体"/>
                <w:kern w:val="0"/>
                <w:sz w:val="24"/>
                <w:lang w:bidi="ar"/>
              </w:rPr>
              <w:t>定制更衣柜</w:t>
            </w:r>
          </w:p>
        </w:tc>
        <w:tc>
          <w:tcPr>
            <w:tcW w:w="3899" w:type="pct"/>
            <w:noWrap w:val="0"/>
            <w:vAlign w:val="center"/>
          </w:tcPr>
          <w:p w14:paraId="237220EB">
            <w:pPr>
              <w:spacing w:before="156" w:beforeLines="50" w:after="156" w:afterLines="50" w:line="240" w:lineRule="auto"/>
              <w:rPr>
                <w:rFonts w:hint="eastAsia" w:ascii="宋体" w:hAnsi="宋体" w:cs="宋体"/>
                <w:kern w:val="0"/>
                <w:sz w:val="24"/>
                <w:lang w:bidi="ar"/>
              </w:rPr>
            </w:pPr>
            <w:r>
              <w:rPr>
                <w:rFonts w:hint="eastAsia" w:ascii="宋体" w:hAnsi="宋体" w:cs="宋体"/>
                <w:kern w:val="0"/>
                <w:sz w:val="24"/>
                <w:lang w:bidi="ar"/>
              </w:rPr>
              <w:t>★1.规格：长900mm（±10mm）×宽500mm（±10mm）×高1850mm（±10mm）。颜色：</w:t>
            </w:r>
            <w:r>
              <w:rPr>
                <w:rFonts w:ascii="宋体" w:hAnsi="宋体" w:cs="宋体"/>
                <w:kern w:val="0"/>
                <w:sz w:val="24"/>
                <w:lang w:bidi="ar"/>
              </w:rPr>
              <w:t>白色及木纹色组合</w:t>
            </w:r>
            <w:r>
              <w:rPr>
                <w:rFonts w:hint="eastAsia" w:ascii="宋体" w:hAnsi="宋体" w:cs="宋体"/>
                <w:kern w:val="0"/>
                <w:sz w:val="24"/>
                <w:lang w:bidi="ar"/>
              </w:rPr>
              <w:t>。</w:t>
            </w:r>
          </w:p>
          <w:p w14:paraId="2E135CD8">
            <w:pPr>
              <w:spacing w:before="156" w:beforeLines="50" w:after="156" w:afterLines="50" w:line="240" w:lineRule="auto"/>
              <w:rPr>
                <w:rFonts w:hint="eastAsia" w:ascii="宋体" w:hAnsi="宋体" w:cs="宋体"/>
                <w:kern w:val="0"/>
                <w:sz w:val="24"/>
                <w:lang w:bidi="ar"/>
              </w:rPr>
            </w:pPr>
            <w:r>
              <w:rPr>
                <w:rFonts w:hint="eastAsia" w:ascii="宋体" w:hAnsi="宋体" w:cs="宋体"/>
                <w:kern w:val="0"/>
                <w:sz w:val="24"/>
                <w:lang w:bidi="ar"/>
              </w:rPr>
              <w:t>★2.更衣柜分为左右二门设计。柜内带有一个试衣镜；柜内一根挂衣杆，上下各一块层板；下部内空。柜体整体采用≥0.8mm厚冷轧钢板，经冲压、折弯、焊接成型,拆装式结构组装后结实耐用。柜门上角设置一个压型编号框，柜门下角设置透气孔。</w:t>
            </w:r>
          </w:p>
          <w:p w14:paraId="7D108B5E">
            <w:pPr>
              <w:spacing w:before="156" w:beforeLines="50" w:after="156" w:afterLines="50" w:line="240" w:lineRule="auto"/>
              <w:rPr>
                <w:rFonts w:hint="eastAsia" w:ascii="宋体" w:hAnsi="宋体" w:cs="宋体"/>
                <w:kern w:val="0"/>
                <w:sz w:val="24"/>
                <w:lang w:bidi="ar"/>
              </w:rPr>
            </w:pPr>
            <w:r>
              <w:rPr>
                <w:rFonts w:hint="eastAsia" w:ascii="宋体" w:hAnsi="宋体" w:cs="宋体"/>
                <w:kern w:val="0"/>
                <w:sz w:val="24"/>
                <w:lang w:bidi="ar"/>
              </w:rPr>
              <w:t>△ 3.扣手：采用梯形内嵌一体式钢制压型扣手，规格长≥200mm×宽33mm×深15mm、锁具为转鼻外挂锁，柜子底部带有塑料底脚，使柜体不直接接触地面防潮、防锈，外观：柜体表面采用环保塑粉静电喷塑高温固化。喷塑后柜体表面应无剥落、返锈、气泡、表面光洁、无划痕，无污渍，无明显色差。</w:t>
            </w:r>
          </w:p>
        </w:tc>
        <w:tc>
          <w:tcPr>
            <w:tcW w:w="439" w:type="pct"/>
            <w:noWrap w:val="0"/>
            <w:vAlign w:val="center"/>
          </w:tcPr>
          <w:p w14:paraId="17E1E6D6">
            <w:pPr>
              <w:spacing w:before="156" w:beforeLines="50" w:after="156" w:afterLines="50" w:line="276" w:lineRule="auto"/>
              <w:jc w:val="center"/>
              <w:rPr>
                <w:rFonts w:hint="eastAsia" w:ascii="宋体" w:hAnsi="宋体" w:cs="宋体"/>
                <w:kern w:val="0"/>
                <w:sz w:val="24"/>
              </w:rPr>
            </w:pPr>
            <w:r>
              <w:rPr>
                <w:rFonts w:hint="eastAsia" w:ascii="宋体" w:hAnsi="宋体"/>
                <w:sz w:val="24"/>
              </w:rPr>
              <w:t>九里眷诚斋、扬华斋，犀浦鸿哲斋</w:t>
            </w:r>
          </w:p>
        </w:tc>
      </w:tr>
      <w:tr w14:paraId="65F76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50" w:type="pct"/>
            <w:noWrap w:val="0"/>
            <w:vAlign w:val="center"/>
          </w:tcPr>
          <w:p w14:paraId="28A57169">
            <w:pPr>
              <w:widowControl/>
              <w:spacing w:after="0" w:line="240" w:lineRule="auto"/>
              <w:jc w:val="center"/>
              <w:textAlignment w:val="center"/>
              <w:rPr>
                <w:rFonts w:ascii="宋体" w:hAnsi="宋体"/>
                <w:b/>
                <w:sz w:val="24"/>
              </w:rPr>
            </w:pPr>
            <w:r>
              <w:rPr>
                <w:rFonts w:hint="eastAsia" w:ascii="宋体" w:hAnsi="宋体" w:cs="宋体"/>
                <w:kern w:val="0"/>
                <w:sz w:val="24"/>
                <w:lang w:bidi="ar"/>
              </w:rPr>
              <w:t>4</w:t>
            </w:r>
          </w:p>
        </w:tc>
        <w:tc>
          <w:tcPr>
            <w:tcW w:w="410" w:type="pct"/>
            <w:noWrap w:val="0"/>
            <w:vAlign w:val="center"/>
          </w:tcPr>
          <w:p w14:paraId="36BCFF1C">
            <w:pPr>
              <w:widowControl/>
              <w:spacing w:after="0" w:line="240" w:lineRule="auto"/>
              <w:jc w:val="center"/>
              <w:textAlignment w:val="center"/>
              <w:rPr>
                <w:rFonts w:ascii="宋体" w:hAnsi="宋体"/>
                <w:sz w:val="24"/>
              </w:rPr>
            </w:pPr>
            <w:r>
              <w:rPr>
                <w:rFonts w:hint="eastAsia" w:ascii="宋体" w:hAnsi="宋体" w:cs="宋体"/>
                <w:kern w:val="0"/>
                <w:sz w:val="24"/>
                <w:lang w:bidi="ar"/>
              </w:rPr>
              <w:t>学习椅</w:t>
            </w:r>
          </w:p>
        </w:tc>
        <w:tc>
          <w:tcPr>
            <w:tcW w:w="3899" w:type="pct"/>
            <w:noWrap w:val="0"/>
            <w:vAlign w:val="center"/>
          </w:tcPr>
          <w:p w14:paraId="646121F8">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★1.规格：宽度385mm（±10mm）×深度400mm（±10mm）×高度810mm（±10mm）颜色：</w:t>
            </w:r>
            <w:r>
              <w:rPr>
                <w:rFonts w:ascii="宋体" w:hAnsi="宋体" w:cs="宋体"/>
                <w:kern w:val="0"/>
                <w:sz w:val="24"/>
                <w:lang w:bidi="ar"/>
              </w:rPr>
              <w:t>白色及木纹色组合</w:t>
            </w:r>
            <w:r>
              <w:rPr>
                <w:rFonts w:hint="eastAsia" w:ascii="宋体" w:hAnsi="宋体" w:cs="宋体"/>
                <w:kern w:val="0"/>
                <w:sz w:val="24"/>
                <w:lang w:bidi="ar"/>
              </w:rPr>
              <w:t>。</w:t>
            </w:r>
          </w:p>
          <w:p w14:paraId="6E9003AE">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★2.钢架采用≥30mm×30mm钢管制作，材料壁厚≥1.0mm，横梁采用≥20mm×20mm钢管制作，材料壁厚≥1.0mm。</w:t>
            </w:r>
          </w:p>
          <w:p w14:paraId="78DAAB83">
            <w:pPr>
              <w:widowControl/>
              <w:spacing w:before="156" w:beforeLines="50" w:after="156" w:afterLines="50" w:line="240" w:lineRule="auto"/>
              <w:jc w:val="left"/>
              <w:textAlignment w:val="center"/>
              <w:rPr>
                <w:rFonts w:ascii="宋体" w:hAnsi="宋体"/>
                <w:sz w:val="24"/>
              </w:rPr>
            </w:pPr>
            <w:r>
              <w:rPr>
                <w:rFonts w:hint="eastAsia" w:ascii="宋体" w:hAnsi="宋体" w:cs="宋体"/>
                <w:kern w:val="0"/>
                <w:sz w:val="24"/>
                <w:lang w:bidi="ar"/>
              </w:rPr>
              <w:t>△ 3.坐板距地面≥430mm，坐板及靠板采用实木颗粒板外贴面板，成型厚度≥25mm。</w:t>
            </w:r>
          </w:p>
        </w:tc>
        <w:tc>
          <w:tcPr>
            <w:tcW w:w="439" w:type="pct"/>
            <w:noWrap w:val="0"/>
            <w:vAlign w:val="center"/>
          </w:tcPr>
          <w:p w14:paraId="22E3DFFB">
            <w:pPr>
              <w:widowControl/>
              <w:spacing w:after="0" w:line="240" w:lineRule="auto"/>
              <w:jc w:val="center"/>
              <w:textAlignment w:val="center"/>
              <w:rPr>
                <w:rFonts w:ascii="宋体" w:hAnsi="宋体"/>
                <w:sz w:val="24"/>
              </w:rPr>
            </w:pPr>
            <w:r>
              <w:rPr>
                <w:rFonts w:hint="eastAsia" w:ascii="宋体" w:hAnsi="宋体"/>
                <w:sz w:val="24"/>
              </w:rPr>
              <w:t>九里眷诚斋、扬华斋，犀浦鸿哲斋</w:t>
            </w:r>
          </w:p>
        </w:tc>
      </w:tr>
      <w:tr w14:paraId="20E58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50" w:type="pct"/>
            <w:noWrap w:val="0"/>
            <w:vAlign w:val="center"/>
          </w:tcPr>
          <w:p w14:paraId="54EA0AE8">
            <w:pPr>
              <w:widowControl/>
              <w:spacing w:after="0" w:line="240" w:lineRule="auto"/>
              <w:jc w:val="center"/>
              <w:textAlignment w:val="center"/>
              <w:rPr>
                <w:rFonts w:hint="eastAsia" w:ascii="宋体" w:hAnsi="宋体" w:cs="宋体"/>
                <w:kern w:val="0"/>
                <w:sz w:val="24"/>
                <w:lang w:bidi="ar"/>
              </w:rPr>
            </w:pPr>
            <w:r>
              <w:rPr>
                <w:rFonts w:hint="eastAsia" w:ascii="宋体" w:hAnsi="宋体"/>
                <w:sz w:val="24"/>
              </w:rPr>
              <w:t>5</w:t>
            </w:r>
          </w:p>
        </w:tc>
        <w:tc>
          <w:tcPr>
            <w:tcW w:w="410" w:type="pct"/>
            <w:noWrap w:val="0"/>
            <w:vAlign w:val="center"/>
          </w:tcPr>
          <w:p w14:paraId="7CC58556">
            <w:pPr>
              <w:widowControl/>
              <w:spacing w:after="0" w:line="240" w:lineRule="auto"/>
              <w:jc w:val="center"/>
              <w:textAlignment w:val="center"/>
              <w:rPr>
                <w:rFonts w:hint="eastAsia" w:ascii="宋体" w:hAnsi="宋体" w:cs="宋体"/>
                <w:kern w:val="0"/>
                <w:sz w:val="24"/>
                <w:lang w:bidi="ar"/>
              </w:rPr>
            </w:pPr>
            <w:r>
              <w:rPr>
                <w:rFonts w:hint="eastAsia" w:ascii="宋体" w:hAnsi="宋体" w:cs="宋体"/>
                <w:kern w:val="0"/>
                <w:sz w:val="24"/>
                <w:lang w:bidi="ar"/>
              </w:rPr>
              <w:t>定制单人公寓床（侧爬梯）</w:t>
            </w:r>
          </w:p>
        </w:tc>
        <w:tc>
          <w:tcPr>
            <w:tcW w:w="3899" w:type="pct"/>
            <w:noWrap w:val="0"/>
            <w:vAlign w:val="center"/>
          </w:tcPr>
          <w:p w14:paraId="04E010A4">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★1.规格：长2000mm（±10mm）×宽900mm（±10mm）×高1900mm（±10mm），颜色：</w:t>
            </w:r>
            <w:r>
              <w:rPr>
                <w:rFonts w:ascii="宋体" w:hAnsi="宋体" w:cs="宋体"/>
                <w:kern w:val="0"/>
                <w:sz w:val="24"/>
                <w:lang w:bidi="ar"/>
              </w:rPr>
              <w:t>白色及木纹色组合</w:t>
            </w:r>
            <w:r>
              <w:rPr>
                <w:rFonts w:hint="eastAsia" w:ascii="宋体" w:hAnsi="宋体" w:cs="宋体"/>
                <w:kern w:val="0"/>
                <w:sz w:val="24"/>
                <w:lang w:bidi="ar"/>
              </w:rPr>
              <w:t>。</w:t>
            </w:r>
          </w:p>
          <w:p w14:paraId="75616CA9">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2.边立柱：采用冷轧钢板经成型线轧制而成的全封闭对称钢管，成型尺寸≥65mm×65mm，材料壁厚≥1.2mm，立柱边长≥240mm，正面有两条流线压型加固，正视面压型宽度≥8.5mm，压型深度≥4.2mm，侧视面压型宽度≥9.5mm，压型深度≥3.2mm，床横梁连接面宽度≥44mm,立柱正面为外圆弧防碰撞设计。</w:t>
            </w:r>
          </w:p>
          <w:p w14:paraId="2EE2B6E8">
            <w:pPr>
              <w:widowControl/>
              <w:spacing w:before="156" w:beforeLines="50" w:after="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3.长横梁：采用冷轧钢板经成型线轧制而成闭口D型钢管，其立面为平行中空异形，成型尺寸≥87mm×43mm，材料壁厚≥1.2mm，床厅周长≥230mm，正面有三条流线压型，正视面压型宽度≥9mm，压型深度≥3.2mm。</w:t>
            </w:r>
          </w:p>
          <w:p w14:paraId="7FD8F361">
            <w:pPr>
              <w:widowControl/>
              <w:spacing w:before="156" w:beforeLines="50" w:after="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△4.床头护栏：上横梁采用≥25mm方管，下横梁≥25mm×50mm钢管，材料壁厚≥1.2mm。</w:t>
            </w:r>
          </w:p>
          <w:p w14:paraId="4D6009D0">
            <w:pPr>
              <w:rPr>
                <w:sz w:val="24"/>
              </w:rPr>
            </w:pPr>
            <w:r>
              <w:rPr>
                <w:rFonts w:hint="eastAsia" w:ascii="宋体" w:hAnsi="宋体" w:cs="宋体"/>
                <w:kern w:val="0"/>
                <w:sz w:val="24"/>
                <w:lang w:bidi="ar"/>
              </w:rPr>
              <w:t># 5.床前护栏：上横梁采用≥25mm方管，竖撑≥20mm钢管，材料壁厚≥1.2mm。</w:t>
            </w:r>
          </w:p>
          <w:p w14:paraId="05ED21AE">
            <w:pPr>
              <w:widowControl/>
              <w:spacing w:before="156" w:beforeLines="50" w:after="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6.爬梯：步梯为四步设计，钢架采用≥20mm×40mm×1.2mm椭圆钢管，脚踏板采用冷轧钢板经模压而成，成型尺寸≥380mm×95mm，材料壁厚≥1.5mm，前圆边处理，踏板上方防滑设计，带有ABS带夜光的塑料扣。</w:t>
            </w:r>
          </w:p>
          <w:p w14:paraId="64995D4B">
            <w:pPr>
              <w:widowControl/>
              <w:spacing w:before="156" w:beforeLines="50" w:after="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7.床撑：采用外形规格30mm×30mm×1.0mm高频焊接闭口型材管，管材截面为梯形，下部为圆弧。床撑数量≥5根，均匀分布，两端插入横梁内并配置全包围式ABS塑料静音套，床架安装成型后床撑无法拆卸，保证床架安全牢固。</w:t>
            </w:r>
          </w:p>
          <w:p w14:paraId="6B5FA3DF">
            <w:pPr>
              <w:widowControl/>
              <w:spacing w:before="156" w:beforeLines="50" w:after="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8.床板：采用≤8块杉木实木杉木板条，均匀排布，木条间缝隙小于8mm，四面刨光并倒棱，木板厚度≥15mm，经过烘干除虫处理，中间4根≥25mm×35mm 的木横撑固定，木撑表面刨光、光滑无毛刺，规格根据床实际内空大小定制，四周留空≤20mm，要求板材平整不变形。</w:t>
            </w:r>
          </w:p>
          <w:p w14:paraId="73A2BE5C">
            <w:pPr>
              <w:widowControl/>
              <w:spacing w:before="156" w:beforeLines="50" w:after="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9.蚊帐杆：框式蚊帐杆，≥φ19×1.0mm，配备升降调节装置，可调节高度为650-820mm。</w:t>
            </w:r>
          </w:p>
          <w:p w14:paraId="1DCB1752">
            <w:pPr>
              <w:widowControl/>
              <w:spacing w:before="156" w:beforeLines="50" w:after="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#10.塑料脚套：采用PP塑料一次性注塑成型，底部为外包脚套，高度≥50mm增强立柱底部涂层使用寿命。</w:t>
            </w:r>
          </w:p>
          <w:p w14:paraId="5293B098">
            <w:pPr>
              <w:widowControl/>
              <w:spacing w:before="156" w:beforeLines="50" w:after="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11.床垫：规格尺寸为</w:t>
            </w:r>
            <w:r>
              <w:rPr>
                <w:rFonts w:ascii="宋体" w:hAnsi="宋体" w:cs="宋体"/>
                <w:kern w:val="0"/>
                <w:sz w:val="24"/>
                <w:lang w:bidi="ar"/>
              </w:rPr>
              <w:t>长和宽与定制单人公寓床配套，偏差在床内径负3mm范围内；厚≥50mm</w:t>
            </w:r>
            <w:r>
              <w:rPr>
                <w:rFonts w:hint="eastAsia" w:ascii="宋体" w:hAnsi="宋体" w:cs="宋体"/>
                <w:kern w:val="0"/>
                <w:sz w:val="24"/>
                <w:lang w:bidi="ar"/>
              </w:rPr>
              <w:t>，床垫面料采用棉质针织布；棕床垫采用椰棕、纤维混合制成。</w:t>
            </w:r>
          </w:p>
          <w:p w14:paraId="7B8A60CF">
            <w:pPr>
              <w:widowControl/>
              <w:spacing w:before="156" w:beforeLines="50" w:after="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★12.组合柜：整体规格：宽1860mm（±10mm）×深800mm（±10mm）×高1490mm（±10mm）。</w:t>
            </w:r>
          </w:p>
          <w:p w14:paraId="769A3811">
            <w:pPr>
              <w:widowControl/>
              <w:spacing w:before="156" w:beforeLines="50" w:after="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13.底部组合柜设计为三扇单开门设计，采用≥0.8mm冷轧钢板制作而成，最左侧单开门内衣部为一块可任意调节高低层板，内部一根铝合金挂衣杆，门板带有一小镜；中间单开门内部设计两块层板，可任意调节高低，底部可放置行李箱；右侧储物柜内部为四块层板，可任意调节高低；组合柜正前方无任何阻挡，不影响所有柜门开启。</w:t>
            </w:r>
          </w:p>
          <w:p w14:paraId="6CC81B2E">
            <w:pPr>
              <w:widowControl/>
              <w:spacing w:before="156" w:beforeLines="50" w:after="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14.扣手：采用梯形内嵌一体式钢制压型扣手，规格长≥200mm×宽33mm×深15mm、锁具为转鼻外挂锁，柜子底部带有塑料地脚。</w:t>
            </w:r>
          </w:p>
        </w:tc>
        <w:tc>
          <w:tcPr>
            <w:tcW w:w="439" w:type="pct"/>
            <w:noWrap w:val="0"/>
            <w:vAlign w:val="center"/>
          </w:tcPr>
          <w:p w14:paraId="02456F2F">
            <w:pPr>
              <w:widowControl/>
              <w:spacing w:after="0" w:line="240" w:lineRule="auto"/>
              <w:jc w:val="center"/>
              <w:textAlignment w:val="center"/>
              <w:rPr>
                <w:rFonts w:hint="eastAsia" w:ascii="宋体" w:hAnsi="宋体" w:cs="宋体"/>
                <w:kern w:val="0"/>
                <w:sz w:val="24"/>
                <w:lang w:bidi="ar"/>
              </w:rPr>
            </w:pPr>
            <w:r>
              <w:rPr>
                <w:rFonts w:hint="eastAsia" w:ascii="宋体" w:hAnsi="宋体" w:cs="宋体"/>
                <w:kern w:val="0"/>
                <w:sz w:val="24"/>
                <w:lang w:bidi="ar"/>
              </w:rPr>
              <w:t>九里</w:t>
            </w:r>
            <w:r>
              <w:rPr>
                <w:rFonts w:hint="eastAsia" w:ascii="宋体" w:hAnsi="宋体"/>
                <w:sz w:val="24"/>
              </w:rPr>
              <w:t>扬</w:t>
            </w:r>
            <w:r>
              <w:rPr>
                <w:rFonts w:hint="eastAsia" w:ascii="宋体" w:hAnsi="宋体" w:cs="宋体"/>
                <w:kern w:val="0"/>
                <w:sz w:val="24"/>
                <w:lang w:bidi="ar"/>
              </w:rPr>
              <w:t>华斋</w:t>
            </w:r>
          </w:p>
        </w:tc>
      </w:tr>
      <w:tr w14:paraId="4E381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50" w:type="pct"/>
            <w:noWrap w:val="0"/>
            <w:vAlign w:val="center"/>
          </w:tcPr>
          <w:p w14:paraId="66130E83">
            <w:pPr>
              <w:spacing w:before="156" w:beforeLines="50" w:after="156" w:afterLines="50" w:line="276" w:lineRule="auto"/>
              <w:jc w:val="center"/>
              <w:rPr>
                <w:rFonts w:hint="eastAsia" w:ascii="宋体" w:hAnsi="宋体" w:cs="宋体"/>
                <w:kern w:val="0"/>
                <w:sz w:val="24"/>
                <w:lang w:bidi="ar"/>
              </w:rPr>
            </w:pPr>
            <w:r>
              <w:rPr>
                <w:rFonts w:hint="eastAsia" w:ascii="宋体" w:hAnsi="宋体"/>
                <w:bCs/>
                <w:sz w:val="24"/>
              </w:rPr>
              <w:t>6</w:t>
            </w:r>
          </w:p>
        </w:tc>
        <w:tc>
          <w:tcPr>
            <w:tcW w:w="410" w:type="pct"/>
            <w:noWrap w:val="0"/>
            <w:vAlign w:val="center"/>
          </w:tcPr>
          <w:p w14:paraId="4AAC64C5">
            <w:pPr>
              <w:widowControl/>
              <w:spacing w:after="0" w:line="276" w:lineRule="auto"/>
              <w:jc w:val="center"/>
              <w:textAlignment w:val="center"/>
              <w:rPr>
                <w:rFonts w:hint="eastAsia" w:ascii="宋体" w:hAnsi="宋体" w:cs="宋体"/>
                <w:kern w:val="0"/>
                <w:sz w:val="24"/>
                <w:lang w:bidi="ar"/>
              </w:rPr>
            </w:pPr>
            <w:r>
              <w:rPr>
                <w:rFonts w:hint="eastAsia" w:ascii="宋体" w:hAnsi="宋体" w:cs="宋体"/>
                <w:kern w:val="0"/>
                <w:sz w:val="24"/>
                <w:lang w:bidi="ar"/>
              </w:rPr>
              <w:t>两人位公寓床</w:t>
            </w:r>
          </w:p>
        </w:tc>
        <w:tc>
          <w:tcPr>
            <w:tcW w:w="3899" w:type="pct"/>
            <w:noWrap w:val="0"/>
            <w:vAlign w:val="center"/>
          </w:tcPr>
          <w:p w14:paraId="301C3C7A">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1.规格：长2000mm（±10mm）×宽900mm（±10mm）×高2100mm （±10mm）</w:t>
            </w:r>
            <w:r>
              <w:rPr>
                <w:rFonts w:hint="eastAsia"/>
                <w:sz w:val="24"/>
              </w:rPr>
              <w:t>，</w:t>
            </w:r>
            <w:r>
              <w:rPr>
                <w:rFonts w:hint="eastAsia" w:ascii="宋体" w:hAnsi="宋体" w:cs="宋体"/>
                <w:kern w:val="0"/>
                <w:sz w:val="24"/>
                <w:lang w:bidi="ar"/>
              </w:rPr>
              <w:t>颜色为</w:t>
            </w:r>
            <w:r>
              <w:rPr>
                <w:rFonts w:ascii="宋体" w:hAnsi="宋体" w:cs="宋体"/>
                <w:kern w:val="0"/>
                <w:sz w:val="24"/>
                <w:lang w:bidi="ar"/>
              </w:rPr>
              <w:t>白色及木纹色组合</w:t>
            </w:r>
            <w:r>
              <w:rPr>
                <w:rFonts w:hint="eastAsia" w:ascii="宋体" w:hAnsi="宋体" w:cs="宋体"/>
                <w:kern w:val="0"/>
                <w:sz w:val="24"/>
                <w:lang w:bidi="ar"/>
              </w:rPr>
              <w:t>。</w:t>
            </w:r>
          </w:p>
          <w:p w14:paraId="0ADEB10E">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2.边立柱：采用冷轧钢板经成型线轧制而成的全封闭对称钢管，成型尺寸≥65mm×65mm，材料壁厚≥1.2mm，立柱边长≥240mm，正面有两条流线压型加固，正视面压型宽度≥8.5mm，压型深度≥4.2mm，侧视面压型宽度≥9.5mm，压型深度≥3.2mm，床横梁连接面宽度≥44mm,立柱正面为外圆弧防碰撞设计。</w:t>
            </w:r>
          </w:p>
          <w:p w14:paraId="7A12A4A0">
            <w:pPr>
              <w:widowControl/>
              <w:spacing w:before="156" w:beforeLines="50" w:after="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3.长横梁：采用冷轧钢板经成型线轧制而成闭口D型钢管，其立面为平行中空异形，成型尺寸≥87mm×43mm，材料壁厚≥1.2mm，床厅周长≥230mm，正面有三条流线压型，正视面压型宽度≥9mm，压型深度≥3.2mm。</w:t>
            </w:r>
          </w:p>
          <w:p w14:paraId="720D2EB5">
            <w:pPr>
              <w:widowControl/>
              <w:spacing w:before="156" w:beforeLines="50" w:after="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△4.床头护栏：上横梁采用≥25mm方管，下横梁≥25mm×50mm钢管，材料壁厚≥1.2mm。</w:t>
            </w:r>
          </w:p>
          <w:p w14:paraId="3DB55F57">
            <w:pPr>
              <w:widowControl/>
              <w:spacing w:before="156" w:beforeLines="50" w:after="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△5.床前护栏：上横梁采用≥25mm方管，竖撑≥20mm钢管，材料壁厚≥1.2mm。护栏底部带有封板，封板采用双层扣压式设计，采用≥0.7mm冷轧钢板制作而成。</w:t>
            </w:r>
          </w:p>
          <w:p w14:paraId="61C33813">
            <w:pPr>
              <w:widowControl/>
              <w:spacing w:before="156" w:beforeLines="50" w:after="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6.床撑：采用外形规格≥30mm×30mm×1.0mm高频焊接闭口型材管，管材截面为梯形，下部为圆弧。床撑数量≥5根，均匀分布，两端插入横梁内并配置全包围式ABS塑料静音套，床架安装成型后床撑无法拆卸，保证床架安全牢固。</w:t>
            </w:r>
          </w:p>
          <w:p w14:paraId="2B439885">
            <w:pPr>
              <w:widowControl/>
              <w:spacing w:before="156" w:beforeLines="50" w:after="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7.床板：采用≤8块杉木实木杉木板条，均匀排布，木条间缝隙小于8mm，四面刨光并倒棱，木板厚度≥15mm，经过烘干除虫处理，中间4根≥25mm×35mm 的木横撑固定，木撑表面刨光、光滑无毛刺，规格根据床实际内空大小定制，四周留空≤20mm，要求板材平整不变形。</w:t>
            </w:r>
          </w:p>
          <w:p w14:paraId="550A4B6B">
            <w:pPr>
              <w:widowControl/>
              <w:spacing w:before="156" w:beforeLines="50" w:after="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8.蚊帐杆：框式蚊帐杆，≥φ19×1.0mm，配备升降调节装置，可调节高度为650-820mm。</w:t>
            </w:r>
          </w:p>
          <w:p w14:paraId="59EEB43A">
            <w:pPr>
              <w:widowControl/>
              <w:spacing w:before="156" w:beforeLines="50" w:after="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9.鞋架：采用≥20mm×20mm×1.0mm钢管与≥20mm×10mm×1.0mm制作而成，与床立柱固定连接。</w:t>
            </w:r>
          </w:p>
          <w:p w14:paraId="5311624E">
            <w:pPr>
              <w:widowControl/>
              <w:spacing w:before="156" w:beforeLines="50" w:after="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10.塑料脚套：采用PP塑料一次性注塑成型，底部为外包脚套，高度≥50mm增强立柱底部涂层使用寿命。</w:t>
            </w:r>
          </w:p>
          <w:p w14:paraId="094731B4">
            <w:pPr>
              <w:widowControl/>
              <w:spacing w:before="156" w:beforeLines="50" w:after="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△11.床垫：规格尺寸为</w:t>
            </w:r>
            <w:r>
              <w:rPr>
                <w:rFonts w:ascii="宋体" w:hAnsi="宋体" w:cs="宋体"/>
                <w:kern w:val="0"/>
                <w:sz w:val="24"/>
                <w:lang w:bidi="ar"/>
              </w:rPr>
              <w:t>长和宽与</w:t>
            </w:r>
            <w:r>
              <w:rPr>
                <w:rFonts w:hint="eastAsia" w:ascii="宋体" w:hAnsi="宋体" w:cs="宋体"/>
                <w:kern w:val="0"/>
                <w:sz w:val="24"/>
                <w:lang w:bidi="ar"/>
              </w:rPr>
              <w:t>两人位公寓床</w:t>
            </w:r>
            <w:r>
              <w:rPr>
                <w:rFonts w:ascii="宋体" w:hAnsi="宋体" w:cs="宋体"/>
                <w:kern w:val="0"/>
                <w:sz w:val="24"/>
                <w:lang w:bidi="ar"/>
              </w:rPr>
              <w:t>配套，偏差在床内径负3mm范围内；厚≥50mm</w:t>
            </w:r>
            <w:r>
              <w:rPr>
                <w:rFonts w:hint="eastAsia" w:ascii="宋体" w:hAnsi="宋体" w:cs="宋体"/>
                <w:kern w:val="0"/>
                <w:sz w:val="24"/>
                <w:lang w:bidi="ar"/>
              </w:rPr>
              <w:t>，床垫面料采用棉质针织布；棕床垫采用椰棕、纤维混合制成。</w:t>
            </w:r>
          </w:p>
        </w:tc>
        <w:tc>
          <w:tcPr>
            <w:tcW w:w="439" w:type="pct"/>
            <w:noWrap w:val="0"/>
            <w:vAlign w:val="center"/>
          </w:tcPr>
          <w:p w14:paraId="6F6807E8">
            <w:pPr>
              <w:spacing w:before="156" w:beforeLines="50" w:after="156" w:afterLines="50" w:line="276" w:lineRule="auto"/>
              <w:jc w:val="center"/>
              <w:rPr>
                <w:rFonts w:hint="eastAsia" w:ascii="宋体" w:hAnsi="宋体" w:cs="宋体"/>
                <w:kern w:val="0"/>
                <w:sz w:val="24"/>
                <w:lang w:bidi="ar"/>
              </w:rPr>
            </w:pPr>
            <w:r>
              <w:rPr>
                <w:rFonts w:hint="eastAsia" w:ascii="宋体" w:hAnsi="宋体" w:cs="宋体"/>
                <w:kern w:val="0"/>
                <w:sz w:val="24"/>
              </w:rPr>
              <w:t>九里眷诚斋</w:t>
            </w:r>
          </w:p>
        </w:tc>
      </w:tr>
      <w:tr w14:paraId="699D9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50" w:type="pct"/>
            <w:noWrap w:val="0"/>
            <w:vAlign w:val="center"/>
          </w:tcPr>
          <w:p w14:paraId="5F5F547F">
            <w:pPr>
              <w:spacing w:before="156" w:beforeLines="50" w:after="156" w:afterLines="50" w:line="276" w:lineRule="auto"/>
              <w:jc w:val="center"/>
              <w:rPr>
                <w:rFonts w:hint="eastAsia" w:ascii="宋体" w:hAnsi="宋体" w:cs="宋体"/>
                <w:kern w:val="0"/>
                <w:sz w:val="24"/>
                <w:lang w:bidi="ar"/>
              </w:rPr>
            </w:pPr>
            <w:r>
              <w:rPr>
                <w:rFonts w:hint="eastAsia" w:ascii="宋体" w:hAnsi="宋体"/>
                <w:bCs/>
                <w:sz w:val="24"/>
              </w:rPr>
              <w:t>7</w:t>
            </w:r>
          </w:p>
        </w:tc>
        <w:tc>
          <w:tcPr>
            <w:tcW w:w="410" w:type="pct"/>
            <w:noWrap w:val="0"/>
            <w:vAlign w:val="center"/>
          </w:tcPr>
          <w:p w14:paraId="75214412">
            <w:pPr>
              <w:widowControl/>
              <w:spacing w:after="0" w:line="276" w:lineRule="auto"/>
              <w:jc w:val="center"/>
              <w:textAlignment w:val="center"/>
              <w:rPr>
                <w:rFonts w:hint="eastAsia" w:ascii="宋体" w:hAnsi="宋体" w:cs="宋体"/>
                <w:kern w:val="0"/>
                <w:sz w:val="24"/>
                <w:lang w:bidi="ar"/>
              </w:rPr>
            </w:pPr>
            <w:r>
              <w:rPr>
                <w:rFonts w:hint="eastAsia" w:ascii="宋体" w:hAnsi="宋体" w:cs="宋体"/>
                <w:kern w:val="0"/>
                <w:sz w:val="24"/>
                <w:lang w:bidi="ar"/>
              </w:rPr>
              <w:t>上床下柜</w:t>
            </w:r>
          </w:p>
        </w:tc>
        <w:tc>
          <w:tcPr>
            <w:tcW w:w="3899" w:type="pct"/>
            <w:noWrap w:val="0"/>
            <w:vAlign w:val="center"/>
          </w:tcPr>
          <w:p w14:paraId="6D66F98F">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★1.规格：长2500mm</w:t>
            </w:r>
            <w:r>
              <w:rPr>
                <w:rFonts w:hint="eastAsia"/>
                <w:sz w:val="24"/>
              </w:rPr>
              <w:t>（</w:t>
            </w:r>
            <w:r>
              <w:rPr>
                <w:rFonts w:hint="eastAsia" w:ascii="宋体" w:hAnsi="宋体" w:cs="宋体"/>
                <w:kern w:val="0"/>
                <w:sz w:val="24"/>
                <w:lang w:bidi="ar"/>
              </w:rPr>
              <w:t>±10mm）×宽900mm</w:t>
            </w:r>
            <w:r>
              <w:rPr>
                <w:rFonts w:hint="eastAsia"/>
                <w:sz w:val="24"/>
              </w:rPr>
              <w:t>（</w:t>
            </w:r>
            <w:r>
              <w:rPr>
                <w:rFonts w:hint="eastAsia" w:ascii="宋体" w:hAnsi="宋体" w:cs="宋体"/>
                <w:kern w:val="0"/>
                <w:sz w:val="24"/>
                <w:lang w:bidi="ar"/>
              </w:rPr>
              <w:t>±10mm）×高2100mm</w:t>
            </w:r>
            <w:r>
              <w:rPr>
                <w:rFonts w:hint="eastAsia"/>
                <w:sz w:val="24"/>
              </w:rPr>
              <w:t>（</w:t>
            </w:r>
            <w:r>
              <w:rPr>
                <w:rFonts w:hint="eastAsia" w:ascii="宋体" w:hAnsi="宋体" w:cs="宋体"/>
                <w:kern w:val="0"/>
                <w:sz w:val="24"/>
                <w:lang w:bidi="ar"/>
              </w:rPr>
              <w:t>±10mm） 颜色为</w:t>
            </w:r>
            <w:r>
              <w:rPr>
                <w:rFonts w:ascii="宋体" w:hAnsi="宋体" w:cs="宋体"/>
                <w:kern w:val="0"/>
                <w:sz w:val="24"/>
                <w:lang w:bidi="ar"/>
              </w:rPr>
              <w:t>白色及木纹色组合</w:t>
            </w:r>
            <w:r>
              <w:rPr>
                <w:rFonts w:hint="eastAsia" w:ascii="宋体" w:hAnsi="宋体" w:cs="宋体"/>
                <w:kern w:val="0"/>
                <w:sz w:val="24"/>
                <w:lang w:bidi="ar"/>
              </w:rPr>
              <w:t>。</w:t>
            </w:r>
          </w:p>
          <w:p w14:paraId="53C01478">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2.边立柱：采用冷轧钢板经成型线轧制而成的全封闭对称钢管，成型尺寸≥65mm×65mm，材料壁厚≥1.2mm，立柱边长≥240mm，正面有两条流线压型加固，正视面压型宽度≥8.5mm，压型深度≥4.2mm，侧视面压型宽度≥9.5mm，压型深度≥3.2mm，床横梁连接面宽度≥44mm,立柱正面为外圆弧防碰撞设计。</w:t>
            </w:r>
          </w:p>
          <w:p w14:paraId="3F36B4F1">
            <w:pPr>
              <w:widowControl/>
              <w:spacing w:before="156" w:beforeLines="50" w:after="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3.长横梁：采用冷轧钢板经成型线轧制而成闭口D型钢管，其立面为平行中空异形，成型尺寸≥87mm×43mm，材料壁厚≥1.2mm，床厅周长≥230mm，正面有三条流线压型，正视面压型宽度≥9mm，压型深度≥3.2mm。</w:t>
            </w:r>
          </w:p>
          <w:p w14:paraId="52BEC1D2">
            <w:pPr>
              <w:widowControl/>
              <w:spacing w:before="156" w:beforeLines="50" w:after="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4.床头护栏：上横梁采用≥25mm方管，下横梁≥25mm×50mm钢管，材料壁厚≥1.2mm。</w:t>
            </w:r>
          </w:p>
          <w:p w14:paraId="693C43BA">
            <w:pPr>
              <w:widowControl/>
              <w:spacing w:before="156" w:beforeLines="50" w:after="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5.床前护栏：上横梁采用≥25mm方管，竖撑≥20mm钢管，材料壁厚≥1.2mm。护栏底部带有封板，封板采用双层扣压式设计，采用≥0.7mm冷轧钢板制作而成。</w:t>
            </w:r>
          </w:p>
          <w:p w14:paraId="60D11783">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6.步梯柜：步梯为四步设计，步梯柜为上开门带磁吸设计，脚踏板采用冷轧钢板经模压而成，材料壁厚≥1.5mm，规格为：长500mm×宽200mm（±5mm），前圆边处理，踏板设计压型筋加固，镶嵌ABS带夜光的塑料防滑块，尺寸为长400mm×宽50mm（±5mm），与踏板紧密贴合无外翘。 底部带塑料底脚。踏步底部设有加强筋，增强整体承重；梯柜整体选用≥0.7mm冷轧钢板制作而成，左右两侧为一体成型无接缝。规格≥高1340mm×宽500mm×840mm。</w:t>
            </w:r>
          </w:p>
          <w:p w14:paraId="5EE1FA67">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7.床撑：采用外形规格≥30mm×30mm×1.0mm高频焊接闭口型材管，管材截面为梯形，下部为圆弧。床撑数量≥5根，均匀分布，两端插入横梁内并配置全包围式ABS塑料静音套，床架安装成型后床撑无法拆卸，保证床架安全牢固。</w:t>
            </w:r>
          </w:p>
          <w:p w14:paraId="565825F1">
            <w:pPr>
              <w:widowControl/>
              <w:spacing w:before="156" w:beforeLines="50" w:after="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8.床板：采用≤8块杉木实木杉木板条，均匀排布，木条间缝隙小于8mm，四面刨光并倒棱，木板厚度≥15mm，经过烘干除虫处理，中间4根≥25mm×35mm 的木横撑固定，木撑表面刨光、光滑无毛刺，规格根据床实际内空大小定制，四周留空≤20mm，要求板材平整不变形。</w:t>
            </w:r>
          </w:p>
          <w:p w14:paraId="080ADB2E">
            <w:pPr>
              <w:widowControl/>
              <w:spacing w:before="156" w:beforeLines="50" w:after="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9.蚊帐杆：框式蚊帐杆，≥φ19×1.0mm，配备升降调节装置，可调节高度为650-820mm。</w:t>
            </w:r>
          </w:p>
          <w:p w14:paraId="076F0255">
            <w:pPr>
              <w:widowControl/>
              <w:spacing w:before="156" w:beforeLines="50" w:after="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10.塑料脚套：采用PP塑料一次性注塑成型，底部为外包脚套，高度≥50mm增强立柱底部涂层使用寿命。</w:t>
            </w:r>
          </w:p>
          <w:p w14:paraId="7DBE1ED4">
            <w:pPr>
              <w:widowControl/>
              <w:spacing w:before="156" w:beforeLines="50" w:after="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11.床垫：规格尺寸为</w:t>
            </w:r>
            <w:r>
              <w:rPr>
                <w:rFonts w:ascii="宋体" w:hAnsi="宋体" w:cs="宋体"/>
                <w:kern w:val="0"/>
                <w:sz w:val="24"/>
                <w:lang w:bidi="ar"/>
              </w:rPr>
              <w:t>长和宽与</w:t>
            </w:r>
            <w:r>
              <w:rPr>
                <w:rFonts w:hint="eastAsia" w:ascii="宋体" w:hAnsi="宋体" w:cs="宋体"/>
                <w:kern w:val="0"/>
                <w:sz w:val="24"/>
                <w:lang w:bidi="ar"/>
              </w:rPr>
              <w:t>上床</w:t>
            </w:r>
            <w:r>
              <w:rPr>
                <w:rFonts w:ascii="宋体" w:hAnsi="宋体" w:cs="宋体"/>
                <w:kern w:val="0"/>
                <w:sz w:val="24"/>
                <w:lang w:bidi="ar"/>
              </w:rPr>
              <w:t>配套，偏差在床内径负3mm范围内；厚≥50mm</w:t>
            </w:r>
            <w:r>
              <w:rPr>
                <w:rFonts w:hint="eastAsia" w:ascii="宋体" w:hAnsi="宋体" w:cs="宋体"/>
                <w:kern w:val="0"/>
                <w:sz w:val="24"/>
                <w:lang w:bidi="ar"/>
              </w:rPr>
              <w:t>，床垫面料采用棉质针织布;棕床垫采用椰棕、纤维混合制成。</w:t>
            </w:r>
          </w:p>
          <w:p w14:paraId="7A266FA4">
            <w:pPr>
              <w:widowControl/>
              <w:spacing w:before="156" w:beforeLines="50" w:after="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★12.组合柜：整体规格：宽1860mm</w:t>
            </w:r>
            <w:r>
              <w:rPr>
                <w:rFonts w:hint="eastAsia"/>
                <w:sz w:val="24"/>
              </w:rPr>
              <w:t>（</w:t>
            </w:r>
            <w:r>
              <w:rPr>
                <w:rFonts w:hint="eastAsia" w:ascii="宋体" w:hAnsi="宋体" w:cs="宋体"/>
                <w:kern w:val="0"/>
                <w:sz w:val="24"/>
                <w:lang w:bidi="ar"/>
              </w:rPr>
              <w:t>±10mm）×深800mm</w:t>
            </w:r>
            <w:r>
              <w:rPr>
                <w:rFonts w:hint="eastAsia"/>
                <w:sz w:val="24"/>
              </w:rPr>
              <w:t>（</w:t>
            </w:r>
            <w:r>
              <w:rPr>
                <w:rFonts w:hint="eastAsia" w:ascii="宋体" w:hAnsi="宋体" w:cs="宋体"/>
                <w:kern w:val="0"/>
                <w:sz w:val="24"/>
                <w:lang w:bidi="ar"/>
              </w:rPr>
              <w:t>±10mm）×高1690mm</w:t>
            </w:r>
            <w:r>
              <w:rPr>
                <w:rFonts w:hint="eastAsia"/>
                <w:sz w:val="24"/>
              </w:rPr>
              <w:t>（</w:t>
            </w:r>
            <w:r>
              <w:rPr>
                <w:rFonts w:hint="eastAsia" w:ascii="宋体" w:hAnsi="宋体" w:cs="宋体"/>
                <w:kern w:val="0"/>
                <w:sz w:val="24"/>
                <w:lang w:bidi="ar"/>
              </w:rPr>
              <w:t>±10mm）。</w:t>
            </w:r>
          </w:p>
          <w:p w14:paraId="7815664B">
            <w:pPr>
              <w:widowControl/>
              <w:spacing w:before="156" w:beforeLines="50" w:after="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13.底部组合柜设计为三开门设计，采用≥0.8mm冷轧钢板制作而成，最左侧单开门内衣部为一块层板，内部一根铝合金挂衣杆，门板带有一小镜。中间单开门内部设计两块可调节层板，底部可放置行李箱，右侧储物柜内部为四块可根据现场情况调节层板。</w:t>
            </w:r>
          </w:p>
          <w:p w14:paraId="7E7BFAEE">
            <w:pPr>
              <w:widowControl/>
              <w:spacing w:before="156" w:beforeLines="50" w:after="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△14.扣手：采用梯形内嵌一体式钢制压型扣手，规格长≥200mm×宽33mm×深15mm、锁具为转鼻外挂锁，柜子底部带有塑料地脚，使柜体不直接接触地面防潮、防锈，外观：柜体表面采用环保塑粉静电喷塑高温固化。</w:t>
            </w:r>
          </w:p>
        </w:tc>
        <w:tc>
          <w:tcPr>
            <w:tcW w:w="439" w:type="pct"/>
            <w:noWrap w:val="0"/>
            <w:vAlign w:val="center"/>
          </w:tcPr>
          <w:p w14:paraId="5053F52D">
            <w:pPr>
              <w:spacing w:before="156" w:beforeLines="50" w:after="156" w:afterLines="50" w:line="276" w:lineRule="auto"/>
              <w:jc w:val="center"/>
              <w:rPr>
                <w:rFonts w:hint="eastAsia" w:ascii="宋体" w:hAnsi="宋体" w:cs="宋体"/>
                <w:kern w:val="0"/>
                <w:sz w:val="24"/>
                <w:lang w:bidi="ar"/>
              </w:rPr>
            </w:pPr>
            <w:r>
              <w:rPr>
                <w:rFonts w:hint="eastAsia" w:ascii="宋体" w:hAnsi="宋体" w:cs="宋体"/>
                <w:kern w:val="0"/>
                <w:sz w:val="24"/>
              </w:rPr>
              <w:t>九里眷诚斋</w:t>
            </w:r>
          </w:p>
        </w:tc>
      </w:tr>
      <w:tr w14:paraId="380A1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0" w:type="pct"/>
            <w:noWrap w:val="0"/>
            <w:vAlign w:val="center"/>
          </w:tcPr>
          <w:p w14:paraId="6687079A">
            <w:pPr>
              <w:widowControl/>
              <w:spacing w:after="0" w:line="240" w:lineRule="auto"/>
              <w:jc w:val="center"/>
              <w:textAlignment w:val="center"/>
              <w:rPr>
                <w:rFonts w:hint="eastAsia" w:ascii="宋体" w:hAnsi="宋体" w:cs="宋体"/>
                <w:kern w:val="0"/>
                <w:sz w:val="24"/>
                <w:lang w:bidi="ar"/>
              </w:rPr>
            </w:pPr>
            <w:r>
              <w:rPr>
                <w:rFonts w:hint="eastAsia" w:ascii="宋体" w:hAnsi="宋体" w:cs="宋体"/>
                <w:kern w:val="0"/>
                <w:sz w:val="24"/>
                <w:lang w:bidi="ar"/>
              </w:rPr>
              <w:t>8</w:t>
            </w:r>
          </w:p>
        </w:tc>
        <w:tc>
          <w:tcPr>
            <w:tcW w:w="410" w:type="pct"/>
            <w:noWrap w:val="0"/>
            <w:vAlign w:val="center"/>
          </w:tcPr>
          <w:p w14:paraId="4BEE4D61">
            <w:pPr>
              <w:widowControl/>
              <w:spacing w:after="0" w:line="240" w:lineRule="auto"/>
              <w:jc w:val="center"/>
              <w:textAlignment w:val="center"/>
              <w:rPr>
                <w:rFonts w:hint="eastAsia" w:ascii="宋体" w:hAnsi="宋体" w:cs="宋体"/>
                <w:kern w:val="0"/>
                <w:sz w:val="24"/>
                <w:lang w:bidi="ar"/>
              </w:rPr>
            </w:pPr>
            <w:r>
              <w:rPr>
                <w:rFonts w:hint="eastAsia" w:ascii="宋体" w:hAnsi="宋体" w:cs="宋体"/>
                <w:kern w:val="0"/>
                <w:sz w:val="24"/>
                <w:lang w:bidi="ar"/>
              </w:rPr>
              <w:t>单人床</w:t>
            </w:r>
          </w:p>
        </w:tc>
        <w:tc>
          <w:tcPr>
            <w:tcW w:w="3899" w:type="pct"/>
            <w:noWrap w:val="0"/>
            <w:vAlign w:val="center"/>
          </w:tcPr>
          <w:p w14:paraId="0A831FAE">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rPr>
              <w:t>★</w:t>
            </w:r>
            <w:r>
              <w:rPr>
                <w:rFonts w:hint="eastAsia" w:ascii="宋体" w:hAnsi="宋体" w:cs="宋体"/>
                <w:kern w:val="0"/>
                <w:sz w:val="24"/>
                <w:lang w:bidi="ar"/>
              </w:rPr>
              <w:t>1.规格：长2000mm</w:t>
            </w:r>
            <w:r>
              <w:rPr>
                <w:rFonts w:hint="eastAsia"/>
                <w:sz w:val="24"/>
              </w:rPr>
              <w:t>（</w:t>
            </w:r>
            <w:r>
              <w:rPr>
                <w:rFonts w:hint="eastAsia" w:ascii="宋体" w:hAnsi="宋体" w:cs="宋体"/>
                <w:kern w:val="0"/>
                <w:sz w:val="24"/>
                <w:lang w:bidi="ar"/>
              </w:rPr>
              <w:t>±10mm）×宽900mm</w:t>
            </w:r>
            <w:r>
              <w:rPr>
                <w:rFonts w:hint="eastAsia"/>
                <w:sz w:val="24"/>
              </w:rPr>
              <w:t>（</w:t>
            </w:r>
            <w:r>
              <w:rPr>
                <w:rFonts w:hint="eastAsia" w:ascii="宋体" w:hAnsi="宋体" w:cs="宋体"/>
                <w:kern w:val="0"/>
                <w:sz w:val="24"/>
                <w:lang w:bidi="ar"/>
              </w:rPr>
              <w:t>±10mm）×高810mm</w:t>
            </w:r>
            <w:r>
              <w:rPr>
                <w:rFonts w:hint="eastAsia"/>
                <w:sz w:val="24"/>
              </w:rPr>
              <w:t>（</w:t>
            </w:r>
            <w:r>
              <w:rPr>
                <w:rFonts w:hint="eastAsia" w:ascii="宋体" w:hAnsi="宋体" w:cs="宋体"/>
                <w:kern w:val="0"/>
                <w:sz w:val="24"/>
                <w:lang w:bidi="ar"/>
              </w:rPr>
              <w:t>±10mm）。</w:t>
            </w:r>
          </w:p>
          <w:p w14:paraId="5A2BF5A7">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rPr>
              <w:t xml:space="preserve"># </w:t>
            </w:r>
            <w:r>
              <w:rPr>
                <w:rFonts w:hint="eastAsia" w:ascii="宋体" w:hAnsi="宋体" w:cs="宋体"/>
                <w:kern w:val="0"/>
                <w:sz w:val="24"/>
                <w:lang w:bidi="ar"/>
              </w:rPr>
              <w:t>2.边立柱：采用冷轧钢板经成型线轧制而成的全封闭对称钢管，成型尺寸≥65mm×65mm</w:t>
            </w:r>
            <w:r>
              <w:rPr>
                <w:rFonts w:hint="eastAsia" w:ascii="宋体" w:hAnsi="宋体" w:cs="宋体"/>
                <w:kern w:val="0"/>
                <w:szCs w:val="21"/>
                <w:lang w:bidi="ar"/>
              </w:rPr>
              <w:t>，材料壁厚≥1.2mm，立柱边长≥240mm，正面有两条流线压型加固，</w:t>
            </w:r>
            <w:r>
              <w:rPr>
                <w:rFonts w:hint="eastAsia" w:ascii="宋体" w:hAnsi="宋体" w:cs="宋体"/>
                <w:kern w:val="0"/>
                <w:sz w:val="24"/>
                <w:lang w:bidi="ar"/>
              </w:rPr>
              <w:t>正视面压型宽度≥8.5mm，压型深度≥4.2mm，侧视面压型宽度≥9.5mm，压型深度≥3.2mm，床横梁连接面宽度≥44mm,立柱正面为外圆弧防碰撞设计。</w:t>
            </w:r>
          </w:p>
          <w:p w14:paraId="477B1BFB">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rPr>
              <w:t xml:space="preserve"># </w:t>
            </w:r>
            <w:r>
              <w:rPr>
                <w:rFonts w:hint="eastAsia" w:ascii="宋体" w:hAnsi="宋体" w:cs="宋体"/>
                <w:kern w:val="0"/>
                <w:sz w:val="24"/>
                <w:lang w:bidi="ar"/>
              </w:rPr>
              <w:t>3.长横梁：采用冷轧钢板经成型线轧制而成闭口D型钢管，其立面为平行中空异形，成型尺寸≥87mm×43mm，材料壁厚≥1.2mm，边长≥230mm横梁正面有三条流线压型，正视面压型宽度≥9mm，压型深度≥3.2mm，横梁下部圆弧防碰撞设计。</w:t>
            </w:r>
          </w:p>
          <w:p w14:paraId="22907494">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△4.床头护栏：上部横梁采用≥25mm×25mm×1.2mm钢管，中间封板为≥16mm实木颗粒板。</w:t>
            </w:r>
          </w:p>
          <w:p w14:paraId="7152A2BB">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5.床撑：床框横撑≥5根，采用外形规格≥30mm×30mm×1.0mm高频焊接闭口型材管，管材截面为梯形，下部为圆弧。床撑数量≥5根，均匀分布，两端插入横梁内并配置全包围式ABS塑料静音套，床架安装成型后床撑无法拆卸，保证床架安全牢固。</w:t>
            </w:r>
          </w:p>
          <w:p w14:paraId="1675602F">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6.杉木床板：采用≤8块杉木实木板条，均匀排布，木条间缝隙小于8mm，四面刨光并倒棱，木板厚度≥15mm，经过烘干除虫处理，中间≥4根 25mm×35mm 的木横撑固定，木撑表面刨光、光滑无毛刺，规格根据床实际内空大小定制，四周留空≤20mm，要求板材平整不变形。</w:t>
            </w:r>
          </w:p>
          <w:p w14:paraId="68DB2E75">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7.床垫：规格尺寸为</w:t>
            </w:r>
            <w:r>
              <w:rPr>
                <w:rFonts w:ascii="宋体" w:hAnsi="宋体" w:cs="宋体"/>
                <w:kern w:val="0"/>
                <w:sz w:val="24"/>
                <w:lang w:bidi="ar"/>
              </w:rPr>
              <w:t>长和宽与</w:t>
            </w:r>
            <w:r>
              <w:rPr>
                <w:rFonts w:hint="eastAsia" w:ascii="宋体" w:hAnsi="宋体" w:cs="宋体"/>
                <w:kern w:val="0"/>
                <w:sz w:val="24"/>
                <w:lang w:bidi="ar"/>
              </w:rPr>
              <w:t>单人床</w:t>
            </w:r>
            <w:r>
              <w:rPr>
                <w:rFonts w:ascii="宋体" w:hAnsi="宋体" w:cs="宋体"/>
                <w:kern w:val="0"/>
                <w:sz w:val="24"/>
                <w:lang w:bidi="ar"/>
              </w:rPr>
              <w:t>配套，偏差在床内径负3mm范围内；厚≥50mm</w:t>
            </w:r>
            <w:r>
              <w:rPr>
                <w:rFonts w:hint="eastAsia" w:ascii="宋体" w:hAnsi="宋体" w:cs="宋体"/>
                <w:kern w:val="0"/>
                <w:sz w:val="24"/>
                <w:lang w:bidi="ar"/>
              </w:rPr>
              <w:t>，床垫面料采用棉质针织布;棕床垫采用椰棕、纤维混合制成。</w:t>
            </w:r>
          </w:p>
        </w:tc>
        <w:tc>
          <w:tcPr>
            <w:tcW w:w="439" w:type="pct"/>
            <w:noWrap w:val="0"/>
            <w:vAlign w:val="center"/>
          </w:tcPr>
          <w:p w14:paraId="2C2C3475">
            <w:pPr>
              <w:widowControl/>
              <w:spacing w:after="0" w:line="240" w:lineRule="auto"/>
              <w:jc w:val="center"/>
              <w:textAlignment w:val="center"/>
              <w:rPr>
                <w:rFonts w:hint="eastAsia" w:ascii="宋体" w:hAnsi="宋体" w:cs="宋体"/>
                <w:kern w:val="0"/>
                <w:sz w:val="24"/>
                <w:lang w:bidi="ar"/>
              </w:rPr>
            </w:pPr>
            <w:r>
              <w:rPr>
                <w:rFonts w:hint="eastAsia" w:ascii="宋体" w:hAnsi="宋体" w:cs="宋体"/>
                <w:kern w:val="0"/>
                <w:sz w:val="24"/>
                <w:lang w:bidi="ar"/>
              </w:rPr>
              <w:t>犀浦鸿哲斋</w:t>
            </w:r>
          </w:p>
        </w:tc>
      </w:tr>
      <w:tr w14:paraId="76849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50" w:type="pct"/>
            <w:noWrap w:val="0"/>
            <w:vAlign w:val="center"/>
          </w:tcPr>
          <w:p w14:paraId="073479C3">
            <w:pPr>
              <w:widowControl/>
              <w:spacing w:after="0" w:line="240" w:lineRule="auto"/>
              <w:jc w:val="center"/>
              <w:textAlignment w:val="center"/>
              <w:rPr>
                <w:rFonts w:hint="eastAsia" w:ascii="宋体" w:hAnsi="宋体" w:cs="宋体"/>
                <w:kern w:val="0"/>
                <w:sz w:val="24"/>
                <w:lang w:bidi="ar"/>
              </w:rPr>
            </w:pPr>
            <w:r>
              <w:rPr>
                <w:rFonts w:hint="eastAsia" w:ascii="宋体" w:hAnsi="宋体" w:cs="宋体"/>
                <w:kern w:val="0"/>
                <w:sz w:val="24"/>
                <w:lang w:bidi="ar"/>
              </w:rPr>
              <w:t>9</w:t>
            </w:r>
          </w:p>
        </w:tc>
        <w:tc>
          <w:tcPr>
            <w:tcW w:w="410" w:type="pct"/>
            <w:noWrap w:val="0"/>
            <w:vAlign w:val="center"/>
          </w:tcPr>
          <w:p w14:paraId="1A6B8978">
            <w:pPr>
              <w:widowControl/>
              <w:spacing w:after="0" w:line="240" w:lineRule="auto"/>
              <w:jc w:val="center"/>
              <w:textAlignment w:val="center"/>
              <w:rPr>
                <w:rFonts w:hint="eastAsia" w:ascii="宋体" w:hAnsi="宋体" w:cs="宋体"/>
                <w:kern w:val="0"/>
                <w:sz w:val="24"/>
                <w:lang w:bidi="ar"/>
              </w:rPr>
            </w:pPr>
            <w:r>
              <w:rPr>
                <w:rFonts w:hint="eastAsia" w:ascii="宋体" w:hAnsi="宋体" w:cs="宋体"/>
                <w:kern w:val="0"/>
                <w:sz w:val="24"/>
                <w:lang w:bidi="ar"/>
              </w:rPr>
              <w:t>两人位组合公寓床</w:t>
            </w:r>
          </w:p>
        </w:tc>
        <w:tc>
          <w:tcPr>
            <w:tcW w:w="3899" w:type="pct"/>
            <w:noWrap w:val="0"/>
            <w:vAlign w:val="center"/>
          </w:tcPr>
          <w:p w14:paraId="14A23CB3">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★1.规格尺寸：长4500mm</w:t>
            </w:r>
            <w:r>
              <w:rPr>
                <w:rFonts w:hint="eastAsia"/>
                <w:sz w:val="24"/>
              </w:rPr>
              <w:t>（</w:t>
            </w:r>
            <w:r>
              <w:rPr>
                <w:rFonts w:hint="eastAsia" w:ascii="宋体" w:hAnsi="宋体" w:cs="宋体"/>
                <w:kern w:val="0"/>
                <w:sz w:val="24"/>
                <w:lang w:bidi="ar"/>
              </w:rPr>
              <w:t>±10mm）×宽900mm</w:t>
            </w:r>
            <w:r>
              <w:rPr>
                <w:rFonts w:hint="eastAsia"/>
                <w:sz w:val="24"/>
              </w:rPr>
              <w:t>（</w:t>
            </w:r>
            <w:r>
              <w:rPr>
                <w:rFonts w:hint="eastAsia" w:ascii="宋体" w:hAnsi="宋体" w:cs="宋体"/>
                <w:kern w:val="0"/>
                <w:sz w:val="24"/>
                <w:lang w:bidi="ar"/>
              </w:rPr>
              <w:t>±10mm）×高2150mm（±10mm）。</w:t>
            </w:r>
          </w:p>
          <w:p w14:paraId="1EC2C1C5">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2.边立柱：采用冷轧钢板经成型线轧制而成的全封闭对称钢管，成型尺寸≥65mm×65mm，材料壁厚≥1.2mm，立柱边长≥240mm，正面有两条流线压型加固，正视面压型宽度≥8.5mm，压型深度≥4.2mm，侧视面压型宽度≥9.5mm，压型深度≥3.2mm，床横梁连接面宽度≥44mm,立柱正面为外圆弧防碰撞设计。</w:t>
            </w:r>
          </w:p>
          <w:p w14:paraId="3F28B3F8">
            <w:pPr>
              <w:spacing w:before="35" w:after="0" w:line="240" w:lineRule="auto"/>
              <w:ind w:right="112"/>
              <w:rPr>
                <w:rFonts w:hint="eastAsia" w:ascii="宋体" w:hAnsi="宋体" w:cs="宋体"/>
                <w:kern w:val="0"/>
                <w:sz w:val="24"/>
                <w:lang w:bidi="ar"/>
              </w:rPr>
            </w:pPr>
            <w:r>
              <w:rPr>
                <w:rFonts w:hint="eastAsia" w:ascii="宋体" w:hAnsi="宋体" w:cs="宋体"/>
                <w:kern w:val="0"/>
                <w:sz w:val="24"/>
                <w:lang w:bidi="ar"/>
              </w:rPr>
              <w:t>#3.长横梁：采用冷轧钢板经成型线轧制而成闭口D型钢管，其立面为平行中空异形，成型尺寸≥87mm×43mm，材料壁厚≥1.2mm，边长≥230mm横梁正面有三条流线压型，正视面压型宽度≥9mm，压型深度≥3.2mm，横梁下部圆弧防碰撞设计。</w:t>
            </w:r>
          </w:p>
          <w:p w14:paraId="48019C88">
            <w:pPr>
              <w:spacing w:before="35" w:after="0" w:line="240" w:lineRule="auto"/>
              <w:ind w:right="112"/>
              <w:rPr>
                <w:rFonts w:hint="eastAsia" w:ascii="宋体" w:hAnsi="宋体" w:cs="宋体"/>
                <w:kern w:val="0"/>
                <w:sz w:val="24"/>
                <w:lang w:bidi="ar"/>
              </w:rPr>
            </w:pPr>
            <w:r>
              <w:rPr>
                <w:rFonts w:hint="eastAsia" w:ascii="宋体" w:hAnsi="宋体" w:cs="宋体"/>
                <w:kern w:val="0"/>
                <w:sz w:val="24"/>
                <w:lang w:bidi="ar"/>
              </w:rPr>
              <w:t>△ 4.床头护栏：上横梁采用≥25mm方管，下横梁≥25mm×50mm钢管，材料壁厚≥1.2mm。</w:t>
            </w:r>
          </w:p>
          <w:p w14:paraId="215399D3">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5.床前护栏：上横梁采用≥25mm方管，竖管≥20mm方管，材料壁厚≥1.2mm。</w:t>
            </w:r>
          </w:p>
          <w:p w14:paraId="0D3D7659">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6.步梯柜：步梯为四步设计，步梯柜为上开门带磁吸设计，脚踏板采用冷轧钢板经模压而成，材料壁厚≥1.5mm，规格为：长500mm×宽200mm（±5mm），前圆边处理，踏板设计压型筋加固，镶嵌ABS带夜光的塑料防滑块，尺寸为长400mm×宽50mm（±5mm），与踏板紧密贴合无外翘。 底部带塑料底脚。踏步底部设有加强筋，增强整体承重；梯柜整体选用≥0.7mm冷轧钢板制作而成，左右两侧为一体成型无接缝。</w:t>
            </w:r>
          </w:p>
          <w:p w14:paraId="2EF07B39">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7.床撑：采用外形规格≥30mm×30mm×1.0mm高频焊接闭口型材管，管材截面为梯形，下部为圆弧。床撑数量≥5根，均匀分布，两端插入横梁内并配置全包围式ABS塑料静音套，床架安装成型后床撑无法拆卸，保证床架安全牢固。</w:t>
            </w:r>
          </w:p>
          <w:p w14:paraId="2D3577FB">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#8.杉木床板：采用≤8块杉木实木杉木板条，均匀排布，木条间缝隙小于8mm，四面刨光并倒棱，木板厚度≥15mm，经过烘干除虫处理，中间4根 ≥25mm×35mm 的木横撑固定，木撑表面刨光、光滑无毛刺，规格根据床实际内空大小定制，四周留空≤20mm，要求板材平整不变形。</w:t>
            </w:r>
          </w:p>
          <w:p w14:paraId="1FCF0DA6">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#9.蚊帐杆：框式蚊帐杆，≥φ19×1.0mm，配备升降调节装置，可调节高度为650-820mm。</w:t>
            </w:r>
          </w:p>
          <w:p w14:paraId="456FC891">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#10.塑料脚套：采用PP塑料一次性注塑成型，底部为外包脚套，高度≥50mm增强立柱底部涂层使用寿命。</w:t>
            </w:r>
          </w:p>
          <w:p w14:paraId="6F03BDD7">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11.床垫：规格尺寸为</w:t>
            </w:r>
            <w:r>
              <w:rPr>
                <w:rFonts w:ascii="宋体" w:hAnsi="宋体" w:cs="宋体"/>
                <w:kern w:val="0"/>
                <w:sz w:val="24"/>
                <w:lang w:bidi="ar"/>
              </w:rPr>
              <w:t>长和宽与</w:t>
            </w:r>
            <w:r>
              <w:rPr>
                <w:rFonts w:hint="eastAsia" w:ascii="宋体" w:hAnsi="宋体" w:cs="宋体"/>
                <w:kern w:val="0"/>
                <w:sz w:val="24"/>
                <w:lang w:bidi="ar"/>
              </w:rPr>
              <w:t>两人位组合公寓床</w:t>
            </w:r>
            <w:r>
              <w:rPr>
                <w:rFonts w:ascii="宋体" w:hAnsi="宋体" w:cs="宋体"/>
                <w:kern w:val="0"/>
                <w:sz w:val="24"/>
                <w:lang w:bidi="ar"/>
              </w:rPr>
              <w:t>配套，偏差在床内径负3mm范围内；厚≥50mm</w:t>
            </w:r>
            <w:r>
              <w:rPr>
                <w:rFonts w:hint="eastAsia" w:ascii="宋体" w:hAnsi="宋体" w:cs="宋体"/>
                <w:kern w:val="0"/>
                <w:sz w:val="24"/>
                <w:lang w:bidi="ar"/>
              </w:rPr>
              <w:t>，床垫面料采用棉质针织布;棕床垫采用椰棕、纤维混合制成。</w:t>
            </w:r>
          </w:p>
          <w:p w14:paraId="325D1704">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12.组合柜外观尺寸：≥长1930mm×宽600mm×高1690mm。</w:t>
            </w:r>
          </w:p>
          <w:p w14:paraId="27A8D4BF">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13.衣柜：规格≥高1690mm×宽600mm×深600mm，板材采用≥0.7mm厚的冷轧钢板，单开门设计，上下两门，下门较短设计为存放区，上门较长内设计一根挂衣杆。</w:t>
            </w:r>
          </w:p>
          <w:p w14:paraId="1FDC5FB5">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14.桌面：≥长1070mm×宽600mm×厚25mm，采用实木颗粒板，厚度≥25mm，同色封边条封边。</w:t>
            </w:r>
          </w:p>
          <w:p w14:paraId="32077AA5">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15.书桌柜：规格≥长750mm×深265mm×高1690mm，设计为开放式上下四层，桌面以上三层，高度均分，桌面以下一层，可放置大件物品，采用≥0.7mm厚冷轧钢板，表面除油、去锈、陶化、钝化等工序处理，静电喷塑，底部安装钢制防潮底脚。</w:t>
            </w:r>
          </w:p>
          <w:p w14:paraId="7A724724">
            <w:pPr>
              <w:widowControl/>
              <w:spacing w:before="156" w:beforeLines="50" w:after="156" w:afterLines="50" w:line="240" w:lineRule="auto"/>
              <w:jc w:val="left"/>
              <w:textAlignment w:val="center"/>
              <w:rPr>
                <w:rFonts w:hint="eastAsia" w:ascii="宋体" w:hAnsi="宋体" w:cs="宋体"/>
                <w:kern w:val="0"/>
                <w:sz w:val="24"/>
                <w:lang w:bidi="ar"/>
              </w:rPr>
            </w:pPr>
            <w:r>
              <w:rPr>
                <w:rFonts w:hint="eastAsia" w:ascii="宋体" w:hAnsi="宋体" w:cs="宋体"/>
                <w:kern w:val="0"/>
                <w:sz w:val="24"/>
                <w:lang w:bidi="ar"/>
              </w:rPr>
              <w:t># 16.书架：规格≥长1070mm×宽240mm×高290mm，左右均分三格，采用≥0.8mm厚裸板冷轧钢板，表面除油、去锈、陶化、钝化等工序处理，静电喷塑，左右两侧与衣柜和书柜穿透式螺栓固定。</w:t>
            </w:r>
          </w:p>
        </w:tc>
        <w:tc>
          <w:tcPr>
            <w:tcW w:w="439" w:type="pct"/>
            <w:noWrap w:val="0"/>
            <w:vAlign w:val="center"/>
          </w:tcPr>
          <w:p w14:paraId="38D9649C">
            <w:pPr>
              <w:widowControl/>
              <w:spacing w:after="0" w:line="240" w:lineRule="auto"/>
              <w:jc w:val="center"/>
              <w:textAlignment w:val="center"/>
              <w:rPr>
                <w:rFonts w:hint="eastAsia" w:ascii="宋体" w:hAnsi="宋体" w:cs="宋体"/>
                <w:kern w:val="0"/>
                <w:sz w:val="24"/>
                <w:lang w:bidi="ar"/>
              </w:rPr>
            </w:pPr>
            <w:r>
              <w:rPr>
                <w:rFonts w:hint="eastAsia" w:ascii="宋体" w:hAnsi="宋体" w:cs="宋体"/>
                <w:kern w:val="0"/>
                <w:sz w:val="24"/>
                <w:lang w:bidi="ar"/>
              </w:rPr>
              <w:t>九里眷诚斋</w:t>
            </w:r>
          </w:p>
        </w:tc>
      </w:tr>
    </w:tbl>
    <w:p w14:paraId="27A491ED">
      <w:pPr>
        <w:spacing w:after="0" w:line="240" w:lineRule="auto"/>
        <w:rPr>
          <w:rFonts w:hint="eastAsia" w:ascii="宋体" w:hAnsi="宋体" w:cs="仿宋"/>
          <w:b/>
          <w:bCs/>
          <w:kern w:val="0"/>
          <w:sz w:val="24"/>
        </w:rPr>
      </w:pPr>
      <w:bookmarkStart w:id="6" w:name="OLE_LINK2"/>
      <w:r>
        <w:rPr>
          <w:rFonts w:hint="eastAsia" w:ascii="宋体" w:hAnsi="宋体" w:cs="仿宋"/>
          <w:b/>
          <w:bCs/>
          <w:kern w:val="0"/>
          <w:sz w:val="24"/>
        </w:rPr>
        <w:t>四、质量及标准要求</w:t>
      </w:r>
      <w:bookmarkEnd w:id="6"/>
    </w:p>
    <w:tbl>
      <w:tblPr>
        <w:tblStyle w:val="5"/>
        <w:tblW w:w="0" w:type="auto"/>
        <w:tblInd w:w="0" w:type="dxa"/>
        <w:tblLayout w:type="autofit"/>
        <w:tblCellMar>
          <w:top w:w="0" w:type="dxa"/>
          <w:left w:w="108" w:type="dxa"/>
          <w:bottom w:w="0" w:type="dxa"/>
          <w:right w:w="108" w:type="dxa"/>
        </w:tblCellMar>
      </w:tblPr>
      <w:tblGrid>
        <w:gridCol w:w="641"/>
        <w:gridCol w:w="1294"/>
        <w:gridCol w:w="6573"/>
      </w:tblGrid>
      <w:tr w14:paraId="277F7C1F">
        <w:tblPrEx>
          <w:tblCellMar>
            <w:top w:w="0" w:type="dxa"/>
            <w:left w:w="108" w:type="dxa"/>
            <w:bottom w:w="0" w:type="dxa"/>
            <w:right w:w="108" w:type="dxa"/>
          </w:tblCellMar>
        </w:tblPrEx>
        <w:tc>
          <w:tcPr>
            <w:tcW w:w="641" w:type="dxa"/>
            <w:tcBorders>
              <w:top w:val="single" w:color="auto" w:sz="4" w:space="0"/>
              <w:left w:val="single" w:color="auto" w:sz="4" w:space="0"/>
              <w:bottom w:val="single" w:color="auto" w:sz="4" w:space="0"/>
              <w:right w:val="single" w:color="auto" w:sz="4" w:space="0"/>
            </w:tcBorders>
            <w:noWrap w:val="0"/>
            <w:vAlign w:val="center"/>
          </w:tcPr>
          <w:p w14:paraId="032DB2A7">
            <w:pPr>
              <w:spacing w:after="0" w:line="240" w:lineRule="auto"/>
              <w:jc w:val="center"/>
              <w:rPr>
                <w:rFonts w:hint="eastAsia" w:ascii="宋体" w:hAnsi="宋体" w:cs="仿宋"/>
                <w:b/>
                <w:bCs/>
                <w:kern w:val="0"/>
                <w:sz w:val="24"/>
              </w:rPr>
            </w:pPr>
            <w:r>
              <w:rPr>
                <w:rFonts w:ascii="宋体" w:hAnsi="宋体" w:cs="仿宋"/>
                <w:b/>
                <w:bCs/>
                <w:kern w:val="0"/>
                <w:sz w:val="24"/>
              </w:rPr>
              <w:t>序号</w:t>
            </w:r>
          </w:p>
        </w:tc>
        <w:tc>
          <w:tcPr>
            <w:tcW w:w="1294" w:type="dxa"/>
            <w:tcBorders>
              <w:top w:val="single" w:color="auto" w:sz="4" w:space="0"/>
              <w:left w:val="nil"/>
              <w:bottom w:val="single" w:color="auto" w:sz="4" w:space="0"/>
              <w:right w:val="single" w:color="auto" w:sz="4" w:space="0"/>
            </w:tcBorders>
            <w:noWrap w:val="0"/>
            <w:vAlign w:val="center"/>
          </w:tcPr>
          <w:p w14:paraId="142F718C">
            <w:pPr>
              <w:spacing w:after="0" w:line="240" w:lineRule="auto"/>
              <w:jc w:val="center"/>
              <w:rPr>
                <w:rFonts w:hint="eastAsia" w:ascii="宋体" w:hAnsi="宋体" w:cs="仿宋"/>
                <w:b/>
                <w:bCs/>
                <w:kern w:val="0"/>
                <w:sz w:val="24"/>
              </w:rPr>
            </w:pPr>
            <w:r>
              <w:rPr>
                <w:rFonts w:ascii="宋体" w:hAnsi="宋体" w:cs="仿宋"/>
                <w:b/>
                <w:bCs/>
                <w:kern w:val="0"/>
                <w:sz w:val="24"/>
              </w:rPr>
              <w:t>名称</w:t>
            </w:r>
          </w:p>
        </w:tc>
        <w:tc>
          <w:tcPr>
            <w:tcW w:w="6573" w:type="dxa"/>
            <w:tcBorders>
              <w:top w:val="single" w:color="auto" w:sz="4" w:space="0"/>
              <w:left w:val="nil"/>
              <w:bottom w:val="single" w:color="auto" w:sz="4" w:space="0"/>
              <w:right w:val="single" w:color="auto" w:sz="4" w:space="0"/>
            </w:tcBorders>
            <w:noWrap w:val="0"/>
            <w:vAlign w:val="center"/>
          </w:tcPr>
          <w:p w14:paraId="7BDFC113">
            <w:pPr>
              <w:spacing w:after="0" w:line="240" w:lineRule="auto"/>
              <w:jc w:val="center"/>
              <w:rPr>
                <w:rFonts w:hint="eastAsia" w:ascii="宋体" w:hAnsi="宋体" w:cs="仿宋"/>
                <w:b/>
                <w:bCs/>
                <w:kern w:val="0"/>
                <w:sz w:val="24"/>
              </w:rPr>
            </w:pPr>
            <w:r>
              <w:rPr>
                <w:rFonts w:ascii="宋体" w:hAnsi="宋体" w:cs="仿宋"/>
                <w:b/>
                <w:bCs/>
                <w:kern w:val="0"/>
                <w:sz w:val="24"/>
              </w:rPr>
              <w:t>质量及标准要求</w:t>
            </w:r>
          </w:p>
        </w:tc>
      </w:tr>
      <w:tr w14:paraId="71C4F873">
        <w:tblPrEx>
          <w:tblCellMar>
            <w:top w:w="0" w:type="dxa"/>
            <w:left w:w="108" w:type="dxa"/>
            <w:bottom w:w="0" w:type="dxa"/>
            <w:right w:w="108" w:type="dxa"/>
          </w:tblCellMar>
        </w:tblPrEx>
        <w:tc>
          <w:tcPr>
            <w:tcW w:w="641" w:type="dxa"/>
            <w:tcBorders>
              <w:top w:val="single" w:color="auto" w:sz="4" w:space="0"/>
              <w:left w:val="single" w:color="auto" w:sz="4" w:space="0"/>
              <w:bottom w:val="single" w:color="auto" w:sz="4" w:space="0"/>
              <w:right w:val="single" w:color="auto" w:sz="4" w:space="0"/>
            </w:tcBorders>
            <w:noWrap w:val="0"/>
            <w:vAlign w:val="center"/>
          </w:tcPr>
          <w:p w14:paraId="426D1A03">
            <w:pPr>
              <w:numPr>
                <w:ilvl w:val="0"/>
                <w:numId w:val="2"/>
              </w:numPr>
              <w:spacing w:after="0" w:line="240" w:lineRule="auto"/>
              <w:rPr>
                <w:rFonts w:hint="eastAsia" w:ascii="宋体" w:hAnsi="宋体" w:cs="仿宋"/>
                <w:kern w:val="0"/>
                <w:sz w:val="24"/>
              </w:rPr>
            </w:pPr>
          </w:p>
        </w:tc>
        <w:tc>
          <w:tcPr>
            <w:tcW w:w="1294" w:type="dxa"/>
            <w:tcBorders>
              <w:top w:val="single" w:color="auto" w:sz="4" w:space="0"/>
              <w:left w:val="nil"/>
              <w:bottom w:val="single" w:color="auto" w:sz="4" w:space="0"/>
              <w:right w:val="single" w:color="auto" w:sz="4" w:space="0"/>
            </w:tcBorders>
            <w:noWrap w:val="0"/>
            <w:vAlign w:val="center"/>
          </w:tcPr>
          <w:p w14:paraId="55E16754">
            <w:pPr>
              <w:spacing w:after="0" w:line="240" w:lineRule="auto"/>
              <w:rPr>
                <w:rFonts w:hint="eastAsia" w:ascii="宋体" w:hAnsi="宋体" w:cs="仿宋"/>
                <w:kern w:val="0"/>
                <w:sz w:val="24"/>
              </w:rPr>
            </w:pPr>
            <w:r>
              <w:rPr>
                <w:rFonts w:hint="eastAsia" w:ascii="宋体" w:hAnsi="宋体" w:cs="宋体"/>
                <w:kern w:val="0"/>
                <w:sz w:val="24"/>
                <w:lang w:bidi="ar"/>
              </w:rPr>
              <w:t>颗粒板</w:t>
            </w:r>
          </w:p>
        </w:tc>
        <w:tc>
          <w:tcPr>
            <w:tcW w:w="6573" w:type="dxa"/>
            <w:tcBorders>
              <w:top w:val="single" w:color="auto" w:sz="4" w:space="0"/>
              <w:left w:val="nil"/>
              <w:bottom w:val="single" w:color="auto" w:sz="4" w:space="0"/>
              <w:right w:val="single" w:color="auto" w:sz="4" w:space="0"/>
            </w:tcBorders>
            <w:noWrap w:val="0"/>
            <w:vAlign w:val="center"/>
          </w:tcPr>
          <w:p w14:paraId="6CF95873">
            <w:pPr>
              <w:spacing w:after="0" w:line="240" w:lineRule="auto"/>
              <w:rPr>
                <w:rFonts w:hint="eastAsia" w:ascii="宋体" w:hAnsi="宋体" w:cs="仿宋"/>
                <w:kern w:val="0"/>
                <w:sz w:val="24"/>
              </w:rPr>
            </w:pPr>
            <w:r>
              <w:rPr>
                <w:rFonts w:hint="eastAsia" w:ascii="宋体" w:hAnsi="宋体" w:cs="宋体"/>
                <w:kern w:val="0"/>
                <w:sz w:val="24"/>
                <w:lang w:bidi="ar"/>
              </w:rPr>
              <w:t>甲醛释放量（气候箱法）≤0.03mg/m</w:t>
            </w:r>
            <w:r>
              <w:rPr>
                <w:rFonts w:hint="eastAsia" w:ascii="宋体" w:hAnsi="宋体" w:cs="宋体"/>
                <w:kern w:val="0"/>
                <w:sz w:val="24"/>
                <w:vertAlign w:val="superscript"/>
                <w:lang w:bidi="ar"/>
              </w:rPr>
              <w:t>3</w:t>
            </w:r>
            <w:r>
              <w:rPr>
                <w:rFonts w:hint="eastAsia" w:ascii="宋体" w:hAnsi="宋体" w:cs="宋体"/>
                <w:kern w:val="0"/>
                <w:sz w:val="24"/>
                <w:lang w:bidi="ar"/>
              </w:rPr>
              <w:t>，抗菌率-金黄色葡萄球≥90%，防霉菌等级-黑曲霉0级，</w:t>
            </w:r>
            <w:bookmarkStart w:id="7" w:name="OLE_LINK10"/>
            <w:r>
              <w:rPr>
                <w:rFonts w:hint="eastAsia" w:ascii="宋体" w:hAnsi="宋体" w:cs="宋体"/>
                <w:kern w:val="0"/>
                <w:sz w:val="24"/>
                <w:lang w:bidi="ar"/>
              </w:rPr>
              <w:t>板密度</w:t>
            </w:r>
            <w:bookmarkEnd w:id="7"/>
            <w:r>
              <w:rPr>
                <w:rFonts w:hint="eastAsia" w:ascii="宋体" w:hAnsi="宋体" w:cs="宋体"/>
                <w:kern w:val="0"/>
                <w:sz w:val="24"/>
                <w:lang w:bidi="ar"/>
              </w:rPr>
              <w:t>≥0.7g/</w:t>
            </w:r>
            <w:r>
              <w:rPr>
                <w:rFonts w:ascii="宋体" w:hAnsi="宋体" w:cs="宋体"/>
                <w:kern w:val="0"/>
                <w:sz w:val="24"/>
                <w:lang w:bidi="ar"/>
              </w:rPr>
              <w:t>cm³</w:t>
            </w:r>
            <w:r>
              <w:rPr>
                <w:rFonts w:hint="eastAsia" w:ascii="宋体" w:hAnsi="宋体" w:cs="宋体"/>
                <w:kern w:val="0"/>
                <w:sz w:val="24"/>
                <w:lang w:bidi="ar"/>
              </w:rPr>
              <w:t>，含水率3-13%，其他物理力学性能干燥状态下使用的家具型刨花板其他物理力学性能要求-静曲强度(MOR)</w:t>
            </w:r>
            <w:bookmarkStart w:id="8" w:name="OLE_LINK8"/>
            <w:r>
              <w:rPr>
                <w:rFonts w:hint="eastAsia" w:ascii="宋体" w:hAnsi="宋体" w:cs="宋体"/>
                <w:kern w:val="0"/>
                <w:sz w:val="24"/>
                <w:lang w:bidi="ar"/>
              </w:rPr>
              <w:t>≥</w:t>
            </w:r>
            <w:bookmarkEnd w:id="8"/>
            <w:r>
              <w:rPr>
                <w:rFonts w:hint="eastAsia" w:ascii="宋体" w:hAnsi="宋体" w:cs="宋体"/>
                <w:kern w:val="0"/>
                <w:sz w:val="24"/>
                <w:lang w:bidi="ar"/>
              </w:rPr>
              <w:t>11MPa，握螺钉力-板面握螺钉力≥900N、握螺钉力-板边握螺钉力≥600N。（检验依据： GB/T 17657-2022、GB/T 39600-2021、GB/T 4897-2015、QB/T 4371-2012、JC/T 2039-2010）。</w:t>
            </w:r>
          </w:p>
        </w:tc>
      </w:tr>
      <w:tr w14:paraId="37903D87">
        <w:tblPrEx>
          <w:tblCellMar>
            <w:top w:w="0" w:type="dxa"/>
            <w:left w:w="108" w:type="dxa"/>
            <w:bottom w:w="0" w:type="dxa"/>
            <w:right w:w="108" w:type="dxa"/>
          </w:tblCellMar>
        </w:tblPrEx>
        <w:tc>
          <w:tcPr>
            <w:tcW w:w="641" w:type="dxa"/>
            <w:tcBorders>
              <w:top w:val="single" w:color="auto" w:sz="4" w:space="0"/>
              <w:left w:val="single" w:color="auto" w:sz="4" w:space="0"/>
              <w:bottom w:val="single" w:color="auto" w:sz="4" w:space="0"/>
              <w:right w:val="single" w:color="auto" w:sz="4" w:space="0"/>
            </w:tcBorders>
            <w:noWrap w:val="0"/>
            <w:vAlign w:val="center"/>
          </w:tcPr>
          <w:p w14:paraId="071F7BA6">
            <w:pPr>
              <w:numPr>
                <w:ilvl w:val="0"/>
                <w:numId w:val="2"/>
              </w:numPr>
              <w:spacing w:after="0" w:line="240" w:lineRule="auto"/>
              <w:rPr>
                <w:rFonts w:hint="eastAsia" w:ascii="宋体" w:hAnsi="宋体" w:cs="仿宋"/>
                <w:kern w:val="0"/>
                <w:sz w:val="24"/>
              </w:rPr>
            </w:pPr>
          </w:p>
        </w:tc>
        <w:tc>
          <w:tcPr>
            <w:tcW w:w="1294" w:type="dxa"/>
            <w:tcBorders>
              <w:top w:val="single" w:color="auto" w:sz="4" w:space="0"/>
              <w:left w:val="nil"/>
              <w:bottom w:val="single" w:color="auto" w:sz="4" w:space="0"/>
              <w:right w:val="single" w:color="auto" w:sz="4" w:space="0"/>
            </w:tcBorders>
            <w:noWrap w:val="0"/>
            <w:vAlign w:val="center"/>
          </w:tcPr>
          <w:p w14:paraId="11E9F317">
            <w:pPr>
              <w:spacing w:after="0" w:line="240" w:lineRule="auto"/>
              <w:rPr>
                <w:rFonts w:hint="eastAsia" w:ascii="宋体" w:hAnsi="宋体" w:cs="仿宋"/>
                <w:kern w:val="0"/>
                <w:sz w:val="24"/>
              </w:rPr>
            </w:pPr>
            <w:r>
              <w:rPr>
                <w:rFonts w:hint="eastAsia" w:ascii="宋体" w:hAnsi="宋体" w:cs="宋体"/>
                <w:kern w:val="0"/>
                <w:sz w:val="24"/>
                <w:lang w:bidi="ar"/>
              </w:rPr>
              <w:t>抽屉导轨</w:t>
            </w:r>
          </w:p>
        </w:tc>
        <w:tc>
          <w:tcPr>
            <w:tcW w:w="6573" w:type="dxa"/>
            <w:tcBorders>
              <w:top w:val="single" w:color="auto" w:sz="4" w:space="0"/>
              <w:left w:val="nil"/>
              <w:bottom w:val="single" w:color="auto" w:sz="4" w:space="0"/>
              <w:right w:val="single" w:color="auto" w:sz="4" w:space="0"/>
            </w:tcBorders>
            <w:noWrap w:val="0"/>
            <w:vAlign w:val="center"/>
          </w:tcPr>
          <w:p w14:paraId="6CE5D454">
            <w:pPr>
              <w:spacing w:after="0" w:line="240" w:lineRule="auto"/>
              <w:rPr>
                <w:rFonts w:hint="eastAsia" w:ascii="宋体" w:hAnsi="宋体" w:cs="仿宋"/>
                <w:kern w:val="0"/>
                <w:sz w:val="24"/>
              </w:rPr>
            </w:pPr>
            <w:r>
              <w:rPr>
                <w:rFonts w:hint="eastAsia" w:ascii="宋体" w:hAnsi="宋体" w:cs="宋体"/>
                <w:kern w:val="0"/>
                <w:sz w:val="24"/>
                <w:lang w:bidi="ar"/>
              </w:rPr>
              <w:t>乙酸盐雾试验（ASS）法-24h-镀层本身的耐腐蚀等级达到10级，镀层对基体的保护等级达到10级，过载：猛关及猛开,所有组件或连接件不应断裂损坏，抽屉导轨级其组件不应分离；操作力：当M＜40kg时，推力或拉力≤50N，下沉量不应超过抽屉导轨拉出长度的4% （检验依据：QB/T2454-2013、QB/T3827-1999、QB/T3832-1999）。</w:t>
            </w:r>
          </w:p>
        </w:tc>
      </w:tr>
      <w:tr w14:paraId="3CEC4938">
        <w:tblPrEx>
          <w:tblCellMar>
            <w:top w:w="0" w:type="dxa"/>
            <w:left w:w="108" w:type="dxa"/>
            <w:bottom w:w="0" w:type="dxa"/>
            <w:right w:w="108" w:type="dxa"/>
          </w:tblCellMar>
        </w:tblPrEx>
        <w:tc>
          <w:tcPr>
            <w:tcW w:w="641" w:type="dxa"/>
            <w:tcBorders>
              <w:top w:val="single" w:color="auto" w:sz="4" w:space="0"/>
              <w:left w:val="single" w:color="auto" w:sz="4" w:space="0"/>
              <w:bottom w:val="single" w:color="auto" w:sz="4" w:space="0"/>
              <w:right w:val="single" w:color="auto" w:sz="4" w:space="0"/>
            </w:tcBorders>
            <w:noWrap w:val="0"/>
            <w:vAlign w:val="center"/>
          </w:tcPr>
          <w:p w14:paraId="78166188">
            <w:pPr>
              <w:numPr>
                <w:ilvl w:val="0"/>
                <w:numId w:val="2"/>
              </w:numPr>
              <w:spacing w:after="0" w:line="240" w:lineRule="auto"/>
              <w:rPr>
                <w:rFonts w:hint="eastAsia" w:ascii="宋体" w:hAnsi="宋体" w:cs="仿宋"/>
                <w:kern w:val="0"/>
                <w:sz w:val="24"/>
              </w:rPr>
            </w:pPr>
          </w:p>
        </w:tc>
        <w:tc>
          <w:tcPr>
            <w:tcW w:w="1294" w:type="dxa"/>
            <w:tcBorders>
              <w:top w:val="single" w:color="auto" w:sz="4" w:space="0"/>
              <w:left w:val="nil"/>
              <w:bottom w:val="single" w:color="auto" w:sz="4" w:space="0"/>
              <w:right w:val="single" w:color="auto" w:sz="4" w:space="0"/>
            </w:tcBorders>
            <w:noWrap w:val="0"/>
            <w:vAlign w:val="center"/>
          </w:tcPr>
          <w:p w14:paraId="7FA0397D">
            <w:pPr>
              <w:spacing w:after="0" w:line="240" w:lineRule="auto"/>
              <w:rPr>
                <w:rFonts w:hint="eastAsia" w:ascii="宋体" w:hAnsi="宋体" w:cs="仿宋"/>
                <w:kern w:val="0"/>
                <w:sz w:val="24"/>
              </w:rPr>
            </w:pPr>
            <w:r>
              <w:rPr>
                <w:rFonts w:hint="eastAsia" w:ascii="宋体" w:hAnsi="宋体" w:cs="宋体"/>
                <w:kern w:val="0"/>
                <w:sz w:val="24"/>
                <w:lang w:bidi="ar"/>
              </w:rPr>
              <w:t>更衣柜</w:t>
            </w:r>
          </w:p>
        </w:tc>
        <w:tc>
          <w:tcPr>
            <w:tcW w:w="6573" w:type="dxa"/>
            <w:tcBorders>
              <w:top w:val="single" w:color="auto" w:sz="4" w:space="0"/>
              <w:left w:val="nil"/>
              <w:bottom w:val="single" w:color="auto" w:sz="4" w:space="0"/>
              <w:right w:val="single" w:color="auto" w:sz="4" w:space="0"/>
            </w:tcBorders>
            <w:noWrap w:val="0"/>
            <w:vAlign w:val="center"/>
          </w:tcPr>
          <w:p w14:paraId="1BB40D9C">
            <w:pPr>
              <w:spacing w:after="0" w:line="240" w:lineRule="auto"/>
              <w:rPr>
                <w:rFonts w:hint="eastAsia" w:ascii="宋体" w:hAnsi="宋体" w:cs="仿宋"/>
                <w:kern w:val="0"/>
                <w:sz w:val="24"/>
              </w:rPr>
            </w:pPr>
            <w:r>
              <w:rPr>
                <w:rFonts w:hint="eastAsia" w:ascii="宋体" w:hAnsi="宋体" w:cs="宋体"/>
                <w:kern w:val="0"/>
                <w:sz w:val="24"/>
                <w:lang w:bidi="ar"/>
              </w:rPr>
              <w:t>架类强度和耐久性-活动部件-开门水平加载试验(80N)-非家用、柜架类稳定性-所有开门、推拉构件和翻门开启试验，所有储存部件空载-非家用</w:t>
            </w:r>
            <w:r>
              <w:rPr>
                <w:rFonts w:ascii="宋体" w:hAnsi="宋体" w:cs="宋体"/>
                <w:kern w:val="0"/>
                <w:sz w:val="24"/>
                <w:lang w:bidi="ar"/>
              </w:rPr>
              <w:t>符合检测要求</w:t>
            </w:r>
            <w:r>
              <w:rPr>
                <w:rFonts w:hint="eastAsia" w:ascii="宋体" w:hAnsi="宋体" w:cs="宋体"/>
                <w:kern w:val="0"/>
                <w:sz w:val="24"/>
                <w:lang w:bidi="ar"/>
              </w:rPr>
              <w:t>，产品有害物质-甲醛释放量(气候箱法) ≤0.03mg/m</w:t>
            </w:r>
            <w:r>
              <w:rPr>
                <w:rFonts w:hint="eastAsia" w:ascii="宋体" w:hAnsi="宋体" w:cs="宋体"/>
                <w:kern w:val="0"/>
                <w:sz w:val="24"/>
                <w:vertAlign w:val="superscript"/>
                <w:lang w:bidi="ar"/>
              </w:rPr>
              <w:t>3</w:t>
            </w:r>
            <w:r>
              <w:rPr>
                <w:rFonts w:hint="eastAsia" w:ascii="宋体" w:hAnsi="宋体" w:cs="宋体"/>
                <w:kern w:val="0"/>
                <w:sz w:val="24"/>
                <w:lang w:bidi="ar"/>
              </w:rPr>
              <w:t>、苯、甲苯、二甲苯、总挥发性有机化合物（TVOC）均未检出，多环芳烃-苯并[a]芘≤0.5mg/kg，产品寿命-柜类-拉门耐久性-≥8万次（检验依据：GB/T 6739-2022、GB/T 35607-2024 、GB/T 40971-2021、GB/T 10357.5-2023、GB/T 3325-2024）。</w:t>
            </w:r>
          </w:p>
        </w:tc>
      </w:tr>
      <w:tr w14:paraId="16A3F2A1">
        <w:tblPrEx>
          <w:tblCellMar>
            <w:top w:w="0" w:type="dxa"/>
            <w:left w:w="108" w:type="dxa"/>
            <w:bottom w:w="0" w:type="dxa"/>
            <w:right w:w="108" w:type="dxa"/>
          </w:tblCellMar>
        </w:tblPrEx>
        <w:trPr>
          <w:trHeight w:val="90" w:hRule="atLeast"/>
        </w:trPr>
        <w:tc>
          <w:tcPr>
            <w:tcW w:w="641" w:type="dxa"/>
            <w:tcBorders>
              <w:top w:val="single" w:color="auto" w:sz="4" w:space="0"/>
              <w:left w:val="single" w:color="auto" w:sz="4" w:space="0"/>
              <w:bottom w:val="single" w:color="auto" w:sz="4" w:space="0"/>
              <w:right w:val="single" w:color="auto" w:sz="4" w:space="0"/>
            </w:tcBorders>
            <w:noWrap w:val="0"/>
            <w:vAlign w:val="center"/>
          </w:tcPr>
          <w:p w14:paraId="68C16859">
            <w:pPr>
              <w:numPr>
                <w:ilvl w:val="0"/>
                <w:numId w:val="2"/>
              </w:numPr>
              <w:spacing w:after="0" w:line="240" w:lineRule="auto"/>
              <w:rPr>
                <w:rFonts w:hint="eastAsia" w:ascii="宋体" w:hAnsi="宋体" w:cs="仿宋"/>
                <w:kern w:val="0"/>
                <w:sz w:val="24"/>
              </w:rPr>
            </w:pPr>
          </w:p>
        </w:tc>
        <w:tc>
          <w:tcPr>
            <w:tcW w:w="1294" w:type="dxa"/>
            <w:tcBorders>
              <w:top w:val="single" w:color="auto" w:sz="4" w:space="0"/>
              <w:left w:val="nil"/>
              <w:bottom w:val="single" w:color="auto" w:sz="4" w:space="0"/>
              <w:right w:val="single" w:color="auto" w:sz="4" w:space="0"/>
            </w:tcBorders>
            <w:noWrap w:val="0"/>
            <w:vAlign w:val="center"/>
          </w:tcPr>
          <w:p w14:paraId="2E8052FE">
            <w:pPr>
              <w:spacing w:after="0" w:line="240" w:lineRule="auto"/>
              <w:rPr>
                <w:rFonts w:hint="eastAsia" w:ascii="宋体" w:hAnsi="宋体" w:cs="仿宋"/>
                <w:kern w:val="0"/>
                <w:sz w:val="24"/>
              </w:rPr>
            </w:pPr>
            <w:r>
              <w:rPr>
                <w:rFonts w:hint="eastAsia" w:ascii="宋体" w:hAnsi="宋体" w:cs="宋体"/>
                <w:kern w:val="0"/>
                <w:sz w:val="24"/>
                <w:lang w:bidi="ar"/>
              </w:rPr>
              <w:t>床立柱</w:t>
            </w:r>
          </w:p>
        </w:tc>
        <w:tc>
          <w:tcPr>
            <w:tcW w:w="6573" w:type="dxa"/>
            <w:tcBorders>
              <w:top w:val="single" w:color="auto" w:sz="4" w:space="0"/>
              <w:left w:val="nil"/>
              <w:bottom w:val="single" w:color="auto" w:sz="4" w:space="0"/>
              <w:right w:val="single" w:color="auto" w:sz="4" w:space="0"/>
            </w:tcBorders>
            <w:noWrap w:val="0"/>
            <w:vAlign w:val="center"/>
          </w:tcPr>
          <w:p w14:paraId="23BFC02F">
            <w:pPr>
              <w:spacing w:after="0" w:line="240" w:lineRule="auto"/>
              <w:rPr>
                <w:rFonts w:hint="eastAsia" w:ascii="宋体" w:hAnsi="宋体" w:cs="宋体"/>
                <w:kern w:val="0"/>
                <w:sz w:val="24"/>
                <w:lang w:bidi="ar"/>
              </w:rPr>
            </w:pPr>
            <w:r>
              <w:rPr>
                <w:rFonts w:hint="eastAsia" w:ascii="宋体" w:hAnsi="宋体" w:cs="宋体"/>
                <w:kern w:val="0"/>
                <w:sz w:val="24"/>
                <w:lang w:bidi="ar"/>
              </w:rPr>
              <w:t>乙酸盐雾试验（ASS）法-24h,耐腐蚀等级达到10级。耐湿热性200h，应无锈蚀、鼓泡、剥落现象。金属件,其受力部件的管壁厚度不应小于1.2mm，外观性能，应</w:t>
            </w:r>
            <w:bookmarkStart w:id="9" w:name="OLE_LINK11"/>
            <w:r>
              <w:rPr>
                <w:rFonts w:hint="eastAsia" w:ascii="宋体" w:hAnsi="宋体" w:cs="宋体"/>
                <w:kern w:val="0"/>
                <w:sz w:val="24"/>
                <w:lang w:bidi="ar"/>
              </w:rPr>
              <w:t>无漏喷</w:t>
            </w:r>
            <w:bookmarkEnd w:id="9"/>
            <w:r>
              <w:rPr>
                <w:rFonts w:hint="eastAsia" w:ascii="宋体" w:hAnsi="宋体" w:cs="宋体"/>
                <w:kern w:val="0"/>
                <w:sz w:val="24"/>
                <w:lang w:bidi="ar"/>
              </w:rPr>
              <w:t>、锈蚀、脱色、掉色。力学性能：抗拉强度315-430MPa，下屈服强度≥300MPa，断后伸长率≥33%（检验依据GB/T3325-2024、GB/T1740-2007、GB/T3094-2012、QB/T3827-1999）。</w:t>
            </w:r>
          </w:p>
        </w:tc>
      </w:tr>
      <w:tr w14:paraId="192B5125">
        <w:tblPrEx>
          <w:tblCellMar>
            <w:top w:w="0" w:type="dxa"/>
            <w:left w:w="108" w:type="dxa"/>
            <w:bottom w:w="0" w:type="dxa"/>
            <w:right w:w="108" w:type="dxa"/>
          </w:tblCellMar>
        </w:tblPrEx>
        <w:tc>
          <w:tcPr>
            <w:tcW w:w="641" w:type="dxa"/>
            <w:tcBorders>
              <w:top w:val="single" w:color="auto" w:sz="4" w:space="0"/>
              <w:left w:val="single" w:color="auto" w:sz="4" w:space="0"/>
              <w:bottom w:val="single" w:color="auto" w:sz="4" w:space="0"/>
              <w:right w:val="single" w:color="auto" w:sz="4" w:space="0"/>
            </w:tcBorders>
            <w:noWrap w:val="0"/>
            <w:vAlign w:val="center"/>
          </w:tcPr>
          <w:p w14:paraId="1601D39D">
            <w:pPr>
              <w:numPr>
                <w:ilvl w:val="0"/>
                <w:numId w:val="2"/>
              </w:numPr>
              <w:spacing w:after="0" w:line="240" w:lineRule="auto"/>
              <w:rPr>
                <w:rFonts w:hint="eastAsia" w:ascii="宋体" w:hAnsi="宋体" w:cs="仿宋"/>
                <w:kern w:val="0"/>
                <w:sz w:val="24"/>
              </w:rPr>
            </w:pPr>
          </w:p>
        </w:tc>
        <w:tc>
          <w:tcPr>
            <w:tcW w:w="1294" w:type="dxa"/>
            <w:tcBorders>
              <w:top w:val="single" w:color="auto" w:sz="4" w:space="0"/>
              <w:left w:val="nil"/>
              <w:bottom w:val="single" w:color="auto" w:sz="4" w:space="0"/>
              <w:right w:val="single" w:color="auto" w:sz="4" w:space="0"/>
            </w:tcBorders>
            <w:noWrap w:val="0"/>
            <w:vAlign w:val="center"/>
          </w:tcPr>
          <w:p w14:paraId="202B4F82">
            <w:pPr>
              <w:spacing w:after="0" w:line="240" w:lineRule="auto"/>
              <w:rPr>
                <w:rFonts w:hint="eastAsia" w:ascii="宋体" w:hAnsi="宋体" w:cs="仿宋"/>
                <w:kern w:val="0"/>
                <w:sz w:val="24"/>
              </w:rPr>
            </w:pPr>
            <w:r>
              <w:rPr>
                <w:rFonts w:hint="eastAsia" w:ascii="宋体" w:hAnsi="宋体" w:cs="宋体"/>
                <w:kern w:val="0"/>
                <w:sz w:val="24"/>
                <w:lang w:bidi="ar"/>
              </w:rPr>
              <w:t>学习桌</w:t>
            </w:r>
          </w:p>
        </w:tc>
        <w:tc>
          <w:tcPr>
            <w:tcW w:w="6573" w:type="dxa"/>
            <w:tcBorders>
              <w:top w:val="single" w:color="auto" w:sz="4" w:space="0"/>
              <w:left w:val="nil"/>
              <w:bottom w:val="single" w:color="auto" w:sz="4" w:space="0"/>
              <w:right w:val="single" w:color="auto" w:sz="4" w:space="0"/>
            </w:tcBorders>
            <w:noWrap w:val="0"/>
            <w:vAlign w:val="center"/>
          </w:tcPr>
          <w:p w14:paraId="552953D2">
            <w:pPr>
              <w:spacing w:after="0" w:line="240" w:lineRule="auto"/>
              <w:rPr>
                <w:rFonts w:hint="eastAsia" w:ascii="宋体" w:hAnsi="宋体" w:cs="宋体"/>
                <w:kern w:val="0"/>
                <w:sz w:val="24"/>
                <w:lang w:bidi="ar"/>
              </w:rPr>
            </w:pPr>
            <w:r>
              <w:rPr>
                <w:rFonts w:hint="eastAsia" w:ascii="宋体" w:hAnsi="宋体" w:cs="宋体"/>
                <w:kern w:val="0"/>
                <w:sz w:val="24"/>
                <w:lang w:bidi="ar"/>
              </w:rPr>
              <w:t>邻边垂直度、翘曲度、平整度、底脚着地平稳性，应无裂缝、叠缝、外露管口端面应封闭、焊接处应无脱焊、虚焊、焊穿、错位等</w:t>
            </w:r>
            <w:r>
              <w:rPr>
                <w:rFonts w:ascii="宋体" w:hAnsi="宋体" w:cs="宋体"/>
                <w:kern w:val="0"/>
                <w:sz w:val="24"/>
                <w:lang w:bidi="ar"/>
              </w:rPr>
              <w:t>符合检测要求</w:t>
            </w:r>
            <w:r>
              <w:rPr>
                <w:rFonts w:hint="eastAsia" w:ascii="宋体" w:hAnsi="宋体" w:cs="宋体"/>
                <w:kern w:val="0"/>
                <w:sz w:val="24"/>
                <w:lang w:bidi="ar"/>
              </w:rPr>
              <w:t>（检验依据：GB/T 3325-2024）。</w:t>
            </w:r>
          </w:p>
        </w:tc>
      </w:tr>
      <w:tr w14:paraId="246E7583">
        <w:tblPrEx>
          <w:tblCellMar>
            <w:top w:w="0" w:type="dxa"/>
            <w:left w:w="108" w:type="dxa"/>
            <w:bottom w:w="0" w:type="dxa"/>
            <w:right w:w="108" w:type="dxa"/>
          </w:tblCellMar>
        </w:tblPrEx>
        <w:tc>
          <w:tcPr>
            <w:tcW w:w="641" w:type="dxa"/>
            <w:tcBorders>
              <w:top w:val="single" w:color="auto" w:sz="4" w:space="0"/>
              <w:left w:val="single" w:color="auto" w:sz="4" w:space="0"/>
              <w:bottom w:val="single" w:color="auto" w:sz="4" w:space="0"/>
              <w:right w:val="single" w:color="auto" w:sz="4" w:space="0"/>
            </w:tcBorders>
            <w:noWrap w:val="0"/>
            <w:vAlign w:val="center"/>
          </w:tcPr>
          <w:p w14:paraId="5DD91442">
            <w:pPr>
              <w:numPr>
                <w:ilvl w:val="0"/>
                <w:numId w:val="2"/>
              </w:numPr>
              <w:spacing w:after="0" w:line="240" w:lineRule="auto"/>
              <w:rPr>
                <w:rFonts w:hint="eastAsia" w:ascii="宋体" w:hAnsi="宋体" w:cs="仿宋"/>
                <w:kern w:val="0"/>
                <w:sz w:val="24"/>
              </w:rPr>
            </w:pPr>
          </w:p>
        </w:tc>
        <w:tc>
          <w:tcPr>
            <w:tcW w:w="1294" w:type="dxa"/>
            <w:tcBorders>
              <w:top w:val="single" w:color="auto" w:sz="4" w:space="0"/>
              <w:left w:val="nil"/>
              <w:bottom w:val="single" w:color="auto" w:sz="4" w:space="0"/>
              <w:right w:val="single" w:color="auto" w:sz="4" w:space="0"/>
            </w:tcBorders>
            <w:noWrap w:val="0"/>
            <w:vAlign w:val="center"/>
          </w:tcPr>
          <w:p w14:paraId="3E2F9B25">
            <w:pPr>
              <w:spacing w:after="0" w:line="240" w:lineRule="auto"/>
              <w:rPr>
                <w:rFonts w:hint="eastAsia" w:ascii="宋体" w:hAnsi="宋体" w:cs="宋体"/>
                <w:kern w:val="0"/>
                <w:sz w:val="24"/>
                <w:lang w:bidi="ar"/>
              </w:rPr>
            </w:pPr>
            <w:r>
              <w:rPr>
                <w:rFonts w:hint="eastAsia" w:ascii="宋体" w:hAnsi="宋体" w:cs="宋体"/>
                <w:kern w:val="0"/>
                <w:sz w:val="24"/>
                <w:lang w:bidi="ar"/>
              </w:rPr>
              <w:t>长横梁</w:t>
            </w:r>
          </w:p>
        </w:tc>
        <w:tc>
          <w:tcPr>
            <w:tcW w:w="6573" w:type="dxa"/>
            <w:tcBorders>
              <w:top w:val="single" w:color="auto" w:sz="4" w:space="0"/>
              <w:left w:val="nil"/>
              <w:bottom w:val="single" w:color="auto" w:sz="4" w:space="0"/>
              <w:right w:val="single" w:color="auto" w:sz="4" w:space="0"/>
            </w:tcBorders>
            <w:noWrap w:val="0"/>
            <w:vAlign w:val="center"/>
          </w:tcPr>
          <w:p w14:paraId="58A12F0B">
            <w:pPr>
              <w:spacing w:after="0" w:line="240" w:lineRule="auto"/>
              <w:rPr>
                <w:rFonts w:hint="eastAsia" w:ascii="宋体" w:hAnsi="宋体" w:cs="宋体"/>
                <w:kern w:val="0"/>
                <w:sz w:val="24"/>
                <w:lang w:bidi="ar"/>
              </w:rPr>
            </w:pPr>
            <w:r>
              <w:rPr>
                <w:rFonts w:hint="eastAsia" w:ascii="宋体" w:hAnsi="宋体" w:cs="宋体"/>
                <w:kern w:val="0"/>
                <w:sz w:val="24"/>
                <w:lang w:bidi="ar"/>
              </w:rPr>
              <w:t>乙酸盐雾试验（ASS）法-24h,耐腐蚀等级达到10级。耐湿热性≥200h，应无锈蚀、鼓泡、剥落现象。金属件,其受力部件的管壁厚度不应小于1.2mm，外观性能，应无漏喷、锈蚀、脱色、掉色。力学性能：抗拉强度315-430MPa，下屈服强度≥300MPa，断后伸长率≥33%(检验依据：GB/T3325-2024、GB/T1740-2007、GB/T3094-2012、QB/T3827-1999、QB/T3832-1999)。</w:t>
            </w:r>
          </w:p>
        </w:tc>
      </w:tr>
      <w:tr w14:paraId="4DBD5034">
        <w:tblPrEx>
          <w:tblCellMar>
            <w:top w:w="0" w:type="dxa"/>
            <w:left w:w="108" w:type="dxa"/>
            <w:bottom w:w="0" w:type="dxa"/>
            <w:right w:w="108" w:type="dxa"/>
          </w:tblCellMar>
        </w:tblPrEx>
        <w:tc>
          <w:tcPr>
            <w:tcW w:w="641" w:type="dxa"/>
            <w:tcBorders>
              <w:top w:val="single" w:color="auto" w:sz="4" w:space="0"/>
              <w:left w:val="single" w:color="auto" w:sz="4" w:space="0"/>
              <w:bottom w:val="single" w:color="auto" w:sz="4" w:space="0"/>
              <w:right w:val="single" w:color="auto" w:sz="4" w:space="0"/>
            </w:tcBorders>
            <w:noWrap w:val="0"/>
            <w:vAlign w:val="center"/>
          </w:tcPr>
          <w:p w14:paraId="67EFF630">
            <w:pPr>
              <w:numPr>
                <w:ilvl w:val="0"/>
                <w:numId w:val="2"/>
              </w:numPr>
              <w:spacing w:after="0" w:line="240" w:lineRule="auto"/>
              <w:rPr>
                <w:rFonts w:hint="eastAsia" w:ascii="宋体" w:hAnsi="宋体" w:cs="仿宋"/>
                <w:kern w:val="0"/>
                <w:sz w:val="24"/>
              </w:rPr>
            </w:pPr>
          </w:p>
        </w:tc>
        <w:tc>
          <w:tcPr>
            <w:tcW w:w="1294" w:type="dxa"/>
            <w:tcBorders>
              <w:top w:val="single" w:color="auto" w:sz="4" w:space="0"/>
              <w:left w:val="nil"/>
              <w:bottom w:val="single" w:color="auto" w:sz="4" w:space="0"/>
              <w:right w:val="single" w:color="auto" w:sz="4" w:space="0"/>
            </w:tcBorders>
            <w:noWrap w:val="0"/>
            <w:vAlign w:val="center"/>
          </w:tcPr>
          <w:p w14:paraId="065222B4">
            <w:pPr>
              <w:spacing w:after="0" w:line="240" w:lineRule="auto"/>
              <w:rPr>
                <w:rFonts w:hint="eastAsia" w:ascii="宋体" w:hAnsi="宋体" w:cs="宋体"/>
                <w:kern w:val="0"/>
                <w:sz w:val="24"/>
                <w:lang w:bidi="ar"/>
              </w:rPr>
            </w:pPr>
            <w:r>
              <w:rPr>
                <w:rFonts w:hint="eastAsia" w:ascii="宋体" w:hAnsi="宋体" w:cs="宋体"/>
                <w:kern w:val="0"/>
                <w:sz w:val="24"/>
                <w:lang w:bidi="ar"/>
              </w:rPr>
              <w:t>床前护栏</w:t>
            </w:r>
          </w:p>
        </w:tc>
        <w:tc>
          <w:tcPr>
            <w:tcW w:w="6573" w:type="dxa"/>
            <w:tcBorders>
              <w:top w:val="single" w:color="auto" w:sz="4" w:space="0"/>
              <w:left w:val="nil"/>
              <w:bottom w:val="single" w:color="auto" w:sz="4" w:space="0"/>
              <w:right w:val="single" w:color="auto" w:sz="4" w:space="0"/>
            </w:tcBorders>
            <w:noWrap w:val="0"/>
            <w:vAlign w:val="center"/>
          </w:tcPr>
          <w:p w14:paraId="162D5B18">
            <w:pPr>
              <w:spacing w:after="0" w:line="240" w:lineRule="auto"/>
              <w:rPr>
                <w:rFonts w:hint="eastAsia" w:ascii="宋体" w:hAnsi="宋体" w:cs="宋体"/>
                <w:kern w:val="0"/>
                <w:sz w:val="24"/>
                <w:lang w:bidi="ar"/>
              </w:rPr>
            </w:pPr>
            <w:r>
              <w:rPr>
                <w:rFonts w:hint="eastAsia" w:ascii="宋体" w:hAnsi="宋体" w:cs="宋体"/>
                <w:kern w:val="0"/>
                <w:sz w:val="24"/>
                <w:lang w:bidi="ar"/>
              </w:rPr>
              <w:t>外观检验合格：应无脱层、裂缝、应无漏喷、锈蚀、脱色、掉色、飞漆等。理化性能检验合格：冲击高度≥400mm，应无剥落、裂纹、皱纹等（检验依据：GB/T 3325-2024、GB/T6739-2022、GB/T1732-2020、GB/T9286-2021）。</w:t>
            </w:r>
          </w:p>
        </w:tc>
      </w:tr>
      <w:tr w14:paraId="5754F8BF">
        <w:tblPrEx>
          <w:tblCellMar>
            <w:top w:w="0" w:type="dxa"/>
            <w:left w:w="108" w:type="dxa"/>
            <w:bottom w:w="0" w:type="dxa"/>
            <w:right w:w="108" w:type="dxa"/>
          </w:tblCellMar>
        </w:tblPrEx>
        <w:tc>
          <w:tcPr>
            <w:tcW w:w="641" w:type="dxa"/>
            <w:tcBorders>
              <w:top w:val="single" w:color="auto" w:sz="4" w:space="0"/>
              <w:left w:val="single" w:color="auto" w:sz="4" w:space="0"/>
              <w:bottom w:val="single" w:color="auto" w:sz="4" w:space="0"/>
              <w:right w:val="single" w:color="auto" w:sz="4" w:space="0"/>
            </w:tcBorders>
            <w:noWrap w:val="0"/>
            <w:vAlign w:val="center"/>
          </w:tcPr>
          <w:p w14:paraId="7B605DE4">
            <w:pPr>
              <w:numPr>
                <w:ilvl w:val="0"/>
                <w:numId w:val="2"/>
              </w:numPr>
              <w:spacing w:after="0" w:line="240" w:lineRule="auto"/>
              <w:rPr>
                <w:rFonts w:hint="eastAsia" w:ascii="宋体" w:hAnsi="宋体" w:cs="仿宋"/>
                <w:kern w:val="0"/>
                <w:sz w:val="24"/>
              </w:rPr>
            </w:pPr>
          </w:p>
        </w:tc>
        <w:tc>
          <w:tcPr>
            <w:tcW w:w="1294" w:type="dxa"/>
            <w:tcBorders>
              <w:top w:val="single" w:color="auto" w:sz="4" w:space="0"/>
              <w:left w:val="nil"/>
              <w:bottom w:val="single" w:color="auto" w:sz="4" w:space="0"/>
              <w:right w:val="single" w:color="auto" w:sz="4" w:space="0"/>
            </w:tcBorders>
            <w:noWrap w:val="0"/>
            <w:vAlign w:val="center"/>
          </w:tcPr>
          <w:p w14:paraId="09F53B13">
            <w:pPr>
              <w:spacing w:after="0" w:line="240" w:lineRule="auto"/>
              <w:rPr>
                <w:rFonts w:hint="eastAsia" w:ascii="宋体" w:hAnsi="宋体" w:cs="宋体"/>
                <w:kern w:val="0"/>
                <w:sz w:val="24"/>
                <w:lang w:bidi="ar"/>
              </w:rPr>
            </w:pPr>
            <w:r>
              <w:rPr>
                <w:rFonts w:hint="eastAsia" w:ascii="宋体" w:hAnsi="宋体" w:cs="宋体"/>
                <w:kern w:val="0"/>
                <w:sz w:val="24"/>
                <w:lang w:bidi="ar"/>
              </w:rPr>
              <w:t>步梯柜</w:t>
            </w:r>
          </w:p>
        </w:tc>
        <w:tc>
          <w:tcPr>
            <w:tcW w:w="6573" w:type="dxa"/>
            <w:tcBorders>
              <w:top w:val="single" w:color="auto" w:sz="4" w:space="0"/>
              <w:left w:val="nil"/>
              <w:bottom w:val="single" w:color="auto" w:sz="4" w:space="0"/>
              <w:right w:val="single" w:color="auto" w:sz="4" w:space="0"/>
            </w:tcBorders>
            <w:noWrap w:val="0"/>
            <w:vAlign w:val="center"/>
          </w:tcPr>
          <w:p w14:paraId="1C8B2470">
            <w:pPr>
              <w:spacing w:after="0" w:line="240" w:lineRule="auto"/>
              <w:rPr>
                <w:rFonts w:hint="eastAsia" w:ascii="宋体" w:hAnsi="宋体" w:cs="宋体"/>
                <w:kern w:val="0"/>
                <w:sz w:val="24"/>
                <w:lang w:bidi="ar"/>
              </w:rPr>
            </w:pPr>
            <w:r>
              <w:rPr>
                <w:rFonts w:hint="eastAsia" w:ascii="宋体" w:hAnsi="宋体" w:cs="宋体"/>
                <w:kern w:val="0"/>
                <w:sz w:val="24"/>
                <w:lang w:bidi="ar"/>
              </w:rPr>
              <w:t>乙酸盐雾试验(ASS)法-100h-涂层本身的耐腐蚀等级：技术要求：涂层本身的耐腐蚀等级≥9级，金属件-喷漆(塑)涂层：应无漏喷、锈蚀、脱色、掉色等，产品表面理化性能:金属喷漆(塑)涂层-附着力≥2级。（检验依据：GB/T 3325-2024、GB/T 9286-2021、GB/T 6739-2022、GB/T 1732-2020、QB/T 3827-1999、QB/T 3832-1999）。</w:t>
            </w:r>
          </w:p>
        </w:tc>
      </w:tr>
      <w:tr w14:paraId="2ECFF215">
        <w:tblPrEx>
          <w:tblCellMar>
            <w:top w:w="0" w:type="dxa"/>
            <w:left w:w="108" w:type="dxa"/>
            <w:bottom w:w="0" w:type="dxa"/>
            <w:right w:w="108" w:type="dxa"/>
          </w:tblCellMar>
        </w:tblPrEx>
        <w:tc>
          <w:tcPr>
            <w:tcW w:w="641" w:type="dxa"/>
            <w:tcBorders>
              <w:top w:val="single" w:color="auto" w:sz="4" w:space="0"/>
              <w:left w:val="single" w:color="auto" w:sz="4" w:space="0"/>
              <w:bottom w:val="single" w:color="auto" w:sz="4" w:space="0"/>
              <w:right w:val="single" w:color="auto" w:sz="4" w:space="0"/>
            </w:tcBorders>
            <w:noWrap w:val="0"/>
            <w:vAlign w:val="center"/>
          </w:tcPr>
          <w:p w14:paraId="698C0418">
            <w:pPr>
              <w:numPr>
                <w:ilvl w:val="0"/>
                <w:numId w:val="2"/>
              </w:numPr>
              <w:spacing w:after="0" w:line="240" w:lineRule="auto"/>
              <w:rPr>
                <w:rFonts w:hint="eastAsia" w:ascii="宋体" w:hAnsi="宋体" w:cs="仿宋"/>
                <w:kern w:val="0"/>
                <w:sz w:val="24"/>
              </w:rPr>
            </w:pPr>
          </w:p>
        </w:tc>
        <w:tc>
          <w:tcPr>
            <w:tcW w:w="1294" w:type="dxa"/>
            <w:tcBorders>
              <w:top w:val="single" w:color="auto" w:sz="4" w:space="0"/>
              <w:left w:val="nil"/>
              <w:bottom w:val="single" w:color="auto" w:sz="4" w:space="0"/>
              <w:right w:val="single" w:color="auto" w:sz="4" w:space="0"/>
            </w:tcBorders>
            <w:noWrap w:val="0"/>
            <w:vAlign w:val="center"/>
          </w:tcPr>
          <w:p w14:paraId="4F7C7144">
            <w:pPr>
              <w:spacing w:after="0" w:line="240" w:lineRule="auto"/>
              <w:rPr>
                <w:rFonts w:hint="eastAsia" w:ascii="宋体" w:hAnsi="宋体" w:cs="宋体"/>
                <w:kern w:val="0"/>
                <w:sz w:val="24"/>
                <w:lang w:bidi="ar"/>
              </w:rPr>
            </w:pPr>
            <w:r>
              <w:rPr>
                <w:rFonts w:hint="eastAsia" w:ascii="宋体" w:hAnsi="宋体" w:cs="宋体"/>
                <w:kern w:val="0"/>
                <w:sz w:val="24"/>
                <w:lang w:bidi="ar"/>
              </w:rPr>
              <w:t>书桌柜</w:t>
            </w:r>
          </w:p>
        </w:tc>
        <w:tc>
          <w:tcPr>
            <w:tcW w:w="6573" w:type="dxa"/>
            <w:tcBorders>
              <w:top w:val="single" w:color="auto" w:sz="4" w:space="0"/>
              <w:left w:val="nil"/>
              <w:bottom w:val="single" w:color="auto" w:sz="4" w:space="0"/>
              <w:right w:val="single" w:color="auto" w:sz="4" w:space="0"/>
            </w:tcBorders>
            <w:noWrap w:val="0"/>
            <w:vAlign w:val="center"/>
          </w:tcPr>
          <w:p w14:paraId="2EB1E89C">
            <w:pPr>
              <w:spacing w:after="0" w:line="240" w:lineRule="auto"/>
              <w:rPr>
                <w:rFonts w:hint="eastAsia" w:ascii="宋体" w:hAnsi="宋体" w:cs="宋体"/>
                <w:kern w:val="0"/>
                <w:sz w:val="24"/>
                <w:lang w:bidi="ar"/>
              </w:rPr>
            </w:pPr>
            <w:r>
              <w:rPr>
                <w:rFonts w:hint="eastAsia" w:ascii="宋体" w:hAnsi="宋体" w:cs="宋体"/>
                <w:kern w:val="0"/>
                <w:sz w:val="24"/>
                <w:lang w:bidi="ar"/>
              </w:rPr>
              <w:t>乙酸盐雾试验(ASS)法-≥18h；技术要求:乙酸盐雾试验(ASS)法耐腐蚀等级达到10级，2，4-二氨基甲苯：技术要求：≤10mg/kg，产品表面理化性能-木制件表面涂层-抗冲击：4级或优于4级，产品有害物质-多环芳烃-苯并[a]芘≤0.5mg/kg（检验依据：GB/T 3325-2024、QB/T 3827-1999、QB/T 3832-1999、</w:t>
            </w:r>
            <w:bookmarkStart w:id="10" w:name="OLE_LINK13"/>
            <w:r>
              <w:rPr>
                <w:rFonts w:hint="eastAsia" w:ascii="宋体" w:hAnsi="宋体" w:cs="宋体"/>
                <w:kern w:val="0"/>
                <w:sz w:val="24"/>
                <w:lang w:bidi="ar"/>
              </w:rPr>
              <w:t>GB/T 4893.9-2013</w:t>
            </w:r>
            <w:bookmarkEnd w:id="10"/>
            <w:r>
              <w:rPr>
                <w:rFonts w:hint="eastAsia" w:ascii="宋体" w:hAnsi="宋体" w:cs="宋体"/>
                <w:kern w:val="0"/>
                <w:sz w:val="24"/>
                <w:lang w:bidi="ar"/>
              </w:rPr>
              <w:t>、GB/T 39223.3-2020、GB/T 40971-2021、GB/T 40907-2021、GB/T 35607-2024）。</w:t>
            </w:r>
          </w:p>
        </w:tc>
      </w:tr>
      <w:tr w14:paraId="67F69D7C">
        <w:tblPrEx>
          <w:tblCellMar>
            <w:top w:w="0" w:type="dxa"/>
            <w:left w:w="108" w:type="dxa"/>
            <w:bottom w:w="0" w:type="dxa"/>
            <w:right w:w="108" w:type="dxa"/>
          </w:tblCellMar>
        </w:tblPrEx>
        <w:tc>
          <w:tcPr>
            <w:tcW w:w="641" w:type="dxa"/>
            <w:tcBorders>
              <w:top w:val="single" w:color="auto" w:sz="4" w:space="0"/>
              <w:left w:val="single" w:color="auto" w:sz="4" w:space="0"/>
              <w:bottom w:val="single" w:color="auto" w:sz="4" w:space="0"/>
              <w:right w:val="single" w:color="auto" w:sz="4" w:space="0"/>
            </w:tcBorders>
            <w:noWrap w:val="0"/>
            <w:vAlign w:val="center"/>
          </w:tcPr>
          <w:p w14:paraId="22309CBC">
            <w:pPr>
              <w:numPr>
                <w:ilvl w:val="0"/>
                <w:numId w:val="2"/>
              </w:numPr>
              <w:spacing w:after="0" w:line="240" w:lineRule="auto"/>
              <w:rPr>
                <w:rFonts w:hint="eastAsia" w:ascii="宋体" w:hAnsi="宋体" w:cs="仿宋"/>
                <w:kern w:val="0"/>
                <w:sz w:val="24"/>
              </w:rPr>
            </w:pPr>
          </w:p>
        </w:tc>
        <w:tc>
          <w:tcPr>
            <w:tcW w:w="1294" w:type="dxa"/>
            <w:tcBorders>
              <w:top w:val="single" w:color="auto" w:sz="4" w:space="0"/>
              <w:left w:val="nil"/>
              <w:bottom w:val="single" w:color="auto" w:sz="4" w:space="0"/>
              <w:right w:val="single" w:color="auto" w:sz="4" w:space="0"/>
            </w:tcBorders>
            <w:noWrap w:val="0"/>
            <w:vAlign w:val="center"/>
          </w:tcPr>
          <w:p w14:paraId="792ECE46">
            <w:pPr>
              <w:spacing w:after="0" w:line="240" w:lineRule="auto"/>
              <w:rPr>
                <w:rFonts w:hint="eastAsia" w:ascii="宋体" w:hAnsi="宋体" w:cs="宋体"/>
                <w:kern w:val="0"/>
                <w:sz w:val="24"/>
                <w:lang w:bidi="ar"/>
              </w:rPr>
            </w:pPr>
            <w:r>
              <w:rPr>
                <w:rFonts w:hint="eastAsia" w:ascii="宋体" w:hAnsi="宋体" w:cs="宋体"/>
                <w:kern w:val="0"/>
                <w:sz w:val="24"/>
                <w:lang w:bidi="ar"/>
              </w:rPr>
              <w:t>蚊帐杆升降调节装置</w:t>
            </w:r>
          </w:p>
        </w:tc>
        <w:tc>
          <w:tcPr>
            <w:tcW w:w="6573" w:type="dxa"/>
            <w:tcBorders>
              <w:top w:val="single" w:color="auto" w:sz="4" w:space="0"/>
              <w:left w:val="nil"/>
              <w:bottom w:val="single" w:color="auto" w:sz="4" w:space="0"/>
              <w:right w:val="single" w:color="auto" w:sz="4" w:space="0"/>
            </w:tcBorders>
            <w:noWrap w:val="0"/>
            <w:vAlign w:val="center"/>
          </w:tcPr>
          <w:p w14:paraId="025DC411">
            <w:pPr>
              <w:spacing w:after="0" w:line="240" w:lineRule="auto"/>
              <w:rPr>
                <w:rFonts w:hint="eastAsia" w:ascii="宋体" w:hAnsi="宋体" w:cs="宋体"/>
                <w:kern w:val="0"/>
                <w:sz w:val="24"/>
                <w:lang w:bidi="ar"/>
              </w:rPr>
            </w:pPr>
            <w:r>
              <w:rPr>
                <w:rFonts w:hint="eastAsia" w:ascii="宋体" w:hAnsi="宋体" w:cs="宋体"/>
                <w:kern w:val="0"/>
                <w:sz w:val="24"/>
                <w:lang w:bidi="ar"/>
              </w:rPr>
              <w:t>拉伸性能：拉伸强度≥47MPa，拉伸断裂应力≥40MPa，拉伸断裂应变≥4%，塑料材料理化性能，耐老化性-室内用：</w:t>
            </w:r>
            <w:r>
              <w:rPr>
                <w:rFonts w:hint="eastAsia" w:ascii="宋体" w:hAnsi="宋体"/>
                <w:sz w:val="24"/>
              </w:rPr>
              <w:t>≥</w:t>
            </w:r>
            <w:r>
              <w:rPr>
                <w:rFonts w:hint="eastAsia" w:ascii="宋体" w:hAnsi="宋体" w:cs="宋体"/>
                <w:kern w:val="0"/>
                <w:sz w:val="24"/>
                <w:lang w:bidi="ar"/>
              </w:rPr>
              <w:t>500h，冲击强度的保持率≥65%，耐老化性-室内用：</w:t>
            </w:r>
            <w:r>
              <w:rPr>
                <w:rFonts w:hint="eastAsia" w:ascii="宋体" w:hAnsi="宋体"/>
                <w:sz w:val="24"/>
              </w:rPr>
              <w:t>≥</w:t>
            </w:r>
            <w:r>
              <w:rPr>
                <w:rFonts w:hint="eastAsia" w:ascii="宋体" w:hAnsi="宋体" w:cs="宋体"/>
                <w:kern w:val="0"/>
                <w:sz w:val="24"/>
                <w:lang w:bidi="ar"/>
              </w:rPr>
              <w:t>500h，外观颜色变色评级≥5级，冲击强度≥10J/㎡（检验依据：GB/T32487-2016、GB/T1040.1-2025、GB/T1041-2008、GB/T9341-2008）。</w:t>
            </w:r>
          </w:p>
        </w:tc>
      </w:tr>
      <w:tr w14:paraId="70C0AFF2">
        <w:tblPrEx>
          <w:tblCellMar>
            <w:top w:w="0" w:type="dxa"/>
            <w:left w:w="108" w:type="dxa"/>
            <w:bottom w:w="0" w:type="dxa"/>
            <w:right w:w="108" w:type="dxa"/>
          </w:tblCellMar>
        </w:tblPrEx>
        <w:tc>
          <w:tcPr>
            <w:tcW w:w="641" w:type="dxa"/>
            <w:tcBorders>
              <w:top w:val="single" w:color="auto" w:sz="4" w:space="0"/>
              <w:left w:val="single" w:color="auto" w:sz="4" w:space="0"/>
              <w:bottom w:val="single" w:color="auto" w:sz="4" w:space="0"/>
              <w:right w:val="single" w:color="auto" w:sz="4" w:space="0"/>
            </w:tcBorders>
            <w:noWrap w:val="0"/>
            <w:vAlign w:val="center"/>
          </w:tcPr>
          <w:p w14:paraId="2204DF00">
            <w:pPr>
              <w:numPr>
                <w:ilvl w:val="0"/>
                <w:numId w:val="2"/>
              </w:numPr>
              <w:spacing w:after="0" w:line="240" w:lineRule="auto"/>
              <w:rPr>
                <w:rFonts w:hint="eastAsia" w:ascii="宋体" w:hAnsi="宋体" w:cs="仿宋"/>
                <w:kern w:val="0"/>
                <w:sz w:val="24"/>
              </w:rPr>
            </w:pPr>
          </w:p>
        </w:tc>
        <w:tc>
          <w:tcPr>
            <w:tcW w:w="1294" w:type="dxa"/>
            <w:tcBorders>
              <w:top w:val="single" w:color="auto" w:sz="4" w:space="0"/>
              <w:left w:val="nil"/>
              <w:bottom w:val="single" w:color="auto" w:sz="4" w:space="0"/>
              <w:right w:val="single" w:color="auto" w:sz="4" w:space="0"/>
            </w:tcBorders>
            <w:noWrap w:val="0"/>
            <w:vAlign w:val="center"/>
          </w:tcPr>
          <w:p w14:paraId="33247EFF">
            <w:pPr>
              <w:spacing w:after="0" w:line="240" w:lineRule="auto"/>
              <w:rPr>
                <w:rFonts w:hint="eastAsia" w:ascii="宋体" w:hAnsi="宋体" w:cs="宋体"/>
                <w:kern w:val="0"/>
                <w:sz w:val="24"/>
                <w:lang w:bidi="ar"/>
              </w:rPr>
            </w:pPr>
            <w:r>
              <w:rPr>
                <w:rFonts w:hint="eastAsia" w:ascii="宋体" w:hAnsi="宋体" w:cs="宋体"/>
                <w:kern w:val="0"/>
                <w:sz w:val="24"/>
                <w:lang w:bidi="ar"/>
              </w:rPr>
              <w:t>脚套塑料件</w:t>
            </w:r>
          </w:p>
        </w:tc>
        <w:tc>
          <w:tcPr>
            <w:tcW w:w="6573" w:type="dxa"/>
            <w:tcBorders>
              <w:top w:val="single" w:color="auto" w:sz="4" w:space="0"/>
              <w:left w:val="nil"/>
              <w:bottom w:val="single" w:color="auto" w:sz="4" w:space="0"/>
              <w:right w:val="single" w:color="auto" w:sz="4" w:space="0"/>
            </w:tcBorders>
            <w:noWrap w:val="0"/>
            <w:vAlign w:val="center"/>
          </w:tcPr>
          <w:p w14:paraId="3C3732A9">
            <w:pPr>
              <w:spacing w:after="0" w:line="240" w:lineRule="auto"/>
              <w:rPr>
                <w:rFonts w:hint="eastAsia" w:ascii="宋体" w:hAnsi="宋体" w:cs="宋体"/>
                <w:kern w:val="0"/>
                <w:sz w:val="24"/>
                <w:lang w:bidi="ar"/>
              </w:rPr>
            </w:pPr>
            <w:r>
              <w:rPr>
                <w:rFonts w:hint="eastAsia" w:ascii="宋体" w:hAnsi="宋体" w:cs="宋体"/>
                <w:kern w:val="0"/>
                <w:sz w:val="24"/>
                <w:lang w:bidi="ar"/>
              </w:rPr>
              <w:t>防霉性能：黑曲霉等级达到0级，球毛壳霉等级达到0级，土曲霉等级达到0级，拉伸强度≥85.0MPa，拉伸断裂应力≥75.0MPa，拉伸断裂应变≥8.0%，抗菌性能，抗菌活性值，金黄色葡萄球菌≤1.4，大肠杆菌（大肠埃希氏菌）≤1.3，肺炎克雷伯氏菌≤1.4，抗菌率，金黄色葡萄球菌≥95%，大肠杆菌（大肠埃希氏菌）≥95%，肺炎克雷伯氏菌≥95%。压缩性能，压缩强度≥20.0MPa，弯曲强度≥160MPa（检测标准符合GB/T24128-2018、GB/T9341-2008、GB/T1040.1-2025、GB/T1041-2008、GB/T31402-2023）。</w:t>
            </w:r>
          </w:p>
        </w:tc>
      </w:tr>
      <w:tr w14:paraId="77F6DE69">
        <w:tblPrEx>
          <w:tblCellMar>
            <w:top w:w="0" w:type="dxa"/>
            <w:left w:w="108" w:type="dxa"/>
            <w:bottom w:w="0" w:type="dxa"/>
            <w:right w:w="108" w:type="dxa"/>
          </w:tblCellMar>
        </w:tblPrEx>
        <w:tc>
          <w:tcPr>
            <w:tcW w:w="641" w:type="dxa"/>
            <w:tcBorders>
              <w:top w:val="single" w:color="auto" w:sz="4" w:space="0"/>
              <w:left w:val="single" w:color="auto" w:sz="4" w:space="0"/>
              <w:bottom w:val="single" w:color="auto" w:sz="4" w:space="0"/>
              <w:right w:val="single" w:color="auto" w:sz="4" w:space="0"/>
            </w:tcBorders>
            <w:noWrap w:val="0"/>
            <w:vAlign w:val="center"/>
          </w:tcPr>
          <w:p w14:paraId="17B72916">
            <w:pPr>
              <w:numPr>
                <w:ilvl w:val="0"/>
                <w:numId w:val="2"/>
              </w:numPr>
              <w:spacing w:after="0" w:line="240" w:lineRule="auto"/>
              <w:rPr>
                <w:rFonts w:hint="eastAsia" w:ascii="宋体" w:hAnsi="宋体" w:cs="仿宋"/>
                <w:kern w:val="0"/>
                <w:sz w:val="24"/>
              </w:rPr>
            </w:pPr>
          </w:p>
        </w:tc>
        <w:tc>
          <w:tcPr>
            <w:tcW w:w="1294" w:type="dxa"/>
            <w:tcBorders>
              <w:top w:val="single" w:color="auto" w:sz="4" w:space="0"/>
              <w:left w:val="nil"/>
              <w:bottom w:val="single" w:color="auto" w:sz="4" w:space="0"/>
              <w:right w:val="single" w:color="auto" w:sz="4" w:space="0"/>
            </w:tcBorders>
            <w:noWrap w:val="0"/>
            <w:vAlign w:val="center"/>
          </w:tcPr>
          <w:p w14:paraId="4335C1DF">
            <w:pPr>
              <w:spacing w:after="0" w:line="240" w:lineRule="auto"/>
              <w:rPr>
                <w:rFonts w:hint="eastAsia" w:ascii="宋体" w:hAnsi="宋体" w:cs="宋体"/>
                <w:kern w:val="0"/>
                <w:sz w:val="24"/>
                <w:lang w:bidi="ar"/>
              </w:rPr>
            </w:pPr>
            <w:r>
              <w:rPr>
                <w:rFonts w:hint="eastAsia" w:ascii="宋体" w:hAnsi="宋体" w:cs="宋体"/>
                <w:kern w:val="0"/>
                <w:sz w:val="24"/>
                <w:lang w:bidi="ar"/>
              </w:rPr>
              <w:t>爬梯</w:t>
            </w:r>
          </w:p>
        </w:tc>
        <w:tc>
          <w:tcPr>
            <w:tcW w:w="6573" w:type="dxa"/>
            <w:tcBorders>
              <w:top w:val="single" w:color="auto" w:sz="4" w:space="0"/>
              <w:left w:val="nil"/>
              <w:bottom w:val="single" w:color="auto" w:sz="4" w:space="0"/>
              <w:right w:val="single" w:color="auto" w:sz="4" w:space="0"/>
            </w:tcBorders>
            <w:noWrap w:val="0"/>
            <w:vAlign w:val="center"/>
          </w:tcPr>
          <w:p w14:paraId="2770D2A3">
            <w:pPr>
              <w:spacing w:after="0" w:line="240" w:lineRule="auto"/>
              <w:rPr>
                <w:rFonts w:hint="eastAsia" w:ascii="宋体" w:hAnsi="宋体" w:cs="宋体"/>
                <w:kern w:val="0"/>
                <w:sz w:val="24"/>
                <w:lang w:bidi="ar"/>
              </w:rPr>
            </w:pPr>
            <w:r>
              <w:rPr>
                <w:rFonts w:hint="eastAsia" w:ascii="宋体" w:hAnsi="宋体" w:cs="宋体"/>
                <w:kern w:val="0"/>
                <w:sz w:val="24"/>
                <w:lang w:bidi="ar"/>
              </w:rPr>
              <w:t>乙酸盐雾试验（ASS）法-24h达到10级，抗拉强度≤430MPa，下屈服强度（屈服强度）≥195MPa，断后伸长率≥33%，金属件各种管材或异形管材其受力部件的管壁厚度不应小于1.2mm，金属件-喷漆（塑）涂层：应无漏喷、锈蚀、脱色、掉色等（检验依据：GB/T 3325-2024、GB/T3094-2012、QB/T 3827-1999、QB/T 3832-1999）。</w:t>
            </w:r>
          </w:p>
        </w:tc>
      </w:tr>
      <w:tr w14:paraId="6C2033AC">
        <w:tblPrEx>
          <w:tblCellMar>
            <w:top w:w="0" w:type="dxa"/>
            <w:left w:w="108" w:type="dxa"/>
            <w:bottom w:w="0" w:type="dxa"/>
            <w:right w:w="108" w:type="dxa"/>
          </w:tblCellMar>
        </w:tblPrEx>
        <w:tc>
          <w:tcPr>
            <w:tcW w:w="641" w:type="dxa"/>
            <w:tcBorders>
              <w:top w:val="single" w:color="auto" w:sz="4" w:space="0"/>
              <w:left w:val="single" w:color="auto" w:sz="4" w:space="0"/>
              <w:bottom w:val="single" w:color="auto" w:sz="4" w:space="0"/>
              <w:right w:val="single" w:color="auto" w:sz="4" w:space="0"/>
            </w:tcBorders>
            <w:noWrap w:val="0"/>
            <w:vAlign w:val="center"/>
          </w:tcPr>
          <w:p w14:paraId="2A673140">
            <w:pPr>
              <w:numPr>
                <w:ilvl w:val="0"/>
                <w:numId w:val="2"/>
              </w:numPr>
              <w:spacing w:after="0" w:line="240" w:lineRule="auto"/>
              <w:rPr>
                <w:rFonts w:hint="eastAsia" w:ascii="宋体" w:hAnsi="宋体" w:cs="仿宋"/>
                <w:kern w:val="0"/>
                <w:sz w:val="24"/>
              </w:rPr>
            </w:pPr>
          </w:p>
        </w:tc>
        <w:tc>
          <w:tcPr>
            <w:tcW w:w="1294" w:type="dxa"/>
            <w:tcBorders>
              <w:top w:val="single" w:color="auto" w:sz="4" w:space="0"/>
              <w:left w:val="nil"/>
              <w:bottom w:val="single" w:color="auto" w:sz="4" w:space="0"/>
              <w:right w:val="single" w:color="auto" w:sz="4" w:space="0"/>
            </w:tcBorders>
            <w:noWrap w:val="0"/>
            <w:vAlign w:val="center"/>
          </w:tcPr>
          <w:p w14:paraId="09B17CC0">
            <w:pPr>
              <w:spacing w:after="0" w:line="240" w:lineRule="auto"/>
              <w:rPr>
                <w:rFonts w:hint="eastAsia" w:ascii="宋体" w:hAnsi="宋体" w:cs="宋体"/>
                <w:kern w:val="0"/>
                <w:sz w:val="24"/>
                <w:lang w:bidi="ar"/>
              </w:rPr>
            </w:pPr>
            <w:r>
              <w:rPr>
                <w:rFonts w:hint="eastAsia" w:ascii="宋体" w:hAnsi="宋体" w:cs="宋体"/>
                <w:kern w:val="0"/>
                <w:sz w:val="24"/>
                <w:lang w:bidi="ar"/>
              </w:rPr>
              <w:t>杉木床板</w:t>
            </w:r>
          </w:p>
        </w:tc>
        <w:tc>
          <w:tcPr>
            <w:tcW w:w="6573" w:type="dxa"/>
            <w:tcBorders>
              <w:top w:val="single" w:color="auto" w:sz="4" w:space="0"/>
              <w:left w:val="nil"/>
              <w:bottom w:val="single" w:color="auto" w:sz="4" w:space="0"/>
              <w:right w:val="single" w:color="auto" w:sz="4" w:space="0"/>
            </w:tcBorders>
            <w:noWrap w:val="0"/>
            <w:vAlign w:val="center"/>
          </w:tcPr>
          <w:p w14:paraId="7D6784B7">
            <w:pPr>
              <w:spacing w:after="0" w:line="240" w:lineRule="auto"/>
              <w:rPr>
                <w:rFonts w:hint="eastAsia" w:ascii="宋体" w:hAnsi="宋体" w:cs="宋体"/>
                <w:kern w:val="0"/>
                <w:sz w:val="24"/>
                <w:lang w:bidi="ar"/>
              </w:rPr>
            </w:pPr>
            <w:r>
              <w:rPr>
                <w:rFonts w:hint="eastAsia" w:ascii="宋体" w:hAnsi="宋体" w:cs="宋体"/>
                <w:kern w:val="0"/>
                <w:sz w:val="24"/>
                <w:lang w:bidi="ar"/>
              </w:rPr>
              <w:t>抗弯强度≥100MPa、木材含水率≤10%、苯、甲苯、二甲苯、总挥发性有机化合物(TVOC)均未检出（检验依据：GB/T 3324-2024、</w:t>
            </w:r>
            <w:bookmarkStart w:id="11" w:name="OLE_LINK12"/>
            <w:r>
              <w:rPr>
                <w:rFonts w:hint="eastAsia" w:ascii="宋体" w:hAnsi="宋体" w:cs="宋体"/>
                <w:kern w:val="0"/>
                <w:sz w:val="24"/>
                <w:lang w:bidi="ar"/>
              </w:rPr>
              <w:t>GB/T29899-2024</w:t>
            </w:r>
            <w:bookmarkEnd w:id="11"/>
            <w:r>
              <w:rPr>
                <w:rFonts w:hint="eastAsia" w:ascii="宋体" w:hAnsi="宋体" w:cs="宋体"/>
                <w:kern w:val="0"/>
                <w:sz w:val="24"/>
                <w:lang w:bidi="ar"/>
              </w:rPr>
              <w:t>、GB/T1927.9-2021）。</w:t>
            </w:r>
          </w:p>
        </w:tc>
      </w:tr>
      <w:tr w14:paraId="452BA31E">
        <w:tblPrEx>
          <w:tblCellMar>
            <w:top w:w="0" w:type="dxa"/>
            <w:left w:w="108" w:type="dxa"/>
            <w:bottom w:w="0" w:type="dxa"/>
            <w:right w:w="108" w:type="dxa"/>
          </w:tblCellMar>
        </w:tblPrEx>
        <w:tc>
          <w:tcPr>
            <w:tcW w:w="641" w:type="dxa"/>
            <w:tcBorders>
              <w:top w:val="single" w:color="auto" w:sz="4" w:space="0"/>
              <w:left w:val="single" w:color="auto" w:sz="4" w:space="0"/>
              <w:bottom w:val="single" w:color="auto" w:sz="4" w:space="0"/>
              <w:right w:val="single" w:color="auto" w:sz="4" w:space="0"/>
            </w:tcBorders>
            <w:noWrap w:val="0"/>
            <w:vAlign w:val="center"/>
          </w:tcPr>
          <w:p w14:paraId="57C1DC71">
            <w:pPr>
              <w:numPr>
                <w:ilvl w:val="0"/>
                <w:numId w:val="2"/>
              </w:numPr>
              <w:spacing w:after="0" w:line="240" w:lineRule="auto"/>
              <w:rPr>
                <w:rFonts w:hint="eastAsia" w:ascii="宋体" w:hAnsi="宋体" w:cs="仿宋"/>
                <w:kern w:val="0"/>
                <w:sz w:val="24"/>
              </w:rPr>
            </w:pPr>
          </w:p>
        </w:tc>
        <w:tc>
          <w:tcPr>
            <w:tcW w:w="1294" w:type="dxa"/>
            <w:tcBorders>
              <w:top w:val="single" w:color="auto" w:sz="4" w:space="0"/>
              <w:left w:val="nil"/>
              <w:bottom w:val="single" w:color="auto" w:sz="4" w:space="0"/>
              <w:right w:val="single" w:color="auto" w:sz="4" w:space="0"/>
            </w:tcBorders>
            <w:noWrap w:val="0"/>
            <w:vAlign w:val="center"/>
          </w:tcPr>
          <w:p w14:paraId="1B06DCAE">
            <w:pPr>
              <w:spacing w:after="0" w:line="240" w:lineRule="auto"/>
              <w:jc w:val="left"/>
              <w:rPr>
                <w:rFonts w:hint="eastAsia" w:ascii="宋体" w:hAnsi="宋体" w:cs="宋体"/>
                <w:kern w:val="0"/>
                <w:sz w:val="24"/>
                <w:lang w:bidi="ar"/>
              </w:rPr>
            </w:pPr>
            <w:r>
              <w:rPr>
                <w:rFonts w:hint="eastAsia" w:ascii="宋体" w:hAnsi="宋体" w:cs="宋体"/>
                <w:kern w:val="0"/>
                <w:sz w:val="24"/>
                <w:lang w:bidi="ar"/>
              </w:rPr>
              <w:t>组合公寓床</w:t>
            </w:r>
          </w:p>
        </w:tc>
        <w:tc>
          <w:tcPr>
            <w:tcW w:w="6573" w:type="dxa"/>
            <w:tcBorders>
              <w:top w:val="single" w:color="auto" w:sz="4" w:space="0"/>
              <w:left w:val="nil"/>
              <w:bottom w:val="single" w:color="auto" w:sz="4" w:space="0"/>
              <w:right w:val="single" w:color="auto" w:sz="4" w:space="0"/>
            </w:tcBorders>
            <w:noWrap w:val="0"/>
            <w:vAlign w:val="center"/>
          </w:tcPr>
          <w:p w14:paraId="330D76B4">
            <w:pPr>
              <w:spacing w:after="0" w:line="240" w:lineRule="auto"/>
              <w:rPr>
                <w:rFonts w:hint="eastAsia" w:ascii="宋体" w:hAnsi="宋体" w:cs="宋体"/>
                <w:kern w:val="0"/>
                <w:sz w:val="24"/>
                <w:lang w:bidi="ar"/>
              </w:rPr>
            </w:pPr>
            <w:r>
              <w:rPr>
                <w:rFonts w:hint="eastAsia" w:ascii="宋体" w:hAnsi="宋体" w:cs="宋体"/>
                <w:kern w:val="0"/>
                <w:sz w:val="24"/>
                <w:lang w:bidi="ar"/>
              </w:rPr>
              <w:t>力学性能：桌面垂直静载荷（加载1000N,10次）符合要求，拉门垂直加载（20kg,10次）符合要求，铺面均布静载荷（1200N，7天）符合要求，搁板弯曲（1.5kg/dm²）符合要求，桌面水平耐久性≥6万次，床结构耐久性≥2万次，柜类拉门耐久性≥8万次，产品有害物质：甲醛释放量≤0.03mg/m</w:t>
            </w:r>
            <w:r>
              <w:rPr>
                <w:rFonts w:hint="eastAsia" w:ascii="宋体" w:hAnsi="宋体" w:cs="宋体"/>
                <w:kern w:val="0"/>
                <w:sz w:val="24"/>
                <w:vertAlign w:val="superscript"/>
                <w:lang w:bidi="ar"/>
              </w:rPr>
              <w:t>3</w:t>
            </w:r>
            <w:r>
              <w:rPr>
                <w:rFonts w:hint="eastAsia" w:ascii="宋体" w:hAnsi="宋体" w:cs="宋体"/>
                <w:kern w:val="0"/>
                <w:sz w:val="24"/>
                <w:lang w:bidi="ar"/>
              </w:rPr>
              <w:t>（检验依据：QB/T 2741-2013、GB/T 35607-2024、GB/T 3325-2024）。</w:t>
            </w:r>
          </w:p>
        </w:tc>
      </w:tr>
    </w:tbl>
    <w:p w14:paraId="11680CA0">
      <w:pPr>
        <w:keepNext/>
        <w:keepLines/>
        <w:widowControl w:val="0"/>
        <w:spacing w:before="260" w:after="260" w:line="400" w:lineRule="exact"/>
        <w:jc w:val="both"/>
        <w:outlineLvl w:val="1"/>
        <w:rPr>
          <w:rFonts w:ascii="Times New Roman" w:hAnsi="Times New Roman" w:eastAsia="宋体" w:cs="Times New Roman"/>
          <w:b/>
          <w:bCs/>
          <w:kern w:val="2"/>
          <w:sz w:val="24"/>
          <w:szCs w:val="24"/>
          <w:lang w:val="en-US" w:eastAsia="zh-CN" w:bidi="ar-SA"/>
        </w:rPr>
      </w:pPr>
      <w:r>
        <w:rPr>
          <w:rFonts w:hint="eastAsia" w:ascii="Times New Roman" w:hAnsi="Times New Roman" w:eastAsia="宋体" w:cs="Times New Roman"/>
          <w:b/>
          <w:bCs/>
          <w:kern w:val="2"/>
          <w:sz w:val="24"/>
          <w:szCs w:val="24"/>
          <w:lang w:val="en-US" w:eastAsia="zh-CN" w:bidi="ar-SA"/>
        </w:rPr>
        <w:t>四、样品（小样）要求</w:t>
      </w:r>
    </w:p>
    <w:p w14:paraId="64EB796B">
      <w:pPr>
        <w:rPr>
          <w:rFonts w:hint="eastAsia" w:ascii="宋体" w:hAnsi="宋体"/>
          <w:sz w:val="24"/>
        </w:rPr>
      </w:pPr>
      <w:r>
        <w:rPr>
          <w:rFonts w:hint="eastAsia" w:ascii="宋体" w:hAnsi="宋体"/>
          <w:sz w:val="24"/>
        </w:rPr>
        <w:t>（一）送样清单：</w:t>
      </w:r>
    </w:p>
    <w:p w14:paraId="36215C95">
      <w:pPr>
        <w:rPr>
          <w:rFonts w:hint="eastAsia" w:ascii="宋体" w:hAnsi="宋体"/>
          <w:sz w:val="24"/>
        </w:rPr>
      </w:pPr>
      <w:r>
        <w:rPr>
          <w:rFonts w:hint="eastAsia" w:ascii="宋体" w:hAnsi="宋体"/>
          <w:sz w:val="24"/>
        </w:rPr>
        <w:t>1、定制学习桌1：抽屉面板1块，</w:t>
      </w:r>
      <w:r>
        <w:rPr>
          <w:rFonts w:hint="eastAsia" w:ascii="宋体" w:hAnsi="宋体" w:cs="宋体"/>
          <w:kern w:val="0"/>
          <w:sz w:val="24"/>
          <w:lang w:bidi="ar"/>
        </w:rPr>
        <w:t>长≥550mm*宽≥110mm</w:t>
      </w:r>
      <w:r>
        <w:rPr>
          <w:rFonts w:hint="eastAsia" w:ascii="宋体" w:hAnsi="宋体"/>
          <w:sz w:val="24"/>
        </w:rPr>
        <w:t>。</w:t>
      </w:r>
    </w:p>
    <w:p w14:paraId="24ABD5C6">
      <w:pPr>
        <w:numPr>
          <w:ilvl w:val="0"/>
          <w:numId w:val="3"/>
        </w:numPr>
        <w:rPr>
          <w:rFonts w:hint="eastAsia" w:ascii="宋体" w:hAnsi="宋体"/>
          <w:sz w:val="24"/>
        </w:rPr>
      </w:pPr>
      <w:r>
        <w:rPr>
          <w:rFonts w:hint="eastAsia" w:ascii="宋体" w:hAnsi="宋体"/>
          <w:sz w:val="24"/>
        </w:rPr>
        <w:t>定制学习桌1：桌面板1块，</w:t>
      </w:r>
      <w:r>
        <w:rPr>
          <w:rFonts w:hint="eastAsia" w:ascii="宋体" w:hAnsi="宋体" w:cs="宋体"/>
          <w:kern w:val="0"/>
          <w:sz w:val="24"/>
          <w:lang w:bidi="ar"/>
        </w:rPr>
        <w:t>长≥200mm*宽≥200mm</w:t>
      </w:r>
      <w:r>
        <w:rPr>
          <w:rFonts w:hint="eastAsia" w:ascii="宋体" w:hAnsi="宋体"/>
          <w:sz w:val="24"/>
        </w:rPr>
        <w:t>，一侧不封边。</w:t>
      </w:r>
    </w:p>
    <w:p w14:paraId="338F01B8">
      <w:pPr>
        <w:rPr>
          <w:rFonts w:hint="eastAsia" w:ascii="宋体" w:hAnsi="宋体"/>
          <w:sz w:val="24"/>
        </w:rPr>
      </w:pPr>
      <w:r>
        <w:rPr>
          <w:rFonts w:hint="eastAsia" w:ascii="宋体" w:hAnsi="宋体"/>
          <w:sz w:val="24"/>
        </w:rPr>
        <w:t>3、定制更衣柜：柜体钢板1块，</w:t>
      </w:r>
      <w:r>
        <w:rPr>
          <w:rFonts w:hint="eastAsia" w:ascii="宋体" w:hAnsi="宋体" w:cs="宋体"/>
          <w:kern w:val="0"/>
          <w:sz w:val="24"/>
          <w:lang w:bidi="ar"/>
        </w:rPr>
        <w:t>长≥100mm*宽≥100mm</w:t>
      </w:r>
      <w:r>
        <w:rPr>
          <w:rFonts w:hint="eastAsia" w:ascii="宋体" w:hAnsi="宋体"/>
          <w:sz w:val="24"/>
        </w:rPr>
        <w:t>。</w:t>
      </w:r>
    </w:p>
    <w:p w14:paraId="211169B6">
      <w:pPr>
        <w:rPr>
          <w:rFonts w:hint="eastAsia" w:ascii="宋体" w:hAnsi="宋体"/>
          <w:sz w:val="24"/>
        </w:rPr>
      </w:pPr>
      <w:r>
        <w:rPr>
          <w:rFonts w:hint="eastAsia" w:ascii="宋体" w:hAnsi="宋体"/>
          <w:sz w:val="24"/>
        </w:rPr>
        <w:t>4、定制单人公寓床（侧爬梯）：边立柱1根，</w:t>
      </w:r>
      <w:r>
        <w:rPr>
          <w:rFonts w:hint="eastAsia" w:ascii="宋体" w:hAnsi="宋体" w:cs="宋体"/>
          <w:kern w:val="0"/>
          <w:sz w:val="24"/>
          <w:lang w:bidi="ar"/>
        </w:rPr>
        <w:t>长≥</w:t>
      </w:r>
      <w:r>
        <w:rPr>
          <w:rFonts w:hint="eastAsia" w:ascii="宋体" w:hAnsi="宋体"/>
          <w:sz w:val="24"/>
        </w:rPr>
        <w:t>200mm，需带脚套。</w:t>
      </w:r>
    </w:p>
    <w:p w14:paraId="7CB5BE19">
      <w:pPr>
        <w:rPr>
          <w:rFonts w:hint="eastAsia" w:ascii="宋体" w:hAnsi="宋体"/>
          <w:sz w:val="24"/>
        </w:rPr>
      </w:pPr>
      <w:r>
        <w:rPr>
          <w:rFonts w:hint="eastAsia" w:ascii="宋体" w:hAnsi="宋体"/>
          <w:sz w:val="24"/>
        </w:rPr>
        <w:t>5、定制单人公寓床（侧爬梯）：长横梁1根，</w:t>
      </w:r>
      <w:r>
        <w:rPr>
          <w:rFonts w:hint="eastAsia" w:ascii="宋体" w:hAnsi="宋体" w:cs="宋体"/>
          <w:kern w:val="0"/>
          <w:sz w:val="24"/>
          <w:lang w:bidi="ar"/>
        </w:rPr>
        <w:t>长≥</w:t>
      </w:r>
      <w:r>
        <w:rPr>
          <w:rFonts w:hint="eastAsia" w:ascii="宋体" w:hAnsi="宋体"/>
          <w:sz w:val="24"/>
        </w:rPr>
        <w:t>200mm，需带床撑套。</w:t>
      </w:r>
    </w:p>
    <w:p w14:paraId="7A2754C8">
      <w:pPr>
        <w:rPr>
          <w:rFonts w:hint="eastAsia" w:ascii="宋体" w:hAnsi="宋体"/>
          <w:sz w:val="24"/>
        </w:rPr>
      </w:pPr>
      <w:r>
        <w:rPr>
          <w:rFonts w:hint="eastAsia" w:ascii="宋体" w:hAnsi="宋体"/>
          <w:sz w:val="24"/>
        </w:rPr>
        <w:t>6、定制</w:t>
      </w:r>
      <w:bookmarkStart w:id="12" w:name="OLE_LINK17"/>
      <w:r>
        <w:rPr>
          <w:rFonts w:hint="eastAsia" w:ascii="宋体" w:hAnsi="宋体"/>
          <w:sz w:val="24"/>
        </w:rPr>
        <w:t>单人公寓床</w:t>
      </w:r>
      <w:bookmarkEnd w:id="12"/>
      <w:r>
        <w:rPr>
          <w:rFonts w:hint="eastAsia" w:ascii="宋体" w:hAnsi="宋体"/>
          <w:sz w:val="24"/>
        </w:rPr>
        <w:t>（侧爬梯）：爬梯支架1个，</w:t>
      </w:r>
      <w:r>
        <w:rPr>
          <w:rFonts w:hint="eastAsia" w:ascii="宋体" w:hAnsi="宋体" w:cs="宋体"/>
          <w:kern w:val="0"/>
          <w:sz w:val="24"/>
          <w:lang w:bidi="ar"/>
        </w:rPr>
        <w:t>长≥</w:t>
      </w:r>
      <w:r>
        <w:rPr>
          <w:rFonts w:hint="eastAsia" w:ascii="宋体" w:hAnsi="宋体"/>
          <w:sz w:val="24"/>
        </w:rPr>
        <w:t>400mm*宽</w:t>
      </w:r>
      <w:r>
        <w:rPr>
          <w:rFonts w:hint="eastAsia" w:ascii="宋体" w:hAnsi="宋体" w:cs="宋体"/>
          <w:kern w:val="0"/>
          <w:sz w:val="24"/>
          <w:lang w:bidi="ar"/>
        </w:rPr>
        <w:t>≥</w:t>
      </w:r>
      <w:r>
        <w:rPr>
          <w:rFonts w:hint="eastAsia" w:ascii="宋体" w:hAnsi="宋体"/>
          <w:sz w:val="24"/>
        </w:rPr>
        <w:t>400mm，需带有2块踏板。</w:t>
      </w:r>
    </w:p>
    <w:p w14:paraId="4E9541E7">
      <w:pPr>
        <w:rPr>
          <w:rFonts w:ascii="宋体" w:hAnsi="宋体"/>
          <w:sz w:val="24"/>
        </w:rPr>
      </w:pPr>
      <w:r>
        <w:rPr>
          <w:rFonts w:hint="eastAsia" w:ascii="宋体" w:hAnsi="宋体"/>
          <w:sz w:val="24"/>
        </w:rPr>
        <w:t>注：①投标人根据自身情况对招标文件的技术要求进行响应，并按照投标文件中响应的技术要求进行样品制作。样品若不符合投标文件中的技术要求或不满足样品清单要求的，视为“错送样品”，但不影响投标文件的有效性。</w:t>
      </w:r>
    </w:p>
    <w:p w14:paraId="755F692B">
      <w:pPr>
        <w:rPr>
          <w:rFonts w:ascii="宋体" w:hAnsi="宋体"/>
          <w:sz w:val="24"/>
        </w:rPr>
      </w:pPr>
      <w:r>
        <w:rPr>
          <w:rFonts w:hint="eastAsia" w:ascii="宋体" w:hAnsi="宋体"/>
          <w:sz w:val="24"/>
        </w:rPr>
        <w:t>②样品颜色：白色及木纹色组合。</w:t>
      </w:r>
    </w:p>
    <w:p w14:paraId="777D391F">
      <w:pPr>
        <w:rPr>
          <w:rFonts w:hint="eastAsia" w:ascii="宋体" w:hAnsi="宋体"/>
          <w:sz w:val="24"/>
        </w:rPr>
      </w:pPr>
      <w:r>
        <w:rPr>
          <w:rFonts w:hint="eastAsia" w:ascii="宋体" w:hAnsi="宋体"/>
          <w:sz w:val="24"/>
        </w:rPr>
        <w:t>（二）送样要求</w:t>
      </w:r>
    </w:p>
    <w:p w14:paraId="7C08F182">
      <w:pPr>
        <w:rPr>
          <w:rFonts w:hint="eastAsia" w:ascii="宋体" w:hAnsi="宋体"/>
          <w:sz w:val="24"/>
        </w:rPr>
      </w:pPr>
      <w:r>
        <w:rPr>
          <w:rFonts w:hint="eastAsia" w:ascii="宋体" w:hAnsi="宋体"/>
          <w:sz w:val="24"/>
        </w:rPr>
        <w:t>1.基本要求：</w:t>
      </w:r>
    </w:p>
    <w:p w14:paraId="58CCCE1A">
      <w:pPr>
        <w:rPr>
          <w:rFonts w:hint="eastAsia" w:ascii="宋体" w:hAnsi="宋体"/>
          <w:sz w:val="24"/>
        </w:rPr>
      </w:pPr>
      <w:r>
        <w:rPr>
          <w:rFonts w:hint="eastAsia" w:ascii="宋体" w:hAnsi="宋体"/>
          <w:sz w:val="24"/>
        </w:rPr>
        <w:t>1.1投标人的样品制作、搬运、安装、拆除等相关费用由投标人承担。</w:t>
      </w:r>
    </w:p>
    <w:p w14:paraId="1E328504">
      <w:pPr>
        <w:rPr>
          <w:rFonts w:hint="eastAsia" w:ascii="宋体" w:hAnsi="宋体"/>
          <w:sz w:val="24"/>
        </w:rPr>
      </w:pPr>
      <w:r>
        <w:rPr>
          <w:rFonts w:hint="eastAsia" w:ascii="宋体" w:hAnsi="宋体"/>
          <w:sz w:val="24"/>
        </w:rPr>
        <w:t>1.2样品作为招标文件的组成部分，若无特殊要求，于投标截止时间前送达投标地点，否则不予接收。</w:t>
      </w:r>
    </w:p>
    <w:p w14:paraId="158F58C6">
      <w:pPr>
        <w:rPr>
          <w:rFonts w:hint="eastAsia" w:ascii="宋体" w:hAnsi="宋体"/>
          <w:sz w:val="24"/>
        </w:rPr>
      </w:pPr>
      <w:r>
        <w:rPr>
          <w:rFonts w:hint="eastAsia" w:ascii="宋体" w:hAnsi="宋体"/>
          <w:sz w:val="24"/>
        </w:rPr>
        <w:t>1.3送达样品时，必须单独提供投标样品详细信息，注明项目名称、项目编号、分包号、样品名称及数量、投标人名称。</w:t>
      </w:r>
    </w:p>
    <w:p w14:paraId="20FD4FB5">
      <w:pPr>
        <w:rPr>
          <w:rFonts w:hint="eastAsia" w:ascii="宋体" w:hAnsi="宋体"/>
          <w:sz w:val="24"/>
        </w:rPr>
      </w:pPr>
      <w:r>
        <w:rPr>
          <w:rFonts w:hint="eastAsia" w:ascii="宋体" w:hAnsi="宋体"/>
          <w:sz w:val="24"/>
        </w:rPr>
        <w:t>1.4样品要求送样至航兴国际广场1号楼3楼，投标人应乘坐货梯至3楼，并按现场工作人员要求摆样。</w:t>
      </w:r>
    </w:p>
    <w:p w14:paraId="7E3A11EC">
      <w:pPr>
        <w:spacing w:line="360" w:lineRule="auto"/>
        <w:rPr>
          <w:rFonts w:hint="eastAsia" w:ascii="宋体" w:hAnsi="宋体"/>
          <w:sz w:val="24"/>
        </w:rPr>
      </w:pPr>
      <w:r>
        <w:rPr>
          <w:rFonts w:hint="eastAsia" w:ascii="宋体" w:hAnsi="宋体"/>
          <w:sz w:val="24"/>
        </w:rPr>
        <w:t>1.5样品封样时，由代理机构工作人员进行封样。</w:t>
      </w:r>
    </w:p>
    <w:p w14:paraId="61DDA3DA">
      <w:pPr>
        <w:spacing w:line="360" w:lineRule="auto"/>
        <w:rPr>
          <w:rFonts w:hint="eastAsia" w:ascii="宋体" w:hAnsi="宋体"/>
          <w:sz w:val="24"/>
        </w:rPr>
      </w:pPr>
      <w:r>
        <w:rPr>
          <w:rFonts w:hint="eastAsia" w:ascii="宋体" w:hAnsi="宋体"/>
          <w:sz w:val="24"/>
        </w:rPr>
        <w:t>1.6样品封样结束后，投标人收到代理机构工作人员移交通知后办理移交，未在此时间内办理移交的，我司对样品不再保存，如果样品遗失或损坏，我司概不负责。</w:t>
      </w:r>
    </w:p>
    <w:p w14:paraId="0A94AC52">
      <w:pPr>
        <w:spacing w:line="360" w:lineRule="auto"/>
        <w:rPr>
          <w:rFonts w:hint="eastAsia" w:ascii="宋体" w:hAnsi="宋体"/>
          <w:sz w:val="24"/>
        </w:rPr>
      </w:pPr>
      <w:bookmarkStart w:id="13" w:name="OLE_LINK14"/>
      <w:r>
        <w:rPr>
          <w:rFonts w:hint="eastAsia" w:ascii="宋体" w:hAnsi="宋体"/>
          <w:sz w:val="24"/>
        </w:rPr>
        <w:t>1.7考虑到本次采购标的物的使用安全性，在中标结果公告发布后，采购人将对综合得分排名前三的中标候选人提交并封样的样品进行留样暂存，并有权委托第三方检测机构对留样样品进行检测，检测结果仅作为采购人履约验收参考，检测情况不改变已确定的评审结果。检测完毕后，采购人将留存中标人的样品作为履约验收使用，第二及第三中标候选人的样品将进行退还。在项目质疑投诉期结束后，其余未中标供应商的样品可自行处理封样样品。</w:t>
      </w:r>
    </w:p>
    <w:bookmarkEnd w:id="13"/>
    <w:p w14:paraId="04FD2FF4">
      <w:pPr>
        <w:rPr>
          <w:rFonts w:hint="eastAsia" w:ascii="宋体" w:hAnsi="宋体"/>
          <w:sz w:val="24"/>
        </w:rPr>
      </w:pPr>
      <w:r>
        <w:rPr>
          <w:rFonts w:hint="eastAsia" w:ascii="宋体" w:hAnsi="宋体"/>
          <w:sz w:val="24"/>
        </w:rPr>
        <w:t>1.8样品移交、退还时，投标人按代理机构工作人员指定的时间、地点办理退还，因样品逾期未撤离而产生的废品处置费，由投标人承担。</w:t>
      </w:r>
    </w:p>
    <w:p w14:paraId="5EE6C774">
      <w:pPr>
        <w:rPr>
          <w:rFonts w:hint="eastAsia" w:ascii="宋体" w:hAnsi="宋体"/>
          <w:sz w:val="24"/>
        </w:rPr>
      </w:pPr>
      <w:r>
        <w:rPr>
          <w:rFonts w:hint="eastAsia" w:ascii="宋体" w:hAnsi="宋体"/>
          <w:sz w:val="24"/>
        </w:rPr>
        <w:t>2.特殊要求：</w:t>
      </w:r>
    </w:p>
    <w:p w14:paraId="11C78D5F">
      <w:pPr>
        <w:rPr>
          <w:rFonts w:hint="eastAsia" w:ascii="宋体" w:hAnsi="宋体"/>
          <w:sz w:val="24"/>
        </w:rPr>
      </w:pPr>
      <w:r>
        <w:rPr>
          <w:rFonts w:hint="eastAsia" w:ascii="宋体" w:hAnsi="宋体"/>
          <w:sz w:val="24"/>
        </w:rPr>
        <w:t>2.1本项目样品评审采用盲样，投标人递交的样品上不得看见可以识别投标人的任何标志或标识或具有暗示性的文字、图案、装饰等。样品未按此要求提供的，样品分为零分。</w:t>
      </w:r>
    </w:p>
    <w:p w14:paraId="342F7BD1">
      <w:pPr>
        <w:rPr>
          <w:rFonts w:hint="eastAsia" w:ascii="宋体" w:hAnsi="宋体"/>
          <w:sz w:val="24"/>
        </w:rPr>
      </w:pPr>
      <w:r>
        <w:rPr>
          <w:rFonts w:hint="eastAsia" w:ascii="宋体" w:hAnsi="宋体"/>
          <w:sz w:val="24"/>
        </w:rPr>
        <w:t>2.2投标人未提供样品或样品不齐全或未按响应的技术要求进行样品制作、3D打印的样品均不得分，但不影响其投标有效性。</w:t>
      </w:r>
    </w:p>
    <w:p w14:paraId="670EFAF8">
      <w:r>
        <w:rPr>
          <w:rFonts w:hint="eastAsia" w:ascii="宋体" w:hAnsi="宋体"/>
          <w:sz w:val="24"/>
        </w:rPr>
        <w:t>2.3盲样评审前由现场工作人员进行随机编号后进入评审。</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mbria Math">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0F4D24"/>
    <w:multiLevelType w:val="singleLevel"/>
    <w:tmpl w:val="EE0F4D24"/>
    <w:lvl w:ilvl="0" w:tentative="0">
      <w:start w:val="2"/>
      <w:numFmt w:val="decimal"/>
      <w:suff w:val="nothing"/>
      <w:lvlText w:val="%1、"/>
      <w:lvlJc w:val="left"/>
    </w:lvl>
  </w:abstractNum>
  <w:abstractNum w:abstractNumId="1">
    <w:nsid w:val="006D0F8F"/>
    <w:multiLevelType w:val="multilevel"/>
    <w:tmpl w:val="006D0F8F"/>
    <w:lvl w:ilvl="0" w:tentative="0">
      <w:start w:val="1"/>
      <w:numFmt w:val="decimal"/>
      <w:suff w:val="nothing"/>
      <w:lvlText w:val="%1"/>
      <w:lvlJc w:val="left"/>
      <w:pPr>
        <w:tabs>
          <w:tab w:val="left" w:pos="0"/>
        </w:tabs>
        <w:ind w:left="635" w:hanging="425"/>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2">
    <w:nsid w:val="5A372858"/>
    <w:multiLevelType w:val="multilevel"/>
    <w:tmpl w:val="5A372858"/>
    <w:lvl w:ilvl="0" w:tentative="0">
      <w:start w:val="1"/>
      <w:numFmt w:val="japaneseCounting"/>
      <w:lvlText w:val="%1、"/>
      <w:lvlJc w:val="left"/>
      <w:pPr>
        <w:ind w:left="504" w:hanging="504"/>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5710A7"/>
    <w:rsid w:val="085710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rFonts w:ascii="Times New Roman" w:hAnsi="Times New Roman"/>
      <w:b/>
      <w:bCs/>
      <w:kern w:val="44"/>
      <w:sz w:val="44"/>
      <w:szCs w:val="44"/>
    </w:rPr>
  </w:style>
  <w:style w:type="paragraph" w:styleId="3">
    <w:name w:val="heading 2"/>
    <w:basedOn w:val="1"/>
    <w:next w:val="1"/>
    <w:qFormat/>
    <w:uiPriority w:val="9"/>
    <w:pPr>
      <w:keepNext/>
      <w:keepLines/>
      <w:spacing w:before="260" w:after="260" w:line="415" w:lineRule="auto"/>
      <w:outlineLvl w:val="1"/>
    </w:pPr>
    <w:rPr>
      <w:rFonts w:ascii="Arial" w:hAnsi="Arial" w:eastAsia="黑体"/>
      <w:b/>
      <w:bCs/>
      <w:sz w:val="32"/>
      <w:szCs w:val="3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footer"/>
    <w:basedOn w:val="1"/>
    <w:qFormat/>
    <w:uiPriority w:val="99"/>
    <w:pPr>
      <w:tabs>
        <w:tab w:val="center" w:pos="4153"/>
        <w:tab w:val="right" w:pos="8306"/>
      </w:tabs>
      <w:snapToGrid w:val="0"/>
      <w:jc w:val="left"/>
    </w:pPr>
    <w:rPr>
      <w:rFonts w:ascii="Times New Roman" w:hAnsi="Times New Roman"/>
      <w:sz w:val="18"/>
      <w:szCs w:val="20"/>
    </w:rPr>
  </w:style>
  <w:style w:type="character" w:styleId="7">
    <w:name w:val="page number"/>
    <w:qFormat/>
    <w:uiPriority w:val="0"/>
  </w:style>
  <w:style w:type="character" w:styleId="8">
    <w:name w:val="annotation reference"/>
    <w:qFormat/>
    <w:uiPriority w:val="0"/>
    <w:rPr>
      <w:sz w:val="21"/>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2026-07-22T09:11:00Z</dcterms:created>
  <dc:creator>空</dc:creator>
  <cp:lastModifiedBy>空</cp:lastModifiedBy>
  <dcterms:modified xsi:type="dcterms:W3CDTF">2026-07-22T09:12:12Z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B309AE200BE344E08DFF226D9A1433D0_11</vt:lpwstr>
  </property>
  <property fmtid="{D5CDD505-2E9C-101B-9397-08002B2CF9AE}" pid="4" name="KSOTemplateDocerSaveRecord">
    <vt:lpwstr>eyJoZGlkIjoiMDg3Nzg5NDEzZDM4MDgyNTM4ZWIzNmZkMmEwMzNjOTYiLCJ1c2VySWQiOiIxMzg1NTY1ODQwIn0=</vt:lpwstr>
  </property>
</Properties>
</file>