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版本号：OTXA-262001104520260224001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透析中心装修改造工程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OTXA-2620011045</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透析中心装修改造工程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OTXA-2620011045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透析中心装修改造工程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优化我院透析中心功能布局，改善透析整体环境，打造区域性标杆，对透析中心进行升级改造。面积约为1103.97㎡，本次改造内容包括透析治疗区域优化、拆除工程、新建工程、墙顶地面装修、设备管路更新、中央空调、新风及水电系统升级等；需满足的要求:满足设计要求，质量符合行业标准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采购包1（透析中心装修改造工程）：属于专门面向中小企业采购。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1、有效的主体资格证明：供应商合法注册的法人或其他组织的营业执照等证明文件，自然人的身份证明；</w:t>
      </w:r>
    </w:p>
    <w:p>
      <w:pPr>
        <w:pStyle w:val="null3"/>
      </w:pPr>
      <w:r>
        <w:rPr>
          <w:rFonts w:ascii="仿宋_GB2312" w:hAnsi="仿宋_GB2312" w:cs="仿宋_GB2312" w:eastAsia="仿宋_GB2312"/>
        </w:rPr>
        <w:t>2、财务状况报告：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p>
      <w:pPr>
        <w:pStyle w:val="null3"/>
      </w:pPr>
      <w:r>
        <w:rPr>
          <w:rFonts w:ascii="仿宋_GB2312" w:hAnsi="仿宋_GB2312" w:cs="仿宋_GB2312" w:eastAsia="仿宋_GB2312"/>
        </w:rPr>
        <w:t>3、法人代表授权书：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p>
      <w:pPr>
        <w:pStyle w:val="null3"/>
      </w:pPr>
      <w:r>
        <w:rPr>
          <w:rFonts w:ascii="仿宋_GB2312" w:hAnsi="仿宋_GB2312" w:cs="仿宋_GB2312" w:eastAsia="仿宋_GB2312"/>
        </w:rPr>
        <w:t>4、依法缴纳税收和社会保障资金的良好记录：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w:t>
      </w:r>
    </w:p>
    <w:p>
      <w:pPr>
        <w:pStyle w:val="null3"/>
      </w:pPr>
      <w:r>
        <w:rPr>
          <w:rFonts w:ascii="仿宋_GB2312" w:hAnsi="仿宋_GB2312" w:cs="仿宋_GB2312" w:eastAsia="仿宋_GB2312"/>
        </w:rPr>
        <w:t>5、具备履行合同所必需的设备和专业技术能力：具备履行合同所必需的设备和专业技术能力的证明材料（提供承诺书）；</w:t>
      </w:r>
    </w:p>
    <w:p>
      <w:pPr>
        <w:pStyle w:val="null3"/>
      </w:pPr>
      <w:r>
        <w:rPr>
          <w:rFonts w:ascii="仿宋_GB2312" w:hAnsi="仿宋_GB2312" w:cs="仿宋_GB2312" w:eastAsia="仿宋_GB2312"/>
        </w:rPr>
        <w:t>6、参加政府采购活动前3年内在经营活动中没有重大违法记录的书面声明：参加政府采购活动前三年内，在经营活动中没有重大违法记录（提供参加政府采购活动前三年内，在经营活动中没有重大违法记录承诺书）；</w:t>
      </w:r>
    </w:p>
    <w:p>
      <w:pPr>
        <w:pStyle w:val="null3"/>
      </w:pPr>
      <w:r>
        <w:rPr>
          <w:rFonts w:ascii="仿宋_GB2312" w:hAnsi="仿宋_GB2312" w:cs="仿宋_GB2312" w:eastAsia="仿宋_GB2312"/>
        </w:rPr>
        <w:t>7、提供声明函：单位负责人为同一人或者存在直接控股、管理关系的不同供应商不得参加同一合同项下的政府采购活动；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8、提供承诺书（格式自拟）：承诺声明投标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pPr>
        <w:pStyle w:val="null3"/>
      </w:pPr>
      <w:r>
        <w:rPr>
          <w:rFonts w:ascii="仿宋_GB2312" w:hAnsi="仿宋_GB2312" w:cs="仿宋_GB2312" w:eastAsia="仿宋_GB2312"/>
        </w:rPr>
        <w:t>9、特定资格：供应商具备建设行政主管部门颁发合法有效的建筑工程施工总承包三级（含）以上资质，并取得有效的安全生产许可证；</w:t>
      </w:r>
    </w:p>
    <w:p>
      <w:pPr>
        <w:pStyle w:val="null3"/>
      </w:pPr>
      <w:r>
        <w:rPr>
          <w:rFonts w:ascii="仿宋_GB2312" w:hAnsi="仿宋_GB2312" w:cs="仿宋_GB2312" w:eastAsia="仿宋_GB2312"/>
        </w:rPr>
        <w:t>10、拟派项目负责人资质及专业要求：供应商拟派项目负责人须具备建筑工程建造师二级及以上资质，同时提供行政主管部门颁发的具有安全生产考核合格证书B类证书，且无在建项目（附承诺）。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孙翊轩、李小艺、陈一凡、方丽娜、张强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029-89585685-805/806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说明：乙方在合同签订前向甲方指定账户交纳履约保证金，为合同总价款5%。质保期限届满后，在扣除相关款项后（若有），剩余部分无息返还。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代理服务费收费标准：招标代理服务费的金额以中标（成交）价为基准参照国家发展计划委员会计价格[2002]1980号文件的规定标准下浮20%计算。</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西安市第九医院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联系人：孙翊轩、李小艺、方丽娜、张强</w:t>
      </w:r>
    </w:p>
    <w:p>
      <w:pPr>
        <w:pStyle w:val="null3"/>
      </w:pPr>
      <w:r>
        <w:rPr>
          <w:rFonts w:ascii="仿宋_GB2312" w:hAnsi="仿宋_GB2312" w:cs="仿宋_GB2312" w:eastAsia="仿宋_GB2312"/>
        </w:rPr>
        <w:t>联系电话：029-89585662转805/806</w:t>
      </w:r>
    </w:p>
    <w:p>
      <w:pPr>
        <w:pStyle w:val="null3"/>
      </w:pPr>
      <w:r>
        <w:rPr>
          <w:rFonts w:ascii="仿宋_GB2312" w:hAnsi="仿宋_GB2312" w:cs="仿宋_GB2312" w:eastAsia="仿宋_GB2312"/>
        </w:rPr>
        <w:t>地址：西安市雁塔区太白南路181号西部电子社区A座A区208-1</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2,750,000.00</w:t>
      </w:r>
    </w:p>
    <w:p>
      <w:pPr>
        <w:pStyle w:val="null3"/>
      </w:pPr>
      <w:r>
        <w:rPr>
          <w:rFonts w:ascii="仿宋_GB2312" w:hAnsi="仿宋_GB2312" w:cs="仿宋_GB2312" w:eastAsia="仿宋_GB2312"/>
        </w:rPr>
        <w:t>采购包最高限价（元）: 2,185,457.33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透析中心装修改造工程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标的名称：透析中心装修改造工程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 xml:space="preserve">          一、项目基本情况：为进一步优化我院透析中心功能布局，改善透析整体环境，打造区域性标杆，对透析中心进行升级改造。面积约为</w:t>
            </w:r>
            <w:r>
              <w:rPr>
                <w:rFonts w:ascii="仿宋_GB2312" w:hAnsi="仿宋_GB2312" w:cs="仿宋_GB2312" w:eastAsia="仿宋_GB2312"/>
                <w:sz w:val="20"/>
              </w:rPr>
              <w:t>1103.97</w:t>
            </w:r>
            <w:r>
              <w:rPr>
                <w:rFonts w:ascii="仿宋_GB2312" w:hAnsi="仿宋_GB2312" w:cs="仿宋_GB2312" w:eastAsia="仿宋_GB2312"/>
                <w:sz w:val="20"/>
              </w:rPr>
              <w:t>㎡，本次改造内容包括透析治疗区域优化、拆除工程、新建工程、墙顶地面装修、设备管路更新、中央空调、新风及水电系统升级等；需满足的要求</w:t>
            </w:r>
            <w:r>
              <w:rPr>
                <w:rFonts w:ascii="仿宋_GB2312" w:hAnsi="仿宋_GB2312" w:cs="仿宋_GB2312" w:eastAsia="仿宋_GB2312"/>
                <w:sz w:val="20"/>
              </w:rPr>
              <w:t>:</w:t>
            </w:r>
            <w:r>
              <w:rPr>
                <w:rFonts w:ascii="仿宋_GB2312" w:hAnsi="仿宋_GB2312" w:cs="仿宋_GB2312" w:eastAsia="仿宋_GB2312"/>
                <w:sz w:val="20"/>
              </w:rPr>
              <w:t>满足设计要求，质量符合行业标准要求。</w:t>
            </w:r>
          </w:p>
          <w:p>
            <w:pPr>
              <w:pStyle w:val="null3"/>
              <w:ind w:firstLine="440"/>
              <w:jc w:val="both"/>
            </w:pP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）中标单位应保证施工材料符合国家有关规定，施工质量达到验收标准合格条件。</w:t>
            </w:r>
          </w:p>
          <w:p>
            <w:pPr>
              <w:pStyle w:val="null3"/>
              <w:ind w:firstLine="44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）中标单位应根据医院需求，施工期间满足医院就医需求。</w:t>
            </w:r>
          </w:p>
          <w:p>
            <w:pPr>
              <w:pStyle w:val="null3"/>
              <w:ind w:firstLine="44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）中标单位应建立完善的现场管理系统，工期范围内保质保量完成施工。</w:t>
            </w:r>
          </w:p>
          <w:p>
            <w:pPr>
              <w:pStyle w:val="null3"/>
              <w:ind w:firstLine="440"/>
            </w:pPr>
            <w:r>
              <w:rPr>
                <w:rFonts w:ascii="仿宋_GB2312" w:hAnsi="仿宋_GB2312" w:cs="仿宋_GB2312" w:eastAsia="仿宋_GB2312"/>
                <w:sz w:val="20"/>
              </w:rPr>
              <w:t>三、</w:t>
            </w:r>
            <w:r>
              <w:rPr>
                <w:rFonts w:ascii="仿宋_GB2312" w:hAnsi="仿宋_GB2312" w:cs="仿宋_GB2312" w:eastAsia="仿宋_GB2312"/>
                <w:sz w:val="20"/>
              </w:rPr>
              <w:t>验收标准：施工质量达到验收标准合格条件，满足医院使用功能。</w:t>
            </w:r>
          </w:p>
          <w:p>
            <w:pPr>
              <w:pStyle w:val="null3"/>
              <w:ind w:firstLine="440"/>
            </w:pPr>
            <w:r>
              <w:rPr>
                <w:rFonts w:ascii="仿宋_GB2312" w:hAnsi="仿宋_GB2312" w:cs="仿宋_GB2312" w:eastAsia="仿宋_GB2312"/>
                <w:sz w:val="20"/>
              </w:rPr>
              <w:t>四、</w:t>
            </w:r>
            <w:r>
              <w:rPr>
                <w:rFonts w:ascii="仿宋_GB2312" w:hAnsi="仿宋_GB2312" w:cs="仿宋_GB2312" w:eastAsia="仿宋_GB2312"/>
                <w:sz w:val="20"/>
              </w:rPr>
              <w:t>工期</w:t>
            </w:r>
            <w:r>
              <w:rPr>
                <w:rFonts w:ascii="仿宋_GB2312" w:hAnsi="仿宋_GB2312" w:cs="仿宋_GB2312" w:eastAsia="仿宋_GB2312"/>
                <w:sz w:val="20"/>
              </w:rPr>
              <w:t>80</w:t>
            </w:r>
            <w:r>
              <w:rPr>
                <w:rFonts w:ascii="仿宋_GB2312" w:hAnsi="仿宋_GB2312" w:cs="仿宋_GB2312" w:eastAsia="仿宋_GB2312"/>
                <w:sz w:val="20"/>
              </w:rPr>
              <w:t>天。</w:t>
            </w:r>
          </w:p>
          <w:p>
            <w:pPr>
              <w:pStyle w:val="null3"/>
              <w:ind w:firstLine="440"/>
            </w:pPr>
            <w:r>
              <w:rPr>
                <w:rFonts w:ascii="仿宋_GB2312" w:hAnsi="仿宋_GB2312" w:cs="仿宋_GB2312" w:eastAsia="仿宋_GB2312"/>
                <w:sz w:val="20"/>
              </w:rPr>
              <w:t>五、</w:t>
            </w:r>
            <w:r>
              <w:rPr>
                <w:rFonts w:ascii="仿宋_GB2312" w:hAnsi="仿宋_GB2312" w:cs="仿宋_GB2312" w:eastAsia="仿宋_GB2312"/>
                <w:sz w:val="20"/>
              </w:rPr>
              <w:t>质保、维保期限：本工程执行工程保修制度，防水部分保修期为五年，其余工程保修期为二年；质量保修期自工程竣工验收合格之日起计算，保修期内出现问题，乙方在接到甲方通知后</w:t>
            </w:r>
            <w:r>
              <w:rPr>
                <w:rFonts w:ascii="仿宋_GB2312" w:hAnsi="仿宋_GB2312" w:cs="仿宋_GB2312" w:eastAsia="仿宋_GB2312"/>
                <w:sz w:val="20"/>
              </w:rPr>
              <w:t>24</w:t>
            </w:r>
            <w:r>
              <w:rPr>
                <w:rFonts w:ascii="仿宋_GB2312" w:hAnsi="仿宋_GB2312" w:cs="仿宋_GB2312" w:eastAsia="仿宋_GB2312"/>
                <w:sz w:val="20"/>
              </w:rPr>
              <w:t>小时内派人免费负责修理，乙方不能及时修理的，甲方有权选择其他第三方修理，由此产生的费用甲方有权从乙方履约保证金中扣除，不足部分，由乙方承担。</w:t>
            </w:r>
          </w:p>
          <w:p>
            <w:pPr>
              <w:pStyle w:val="null3"/>
              <w:ind w:firstLine="440"/>
            </w:pPr>
            <w:r>
              <w:rPr>
                <w:rFonts w:ascii="仿宋_GB2312" w:hAnsi="仿宋_GB2312" w:cs="仿宋_GB2312" w:eastAsia="仿宋_GB2312"/>
                <w:sz w:val="20"/>
              </w:rPr>
              <w:t>六、</w:t>
            </w:r>
            <w:r>
              <w:rPr>
                <w:rFonts w:ascii="仿宋_GB2312" w:hAnsi="仿宋_GB2312" w:cs="仿宋_GB2312" w:eastAsia="仿宋_GB2312"/>
                <w:sz w:val="20"/>
              </w:rPr>
              <w:t>付款方式、支付方式、结算方式及要求：</w:t>
            </w:r>
          </w:p>
          <w:p>
            <w:pPr>
              <w:pStyle w:val="null3"/>
              <w:ind w:firstLine="44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）付款方式：工程竣工验收合格，经审计部门审核后按审核价格一次性支付款项。</w:t>
            </w:r>
          </w:p>
          <w:p>
            <w:pPr>
              <w:pStyle w:val="null3"/>
              <w:ind w:firstLine="44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）结算方式：验收合格后填写政府采购项目验收单（一式两份）</w:t>
            </w:r>
            <w:r>
              <w:rPr>
                <w:rFonts w:ascii="仿宋_GB2312" w:hAnsi="仿宋_GB2312" w:cs="仿宋_GB2312" w:eastAsia="仿宋_GB2312"/>
                <w:sz w:val="20"/>
              </w:rPr>
              <w:t>,</w:t>
            </w:r>
            <w:r>
              <w:rPr>
                <w:rFonts w:ascii="仿宋_GB2312" w:hAnsi="仿宋_GB2312" w:cs="仿宋_GB2312" w:eastAsia="仿宋_GB2312"/>
                <w:sz w:val="20"/>
              </w:rPr>
              <w:t>以审计部门的审核结果作为付款依据。持合同、发票、政府采购项目验收单、甲方审计报告，到甲方办理资金结算。</w:t>
            </w:r>
          </w:p>
          <w:p>
            <w:pPr>
              <w:pStyle w:val="null3"/>
              <w:ind w:firstLine="44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）支付方式：银行转账。甲方通过银行转账方式将款项转入乙方银行账户。</w:t>
            </w:r>
          </w:p>
          <w:p>
            <w:pPr>
              <w:pStyle w:val="null3"/>
              <w:ind w:firstLine="44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）履约保证金：乙方在合同签订前向甲方指定账户交纳履约保证金，为合同总价款</w:t>
            </w:r>
            <w:r>
              <w:rPr>
                <w:rFonts w:ascii="仿宋_GB2312" w:hAnsi="仿宋_GB2312" w:cs="仿宋_GB2312" w:eastAsia="仿宋_GB2312"/>
                <w:sz w:val="20"/>
              </w:rPr>
              <w:t>5%</w:t>
            </w:r>
            <w:r>
              <w:rPr>
                <w:rFonts w:ascii="仿宋_GB2312" w:hAnsi="仿宋_GB2312" w:cs="仿宋_GB2312" w:eastAsia="仿宋_GB2312"/>
                <w:sz w:val="20"/>
              </w:rPr>
              <w:t>。质保期限届满后，在扣除相关款项后（若有），剩余部分无息返还。</w:t>
            </w:r>
          </w:p>
          <w:p>
            <w:pPr>
              <w:pStyle w:val="null3"/>
              <w:ind w:firstLine="440"/>
            </w:pPr>
            <w:r>
              <w:rPr>
                <w:rFonts w:ascii="仿宋_GB2312" w:hAnsi="仿宋_GB2312" w:cs="仿宋_GB2312" w:eastAsia="仿宋_GB2312"/>
                <w:sz w:val="20"/>
              </w:rPr>
              <w:t>七、其他技术服务要求详见清单图纸（附件）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详见采购需求。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响应文件封面 供应商应提交的相关资格证明材料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tc>
        <w:tc>
          <w:tcPr>
            <w:tcW w:type="dxa" w:w="1661"/>
          </w:tcPr>
          <w:p>
            <w:pPr>
              <w:pStyle w:val="null3"/>
            </w:pPr>
            <w:r>
              <w:rPr>
                <w:rFonts w:ascii="仿宋_GB2312" w:hAnsi="仿宋_GB2312" w:cs="仿宋_GB2312" w:eastAsia="仿宋_GB2312"/>
              </w:rPr>
              <w:t>法人代表授权书.docx 供应商应提交的相关资格证明材料 法定代表人证明书.docx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依法缴纳税收和社会保障资金的良好记录</w:t>
            </w:r>
          </w:p>
        </w:tc>
        <w:tc>
          <w:tcPr>
            <w:tcW w:type="dxa" w:w="3322"/>
          </w:tcPr>
          <w:p>
            <w:pPr>
              <w:pStyle w:val="null3"/>
            </w:pPr>
            <w:r>
              <w:rPr>
                <w:rFonts w:ascii="仿宋_GB2312" w:hAnsi="仿宋_GB2312" w:cs="仿宋_GB2312" w:eastAsia="仿宋_GB2312"/>
              </w:rPr>
              <w:t>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具备履行合同所必需的设备和专业技术能力的证明材料（提供承诺书）；</w:t>
            </w:r>
          </w:p>
        </w:tc>
        <w:tc>
          <w:tcPr>
            <w:tcW w:type="dxa" w:w="1661"/>
          </w:tcPr>
          <w:p>
            <w:pPr>
              <w:pStyle w:val="null3"/>
            </w:pPr>
            <w:r>
              <w:rPr>
                <w:rFonts w:ascii="仿宋_GB2312" w:hAnsi="仿宋_GB2312" w:cs="仿宋_GB2312" w:eastAsia="仿宋_GB2312"/>
              </w:rPr>
              <w:t>投标人具有履行本合同所必需的设备和专业技术能力承诺函.docx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参加政府采购活动前三年内，在经营活动中没有重大违法记录（提供参加政府采购活动前三年内，在经营活动中没有重大违法记录承诺书）；</w:t>
            </w:r>
          </w:p>
        </w:tc>
        <w:tc>
          <w:tcPr>
            <w:tcW w:type="dxa" w:w="1661"/>
          </w:tcPr>
          <w:p>
            <w:pPr>
              <w:pStyle w:val="null3"/>
            </w:pPr>
            <w:r>
              <w:rPr>
                <w:rFonts w:ascii="仿宋_GB2312" w:hAnsi="仿宋_GB2312" w:cs="仿宋_GB2312" w:eastAsia="仿宋_GB2312"/>
              </w:rPr>
              <w:t>投标人无重大违法记录的书面声明格式.docx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提供声明函</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提供承诺书（格式自拟）</w:t>
            </w:r>
          </w:p>
        </w:tc>
        <w:tc>
          <w:tcPr>
            <w:tcW w:type="dxa" w:w="3322"/>
          </w:tcPr>
          <w:p>
            <w:pPr>
              <w:pStyle w:val="null3"/>
            </w:pPr>
            <w:r>
              <w:rPr>
                <w:rFonts w:ascii="仿宋_GB2312" w:hAnsi="仿宋_GB2312" w:cs="仿宋_GB2312" w:eastAsia="仿宋_GB2312"/>
              </w:rPr>
              <w:t>承诺声明投标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供应商具备建设行政主管部门颁发合法有效的建筑工程施工总承包三级（含）以上资质，并取得有效的安全生产许可证；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供应商拟派项目负责人须具备建筑工程建造师二级及以上资质，同时提供行政主管部门颁发的具有安全生产考核合格证书B类证书，且无在建项目（附承诺）。</w:t>
            </w:r>
          </w:p>
        </w:tc>
        <w:tc>
          <w:tcPr>
            <w:tcW w:type="dxa" w:w="1661"/>
          </w:tcPr>
          <w:p>
            <w:pPr>
              <w:pStyle w:val="null3"/>
            </w:pPr>
            <w:r>
              <w:rPr>
                <w:rFonts w:ascii="仿宋_GB2312" w:hAnsi="仿宋_GB2312" w:cs="仿宋_GB2312" w:eastAsia="仿宋_GB2312"/>
              </w:rPr>
              <w:t>项目管理机构组成表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响应文件有效期应满足磋商文件要求，不满足的否决其磋商资格。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响应报价超过最高限价的将否决其磋商资格。</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提供利益关系承诺函（实质性要求）</w:t>
            </w:r>
          </w:p>
        </w:tc>
        <w:tc>
          <w:tcPr>
            <w:tcW w:type="dxa" w:w="3322"/>
          </w:tcPr>
          <w:p>
            <w:pPr>
              <w:pStyle w:val="null3"/>
            </w:pPr>
            <w:r>
              <w:rPr>
                <w:rFonts w:ascii="仿宋_GB2312" w:hAnsi="仿宋_GB2312" w:cs="仿宋_GB2312" w:eastAsia="仿宋_GB2312"/>
              </w:rPr>
              <w:t>提供利益关系承诺函</w:t>
            </w:r>
          </w:p>
        </w:tc>
        <w:tc>
          <w:tcPr>
            <w:tcW w:type="dxa" w:w="1661"/>
          </w:tcPr>
          <w:p>
            <w:pPr>
              <w:pStyle w:val="null3"/>
            </w:pPr>
            <w:r>
              <w:rPr>
                <w:rFonts w:ascii="仿宋_GB2312" w:hAnsi="仿宋_GB2312" w:cs="仿宋_GB2312" w:eastAsia="仿宋_GB2312"/>
              </w:rPr>
              <w:t>关联关系声明函.docx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响应文件含有采购人不能接受的附加条件的或关键性商务条款负偏离磋商要求的（付款方式、工期、质保期），将否决其磋商资格。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节能、环保产品承诺</w:t>
            </w:r>
          </w:p>
        </w:tc>
        <w:tc>
          <w:tcPr>
            <w:tcW w:type="dxa" w:w="3322"/>
          </w:tcPr>
          <w:p>
            <w:pPr>
              <w:pStyle w:val="null3"/>
            </w:pPr>
            <w:r>
              <w:rPr>
                <w:rFonts w:ascii="仿宋_GB2312" w:hAnsi="仿宋_GB2312" w:cs="仿宋_GB2312" w:eastAsia="仿宋_GB2312"/>
              </w:rPr>
              <w:t>本项目涉及《财政部 发展改革委 生态环境部 市场监管总局 关于调整优化节能产品、环境标志产品政府采购执行机制的通知》（财库〔2019〕9号）所规定的需强制采购或优先采购的节能产品、环境标志产品的，供应商须承诺按照上述要求提供产品及材料。未提供承诺的将否决其磋商资格。</w:t>
            </w:r>
          </w:p>
        </w:tc>
        <w:tc>
          <w:tcPr>
            <w:tcW w:type="dxa" w:w="1661"/>
          </w:tcPr>
          <w:p>
            <w:pPr>
              <w:pStyle w:val="null3"/>
            </w:pPr>
            <w:r>
              <w:rPr>
                <w:rFonts w:ascii="仿宋_GB2312" w:hAnsi="仿宋_GB2312" w:cs="仿宋_GB2312" w:eastAsia="仿宋_GB2312"/>
              </w:rPr>
              <w:t>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1、整体施工组织计划详细、符合项目特点及要求，各专业施工工艺及技术措施科学合理，得5分； 2、整体施工组织计划较为详细、可以满足项目要求，得2分； 3、整体施工组织计划描述简单、可以满足项目要求、可行，得1分； 4、完全不符合得0分。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4、施工组织计划.docx</w:t>
            </w:r>
          </w:p>
        </w:tc>
      </w:tr>
      <w:tr>
        <w:tc>
          <w:tcPr>
            <w:tcW w:type="dxa" w:w="831"/>
            <w:vMerge/>
          </w:tcPr>
          <w:p/>
        </w:tc>
        <w:tc>
          <w:tcPr>
            <w:tcW w:type="dxa" w:w="1661"/>
          </w:tcPr>
          <w:p>
            <w:pPr>
              <w:pStyle w:val="null3"/>
            </w:pPr>
            <w:r>
              <w:rPr>
                <w:rFonts w:ascii="仿宋_GB2312" w:hAnsi="仿宋_GB2312" w:cs="仿宋_GB2312" w:eastAsia="仿宋_GB2312"/>
              </w:rPr>
              <w:t>施工管理方案</w:t>
            </w:r>
          </w:p>
        </w:tc>
        <w:tc>
          <w:tcPr>
            <w:tcW w:type="dxa" w:w="2492"/>
          </w:tcPr>
          <w:p>
            <w:pPr>
              <w:pStyle w:val="null3"/>
            </w:pPr>
            <w:r>
              <w:rPr>
                <w:rFonts w:ascii="仿宋_GB2312" w:hAnsi="仿宋_GB2312" w:cs="仿宋_GB2312" w:eastAsia="仿宋_GB2312"/>
              </w:rPr>
              <w:t>包括但不限于施工现场的人员管理、材料堆放、设备维护、环境卫生、腾挪方案等方面： 1、管理方案切实可行、细致严谨、科学合理、管理思路清晰得8分； 2、管理方案基本可行、较为严谨、比较合理，管理思路基本清晰得6分； 3、管理方案可行性差，缺乏严谨性和合理性，管理思路混乱的3分； 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5、施工管理方案.docx</w:t>
            </w:r>
          </w:p>
        </w:tc>
      </w:tr>
      <w:tr>
        <w:tc>
          <w:tcPr>
            <w:tcW w:type="dxa" w:w="831"/>
            <w:vMerge/>
          </w:tcPr>
          <w:p/>
        </w:tc>
        <w:tc>
          <w:tcPr>
            <w:tcW w:type="dxa" w:w="1661"/>
          </w:tcPr>
          <w:p>
            <w:pPr>
              <w:pStyle w:val="null3"/>
            </w:pPr>
            <w:r>
              <w:rPr>
                <w:rFonts w:ascii="仿宋_GB2312" w:hAnsi="仿宋_GB2312" w:cs="仿宋_GB2312" w:eastAsia="仿宋_GB2312"/>
              </w:rPr>
              <w:t>原材料采购方案</w:t>
            </w:r>
          </w:p>
        </w:tc>
        <w:tc>
          <w:tcPr>
            <w:tcW w:type="dxa" w:w="2492"/>
          </w:tcPr>
          <w:p>
            <w:pPr>
              <w:pStyle w:val="null3"/>
            </w:pPr>
            <w:r>
              <w:rPr>
                <w:rFonts w:ascii="仿宋_GB2312" w:hAnsi="仿宋_GB2312" w:cs="仿宋_GB2312" w:eastAsia="仿宋_GB2312"/>
              </w:rPr>
              <w:t>1、方案内容详实、全面，明确了原材料的种类、采购渠道、价格控制措施等关键环节，且措施具体可行，具有较强的可操作性和风险防范能力得5分； 2、方案内容基本完整，对原材料采购的主要方面有所涉及，部分措施不够具体得3分； 3、方案内容简单笼统，缺乏对原材料采购关键环 节的明确规划和具体措施得1分；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6、原材料采购方案.docx</w:t>
            </w:r>
          </w:p>
        </w:tc>
      </w:tr>
      <w:tr>
        <w:tc>
          <w:tcPr>
            <w:tcW w:type="dxa" w:w="831"/>
            <w:vMerge/>
          </w:tcPr>
          <w:p/>
        </w:tc>
        <w:tc>
          <w:tcPr>
            <w:tcW w:type="dxa" w:w="1661"/>
          </w:tcPr>
          <w:p>
            <w:pPr>
              <w:pStyle w:val="null3"/>
            </w:pPr>
            <w:r>
              <w:rPr>
                <w:rFonts w:ascii="仿宋_GB2312" w:hAnsi="仿宋_GB2312" w:cs="仿宋_GB2312" w:eastAsia="仿宋_GB2312"/>
              </w:rPr>
              <w:t>应急实施方案</w:t>
            </w:r>
          </w:p>
        </w:tc>
        <w:tc>
          <w:tcPr>
            <w:tcW w:type="dxa" w:w="2492"/>
          </w:tcPr>
          <w:p>
            <w:pPr>
              <w:pStyle w:val="null3"/>
            </w:pPr>
            <w:r>
              <w:rPr>
                <w:rFonts w:ascii="仿宋_GB2312" w:hAnsi="仿宋_GB2312" w:cs="仿宋_GB2312" w:eastAsia="仿宋_GB2312"/>
              </w:rPr>
              <w:t>1、方案内容全面、科学合理，措施具体明确且具有很强的可操作性和有效性，能够全面覆盖应急项目的所有关键环节得4分； 2、方案内容较为完整，措施相对具体，具备一定的可操作性和有效性，能够覆盖应急项目的主要方面得2分； 3、方案内容残缺不全，对应急项目的关键环节几乎没有涉及，措施空洞，不具备可操作性和有效性得1分； 4、未提供不得分。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7、应急实施方案.docx</w:t>
            </w:r>
          </w:p>
        </w:tc>
      </w:tr>
      <w:tr>
        <w:tc>
          <w:tcPr>
            <w:tcW w:type="dxa" w:w="831"/>
            <w:vMerge/>
          </w:tcPr>
          <w:p/>
        </w:tc>
        <w:tc>
          <w:tcPr>
            <w:tcW w:type="dxa" w:w="1661"/>
          </w:tcPr>
          <w:p>
            <w:pPr>
              <w:pStyle w:val="null3"/>
            </w:pPr>
            <w:r>
              <w:rPr>
                <w:rFonts w:ascii="仿宋_GB2312" w:hAnsi="仿宋_GB2312" w:cs="仿宋_GB2312" w:eastAsia="仿宋_GB2312"/>
              </w:rPr>
              <w:t>安全文明施工现场管理</w:t>
            </w:r>
          </w:p>
        </w:tc>
        <w:tc>
          <w:tcPr>
            <w:tcW w:type="dxa" w:w="2492"/>
          </w:tcPr>
          <w:p>
            <w:pPr>
              <w:pStyle w:val="null3"/>
            </w:pPr>
            <w:r>
              <w:rPr>
                <w:rFonts w:ascii="仿宋_GB2312" w:hAnsi="仿宋_GB2312" w:cs="仿宋_GB2312" w:eastAsia="仿宋_GB2312"/>
              </w:rPr>
              <w:t>对供应商提供的安全管理制度、文明施工管理制度、人员管理制度、防尘等管理制度、安全文明施工管理体系进行评审： 1、制度完善、合理，有针对性的得5分； 2、制度较完善、合理的得2分； 3、制度不完善的得1分；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8、安全文明施工现场管理.docx</w:t>
            </w:r>
          </w:p>
        </w:tc>
      </w:tr>
      <w:tr>
        <w:tc>
          <w:tcPr>
            <w:tcW w:type="dxa" w:w="831"/>
            <w:vMerge/>
          </w:tcPr>
          <w:p/>
        </w:tc>
        <w:tc>
          <w:tcPr>
            <w:tcW w:type="dxa" w:w="1661"/>
          </w:tcPr>
          <w:p>
            <w:pPr>
              <w:pStyle w:val="null3"/>
            </w:pPr>
            <w:r>
              <w:rPr>
                <w:rFonts w:ascii="仿宋_GB2312" w:hAnsi="仿宋_GB2312" w:cs="仿宋_GB2312" w:eastAsia="仿宋_GB2312"/>
              </w:rPr>
              <w:t>工程质量保证体系和技术措施</w:t>
            </w:r>
          </w:p>
        </w:tc>
        <w:tc>
          <w:tcPr>
            <w:tcW w:type="dxa" w:w="2492"/>
          </w:tcPr>
          <w:p>
            <w:pPr>
              <w:pStyle w:val="null3"/>
            </w:pPr>
            <w:r>
              <w:rPr>
                <w:rFonts w:ascii="仿宋_GB2312" w:hAnsi="仿宋_GB2312" w:cs="仿宋_GB2312" w:eastAsia="仿宋_GB2312"/>
              </w:rPr>
              <w:t>对供应商提供的工程质量保证体系和技术措施进行评审（包括但不限于施工过程中保证医院正常工作）： 1、质量管理体系健全，具有完整、可行的质量保证体系和质量控制措施，且主要工程和关键部位的技术措施和施工方法明确，主要材料设备质量标准明确、质量控制措施合理、质量溯源及保证措施合理，有满足工程质量检测要求的设备的得5分； 2、质量管理体系基本健全，具有较完整、可行的质量保证体系和质量控制措施，且主要工程和关键部位的技术措施和施工方法基本明确，主要材料设备质量标准基本明确、质量控制措施基本合理、质量溯源及保证措施基本合理的得3分； 3、质量管理体系基本健全，具有较完整、可行的质量保证体系和质量控制措施的得1分；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9、工程质量保证体系和技术措施.docx</w:t>
            </w:r>
          </w:p>
        </w:tc>
      </w:tr>
      <w:tr>
        <w:tc>
          <w:tcPr>
            <w:tcW w:type="dxa" w:w="831"/>
            <w:vMerge/>
          </w:tcPr>
          <w:p/>
        </w:tc>
        <w:tc>
          <w:tcPr>
            <w:tcW w:type="dxa" w:w="1661"/>
          </w:tcPr>
          <w:p>
            <w:pPr>
              <w:pStyle w:val="null3"/>
            </w:pPr>
            <w:r>
              <w:rPr>
                <w:rFonts w:ascii="仿宋_GB2312" w:hAnsi="仿宋_GB2312" w:cs="仿宋_GB2312" w:eastAsia="仿宋_GB2312"/>
              </w:rPr>
              <w:t>确保计划工期的技术组织措施</w:t>
            </w:r>
          </w:p>
        </w:tc>
        <w:tc>
          <w:tcPr>
            <w:tcW w:type="dxa" w:w="2492"/>
          </w:tcPr>
          <w:p>
            <w:pPr>
              <w:pStyle w:val="null3"/>
            </w:pPr>
            <w:r>
              <w:rPr>
                <w:rFonts w:ascii="仿宋_GB2312" w:hAnsi="仿宋_GB2312" w:cs="仿宋_GB2312" w:eastAsia="仿宋_GB2312"/>
              </w:rPr>
              <w:t>对供应商提供的确保计划工期的技术组织措施进行评审： 1、措施完善、合理，有针对性的得5分； 2、措施较完善、合理的得3分； 3、措施不完善的得1分；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10、确保计划工期的技术组织措施.docx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对供应商提供的确保安全生产的技术组织措施进行评审： 1、措施内容详实、有针对性的得5分； 2、措施内容基本完整的得3分； 3、措施有缺漏的得1分；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11、确保安全生产的技术组织措施.docx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对供应商施工机械配备和材料投入计划进行评审： 1、机械、材料配备完整且满足项目需求的得 6 分； 2、机械、材料配备基本完整的得3分； 3、机械、材料配备不完善的得1分；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12、施工机械配备和材料投入计划.docx</w:t>
            </w:r>
          </w:p>
        </w:tc>
      </w:tr>
      <w:tr>
        <w:tc>
          <w:tcPr>
            <w:tcW w:type="dxa" w:w="831"/>
            <w:vMerge/>
          </w:tcPr>
          <w:p/>
        </w:tc>
        <w:tc>
          <w:tcPr>
            <w:tcW w:type="dxa" w:w="1661"/>
          </w:tcPr>
          <w:p>
            <w:pPr>
              <w:pStyle w:val="null3"/>
            </w:pPr>
            <w:r>
              <w:rPr>
                <w:rFonts w:ascii="仿宋_GB2312" w:hAnsi="仿宋_GB2312" w:cs="仿宋_GB2312" w:eastAsia="仿宋_GB2312"/>
              </w:rPr>
              <w:t>拟派项目经理业绩及职称</w:t>
            </w:r>
          </w:p>
        </w:tc>
        <w:tc>
          <w:tcPr>
            <w:tcW w:type="dxa" w:w="2492"/>
          </w:tcPr>
          <w:p>
            <w:pPr>
              <w:pStyle w:val="null3"/>
            </w:pPr>
            <w:r>
              <w:rPr>
                <w:rFonts w:ascii="仿宋_GB2312" w:hAnsi="仿宋_GB2312" w:cs="仿宋_GB2312" w:eastAsia="仿宋_GB2312"/>
              </w:rPr>
              <w:t>1、拟派项目经理近三年（2023年2月至今）承担过的（室内装修）施工业绩项目经理职位，具备一项得1分，本项最高3分。 注：提供所承揽项目的合同复印件，以合同复印件中项目经理的姓名为准，否则不作为考核。 2、拟派项目经理职称：供应商拟派项目经理具备中级工程相关类职称得2分，高级工程相关职称得3分。 注：所提供人员应相关证书复印件，否则不作为考核。</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13、拟派项目经理业绩及职称.docx</w:t>
            </w:r>
          </w:p>
        </w:tc>
      </w:tr>
      <w:tr>
        <w:tc>
          <w:tcPr>
            <w:tcW w:type="dxa" w:w="831"/>
            <w:vMerge/>
          </w:tcPr>
          <w:p/>
        </w:tc>
        <w:tc>
          <w:tcPr>
            <w:tcW w:type="dxa" w:w="1661"/>
          </w:tcPr>
          <w:p>
            <w:pPr>
              <w:pStyle w:val="null3"/>
            </w:pPr>
            <w:r>
              <w:rPr>
                <w:rFonts w:ascii="仿宋_GB2312" w:hAnsi="仿宋_GB2312" w:cs="仿宋_GB2312" w:eastAsia="仿宋_GB2312"/>
              </w:rPr>
              <w:t>拟派项目部组成及人员配备</w:t>
            </w:r>
          </w:p>
        </w:tc>
        <w:tc>
          <w:tcPr>
            <w:tcW w:type="dxa" w:w="2492"/>
          </w:tcPr>
          <w:p>
            <w:pPr>
              <w:pStyle w:val="null3"/>
            </w:pPr>
            <w:r>
              <w:rPr>
                <w:rFonts w:ascii="仿宋_GB2312" w:hAnsi="仿宋_GB2312" w:cs="仿宋_GB2312" w:eastAsia="仿宋_GB2312"/>
              </w:rPr>
              <w:t>施工员、资料员、质量员、材料员、安全员、造价员为基本配置，满足基本配置得6分。缺少任意人员配备本项不得分。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14、拟派项目部组成及人员配备.docx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供应商近三年（2023年2月至今）承担过的同类装饰装修项目施工业绩，每有1项得2分，最多得10分。注：提供业绩合同关键页（包括合同首页、签字盖章页、承揽项目内容相关内容页），否则不予计分。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详见附件：法人代表授权书.docx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详见附件：投标人无重大违法记录的书面声明格式.docx</w:t>
      </w:r>
    </w:p>
    <w:p>
      <w:pPr>
        <w:pStyle w:val="null3"/>
        <w:ind w:firstLine="960"/>
      </w:pPr>
      <w:r>
        <w:rPr>
          <w:rFonts w:ascii="仿宋_GB2312" w:hAnsi="仿宋_GB2312" w:cs="仿宋_GB2312" w:eastAsia="仿宋_GB2312"/>
        </w:rPr>
        <w:t>详见附件：关联关系声明函.docx</w:t>
      </w:r>
    </w:p>
    <w:p>
      <w:pPr>
        <w:pStyle w:val="null3"/>
        <w:ind w:firstLine="960"/>
      </w:pPr>
      <w:r>
        <w:rPr>
          <w:rFonts w:ascii="仿宋_GB2312" w:hAnsi="仿宋_GB2312" w:cs="仿宋_GB2312" w:eastAsia="仿宋_GB2312"/>
        </w:rPr>
        <w:t>详见附件：10、确保计划工期的技术组织措施.docx</w:t>
      </w:r>
    </w:p>
    <w:p>
      <w:pPr>
        <w:pStyle w:val="null3"/>
        <w:ind w:firstLine="960"/>
      </w:pPr>
      <w:r>
        <w:rPr>
          <w:rFonts w:ascii="仿宋_GB2312" w:hAnsi="仿宋_GB2312" w:cs="仿宋_GB2312" w:eastAsia="仿宋_GB2312"/>
        </w:rPr>
        <w:t>详见附件：11、确保安全生产的技术组织措施.docx</w:t>
      </w:r>
    </w:p>
    <w:p>
      <w:pPr>
        <w:pStyle w:val="null3"/>
        <w:ind w:firstLine="960"/>
      </w:pPr>
      <w:r>
        <w:rPr>
          <w:rFonts w:ascii="仿宋_GB2312" w:hAnsi="仿宋_GB2312" w:cs="仿宋_GB2312" w:eastAsia="仿宋_GB2312"/>
        </w:rPr>
        <w:t>详见附件：9、工程质量保证体系和技术措施.docx</w:t>
      </w:r>
    </w:p>
    <w:p>
      <w:pPr>
        <w:pStyle w:val="null3"/>
        <w:ind w:firstLine="960"/>
      </w:pPr>
      <w:r>
        <w:rPr>
          <w:rFonts w:ascii="仿宋_GB2312" w:hAnsi="仿宋_GB2312" w:cs="仿宋_GB2312" w:eastAsia="仿宋_GB2312"/>
        </w:rPr>
        <w:t>详见附件：8、安全文明施工现场管理.docx</w:t>
      </w:r>
    </w:p>
    <w:p>
      <w:pPr>
        <w:pStyle w:val="null3"/>
        <w:ind w:firstLine="960"/>
      </w:pPr>
      <w:r>
        <w:rPr>
          <w:rFonts w:ascii="仿宋_GB2312" w:hAnsi="仿宋_GB2312" w:cs="仿宋_GB2312" w:eastAsia="仿宋_GB2312"/>
        </w:rPr>
        <w:t>详见附件：7、应急实施方案.docx</w:t>
      </w:r>
    </w:p>
    <w:p>
      <w:pPr>
        <w:pStyle w:val="null3"/>
        <w:ind w:firstLine="960"/>
      </w:pPr>
      <w:r>
        <w:rPr>
          <w:rFonts w:ascii="仿宋_GB2312" w:hAnsi="仿宋_GB2312" w:cs="仿宋_GB2312" w:eastAsia="仿宋_GB2312"/>
        </w:rPr>
        <w:t>详见附件：6、原材料采购方案.docx</w:t>
      </w:r>
    </w:p>
    <w:p>
      <w:pPr>
        <w:pStyle w:val="null3"/>
        <w:ind w:firstLine="960"/>
      </w:pPr>
      <w:r>
        <w:rPr>
          <w:rFonts w:ascii="仿宋_GB2312" w:hAnsi="仿宋_GB2312" w:cs="仿宋_GB2312" w:eastAsia="仿宋_GB2312"/>
        </w:rPr>
        <w:t>详见附件：5、施工管理方案.docx</w:t>
      </w:r>
    </w:p>
    <w:p>
      <w:pPr>
        <w:pStyle w:val="null3"/>
        <w:ind w:firstLine="960"/>
      </w:pPr>
      <w:r>
        <w:rPr>
          <w:rFonts w:ascii="仿宋_GB2312" w:hAnsi="仿宋_GB2312" w:cs="仿宋_GB2312" w:eastAsia="仿宋_GB2312"/>
        </w:rPr>
        <w:t>详见附件：4、施工组织计划.docx</w:t>
      </w:r>
    </w:p>
    <w:p>
      <w:pPr>
        <w:pStyle w:val="null3"/>
        <w:ind w:firstLine="960"/>
      </w:pPr>
      <w:r>
        <w:rPr>
          <w:rFonts w:ascii="仿宋_GB2312" w:hAnsi="仿宋_GB2312" w:cs="仿宋_GB2312" w:eastAsia="仿宋_GB2312"/>
        </w:rPr>
        <w:t>详见附件：12、施工机械配备和材料投入计划.docx</w:t>
      </w:r>
    </w:p>
    <w:p>
      <w:pPr>
        <w:pStyle w:val="null3"/>
        <w:ind w:firstLine="960"/>
      </w:pPr>
      <w:r>
        <w:rPr>
          <w:rFonts w:ascii="仿宋_GB2312" w:hAnsi="仿宋_GB2312" w:cs="仿宋_GB2312" w:eastAsia="仿宋_GB2312"/>
        </w:rPr>
        <w:t>详见附件：15、业绩一览表.docx</w:t>
      </w:r>
    </w:p>
    <w:p>
      <w:pPr>
        <w:pStyle w:val="null3"/>
        <w:ind w:firstLine="960"/>
      </w:pPr>
      <w:r>
        <w:rPr>
          <w:rFonts w:ascii="仿宋_GB2312" w:hAnsi="仿宋_GB2312" w:cs="仿宋_GB2312" w:eastAsia="仿宋_GB2312"/>
        </w:rPr>
        <w:t>详见附件：14、拟派项目部组成及人员配备.docx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详见附件：13、拟派项目经理业绩及职称.docx</w:t>
      </w:r>
    </w:p>
    <w:p>
      <w:pPr>
        <w:pStyle w:val="null3"/>
        <w:ind w:firstLine="960"/>
      </w:pPr>
      <w:r>
        <w:rPr>
          <w:rFonts w:ascii="仿宋_GB2312" w:hAnsi="仿宋_GB2312" w:cs="仿宋_GB2312" w:eastAsia="仿宋_GB2312"/>
        </w:rPr>
        <w:t>详见附件：投标人具有履行本合同所必需的设备和专业技术能力承诺函.docx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