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EE7F54">
      <w:pPr>
        <w:adjustRightInd w:val="0"/>
        <w:snapToGrid w:val="0"/>
        <w:spacing w:line="360" w:lineRule="auto"/>
        <w:jc w:val="center"/>
        <w:rPr>
          <w:rFonts w:ascii="宋体" w:hAnsi="宋体"/>
          <w:szCs w:val="21"/>
          <w:u w:val="single"/>
        </w:rPr>
      </w:pPr>
      <w:r>
        <w:rPr>
          <w:rFonts w:hint="eastAsia" w:ascii="黑体" w:hAnsi="黑体" w:eastAsia="黑体"/>
          <w:b/>
          <w:sz w:val="32"/>
          <w:szCs w:val="32"/>
        </w:rPr>
        <w:t>竞争性谈判邀请公告</w:t>
      </w:r>
    </w:p>
    <w:p w14:paraId="54F5F84A">
      <w:pPr>
        <w:pageBreakBefore w:val="0"/>
        <w:widowControl w:val="0"/>
        <w:kinsoku/>
        <w:wordWrap/>
        <w:overflowPunct/>
        <w:topLinePunct w:val="0"/>
        <w:autoSpaceDE/>
        <w:autoSpaceDN/>
        <w:bidi w:val="0"/>
        <w:adjustRightInd w:val="0"/>
        <w:snapToGrid w:val="0"/>
        <w:spacing w:before="156" w:beforeLines="50" w:line="460" w:lineRule="exact"/>
        <w:ind w:firstLine="630" w:firstLineChars="300"/>
        <w:textAlignment w:val="auto"/>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张家界旅游学校</w:t>
      </w:r>
      <w:r>
        <w:rPr>
          <w:rFonts w:hint="eastAsia" w:ascii="宋体" w:hAnsi="宋体"/>
          <w:color w:val="000000" w:themeColor="text1"/>
          <w:szCs w:val="21"/>
          <w14:textFill>
            <w14:solidFill>
              <w14:schemeClr w14:val="tx1"/>
            </w14:solidFill>
          </w14:textFill>
        </w:rPr>
        <w:t>的</w:t>
      </w:r>
      <w:r>
        <w:rPr>
          <w:rFonts w:hint="eastAsia" w:ascii="宋体" w:hAnsi="宋体"/>
          <w:color w:val="000000" w:themeColor="text1"/>
          <w:szCs w:val="21"/>
          <w:u w:val="single"/>
          <w:lang w:eastAsia="zh-CN"/>
          <w14:textFill>
            <w14:solidFill>
              <w14:schemeClr w14:val="tx1"/>
            </w14:solidFill>
          </w14:textFill>
        </w:rPr>
        <w:t>2024年学生校服采购（第三次）</w:t>
      </w:r>
      <w:r>
        <w:rPr>
          <w:rFonts w:hint="eastAsia" w:ascii="宋体" w:hAnsi="宋体"/>
          <w:color w:val="000000" w:themeColor="text1"/>
          <w:szCs w:val="21"/>
          <w14:textFill>
            <w14:solidFill>
              <w14:schemeClr w14:val="tx1"/>
            </w14:solidFill>
          </w14:textFill>
        </w:rPr>
        <w:t>进行竞争性谈判采购，现采用发布公告方式，邀请符合资格条件的供应商</w:t>
      </w:r>
      <w:r>
        <w:rPr>
          <w:rFonts w:hint="eastAsia" w:ascii="宋体" w:hAnsi="宋体" w:cs="宋体"/>
          <w:color w:val="000000" w:themeColor="text1"/>
          <w:szCs w:val="21"/>
          <w14:textFill>
            <w14:solidFill>
              <w14:schemeClr w14:val="tx1"/>
            </w14:solidFill>
          </w14:textFill>
        </w:rPr>
        <w:t>提</w:t>
      </w:r>
      <w:r>
        <w:rPr>
          <w:rFonts w:hint="eastAsia" w:ascii="宋体" w:hAnsi="宋体"/>
          <w:color w:val="000000" w:themeColor="text1"/>
          <w:szCs w:val="21"/>
          <w14:textFill>
            <w14:solidFill>
              <w14:schemeClr w14:val="tx1"/>
            </w14:solidFill>
          </w14:textFill>
        </w:rPr>
        <w:t>交证明材料</w:t>
      </w:r>
      <w:r>
        <w:rPr>
          <w:rFonts w:hint="eastAsia" w:ascii="宋体" w:hAnsi="宋体" w:cs="宋体"/>
          <w:color w:val="000000" w:themeColor="text1"/>
          <w:szCs w:val="21"/>
          <w14:textFill>
            <w14:solidFill>
              <w14:schemeClr w14:val="tx1"/>
            </w14:solidFill>
          </w14:textFill>
        </w:rPr>
        <w:t>参与资格</w:t>
      </w:r>
      <w:r>
        <w:rPr>
          <w:rFonts w:hint="eastAsia" w:ascii="宋体" w:hAnsi="宋体"/>
          <w:color w:val="000000" w:themeColor="text1"/>
          <w:szCs w:val="21"/>
          <w14:textFill>
            <w14:solidFill>
              <w14:schemeClr w14:val="tx1"/>
            </w14:solidFill>
          </w14:textFill>
        </w:rPr>
        <w:t>审查活动。</w:t>
      </w:r>
    </w:p>
    <w:p w14:paraId="5E509ABC">
      <w:pPr>
        <w:keepNext/>
        <w:keepLines/>
        <w:pageBreakBefore w:val="0"/>
        <w:widowControl w:val="0"/>
        <w:kinsoku/>
        <w:wordWrap/>
        <w:overflowPunct/>
        <w:topLinePunct w:val="0"/>
        <w:autoSpaceDE/>
        <w:autoSpaceDN/>
        <w:bidi w:val="0"/>
        <w:adjustRightInd w:val="0"/>
        <w:snapToGrid w:val="0"/>
        <w:spacing w:before="156" w:beforeLines="50" w:line="460" w:lineRule="exact"/>
        <w:textAlignment w:val="auto"/>
        <w:outlineLvl w:val="1"/>
        <w:rPr>
          <w:rFonts w:ascii="黑体" w:hAnsi="黑体" w:eastAsia="黑体"/>
          <w:b/>
          <w:bCs/>
          <w:color w:val="000000" w:themeColor="text1"/>
          <w:sz w:val="24"/>
          <w:szCs w:val="32"/>
          <w14:textFill>
            <w14:solidFill>
              <w14:schemeClr w14:val="tx1"/>
            </w14:solidFill>
          </w14:textFill>
        </w:rPr>
      </w:pPr>
      <w:bookmarkStart w:id="0" w:name="_Toc110606572"/>
      <w:bookmarkStart w:id="1" w:name="_Toc22657511"/>
      <w:bookmarkStart w:id="2" w:name="_Toc16639"/>
      <w:bookmarkStart w:id="3" w:name="_Toc31599"/>
      <w:r>
        <w:rPr>
          <w:rFonts w:hint="eastAsia" w:ascii="黑体" w:hAnsi="黑体" w:eastAsia="黑体"/>
          <w:b/>
          <w:bCs/>
          <w:color w:val="000000" w:themeColor="text1"/>
          <w:sz w:val="24"/>
          <w:szCs w:val="32"/>
          <w14:textFill>
            <w14:solidFill>
              <w14:schemeClr w14:val="tx1"/>
            </w14:solidFill>
          </w14:textFill>
        </w:rPr>
        <w:t>一、项目概况</w:t>
      </w:r>
      <w:bookmarkEnd w:id="0"/>
      <w:bookmarkEnd w:id="1"/>
      <w:bookmarkEnd w:id="2"/>
      <w:bookmarkEnd w:id="3"/>
    </w:p>
    <w:p w14:paraId="3D808CC1">
      <w:pPr>
        <w:pageBreakBefore w:val="0"/>
        <w:widowControl w:val="0"/>
        <w:kinsoku/>
        <w:wordWrap/>
        <w:overflowPunct/>
        <w:topLinePunct w:val="0"/>
        <w:autoSpaceDE/>
        <w:autoSpaceDN/>
        <w:bidi w:val="0"/>
        <w:adjustRightInd w:val="0"/>
        <w:snapToGrid w:val="0"/>
        <w:spacing w:line="460" w:lineRule="exact"/>
        <w:ind w:firstLine="420" w:firstLineChars="200"/>
        <w:textAlignment w:val="auto"/>
        <w:rPr>
          <w:rFonts w:hint="eastAsia" w:ascii="宋体" w:hAnsi="宋体"/>
          <w:color w:val="000000" w:themeColor="text1"/>
          <w:szCs w:val="21"/>
          <w:u w:val="single"/>
          <w14:textFill>
            <w14:solidFill>
              <w14:schemeClr w14:val="tx1"/>
            </w14:solidFill>
          </w14:textFill>
        </w:rPr>
      </w:pPr>
      <w:bookmarkStart w:id="4" w:name="_Toc22657512"/>
      <w:r>
        <w:rPr>
          <w:rFonts w:hint="eastAsia" w:ascii="宋体" w:hAnsi="宋体"/>
          <w:color w:val="000000" w:themeColor="text1"/>
          <w:szCs w:val="21"/>
          <w14:textFill>
            <w14:solidFill>
              <w14:schemeClr w14:val="tx1"/>
            </w14:solidFill>
          </w14:textFill>
        </w:rPr>
        <w:t>1、采购项目名称：</w:t>
      </w:r>
      <w:r>
        <w:rPr>
          <w:rFonts w:hint="eastAsia" w:ascii="宋体" w:hAnsi="宋体"/>
          <w:color w:val="000000" w:themeColor="text1"/>
          <w:szCs w:val="21"/>
          <w:u w:val="single"/>
          <w14:textFill>
            <w14:solidFill>
              <w14:schemeClr w14:val="tx1"/>
            </w14:solidFill>
          </w14:textFill>
        </w:rPr>
        <w:t>张家界旅游学校2024年学生校服采购（</w:t>
      </w:r>
      <w:r>
        <w:rPr>
          <w:rFonts w:hint="eastAsia" w:ascii="宋体" w:hAnsi="宋体"/>
          <w:color w:val="000000" w:themeColor="text1"/>
          <w:szCs w:val="21"/>
          <w:u w:val="single"/>
          <w:lang w:eastAsia="zh-CN"/>
          <w14:textFill>
            <w14:solidFill>
              <w14:schemeClr w14:val="tx1"/>
            </w14:solidFill>
          </w14:textFill>
        </w:rPr>
        <w:t>第三次</w:t>
      </w:r>
      <w:r>
        <w:rPr>
          <w:rFonts w:hint="eastAsia" w:ascii="宋体" w:hAnsi="宋体"/>
          <w:color w:val="000000" w:themeColor="text1"/>
          <w:szCs w:val="21"/>
          <w:u w:val="single"/>
          <w14:textFill>
            <w14:solidFill>
              <w14:schemeClr w14:val="tx1"/>
            </w14:solidFill>
          </w14:textFill>
        </w:rPr>
        <w:t>）</w:t>
      </w:r>
    </w:p>
    <w:p w14:paraId="0ECB75DA">
      <w:pPr>
        <w:pageBreakBefore w:val="0"/>
        <w:widowControl w:val="0"/>
        <w:kinsoku/>
        <w:wordWrap/>
        <w:overflowPunct/>
        <w:topLinePunct w:val="0"/>
        <w:autoSpaceDE/>
        <w:autoSpaceDN/>
        <w:bidi w:val="0"/>
        <w:adjustRightInd w:val="0"/>
        <w:snapToGrid w:val="0"/>
        <w:spacing w:line="460" w:lineRule="exact"/>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2、政府采购计划编号：</w:t>
      </w:r>
      <w:r>
        <w:rPr>
          <w:rFonts w:hint="eastAsia" w:ascii="宋体" w:hAnsi="宋体"/>
          <w:color w:val="000000" w:themeColor="text1"/>
          <w:szCs w:val="21"/>
          <w:u w:val="single"/>
          <w14:textFill>
            <w14:solidFill>
              <w14:schemeClr w14:val="tx1"/>
            </w14:solidFill>
          </w14:textFill>
        </w:rPr>
        <w:t>永定财采计[2024]</w:t>
      </w:r>
      <w:r>
        <w:rPr>
          <w:rFonts w:hint="eastAsia" w:ascii="宋体" w:hAnsi="宋体"/>
          <w:color w:val="000000" w:themeColor="text1"/>
          <w:szCs w:val="21"/>
          <w:u w:val="single"/>
          <w:lang w:val="en-US" w:eastAsia="zh-CN"/>
          <w14:textFill>
            <w14:solidFill>
              <w14:schemeClr w14:val="tx1"/>
            </w14:solidFill>
          </w14:textFill>
        </w:rPr>
        <w:t>138</w:t>
      </w:r>
      <w:r>
        <w:rPr>
          <w:rFonts w:hint="eastAsia" w:ascii="宋体" w:hAnsi="宋体"/>
          <w:color w:val="000000" w:themeColor="text1"/>
          <w:szCs w:val="21"/>
          <w:u w:val="single"/>
          <w14:textFill>
            <w14:solidFill>
              <w14:schemeClr w14:val="tx1"/>
            </w14:solidFill>
          </w14:textFill>
        </w:rPr>
        <w:t>号</w:t>
      </w:r>
    </w:p>
    <w:p w14:paraId="1CE3214F">
      <w:pPr>
        <w:pageBreakBefore w:val="0"/>
        <w:widowControl w:val="0"/>
        <w:kinsoku/>
        <w:wordWrap/>
        <w:overflowPunct/>
        <w:topLinePunct w:val="0"/>
        <w:autoSpaceDE/>
        <w:autoSpaceDN/>
        <w:bidi w:val="0"/>
        <w:adjustRightInd w:val="0"/>
        <w:snapToGrid w:val="0"/>
        <w:spacing w:line="460" w:lineRule="exact"/>
        <w:ind w:firstLine="420" w:firstLineChars="200"/>
        <w:textAlignment w:val="auto"/>
        <w:rPr>
          <w:rFonts w:hint="eastAsia" w:ascii="宋体" w:hAnsi="宋体" w:eastAsia="宋体"/>
          <w:bCs/>
          <w:color w:val="000000" w:themeColor="text1"/>
          <w:szCs w:val="21"/>
          <w:u w:val="single"/>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3、委托代理编号：</w:t>
      </w:r>
      <w:r>
        <w:rPr>
          <w:rFonts w:hint="eastAsia" w:ascii="宋体" w:hAnsi="宋体"/>
          <w:bCs/>
          <w:color w:val="000000" w:themeColor="text1"/>
          <w:szCs w:val="21"/>
          <w:u w:val="single"/>
          <w:lang w:val="en-US" w:eastAsia="zh-CN"/>
          <w14:textFill>
            <w14:solidFill>
              <w14:schemeClr w14:val="tx1"/>
            </w14:solidFill>
          </w14:textFill>
        </w:rPr>
        <w:t>9539-20240902-32</w:t>
      </w:r>
    </w:p>
    <w:p w14:paraId="670430DA">
      <w:pPr>
        <w:pageBreakBefore w:val="0"/>
        <w:widowControl w:val="0"/>
        <w:kinsoku/>
        <w:wordWrap/>
        <w:overflowPunct/>
        <w:topLinePunct w:val="0"/>
        <w:autoSpaceDE/>
        <w:autoSpaceDN/>
        <w:bidi w:val="0"/>
        <w:adjustRightInd w:val="0"/>
        <w:snapToGrid w:val="0"/>
        <w:spacing w:line="460" w:lineRule="exact"/>
        <w:ind w:firstLine="420" w:firstLineChars="200"/>
        <w:textAlignment w:val="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4、采购项目预算：</w:t>
      </w:r>
      <w:r>
        <w:rPr>
          <w:rFonts w:hint="eastAsia" w:ascii="宋体" w:hAnsi="宋体"/>
          <w:bCs/>
          <w:color w:val="000000" w:themeColor="text1"/>
          <w:szCs w:val="21"/>
          <w:u w:val="single"/>
          <w14:textFill>
            <w14:solidFill>
              <w14:schemeClr w14:val="tx1"/>
            </w14:solidFill>
          </w14:textFill>
        </w:rPr>
        <w:t>1098000.00元</w:t>
      </w:r>
    </w:p>
    <w:p w14:paraId="0243B02A">
      <w:pPr>
        <w:pageBreakBefore w:val="0"/>
        <w:widowControl w:val="0"/>
        <w:kinsoku/>
        <w:wordWrap/>
        <w:overflowPunct/>
        <w:topLinePunct w:val="0"/>
        <w:autoSpaceDE/>
        <w:autoSpaceDN/>
        <w:bidi w:val="0"/>
        <w:adjustRightInd w:val="0"/>
        <w:snapToGrid w:val="0"/>
        <w:spacing w:line="460" w:lineRule="exact"/>
        <w:ind w:firstLine="630" w:firstLineChars="300"/>
        <w:textAlignment w:val="auto"/>
        <w:rPr>
          <w:rFonts w:hint="eastAsia" w:ascii="宋体" w:hAnsi="宋体"/>
          <w:b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FE"/>
      </w:r>
      <w:r>
        <w:rPr>
          <w:rFonts w:hint="eastAsia" w:ascii="宋体" w:hAnsi="宋体"/>
          <w:bCs/>
          <w:color w:val="000000" w:themeColor="text1"/>
          <w:szCs w:val="21"/>
          <w14:textFill>
            <w14:solidFill>
              <w14:schemeClr w14:val="tx1"/>
            </w14:solidFill>
          </w14:textFill>
        </w:rPr>
        <w:t>支持预付款，预付比例：0%</w:t>
      </w:r>
    </w:p>
    <w:p w14:paraId="1562BE8D">
      <w:pPr>
        <w:pageBreakBefore w:val="0"/>
        <w:widowControl w:val="0"/>
        <w:kinsoku/>
        <w:wordWrap/>
        <w:overflowPunct/>
        <w:topLinePunct w:val="0"/>
        <w:autoSpaceDE/>
        <w:autoSpaceDN/>
        <w:bidi w:val="0"/>
        <w:adjustRightInd w:val="0"/>
        <w:snapToGrid w:val="0"/>
        <w:spacing w:line="460" w:lineRule="exact"/>
        <w:ind w:firstLine="420" w:firstLineChars="200"/>
        <w:textAlignment w:val="auto"/>
        <w:rPr>
          <w:rFonts w:ascii="宋体" w:hAnsi="宋体"/>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5、本项目</w:t>
      </w:r>
      <w:r>
        <w:rPr>
          <w:rFonts w:hint="eastAsia" w:ascii="宋体" w:hAnsi="宋体"/>
          <w:color w:val="000000" w:themeColor="text1"/>
          <w:szCs w:val="21"/>
          <w14:textFill>
            <w14:solidFill>
              <w14:schemeClr w14:val="tx1"/>
            </w14:solidFill>
          </w14:textFill>
        </w:rPr>
        <w:t>对应的中小企业划分标准所属行业：</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s="宋体"/>
          <w:color w:val="000000" w:themeColor="text1"/>
          <w:sz w:val="22"/>
          <w:szCs w:val="22"/>
          <w:u w:val="single"/>
          <w14:textFill>
            <w14:solidFill>
              <w14:schemeClr w14:val="tx1"/>
            </w14:solidFill>
          </w14:textFill>
        </w:rPr>
        <w:t>其他未列明行业</w:t>
      </w:r>
      <w:r>
        <w:rPr>
          <w:rFonts w:hint="eastAsia" w:ascii="宋体" w:hAnsi="宋体"/>
          <w:color w:val="000000" w:themeColor="text1"/>
          <w:szCs w:val="21"/>
          <w:u w:val="single"/>
          <w14:textFill>
            <w14:solidFill>
              <w14:schemeClr w14:val="tx1"/>
            </w14:solidFill>
          </w14:textFill>
        </w:rPr>
        <w:t xml:space="preserve"> </w:t>
      </w:r>
    </w:p>
    <w:p w14:paraId="1086608D">
      <w:pPr>
        <w:pageBreakBefore w:val="0"/>
        <w:widowControl w:val="0"/>
        <w:kinsoku/>
        <w:wordWrap/>
        <w:overflowPunct/>
        <w:topLinePunct w:val="0"/>
        <w:autoSpaceDE/>
        <w:autoSpaceDN/>
        <w:bidi w:val="0"/>
        <w:adjustRightInd w:val="0"/>
        <w:snapToGrid w:val="0"/>
        <w:spacing w:line="460" w:lineRule="exact"/>
        <w:ind w:firstLine="420" w:firstLineChars="200"/>
        <w:textAlignment w:val="auto"/>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6、合同定价方式：</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固定总价 </w:t>
      </w:r>
      <w:r>
        <w:rPr>
          <w:rFonts w:hint="eastAsia" w:ascii="宋体" w:hAnsi="宋体"/>
          <w:iCs/>
          <w:color w:val="000000" w:themeColor="text1"/>
          <w:szCs w:val="21"/>
          <w14:textFill>
            <w14:solidFill>
              <w14:schemeClr w14:val="tx1"/>
            </w14:solidFill>
          </w14:textFill>
        </w:rPr>
        <w:sym w:font="Wingdings" w:char="00FE"/>
      </w:r>
      <w:r>
        <w:rPr>
          <w:rFonts w:hint="eastAsia" w:ascii="宋体" w:hAnsi="宋体"/>
          <w:iCs/>
          <w:color w:val="000000" w:themeColor="text1"/>
          <w:szCs w:val="21"/>
          <w14:textFill>
            <w14:solidFill>
              <w14:schemeClr w14:val="tx1"/>
            </w14:solidFill>
          </w14:textFill>
        </w:rPr>
        <w:t xml:space="preserve">固定单价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成本补偿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绩效激励</w:t>
      </w:r>
    </w:p>
    <w:p w14:paraId="4E713400">
      <w:pPr>
        <w:pageBreakBefore w:val="0"/>
        <w:widowControl w:val="0"/>
        <w:kinsoku/>
        <w:wordWrap/>
        <w:overflowPunct/>
        <w:topLinePunct w:val="0"/>
        <w:autoSpaceDE/>
        <w:autoSpaceDN/>
        <w:bidi w:val="0"/>
        <w:adjustRightInd w:val="0"/>
        <w:snapToGrid w:val="0"/>
        <w:spacing w:line="460" w:lineRule="exact"/>
        <w:ind w:firstLine="420" w:firstLineChars="200"/>
        <w:textAlignment w:val="auto"/>
        <w:rPr>
          <w:rFonts w:hint="default" w:ascii="宋体" w:hAnsi="宋体" w:eastAsia="宋体"/>
          <w:bCs/>
          <w:color w:val="000000" w:themeColor="text1"/>
          <w:szCs w:val="21"/>
          <w:u w:val="single"/>
          <w:lang w:val="en-US" w:eastAsia="zh-CN"/>
          <w14:textFill>
            <w14:solidFill>
              <w14:schemeClr w14:val="tx1"/>
            </w14:solidFill>
          </w14:textFill>
        </w:rPr>
      </w:pPr>
      <w:r>
        <w:rPr>
          <w:rFonts w:hint="eastAsia" w:ascii="宋体" w:hAnsi="宋体"/>
          <w:bCs/>
          <w:color w:val="000000" w:themeColor="text1"/>
          <w:szCs w:val="21"/>
          <w14:textFill>
            <w14:solidFill>
              <w14:schemeClr w14:val="tx1"/>
            </w14:solidFill>
          </w14:textFill>
        </w:rPr>
        <w:t>7、合同履行期限：</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val="en-US" w:eastAsia="zh-CN"/>
          <w14:textFill>
            <w14:solidFill>
              <w14:schemeClr w14:val="tx1"/>
            </w14:solidFill>
          </w14:textFill>
        </w:rPr>
        <w:t xml:space="preserve">30天 </w:t>
      </w:r>
    </w:p>
    <w:p w14:paraId="40065B17">
      <w:pPr>
        <w:pStyle w:val="6"/>
        <w:pageBreakBefore w:val="0"/>
        <w:widowControl w:val="0"/>
        <w:kinsoku/>
        <w:wordWrap/>
        <w:overflowPunct/>
        <w:topLinePunct w:val="0"/>
        <w:autoSpaceDE/>
        <w:autoSpaceDN/>
        <w:bidi w:val="0"/>
        <w:spacing w:line="460" w:lineRule="exact"/>
        <w:textAlignment w:val="auto"/>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8、</w:t>
      </w:r>
      <w:r>
        <w:rPr>
          <w:rFonts w:hint="eastAsia"/>
          <w:color w:val="000000" w:themeColor="text1"/>
          <w14:textFill>
            <w14:solidFill>
              <w14:schemeClr w14:val="tx1"/>
            </w14:solidFill>
          </w14:textFill>
        </w:rPr>
        <w:t>本项目分阶段要求供应商提供以下保证：</w:t>
      </w:r>
    </w:p>
    <w:p w14:paraId="650B0974">
      <w:pPr>
        <w:pStyle w:val="6"/>
        <w:pageBreakBefore w:val="0"/>
        <w:widowControl w:val="0"/>
        <w:kinsoku/>
        <w:wordWrap/>
        <w:overflowPunct/>
        <w:topLinePunct w:val="0"/>
        <w:autoSpaceDE/>
        <w:autoSpaceDN/>
        <w:bidi w:val="0"/>
        <w:spacing w:line="460" w:lineRule="exact"/>
        <w:textAlignment w:val="auto"/>
        <w:rPr>
          <w:rFonts w:ascii="宋体" w:hAnsi="宋体" w:eastAsia="宋体" w:cs="宋体"/>
          <w:i w:val="0"/>
          <w:iCs w:val="0"/>
          <w:caps w:val="0"/>
          <w:color w:val="000000" w:themeColor="text1"/>
          <w:spacing w:val="0"/>
          <w:sz w:val="24"/>
          <w:szCs w:val="24"/>
          <w:shd w:val="clear" w:fill="F7F7F7"/>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A8"/>
      </w:r>
      <w:r>
        <w:rPr>
          <w:rFonts w:hint="eastAsia" w:ascii="宋体" w:hAnsi="宋体"/>
          <w:color w:val="000000" w:themeColor="text1"/>
          <w14:textFill>
            <w14:solidFill>
              <w14:schemeClr w14:val="tx1"/>
            </w14:solidFill>
          </w14:textFill>
        </w:rPr>
        <w:t>投标保证金：按照《张财购〔2024〕1号》文件要求取消收取投标保证金；</w:t>
      </w:r>
    </w:p>
    <w:p w14:paraId="0267BBC8">
      <w:pPr>
        <w:pStyle w:val="6"/>
        <w:pageBreakBefore w:val="0"/>
        <w:widowControl w:val="0"/>
        <w:kinsoku/>
        <w:wordWrap/>
        <w:overflowPunct/>
        <w:topLinePunct w:val="0"/>
        <w:autoSpaceDE/>
        <w:autoSpaceDN/>
        <w:bidi w:val="0"/>
        <w:spacing w:line="460" w:lineRule="exact"/>
        <w:textAlignment w:val="auto"/>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FE"/>
      </w:r>
      <w:r>
        <w:rPr>
          <w:rFonts w:hint="eastAsia" w:ascii="宋体" w:hAnsi="宋体"/>
          <w:color w:val="000000" w:themeColor="text1"/>
          <w14:textFill>
            <w14:solidFill>
              <w14:schemeClr w14:val="tx1"/>
            </w14:solidFill>
          </w14:textFill>
        </w:rPr>
        <w:t>履约保证金：</w:t>
      </w:r>
      <w:r>
        <w:rPr>
          <w:rFonts w:hint="eastAsia" w:ascii="宋体" w:hAnsi="宋体"/>
          <w:iCs/>
          <w:color w:val="000000" w:themeColor="text1"/>
          <w14:textFill>
            <w14:solidFill>
              <w14:schemeClr w14:val="tx1"/>
            </w14:solidFill>
          </w14:textFill>
        </w:rPr>
        <w:t>中标金额的</w:t>
      </w:r>
      <w:r>
        <w:rPr>
          <w:rFonts w:hint="eastAsia" w:ascii="宋体" w:hAnsi="宋体"/>
          <w:iCs/>
          <w:color w:val="000000" w:themeColor="text1"/>
          <w:u w:val="single"/>
          <w14:textFill>
            <w14:solidFill>
              <w14:schemeClr w14:val="tx1"/>
            </w14:solidFill>
          </w14:textFill>
        </w:rPr>
        <w:t xml:space="preserve"> 0 </w:t>
      </w:r>
      <w:r>
        <w:rPr>
          <w:rFonts w:hint="eastAsia" w:ascii="宋体" w:hAnsi="宋体"/>
          <w:iCs/>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w:t>
      </w:r>
    </w:p>
    <w:p w14:paraId="4A6D5BF1">
      <w:pPr>
        <w:pStyle w:val="6"/>
        <w:pageBreakBefore w:val="0"/>
        <w:widowControl w:val="0"/>
        <w:kinsoku/>
        <w:wordWrap/>
        <w:overflowPunct/>
        <w:topLinePunct w:val="0"/>
        <w:autoSpaceDE/>
        <w:autoSpaceDN/>
        <w:bidi w:val="0"/>
        <w:spacing w:line="460" w:lineRule="exact"/>
        <w:textAlignment w:val="auto"/>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FE"/>
      </w:r>
      <w:r>
        <w:rPr>
          <w:rFonts w:hint="eastAsia" w:ascii="宋体" w:hAnsi="宋体"/>
          <w:iCs/>
          <w:color w:val="000000" w:themeColor="text1"/>
          <w14:textFill>
            <w14:solidFill>
              <w14:schemeClr w14:val="tx1"/>
            </w14:solidFill>
          </w14:textFill>
        </w:rPr>
        <w:t>预付款保证金：预付款的</w:t>
      </w:r>
      <w:r>
        <w:rPr>
          <w:rFonts w:hint="eastAsia" w:ascii="宋体" w:hAnsi="宋体"/>
          <w:iCs/>
          <w:color w:val="000000" w:themeColor="text1"/>
          <w:u w:val="single"/>
          <w14:textFill>
            <w14:solidFill>
              <w14:schemeClr w14:val="tx1"/>
            </w14:solidFill>
          </w14:textFill>
        </w:rPr>
        <w:t>0</w:t>
      </w:r>
      <w:r>
        <w:rPr>
          <w:rFonts w:hint="eastAsia" w:ascii="宋体" w:hAnsi="宋体"/>
          <w:iCs/>
          <w:color w:val="000000" w:themeColor="text1"/>
          <w14:textFill>
            <w14:solidFill>
              <w14:schemeClr w14:val="tx1"/>
            </w14:solidFill>
          </w14:textFill>
        </w:rPr>
        <w:t>%；</w:t>
      </w:r>
    </w:p>
    <w:p w14:paraId="1CFC524D">
      <w:pPr>
        <w:pStyle w:val="6"/>
        <w:pageBreakBefore w:val="0"/>
        <w:widowControl w:val="0"/>
        <w:kinsoku/>
        <w:wordWrap/>
        <w:overflowPunct/>
        <w:topLinePunct w:val="0"/>
        <w:autoSpaceDE/>
        <w:autoSpaceDN/>
        <w:bidi w:val="0"/>
        <w:spacing w:line="460" w:lineRule="exact"/>
        <w:textAlignment w:val="auto"/>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FE"/>
      </w:r>
      <w:r>
        <w:rPr>
          <w:rFonts w:hint="eastAsia" w:ascii="宋体" w:hAnsi="宋体"/>
          <w:iCs/>
          <w:color w:val="000000" w:themeColor="text1"/>
          <w14:textFill>
            <w14:solidFill>
              <w14:schemeClr w14:val="tx1"/>
            </w14:solidFill>
          </w14:textFill>
        </w:rPr>
        <w:t>质量保证金：合同金额的</w:t>
      </w:r>
      <w:r>
        <w:rPr>
          <w:rFonts w:hint="eastAsia" w:ascii="宋体" w:hAnsi="宋体"/>
          <w:iCs/>
          <w:color w:val="000000" w:themeColor="text1"/>
          <w:u w:val="single"/>
          <w14:textFill>
            <w14:solidFill>
              <w14:schemeClr w14:val="tx1"/>
            </w14:solidFill>
          </w14:textFill>
        </w:rPr>
        <w:t xml:space="preserve">0 </w:t>
      </w:r>
      <w:r>
        <w:rPr>
          <w:rFonts w:hint="eastAsia" w:ascii="宋体" w:hAnsi="宋体"/>
          <w:iCs/>
          <w:color w:val="000000" w:themeColor="text1"/>
          <w14:textFill>
            <w14:solidFill>
              <w14:schemeClr w14:val="tx1"/>
            </w14:solidFill>
          </w14:textFill>
        </w:rPr>
        <w:t>%。</w:t>
      </w:r>
    </w:p>
    <w:p w14:paraId="115551D0">
      <w:pPr>
        <w:keepNext/>
        <w:keepLines/>
        <w:adjustRightInd w:val="0"/>
        <w:snapToGrid w:val="0"/>
        <w:spacing w:before="156" w:beforeLines="50" w:line="360" w:lineRule="auto"/>
        <w:outlineLvl w:val="1"/>
        <w:rPr>
          <w:rFonts w:ascii="黑体" w:hAnsi="黑体" w:eastAsia="黑体"/>
          <w:b/>
          <w:bCs/>
          <w:color w:val="000000" w:themeColor="text1"/>
          <w:sz w:val="24"/>
          <w:szCs w:val="32"/>
          <w14:textFill>
            <w14:solidFill>
              <w14:schemeClr w14:val="tx1"/>
            </w14:solidFill>
          </w14:textFill>
        </w:rPr>
      </w:pPr>
      <w:bookmarkStart w:id="5" w:name="_Toc6769"/>
      <w:bookmarkStart w:id="6" w:name="_Toc29234"/>
      <w:bookmarkStart w:id="7" w:name="_Toc110606573"/>
      <w:r>
        <w:rPr>
          <w:rFonts w:hint="eastAsia" w:ascii="黑体" w:hAnsi="黑体" w:eastAsia="黑体"/>
          <w:b/>
          <w:bCs/>
          <w:color w:val="000000" w:themeColor="text1"/>
          <w:sz w:val="24"/>
          <w:szCs w:val="32"/>
          <w14:textFill>
            <w14:solidFill>
              <w14:schemeClr w14:val="tx1"/>
            </w14:solidFill>
          </w14:textFill>
        </w:rPr>
        <w:t>二、采购需求</w:t>
      </w:r>
      <w:bookmarkEnd w:id="4"/>
      <w:bookmarkEnd w:id="5"/>
      <w:bookmarkEnd w:id="6"/>
      <w:bookmarkEnd w:id="7"/>
    </w:p>
    <w:tbl>
      <w:tblPr>
        <w:tblStyle w:val="3"/>
        <w:tblW w:w="927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19"/>
        <w:gridCol w:w="1500"/>
        <w:gridCol w:w="1096"/>
        <w:gridCol w:w="2324"/>
        <w:gridCol w:w="780"/>
        <w:gridCol w:w="870"/>
        <w:gridCol w:w="960"/>
        <w:gridCol w:w="610"/>
        <w:gridCol w:w="618"/>
      </w:tblGrid>
      <w:tr w14:paraId="15CA21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519" w:type="dxa"/>
            <w:noWrap w:val="0"/>
            <w:vAlign w:val="center"/>
          </w:tcPr>
          <w:p w14:paraId="48DB7F7E">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包号</w:t>
            </w:r>
          </w:p>
        </w:tc>
        <w:tc>
          <w:tcPr>
            <w:tcW w:w="1500" w:type="dxa"/>
            <w:noWrap w:val="0"/>
            <w:vAlign w:val="center"/>
          </w:tcPr>
          <w:p w14:paraId="16C4709E">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包名称</w:t>
            </w:r>
          </w:p>
        </w:tc>
        <w:tc>
          <w:tcPr>
            <w:tcW w:w="1096" w:type="dxa"/>
            <w:noWrap w:val="0"/>
            <w:vAlign w:val="center"/>
          </w:tcPr>
          <w:p w14:paraId="6F015EEF">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标的名称</w:t>
            </w:r>
          </w:p>
        </w:tc>
        <w:tc>
          <w:tcPr>
            <w:tcW w:w="2324" w:type="dxa"/>
            <w:tcBorders>
              <w:left w:val="single" w:color="auto" w:sz="4" w:space="0"/>
            </w:tcBorders>
            <w:noWrap w:val="0"/>
            <w:vAlign w:val="center"/>
          </w:tcPr>
          <w:p w14:paraId="62AE0406">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简要技术要求</w:t>
            </w:r>
          </w:p>
        </w:tc>
        <w:tc>
          <w:tcPr>
            <w:tcW w:w="780" w:type="dxa"/>
            <w:tcBorders>
              <w:left w:val="single" w:color="auto" w:sz="4" w:space="0"/>
            </w:tcBorders>
            <w:noWrap w:val="0"/>
            <w:vAlign w:val="center"/>
          </w:tcPr>
          <w:p w14:paraId="2D53988B">
            <w:pPr>
              <w:adjustRightInd w:val="0"/>
              <w:snapToGrid w:val="0"/>
              <w:spacing w:line="400" w:lineRule="exact"/>
              <w:jc w:val="center"/>
              <w:rPr>
                <w:rFonts w:ascii="宋体" w:hAnsi="宋体" w:cs="宋体"/>
                <w:color w:val="000000" w:themeColor="text1"/>
                <w:kern w:val="0"/>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数量</w:t>
            </w:r>
          </w:p>
        </w:tc>
        <w:tc>
          <w:tcPr>
            <w:tcW w:w="870" w:type="dxa"/>
            <w:noWrap w:val="0"/>
            <w:vAlign w:val="center"/>
          </w:tcPr>
          <w:p w14:paraId="50B00728">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标的预算</w:t>
            </w:r>
          </w:p>
        </w:tc>
        <w:tc>
          <w:tcPr>
            <w:tcW w:w="960" w:type="dxa"/>
            <w:noWrap w:val="0"/>
            <w:vAlign w:val="center"/>
          </w:tcPr>
          <w:p w14:paraId="66229710">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最高限价</w:t>
            </w:r>
          </w:p>
        </w:tc>
        <w:tc>
          <w:tcPr>
            <w:tcW w:w="610" w:type="dxa"/>
            <w:noWrap w:val="0"/>
            <w:vAlign w:val="center"/>
          </w:tcPr>
          <w:p w14:paraId="14E31C4E">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节能产品</w:t>
            </w:r>
          </w:p>
        </w:tc>
        <w:tc>
          <w:tcPr>
            <w:tcW w:w="618" w:type="dxa"/>
            <w:noWrap w:val="0"/>
            <w:vAlign w:val="center"/>
          </w:tcPr>
          <w:p w14:paraId="68B7093B">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进口产品</w:t>
            </w:r>
          </w:p>
        </w:tc>
      </w:tr>
      <w:tr w14:paraId="0ED1B2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50" w:hRule="exact"/>
        </w:trPr>
        <w:tc>
          <w:tcPr>
            <w:tcW w:w="519" w:type="dxa"/>
            <w:vMerge w:val="restart"/>
            <w:noWrap w:val="0"/>
            <w:vAlign w:val="center"/>
          </w:tcPr>
          <w:p w14:paraId="59443A8B">
            <w:pPr>
              <w:adjustRightInd w:val="0"/>
              <w:snapToGrid w:val="0"/>
              <w:spacing w:before="156" w:beforeLines="50"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1</w:t>
            </w:r>
          </w:p>
        </w:tc>
        <w:tc>
          <w:tcPr>
            <w:tcW w:w="1500" w:type="dxa"/>
            <w:vMerge w:val="restart"/>
            <w:noWrap w:val="0"/>
            <w:vAlign w:val="center"/>
          </w:tcPr>
          <w:p w14:paraId="21BDBA52">
            <w:pPr>
              <w:adjustRightInd w:val="0"/>
              <w:snapToGrid w:val="0"/>
              <w:spacing w:before="156" w:beforeLines="50" w:line="400" w:lineRule="exact"/>
              <w:jc w:val="center"/>
              <w:rPr>
                <w:rFonts w:hint="eastAsia" w:eastAsia="宋体"/>
                <w:color w:val="000000" w:themeColor="text1"/>
                <w:sz w:val="15"/>
                <w:szCs w:val="15"/>
                <w:lang w:eastAsia="zh-CN"/>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张家界旅游学校2024年学生校服采购（</w:t>
            </w:r>
            <w:r>
              <w:rPr>
                <w:rFonts w:hint="eastAsia" w:ascii="宋体" w:hAnsi="宋体" w:cs="宋体"/>
                <w:color w:val="000000" w:themeColor="text1"/>
                <w:sz w:val="15"/>
                <w:szCs w:val="15"/>
                <w:lang w:eastAsia="zh-CN"/>
                <w14:textFill>
                  <w14:solidFill>
                    <w14:schemeClr w14:val="tx1"/>
                  </w14:solidFill>
                </w14:textFill>
              </w:rPr>
              <w:t>第三次</w:t>
            </w:r>
            <w:r>
              <w:rPr>
                <w:rFonts w:hint="eastAsia" w:ascii="宋体" w:hAnsi="宋体" w:cs="宋体"/>
                <w:color w:val="000000" w:themeColor="text1"/>
                <w:sz w:val="15"/>
                <w:szCs w:val="15"/>
                <w14:textFill>
                  <w14:solidFill>
                    <w14:schemeClr w14:val="tx1"/>
                  </w14:solidFill>
                </w14:textFill>
              </w:rPr>
              <w:t>）</w:t>
            </w:r>
          </w:p>
        </w:tc>
        <w:tc>
          <w:tcPr>
            <w:tcW w:w="1096" w:type="dxa"/>
            <w:noWrap w:val="0"/>
            <w:vAlign w:val="center"/>
          </w:tcPr>
          <w:p w14:paraId="4D565353">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春秋装</w:t>
            </w:r>
          </w:p>
        </w:tc>
        <w:tc>
          <w:tcPr>
            <w:tcW w:w="2324" w:type="dxa"/>
            <w:vMerge w:val="restart"/>
            <w:tcBorders>
              <w:left w:val="single" w:color="auto" w:sz="4" w:space="0"/>
            </w:tcBorders>
            <w:noWrap w:val="0"/>
            <w:vAlign w:val="center"/>
          </w:tcPr>
          <w:p w14:paraId="3D92B5FB">
            <w:pPr>
              <w:adjustRightInd w:val="0"/>
              <w:snapToGrid w:val="0"/>
              <w:spacing w:before="156" w:beforeLines="50"/>
              <w:jc w:val="center"/>
              <w:rPr>
                <w:color w:val="000000" w:themeColor="text1"/>
                <w:sz w:val="15"/>
                <w:szCs w:val="15"/>
                <w14:textFill>
                  <w14:solidFill>
                    <w14:schemeClr w14:val="tx1"/>
                  </w14:solidFill>
                </w14:textFill>
              </w:rPr>
            </w:pPr>
            <w:r>
              <w:rPr>
                <w:rFonts w:hint="eastAsia" w:ascii="宋体" w:hAnsi="宋体" w:eastAsia="宋体" w:cs="宋体"/>
                <w:kern w:val="2"/>
                <w:sz w:val="15"/>
                <w:szCs w:val="15"/>
                <w:lang w:val="en-US" w:eastAsia="zh-CN" w:bidi="ar-SA"/>
              </w:rPr>
              <w:t>校服应符合《中小学学生装（校服）》（T/JYHQ0009-2021）标准；安全类别必须符合《国家纺织产品基本安全技术规范》（GB/T18401-2010）、《婴幼儿及儿童纺织产品安全技术规范》（GB/T31701-2015）要求，配置可警示性标志的还应符合《中小学生交通安全反光校服》（GB/T28468-2012）要求</w:t>
            </w:r>
          </w:p>
        </w:tc>
        <w:tc>
          <w:tcPr>
            <w:tcW w:w="780" w:type="dxa"/>
            <w:tcBorders>
              <w:left w:val="single" w:color="auto" w:sz="4" w:space="0"/>
            </w:tcBorders>
            <w:noWrap w:val="0"/>
            <w:vAlign w:val="center"/>
          </w:tcPr>
          <w:p w14:paraId="35891465">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3600套</w:t>
            </w:r>
          </w:p>
        </w:tc>
        <w:tc>
          <w:tcPr>
            <w:tcW w:w="870" w:type="dxa"/>
            <w:noWrap w:val="0"/>
            <w:vAlign w:val="center"/>
          </w:tcPr>
          <w:p w14:paraId="2C29E486">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115元/套</w:t>
            </w:r>
          </w:p>
        </w:tc>
        <w:tc>
          <w:tcPr>
            <w:tcW w:w="960" w:type="dxa"/>
            <w:noWrap w:val="0"/>
            <w:vAlign w:val="center"/>
          </w:tcPr>
          <w:p w14:paraId="40461FE9">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414000元</w:t>
            </w:r>
          </w:p>
        </w:tc>
        <w:tc>
          <w:tcPr>
            <w:tcW w:w="610" w:type="dxa"/>
            <w:noWrap w:val="0"/>
            <w:vAlign w:val="center"/>
          </w:tcPr>
          <w:p w14:paraId="41099203">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iCs/>
                <w:color w:val="000000" w:themeColor="text1"/>
                <w:sz w:val="15"/>
                <w:szCs w:val="15"/>
                <w14:textFill>
                  <w14:solidFill>
                    <w14:schemeClr w14:val="tx1"/>
                  </w14:solidFill>
                </w14:textFill>
              </w:rPr>
              <w:sym w:font="Wingdings" w:char="00A8"/>
            </w:r>
          </w:p>
        </w:tc>
        <w:tc>
          <w:tcPr>
            <w:tcW w:w="618" w:type="dxa"/>
            <w:noWrap w:val="0"/>
            <w:vAlign w:val="center"/>
          </w:tcPr>
          <w:p w14:paraId="226A99AA">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iCs/>
                <w:color w:val="000000" w:themeColor="text1"/>
                <w:sz w:val="15"/>
                <w:szCs w:val="15"/>
                <w14:textFill>
                  <w14:solidFill>
                    <w14:schemeClr w14:val="tx1"/>
                  </w14:solidFill>
                </w14:textFill>
              </w:rPr>
              <w:sym w:font="Wingdings" w:char="00A8"/>
            </w:r>
          </w:p>
        </w:tc>
      </w:tr>
      <w:tr w14:paraId="1A13ED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50" w:hRule="exact"/>
        </w:trPr>
        <w:tc>
          <w:tcPr>
            <w:tcW w:w="519" w:type="dxa"/>
            <w:vMerge w:val="continue"/>
            <w:noWrap w:val="0"/>
            <w:vAlign w:val="center"/>
          </w:tcPr>
          <w:p w14:paraId="55F1857A">
            <w:pPr>
              <w:adjustRightInd w:val="0"/>
              <w:snapToGrid w:val="0"/>
              <w:spacing w:line="400" w:lineRule="exact"/>
              <w:jc w:val="center"/>
              <w:rPr>
                <w:color w:val="000000" w:themeColor="text1"/>
                <w:sz w:val="15"/>
                <w:szCs w:val="15"/>
                <w14:textFill>
                  <w14:solidFill>
                    <w14:schemeClr w14:val="tx1"/>
                  </w14:solidFill>
                </w14:textFill>
              </w:rPr>
            </w:pPr>
          </w:p>
        </w:tc>
        <w:tc>
          <w:tcPr>
            <w:tcW w:w="1500" w:type="dxa"/>
            <w:vMerge w:val="continue"/>
            <w:noWrap w:val="0"/>
            <w:vAlign w:val="center"/>
          </w:tcPr>
          <w:p w14:paraId="7B0C5AE4">
            <w:pPr>
              <w:adjustRightInd w:val="0"/>
              <w:snapToGrid w:val="0"/>
              <w:spacing w:line="400" w:lineRule="exact"/>
              <w:jc w:val="center"/>
              <w:rPr>
                <w:color w:val="000000" w:themeColor="text1"/>
                <w:sz w:val="15"/>
                <w:szCs w:val="15"/>
                <w14:textFill>
                  <w14:solidFill>
                    <w14:schemeClr w14:val="tx1"/>
                  </w14:solidFill>
                </w14:textFill>
              </w:rPr>
            </w:pPr>
          </w:p>
        </w:tc>
        <w:tc>
          <w:tcPr>
            <w:tcW w:w="1096" w:type="dxa"/>
            <w:noWrap w:val="0"/>
            <w:vAlign w:val="center"/>
          </w:tcPr>
          <w:p w14:paraId="19B3D890">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夏装</w:t>
            </w:r>
          </w:p>
        </w:tc>
        <w:tc>
          <w:tcPr>
            <w:tcW w:w="2324" w:type="dxa"/>
            <w:vMerge w:val="continue"/>
            <w:tcBorders>
              <w:left w:val="single" w:color="auto" w:sz="4" w:space="0"/>
            </w:tcBorders>
            <w:noWrap w:val="0"/>
            <w:vAlign w:val="center"/>
          </w:tcPr>
          <w:p w14:paraId="3C04D778">
            <w:pPr>
              <w:adjustRightInd w:val="0"/>
              <w:snapToGrid w:val="0"/>
              <w:spacing w:line="400" w:lineRule="exact"/>
              <w:jc w:val="center"/>
              <w:rPr>
                <w:color w:val="000000" w:themeColor="text1"/>
                <w:sz w:val="15"/>
                <w:szCs w:val="15"/>
                <w14:textFill>
                  <w14:solidFill>
                    <w14:schemeClr w14:val="tx1"/>
                  </w14:solidFill>
                </w14:textFill>
              </w:rPr>
            </w:pPr>
          </w:p>
        </w:tc>
        <w:tc>
          <w:tcPr>
            <w:tcW w:w="780" w:type="dxa"/>
            <w:tcBorders>
              <w:left w:val="single" w:color="auto" w:sz="4" w:space="0"/>
            </w:tcBorders>
            <w:noWrap w:val="0"/>
            <w:vAlign w:val="center"/>
          </w:tcPr>
          <w:p w14:paraId="6D668803">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3600套</w:t>
            </w:r>
          </w:p>
        </w:tc>
        <w:tc>
          <w:tcPr>
            <w:tcW w:w="870" w:type="dxa"/>
            <w:noWrap w:val="0"/>
            <w:vAlign w:val="center"/>
          </w:tcPr>
          <w:p w14:paraId="5AF42424">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105元/套</w:t>
            </w:r>
          </w:p>
        </w:tc>
        <w:tc>
          <w:tcPr>
            <w:tcW w:w="960" w:type="dxa"/>
            <w:noWrap w:val="0"/>
            <w:vAlign w:val="center"/>
          </w:tcPr>
          <w:p w14:paraId="613DF4E2">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378000元</w:t>
            </w:r>
          </w:p>
        </w:tc>
        <w:tc>
          <w:tcPr>
            <w:tcW w:w="610" w:type="dxa"/>
            <w:noWrap w:val="0"/>
            <w:vAlign w:val="center"/>
          </w:tcPr>
          <w:p w14:paraId="504E6133">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iCs/>
                <w:color w:val="000000" w:themeColor="text1"/>
                <w:sz w:val="15"/>
                <w:szCs w:val="15"/>
                <w14:textFill>
                  <w14:solidFill>
                    <w14:schemeClr w14:val="tx1"/>
                  </w14:solidFill>
                </w14:textFill>
              </w:rPr>
              <w:sym w:font="Wingdings" w:char="00A8"/>
            </w:r>
          </w:p>
        </w:tc>
        <w:tc>
          <w:tcPr>
            <w:tcW w:w="618" w:type="dxa"/>
            <w:noWrap w:val="0"/>
            <w:vAlign w:val="center"/>
          </w:tcPr>
          <w:p w14:paraId="24993272">
            <w:pPr>
              <w:adjustRightInd w:val="0"/>
              <w:snapToGrid w:val="0"/>
              <w:spacing w:line="400" w:lineRule="exact"/>
              <w:jc w:val="center"/>
              <w:rPr>
                <w:color w:val="000000" w:themeColor="text1"/>
                <w:sz w:val="15"/>
                <w:szCs w:val="15"/>
                <w14:textFill>
                  <w14:solidFill>
                    <w14:schemeClr w14:val="tx1"/>
                  </w14:solidFill>
                </w14:textFill>
              </w:rPr>
            </w:pPr>
            <w:r>
              <w:rPr>
                <w:rFonts w:hint="eastAsia" w:ascii="宋体" w:hAnsi="宋体" w:cs="宋体"/>
                <w:iCs/>
                <w:color w:val="000000" w:themeColor="text1"/>
                <w:sz w:val="15"/>
                <w:szCs w:val="15"/>
                <w14:textFill>
                  <w14:solidFill>
                    <w14:schemeClr w14:val="tx1"/>
                  </w14:solidFill>
                </w14:textFill>
              </w:rPr>
              <w:sym w:font="Wingdings" w:char="00A8"/>
            </w:r>
          </w:p>
        </w:tc>
      </w:tr>
      <w:tr w14:paraId="47C584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50" w:hRule="exact"/>
        </w:trPr>
        <w:tc>
          <w:tcPr>
            <w:tcW w:w="519" w:type="dxa"/>
            <w:vMerge w:val="continue"/>
            <w:noWrap w:val="0"/>
            <w:vAlign w:val="center"/>
          </w:tcPr>
          <w:p w14:paraId="5B36E3B0">
            <w:pPr>
              <w:adjustRightInd w:val="0"/>
              <w:snapToGrid w:val="0"/>
              <w:spacing w:before="156" w:beforeLines="50" w:line="400" w:lineRule="exact"/>
              <w:jc w:val="center"/>
              <w:rPr>
                <w:color w:val="000000" w:themeColor="text1"/>
                <w:sz w:val="15"/>
                <w:szCs w:val="15"/>
                <w14:textFill>
                  <w14:solidFill>
                    <w14:schemeClr w14:val="tx1"/>
                  </w14:solidFill>
                </w14:textFill>
              </w:rPr>
            </w:pPr>
          </w:p>
        </w:tc>
        <w:tc>
          <w:tcPr>
            <w:tcW w:w="1500" w:type="dxa"/>
            <w:vMerge w:val="continue"/>
            <w:noWrap w:val="0"/>
            <w:vAlign w:val="center"/>
          </w:tcPr>
          <w:p w14:paraId="23FB4D48">
            <w:pPr>
              <w:adjustRightInd w:val="0"/>
              <w:snapToGrid w:val="0"/>
              <w:spacing w:before="156" w:beforeLines="50" w:line="400" w:lineRule="exact"/>
              <w:jc w:val="center"/>
              <w:rPr>
                <w:color w:val="000000" w:themeColor="text1"/>
                <w:sz w:val="15"/>
                <w:szCs w:val="15"/>
                <w14:textFill>
                  <w14:solidFill>
                    <w14:schemeClr w14:val="tx1"/>
                  </w14:solidFill>
                </w14:textFill>
              </w:rPr>
            </w:pPr>
          </w:p>
        </w:tc>
        <w:tc>
          <w:tcPr>
            <w:tcW w:w="1096" w:type="dxa"/>
            <w:noWrap w:val="0"/>
            <w:vAlign w:val="center"/>
          </w:tcPr>
          <w:p w14:paraId="32C7A9AD">
            <w:pPr>
              <w:adjustRightInd w:val="0"/>
              <w:snapToGrid w:val="0"/>
              <w:spacing w:before="156" w:beforeLines="50"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冬装</w:t>
            </w:r>
          </w:p>
        </w:tc>
        <w:tc>
          <w:tcPr>
            <w:tcW w:w="2324" w:type="dxa"/>
            <w:vMerge w:val="continue"/>
            <w:tcBorders>
              <w:left w:val="single" w:color="auto" w:sz="4" w:space="0"/>
            </w:tcBorders>
            <w:noWrap w:val="0"/>
            <w:vAlign w:val="center"/>
          </w:tcPr>
          <w:p w14:paraId="5D2905C3">
            <w:pPr>
              <w:adjustRightInd w:val="0"/>
              <w:snapToGrid w:val="0"/>
              <w:spacing w:before="156" w:beforeLines="50" w:line="400" w:lineRule="exact"/>
              <w:jc w:val="center"/>
              <w:rPr>
                <w:color w:val="000000" w:themeColor="text1"/>
                <w:sz w:val="15"/>
                <w:szCs w:val="15"/>
                <w14:textFill>
                  <w14:solidFill>
                    <w14:schemeClr w14:val="tx1"/>
                  </w14:solidFill>
                </w14:textFill>
              </w:rPr>
            </w:pPr>
          </w:p>
        </w:tc>
        <w:tc>
          <w:tcPr>
            <w:tcW w:w="780" w:type="dxa"/>
            <w:tcBorders>
              <w:left w:val="single" w:color="auto" w:sz="4" w:space="0"/>
            </w:tcBorders>
            <w:noWrap w:val="0"/>
            <w:vAlign w:val="center"/>
          </w:tcPr>
          <w:p w14:paraId="11BCA359">
            <w:pPr>
              <w:adjustRightInd w:val="0"/>
              <w:snapToGrid w:val="0"/>
              <w:spacing w:before="156" w:beforeLines="50"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1800套</w:t>
            </w:r>
          </w:p>
        </w:tc>
        <w:tc>
          <w:tcPr>
            <w:tcW w:w="870" w:type="dxa"/>
            <w:noWrap w:val="0"/>
            <w:vAlign w:val="center"/>
          </w:tcPr>
          <w:p w14:paraId="329B566D">
            <w:pPr>
              <w:adjustRightInd w:val="0"/>
              <w:snapToGrid w:val="0"/>
              <w:spacing w:before="156" w:beforeLines="50"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170元/套</w:t>
            </w:r>
          </w:p>
        </w:tc>
        <w:tc>
          <w:tcPr>
            <w:tcW w:w="960" w:type="dxa"/>
            <w:noWrap w:val="0"/>
            <w:vAlign w:val="center"/>
          </w:tcPr>
          <w:p w14:paraId="49C87683">
            <w:pPr>
              <w:adjustRightInd w:val="0"/>
              <w:snapToGrid w:val="0"/>
              <w:spacing w:before="156" w:beforeLines="50"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t>306000元</w:t>
            </w:r>
          </w:p>
        </w:tc>
        <w:tc>
          <w:tcPr>
            <w:tcW w:w="610" w:type="dxa"/>
            <w:noWrap w:val="0"/>
            <w:vAlign w:val="center"/>
          </w:tcPr>
          <w:p w14:paraId="7BF68557">
            <w:pPr>
              <w:adjustRightInd w:val="0"/>
              <w:snapToGrid w:val="0"/>
              <w:spacing w:before="156" w:beforeLines="50" w:line="400" w:lineRule="exact"/>
              <w:jc w:val="center"/>
              <w:rPr>
                <w:color w:val="000000" w:themeColor="text1"/>
                <w:sz w:val="15"/>
                <w:szCs w:val="15"/>
                <w14:textFill>
                  <w14:solidFill>
                    <w14:schemeClr w14:val="tx1"/>
                  </w14:solidFill>
                </w14:textFill>
              </w:rPr>
            </w:pPr>
            <w:r>
              <w:rPr>
                <w:rFonts w:hint="eastAsia" w:ascii="宋体" w:hAnsi="宋体" w:cs="宋体"/>
                <w:iCs/>
                <w:color w:val="000000" w:themeColor="text1"/>
                <w:sz w:val="15"/>
                <w:szCs w:val="15"/>
                <w14:textFill>
                  <w14:solidFill>
                    <w14:schemeClr w14:val="tx1"/>
                  </w14:solidFill>
                </w14:textFill>
              </w:rPr>
              <w:sym w:font="Wingdings" w:char="00A8"/>
            </w:r>
          </w:p>
        </w:tc>
        <w:tc>
          <w:tcPr>
            <w:tcW w:w="618" w:type="dxa"/>
            <w:noWrap w:val="0"/>
            <w:vAlign w:val="center"/>
          </w:tcPr>
          <w:p w14:paraId="2D488C31">
            <w:pPr>
              <w:adjustRightInd w:val="0"/>
              <w:snapToGrid w:val="0"/>
              <w:spacing w:before="156" w:beforeLines="50" w:line="400" w:lineRule="exact"/>
              <w:jc w:val="center"/>
              <w:rPr>
                <w:color w:val="000000" w:themeColor="text1"/>
                <w:sz w:val="15"/>
                <w:szCs w:val="15"/>
                <w14:textFill>
                  <w14:solidFill>
                    <w14:schemeClr w14:val="tx1"/>
                  </w14:solidFill>
                </w14:textFill>
              </w:rPr>
            </w:pPr>
            <w:r>
              <w:rPr>
                <w:rFonts w:hint="eastAsia" w:ascii="宋体" w:hAnsi="宋体" w:cs="宋体"/>
                <w:color w:val="000000" w:themeColor="text1"/>
                <w:sz w:val="15"/>
                <w:szCs w:val="15"/>
                <w14:textFill>
                  <w14:solidFill>
                    <w14:schemeClr w14:val="tx1"/>
                  </w14:solidFill>
                </w14:textFill>
              </w:rPr>
              <w:sym w:font="Wingdings" w:char="00A8"/>
            </w:r>
          </w:p>
        </w:tc>
      </w:tr>
    </w:tbl>
    <w:p w14:paraId="2B91AB40">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p>
    <w:p w14:paraId="3325EE89">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1.节能产品实行强制采购的，需提供国家认证机构出具的、处于有效期内的节能产品证书。</w:t>
      </w:r>
    </w:p>
    <w:p w14:paraId="7959540F">
      <w:pPr>
        <w:adjustRightInd w:val="0"/>
        <w:snapToGrid w:val="0"/>
        <w:spacing w:line="360" w:lineRule="auto"/>
        <w:ind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2.同意购买进口产品的，不限制满足采购需求的国内产品参与谈判。</w:t>
      </w:r>
    </w:p>
    <w:p w14:paraId="688E914D">
      <w:pPr>
        <w:keepNext/>
        <w:keepLines/>
        <w:pageBreakBefore w:val="0"/>
        <w:widowControl w:val="0"/>
        <w:kinsoku/>
        <w:wordWrap/>
        <w:overflowPunct/>
        <w:topLinePunct w:val="0"/>
        <w:bidi w:val="0"/>
        <w:adjustRightInd w:val="0"/>
        <w:snapToGrid w:val="0"/>
        <w:spacing w:before="156" w:beforeLines="50" w:line="400" w:lineRule="exact"/>
        <w:textAlignment w:val="auto"/>
        <w:outlineLvl w:val="1"/>
        <w:rPr>
          <w:rFonts w:ascii="黑体" w:hAnsi="黑体" w:eastAsia="黑体"/>
          <w:b/>
          <w:bCs/>
          <w:color w:val="000000" w:themeColor="text1"/>
          <w:sz w:val="24"/>
          <w:szCs w:val="32"/>
          <w14:textFill>
            <w14:solidFill>
              <w14:schemeClr w14:val="tx1"/>
            </w14:solidFill>
          </w14:textFill>
        </w:rPr>
      </w:pPr>
      <w:bookmarkStart w:id="8" w:name="_Toc107997940"/>
      <w:bookmarkStart w:id="9" w:name="_Toc6786"/>
      <w:bookmarkStart w:id="10" w:name="_Toc110606574"/>
      <w:bookmarkStart w:id="11" w:name="_Toc1004"/>
      <w:bookmarkStart w:id="12" w:name="_Toc22657513"/>
      <w:r>
        <w:rPr>
          <w:rFonts w:hint="eastAsia" w:ascii="黑体" w:hAnsi="黑体" w:eastAsia="黑体"/>
          <w:b/>
          <w:bCs/>
          <w:color w:val="000000" w:themeColor="text1"/>
          <w:sz w:val="24"/>
          <w:szCs w:val="32"/>
          <w14:textFill>
            <w14:solidFill>
              <w14:schemeClr w14:val="tx1"/>
            </w14:solidFill>
          </w14:textFill>
        </w:rPr>
        <w:t>三、采购项目需落实的政府采购政策</w:t>
      </w:r>
      <w:bookmarkEnd w:id="8"/>
      <w:bookmarkEnd w:id="9"/>
      <w:bookmarkEnd w:id="10"/>
      <w:bookmarkEnd w:id="11"/>
    </w:p>
    <w:bookmarkEnd w:id="12"/>
    <w:p w14:paraId="5315620D">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color w:val="auto"/>
          <w:szCs w:val="21"/>
        </w:rPr>
      </w:pPr>
      <w:r>
        <w:rPr>
          <w:rFonts w:hint="eastAsia" w:ascii="宋体" w:hAnsi="宋体"/>
          <w:color w:val="auto"/>
          <w:szCs w:val="21"/>
        </w:rPr>
        <w:t>1、优先采购：节能产品、环境标志产品、两型产品享受加分或价格折扣。</w:t>
      </w:r>
    </w:p>
    <w:p w14:paraId="4FCA28AE">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color w:val="auto"/>
          <w:szCs w:val="21"/>
        </w:rPr>
      </w:pPr>
      <w:r>
        <w:rPr>
          <w:rFonts w:hint="eastAsia" w:ascii="宋体" w:hAnsi="宋体"/>
          <w:color w:val="auto"/>
          <w:szCs w:val="21"/>
        </w:rPr>
        <w:t>2、支持中小企业：中小企业享受预留采购份额或价格折扣。</w:t>
      </w:r>
    </w:p>
    <w:p w14:paraId="727DDD2A">
      <w:pPr>
        <w:keepNext/>
        <w:keepLines/>
        <w:pageBreakBefore w:val="0"/>
        <w:widowControl w:val="0"/>
        <w:kinsoku/>
        <w:wordWrap/>
        <w:overflowPunct/>
        <w:topLinePunct w:val="0"/>
        <w:bidi w:val="0"/>
        <w:adjustRightInd w:val="0"/>
        <w:snapToGrid w:val="0"/>
        <w:spacing w:line="400" w:lineRule="exact"/>
        <w:textAlignment w:val="auto"/>
        <w:outlineLvl w:val="1"/>
        <w:rPr>
          <w:rFonts w:ascii="黑体" w:hAnsi="黑体" w:eastAsia="黑体"/>
          <w:b/>
          <w:bCs/>
          <w:color w:val="auto"/>
          <w:sz w:val="24"/>
          <w:szCs w:val="32"/>
        </w:rPr>
      </w:pPr>
      <w:bookmarkStart w:id="13" w:name="_Toc10165"/>
      <w:bookmarkStart w:id="14" w:name="_Toc7738"/>
      <w:bookmarkStart w:id="15" w:name="_Toc110606575"/>
      <w:r>
        <w:rPr>
          <w:rFonts w:hint="eastAsia" w:ascii="黑体" w:hAnsi="黑体" w:eastAsia="黑体"/>
          <w:b/>
          <w:bCs/>
          <w:color w:val="auto"/>
          <w:sz w:val="24"/>
          <w:szCs w:val="32"/>
        </w:rPr>
        <w:t>四、供应商的资格要求</w:t>
      </w:r>
      <w:bookmarkEnd w:id="13"/>
      <w:bookmarkEnd w:id="14"/>
      <w:bookmarkEnd w:id="15"/>
    </w:p>
    <w:p w14:paraId="1B2BCE36">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color w:val="auto"/>
          <w:szCs w:val="21"/>
        </w:rPr>
      </w:pPr>
      <w:r>
        <w:rPr>
          <w:rFonts w:hint="eastAsia" w:ascii="宋体" w:hAnsi="宋体"/>
          <w:color w:val="auto"/>
          <w:szCs w:val="21"/>
        </w:rPr>
        <w:t>1、满足《中华人民共和国政府采购法》第二十二条规定；</w:t>
      </w:r>
    </w:p>
    <w:p w14:paraId="03955958">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color w:val="auto"/>
          <w:szCs w:val="21"/>
        </w:rPr>
      </w:pPr>
      <w:r>
        <w:rPr>
          <w:rFonts w:hint="eastAsia" w:ascii="宋体" w:hAnsi="宋体"/>
          <w:color w:val="auto"/>
          <w:szCs w:val="21"/>
        </w:rPr>
        <w:t>2、落实政府采购政策需满足的资格要求：</w:t>
      </w:r>
    </w:p>
    <w:p w14:paraId="5DDC9209">
      <w:pPr>
        <w:pageBreakBefore w:val="0"/>
        <w:widowControl w:val="0"/>
        <w:kinsoku/>
        <w:wordWrap/>
        <w:overflowPunct/>
        <w:topLinePunct w:val="0"/>
        <w:bidi w:val="0"/>
        <w:adjustRightInd w:val="0"/>
        <w:snapToGrid w:val="0"/>
        <w:spacing w:line="400" w:lineRule="exact"/>
        <w:ind w:firstLine="632" w:firstLineChars="300"/>
        <w:textAlignment w:val="auto"/>
        <w:rPr>
          <w:rFonts w:ascii="宋体" w:hAnsi="宋体"/>
          <w:color w:val="auto"/>
          <w:szCs w:val="21"/>
        </w:rPr>
      </w:pPr>
      <w:r>
        <w:rPr>
          <w:rFonts w:hint="eastAsia" w:ascii="宋体" w:hAnsi="宋体"/>
          <w:b/>
          <w:bCs/>
          <w:iCs/>
          <w:color w:val="auto"/>
          <w:szCs w:val="21"/>
        </w:rPr>
        <w:sym w:font="Wingdings" w:char="00FE"/>
      </w:r>
      <w:r>
        <w:rPr>
          <w:rFonts w:hint="eastAsia" w:ascii="宋体" w:hAnsi="宋体"/>
          <w:b/>
          <w:bCs/>
          <w:iCs/>
          <w:color w:val="auto"/>
          <w:szCs w:val="21"/>
        </w:rPr>
        <w:t>专门面向</w:t>
      </w:r>
      <w:r>
        <w:rPr>
          <w:rFonts w:hint="eastAsia" w:ascii="宋体" w:hAnsi="宋体"/>
          <w:b/>
          <w:bCs/>
          <w:color w:val="auto"/>
          <w:szCs w:val="21"/>
        </w:rPr>
        <w:t>：</w:t>
      </w:r>
      <w:r>
        <w:rPr>
          <w:rFonts w:hint="eastAsia" w:ascii="宋体" w:hAnsi="宋体"/>
          <w:b/>
          <w:bCs/>
          <w:iCs/>
          <w:color w:val="auto"/>
          <w:szCs w:val="21"/>
        </w:rPr>
        <w:sym w:font="Wingdings" w:char="00FE"/>
      </w:r>
      <w:r>
        <w:rPr>
          <w:rFonts w:hint="eastAsia" w:ascii="宋体" w:hAnsi="宋体"/>
          <w:b/>
          <w:bCs/>
          <w:iCs/>
          <w:color w:val="auto"/>
          <w:szCs w:val="21"/>
        </w:rPr>
        <w:t>中小企业</w:t>
      </w:r>
      <w:r>
        <w:rPr>
          <w:rFonts w:hint="eastAsia" w:ascii="宋体" w:hAnsi="宋体"/>
          <w:iCs/>
          <w:color w:val="auto"/>
          <w:szCs w:val="21"/>
        </w:rPr>
        <w:t xml:space="preserve">  </w:t>
      </w:r>
      <w:r>
        <w:rPr>
          <w:rFonts w:hint="eastAsia" w:ascii="宋体" w:hAnsi="宋体"/>
          <w:iCs/>
          <w:color w:val="auto"/>
          <w:szCs w:val="21"/>
        </w:rPr>
        <w:sym w:font="Wingdings" w:char="00A8"/>
      </w:r>
      <w:r>
        <w:rPr>
          <w:rFonts w:hint="eastAsia" w:ascii="宋体" w:hAnsi="宋体"/>
          <w:iCs/>
          <w:color w:val="auto"/>
          <w:szCs w:val="21"/>
        </w:rPr>
        <w:t xml:space="preserve">小微企业 </w:t>
      </w:r>
      <w:r>
        <w:rPr>
          <w:rFonts w:hint="eastAsia" w:ascii="宋体" w:hAnsi="宋体"/>
          <w:iCs/>
          <w:color w:val="auto"/>
          <w:szCs w:val="21"/>
        </w:rPr>
        <w:sym w:font="Wingdings" w:char="00A8"/>
      </w:r>
      <w:r>
        <w:rPr>
          <w:rFonts w:hint="eastAsia" w:ascii="宋体" w:hAnsi="宋体"/>
          <w:iCs/>
          <w:color w:val="auto"/>
          <w:szCs w:val="21"/>
        </w:rPr>
        <w:t xml:space="preserve">监狱企业 </w:t>
      </w:r>
      <w:r>
        <w:rPr>
          <w:rFonts w:hint="eastAsia" w:ascii="宋体" w:hAnsi="宋体"/>
          <w:iCs/>
          <w:color w:val="auto"/>
          <w:szCs w:val="21"/>
        </w:rPr>
        <w:sym w:font="Wingdings" w:char="00A8"/>
      </w:r>
      <w:r>
        <w:rPr>
          <w:rFonts w:hint="eastAsia" w:ascii="宋体" w:hAnsi="宋体"/>
          <w:iCs/>
          <w:color w:val="auto"/>
          <w:szCs w:val="21"/>
        </w:rPr>
        <w:t>福利性单位。</w:t>
      </w:r>
    </w:p>
    <w:p w14:paraId="3A6F974B">
      <w:pPr>
        <w:pageBreakBefore w:val="0"/>
        <w:widowControl w:val="0"/>
        <w:kinsoku/>
        <w:wordWrap/>
        <w:overflowPunct/>
        <w:topLinePunct w:val="0"/>
        <w:bidi w:val="0"/>
        <w:adjustRightInd w:val="0"/>
        <w:snapToGrid w:val="0"/>
        <w:spacing w:line="400" w:lineRule="exact"/>
        <w:ind w:firstLine="630" w:firstLineChars="300"/>
        <w:textAlignment w:val="auto"/>
        <w:rPr>
          <w:rFonts w:ascii="宋体" w:hAnsi="宋体"/>
          <w:bCs/>
          <w:color w:val="auto"/>
          <w:szCs w:val="21"/>
        </w:rPr>
      </w:pPr>
      <w:r>
        <w:rPr>
          <w:rFonts w:hint="eastAsia" w:ascii="宋体" w:hAnsi="宋体"/>
          <w:iCs/>
          <w:color w:val="auto"/>
          <w:szCs w:val="21"/>
        </w:rPr>
        <w:sym w:font="Wingdings" w:char="00A8"/>
      </w:r>
      <w:r>
        <w:rPr>
          <w:rFonts w:hint="eastAsia" w:ascii="宋体" w:hAnsi="宋体"/>
          <w:iCs/>
          <w:color w:val="auto"/>
          <w:szCs w:val="21"/>
        </w:rPr>
        <w:t>强制</w:t>
      </w:r>
      <w:r>
        <w:rPr>
          <w:rFonts w:hint="eastAsia" w:ascii="宋体" w:hAnsi="宋体"/>
          <w:bCs/>
          <w:color w:val="auto"/>
          <w:szCs w:val="21"/>
        </w:rPr>
        <w:t>分包：大型企业应将采购份额的</w:t>
      </w:r>
      <w:r>
        <w:rPr>
          <w:rFonts w:hint="eastAsia" w:ascii="宋体" w:hAnsi="宋体"/>
          <w:bCs/>
          <w:color w:val="auto"/>
          <w:szCs w:val="21"/>
          <w:u w:val="single"/>
        </w:rPr>
        <w:t xml:space="preserve"> /  </w:t>
      </w:r>
      <w:r>
        <w:rPr>
          <w:rFonts w:hint="eastAsia" w:ascii="宋体" w:hAnsi="宋体"/>
          <w:bCs/>
          <w:color w:val="auto"/>
          <w:szCs w:val="21"/>
        </w:rPr>
        <w:t>%分包给中小企业。</w:t>
      </w:r>
    </w:p>
    <w:p w14:paraId="4BE88067">
      <w:pPr>
        <w:pageBreakBefore w:val="0"/>
        <w:widowControl w:val="0"/>
        <w:kinsoku/>
        <w:wordWrap/>
        <w:overflowPunct/>
        <w:topLinePunct w:val="0"/>
        <w:bidi w:val="0"/>
        <w:adjustRightInd w:val="0"/>
        <w:snapToGrid w:val="0"/>
        <w:spacing w:line="400" w:lineRule="exact"/>
        <w:ind w:firstLine="420" w:firstLineChars="200"/>
        <w:textAlignment w:val="auto"/>
        <w:rPr>
          <w:rFonts w:hint="eastAsia" w:ascii="宋体" w:hAnsi="宋体"/>
          <w:color w:val="auto"/>
          <w:szCs w:val="21"/>
        </w:rPr>
      </w:pPr>
      <w:r>
        <w:rPr>
          <w:rFonts w:hint="eastAsia" w:ascii="宋体" w:hAnsi="宋体"/>
          <w:color w:val="auto"/>
          <w:szCs w:val="21"/>
        </w:rPr>
        <w:t>3、本项目的特定资格要求：</w:t>
      </w:r>
    </w:p>
    <w:p w14:paraId="75454E48">
      <w:pPr>
        <w:pageBreakBefore w:val="0"/>
        <w:widowControl w:val="0"/>
        <w:kinsoku/>
        <w:wordWrap/>
        <w:overflowPunct/>
        <w:topLinePunct w:val="0"/>
        <w:bidi w:val="0"/>
        <w:adjustRightInd w:val="0"/>
        <w:snapToGrid w:val="0"/>
        <w:spacing w:line="400" w:lineRule="exact"/>
        <w:ind w:firstLine="420" w:firstLineChars="200"/>
        <w:textAlignment w:val="auto"/>
        <w:rPr>
          <w:rFonts w:hint="default" w:ascii="宋体" w:hAnsi="宋体" w:eastAsia="宋体"/>
          <w:i/>
          <w:color w:val="auto"/>
          <w:szCs w:val="21"/>
          <w:lang w:val="en-US" w:eastAsia="zh-CN"/>
        </w:rPr>
      </w:pPr>
      <w:r>
        <w:rPr>
          <w:rFonts w:hint="eastAsia" w:ascii="宋体" w:hAnsi="宋体"/>
          <w:color w:val="auto"/>
          <w:szCs w:val="21"/>
          <w:lang w:val="en-US" w:eastAsia="zh-CN"/>
        </w:rPr>
        <w:t>包1：无</w:t>
      </w:r>
    </w:p>
    <w:p w14:paraId="1C0CC09A">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color w:val="auto"/>
          <w:szCs w:val="21"/>
        </w:rPr>
      </w:pPr>
      <w:r>
        <w:rPr>
          <w:rFonts w:ascii="宋体" w:hAnsi="宋体"/>
          <w:color w:val="auto"/>
          <w:szCs w:val="21"/>
        </w:rPr>
        <w:t>4</w:t>
      </w:r>
      <w:r>
        <w:rPr>
          <w:rFonts w:hint="eastAsia" w:ascii="宋体" w:hAnsi="宋体"/>
          <w:color w:val="auto"/>
          <w:szCs w:val="21"/>
        </w:rPr>
        <w:t>、单位负责人为同一人或者存在直接控股、管理关系的不同供应商，不得参加同一合同项下的政府采购活动。</w:t>
      </w:r>
    </w:p>
    <w:p w14:paraId="65235575">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color w:val="auto"/>
          <w:szCs w:val="21"/>
        </w:rPr>
      </w:pPr>
      <w:r>
        <w:rPr>
          <w:rFonts w:ascii="宋体" w:hAnsi="宋体"/>
          <w:color w:val="auto"/>
          <w:szCs w:val="21"/>
        </w:rPr>
        <w:t>5</w:t>
      </w:r>
      <w:r>
        <w:rPr>
          <w:rFonts w:hint="eastAsia" w:ascii="宋体" w:hAnsi="宋体"/>
          <w:color w:val="auto"/>
          <w:szCs w:val="21"/>
        </w:rPr>
        <w:t>、为本采购项目提供整体设计、规范编制或者项目管理、监理、检测等服务的，不得再参加此项目的其他采购活动。</w:t>
      </w:r>
    </w:p>
    <w:p w14:paraId="0F6C5DC1">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b w:val="0"/>
          <w:bCs w:val="0"/>
          <w:color w:val="auto"/>
          <w:szCs w:val="21"/>
        </w:rPr>
      </w:pPr>
      <w:r>
        <w:rPr>
          <w:rFonts w:ascii="宋体" w:hAnsi="宋体"/>
          <w:b w:val="0"/>
          <w:bCs w:val="0"/>
          <w:color w:val="auto"/>
          <w:szCs w:val="21"/>
        </w:rPr>
        <w:t>6</w:t>
      </w:r>
      <w:r>
        <w:rPr>
          <w:rFonts w:hint="eastAsia" w:ascii="宋体" w:hAnsi="宋体"/>
          <w:b w:val="0"/>
          <w:bCs w:val="0"/>
          <w:color w:val="auto"/>
          <w:szCs w:val="21"/>
        </w:rPr>
        <w:t>、列入失信被执行人、重大税收违法失信主体名单、政府采购严重违法失信行为记录名单的，拒绝其参与政府采购活动。</w:t>
      </w:r>
    </w:p>
    <w:p w14:paraId="1753EF28">
      <w:pPr>
        <w:pageBreakBefore w:val="0"/>
        <w:widowControl w:val="0"/>
        <w:kinsoku/>
        <w:wordWrap/>
        <w:overflowPunct/>
        <w:topLinePunct w:val="0"/>
        <w:bidi w:val="0"/>
        <w:adjustRightInd w:val="0"/>
        <w:snapToGrid w:val="0"/>
        <w:spacing w:before="50" w:line="400" w:lineRule="exact"/>
        <w:ind w:firstLine="420" w:firstLineChars="200"/>
        <w:textAlignment w:val="auto"/>
        <w:rPr>
          <w:rFonts w:ascii="宋体" w:hAnsi="宋体"/>
          <w:color w:val="auto"/>
          <w:szCs w:val="21"/>
        </w:rPr>
      </w:pPr>
      <w:r>
        <w:rPr>
          <w:rFonts w:ascii="宋体" w:hAnsi="宋体"/>
          <w:color w:val="auto"/>
          <w:szCs w:val="21"/>
        </w:rPr>
        <w:t>7</w:t>
      </w:r>
      <w:r>
        <w:rPr>
          <w:rFonts w:hint="eastAsia" w:ascii="宋体" w:hAnsi="宋体"/>
          <w:color w:val="auto"/>
          <w:szCs w:val="21"/>
        </w:rPr>
        <w:t>、联合体响应。本次采购</w:t>
      </w:r>
      <w:r>
        <w:rPr>
          <w:rFonts w:hint="eastAsia" w:ascii="宋体" w:hAnsi="宋体"/>
          <w:color w:val="auto"/>
          <w:szCs w:val="21"/>
          <w:u w:val="single"/>
          <w:lang w:val="en-US" w:eastAsia="zh-CN"/>
        </w:rPr>
        <w:t>不接受</w:t>
      </w:r>
      <w:r>
        <w:rPr>
          <w:rFonts w:hint="eastAsia" w:ascii="宋体" w:hAnsi="宋体"/>
          <w:color w:val="auto"/>
          <w:szCs w:val="21"/>
        </w:rPr>
        <w:t>联合体响应。</w:t>
      </w:r>
    </w:p>
    <w:p w14:paraId="030F7601">
      <w:pPr>
        <w:keepNext/>
        <w:keepLines/>
        <w:pageBreakBefore w:val="0"/>
        <w:widowControl w:val="0"/>
        <w:kinsoku/>
        <w:wordWrap/>
        <w:overflowPunct/>
        <w:topLinePunct w:val="0"/>
        <w:bidi w:val="0"/>
        <w:adjustRightInd w:val="0"/>
        <w:snapToGrid w:val="0"/>
        <w:spacing w:before="156" w:beforeLines="50" w:line="400" w:lineRule="exact"/>
        <w:textAlignment w:val="auto"/>
        <w:outlineLvl w:val="1"/>
        <w:rPr>
          <w:rFonts w:ascii="黑体" w:hAnsi="黑体" w:eastAsia="黑体"/>
          <w:b/>
          <w:bCs/>
          <w:color w:val="auto"/>
          <w:sz w:val="24"/>
          <w:szCs w:val="32"/>
        </w:rPr>
      </w:pPr>
      <w:bookmarkStart w:id="16" w:name="_Toc25219"/>
      <w:bookmarkStart w:id="17" w:name="_Toc10729"/>
      <w:bookmarkStart w:id="18" w:name="_Toc22657514"/>
      <w:bookmarkStart w:id="19" w:name="_Toc110606576"/>
      <w:r>
        <w:rPr>
          <w:rFonts w:hint="eastAsia" w:ascii="黑体" w:hAnsi="黑体" w:eastAsia="黑体"/>
          <w:b/>
          <w:bCs/>
          <w:color w:val="auto"/>
          <w:sz w:val="24"/>
          <w:szCs w:val="32"/>
        </w:rPr>
        <w:t>五、供应商应</w:t>
      </w:r>
      <w:r>
        <w:rPr>
          <w:rFonts w:hint="eastAsia" w:ascii="黑体" w:hAnsi="黑体" w:eastAsia="黑体" w:cs="宋体"/>
          <w:b/>
          <w:bCs/>
          <w:color w:val="auto"/>
          <w:sz w:val="24"/>
          <w:szCs w:val="32"/>
        </w:rPr>
        <w:t>提</w:t>
      </w:r>
      <w:r>
        <w:rPr>
          <w:rFonts w:hint="eastAsia" w:ascii="黑体" w:hAnsi="黑体" w:eastAsia="黑体"/>
          <w:b/>
          <w:bCs/>
          <w:color w:val="auto"/>
          <w:sz w:val="24"/>
          <w:szCs w:val="32"/>
        </w:rPr>
        <w:t>交的资格证明材料及说明</w:t>
      </w:r>
      <w:bookmarkEnd w:id="16"/>
      <w:bookmarkEnd w:id="17"/>
      <w:bookmarkEnd w:id="18"/>
      <w:bookmarkEnd w:id="19"/>
    </w:p>
    <w:p w14:paraId="5EF977D1">
      <w:pPr>
        <w:pageBreakBefore w:val="0"/>
        <w:widowControl w:val="0"/>
        <w:kinsoku/>
        <w:wordWrap/>
        <w:overflowPunct/>
        <w:topLinePunct w:val="0"/>
        <w:bidi w:val="0"/>
        <w:adjustRightInd w:val="0"/>
        <w:snapToGrid w:val="0"/>
        <w:spacing w:before="156" w:beforeLines="50" w:line="400" w:lineRule="exact"/>
        <w:ind w:firstLine="420" w:firstLineChars="200"/>
        <w:textAlignment w:val="auto"/>
        <w:rPr>
          <w:rFonts w:ascii="宋体" w:hAnsi="宋体"/>
          <w:color w:val="auto"/>
        </w:rPr>
      </w:pPr>
      <w:r>
        <w:rPr>
          <w:rFonts w:hint="eastAsia" w:ascii="宋体" w:hAnsi="宋体"/>
          <w:color w:val="auto"/>
          <w:szCs w:val="21"/>
        </w:rPr>
        <w:t>1、供应商</w:t>
      </w:r>
      <w:r>
        <w:rPr>
          <w:rFonts w:hint="eastAsia" w:ascii="宋体" w:hAnsi="宋体"/>
          <w:color w:val="auto"/>
        </w:rPr>
        <w:t>应按下列规定提供资格证明文件。</w:t>
      </w:r>
    </w:p>
    <w:p w14:paraId="0BDCA372">
      <w:pPr>
        <w:pageBreakBefore w:val="0"/>
        <w:widowControl w:val="0"/>
        <w:kinsoku/>
        <w:wordWrap/>
        <w:overflowPunct/>
        <w:topLinePunct w:val="0"/>
        <w:bidi w:val="0"/>
        <w:adjustRightInd w:val="0"/>
        <w:snapToGrid w:val="0"/>
        <w:spacing w:before="156" w:beforeLines="50" w:line="400" w:lineRule="exact"/>
        <w:ind w:firstLine="422" w:firstLineChars="200"/>
        <w:textAlignment w:val="auto"/>
        <w:rPr>
          <w:rFonts w:ascii="宋体" w:hAnsi="宋体"/>
          <w:b/>
          <w:bCs/>
          <w:color w:val="auto"/>
        </w:rPr>
      </w:pPr>
      <w:r>
        <w:rPr>
          <w:rFonts w:hint="eastAsia" w:ascii="宋体" w:hAnsi="宋体"/>
          <w:b/>
          <w:bCs/>
          <w:color w:val="auto"/>
        </w:rPr>
        <w:t>（1）法人或者其他组织的营业执照等主体资格证明文件，自然人的身份证明：</w:t>
      </w:r>
      <w:r>
        <w:rPr>
          <w:rFonts w:hint="eastAsia" w:ascii="宋体" w:hAnsi="宋体"/>
          <w:b/>
          <w:bCs/>
          <w:color w:val="auto"/>
          <w:szCs w:val="21"/>
        </w:rPr>
        <w:t>供应商</w:t>
      </w:r>
      <w:r>
        <w:rPr>
          <w:rFonts w:hint="eastAsia" w:ascii="宋体" w:hAnsi="宋体"/>
          <w:b/>
          <w:bCs/>
          <w:color w:val="auto"/>
        </w:rPr>
        <w:t>为法人的，应提交营业执照或法人登记证书的复印件；</w:t>
      </w:r>
      <w:r>
        <w:rPr>
          <w:rFonts w:hint="eastAsia" w:ascii="宋体" w:hAnsi="宋体"/>
          <w:b/>
          <w:bCs/>
          <w:color w:val="auto"/>
          <w:szCs w:val="21"/>
        </w:rPr>
        <w:t>供应商</w:t>
      </w:r>
      <w:r>
        <w:rPr>
          <w:rFonts w:hint="eastAsia" w:ascii="宋体" w:hAnsi="宋体"/>
          <w:b/>
          <w:bCs/>
          <w:color w:val="auto"/>
        </w:rPr>
        <w:t>为非法人组织的，应提交依法登记证书复印件；</w:t>
      </w:r>
      <w:r>
        <w:rPr>
          <w:rFonts w:hint="eastAsia" w:ascii="宋体" w:hAnsi="宋体"/>
          <w:b/>
          <w:bCs/>
          <w:color w:val="auto"/>
          <w:szCs w:val="21"/>
        </w:rPr>
        <w:t>供应商</w:t>
      </w:r>
      <w:r>
        <w:rPr>
          <w:rFonts w:hint="eastAsia" w:ascii="宋体" w:hAnsi="宋体"/>
          <w:b/>
          <w:bCs/>
          <w:color w:val="auto"/>
        </w:rPr>
        <w:t>为个体工商户的，应提交个体工商户营业执照复印件；</w:t>
      </w:r>
      <w:r>
        <w:rPr>
          <w:rFonts w:hint="eastAsia" w:ascii="宋体" w:hAnsi="宋体"/>
          <w:b/>
          <w:bCs/>
          <w:color w:val="auto"/>
          <w:szCs w:val="21"/>
        </w:rPr>
        <w:t>供应商</w:t>
      </w:r>
      <w:r>
        <w:rPr>
          <w:rFonts w:hint="eastAsia" w:ascii="宋体" w:hAnsi="宋体"/>
          <w:b/>
          <w:bCs/>
          <w:color w:val="auto"/>
        </w:rPr>
        <w:t>为自然人的，应提交自然人的身份证明复印件；</w:t>
      </w:r>
    </w:p>
    <w:p w14:paraId="6E3A29B0">
      <w:pPr>
        <w:pageBreakBefore w:val="0"/>
        <w:widowControl w:val="0"/>
        <w:kinsoku/>
        <w:wordWrap/>
        <w:overflowPunct/>
        <w:topLinePunct w:val="0"/>
        <w:bidi w:val="0"/>
        <w:adjustRightInd w:val="0"/>
        <w:snapToGrid w:val="0"/>
        <w:spacing w:before="156" w:beforeLines="50" w:line="400" w:lineRule="exact"/>
        <w:ind w:firstLine="422" w:firstLineChars="200"/>
        <w:textAlignment w:val="auto"/>
        <w:rPr>
          <w:rFonts w:ascii="宋体" w:hAnsi="宋体"/>
          <w:b/>
          <w:bCs/>
          <w:color w:val="auto"/>
        </w:rPr>
      </w:pPr>
      <w:r>
        <w:rPr>
          <w:rFonts w:hint="eastAsia" w:ascii="宋体" w:hAnsi="宋体"/>
          <w:b/>
          <w:bCs/>
          <w:color w:val="auto"/>
        </w:rPr>
        <w:t>（2）</w:t>
      </w:r>
      <w:r>
        <w:rPr>
          <w:rFonts w:hint="eastAsia" w:ascii="宋体" w:hAnsi="宋体"/>
          <w:b/>
          <w:bCs/>
          <w:color w:val="auto"/>
          <w:szCs w:val="21"/>
        </w:rPr>
        <w:t>湖南省政府采购供应商资格承诺函原件</w:t>
      </w:r>
      <w:r>
        <w:rPr>
          <w:rFonts w:hint="eastAsia" w:ascii="宋体" w:hAnsi="宋体"/>
          <w:b/>
          <w:bCs/>
          <w:color w:val="auto"/>
        </w:rPr>
        <w:t>；</w:t>
      </w:r>
    </w:p>
    <w:p w14:paraId="0374A528">
      <w:pPr>
        <w:pageBreakBefore w:val="0"/>
        <w:widowControl w:val="0"/>
        <w:kinsoku/>
        <w:wordWrap/>
        <w:overflowPunct/>
        <w:topLinePunct w:val="0"/>
        <w:bidi w:val="0"/>
        <w:adjustRightInd w:val="0"/>
        <w:snapToGrid w:val="0"/>
        <w:spacing w:before="156" w:beforeLines="50" w:line="400" w:lineRule="exact"/>
        <w:ind w:firstLine="420" w:firstLineChars="200"/>
        <w:textAlignment w:val="auto"/>
        <w:rPr>
          <w:rFonts w:ascii="宋体" w:hAnsi="宋体"/>
          <w:color w:val="auto"/>
        </w:rPr>
      </w:pPr>
      <w:r>
        <w:rPr>
          <w:rFonts w:hint="eastAsia" w:ascii="宋体" w:hAnsi="宋体"/>
          <w:color w:val="auto"/>
        </w:rPr>
        <w:t>（3）符合特定资格条件证明材料复印件或者情况说明原件</w:t>
      </w:r>
      <w:r>
        <w:rPr>
          <w:rFonts w:hint="eastAsia" w:ascii="宋体" w:hAnsi="宋体"/>
          <w:color w:val="auto"/>
          <w:szCs w:val="21"/>
        </w:rPr>
        <w:t>；</w:t>
      </w:r>
    </w:p>
    <w:p w14:paraId="104B0EFC">
      <w:pPr>
        <w:pageBreakBefore w:val="0"/>
        <w:widowControl w:val="0"/>
        <w:kinsoku/>
        <w:wordWrap/>
        <w:overflowPunct/>
        <w:topLinePunct w:val="0"/>
        <w:bidi w:val="0"/>
        <w:adjustRightInd w:val="0"/>
        <w:snapToGrid w:val="0"/>
        <w:spacing w:before="156" w:beforeLines="50" w:line="400" w:lineRule="exact"/>
        <w:ind w:firstLine="422" w:firstLineChars="200"/>
        <w:textAlignment w:val="auto"/>
        <w:rPr>
          <w:rFonts w:ascii="宋体" w:hAnsi="宋体"/>
          <w:b/>
          <w:bCs/>
          <w:color w:val="auto"/>
        </w:rPr>
      </w:pPr>
      <w:r>
        <w:rPr>
          <w:rFonts w:hint="eastAsia" w:ascii="宋体" w:hAnsi="宋体"/>
          <w:b/>
          <w:bCs/>
          <w:color w:val="auto"/>
        </w:rPr>
        <w:t>（4）符合采购项目供应商资格要求的其他证明材料：</w:t>
      </w:r>
    </w:p>
    <w:p w14:paraId="267162CA">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200"/>
        <w:textAlignment w:val="auto"/>
        <w:rPr>
          <w:color w:val="auto"/>
        </w:rPr>
      </w:pPr>
      <w:r>
        <w:rPr>
          <w:rFonts w:hint="eastAsia"/>
          <w:color w:val="auto"/>
        </w:rPr>
        <w:sym w:font="Wingdings" w:char="00A8"/>
      </w:r>
      <w:r>
        <w:rPr>
          <w:rFonts w:hint="eastAsia"/>
          <w:color w:val="auto"/>
        </w:rPr>
        <w:t>联合体协议书（供应商为联合体形式的）；</w:t>
      </w:r>
    </w:p>
    <w:p w14:paraId="630585F3">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200"/>
        <w:textAlignment w:val="auto"/>
        <w:rPr>
          <w:color w:val="auto"/>
        </w:rPr>
      </w:pPr>
      <w:r>
        <w:rPr>
          <w:rFonts w:hint="eastAsia"/>
          <w:color w:val="auto"/>
        </w:rPr>
        <w:sym w:font="Wingdings" w:char="00A8"/>
      </w:r>
      <w:r>
        <w:rPr>
          <w:rFonts w:hint="eastAsia"/>
          <w:color w:val="auto"/>
        </w:rPr>
        <w:t>分包承诺（执行强制分包的），格式自拟；</w:t>
      </w:r>
    </w:p>
    <w:p w14:paraId="0B4E3CAB">
      <w:pPr>
        <w:keepNext w:val="0"/>
        <w:keepLines w:val="0"/>
        <w:pageBreakBefore w:val="0"/>
        <w:widowControl w:val="0"/>
        <w:kinsoku/>
        <w:wordWrap/>
        <w:overflowPunct/>
        <w:topLinePunct w:val="0"/>
        <w:autoSpaceDE/>
        <w:autoSpaceDN/>
        <w:bidi w:val="0"/>
        <w:adjustRightInd/>
        <w:snapToGrid/>
        <w:spacing w:line="400" w:lineRule="exact"/>
        <w:ind w:left="0" w:leftChars="0" w:firstLine="422" w:firstLineChars="200"/>
        <w:textAlignment w:val="auto"/>
        <w:rPr>
          <w:rFonts w:hint="eastAsia"/>
          <w:b/>
          <w:bCs/>
          <w:color w:val="auto"/>
          <w:lang w:eastAsia="zh-CN"/>
        </w:rPr>
      </w:pPr>
      <w:r>
        <w:rPr>
          <w:rFonts w:hint="eastAsia"/>
          <w:b/>
          <w:bCs/>
          <w:color w:val="auto"/>
        </w:rPr>
        <w:sym w:font="Wingdings" w:char="00FE"/>
      </w:r>
      <w:r>
        <w:rPr>
          <w:rFonts w:hint="eastAsia"/>
          <w:b/>
          <w:bCs/>
          <w:color w:val="auto"/>
        </w:rPr>
        <w:t>其他说明。</w:t>
      </w:r>
      <w:r>
        <w:rPr>
          <w:rFonts w:hint="eastAsia"/>
          <w:b/>
          <w:bCs/>
          <w:color w:val="auto"/>
          <w:lang w:eastAsia="zh-CN"/>
        </w:rPr>
        <w:t>（</w:t>
      </w:r>
      <w:r>
        <w:rPr>
          <w:rFonts w:hint="eastAsia"/>
          <w:b/>
          <w:bCs/>
          <w:color w:val="auto"/>
          <w:lang w:val="en-US" w:eastAsia="zh-CN"/>
        </w:rPr>
        <w:t>包括但不限于“四、供应商的资格要求”中1-6项内容的承诺函原件），格式自拟；</w:t>
      </w:r>
    </w:p>
    <w:p w14:paraId="5B9C6556">
      <w:pPr>
        <w:pageBreakBefore w:val="0"/>
        <w:widowControl w:val="0"/>
        <w:kinsoku/>
        <w:wordWrap/>
        <w:overflowPunct/>
        <w:topLinePunct w:val="0"/>
        <w:bidi w:val="0"/>
        <w:adjustRightInd w:val="0"/>
        <w:snapToGrid w:val="0"/>
        <w:spacing w:before="156" w:beforeLines="50" w:line="400" w:lineRule="exact"/>
        <w:ind w:firstLine="420" w:firstLineChars="200"/>
        <w:textAlignment w:val="auto"/>
        <w:rPr>
          <w:rFonts w:ascii="宋体" w:hAnsi="宋体"/>
          <w:color w:val="auto"/>
        </w:rPr>
      </w:pPr>
      <w:r>
        <w:rPr>
          <w:rFonts w:hint="eastAsia" w:ascii="宋体" w:hAnsi="宋体"/>
          <w:color w:val="auto"/>
        </w:rPr>
        <w:t>2、</w:t>
      </w:r>
      <w:r>
        <w:rPr>
          <w:rFonts w:hint="eastAsia" w:ascii="宋体" w:hAnsi="宋体"/>
          <w:color w:val="auto"/>
          <w:szCs w:val="21"/>
        </w:rPr>
        <w:t>供应商</w:t>
      </w:r>
      <w:r>
        <w:rPr>
          <w:rFonts w:hint="eastAsia" w:ascii="宋体" w:hAnsi="宋体"/>
          <w:color w:val="auto"/>
        </w:rPr>
        <w:t>为联合体形式的，除应提交联合协议(格式)外，参加联合体的各方均应提交上款资格证明材料。</w:t>
      </w:r>
    </w:p>
    <w:p w14:paraId="5959E7E4">
      <w:pPr>
        <w:pageBreakBefore w:val="0"/>
        <w:widowControl w:val="0"/>
        <w:kinsoku/>
        <w:wordWrap/>
        <w:overflowPunct/>
        <w:topLinePunct w:val="0"/>
        <w:bidi w:val="0"/>
        <w:adjustRightInd w:val="0"/>
        <w:snapToGrid w:val="0"/>
        <w:spacing w:before="156" w:beforeLines="50" w:line="400" w:lineRule="exact"/>
        <w:ind w:firstLine="420" w:firstLineChars="200"/>
        <w:textAlignment w:val="auto"/>
        <w:rPr>
          <w:rFonts w:ascii="宋体" w:hAnsi="宋体"/>
          <w:color w:val="auto"/>
        </w:rPr>
      </w:pPr>
      <w:r>
        <w:rPr>
          <w:rFonts w:hint="eastAsia" w:ascii="宋体" w:hAnsi="宋体"/>
          <w:color w:val="auto"/>
        </w:rPr>
        <w:t>3、</w:t>
      </w:r>
      <w:r>
        <w:rPr>
          <w:rFonts w:hint="eastAsia" w:ascii="宋体" w:hAnsi="宋体"/>
          <w:color w:val="auto"/>
          <w:szCs w:val="21"/>
        </w:rPr>
        <w:t>供应商</w:t>
      </w:r>
      <w:r>
        <w:rPr>
          <w:rFonts w:hint="eastAsia" w:ascii="宋体" w:hAnsi="宋体"/>
          <w:color w:val="auto"/>
        </w:rPr>
        <w:t>的资格证明文件均应为有效文件并加盖</w:t>
      </w:r>
      <w:r>
        <w:rPr>
          <w:rFonts w:hint="eastAsia" w:ascii="宋体" w:hAnsi="宋体"/>
          <w:color w:val="auto"/>
          <w:szCs w:val="21"/>
        </w:rPr>
        <w:t>供应商</w:t>
      </w:r>
      <w:r>
        <w:rPr>
          <w:rFonts w:hint="eastAsia" w:ascii="宋体" w:hAnsi="宋体"/>
          <w:color w:val="auto"/>
        </w:rPr>
        <w:t>单位公章，并按其规定签署。</w:t>
      </w:r>
    </w:p>
    <w:p w14:paraId="50985B03">
      <w:pPr>
        <w:keepNext/>
        <w:keepLines/>
        <w:pageBreakBefore w:val="0"/>
        <w:widowControl w:val="0"/>
        <w:kinsoku/>
        <w:wordWrap/>
        <w:overflowPunct/>
        <w:topLinePunct w:val="0"/>
        <w:bidi w:val="0"/>
        <w:adjustRightInd w:val="0"/>
        <w:snapToGrid w:val="0"/>
        <w:spacing w:before="156" w:beforeLines="50" w:line="400" w:lineRule="exact"/>
        <w:textAlignment w:val="auto"/>
        <w:outlineLvl w:val="1"/>
        <w:rPr>
          <w:rFonts w:ascii="黑体" w:hAnsi="黑体" w:eastAsia="黑体"/>
          <w:b/>
          <w:bCs/>
          <w:color w:val="auto"/>
          <w:sz w:val="24"/>
          <w:szCs w:val="32"/>
        </w:rPr>
      </w:pPr>
      <w:bookmarkStart w:id="20" w:name="_Toc110606577"/>
      <w:bookmarkStart w:id="21" w:name="_Toc12631"/>
      <w:bookmarkStart w:id="22" w:name="_Toc21952"/>
      <w:bookmarkStart w:id="23" w:name="_Toc22657515"/>
      <w:r>
        <w:rPr>
          <w:rFonts w:hint="eastAsia" w:ascii="黑体" w:hAnsi="黑体" w:eastAsia="黑体"/>
          <w:b/>
          <w:bCs/>
          <w:color w:val="auto"/>
          <w:sz w:val="24"/>
          <w:szCs w:val="32"/>
        </w:rPr>
        <w:t>六、资格审查证明材料的递交</w:t>
      </w:r>
      <w:bookmarkEnd w:id="20"/>
      <w:bookmarkEnd w:id="21"/>
      <w:bookmarkEnd w:id="22"/>
      <w:bookmarkEnd w:id="23"/>
    </w:p>
    <w:p w14:paraId="2A6C9306">
      <w:pPr>
        <w:pageBreakBefore w:val="0"/>
        <w:widowControl w:val="0"/>
        <w:kinsoku/>
        <w:wordWrap/>
        <w:overflowPunct/>
        <w:topLinePunct w:val="0"/>
        <w:bidi w:val="0"/>
        <w:adjustRightInd w:val="0"/>
        <w:snapToGrid w:val="0"/>
        <w:spacing w:before="156" w:beforeLines="50" w:line="400" w:lineRule="exact"/>
        <w:ind w:firstLine="369" w:firstLineChars="175"/>
        <w:textAlignment w:val="auto"/>
        <w:rPr>
          <w:rFonts w:ascii="宋体"/>
          <w:b/>
          <w:bCs/>
          <w:color w:val="auto"/>
          <w:szCs w:val="21"/>
        </w:rPr>
      </w:pPr>
      <w:r>
        <w:rPr>
          <w:rFonts w:hint="eastAsia" w:ascii="宋体" w:hAnsi="宋体"/>
          <w:b/>
          <w:bCs/>
          <w:color w:val="auto"/>
          <w:szCs w:val="21"/>
        </w:rPr>
        <w:t>1、按本公告第五条规定</w:t>
      </w:r>
      <w:r>
        <w:rPr>
          <w:rFonts w:hint="eastAsia" w:ascii="宋体" w:hAnsi="宋体" w:cs="宋体"/>
          <w:b/>
          <w:bCs/>
          <w:color w:val="auto"/>
          <w:szCs w:val="21"/>
        </w:rPr>
        <w:t>提</w:t>
      </w:r>
      <w:r>
        <w:rPr>
          <w:rFonts w:hint="eastAsia" w:ascii="宋体" w:hAnsi="宋体"/>
          <w:b/>
          <w:bCs/>
          <w:color w:val="auto"/>
          <w:szCs w:val="21"/>
        </w:rPr>
        <w:t>交的证明材料及说明应装订成册，一式</w:t>
      </w:r>
      <w:r>
        <w:rPr>
          <w:rFonts w:hint="eastAsia" w:ascii="宋体" w:hAnsi="宋体"/>
          <w:b/>
          <w:bCs/>
          <w:color w:val="auto"/>
          <w:szCs w:val="21"/>
          <w:lang w:val="en-US" w:eastAsia="zh-CN"/>
        </w:rPr>
        <w:t>3</w:t>
      </w:r>
      <w:r>
        <w:rPr>
          <w:rFonts w:hint="eastAsia" w:ascii="宋体" w:hAnsi="宋体"/>
          <w:b/>
          <w:bCs/>
          <w:color w:val="auto"/>
          <w:szCs w:val="21"/>
        </w:rPr>
        <w:t>份。</w:t>
      </w:r>
    </w:p>
    <w:p w14:paraId="6F1D569B">
      <w:pPr>
        <w:pageBreakBefore w:val="0"/>
        <w:widowControl w:val="0"/>
        <w:kinsoku/>
        <w:wordWrap/>
        <w:overflowPunct/>
        <w:topLinePunct w:val="0"/>
        <w:bidi w:val="0"/>
        <w:adjustRightInd w:val="0"/>
        <w:snapToGrid w:val="0"/>
        <w:spacing w:before="156" w:beforeLines="50" w:line="400" w:lineRule="exact"/>
        <w:ind w:firstLine="369" w:firstLineChars="175"/>
        <w:textAlignment w:val="auto"/>
        <w:rPr>
          <w:rFonts w:ascii="宋体" w:hAnsi="宋体"/>
          <w:b/>
          <w:bCs/>
          <w:color w:val="auto"/>
          <w:szCs w:val="21"/>
        </w:rPr>
      </w:pPr>
      <w:r>
        <w:rPr>
          <w:rFonts w:hint="eastAsia" w:ascii="宋体" w:hAnsi="宋体"/>
          <w:b/>
          <w:bCs/>
          <w:color w:val="auto"/>
          <w:szCs w:val="21"/>
        </w:rPr>
        <w:t>2、资格审查证明材料的递交截止时间为</w:t>
      </w:r>
      <w:r>
        <w:rPr>
          <w:rFonts w:ascii="宋体" w:hAnsi="宋体"/>
          <w:b/>
          <w:bCs/>
          <w:color w:val="auto"/>
          <w:szCs w:val="21"/>
          <w:u w:val="single"/>
        </w:rPr>
        <w:t xml:space="preserve"> </w:t>
      </w:r>
      <w:r>
        <w:rPr>
          <w:rFonts w:hint="eastAsia" w:ascii="宋体" w:hAnsi="宋体"/>
          <w:b/>
          <w:bCs/>
          <w:color w:val="auto"/>
          <w:szCs w:val="21"/>
          <w:u w:val="single"/>
          <w:lang w:val="en-US" w:eastAsia="zh-CN"/>
        </w:rPr>
        <w:t>2024</w:t>
      </w:r>
      <w:r>
        <w:rPr>
          <w:rFonts w:ascii="宋体" w:hAnsi="宋体"/>
          <w:b/>
          <w:bCs/>
          <w:color w:val="auto"/>
          <w:szCs w:val="21"/>
          <w:u w:val="single"/>
        </w:rPr>
        <w:t xml:space="preserve"> </w:t>
      </w:r>
      <w:r>
        <w:rPr>
          <w:rFonts w:hint="eastAsia" w:ascii="宋体" w:hAnsi="宋体"/>
          <w:b/>
          <w:bCs/>
          <w:color w:val="auto"/>
          <w:szCs w:val="21"/>
        </w:rPr>
        <w:t>年</w:t>
      </w:r>
      <w:r>
        <w:rPr>
          <w:rFonts w:ascii="宋体" w:hAnsi="宋体"/>
          <w:b/>
          <w:bCs/>
          <w:color w:val="auto"/>
          <w:szCs w:val="21"/>
          <w:u w:val="single"/>
        </w:rPr>
        <w:t xml:space="preserve"> </w:t>
      </w:r>
      <w:r>
        <w:rPr>
          <w:rFonts w:hint="eastAsia" w:ascii="宋体" w:hAnsi="宋体"/>
          <w:b/>
          <w:bCs/>
          <w:color w:val="auto"/>
          <w:szCs w:val="21"/>
          <w:u w:val="single"/>
          <w:lang w:val="en-US" w:eastAsia="zh-CN"/>
        </w:rPr>
        <w:t>9</w:t>
      </w:r>
      <w:r>
        <w:rPr>
          <w:rFonts w:ascii="宋体" w:hAnsi="宋体"/>
          <w:b/>
          <w:bCs/>
          <w:color w:val="auto"/>
          <w:szCs w:val="21"/>
          <w:u w:val="single"/>
        </w:rPr>
        <w:t xml:space="preserve"> </w:t>
      </w:r>
      <w:r>
        <w:rPr>
          <w:rFonts w:hint="eastAsia" w:ascii="宋体" w:hAnsi="宋体"/>
          <w:b/>
          <w:bCs/>
          <w:color w:val="auto"/>
          <w:szCs w:val="21"/>
        </w:rPr>
        <w:t>月</w:t>
      </w:r>
      <w:r>
        <w:rPr>
          <w:rFonts w:ascii="宋体" w:hAnsi="宋体"/>
          <w:b/>
          <w:bCs/>
          <w:color w:val="auto"/>
          <w:szCs w:val="21"/>
          <w:u w:val="single"/>
        </w:rPr>
        <w:t xml:space="preserve"> </w:t>
      </w:r>
      <w:r>
        <w:rPr>
          <w:rFonts w:hint="eastAsia" w:ascii="宋体" w:hAnsi="宋体"/>
          <w:b/>
          <w:bCs/>
          <w:color w:val="auto"/>
          <w:szCs w:val="21"/>
          <w:u w:val="single"/>
          <w:lang w:val="en-US" w:eastAsia="zh-CN"/>
        </w:rPr>
        <w:t>9</w:t>
      </w:r>
      <w:bookmarkStart w:id="59" w:name="_GoBack"/>
      <w:bookmarkEnd w:id="59"/>
      <w:r>
        <w:rPr>
          <w:rFonts w:ascii="宋体" w:hAnsi="宋体"/>
          <w:b/>
          <w:bCs/>
          <w:color w:val="auto"/>
          <w:szCs w:val="21"/>
          <w:u w:val="single"/>
        </w:rPr>
        <w:t xml:space="preserve"> </w:t>
      </w:r>
      <w:r>
        <w:rPr>
          <w:rFonts w:hint="eastAsia" w:ascii="宋体" w:hAnsi="宋体"/>
          <w:b/>
          <w:bCs/>
          <w:color w:val="auto"/>
          <w:szCs w:val="21"/>
        </w:rPr>
        <w:t>日</w:t>
      </w:r>
      <w:r>
        <w:rPr>
          <w:rFonts w:ascii="宋体" w:hAnsi="宋体"/>
          <w:b/>
          <w:bCs/>
          <w:color w:val="auto"/>
          <w:szCs w:val="21"/>
          <w:u w:val="single"/>
        </w:rPr>
        <w:t xml:space="preserve"> </w:t>
      </w:r>
      <w:r>
        <w:rPr>
          <w:rFonts w:hint="eastAsia" w:ascii="宋体" w:hAnsi="宋体"/>
          <w:b/>
          <w:bCs/>
          <w:color w:val="auto"/>
          <w:szCs w:val="21"/>
          <w:u w:val="single"/>
          <w:lang w:val="en-US" w:eastAsia="zh-CN"/>
        </w:rPr>
        <w:t xml:space="preserve">18 </w:t>
      </w:r>
      <w:r>
        <w:rPr>
          <w:rFonts w:hint="eastAsia" w:ascii="宋体" w:hAnsi="宋体"/>
          <w:b/>
          <w:bCs/>
          <w:color w:val="auto"/>
          <w:szCs w:val="21"/>
        </w:rPr>
        <w:t>时</w:t>
      </w:r>
      <w:r>
        <w:rPr>
          <w:rFonts w:ascii="宋体" w:hAnsi="宋体"/>
          <w:b/>
          <w:bCs/>
          <w:color w:val="auto"/>
          <w:szCs w:val="21"/>
          <w:u w:val="single"/>
        </w:rPr>
        <w:t xml:space="preserve"> </w:t>
      </w:r>
      <w:r>
        <w:rPr>
          <w:rFonts w:hint="eastAsia" w:ascii="宋体" w:hAnsi="宋体"/>
          <w:b/>
          <w:bCs/>
          <w:color w:val="auto"/>
          <w:szCs w:val="21"/>
          <w:u w:val="single"/>
          <w:lang w:val="en-US" w:eastAsia="zh-CN"/>
        </w:rPr>
        <w:t>0</w:t>
      </w:r>
      <w:r>
        <w:rPr>
          <w:rFonts w:ascii="宋体" w:hAnsi="宋体"/>
          <w:b/>
          <w:bCs/>
          <w:color w:val="auto"/>
          <w:szCs w:val="21"/>
          <w:u w:val="single"/>
        </w:rPr>
        <w:t xml:space="preserve"> </w:t>
      </w:r>
      <w:r>
        <w:rPr>
          <w:rFonts w:hint="eastAsia" w:ascii="宋体" w:hAnsi="宋体"/>
          <w:b/>
          <w:bCs/>
          <w:color w:val="auto"/>
          <w:szCs w:val="21"/>
        </w:rPr>
        <w:t>分（北京时间），地点为</w:t>
      </w:r>
      <w:r>
        <w:rPr>
          <w:rFonts w:ascii="宋体" w:hAnsi="宋体"/>
          <w:b/>
          <w:bCs/>
          <w:color w:val="auto"/>
          <w:szCs w:val="21"/>
          <w:u w:val="single"/>
        </w:rPr>
        <w:t xml:space="preserve"> </w:t>
      </w:r>
      <w:r>
        <w:rPr>
          <w:rFonts w:hint="eastAsia" w:ascii="宋体" w:hAnsi="宋体"/>
          <w:b/>
          <w:bCs/>
          <w:color w:val="auto"/>
          <w:szCs w:val="21"/>
          <w:u w:val="single"/>
        </w:rPr>
        <w:t>张家界方正建设项目管理有限公司（永定区古庸路378号黄金大厦1913A</w:t>
      </w:r>
      <w:r>
        <w:rPr>
          <w:rFonts w:hint="eastAsia" w:ascii="宋体" w:hAnsi="宋体"/>
          <w:b/>
          <w:bCs/>
          <w:color w:val="auto"/>
          <w:szCs w:val="21"/>
          <w:u w:val="single"/>
          <w:lang w:val="en-US" w:eastAsia="zh-CN"/>
        </w:rPr>
        <w:t>房间</w:t>
      </w:r>
      <w:r>
        <w:rPr>
          <w:rFonts w:hint="eastAsia" w:ascii="宋体" w:hAnsi="宋体"/>
          <w:b/>
          <w:bCs/>
          <w:color w:val="auto"/>
          <w:szCs w:val="21"/>
          <w:u w:val="single"/>
        </w:rPr>
        <w:t>）</w:t>
      </w:r>
      <w:r>
        <w:rPr>
          <w:rFonts w:ascii="宋体" w:hAnsi="宋体"/>
          <w:b/>
          <w:bCs/>
          <w:color w:val="auto"/>
          <w:szCs w:val="21"/>
          <w:u w:val="single"/>
        </w:rPr>
        <w:t xml:space="preserve"> </w:t>
      </w:r>
      <w:r>
        <w:rPr>
          <w:rFonts w:ascii="宋体" w:hAnsi="宋体"/>
          <w:b/>
          <w:bCs/>
          <w:color w:val="auto"/>
          <w:szCs w:val="21"/>
        </w:rPr>
        <w:t>(</w:t>
      </w:r>
      <w:r>
        <w:rPr>
          <w:rFonts w:hint="eastAsia" w:ascii="宋体" w:hAnsi="宋体"/>
          <w:b/>
          <w:bCs/>
          <w:color w:val="auto"/>
          <w:szCs w:val="21"/>
        </w:rPr>
        <w:t>指定地址</w:t>
      </w:r>
      <w:r>
        <w:rPr>
          <w:rFonts w:ascii="宋体" w:hAnsi="宋体"/>
          <w:b/>
          <w:bCs/>
          <w:color w:val="auto"/>
          <w:szCs w:val="21"/>
        </w:rPr>
        <w:t>)</w:t>
      </w:r>
      <w:r>
        <w:rPr>
          <w:rFonts w:hint="eastAsia" w:ascii="宋体" w:hAnsi="宋体"/>
          <w:b/>
          <w:bCs/>
          <w:color w:val="auto"/>
          <w:szCs w:val="21"/>
        </w:rPr>
        <w:t>。逾期送达的，不予受理。</w:t>
      </w:r>
    </w:p>
    <w:p w14:paraId="101DFF14">
      <w:pPr>
        <w:keepNext/>
        <w:keepLines/>
        <w:pageBreakBefore w:val="0"/>
        <w:widowControl w:val="0"/>
        <w:kinsoku/>
        <w:wordWrap/>
        <w:overflowPunct/>
        <w:topLinePunct w:val="0"/>
        <w:bidi w:val="0"/>
        <w:adjustRightInd w:val="0"/>
        <w:snapToGrid w:val="0"/>
        <w:spacing w:before="156" w:beforeLines="50" w:line="400" w:lineRule="exact"/>
        <w:textAlignment w:val="auto"/>
        <w:outlineLvl w:val="1"/>
        <w:rPr>
          <w:rFonts w:ascii="黑体" w:hAnsi="黑体" w:eastAsia="黑体"/>
          <w:b/>
          <w:bCs/>
          <w:color w:val="auto"/>
          <w:sz w:val="24"/>
          <w:szCs w:val="32"/>
        </w:rPr>
      </w:pPr>
      <w:bookmarkStart w:id="24" w:name="_Toc3740"/>
      <w:bookmarkStart w:id="25" w:name="_Toc110606578"/>
      <w:bookmarkStart w:id="26" w:name="_Toc3759"/>
      <w:bookmarkStart w:id="27" w:name="_Toc22657516"/>
      <w:r>
        <w:rPr>
          <w:rFonts w:hint="eastAsia" w:ascii="黑体" w:hAnsi="黑体" w:eastAsia="黑体"/>
          <w:b/>
          <w:bCs/>
          <w:color w:val="auto"/>
          <w:sz w:val="24"/>
          <w:szCs w:val="32"/>
        </w:rPr>
        <w:t>七、资格审查方法及标准</w:t>
      </w:r>
      <w:bookmarkEnd w:id="24"/>
      <w:bookmarkEnd w:id="25"/>
      <w:bookmarkEnd w:id="26"/>
    </w:p>
    <w:p w14:paraId="5F060FE3">
      <w:pPr>
        <w:pageBreakBefore w:val="0"/>
        <w:widowControl w:val="0"/>
        <w:kinsoku/>
        <w:wordWrap/>
        <w:overflowPunct/>
        <w:topLinePunct w:val="0"/>
        <w:bidi w:val="0"/>
        <w:adjustRightInd w:val="0"/>
        <w:snapToGrid w:val="0"/>
        <w:spacing w:before="156" w:beforeLines="50" w:line="400" w:lineRule="exact"/>
        <w:ind w:firstLine="420" w:firstLineChars="200"/>
        <w:textAlignment w:val="auto"/>
        <w:rPr>
          <w:rFonts w:ascii="宋体" w:hAnsi="宋体"/>
          <w:color w:val="auto"/>
        </w:rPr>
      </w:pPr>
      <w:r>
        <w:rPr>
          <w:rFonts w:hint="eastAsia" w:ascii="宋体" w:hAnsi="宋体"/>
          <w:color w:val="auto"/>
        </w:rPr>
        <w:t>1、采购人、采购代理机构按本公告第四、五条规定，对供应商提交的资格审查证明材料进行资格审查。</w:t>
      </w:r>
    </w:p>
    <w:p w14:paraId="069C7AC1">
      <w:pPr>
        <w:pageBreakBefore w:val="0"/>
        <w:widowControl w:val="0"/>
        <w:tabs>
          <w:tab w:val="left" w:pos="4700"/>
          <w:tab w:val="left" w:pos="6000"/>
          <w:tab w:val="left" w:pos="7160"/>
          <w:tab w:val="left" w:pos="8520"/>
        </w:tabs>
        <w:kinsoku/>
        <w:wordWrap/>
        <w:overflowPunct/>
        <w:topLinePunct w:val="0"/>
        <w:autoSpaceDE w:val="0"/>
        <w:autoSpaceDN w:val="0"/>
        <w:bidi w:val="0"/>
        <w:adjustRightInd w:val="0"/>
        <w:snapToGrid w:val="0"/>
        <w:spacing w:before="156" w:beforeLines="50" w:line="400" w:lineRule="exact"/>
        <w:ind w:right="-23" w:firstLine="420" w:firstLineChars="200"/>
        <w:jc w:val="left"/>
        <w:textAlignment w:val="auto"/>
        <w:rPr>
          <w:rFonts w:ascii="宋体" w:hAnsi="宋体" w:cs="宋体"/>
          <w:bCs/>
          <w:color w:val="auto"/>
          <w:szCs w:val="21"/>
        </w:rPr>
      </w:pPr>
      <w:r>
        <w:rPr>
          <w:rFonts w:hint="eastAsia" w:ascii="宋体" w:hAnsi="宋体" w:cs="宋体"/>
          <w:bCs/>
          <w:color w:val="auto"/>
          <w:szCs w:val="21"/>
        </w:rPr>
        <w:t>2、供应商提交的</w:t>
      </w:r>
      <w:r>
        <w:rPr>
          <w:rFonts w:hint="eastAsia" w:ascii="宋体" w:hAnsi="宋体"/>
          <w:color w:val="auto"/>
        </w:rPr>
        <w:t>资格审查</w:t>
      </w:r>
      <w:r>
        <w:rPr>
          <w:rFonts w:hint="eastAsia" w:ascii="宋体" w:hAnsi="宋体" w:cs="宋体"/>
          <w:bCs/>
          <w:color w:val="auto"/>
          <w:szCs w:val="21"/>
        </w:rPr>
        <w:t>证明材料符合本公告第</w:t>
      </w:r>
      <w:r>
        <w:rPr>
          <w:rFonts w:hint="eastAsia" w:ascii="宋体" w:hAnsi="宋体"/>
          <w:color w:val="auto"/>
        </w:rPr>
        <w:t>四、五</w:t>
      </w:r>
      <w:r>
        <w:rPr>
          <w:rFonts w:hint="eastAsia" w:ascii="宋体" w:hAnsi="宋体" w:cs="宋体"/>
          <w:bCs/>
          <w:color w:val="auto"/>
          <w:szCs w:val="21"/>
        </w:rPr>
        <w:t>条规定，采购人或谈判小组按照本公告第七条规定确定拟邀请参加谈判的供应商。</w:t>
      </w:r>
    </w:p>
    <w:p w14:paraId="0184A717">
      <w:pPr>
        <w:pageBreakBefore w:val="0"/>
        <w:widowControl w:val="0"/>
        <w:kinsoku/>
        <w:wordWrap/>
        <w:overflowPunct/>
        <w:topLinePunct w:val="0"/>
        <w:bidi w:val="0"/>
        <w:adjustRightInd w:val="0"/>
        <w:snapToGrid w:val="0"/>
        <w:spacing w:before="156" w:beforeLines="50" w:line="400" w:lineRule="exact"/>
        <w:ind w:firstLine="420" w:firstLineChars="200"/>
        <w:textAlignment w:val="auto"/>
        <w:rPr>
          <w:rFonts w:ascii="宋体" w:hAnsi="宋体"/>
          <w:color w:val="auto"/>
        </w:rPr>
      </w:pPr>
      <w:r>
        <w:rPr>
          <w:rFonts w:hint="eastAsia" w:ascii="宋体" w:hAnsi="宋体"/>
          <w:color w:val="auto"/>
        </w:rPr>
        <w:t>3、未通过资格审查的供应商，采购人、采购代理机构应当及时告知其未通过的原因。</w:t>
      </w:r>
    </w:p>
    <w:p w14:paraId="5D2190B6">
      <w:pPr>
        <w:keepNext/>
        <w:keepLines/>
        <w:pageBreakBefore w:val="0"/>
        <w:widowControl w:val="0"/>
        <w:kinsoku/>
        <w:wordWrap/>
        <w:overflowPunct/>
        <w:topLinePunct w:val="0"/>
        <w:bidi w:val="0"/>
        <w:adjustRightInd w:val="0"/>
        <w:snapToGrid w:val="0"/>
        <w:spacing w:before="156" w:beforeLines="50" w:line="400" w:lineRule="exact"/>
        <w:textAlignment w:val="auto"/>
        <w:outlineLvl w:val="1"/>
        <w:rPr>
          <w:rFonts w:ascii="黑体" w:hAnsi="黑体" w:eastAsia="黑体"/>
          <w:b/>
          <w:bCs/>
          <w:color w:val="auto"/>
          <w:sz w:val="24"/>
          <w:szCs w:val="32"/>
        </w:rPr>
      </w:pPr>
      <w:bookmarkStart w:id="28" w:name="_Toc110606579"/>
      <w:bookmarkStart w:id="29" w:name="_Toc789"/>
      <w:bookmarkStart w:id="30" w:name="_Toc29465"/>
      <w:r>
        <w:rPr>
          <w:rFonts w:hint="eastAsia" w:ascii="黑体" w:hAnsi="黑体" w:eastAsia="黑体"/>
          <w:b/>
          <w:bCs/>
          <w:color w:val="auto"/>
          <w:sz w:val="24"/>
          <w:szCs w:val="32"/>
        </w:rPr>
        <w:t>八、确定拟邀请</w:t>
      </w:r>
      <w:bookmarkEnd w:id="27"/>
      <w:r>
        <w:rPr>
          <w:rFonts w:hint="eastAsia" w:ascii="黑体" w:hAnsi="黑体" w:eastAsia="黑体"/>
          <w:b/>
          <w:bCs/>
          <w:color w:val="auto"/>
          <w:sz w:val="24"/>
          <w:szCs w:val="32"/>
        </w:rPr>
        <w:t>供应商</w:t>
      </w:r>
      <w:bookmarkEnd w:id="28"/>
      <w:bookmarkEnd w:id="29"/>
      <w:bookmarkEnd w:id="30"/>
    </w:p>
    <w:p w14:paraId="112708AE">
      <w:pPr>
        <w:pageBreakBefore w:val="0"/>
        <w:widowControl w:val="0"/>
        <w:kinsoku/>
        <w:wordWrap/>
        <w:overflowPunct/>
        <w:topLinePunct w:val="0"/>
        <w:bidi w:val="0"/>
        <w:adjustRightInd w:val="0"/>
        <w:snapToGrid w:val="0"/>
        <w:spacing w:before="156" w:beforeLines="50" w:line="400" w:lineRule="exact"/>
        <w:ind w:firstLine="367" w:firstLineChars="175"/>
        <w:textAlignment w:val="auto"/>
        <w:rPr>
          <w:rFonts w:ascii="宋体" w:hAnsi="宋体"/>
          <w:color w:val="auto"/>
          <w:szCs w:val="21"/>
        </w:rPr>
      </w:pPr>
      <w:r>
        <w:rPr>
          <w:rFonts w:hint="eastAsia" w:ascii="宋体" w:hAnsi="宋体"/>
          <w:color w:val="auto"/>
          <w:szCs w:val="21"/>
        </w:rPr>
        <w:t>1、采购人确定所有符合相应资格条件的供应商参加谈判，也可以由谈判小组从符合相应资格条件的供应商名单中确定不少于三家的供应商参加谈判。</w:t>
      </w:r>
    </w:p>
    <w:p w14:paraId="3D56CF96">
      <w:pPr>
        <w:pageBreakBefore w:val="0"/>
        <w:widowControl w:val="0"/>
        <w:kinsoku/>
        <w:wordWrap/>
        <w:overflowPunct/>
        <w:topLinePunct w:val="0"/>
        <w:bidi w:val="0"/>
        <w:adjustRightInd w:val="0"/>
        <w:snapToGrid w:val="0"/>
        <w:spacing w:before="156" w:beforeLines="50" w:line="400" w:lineRule="exact"/>
        <w:ind w:firstLine="367" w:firstLineChars="175"/>
        <w:textAlignment w:val="auto"/>
        <w:rPr>
          <w:rFonts w:ascii="宋体" w:hAnsi="宋体"/>
          <w:color w:val="auto"/>
          <w:szCs w:val="21"/>
        </w:rPr>
      </w:pPr>
      <w:r>
        <w:rPr>
          <w:rFonts w:hint="eastAsia" w:ascii="宋体" w:hAnsi="宋体"/>
          <w:color w:val="auto"/>
          <w:szCs w:val="21"/>
        </w:rPr>
        <w:t>2、采购人、采购代理机构向确定参加谈判的供应商发出谈判邀请，并发出谈判文件。</w:t>
      </w:r>
    </w:p>
    <w:p w14:paraId="2E12818C">
      <w:pPr>
        <w:keepNext/>
        <w:keepLines/>
        <w:pageBreakBefore w:val="0"/>
        <w:widowControl w:val="0"/>
        <w:kinsoku/>
        <w:wordWrap/>
        <w:overflowPunct/>
        <w:topLinePunct w:val="0"/>
        <w:bidi w:val="0"/>
        <w:adjustRightInd w:val="0"/>
        <w:snapToGrid w:val="0"/>
        <w:spacing w:before="50" w:line="400" w:lineRule="exact"/>
        <w:textAlignment w:val="auto"/>
        <w:outlineLvl w:val="1"/>
        <w:rPr>
          <w:rFonts w:ascii="黑体" w:hAnsi="黑体" w:eastAsia="黑体"/>
          <w:b/>
          <w:bCs/>
          <w:color w:val="auto"/>
          <w:sz w:val="24"/>
          <w:szCs w:val="32"/>
        </w:rPr>
      </w:pPr>
      <w:bookmarkStart w:id="31" w:name="_Toc3072"/>
      <w:bookmarkStart w:id="32" w:name="_Toc22657517"/>
      <w:bookmarkStart w:id="33" w:name="_Toc110606580"/>
      <w:bookmarkStart w:id="34" w:name="_Toc676"/>
      <w:r>
        <w:rPr>
          <w:rFonts w:hint="eastAsia" w:ascii="黑体" w:hAnsi="黑体" w:eastAsia="黑体"/>
          <w:b/>
          <w:bCs/>
          <w:color w:val="auto"/>
          <w:sz w:val="24"/>
          <w:szCs w:val="32"/>
        </w:rPr>
        <w:t>九、公告期限</w:t>
      </w:r>
      <w:bookmarkEnd w:id="31"/>
      <w:bookmarkEnd w:id="32"/>
      <w:bookmarkEnd w:id="33"/>
      <w:bookmarkEnd w:id="34"/>
    </w:p>
    <w:p w14:paraId="3E7BCD13">
      <w:pPr>
        <w:pageBreakBefore w:val="0"/>
        <w:widowControl w:val="0"/>
        <w:kinsoku/>
        <w:wordWrap/>
        <w:overflowPunct/>
        <w:topLinePunct w:val="0"/>
        <w:bidi w:val="0"/>
        <w:adjustRightInd w:val="0"/>
        <w:snapToGrid w:val="0"/>
        <w:spacing w:before="50" w:line="400" w:lineRule="exact"/>
        <w:ind w:firstLine="420" w:firstLineChars="200"/>
        <w:textAlignment w:val="auto"/>
        <w:rPr>
          <w:rFonts w:ascii="宋体" w:hAnsi="宋体"/>
          <w:color w:val="auto"/>
          <w:szCs w:val="21"/>
        </w:rPr>
      </w:pPr>
      <w:r>
        <w:rPr>
          <w:rFonts w:hint="eastAsia" w:ascii="宋体" w:hAnsi="宋体"/>
          <w:color w:val="auto"/>
          <w:szCs w:val="21"/>
        </w:rPr>
        <w:t>1、本公告在中国湖南政府采购网（www.ccgp-hunan.gov.cn）发布。公告期限自本公告发布之日起</w:t>
      </w:r>
      <w:r>
        <w:rPr>
          <w:rFonts w:ascii="宋体" w:hAnsi="宋体"/>
          <w:color w:val="auto"/>
          <w:szCs w:val="21"/>
        </w:rPr>
        <w:t>3</w:t>
      </w:r>
      <w:r>
        <w:rPr>
          <w:rFonts w:hint="eastAsia" w:ascii="宋体" w:hAnsi="宋体"/>
          <w:color w:val="auto"/>
          <w:szCs w:val="21"/>
        </w:rPr>
        <w:t>个工作日。</w:t>
      </w:r>
    </w:p>
    <w:p w14:paraId="5EB7246E">
      <w:pPr>
        <w:pageBreakBefore w:val="0"/>
        <w:widowControl w:val="0"/>
        <w:kinsoku/>
        <w:wordWrap/>
        <w:overflowPunct/>
        <w:topLinePunct w:val="0"/>
        <w:bidi w:val="0"/>
        <w:adjustRightInd w:val="0"/>
        <w:snapToGrid w:val="0"/>
        <w:spacing w:before="50" w:line="400" w:lineRule="exact"/>
        <w:ind w:firstLine="420" w:firstLineChars="200"/>
        <w:textAlignment w:val="auto"/>
        <w:rPr>
          <w:rFonts w:ascii="宋体" w:hAnsi="宋体"/>
          <w:color w:val="auto"/>
          <w:szCs w:val="21"/>
        </w:rPr>
      </w:pPr>
      <w:r>
        <w:rPr>
          <w:rFonts w:hint="eastAsia" w:ascii="宋体" w:hAnsi="宋体"/>
          <w:color w:val="auto"/>
          <w:szCs w:val="21"/>
        </w:rPr>
        <w:t>2、在其他媒体发布的邀请公告，公告内容以本公告为准。</w:t>
      </w:r>
    </w:p>
    <w:p w14:paraId="40A8729F">
      <w:pPr>
        <w:keepNext/>
        <w:keepLines/>
        <w:pageBreakBefore w:val="0"/>
        <w:widowControl w:val="0"/>
        <w:kinsoku/>
        <w:wordWrap/>
        <w:overflowPunct/>
        <w:topLinePunct w:val="0"/>
        <w:bidi w:val="0"/>
        <w:adjustRightInd w:val="0"/>
        <w:snapToGrid w:val="0"/>
        <w:spacing w:before="50" w:line="400" w:lineRule="exact"/>
        <w:textAlignment w:val="auto"/>
        <w:outlineLvl w:val="1"/>
        <w:rPr>
          <w:rFonts w:ascii="黑体" w:hAnsi="黑体" w:eastAsia="黑体"/>
          <w:b/>
          <w:bCs/>
          <w:color w:val="auto"/>
          <w:sz w:val="24"/>
          <w:szCs w:val="32"/>
        </w:rPr>
      </w:pPr>
      <w:bookmarkStart w:id="35" w:name="_Toc22657518"/>
      <w:bookmarkStart w:id="36" w:name="_Toc23727"/>
      <w:bookmarkStart w:id="37" w:name="_Toc7770"/>
      <w:bookmarkStart w:id="38" w:name="_Toc110606581"/>
      <w:r>
        <w:rPr>
          <w:rFonts w:hint="eastAsia" w:ascii="黑体" w:hAnsi="黑体" w:eastAsia="黑体"/>
          <w:b/>
          <w:bCs/>
          <w:color w:val="auto"/>
          <w:sz w:val="24"/>
          <w:szCs w:val="32"/>
        </w:rPr>
        <w:t>十、询问及质疑</w:t>
      </w:r>
      <w:bookmarkEnd w:id="35"/>
      <w:bookmarkEnd w:id="36"/>
      <w:bookmarkEnd w:id="37"/>
      <w:bookmarkEnd w:id="38"/>
    </w:p>
    <w:p w14:paraId="7D40896B">
      <w:pPr>
        <w:pageBreakBefore w:val="0"/>
        <w:widowControl w:val="0"/>
        <w:kinsoku/>
        <w:wordWrap/>
        <w:overflowPunct/>
        <w:topLinePunct w:val="0"/>
        <w:bidi w:val="0"/>
        <w:adjustRightInd w:val="0"/>
        <w:snapToGrid w:val="0"/>
        <w:spacing w:before="50" w:line="400" w:lineRule="exact"/>
        <w:ind w:firstLine="420" w:firstLineChars="200"/>
        <w:textAlignment w:val="auto"/>
        <w:rPr>
          <w:rFonts w:ascii="宋体" w:hAnsi="宋体"/>
          <w:color w:val="auto"/>
          <w:szCs w:val="21"/>
        </w:rPr>
      </w:pPr>
      <w:r>
        <w:rPr>
          <w:rFonts w:hint="eastAsia" w:ascii="宋体" w:hAnsi="宋体"/>
          <w:color w:val="auto"/>
          <w:szCs w:val="21"/>
        </w:rPr>
        <w:t>1、供应商对政府采购活动事项如有疑问的，可以向采购人、采购代理机构提出询问。采购人、采购代理机构将在3个工作日内作出答复。</w:t>
      </w:r>
    </w:p>
    <w:p w14:paraId="337FD3B6">
      <w:pPr>
        <w:pageBreakBefore w:val="0"/>
        <w:widowControl w:val="0"/>
        <w:kinsoku/>
        <w:wordWrap/>
        <w:overflowPunct/>
        <w:topLinePunct w:val="0"/>
        <w:bidi w:val="0"/>
        <w:adjustRightInd w:val="0"/>
        <w:snapToGrid w:val="0"/>
        <w:spacing w:before="50" w:line="400" w:lineRule="exact"/>
        <w:ind w:firstLine="420" w:firstLineChars="200"/>
        <w:textAlignment w:val="auto"/>
        <w:rPr>
          <w:rFonts w:ascii="宋体" w:hAnsi="宋体"/>
          <w:color w:val="auto"/>
          <w:szCs w:val="21"/>
        </w:rPr>
      </w:pPr>
      <w:r>
        <w:rPr>
          <w:rFonts w:hint="eastAsia" w:ascii="宋体" w:hAnsi="宋体"/>
          <w:color w:val="auto"/>
          <w:szCs w:val="21"/>
        </w:rPr>
        <w:t>2、供应商认为谈判文件或本公告使自己的合法权益受到损害的，可以在收到谈判文件之日或本公告期限届满之日起7个工作日内，按《湖南省财政厅关于印发＜政府采购质疑答复和投诉处理操作规程＞的通知》(湘财购〔2019〕20号)规定，以纸质书面形式向采购人、采购代理机构提出质疑。</w:t>
      </w:r>
    </w:p>
    <w:p w14:paraId="7C2266E1">
      <w:pPr>
        <w:keepNext/>
        <w:keepLines/>
        <w:pageBreakBefore w:val="0"/>
        <w:widowControl w:val="0"/>
        <w:kinsoku/>
        <w:wordWrap/>
        <w:overflowPunct/>
        <w:topLinePunct w:val="0"/>
        <w:bidi w:val="0"/>
        <w:adjustRightInd w:val="0"/>
        <w:snapToGrid w:val="0"/>
        <w:spacing w:line="400" w:lineRule="exact"/>
        <w:textAlignment w:val="auto"/>
        <w:outlineLvl w:val="1"/>
        <w:rPr>
          <w:rFonts w:hint="eastAsia" w:ascii="黑体" w:hAnsi="黑体" w:eastAsia="黑体"/>
          <w:b/>
          <w:bCs/>
          <w:sz w:val="24"/>
          <w:szCs w:val="32"/>
        </w:rPr>
      </w:pPr>
      <w:bookmarkStart w:id="39" w:name="_Toc62225410"/>
      <w:bookmarkStart w:id="40" w:name="_Toc107997945"/>
      <w:bookmarkStart w:id="41" w:name="_Toc35393635"/>
      <w:bookmarkStart w:id="42" w:name="_Toc35393804"/>
      <w:bookmarkStart w:id="43" w:name="_Toc110606582"/>
      <w:bookmarkStart w:id="44" w:name="_Toc3326"/>
      <w:bookmarkStart w:id="45" w:name="_Toc10787"/>
      <w:r>
        <w:rPr>
          <w:rFonts w:hint="eastAsia" w:ascii="黑体" w:hAnsi="黑体" w:eastAsia="黑体"/>
          <w:b/>
          <w:bCs/>
          <w:sz w:val="24"/>
          <w:szCs w:val="32"/>
        </w:rPr>
        <w:t>十一、</w:t>
      </w:r>
      <w:bookmarkEnd w:id="39"/>
      <w:bookmarkEnd w:id="40"/>
      <w:bookmarkEnd w:id="41"/>
      <w:bookmarkEnd w:id="42"/>
      <w:r>
        <w:rPr>
          <w:rFonts w:hint="eastAsia" w:ascii="黑体" w:hAnsi="黑体" w:eastAsia="黑体"/>
          <w:b/>
          <w:bCs/>
          <w:sz w:val="24"/>
          <w:szCs w:val="32"/>
        </w:rPr>
        <w:t>谈判</w:t>
      </w:r>
      <w:bookmarkEnd w:id="43"/>
      <w:bookmarkEnd w:id="44"/>
      <w:r>
        <w:rPr>
          <w:rFonts w:hint="eastAsia" w:ascii="黑体" w:hAnsi="黑体" w:eastAsia="黑体"/>
          <w:b/>
          <w:bCs/>
          <w:sz w:val="24"/>
          <w:szCs w:val="32"/>
        </w:rPr>
        <w:t>说明</w:t>
      </w:r>
      <w:bookmarkEnd w:id="45"/>
    </w:p>
    <w:p w14:paraId="607EA51D">
      <w:pPr>
        <w:pageBreakBefore w:val="0"/>
        <w:widowControl w:val="0"/>
        <w:tabs>
          <w:tab w:val="left" w:pos="4700"/>
          <w:tab w:val="left" w:pos="6000"/>
          <w:tab w:val="left" w:pos="7160"/>
          <w:tab w:val="left" w:pos="8520"/>
        </w:tabs>
        <w:kinsoku/>
        <w:wordWrap/>
        <w:overflowPunct/>
        <w:topLinePunct w:val="0"/>
        <w:autoSpaceDE w:val="0"/>
        <w:autoSpaceDN w:val="0"/>
        <w:bidi w:val="0"/>
        <w:adjustRightInd w:val="0"/>
        <w:snapToGrid w:val="0"/>
        <w:spacing w:line="400" w:lineRule="exact"/>
        <w:ind w:right="-23" w:firstLine="420" w:firstLineChars="200"/>
        <w:jc w:val="left"/>
        <w:textAlignment w:val="auto"/>
        <w:rPr>
          <w:rFonts w:ascii="宋体" w:hAnsi="宋体"/>
          <w:szCs w:val="21"/>
        </w:rPr>
      </w:pPr>
      <w:bookmarkStart w:id="46" w:name="_Toc28359095"/>
      <w:bookmarkStart w:id="47" w:name="_Toc35393805"/>
      <w:bookmarkStart w:id="48" w:name="_Toc35393636"/>
      <w:bookmarkStart w:id="49" w:name="_Toc28359018"/>
      <w:bookmarkStart w:id="50" w:name="_Toc62225411"/>
      <w:bookmarkStart w:id="51" w:name="_Toc110606583"/>
      <w:bookmarkStart w:id="52" w:name="_Toc107997947"/>
      <w:bookmarkStart w:id="53" w:name="_Toc9967"/>
      <w:r>
        <w:rPr>
          <w:rFonts w:hint="eastAsia" w:ascii="宋体" w:hAnsi="宋体"/>
          <w:szCs w:val="21"/>
        </w:rPr>
        <w:t>1、本公告选项：</w:t>
      </w:r>
      <w:r>
        <w:rPr>
          <w:rFonts w:hint="eastAsia" w:ascii="宋体" w:hAnsi="宋体"/>
          <w:szCs w:val="21"/>
        </w:rPr>
        <w:sym w:font="Wingdings" w:char="00FE"/>
      </w:r>
      <w:r>
        <w:rPr>
          <w:rFonts w:hint="eastAsia" w:ascii="宋体" w:hAnsi="宋体"/>
          <w:szCs w:val="21"/>
        </w:rPr>
        <w:t>表示选择，</w:t>
      </w:r>
      <w:r>
        <w:rPr>
          <w:rFonts w:hint="eastAsia" w:ascii="宋体" w:hAnsi="宋体"/>
          <w:szCs w:val="21"/>
        </w:rPr>
        <w:sym w:font="Wingdings" w:char="00A8"/>
      </w:r>
      <w:r>
        <w:rPr>
          <w:rFonts w:hint="eastAsia" w:ascii="宋体" w:hAnsi="宋体"/>
          <w:szCs w:val="21"/>
        </w:rPr>
        <w:t>表示未选择。</w:t>
      </w:r>
    </w:p>
    <w:p w14:paraId="1AADCB90">
      <w:pPr>
        <w:pageBreakBefore w:val="0"/>
        <w:widowControl w:val="0"/>
        <w:tabs>
          <w:tab w:val="left" w:pos="4700"/>
          <w:tab w:val="left" w:pos="6000"/>
          <w:tab w:val="left" w:pos="7160"/>
          <w:tab w:val="left" w:pos="8520"/>
        </w:tabs>
        <w:kinsoku/>
        <w:wordWrap/>
        <w:overflowPunct/>
        <w:topLinePunct w:val="0"/>
        <w:autoSpaceDE w:val="0"/>
        <w:autoSpaceDN w:val="0"/>
        <w:bidi w:val="0"/>
        <w:adjustRightInd w:val="0"/>
        <w:snapToGrid w:val="0"/>
        <w:spacing w:line="400" w:lineRule="exact"/>
        <w:ind w:right="-23" w:firstLine="420" w:firstLineChars="200"/>
        <w:jc w:val="left"/>
        <w:textAlignment w:val="auto"/>
      </w:pPr>
      <w:r>
        <w:rPr>
          <w:rFonts w:hint="eastAsia" w:ascii="宋体" w:hAnsi="宋体"/>
          <w:szCs w:val="21"/>
        </w:rPr>
        <w:t>2、供应商参与政府采购活动，无需向采购人、代理机构、交易平台缴纳任何费用。</w:t>
      </w:r>
    </w:p>
    <w:p w14:paraId="2639EF84">
      <w:pPr>
        <w:keepNext/>
        <w:keepLines/>
        <w:pageBreakBefore w:val="0"/>
        <w:widowControl w:val="0"/>
        <w:kinsoku/>
        <w:wordWrap/>
        <w:overflowPunct/>
        <w:topLinePunct w:val="0"/>
        <w:bidi w:val="0"/>
        <w:adjustRightInd w:val="0"/>
        <w:snapToGrid w:val="0"/>
        <w:spacing w:line="400" w:lineRule="exact"/>
        <w:textAlignment w:val="auto"/>
        <w:outlineLvl w:val="1"/>
        <w:rPr>
          <w:rFonts w:ascii="黑体" w:hAnsi="黑体" w:eastAsia="黑体"/>
          <w:b/>
          <w:bCs/>
          <w:sz w:val="24"/>
          <w:szCs w:val="32"/>
        </w:rPr>
      </w:pPr>
      <w:bookmarkStart w:id="54" w:name="_Toc28725"/>
      <w:r>
        <w:rPr>
          <w:rFonts w:hint="eastAsia" w:ascii="黑体" w:hAnsi="黑体" w:eastAsia="黑体"/>
          <w:b/>
          <w:bCs/>
          <w:sz w:val="24"/>
          <w:szCs w:val="32"/>
        </w:rPr>
        <w:t>十二、</w:t>
      </w:r>
      <w:bookmarkEnd w:id="46"/>
      <w:bookmarkEnd w:id="47"/>
      <w:bookmarkEnd w:id="48"/>
      <w:bookmarkEnd w:id="49"/>
      <w:bookmarkEnd w:id="50"/>
      <w:r>
        <w:rPr>
          <w:rFonts w:hint="eastAsia" w:ascii="黑体" w:hAnsi="黑体" w:eastAsia="黑体"/>
          <w:b/>
          <w:bCs/>
          <w:sz w:val="24"/>
          <w:szCs w:val="21"/>
        </w:rPr>
        <w:t>采购项目联系人姓名和电话</w:t>
      </w:r>
      <w:bookmarkEnd w:id="51"/>
      <w:bookmarkEnd w:id="52"/>
      <w:bookmarkEnd w:id="53"/>
      <w:bookmarkEnd w:id="54"/>
    </w:p>
    <w:p w14:paraId="71C474F0">
      <w:pPr>
        <w:pageBreakBefore w:val="0"/>
        <w:widowControl w:val="0"/>
        <w:kinsoku/>
        <w:wordWrap/>
        <w:overflowPunct/>
        <w:topLinePunct w:val="0"/>
        <w:bidi w:val="0"/>
        <w:adjustRightInd w:val="0"/>
        <w:snapToGrid w:val="0"/>
        <w:spacing w:line="400" w:lineRule="exact"/>
        <w:ind w:firstLine="420" w:firstLineChars="200"/>
        <w:textAlignment w:val="auto"/>
        <w:rPr>
          <w:rFonts w:hint="eastAsia" w:ascii="宋体" w:hAnsi="宋体" w:eastAsia="宋体"/>
          <w:szCs w:val="21"/>
          <w:u w:val="single"/>
          <w:lang w:val="en-US" w:eastAsia="zh-CN"/>
        </w:rPr>
      </w:pPr>
      <w:bookmarkStart w:id="55" w:name="_Toc25269"/>
      <w:bookmarkStart w:id="56" w:name="_Toc3881"/>
      <w:bookmarkStart w:id="57" w:name="_Toc110606584"/>
      <w:bookmarkStart w:id="58" w:name="_Toc107997948"/>
      <w:r>
        <w:rPr>
          <w:rFonts w:hint="eastAsia" w:ascii="宋体" w:hAnsi="宋体"/>
          <w:szCs w:val="21"/>
        </w:rPr>
        <w:t>1、联系人姓名：</w:t>
      </w:r>
      <w:r>
        <w:rPr>
          <w:rFonts w:hint="eastAsia" w:ascii="宋体" w:hAnsi="宋体"/>
          <w:szCs w:val="21"/>
          <w:u w:val="single"/>
          <w:lang w:val="en-US" w:eastAsia="zh-CN"/>
        </w:rPr>
        <w:t>谭向阳</w:t>
      </w:r>
    </w:p>
    <w:p w14:paraId="44AC7675">
      <w:pPr>
        <w:pageBreakBefore w:val="0"/>
        <w:widowControl w:val="0"/>
        <w:kinsoku/>
        <w:wordWrap/>
        <w:overflowPunct/>
        <w:topLinePunct w:val="0"/>
        <w:bidi w:val="0"/>
        <w:adjustRightInd w:val="0"/>
        <w:snapToGrid w:val="0"/>
        <w:spacing w:line="400" w:lineRule="exact"/>
        <w:ind w:firstLine="420" w:firstLineChars="200"/>
        <w:textAlignment w:val="auto"/>
        <w:rPr>
          <w:rFonts w:hint="default" w:ascii="宋体" w:hAnsi="宋体" w:eastAsia="宋体"/>
          <w:szCs w:val="21"/>
          <w:lang w:val="en-US" w:eastAsia="zh-CN"/>
        </w:rPr>
      </w:pPr>
      <w:r>
        <w:rPr>
          <w:rFonts w:hint="eastAsia" w:ascii="宋体" w:hAnsi="宋体"/>
          <w:szCs w:val="21"/>
        </w:rPr>
        <w:t>2、电话：</w:t>
      </w:r>
      <w:r>
        <w:rPr>
          <w:rFonts w:hint="eastAsia"/>
          <w:u w:val="single"/>
          <w:lang w:val="en-US" w:eastAsia="zh-CN"/>
        </w:rPr>
        <w:t>13107444488</w:t>
      </w:r>
    </w:p>
    <w:p w14:paraId="4EBBCBCA">
      <w:pPr>
        <w:keepNext/>
        <w:keepLines/>
        <w:pageBreakBefore w:val="0"/>
        <w:widowControl w:val="0"/>
        <w:kinsoku/>
        <w:wordWrap/>
        <w:overflowPunct/>
        <w:topLinePunct w:val="0"/>
        <w:bidi w:val="0"/>
        <w:adjustRightInd w:val="0"/>
        <w:snapToGrid w:val="0"/>
        <w:spacing w:line="400" w:lineRule="exact"/>
        <w:textAlignment w:val="auto"/>
        <w:outlineLvl w:val="1"/>
        <w:rPr>
          <w:rFonts w:ascii="黑体" w:hAnsi="黑体" w:eastAsia="黑体"/>
          <w:b/>
          <w:bCs/>
          <w:sz w:val="24"/>
          <w:szCs w:val="32"/>
        </w:rPr>
      </w:pPr>
      <w:r>
        <w:rPr>
          <w:rFonts w:hint="eastAsia" w:ascii="黑体" w:hAnsi="黑体" w:eastAsia="黑体"/>
          <w:b/>
          <w:bCs/>
          <w:sz w:val="24"/>
          <w:szCs w:val="32"/>
        </w:rPr>
        <w:t>十三、采购人、采购代理机构的名称、地址和联系方法</w:t>
      </w:r>
      <w:bookmarkEnd w:id="55"/>
      <w:bookmarkEnd w:id="56"/>
      <w:bookmarkEnd w:id="57"/>
      <w:bookmarkEnd w:id="58"/>
    </w:p>
    <w:p w14:paraId="257013F8">
      <w:pPr>
        <w:pageBreakBefore w:val="0"/>
        <w:widowControl w:val="0"/>
        <w:kinsoku/>
        <w:wordWrap/>
        <w:overflowPunct/>
        <w:topLinePunct w:val="0"/>
        <w:bidi w:val="0"/>
        <w:adjustRightInd w:val="0"/>
        <w:snapToGrid w:val="0"/>
        <w:spacing w:line="400" w:lineRule="exact"/>
        <w:ind w:firstLine="413" w:firstLineChars="196"/>
        <w:textAlignment w:val="auto"/>
        <w:rPr>
          <w:rFonts w:ascii="宋体" w:hAnsi="宋体"/>
          <w:b/>
          <w:bCs/>
          <w:szCs w:val="21"/>
        </w:rPr>
      </w:pPr>
      <w:r>
        <w:rPr>
          <w:rFonts w:hint="eastAsia" w:ascii="宋体" w:hAnsi="宋体"/>
          <w:b/>
          <w:bCs/>
          <w:szCs w:val="21"/>
        </w:rPr>
        <w:t>1</w:t>
      </w:r>
      <w:r>
        <w:rPr>
          <w:rFonts w:hint="eastAsia" w:ascii="宋体" w:hAnsi="宋体"/>
          <w:szCs w:val="21"/>
        </w:rPr>
        <w:t>、</w:t>
      </w:r>
      <w:r>
        <w:rPr>
          <w:rFonts w:hint="eastAsia" w:ascii="宋体" w:hAnsi="宋体"/>
          <w:b/>
          <w:bCs/>
          <w:szCs w:val="21"/>
        </w:rPr>
        <w:t>采购人信息</w:t>
      </w:r>
    </w:p>
    <w:p w14:paraId="73FE8E82">
      <w:pPr>
        <w:pageBreakBefore w:val="0"/>
        <w:widowControl w:val="0"/>
        <w:kinsoku/>
        <w:wordWrap/>
        <w:overflowPunct/>
        <w:topLinePunct w:val="0"/>
        <w:bidi w:val="0"/>
        <w:adjustRightInd w:val="0"/>
        <w:snapToGrid w:val="0"/>
        <w:spacing w:line="400" w:lineRule="exact"/>
        <w:ind w:firstLine="411" w:firstLineChars="196"/>
        <w:textAlignment w:val="auto"/>
        <w:rPr>
          <w:rFonts w:ascii="宋体" w:hAnsi="宋体"/>
          <w:szCs w:val="21"/>
        </w:rPr>
      </w:pPr>
      <w:r>
        <w:rPr>
          <w:rFonts w:hint="eastAsia" w:ascii="宋体" w:hAnsi="宋体"/>
          <w:szCs w:val="21"/>
        </w:rPr>
        <w:t>（1）</w:t>
      </w:r>
      <w:r>
        <w:rPr>
          <w:rFonts w:hint="eastAsia" w:ascii="宋体" w:hAnsi="宋体"/>
          <w:bCs/>
          <w:szCs w:val="21"/>
        </w:rPr>
        <w:t>名  称：</w:t>
      </w:r>
      <w:r>
        <w:rPr>
          <w:rFonts w:hint="eastAsia" w:ascii="宋体" w:hAnsi="宋体" w:cs="宋体"/>
          <w:szCs w:val="21"/>
          <w:u w:val="single"/>
        </w:rPr>
        <w:t>张家界旅游学校</w:t>
      </w:r>
    </w:p>
    <w:p w14:paraId="44C56E3A">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szCs w:val="21"/>
        </w:rPr>
      </w:pPr>
      <w:r>
        <w:rPr>
          <w:rFonts w:hint="eastAsia" w:ascii="宋体" w:hAnsi="宋体"/>
          <w:szCs w:val="21"/>
        </w:rPr>
        <w:t>（2）地  址：</w:t>
      </w:r>
      <w:r>
        <w:rPr>
          <w:rFonts w:hint="eastAsia" w:ascii="宋体" w:hAnsi="宋体" w:cs="宋体"/>
          <w:szCs w:val="21"/>
          <w:u w:val="single"/>
        </w:rPr>
        <w:t>张家界市永定区西溪坪永定大道</w:t>
      </w:r>
    </w:p>
    <w:p w14:paraId="42157D50">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szCs w:val="21"/>
          <w:u w:val="single"/>
        </w:rPr>
      </w:pPr>
      <w:r>
        <w:rPr>
          <w:rFonts w:hint="eastAsia" w:ascii="宋体" w:hAnsi="宋体"/>
          <w:szCs w:val="21"/>
        </w:rPr>
        <w:t>（3）联系人：</w:t>
      </w:r>
      <w:r>
        <w:rPr>
          <w:rFonts w:hint="eastAsia" w:ascii="宋体" w:hAnsi="宋体"/>
          <w:szCs w:val="21"/>
          <w:u w:val="single"/>
        </w:rPr>
        <w:t>欧阳先生</w:t>
      </w:r>
    </w:p>
    <w:p w14:paraId="40B44D25">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szCs w:val="21"/>
        </w:rPr>
      </w:pPr>
      <w:r>
        <w:rPr>
          <w:rFonts w:hint="eastAsia" w:ascii="宋体" w:hAnsi="宋体"/>
          <w:szCs w:val="21"/>
        </w:rPr>
        <w:t>（4）邮  编：</w:t>
      </w:r>
      <w:r>
        <w:rPr>
          <w:rFonts w:hint="eastAsia"/>
          <w:u w:val="single"/>
        </w:rPr>
        <w:t>427</w:t>
      </w:r>
      <w:r>
        <w:rPr>
          <w:rFonts w:hint="eastAsia"/>
          <w:u w:val="single"/>
          <w:lang w:val="en-US" w:eastAsia="zh-CN"/>
        </w:rPr>
        <w:t>0</w:t>
      </w:r>
      <w:r>
        <w:rPr>
          <w:rFonts w:hint="eastAsia"/>
          <w:u w:val="single"/>
        </w:rPr>
        <w:t>00</w:t>
      </w:r>
    </w:p>
    <w:p w14:paraId="18C6C96B">
      <w:pPr>
        <w:pageBreakBefore w:val="0"/>
        <w:widowControl w:val="0"/>
        <w:kinsoku/>
        <w:wordWrap/>
        <w:overflowPunct/>
        <w:topLinePunct w:val="0"/>
        <w:bidi w:val="0"/>
        <w:adjustRightInd w:val="0"/>
        <w:snapToGrid w:val="0"/>
        <w:spacing w:line="400" w:lineRule="exact"/>
        <w:ind w:firstLine="420" w:firstLineChars="200"/>
        <w:textAlignment w:val="auto"/>
        <w:rPr>
          <w:rFonts w:ascii="宋体" w:hAnsi="宋体"/>
          <w:szCs w:val="21"/>
          <w:u w:val="single"/>
        </w:rPr>
      </w:pPr>
      <w:r>
        <w:rPr>
          <w:rFonts w:hint="eastAsia" w:ascii="宋体" w:hAnsi="宋体"/>
          <w:szCs w:val="21"/>
        </w:rPr>
        <w:t>（5）电  话：</w:t>
      </w:r>
      <w:r>
        <w:rPr>
          <w:rFonts w:hint="eastAsia"/>
          <w:u w:val="single"/>
        </w:rPr>
        <w:t>0744-8591999</w:t>
      </w:r>
    </w:p>
    <w:p w14:paraId="18CDDA9D">
      <w:pPr>
        <w:pageBreakBefore w:val="0"/>
        <w:widowControl w:val="0"/>
        <w:kinsoku/>
        <w:wordWrap/>
        <w:overflowPunct/>
        <w:topLinePunct w:val="0"/>
        <w:bidi w:val="0"/>
        <w:adjustRightInd w:val="0"/>
        <w:snapToGrid w:val="0"/>
        <w:spacing w:line="400" w:lineRule="exact"/>
        <w:ind w:firstLine="420" w:firstLineChars="200"/>
        <w:textAlignment w:val="auto"/>
        <w:rPr>
          <w:szCs w:val="21"/>
        </w:rPr>
      </w:pPr>
      <w:r>
        <w:rPr>
          <w:rFonts w:hint="eastAsia" w:ascii="宋体" w:hAnsi="宋体"/>
          <w:szCs w:val="21"/>
        </w:rPr>
        <w:t>（6）</w:t>
      </w:r>
      <w:r>
        <w:rPr>
          <w:rFonts w:hint="eastAsia"/>
          <w:szCs w:val="21"/>
        </w:rPr>
        <w:t>电子邮箱：</w:t>
      </w:r>
      <w:r>
        <w:rPr>
          <w:rFonts w:hint="eastAsia" w:ascii="宋体" w:hAnsi="宋体"/>
          <w:szCs w:val="21"/>
          <w:u w:val="single"/>
        </w:rPr>
        <w:t xml:space="preserve">      </w:t>
      </w:r>
    </w:p>
    <w:p w14:paraId="79493D6F">
      <w:pPr>
        <w:pageBreakBefore w:val="0"/>
        <w:widowControl w:val="0"/>
        <w:kinsoku/>
        <w:wordWrap/>
        <w:overflowPunct/>
        <w:topLinePunct w:val="0"/>
        <w:bidi w:val="0"/>
        <w:adjustRightInd w:val="0"/>
        <w:snapToGrid w:val="0"/>
        <w:spacing w:line="400" w:lineRule="exact"/>
        <w:ind w:firstLine="413" w:firstLineChars="196"/>
        <w:textAlignment w:val="auto"/>
        <w:rPr>
          <w:rFonts w:ascii="宋体" w:hAnsi="宋体"/>
          <w:b/>
          <w:bCs/>
          <w:szCs w:val="21"/>
        </w:rPr>
      </w:pPr>
      <w:r>
        <w:rPr>
          <w:rFonts w:hint="eastAsia" w:ascii="宋体" w:hAnsi="宋体"/>
          <w:b/>
          <w:bCs/>
          <w:szCs w:val="21"/>
        </w:rPr>
        <w:t>2</w:t>
      </w:r>
      <w:r>
        <w:rPr>
          <w:rFonts w:hint="eastAsia" w:ascii="宋体" w:hAnsi="宋体"/>
          <w:szCs w:val="21"/>
        </w:rPr>
        <w:t>、</w:t>
      </w:r>
      <w:r>
        <w:rPr>
          <w:rFonts w:hint="eastAsia" w:ascii="宋体" w:hAnsi="宋体"/>
          <w:b/>
          <w:bCs/>
          <w:szCs w:val="21"/>
        </w:rPr>
        <w:t>采购代理机构信息</w:t>
      </w:r>
    </w:p>
    <w:p w14:paraId="48DA9A48">
      <w:pPr>
        <w:pageBreakBefore w:val="0"/>
        <w:widowControl w:val="0"/>
        <w:kinsoku/>
        <w:wordWrap/>
        <w:overflowPunct/>
        <w:topLinePunct w:val="0"/>
        <w:bidi w:val="0"/>
        <w:spacing w:line="400" w:lineRule="exact"/>
        <w:ind w:firstLine="420" w:firstLineChars="200"/>
        <w:textAlignment w:val="auto"/>
        <w:rPr>
          <w:u w:val="single"/>
        </w:rPr>
      </w:pPr>
      <w:r>
        <w:rPr>
          <w:rFonts w:hint="eastAsia"/>
        </w:rPr>
        <w:t>（1）名  称：</w:t>
      </w:r>
      <w:r>
        <w:rPr>
          <w:rFonts w:hint="eastAsia"/>
          <w:u w:val="single"/>
        </w:rPr>
        <w:t>张家界方正建设项目管理有限公司</w:t>
      </w:r>
    </w:p>
    <w:p w14:paraId="62FF532A">
      <w:pPr>
        <w:pageBreakBefore w:val="0"/>
        <w:widowControl w:val="0"/>
        <w:kinsoku/>
        <w:wordWrap/>
        <w:overflowPunct/>
        <w:topLinePunct w:val="0"/>
        <w:bidi w:val="0"/>
        <w:spacing w:line="400" w:lineRule="exact"/>
        <w:ind w:firstLine="420" w:firstLineChars="200"/>
        <w:textAlignment w:val="auto"/>
        <w:rPr>
          <w:rFonts w:hint="eastAsia" w:eastAsia="宋体"/>
          <w:lang w:val="en-US" w:eastAsia="zh-CN"/>
        </w:rPr>
      </w:pPr>
      <w:r>
        <w:rPr>
          <w:rFonts w:hint="eastAsia"/>
        </w:rPr>
        <w:t>（2）地  址：</w:t>
      </w:r>
      <w:r>
        <w:rPr>
          <w:rFonts w:hint="eastAsia"/>
          <w:u w:val="single"/>
        </w:rPr>
        <w:t>张家界市永定区古庸路378号黄金大厦1913A</w:t>
      </w:r>
    </w:p>
    <w:p w14:paraId="264FD033">
      <w:pPr>
        <w:pageBreakBefore w:val="0"/>
        <w:widowControl w:val="0"/>
        <w:kinsoku/>
        <w:wordWrap/>
        <w:overflowPunct/>
        <w:topLinePunct w:val="0"/>
        <w:bidi w:val="0"/>
        <w:spacing w:line="400" w:lineRule="exact"/>
        <w:ind w:firstLine="420" w:firstLineChars="200"/>
        <w:textAlignment w:val="auto"/>
      </w:pPr>
      <w:r>
        <w:rPr>
          <w:rFonts w:hint="eastAsia"/>
        </w:rPr>
        <w:t>（3）联系人：</w:t>
      </w:r>
      <w:r>
        <w:rPr>
          <w:rFonts w:hint="eastAsia"/>
          <w:u w:val="single"/>
        </w:rPr>
        <w:t>谭先生</w:t>
      </w:r>
    </w:p>
    <w:p w14:paraId="2FF3FD38">
      <w:pPr>
        <w:pageBreakBefore w:val="0"/>
        <w:widowControl w:val="0"/>
        <w:kinsoku/>
        <w:wordWrap/>
        <w:overflowPunct/>
        <w:topLinePunct w:val="0"/>
        <w:bidi w:val="0"/>
        <w:spacing w:line="400" w:lineRule="exact"/>
        <w:ind w:firstLine="420" w:firstLineChars="200"/>
        <w:textAlignment w:val="auto"/>
      </w:pPr>
      <w:r>
        <w:rPr>
          <w:rFonts w:hint="eastAsia"/>
        </w:rPr>
        <w:t>（4）邮  编：</w:t>
      </w:r>
      <w:r>
        <w:rPr>
          <w:rFonts w:hint="eastAsia"/>
          <w:u w:val="single"/>
        </w:rPr>
        <w:t>427</w:t>
      </w:r>
      <w:r>
        <w:rPr>
          <w:rFonts w:hint="eastAsia"/>
          <w:u w:val="single"/>
          <w:lang w:val="en-US" w:eastAsia="zh-CN"/>
        </w:rPr>
        <w:t>0</w:t>
      </w:r>
      <w:r>
        <w:rPr>
          <w:rFonts w:hint="eastAsia"/>
          <w:u w:val="single"/>
        </w:rPr>
        <w:t>00</w:t>
      </w:r>
    </w:p>
    <w:p w14:paraId="780FA527">
      <w:pPr>
        <w:pageBreakBefore w:val="0"/>
        <w:widowControl w:val="0"/>
        <w:kinsoku/>
        <w:wordWrap/>
        <w:overflowPunct/>
        <w:topLinePunct w:val="0"/>
        <w:bidi w:val="0"/>
        <w:adjustRightInd w:val="0"/>
        <w:snapToGrid w:val="0"/>
        <w:spacing w:line="400" w:lineRule="exact"/>
        <w:ind w:firstLine="420" w:firstLineChars="200"/>
        <w:textAlignment w:val="auto"/>
        <w:rPr>
          <w:rFonts w:hint="eastAsia"/>
          <w:u w:val="single"/>
        </w:rPr>
      </w:pPr>
      <w:r>
        <w:rPr>
          <w:rFonts w:hint="eastAsia"/>
        </w:rPr>
        <w:t>（5）电  话：</w:t>
      </w:r>
      <w:r>
        <w:rPr>
          <w:rFonts w:hint="eastAsia"/>
          <w:u w:val="single"/>
        </w:rPr>
        <w:t>0744-8234488</w:t>
      </w:r>
    </w:p>
    <w:p w14:paraId="0D612061">
      <w:pPr>
        <w:pageBreakBefore w:val="0"/>
        <w:widowControl w:val="0"/>
        <w:kinsoku/>
        <w:wordWrap/>
        <w:overflowPunct/>
        <w:topLinePunct w:val="0"/>
        <w:bidi w:val="0"/>
        <w:adjustRightInd w:val="0"/>
        <w:snapToGrid w:val="0"/>
        <w:spacing w:line="400" w:lineRule="exact"/>
        <w:ind w:firstLine="420" w:firstLineChars="200"/>
        <w:textAlignment w:val="auto"/>
        <w:rPr>
          <w:rFonts w:hint="eastAsia"/>
          <w:u w:val="single"/>
        </w:rPr>
      </w:pPr>
      <w:r>
        <w:rPr>
          <w:rFonts w:hint="eastAsia" w:ascii="宋体" w:hAnsi="宋体"/>
          <w:szCs w:val="21"/>
        </w:rPr>
        <w:t>（6）</w:t>
      </w:r>
      <w:r>
        <w:rPr>
          <w:rFonts w:hint="eastAsia"/>
          <w:szCs w:val="21"/>
        </w:rPr>
        <w:t>电子邮箱：</w:t>
      </w:r>
      <w:r>
        <w:rPr>
          <w:rFonts w:hint="eastAsia"/>
          <w:u w:val="single"/>
          <w:lang w:val="en-US" w:eastAsia="zh-CN"/>
        </w:rPr>
        <w:t>410184029@qq.com</w:t>
      </w:r>
    </w:p>
    <w:sectPr>
      <w:footerReference r:id="rId3" w:type="default"/>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A2021">
    <w:pPr>
      <w:pStyle w:val="2"/>
      <w:ind w:left="240" w:right="359" w:rightChars="171" w:hanging="240" w:hangingChars="100"/>
      <w:jc w:val="center"/>
      <w:rPr>
        <w:rFonts w:eastAsia="楷体_GB2312"/>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67BDDF">
                          <w:pPr>
                            <w:pStyle w:val="2"/>
                          </w:pPr>
                          <w:r>
                            <w:fldChar w:fldCharType="begin"/>
                          </w:r>
                          <w:r>
                            <w:instrText xml:space="preserve"> PAGE  \* MERGEFORMAT </w:instrText>
                          </w:r>
                          <w:r>
                            <w:fldChar w:fldCharType="separate"/>
                          </w:r>
                          <w:r>
                            <w:t>78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267BDDF">
                    <w:pPr>
                      <w:pStyle w:val="2"/>
                    </w:pPr>
                    <w:r>
                      <w:fldChar w:fldCharType="begin"/>
                    </w:r>
                    <w:r>
                      <w:instrText xml:space="preserve"> PAGE  \* MERGEFORMAT </w:instrText>
                    </w:r>
                    <w:r>
                      <w:fldChar w:fldCharType="separate"/>
                    </w:r>
                    <w:r>
                      <w:t>78</w:t>
                    </w:r>
                    <w:r>
                      <w:fldChar w:fldCharType="end"/>
                    </w:r>
                  </w:p>
                </w:txbxContent>
              </v:textbox>
            </v:shape>
          </w:pict>
        </mc:Fallback>
      </mc:AlternateContent>
    </w:r>
  </w:p>
  <w:p w14:paraId="16D5DEC2">
    <w:pPr>
      <w:pStyle w:val="2"/>
      <w:tabs>
        <w:tab w:val="center" w:pos="4620"/>
        <w:tab w:val="clear" w:pos="4153"/>
      </w:tabs>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1OWU2NDI1MmVkMjBkNTg5YjkxNDFiMGE1NmYwZTQifQ=="/>
  </w:docVars>
  <w:rsids>
    <w:rsidRoot w:val="2F3A37F4"/>
    <w:rsid w:val="022C7226"/>
    <w:rsid w:val="03D04EA7"/>
    <w:rsid w:val="10D73F5D"/>
    <w:rsid w:val="129F0758"/>
    <w:rsid w:val="14891A74"/>
    <w:rsid w:val="14DE6D1A"/>
    <w:rsid w:val="1A344734"/>
    <w:rsid w:val="219A3B7D"/>
    <w:rsid w:val="2F3A37F4"/>
    <w:rsid w:val="63602497"/>
    <w:rsid w:val="6E154B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character" w:styleId="5">
    <w:name w:val="page number"/>
    <w:qFormat/>
    <w:uiPriority w:val="0"/>
  </w:style>
  <w:style w:type="paragraph" w:customStyle="1" w:styleId="6">
    <w:name w:val="列出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2354</Words>
  <Characters>2586</Characters>
  <Lines>0</Lines>
  <Paragraphs>0</Paragraphs>
  <TotalTime>10</TotalTime>
  <ScaleCrop>false</ScaleCrop>
  <LinksUpToDate>false</LinksUpToDate>
  <CharactersWithSpaces>2637</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2024-08-05T09:14:00Z</dcterms:created>
  <dc:creator>AP。</dc:creator>
  <cp:lastModifiedBy>AP。</cp:lastModifiedBy>
  <cp:lastPrinted>2024-08-14T00:11:00Z</cp:lastPrinted>
  <dcterms:modified xsi:type="dcterms:W3CDTF">2024-09-02T01:37:24Z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E1C3C06E5B994AEFB1DEB5CB12B3FB59_11</vt:lpwstr>
  </property>
</Properties>
</file>