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F5DFED">
      <w:pPr>
        <w:pStyle w:val="3"/>
        <w:keepNext/>
        <w:keepLines/>
        <w:pageBreakBefore w:val="0"/>
        <w:widowControl w:val="0"/>
        <w:kinsoku/>
        <w:wordWrap/>
        <w:overflowPunct/>
        <w:topLinePunct w:val="0"/>
        <w:autoSpaceDE/>
        <w:autoSpaceDN/>
        <w:bidi w:val="0"/>
        <w:adjustRightInd/>
        <w:snapToGrid/>
        <w:spacing w:before="165" w:line="440" w:lineRule="exact"/>
        <w:textAlignment w:val="auto"/>
        <w:rPr>
          <w:rFonts w:hint="eastAsia" w:ascii="宋体" w:hAnsi="宋体" w:eastAsia="宋体" w:cs="宋体"/>
          <w:sz w:val="28"/>
          <w:szCs w:val="28"/>
        </w:rPr>
      </w:pPr>
      <w:r>
        <w:rPr>
          <w:rFonts w:hint="eastAsia" w:ascii="宋体" w:hAnsi="宋体" w:eastAsia="宋体" w:cs="宋体"/>
          <w:sz w:val="28"/>
          <w:szCs w:val="28"/>
        </w:rPr>
        <w:t>红河州植检植保站2026年中央农业防灾减灾和水利救灾资金（防灾救灾第二批）水稻玉米等粮食作物重大病虫害统防统治项目</w:t>
      </w:r>
    </w:p>
    <w:p w14:paraId="68725555">
      <w:pPr>
        <w:pStyle w:val="3"/>
        <w:keepNext/>
        <w:keepLines/>
        <w:pageBreakBefore w:val="0"/>
        <w:widowControl w:val="0"/>
        <w:kinsoku/>
        <w:wordWrap/>
        <w:overflowPunct/>
        <w:topLinePunct w:val="0"/>
        <w:autoSpaceDE/>
        <w:autoSpaceDN/>
        <w:bidi w:val="0"/>
        <w:adjustRightInd/>
        <w:snapToGrid/>
        <w:spacing w:before="165" w:line="440" w:lineRule="exact"/>
        <w:textAlignment w:val="auto"/>
        <w:rPr>
          <w:rFonts w:hint="eastAsia" w:ascii="宋体" w:hAnsi="宋体" w:eastAsia="宋体" w:cs="宋体"/>
          <w:sz w:val="28"/>
          <w:szCs w:val="28"/>
        </w:rPr>
      </w:pPr>
      <w:r>
        <w:rPr>
          <w:rFonts w:hint="eastAsia" w:ascii="宋体" w:hAnsi="宋体" w:eastAsia="宋体" w:cs="宋体"/>
          <w:sz w:val="28"/>
          <w:szCs w:val="28"/>
        </w:rPr>
        <w:t>招标公告</w:t>
      </w:r>
      <w:bookmarkStart w:id="91" w:name="_GoBack"/>
      <w:bookmarkEnd w:id="91"/>
    </w:p>
    <w:p w14:paraId="6D963D4A">
      <w:pPr>
        <w:pBdr>
          <w:top w:val="single" w:color="auto" w:sz="4" w:space="1"/>
          <w:left w:val="single" w:color="auto" w:sz="4" w:space="4"/>
          <w:bottom w:val="single" w:color="auto" w:sz="4" w:space="1"/>
          <w:right w:val="single" w:color="auto" w:sz="4" w:space="0"/>
        </w:pBdr>
        <w:spacing w:line="240" w:lineRule="auto"/>
        <w:ind w:firstLine="0" w:firstLineChars="0"/>
        <w:rPr>
          <w:rFonts w:hint="eastAsia" w:ascii="宋体" w:hAnsi="宋体" w:eastAsia="宋体" w:cs="宋体"/>
          <w:b/>
          <w:bCs/>
          <w:sz w:val="24"/>
          <w:szCs w:val="28"/>
        </w:rPr>
      </w:pPr>
      <w:r>
        <w:rPr>
          <w:rFonts w:hint="eastAsia" w:ascii="宋体" w:hAnsi="宋体" w:eastAsia="宋体" w:cs="宋体"/>
          <w:b/>
          <w:bCs/>
          <w:sz w:val="24"/>
          <w:szCs w:val="28"/>
        </w:rPr>
        <w:t>项目概况</w:t>
      </w:r>
    </w:p>
    <w:p w14:paraId="7A44523C">
      <w:pPr>
        <w:pBdr>
          <w:top w:val="single" w:color="auto" w:sz="4" w:space="1"/>
          <w:left w:val="single" w:color="auto" w:sz="4" w:space="4"/>
          <w:bottom w:val="single" w:color="auto" w:sz="4" w:space="1"/>
          <w:right w:val="single" w:color="auto" w:sz="4" w:space="0"/>
        </w:pBdr>
        <w:ind w:firstLine="420"/>
        <w:rPr>
          <w:rFonts w:hint="eastAsia" w:ascii="宋体" w:hAnsi="宋体" w:eastAsia="宋体" w:cs="宋体"/>
          <w:szCs w:val="21"/>
        </w:rPr>
      </w:pPr>
      <w:r>
        <w:rPr>
          <w:rFonts w:hint="eastAsia" w:ascii="宋体" w:hAnsi="宋体" w:eastAsia="宋体" w:cs="宋体"/>
          <w:szCs w:val="21"/>
          <w:u w:val="single"/>
        </w:rPr>
        <w:t>红河州植检植保站2026年中央农业防灾减灾和水利救灾资金（防灾救灾第二批）水稻玉米等粮食作物重大病虫害统防统治项目</w:t>
      </w:r>
      <w:r>
        <w:rPr>
          <w:rFonts w:hint="eastAsia" w:ascii="宋体" w:hAnsi="宋体" w:eastAsia="宋体" w:cs="宋体"/>
          <w:szCs w:val="21"/>
        </w:rPr>
        <w:t>的潜在供应商应在</w:t>
      </w:r>
      <w:r>
        <w:rPr>
          <w:rFonts w:hint="eastAsia" w:ascii="宋体" w:hAnsi="宋体" w:eastAsia="宋体" w:cs="宋体"/>
          <w:szCs w:val="21"/>
          <w:u w:val="single"/>
        </w:rPr>
        <w:t>云南省政府采购电子交易平台（</w:t>
      </w:r>
      <w:bookmarkStart w:id="0" w:name="OLE_LINK385"/>
      <w:r>
        <w:rPr>
          <w:rFonts w:hint="eastAsia" w:ascii="宋体" w:hAnsi="宋体" w:eastAsia="宋体" w:cs="宋体"/>
          <w:szCs w:val="21"/>
          <w:u w:val="single"/>
        </w:rPr>
        <w:t>https://www.zcygov.cn</w:t>
      </w:r>
      <w:bookmarkEnd w:id="0"/>
      <w:r>
        <w:rPr>
          <w:rFonts w:hint="eastAsia" w:ascii="宋体" w:hAnsi="宋体" w:eastAsia="宋体" w:cs="宋体"/>
          <w:szCs w:val="21"/>
          <w:u w:val="single"/>
        </w:rPr>
        <w:t>）</w:t>
      </w:r>
      <w:r>
        <w:rPr>
          <w:rFonts w:hint="eastAsia" w:ascii="宋体" w:hAnsi="宋体" w:eastAsia="宋体" w:cs="宋体"/>
          <w:szCs w:val="21"/>
        </w:rPr>
        <w:t>获取招标文件，并于</w:t>
      </w:r>
      <w:r>
        <w:rPr>
          <w:rFonts w:hint="eastAsia" w:ascii="宋体" w:hAnsi="宋体" w:eastAsia="宋体" w:cs="宋体"/>
          <w:color w:val="000000"/>
          <w:szCs w:val="21"/>
          <w:u w:val="single"/>
        </w:rPr>
        <w:t xml:space="preserve">2026年07月 </w:t>
      </w:r>
      <w:r>
        <w:rPr>
          <w:rFonts w:hint="eastAsia" w:ascii="宋体" w:hAnsi="宋体" w:eastAsia="宋体" w:cs="宋体"/>
          <w:color w:val="000000"/>
          <w:szCs w:val="21"/>
          <w:u w:val="single"/>
          <w:lang w:val="en-US" w:eastAsia="zh-CN"/>
        </w:rPr>
        <w:t>16</w:t>
      </w:r>
      <w:r>
        <w:rPr>
          <w:rFonts w:hint="eastAsia" w:ascii="宋体" w:hAnsi="宋体" w:eastAsia="宋体" w:cs="宋体"/>
          <w:color w:val="000000"/>
          <w:szCs w:val="21"/>
          <w:u w:val="single"/>
        </w:rPr>
        <w:t xml:space="preserve"> 日09时00分</w:t>
      </w:r>
      <w:r>
        <w:rPr>
          <w:rFonts w:hint="eastAsia" w:ascii="宋体" w:hAnsi="宋体" w:eastAsia="宋体" w:cs="宋体"/>
          <w:color w:val="FF0000"/>
          <w:szCs w:val="21"/>
        </w:rPr>
        <w:t>（</w:t>
      </w:r>
      <w:r>
        <w:rPr>
          <w:rFonts w:hint="eastAsia" w:ascii="宋体" w:hAnsi="宋体" w:eastAsia="宋体" w:cs="宋体"/>
          <w:szCs w:val="21"/>
        </w:rPr>
        <w:t>北京时间）前递交</w:t>
      </w:r>
      <w:r>
        <w:rPr>
          <w:rFonts w:hint="eastAsia" w:ascii="宋体" w:hAnsi="宋体" w:eastAsia="宋体" w:cs="宋体"/>
          <w:bCs/>
          <w:szCs w:val="21"/>
        </w:rPr>
        <w:t>投标文件</w:t>
      </w:r>
      <w:r>
        <w:rPr>
          <w:rFonts w:hint="eastAsia" w:ascii="宋体" w:hAnsi="宋体" w:eastAsia="宋体" w:cs="宋体"/>
          <w:szCs w:val="21"/>
        </w:rPr>
        <w:t>。</w:t>
      </w:r>
    </w:p>
    <w:p w14:paraId="122CB1BB">
      <w:pPr>
        <w:pStyle w:val="4"/>
        <w:pageBreakBefore w:val="0"/>
        <w:kinsoku/>
        <w:overflowPunct/>
        <w:autoSpaceDE/>
        <w:autoSpaceDN/>
        <w:bidi w:val="0"/>
        <w:adjustRightInd/>
        <w:snapToGrid/>
        <w:spacing w:beforeLines="0" w:line="360" w:lineRule="auto"/>
        <w:ind w:left="0" w:leftChars="0"/>
        <w:jc w:val="both"/>
        <w:rPr>
          <w:rFonts w:hint="eastAsia" w:ascii="宋体" w:hAnsi="宋体" w:eastAsia="宋体" w:cs="宋体"/>
          <w:sz w:val="21"/>
          <w:szCs w:val="22"/>
        </w:rPr>
      </w:pPr>
      <w:bookmarkStart w:id="1" w:name="_Toc35393621"/>
      <w:bookmarkStart w:id="2" w:name="_Toc17725"/>
      <w:bookmarkStart w:id="3" w:name="_Toc28359002"/>
      <w:bookmarkStart w:id="4" w:name="_Toc4832"/>
      <w:bookmarkStart w:id="5" w:name="_Toc9609"/>
      <w:bookmarkStart w:id="6" w:name="_Toc35393790"/>
      <w:bookmarkStart w:id="7" w:name="_Toc28359079"/>
      <w:bookmarkStart w:id="8" w:name="_Toc25123"/>
      <w:bookmarkStart w:id="9" w:name="_Toc22449"/>
      <w:bookmarkStart w:id="10" w:name="_Toc28819"/>
      <w:bookmarkStart w:id="11" w:name="_Toc12729"/>
      <w:bookmarkStart w:id="12" w:name="_Hlk24379207"/>
      <w:bookmarkStart w:id="13" w:name="OLE_LINK287"/>
      <w:r>
        <w:rPr>
          <w:rFonts w:hint="eastAsia" w:ascii="宋体" w:hAnsi="宋体" w:eastAsia="宋体" w:cs="宋体"/>
          <w:sz w:val="21"/>
          <w:szCs w:val="22"/>
        </w:rPr>
        <w:t>一、项目基本情况</w:t>
      </w:r>
      <w:bookmarkEnd w:id="1"/>
      <w:bookmarkEnd w:id="2"/>
      <w:bookmarkEnd w:id="3"/>
      <w:bookmarkEnd w:id="4"/>
      <w:bookmarkEnd w:id="5"/>
      <w:bookmarkEnd w:id="6"/>
      <w:bookmarkEnd w:id="7"/>
      <w:bookmarkEnd w:id="8"/>
      <w:bookmarkEnd w:id="9"/>
      <w:bookmarkEnd w:id="10"/>
      <w:bookmarkEnd w:id="11"/>
    </w:p>
    <w:p w14:paraId="166FE9B7">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1.1项目编号：</w:t>
      </w:r>
      <w:r>
        <w:rPr>
          <w:rFonts w:hint="eastAsia" w:ascii="宋体" w:hAnsi="宋体" w:eastAsia="宋体" w:cs="宋体"/>
          <w:b w:val="0"/>
          <w:bCs w:val="0"/>
          <w:szCs w:val="21"/>
        </w:rPr>
        <w:t>HHZC2026-G3-01243-YYXM-0027</w:t>
      </w:r>
    </w:p>
    <w:p w14:paraId="4D0BE2D7">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1.2项目名称：</w:t>
      </w:r>
      <w:r>
        <w:rPr>
          <w:rFonts w:hint="eastAsia" w:ascii="宋体" w:hAnsi="宋体" w:eastAsia="宋体" w:cs="宋体"/>
          <w:szCs w:val="21"/>
        </w:rPr>
        <w:t>红河州植检植保站2026年中央农业防灾减灾和水利救灾资金（防灾救灾第二批）水稻玉米等粮食作物重大病虫害统防统治项目</w:t>
      </w:r>
    </w:p>
    <w:p w14:paraId="53FEB813">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1.3采购方式：</w:t>
      </w:r>
      <w:r>
        <w:rPr>
          <w:rFonts w:hint="eastAsia" w:ascii="宋体" w:hAnsi="宋体" w:eastAsia="宋体" w:cs="宋体"/>
          <w:szCs w:val="21"/>
        </w:rPr>
        <w:t>公开招标</w:t>
      </w:r>
    </w:p>
    <w:bookmarkEnd w:id="12"/>
    <w:p w14:paraId="44001040">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Cs/>
          <w:szCs w:val="21"/>
        </w:rPr>
      </w:pPr>
      <w:r>
        <w:rPr>
          <w:rFonts w:hint="eastAsia" w:ascii="宋体" w:hAnsi="宋体" w:eastAsia="宋体" w:cs="宋体"/>
          <w:b/>
          <w:bCs/>
          <w:szCs w:val="21"/>
        </w:rPr>
        <w:t>1.4预算金额：</w:t>
      </w:r>
      <w:r>
        <w:rPr>
          <w:rFonts w:hint="eastAsia" w:ascii="宋体" w:hAnsi="宋体" w:eastAsia="宋体" w:cs="宋体"/>
          <w:szCs w:val="21"/>
        </w:rPr>
        <w:t>308.00万元。</w:t>
      </w:r>
    </w:p>
    <w:p w14:paraId="407BF729">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1.5最高限价：</w:t>
      </w:r>
      <w:r>
        <w:rPr>
          <w:rFonts w:hint="eastAsia" w:ascii="宋体" w:hAnsi="宋体" w:eastAsia="宋体" w:cs="宋体"/>
          <w:szCs w:val="21"/>
        </w:rPr>
        <w:t>308.00万元。</w:t>
      </w:r>
    </w:p>
    <w:p w14:paraId="5299B41E">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1.6采购需求：</w:t>
      </w:r>
    </w:p>
    <w:tbl>
      <w:tblPr>
        <w:tblStyle w:val="10"/>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002"/>
        <w:gridCol w:w="4617"/>
        <w:gridCol w:w="1864"/>
        <w:gridCol w:w="1828"/>
      </w:tblGrid>
      <w:tr w14:paraId="7A0F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9" w:hRule="atLeast"/>
          <w:jc w:val="center"/>
        </w:trPr>
        <w:tc>
          <w:tcPr>
            <w:tcW w:w="1002" w:type="dxa"/>
            <w:noWrap w:val="0"/>
            <w:tcMar>
              <w:top w:w="0" w:type="dxa"/>
              <w:left w:w="108" w:type="dxa"/>
              <w:bottom w:w="0" w:type="dxa"/>
              <w:right w:w="108" w:type="dxa"/>
            </w:tcMar>
            <w:vAlign w:val="center"/>
          </w:tcPr>
          <w:p w14:paraId="5B5FBC0F">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kern w:val="0"/>
                <w:szCs w:val="21"/>
                <w:lang w:val="en-US" w:eastAsia="zh-CN"/>
              </w:rPr>
            </w:pPr>
            <w:r>
              <w:rPr>
                <w:rFonts w:hint="eastAsia" w:ascii="宋体" w:hAnsi="宋体" w:eastAsia="宋体" w:cs="宋体"/>
                <w:b/>
                <w:bCs/>
                <w:kern w:val="0"/>
                <w:szCs w:val="21"/>
                <w:lang w:val="en-US" w:eastAsia="zh-CN"/>
              </w:rPr>
              <w:t>包号</w:t>
            </w:r>
          </w:p>
        </w:tc>
        <w:tc>
          <w:tcPr>
            <w:tcW w:w="4617" w:type="dxa"/>
            <w:noWrap w:val="0"/>
            <w:tcMar>
              <w:top w:w="0" w:type="dxa"/>
              <w:left w:w="108" w:type="dxa"/>
              <w:bottom w:w="0" w:type="dxa"/>
              <w:right w:w="108" w:type="dxa"/>
            </w:tcMar>
            <w:vAlign w:val="center"/>
          </w:tcPr>
          <w:p w14:paraId="003850B8">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kern w:val="0"/>
                <w:szCs w:val="21"/>
              </w:rPr>
            </w:pPr>
            <w:r>
              <w:rPr>
                <w:rFonts w:hint="eastAsia" w:ascii="宋体" w:hAnsi="宋体" w:eastAsia="宋体" w:cs="宋体"/>
                <w:b/>
                <w:bCs/>
                <w:kern w:val="0"/>
                <w:szCs w:val="21"/>
              </w:rPr>
              <w:t>采购内容</w:t>
            </w:r>
          </w:p>
        </w:tc>
        <w:tc>
          <w:tcPr>
            <w:tcW w:w="1864" w:type="dxa"/>
            <w:noWrap w:val="0"/>
            <w:tcMar>
              <w:top w:w="0" w:type="dxa"/>
              <w:left w:w="108" w:type="dxa"/>
              <w:bottom w:w="0" w:type="dxa"/>
              <w:right w:w="108" w:type="dxa"/>
            </w:tcMar>
            <w:vAlign w:val="center"/>
          </w:tcPr>
          <w:p w14:paraId="7E6AB4C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kern w:val="0"/>
                <w:szCs w:val="21"/>
              </w:rPr>
            </w:pPr>
            <w:r>
              <w:rPr>
                <w:rFonts w:hint="eastAsia" w:ascii="宋体" w:hAnsi="宋体" w:eastAsia="宋体" w:cs="宋体"/>
                <w:b/>
                <w:bCs/>
                <w:kern w:val="0"/>
                <w:szCs w:val="21"/>
              </w:rPr>
              <w:t>采购预算</w:t>
            </w:r>
          </w:p>
          <w:p w14:paraId="0FAAB46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kern w:val="0"/>
                <w:szCs w:val="21"/>
              </w:rPr>
            </w:pPr>
            <w:r>
              <w:rPr>
                <w:rFonts w:hint="eastAsia" w:ascii="宋体" w:hAnsi="宋体" w:eastAsia="宋体" w:cs="宋体"/>
                <w:b/>
                <w:bCs/>
                <w:kern w:val="0"/>
                <w:szCs w:val="21"/>
              </w:rPr>
              <w:t>（万元）</w:t>
            </w:r>
          </w:p>
        </w:tc>
        <w:tc>
          <w:tcPr>
            <w:tcW w:w="1828" w:type="dxa"/>
            <w:noWrap w:val="0"/>
            <w:tcMar>
              <w:top w:w="0" w:type="dxa"/>
              <w:left w:w="108" w:type="dxa"/>
              <w:bottom w:w="0" w:type="dxa"/>
              <w:right w:w="108" w:type="dxa"/>
            </w:tcMar>
            <w:vAlign w:val="center"/>
          </w:tcPr>
          <w:p w14:paraId="6B9504A1">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b/>
                <w:bCs/>
                <w:kern w:val="0"/>
                <w:szCs w:val="21"/>
              </w:rPr>
            </w:pPr>
            <w:r>
              <w:rPr>
                <w:rFonts w:hint="eastAsia" w:ascii="宋体" w:hAnsi="宋体" w:eastAsia="宋体" w:cs="宋体"/>
                <w:b/>
                <w:bCs/>
                <w:kern w:val="0"/>
                <w:szCs w:val="21"/>
              </w:rPr>
              <w:t>备注</w:t>
            </w:r>
          </w:p>
        </w:tc>
      </w:tr>
      <w:tr w14:paraId="5BFB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9" w:hRule="atLeast"/>
          <w:jc w:val="center"/>
        </w:trPr>
        <w:tc>
          <w:tcPr>
            <w:tcW w:w="1002" w:type="dxa"/>
            <w:vMerge w:val="restart"/>
            <w:noWrap w:val="0"/>
            <w:tcMar>
              <w:top w:w="0" w:type="dxa"/>
              <w:left w:w="108" w:type="dxa"/>
              <w:bottom w:w="0" w:type="dxa"/>
              <w:right w:w="108" w:type="dxa"/>
            </w:tcMar>
            <w:vAlign w:val="center"/>
          </w:tcPr>
          <w:p w14:paraId="54D6F649">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1</w:t>
            </w:r>
          </w:p>
        </w:tc>
        <w:tc>
          <w:tcPr>
            <w:tcW w:w="4617" w:type="dxa"/>
            <w:noWrap w:val="0"/>
            <w:tcMar>
              <w:top w:w="0" w:type="dxa"/>
              <w:left w:w="108" w:type="dxa"/>
              <w:bottom w:w="0" w:type="dxa"/>
              <w:right w:w="108" w:type="dxa"/>
            </w:tcMar>
            <w:vAlign w:val="center"/>
          </w:tcPr>
          <w:p w14:paraId="4E981101">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color w:val="auto"/>
                <w:szCs w:val="24"/>
              </w:rPr>
            </w:pPr>
            <w:r>
              <w:rPr>
                <w:rFonts w:hint="eastAsia" w:ascii="宋体" w:hAnsi="宋体" w:eastAsia="宋体" w:cs="宋体"/>
                <w:bCs/>
                <w:color w:val="auto"/>
                <w:szCs w:val="24"/>
              </w:rPr>
              <w:t>植保无人机防治服务</w:t>
            </w:r>
          </w:p>
        </w:tc>
        <w:tc>
          <w:tcPr>
            <w:tcW w:w="1864" w:type="dxa"/>
            <w:noWrap w:val="0"/>
            <w:tcMar>
              <w:top w:w="0" w:type="dxa"/>
              <w:left w:w="108" w:type="dxa"/>
              <w:bottom w:w="0" w:type="dxa"/>
              <w:right w:w="108" w:type="dxa"/>
            </w:tcMar>
            <w:vAlign w:val="center"/>
          </w:tcPr>
          <w:p w14:paraId="1A543ED9">
            <w:pPr>
              <w:pageBreakBefore w:val="0"/>
              <w:widowControl/>
              <w:kinsoku/>
              <w:overflowPunct/>
              <w:autoSpaceDE/>
              <w:autoSpaceDN/>
              <w:bidi w:val="0"/>
              <w:adjustRightInd/>
              <w:snapToGrid/>
              <w:spacing w:line="360" w:lineRule="auto"/>
              <w:ind w:left="0" w:leftChars="0" w:firstLine="0" w:firstLineChars="0"/>
              <w:jc w:val="center"/>
              <w:rPr>
                <w:rFonts w:hint="eastAsia" w:ascii="宋体" w:hAnsi="宋体" w:eastAsia="宋体" w:cs="宋体"/>
                <w:color w:val="auto"/>
                <w:kern w:val="0"/>
                <w:szCs w:val="21"/>
              </w:rPr>
            </w:pPr>
            <w:r>
              <w:rPr>
                <w:rFonts w:hint="eastAsia" w:ascii="宋体" w:hAnsi="宋体" w:eastAsia="宋体" w:cs="宋体"/>
                <w:color w:val="auto"/>
                <w:szCs w:val="24"/>
              </w:rPr>
              <w:t>81.60</w:t>
            </w:r>
          </w:p>
        </w:tc>
        <w:tc>
          <w:tcPr>
            <w:tcW w:w="1828" w:type="dxa"/>
            <w:vMerge w:val="restart"/>
            <w:noWrap w:val="0"/>
            <w:tcMar>
              <w:top w:w="0" w:type="dxa"/>
              <w:left w:w="108" w:type="dxa"/>
              <w:bottom w:w="0" w:type="dxa"/>
              <w:right w:w="108" w:type="dxa"/>
            </w:tcMar>
            <w:vAlign w:val="center"/>
          </w:tcPr>
          <w:p w14:paraId="060705B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szCs w:val="24"/>
              </w:rPr>
            </w:pPr>
            <w:r>
              <w:rPr>
                <w:rFonts w:hint="eastAsia" w:ascii="宋体" w:hAnsi="宋体" w:eastAsia="宋体" w:cs="宋体"/>
                <w:szCs w:val="24"/>
              </w:rPr>
              <w:t>本次招标投标报价均为单价报价，</w:t>
            </w:r>
            <w:r>
              <w:rPr>
                <w:rFonts w:hint="eastAsia" w:ascii="宋体" w:hAnsi="宋体" w:eastAsia="宋体" w:cs="宋体"/>
                <w:bCs/>
                <w:szCs w:val="24"/>
              </w:rPr>
              <w:t>数量根据实际服务或用量按单价进行核定。</w:t>
            </w:r>
          </w:p>
        </w:tc>
      </w:tr>
      <w:tr w14:paraId="72FB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0" w:hRule="atLeast"/>
          <w:jc w:val="center"/>
        </w:trPr>
        <w:tc>
          <w:tcPr>
            <w:tcW w:w="1002" w:type="dxa"/>
            <w:vMerge w:val="continue"/>
            <w:noWrap w:val="0"/>
            <w:tcMar>
              <w:top w:w="0" w:type="dxa"/>
              <w:left w:w="108" w:type="dxa"/>
              <w:bottom w:w="0" w:type="dxa"/>
              <w:right w:w="108" w:type="dxa"/>
            </w:tcMar>
            <w:vAlign w:val="center"/>
          </w:tcPr>
          <w:p w14:paraId="3B2B3AE3">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kern w:val="0"/>
                <w:szCs w:val="21"/>
              </w:rPr>
            </w:pPr>
          </w:p>
        </w:tc>
        <w:tc>
          <w:tcPr>
            <w:tcW w:w="4617" w:type="dxa"/>
            <w:noWrap w:val="0"/>
            <w:tcMar>
              <w:top w:w="0" w:type="dxa"/>
              <w:left w:w="108" w:type="dxa"/>
              <w:bottom w:w="0" w:type="dxa"/>
              <w:right w:w="108" w:type="dxa"/>
            </w:tcMar>
            <w:vAlign w:val="center"/>
          </w:tcPr>
          <w:p w14:paraId="2EC7F192">
            <w:pPr>
              <w:pageBreakBefore w:val="0"/>
              <w:kinsoku/>
              <w:overflowPunct/>
              <w:autoSpaceDE/>
              <w:autoSpaceDN/>
              <w:bidi w:val="0"/>
              <w:adjustRightInd/>
              <w:snapToGrid/>
              <w:spacing w:line="360" w:lineRule="auto"/>
              <w:ind w:left="0" w:leftChars="0" w:firstLine="0" w:firstLineChars="0"/>
              <w:jc w:val="both"/>
              <w:rPr>
                <w:rFonts w:hint="eastAsia" w:ascii="宋体" w:hAnsi="宋体" w:eastAsia="宋体" w:cs="宋体"/>
                <w:bCs/>
                <w:color w:val="auto"/>
                <w:szCs w:val="24"/>
              </w:rPr>
            </w:pPr>
            <w:r>
              <w:rPr>
                <w:rFonts w:hint="eastAsia" w:ascii="宋体" w:hAnsi="宋体" w:eastAsia="宋体" w:cs="宋体"/>
                <w:bCs/>
                <w:color w:val="auto"/>
                <w:szCs w:val="24"/>
              </w:rPr>
              <w:t>水稻玉米病虫防控药剂</w:t>
            </w:r>
          </w:p>
        </w:tc>
        <w:tc>
          <w:tcPr>
            <w:tcW w:w="1864" w:type="dxa"/>
            <w:noWrap w:val="0"/>
            <w:tcMar>
              <w:top w:w="0" w:type="dxa"/>
              <w:left w:w="108" w:type="dxa"/>
              <w:bottom w:w="0" w:type="dxa"/>
              <w:right w:w="108" w:type="dxa"/>
            </w:tcMar>
            <w:vAlign w:val="center"/>
          </w:tcPr>
          <w:p w14:paraId="770C626C">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color w:val="auto"/>
                <w:szCs w:val="24"/>
              </w:rPr>
            </w:pPr>
            <w:r>
              <w:rPr>
                <w:rFonts w:hint="eastAsia" w:ascii="宋体" w:hAnsi="宋体" w:eastAsia="宋体" w:cs="宋体"/>
                <w:color w:val="auto"/>
                <w:szCs w:val="24"/>
              </w:rPr>
              <w:t>107.4</w:t>
            </w:r>
          </w:p>
        </w:tc>
        <w:tc>
          <w:tcPr>
            <w:tcW w:w="1828" w:type="dxa"/>
            <w:vMerge w:val="continue"/>
            <w:noWrap w:val="0"/>
            <w:tcMar>
              <w:top w:w="0" w:type="dxa"/>
              <w:left w:w="108" w:type="dxa"/>
              <w:bottom w:w="0" w:type="dxa"/>
              <w:right w:w="108" w:type="dxa"/>
            </w:tcMar>
            <w:vAlign w:val="center"/>
          </w:tcPr>
          <w:p w14:paraId="7B8B94AD">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szCs w:val="24"/>
              </w:rPr>
            </w:pPr>
          </w:p>
        </w:tc>
      </w:tr>
      <w:tr w14:paraId="0369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0" w:hRule="atLeast"/>
          <w:jc w:val="center"/>
        </w:trPr>
        <w:tc>
          <w:tcPr>
            <w:tcW w:w="1002" w:type="dxa"/>
            <w:noWrap w:val="0"/>
            <w:tcMar>
              <w:top w:w="0" w:type="dxa"/>
              <w:left w:w="108" w:type="dxa"/>
              <w:bottom w:w="0" w:type="dxa"/>
              <w:right w:w="108" w:type="dxa"/>
            </w:tcMar>
            <w:vAlign w:val="center"/>
          </w:tcPr>
          <w:p w14:paraId="07CC137E">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2</w:t>
            </w:r>
          </w:p>
        </w:tc>
        <w:tc>
          <w:tcPr>
            <w:tcW w:w="4617" w:type="dxa"/>
            <w:noWrap w:val="0"/>
            <w:tcMar>
              <w:top w:w="0" w:type="dxa"/>
              <w:left w:w="108" w:type="dxa"/>
              <w:bottom w:w="0" w:type="dxa"/>
              <w:right w:w="108" w:type="dxa"/>
            </w:tcMar>
            <w:vAlign w:val="center"/>
          </w:tcPr>
          <w:p w14:paraId="65054AD8">
            <w:pPr>
              <w:pStyle w:val="6"/>
              <w:pageBreakBefore w:val="0"/>
              <w:kinsoku/>
              <w:overflowPunct/>
              <w:autoSpaceDE/>
              <w:autoSpaceDN/>
              <w:bidi w:val="0"/>
              <w:adjustRightInd/>
              <w:snapToGrid/>
              <w:spacing w:after="0" w:line="360" w:lineRule="auto"/>
              <w:ind w:left="0" w:leftChars="0" w:firstLine="0" w:firstLineChars="0"/>
              <w:jc w:val="both"/>
              <w:rPr>
                <w:rFonts w:hint="eastAsia" w:ascii="宋体" w:hAnsi="宋体" w:eastAsia="宋体" w:cs="宋体"/>
                <w:color w:val="auto"/>
                <w:kern w:val="0"/>
                <w:szCs w:val="21"/>
              </w:rPr>
            </w:pPr>
            <w:r>
              <w:rPr>
                <w:rFonts w:hint="eastAsia" w:ascii="宋体" w:hAnsi="宋体" w:eastAsia="宋体" w:cs="宋体"/>
                <w:bCs/>
                <w:color w:val="auto"/>
                <w:szCs w:val="24"/>
              </w:rPr>
              <w:t>玉米重大病虫害生物防治服务</w:t>
            </w:r>
          </w:p>
        </w:tc>
        <w:tc>
          <w:tcPr>
            <w:tcW w:w="1864" w:type="dxa"/>
            <w:noWrap w:val="0"/>
            <w:tcMar>
              <w:top w:w="0" w:type="dxa"/>
              <w:left w:w="108" w:type="dxa"/>
              <w:bottom w:w="0" w:type="dxa"/>
              <w:right w:w="108" w:type="dxa"/>
            </w:tcMar>
            <w:vAlign w:val="center"/>
          </w:tcPr>
          <w:p w14:paraId="49158FD0">
            <w:pPr>
              <w:pageBreakBefore w:val="0"/>
              <w:widowControl/>
              <w:kinsoku/>
              <w:overflowPunct/>
              <w:autoSpaceDE/>
              <w:autoSpaceDN/>
              <w:bidi w:val="0"/>
              <w:adjustRightInd/>
              <w:snapToGrid/>
              <w:spacing w:line="360" w:lineRule="auto"/>
              <w:ind w:left="0" w:leftChars="0" w:firstLine="0" w:firstLineChars="0"/>
              <w:jc w:val="center"/>
              <w:rPr>
                <w:rFonts w:hint="eastAsia" w:ascii="宋体" w:hAnsi="宋体" w:eastAsia="宋体" w:cs="宋体"/>
                <w:color w:val="auto"/>
                <w:kern w:val="0"/>
                <w:szCs w:val="21"/>
              </w:rPr>
            </w:pPr>
            <w:r>
              <w:rPr>
                <w:rFonts w:hint="eastAsia" w:ascii="宋体" w:hAnsi="宋体" w:eastAsia="宋体" w:cs="宋体"/>
                <w:color w:val="auto"/>
                <w:szCs w:val="24"/>
              </w:rPr>
              <w:t>25.00</w:t>
            </w:r>
          </w:p>
        </w:tc>
        <w:tc>
          <w:tcPr>
            <w:tcW w:w="1828" w:type="dxa"/>
            <w:vMerge w:val="continue"/>
            <w:noWrap w:val="0"/>
            <w:tcMar>
              <w:top w:w="0" w:type="dxa"/>
              <w:left w:w="108" w:type="dxa"/>
              <w:bottom w:w="0" w:type="dxa"/>
              <w:right w:w="108" w:type="dxa"/>
            </w:tcMar>
            <w:vAlign w:val="center"/>
          </w:tcPr>
          <w:p w14:paraId="18F8DCD7">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szCs w:val="24"/>
              </w:rPr>
            </w:pPr>
          </w:p>
        </w:tc>
      </w:tr>
      <w:tr w14:paraId="27936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4" w:hRule="atLeast"/>
          <w:jc w:val="center"/>
        </w:trPr>
        <w:tc>
          <w:tcPr>
            <w:tcW w:w="1002" w:type="dxa"/>
            <w:vMerge w:val="restart"/>
            <w:noWrap w:val="0"/>
            <w:tcMar>
              <w:top w:w="0" w:type="dxa"/>
              <w:left w:w="108" w:type="dxa"/>
              <w:bottom w:w="0" w:type="dxa"/>
              <w:right w:w="108" w:type="dxa"/>
            </w:tcMar>
            <w:vAlign w:val="center"/>
          </w:tcPr>
          <w:p w14:paraId="0BD66D5F">
            <w:pPr>
              <w:pageBreakBefore w:val="0"/>
              <w:kinsoku/>
              <w:overflowPunct/>
              <w:autoSpaceDE/>
              <w:autoSpaceDN/>
              <w:bidi w:val="0"/>
              <w:adjustRightInd/>
              <w:snapToGrid/>
              <w:spacing w:line="360" w:lineRule="auto"/>
              <w:ind w:left="0" w:leftChars="0" w:firstLine="0" w:firstLineChars="0"/>
              <w:jc w:val="center"/>
              <w:rPr>
                <w:rFonts w:hint="eastAsia" w:ascii="宋体" w:hAnsi="宋体" w:eastAsia="宋体" w:cs="宋体"/>
                <w:kern w:val="0"/>
                <w:szCs w:val="21"/>
              </w:rPr>
            </w:pPr>
            <w:r>
              <w:rPr>
                <w:rFonts w:hint="eastAsia" w:ascii="宋体" w:hAnsi="宋体" w:eastAsia="宋体" w:cs="宋体"/>
                <w:kern w:val="0"/>
                <w:szCs w:val="21"/>
              </w:rPr>
              <w:t>3</w:t>
            </w:r>
          </w:p>
        </w:tc>
        <w:tc>
          <w:tcPr>
            <w:tcW w:w="4617" w:type="dxa"/>
            <w:noWrap w:val="0"/>
            <w:tcMar>
              <w:top w:w="0" w:type="dxa"/>
              <w:left w:w="108" w:type="dxa"/>
              <w:bottom w:w="0" w:type="dxa"/>
              <w:right w:w="108" w:type="dxa"/>
            </w:tcMar>
            <w:vAlign w:val="center"/>
          </w:tcPr>
          <w:p w14:paraId="465D6A4D">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color w:val="auto"/>
              </w:rPr>
            </w:pPr>
            <w:r>
              <w:rPr>
                <w:rFonts w:hint="eastAsia" w:ascii="宋体" w:hAnsi="宋体" w:eastAsia="宋体" w:cs="宋体"/>
                <w:bCs/>
                <w:color w:val="auto"/>
                <w:szCs w:val="24"/>
              </w:rPr>
              <w:t>红火蚁专业化统防统治服务</w:t>
            </w:r>
          </w:p>
        </w:tc>
        <w:tc>
          <w:tcPr>
            <w:tcW w:w="1864" w:type="dxa"/>
            <w:noWrap w:val="0"/>
            <w:tcMar>
              <w:top w:w="0" w:type="dxa"/>
              <w:left w:w="108" w:type="dxa"/>
              <w:bottom w:w="0" w:type="dxa"/>
              <w:right w:w="108" w:type="dxa"/>
            </w:tcMar>
            <w:vAlign w:val="center"/>
          </w:tcPr>
          <w:p w14:paraId="5D0FE533">
            <w:pPr>
              <w:pageBreakBefore w:val="0"/>
              <w:widowControl/>
              <w:kinsoku/>
              <w:overflowPunct/>
              <w:autoSpaceDE/>
              <w:autoSpaceDN/>
              <w:bidi w:val="0"/>
              <w:adjustRightInd/>
              <w:snapToGrid/>
              <w:spacing w:line="360" w:lineRule="auto"/>
              <w:ind w:left="0" w:leftChars="0" w:firstLine="0" w:firstLineChars="0"/>
              <w:jc w:val="center"/>
              <w:rPr>
                <w:rFonts w:hint="eastAsia" w:ascii="宋体" w:hAnsi="宋体" w:eastAsia="宋体" w:cs="宋体"/>
                <w:color w:val="auto"/>
                <w:kern w:val="0"/>
                <w:szCs w:val="21"/>
              </w:rPr>
            </w:pPr>
            <w:r>
              <w:rPr>
                <w:rFonts w:hint="eastAsia" w:ascii="宋体" w:hAnsi="宋体" w:eastAsia="宋体" w:cs="宋体"/>
                <w:color w:val="auto"/>
                <w:kern w:val="0"/>
                <w:szCs w:val="21"/>
              </w:rPr>
              <w:t>50.00</w:t>
            </w:r>
          </w:p>
        </w:tc>
        <w:tc>
          <w:tcPr>
            <w:tcW w:w="1828" w:type="dxa"/>
            <w:vMerge w:val="continue"/>
            <w:noWrap w:val="0"/>
            <w:tcMar>
              <w:top w:w="0" w:type="dxa"/>
              <w:left w:w="108" w:type="dxa"/>
              <w:bottom w:w="0" w:type="dxa"/>
              <w:right w:w="108" w:type="dxa"/>
            </w:tcMar>
            <w:vAlign w:val="center"/>
          </w:tcPr>
          <w:p w14:paraId="5508B269">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kern w:val="0"/>
                <w:szCs w:val="21"/>
              </w:rPr>
            </w:pPr>
          </w:p>
        </w:tc>
      </w:tr>
      <w:tr w14:paraId="5409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0" w:hRule="atLeast"/>
          <w:jc w:val="center"/>
        </w:trPr>
        <w:tc>
          <w:tcPr>
            <w:tcW w:w="1002" w:type="dxa"/>
            <w:vMerge w:val="continue"/>
            <w:noWrap w:val="0"/>
            <w:tcMar>
              <w:top w:w="0" w:type="dxa"/>
              <w:left w:w="108" w:type="dxa"/>
              <w:bottom w:w="0" w:type="dxa"/>
              <w:right w:w="108" w:type="dxa"/>
            </w:tcMar>
            <w:vAlign w:val="center"/>
          </w:tcPr>
          <w:p w14:paraId="2F38CD87">
            <w:pPr>
              <w:pageBreakBefore w:val="0"/>
              <w:kinsoku/>
              <w:overflowPunct/>
              <w:autoSpaceDE/>
              <w:autoSpaceDN/>
              <w:bidi w:val="0"/>
              <w:adjustRightInd/>
              <w:snapToGrid/>
              <w:spacing w:line="360" w:lineRule="auto"/>
              <w:ind w:left="0" w:leftChars="0" w:firstLine="0" w:firstLineChars="0"/>
              <w:jc w:val="both"/>
              <w:rPr>
                <w:rFonts w:hint="eastAsia" w:ascii="宋体" w:hAnsi="宋体" w:eastAsia="宋体" w:cs="宋体"/>
                <w:kern w:val="0"/>
                <w:szCs w:val="21"/>
              </w:rPr>
            </w:pPr>
          </w:p>
        </w:tc>
        <w:tc>
          <w:tcPr>
            <w:tcW w:w="4617" w:type="dxa"/>
            <w:noWrap w:val="0"/>
            <w:tcMar>
              <w:top w:w="0" w:type="dxa"/>
              <w:left w:w="108" w:type="dxa"/>
              <w:bottom w:w="0" w:type="dxa"/>
              <w:right w:w="108" w:type="dxa"/>
            </w:tcMar>
            <w:vAlign w:val="center"/>
          </w:tcPr>
          <w:p w14:paraId="185075D7">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bCs/>
                <w:color w:val="auto"/>
                <w:szCs w:val="24"/>
              </w:rPr>
            </w:pPr>
            <w:r>
              <w:rPr>
                <w:rFonts w:hint="eastAsia" w:ascii="宋体" w:hAnsi="宋体" w:eastAsia="宋体" w:cs="宋体"/>
                <w:bCs/>
                <w:color w:val="auto"/>
                <w:szCs w:val="24"/>
              </w:rPr>
              <w:t>红火蚁防治药剂</w:t>
            </w:r>
          </w:p>
        </w:tc>
        <w:tc>
          <w:tcPr>
            <w:tcW w:w="1864" w:type="dxa"/>
            <w:noWrap w:val="0"/>
            <w:tcMar>
              <w:top w:w="0" w:type="dxa"/>
              <w:left w:w="108" w:type="dxa"/>
              <w:bottom w:w="0" w:type="dxa"/>
              <w:right w:w="108" w:type="dxa"/>
            </w:tcMar>
            <w:vAlign w:val="center"/>
          </w:tcPr>
          <w:p w14:paraId="27DD3EEE">
            <w:pPr>
              <w:pageBreakBefore w:val="0"/>
              <w:widowControl/>
              <w:kinsoku/>
              <w:overflowPunct/>
              <w:autoSpaceDE/>
              <w:autoSpaceDN/>
              <w:bidi w:val="0"/>
              <w:adjustRightInd/>
              <w:snapToGrid/>
              <w:spacing w:line="360" w:lineRule="auto"/>
              <w:ind w:left="0" w:leftChars="0" w:firstLine="0" w:firstLineChars="0"/>
              <w:jc w:val="center"/>
              <w:rPr>
                <w:rFonts w:hint="eastAsia" w:ascii="宋体" w:hAnsi="宋体" w:eastAsia="宋体" w:cs="宋体"/>
                <w:color w:val="auto"/>
                <w:kern w:val="0"/>
                <w:szCs w:val="21"/>
              </w:rPr>
            </w:pPr>
            <w:r>
              <w:rPr>
                <w:rFonts w:hint="eastAsia" w:ascii="宋体" w:hAnsi="宋体" w:eastAsia="宋体" w:cs="宋体"/>
                <w:color w:val="auto"/>
                <w:kern w:val="0"/>
                <w:szCs w:val="21"/>
              </w:rPr>
              <w:t>44.00</w:t>
            </w:r>
          </w:p>
        </w:tc>
        <w:tc>
          <w:tcPr>
            <w:tcW w:w="1828" w:type="dxa"/>
            <w:vMerge w:val="continue"/>
            <w:noWrap w:val="0"/>
            <w:tcMar>
              <w:top w:w="0" w:type="dxa"/>
              <w:left w:w="108" w:type="dxa"/>
              <w:bottom w:w="0" w:type="dxa"/>
              <w:right w:w="108" w:type="dxa"/>
            </w:tcMar>
            <w:vAlign w:val="center"/>
          </w:tcPr>
          <w:p w14:paraId="27BB07E2">
            <w:pPr>
              <w:pageBreakBefore w:val="0"/>
              <w:widowControl/>
              <w:kinsoku/>
              <w:overflowPunct/>
              <w:autoSpaceDE/>
              <w:autoSpaceDN/>
              <w:bidi w:val="0"/>
              <w:adjustRightInd/>
              <w:snapToGrid/>
              <w:spacing w:line="360" w:lineRule="auto"/>
              <w:ind w:left="0" w:leftChars="0" w:firstLine="0" w:firstLineChars="0"/>
              <w:jc w:val="both"/>
              <w:rPr>
                <w:rFonts w:hint="eastAsia" w:ascii="宋体" w:hAnsi="宋体" w:eastAsia="宋体" w:cs="宋体"/>
                <w:kern w:val="0"/>
                <w:szCs w:val="21"/>
              </w:rPr>
            </w:pPr>
          </w:p>
        </w:tc>
      </w:tr>
    </w:tbl>
    <w:p w14:paraId="53D665DC">
      <w:pPr>
        <w:pageBreakBefore w:val="0"/>
        <w:widowControl/>
        <w:kinsoku/>
        <w:overflowPunct/>
        <w:autoSpaceDE/>
        <w:autoSpaceDN/>
        <w:bidi w:val="0"/>
        <w:adjustRightInd/>
        <w:snapToGrid/>
        <w:spacing w:line="360" w:lineRule="auto"/>
        <w:ind w:left="0" w:leftChars="0" w:firstLine="422" w:firstLineChars="200"/>
        <w:jc w:val="both"/>
        <w:rPr>
          <w:rFonts w:hint="eastAsia" w:ascii="宋体" w:hAnsi="宋体" w:eastAsia="宋体" w:cs="宋体"/>
          <w:b/>
          <w:szCs w:val="21"/>
        </w:rPr>
      </w:pPr>
      <w:r>
        <w:rPr>
          <w:rFonts w:hint="eastAsia" w:ascii="宋体" w:hAnsi="宋体" w:eastAsia="宋体" w:cs="宋体"/>
          <w:b/>
          <w:bCs/>
          <w:kern w:val="0"/>
          <w:szCs w:val="21"/>
        </w:rPr>
        <w:t>注：</w:t>
      </w:r>
      <w:bookmarkStart w:id="14" w:name="OLE_LINK138"/>
      <w:r>
        <w:rPr>
          <w:rFonts w:hint="eastAsia" w:ascii="宋体" w:hAnsi="宋体" w:eastAsia="宋体" w:cs="宋体"/>
          <w:b/>
          <w:szCs w:val="21"/>
        </w:rPr>
        <w:t>（1）本项目共设</w:t>
      </w:r>
      <w:r>
        <w:rPr>
          <w:rFonts w:hint="eastAsia" w:ascii="宋体" w:hAnsi="宋体" w:eastAsia="宋体" w:cs="宋体"/>
          <w:b/>
          <w:szCs w:val="21"/>
          <w:u w:val="single"/>
        </w:rPr>
        <w:t xml:space="preserve"> 3 </w:t>
      </w:r>
      <w:r>
        <w:rPr>
          <w:rFonts w:hint="eastAsia" w:ascii="宋体" w:hAnsi="宋体" w:eastAsia="宋体" w:cs="宋体"/>
          <w:b/>
          <w:szCs w:val="21"/>
        </w:rPr>
        <w:t>个</w:t>
      </w:r>
      <w:r>
        <w:rPr>
          <w:rFonts w:hint="eastAsia" w:ascii="宋体" w:hAnsi="宋体" w:eastAsia="宋体" w:cs="宋体"/>
          <w:b/>
          <w:szCs w:val="21"/>
          <w:lang w:val="en-US" w:eastAsia="zh-CN"/>
        </w:rPr>
        <w:t>包号</w:t>
      </w:r>
      <w:r>
        <w:rPr>
          <w:rFonts w:hint="eastAsia" w:ascii="宋体" w:hAnsi="宋体" w:eastAsia="宋体" w:cs="宋体"/>
          <w:b/>
          <w:szCs w:val="21"/>
        </w:rPr>
        <w:t>，供应商可选择其中一个包件或同时选择多个包件进行投标，并可以同时中一个包件或同时中多个包件，供应商选择多个包件投标的应分包件制作及投递</w:t>
      </w:r>
      <w:r>
        <w:rPr>
          <w:rFonts w:hint="eastAsia" w:ascii="宋体" w:hAnsi="宋体" w:eastAsia="宋体" w:cs="宋体"/>
          <w:b/>
          <w:szCs w:val="21"/>
          <w:lang w:val="en-US" w:eastAsia="zh-CN"/>
        </w:rPr>
        <w:t>投标</w:t>
      </w:r>
      <w:r>
        <w:rPr>
          <w:rFonts w:hint="eastAsia" w:ascii="宋体" w:hAnsi="宋体" w:eastAsia="宋体" w:cs="宋体"/>
          <w:b/>
          <w:szCs w:val="21"/>
        </w:rPr>
        <w:t>文件。</w:t>
      </w:r>
    </w:p>
    <w:p w14:paraId="1616F7D8">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rPr>
      </w:pPr>
      <w:r>
        <w:rPr>
          <w:rFonts w:hint="eastAsia" w:ascii="宋体" w:hAnsi="宋体" w:eastAsia="宋体" w:cs="宋体"/>
          <w:b/>
          <w:bCs/>
          <w:szCs w:val="21"/>
        </w:rPr>
        <w:t>（2）具</w:t>
      </w:r>
      <w:r>
        <w:rPr>
          <w:rFonts w:hint="eastAsia" w:ascii="宋体" w:hAnsi="宋体" w:eastAsia="宋体" w:cs="宋体"/>
          <w:b/>
          <w:bCs/>
        </w:rPr>
        <w:t>体要求等详见本招标文件第五章《采购需求》。</w:t>
      </w:r>
    </w:p>
    <w:p w14:paraId="5D525490">
      <w:pPr>
        <w:pageBreakBefore w:val="0"/>
        <w:numPr>
          <w:ilvl w:val="0"/>
          <w:numId w:val="0"/>
        </w:numPr>
        <w:kinsoku/>
        <w:overflowPunct/>
        <w:autoSpaceDE/>
        <w:autoSpaceDN/>
        <w:bidi w:val="0"/>
        <w:adjustRightInd/>
        <w:snapToGrid/>
        <w:spacing w:line="348" w:lineRule="auto"/>
        <w:ind w:firstLine="422" w:firstLineChars="200"/>
        <w:rPr>
          <w:b/>
          <w:bCs/>
          <w:color w:val="0C0C0C"/>
          <w:highlight w:val="none"/>
        </w:rPr>
      </w:pPr>
      <w:r>
        <w:rPr>
          <w:rFonts w:hint="eastAsia" w:ascii="宋体" w:hAnsi="宋体" w:cs="宋体"/>
          <w:b/>
          <w:bCs/>
          <w:color w:val="0C0C0C"/>
          <w:szCs w:val="21"/>
          <w:highlight w:val="none"/>
        </w:rPr>
        <w:t>（</w:t>
      </w:r>
      <w:r>
        <w:rPr>
          <w:rFonts w:hint="eastAsia" w:ascii="宋体" w:hAnsi="宋体" w:cs="宋体"/>
          <w:b/>
          <w:bCs/>
          <w:color w:val="0C0C0C"/>
          <w:szCs w:val="21"/>
          <w:highlight w:val="none"/>
          <w:lang w:val="en-US" w:eastAsia="zh-CN"/>
        </w:rPr>
        <w:t>3</w:t>
      </w:r>
      <w:r>
        <w:rPr>
          <w:rFonts w:hint="eastAsia" w:ascii="宋体" w:hAnsi="宋体" w:cs="宋体"/>
          <w:b/>
          <w:bCs/>
          <w:color w:val="0C0C0C"/>
          <w:szCs w:val="21"/>
          <w:highlight w:val="none"/>
        </w:rPr>
        <w:t>）本次招标</w:t>
      </w:r>
      <w:r>
        <w:rPr>
          <w:rFonts w:hint="eastAsia" w:ascii="宋体" w:hAnsi="宋体" w:cs="宋体"/>
          <w:b/>
          <w:bCs/>
          <w:color w:val="0C0C0C"/>
          <w:szCs w:val="21"/>
          <w:highlight w:val="none"/>
          <w:u w:val="single"/>
          <w:lang w:val="en-US" w:eastAsia="zh-CN"/>
        </w:rPr>
        <w:t>不</w:t>
      </w:r>
      <w:r>
        <w:rPr>
          <w:rFonts w:hint="eastAsia" w:ascii="宋体" w:hAnsi="宋体" w:cs="宋体"/>
          <w:b/>
          <w:bCs/>
          <w:color w:val="0C0C0C"/>
          <w:szCs w:val="21"/>
          <w:highlight w:val="none"/>
          <w:u w:val="single"/>
        </w:rPr>
        <w:t>接受</w:t>
      </w:r>
      <w:r>
        <w:rPr>
          <w:rFonts w:hint="eastAsia" w:ascii="宋体" w:hAnsi="宋体" w:cs="宋体"/>
          <w:b/>
          <w:bCs/>
          <w:color w:val="0C0C0C"/>
          <w:szCs w:val="21"/>
          <w:highlight w:val="none"/>
        </w:rPr>
        <w:t>进口产品投标。进口产品是指通过中国海关报关验放进入中国境内且产自关境外的产品，若招标文件明确不接受进口产品，而</w:t>
      </w:r>
      <w:r>
        <w:rPr>
          <w:rFonts w:hint="eastAsia" w:ascii="宋体" w:hAnsi="宋体" w:cs="宋体"/>
          <w:b/>
          <w:bCs/>
          <w:color w:val="0C0C0C"/>
          <w:szCs w:val="21"/>
          <w:highlight w:val="none"/>
          <w:lang w:val="en-US" w:eastAsia="zh-CN"/>
        </w:rPr>
        <w:t>供应商</w:t>
      </w:r>
      <w:r>
        <w:rPr>
          <w:rFonts w:hint="eastAsia" w:ascii="宋体" w:hAnsi="宋体" w:cs="宋体"/>
          <w:b/>
          <w:bCs/>
          <w:color w:val="0C0C0C"/>
          <w:szCs w:val="21"/>
          <w:highlight w:val="none"/>
        </w:rPr>
        <w:t>所投报产品为进口产品的其《投标文件》按无效投标处理。</w:t>
      </w:r>
    </w:p>
    <w:p w14:paraId="3F13EEA1">
      <w:pPr>
        <w:pStyle w:val="2"/>
        <w:pageBreakBefore w:val="0"/>
        <w:kinsoku/>
        <w:overflowPunct/>
        <w:autoSpaceDE/>
        <w:autoSpaceDN/>
        <w:bidi w:val="0"/>
        <w:adjustRightInd/>
        <w:snapToGrid/>
        <w:spacing w:after="0" w:line="360" w:lineRule="auto"/>
        <w:ind w:left="0" w:leftChars="0" w:firstLine="422"/>
        <w:jc w:val="both"/>
        <w:rPr>
          <w:rFonts w:hint="eastAsia" w:ascii="宋体" w:hAnsi="宋体" w:eastAsia="宋体" w:cs="宋体"/>
        </w:rPr>
      </w:pPr>
      <w:r>
        <w:rPr>
          <w:rFonts w:hint="eastAsia" w:ascii="宋体" w:hAnsi="宋体" w:eastAsia="宋体" w:cs="宋体"/>
          <w:b/>
          <w:color w:val="000000"/>
        </w:rPr>
        <w:t>1.7质量要求：</w:t>
      </w:r>
      <w:r>
        <w:rPr>
          <w:rFonts w:hint="eastAsia" w:ascii="宋体" w:hAnsi="宋体" w:eastAsia="宋体" w:cs="宋体"/>
          <w:szCs w:val="24"/>
        </w:rPr>
        <w:t>严格执行国家、地方及行业现行相关标准、规范要求，满足采购人要求。</w:t>
      </w:r>
    </w:p>
    <w:p w14:paraId="6A6C10B7">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p>
    <w:p w14:paraId="70A0B3C6">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1.8合同履行期限：</w:t>
      </w:r>
    </w:p>
    <w:p w14:paraId="0D28CFF2">
      <w:pPr>
        <w:pStyle w:val="9"/>
        <w:pageBreakBefore w:val="0"/>
        <w:kinsoku/>
        <w:overflowPunct/>
        <w:autoSpaceDE/>
        <w:autoSpaceDN/>
        <w:bidi w:val="0"/>
        <w:adjustRightInd/>
        <w:snapToGrid/>
        <w:spacing w:after="0" w:line="360" w:lineRule="auto"/>
        <w:ind w:left="0" w:leftChars="0" w:firstLineChars="200"/>
        <w:jc w:val="both"/>
        <w:rPr>
          <w:rFonts w:hint="eastAsia" w:ascii="宋体" w:hAnsi="宋体" w:eastAsia="宋体" w:cs="宋体"/>
          <w:bCs/>
          <w:color w:val="auto"/>
          <w:szCs w:val="24"/>
        </w:rPr>
      </w:pPr>
      <w:r>
        <w:rPr>
          <w:rFonts w:hint="eastAsia" w:ascii="宋体" w:hAnsi="宋体" w:eastAsia="宋体" w:cs="宋体"/>
          <w:bCs/>
          <w:color w:val="auto"/>
          <w:szCs w:val="24"/>
        </w:rPr>
        <w:t>（1）</w:t>
      </w:r>
      <w:r>
        <w:rPr>
          <w:rFonts w:hint="eastAsia" w:ascii="宋体" w:hAnsi="宋体" w:eastAsia="宋体" w:cs="宋体"/>
          <w:color w:val="auto"/>
          <w:szCs w:val="21"/>
          <w:lang w:val="en-US" w:eastAsia="zh-CN"/>
        </w:rPr>
        <w:t>包号</w:t>
      </w:r>
      <w:r>
        <w:rPr>
          <w:rFonts w:hint="eastAsia" w:ascii="宋体" w:hAnsi="宋体" w:eastAsia="宋体" w:cs="宋体"/>
          <w:color w:val="auto"/>
          <w:szCs w:val="21"/>
        </w:rPr>
        <w:t>1：</w:t>
      </w:r>
      <w:r>
        <w:rPr>
          <w:rFonts w:hint="eastAsia" w:ascii="宋体" w:hAnsi="宋体" w:eastAsia="宋体" w:cs="宋体"/>
          <w:bCs/>
          <w:color w:val="auto"/>
          <w:szCs w:val="24"/>
        </w:rPr>
        <w:t>根据采购人需求进行植保无人机防治服务；签订合同后30日历天内完成所采购防治药剂供货。</w:t>
      </w:r>
    </w:p>
    <w:p w14:paraId="520F2DB5">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color w:val="auto"/>
          <w:szCs w:val="24"/>
        </w:rPr>
      </w:pPr>
      <w:r>
        <w:rPr>
          <w:rFonts w:hint="eastAsia" w:ascii="宋体" w:hAnsi="宋体" w:eastAsia="宋体" w:cs="宋体"/>
          <w:bCs/>
          <w:color w:val="auto"/>
          <w:szCs w:val="24"/>
        </w:rPr>
        <w:t>（2）</w:t>
      </w:r>
      <w:r>
        <w:rPr>
          <w:rFonts w:hint="eastAsia" w:ascii="宋体" w:hAnsi="宋体" w:eastAsia="宋体" w:cs="宋体"/>
          <w:bCs/>
          <w:color w:val="auto"/>
          <w:szCs w:val="24"/>
          <w:lang w:val="en-US" w:eastAsia="zh-CN"/>
        </w:rPr>
        <w:t>包号</w:t>
      </w:r>
      <w:r>
        <w:rPr>
          <w:rFonts w:hint="eastAsia" w:ascii="宋体" w:hAnsi="宋体" w:eastAsia="宋体" w:cs="宋体"/>
          <w:bCs/>
          <w:color w:val="auto"/>
          <w:szCs w:val="24"/>
        </w:rPr>
        <w:t>2：根据采购人需求进行玉米重大病虫害生物防治服务；</w:t>
      </w:r>
    </w:p>
    <w:p w14:paraId="240F6EA7">
      <w:pPr>
        <w:pStyle w:val="9"/>
        <w:pageBreakBefore w:val="0"/>
        <w:kinsoku/>
        <w:overflowPunct/>
        <w:autoSpaceDE/>
        <w:autoSpaceDN/>
        <w:bidi w:val="0"/>
        <w:adjustRightInd/>
        <w:snapToGrid/>
        <w:spacing w:after="0" w:line="360" w:lineRule="auto"/>
        <w:ind w:left="0" w:leftChars="0" w:firstLineChars="200"/>
        <w:jc w:val="both"/>
        <w:rPr>
          <w:rFonts w:hint="eastAsia" w:ascii="宋体" w:hAnsi="宋体" w:eastAsia="宋体" w:cs="宋体"/>
          <w:bCs/>
          <w:color w:val="auto"/>
          <w:szCs w:val="24"/>
        </w:rPr>
      </w:pPr>
      <w:r>
        <w:rPr>
          <w:rFonts w:hint="eastAsia" w:ascii="宋体" w:hAnsi="宋体" w:eastAsia="宋体" w:cs="宋体"/>
          <w:bCs/>
          <w:color w:val="auto"/>
          <w:szCs w:val="24"/>
        </w:rPr>
        <w:t>（3）</w:t>
      </w:r>
      <w:r>
        <w:rPr>
          <w:rFonts w:hint="eastAsia" w:ascii="宋体" w:hAnsi="宋体" w:eastAsia="宋体" w:cs="宋体"/>
          <w:bCs/>
          <w:color w:val="auto"/>
          <w:szCs w:val="24"/>
          <w:lang w:val="en-US" w:eastAsia="zh-CN"/>
        </w:rPr>
        <w:t>包号3</w:t>
      </w:r>
      <w:r>
        <w:rPr>
          <w:rFonts w:hint="eastAsia" w:ascii="宋体" w:hAnsi="宋体" w:eastAsia="宋体" w:cs="宋体"/>
          <w:bCs/>
          <w:color w:val="auto"/>
          <w:szCs w:val="24"/>
        </w:rPr>
        <w:t>：</w:t>
      </w:r>
      <w:r>
        <w:rPr>
          <w:rFonts w:hint="eastAsia" w:ascii="宋体" w:hAnsi="宋体" w:eastAsia="宋体" w:cs="宋体"/>
          <w:bCs/>
          <w:color w:val="auto"/>
        </w:rPr>
        <w:t>2026年11月30日前完成红火蚁专业化统防统治服务；</w:t>
      </w:r>
      <w:bookmarkStart w:id="15" w:name="OLE_LINK26"/>
      <w:bookmarkStart w:id="16" w:name="OLE_LINK27"/>
      <w:r>
        <w:rPr>
          <w:rFonts w:hint="eastAsia" w:ascii="宋体" w:hAnsi="宋体" w:eastAsia="宋体" w:cs="宋体"/>
          <w:bCs/>
          <w:color w:val="auto"/>
          <w:szCs w:val="24"/>
        </w:rPr>
        <w:t>签订合同后30日历天内完成红火蚁防治药剂供货。</w:t>
      </w:r>
    </w:p>
    <w:bookmarkEnd w:id="15"/>
    <w:bookmarkEnd w:id="16"/>
    <w:p w14:paraId="122A4FAA">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1.</w:t>
      </w:r>
      <w:bookmarkStart w:id="17" w:name="OLE_LINK1"/>
      <w:r>
        <w:rPr>
          <w:rFonts w:hint="eastAsia" w:ascii="宋体" w:hAnsi="宋体" w:eastAsia="宋体" w:cs="宋体"/>
          <w:b/>
          <w:bCs/>
          <w:szCs w:val="21"/>
        </w:rPr>
        <w:t>9交付（或实施）地点</w:t>
      </w:r>
      <w:bookmarkEnd w:id="17"/>
      <w:r>
        <w:rPr>
          <w:rFonts w:hint="eastAsia" w:ascii="宋体" w:hAnsi="宋体" w:eastAsia="宋体" w:cs="宋体"/>
          <w:b/>
          <w:bCs/>
          <w:szCs w:val="21"/>
        </w:rPr>
        <w:t>：</w:t>
      </w:r>
      <w:r>
        <w:rPr>
          <w:rFonts w:hint="eastAsia" w:ascii="宋体" w:hAnsi="宋体" w:eastAsia="宋体" w:cs="宋体"/>
          <w:szCs w:val="21"/>
        </w:rPr>
        <w:t>红河哈尼族彝族自治州植检植保站指定地点。</w:t>
      </w:r>
    </w:p>
    <w:p w14:paraId="42B7FEA6">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1.10本项目</w:t>
      </w:r>
      <w:r>
        <w:rPr>
          <w:rFonts w:hint="eastAsia" w:ascii="宋体" w:hAnsi="宋体" w:eastAsia="宋体" w:cs="宋体"/>
          <w:b/>
          <w:bCs/>
          <w:szCs w:val="21"/>
          <w:u w:val="single"/>
        </w:rPr>
        <w:t xml:space="preserve"> 不接受 </w:t>
      </w:r>
      <w:r>
        <w:rPr>
          <w:rFonts w:hint="eastAsia" w:ascii="宋体" w:hAnsi="宋体" w:eastAsia="宋体" w:cs="宋体"/>
          <w:b/>
          <w:bCs/>
          <w:szCs w:val="21"/>
        </w:rPr>
        <w:t>联合体。</w:t>
      </w:r>
    </w:p>
    <w:bookmarkEnd w:id="14"/>
    <w:p w14:paraId="2E693B78">
      <w:pPr>
        <w:pStyle w:val="4"/>
        <w:keepNext w:val="0"/>
        <w:keepLines w:val="0"/>
        <w:pageBreakBefore w:val="0"/>
        <w:kinsoku/>
        <w:overflowPunct/>
        <w:autoSpaceDE/>
        <w:autoSpaceDN/>
        <w:bidi w:val="0"/>
        <w:adjustRightInd/>
        <w:snapToGrid/>
        <w:spacing w:beforeLines="0" w:line="360" w:lineRule="auto"/>
        <w:ind w:left="0" w:leftChars="0" w:firstLine="420" w:firstLineChars="200"/>
        <w:jc w:val="both"/>
        <w:rPr>
          <w:rFonts w:hint="eastAsia" w:ascii="宋体" w:hAnsi="宋体" w:eastAsia="宋体" w:cs="宋体"/>
          <w:sz w:val="21"/>
          <w:szCs w:val="22"/>
        </w:rPr>
      </w:pPr>
      <w:bookmarkStart w:id="18" w:name="_Toc28359003"/>
      <w:bookmarkStart w:id="19" w:name="_Toc25425"/>
      <w:bookmarkStart w:id="20" w:name="_Toc35393791"/>
      <w:bookmarkStart w:id="21" w:name="_Toc3808"/>
      <w:bookmarkStart w:id="22" w:name="_Toc18153"/>
      <w:bookmarkStart w:id="23" w:name="_Toc28359080"/>
      <w:bookmarkStart w:id="24" w:name="_Toc31401"/>
      <w:bookmarkStart w:id="25" w:name="_Toc12481"/>
      <w:bookmarkStart w:id="26" w:name="_Toc35393622"/>
      <w:bookmarkStart w:id="27" w:name="_Toc20415"/>
      <w:bookmarkStart w:id="28" w:name="_Toc10836"/>
      <w:r>
        <w:rPr>
          <w:rFonts w:hint="eastAsia" w:ascii="宋体" w:hAnsi="宋体" w:eastAsia="宋体" w:cs="宋体"/>
          <w:sz w:val="21"/>
          <w:szCs w:val="22"/>
        </w:rPr>
        <w:t>二</w:t>
      </w:r>
      <w:bookmarkStart w:id="29" w:name="OLE_LINK23"/>
      <w:r>
        <w:rPr>
          <w:rFonts w:hint="eastAsia" w:ascii="宋体" w:hAnsi="宋体" w:eastAsia="宋体" w:cs="宋体"/>
          <w:sz w:val="21"/>
          <w:szCs w:val="22"/>
        </w:rPr>
        <w:t>、</w:t>
      </w:r>
      <w:r>
        <w:rPr>
          <w:rFonts w:hint="eastAsia" w:ascii="宋体" w:hAnsi="宋体" w:eastAsia="宋体" w:cs="宋体"/>
          <w:sz w:val="21"/>
          <w:szCs w:val="22"/>
          <w:lang w:val="en-US" w:eastAsia="zh-CN"/>
        </w:rPr>
        <w:t>供应商</w:t>
      </w:r>
      <w:r>
        <w:rPr>
          <w:rFonts w:hint="eastAsia" w:ascii="宋体" w:hAnsi="宋体" w:eastAsia="宋体" w:cs="宋体"/>
          <w:sz w:val="21"/>
          <w:szCs w:val="22"/>
        </w:rPr>
        <w:t>资格要求</w:t>
      </w:r>
      <w:bookmarkEnd w:id="18"/>
      <w:bookmarkEnd w:id="19"/>
      <w:bookmarkEnd w:id="20"/>
      <w:bookmarkEnd w:id="21"/>
      <w:bookmarkEnd w:id="22"/>
      <w:bookmarkEnd w:id="23"/>
      <w:bookmarkEnd w:id="24"/>
      <w:bookmarkEnd w:id="25"/>
      <w:bookmarkEnd w:id="26"/>
      <w:bookmarkEnd w:id="27"/>
      <w:bookmarkEnd w:id="28"/>
      <w:bookmarkEnd w:id="29"/>
    </w:p>
    <w:p w14:paraId="6E0BC4B4">
      <w:pPr>
        <w:pageBreakBefore w:val="0"/>
        <w:kinsoku/>
        <w:wordWrap w:val="0"/>
        <w:overflowPunct/>
        <w:autoSpaceDE/>
        <w:autoSpaceDN/>
        <w:bidi w:val="0"/>
        <w:adjustRightInd/>
        <w:snapToGrid/>
        <w:spacing w:line="360" w:lineRule="auto"/>
        <w:ind w:left="0" w:leftChars="0" w:firstLine="422"/>
        <w:jc w:val="both"/>
        <w:rPr>
          <w:rFonts w:hint="eastAsia" w:ascii="宋体" w:hAnsi="宋体" w:eastAsia="宋体" w:cs="宋体"/>
          <w:b/>
          <w:bCs/>
          <w:szCs w:val="21"/>
        </w:rPr>
      </w:pPr>
      <w:bookmarkStart w:id="30" w:name="OLE_LINK66"/>
      <w:bookmarkStart w:id="31" w:name="_Toc28359004"/>
      <w:bookmarkStart w:id="32" w:name="_Toc28359081"/>
      <w:r>
        <w:rPr>
          <w:rFonts w:hint="eastAsia" w:ascii="宋体" w:hAnsi="宋体" w:eastAsia="宋体" w:cs="宋体"/>
          <w:b/>
          <w:bCs/>
          <w:szCs w:val="21"/>
        </w:rPr>
        <w:t>2.1满足《中华人民共和国政府采购法》第二十二条规定；</w:t>
      </w:r>
    </w:p>
    <w:p w14:paraId="7F55D3B0">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（1）在中华人民共和国境内依法成立，具有独立承担民事责任的能力，提供法人或者非法人组织的营业执照或其他法定凭证等证明文件。</w:t>
      </w:r>
    </w:p>
    <w:p w14:paraId="4A3EE50D">
      <w:pPr>
        <w:pageBreakBefore w:val="0"/>
        <w:tabs>
          <w:tab w:val="left" w:pos="720"/>
          <w:tab w:val="left" w:pos="4200"/>
          <w:tab w:val="left" w:pos="8295"/>
        </w:tabs>
        <w:kinsoku/>
        <w:overflowPunct/>
        <w:autoSpaceDE/>
        <w:autoSpaceDN/>
        <w:bidi w:val="0"/>
        <w:adjustRightInd/>
        <w:snapToGrid/>
        <w:spacing w:line="360" w:lineRule="auto"/>
        <w:ind w:left="0" w:leftChars="0" w:firstLine="420"/>
        <w:jc w:val="both"/>
        <w:rPr>
          <w:rFonts w:hint="eastAsia" w:ascii="宋体" w:hAnsi="宋体" w:eastAsia="宋体" w:cs="宋体"/>
        </w:rPr>
      </w:pPr>
      <w:r>
        <w:rPr>
          <w:rFonts w:hint="eastAsia" w:ascii="宋体" w:hAnsi="宋体" w:eastAsia="宋体" w:cs="宋体"/>
          <w:szCs w:val="21"/>
        </w:rPr>
        <w:t>（2）</w:t>
      </w:r>
      <w:r>
        <w:rPr>
          <w:rFonts w:hint="eastAsia" w:ascii="宋体" w:hAnsi="宋体" w:eastAsia="宋体" w:cs="宋体"/>
        </w:rPr>
        <w:t>供应商须具有良好的商业信誉和健全的财务会计制度，</w:t>
      </w:r>
      <w:bookmarkStart w:id="33" w:name="_Hlk46053837"/>
      <w:r>
        <w:rPr>
          <w:rFonts w:hint="eastAsia" w:ascii="宋体" w:hAnsi="宋体" w:eastAsia="宋体" w:cs="宋体"/>
          <w:szCs w:val="21"/>
        </w:rPr>
        <w:t xml:space="preserve">供应商须提供财务状况报告，内容可为以下三者之一： </w:t>
      </w:r>
    </w:p>
    <w:bookmarkEnd w:id="33"/>
    <w:p w14:paraId="607AA552">
      <w:pPr>
        <w:pageBreakBefore w:val="0"/>
        <w:tabs>
          <w:tab w:val="left" w:pos="720"/>
          <w:tab w:val="left" w:pos="4200"/>
          <w:tab w:val="left" w:pos="8295"/>
        </w:tabs>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①提供2024-2025任意1年度经第三方审计的财务报告及报表（报表至少应包括资产负债表、利润表（损益表）、现金流量表），事业单位可提供内部财务报表，成立时间至本项目提交投标文件截止时间不满1年的可提供成立至今的财务报表；</w:t>
      </w:r>
    </w:p>
    <w:p w14:paraId="3038029B">
      <w:pPr>
        <w:pageBreakBefore w:val="0"/>
        <w:tabs>
          <w:tab w:val="left" w:pos="720"/>
          <w:tab w:val="left" w:pos="4200"/>
          <w:tab w:val="left" w:pos="8295"/>
        </w:tabs>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②提供自投标文件提交截止时间前三个月内基本开户银行出具的资信证明；</w:t>
      </w:r>
    </w:p>
    <w:p w14:paraId="473594A1">
      <w:pPr>
        <w:pageBreakBefore w:val="0"/>
        <w:tabs>
          <w:tab w:val="left" w:pos="720"/>
          <w:tab w:val="left" w:pos="4200"/>
          <w:tab w:val="left" w:pos="8295"/>
        </w:tabs>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③提供财政部门认可的政府采购专业担保机构出具的投标担保函。</w:t>
      </w:r>
    </w:p>
    <w:p w14:paraId="5D672A73">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注：</w:t>
      </w:r>
      <w:r>
        <w:rPr>
          <w:rFonts w:hint="eastAsia" w:ascii="宋体" w:hAnsi="宋体" w:eastAsia="宋体" w:cs="宋体"/>
          <w:b/>
          <w:bCs/>
          <w:kern w:val="0"/>
          <w:szCs w:val="21"/>
        </w:rPr>
        <w:t>若提供2022年及以后的审计报告须按“财办〔2022〕32号”、“财会〔2023〕15号、云财会〔2026〕23号”文件要求在注册会计师行业统一监管平台报备并赋予验证码。</w:t>
      </w:r>
    </w:p>
    <w:p w14:paraId="71EF37AE">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（3）供应商有依法缴纳税收和社会保障资金的良好记录：</w:t>
      </w:r>
    </w:p>
    <w:p w14:paraId="44E9BC0F">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A、纳税证明材料：缴税所属时间在2025年6月份以来任意1个月的税务局税收通用缴款书扫描件或银行电子缴税（费）凭证扫描件或税务局出具纳税情况的相关证明扫描件；</w:t>
      </w:r>
    </w:p>
    <w:p w14:paraId="5CB217A2">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B、缴纳社会保险证明材料：缴费所属时间在2025年6月份以来任意1个月的社会保险费缴款书扫描件或银行电子缴税（费）凭证扫描件或社保管理部门出具的有效的缴款证明扫描件。</w:t>
      </w:r>
    </w:p>
    <w:p w14:paraId="0275834A">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依法免税或不需要缴纳社会保障资金的供应商，应提供相应文件证明其依法免税或不需要缴纳社会保障资金。</w:t>
      </w:r>
    </w:p>
    <w:p w14:paraId="338FC32C">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（4）供应商必须具有履行合同所必需的设备和专业技术能力（提供承诺书）。</w:t>
      </w:r>
    </w:p>
    <w:p w14:paraId="1CE5B809">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5）供应商“参加本项目政府采购活动前3年内在经营活动中没有重大违法记录的书面声明”（重大违法记录是指：因违法经营受到刑事处罚或者责令停产停业、吊销许可证或者执照、较大数额罚款等行政处罚）。</w:t>
      </w:r>
    </w:p>
    <w:p w14:paraId="4A0B3EE7">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color w:val="333333"/>
          <w:szCs w:val="21"/>
          <w:shd w:val="clear" w:color="auto" w:fill="FFFFFF"/>
        </w:rPr>
        <w:t>法律、行政法规规定的其他条件。</w:t>
      </w:r>
    </w:p>
    <w:p w14:paraId="6F65DE90">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2.落实政府采购政策需满足的资格要求：本项目专门面向中小企业采购项目。</w:t>
      </w:r>
      <w:r>
        <w:rPr>
          <w:rFonts w:hint="eastAsia" w:ascii="宋体" w:hAnsi="宋体" w:eastAsia="宋体" w:cs="宋体"/>
          <w:color w:val="000000"/>
          <w:szCs w:val="21"/>
        </w:rPr>
        <w:t>（</w:t>
      </w:r>
      <w:r>
        <w:rPr>
          <w:rFonts w:hint="eastAsia" w:ascii="宋体" w:hAnsi="宋体" w:eastAsia="宋体" w:cs="宋体"/>
          <w:bCs/>
          <w:szCs w:val="21"/>
        </w:rPr>
        <w:t>中小企业所属行业类型</w:t>
      </w:r>
      <w:r>
        <w:rPr>
          <w:rFonts w:hint="eastAsia" w:ascii="宋体" w:hAnsi="宋体" w:eastAsia="宋体" w:cs="宋体"/>
          <w:bCs/>
          <w:szCs w:val="21"/>
          <w:lang w:val="en-US" w:eastAsia="zh-CN"/>
        </w:rPr>
        <w:t>包号1为</w:t>
      </w:r>
      <w:r>
        <w:rPr>
          <w:rFonts w:hint="eastAsia" w:ascii="宋体" w:hAnsi="宋体" w:eastAsia="宋体" w:cs="宋体"/>
          <w:b/>
          <w:bCs w:val="0"/>
          <w:szCs w:val="21"/>
          <w:lang w:val="en-US" w:eastAsia="zh-CN"/>
        </w:rPr>
        <w:t>工业</w:t>
      </w:r>
      <w:r>
        <w:rPr>
          <w:rFonts w:hint="eastAsia" w:ascii="宋体" w:hAnsi="宋体" w:eastAsia="宋体" w:cs="宋体"/>
          <w:bCs/>
          <w:szCs w:val="21"/>
          <w:lang w:val="en-US" w:eastAsia="zh-CN"/>
        </w:rPr>
        <w:t>；包号2、3为</w:t>
      </w:r>
      <w:r>
        <w:rPr>
          <w:rFonts w:hint="eastAsia" w:ascii="宋体" w:hAnsi="宋体" w:eastAsia="宋体" w:cs="宋体"/>
          <w:b/>
          <w:szCs w:val="21"/>
        </w:rPr>
        <w:t>农、林、牧、渔业</w:t>
      </w:r>
      <w:r>
        <w:rPr>
          <w:rFonts w:hint="eastAsia" w:ascii="宋体" w:hAnsi="宋体" w:eastAsia="宋体" w:cs="宋体"/>
          <w:bCs/>
          <w:szCs w:val="21"/>
        </w:rPr>
        <w:t>；满足条件的供应商须按要求提供《中小企业声明函》</w:t>
      </w:r>
      <w:r>
        <w:rPr>
          <w:rFonts w:hint="eastAsia" w:ascii="宋体" w:hAnsi="宋体" w:eastAsia="宋体" w:cs="宋体"/>
          <w:color w:val="000000"/>
          <w:szCs w:val="21"/>
        </w:rPr>
        <w:t>）</w:t>
      </w:r>
    </w:p>
    <w:p w14:paraId="1AF8B1CE">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3.本项目的特定资格要求：</w:t>
      </w:r>
      <w:bookmarkEnd w:id="30"/>
    </w:p>
    <w:p w14:paraId="70D110F7">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bookmarkStart w:id="34" w:name="OLE_LINK33"/>
      <w:r>
        <w:rPr>
          <w:rFonts w:hint="eastAsia" w:ascii="宋体" w:hAnsi="宋体" w:eastAsia="宋体" w:cs="宋体"/>
          <w:szCs w:val="21"/>
        </w:rPr>
        <w:t>（1）资质要求：</w:t>
      </w:r>
    </w:p>
    <w:p w14:paraId="4F997573">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color w:val="000000"/>
          <w:szCs w:val="21"/>
        </w:rPr>
      </w:pPr>
      <w:r>
        <w:rPr>
          <w:rFonts w:hint="eastAsia" w:ascii="宋体" w:hAnsi="宋体" w:eastAsia="宋体" w:cs="宋体"/>
          <w:color w:val="0C0C0C"/>
          <w:szCs w:val="21"/>
          <w:lang w:val="en-US" w:eastAsia="zh-CN"/>
        </w:rPr>
        <w:t>包号1</w:t>
      </w:r>
      <w:r>
        <w:rPr>
          <w:rFonts w:hint="eastAsia" w:ascii="宋体" w:hAnsi="宋体" w:eastAsia="宋体" w:cs="宋体"/>
          <w:color w:val="000000"/>
          <w:szCs w:val="21"/>
        </w:rPr>
        <w:t>需同时满足：</w:t>
      </w:r>
    </w:p>
    <w:p w14:paraId="59198545">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Cs/>
          <w:color w:val="000000"/>
          <w:szCs w:val="21"/>
        </w:rPr>
      </w:pPr>
      <w:r>
        <w:rPr>
          <w:rFonts w:hint="eastAsia" w:ascii="宋体" w:hAnsi="宋体" w:eastAsia="宋体" w:cs="宋体"/>
          <w:bCs/>
          <w:color w:val="000000"/>
          <w:szCs w:val="21"/>
        </w:rPr>
        <w:t>①</w:t>
      </w:r>
      <w:r>
        <w:rPr>
          <w:rFonts w:hint="eastAsia" w:ascii="宋体" w:hAnsi="宋体" w:eastAsia="宋体" w:cs="宋体"/>
          <w:bCs/>
          <w:color w:val="000000"/>
          <w:szCs w:val="21"/>
          <w:lang w:val="en-US" w:eastAsia="zh-CN"/>
        </w:rPr>
        <w:t>供应商具备</w:t>
      </w:r>
      <w:r>
        <w:rPr>
          <w:rFonts w:hint="eastAsia" w:ascii="宋体" w:hAnsi="宋体" w:eastAsia="宋体" w:cs="宋体"/>
          <w:bCs/>
          <w:color w:val="000000"/>
          <w:szCs w:val="21"/>
        </w:rPr>
        <w:t>民用无人驾驶航空器运营合格证</w:t>
      </w:r>
      <w:r>
        <w:rPr>
          <w:rFonts w:hint="eastAsia" w:ascii="宋体" w:hAnsi="宋体" w:eastAsia="宋体" w:cs="宋体"/>
          <w:bCs/>
          <w:color w:val="000000"/>
          <w:szCs w:val="21"/>
          <w:lang w:eastAsia="zh-CN"/>
        </w:rPr>
        <w:t>、</w:t>
      </w:r>
      <w:r>
        <w:rPr>
          <w:rFonts w:hint="eastAsia"/>
          <w:color w:val="000000"/>
          <w:lang w:val="en-US" w:eastAsia="zh-CN"/>
        </w:rPr>
        <w:t>无人机飞手具备相应操作的资质证书</w:t>
      </w:r>
      <w:r>
        <w:rPr>
          <w:rFonts w:hint="eastAsia" w:ascii="宋体" w:hAnsi="宋体" w:cs="Times New Roman"/>
          <w:color w:val="000000"/>
          <w:kern w:val="2"/>
          <w:sz w:val="21"/>
          <w:szCs w:val="21"/>
          <w:lang w:val="en-US" w:eastAsia="zh-CN" w:bidi="ar-SA"/>
        </w:rPr>
        <w:t>；</w:t>
      </w:r>
    </w:p>
    <w:p w14:paraId="35ECB919">
      <w:pPr>
        <w:keepNext w:val="0"/>
        <w:keepLines w:val="0"/>
        <w:pageBreakBefore w:val="0"/>
        <w:widowControl w:val="0"/>
        <w:kinsoku w:val="0"/>
        <w:wordWrap w:val="0"/>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color w:val="auto"/>
          <w:szCs w:val="21"/>
        </w:rPr>
      </w:pPr>
      <w:r>
        <w:rPr>
          <w:rFonts w:hint="eastAsia" w:ascii="宋体" w:hAnsi="宋体" w:eastAsia="宋体" w:cs="宋体"/>
          <w:color w:val="auto"/>
          <w:szCs w:val="21"/>
        </w:rPr>
        <w:t>②供应商为生产厂家的须具有有效的农药生产许可证</w:t>
      </w:r>
      <w:r>
        <w:rPr>
          <w:rFonts w:hint="eastAsia" w:ascii="宋体" w:hAnsi="宋体" w:eastAsia="宋体" w:cs="宋体"/>
          <w:color w:val="auto"/>
          <w:szCs w:val="21"/>
          <w:lang w:eastAsia="zh-CN"/>
        </w:rPr>
        <w:t>，</w:t>
      </w:r>
      <w:r>
        <w:rPr>
          <w:rFonts w:hint="eastAsia" w:ascii="宋体" w:hAnsi="宋体" w:eastAsia="宋体" w:cs="宋体"/>
          <w:color w:val="auto"/>
          <w:szCs w:val="21"/>
        </w:rPr>
        <w:t>若为经销商须具有有效的农药经营许可证；</w:t>
      </w:r>
    </w:p>
    <w:p w14:paraId="5E27A8BD">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color w:val="auto"/>
          <w:szCs w:val="21"/>
        </w:rPr>
      </w:pPr>
      <w:r>
        <w:rPr>
          <w:rFonts w:hint="eastAsia" w:ascii="宋体" w:hAnsi="宋体" w:eastAsia="宋体" w:cs="宋体"/>
          <w:color w:val="auto"/>
          <w:szCs w:val="21"/>
        </w:rPr>
        <w:t>③供应商所提供的药剂须具有厂家有效期内的“三证”（农药生产许可证或者农药生产批准文件、农药产品标准证和农药登记证）及第三方有资质的检测机构出具的检验报告。</w:t>
      </w:r>
    </w:p>
    <w:p w14:paraId="56F572F9">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color w:val="auto"/>
          <w:szCs w:val="21"/>
        </w:rPr>
      </w:pPr>
      <w:bookmarkStart w:id="35" w:name="OLE_LINK29"/>
      <w:r>
        <w:rPr>
          <w:rFonts w:hint="eastAsia" w:ascii="宋体" w:hAnsi="宋体" w:eastAsia="宋体" w:cs="宋体"/>
          <w:color w:val="0C0C0C"/>
          <w:szCs w:val="21"/>
          <w:lang w:val="en-US" w:eastAsia="zh-CN"/>
        </w:rPr>
        <w:t>包号2、3</w:t>
      </w:r>
      <w:r>
        <w:rPr>
          <w:rFonts w:hint="eastAsia" w:ascii="宋体" w:hAnsi="宋体" w:eastAsia="宋体" w:cs="宋体"/>
          <w:color w:val="0C0C0C"/>
          <w:szCs w:val="21"/>
        </w:rPr>
        <w:t>须</w:t>
      </w:r>
      <w:r>
        <w:rPr>
          <w:rFonts w:hint="eastAsia" w:ascii="宋体" w:hAnsi="宋体" w:eastAsia="宋体" w:cs="宋体"/>
          <w:color w:val="auto"/>
          <w:szCs w:val="21"/>
        </w:rPr>
        <w:t>具备：</w:t>
      </w:r>
    </w:p>
    <w:p w14:paraId="6AF7ED09">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color w:val="auto"/>
          <w:szCs w:val="21"/>
        </w:rPr>
      </w:pPr>
      <w:r>
        <w:rPr>
          <w:rFonts w:hint="eastAsia" w:ascii="宋体" w:hAnsi="宋体" w:eastAsia="宋体" w:cs="宋体"/>
          <w:color w:val="auto"/>
          <w:szCs w:val="21"/>
        </w:rPr>
        <w:t>①供应商为</w:t>
      </w:r>
      <w:r>
        <w:rPr>
          <w:rFonts w:hint="eastAsia" w:ascii="宋体" w:hAnsi="宋体" w:eastAsia="宋体" w:cs="宋体"/>
          <w:color w:val="auto"/>
          <w:szCs w:val="21"/>
          <w:lang w:val="en-US" w:eastAsia="zh-CN"/>
        </w:rPr>
        <w:t>经销商</w:t>
      </w:r>
      <w:r>
        <w:rPr>
          <w:rFonts w:hint="eastAsia" w:ascii="宋体" w:hAnsi="宋体" w:eastAsia="宋体" w:cs="宋体"/>
          <w:color w:val="auto"/>
          <w:szCs w:val="21"/>
        </w:rPr>
        <w:t>的，需具有有效的农药经营许可证，且提供响应农药产品制造厂商具备的农药“三证”（农药生产许可证或者农药生产批准文件、农药产品标准证和农药登记证）；</w:t>
      </w:r>
    </w:p>
    <w:p w14:paraId="240AF7DB">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color w:val="auto"/>
          <w:szCs w:val="24"/>
        </w:rPr>
      </w:pPr>
      <w:r>
        <w:rPr>
          <w:rFonts w:hint="eastAsia" w:ascii="宋体" w:hAnsi="宋体" w:eastAsia="宋体" w:cs="宋体"/>
          <w:color w:val="auto"/>
          <w:szCs w:val="21"/>
        </w:rPr>
        <w:t>②供应商为制造厂商的须提供农药“三证”（农药生产许可证或者农药生产批准文件、农药产品标准证和农药登记证）；</w:t>
      </w:r>
      <w:bookmarkStart w:id="36" w:name="OLE_LINK30"/>
      <w:r>
        <w:rPr>
          <w:rFonts w:hint="eastAsia" w:ascii="宋体" w:hAnsi="宋体" w:eastAsia="宋体" w:cs="宋体"/>
          <w:bCs/>
          <w:color w:val="auto"/>
          <w:szCs w:val="24"/>
        </w:rPr>
        <w:t>提供</w:t>
      </w:r>
      <w:r>
        <w:rPr>
          <w:rFonts w:hint="eastAsia" w:ascii="宋体" w:hAnsi="宋体" w:eastAsia="宋体" w:cs="宋体"/>
          <w:bCs/>
          <w:color w:val="auto"/>
          <w:szCs w:val="24"/>
          <w:lang w:val="en-US" w:eastAsia="zh-CN"/>
        </w:rPr>
        <w:t>该批次</w:t>
      </w:r>
      <w:r>
        <w:rPr>
          <w:rFonts w:hint="eastAsia" w:ascii="宋体" w:hAnsi="宋体" w:eastAsia="宋体" w:cs="宋体"/>
          <w:bCs/>
          <w:color w:val="auto"/>
          <w:szCs w:val="24"/>
        </w:rPr>
        <w:t>产品合格证明及第三方检测机构的批次检测报告</w:t>
      </w:r>
      <w:r>
        <w:rPr>
          <w:rFonts w:hint="eastAsia" w:ascii="宋体" w:hAnsi="宋体" w:eastAsia="宋体" w:cs="宋体"/>
          <w:bCs/>
          <w:color w:val="auto"/>
          <w:szCs w:val="24"/>
          <w:lang w:eastAsia="zh-CN"/>
        </w:rPr>
        <w:t>。</w:t>
      </w:r>
    </w:p>
    <w:bookmarkEnd w:id="34"/>
    <w:bookmarkEnd w:id="35"/>
    <w:bookmarkEnd w:id="36"/>
    <w:p w14:paraId="7FCE2EB8">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2）采购人或采购代理机构在投标文件递交的截止时间后将对供应商的信用信息在“信用中国”网站（www.creditchina.gov.cn）及中国政府采购网上进行查询，供应商如被列入“信用中国”网站（www.creditchina.gov.cn）严重失信主体或在中国政府采购网（www.ccgp.gov.cn）政府采购严重违法失信行为信息记录（被禁止在一定期限内参加政府采购活动但期限届满的除外）名单的，其投标文件按否决处理。</w:t>
      </w:r>
    </w:p>
    <w:p w14:paraId="4B3A2DC0">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
          <w:bCs/>
          <w:szCs w:val="21"/>
        </w:rPr>
      </w:pPr>
      <w:r>
        <w:rPr>
          <w:rFonts w:hint="eastAsia" w:ascii="宋体" w:hAnsi="宋体" w:eastAsia="宋体" w:cs="宋体"/>
          <w:szCs w:val="21"/>
        </w:rPr>
        <w:t>（3）</w:t>
      </w:r>
      <w:bookmarkStart w:id="37" w:name="OLE_LINK212"/>
      <w:r>
        <w:rPr>
          <w:rFonts w:hint="eastAsia" w:ascii="宋体" w:hAnsi="宋体" w:eastAsia="宋体" w:cs="宋体"/>
          <w:szCs w:val="21"/>
        </w:rPr>
        <w:t>单位负责人为同一人或者存在直接控股、管理关系的不同供应商，不得参加同一合同项下的政府采购活动</w:t>
      </w:r>
      <w:bookmarkEnd w:id="37"/>
      <w:r>
        <w:rPr>
          <w:rFonts w:hint="eastAsia" w:ascii="宋体" w:hAnsi="宋体" w:eastAsia="宋体" w:cs="宋体"/>
          <w:szCs w:val="21"/>
        </w:rPr>
        <w:t>（提供供应商关联企业情况声明）。</w:t>
      </w:r>
    </w:p>
    <w:p w14:paraId="6803615E">
      <w:pPr>
        <w:pageBreakBefore w:val="0"/>
        <w:widowControl/>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（4）为采购项目提供整体设计、规范编制或者项目管理、 监理、检测等服务的供应商，不得再参加该采购项目的其他采购活动（提供承诺书）。</w:t>
      </w:r>
    </w:p>
    <w:p w14:paraId="05BEB8F4">
      <w:pPr>
        <w:pStyle w:val="4"/>
        <w:pageBreakBefore w:val="0"/>
        <w:kinsoku/>
        <w:overflowPunct/>
        <w:autoSpaceDE/>
        <w:autoSpaceDN/>
        <w:bidi w:val="0"/>
        <w:adjustRightInd/>
        <w:snapToGrid/>
        <w:spacing w:beforeLines="0" w:line="360" w:lineRule="auto"/>
        <w:ind w:left="0" w:leftChars="0" w:firstLine="420" w:firstLineChars="200"/>
        <w:jc w:val="both"/>
        <w:rPr>
          <w:rFonts w:hint="eastAsia" w:ascii="宋体" w:hAnsi="宋体" w:eastAsia="宋体" w:cs="宋体"/>
          <w:sz w:val="21"/>
          <w:szCs w:val="22"/>
        </w:rPr>
      </w:pPr>
      <w:bookmarkStart w:id="38" w:name="_Toc9319"/>
      <w:bookmarkStart w:id="39" w:name="_Toc20118"/>
      <w:bookmarkStart w:id="40" w:name="_Toc23786"/>
      <w:bookmarkStart w:id="41" w:name="_Toc698"/>
      <w:bookmarkStart w:id="42" w:name="_Toc35393623"/>
      <w:bookmarkStart w:id="43" w:name="_Toc2689"/>
      <w:bookmarkStart w:id="44" w:name="_Toc1560"/>
      <w:bookmarkStart w:id="45" w:name="_Toc35393792"/>
      <w:bookmarkStart w:id="46" w:name="_Toc17197"/>
      <w:r>
        <w:rPr>
          <w:rFonts w:hint="eastAsia" w:ascii="宋体" w:hAnsi="宋体" w:eastAsia="宋体" w:cs="宋体"/>
          <w:sz w:val="21"/>
          <w:szCs w:val="22"/>
        </w:rPr>
        <w:t>三、获取招标文件</w:t>
      </w:r>
      <w:bookmarkEnd w:id="31"/>
      <w:bookmarkEnd w:id="32"/>
      <w:bookmarkEnd w:id="38"/>
      <w:bookmarkEnd w:id="39"/>
      <w:bookmarkEnd w:id="40"/>
      <w:bookmarkEnd w:id="41"/>
      <w:bookmarkEnd w:id="42"/>
      <w:bookmarkEnd w:id="43"/>
      <w:bookmarkEnd w:id="44"/>
      <w:bookmarkEnd w:id="45"/>
      <w:bookmarkEnd w:id="46"/>
    </w:p>
    <w:p w14:paraId="66FE775C">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bookmarkStart w:id="47" w:name="_Toc28359082"/>
      <w:bookmarkStart w:id="48" w:name="_Toc28359005"/>
      <w:bookmarkStart w:id="49" w:name="_Toc20986"/>
      <w:bookmarkStart w:id="50" w:name="_Toc10554"/>
      <w:bookmarkStart w:id="51" w:name="_Toc6731"/>
      <w:bookmarkStart w:id="52" w:name="_Toc35393793"/>
      <w:bookmarkStart w:id="53" w:name="_Toc35393624"/>
      <w:r>
        <w:rPr>
          <w:rFonts w:hint="eastAsia" w:ascii="宋体" w:hAnsi="宋体" w:eastAsia="宋体" w:cs="宋体"/>
          <w:b/>
          <w:bCs/>
          <w:szCs w:val="21"/>
        </w:rPr>
        <w:t>时间：</w:t>
      </w:r>
      <w:r>
        <w:rPr>
          <w:rFonts w:hint="eastAsia" w:ascii="宋体" w:hAnsi="宋体" w:eastAsia="宋体" w:cs="宋体"/>
          <w:color w:val="000000"/>
          <w:szCs w:val="21"/>
        </w:rPr>
        <w:t>2026年06月</w:t>
      </w:r>
      <w:r>
        <w:rPr>
          <w:rFonts w:hint="eastAsia" w:ascii="宋体" w:hAnsi="宋体" w:eastAsia="宋体" w:cs="宋体"/>
          <w:color w:val="000000"/>
          <w:szCs w:val="21"/>
          <w:lang w:val="en-US" w:eastAsia="zh-CN"/>
        </w:rPr>
        <w:t xml:space="preserve">26 </w:t>
      </w:r>
      <w:r>
        <w:rPr>
          <w:rFonts w:hint="eastAsia" w:ascii="宋体" w:hAnsi="宋体" w:eastAsia="宋体" w:cs="宋体"/>
          <w:color w:val="000000"/>
          <w:szCs w:val="21"/>
        </w:rPr>
        <w:t>日至2026年0</w:t>
      </w:r>
      <w:r>
        <w:rPr>
          <w:rFonts w:hint="eastAsia" w:ascii="宋体" w:hAnsi="宋体" w:eastAsia="宋体" w:cs="宋体"/>
          <w:color w:val="000000"/>
          <w:szCs w:val="21"/>
          <w:lang w:val="en-US" w:eastAsia="zh-CN"/>
        </w:rPr>
        <w:t>7</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 xml:space="preserve">02 </w:t>
      </w:r>
      <w:r>
        <w:rPr>
          <w:rFonts w:hint="eastAsia" w:ascii="宋体" w:hAnsi="宋体" w:eastAsia="宋体" w:cs="宋体"/>
          <w:color w:val="000000"/>
          <w:szCs w:val="21"/>
        </w:rPr>
        <w:t>日</w:t>
      </w:r>
      <w:r>
        <w:rPr>
          <w:rFonts w:hint="eastAsia" w:ascii="宋体" w:hAnsi="宋体" w:eastAsia="宋体" w:cs="宋体"/>
          <w:szCs w:val="21"/>
        </w:rPr>
        <w:t>每天上午06:00至12:00，下午12:00至23:59（北京时间）。</w:t>
      </w:r>
    </w:p>
    <w:p w14:paraId="1BE8BEC5">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u w:val="single"/>
        </w:rPr>
      </w:pPr>
      <w:r>
        <w:rPr>
          <w:rFonts w:hint="eastAsia" w:ascii="宋体" w:hAnsi="宋体" w:eastAsia="宋体" w:cs="宋体"/>
          <w:b/>
          <w:bCs/>
          <w:szCs w:val="21"/>
        </w:rPr>
        <w:t>地点：</w:t>
      </w:r>
      <w:r>
        <w:rPr>
          <w:rFonts w:hint="eastAsia" w:ascii="宋体" w:hAnsi="宋体" w:eastAsia="宋体" w:cs="宋体"/>
          <w:szCs w:val="21"/>
        </w:rPr>
        <w:t>本项目不发放纸质采购文件，供应商可自行“政采云”平台（http://www.zcygov.cn）（操作路径：登录“政采云”平台-项目采购-获取采购文件 -找到本项目-点击“申请获取采购文件”）。</w:t>
      </w:r>
    </w:p>
    <w:p w14:paraId="4353ADA1">
      <w:pPr>
        <w:pageBreakBefore w:val="0"/>
        <w:kinsoku/>
        <w:wordWrap w:val="0"/>
        <w:overflowPunct/>
        <w:topLinePunct/>
        <w:autoSpaceDE/>
        <w:autoSpaceDN/>
        <w:bidi w:val="0"/>
        <w:adjustRightInd/>
        <w:snapToGrid/>
        <w:spacing w:line="360" w:lineRule="auto"/>
        <w:ind w:left="0" w:leftChars="0" w:firstLine="422"/>
        <w:jc w:val="both"/>
        <w:textAlignment w:val="baseline"/>
        <w:rPr>
          <w:rFonts w:hint="eastAsia" w:ascii="宋体" w:hAnsi="宋体" w:eastAsia="宋体" w:cs="宋体"/>
          <w:szCs w:val="21"/>
        </w:rPr>
      </w:pPr>
      <w:r>
        <w:rPr>
          <w:rFonts w:hint="eastAsia" w:ascii="宋体" w:hAnsi="宋体" w:eastAsia="宋体" w:cs="宋体"/>
          <w:b/>
          <w:bCs/>
          <w:szCs w:val="21"/>
        </w:rPr>
        <w:t>方式：</w:t>
      </w:r>
      <w:r>
        <w:rPr>
          <w:rFonts w:hint="eastAsia" w:ascii="宋体" w:hAnsi="宋体" w:eastAsia="宋体" w:cs="宋体"/>
          <w:snapToGrid w:val="0"/>
          <w:szCs w:val="21"/>
        </w:rPr>
        <w:t>凡有意参加投标者，须在政采云平台办理数字证书（CA），CA申领链接http://yzt.ynsmartcert.cn/cms/yztyncszb.html，数字证书（CA）办理完成后需在政采云平台绑定数字证书(CA）并在平台获取采购文件及其他采购资料</w:t>
      </w:r>
      <w:r>
        <w:rPr>
          <w:rFonts w:hint="eastAsia" w:ascii="宋体" w:hAnsi="宋体" w:eastAsia="宋体" w:cs="宋体"/>
          <w:szCs w:val="21"/>
        </w:rPr>
        <w:t>。</w:t>
      </w:r>
    </w:p>
    <w:p w14:paraId="765D12F9">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szCs w:val="21"/>
        </w:rPr>
      </w:pPr>
      <w:r>
        <w:rPr>
          <w:rFonts w:hint="eastAsia" w:ascii="宋体" w:hAnsi="宋体" w:eastAsia="宋体" w:cs="宋体"/>
          <w:bCs/>
          <w:szCs w:val="21"/>
        </w:rPr>
        <w:t>注：按上述要求获取文件的供应商视为合法获取了本项目采购文件，具备本项目的投标资格。各供应商应在开标前确保成为政采云平台供应商，并完成CA数字证书申领。因未注册入库，未办理CA数字证书等原因造成无法投标或投标失败等由供应商自行承担，有意参加投标的供应商，须在政采云平台办理数字证书(CA），CA申领链接：</w:t>
      </w:r>
      <w:r>
        <w:rPr>
          <w:rFonts w:hint="eastAsia" w:ascii="宋体" w:hAnsi="宋体" w:eastAsia="宋体" w:cs="宋体"/>
        </w:rPr>
        <w:fldChar w:fldCharType="begin"/>
      </w:r>
      <w:r>
        <w:rPr>
          <w:rFonts w:hint="eastAsia" w:ascii="宋体" w:hAnsi="宋体" w:eastAsia="宋体" w:cs="宋体"/>
        </w:rPr>
        <w:instrText xml:space="preserve">HYPERLINK "http://yzt.ynsmartcert.cn/cms/yztyncszb.html"</w:instrText>
      </w:r>
      <w:r>
        <w:rPr>
          <w:rFonts w:hint="eastAsia" w:ascii="宋体" w:hAnsi="宋体" w:eastAsia="宋体" w:cs="宋体"/>
        </w:rPr>
        <w:fldChar w:fldCharType="separate"/>
      </w:r>
      <w:r>
        <w:rPr>
          <w:rStyle w:val="12"/>
          <w:rFonts w:hint="eastAsia" w:ascii="宋体" w:hAnsi="宋体" w:eastAsia="宋体" w:cs="宋体"/>
          <w:bCs/>
          <w:color w:val="auto"/>
          <w:szCs w:val="21"/>
          <w:u w:val="none"/>
        </w:rPr>
        <w:t>http://yzt.ynsmartcert.cn/cms/yztyncszb.html</w:t>
      </w:r>
      <w:r>
        <w:rPr>
          <w:rFonts w:hint="eastAsia" w:ascii="宋体" w:hAnsi="宋体" w:eastAsia="宋体" w:cs="宋体"/>
        </w:rPr>
        <w:fldChar w:fldCharType="end"/>
      </w:r>
      <w:r>
        <w:rPr>
          <w:rFonts w:hint="eastAsia" w:ascii="宋体" w:hAnsi="宋体" w:eastAsia="宋体" w:cs="宋体"/>
          <w:bCs/>
          <w:szCs w:val="21"/>
        </w:rPr>
        <w:t>。</w:t>
      </w:r>
    </w:p>
    <w:p w14:paraId="271E7D1E">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szCs w:val="21"/>
        </w:rPr>
      </w:pPr>
      <w:r>
        <w:rPr>
          <w:rFonts w:hint="eastAsia" w:ascii="宋体" w:hAnsi="宋体" w:eastAsia="宋体" w:cs="宋体"/>
          <w:bCs/>
          <w:szCs w:val="21"/>
        </w:rPr>
        <w:t>（1）如有问题可拨打政采云客户服务热线95763进行咨询，数字证书问题可咨询云南壹证通CA：0871-67276028（紧急可拨19988166369）。</w:t>
      </w:r>
    </w:p>
    <w:p w14:paraId="571E9AB6">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szCs w:val="21"/>
        </w:rPr>
      </w:pPr>
      <w:r>
        <w:rPr>
          <w:rFonts w:hint="eastAsia" w:ascii="宋体" w:hAnsi="宋体" w:eastAsia="宋体" w:cs="宋体"/>
          <w:bCs/>
          <w:szCs w:val="21"/>
        </w:rPr>
        <w:t>如因供应商自身原因导致在规定时间内无法正常解密的(如：浏览器故障、未安装相关驱动、网络故障、加密CA与解密CA不一致等），视为供应商自动弃标，代理机构不予处理。</w:t>
      </w:r>
    </w:p>
    <w:p w14:paraId="0D420CC3">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bCs/>
          <w:szCs w:val="21"/>
        </w:rPr>
        <w:t>（2）云南本地供应商如之前已在云南CA在线数字证书办理网进行过注册并办理过企业数字证书（CA），直接绑定即可，无需重复办理（2022年1月1日前办理的云南CA需到云南CA办理处进行升级）。</w:t>
      </w:r>
    </w:p>
    <w:p w14:paraId="597E2CEF">
      <w:pPr>
        <w:pStyle w:val="5"/>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售价：</w:t>
      </w:r>
      <w:r>
        <w:rPr>
          <w:rFonts w:hint="eastAsia" w:ascii="宋体" w:hAnsi="宋体" w:eastAsia="宋体" w:cs="宋体"/>
          <w:szCs w:val="21"/>
          <w:u w:val="single"/>
        </w:rPr>
        <w:t>0</w:t>
      </w:r>
      <w:r>
        <w:rPr>
          <w:rFonts w:hint="eastAsia" w:ascii="宋体" w:hAnsi="宋体" w:eastAsia="宋体" w:cs="宋体"/>
          <w:szCs w:val="21"/>
        </w:rPr>
        <w:t>元。</w:t>
      </w:r>
    </w:p>
    <w:p w14:paraId="335A492B">
      <w:pPr>
        <w:pStyle w:val="4"/>
        <w:pageBreakBefore w:val="0"/>
        <w:kinsoku/>
        <w:overflowPunct/>
        <w:autoSpaceDE/>
        <w:autoSpaceDN/>
        <w:bidi w:val="0"/>
        <w:adjustRightInd/>
        <w:snapToGrid/>
        <w:spacing w:beforeLines="0" w:line="360" w:lineRule="auto"/>
        <w:ind w:left="0" w:leftChars="0" w:firstLine="420" w:firstLineChars="200"/>
        <w:jc w:val="both"/>
        <w:rPr>
          <w:rFonts w:hint="eastAsia" w:ascii="宋体" w:hAnsi="宋体" w:eastAsia="宋体" w:cs="宋体"/>
          <w:sz w:val="21"/>
          <w:szCs w:val="22"/>
        </w:rPr>
      </w:pPr>
      <w:bookmarkStart w:id="54" w:name="_Toc11045"/>
      <w:bookmarkStart w:id="55" w:name="_Toc8353"/>
      <w:bookmarkStart w:id="56" w:name="_Toc13245"/>
      <w:r>
        <w:rPr>
          <w:rFonts w:hint="eastAsia" w:ascii="宋体" w:hAnsi="宋体" w:eastAsia="宋体" w:cs="宋体"/>
          <w:sz w:val="21"/>
          <w:szCs w:val="22"/>
        </w:rPr>
        <w:t>四、提交投标文件</w:t>
      </w:r>
      <w:bookmarkEnd w:id="47"/>
      <w:bookmarkEnd w:id="48"/>
      <w:r>
        <w:rPr>
          <w:rFonts w:hint="eastAsia" w:ascii="宋体" w:hAnsi="宋体" w:eastAsia="宋体" w:cs="宋体"/>
          <w:sz w:val="21"/>
          <w:szCs w:val="22"/>
        </w:rPr>
        <w:t>截止时间、开标时间和地点</w:t>
      </w:r>
      <w:bookmarkEnd w:id="49"/>
      <w:bookmarkEnd w:id="50"/>
      <w:bookmarkEnd w:id="51"/>
      <w:bookmarkEnd w:id="52"/>
      <w:bookmarkEnd w:id="53"/>
      <w:bookmarkEnd w:id="54"/>
      <w:bookmarkEnd w:id="55"/>
      <w:bookmarkEnd w:id="56"/>
    </w:p>
    <w:p w14:paraId="3F7A6990">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Cs/>
          <w:szCs w:val="21"/>
          <w:u w:val="single"/>
        </w:rPr>
      </w:pPr>
      <w:r>
        <w:rPr>
          <w:rFonts w:hint="eastAsia" w:ascii="宋体" w:hAnsi="宋体" w:eastAsia="宋体" w:cs="宋体"/>
          <w:b/>
          <w:bCs/>
          <w:szCs w:val="21"/>
        </w:rPr>
        <w:t>截止时间、开标时间：</w:t>
      </w:r>
      <w:r>
        <w:rPr>
          <w:rFonts w:hint="eastAsia" w:ascii="宋体" w:hAnsi="宋体" w:eastAsia="宋体" w:cs="宋体"/>
          <w:color w:val="000000"/>
          <w:szCs w:val="21"/>
        </w:rPr>
        <w:t xml:space="preserve">2026年07月 </w:t>
      </w:r>
      <w:r>
        <w:rPr>
          <w:rFonts w:hint="eastAsia" w:ascii="宋体" w:hAnsi="宋体" w:eastAsia="宋体" w:cs="宋体"/>
          <w:color w:val="000000"/>
          <w:szCs w:val="21"/>
          <w:lang w:val="en-US" w:eastAsia="zh-CN"/>
        </w:rPr>
        <w:t>16</w:t>
      </w:r>
      <w:r>
        <w:rPr>
          <w:rFonts w:hint="eastAsia" w:ascii="宋体" w:hAnsi="宋体" w:eastAsia="宋体" w:cs="宋体"/>
          <w:color w:val="000000"/>
          <w:szCs w:val="21"/>
        </w:rPr>
        <w:t xml:space="preserve"> 日09时00分</w:t>
      </w:r>
      <w:r>
        <w:rPr>
          <w:rFonts w:hint="eastAsia" w:ascii="宋体" w:hAnsi="宋体" w:eastAsia="宋体" w:cs="宋体"/>
          <w:bCs/>
          <w:szCs w:val="21"/>
        </w:rPr>
        <w:t>（北京时间）。</w:t>
      </w:r>
    </w:p>
    <w:p w14:paraId="049486B2">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szCs w:val="21"/>
        </w:rPr>
      </w:pPr>
      <w:r>
        <w:rPr>
          <w:rFonts w:hint="eastAsia" w:ascii="宋体" w:hAnsi="宋体" w:eastAsia="宋体" w:cs="宋体"/>
          <w:b/>
          <w:bCs/>
          <w:szCs w:val="21"/>
        </w:rPr>
        <w:t>地点：</w:t>
      </w:r>
      <w:r>
        <w:rPr>
          <w:rFonts w:hint="eastAsia" w:ascii="宋体" w:hAnsi="宋体" w:eastAsia="宋体" w:cs="宋体"/>
        </w:rPr>
        <w:t>云南银源项目管理咨询有限公司（</w:t>
      </w:r>
      <w:r>
        <w:rPr>
          <w:rFonts w:hint="eastAsia" w:ascii="宋体" w:hAnsi="宋体" w:eastAsia="宋体" w:cs="宋体"/>
          <w:snapToGrid w:val="0"/>
          <w:kern w:val="21"/>
          <w:szCs w:val="21"/>
        </w:rPr>
        <w:t>蒙自市观澜街道护国路起龙九社A-1幢</w:t>
      </w:r>
      <w:r>
        <w:rPr>
          <w:rFonts w:hint="eastAsia" w:ascii="宋体" w:hAnsi="宋体" w:eastAsia="宋体" w:cs="宋体"/>
        </w:rPr>
        <w:t>），供应商无需到达开标地点，须在</w:t>
      </w:r>
      <w:r>
        <w:rPr>
          <w:rFonts w:hint="eastAsia" w:ascii="宋体" w:hAnsi="宋体" w:eastAsia="宋体" w:cs="宋体"/>
          <w:szCs w:val="21"/>
        </w:rPr>
        <w:t>云南省政府采购电子交易平台</w:t>
      </w:r>
      <w:r>
        <w:rPr>
          <w:rFonts w:hint="eastAsia" w:ascii="宋体" w:hAnsi="宋体" w:eastAsia="宋体" w:cs="宋体"/>
        </w:rPr>
        <w:t>进行</w:t>
      </w:r>
      <w:r>
        <w:rPr>
          <w:rFonts w:hint="eastAsia" w:ascii="宋体" w:hAnsi="宋体" w:eastAsia="宋体" w:cs="宋体"/>
          <w:b/>
          <w:bCs/>
        </w:rPr>
        <w:t>远程解密</w:t>
      </w:r>
      <w:r>
        <w:rPr>
          <w:rFonts w:hint="eastAsia" w:ascii="宋体" w:hAnsi="宋体" w:eastAsia="宋体" w:cs="宋体"/>
        </w:rPr>
        <w:t>电子版投标文件。</w:t>
      </w:r>
    </w:p>
    <w:p w14:paraId="661706E3">
      <w:pPr>
        <w:pStyle w:val="4"/>
        <w:pageBreakBefore w:val="0"/>
        <w:kinsoku/>
        <w:overflowPunct/>
        <w:autoSpaceDE/>
        <w:autoSpaceDN/>
        <w:bidi w:val="0"/>
        <w:adjustRightInd/>
        <w:snapToGrid/>
        <w:spacing w:beforeLines="0" w:line="360" w:lineRule="auto"/>
        <w:ind w:left="0" w:leftChars="0" w:firstLine="420" w:firstLineChars="200"/>
        <w:jc w:val="both"/>
        <w:rPr>
          <w:rFonts w:hint="eastAsia" w:ascii="宋体" w:hAnsi="宋体" w:eastAsia="宋体" w:cs="宋体"/>
          <w:sz w:val="21"/>
          <w:szCs w:val="22"/>
        </w:rPr>
      </w:pPr>
      <w:bookmarkStart w:id="57" w:name="_Toc35393625"/>
      <w:bookmarkStart w:id="58" w:name="_Toc28359007"/>
      <w:bookmarkStart w:id="59" w:name="_Toc1377"/>
      <w:bookmarkStart w:id="60" w:name="_Toc20610"/>
      <w:bookmarkStart w:id="61" w:name="_Toc35393794"/>
      <w:bookmarkStart w:id="62" w:name="_Toc22439"/>
      <w:bookmarkStart w:id="63" w:name="_Toc29729"/>
      <w:bookmarkStart w:id="64" w:name="_Toc26157"/>
      <w:bookmarkStart w:id="65" w:name="_Toc28359084"/>
      <w:bookmarkStart w:id="66" w:name="_Toc18082"/>
      <w:bookmarkStart w:id="67" w:name="_Toc11901"/>
      <w:r>
        <w:rPr>
          <w:rFonts w:hint="eastAsia" w:ascii="宋体" w:hAnsi="宋体" w:eastAsia="宋体" w:cs="宋体"/>
          <w:sz w:val="21"/>
          <w:szCs w:val="22"/>
        </w:rPr>
        <w:t>五、公告期限</w:t>
      </w:r>
      <w:bookmarkEnd w:id="57"/>
      <w:bookmarkEnd w:id="58"/>
      <w:bookmarkEnd w:id="59"/>
      <w:bookmarkEnd w:id="60"/>
      <w:bookmarkEnd w:id="61"/>
      <w:bookmarkEnd w:id="62"/>
      <w:bookmarkEnd w:id="63"/>
      <w:bookmarkEnd w:id="64"/>
      <w:bookmarkEnd w:id="65"/>
      <w:bookmarkEnd w:id="66"/>
      <w:bookmarkEnd w:id="67"/>
    </w:p>
    <w:p w14:paraId="65FD91D1">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1FCD66A0">
      <w:pPr>
        <w:pStyle w:val="4"/>
        <w:pageBreakBefore w:val="0"/>
        <w:kinsoku/>
        <w:overflowPunct/>
        <w:autoSpaceDE/>
        <w:autoSpaceDN/>
        <w:bidi w:val="0"/>
        <w:adjustRightInd/>
        <w:snapToGrid/>
        <w:spacing w:beforeLines="0" w:line="360" w:lineRule="auto"/>
        <w:ind w:left="0" w:leftChars="0" w:firstLine="420" w:firstLineChars="200"/>
        <w:jc w:val="both"/>
        <w:rPr>
          <w:rFonts w:hint="eastAsia" w:ascii="宋体" w:hAnsi="宋体" w:eastAsia="宋体" w:cs="宋体"/>
          <w:sz w:val="21"/>
          <w:szCs w:val="22"/>
        </w:rPr>
      </w:pPr>
      <w:bookmarkStart w:id="68" w:name="_Toc31021"/>
      <w:bookmarkStart w:id="69" w:name="_Toc23711"/>
      <w:bookmarkStart w:id="70" w:name="_Toc35393795"/>
      <w:bookmarkStart w:id="71" w:name="_Toc4918"/>
      <w:bookmarkStart w:id="72" w:name="_Toc35393626"/>
      <w:bookmarkStart w:id="73" w:name="_Toc28166"/>
      <w:bookmarkStart w:id="74" w:name="_Toc20252"/>
      <w:bookmarkStart w:id="75" w:name="_Toc26032"/>
      <w:bookmarkStart w:id="76" w:name="_Toc13693"/>
      <w:r>
        <w:rPr>
          <w:rFonts w:hint="eastAsia" w:ascii="宋体" w:hAnsi="宋体" w:eastAsia="宋体" w:cs="宋体"/>
          <w:sz w:val="21"/>
          <w:szCs w:val="22"/>
        </w:rPr>
        <w:t>六、其他补充事宜</w:t>
      </w:r>
      <w:bookmarkEnd w:id="68"/>
      <w:bookmarkEnd w:id="69"/>
      <w:bookmarkEnd w:id="70"/>
      <w:bookmarkEnd w:id="71"/>
      <w:bookmarkEnd w:id="72"/>
      <w:bookmarkEnd w:id="73"/>
      <w:bookmarkEnd w:id="74"/>
      <w:bookmarkEnd w:id="75"/>
      <w:bookmarkEnd w:id="76"/>
    </w:p>
    <w:p w14:paraId="3BCB27A0">
      <w:pPr>
        <w:pageBreakBefore w:val="0"/>
        <w:kinsoku/>
        <w:overflowPunct/>
        <w:autoSpaceDE/>
        <w:autoSpaceDN/>
        <w:bidi w:val="0"/>
        <w:adjustRightInd/>
        <w:snapToGrid/>
        <w:spacing w:line="360" w:lineRule="auto"/>
        <w:ind w:left="420" w:leftChars="200" w:firstLine="0" w:firstLineChars="0"/>
        <w:jc w:val="both"/>
        <w:rPr>
          <w:rFonts w:hint="eastAsia" w:ascii="宋体" w:hAnsi="宋体" w:eastAsia="宋体" w:cs="宋体"/>
          <w:bCs/>
          <w:szCs w:val="21"/>
        </w:rPr>
      </w:pPr>
      <w:r>
        <w:rPr>
          <w:rFonts w:hint="eastAsia" w:ascii="宋体" w:hAnsi="宋体" w:eastAsia="宋体" w:cs="宋体"/>
          <w:bCs/>
          <w:szCs w:val="21"/>
        </w:rPr>
        <w:t>开标方式：网上开标</w:t>
      </w:r>
      <w:r>
        <w:rPr>
          <w:rFonts w:hint="eastAsia" w:ascii="宋体" w:hAnsi="宋体" w:eastAsia="宋体" w:cs="宋体"/>
          <w:bCs/>
          <w:szCs w:val="21"/>
        </w:rPr>
        <w:br w:type="textWrapping"/>
      </w:r>
      <w:r>
        <w:rPr>
          <w:rFonts w:hint="eastAsia" w:ascii="宋体" w:hAnsi="宋体" w:eastAsia="宋体" w:cs="宋体"/>
          <w:bCs/>
          <w:szCs w:val="21"/>
        </w:rPr>
        <w:t>是否需要缴纳投标保证金：是</w:t>
      </w:r>
    </w:p>
    <w:p w14:paraId="3B31DFDB">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其他：</w:t>
      </w:r>
    </w:p>
    <w:p w14:paraId="7C6E07DA">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bCs/>
          <w:szCs w:val="21"/>
        </w:rPr>
        <w:t>本次招标公告</w:t>
      </w:r>
      <w:bookmarkStart w:id="77" w:name="OLE_LINK317"/>
      <w:r>
        <w:rPr>
          <w:rFonts w:hint="eastAsia" w:ascii="宋体" w:hAnsi="宋体" w:eastAsia="宋体" w:cs="宋体"/>
          <w:bCs/>
          <w:szCs w:val="21"/>
        </w:rPr>
        <w:t>在《云南省</w:t>
      </w:r>
      <w:bookmarkEnd w:id="77"/>
      <w:r>
        <w:rPr>
          <w:rFonts w:hint="eastAsia" w:ascii="宋体" w:hAnsi="宋体" w:eastAsia="宋体" w:cs="宋体"/>
          <w:bCs/>
          <w:szCs w:val="21"/>
        </w:rPr>
        <w:t>政府采购网》、《云南省政府采购电子交易平台》上发布，采购人及采购代理机构对其他网站发布或转载的公告内容不承担任何责任</w:t>
      </w:r>
      <w:r>
        <w:rPr>
          <w:rFonts w:hint="eastAsia" w:ascii="宋体" w:hAnsi="宋体" w:eastAsia="宋体" w:cs="宋体"/>
          <w:szCs w:val="21"/>
        </w:rPr>
        <w:t>。</w:t>
      </w:r>
    </w:p>
    <w:p w14:paraId="36E79114">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szCs w:val="21"/>
        </w:rPr>
      </w:pPr>
      <w:bookmarkStart w:id="78" w:name="_Toc30872"/>
      <w:bookmarkStart w:id="79" w:name="_Toc12949"/>
      <w:bookmarkStart w:id="80" w:name="_Toc35393796"/>
      <w:bookmarkStart w:id="81" w:name="_Toc32637"/>
      <w:bookmarkStart w:id="82" w:name="_Toc28359008"/>
      <w:bookmarkStart w:id="83" w:name="_Toc9142"/>
      <w:bookmarkStart w:id="84" w:name="_Toc7673"/>
      <w:bookmarkStart w:id="85" w:name="_Toc28359085"/>
      <w:bookmarkStart w:id="86" w:name="_Toc35393627"/>
      <w:r>
        <w:rPr>
          <w:rFonts w:hint="eastAsia" w:ascii="宋体" w:hAnsi="宋体" w:eastAsia="宋体" w:cs="宋体"/>
        </w:rPr>
        <w:t>2.</w:t>
      </w:r>
      <w:r>
        <w:rPr>
          <w:rFonts w:hint="eastAsia" w:ascii="宋体" w:hAnsi="宋体" w:eastAsia="宋体" w:cs="宋体"/>
          <w:bCs/>
          <w:szCs w:val="21"/>
        </w:rPr>
        <w:t>本项目实行网上投标，采用电子投标文件。供应商按照采购文件规定和电子交易平台操作流程要求，参加政府采购电子化交易活动。因未完成注册、未办理CA数字证书等原因造成无法投标或投标失败的，自行承担责任。</w:t>
      </w:r>
    </w:p>
    <w:p w14:paraId="24B75B17">
      <w:pPr>
        <w:pStyle w:val="4"/>
        <w:pageBreakBefore w:val="0"/>
        <w:kinsoku/>
        <w:overflowPunct/>
        <w:autoSpaceDE/>
        <w:autoSpaceDN/>
        <w:bidi w:val="0"/>
        <w:adjustRightInd/>
        <w:snapToGrid/>
        <w:spacing w:beforeLines="0" w:line="360" w:lineRule="auto"/>
        <w:ind w:left="0" w:leftChars="0" w:firstLine="420" w:firstLineChars="200"/>
        <w:jc w:val="both"/>
        <w:rPr>
          <w:rFonts w:hint="eastAsia" w:ascii="宋体" w:hAnsi="宋体" w:eastAsia="宋体" w:cs="宋体"/>
          <w:sz w:val="21"/>
          <w:szCs w:val="22"/>
        </w:rPr>
      </w:pPr>
      <w:bookmarkStart w:id="87" w:name="_Toc17886"/>
      <w:bookmarkStart w:id="88" w:name="_Toc18116"/>
      <w:r>
        <w:rPr>
          <w:rFonts w:hint="eastAsia" w:ascii="宋体" w:hAnsi="宋体" w:eastAsia="宋体" w:cs="宋体"/>
          <w:sz w:val="21"/>
          <w:szCs w:val="22"/>
        </w:rPr>
        <w:t>七、对本次招标提出询问，请按以下方式联系</w:t>
      </w:r>
      <w:bookmarkEnd w:id="78"/>
      <w:bookmarkEnd w:id="79"/>
      <w:bookmarkEnd w:id="80"/>
      <w:bookmarkEnd w:id="81"/>
      <w:bookmarkEnd w:id="82"/>
      <w:bookmarkEnd w:id="83"/>
      <w:bookmarkEnd w:id="84"/>
      <w:bookmarkEnd w:id="85"/>
      <w:bookmarkEnd w:id="86"/>
      <w:bookmarkEnd w:id="87"/>
      <w:bookmarkEnd w:id="88"/>
    </w:p>
    <w:p w14:paraId="7315C154">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1.采购人信息</w:t>
      </w:r>
    </w:p>
    <w:p w14:paraId="285B1021">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bookmarkStart w:id="89" w:name="_Toc28359009"/>
      <w:bookmarkStart w:id="90" w:name="_Toc28359086"/>
      <w:r>
        <w:rPr>
          <w:rFonts w:hint="eastAsia" w:ascii="宋体" w:hAnsi="宋体" w:eastAsia="宋体" w:cs="宋体"/>
          <w:szCs w:val="21"/>
        </w:rPr>
        <w:t>名    称：红河哈尼族彝族自治州植检植保站</w:t>
      </w:r>
    </w:p>
    <w:p w14:paraId="627A53DA">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napToGrid w:val="0"/>
          <w:kern w:val="21"/>
          <w:szCs w:val="21"/>
        </w:rPr>
        <w:t>地    址：</w:t>
      </w:r>
      <w:r>
        <w:rPr>
          <w:rFonts w:hint="eastAsia" w:ascii="宋体" w:hAnsi="宋体" w:eastAsia="宋体" w:cs="宋体"/>
          <w:color w:val="000000"/>
          <w:szCs w:val="21"/>
        </w:rPr>
        <w:t>蒙自市凤凰路州农业农村局大院</w:t>
      </w:r>
    </w:p>
    <w:p w14:paraId="58BB8A0F">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napToGrid w:val="0"/>
          <w:color w:val="0D0D0D"/>
          <w:kern w:val="21"/>
          <w:szCs w:val="21"/>
        </w:rPr>
      </w:pPr>
      <w:r>
        <w:rPr>
          <w:rFonts w:hint="eastAsia" w:ascii="宋体" w:hAnsi="宋体" w:eastAsia="宋体" w:cs="宋体"/>
          <w:snapToGrid w:val="0"/>
          <w:color w:val="0D0D0D"/>
          <w:kern w:val="21"/>
          <w:szCs w:val="21"/>
        </w:rPr>
        <w:t>联 系 人：顾老师</w:t>
      </w:r>
    </w:p>
    <w:p w14:paraId="48D50F92">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napToGrid w:val="0"/>
          <w:color w:val="0D0D0D"/>
          <w:kern w:val="21"/>
          <w:szCs w:val="21"/>
        </w:rPr>
      </w:pPr>
      <w:r>
        <w:rPr>
          <w:rFonts w:hint="eastAsia" w:ascii="宋体" w:hAnsi="宋体" w:eastAsia="宋体" w:cs="宋体"/>
          <w:snapToGrid w:val="0"/>
          <w:color w:val="0D0D0D"/>
          <w:kern w:val="21"/>
          <w:szCs w:val="21"/>
        </w:rPr>
        <w:t>联系方式：13988054288</w:t>
      </w:r>
    </w:p>
    <w:p w14:paraId="00A13595">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zCs w:val="21"/>
        </w:rPr>
      </w:pPr>
      <w:r>
        <w:rPr>
          <w:rFonts w:hint="eastAsia" w:ascii="宋体" w:hAnsi="宋体" w:eastAsia="宋体" w:cs="宋体"/>
          <w:b/>
          <w:bCs/>
          <w:szCs w:val="21"/>
        </w:rPr>
        <w:t>2.采购代理机构信息</w:t>
      </w:r>
      <w:bookmarkEnd w:id="89"/>
      <w:bookmarkEnd w:id="90"/>
    </w:p>
    <w:bookmarkEnd w:id="13"/>
    <w:p w14:paraId="216E46D6">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napToGrid w:val="0"/>
          <w:kern w:val="21"/>
          <w:szCs w:val="21"/>
        </w:rPr>
      </w:pPr>
      <w:r>
        <w:rPr>
          <w:rFonts w:hint="eastAsia" w:ascii="宋体" w:hAnsi="宋体" w:eastAsia="宋体" w:cs="宋体"/>
          <w:snapToGrid w:val="0"/>
          <w:kern w:val="21"/>
          <w:szCs w:val="21"/>
        </w:rPr>
        <w:t>名    称：云南银源项目管理咨询有限公司</w:t>
      </w:r>
    </w:p>
    <w:p w14:paraId="21540EE5">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napToGrid w:val="0"/>
          <w:kern w:val="21"/>
          <w:szCs w:val="21"/>
        </w:rPr>
      </w:pPr>
      <w:r>
        <w:rPr>
          <w:rFonts w:hint="eastAsia" w:ascii="宋体" w:hAnsi="宋体" w:eastAsia="宋体" w:cs="宋体"/>
          <w:snapToGrid w:val="0"/>
          <w:kern w:val="21"/>
          <w:szCs w:val="21"/>
        </w:rPr>
        <w:t>地　　址：蒙自市观澜街道护国路起龙九社A-1幢</w:t>
      </w:r>
      <w:r>
        <w:rPr>
          <w:rFonts w:hint="eastAsia" w:ascii="宋体" w:hAnsi="宋体" w:eastAsia="宋体" w:cs="宋体"/>
        </w:rPr>
        <w:tab/>
      </w:r>
    </w:p>
    <w:p w14:paraId="0E82F12B">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napToGrid w:val="0"/>
          <w:kern w:val="21"/>
          <w:szCs w:val="21"/>
        </w:rPr>
      </w:pPr>
      <w:r>
        <w:rPr>
          <w:rFonts w:hint="eastAsia" w:ascii="宋体" w:hAnsi="宋体" w:eastAsia="宋体" w:cs="宋体"/>
          <w:snapToGrid w:val="0"/>
          <w:kern w:val="21"/>
          <w:szCs w:val="21"/>
        </w:rPr>
        <w:t>联系方式：17874369019、15887706212、18087381231</w:t>
      </w:r>
    </w:p>
    <w:p w14:paraId="0DA922E4">
      <w:pPr>
        <w:pageBreakBefore w:val="0"/>
        <w:kinsoku/>
        <w:overflowPunct/>
        <w:autoSpaceDE/>
        <w:autoSpaceDN/>
        <w:bidi w:val="0"/>
        <w:adjustRightInd/>
        <w:snapToGrid/>
        <w:spacing w:line="360" w:lineRule="auto"/>
        <w:ind w:left="0" w:leftChars="0" w:firstLine="422"/>
        <w:jc w:val="both"/>
        <w:rPr>
          <w:rFonts w:hint="eastAsia" w:ascii="宋体" w:hAnsi="宋体" w:eastAsia="宋体" w:cs="宋体"/>
          <w:b/>
          <w:bCs/>
          <w:snapToGrid w:val="0"/>
          <w:kern w:val="21"/>
          <w:szCs w:val="21"/>
        </w:rPr>
      </w:pPr>
      <w:r>
        <w:rPr>
          <w:rFonts w:hint="eastAsia" w:ascii="宋体" w:hAnsi="宋体" w:eastAsia="宋体" w:cs="宋体"/>
          <w:b/>
          <w:bCs/>
          <w:szCs w:val="21"/>
        </w:rPr>
        <w:t>3.项</w:t>
      </w:r>
      <w:r>
        <w:rPr>
          <w:rFonts w:hint="eastAsia" w:ascii="宋体" w:hAnsi="宋体" w:eastAsia="宋体" w:cs="宋体"/>
          <w:b/>
          <w:bCs/>
          <w:snapToGrid w:val="0"/>
          <w:kern w:val="21"/>
          <w:szCs w:val="21"/>
        </w:rPr>
        <w:t>目联系方式</w:t>
      </w:r>
    </w:p>
    <w:p w14:paraId="494DD264">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napToGrid w:val="0"/>
          <w:kern w:val="21"/>
          <w:szCs w:val="21"/>
        </w:rPr>
      </w:pPr>
      <w:r>
        <w:rPr>
          <w:rFonts w:hint="eastAsia" w:ascii="宋体" w:hAnsi="宋体" w:eastAsia="宋体" w:cs="宋体"/>
          <w:snapToGrid w:val="0"/>
          <w:kern w:val="21"/>
          <w:szCs w:val="21"/>
        </w:rPr>
        <w:t>项目联系人：唐雄、</w:t>
      </w:r>
      <w:r>
        <w:rPr>
          <w:rFonts w:hint="eastAsia" w:ascii="宋体" w:hAnsi="宋体" w:eastAsia="宋体" w:cs="宋体"/>
          <w:szCs w:val="21"/>
        </w:rPr>
        <w:t xml:space="preserve">冯琦、罗嫄 </w:t>
      </w:r>
    </w:p>
    <w:p w14:paraId="2D327EA0">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 w:val="24"/>
          <w:szCs w:val="24"/>
        </w:rPr>
      </w:pPr>
      <w:r>
        <w:rPr>
          <w:rFonts w:hint="eastAsia" w:ascii="宋体" w:hAnsi="宋体" w:eastAsia="宋体" w:cs="宋体"/>
          <w:snapToGrid w:val="0"/>
          <w:kern w:val="21"/>
          <w:szCs w:val="21"/>
        </w:rPr>
        <w:t>电　　 话：17874369019、15887706212、18087381231</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8F108">
    <w:pPr>
      <w:pStyle w:val="7"/>
      <w:ind w:firstLine="0" w:firstLineChars="0"/>
      <w:rPr>
        <w:rFonts w:ascii="Times New Roman" w:hAnsi="Times New Roman"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D4631C">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1DD4631C">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drawing>
        <wp:anchor distT="0" distB="0" distL="114300" distR="114300" simplePos="0" relativeHeight="251659264" behindDoc="1" locked="0" layoutInCell="1" allowOverlap="1">
          <wp:simplePos x="0" y="0"/>
          <wp:positionH relativeFrom="page">
            <wp:posOffset>748665</wp:posOffset>
          </wp:positionH>
          <wp:positionV relativeFrom="page">
            <wp:posOffset>9769475</wp:posOffset>
          </wp:positionV>
          <wp:extent cx="1492250" cy="342900"/>
          <wp:effectExtent l="0" t="0" r="12700" b="0"/>
          <wp:wrapNone/>
          <wp:docPr id="1" name="图片 2" descr="微信图片_20220818093846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微信图片_20220818093846_副本"/>
                  <pic:cNvPicPr>
                    <a:picLocks noChangeAspect="1"/>
                  </pic:cNvPicPr>
                </pic:nvPicPr>
                <pic:blipFill>
                  <a:blip r:embed="rId1"/>
                  <a:stretch>
                    <a:fillRect/>
                  </a:stretch>
                </pic:blipFill>
                <pic:spPr>
                  <a:xfrm>
                    <a:off x="0" y="0"/>
                    <a:ext cx="1492250" cy="34290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5D006F"/>
    <w:rsid w:val="0D5D0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spacing w:line="360" w:lineRule="auto"/>
      <w:ind w:firstLine="200" w:firstLineChars="200"/>
      <w:jc w:val="both"/>
    </w:pPr>
    <w:rPr>
      <w:rFonts w:ascii="等线" w:hAnsi="等线" w:eastAsia="宋体" w:cs="宋体"/>
      <w:kern w:val="2"/>
      <w:sz w:val="21"/>
      <w:szCs w:val="22"/>
      <w:lang w:val="en-US" w:eastAsia="zh-CN" w:bidi="ar-SA"/>
    </w:rPr>
  </w:style>
  <w:style w:type="paragraph" w:styleId="3">
    <w:name w:val="heading 1"/>
    <w:basedOn w:val="1"/>
    <w:next w:val="1"/>
    <w:uiPriority w:val="0"/>
    <w:pPr>
      <w:keepNext/>
      <w:keepLines/>
      <w:spacing w:beforeLines="50"/>
      <w:ind w:firstLine="0" w:firstLineChars="0"/>
      <w:jc w:val="center"/>
      <w:outlineLvl w:val="0"/>
    </w:pPr>
    <w:rPr>
      <w:rFonts w:eastAsia="黑体"/>
      <w:b/>
      <w:bCs/>
      <w:kern w:val="44"/>
      <w:sz w:val="32"/>
      <w:szCs w:val="44"/>
    </w:rPr>
  </w:style>
  <w:style w:type="paragraph" w:styleId="4">
    <w:name w:val="heading 2"/>
    <w:basedOn w:val="1"/>
    <w:next w:val="1"/>
    <w:qFormat/>
    <w:uiPriority w:val="0"/>
    <w:pPr>
      <w:keepNext/>
      <w:keepLines/>
      <w:spacing w:beforeLines="50"/>
      <w:ind w:firstLine="0" w:firstLineChars="0"/>
      <w:outlineLvl w:val="1"/>
    </w:pPr>
    <w:rPr>
      <w:rFonts w:ascii="等线 Light" w:hAnsi="等线 Light" w:eastAsia="黑体"/>
      <w:sz w:val="28"/>
      <w:szCs w:val="32"/>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Indent"/>
    <w:basedOn w:val="1"/>
    <w:next w:val="1"/>
    <w:qFormat/>
    <w:uiPriority w:val="0"/>
    <w:pPr>
      <w:ind w:firstLine="420"/>
    </w:pPr>
  </w:style>
  <w:style w:type="paragraph" w:styleId="6">
    <w:name w:val="Body Text Indent 2"/>
    <w:basedOn w:val="1"/>
    <w:uiPriority w:val="0"/>
    <w:pPr>
      <w:spacing w:after="120" w:line="480" w:lineRule="auto"/>
      <w:ind w:left="420" w:leftChars="200"/>
    </w:pPr>
    <w:rPr>
      <w:rFonts w:ascii="Times New Roman" w:hAnsi="Times New Roman"/>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toc 6"/>
    <w:basedOn w:val="1"/>
    <w:next w:val="1"/>
    <w:uiPriority w:val="0"/>
    <w:pPr>
      <w:spacing w:line="240" w:lineRule="auto"/>
      <w:ind w:left="2100" w:leftChars="1000" w:firstLine="0" w:firstLineChars="0"/>
    </w:pPr>
    <w:rPr>
      <w:rFonts w:eastAsia="等线"/>
    </w:rPr>
  </w:style>
  <w:style w:type="paragraph" w:styleId="9">
    <w:name w:val="Body Text First Indent"/>
    <w:basedOn w:val="2"/>
    <w:next w:val="8"/>
    <w:uiPriority w:val="0"/>
    <w:pPr>
      <w:ind w:firstLine="420" w:firstLineChars="100"/>
    </w:pPr>
    <w:rPr>
      <w:rFonts w:ascii="Calibri" w:hAnsi="Calibri"/>
    </w:rPr>
  </w:style>
  <w:style w:type="character" w:styleId="12">
    <w:name w:val="Hyperlink"/>
    <w:basedOn w:val="11"/>
    <w:qFormat/>
    <w:uiPriority w:val="0"/>
    <w:rPr>
      <w:rFonts w:cs="Times New Roman"/>
      <w:color w:val="0563C1"/>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2026-06-24T14:05:00Z</dcterms:created>
  <dc:creator>唐雄</dc:creator>
  <cp:lastModifiedBy>唐雄</cp:lastModifiedBy>
  <dcterms:modified xsi:type="dcterms:W3CDTF">2026-06-24T14:07:16Z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B8EC2A0DE95A4F43916281FE2EA1B5B2_11</vt:lpwstr>
  </property>
  <property fmtid="{D5CDD505-2E9C-101B-9397-08002B2CF9AE}" pid="4" name="KSOTemplateDocerSaveRecord">
    <vt:lpwstr>eyJoZGlkIjoiM2ZhZmQ0MmIzMTc4NThlMTJjZjVmZDM0YzhhODllYTQiLCJ1c2VySWQiOiI4NTk2MjAxODMifQ==</vt:lpwstr>
  </property>
</Properties>
</file>