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E6CA39">
      <w:pPr>
        <w:jc w:val="center"/>
        <w:rPr>
          <w:rFonts w:hint="eastAsia" w:ascii="隶书" w:hAnsi="华文中宋" w:eastAsia="隶书" w:cs="Courier New"/>
          <w:b/>
          <w:bCs/>
          <w:color w:val="000000" w:themeColor="text1"/>
          <w:sz w:val="84"/>
          <w:szCs w:val="84"/>
          <w14:textFill>
            <w14:solidFill>
              <w14:schemeClr w14:val="tx1"/>
            </w14:solidFill>
          </w14:textFill>
        </w:rPr>
      </w:pPr>
    </w:p>
    <w:p w14:paraId="1B0EFF73">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政府采购</w:t>
      </w:r>
    </w:p>
    <w:p w14:paraId="0F61D9A1">
      <w:pPr>
        <w:adjustRightInd w:val="0"/>
        <w:snapToGrid w:val="0"/>
        <w:spacing w:line="360" w:lineRule="auto"/>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竞争性谈判文件</w:t>
      </w:r>
    </w:p>
    <w:p w14:paraId="5F27EA2C">
      <w:pPr>
        <w:adjustRightInd w:val="0"/>
        <w:snapToGrid w:val="0"/>
        <w:spacing w:line="360" w:lineRule="auto"/>
        <w:ind w:left="2563" w:leftChars="554" w:hanging="1400" w:hangingChars="700"/>
        <w:rPr>
          <w:rFonts w:hint="eastAsia" w:ascii="宋体" w:hAnsi="宋体" w:eastAsia="宋体" w:cs="宋体"/>
          <w:color w:val="000000" w:themeColor="text1"/>
          <w:sz w:val="20"/>
          <w:szCs w:val="20"/>
          <w14:textFill>
            <w14:solidFill>
              <w14:schemeClr w14:val="tx1"/>
            </w14:solidFill>
          </w14:textFill>
        </w:rPr>
      </w:pPr>
    </w:p>
    <w:p w14:paraId="24087729">
      <w:pPr>
        <w:pStyle w:val="21"/>
        <w:rPr>
          <w:rFonts w:hint="eastAsia" w:ascii="宋体" w:hAnsi="宋体" w:eastAsia="宋体" w:cs="宋体"/>
          <w:color w:val="000000" w:themeColor="text1"/>
          <w:sz w:val="20"/>
          <w:szCs w:val="20"/>
          <w14:textFill>
            <w14:solidFill>
              <w14:schemeClr w14:val="tx1"/>
            </w14:solidFill>
          </w14:textFill>
        </w:rPr>
      </w:pPr>
    </w:p>
    <w:p w14:paraId="61EB3BE0">
      <w:pPr>
        <w:pStyle w:val="21"/>
        <w:rPr>
          <w:rFonts w:hint="eastAsia" w:ascii="宋体" w:hAnsi="宋体" w:eastAsia="宋体" w:cs="宋体"/>
          <w:color w:val="000000" w:themeColor="text1"/>
          <w:sz w:val="20"/>
          <w:szCs w:val="20"/>
          <w14:textFill>
            <w14:solidFill>
              <w14:schemeClr w14:val="tx1"/>
            </w14:solidFill>
          </w14:textFill>
        </w:rPr>
      </w:pPr>
    </w:p>
    <w:p w14:paraId="20A95A3A">
      <w:pPr>
        <w:pStyle w:val="21"/>
        <w:rPr>
          <w:rFonts w:hint="eastAsia" w:ascii="宋体" w:hAnsi="宋体" w:eastAsia="宋体" w:cs="宋体"/>
          <w:color w:val="000000" w:themeColor="text1"/>
          <w:sz w:val="20"/>
          <w:szCs w:val="20"/>
          <w14:textFill>
            <w14:solidFill>
              <w14:schemeClr w14:val="tx1"/>
            </w14:solidFill>
          </w14:textFill>
        </w:rPr>
      </w:pPr>
    </w:p>
    <w:p w14:paraId="24F9954F">
      <w:pPr>
        <w:pStyle w:val="21"/>
        <w:rPr>
          <w:rFonts w:hint="eastAsia" w:ascii="宋体" w:hAnsi="宋体" w:eastAsia="宋体" w:cs="宋体"/>
          <w:color w:val="000000" w:themeColor="text1"/>
          <w:sz w:val="20"/>
          <w:szCs w:val="20"/>
          <w14:textFill>
            <w14:solidFill>
              <w14:schemeClr w14:val="tx1"/>
            </w14:solidFill>
          </w14:textFill>
        </w:rPr>
      </w:pPr>
    </w:p>
    <w:p w14:paraId="70668F9E">
      <w:pPr>
        <w:pStyle w:val="21"/>
        <w:rPr>
          <w:rFonts w:hint="eastAsia" w:ascii="宋体" w:hAnsi="宋体" w:eastAsia="宋体" w:cs="宋体"/>
          <w:color w:val="000000" w:themeColor="text1"/>
          <w:sz w:val="20"/>
          <w:szCs w:val="20"/>
          <w14:textFill>
            <w14:solidFill>
              <w14:schemeClr w14:val="tx1"/>
            </w14:solidFill>
          </w14:textFill>
        </w:rPr>
      </w:pPr>
    </w:p>
    <w:p w14:paraId="00F7CE6D">
      <w:pPr>
        <w:pStyle w:val="21"/>
        <w:rPr>
          <w:rFonts w:hint="eastAsia" w:ascii="宋体" w:hAnsi="宋体" w:eastAsia="宋体" w:cs="宋体"/>
          <w:color w:val="000000" w:themeColor="text1"/>
          <w:sz w:val="20"/>
          <w:szCs w:val="20"/>
          <w14:textFill>
            <w14:solidFill>
              <w14:schemeClr w14:val="tx1"/>
            </w14:solidFill>
          </w14:textFill>
        </w:rPr>
      </w:pPr>
    </w:p>
    <w:p w14:paraId="00B3CA34">
      <w:pPr>
        <w:adjustRightInd w:val="0"/>
        <w:snapToGrid w:val="0"/>
        <w:spacing w:line="360" w:lineRule="auto"/>
        <w:ind w:left="2563" w:leftChars="554" w:hanging="1400" w:hangingChars="700"/>
        <w:rPr>
          <w:rFonts w:hint="eastAsia" w:ascii="宋体" w:hAnsi="宋体" w:eastAsia="宋体" w:cs="宋体"/>
          <w:color w:val="000000" w:themeColor="text1"/>
          <w:sz w:val="20"/>
          <w:szCs w:val="20"/>
          <w14:textFill>
            <w14:solidFill>
              <w14:schemeClr w14:val="tx1"/>
            </w14:solidFill>
          </w14:textFill>
        </w:rPr>
      </w:pPr>
    </w:p>
    <w:p w14:paraId="23B20692">
      <w:pPr>
        <w:adjustRightInd w:val="0"/>
        <w:snapToGrid w:val="0"/>
        <w:spacing w:line="360" w:lineRule="auto"/>
        <w:ind w:left="2249" w:hanging="2249" w:hangingChars="700"/>
        <w:rPr>
          <w:rFonts w:hint="eastAsia" w:ascii="宋体" w:hAnsi="宋体" w:cs="宋体"/>
          <w:b w:val="0"/>
          <w:bCs/>
          <w:color w:val="000000" w:themeColor="text1"/>
          <w:sz w:val="32"/>
          <w:szCs w:val="32"/>
          <w:u w:val="single"/>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采购项目名称：</w:t>
      </w:r>
      <w:r>
        <w:rPr>
          <w:rFonts w:hint="eastAsia" w:ascii="宋体" w:hAnsi="宋体" w:cs="宋体"/>
          <w:b w:val="0"/>
          <w:bCs/>
          <w:color w:val="000000" w:themeColor="text1"/>
          <w:sz w:val="32"/>
          <w:szCs w:val="32"/>
          <w:u w:val="single"/>
          <w:lang w:eastAsia="zh-CN"/>
          <w14:textFill>
            <w14:solidFill>
              <w14:schemeClr w14:val="tx1"/>
            </w14:solidFill>
          </w14:textFill>
        </w:rPr>
        <w:t>湖南医药学院总医院低温液氧储存罐采购及配套安装项目</w:t>
      </w:r>
    </w:p>
    <w:p w14:paraId="7D7078E1">
      <w:pPr>
        <w:adjustRightInd w:val="0"/>
        <w:snapToGrid w:val="0"/>
        <w:spacing w:line="360" w:lineRule="auto"/>
        <w:rPr>
          <w:rFonts w:hint="default" w:ascii="宋体" w:hAnsi="宋体" w:cs="宋体"/>
          <w:b w:val="0"/>
          <w:bCs/>
          <w:color w:val="000000" w:themeColor="text1"/>
          <w:sz w:val="32"/>
          <w:szCs w:val="32"/>
          <w:u w:val="single"/>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政府采购计划编号：</w:t>
      </w:r>
      <w:r>
        <w:rPr>
          <w:rFonts w:hint="eastAsia" w:ascii="宋体" w:hAnsi="宋体" w:cs="宋体"/>
          <w:b w:val="0"/>
          <w:bCs/>
          <w:color w:val="000000" w:themeColor="text1"/>
          <w:sz w:val="32"/>
          <w:szCs w:val="32"/>
          <w:u w:val="single"/>
          <w:lang w:val="en-US" w:eastAsia="zh-CN"/>
          <w14:textFill>
            <w14:solidFill>
              <w14:schemeClr w14:val="tx1"/>
            </w14:solidFill>
          </w14:textFill>
        </w:rPr>
        <w:t xml:space="preserve">湘财采计[2025]001811号          </w:t>
      </w:r>
    </w:p>
    <w:p w14:paraId="74F77C4C">
      <w:pPr>
        <w:adjustRightInd w:val="0"/>
        <w:snapToGrid w:val="0"/>
        <w:spacing w:line="360" w:lineRule="auto"/>
        <w:rPr>
          <w:rFonts w:hint="default"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委托代理编号：</w:t>
      </w:r>
      <w:r>
        <w:rPr>
          <w:rFonts w:hint="eastAsia" w:ascii="宋体" w:hAnsi="宋体" w:cs="宋体"/>
          <w:b w:val="0"/>
          <w:bCs/>
          <w:color w:val="000000" w:themeColor="text1"/>
          <w:sz w:val="32"/>
          <w:szCs w:val="32"/>
          <w:u w:val="single"/>
          <w:lang w:val="en-US" w:eastAsia="zh-CN"/>
          <w14:textFill>
            <w14:solidFill>
              <w14:schemeClr w14:val="tx1"/>
            </w14:solidFill>
          </w14:textFill>
        </w:rPr>
        <w:t xml:space="preserve"> 2025-TZ066                         </w:t>
      </w:r>
    </w:p>
    <w:p w14:paraId="2C40500E">
      <w:pPr>
        <w:adjustRightInd w:val="0"/>
        <w:snapToGrid w:val="0"/>
        <w:spacing w:line="360" w:lineRule="auto"/>
        <w:rPr>
          <w:rFonts w:hint="default" w:ascii="宋体" w:hAnsi="宋体" w:eastAsia="宋体" w:cs="宋体"/>
          <w:b w:val="0"/>
          <w:bCs/>
          <w:color w:val="000000" w:themeColor="text1"/>
          <w:sz w:val="32"/>
          <w:szCs w:val="32"/>
          <w:u w:val="single"/>
          <w:lang w:val="en-US"/>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采   购   人：</w:t>
      </w:r>
      <w:r>
        <w:rPr>
          <w:rFonts w:hint="eastAsia" w:ascii="宋体" w:hAnsi="宋体" w:cs="宋体"/>
          <w:b w:val="0"/>
          <w:bCs/>
          <w:color w:val="000000" w:themeColor="text1"/>
          <w:sz w:val="32"/>
          <w:szCs w:val="32"/>
          <w:u w:val="single"/>
          <w:lang w:val="en-US" w:eastAsia="zh-CN"/>
          <w14:textFill>
            <w14:solidFill>
              <w14:schemeClr w14:val="tx1"/>
            </w14:solidFill>
          </w14:textFill>
        </w:rPr>
        <w:t>湖南医药学院总医院</w:t>
      </w:r>
      <w:r>
        <w:rPr>
          <w:rFonts w:hint="eastAsia" w:ascii="宋体" w:hAnsi="宋体" w:eastAsia="宋体" w:cs="宋体"/>
          <w:b w:val="0"/>
          <w:bCs/>
          <w:color w:val="000000" w:themeColor="text1"/>
          <w:sz w:val="32"/>
          <w:szCs w:val="32"/>
          <w:u w:val="single"/>
          <w:lang w:val="en-US" w:eastAsia="zh-CN"/>
          <w14:textFill>
            <w14:solidFill>
              <w14:schemeClr w14:val="tx1"/>
            </w14:solidFill>
          </w14:textFill>
        </w:rPr>
        <w:t xml:space="preserve">        </w:t>
      </w:r>
      <w:r>
        <w:rPr>
          <w:rFonts w:hint="eastAsia" w:ascii="宋体" w:hAnsi="宋体" w:cs="宋体"/>
          <w:b w:val="0"/>
          <w:bCs/>
          <w:color w:val="000000" w:themeColor="text1"/>
          <w:sz w:val="32"/>
          <w:szCs w:val="32"/>
          <w:u w:val="single"/>
          <w:lang w:val="en-US" w:eastAsia="zh-CN"/>
          <w14:textFill>
            <w14:solidFill>
              <w14:schemeClr w14:val="tx1"/>
            </w14:solidFill>
          </w14:textFill>
        </w:rPr>
        <w:t xml:space="preserve">          </w:t>
      </w:r>
    </w:p>
    <w:p w14:paraId="5E990A6B">
      <w:pPr>
        <w:adjustRightInd w:val="0"/>
        <w:snapToGrid w:val="0"/>
        <w:spacing w:line="360" w:lineRule="auto"/>
        <w:jc w:val="both"/>
        <w:rPr>
          <w:rFonts w:hint="default" w:ascii="宋体" w:hAnsi="宋体" w:eastAsia="宋体" w:cs="宋体"/>
          <w:b/>
          <w:color w:val="000000" w:themeColor="text1"/>
          <w:sz w:val="32"/>
          <w:szCs w:val="32"/>
          <w:lang w:val="en-US"/>
          <w14:textFill>
            <w14:solidFill>
              <w14:schemeClr w14:val="tx1"/>
            </w14:solidFill>
          </w14:textFill>
        </w:rPr>
      </w:pPr>
      <w:r>
        <w:rPr>
          <w:rFonts w:hint="eastAsia" w:ascii="宋体" w:hAnsi="宋体" w:eastAsia="宋体" w:cs="宋体"/>
          <w:b/>
          <w:color w:val="000000" w:themeColor="text1"/>
          <w:sz w:val="32"/>
          <w:szCs w:val="21"/>
          <w14:textFill>
            <w14:solidFill>
              <w14:schemeClr w14:val="tx1"/>
            </w14:solidFill>
          </w14:textFill>
        </w:rPr>
        <w:t>采购代理机构：</w:t>
      </w:r>
      <w:r>
        <w:rPr>
          <w:rFonts w:hint="eastAsia" w:ascii="宋体" w:hAnsi="宋体" w:cs="宋体"/>
          <w:b w:val="0"/>
          <w:bCs/>
          <w:color w:val="000000" w:themeColor="text1"/>
          <w:sz w:val="32"/>
          <w:szCs w:val="21"/>
          <w:u w:val="single"/>
          <w:lang w:val="en-US" w:eastAsia="zh-CN"/>
          <w14:textFill>
            <w14:solidFill>
              <w14:schemeClr w14:val="tx1"/>
            </w14:solidFill>
          </w14:textFill>
        </w:rPr>
        <w:t xml:space="preserve">湖南天舟招标代理有限公司            </w:t>
      </w:r>
    </w:p>
    <w:p w14:paraId="14A7BCEA">
      <w:pPr>
        <w:adjustRightInd w:val="0"/>
        <w:snapToGrid w:val="0"/>
        <w:spacing w:line="360" w:lineRule="auto"/>
        <w:jc w:val="center"/>
        <w:rPr>
          <w:rFonts w:hint="eastAsia" w:ascii="宋体" w:hAnsi="宋体" w:eastAsia="宋体" w:cs="宋体"/>
          <w:b/>
          <w:color w:val="000000" w:themeColor="text1"/>
          <w:sz w:val="32"/>
          <w:szCs w:val="21"/>
          <w14:textFill>
            <w14:solidFill>
              <w14:schemeClr w14:val="tx1"/>
            </w14:solidFill>
          </w14:textFill>
        </w:rPr>
      </w:pPr>
    </w:p>
    <w:p w14:paraId="48E4847C">
      <w:pPr>
        <w:adjustRightInd w:val="0"/>
        <w:snapToGrid w:val="0"/>
        <w:spacing w:line="360" w:lineRule="auto"/>
        <w:jc w:val="center"/>
        <w:rPr>
          <w:rFonts w:hint="eastAsia" w:ascii="宋体" w:hAnsi="宋体" w:eastAsia="宋体" w:cs="宋体"/>
          <w:b/>
          <w:color w:val="000000" w:themeColor="text1"/>
          <w:sz w:val="32"/>
          <w:szCs w:val="21"/>
          <w14:textFill>
            <w14:solidFill>
              <w14:schemeClr w14:val="tx1"/>
            </w14:solidFill>
          </w14:textFill>
        </w:rPr>
      </w:pPr>
    </w:p>
    <w:p w14:paraId="0E7B4881">
      <w:pPr>
        <w:adjustRightInd w:val="0"/>
        <w:snapToGrid w:val="0"/>
        <w:spacing w:line="360" w:lineRule="auto"/>
        <w:jc w:val="center"/>
        <w:rPr>
          <w:rFonts w:hint="eastAsia" w:ascii="宋体" w:hAnsi="宋体" w:eastAsia="宋体" w:cs="宋体"/>
          <w:b/>
          <w:color w:val="000000" w:themeColor="text1"/>
          <w:sz w:val="32"/>
          <w:szCs w:val="21"/>
          <w14:textFill>
            <w14:solidFill>
              <w14:schemeClr w14:val="tx1"/>
            </w14:solidFill>
          </w14:textFill>
        </w:rPr>
      </w:pPr>
      <w:r>
        <w:rPr>
          <w:rFonts w:hint="eastAsia" w:ascii="宋体" w:hAnsi="宋体" w:eastAsia="宋体" w:cs="宋体"/>
          <w:b/>
          <w:color w:val="000000" w:themeColor="text1"/>
          <w:sz w:val="32"/>
          <w:szCs w:val="21"/>
          <w:lang w:val="en-US" w:eastAsia="zh-CN"/>
          <w14:textFill>
            <w14:solidFill>
              <w14:schemeClr w14:val="tx1"/>
            </w14:solidFill>
          </w14:textFill>
        </w:rPr>
        <w:t>202</w:t>
      </w:r>
      <w:r>
        <w:rPr>
          <w:rFonts w:hint="eastAsia" w:ascii="宋体" w:hAnsi="宋体" w:cs="宋体"/>
          <w:b/>
          <w:color w:val="000000" w:themeColor="text1"/>
          <w:sz w:val="32"/>
          <w:szCs w:val="21"/>
          <w:lang w:val="en-US" w:eastAsia="zh-CN"/>
          <w14:textFill>
            <w14:solidFill>
              <w14:schemeClr w14:val="tx1"/>
            </w14:solidFill>
          </w14:textFill>
        </w:rPr>
        <w:t>5</w:t>
      </w:r>
      <w:r>
        <w:rPr>
          <w:rFonts w:hint="eastAsia" w:ascii="宋体" w:hAnsi="宋体" w:eastAsia="宋体" w:cs="宋体"/>
          <w:b/>
          <w:color w:val="000000" w:themeColor="text1"/>
          <w:sz w:val="32"/>
          <w:szCs w:val="21"/>
          <w14:textFill>
            <w14:solidFill>
              <w14:schemeClr w14:val="tx1"/>
            </w14:solidFill>
          </w14:textFill>
        </w:rPr>
        <w:t>年</w:t>
      </w:r>
      <w:r>
        <w:rPr>
          <w:rFonts w:hint="eastAsia" w:ascii="宋体" w:hAnsi="宋体" w:cs="宋体"/>
          <w:b/>
          <w:color w:val="000000" w:themeColor="text1"/>
          <w:sz w:val="32"/>
          <w:szCs w:val="21"/>
          <w:lang w:val="en-US" w:eastAsia="zh-CN"/>
          <w14:textFill>
            <w14:solidFill>
              <w14:schemeClr w14:val="tx1"/>
            </w14:solidFill>
          </w14:textFill>
        </w:rPr>
        <w:t>6</w:t>
      </w:r>
      <w:r>
        <w:rPr>
          <w:rFonts w:hint="eastAsia" w:ascii="宋体" w:hAnsi="宋体" w:eastAsia="宋体" w:cs="宋体"/>
          <w:b/>
          <w:color w:val="000000" w:themeColor="text1"/>
          <w:sz w:val="32"/>
          <w:szCs w:val="21"/>
          <w14:textFill>
            <w14:solidFill>
              <w14:schemeClr w14:val="tx1"/>
            </w14:solidFill>
          </w14:textFill>
        </w:rPr>
        <w:t>月</w:t>
      </w:r>
    </w:p>
    <w:p w14:paraId="460BFE27">
      <w:pPr>
        <w:pStyle w:val="22"/>
        <w:rPr>
          <w:rFonts w:hint="eastAsia" w:ascii="宋体" w:hAnsi="宋体" w:eastAsia="宋体" w:cs="宋体"/>
          <w:b/>
          <w:color w:val="000000" w:themeColor="text1"/>
          <w:spacing w:val="160"/>
          <w:sz w:val="32"/>
          <w:szCs w:val="32"/>
          <w14:textFill>
            <w14:solidFill>
              <w14:schemeClr w14:val="tx1"/>
            </w14:solidFill>
          </w14:textFill>
        </w:rPr>
        <w:sectPr>
          <w:footerReference r:id="rId3" w:type="default"/>
          <w:pgSz w:w="11906" w:h="16838"/>
          <w:pgMar w:top="1474" w:right="1474" w:bottom="1474" w:left="1588" w:header="851" w:footer="992" w:gutter="0"/>
          <w:cols w:space="720" w:num="1"/>
          <w:docGrid w:type="lines" w:linePitch="312" w:charSpace="0"/>
        </w:sectPr>
      </w:pPr>
    </w:p>
    <w:p w14:paraId="12325458">
      <w:pPr>
        <w:adjustRightInd w:val="0"/>
        <w:snapToGrid w:val="0"/>
        <w:spacing w:line="360" w:lineRule="auto"/>
        <w:jc w:val="center"/>
        <w:rPr>
          <w:rFonts w:ascii="黑体" w:hAnsi="宋体" w:eastAsia="黑体" w:cs="Courier New"/>
          <w:b/>
          <w:color w:val="000000" w:themeColor="text1"/>
          <w:spacing w:val="160"/>
          <w:sz w:val="32"/>
          <w:szCs w:val="32"/>
          <w14:textFill>
            <w14:solidFill>
              <w14:schemeClr w14:val="tx1"/>
            </w14:solidFill>
          </w14:textFill>
        </w:rPr>
      </w:pPr>
      <w:r>
        <w:rPr>
          <w:rFonts w:hint="eastAsia" w:ascii="黑体" w:hAnsi="宋体" w:eastAsia="黑体" w:cs="Courier New"/>
          <w:b/>
          <w:color w:val="000000" w:themeColor="text1"/>
          <w:spacing w:val="160"/>
          <w:sz w:val="32"/>
          <w:szCs w:val="32"/>
          <w14:textFill>
            <w14:solidFill>
              <w14:schemeClr w14:val="tx1"/>
            </w14:solidFill>
          </w14:textFill>
        </w:rPr>
        <w:t>目录</w:t>
      </w:r>
    </w:p>
    <w:p w14:paraId="114302A6">
      <w:pPr>
        <w:pStyle w:val="14"/>
        <w:tabs>
          <w:tab w:val="right" w:leader="dot" w:pos="8844"/>
        </w:tabs>
      </w:pPr>
      <w:r>
        <w:rPr>
          <w:rFonts w:hAnsi="宋体"/>
          <w:bCs/>
          <w:color w:val="000000" w:themeColor="text1"/>
          <w:sz w:val="28"/>
          <w14:textFill>
            <w14:solidFill>
              <w14:schemeClr w14:val="tx1"/>
            </w14:solidFill>
          </w14:textFill>
        </w:rPr>
        <w:fldChar w:fldCharType="begin"/>
      </w:r>
      <w:r>
        <w:rPr>
          <w:rFonts w:hAnsi="宋体"/>
          <w:bCs/>
          <w:color w:val="000000" w:themeColor="text1"/>
          <w:sz w:val="28"/>
          <w14:textFill>
            <w14:solidFill>
              <w14:schemeClr w14:val="tx1"/>
            </w14:solidFill>
          </w14:textFill>
        </w:rPr>
        <w:instrText xml:space="preserve"> TOC \o "1-3" \h \z \u </w:instrText>
      </w:r>
      <w:r>
        <w:rPr>
          <w:rFonts w:hAnsi="宋体"/>
          <w:bCs/>
          <w:color w:val="000000" w:themeColor="text1"/>
          <w:sz w:val="28"/>
          <w14:textFill>
            <w14:solidFill>
              <w14:schemeClr w14:val="tx1"/>
            </w14:solidFill>
          </w14:textFill>
        </w:rPr>
        <w:fldChar w:fldCharType="separate"/>
      </w:r>
      <w:r>
        <w:rPr>
          <w:rFonts w:hAnsi="宋体"/>
          <w:bCs/>
          <w:color w:val="000000" w:themeColor="text1"/>
          <w14:textFill>
            <w14:solidFill>
              <w14:schemeClr w14:val="tx1"/>
            </w14:solidFill>
          </w14:textFill>
        </w:rPr>
        <w:fldChar w:fldCharType="begin"/>
      </w:r>
      <w:r>
        <w:rPr>
          <w:rFonts w:hAnsi="宋体"/>
          <w:bCs/>
        </w:rPr>
        <w:instrText xml:space="preserve"> HYPERLINK \l _Toc4769 </w:instrText>
      </w:r>
      <w:r>
        <w:rPr>
          <w:rFonts w:hAnsi="宋体"/>
          <w:bCs/>
        </w:rPr>
        <w:fldChar w:fldCharType="separate"/>
      </w:r>
      <w:r>
        <w:rPr>
          <w:rFonts w:hint="eastAsia" w:ascii="黑体" w:hAnsi="黑体" w:eastAsia="黑体"/>
          <w:bCs/>
          <w:szCs w:val="32"/>
        </w:rPr>
        <w:t>第一章 谈判</w:t>
      </w:r>
      <w:r>
        <w:rPr>
          <w:rFonts w:hint="eastAsia" w:ascii="黑体" w:hAnsi="黑体" w:eastAsia="黑体"/>
          <w:bCs/>
          <w:szCs w:val="32"/>
          <w:highlight w:val="none"/>
          <w:lang w:eastAsia="zh-CN"/>
        </w:rPr>
        <w:t>公告</w:t>
      </w:r>
      <w:r>
        <w:tab/>
      </w:r>
      <w:r>
        <w:fldChar w:fldCharType="begin"/>
      </w:r>
      <w:r>
        <w:instrText xml:space="preserve"> PAGEREF _Toc4769 \h </w:instrText>
      </w:r>
      <w:r>
        <w:fldChar w:fldCharType="separate"/>
      </w:r>
      <w:r>
        <w:t>1</w:t>
      </w:r>
      <w:r>
        <w:fldChar w:fldCharType="end"/>
      </w:r>
      <w:r>
        <w:rPr>
          <w:rFonts w:hAnsi="宋体"/>
          <w:bCs/>
          <w:color w:val="000000" w:themeColor="text1"/>
          <w14:textFill>
            <w14:solidFill>
              <w14:schemeClr w14:val="tx1"/>
            </w14:solidFill>
          </w14:textFill>
        </w:rPr>
        <w:fldChar w:fldCharType="end"/>
      </w:r>
    </w:p>
    <w:p w14:paraId="10FA68FA">
      <w:pPr>
        <w:pStyle w:val="15"/>
        <w:tabs>
          <w:tab w:val="right" w:leader="dot" w:pos="8844"/>
        </w:tabs>
      </w:pPr>
      <w:r>
        <w:rPr>
          <w:color w:val="000000" w:themeColor="text1"/>
          <w14:textFill>
            <w14:solidFill>
              <w14:schemeClr w14:val="tx1"/>
            </w14:solidFill>
          </w14:textFill>
        </w:rPr>
        <w:fldChar w:fldCharType="begin"/>
      </w:r>
      <w:r>
        <w:instrText xml:space="preserve"> HYPERLINK \l _Toc17227 </w:instrText>
      </w:r>
      <w:r>
        <w:fldChar w:fldCharType="separate"/>
      </w:r>
      <w:r>
        <w:rPr>
          <w:rFonts w:hint="eastAsia" w:ascii="黑体" w:hAnsi="黑体" w:eastAsia="黑体"/>
          <w:bCs/>
          <w:szCs w:val="32"/>
        </w:rPr>
        <w:t>一、采购项目基本情况</w:t>
      </w:r>
      <w:r>
        <w:tab/>
      </w:r>
      <w:r>
        <w:fldChar w:fldCharType="begin"/>
      </w:r>
      <w:r>
        <w:instrText xml:space="preserve"> PAGEREF _Toc17227 \h </w:instrText>
      </w:r>
      <w:r>
        <w:fldChar w:fldCharType="separate"/>
      </w:r>
      <w:r>
        <w:t>1</w:t>
      </w:r>
      <w:r>
        <w:fldChar w:fldCharType="end"/>
      </w:r>
      <w:r>
        <w:rPr>
          <w:color w:val="000000" w:themeColor="text1"/>
          <w14:textFill>
            <w14:solidFill>
              <w14:schemeClr w14:val="tx1"/>
            </w14:solidFill>
          </w14:textFill>
        </w:rPr>
        <w:fldChar w:fldCharType="end"/>
      </w:r>
    </w:p>
    <w:p w14:paraId="07DFAAFA">
      <w:pPr>
        <w:pStyle w:val="15"/>
        <w:tabs>
          <w:tab w:val="right" w:leader="dot" w:pos="8844"/>
        </w:tabs>
      </w:pPr>
      <w:r>
        <w:rPr>
          <w:color w:val="000000" w:themeColor="text1"/>
          <w14:textFill>
            <w14:solidFill>
              <w14:schemeClr w14:val="tx1"/>
            </w14:solidFill>
          </w14:textFill>
        </w:rPr>
        <w:fldChar w:fldCharType="begin"/>
      </w:r>
      <w:r>
        <w:instrText xml:space="preserve"> HYPERLINK \l _Toc21679 </w:instrText>
      </w:r>
      <w:r>
        <w:fldChar w:fldCharType="separate"/>
      </w:r>
      <w:r>
        <w:rPr>
          <w:rFonts w:hint="eastAsia" w:ascii="黑体" w:hAnsi="黑体" w:eastAsia="黑体"/>
          <w:bCs/>
          <w:szCs w:val="32"/>
        </w:rPr>
        <w:t>二、 采购</w:t>
      </w:r>
      <w:r>
        <w:rPr>
          <w:rFonts w:hint="eastAsia" w:ascii="黑体" w:hAnsi="黑体" w:eastAsia="黑体"/>
          <w:bCs/>
          <w:szCs w:val="32"/>
          <w:lang w:eastAsia="zh-CN"/>
        </w:rPr>
        <w:t>目录：</w:t>
      </w:r>
      <w:r>
        <w:tab/>
      </w:r>
      <w:r>
        <w:fldChar w:fldCharType="begin"/>
      </w:r>
      <w:r>
        <w:instrText xml:space="preserve"> PAGEREF _Toc21679 \h </w:instrText>
      </w:r>
      <w:r>
        <w:fldChar w:fldCharType="separate"/>
      </w:r>
      <w:r>
        <w:t>1</w:t>
      </w:r>
      <w:r>
        <w:fldChar w:fldCharType="end"/>
      </w:r>
      <w:r>
        <w:rPr>
          <w:color w:val="000000" w:themeColor="text1"/>
          <w14:textFill>
            <w14:solidFill>
              <w14:schemeClr w14:val="tx1"/>
            </w14:solidFill>
          </w14:textFill>
        </w:rPr>
        <w:fldChar w:fldCharType="end"/>
      </w:r>
    </w:p>
    <w:p w14:paraId="2BEF4C62">
      <w:pPr>
        <w:pStyle w:val="15"/>
        <w:tabs>
          <w:tab w:val="right" w:leader="dot" w:pos="8844"/>
        </w:tabs>
      </w:pPr>
      <w:r>
        <w:rPr>
          <w:color w:val="000000" w:themeColor="text1"/>
          <w14:textFill>
            <w14:solidFill>
              <w14:schemeClr w14:val="tx1"/>
            </w14:solidFill>
          </w14:textFill>
        </w:rPr>
        <w:fldChar w:fldCharType="begin"/>
      </w:r>
      <w:r>
        <w:instrText xml:space="preserve"> HYPERLINK \l _Toc7248 </w:instrText>
      </w:r>
      <w:r>
        <w:fldChar w:fldCharType="separate"/>
      </w:r>
      <w:r>
        <w:rPr>
          <w:rFonts w:hint="eastAsia" w:ascii="黑体" w:hAnsi="黑体" w:eastAsia="黑体"/>
          <w:bCs/>
          <w:szCs w:val="32"/>
        </w:rPr>
        <w:t>三、采购项目需落实的政府采购政策</w:t>
      </w:r>
      <w:r>
        <w:tab/>
      </w:r>
      <w:r>
        <w:fldChar w:fldCharType="begin"/>
      </w:r>
      <w:r>
        <w:instrText xml:space="preserve"> PAGEREF _Toc7248 \h </w:instrText>
      </w:r>
      <w:r>
        <w:fldChar w:fldCharType="separate"/>
      </w:r>
      <w:r>
        <w:t>1</w:t>
      </w:r>
      <w:r>
        <w:fldChar w:fldCharType="end"/>
      </w:r>
      <w:r>
        <w:rPr>
          <w:color w:val="000000" w:themeColor="text1"/>
          <w14:textFill>
            <w14:solidFill>
              <w14:schemeClr w14:val="tx1"/>
            </w14:solidFill>
          </w14:textFill>
        </w:rPr>
        <w:fldChar w:fldCharType="end"/>
      </w:r>
    </w:p>
    <w:p w14:paraId="504F342F">
      <w:pPr>
        <w:pStyle w:val="15"/>
        <w:tabs>
          <w:tab w:val="right" w:leader="dot" w:pos="8844"/>
        </w:tabs>
      </w:pPr>
      <w:r>
        <w:rPr>
          <w:color w:val="000000" w:themeColor="text1"/>
          <w14:textFill>
            <w14:solidFill>
              <w14:schemeClr w14:val="tx1"/>
            </w14:solidFill>
          </w14:textFill>
        </w:rPr>
        <w:fldChar w:fldCharType="begin"/>
      </w:r>
      <w:r>
        <w:instrText xml:space="preserve"> HYPERLINK \l _Toc24626 </w:instrText>
      </w:r>
      <w:r>
        <w:fldChar w:fldCharType="separate"/>
      </w:r>
      <w:r>
        <w:rPr>
          <w:rFonts w:hint="eastAsia" w:ascii="黑体" w:hAnsi="黑体" w:eastAsia="黑体"/>
          <w:bCs/>
          <w:szCs w:val="32"/>
        </w:rPr>
        <w:t>五、获取谈判文件的时间、地点及方式</w:t>
      </w:r>
      <w:r>
        <w:tab/>
      </w:r>
      <w:r>
        <w:fldChar w:fldCharType="begin"/>
      </w:r>
      <w:r>
        <w:instrText xml:space="preserve"> PAGEREF _Toc24626 \h </w:instrText>
      </w:r>
      <w:r>
        <w:fldChar w:fldCharType="separate"/>
      </w:r>
      <w:r>
        <w:t>2</w:t>
      </w:r>
      <w:r>
        <w:fldChar w:fldCharType="end"/>
      </w:r>
      <w:r>
        <w:rPr>
          <w:color w:val="000000" w:themeColor="text1"/>
          <w14:textFill>
            <w14:solidFill>
              <w14:schemeClr w14:val="tx1"/>
            </w14:solidFill>
          </w14:textFill>
        </w:rPr>
        <w:fldChar w:fldCharType="end"/>
      </w:r>
    </w:p>
    <w:p w14:paraId="489A029D">
      <w:pPr>
        <w:pStyle w:val="15"/>
        <w:tabs>
          <w:tab w:val="right" w:leader="dot" w:pos="8844"/>
        </w:tabs>
      </w:pPr>
      <w:r>
        <w:rPr>
          <w:color w:val="000000" w:themeColor="text1"/>
          <w14:textFill>
            <w14:solidFill>
              <w14:schemeClr w14:val="tx1"/>
            </w14:solidFill>
          </w14:textFill>
        </w:rPr>
        <w:fldChar w:fldCharType="begin"/>
      </w:r>
      <w:r>
        <w:instrText xml:space="preserve"> HYPERLINK \l _Toc22952 </w:instrText>
      </w:r>
      <w:r>
        <w:fldChar w:fldCharType="separate"/>
      </w:r>
      <w:r>
        <w:rPr>
          <w:rFonts w:hint="eastAsia" w:ascii="黑体" w:hAnsi="黑体" w:eastAsia="黑体"/>
          <w:bCs/>
          <w:szCs w:val="32"/>
          <w:lang w:val="en-US" w:eastAsia="zh-CN"/>
        </w:rPr>
        <w:t>六、确认</w:t>
      </w:r>
      <w:r>
        <w:tab/>
      </w:r>
      <w:r>
        <w:fldChar w:fldCharType="begin"/>
      </w:r>
      <w:r>
        <w:instrText xml:space="preserve"> PAGEREF _Toc22952 \h </w:instrText>
      </w:r>
      <w:r>
        <w:fldChar w:fldCharType="separate"/>
      </w:r>
      <w:r>
        <w:t>2</w:t>
      </w:r>
      <w:r>
        <w:fldChar w:fldCharType="end"/>
      </w:r>
      <w:r>
        <w:rPr>
          <w:color w:val="000000" w:themeColor="text1"/>
          <w14:textFill>
            <w14:solidFill>
              <w14:schemeClr w14:val="tx1"/>
            </w14:solidFill>
          </w14:textFill>
        </w:rPr>
        <w:fldChar w:fldCharType="end"/>
      </w:r>
    </w:p>
    <w:p w14:paraId="23EBAA39">
      <w:pPr>
        <w:pStyle w:val="15"/>
        <w:tabs>
          <w:tab w:val="right" w:leader="dot" w:pos="8844"/>
        </w:tabs>
      </w:pPr>
      <w:r>
        <w:rPr>
          <w:color w:val="000000" w:themeColor="text1"/>
          <w14:textFill>
            <w14:solidFill>
              <w14:schemeClr w14:val="tx1"/>
            </w14:solidFill>
          </w14:textFill>
        </w:rPr>
        <w:fldChar w:fldCharType="begin"/>
      </w:r>
      <w:r>
        <w:instrText xml:space="preserve"> HYPERLINK \l _Toc7588 </w:instrText>
      </w:r>
      <w:r>
        <w:fldChar w:fldCharType="separate"/>
      </w:r>
      <w:r>
        <w:rPr>
          <w:rFonts w:hint="eastAsia" w:ascii="黑体" w:hAnsi="黑体" w:eastAsia="黑体"/>
          <w:bCs/>
          <w:szCs w:val="32"/>
          <w:lang w:val="en-US" w:eastAsia="zh-CN"/>
        </w:rPr>
        <w:t>七</w:t>
      </w:r>
      <w:r>
        <w:rPr>
          <w:rFonts w:hint="eastAsia" w:ascii="黑体" w:hAnsi="黑体" w:eastAsia="黑体"/>
          <w:bCs/>
          <w:szCs w:val="32"/>
        </w:rPr>
        <w:t>、提交首次响应文件的截止时间、谈判时间及地点</w:t>
      </w:r>
      <w:r>
        <w:tab/>
      </w:r>
      <w:r>
        <w:fldChar w:fldCharType="begin"/>
      </w:r>
      <w:r>
        <w:instrText xml:space="preserve"> PAGEREF _Toc7588 \h </w:instrText>
      </w:r>
      <w:r>
        <w:fldChar w:fldCharType="separate"/>
      </w:r>
      <w:r>
        <w:t>2</w:t>
      </w:r>
      <w:r>
        <w:fldChar w:fldCharType="end"/>
      </w:r>
      <w:r>
        <w:rPr>
          <w:color w:val="000000" w:themeColor="text1"/>
          <w14:textFill>
            <w14:solidFill>
              <w14:schemeClr w14:val="tx1"/>
            </w14:solidFill>
          </w14:textFill>
        </w:rPr>
        <w:fldChar w:fldCharType="end"/>
      </w:r>
    </w:p>
    <w:p w14:paraId="292C91A1">
      <w:pPr>
        <w:pStyle w:val="15"/>
        <w:tabs>
          <w:tab w:val="right" w:leader="dot" w:pos="8844"/>
        </w:tabs>
      </w:pPr>
      <w:r>
        <w:rPr>
          <w:color w:val="000000" w:themeColor="text1"/>
          <w14:textFill>
            <w14:solidFill>
              <w14:schemeClr w14:val="tx1"/>
            </w14:solidFill>
          </w14:textFill>
        </w:rPr>
        <w:fldChar w:fldCharType="begin"/>
      </w:r>
      <w:r>
        <w:instrText xml:space="preserve"> HYPERLINK \l _Toc396 </w:instrText>
      </w:r>
      <w:r>
        <w:fldChar w:fldCharType="separate"/>
      </w:r>
      <w:r>
        <w:rPr>
          <w:rFonts w:hint="eastAsia" w:ascii="黑体" w:hAnsi="黑体" w:eastAsia="黑体"/>
          <w:bCs/>
          <w:szCs w:val="32"/>
          <w:lang w:val="en-US" w:eastAsia="zh-CN"/>
        </w:rPr>
        <w:t>八</w:t>
      </w:r>
      <w:r>
        <w:rPr>
          <w:rFonts w:hint="eastAsia" w:ascii="黑体" w:hAnsi="黑体" w:eastAsia="黑体"/>
          <w:bCs/>
          <w:szCs w:val="32"/>
        </w:rPr>
        <w:t>、询问及质疑</w:t>
      </w:r>
      <w:r>
        <w:tab/>
      </w:r>
      <w:r>
        <w:fldChar w:fldCharType="begin"/>
      </w:r>
      <w:r>
        <w:instrText xml:space="preserve"> PAGEREF _Toc396 \h </w:instrText>
      </w:r>
      <w:r>
        <w:fldChar w:fldCharType="separate"/>
      </w:r>
      <w:r>
        <w:t>3</w:t>
      </w:r>
      <w:r>
        <w:fldChar w:fldCharType="end"/>
      </w:r>
      <w:r>
        <w:rPr>
          <w:color w:val="000000" w:themeColor="text1"/>
          <w14:textFill>
            <w14:solidFill>
              <w14:schemeClr w14:val="tx1"/>
            </w14:solidFill>
          </w14:textFill>
        </w:rPr>
        <w:fldChar w:fldCharType="end"/>
      </w:r>
    </w:p>
    <w:p w14:paraId="722DEA40">
      <w:pPr>
        <w:pStyle w:val="15"/>
        <w:tabs>
          <w:tab w:val="right" w:leader="dot" w:pos="8844"/>
        </w:tabs>
      </w:pPr>
      <w:r>
        <w:rPr>
          <w:color w:val="000000" w:themeColor="text1"/>
          <w14:textFill>
            <w14:solidFill>
              <w14:schemeClr w14:val="tx1"/>
            </w14:solidFill>
          </w14:textFill>
        </w:rPr>
        <w:fldChar w:fldCharType="begin"/>
      </w:r>
      <w:r>
        <w:instrText xml:space="preserve"> HYPERLINK \l _Toc17258 </w:instrText>
      </w:r>
      <w:r>
        <w:fldChar w:fldCharType="separate"/>
      </w:r>
      <w:r>
        <w:rPr>
          <w:rFonts w:hint="eastAsia" w:ascii="黑体" w:hAnsi="黑体" w:eastAsia="黑体"/>
          <w:bCs/>
          <w:szCs w:val="32"/>
          <w:lang w:val="en-US" w:eastAsia="zh-CN"/>
        </w:rPr>
        <w:t>九</w:t>
      </w:r>
      <w:r>
        <w:rPr>
          <w:rFonts w:hint="eastAsia" w:ascii="黑体" w:hAnsi="黑体" w:eastAsia="黑体"/>
          <w:bCs/>
          <w:szCs w:val="32"/>
        </w:rPr>
        <w:t>、谈判</w:t>
      </w:r>
      <w:r>
        <w:rPr>
          <w:rFonts w:hint="eastAsia" w:ascii="黑体" w:hAnsi="黑体" w:eastAsia="黑体"/>
          <w:bCs/>
          <w:szCs w:val="32"/>
          <w:lang w:val="en-US" w:eastAsia="zh-CN"/>
        </w:rPr>
        <w:t>说明</w:t>
      </w:r>
      <w:r>
        <w:tab/>
      </w:r>
      <w:r>
        <w:fldChar w:fldCharType="begin"/>
      </w:r>
      <w:r>
        <w:instrText xml:space="preserve"> PAGEREF _Toc17258 \h </w:instrText>
      </w:r>
      <w:r>
        <w:fldChar w:fldCharType="separate"/>
      </w:r>
      <w:r>
        <w:t>3</w:t>
      </w:r>
      <w:r>
        <w:fldChar w:fldCharType="end"/>
      </w:r>
      <w:r>
        <w:rPr>
          <w:color w:val="000000" w:themeColor="text1"/>
          <w14:textFill>
            <w14:solidFill>
              <w14:schemeClr w14:val="tx1"/>
            </w14:solidFill>
          </w14:textFill>
        </w:rPr>
        <w:fldChar w:fldCharType="end"/>
      </w:r>
    </w:p>
    <w:p w14:paraId="37E8DE53">
      <w:pPr>
        <w:pStyle w:val="15"/>
        <w:tabs>
          <w:tab w:val="right" w:leader="dot" w:pos="8844"/>
        </w:tabs>
      </w:pPr>
      <w:r>
        <w:rPr>
          <w:color w:val="000000" w:themeColor="text1"/>
          <w14:textFill>
            <w14:solidFill>
              <w14:schemeClr w14:val="tx1"/>
            </w14:solidFill>
          </w14:textFill>
        </w:rPr>
        <w:fldChar w:fldCharType="begin"/>
      </w:r>
      <w:r>
        <w:instrText xml:space="preserve"> HYPERLINK \l _Toc32122 </w:instrText>
      </w:r>
      <w:r>
        <w:fldChar w:fldCharType="separate"/>
      </w:r>
      <w:r>
        <w:rPr>
          <w:rFonts w:hint="eastAsia" w:ascii="黑体" w:hAnsi="黑体" w:eastAsia="黑体"/>
          <w:bCs/>
          <w:szCs w:val="32"/>
          <w:lang w:val="en-US" w:eastAsia="zh-CN"/>
        </w:rPr>
        <w:t>十</w:t>
      </w:r>
      <w:r>
        <w:rPr>
          <w:rFonts w:hint="eastAsia" w:ascii="黑体" w:hAnsi="黑体" w:eastAsia="黑体"/>
          <w:bCs/>
          <w:szCs w:val="32"/>
        </w:rPr>
        <w:t>、</w:t>
      </w:r>
      <w:r>
        <w:rPr>
          <w:rFonts w:hint="eastAsia" w:ascii="黑体" w:hAnsi="黑体" w:eastAsia="黑体"/>
          <w:bCs/>
          <w:szCs w:val="21"/>
        </w:rPr>
        <w:t>采购项目联系人姓名和电话</w:t>
      </w:r>
      <w:r>
        <w:tab/>
      </w:r>
      <w:r>
        <w:fldChar w:fldCharType="begin"/>
      </w:r>
      <w:r>
        <w:instrText xml:space="preserve"> PAGEREF _Toc32122 \h </w:instrText>
      </w:r>
      <w:r>
        <w:fldChar w:fldCharType="separate"/>
      </w:r>
      <w:r>
        <w:t>3</w:t>
      </w:r>
      <w:r>
        <w:fldChar w:fldCharType="end"/>
      </w:r>
      <w:r>
        <w:rPr>
          <w:color w:val="000000" w:themeColor="text1"/>
          <w14:textFill>
            <w14:solidFill>
              <w14:schemeClr w14:val="tx1"/>
            </w14:solidFill>
          </w14:textFill>
        </w:rPr>
        <w:fldChar w:fldCharType="end"/>
      </w:r>
    </w:p>
    <w:p w14:paraId="73F9CD16">
      <w:pPr>
        <w:pStyle w:val="15"/>
        <w:tabs>
          <w:tab w:val="right" w:leader="dot" w:pos="8844"/>
        </w:tabs>
      </w:pPr>
      <w:r>
        <w:rPr>
          <w:color w:val="000000" w:themeColor="text1"/>
          <w14:textFill>
            <w14:solidFill>
              <w14:schemeClr w14:val="tx1"/>
            </w14:solidFill>
          </w14:textFill>
        </w:rPr>
        <w:fldChar w:fldCharType="begin"/>
      </w:r>
      <w:r>
        <w:instrText xml:space="preserve"> HYPERLINK \l _Toc14078 </w:instrText>
      </w:r>
      <w:r>
        <w:fldChar w:fldCharType="separate"/>
      </w:r>
      <w:r>
        <w:rPr>
          <w:rFonts w:hint="eastAsia" w:ascii="黑体" w:hAnsi="黑体" w:eastAsia="黑体"/>
          <w:bCs/>
          <w:szCs w:val="32"/>
        </w:rPr>
        <w:t>十</w:t>
      </w:r>
      <w:r>
        <w:rPr>
          <w:rFonts w:hint="eastAsia" w:ascii="黑体" w:hAnsi="黑体" w:eastAsia="黑体"/>
          <w:bCs/>
          <w:szCs w:val="32"/>
          <w:lang w:val="en-US" w:eastAsia="zh-CN"/>
        </w:rPr>
        <w:t>一</w:t>
      </w:r>
      <w:r>
        <w:rPr>
          <w:rFonts w:hint="eastAsia" w:ascii="黑体" w:hAnsi="黑体" w:eastAsia="黑体"/>
          <w:bCs/>
          <w:szCs w:val="32"/>
        </w:rPr>
        <w:t>、采购人、采购代理机构的名称、地址和联系方法</w:t>
      </w:r>
      <w:r>
        <w:tab/>
      </w:r>
      <w:r>
        <w:fldChar w:fldCharType="begin"/>
      </w:r>
      <w:r>
        <w:instrText xml:space="preserve"> PAGEREF _Toc14078 \h </w:instrText>
      </w:r>
      <w:r>
        <w:fldChar w:fldCharType="separate"/>
      </w:r>
      <w:r>
        <w:t>3</w:t>
      </w:r>
      <w:r>
        <w:fldChar w:fldCharType="end"/>
      </w:r>
      <w:r>
        <w:rPr>
          <w:color w:val="000000" w:themeColor="text1"/>
          <w14:textFill>
            <w14:solidFill>
              <w14:schemeClr w14:val="tx1"/>
            </w14:solidFill>
          </w14:textFill>
        </w:rPr>
        <w:fldChar w:fldCharType="end"/>
      </w:r>
    </w:p>
    <w:p w14:paraId="17CB386E">
      <w:pPr>
        <w:pStyle w:val="11"/>
        <w:tabs>
          <w:tab w:val="right" w:leader="dot" w:pos="8844"/>
        </w:tabs>
      </w:pPr>
      <w:r>
        <w:rPr>
          <w:color w:val="000000" w:themeColor="text1"/>
          <w14:textFill>
            <w14:solidFill>
              <w14:schemeClr w14:val="tx1"/>
            </w14:solidFill>
          </w14:textFill>
        </w:rPr>
        <w:fldChar w:fldCharType="begin"/>
      </w:r>
      <w:r>
        <w:instrText xml:space="preserve"> HYPERLINK \l _Toc24395 </w:instrText>
      </w:r>
      <w:r>
        <w:fldChar w:fldCharType="separate"/>
      </w:r>
      <w:r>
        <w:rPr>
          <w:rFonts w:hint="eastAsia" w:ascii="宋体" w:hAnsi="宋体" w:cs="宋体"/>
          <w:szCs w:val="21"/>
        </w:rPr>
        <w:t>附件：</w:t>
      </w:r>
      <w:r>
        <w:rPr>
          <w:rFonts w:hint="eastAsia" w:ascii="宋体" w:hAnsi="宋体" w:cs="宋体"/>
          <w:spacing w:val="-3"/>
          <w:szCs w:val="21"/>
        </w:rPr>
        <w:t>确</w:t>
      </w:r>
      <w:r>
        <w:rPr>
          <w:rFonts w:hint="eastAsia" w:ascii="宋体" w:hAnsi="宋体" w:cs="宋体"/>
          <w:szCs w:val="21"/>
        </w:rPr>
        <w:t>认通知</w:t>
      </w:r>
      <w:r>
        <w:tab/>
      </w:r>
      <w:r>
        <w:fldChar w:fldCharType="begin"/>
      </w:r>
      <w:r>
        <w:instrText xml:space="preserve"> PAGEREF _Toc24395 \h </w:instrText>
      </w:r>
      <w:r>
        <w:fldChar w:fldCharType="separate"/>
      </w:r>
      <w:r>
        <w:t>4</w:t>
      </w:r>
      <w:r>
        <w:fldChar w:fldCharType="end"/>
      </w:r>
      <w:r>
        <w:rPr>
          <w:color w:val="000000" w:themeColor="text1"/>
          <w14:textFill>
            <w14:solidFill>
              <w14:schemeClr w14:val="tx1"/>
            </w14:solidFill>
          </w14:textFill>
        </w:rPr>
        <w:fldChar w:fldCharType="end"/>
      </w:r>
    </w:p>
    <w:p w14:paraId="65D4CEC9">
      <w:pPr>
        <w:pStyle w:val="14"/>
        <w:tabs>
          <w:tab w:val="right" w:leader="dot" w:pos="8844"/>
        </w:tabs>
      </w:pPr>
      <w:r>
        <w:rPr>
          <w:color w:val="000000" w:themeColor="text1"/>
          <w14:textFill>
            <w14:solidFill>
              <w14:schemeClr w14:val="tx1"/>
            </w14:solidFill>
          </w14:textFill>
        </w:rPr>
        <w:fldChar w:fldCharType="begin"/>
      </w:r>
      <w:r>
        <w:instrText xml:space="preserve"> HYPERLINK \l _Toc1031 </w:instrText>
      </w:r>
      <w:r>
        <w:fldChar w:fldCharType="separate"/>
      </w:r>
      <w:r>
        <w:rPr>
          <w:rFonts w:hint="eastAsia" w:ascii="黑体" w:hAnsi="黑体" w:eastAsia="黑体"/>
          <w:bCs/>
          <w:szCs w:val="32"/>
        </w:rPr>
        <w:t>第二章 谈判须知</w:t>
      </w:r>
      <w:r>
        <w:tab/>
      </w:r>
      <w:r>
        <w:fldChar w:fldCharType="begin"/>
      </w:r>
      <w:r>
        <w:instrText xml:space="preserve"> PAGEREF _Toc1031 \h </w:instrText>
      </w:r>
      <w:r>
        <w:fldChar w:fldCharType="separate"/>
      </w:r>
      <w:r>
        <w:t>5</w:t>
      </w:r>
      <w:r>
        <w:fldChar w:fldCharType="end"/>
      </w:r>
      <w:r>
        <w:rPr>
          <w:color w:val="000000" w:themeColor="text1"/>
          <w14:textFill>
            <w14:solidFill>
              <w14:schemeClr w14:val="tx1"/>
            </w14:solidFill>
          </w14:textFill>
        </w:rPr>
        <w:fldChar w:fldCharType="end"/>
      </w:r>
    </w:p>
    <w:p w14:paraId="7EAE0583">
      <w:pPr>
        <w:pStyle w:val="15"/>
        <w:tabs>
          <w:tab w:val="right" w:leader="dot" w:pos="8844"/>
        </w:tabs>
      </w:pPr>
      <w:r>
        <w:rPr>
          <w:color w:val="000000" w:themeColor="text1"/>
          <w14:textFill>
            <w14:solidFill>
              <w14:schemeClr w14:val="tx1"/>
            </w14:solidFill>
          </w14:textFill>
        </w:rPr>
        <w:fldChar w:fldCharType="begin"/>
      </w:r>
      <w:r>
        <w:instrText xml:space="preserve"> HYPERLINK \l _Toc10328 </w:instrText>
      </w:r>
      <w:r>
        <w:fldChar w:fldCharType="separate"/>
      </w:r>
      <w:r>
        <w:rPr>
          <w:rFonts w:hint="eastAsia" w:ascii="黑体" w:hAnsi="黑体" w:eastAsia="黑体"/>
          <w:bCs/>
          <w:szCs w:val="28"/>
        </w:rPr>
        <w:t>第一节 谈判须知前附表</w:t>
      </w:r>
      <w:r>
        <w:tab/>
      </w:r>
      <w:r>
        <w:fldChar w:fldCharType="begin"/>
      </w:r>
      <w:r>
        <w:instrText xml:space="preserve"> PAGEREF _Toc10328 \h </w:instrText>
      </w:r>
      <w:r>
        <w:fldChar w:fldCharType="separate"/>
      </w:r>
      <w:r>
        <w:t>5</w:t>
      </w:r>
      <w:r>
        <w:fldChar w:fldCharType="end"/>
      </w:r>
      <w:r>
        <w:rPr>
          <w:color w:val="000000" w:themeColor="text1"/>
          <w14:textFill>
            <w14:solidFill>
              <w14:schemeClr w14:val="tx1"/>
            </w14:solidFill>
          </w14:textFill>
        </w:rPr>
        <w:fldChar w:fldCharType="end"/>
      </w:r>
    </w:p>
    <w:p w14:paraId="46E386E9">
      <w:pPr>
        <w:pStyle w:val="15"/>
        <w:tabs>
          <w:tab w:val="right" w:leader="dot" w:pos="8844"/>
        </w:tabs>
      </w:pPr>
      <w:r>
        <w:rPr>
          <w:color w:val="000000" w:themeColor="text1"/>
          <w14:textFill>
            <w14:solidFill>
              <w14:schemeClr w14:val="tx1"/>
            </w14:solidFill>
          </w14:textFill>
        </w:rPr>
        <w:fldChar w:fldCharType="begin"/>
      </w:r>
      <w:r>
        <w:instrText xml:space="preserve"> HYPERLINK \l _Toc15714 </w:instrText>
      </w:r>
      <w:r>
        <w:fldChar w:fldCharType="separate"/>
      </w:r>
      <w:r>
        <w:rPr>
          <w:rFonts w:hint="eastAsia" w:ascii="黑体" w:hAnsi="黑体" w:eastAsia="黑体"/>
          <w:bCs/>
          <w:szCs w:val="32"/>
        </w:rPr>
        <w:t>第二节 谈判须知正文</w:t>
      </w:r>
      <w:r>
        <w:tab/>
      </w:r>
      <w:r>
        <w:fldChar w:fldCharType="begin"/>
      </w:r>
      <w:r>
        <w:instrText xml:space="preserve"> PAGEREF _Toc15714 \h </w:instrText>
      </w:r>
      <w:r>
        <w:fldChar w:fldCharType="separate"/>
      </w:r>
      <w:r>
        <w:t>11</w:t>
      </w:r>
      <w:r>
        <w:fldChar w:fldCharType="end"/>
      </w:r>
      <w:r>
        <w:rPr>
          <w:color w:val="000000" w:themeColor="text1"/>
          <w14:textFill>
            <w14:solidFill>
              <w14:schemeClr w14:val="tx1"/>
            </w14:solidFill>
          </w14:textFill>
        </w:rPr>
        <w:fldChar w:fldCharType="end"/>
      </w:r>
    </w:p>
    <w:p w14:paraId="000CFA31">
      <w:pPr>
        <w:pStyle w:val="11"/>
        <w:tabs>
          <w:tab w:val="right" w:leader="dot" w:pos="8844"/>
        </w:tabs>
      </w:pPr>
      <w:r>
        <w:rPr>
          <w:color w:val="000000" w:themeColor="text1"/>
          <w14:textFill>
            <w14:solidFill>
              <w14:schemeClr w14:val="tx1"/>
            </w14:solidFill>
          </w14:textFill>
        </w:rPr>
        <w:fldChar w:fldCharType="begin"/>
      </w:r>
      <w:r>
        <w:instrText xml:space="preserve"> HYPERLINK \l _Toc6659 </w:instrText>
      </w:r>
      <w:r>
        <w:fldChar w:fldCharType="separate"/>
      </w:r>
      <w:r>
        <w:rPr>
          <w:rFonts w:hint="eastAsia" w:ascii="黑体" w:hAnsi="黑体" w:eastAsia="黑体"/>
          <w:bCs/>
          <w:szCs w:val="28"/>
        </w:rPr>
        <w:t>一、说明</w:t>
      </w:r>
      <w:r>
        <w:tab/>
      </w:r>
      <w:r>
        <w:fldChar w:fldCharType="begin"/>
      </w:r>
      <w:r>
        <w:instrText xml:space="preserve"> PAGEREF _Toc6659 \h </w:instrText>
      </w:r>
      <w:r>
        <w:fldChar w:fldCharType="separate"/>
      </w:r>
      <w:r>
        <w:t>11</w:t>
      </w:r>
      <w:r>
        <w:fldChar w:fldCharType="end"/>
      </w:r>
      <w:r>
        <w:rPr>
          <w:color w:val="000000" w:themeColor="text1"/>
          <w14:textFill>
            <w14:solidFill>
              <w14:schemeClr w14:val="tx1"/>
            </w14:solidFill>
          </w14:textFill>
        </w:rPr>
        <w:fldChar w:fldCharType="end"/>
      </w:r>
    </w:p>
    <w:p w14:paraId="7DBEA0C0">
      <w:pPr>
        <w:pStyle w:val="11"/>
        <w:tabs>
          <w:tab w:val="right" w:leader="dot" w:pos="8844"/>
        </w:tabs>
      </w:pPr>
      <w:r>
        <w:rPr>
          <w:color w:val="000000" w:themeColor="text1"/>
          <w14:textFill>
            <w14:solidFill>
              <w14:schemeClr w14:val="tx1"/>
            </w14:solidFill>
          </w14:textFill>
        </w:rPr>
        <w:fldChar w:fldCharType="begin"/>
      </w:r>
      <w:r>
        <w:instrText xml:space="preserve"> HYPERLINK \l _Toc18580 </w:instrText>
      </w:r>
      <w:r>
        <w:fldChar w:fldCharType="separate"/>
      </w:r>
      <w:r>
        <w:rPr>
          <w:rFonts w:hint="eastAsia" w:ascii="黑体" w:hAnsi="黑体" w:eastAsia="黑体"/>
          <w:bCs/>
          <w:szCs w:val="28"/>
        </w:rPr>
        <w:t>二、谈判文件</w:t>
      </w:r>
      <w:r>
        <w:tab/>
      </w:r>
      <w:r>
        <w:fldChar w:fldCharType="begin"/>
      </w:r>
      <w:r>
        <w:instrText xml:space="preserve"> PAGEREF _Toc18580 \h </w:instrText>
      </w:r>
      <w:r>
        <w:fldChar w:fldCharType="separate"/>
      </w:r>
      <w:r>
        <w:t>12</w:t>
      </w:r>
      <w:r>
        <w:fldChar w:fldCharType="end"/>
      </w:r>
      <w:r>
        <w:rPr>
          <w:color w:val="000000" w:themeColor="text1"/>
          <w14:textFill>
            <w14:solidFill>
              <w14:schemeClr w14:val="tx1"/>
            </w14:solidFill>
          </w14:textFill>
        </w:rPr>
        <w:fldChar w:fldCharType="end"/>
      </w:r>
    </w:p>
    <w:p w14:paraId="13B3725B">
      <w:pPr>
        <w:pStyle w:val="11"/>
        <w:tabs>
          <w:tab w:val="right" w:leader="dot" w:pos="8844"/>
        </w:tabs>
      </w:pPr>
      <w:r>
        <w:rPr>
          <w:color w:val="000000" w:themeColor="text1"/>
          <w14:textFill>
            <w14:solidFill>
              <w14:schemeClr w14:val="tx1"/>
            </w14:solidFill>
          </w14:textFill>
        </w:rPr>
        <w:fldChar w:fldCharType="begin"/>
      </w:r>
      <w:r>
        <w:instrText xml:space="preserve"> HYPERLINK \l _Toc24948 </w:instrText>
      </w:r>
      <w:r>
        <w:fldChar w:fldCharType="separate"/>
      </w:r>
      <w:r>
        <w:rPr>
          <w:rFonts w:hint="eastAsia" w:ascii="黑体" w:hAnsi="黑体" w:eastAsia="黑体"/>
          <w:bCs/>
          <w:szCs w:val="28"/>
        </w:rPr>
        <w:t>三、响应文件</w:t>
      </w:r>
      <w:r>
        <w:tab/>
      </w:r>
      <w:r>
        <w:fldChar w:fldCharType="begin"/>
      </w:r>
      <w:r>
        <w:instrText xml:space="preserve"> PAGEREF _Toc24948 \h </w:instrText>
      </w:r>
      <w:r>
        <w:fldChar w:fldCharType="separate"/>
      </w:r>
      <w:r>
        <w:t>12</w:t>
      </w:r>
      <w:r>
        <w:fldChar w:fldCharType="end"/>
      </w:r>
      <w:r>
        <w:rPr>
          <w:color w:val="000000" w:themeColor="text1"/>
          <w14:textFill>
            <w14:solidFill>
              <w14:schemeClr w14:val="tx1"/>
            </w14:solidFill>
          </w14:textFill>
        </w:rPr>
        <w:fldChar w:fldCharType="end"/>
      </w:r>
    </w:p>
    <w:p w14:paraId="65712D02">
      <w:pPr>
        <w:pStyle w:val="11"/>
        <w:tabs>
          <w:tab w:val="right" w:leader="dot" w:pos="8844"/>
        </w:tabs>
      </w:pPr>
      <w:r>
        <w:rPr>
          <w:color w:val="000000" w:themeColor="text1"/>
          <w14:textFill>
            <w14:solidFill>
              <w14:schemeClr w14:val="tx1"/>
            </w14:solidFill>
          </w14:textFill>
        </w:rPr>
        <w:fldChar w:fldCharType="begin"/>
      </w:r>
      <w:r>
        <w:instrText xml:space="preserve"> HYPERLINK \l _Toc4934 </w:instrText>
      </w:r>
      <w:r>
        <w:fldChar w:fldCharType="separate"/>
      </w:r>
      <w:r>
        <w:rPr>
          <w:rFonts w:hint="eastAsia" w:ascii="黑体" w:hAnsi="黑体" w:eastAsia="黑体"/>
          <w:bCs/>
          <w:szCs w:val="28"/>
        </w:rPr>
        <w:t>四、响应文件的递交</w:t>
      </w:r>
      <w:r>
        <w:tab/>
      </w:r>
      <w:r>
        <w:fldChar w:fldCharType="begin"/>
      </w:r>
      <w:r>
        <w:instrText xml:space="preserve"> PAGEREF _Toc4934 \h </w:instrText>
      </w:r>
      <w:r>
        <w:fldChar w:fldCharType="separate"/>
      </w:r>
      <w:r>
        <w:t>15</w:t>
      </w:r>
      <w:r>
        <w:fldChar w:fldCharType="end"/>
      </w:r>
      <w:r>
        <w:rPr>
          <w:color w:val="000000" w:themeColor="text1"/>
          <w14:textFill>
            <w14:solidFill>
              <w14:schemeClr w14:val="tx1"/>
            </w14:solidFill>
          </w14:textFill>
        </w:rPr>
        <w:fldChar w:fldCharType="end"/>
      </w:r>
    </w:p>
    <w:p w14:paraId="7D22DC31">
      <w:pPr>
        <w:pStyle w:val="11"/>
        <w:tabs>
          <w:tab w:val="right" w:leader="dot" w:pos="8844"/>
        </w:tabs>
      </w:pPr>
      <w:r>
        <w:rPr>
          <w:color w:val="000000" w:themeColor="text1"/>
          <w14:textFill>
            <w14:solidFill>
              <w14:schemeClr w14:val="tx1"/>
            </w14:solidFill>
          </w14:textFill>
        </w:rPr>
        <w:fldChar w:fldCharType="begin"/>
      </w:r>
      <w:r>
        <w:instrText xml:space="preserve"> HYPERLINK \l _Toc2539 </w:instrText>
      </w:r>
      <w:r>
        <w:fldChar w:fldCharType="separate"/>
      </w:r>
      <w:r>
        <w:rPr>
          <w:rFonts w:hint="eastAsia" w:ascii="黑体" w:hAnsi="黑体" w:eastAsia="黑体"/>
          <w:bCs/>
          <w:szCs w:val="28"/>
        </w:rPr>
        <w:t>五、响应文件的评审与谈判</w:t>
      </w:r>
      <w:r>
        <w:tab/>
      </w:r>
      <w:r>
        <w:fldChar w:fldCharType="begin"/>
      </w:r>
      <w:r>
        <w:instrText xml:space="preserve"> PAGEREF _Toc2539 \h </w:instrText>
      </w:r>
      <w:r>
        <w:fldChar w:fldCharType="separate"/>
      </w:r>
      <w:r>
        <w:t>16</w:t>
      </w:r>
      <w:r>
        <w:fldChar w:fldCharType="end"/>
      </w:r>
      <w:r>
        <w:rPr>
          <w:color w:val="000000" w:themeColor="text1"/>
          <w14:textFill>
            <w14:solidFill>
              <w14:schemeClr w14:val="tx1"/>
            </w14:solidFill>
          </w14:textFill>
        </w:rPr>
        <w:fldChar w:fldCharType="end"/>
      </w:r>
    </w:p>
    <w:p w14:paraId="512318FE">
      <w:pPr>
        <w:pStyle w:val="11"/>
        <w:tabs>
          <w:tab w:val="right" w:leader="dot" w:pos="8844"/>
        </w:tabs>
      </w:pPr>
      <w:r>
        <w:rPr>
          <w:color w:val="000000" w:themeColor="text1"/>
          <w14:textFill>
            <w14:solidFill>
              <w14:schemeClr w14:val="tx1"/>
            </w14:solidFill>
          </w14:textFill>
        </w:rPr>
        <w:fldChar w:fldCharType="begin"/>
      </w:r>
      <w:r>
        <w:instrText xml:space="preserve"> HYPERLINK \l _Toc15707 </w:instrText>
      </w:r>
      <w:r>
        <w:fldChar w:fldCharType="separate"/>
      </w:r>
      <w:r>
        <w:rPr>
          <w:rFonts w:hint="eastAsia" w:ascii="黑体" w:hAnsi="黑体" w:eastAsia="黑体"/>
          <w:bCs/>
          <w:szCs w:val="28"/>
        </w:rPr>
        <w:t>六、成交结果信息公布与授予合同</w:t>
      </w:r>
      <w:r>
        <w:tab/>
      </w:r>
      <w:r>
        <w:fldChar w:fldCharType="begin"/>
      </w:r>
      <w:r>
        <w:instrText xml:space="preserve"> PAGEREF _Toc15707 \h </w:instrText>
      </w:r>
      <w:r>
        <w:fldChar w:fldCharType="separate"/>
      </w:r>
      <w:r>
        <w:t>19</w:t>
      </w:r>
      <w:r>
        <w:fldChar w:fldCharType="end"/>
      </w:r>
      <w:r>
        <w:rPr>
          <w:color w:val="000000" w:themeColor="text1"/>
          <w14:textFill>
            <w14:solidFill>
              <w14:schemeClr w14:val="tx1"/>
            </w14:solidFill>
          </w14:textFill>
        </w:rPr>
        <w:fldChar w:fldCharType="end"/>
      </w:r>
    </w:p>
    <w:p w14:paraId="5C27224F">
      <w:pPr>
        <w:pStyle w:val="11"/>
        <w:tabs>
          <w:tab w:val="right" w:leader="dot" w:pos="8844"/>
        </w:tabs>
      </w:pPr>
      <w:r>
        <w:rPr>
          <w:color w:val="000000" w:themeColor="text1"/>
          <w14:textFill>
            <w14:solidFill>
              <w14:schemeClr w14:val="tx1"/>
            </w14:solidFill>
          </w14:textFill>
        </w:rPr>
        <w:fldChar w:fldCharType="begin"/>
      </w:r>
      <w:r>
        <w:instrText xml:space="preserve"> HYPERLINK \l _Toc27104 </w:instrText>
      </w:r>
      <w:r>
        <w:fldChar w:fldCharType="separate"/>
      </w:r>
      <w:r>
        <w:rPr>
          <w:rFonts w:hint="eastAsia" w:ascii="黑体" w:hAnsi="黑体" w:eastAsia="黑体"/>
          <w:bCs/>
          <w:szCs w:val="28"/>
        </w:rPr>
        <w:t>七、政府采购政策</w:t>
      </w:r>
      <w:r>
        <w:tab/>
      </w:r>
      <w:r>
        <w:fldChar w:fldCharType="begin"/>
      </w:r>
      <w:r>
        <w:instrText xml:space="preserve"> PAGEREF _Toc27104 \h </w:instrText>
      </w:r>
      <w:r>
        <w:fldChar w:fldCharType="separate"/>
      </w:r>
      <w:r>
        <w:t>21</w:t>
      </w:r>
      <w:r>
        <w:fldChar w:fldCharType="end"/>
      </w:r>
      <w:r>
        <w:rPr>
          <w:color w:val="000000" w:themeColor="text1"/>
          <w14:textFill>
            <w14:solidFill>
              <w14:schemeClr w14:val="tx1"/>
            </w14:solidFill>
          </w14:textFill>
        </w:rPr>
        <w:fldChar w:fldCharType="end"/>
      </w:r>
    </w:p>
    <w:p w14:paraId="31F0B5D6">
      <w:pPr>
        <w:pStyle w:val="11"/>
        <w:tabs>
          <w:tab w:val="right" w:leader="dot" w:pos="8844"/>
        </w:tabs>
      </w:pPr>
      <w:r>
        <w:rPr>
          <w:color w:val="000000" w:themeColor="text1"/>
          <w14:textFill>
            <w14:solidFill>
              <w14:schemeClr w14:val="tx1"/>
            </w14:solidFill>
          </w14:textFill>
        </w:rPr>
        <w:fldChar w:fldCharType="begin"/>
      </w:r>
      <w:r>
        <w:instrText xml:space="preserve"> HYPERLINK \l _Toc10498 </w:instrText>
      </w:r>
      <w:r>
        <w:fldChar w:fldCharType="separate"/>
      </w:r>
      <w:r>
        <w:rPr>
          <w:rFonts w:hint="eastAsia" w:ascii="黑体" w:hAnsi="黑体" w:eastAsia="黑体"/>
          <w:bCs/>
          <w:szCs w:val="28"/>
        </w:rPr>
        <w:t>八、其他规定</w:t>
      </w:r>
      <w:r>
        <w:tab/>
      </w:r>
      <w:r>
        <w:fldChar w:fldCharType="begin"/>
      </w:r>
      <w:r>
        <w:instrText xml:space="preserve"> PAGEREF _Toc10498 \h </w:instrText>
      </w:r>
      <w:r>
        <w:fldChar w:fldCharType="separate"/>
      </w:r>
      <w:r>
        <w:t>23</w:t>
      </w:r>
      <w:r>
        <w:fldChar w:fldCharType="end"/>
      </w:r>
      <w:r>
        <w:rPr>
          <w:color w:val="000000" w:themeColor="text1"/>
          <w14:textFill>
            <w14:solidFill>
              <w14:schemeClr w14:val="tx1"/>
            </w14:solidFill>
          </w14:textFill>
        </w:rPr>
        <w:fldChar w:fldCharType="end"/>
      </w:r>
    </w:p>
    <w:p w14:paraId="7B099FDF">
      <w:pPr>
        <w:pStyle w:val="14"/>
        <w:tabs>
          <w:tab w:val="right" w:leader="dot" w:pos="8844"/>
        </w:tabs>
      </w:pPr>
      <w:r>
        <w:rPr>
          <w:color w:val="000000" w:themeColor="text1"/>
          <w14:textFill>
            <w14:solidFill>
              <w14:schemeClr w14:val="tx1"/>
            </w14:solidFill>
          </w14:textFill>
        </w:rPr>
        <w:fldChar w:fldCharType="begin"/>
      </w:r>
      <w:r>
        <w:instrText xml:space="preserve"> HYPERLINK \l _Toc18114 </w:instrText>
      </w:r>
      <w:r>
        <w:fldChar w:fldCharType="separate"/>
      </w:r>
      <w:r>
        <w:rPr>
          <w:rFonts w:hint="eastAsia" w:ascii="黑体" w:hAnsi="黑体" w:eastAsia="黑体"/>
          <w:bCs/>
          <w:szCs w:val="32"/>
        </w:rPr>
        <w:t>第四章 合同草案条款</w:t>
      </w:r>
      <w:r>
        <w:tab/>
      </w:r>
      <w:r>
        <w:fldChar w:fldCharType="begin"/>
      </w:r>
      <w:r>
        <w:instrText xml:space="preserve"> PAGEREF _Toc18114 \h </w:instrText>
      </w:r>
      <w:r>
        <w:fldChar w:fldCharType="separate"/>
      </w:r>
      <w:r>
        <w:t>27</w:t>
      </w:r>
      <w:r>
        <w:fldChar w:fldCharType="end"/>
      </w:r>
      <w:r>
        <w:rPr>
          <w:color w:val="000000" w:themeColor="text1"/>
          <w14:textFill>
            <w14:solidFill>
              <w14:schemeClr w14:val="tx1"/>
            </w14:solidFill>
          </w14:textFill>
        </w:rPr>
        <w:fldChar w:fldCharType="end"/>
      </w:r>
    </w:p>
    <w:p w14:paraId="1E405675">
      <w:pPr>
        <w:pStyle w:val="15"/>
        <w:tabs>
          <w:tab w:val="right" w:leader="dot" w:pos="8844"/>
        </w:tabs>
      </w:pPr>
      <w:r>
        <w:rPr>
          <w:color w:val="000000" w:themeColor="text1"/>
          <w14:textFill>
            <w14:solidFill>
              <w14:schemeClr w14:val="tx1"/>
            </w14:solidFill>
          </w14:textFill>
        </w:rPr>
        <w:fldChar w:fldCharType="begin"/>
      </w:r>
      <w:r>
        <w:instrText xml:space="preserve"> HYPERLINK \l _Toc29020 </w:instrText>
      </w:r>
      <w:r>
        <w:fldChar w:fldCharType="separate"/>
      </w:r>
      <w:r>
        <w:rPr>
          <w:rFonts w:hint="eastAsia" w:ascii="黑体" w:hAnsi="华文中宋" w:eastAsia="黑体" w:cs="Times New Roman"/>
          <w:bCs/>
          <w:szCs w:val="28"/>
        </w:rPr>
        <w:t>第一节 合同协议书</w:t>
      </w:r>
      <w:r>
        <w:tab/>
      </w:r>
      <w:r>
        <w:fldChar w:fldCharType="begin"/>
      </w:r>
      <w:r>
        <w:instrText xml:space="preserve"> PAGEREF _Toc29020 \h </w:instrText>
      </w:r>
      <w:r>
        <w:fldChar w:fldCharType="separate"/>
      </w:r>
      <w:r>
        <w:t>27</w:t>
      </w:r>
      <w:r>
        <w:fldChar w:fldCharType="end"/>
      </w:r>
      <w:r>
        <w:rPr>
          <w:color w:val="000000" w:themeColor="text1"/>
          <w14:textFill>
            <w14:solidFill>
              <w14:schemeClr w14:val="tx1"/>
            </w14:solidFill>
          </w14:textFill>
        </w:rPr>
        <w:fldChar w:fldCharType="end"/>
      </w:r>
    </w:p>
    <w:p w14:paraId="6914C39A">
      <w:pPr>
        <w:pStyle w:val="15"/>
        <w:tabs>
          <w:tab w:val="right" w:leader="dot" w:pos="8844"/>
        </w:tabs>
      </w:pPr>
      <w:r>
        <w:rPr>
          <w:color w:val="000000" w:themeColor="text1"/>
          <w14:textFill>
            <w14:solidFill>
              <w14:schemeClr w14:val="tx1"/>
            </w14:solidFill>
          </w14:textFill>
        </w:rPr>
        <w:fldChar w:fldCharType="begin"/>
      </w:r>
      <w:r>
        <w:instrText xml:space="preserve"> HYPERLINK \l _Toc22632 </w:instrText>
      </w:r>
      <w:r>
        <w:fldChar w:fldCharType="separate"/>
      </w:r>
      <w:r>
        <w:rPr>
          <w:rFonts w:hint="eastAsia" w:ascii="黑体" w:hAnsi="黑体" w:eastAsia="黑体"/>
          <w:bCs/>
          <w:szCs w:val="28"/>
        </w:rPr>
        <w:t>第二节 政府采购合同</w:t>
      </w:r>
      <w:r>
        <w:tab/>
      </w:r>
      <w:r>
        <w:fldChar w:fldCharType="begin"/>
      </w:r>
      <w:r>
        <w:instrText xml:space="preserve"> PAGEREF _Toc22632 \h </w:instrText>
      </w:r>
      <w:r>
        <w:fldChar w:fldCharType="separate"/>
      </w:r>
      <w:r>
        <w:t>30</w:t>
      </w:r>
      <w:r>
        <w:fldChar w:fldCharType="end"/>
      </w:r>
      <w:r>
        <w:rPr>
          <w:color w:val="000000" w:themeColor="text1"/>
          <w14:textFill>
            <w14:solidFill>
              <w14:schemeClr w14:val="tx1"/>
            </w14:solidFill>
          </w14:textFill>
        </w:rPr>
        <w:fldChar w:fldCharType="end"/>
      </w:r>
    </w:p>
    <w:p w14:paraId="03E24B68">
      <w:pPr>
        <w:pStyle w:val="15"/>
        <w:tabs>
          <w:tab w:val="right" w:leader="dot" w:pos="8844"/>
        </w:tabs>
      </w:pPr>
      <w:r>
        <w:rPr>
          <w:color w:val="000000" w:themeColor="text1"/>
          <w14:textFill>
            <w14:solidFill>
              <w14:schemeClr w14:val="tx1"/>
            </w14:solidFill>
          </w14:textFill>
        </w:rPr>
        <w:fldChar w:fldCharType="begin"/>
      </w:r>
      <w:r>
        <w:instrText xml:space="preserve"> HYPERLINK \l _Toc22205 </w:instrText>
      </w:r>
      <w:r>
        <w:fldChar w:fldCharType="separate"/>
      </w:r>
      <w:r>
        <w:rPr>
          <w:rFonts w:hint="eastAsia" w:ascii="黑体" w:hAnsi="华文中宋" w:eastAsia="黑体"/>
          <w:szCs w:val="28"/>
        </w:rPr>
        <w:t>第三节 政府采购合同专用条款</w:t>
      </w:r>
      <w:r>
        <w:tab/>
      </w:r>
      <w:r>
        <w:fldChar w:fldCharType="begin"/>
      </w:r>
      <w:r>
        <w:instrText xml:space="preserve"> PAGEREF _Toc22205 \h </w:instrText>
      </w:r>
      <w:r>
        <w:fldChar w:fldCharType="separate"/>
      </w:r>
      <w:r>
        <w:t>37</w:t>
      </w:r>
      <w:r>
        <w:fldChar w:fldCharType="end"/>
      </w:r>
      <w:r>
        <w:rPr>
          <w:color w:val="000000" w:themeColor="text1"/>
          <w14:textFill>
            <w14:solidFill>
              <w14:schemeClr w14:val="tx1"/>
            </w14:solidFill>
          </w14:textFill>
        </w:rPr>
        <w:fldChar w:fldCharType="end"/>
      </w:r>
    </w:p>
    <w:p w14:paraId="7A88BB3A">
      <w:pPr>
        <w:pStyle w:val="14"/>
        <w:tabs>
          <w:tab w:val="right" w:leader="dot" w:pos="8844"/>
        </w:tabs>
      </w:pPr>
      <w:r>
        <w:rPr>
          <w:color w:val="000000" w:themeColor="text1"/>
          <w14:textFill>
            <w14:solidFill>
              <w14:schemeClr w14:val="tx1"/>
            </w14:solidFill>
          </w14:textFill>
        </w:rPr>
        <w:fldChar w:fldCharType="begin"/>
      </w:r>
      <w:r>
        <w:instrText xml:space="preserve"> HYPERLINK \l _Toc22424 </w:instrText>
      </w:r>
      <w:r>
        <w:fldChar w:fldCharType="separate"/>
      </w:r>
      <w:r>
        <w:rPr>
          <w:rFonts w:hint="eastAsia" w:ascii="黑体" w:hAnsi="黑体" w:eastAsia="黑体"/>
          <w:bCs/>
          <w:szCs w:val="32"/>
        </w:rPr>
        <w:t>第五章 响应文件组成</w:t>
      </w:r>
      <w:r>
        <w:tab/>
      </w:r>
      <w:r>
        <w:fldChar w:fldCharType="begin"/>
      </w:r>
      <w:r>
        <w:instrText xml:space="preserve"> PAGEREF _Toc22424 \h </w:instrText>
      </w:r>
      <w:r>
        <w:fldChar w:fldCharType="separate"/>
      </w:r>
      <w:r>
        <w:t>38</w:t>
      </w:r>
      <w:r>
        <w:fldChar w:fldCharType="end"/>
      </w:r>
      <w:r>
        <w:rPr>
          <w:color w:val="000000" w:themeColor="text1"/>
          <w14:textFill>
            <w14:solidFill>
              <w14:schemeClr w14:val="tx1"/>
            </w14:solidFill>
          </w14:textFill>
        </w:rPr>
        <w:fldChar w:fldCharType="end"/>
      </w:r>
    </w:p>
    <w:p w14:paraId="76842F70">
      <w:pPr>
        <w:pStyle w:val="15"/>
        <w:tabs>
          <w:tab w:val="right" w:leader="dot" w:pos="8844"/>
        </w:tabs>
      </w:pPr>
      <w:r>
        <w:rPr>
          <w:color w:val="000000" w:themeColor="text1"/>
          <w14:textFill>
            <w14:solidFill>
              <w14:schemeClr w14:val="tx1"/>
            </w14:solidFill>
          </w14:textFill>
        </w:rPr>
        <w:fldChar w:fldCharType="begin"/>
      </w:r>
      <w:r>
        <w:instrText xml:space="preserve"> HYPERLINK \l _Toc22824 </w:instrText>
      </w:r>
      <w:r>
        <w:fldChar w:fldCharType="separate"/>
      </w:r>
      <w:r>
        <w:rPr>
          <w:rFonts w:hint="eastAsia" w:ascii="宋体" w:hAnsi="宋体"/>
          <w:bCs/>
          <w:szCs w:val="21"/>
        </w:rPr>
        <w:t>索引表 符合性审查索引表</w:t>
      </w:r>
      <w:r>
        <w:tab/>
      </w:r>
      <w:r>
        <w:fldChar w:fldCharType="begin"/>
      </w:r>
      <w:r>
        <w:instrText xml:space="preserve"> PAGEREF _Toc22824 \h </w:instrText>
      </w:r>
      <w:r>
        <w:fldChar w:fldCharType="separate"/>
      </w:r>
      <w:r>
        <w:t>40</w:t>
      </w:r>
      <w:r>
        <w:fldChar w:fldCharType="end"/>
      </w:r>
      <w:r>
        <w:rPr>
          <w:color w:val="000000" w:themeColor="text1"/>
          <w14:textFill>
            <w14:solidFill>
              <w14:schemeClr w14:val="tx1"/>
            </w14:solidFill>
          </w14:textFill>
        </w:rPr>
        <w:fldChar w:fldCharType="end"/>
      </w:r>
    </w:p>
    <w:p w14:paraId="61A2FFFB">
      <w:pPr>
        <w:pStyle w:val="15"/>
        <w:tabs>
          <w:tab w:val="right" w:leader="dot" w:pos="8844"/>
        </w:tabs>
      </w:pPr>
      <w:r>
        <w:rPr>
          <w:color w:val="000000" w:themeColor="text1"/>
          <w14:textFill>
            <w14:solidFill>
              <w14:schemeClr w14:val="tx1"/>
            </w14:solidFill>
          </w14:textFill>
        </w:rPr>
        <w:fldChar w:fldCharType="begin"/>
      </w:r>
      <w:r>
        <w:instrText xml:space="preserve"> HYPERLINK \l _Toc8452 </w:instrText>
      </w:r>
      <w:r>
        <w:fldChar w:fldCharType="separate"/>
      </w:r>
      <w:r>
        <w:rPr>
          <w:rFonts w:hint="eastAsia" w:ascii="黑体" w:hAnsi="黑体" w:eastAsia="黑体"/>
          <w:bCs/>
          <w:szCs w:val="28"/>
        </w:rPr>
        <w:t>一、报价表及报价文件(格式)</w:t>
      </w:r>
      <w:r>
        <w:tab/>
      </w:r>
      <w:r>
        <w:fldChar w:fldCharType="begin"/>
      </w:r>
      <w:r>
        <w:instrText xml:space="preserve"> PAGEREF _Toc8452 \h </w:instrText>
      </w:r>
      <w:r>
        <w:fldChar w:fldCharType="separate"/>
      </w:r>
      <w:r>
        <w:t>41</w:t>
      </w:r>
      <w:r>
        <w:fldChar w:fldCharType="end"/>
      </w:r>
      <w:r>
        <w:rPr>
          <w:color w:val="000000" w:themeColor="text1"/>
          <w14:textFill>
            <w14:solidFill>
              <w14:schemeClr w14:val="tx1"/>
            </w14:solidFill>
          </w14:textFill>
        </w:rPr>
        <w:fldChar w:fldCharType="end"/>
      </w:r>
    </w:p>
    <w:p w14:paraId="58651709">
      <w:pPr>
        <w:pStyle w:val="11"/>
        <w:tabs>
          <w:tab w:val="right" w:leader="dot" w:pos="8844"/>
        </w:tabs>
      </w:pPr>
      <w:r>
        <w:rPr>
          <w:color w:val="000000" w:themeColor="text1"/>
          <w14:textFill>
            <w14:solidFill>
              <w14:schemeClr w14:val="tx1"/>
            </w14:solidFill>
          </w14:textFill>
        </w:rPr>
        <w:fldChar w:fldCharType="begin"/>
      </w:r>
      <w:r>
        <w:instrText xml:space="preserve"> HYPERLINK \l _Toc6396 </w:instrText>
      </w:r>
      <w:r>
        <w:fldChar w:fldCharType="separate"/>
      </w:r>
      <w:r>
        <w:rPr>
          <w:rFonts w:hint="eastAsia" w:ascii="宋体" w:hAnsi="宋体"/>
          <w:bCs/>
          <w:szCs w:val="21"/>
        </w:rPr>
        <w:t>附件</w:t>
      </w:r>
      <w:r>
        <w:rPr>
          <w:rFonts w:ascii="宋体" w:hAnsi="宋体"/>
          <w:bCs/>
          <w:szCs w:val="21"/>
        </w:rPr>
        <w:t>1</w:t>
      </w:r>
      <w:r>
        <w:rPr>
          <w:rFonts w:hint="eastAsia" w:ascii="宋体" w:hAnsi="宋体"/>
          <w:bCs/>
          <w:szCs w:val="21"/>
        </w:rPr>
        <w:t>-1 报价表</w:t>
      </w:r>
      <w:r>
        <w:tab/>
      </w:r>
      <w:r>
        <w:fldChar w:fldCharType="begin"/>
      </w:r>
      <w:r>
        <w:instrText xml:space="preserve"> PAGEREF _Toc6396 \h </w:instrText>
      </w:r>
      <w:r>
        <w:fldChar w:fldCharType="separate"/>
      </w:r>
      <w:r>
        <w:t>41</w:t>
      </w:r>
      <w:r>
        <w:fldChar w:fldCharType="end"/>
      </w:r>
      <w:r>
        <w:rPr>
          <w:color w:val="000000" w:themeColor="text1"/>
          <w14:textFill>
            <w14:solidFill>
              <w14:schemeClr w14:val="tx1"/>
            </w14:solidFill>
          </w14:textFill>
        </w:rPr>
        <w:fldChar w:fldCharType="end"/>
      </w:r>
    </w:p>
    <w:p w14:paraId="0BDAE3C1">
      <w:pPr>
        <w:pStyle w:val="15"/>
        <w:tabs>
          <w:tab w:val="right" w:leader="dot" w:pos="8844"/>
        </w:tabs>
      </w:pPr>
      <w:r>
        <w:rPr>
          <w:color w:val="000000" w:themeColor="text1"/>
          <w14:textFill>
            <w14:solidFill>
              <w14:schemeClr w14:val="tx1"/>
            </w14:solidFill>
          </w14:textFill>
        </w:rPr>
        <w:fldChar w:fldCharType="begin"/>
      </w:r>
      <w:r>
        <w:instrText xml:space="preserve"> HYPERLINK \l _Toc25308 </w:instrText>
      </w:r>
      <w:r>
        <w:fldChar w:fldCharType="separate"/>
      </w:r>
      <w:r>
        <w:rPr>
          <w:rFonts w:hint="eastAsia" w:ascii="黑体" w:hAnsi="黑体" w:eastAsia="黑体"/>
          <w:bCs/>
          <w:szCs w:val="28"/>
        </w:rPr>
        <w:t>二、谈判响应声明(格式)</w:t>
      </w:r>
      <w:r>
        <w:tab/>
      </w:r>
      <w:r>
        <w:fldChar w:fldCharType="begin"/>
      </w:r>
      <w:r>
        <w:instrText xml:space="preserve"> PAGEREF _Toc25308 \h </w:instrText>
      </w:r>
      <w:r>
        <w:fldChar w:fldCharType="separate"/>
      </w:r>
      <w:r>
        <w:t>42</w:t>
      </w:r>
      <w:r>
        <w:fldChar w:fldCharType="end"/>
      </w:r>
      <w:r>
        <w:rPr>
          <w:color w:val="000000" w:themeColor="text1"/>
          <w14:textFill>
            <w14:solidFill>
              <w14:schemeClr w14:val="tx1"/>
            </w14:solidFill>
          </w14:textFill>
        </w:rPr>
        <w:fldChar w:fldCharType="end"/>
      </w:r>
    </w:p>
    <w:p w14:paraId="7BEC0B45">
      <w:pPr>
        <w:pStyle w:val="15"/>
        <w:tabs>
          <w:tab w:val="right" w:leader="dot" w:pos="8844"/>
        </w:tabs>
      </w:pPr>
      <w:r>
        <w:rPr>
          <w:color w:val="000000" w:themeColor="text1"/>
          <w14:textFill>
            <w14:solidFill>
              <w14:schemeClr w14:val="tx1"/>
            </w14:solidFill>
          </w14:textFill>
        </w:rPr>
        <w:fldChar w:fldCharType="begin"/>
      </w:r>
      <w:r>
        <w:instrText xml:space="preserve"> HYPERLINK \l _Toc20117 </w:instrText>
      </w:r>
      <w:r>
        <w:fldChar w:fldCharType="separate"/>
      </w:r>
      <w:r>
        <w:rPr>
          <w:rFonts w:hint="eastAsia" w:ascii="黑体" w:hAnsi="黑体" w:eastAsia="黑体"/>
          <w:bCs/>
          <w:szCs w:val="28"/>
        </w:rPr>
        <w:t>三、保证金</w:t>
      </w:r>
      <w:r>
        <w:tab/>
      </w:r>
      <w:r>
        <w:fldChar w:fldCharType="begin"/>
      </w:r>
      <w:r>
        <w:instrText xml:space="preserve"> PAGEREF _Toc20117 \h </w:instrText>
      </w:r>
      <w:r>
        <w:fldChar w:fldCharType="separate"/>
      </w:r>
      <w:r>
        <w:t>43</w:t>
      </w:r>
      <w:r>
        <w:fldChar w:fldCharType="end"/>
      </w:r>
      <w:r>
        <w:rPr>
          <w:color w:val="000000" w:themeColor="text1"/>
          <w14:textFill>
            <w14:solidFill>
              <w14:schemeClr w14:val="tx1"/>
            </w14:solidFill>
          </w14:textFill>
        </w:rPr>
        <w:fldChar w:fldCharType="end"/>
      </w:r>
    </w:p>
    <w:p w14:paraId="0DF4F6AE">
      <w:pPr>
        <w:pStyle w:val="15"/>
        <w:tabs>
          <w:tab w:val="right" w:leader="dot" w:pos="8844"/>
        </w:tabs>
      </w:pPr>
      <w:r>
        <w:rPr>
          <w:color w:val="000000" w:themeColor="text1"/>
          <w14:textFill>
            <w14:solidFill>
              <w14:schemeClr w14:val="tx1"/>
            </w14:solidFill>
          </w14:textFill>
        </w:rPr>
        <w:fldChar w:fldCharType="begin"/>
      </w:r>
      <w:r>
        <w:instrText xml:space="preserve"> HYPERLINK \l _Toc21328 </w:instrText>
      </w:r>
      <w:r>
        <w:fldChar w:fldCharType="separate"/>
      </w:r>
      <w:r>
        <w:rPr>
          <w:rFonts w:hint="eastAsia" w:ascii="黑体" w:hAnsi="黑体" w:eastAsia="黑体"/>
          <w:bCs/>
          <w:szCs w:val="28"/>
        </w:rPr>
        <w:t>四、授权委托书(格式)</w:t>
      </w:r>
      <w:r>
        <w:tab/>
      </w:r>
      <w:r>
        <w:fldChar w:fldCharType="begin"/>
      </w:r>
      <w:r>
        <w:instrText xml:space="preserve"> PAGEREF _Toc21328 \h </w:instrText>
      </w:r>
      <w:r>
        <w:fldChar w:fldCharType="separate"/>
      </w:r>
      <w:r>
        <w:t>44</w:t>
      </w:r>
      <w:r>
        <w:fldChar w:fldCharType="end"/>
      </w:r>
      <w:r>
        <w:rPr>
          <w:color w:val="000000" w:themeColor="text1"/>
          <w14:textFill>
            <w14:solidFill>
              <w14:schemeClr w14:val="tx1"/>
            </w14:solidFill>
          </w14:textFill>
        </w:rPr>
        <w:fldChar w:fldCharType="end"/>
      </w:r>
    </w:p>
    <w:p w14:paraId="24E2B8FA">
      <w:pPr>
        <w:pStyle w:val="15"/>
        <w:tabs>
          <w:tab w:val="right" w:leader="dot" w:pos="8844"/>
        </w:tabs>
      </w:pPr>
      <w:r>
        <w:rPr>
          <w:color w:val="000000" w:themeColor="text1"/>
          <w14:textFill>
            <w14:solidFill>
              <w14:schemeClr w14:val="tx1"/>
            </w14:solidFill>
          </w14:textFill>
        </w:rPr>
        <w:fldChar w:fldCharType="begin"/>
      </w:r>
      <w:r>
        <w:instrText xml:space="preserve"> HYPERLINK \l _Toc16793 </w:instrText>
      </w:r>
      <w:r>
        <w:fldChar w:fldCharType="separate"/>
      </w:r>
      <w:r>
        <w:rPr>
          <w:rFonts w:hint="eastAsia" w:ascii="黑体" w:hAnsi="黑体" w:eastAsia="黑体"/>
          <w:szCs w:val="28"/>
        </w:rPr>
        <w:t>法定代表人（单位负责人）身份证明(格式)</w:t>
      </w:r>
      <w:r>
        <w:tab/>
      </w:r>
      <w:r>
        <w:fldChar w:fldCharType="begin"/>
      </w:r>
      <w:r>
        <w:instrText xml:space="preserve"> PAGEREF _Toc16793 \h </w:instrText>
      </w:r>
      <w:r>
        <w:fldChar w:fldCharType="separate"/>
      </w:r>
      <w:r>
        <w:t>45</w:t>
      </w:r>
      <w:r>
        <w:fldChar w:fldCharType="end"/>
      </w:r>
      <w:r>
        <w:rPr>
          <w:color w:val="000000" w:themeColor="text1"/>
          <w14:textFill>
            <w14:solidFill>
              <w14:schemeClr w14:val="tx1"/>
            </w14:solidFill>
          </w14:textFill>
        </w:rPr>
        <w:fldChar w:fldCharType="end"/>
      </w:r>
    </w:p>
    <w:p w14:paraId="70DB32CA">
      <w:pPr>
        <w:pStyle w:val="15"/>
        <w:tabs>
          <w:tab w:val="right" w:leader="dot" w:pos="8844"/>
        </w:tabs>
      </w:pPr>
      <w:r>
        <w:rPr>
          <w:color w:val="000000" w:themeColor="text1"/>
          <w14:textFill>
            <w14:solidFill>
              <w14:schemeClr w14:val="tx1"/>
            </w14:solidFill>
          </w14:textFill>
        </w:rPr>
        <w:fldChar w:fldCharType="begin"/>
      </w:r>
      <w:r>
        <w:instrText xml:space="preserve"> HYPERLINK \l _Toc17601 </w:instrText>
      </w:r>
      <w:r>
        <w:fldChar w:fldCharType="separate"/>
      </w:r>
      <w:r>
        <w:rPr>
          <w:rFonts w:hint="eastAsia" w:ascii="黑体" w:hAnsi="黑体" w:eastAsia="黑体"/>
          <w:bCs/>
          <w:szCs w:val="28"/>
        </w:rPr>
        <w:t>五、供应商资格审查材料</w:t>
      </w:r>
      <w:r>
        <w:tab/>
      </w:r>
      <w:r>
        <w:fldChar w:fldCharType="begin"/>
      </w:r>
      <w:r>
        <w:instrText xml:space="preserve"> PAGEREF _Toc17601 \h </w:instrText>
      </w:r>
      <w:r>
        <w:fldChar w:fldCharType="separate"/>
      </w:r>
      <w:r>
        <w:t>46</w:t>
      </w:r>
      <w:r>
        <w:fldChar w:fldCharType="end"/>
      </w:r>
      <w:r>
        <w:rPr>
          <w:color w:val="000000" w:themeColor="text1"/>
          <w14:textFill>
            <w14:solidFill>
              <w14:schemeClr w14:val="tx1"/>
            </w14:solidFill>
          </w14:textFill>
        </w:rPr>
        <w:fldChar w:fldCharType="end"/>
      </w:r>
    </w:p>
    <w:p w14:paraId="7CC8F447">
      <w:pPr>
        <w:pStyle w:val="11"/>
        <w:tabs>
          <w:tab w:val="right" w:leader="dot" w:pos="8844"/>
        </w:tabs>
      </w:pPr>
      <w:r>
        <w:rPr>
          <w:color w:val="000000" w:themeColor="text1"/>
          <w14:textFill>
            <w14:solidFill>
              <w14:schemeClr w14:val="tx1"/>
            </w14:solidFill>
          </w14:textFill>
        </w:rPr>
        <w:fldChar w:fldCharType="begin"/>
      </w:r>
      <w:r>
        <w:instrText xml:space="preserve"> HYPERLINK \l _Toc18162 </w:instrText>
      </w:r>
      <w:r>
        <w:fldChar w:fldCharType="separate"/>
      </w:r>
      <w:r>
        <w:rPr>
          <w:rFonts w:hint="eastAsia" w:ascii="宋体" w:hAnsi="宋体" w:eastAsia="宋体"/>
          <w:bCs/>
          <w:szCs w:val="21"/>
        </w:rPr>
        <w:t>附件</w:t>
      </w:r>
      <w:r>
        <w:rPr>
          <w:rFonts w:ascii="宋体" w:hAnsi="宋体" w:eastAsia="宋体"/>
          <w:bCs/>
          <w:szCs w:val="21"/>
        </w:rPr>
        <w:t>5</w:t>
      </w:r>
      <w:r>
        <w:rPr>
          <w:rFonts w:hint="eastAsia" w:ascii="宋体" w:hAnsi="宋体" w:eastAsia="宋体"/>
          <w:bCs/>
          <w:szCs w:val="21"/>
        </w:rPr>
        <w:t>-</w:t>
      </w:r>
      <w:r>
        <w:rPr>
          <w:rFonts w:ascii="宋体" w:hAnsi="宋体" w:eastAsia="宋体"/>
          <w:bCs/>
          <w:szCs w:val="21"/>
        </w:rPr>
        <w:t>1</w:t>
      </w:r>
      <w:r>
        <w:rPr>
          <w:rFonts w:hint="eastAsia" w:ascii="宋体" w:hAnsi="宋体" w:eastAsia="宋体"/>
          <w:bCs/>
          <w:szCs w:val="21"/>
        </w:rPr>
        <w:t xml:space="preserve"> 资格更新证明材料</w:t>
      </w:r>
      <w:r>
        <w:tab/>
      </w:r>
      <w:r>
        <w:fldChar w:fldCharType="begin"/>
      </w:r>
      <w:r>
        <w:instrText xml:space="preserve"> PAGEREF _Toc18162 \h </w:instrText>
      </w:r>
      <w:r>
        <w:fldChar w:fldCharType="separate"/>
      </w:r>
      <w:r>
        <w:t>46</w:t>
      </w:r>
      <w:r>
        <w:fldChar w:fldCharType="end"/>
      </w:r>
      <w:r>
        <w:rPr>
          <w:color w:val="000000" w:themeColor="text1"/>
          <w14:textFill>
            <w14:solidFill>
              <w14:schemeClr w14:val="tx1"/>
            </w14:solidFill>
          </w14:textFill>
        </w:rPr>
        <w:fldChar w:fldCharType="end"/>
      </w:r>
    </w:p>
    <w:p w14:paraId="607C102B">
      <w:pPr>
        <w:pStyle w:val="11"/>
        <w:tabs>
          <w:tab w:val="right" w:leader="dot" w:pos="8844"/>
        </w:tabs>
      </w:pPr>
      <w:r>
        <w:rPr>
          <w:color w:val="000000" w:themeColor="text1"/>
          <w14:textFill>
            <w14:solidFill>
              <w14:schemeClr w14:val="tx1"/>
            </w14:solidFill>
          </w14:textFill>
        </w:rPr>
        <w:fldChar w:fldCharType="begin"/>
      </w:r>
      <w:r>
        <w:instrText xml:space="preserve"> HYPERLINK \l _Toc31822 </w:instrText>
      </w:r>
      <w:r>
        <w:fldChar w:fldCharType="separate"/>
      </w:r>
      <w:r>
        <w:rPr>
          <w:rFonts w:hint="eastAsia" w:ascii="宋体" w:hAnsi="宋体"/>
          <w:bCs/>
          <w:szCs w:val="21"/>
        </w:rPr>
        <w:t>附件5-2湖南省政府采购供应商资格承诺函</w:t>
      </w:r>
      <w:r>
        <w:tab/>
      </w:r>
      <w:r>
        <w:fldChar w:fldCharType="begin"/>
      </w:r>
      <w:r>
        <w:instrText xml:space="preserve"> PAGEREF _Toc31822 \h </w:instrText>
      </w:r>
      <w:r>
        <w:fldChar w:fldCharType="separate"/>
      </w:r>
      <w:r>
        <w:t>47</w:t>
      </w:r>
      <w:r>
        <w:fldChar w:fldCharType="end"/>
      </w:r>
      <w:r>
        <w:rPr>
          <w:color w:val="000000" w:themeColor="text1"/>
          <w14:textFill>
            <w14:solidFill>
              <w14:schemeClr w14:val="tx1"/>
            </w14:solidFill>
          </w14:textFill>
        </w:rPr>
        <w:fldChar w:fldCharType="end"/>
      </w:r>
    </w:p>
    <w:p w14:paraId="47777C36">
      <w:pPr>
        <w:pStyle w:val="11"/>
        <w:tabs>
          <w:tab w:val="right" w:leader="dot" w:pos="8844"/>
        </w:tabs>
      </w:pPr>
      <w:r>
        <w:rPr>
          <w:color w:val="000000" w:themeColor="text1"/>
          <w14:textFill>
            <w14:solidFill>
              <w14:schemeClr w14:val="tx1"/>
            </w14:solidFill>
          </w14:textFill>
        </w:rPr>
        <w:fldChar w:fldCharType="begin"/>
      </w:r>
      <w:r>
        <w:instrText xml:space="preserve"> HYPERLINK \l _Toc19359 </w:instrText>
      </w:r>
      <w:r>
        <w:fldChar w:fldCharType="separate"/>
      </w:r>
      <w:r>
        <w:rPr>
          <w:rFonts w:hint="eastAsia" w:ascii="宋体" w:hAnsi="宋体" w:eastAsia="宋体" w:cs="Times New Roman"/>
          <w:bCs/>
          <w:szCs w:val="21"/>
          <w:lang w:val="en-US" w:eastAsia="zh-CN"/>
        </w:rPr>
        <w:t>附件5-3标前诚信承诺书</w:t>
      </w:r>
      <w:r>
        <w:tab/>
      </w:r>
      <w:r>
        <w:fldChar w:fldCharType="begin"/>
      </w:r>
      <w:r>
        <w:instrText xml:space="preserve"> PAGEREF _Toc19359 \h </w:instrText>
      </w:r>
      <w:r>
        <w:fldChar w:fldCharType="separate"/>
      </w:r>
      <w:r>
        <w:t>48</w:t>
      </w:r>
      <w:r>
        <w:fldChar w:fldCharType="end"/>
      </w:r>
      <w:r>
        <w:rPr>
          <w:color w:val="000000" w:themeColor="text1"/>
          <w14:textFill>
            <w14:solidFill>
              <w14:schemeClr w14:val="tx1"/>
            </w14:solidFill>
          </w14:textFill>
        </w:rPr>
        <w:fldChar w:fldCharType="end"/>
      </w:r>
    </w:p>
    <w:p w14:paraId="5AECB821">
      <w:pPr>
        <w:pStyle w:val="15"/>
        <w:tabs>
          <w:tab w:val="right" w:leader="dot" w:pos="8844"/>
        </w:tabs>
      </w:pPr>
      <w:r>
        <w:rPr>
          <w:color w:val="000000" w:themeColor="text1"/>
          <w14:textFill>
            <w14:solidFill>
              <w14:schemeClr w14:val="tx1"/>
            </w14:solidFill>
          </w14:textFill>
        </w:rPr>
        <w:fldChar w:fldCharType="begin"/>
      </w:r>
      <w:r>
        <w:instrText xml:space="preserve"> HYPERLINK \l _Toc26100 </w:instrText>
      </w:r>
      <w:r>
        <w:fldChar w:fldCharType="separate"/>
      </w:r>
      <w:r>
        <w:rPr>
          <w:rFonts w:hint="eastAsia" w:ascii="黑体" w:hAnsi="黑体" w:eastAsia="黑体"/>
          <w:bCs/>
          <w:szCs w:val="28"/>
        </w:rPr>
        <w:t>六、采购需求的响应</w:t>
      </w:r>
      <w:r>
        <w:tab/>
      </w:r>
      <w:r>
        <w:fldChar w:fldCharType="begin"/>
      </w:r>
      <w:r>
        <w:instrText xml:space="preserve"> PAGEREF _Toc26100 \h </w:instrText>
      </w:r>
      <w:r>
        <w:fldChar w:fldCharType="separate"/>
      </w:r>
      <w:r>
        <w:t>48</w:t>
      </w:r>
      <w:r>
        <w:fldChar w:fldCharType="end"/>
      </w:r>
      <w:r>
        <w:rPr>
          <w:color w:val="000000" w:themeColor="text1"/>
          <w14:textFill>
            <w14:solidFill>
              <w14:schemeClr w14:val="tx1"/>
            </w14:solidFill>
          </w14:textFill>
        </w:rPr>
        <w:fldChar w:fldCharType="end"/>
      </w:r>
    </w:p>
    <w:p w14:paraId="6E572D26">
      <w:pPr>
        <w:pStyle w:val="11"/>
        <w:tabs>
          <w:tab w:val="right" w:leader="dot" w:pos="8844"/>
        </w:tabs>
      </w:pPr>
      <w:r>
        <w:rPr>
          <w:color w:val="000000" w:themeColor="text1"/>
          <w14:textFill>
            <w14:solidFill>
              <w14:schemeClr w14:val="tx1"/>
            </w14:solidFill>
          </w14:textFill>
        </w:rPr>
        <w:fldChar w:fldCharType="begin"/>
      </w:r>
      <w:r>
        <w:instrText xml:space="preserve"> HYPERLINK \l _Toc15054 </w:instrText>
      </w:r>
      <w:r>
        <w:fldChar w:fldCharType="separate"/>
      </w:r>
      <w:r>
        <w:rPr>
          <w:rFonts w:hint="eastAsia" w:ascii="宋体" w:hAnsi="宋体"/>
          <w:bCs/>
          <w:szCs w:val="21"/>
        </w:rPr>
        <w:t>附件</w:t>
      </w:r>
      <w:r>
        <w:rPr>
          <w:rFonts w:ascii="宋体" w:hAnsi="宋体"/>
          <w:bCs/>
          <w:szCs w:val="21"/>
        </w:rPr>
        <w:t>6</w:t>
      </w:r>
      <w:r>
        <w:rPr>
          <w:rFonts w:hint="eastAsia" w:ascii="宋体" w:hAnsi="宋体"/>
          <w:bCs/>
          <w:szCs w:val="21"/>
        </w:rPr>
        <w:t>-1 响应一览表</w:t>
      </w:r>
      <w:r>
        <w:tab/>
      </w:r>
      <w:r>
        <w:fldChar w:fldCharType="begin"/>
      </w:r>
      <w:r>
        <w:instrText xml:space="preserve"> PAGEREF _Toc15054 \h </w:instrText>
      </w:r>
      <w:r>
        <w:fldChar w:fldCharType="separate"/>
      </w:r>
      <w:r>
        <w:t>49</w:t>
      </w:r>
      <w:r>
        <w:fldChar w:fldCharType="end"/>
      </w:r>
      <w:r>
        <w:rPr>
          <w:color w:val="000000" w:themeColor="text1"/>
          <w14:textFill>
            <w14:solidFill>
              <w14:schemeClr w14:val="tx1"/>
            </w14:solidFill>
          </w14:textFill>
        </w:rPr>
        <w:fldChar w:fldCharType="end"/>
      </w:r>
    </w:p>
    <w:p w14:paraId="550163CE">
      <w:pPr>
        <w:pStyle w:val="15"/>
        <w:tabs>
          <w:tab w:val="right" w:leader="dot" w:pos="8844"/>
        </w:tabs>
      </w:pPr>
      <w:r>
        <w:rPr>
          <w:color w:val="000000" w:themeColor="text1"/>
          <w14:textFill>
            <w14:solidFill>
              <w14:schemeClr w14:val="tx1"/>
            </w14:solidFill>
          </w14:textFill>
        </w:rPr>
        <w:fldChar w:fldCharType="begin"/>
      </w:r>
      <w:r>
        <w:instrText xml:space="preserve"> HYPERLINK \l _Toc23203 </w:instrText>
      </w:r>
      <w:r>
        <w:fldChar w:fldCharType="separate"/>
      </w:r>
      <w:r>
        <w:rPr>
          <w:rFonts w:hint="eastAsia" w:ascii="黑体" w:hAnsi="黑体" w:eastAsia="黑体"/>
          <w:bCs/>
          <w:szCs w:val="28"/>
        </w:rPr>
        <w:t>七、合同条款偏离表</w:t>
      </w:r>
      <w:r>
        <w:tab/>
      </w:r>
      <w:r>
        <w:fldChar w:fldCharType="begin"/>
      </w:r>
      <w:r>
        <w:instrText xml:space="preserve"> PAGEREF _Toc23203 \h </w:instrText>
      </w:r>
      <w:r>
        <w:fldChar w:fldCharType="separate"/>
      </w:r>
      <w:r>
        <w:t>49</w:t>
      </w:r>
      <w:r>
        <w:fldChar w:fldCharType="end"/>
      </w:r>
      <w:r>
        <w:rPr>
          <w:color w:val="000000" w:themeColor="text1"/>
          <w14:textFill>
            <w14:solidFill>
              <w14:schemeClr w14:val="tx1"/>
            </w14:solidFill>
          </w14:textFill>
        </w:rPr>
        <w:fldChar w:fldCharType="end"/>
      </w:r>
    </w:p>
    <w:p w14:paraId="489C22B4">
      <w:pPr>
        <w:pStyle w:val="15"/>
        <w:tabs>
          <w:tab w:val="right" w:leader="dot" w:pos="8844"/>
        </w:tabs>
      </w:pPr>
      <w:r>
        <w:rPr>
          <w:color w:val="000000" w:themeColor="text1"/>
          <w14:textFill>
            <w14:solidFill>
              <w14:schemeClr w14:val="tx1"/>
            </w14:solidFill>
          </w14:textFill>
        </w:rPr>
        <w:fldChar w:fldCharType="begin"/>
      </w:r>
      <w:r>
        <w:instrText xml:space="preserve"> HYPERLINK \l _Toc16938 </w:instrText>
      </w:r>
      <w:r>
        <w:fldChar w:fldCharType="separate"/>
      </w:r>
      <w:r>
        <w:rPr>
          <w:rFonts w:hint="eastAsia" w:ascii="黑体" w:hAnsi="Arial" w:eastAsia="黑体"/>
          <w:bCs/>
          <w:szCs w:val="28"/>
        </w:rPr>
        <w:t>八、采购需求偏离表</w:t>
      </w:r>
      <w:r>
        <w:tab/>
      </w:r>
      <w:r>
        <w:fldChar w:fldCharType="begin"/>
      </w:r>
      <w:r>
        <w:instrText xml:space="preserve"> PAGEREF _Toc16938 \h </w:instrText>
      </w:r>
      <w:r>
        <w:fldChar w:fldCharType="separate"/>
      </w:r>
      <w:r>
        <w:t>51</w:t>
      </w:r>
      <w:r>
        <w:fldChar w:fldCharType="end"/>
      </w:r>
      <w:r>
        <w:rPr>
          <w:color w:val="000000" w:themeColor="text1"/>
          <w14:textFill>
            <w14:solidFill>
              <w14:schemeClr w14:val="tx1"/>
            </w14:solidFill>
          </w14:textFill>
        </w:rPr>
        <w:fldChar w:fldCharType="end"/>
      </w:r>
    </w:p>
    <w:p w14:paraId="5B94D68C">
      <w:pPr>
        <w:pStyle w:val="15"/>
        <w:tabs>
          <w:tab w:val="right" w:leader="dot" w:pos="8844"/>
        </w:tabs>
      </w:pPr>
      <w:r>
        <w:rPr>
          <w:color w:val="000000" w:themeColor="text1"/>
          <w14:textFill>
            <w14:solidFill>
              <w14:schemeClr w14:val="tx1"/>
            </w14:solidFill>
          </w14:textFill>
        </w:rPr>
        <w:fldChar w:fldCharType="begin"/>
      </w:r>
      <w:r>
        <w:instrText xml:space="preserve"> HYPERLINK \l _Toc4078 </w:instrText>
      </w:r>
      <w:r>
        <w:fldChar w:fldCharType="separate"/>
      </w:r>
      <w:r>
        <w:rPr>
          <w:rFonts w:ascii="Arial" w:hAnsi="Arial"/>
          <w:bCs/>
          <w:szCs w:val="32"/>
        </w:rPr>
        <w:t>九</w:t>
      </w:r>
      <w:r>
        <w:rPr>
          <w:rFonts w:hint="eastAsia" w:ascii="黑体" w:hAnsi="黑体" w:eastAsia="黑体"/>
          <w:bCs/>
          <w:szCs w:val="28"/>
        </w:rPr>
        <w:t>、享受政府采购政策优惠的证明资料</w:t>
      </w:r>
      <w:r>
        <w:tab/>
      </w:r>
      <w:r>
        <w:fldChar w:fldCharType="begin"/>
      </w:r>
      <w:r>
        <w:instrText xml:space="preserve"> PAGEREF _Toc4078 \h </w:instrText>
      </w:r>
      <w:r>
        <w:fldChar w:fldCharType="separate"/>
      </w:r>
      <w:r>
        <w:t>52</w:t>
      </w:r>
      <w:r>
        <w:fldChar w:fldCharType="end"/>
      </w:r>
      <w:r>
        <w:rPr>
          <w:color w:val="000000" w:themeColor="text1"/>
          <w14:textFill>
            <w14:solidFill>
              <w14:schemeClr w14:val="tx1"/>
            </w14:solidFill>
          </w14:textFill>
        </w:rPr>
        <w:fldChar w:fldCharType="end"/>
      </w:r>
    </w:p>
    <w:p w14:paraId="52768CAB">
      <w:pPr>
        <w:pStyle w:val="11"/>
        <w:tabs>
          <w:tab w:val="right" w:leader="dot" w:pos="8844"/>
        </w:tabs>
      </w:pPr>
      <w:r>
        <w:rPr>
          <w:color w:val="000000" w:themeColor="text1"/>
          <w14:textFill>
            <w14:solidFill>
              <w14:schemeClr w14:val="tx1"/>
            </w14:solidFill>
          </w14:textFill>
        </w:rPr>
        <w:fldChar w:fldCharType="begin"/>
      </w:r>
      <w:r>
        <w:instrText xml:space="preserve"> HYPERLINK \l _Toc19783 </w:instrText>
      </w:r>
      <w:r>
        <w:fldChar w:fldCharType="separate"/>
      </w:r>
      <w:r>
        <w:rPr>
          <w:rFonts w:hint="eastAsia" w:ascii="宋体" w:hAnsi="宋体"/>
          <w:bCs/>
          <w:szCs w:val="21"/>
        </w:rPr>
        <w:t>附件9-1中小企业声明函(</w:t>
      </w:r>
      <w:r>
        <w:rPr>
          <w:rFonts w:hint="eastAsia" w:ascii="宋体" w:hAnsi="宋体"/>
          <w:bCs/>
          <w:szCs w:val="21"/>
          <w:lang w:val="en-US" w:eastAsia="zh-CN"/>
        </w:rPr>
        <w:t>货物</w:t>
      </w:r>
      <w:r>
        <w:rPr>
          <w:rFonts w:hint="eastAsia" w:ascii="宋体" w:hAnsi="宋体"/>
          <w:bCs/>
          <w:szCs w:val="21"/>
        </w:rPr>
        <w:t>)</w:t>
      </w:r>
      <w:r>
        <w:tab/>
      </w:r>
      <w:r>
        <w:fldChar w:fldCharType="begin"/>
      </w:r>
      <w:r>
        <w:instrText xml:space="preserve"> PAGEREF _Toc19783 \h </w:instrText>
      </w:r>
      <w:r>
        <w:fldChar w:fldCharType="separate"/>
      </w:r>
      <w:r>
        <w:t>52</w:t>
      </w:r>
      <w:r>
        <w:fldChar w:fldCharType="end"/>
      </w:r>
      <w:r>
        <w:rPr>
          <w:color w:val="000000" w:themeColor="text1"/>
          <w14:textFill>
            <w14:solidFill>
              <w14:schemeClr w14:val="tx1"/>
            </w14:solidFill>
          </w14:textFill>
        </w:rPr>
        <w:fldChar w:fldCharType="end"/>
      </w:r>
    </w:p>
    <w:p w14:paraId="4286CF24">
      <w:pPr>
        <w:pStyle w:val="11"/>
        <w:tabs>
          <w:tab w:val="right" w:leader="dot" w:pos="8844"/>
        </w:tabs>
      </w:pPr>
      <w:r>
        <w:rPr>
          <w:color w:val="000000" w:themeColor="text1"/>
          <w14:textFill>
            <w14:solidFill>
              <w14:schemeClr w14:val="tx1"/>
            </w14:solidFill>
          </w14:textFill>
        </w:rPr>
        <w:fldChar w:fldCharType="begin"/>
      </w:r>
      <w:r>
        <w:instrText xml:space="preserve"> HYPERLINK \l _Toc17984 </w:instrText>
      </w:r>
      <w:r>
        <w:fldChar w:fldCharType="separate"/>
      </w:r>
      <w:r>
        <w:rPr>
          <w:rFonts w:hint="eastAsia" w:ascii="宋体" w:hAnsi="宋体" w:cs="宋体"/>
          <w:bCs/>
          <w:spacing w:val="6"/>
          <w:kern w:val="0"/>
          <w:szCs w:val="32"/>
        </w:rPr>
        <w:t>附件9-2</w:t>
      </w:r>
      <w:r>
        <w:rPr>
          <w:rFonts w:hint="eastAsia" w:ascii="宋体" w:hAnsi="宋体"/>
          <w:bCs/>
          <w:spacing w:val="6"/>
          <w:szCs w:val="32"/>
        </w:rPr>
        <w:t>残疾人福利性单位声明函</w:t>
      </w:r>
      <w:r>
        <w:tab/>
      </w:r>
      <w:r>
        <w:fldChar w:fldCharType="begin"/>
      </w:r>
      <w:r>
        <w:instrText xml:space="preserve"> PAGEREF _Toc17984 \h </w:instrText>
      </w:r>
      <w:r>
        <w:fldChar w:fldCharType="separate"/>
      </w:r>
      <w:r>
        <w:t>53</w:t>
      </w:r>
      <w:r>
        <w:fldChar w:fldCharType="end"/>
      </w:r>
      <w:r>
        <w:rPr>
          <w:color w:val="000000" w:themeColor="text1"/>
          <w14:textFill>
            <w14:solidFill>
              <w14:schemeClr w14:val="tx1"/>
            </w14:solidFill>
          </w14:textFill>
        </w:rPr>
        <w:fldChar w:fldCharType="end"/>
      </w:r>
    </w:p>
    <w:p w14:paraId="35C76637">
      <w:pPr>
        <w:pStyle w:val="11"/>
        <w:tabs>
          <w:tab w:val="right" w:leader="dot" w:pos="8844"/>
        </w:tabs>
      </w:pPr>
      <w:r>
        <w:rPr>
          <w:color w:val="000000" w:themeColor="text1"/>
          <w14:textFill>
            <w14:solidFill>
              <w14:schemeClr w14:val="tx1"/>
            </w14:solidFill>
          </w14:textFill>
        </w:rPr>
        <w:fldChar w:fldCharType="begin"/>
      </w:r>
      <w:r>
        <w:instrText xml:space="preserve"> HYPERLINK \l _Toc6524 </w:instrText>
      </w:r>
      <w:r>
        <w:fldChar w:fldCharType="separate"/>
      </w:r>
      <w:r>
        <w:rPr>
          <w:rFonts w:hint="eastAsia" w:ascii="宋体" w:hAnsi="宋体" w:cs="宋体"/>
          <w:bCs/>
          <w:kern w:val="0"/>
          <w:szCs w:val="21"/>
        </w:rPr>
        <w:t>附件9-3</w:t>
      </w:r>
      <w:r>
        <w:rPr>
          <w:rFonts w:hint="eastAsia" w:ascii="宋体" w:hAnsi="宋体"/>
          <w:bCs/>
          <w:szCs w:val="21"/>
        </w:rPr>
        <w:t>监狱企业证明资料</w:t>
      </w:r>
      <w:r>
        <w:tab/>
      </w:r>
      <w:r>
        <w:fldChar w:fldCharType="begin"/>
      </w:r>
      <w:r>
        <w:instrText xml:space="preserve"> PAGEREF _Toc6524 \h </w:instrText>
      </w:r>
      <w:r>
        <w:fldChar w:fldCharType="separate"/>
      </w:r>
      <w:r>
        <w:t>54</w:t>
      </w:r>
      <w:r>
        <w:fldChar w:fldCharType="end"/>
      </w:r>
      <w:r>
        <w:rPr>
          <w:color w:val="000000" w:themeColor="text1"/>
          <w14:textFill>
            <w14:solidFill>
              <w14:schemeClr w14:val="tx1"/>
            </w14:solidFill>
          </w14:textFill>
        </w:rPr>
        <w:fldChar w:fldCharType="end"/>
      </w:r>
    </w:p>
    <w:p w14:paraId="217F384C">
      <w:pPr>
        <w:pStyle w:val="11"/>
        <w:tabs>
          <w:tab w:val="right" w:leader="dot" w:pos="8844"/>
        </w:tabs>
      </w:pPr>
      <w:r>
        <w:rPr>
          <w:color w:val="000000" w:themeColor="text1"/>
          <w14:textFill>
            <w14:solidFill>
              <w14:schemeClr w14:val="tx1"/>
            </w14:solidFill>
          </w14:textFill>
        </w:rPr>
        <w:fldChar w:fldCharType="begin"/>
      </w:r>
      <w:r>
        <w:instrText xml:space="preserve"> HYPERLINK \l _Toc12734 </w:instrText>
      </w:r>
      <w:r>
        <w:fldChar w:fldCharType="separate"/>
      </w:r>
      <w:r>
        <w:rPr>
          <w:rFonts w:hint="eastAsia" w:ascii="宋体" w:hAnsi="宋体" w:cs="宋体"/>
          <w:bCs/>
          <w:spacing w:val="6"/>
          <w:kern w:val="0"/>
          <w:szCs w:val="21"/>
        </w:rPr>
        <w:t xml:space="preserve">附件9-4 </w:t>
      </w:r>
      <w:r>
        <w:rPr>
          <w:rFonts w:hint="eastAsia" w:ascii="宋体" w:hAnsi="宋体"/>
          <w:bCs/>
          <w:szCs w:val="21"/>
        </w:rPr>
        <w:t>强制采购或者优先采购产品的证明材料</w:t>
      </w:r>
      <w:r>
        <w:tab/>
      </w:r>
      <w:r>
        <w:fldChar w:fldCharType="begin"/>
      </w:r>
      <w:r>
        <w:instrText xml:space="preserve"> PAGEREF _Toc12734 \h </w:instrText>
      </w:r>
      <w:r>
        <w:fldChar w:fldCharType="separate"/>
      </w:r>
      <w:r>
        <w:t>55</w:t>
      </w:r>
      <w:r>
        <w:fldChar w:fldCharType="end"/>
      </w:r>
      <w:r>
        <w:rPr>
          <w:color w:val="000000" w:themeColor="text1"/>
          <w14:textFill>
            <w14:solidFill>
              <w14:schemeClr w14:val="tx1"/>
            </w14:solidFill>
          </w14:textFill>
        </w:rPr>
        <w:fldChar w:fldCharType="end"/>
      </w:r>
    </w:p>
    <w:p w14:paraId="5B4C4C62">
      <w:pPr>
        <w:pStyle w:val="15"/>
        <w:tabs>
          <w:tab w:val="right" w:leader="dot" w:pos="8844"/>
        </w:tabs>
      </w:pPr>
      <w:r>
        <w:rPr>
          <w:color w:val="000000" w:themeColor="text1"/>
          <w14:textFill>
            <w14:solidFill>
              <w14:schemeClr w14:val="tx1"/>
            </w14:solidFill>
          </w14:textFill>
        </w:rPr>
        <w:fldChar w:fldCharType="begin"/>
      </w:r>
      <w:r>
        <w:instrText xml:space="preserve"> HYPERLINK \l _Toc3524 </w:instrText>
      </w:r>
      <w:r>
        <w:fldChar w:fldCharType="separate"/>
      </w:r>
      <w:r>
        <w:rPr>
          <w:rFonts w:hint="eastAsia" w:ascii="黑体" w:hAnsi="黑体" w:eastAsia="黑体"/>
          <w:bCs/>
          <w:szCs w:val="28"/>
        </w:rPr>
        <w:t>十、响应标的符合谈判文件规定的证明文件</w:t>
      </w:r>
      <w:r>
        <w:tab/>
      </w:r>
      <w:r>
        <w:fldChar w:fldCharType="begin"/>
      </w:r>
      <w:r>
        <w:instrText xml:space="preserve"> PAGEREF _Toc3524 \h </w:instrText>
      </w:r>
      <w:r>
        <w:fldChar w:fldCharType="separate"/>
      </w:r>
      <w:r>
        <w:t>57</w:t>
      </w:r>
      <w:r>
        <w:fldChar w:fldCharType="end"/>
      </w:r>
      <w:r>
        <w:rPr>
          <w:color w:val="000000" w:themeColor="text1"/>
          <w14:textFill>
            <w14:solidFill>
              <w14:schemeClr w14:val="tx1"/>
            </w14:solidFill>
          </w14:textFill>
        </w:rPr>
        <w:fldChar w:fldCharType="end"/>
      </w:r>
    </w:p>
    <w:p w14:paraId="4D182E18">
      <w:pPr>
        <w:pStyle w:val="15"/>
        <w:tabs>
          <w:tab w:val="right" w:leader="dot" w:pos="8844"/>
        </w:tabs>
      </w:pPr>
      <w:r>
        <w:rPr>
          <w:color w:val="000000" w:themeColor="text1"/>
          <w14:textFill>
            <w14:solidFill>
              <w14:schemeClr w14:val="tx1"/>
            </w14:solidFill>
          </w14:textFill>
        </w:rPr>
        <w:fldChar w:fldCharType="begin"/>
      </w:r>
      <w:r>
        <w:instrText xml:space="preserve"> HYPERLINK \l _Toc15169 </w:instrText>
      </w:r>
      <w:r>
        <w:fldChar w:fldCharType="separate"/>
      </w:r>
      <w:r>
        <w:rPr>
          <w:rFonts w:hint="eastAsia" w:ascii="黑体" w:hAnsi="黑体" w:eastAsia="黑体"/>
          <w:bCs/>
          <w:szCs w:val="28"/>
        </w:rPr>
        <w:t>十一、供应商认为需提供的其他资料</w:t>
      </w:r>
      <w:r>
        <w:tab/>
      </w:r>
      <w:r>
        <w:fldChar w:fldCharType="begin"/>
      </w:r>
      <w:r>
        <w:instrText xml:space="preserve"> PAGEREF _Toc15169 \h </w:instrText>
      </w:r>
      <w:r>
        <w:fldChar w:fldCharType="separate"/>
      </w:r>
      <w:r>
        <w:t>58</w:t>
      </w:r>
      <w:r>
        <w:fldChar w:fldCharType="end"/>
      </w:r>
      <w:r>
        <w:rPr>
          <w:color w:val="000000" w:themeColor="text1"/>
          <w14:textFill>
            <w14:solidFill>
              <w14:schemeClr w14:val="tx1"/>
            </w14:solidFill>
          </w14:textFill>
        </w:rPr>
        <w:fldChar w:fldCharType="end"/>
      </w:r>
    </w:p>
    <w:p w14:paraId="4A10F127">
      <w:pPr>
        <w:pStyle w:val="15"/>
        <w:tabs>
          <w:tab w:val="right" w:leader="dot" w:pos="8844"/>
        </w:tabs>
      </w:pPr>
      <w:r>
        <w:rPr>
          <w:color w:val="000000" w:themeColor="text1"/>
          <w14:textFill>
            <w14:solidFill>
              <w14:schemeClr w14:val="tx1"/>
            </w14:solidFill>
          </w14:textFill>
        </w:rPr>
        <w:fldChar w:fldCharType="begin"/>
      </w:r>
      <w:r>
        <w:instrText xml:space="preserve"> HYPERLINK \l _Toc7758 </w:instrText>
      </w:r>
      <w:r>
        <w:fldChar w:fldCharType="separate"/>
      </w:r>
      <w:r>
        <w:rPr>
          <w:rFonts w:hint="eastAsia" w:ascii="Arial" w:hAnsi="Arial"/>
          <w:bCs/>
          <w:szCs w:val="32"/>
        </w:rPr>
        <w:t>十二、最后报价</w:t>
      </w:r>
      <w:r>
        <w:tab/>
      </w:r>
      <w:r>
        <w:fldChar w:fldCharType="begin"/>
      </w:r>
      <w:r>
        <w:instrText xml:space="preserve"> PAGEREF _Toc7758 \h </w:instrText>
      </w:r>
      <w:r>
        <w:fldChar w:fldCharType="separate"/>
      </w:r>
      <w:r>
        <w:t>59</w:t>
      </w:r>
      <w:r>
        <w:fldChar w:fldCharType="end"/>
      </w:r>
      <w:r>
        <w:rPr>
          <w:color w:val="000000" w:themeColor="text1"/>
          <w14:textFill>
            <w14:solidFill>
              <w14:schemeClr w14:val="tx1"/>
            </w14:solidFill>
          </w14:textFill>
        </w:rPr>
        <w:fldChar w:fldCharType="end"/>
      </w:r>
    </w:p>
    <w:p w14:paraId="10324518">
      <w:pPr>
        <w:pStyle w:val="11"/>
        <w:tabs>
          <w:tab w:val="right" w:leader="dot" w:pos="8844"/>
        </w:tabs>
      </w:pPr>
      <w:r>
        <w:rPr>
          <w:color w:val="000000" w:themeColor="text1"/>
          <w14:textFill>
            <w14:solidFill>
              <w14:schemeClr w14:val="tx1"/>
            </w14:solidFill>
          </w14:textFill>
        </w:rPr>
        <w:fldChar w:fldCharType="begin"/>
      </w:r>
      <w:r>
        <w:instrText xml:space="preserve"> HYPERLINK \l _Toc25097 </w:instrText>
      </w:r>
      <w:r>
        <w:fldChar w:fldCharType="separate"/>
      </w:r>
      <w:r>
        <w:rPr>
          <w:rFonts w:hint="eastAsia" w:ascii="宋体" w:hAnsi="宋体"/>
          <w:bCs/>
          <w:szCs w:val="21"/>
        </w:rPr>
        <w:t>附件</w:t>
      </w:r>
      <w:r>
        <w:rPr>
          <w:rFonts w:ascii="宋体" w:hAnsi="宋体"/>
          <w:bCs/>
          <w:szCs w:val="21"/>
        </w:rPr>
        <w:t>12</w:t>
      </w:r>
      <w:r>
        <w:rPr>
          <w:rFonts w:hint="eastAsia" w:ascii="宋体" w:hAnsi="宋体"/>
          <w:bCs/>
          <w:szCs w:val="21"/>
        </w:rPr>
        <w:t>-1 报价表</w:t>
      </w:r>
      <w:r>
        <w:tab/>
      </w:r>
      <w:r>
        <w:fldChar w:fldCharType="begin"/>
      </w:r>
      <w:r>
        <w:instrText xml:space="preserve"> PAGEREF _Toc25097 \h </w:instrText>
      </w:r>
      <w:r>
        <w:fldChar w:fldCharType="separate"/>
      </w:r>
      <w:r>
        <w:t>59</w:t>
      </w:r>
      <w:r>
        <w:fldChar w:fldCharType="end"/>
      </w:r>
      <w:r>
        <w:rPr>
          <w:color w:val="000000" w:themeColor="text1"/>
          <w14:textFill>
            <w14:solidFill>
              <w14:schemeClr w14:val="tx1"/>
            </w14:solidFill>
          </w14:textFill>
        </w:rPr>
        <w:fldChar w:fldCharType="end"/>
      </w:r>
    </w:p>
    <w:p w14:paraId="49B10B8F">
      <w:pPr>
        <w:pStyle w:val="11"/>
        <w:tabs>
          <w:tab w:val="right" w:leader="dot" w:pos="8844"/>
        </w:tabs>
      </w:pPr>
      <w:r>
        <w:rPr>
          <w:color w:val="000000" w:themeColor="text1"/>
          <w14:textFill>
            <w14:solidFill>
              <w14:schemeClr w14:val="tx1"/>
            </w14:solidFill>
          </w14:textFill>
        </w:rPr>
        <w:fldChar w:fldCharType="begin"/>
      </w:r>
      <w:r>
        <w:instrText xml:space="preserve"> HYPERLINK \l _Toc486 </w:instrText>
      </w:r>
      <w:r>
        <w:fldChar w:fldCharType="separate"/>
      </w:r>
      <w:r>
        <w:rPr>
          <w:rFonts w:hint="eastAsia" w:ascii="宋体" w:hAnsi="宋体"/>
          <w:bCs/>
          <w:szCs w:val="21"/>
        </w:rPr>
        <w:t>附件</w:t>
      </w:r>
      <w:r>
        <w:rPr>
          <w:rFonts w:ascii="宋体" w:hAnsi="宋体"/>
          <w:bCs/>
          <w:szCs w:val="21"/>
        </w:rPr>
        <w:t>12</w:t>
      </w:r>
      <w:r>
        <w:rPr>
          <w:rFonts w:hint="eastAsia" w:ascii="宋体" w:hAnsi="宋体"/>
          <w:bCs/>
          <w:szCs w:val="21"/>
        </w:rPr>
        <w:t>-2分项报价说明</w:t>
      </w:r>
      <w:r>
        <w:tab/>
      </w:r>
      <w:r>
        <w:fldChar w:fldCharType="begin"/>
      </w:r>
      <w:r>
        <w:instrText xml:space="preserve"> PAGEREF _Toc486 \h </w:instrText>
      </w:r>
      <w:r>
        <w:fldChar w:fldCharType="separate"/>
      </w:r>
      <w:r>
        <w:t>60</w:t>
      </w:r>
      <w:r>
        <w:fldChar w:fldCharType="end"/>
      </w:r>
      <w:r>
        <w:rPr>
          <w:color w:val="000000" w:themeColor="text1"/>
          <w14:textFill>
            <w14:solidFill>
              <w14:schemeClr w14:val="tx1"/>
            </w14:solidFill>
          </w14:textFill>
        </w:rPr>
        <w:fldChar w:fldCharType="end"/>
      </w:r>
    </w:p>
    <w:p w14:paraId="382AF452">
      <w:pPr>
        <w:pStyle w:val="11"/>
        <w:tabs>
          <w:tab w:val="right" w:leader="dot" w:pos="8844"/>
        </w:tabs>
      </w:pPr>
      <w:r>
        <w:rPr>
          <w:color w:val="000000" w:themeColor="text1"/>
          <w14:textFill>
            <w14:solidFill>
              <w14:schemeClr w14:val="tx1"/>
            </w14:solidFill>
          </w14:textFill>
        </w:rPr>
        <w:fldChar w:fldCharType="begin"/>
      </w:r>
      <w:r>
        <w:instrText xml:space="preserve"> HYPERLINK \l _Toc3093 </w:instrText>
      </w:r>
      <w:r>
        <w:fldChar w:fldCharType="separate"/>
      </w:r>
      <w:r>
        <w:rPr>
          <w:rFonts w:hint="eastAsia" w:ascii="宋体" w:hAnsi="宋体"/>
          <w:bCs/>
          <w:szCs w:val="21"/>
        </w:rPr>
        <w:t>附件</w:t>
      </w:r>
      <w:r>
        <w:rPr>
          <w:rFonts w:ascii="宋体" w:hAnsi="宋体"/>
          <w:bCs/>
          <w:szCs w:val="21"/>
        </w:rPr>
        <w:t>12</w:t>
      </w:r>
      <w:r>
        <w:rPr>
          <w:rFonts w:hint="eastAsia" w:ascii="宋体" w:hAnsi="宋体"/>
          <w:bCs/>
          <w:szCs w:val="21"/>
        </w:rPr>
        <w:t>-3分项报价明细表</w:t>
      </w:r>
      <w:r>
        <w:tab/>
      </w:r>
      <w:r>
        <w:fldChar w:fldCharType="begin"/>
      </w:r>
      <w:r>
        <w:instrText xml:space="preserve"> PAGEREF _Toc3093 \h </w:instrText>
      </w:r>
      <w:r>
        <w:fldChar w:fldCharType="separate"/>
      </w:r>
      <w:r>
        <w:t>60</w:t>
      </w:r>
      <w:r>
        <w:fldChar w:fldCharType="end"/>
      </w:r>
      <w:r>
        <w:rPr>
          <w:color w:val="000000" w:themeColor="text1"/>
          <w14:textFill>
            <w14:solidFill>
              <w14:schemeClr w14:val="tx1"/>
            </w14:solidFill>
          </w14:textFill>
        </w:rPr>
        <w:fldChar w:fldCharType="end"/>
      </w:r>
    </w:p>
    <w:p w14:paraId="5EDC9ED0">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p w14:paraId="05277005">
      <w:pPr>
        <w:rPr>
          <w:color w:val="000000" w:themeColor="text1"/>
          <w14:textFill>
            <w14:solidFill>
              <w14:schemeClr w14:val="tx1"/>
            </w14:solidFill>
          </w14:textFill>
        </w:rPr>
      </w:pPr>
    </w:p>
    <w:p w14:paraId="2F1B74EE">
      <w:pPr>
        <w:bidi w:val="0"/>
        <w:rPr>
          <w:rFonts w:ascii="Times New Roman" w:hAnsi="Times New Roman" w:eastAsia="宋体" w:cs="Times New Roman"/>
          <w:color w:val="000000" w:themeColor="text1"/>
          <w:kern w:val="2"/>
          <w:sz w:val="21"/>
          <w:szCs w:val="24"/>
          <w:lang w:val="en-US" w:eastAsia="zh-CN" w:bidi="ar-SA"/>
          <w14:textFill>
            <w14:solidFill>
              <w14:schemeClr w14:val="tx1"/>
            </w14:solidFill>
          </w14:textFill>
        </w:rPr>
      </w:pPr>
    </w:p>
    <w:p w14:paraId="62F78DFF">
      <w:pPr>
        <w:tabs>
          <w:tab w:val="left" w:pos="7274"/>
        </w:tabs>
        <w:bidi w:val="0"/>
        <w:jc w:val="left"/>
        <w:rPr>
          <w:color w:val="000000" w:themeColor="text1"/>
          <w:lang w:val="en-US" w:eastAsia="zh-CN"/>
          <w14:textFill>
            <w14:solidFill>
              <w14:schemeClr w14:val="tx1"/>
            </w14:solidFill>
          </w14:textFill>
        </w:rPr>
        <w:sectPr>
          <w:footerReference r:id="rId4" w:type="default"/>
          <w:pgSz w:w="11906" w:h="16838"/>
          <w:pgMar w:top="1474" w:right="1474" w:bottom="1474" w:left="1588" w:header="851" w:footer="992" w:gutter="0"/>
          <w:pgNumType w:start="1"/>
          <w:cols w:space="720" w:num="1"/>
          <w:docGrid w:type="lines" w:linePitch="312" w:charSpace="0"/>
        </w:sectPr>
      </w:pPr>
      <w:r>
        <w:rPr>
          <w:rFonts w:hint="eastAsia" w:ascii="Times New Roman" w:eastAsia="宋体"/>
          <w:color w:val="000000" w:themeColor="text1"/>
          <w:lang w:val="en-US" w:eastAsia="zh-CN"/>
          <w14:textFill>
            <w14:solidFill>
              <w14:schemeClr w14:val="tx1"/>
            </w14:solidFill>
          </w14:textFill>
        </w:rPr>
        <w:tab/>
      </w:r>
    </w:p>
    <w:p w14:paraId="2161C338">
      <w:pPr>
        <w:keepNext/>
        <w:adjustRightInd w:val="0"/>
        <w:snapToGrid w:val="0"/>
        <w:spacing w:before="156" w:beforeLines="50" w:line="360" w:lineRule="auto"/>
        <w:jc w:val="center"/>
        <w:outlineLvl w:val="0"/>
        <w:rPr>
          <w:rFonts w:hint="eastAsia" w:ascii="黑体" w:hAnsi="黑体" w:eastAsia="黑体"/>
          <w:b/>
          <w:bCs/>
          <w:color w:val="000000" w:themeColor="text1"/>
          <w:sz w:val="32"/>
          <w:szCs w:val="32"/>
          <w:highlight w:val="yellow"/>
          <w:lang w:eastAsia="zh-CN"/>
          <w14:textFill>
            <w14:solidFill>
              <w14:schemeClr w14:val="tx1"/>
            </w14:solidFill>
          </w14:textFill>
        </w:rPr>
      </w:pPr>
      <w:bookmarkStart w:id="0" w:name="_Toc4769"/>
      <w:r>
        <w:rPr>
          <w:rFonts w:hint="eastAsia" w:ascii="黑体" w:hAnsi="黑体" w:eastAsia="黑体"/>
          <w:b/>
          <w:bCs/>
          <w:color w:val="000000" w:themeColor="text1"/>
          <w:sz w:val="32"/>
          <w:szCs w:val="32"/>
          <w14:textFill>
            <w14:solidFill>
              <w14:schemeClr w14:val="tx1"/>
            </w14:solidFill>
          </w14:textFill>
        </w:rPr>
        <w:t>第一章 谈判</w:t>
      </w:r>
      <w:r>
        <w:rPr>
          <w:rFonts w:hint="eastAsia" w:ascii="黑体" w:hAnsi="黑体" w:eastAsia="黑体"/>
          <w:b/>
          <w:bCs/>
          <w:color w:val="000000" w:themeColor="text1"/>
          <w:sz w:val="32"/>
          <w:szCs w:val="32"/>
          <w:highlight w:val="none"/>
          <w:lang w:eastAsia="zh-CN"/>
          <w14:textFill>
            <w14:solidFill>
              <w14:schemeClr w14:val="tx1"/>
            </w14:solidFill>
          </w14:textFill>
        </w:rPr>
        <w:t>公告</w:t>
      </w:r>
      <w:bookmarkEnd w:id="0"/>
    </w:p>
    <w:p w14:paraId="5C96BBE2">
      <w:pPr>
        <w:pageBreakBefore w:val="0"/>
        <w:widowControl w:val="0"/>
        <w:kinsoku/>
        <w:wordWrap/>
        <w:overflowPunct/>
        <w:topLinePunct w:val="0"/>
        <w:bidi w:val="0"/>
        <w:adjustRightInd w:val="0"/>
        <w:snapToGrid w:val="0"/>
        <w:spacing w:line="360" w:lineRule="auto"/>
        <w:textAlignment w:val="auto"/>
        <w:rPr>
          <w:rFonts w:ascii="宋体" w:hAnsi="宋体"/>
          <w:color w:val="auto"/>
          <w:szCs w:val="21"/>
        </w:rPr>
      </w:pPr>
      <w:r>
        <w:rPr>
          <w:rFonts w:hint="eastAsia" w:ascii="宋体" w:hAnsi="宋体"/>
          <w:color w:val="auto"/>
          <w:szCs w:val="21"/>
          <w:u w:val="single"/>
          <w:lang w:val="en-US" w:eastAsia="zh-CN"/>
        </w:rPr>
        <w:t xml:space="preserve">            </w:t>
      </w:r>
      <w:r>
        <w:rPr>
          <w:rFonts w:hint="eastAsia" w:ascii="宋体" w:hAnsi="宋体"/>
          <w:color w:val="auto"/>
          <w:szCs w:val="21"/>
        </w:rPr>
        <w:t>(被邀请供应商名称)：</w:t>
      </w:r>
    </w:p>
    <w:p w14:paraId="20A8FF2C">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lang w:val="en-US" w:eastAsia="zh-CN"/>
          <w14:textFill>
            <w14:solidFill>
              <w14:schemeClr w14:val="tx1"/>
            </w14:solidFill>
          </w14:textFill>
        </w:rPr>
        <w:t>湖南医药学院总医院</w:t>
      </w:r>
      <w:r>
        <w:rPr>
          <w:rFonts w:hint="eastAsia" w:ascii="宋体" w:hAnsi="宋体"/>
          <w:color w:val="000000" w:themeColor="text1"/>
          <w:szCs w:val="21"/>
          <w14:textFill>
            <w14:solidFill>
              <w14:schemeClr w14:val="tx1"/>
            </w14:solidFill>
          </w14:textFill>
        </w:rPr>
        <w:t>（采购人名称）的</w:t>
      </w:r>
      <w:r>
        <w:rPr>
          <w:rFonts w:hint="eastAsia" w:ascii="宋体" w:hAnsi="宋体"/>
          <w:color w:val="000000" w:themeColor="text1"/>
          <w:szCs w:val="21"/>
          <w:u w:val="single"/>
          <w:lang w:eastAsia="zh-CN"/>
          <w14:textFill>
            <w14:solidFill>
              <w14:schemeClr w14:val="tx1"/>
            </w14:solidFill>
          </w14:textFill>
        </w:rPr>
        <w:t>湖南医药学院总医院低温液氧储存罐采购及配套安装项目</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auto"/>
          <w:szCs w:val="21"/>
        </w:rPr>
        <w:t>进行竞争性谈判采购，邀请你单位参加谈判采购活动。</w:t>
      </w:r>
    </w:p>
    <w:p w14:paraId="72994CBF">
      <w:pPr>
        <w:keepNext/>
        <w:keepLines/>
        <w:adjustRightInd w:val="0"/>
        <w:snapToGrid w:val="0"/>
        <w:spacing w:before="156" w:beforeLines="50" w:line="360" w:lineRule="auto"/>
        <w:outlineLvl w:val="1"/>
        <w:rPr>
          <w:rFonts w:ascii="黑体" w:hAnsi="黑体" w:eastAsia="黑体"/>
          <w:b/>
          <w:bCs/>
          <w:color w:val="000000" w:themeColor="text1"/>
          <w:sz w:val="24"/>
          <w:szCs w:val="32"/>
          <w14:textFill>
            <w14:solidFill>
              <w14:schemeClr w14:val="tx1"/>
            </w14:solidFill>
          </w14:textFill>
        </w:rPr>
      </w:pPr>
      <w:bookmarkStart w:id="1" w:name="_Toc22201055"/>
      <w:bookmarkStart w:id="2" w:name="_Toc17227"/>
      <w:r>
        <w:rPr>
          <w:rFonts w:hint="eastAsia" w:ascii="黑体" w:hAnsi="黑体" w:eastAsia="黑体"/>
          <w:b/>
          <w:bCs/>
          <w:color w:val="000000" w:themeColor="text1"/>
          <w:sz w:val="24"/>
          <w:szCs w:val="32"/>
          <w14:textFill>
            <w14:solidFill>
              <w14:schemeClr w14:val="tx1"/>
            </w14:solidFill>
          </w14:textFill>
        </w:rPr>
        <w:t>一、采购项目</w:t>
      </w:r>
      <w:bookmarkEnd w:id="1"/>
      <w:r>
        <w:rPr>
          <w:rFonts w:hint="eastAsia" w:ascii="黑体" w:hAnsi="黑体" w:eastAsia="黑体"/>
          <w:b/>
          <w:bCs/>
          <w:color w:val="000000" w:themeColor="text1"/>
          <w:sz w:val="24"/>
          <w:szCs w:val="32"/>
          <w14:textFill>
            <w14:solidFill>
              <w14:schemeClr w14:val="tx1"/>
            </w14:solidFill>
          </w14:textFill>
        </w:rPr>
        <w:t>基本情况</w:t>
      </w:r>
      <w:bookmarkEnd w:id="2"/>
    </w:p>
    <w:p w14:paraId="3E3F53AE">
      <w:pPr>
        <w:adjustRightInd w:val="0"/>
        <w:snapToGrid w:val="0"/>
        <w:spacing w:line="360" w:lineRule="auto"/>
        <w:ind w:firstLine="420" w:firstLineChars="200"/>
        <w:rPr>
          <w:rFonts w:hint="eastAsia" w:ascii="宋体" w:hAnsi="宋体" w:eastAsia="宋体"/>
          <w:color w:val="000000" w:themeColor="text1"/>
          <w:szCs w:val="21"/>
          <w:u w:val="single"/>
          <w:lang w:eastAsia="zh-C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1、采购项目名称：</w:t>
      </w:r>
      <w:r>
        <w:rPr>
          <w:rFonts w:hint="eastAsia" w:ascii="宋体" w:hAnsi="宋体"/>
          <w:color w:val="000000" w:themeColor="text1"/>
          <w:szCs w:val="21"/>
          <w:u w:val="single"/>
          <w:lang w:eastAsia="zh-CN"/>
          <w14:textFill>
            <w14:solidFill>
              <w14:schemeClr w14:val="tx1"/>
            </w14:solidFill>
          </w14:textFill>
        </w:rPr>
        <w:t>湖南医药学院总医院低温液氧储存罐采购及配套安装项目</w:t>
      </w:r>
    </w:p>
    <w:p w14:paraId="0AB03F57">
      <w:pPr>
        <w:adjustRightInd w:val="0"/>
        <w:snapToGrid w:val="0"/>
        <w:spacing w:line="360" w:lineRule="auto"/>
        <w:ind w:firstLine="420" w:firstLineChars="200"/>
        <w:rPr>
          <w:rFonts w:hint="eastAsia" w:ascii="宋体" w:hAnsi="宋体" w:cs="宋体"/>
          <w:szCs w:val="21"/>
          <w:u w:val="single"/>
          <w:lang w:val="en-US" w:eastAsia="zh-CN"/>
        </w:rPr>
      </w:pPr>
      <w:r>
        <w:rPr>
          <w:rFonts w:hint="eastAsia" w:ascii="宋体" w:hAnsi="宋体" w:eastAsia="宋体"/>
          <w:color w:val="000000" w:themeColor="text1"/>
          <w:szCs w:val="21"/>
          <w14:textFill>
            <w14:solidFill>
              <w14:schemeClr w14:val="tx1"/>
            </w14:solidFill>
          </w14:textFill>
        </w:rPr>
        <w:t>2、政府采购计划编号：</w:t>
      </w:r>
      <w:r>
        <w:rPr>
          <w:rFonts w:hint="eastAsia" w:ascii="宋体" w:hAnsi="宋体" w:cs="宋体"/>
          <w:szCs w:val="21"/>
          <w:u w:val="single"/>
          <w:lang w:val="en-US" w:eastAsia="zh-CN"/>
        </w:rPr>
        <w:t>湘财采计[2025]001811号</w:t>
      </w:r>
    </w:p>
    <w:p w14:paraId="496741FE">
      <w:pPr>
        <w:adjustRightInd w:val="0"/>
        <w:snapToGrid w:val="0"/>
        <w:spacing w:line="360" w:lineRule="auto"/>
        <w:ind w:firstLine="420" w:firstLineChars="200"/>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3、委托代理编号：</w:t>
      </w:r>
      <w:bookmarkStart w:id="3" w:name="_Toc22201056"/>
      <w:r>
        <w:rPr>
          <w:rFonts w:hint="eastAsia" w:ascii="宋体" w:hAnsi="宋体"/>
          <w:color w:val="000000" w:themeColor="text1"/>
          <w:szCs w:val="21"/>
          <w:u w:val="single"/>
          <w:lang w:eastAsia="zh-CN"/>
          <w14:textFill>
            <w14:solidFill>
              <w14:schemeClr w14:val="tx1"/>
            </w14:solidFill>
          </w14:textFill>
        </w:rPr>
        <w:t>2025-TZ066</w:t>
      </w:r>
    </w:p>
    <w:p w14:paraId="276EED99">
      <w:pPr>
        <w:adjustRightInd w:val="0"/>
        <w:snapToGrid w:val="0"/>
        <w:spacing w:line="360" w:lineRule="auto"/>
        <w:ind w:firstLine="420" w:firstLineChars="200"/>
        <w:rPr>
          <w:rFonts w:hint="default" w:ascii="宋体" w:hAnsi="宋体" w:eastAsia="宋体"/>
          <w:bCs/>
          <w:color w:val="000000" w:themeColor="text1"/>
          <w:szCs w:val="21"/>
          <w:lang w:val="en-US"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4、采购项目预算：</w:t>
      </w:r>
      <w:r>
        <w:rPr>
          <w:rFonts w:hint="eastAsia" w:ascii="宋体" w:hAnsi="宋体"/>
          <w:bCs/>
          <w:color w:val="000000" w:themeColor="text1"/>
          <w:szCs w:val="21"/>
          <w:lang w:val="en-US" w:eastAsia="zh-CN"/>
          <w14:textFill>
            <w14:solidFill>
              <w14:schemeClr w14:val="tx1"/>
            </w14:solidFill>
          </w14:textFill>
        </w:rPr>
        <w:t>90万元</w:t>
      </w:r>
    </w:p>
    <w:p w14:paraId="67B7685C">
      <w:pPr>
        <w:adjustRightInd w:val="0"/>
        <w:snapToGrid w:val="0"/>
        <w:spacing w:line="360" w:lineRule="auto"/>
        <w:ind w:firstLine="630" w:firstLineChars="300"/>
        <w:rPr>
          <w:rFonts w:ascii="宋体" w:hAnsi="宋体"/>
          <w:bCs/>
          <w:color w:val="000000" w:themeColor="text1"/>
          <w:szCs w:val="21"/>
          <w:u w:val="single"/>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支持</w:t>
      </w:r>
      <w:r>
        <w:rPr>
          <w:rFonts w:hint="eastAsia" w:ascii="宋体" w:hAnsi="宋体"/>
          <w:bCs/>
          <w:color w:val="000000" w:themeColor="text1"/>
          <w:szCs w:val="21"/>
          <w14:textFill>
            <w14:solidFill>
              <w14:schemeClr w14:val="tx1"/>
            </w14:solidFill>
          </w14:textFill>
        </w:rPr>
        <w:t>预付款，预付比例：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w:t>
      </w:r>
      <w:r>
        <w:rPr>
          <w:rFonts w:hint="eastAsia" w:ascii="宋体" w:hAnsi="宋体"/>
          <w:bCs/>
          <w:color w:val="000000" w:themeColor="text1"/>
          <w:szCs w:val="21"/>
          <w:u w:val="single"/>
          <w14:textFill>
            <w14:solidFill>
              <w14:schemeClr w14:val="tx1"/>
            </w14:solidFill>
          </w14:textFill>
        </w:rPr>
        <w:t xml:space="preserve">     </w:t>
      </w:r>
    </w:p>
    <w:p w14:paraId="07043EA6">
      <w:pPr>
        <w:adjustRightInd w:val="0"/>
        <w:snapToGrid w:val="0"/>
        <w:spacing w:line="360" w:lineRule="auto"/>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5、本项目</w:t>
      </w:r>
      <w:r>
        <w:rPr>
          <w:rFonts w:hint="eastAsia" w:ascii="宋体" w:hAnsi="宋体"/>
          <w:color w:val="000000" w:themeColor="text1"/>
          <w:szCs w:val="21"/>
          <w14:textFill>
            <w14:solidFill>
              <w14:schemeClr w14:val="tx1"/>
            </w14:solidFill>
          </w14:textFill>
        </w:rPr>
        <w:t>对应的中小企业划分标准所属行业：</w:t>
      </w:r>
      <w:r>
        <w:rPr>
          <w:rFonts w:hint="eastAsia" w:ascii="宋体" w:hAnsi="宋体"/>
          <w:color w:val="000000" w:themeColor="text1"/>
          <w:szCs w:val="21"/>
          <w:u w:val="single"/>
          <w:lang w:val="en-US" w:eastAsia="zh-CN"/>
          <w14:textFill>
            <w14:solidFill>
              <w14:schemeClr w14:val="tx1"/>
            </w14:solidFill>
          </w14:textFill>
        </w:rPr>
        <w:t>工业</w:t>
      </w:r>
      <w:r>
        <w:rPr>
          <w:rFonts w:hint="eastAsia" w:ascii="宋体" w:hAnsi="宋体"/>
          <w:color w:val="000000" w:themeColor="text1"/>
          <w:szCs w:val="21"/>
          <w:u w:val="single"/>
          <w14:textFill>
            <w14:solidFill>
              <w14:schemeClr w14:val="tx1"/>
            </w14:solidFill>
          </w14:textFill>
        </w:rPr>
        <w:t xml:space="preserve">行业 </w:t>
      </w:r>
    </w:p>
    <w:p w14:paraId="0AF879B7">
      <w:pPr>
        <w:adjustRightInd w:val="0"/>
        <w:snapToGrid w:val="0"/>
        <w:spacing w:line="360" w:lineRule="auto"/>
        <w:ind w:firstLine="420" w:firstLineChars="200"/>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6、合同定价方式：</w:t>
      </w:r>
      <w:r>
        <w:rPr>
          <w:rFonts w:hint="eastAsia" w:ascii="宋体" w:hAnsi="宋体"/>
          <w:iCs/>
          <w:color w:val="000000" w:themeColor="text1"/>
          <w:szCs w:val="21"/>
          <w14:textFill>
            <w14:solidFill>
              <w14:schemeClr w14:val="tx1"/>
            </w14:solidFill>
          </w14:textFill>
        </w:rPr>
        <w:sym w:font="Wingdings" w:char="00FE"/>
      </w:r>
      <w:r>
        <w:rPr>
          <w:rFonts w:hint="eastAsia" w:ascii="宋体" w:hAnsi="宋体"/>
          <w:iCs/>
          <w:color w:val="000000" w:themeColor="text1"/>
          <w:szCs w:val="21"/>
          <w14:textFill>
            <w14:solidFill>
              <w14:schemeClr w14:val="tx1"/>
            </w14:solidFill>
          </w14:textFill>
        </w:rPr>
        <w:t>固定总价</w:t>
      </w:r>
      <w:r>
        <w:rPr>
          <w:rFonts w:hint="eastAsia" w:ascii="宋体" w:hAnsi="宋体"/>
          <w:iCs/>
          <w:color w:val="000000" w:themeColor="text1"/>
          <w:szCs w:val="21"/>
          <w:highlight w:val="non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sym w:font="Wingdings" w:char="00A8"/>
      </w:r>
      <w:r>
        <w:rPr>
          <w:rFonts w:hint="eastAsia" w:ascii="宋体" w:hAnsi="宋体"/>
          <w:iCs/>
          <w:color w:val="000000" w:themeColor="text1"/>
          <w:szCs w:val="21"/>
          <w:highlight w:val="none"/>
          <w14:textFill>
            <w14:solidFill>
              <w14:schemeClr w14:val="tx1"/>
            </w14:solidFill>
          </w14:textFill>
        </w:rPr>
        <w:t>固定单价</w:t>
      </w:r>
      <w:r>
        <w:rPr>
          <w:rFonts w:hint="eastAsia" w:ascii="宋体" w:hAnsi="宋体"/>
          <w:iCs/>
          <w:color w:val="000000" w:themeColor="text1"/>
          <w:szCs w:val="21"/>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成本补偿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绩效激励</w:t>
      </w:r>
    </w:p>
    <w:p w14:paraId="7F915839">
      <w:pPr>
        <w:adjustRightInd w:val="0"/>
        <w:snapToGrid w:val="0"/>
        <w:spacing w:line="360" w:lineRule="auto"/>
        <w:ind w:firstLine="420" w:firstLineChars="200"/>
        <w:rPr>
          <w:rFonts w:ascii="宋体" w:hAnsi="宋体"/>
          <w:bCs/>
          <w:color w:val="auto"/>
          <w:szCs w:val="21"/>
          <w:highlight w:val="yellow"/>
          <w:u w:val="single"/>
        </w:rPr>
      </w:pPr>
      <w:r>
        <w:rPr>
          <w:rFonts w:hint="eastAsia" w:ascii="宋体" w:hAnsi="宋体"/>
          <w:bCs/>
          <w:color w:val="000000" w:themeColor="text1"/>
          <w:szCs w:val="21"/>
          <w14:textFill>
            <w14:solidFill>
              <w14:schemeClr w14:val="tx1"/>
            </w14:solidFill>
          </w14:textFill>
        </w:rPr>
        <w:t>7、合同履行期限：</w:t>
      </w:r>
      <w:r>
        <w:rPr>
          <w:rFonts w:hint="eastAsia" w:ascii="宋体" w:hAnsi="宋体"/>
          <w:bCs/>
          <w:color w:val="auto"/>
          <w:szCs w:val="21"/>
          <w:highlight w:val="none"/>
          <w:u w:val="single"/>
          <w:lang w:val="en-US" w:eastAsia="zh-CN"/>
        </w:rPr>
        <w:t>合同签订后40日历日内完成供货。</w:t>
      </w:r>
    </w:p>
    <w:p w14:paraId="368F4AB9">
      <w:pPr>
        <w:pStyle w:val="21"/>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8、</w:t>
      </w:r>
      <w:r>
        <w:rPr>
          <w:rFonts w:hint="eastAsia"/>
          <w:color w:val="000000" w:themeColor="text1"/>
          <w14:textFill>
            <w14:solidFill>
              <w14:schemeClr w14:val="tx1"/>
            </w14:solidFill>
          </w14:textFill>
        </w:rPr>
        <w:t>本项目分阶段要求供应商提供以下保证：</w:t>
      </w:r>
    </w:p>
    <w:p w14:paraId="20AF4F7D">
      <w:pPr>
        <w:pStyle w:val="21"/>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color w:val="000000" w:themeColor="text1"/>
          <w14:textFill>
            <w14:solidFill>
              <w14:schemeClr w14:val="tx1"/>
            </w14:solidFill>
          </w14:textFill>
        </w:rPr>
        <w:t>谈判保证金：</w:t>
      </w:r>
      <w:r>
        <w:rPr>
          <w:rFonts w:hint="eastAsia" w:ascii="宋体" w:hAnsi="宋体"/>
          <w:iCs/>
          <w:color w:val="000000" w:themeColor="text1"/>
          <w14:textFill>
            <w14:solidFill>
              <w14:schemeClr w14:val="tx1"/>
            </w14:solidFill>
          </w14:textFill>
        </w:rPr>
        <w:t>采购项目预算的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w:t>
      </w:r>
    </w:p>
    <w:p w14:paraId="2D4FEEFC">
      <w:pPr>
        <w:pStyle w:val="21"/>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color w:val="000000" w:themeColor="text1"/>
          <w14:textFill>
            <w14:solidFill>
              <w14:schemeClr w14:val="tx1"/>
            </w14:solidFill>
          </w14:textFill>
        </w:rPr>
        <w:t>履约保证金：</w:t>
      </w:r>
      <w:r>
        <w:rPr>
          <w:rFonts w:hint="eastAsia" w:ascii="宋体" w:hAnsi="宋体"/>
          <w:iCs/>
          <w:color w:val="000000" w:themeColor="text1"/>
          <w14:textFill>
            <w14:solidFill>
              <w14:schemeClr w14:val="tx1"/>
            </w14:solidFill>
          </w14:textFill>
        </w:rPr>
        <w:t>中标金额的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w:t>
      </w:r>
    </w:p>
    <w:p w14:paraId="23265B13">
      <w:pPr>
        <w:pStyle w:val="21"/>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iCs/>
          <w:color w:val="000000" w:themeColor="text1"/>
          <w14:textFill>
            <w14:solidFill>
              <w14:schemeClr w14:val="tx1"/>
            </w14:solidFill>
          </w14:textFill>
        </w:rPr>
        <w:t>预付款保证金：预付款的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p>
    <w:p w14:paraId="5C0AF12A">
      <w:pPr>
        <w:pStyle w:val="21"/>
        <w:spacing w:line="360" w:lineRule="auto"/>
        <w:rPr>
          <w:rFonts w:ascii="宋体" w:hAnsi="宋体"/>
          <w:iCs/>
          <w:color w:val="000000" w:themeColor="text1"/>
          <w14:textFill>
            <w14:solidFill>
              <w14:schemeClr w14:val="tx1"/>
            </w14:solidFill>
          </w14:textFill>
        </w:rPr>
      </w:pPr>
      <w:r>
        <w:rPr>
          <w:rFonts w:hint="eastAsia" w:ascii="宋体" w:hAnsi="宋体"/>
          <w:iCs/>
          <w:color w:val="000000" w:themeColor="text1"/>
          <w14:textFill>
            <w14:solidFill>
              <w14:schemeClr w14:val="tx1"/>
            </w14:solidFill>
          </w14:textFill>
        </w:rPr>
        <w:sym w:font="Wingdings" w:char="00A8"/>
      </w:r>
      <w:r>
        <w:rPr>
          <w:rFonts w:hint="eastAsia" w:ascii="宋体" w:hAnsi="宋体"/>
          <w:iCs/>
          <w:color w:val="000000" w:themeColor="text1"/>
          <w14:textFill>
            <w14:solidFill>
              <w14:schemeClr w14:val="tx1"/>
            </w14:solidFill>
          </w14:textFill>
        </w:rPr>
        <w:t>质量保证金：合同金额的</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u w:val="single"/>
          <w:lang w:val="en-US" w:eastAsia="zh-CN"/>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w:t>
      </w:r>
    </w:p>
    <w:p w14:paraId="79991343">
      <w:pPr>
        <w:keepNext/>
        <w:keepLines/>
        <w:numPr>
          <w:ilvl w:val="0"/>
          <w:numId w:val="1"/>
        </w:numPr>
        <w:adjustRightInd w:val="0"/>
        <w:snapToGrid w:val="0"/>
        <w:spacing w:before="156" w:beforeLines="50" w:line="360" w:lineRule="auto"/>
        <w:outlineLvl w:val="1"/>
        <w:rPr>
          <w:rFonts w:hint="eastAsia" w:ascii="黑体" w:hAnsi="黑体" w:eastAsia="黑体"/>
          <w:b/>
          <w:bCs/>
          <w:color w:val="000000" w:themeColor="text1"/>
          <w:sz w:val="24"/>
          <w:szCs w:val="32"/>
          <w14:textFill>
            <w14:solidFill>
              <w14:schemeClr w14:val="tx1"/>
            </w14:solidFill>
          </w14:textFill>
        </w:rPr>
      </w:pPr>
      <w:bookmarkStart w:id="4" w:name="_Toc21679"/>
      <w:r>
        <w:rPr>
          <w:rFonts w:hint="eastAsia" w:ascii="黑体" w:hAnsi="黑体" w:eastAsia="黑体"/>
          <w:b/>
          <w:bCs/>
          <w:color w:val="000000" w:themeColor="text1"/>
          <w:sz w:val="24"/>
          <w:szCs w:val="32"/>
          <w14:textFill>
            <w14:solidFill>
              <w14:schemeClr w14:val="tx1"/>
            </w14:solidFill>
          </w14:textFill>
        </w:rPr>
        <w:t>采购</w:t>
      </w:r>
      <w:bookmarkEnd w:id="3"/>
      <w:r>
        <w:rPr>
          <w:rFonts w:hint="eastAsia" w:ascii="黑体" w:hAnsi="黑体" w:eastAsia="黑体"/>
          <w:b/>
          <w:bCs/>
          <w:color w:val="000000" w:themeColor="text1"/>
          <w:sz w:val="24"/>
          <w:szCs w:val="32"/>
          <w:lang w:eastAsia="zh-CN"/>
          <w14:textFill>
            <w14:solidFill>
              <w14:schemeClr w14:val="tx1"/>
            </w14:solidFill>
          </w14:textFill>
        </w:rPr>
        <w:t>目录：</w:t>
      </w:r>
      <w:bookmarkEnd w:id="4"/>
    </w:p>
    <w:tbl>
      <w:tblPr>
        <w:tblStyle w:val="18"/>
        <w:tblW w:w="960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4" w:space="0"/>
        </w:tblBorders>
        <w:tblLayout w:type="fixed"/>
        <w:tblCellMar>
          <w:top w:w="0" w:type="dxa"/>
          <w:left w:w="108" w:type="dxa"/>
          <w:bottom w:w="0" w:type="dxa"/>
          <w:right w:w="108" w:type="dxa"/>
        </w:tblCellMar>
      </w:tblPr>
      <w:tblGrid>
        <w:gridCol w:w="573"/>
        <w:gridCol w:w="1513"/>
        <w:gridCol w:w="1525"/>
        <w:gridCol w:w="1033"/>
        <w:gridCol w:w="591"/>
        <w:gridCol w:w="1500"/>
        <w:gridCol w:w="1453"/>
        <w:gridCol w:w="709"/>
        <w:gridCol w:w="709"/>
      </w:tblGrid>
      <w:tr w14:paraId="418B6241">
        <w:tblPrEx>
          <w:tblBorders>
            <w:top w:val="double" w:color="auto" w:sz="4" w:space="0"/>
            <w:left w:val="double" w:color="auto" w:sz="4" w:space="0"/>
            <w:bottom w:val="double" w:color="auto" w:sz="4" w:space="0"/>
            <w:right w:val="double" w:color="auto" w:sz="4" w:space="0"/>
            <w:insideH w:val="single" w:color="auto" w:sz="6" w:space="0"/>
            <w:insideV w:val="single" w:color="auto" w:sz="4" w:space="0"/>
          </w:tblBorders>
          <w:tblCellMar>
            <w:top w:w="0" w:type="dxa"/>
            <w:left w:w="108" w:type="dxa"/>
            <w:bottom w:w="0" w:type="dxa"/>
            <w:right w:w="108" w:type="dxa"/>
          </w:tblCellMar>
        </w:tblPrEx>
        <w:trPr>
          <w:cantSplit/>
          <w:trHeight w:val="1022" w:hRule="atLeast"/>
        </w:trPr>
        <w:tc>
          <w:tcPr>
            <w:tcW w:w="573" w:type="dxa"/>
            <w:tcBorders>
              <w:tl2br w:val="nil"/>
              <w:tr2bl w:val="nil"/>
            </w:tcBorders>
            <w:noWrap w:val="0"/>
            <w:vAlign w:val="center"/>
          </w:tcPr>
          <w:p w14:paraId="07C99756">
            <w:pPr>
              <w:adjustRightInd w:val="0"/>
              <w:snapToGrid w:val="0"/>
              <w:jc w:val="center"/>
              <w:rPr>
                <w:szCs w:val="21"/>
              </w:rPr>
            </w:pPr>
            <w:r>
              <w:rPr>
                <w:rFonts w:hint="eastAsia"/>
                <w:szCs w:val="21"/>
              </w:rPr>
              <w:t xml:space="preserve">包号 </w:t>
            </w:r>
          </w:p>
        </w:tc>
        <w:tc>
          <w:tcPr>
            <w:tcW w:w="1513" w:type="dxa"/>
            <w:tcBorders>
              <w:tl2br w:val="nil"/>
              <w:tr2bl w:val="nil"/>
            </w:tcBorders>
            <w:noWrap w:val="0"/>
            <w:vAlign w:val="center"/>
          </w:tcPr>
          <w:p w14:paraId="74065F49">
            <w:pPr>
              <w:adjustRightInd w:val="0"/>
              <w:snapToGrid w:val="0"/>
              <w:jc w:val="center"/>
              <w:rPr>
                <w:szCs w:val="21"/>
              </w:rPr>
            </w:pPr>
            <w:r>
              <w:rPr>
                <w:rFonts w:hint="eastAsia"/>
                <w:szCs w:val="21"/>
              </w:rPr>
              <w:t>包名称</w:t>
            </w:r>
          </w:p>
        </w:tc>
        <w:tc>
          <w:tcPr>
            <w:tcW w:w="1525" w:type="dxa"/>
            <w:tcBorders>
              <w:tl2br w:val="nil"/>
              <w:tr2bl w:val="nil"/>
            </w:tcBorders>
            <w:noWrap w:val="0"/>
            <w:vAlign w:val="center"/>
          </w:tcPr>
          <w:p w14:paraId="27F703DE">
            <w:pPr>
              <w:adjustRightInd w:val="0"/>
              <w:snapToGrid w:val="0"/>
              <w:jc w:val="center"/>
              <w:rPr>
                <w:szCs w:val="21"/>
              </w:rPr>
            </w:pPr>
            <w:r>
              <w:rPr>
                <w:rFonts w:hint="eastAsia"/>
                <w:szCs w:val="21"/>
              </w:rPr>
              <w:t>标的名称</w:t>
            </w:r>
          </w:p>
        </w:tc>
        <w:tc>
          <w:tcPr>
            <w:tcW w:w="1033" w:type="dxa"/>
            <w:tcBorders>
              <w:tl2br w:val="nil"/>
              <w:tr2bl w:val="nil"/>
            </w:tcBorders>
            <w:noWrap w:val="0"/>
            <w:vAlign w:val="center"/>
          </w:tcPr>
          <w:p w14:paraId="718EDF5C">
            <w:pPr>
              <w:adjustRightInd w:val="0"/>
              <w:snapToGrid w:val="0"/>
              <w:jc w:val="center"/>
              <w:rPr>
                <w:szCs w:val="21"/>
              </w:rPr>
            </w:pPr>
            <w:r>
              <w:rPr>
                <w:rFonts w:hint="eastAsia"/>
                <w:szCs w:val="21"/>
              </w:rPr>
              <w:t>简要技术要求</w:t>
            </w:r>
          </w:p>
        </w:tc>
        <w:tc>
          <w:tcPr>
            <w:tcW w:w="591" w:type="dxa"/>
            <w:tcBorders>
              <w:tl2br w:val="nil"/>
              <w:tr2bl w:val="nil"/>
            </w:tcBorders>
            <w:noWrap w:val="0"/>
            <w:vAlign w:val="center"/>
          </w:tcPr>
          <w:p w14:paraId="18D7777C">
            <w:pPr>
              <w:adjustRightInd w:val="0"/>
              <w:snapToGrid w:val="0"/>
              <w:jc w:val="center"/>
              <w:rPr>
                <w:rFonts w:ascii="宋体" w:hAnsi="宋体" w:cs="宋体"/>
                <w:kern w:val="0"/>
                <w:szCs w:val="21"/>
              </w:rPr>
            </w:pPr>
            <w:r>
              <w:rPr>
                <w:rFonts w:hint="eastAsia"/>
                <w:szCs w:val="21"/>
              </w:rPr>
              <w:t>数量</w:t>
            </w:r>
          </w:p>
        </w:tc>
        <w:tc>
          <w:tcPr>
            <w:tcW w:w="1500" w:type="dxa"/>
            <w:tcBorders>
              <w:tl2br w:val="nil"/>
              <w:tr2bl w:val="nil"/>
            </w:tcBorders>
            <w:noWrap w:val="0"/>
            <w:vAlign w:val="center"/>
          </w:tcPr>
          <w:p w14:paraId="1EA4255B">
            <w:pPr>
              <w:adjustRightInd w:val="0"/>
              <w:snapToGrid w:val="0"/>
              <w:jc w:val="center"/>
              <w:rPr>
                <w:szCs w:val="21"/>
              </w:rPr>
            </w:pPr>
            <w:r>
              <w:rPr>
                <w:rFonts w:hint="eastAsia"/>
                <w:szCs w:val="21"/>
              </w:rPr>
              <w:t>标的预算</w:t>
            </w:r>
          </w:p>
        </w:tc>
        <w:tc>
          <w:tcPr>
            <w:tcW w:w="1453" w:type="dxa"/>
            <w:tcBorders>
              <w:tl2br w:val="nil"/>
              <w:tr2bl w:val="nil"/>
            </w:tcBorders>
            <w:noWrap w:val="0"/>
            <w:vAlign w:val="center"/>
          </w:tcPr>
          <w:p w14:paraId="1DC71BD4">
            <w:pPr>
              <w:adjustRightInd w:val="0"/>
              <w:snapToGrid w:val="0"/>
              <w:jc w:val="center"/>
              <w:rPr>
                <w:color w:val="auto"/>
                <w:szCs w:val="21"/>
              </w:rPr>
            </w:pPr>
            <w:r>
              <w:rPr>
                <w:rFonts w:hint="eastAsia"/>
                <w:color w:val="auto"/>
                <w:szCs w:val="21"/>
              </w:rPr>
              <w:t>最高限价</w:t>
            </w:r>
          </w:p>
        </w:tc>
        <w:tc>
          <w:tcPr>
            <w:tcW w:w="709" w:type="dxa"/>
            <w:tcBorders>
              <w:tl2br w:val="nil"/>
              <w:tr2bl w:val="nil"/>
            </w:tcBorders>
            <w:noWrap w:val="0"/>
            <w:vAlign w:val="center"/>
          </w:tcPr>
          <w:p w14:paraId="676AD33C">
            <w:pPr>
              <w:adjustRightInd w:val="0"/>
              <w:snapToGrid w:val="0"/>
              <w:jc w:val="center"/>
              <w:rPr>
                <w:color w:val="auto"/>
                <w:szCs w:val="21"/>
              </w:rPr>
            </w:pPr>
            <w:r>
              <w:rPr>
                <w:rFonts w:hint="eastAsia"/>
                <w:color w:val="auto"/>
                <w:szCs w:val="21"/>
              </w:rPr>
              <w:t>节能产品</w:t>
            </w:r>
          </w:p>
        </w:tc>
        <w:tc>
          <w:tcPr>
            <w:tcW w:w="709" w:type="dxa"/>
            <w:tcBorders>
              <w:tl2br w:val="nil"/>
              <w:tr2bl w:val="nil"/>
            </w:tcBorders>
            <w:noWrap w:val="0"/>
            <w:vAlign w:val="center"/>
          </w:tcPr>
          <w:p w14:paraId="13BE980E">
            <w:pPr>
              <w:adjustRightInd w:val="0"/>
              <w:snapToGrid w:val="0"/>
              <w:jc w:val="center"/>
              <w:rPr>
                <w:szCs w:val="21"/>
              </w:rPr>
            </w:pPr>
            <w:r>
              <w:rPr>
                <w:rFonts w:hint="eastAsia"/>
                <w:szCs w:val="21"/>
              </w:rPr>
              <w:t>进口产品</w:t>
            </w:r>
          </w:p>
        </w:tc>
      </w:tr>
      <w:tr w14:paraId="23995D52">
        <w:tblPrEx>
          <w:tblBorders>
            <w:top w:val="double" w:color="auto" w:sz="4" w:space="0"/>
            <w:left w:val="double" w:color="auto" w:sz="4" w:space="0"/>
            <w:bottom w:val="double" w:color="auto" w:sz="4" w:space="0"/>
            <w:right w:val="double" w:color="auto" w:sz="4" w:space="0"/>
            <w:insideH w:val="single" w:color="auto" w:sz="6" w:space="0"/>
            <w:insideV w:val="single" w:color="auto" w:sz="4" w:space="0"/>
          </w:tblBorders>
          <w:tblCellMar>
            <w:top w:w="0" w:type="dxa"/>
            <w:left w:w="108" w:type="dxa"/>
            <w:bottom w:w="0" w:type="dxa"/>
            <w:right w:w="108" w:type="dxa"/>
          </w:tblCellMar>
        </w:tblPrEx>
        <w:trPr>
          <w:cantSplit/>
          <w:trHeight w:val="1358" w:hRule="atLeast"/>
        </w:trPr>
        <w:tc>
          <w:tcPr>
            <w:tcW w:w="573" w:type="dxa"/>
            <w:tcBorders>
              <w:tl2br w:val="nil"/>
              <w:tr2bl w:val="nil"/>
            </w:tcBorders>
            <w:noWrap w:val="0"/>
            <w:vAlign w:val="center"/>
          </w:tcPr>
          <w:p w14:paraId="56A61213">
            <w:pPr>
              <w:adjustRightInd w:val="0"/>
              <w:snapToGrid w:val="0"/>
              <w:spacing w:beforeLines="50" w:line="360" w:lineRule="auto"/>
              <w:jc w:val="center"/>
              <w:rPr>
                <w:szCs w:val="21"/>
              </w:rPr>
            </w:pPr>
            <w:r>
              <w:rPr>
                <w:rFonts w:hint="eastAsia"/>
                <w:szCs w:val="21"/>
              </w:rPr>
              <w:t>1</w:t>
            </w:r>
          </w:p>
        </w:tc>
        <w:tc>
          <w:tcPr>
            <w:tcW w:w="1513" w:type="dxa"/>
            <w:tcBorders>
              <w:tl2br w:val="nil"/>
              <w:tr2bl w:val="nil"/>
            </w:tcBorders>
            <w:noWrap w:val="0"/>
            <w:vAlign w:val="center"/>
          </w:tcPr>
          <w:p w14:paraId="15C4B26A">
            <w:pPr>
              <w:adjustRightInd w:val="0"/>
              <w:snapToGrid w:val="0"/>
              <w:jc w:val="center"/>
              <w:rPr>
                <w:rFonts w:hint="eastAsia"/>
                <w:szCs w:val="21"/>
                <w:lang w:eastAsia="zh-CN"/>
              </w:rPr>
            </w:pPr>
            <w:r>
              <w:rPr>
                <w:rFonts w:hint="eastAsia"/>
                <w:szCs w:val="21"/>
                <w:lang w:eastAsia="zh-CN"/>
              </w:rPr>
              <w:t>湖南医药学院总医院低温液氧储存罐采购及配套安装项目</w:t>
            </w:r>
          </w:p>
        </w:tc>
        <w:tc>
          <w:tcPr>
            <w:tcW w:w="1525" w:type="dxa"/>
            <w:tcBorders>
              <w:tl2br w:val="nil"/>
              <w:tr2bl w:val="nil"/>
            </w:tcBorders>
            <w:noWrap w:val="0"/>
            <w:vAlign w:val="center"/>
          </w:tcPr>
          <w:p w14:paraId="33ED63E5">
            <w:pPr>
              <w:adjustRightInd w:val="0"/>
              <w:snapToGrid w:val="0"/>
              <w:jc w:val="center"/>
              <w:rPr>
                <w:rFonts w:hint="eastAsia"/>
                <w:szCs w:val="21"/>
                <w:lang w:eastAsia="zh-CN"/>
              </w:rPr>
            </w:pPr>
            <w:r>
              <w:rPr>
                <w:rFonts w:hint="eastAsia"/>
                <w:szCs w:val="21"/>
                <w:lang w:eastAsia="zh-CN"/>
              </w:rPr>
              <w:t>湖南医药学院总医院低温液氧储存罐采购及配套安装项目</w:t>
            </w:r>
          </w:p>
        </w:tc>
        <w:tc>
          <w:tcPr>
            <w:tcW w:w="1033" w:type="dxa"/>
            <w:tcBorders>
              <w:tl2br w:val="nil"/>
              <w:tr2bl w:val="nil"/>
            </w:tcBorders>
            <w:noWrap w:val="0"/>
            <w:vAlign w:val="center"/>
          </w:tcPr>
          <w:p w14:paraId="097F897B">
            <w:pPr>
              <w:adjustRightInd w:val="0"/>
              <w:snapToGrid w:val="0"/>
              <w:spacing w:beforeLines="50" w:line="360" w:lineRule="auto"/>
              <w:jc w:val="center"/>
              <w:rPr>
                <w:rFonts w:hint="eastAsia" w:eastAsia="宋体"/>
                <w:color w:val="auto"/>
                <w:szCs w:val="21"/>
                <w:lang w:eastAsia="zh-CN"/>
              </w:rPr>
            </w:pPr>
            <w:r>
              <w:rPr>
                <w:rFonts w:hint="eastAsia"/>
                <w:color w:val="auto"/>
                <w:szCs w:val="21"/>
              </w:rPr>
              <w:t>详见</w:t>
            </w:r>
            <w:r>
              <w:rPr>
                <w:rFonts w:hint="eastAsia"/>
                <w:color w:val="auto"/>
                <w:szCs w:val="21"/>
                <w:lang w:val="en-US" w:eastAsia="zh-CN"/>
              </w:rPr>
              <w:t>采购需求</w:t>
            </w:r>
          </w:p>
        </w:tc>
        <w:tc>
          <w:tcPr>
            <w:tcW w:w="591" w:type="dxa"/>
            <w:tcBorders>
              <w:tl2br w:val="nil"/>
              <w:tr2bl w:val="nil"/>
            </w:tcBorders>
            <w:noWrap w:val="0"/>
            <w:vAlign w:val="center"/>
          </w:tcPr>
          <w:p w14:paraId="1453E40F">
            <w:pPr>
              <w:adjustRightInd w:val="0"/>
              <w:snapToGrid w:val="0"/>
              <w:spacing w:beforeLines="50" w:line="360" w:lineRule="auto"/>
              <w:jc w:val="center"/>
              <w:rPr>
                <w:rFonts w:hint="default" w:eastAsia="宋体"/>
                <w:color w:val="auto"/>
                <w:szCs w:val="21"/>
                <w:lang w:val="en-US" w:eastAsia="zh-CN"/>
              </w:rPr>
            </w:pPr>
            <w:r>
              <w:rPr>
                <w:rFonts w:hint="eastAsia" w:ascii="Times New Roman" w:eastAsia="宋体"/>
                <w:color w:val="auto"/>
                <w:szCs w:val="21"/>
                <w:lang w:val="en-US" w:eastAsia="zh-CN"/>
              </w:rPr>
              <w:t>1</w:t>
            </w:r>
          </w:p>
        </w:tc>
        <w:tc>
          <w:tcPr>
            <w:tcW w:w="1500" w:type="dxa"/>
            <w:tcBorders>
              <w:tl2br w:val="nil"/>
              <w:tr2bl w:val="nil"/>
            </w:tcBorders>
            <w:noWrap w:val="0"/>
            <w:vAlign w:val="center"/>
          </w:tcPr>
          <w:p w14:paraId="2C3C9A12">
            <w:pPr>
              <w:adjustRightInd w:val="0"/>
              <w:snapToGrid w:val="0"/>
              <w:spacing w:beforeLines="50" w:line="360" w:lineRule="auto"/>
              <w:jc w:val="center"/>
              <w:rPr>
                <w:rFonts w:hint="eastAsia" w:eastAsia="宋体"/>
                <w:szCs w:val="21"/>
                <w:lang w:val="en-US" w:eastAsia="zh-CN"/>
              </w:rPr>
            </w:pPr>
            <w:r>
              <w:rPr>
                <w:rFonts w:hint="eastAsia" w:eastAsia="宋体"/>
                <w:szCs w:val="21"/>
                <w:lang w:val="en-US" w:eastAsia="zh-CN"/>
              </w:rPr>
              <w:t xml:space="preserve"> </w:t>
            </w:r>
            <w:r>
              <w:rPr>
                <w:rFonts w:hint="eastAsia" w:ascii="Times New Roman" w:eastAsia="宋体"/>
                <w:szCs w:val="21"/>
                <w:lang w:val="en-US" w:eastAsia="zh-CN"/>
              </w:rPr>
              <w:t>900000.00元</w:t>
            </w:r>
          </w:p>
        </w:tc>
        <w:tc>
          <w:tcPr>
            <w:tcW w:w="1453" w:type="dxa"/>
            <w:tcBorders>
              <w:tl2br w:val="nil"/>
              <w:tr2bl w:val="nil"/>
            </w:tcBorders>
            <w:shd w:val="clear" w:color="auto" w:fill="auto"/>
            <w:noWrap w:val="0"/>
            <w:vAlign w:val="center"/>
          </w:tcPr>
          <w:p w14:paraId="6FD2CBB6">
            <w:pPr>
              <w:adjustRightInd w:val="0"/>
              <w:snapToGrid w:val="0"/>
              <w:spacing w:beforeLines="50" w:line="360" w:lineRule="auto"/>
              <w:jc w:val="center"/>
              <w:rPr>
                <w:rFonts w:hint="eastAsia" w:ascii="Times New Roman" w:hAnsi="Times New Roman" w:eastAsia="宋体" w:cs="Times New Roman"/>
                <w:kern w:val="2"/>
                <w:sz w:val="21"/>
                <w:szCs w:val="21"/>
                <w:lang w:val="en-US" w:eastAsia="zh-CN" w:bidi="ar-SA"/>
              </w:rPr>
            </w:pPr>
            <w:r>
              <w:rPr>
                <w:rFonts w:hint="eastAsia" w:eastAsia="宋体"/>
                <w:szCs w:val="21"/>
                <w:lang w:val="en-US" w:eastAsia="zh-CN"/>
              </w:rPr>
              <w:t xml:space="preserve"> </w:t>
            </w:r>
            <w:r>
              <w:rPr>
                <w:rFonts w:hint="eastAsia" w:ascii="Times New Roman" w:eastAsia="宋体"/>
                <w:szCs w:val="21"/>
                <w:lang w:val="en-US" w:eastAsia="zh-CN"/>
              </w:rPr>
              <w:t>900000.00元</w:t>
            </w:r>
          </w:p>
        </w:tc>
        <w:tc>
          <w:tcPr>
            <w:tcW w:w="709" w:type="dxa"/>
            <w:tcBorders>
              <w:tl2br w:val="nil"/>
              <w:tr2bl w:val="nil"/>
            </w:tcBorders>
            <w:noWrap w:val="0"/>
            <w:vAlign w:val="center"/>
          </w:tcPr>
          <w:p w14:paraId="4DF2652A">
            <w:pPr>
              <w:adjustRightInd w:val="0"/>
              <w:snapToGrid w:val="0"/>
              <w:spacing w:beforeLines="50" w:line="360" w:lineRule="auto"/>
              <w:jc w:val="center"/>
              <w:rPr>
                <w:color w:val="auto"/>
                <w:szCs w:val="21"/>
              </w:rPr>
            </w:pPr>
            <w:r>
              <w:rPr>
                <w:rFonts w:hint="eastAsia" w:ascii="宋体" w:hAnsi="宋体"/>
                <w:iCs/>
                <w:color w:val="auto"/>
                <w:szCs w:val="21"/>
              </w:rPr>
              <w:t>/</w:t>
            </w:r>
          </w:p>
        </w:tc>
        <w:tc>
          <w:tcPr>
            <w:tcW w:w="709" w:type="dxa"/>
            <w:tcBorders>
              <w:tl2br w:val="nil"/>
              <w:tr2bl w:val="nil"/>
            </w:tcBorders>
            <w:noWrap w:val="0"/>
            <w:vAlign w:val="center"/>
          </w:tcPr>
          <w:p w14:paraId="27B3C335">
            <w:pPr>
              <w:adjustRightInd w:val="0"/>
              <w:snapToGrid w:val="0"/>
              <w:spacing w:beforeLines="50" w:line="360" w:lineRule="auto"/>
              <w:jc w:val="center"/>
              <w:rPr>
                <w:szCs w:val="21"/>
              </w:rPr>
            </w:pPr>
            <w:r>
              <w:rPr>
                <w:rFonts w:hint="eastAsia" w:ascii="宋体" w:hAnsi="宋体"/>
                <w:iCs/>
                <w:szCs w:val="21"/>
              </w:rPr>
              <w:t>/</w:t>
            </w:r>
          </w:p>
        </w:tc>
      </w:tr>
    </w:tbl>
    <w:p w14:paraId="0711471C">
      <w:pPr>
        <w:adjustRightInd w:val="0"/>
        <w:snapToGrid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说明：</w:t>
      </w:r>
    </w:p>
    <w:p w14:paraId="2772D986">
      <w:pPr>
        <w:adjustRightInd w:val="0"/>
        <w:snapToGrid w:val="0"/>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lang w:val="en-US" w:eastAsia="zh-CN"/>
        </w:rPr>
        <w:t>1</w:t>
      </w:r>
      <w:r>
        <w:rPr>
          <w:rFonts w:hint="eastAsia" w:ascii="宋体" w:hAnsi="宋体" w:eastAsia="宋体" w:cs="宋体"/>
          <w:szCs w:val="21"/>
          <w:lang w:val="en-US" w:eastAsia="zh-CN"/>
        </w:rPr>
        <w:t>.节能产品实行强制采购的，需提供国家认证机构出具的、处于有效期内的节能产品证书。</w:t>
      </w:r>
    </w:p>
    <w:p w14:paraId="57457264">
      <w:pPr>
        <w:adjustRightInd w:val="0"/>
        <w:snapToGrid w:val="0"/>
        <w:spacing w:line="360" w:lineRule="auto"/>
        <w:ind w:firstLine="420" w:firstLineChars="20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s="宋体"/>
          <w:szCs w:val="21"/>
          <w:lang w:val="en-US" w:eastAsia="zh-CN"/>
        </w:rPr>
        <w:t>2</w:t>
      </w:r>
      <w:r>
        <w:rPr>
          <w:rFonts w:hint="eastAsia" w:ascii="宋体" w:hAnsi="宋体" w:eastAsia="宋体" w:cs="宋体"/>
          <w:szCs w:val="21"/>
          <w:lang w:val="en-US" w:eastAsia="zh-CN"/>
        </w:rPr>
        <w:t>.同意购买进口产品的，不限制满足采购需求的国内产品参与谈判。</w:t>
      </w:r>
    </w:p>
    <w:p w14:paraId="295142BB">
      <w:pPr>
        <w:keepNext/>
        <w:keepLines/>
        <w:adjustRightInd w:val="0"/>
        <w:snapToGrid w:val="0"/>
        <w:spacing w:line="360" w:lineRule="auto"/>
        <w:outlineLvl w:val="1"/>
        <w:rPr>
          <w:rFonts w:ascii="黑体" w:hAnsi="黑体" w:eastAsia="黑体"/>
          <w:b/>
          <w:bCs/>
          <w:color w:val="000000" w:themeColor="text1"/>
          <w:sz w:val="24"/>
          <w:szCs w:val="32"/>
          <w14:textFill>
            <w14:solidFill>
              <w14:schemeClr w14:val="tx1"/>
            </w14:solidFill>
          </w14:textFill>
        </w:rPr>
      </w:pPr>
      <w:bookmarkStart w:id="5" w:name="_Toc7248"/>
      <w:r>
        <w:rPr>
          <w:rFonts w:hint="eastAsia" w:ascii="黑体" w:hAnsi="黑体" w:eastAsia="黑体"/>
          <w:b/>
          <w:bCs/>
          <w:color w:val="000000" w:themeColor="text1"/>
          <w:sz w:val="24"/>
          <w:szCs w:val="32"/>
          <w14:textFill>
            <w14:solidFill>
              <w14:schemeClr w14:val="tx1"/>
            </w14:solidFill>
          </w14:textFill>
        </w:rPr>
        <w:t>三、采购项目需落实的政府采购政策</w:t>
      </w:r>
      <w:bookmarkEnd w:id="5"/>
    </w:p>
    <w:p w14:paraId="08BDE44F">
      <w:pPr>
        <w:adjustRightInd w:val="0"/>
        <w:snapToGrid w:val="0"/>
        <w:spacing w:line="360" w:lineRule="auto"/>
        <w:ind w:firstLine="420" w:firstLineChars="200"/>
        <w:rPr>
          <w:rFonts w:hint="eastAsia" w:ascii="宋体" w:hAnsi="宋体"/>
          <w:color w:val="000000" w:themeColor="text1"/>
          <w:szCs w:val="21"/>
          <w:lang w:val="en-US" w:eastAsia="zh-CN"/>
          <w14:textFill>
            <w14:solidFill>
              <w14:schemeClr w14:val="tx1"/>
            </w14:solidFill>
          </w14:textFill>
        </w:rPr>
      </w:pPr>
      <w:bookmarkStart w:id="6" w:name="_Toc35393630"/>
      <w:bookmarkStart w:id="7" w:name="_Toc107997941"/>
      <w:bookmarkStart w:id="8" w:name="_Toc62225405"/>
      <w:bookmarkStart w:id="9" w:name="_Toc28359090"/>
      <w:bookmarkStart w:id="10" w:name="_Toc35393799"/>
      <w:bookmarkStart w:id="11" w:name="_Toc28359013"/>
      <w:r>
        <w:rPr>
          <w:rFonts w:hint="eastAsia" w:ascii="宋体" w:hAnsi="宋体"/>
          <w:color w:val="000000" w:themeColor="text1"/>
          <w:szCs w:val="21"/>
          <w:lang w:val="en-US" w:eastAsia="zh-CN"/>
          <w14:textFill>
            <w14:solidFill>
              <w14:schemeClr w14:val="tx1"/>
            </w14:solidFill>
          </w14:textFill>
        </w:rPr>
        <w:t>1、优先采购：节能产品、环境标志产品享受加分或价格折扣。</w:t>
      </w:r>
    </w:p>
    <w:p w14:paraId="6946229F">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、支持中小企业：中小企业享受预留采购份额或价格折扣。</w:t>
      </w:r>
    </w:p>
    <w:p w14:paraId="66A659E3">
      <w:pPr>
        <w:adjustRightInd w:val="0"/>
        <w:snapToGrid w:val="0"/>
        <w:spacing w:line="360" w:lineRule="auto"/>
        <w:rPr>
          <w:rFonts w:hint="eastAsia" w:ascii="黑体" w:hAnsi="黑体" w:eastAsia="黑体"/>
          <w:b/>
          <w:bCs/>
          <w:color w:val="000000" w:themeColor="text1"/>
          <w:sz w:val="24"/>
          <w:szCs w:val="32"/>
          <w14:textFill>
            <w14:solidFill>
              <w14:schemeClr w14:val="tx1"/>
            </w14:solidFill>
          </w14:textFill>
        </w:rPr>
      </w:pPr>
      <w:r>
        <w:rPr>
          <w:rFonts w:hint="eastAsia" w:ascii="黑体" w:hAnsi="黑体" w:eastAsia="黑体"/>
          <w:b/>
          <w:bCs/>
          <w:color w:val="000000" w:themeColor="text1"/>
          <w:sz w:val="24"/>
          <w:szCs w:val="32"/>
          <w14:textFill>
            <w14:solidFill>
              <w14:schemeClr w14:val="tx1"/>
            </w14:solidFill>
          </w14:textFill>
        </w:rPr>
        <w:t>四、供应商的资格要求</w:t>
      </w:r>
      <w:bookmarkEnd w:id="6"/>
      <w:bookmarkEnd w:id="7"/>
      <w:bookmarkEnd w:id="8"/>
      <w:bookmarkEnd w:id="9"/>
      <w:bookmarkEnd w:id="10"/>
      <w:bookmarkEnd w:id="11"/>
    </w:p>
    <w:p w14:paraId="5A1218C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1、满足《中华人民共和国政府采购法》第二十二条规定；</w:t>
      </w:r>
    </w:p>
    <w:p w14:paraId="1D3BE06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2、落实政府采购政策需满足的资格要求：</w:t>
      </w:r>
    </w:p>
    <w:p w14:paraId="108AB73A">
      <w:pPr>
        <w:adjustRightInd w:val="0"/>
        <w:snapToGrid w:val="0"/>
        <w:spacing w:line="360" w:lineRule="auto"/>
        <w:ind w:firstLine="630" w:firstLineChars="300"/>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专门面向</w:t>
      </w:r>
      <w:r>
        <w:rPr>
          <w:rFonts w:hint="eastAsia" w:ascii="宋体" w:hAnsi="宋体"/>
          <w:bCs/>
          <w:color w:val="000000" w:themeColor="text1"/>
          <w:szCs w:val="21"/>
          <w14:textFill>
            <w14:solidFill>
              <w14:schemeClr w14:val="tx1"/>
            </w14:solidFill>
          </w14:textFill>
        </w:rPr>
        <w:t>：</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中小企业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小微企业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 xml:space="preserve">监狱企业 </w:t>
      </w: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福利性单位。</w:t>
      </w:r>
    </w:p>
    <w:p w14:paraId="00A229BF">
      <w:pPr>
        <w:adjustRightInd w:val="0"/>
        <w:snapToGrid w:val="0"/>
        <w:spacing w:line="360" w:lineRule="auto"/>
        <w:ind w:firstLine="630" w:firstLineChars="300"/>
        <w:rPr>
          <w:rFonts w:ascii="宋体" w:hAnsi="宋体"/>
          <w:b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强制</w:t>
      </w:r>
      <w:r>
        <w:rPr>
          <w:rFonts w:hint="eastAsia" w:ascii="宋体" w:hAnsi="宋体"/>
          <w:bCs/>
          <w:color w:val="000000" w:themeColor="text1"/>
          <w:szCs w:val="21"/>
          <w14:textFill>
            <w14:solidFill>
              <w14:schemeClr w14:val="tx1"/>
            </w14:solidFill>
          </w14:textFill>
        </w:rPr>
        <w:t>分包：大型企业应将采购份额的</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u w:val="single"/>
          <w:lang w:val="en-US" w:eastAsia="zh-CN"/>
          <w14:textFill>
            <w14:solidFill>
              <w14:schemeClr w14:val="tx1"/>
            </w14:solidFill>
          </w14:textFill>
        </w:rPr>
        <w:t>/</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%分包给中小企业。</w:t>
      </w:r>
    </w:p>
    <w:p w14:paraId="618E5BCD">
      <w:pPr>
        <w:numPr>
          <w:ilvl w:val="0"/>
          <w:numId w:val="2"/>
        </w:num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本项目的特定资格要求：</w:t>
      </w:r>
    </w:p>
    <w:p w14:paraId="0752723E">
      <w:pPr>
        <w:numPr>
          <w:ilvl w:val="0"/>
          <w:numId w:val="0"/>
        </w:numPr>
        <w:adjustRightInd w:val="0"/>
        <w:snapToGrid w:val="0"/>
        <w:spacing w:line="360" w:lineRule="auto"/>
        <w:ind w:firstLine="420" w:firstLineChars="200"/>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u w:val="single"/>
          <w:lang w:val="en-US" w:eastAsia="zh-CN"/>
          <w14:textFill>
            <w14:solidFill>
              <w14:schemeClr w14:val="tx1"/>
            </w14:solidFill>
          </w14:textFill>
        </w:rPr>
        <w:t>（1）、投标人为产品制造商，提供有效的《中华人民共和国特种设备生产许可证》（许可项目包含压力容器制造）。投标人非产品制造商，提供所投产品制造商有效的《中华人民共和国特种设备生产许可证》（许可项目包含压力容器制造）。</w:t>
      </w:r>
    </w:p>
    <w:p w14:paraId="1189CD1E">
      <w:pPr>
        <w:adjustRightInd w:val="0"/>
        <w:snapToGrid w:val="0"/>
        <w:spacing w:line="360" w:lineRule="auto"/>
        <w:ind w:firstLine="420" w:firstLineChars="200"/>
        <w:rPr>
          <w:rFonts w:hint="eastAsia" w:ascii="宋体" w:hAnsi="宋体"/>
          <w:color w:val="auto"/>
          <w:szCs w:val="21"/>
          <w:highlight w:val="none"/>
          <w:u w:val="single"/>
          <w:lang w:val="en-US" w:eastAsia="zh-CN"/>
        </w:rPr>
      </w:pPr>
      <w:r>
        <w:rPr>
          <w:rFonts w:hint="eastAsia" w:ascii="宋体" w:hAnsi="宋体"/>
          <w:color w:val="000000" w:themeColor="text1"/>
          <w:szCs w:val="21"/>
          <w:u w:val="single"/>
          <w:lang w:val="en-US" w:eastAsia="zh-CN"/>
          <w14:textFill>
            <w14:solidFill>
              <w14:schemeClr w14:val="tx1"/>
            </w14:solidFill>
          </w14:textFill>
        </w:rPr>
        <w:t>（2）、投标人具备有效的《中华人民共和国特种设备安装改造维修</w:t>
      </w:r>
      <w:r>
        <w:rPr>
          <w:rFonts w:hint="eastAsia" w:ascii="宋体" w:hAnsi="宋体"/>
          <w:color w:val="auto"/>
          <w:szCs w:val="21"/>
          <w:highlight w:val="none"/>
          <w:u w:val="single"/>
          <w:lang w:val="en-US" w:eastAsia="zh-CN"/>
        </w:rPr>
        <w:t>许可证》（许可项目包含压力容器）或《中华人民共和国特种设备生产许可证》（许可项目包含安装改造维修）。非投标人实施安装，投标人提供安装企业有效的《中华人民共和国特种设备安装改造维修许可证》（许可项目包含压力容器）或《中华人民共和国特种设备生产许可证》（许可项目包含安装改造维修）。</w:t>
      </w:r>
    </w:p>
    <w:p w14:paraId="61EAD35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、单位负责人为同一人或者存在直接控股、管理关系的不同供应商，不得参加同一合同项下的政府采购活动。</w:t>
      </w:r>
    </w:p>
    <w:p w14:paraId="11AA3D9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、为本采购项目提供整体设计、规范编制或者项目管理、监理、检测等服务的，不得再参加此项目的其他采购活动。</w:t>
      </w:r>
    </w:p>
    <w:p w14:paraId="2997AC3A">
      <w:pPr>
        <w:adjustRightInd w:val="0"/>
        <w:snapToGrid w:val="0"/>
        <w:spacing w:line="360" w:lineRule="auto"/>
        <w:ind w:firstLine="420" w:firstLineChars="200"/>
        <w:rPr>
          <w:rFonts w:ascii="宋体" w:hAnsi="宋体"/>
          <w:color w:val="auto"/>
          <w:szCs w:val="21"/>
        </w:rPr>
      </w:pP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w:t>
      </w:r>
      <w:r>
        <w:rPr>
          <w:rFonts w:hint="eastAsia" w:ascii="宋体" w:hAnsi="宋体" w:eastAsia="宋体" w:cs="宋体"/>
          <w:szCs w:val="21"/>
          <w:lang w:val="en-US" w:eastAsia="zh-CN"/>
        </w:rPr>
        <w:t>列入失信被执行人、重大税收违法失信主体名单</w:t>
      </w:r>
      <w:r>
        <w:rPr>
          <w:rFonts w:hint="eastAsia" w:ascii="宋体" w:hAnsi="宋体" w:eastAsia="宋体" w:cs="宋体"/>
          <w:color w:val="auto"/>
          <w:szCs w:val="21"/>
          <w:lang w:val="en-US" w:eastAsia="zh-CN"/>
        </w:rPr>
        <w:t>、政府采购严重违法失信行为记录名单的，拒绝其参与政府采购活动（提供承诺函原件格式自拟，并提供信用中国www.creditchina.gov.cn及中国政府采购网www.ccgp.gov.cn在本公告期内截图）。</w:t>
      </w:r>
    </w:p>
    <w:p w14:paraId="73F3F4CA">
      <w:pPr>
        <w:adjustRightInd w:val="0"/>
        <w:snapToGrid w:val="0"/>
        <w:spacing w:line="360" w:lineRule="auto"/>
        <w:ind w:firstLine="420" w:firstLineChars="200"/>
        <w:rPr>
          <w:rFonts w:hint="eastAsia" w:eastAsia="宋体"/>
          <w:b w:val="0"/>
          <w:bCs/>
          <w:color w:val="auto"/>
          <w:sz w:val="21"/>
          <w:szCs w:val="21"/>
          <w:lang w:val="en-US" w:eastAsia="zh-CN"/>
        </w:rPr>
      </w:pPr>
      <w:r>
        <w:rPr>
          <w:rFonts w:ascii="宋体" w:hAnsi="宋体"/>
          <w:color w:val="auto"/>
          <w:szCs w:val="21"/>
        </w:rPr>
        <w:t>7</w:t>
      </w:r>
      <w:r>
        <w:rPr>
          <w:rFonts w:hint="eastAsia" w:ascii="宋体" w:hAnsi="宋体"/>
          <w:color w:val="auto"/>
          <w:szCs w:val="21"/>
        </w:rPr>
        <w:t>、联合体响应。本次采购</w:t>
      </w:r>
      <w:r>
        <w:rPr>
          <w:rFonts w:hint="eastAsia" w:ascii="宋体" w:hAnsi="宋体"/>
          <w:color w:val="auto"/>
          <w:szCs w:val="21"/>
          <w:u w:val="single"/>
        </w:rPr>
        <w:t>不接受</w:t>
      </w:r>
      <w:r>
        <w:rPr>
          <w:rFonts w:hint="eastAsia" w:ascii="宋体" w:hAnsi="宋体"/>
          <w:color w:val="auto"/>
          <w:szCs w:val="21"/>
        </w:rPr>
        <w:t>(接受或不接受)联合体响应。接受联合体响应的，联合体应当具备下列条件：</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w:t>
      </w:r>
      <w:r>
        <w:rPr>
          <w:rFonts w:hint="eastAsia" w:ascii="宋体" w:hAnsi="宋体"/>
          <w:bCs/>
          <w:color w:val="auto"/>
          <w:szCs w:val="21"/>
          <w:u w:val="single"/>
        </w:rPr>
        <w:t xml:space="preserve">  </w:t>
      </w:r>
      <w:r>
        <w:rPr>
          <w:rFonts w:hint="eastAsia" w:ascii="宋体" w:hAnsi="宋体"/>
          <w:color w:val="auto"/>
          <w:szCs w:val="21"/>
        </w:rPr>
        <w:t>。</w:t>
      </w:r>
    </w:p>
    <w:p w14:paraId="1385A582">
      <w:pPr>
        <w:keepNext/>
        <w:keepLines/>
        <w:adjustRightInd w:val="0"/>
        <w:snapToGrid w:val="0"/>
        <w:spacing w:before="156" w:beforeLines="50" w:line="360" w:lineRule="auto"/>
        <w:outlineLvl w:val="1"/>
        <w:rPr>
          <w:rFonts w:ascii="黑体" w:hAnsi="黑体" w:eastAsia="黑体"/>
          <w:b/>
          <w:bCs/>
          <w:color w:val="auto"/>
          <w:sz w:val="24"/>
          <w:szCs w:val="32"/>
        </w:rPr>
      </w:pPr>
      <w:bookmarkStart w:id="12" w:name="_Toc24626"/>
      <w:bookmarkStart w:id="13" w:name="_Toc22201058"/>
      <w:r>
        <w:rPr>
          <w:rFonts w:hint="eastAsia" w:ascii="黑体" w:hAnsi="黑体" w:eastAsia="黑体"/>
          <w:b/>
          <w:bCs/>
          <w:color w:val="auto"/>
          <w:sz w:val="24"/>
          <w:szCs w:val="32"/>
        </w:rPr>
        <w:t>五、获取谈判文件的时间、地点及方式</w:t>
      </w:r>
      <w:bookmarkEnd w:id="12"/>
      <w:bookmarkEnd w:id="13"/>
    </w:p>
    <w:p w14:paraId="1C6B7CEB">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时间：</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w:t>
      </w:r>
      <w:r>
        <w:rPr>
          <w:rFonts w:hint="eastAsia" w:ascii="宋体" w:hAnsi="宋体" w:cs="宋体"/>
          <w:color w:val="auto"/>
          <w:szCs w:val="21"/>
          <w:u w:val="none"/>
          <w:lang w:val="en-US" w:eastAsia="zh-CN"/>
        </w:rPr>
        <w:t xml:space="preserve">  </w:t>
      </w:r>
      <w:r>
        <w:rPr>
          <w:rFonts w:hint="eastAsia" w:ascii="宋体" w:hAnsi="宋体" w:cs="宋体"/>
          <w:color w:val="auto"/>
          <w:szCs w:val="21"/>
          <w:u w:val="none"/>
        </w:rPr>
        <w:t>日</w:t>
      </w:r>
      <w:r>
        <w:rPr>
          <w:rFonts w:hint="eastAsia" w:ascii="宋体" w:hAnsi="宋体" w:cs="宋体"/>
          <w:color w:val="auto"/>
          <w:szCs w:val="21"/>
        </w:rPr>
        <w:t xml:space="preserve">至 </w:t>
      </w:r>
      <w:r>
        <w:rPr>
          <w:rFonts w:hint="eastAsia" w:ascii="宋体" w:hAnsi="宋体" w:cs="宋体"/>
          <w:color w:val="auto"/>
          <w:szCs w:val="21"/>
          <w:lang w:val="en-US" w:eastAsia="zh-CN"/>
        </w:rPr>
        <w:t>2025</w:t>
      </w:r>
      <w:r>
        <w:rPr>
          <w:rFonts w:hint="eastAsia" w:ascii="宋体" w:hAnsi="宋体" w:cs="宋体"/>
          <w:color w:val="auto"/>
          <w:szCs w:val="21"/>
        </w:rPr>
        <w:t>年</w:t>
      </w:r>
      <w:r>
        <w:rPr>
          <w:rFonts w:hint="eastAsia" w:ascii="宋体" w:hAnsi="宋体" w:cs="宋体"/>
          <w:color w:val="auto"/>
          <w:szCs w:val="21"/>
          <w:lang w:val="en-US" w:eastAsia="zh-CN"/>
        </w:rPr>
        <w:t>7</w:t>
      </w:r>
      <w:r>
        <w:rPr>
          <w:rFonts w:hint="eastAsia" w:ascii="宋体" w:hAnsi="宋体" w:cs="宋体"/>
          <w:color w:val="auto"/>
          <w:szCs w:val="21"/>
        </w:rPr>
        <w:t>月</w:t>
      </w:r>
      <w:r>
        <w:rPr>
          <w:rFonts w:hint="eastAsia" w:ascii="宋体" w:hAnsi="宋体" w:cs="宋体"/>
          <w:color w:val="auto"/>
          <w:szCs w:val="21"/>
          <w:u w:val="none"/>
          <w:lang w:val="en-US" w:eastAsia="zh-CN"/>
        </w:rPr>
        <w:t xml:space="preserve">  </w:t>
      </w:r>
      <w:r>
        <w:rPr>
          <w:rFonts w:hint="eastAsia" w:ascii="宋体" w:hAnsi="宋体" w:cs="宋体"/>
          <w:color w:val="auto"/>
          <w:szCs w:val="21"/>
        </w:rPr>
        <w:t>日，每天上午</w:t>
      </w:r>
      <w:r>
        <w:rPr>
          <w:rFonts w:hint="eastAsia" w:ascii="宋体" w:hAnsi="宋体" w:cs="宋体"/>
          <w:color w:val="auto"/>
          <w:szCs w:val="21"/>
          <w:lang w:val="en-US" w:eastAsia="zh-CN"/>
        </w:rPr>
        <w:t>8:30</w:t>
      </w:r>
      <w:r>
        <w:rPr>
          <w:rFonts w:hint="eastAsia" w:ascii="宋体" w:hAnsi="宋体" w:cs="宋体"/>
          <w:color w:val="auto"/>
          <w:szCs w:val="21"/>
        </w:rPr>
        <w:t>至</w:t>
      </w:r>
      <w:r>
        <w:rPr>
          <w:rFonts w:hint="eastAsia" w:ascii="宋体" w:hAnsi="宋体" w:cs="宋体"/>
          <w:color w:val="auto"/>
          <w:szCs w:val="21"/>
          <w:lang w:val="en-US" w:eastAsia="zh-CN"/>
        </w:rPr>
        <w:t>12:00</w:t>
      </w:r>
      <w:r>
        <w:rPr>
          <w:rFonts w:hint="eastAsia" w:ascii="宋体" w:hAnsi="宋体" w:cs="宋体"/>
          <w:color w:val="auto"/>
          <w:szCs w:val="21"/>
        </w:rPr>
        <w:t>　，下午</w:t>
      </w:r>
      <w:r>
        <w:rPr>
          <w:rFonts w:hint="eastAsia" w:ascii="宋体" w:hAnsi="宋体" w:cs="宋体"/>
          <w:color w:val="auto"/>
          <w:szCs w:val="21"/>
          <w:lang w:val="en-US" w:eastAsia="zh-CN"/>
        </w:rPr>
        <w:t>14:30</w:t>
      </w:r>
      <w:r>
        <w:rPr>
          <w:rFonts w:hint="eastAsia" w:ascii="宋体" w:hAnsi="宋体" w:cs="宋体"/>
          <w:color w:val="auto"/>
          <w:szCs w:val="21"/>
        </w:rPr>
        <w:t>至</w:t>
      </w:r>
      <w:r>
        <w:rPr>
          <w:rFonts w:hint="eastAsia" w:ascii="宋体" w:hAnsi="宋体" w:cs="宋体"/>
          <w:color w:val="auto"/>
          <w:szCs w:val="21"/>
          <w:lang w:val="en-US" w:eastAsia="zh-CN"/>
        </w:rPr>
        <w:t>17:00</w:t>
      </w:r>
      <w:r>
        <w:rPr>
          <w:rFonts w:hint="eastAsia" w:ascii="宋体" w:hAnsi="宋体" w:cs="宋体"/>
          <w:color w:val="auto"/>
          <w:szCs w:val="21"/>
        </w:rPr>
        <w:t>（北京时间，</w:t>
      </w:r>
      <w:r>
        <w:rPr>
          <w:rFonts w:ascii="宋体" w:hAnsi="宋体" w:cs="宋体"/>
          <w:color w:val="auto"/>
          <w:szCs w:val="21"/>
        </w:rPr>
        <w:t>法定节假日</w:t>
      </w:r>
      <w:r>
        <w:rPr>
          <w:rFonts w:hint="eastAsia" w:ascii="宋体" w:hAnsi="宋体" w:cs="宋体"/>
          <w:color w:val="auto"/>
          <w:szCs w:val="21"/>
        </w:rPr>
        <w:t>除外）</w:t>
      </w:r>
    </w:p>
    <w:p w14:paraId="24ED9AD9">
      <w:pPr>
        <w:adjustRightInd w:val="0"/>
        <w:snapToGrid w:val="0"/>
        <w:spacing w:line="360" w:lineRule="auto"/>
        <w:ind w:firstLine="420" w:firstLineChars="200"/>
        <w:rPr>
          <w:rFonts w:ascii="宋体" w:hAnsi="宋体" w:cs="宋体"/>
          <w:color w:val="auto"/>
          <w:szCs w:val="21"/>
          <w:u w:val="single"/>
        </w:rPr>
      </w:pPr>
      <w:r>
        <w:rPr>
          <w:rFonts w:hint="eastAsia" w:ascii="宋体" w:hAnsi="宋体" w:cs="宋体"/>
          <w:color w:val="auto"/>
          <w:szCs w:val="21"/>
        </w:rPr>
        <w:t>地点：</w:t>
      </w:r>
      <w:r>
        <w:rPr>
          <w:rFonts w:hint="eastAsia" w:ascii="宋体" w:hAnsi="宋体"/>
          <w:bCs/>
          <w:color w:val="auto"/>
          <w:szCs w:val="21"/>
          <w:u w:val="single"/>
          <w:lang w:val="en-US" w:eastAsia="zh-CN"/>
        </w:rPr>
        <w:t>湖南天舟招标代理有限公司（</w:t>
      </w:r>
      <w:r>
        <w:rPr>
          <w:rFonts w:hint="eastAsia" w:ascii="宋体" w:hAnsi="宋体"/>
          <w:color w:val="auto"/>
          <w:szCs w:val="21"/>
          <w:u w:val="single"/>
          <w:lang w:val="en-US" w:eastAsia="zh-CN"/>
        </w:rPr>
        <w:t>湖南省怀化市鹤城区卢林南路宏运新苑1栋北面1楼</w:t>
      </w:r>
      <w:r>
        <w:rPr>
          <w:rFonts w:hint="eastAsia" w:ascii="宋体" w:hAnsi="宋体"/>
          <w:bCs/>
          <w:color w:val="auto"/>
          <w:szCs w:val="21"/>
          <w:u w:val="single"/>
          <w:lang w:val="en-US" w:eastAsia="zh-CN"/>
        </w:rPr>
        <w:t>）</w:t>
      </w:r>
      <w:r>
        <w:rPr>
          <w:rFonts w:ascii="宋体" w:hAnsi="宋体"/>
          <w:color w:val="auto"/>
          <w:szCs w:val="21"/>
          <w:u w:val="single"/>
        </w:rPr>
        <w:t xml:space="preserve"> </w:t>
      </w:r>
    </w:p>
    <w:p w14:paraId="3F161BBF">
      <w:pPr>
        <w:adjustRightInd w:val="0"/>
        <w:snapToGrid w:val="0"/>
        <w:spacing w:line="360" w:lineRule="auto"/>
        <w:ind w:firstLine="420" w:firstLineChars="200"/>
        <w:rPr>
          <w:rFonts w:hint="eastAsia" w:ascii="宋体" w:hAnsi="宋体" w:cs="宋体"/>
          <w:color w:val="auto"/>
          <w:szCs w:val="21"/>
          <w:u w:val="single"/>
          <w:lang w:eastAsia="zh-CN"/>
        </w:rPr>
      </w:pPr>
      <w:r>
        <w:rPr>
          <w:rFonts w:hint="eastAsia" w:ascii="宋体" w:hAnsi="宋体" w:cs="宋体"/>
          <w:color w:val="auto"/>
          <w:szCs w:val="21"/>
        </w:rPr>
        <w:t>方式：</w:t>
      </w:r>
      <w:r>
        <w:rPr>
          <w:rFonts w:hint="eastAsia" w:ascii="宋体" w:hAnsi="宋体" w:cs="宋体"/>
          <w:color w:val="auto"/>
          <w:szCs w:val="21"/>
          <w:u w:val="single"/>
          <w:lang w:eastAsia="zh-CN"/>
        </w:rPr>
        <w:t>现场领取</w:t>
      </w:r>
    </w:p>
    <w:p w14:paraId="260020B7">
      <w:pPr>
        <w:keepNext/>
        <w:keepLines/>
        <w:adjustRightInd w:val="0"/>
        <w:snapToGrid w:val="0"/>
        <w:spacing w:before="156" w:beforeLines="50" w:line="360" w:lineRule="auto"/>
        <w:outlineLvl w:val="1"/>
        <w:rPr>
          <w:rFonts w:hint="eastAsia" w:ascii="黑体" w:hAnsi="黑体" w:eastAsia="黑体"/>
          <w:b/>
          <w:bCs/>
          <w:color w:val="auto"/>
          <w:sz w:val="24"/>
          <w:szCs w:val="32"/>
          <w:lang w:val="en-US" w:eastAsia="zh-CN"/>
        </w:rPr>
      </w:pPr>
      <w:bookmarkStart w:id="14" w:name="_Toc10257"/>
      <w:bookmarkStart w:id="15" w:name="_Toc22952"/>
      <w:r>
        <w:rPr>
          <w:rFonts w:hint="eastAsia" w:ascii="黑体" w:hAnsi="黑体" w:eastAsia="黑体"/>
          <w:b/>
          <w:bCs/>
          <w:color w:val="auto"/>
          <w:sz w:val="24"/>
          <w:szCs w:val="32"/>
          <w:lang w:val="en-US" w:eastAsia="zh-CN"/>
        </w:rPr>
        <w:t>六、确认</w:t>
      </w:r>
      <w:bookmarkEnd w:id="14"/>
      <w:bookmarkEnd w:id="15"/>
    </w:p>
    <w:p w14:paraId="52C342FA">
      <w:pPr>
        <w:pStyle w:val="21"/>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你单位请于</w:t>
      </w:r>
      <w:r>
        <w:rPr>
          <w:rFonts w:hint="eastAsia" w:ascii="宋体" w:hAnsi="宋体" w:eastAsia="宋体" w:cs="宋体"/>
          <w:color w:val="auto"/>
          <w:kern w:val="2"/>
          <w:sz w:val="21"/>
          <w:szCs w:val="21"/>
          <w:u w:val="single"/>
          <w:lang w:val="en-US" w:eastAsia="zh-CN" w:bidi="ar-SA"/>
        </w:rPr>
        <w:t>202</w:t>
      </w:r>
      <w:r>
        <w:rPr>
          <w:rFonts w:hint="eastAsia" w:ascii="宋体" w:hAnsi="宋体" w:cs="宋体"/>
          <w:color w:val="auto"/>
          <w:kern w:val="2"/>
          <w:sz w:val="21"/>
          <w:szCs w:val="21"/>
          <w:u w:val="single"/>
          <w:lang w:val="en-US" w:eastAsia="zh-CN" w:bidi="ar-SA"/>
        </w:rPr>
        <w:t>5</w:t>
      </w:r>
      <w:r>
        <w:rPr>
          <w:rFonts w:hint="eastAsia" w:ascii="宋体" w:hAnsi="宋体" w:eastAsia="宋体" w:cs="宋体"/>
          <w:color w:val="auto"/>
          <w:kern w:val="2"/>
          <w:sz w:val="21"/>
          <w:szCs w:val="21"/>
          <w:lang w:val="en-US" w:eastAsia="zh-CN" w:bidi="ar-SA"/>
        </w:rPr>
        <w:t>年</w:t>
      </w:r>
      <w:r>
        <w:rPr>
          <w:rFonts w:hint="eastAsia" w:ascii="宋体" w:hAnsi="宋体" w:cs="宋体"/>
          <w:color w:val="auto"/>
          <w:kern w:val="2"/>
          <w:sz w:val="21"/>
          <w:szCs w:val="21"/>
          <w:u w:val="single"/>
          <w:lang w:val="en-US" w:eastAsia="zh-CN" w:bidi="ar-SA"/>
        </w:rPr>
        <w:t>7</w:t>
      </w:r>
      <w:r>
        <w:rPr>
          <w:rFonts w:hint="eastAsia" w:ascii="宋体" w:hAnsi="宋体" w:eastAsia="宋体" w:cs="宋体"/>
          <w:color w:val="auto"/>
          <w:kern w:val="2"/>
          <w:sz w:val="21"/>
          <w:szCs w:val="21"/>
          <w:lang w:val="en-US" w:eastAsia="zh-CN" w:bidi="ar-SA"/>
        </w:rPr>
        <w:t>月</w:t>
      </w:r>
      <w:r>
        <w:rPr>
          <w:rFonts w:hint="eastAsia" w:ascii="宋体" w:hAnsi="宋体" w:cs="宋体"/>
          <w:color w:val="auto"/>
          <w:kern w:val="2"/>
          <w:sz w:val="21"/>
          <w:szCs w:val="21"/>
          <w:u w:val="single"/>
          <w:lang w:val="en-US" w:eastAsia="zh-CN" w:bidi="ar-SA"/>
        </w:rPr>
        <w:t xml:space="preserve">     </w:t>
      </w:r>
      <w:r>
        <w:rPr>
          <w:rFonts w:hint="eastAsia" w:ascii="宋体" w:hAnsi="宋体" w:eastAsia="宋体" w:cs="宋体"/>
          <w:color w:val="auto"/>
          <w:kern w:val="2"/>
          <w:sz w:val="21"/>
          <w:szCs w:val="21"/>
          <w:lang w:val="en-US" w:eastAsia="zh-CN" w:bidi="ar-SA"/>
        </w:rPr>
        <w:t>日17:00时前，以书面形式确认是否参加谈判采购，如未提供视为主动放弃本次谈判采购；</w:t>
      </w:r>
    </w:p>
    <w:p w14:paraId="423A77C6">
      <w:pPr>
        <w:keepNext/>
        <w:keepLines/>
        <w:adjustRightInd w:val="0"/>
        <w:snapToGrid w:val="0"/>
        <w:spacing w:before="156" w:beforeLines="50" w:line="360" w:lineRule="auto"/>
        <w:outlineLvl w:val="1"/>
        <w:rPr>
          <w:rFonts w:ascii="黑体" w:hAnsi="黑体" w:eastAsia="黑体"/>
          <w:b/>
          <w:bCs/>
          <w:color w:val="auto"/>
          <w:sz w:val="24"/>
          <w:szCs w:val="32"/>
        </w:rPr>
      </w:pPr>
      <w:bookmarkStart w:id="16" w:name="_Toc22201059"/>
      <w:bookmarkStart w:id="17" w:name="_Toc7588"/>
      <w:r>
        <w:rPr>
          <w:rFonts w:hint="eastAsia" w:ascii="黑体" w:hAnsi="黑体" w:eastAsia="黑体"/>
          <w:b/>
          <w:bCs/>
          <w:color w:val="auto"/>
          <w:sz w:val="24"/>
          <w:szCs w:val="32"/>
          <w:lang w:val="en-US" w:eastAsia="zh-CN"/>
        </w:rPr>
        <w:t>七</w:t>
      </w:r>
      <w:r>
        <w:rPr>
          <w:rFonts w:hint="eastAsia" w:ascii="黑体" w:hAnsi="黑体" w:eastAsia="黑体"/>
          <w:b/>
          <w:bCs/>
          <w:color w:val="auto"/>
          <w:sz w:val="24"/>
          <w:szCs w:val="32"/>
        </w:rPr>
        <w:t>、提交首次响应文件的截止时间、谈判时间及地点</w:t>
      </w:r>
      <w:bookmarkEnd w:id="16"/>
      <w:bookmarkEnd w:id="17"/>
    </w:p>
    <w:p w14:paraId="52591B30">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提交首次响应文件的截止时间：</w:t>
      </w:r>
      <w:r>
        <w:rPr>
          <w:rFonts w:hint="eastAsia" w:ascii="宋体" w:hAnsi="宋体"/>
          <w:color w:val="auto"/>
          <w:szCs w:val="21"/>
          <w:u w:val="single"/>
          <w:lang w:val="en-US" w:eastAsia="zh-CN"/>
        </w:rPr>
        <w:t>2025</w:t>
      </w:r>
      <w:r>
        <w:rPr>
          <w:rFonts w:hint="eastAsia" w:ascii="宋体" w:hAnsi="宋体"/>
          <w:color w:val="auto"/>
          <w:szCs w:val="21"/>
        </w:rPr>
        <w:t>年</w:t>
      </w:r>
      <w:r>
        <w:rPr>
          <w:rFonts w:hint="eastAsia" w:ascii="宋体" w:hAnsi="宋体"/>
          <w:color w:val="auto"/>
          <w:szCs w:val="21"/>
          <w:u w:val="single"/>
          <w:lang w:val="en-US" w:eastAsia="zh-CN"/>
        </w:rPr>
        <w:t>7</w:t>
      </w:r>
      <w:r>
        <w:rPr>
          <w:rFonts w:hint="eastAsia" w:ascii="宋体" w:hAnsi="宋体"/>
          <w:color w:val="auto"/>
          <w:szCs w:val="21"/>
        </w:rPr>
        <w:t>月</w:t>
      </w:r>
      <w:r>
        <w:rPr>
          <w:rFonts w:hint="eastAsia" w:ascii="宋体" w:hAnsi="宋体"/>
          <w:color w:val="auto"/>
          <w:szCs w:val="21"/>
          <w:u w:val="single"/>
          <w:lang w:val="en-US" w:eastAsia="zh-CN"/>
        </w:rPr>
        <w:t xml:space="preserve">  </w:t>
      </w:r>
      <w:r>
        <w:rPr>
          <w:rFonts w:hint="eastAsia" w:ascii="宋体" w:hAnsi="宋体"/>
          <w:color w:val="auto"/>
          <w:szCs w:val="21"/>
        </w:rPr>
        <w:t>日</w:t>
      </w:r>
      <w:r>
        <w:rPr>
          <w:rFonts w:hint="eastAsia" w:ascii="宋体" w:hAnsi="宋体"/>
          <w:color w:val="auto"/>
          <w:szCs w:val="21"/>
          <w:lang w:val="en-US" w:eastAsia="zh-CN"/>
        </w:rPr>
        <w:t xml:space="preserve">  </w:t>
      </w:r>
      <w:r>
        <w:rPr>
          <w:rFonts w:hint="eastAsia" w:ascii="宋体" w:hAnsi="宋体"/>
          <w:color w:val="auto"/>
          <w:szCs w:val="21"/>
        </w:rPr>
        <w:t xml:space="preserve">时 </w:t>
      </w:r>
      <w:r>
        <w:rPr>
          <w:rFonts w:hint="eastAsia" w:ascii="宋体" w:hAnsi="宋体"/>
          <w:color w:val="auto"/>
          <w:szCs w:val="21"/>
          <w:lang w:val="en-US" w:eastAsia="zh-CN"/>
        </w:rPr>
        <w:t xml:space="preserve">  </w:t>
      </w:r>
      <w:r>
        <w:rPr>
          <w:rFonts w:hint="eastAsia" w:ascii="宋体" w:hAnsi="宋体"/>
          <w:color w:val="auto"/>
          <w:szCs w:val="21"/>
        </w:rPr>
        <w:t>分（北京时间）</w:t>
      </w:r>
    </w:p>
    <w:p w14:paraId="5005B678">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提交首次响应文件的地点：</w:t>
      </w:r>
      <w:r>
        <w:rPr>
          <w:rFonts w:hint="eastAsia" w:ascii="宋体" w:hAnsi="宋体"/>
          <w:color w:val="auto"/>
          <w:szCs w:val="21"/>
          <w:u w:val="single"/>
          <w:lang w:val="en-US" w:eastAsia="zh-CN"/>
        </w:rPr>
        <w:t>湖南省怀化市鹤城区卢林南路宏运新苑1栋北面1楼</w:t>
      </w:r>
      <w:r>
        <w:rPr>
          <w:rFonts w:hint="eastAsia" w:ascii="宋体" w:hAnsi="宋体"/>
          <w:color w:val="auto"/>
          <w:szCs w:val="21"/>
          <w:u w:val="single"/>
        </w:rPr>
        <w:t xml:space="preserve">  </w:t>
      </w:r>
    </w:p>
    <w:p w14:paraId="02523465">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首次响应文件开启时间：</w:t>
      </w:r>
      <w:r>
        <w:rPr>
          <w:rFonts w:hint="eastAsia" w:ascii="宋体" w:hAnsi="宋体"/>
          <w:color w:val="auto"/>
          <w:szCs w:val="21"/>
          <w:u w:val="single"/>
          <w:lang w:val="en-US" w:eastAsia="zh-CN"/>
        </w:rPr>
        <w:t>2025</w:t>
      </w:r>
      <w:r>
        <w:rPr>
          <w:rFonts w:hint="eastAsia" w:ascii="宋体" w:hAnsi="宋体"/>
          <w:color w:val="auto"/>
          <w:szCs w:val="21"/>
        </w:rPr>
        <w:t>年</w:t>
      </w:r>
      <w:r>
        <w:rPr>
          <w:rFonts w:hint="eastAsia" w:ascii="宋体" w:hAnsi="宋体"/>
          <w:color w:val="auto"/>
          <w:szCs w:val="21"/>
          <w:u w:val="single"/>
          <w:lang w:val="en-US" w:eastAsia="zh-CN"/>
        </w:rPr>
        <w:t>7</w:t>
      </w:r>
      <w:r>
        <w:rPr>
          <w:rFonts w:hint="eastAsia" w:ascii="宋体" w:hAnsi="宋体"/>
          <w:color w:val="auto"/>
          <w:szCs w:val="21"/>
        </w:rPr>
        <w:t>月</w:t>
      </w:r>
      <w:r>
        <w:rPr>
          <w:rFonts w:hint="eastAsia" w:ascii="宋体" w:hAnsi="宋体"/>
          <w:color w:val="auto"/>
          <w:szCs w:val="21"/>
          <w:u w:val="single"/>
          <w:lang w:val="en-US" w:eastAsia="zh-CN"/>
        </w:rPr>
        <w:t xml:space="preserve">  </w:t>
      </w:r>
      <w:r>
        <w:rPr>
          <w:rFonts w:hint="eastAsia" w:ascii="宋体" w:hAnsi="宋体"/>
          <w:color w:val="auto"/>
          <w:szCs w:val="21"/>
        </w:rPr>
        <w:t>日</w:t>
      </w:r>
      <w:r>
        <w:rPr>
          <w:rFonts w:hint="eastAsia" w:ascii="宋体" w:hAnsi="宋体"/>
          <w:color w:val="auto"/>
          <w:szCs w:val="21"/>
          <w:lang w:val="en-US" w:eastAsia="zh-CN"/>
        </w:rPr>
        <w:t xml:space="preserve">  </w:t>
      </w:r>
      <w:r>
        <w:rPr>
          <w:rFonts w:hint="eastAsia" w:ascii="宋体" w:hAnsi="宋体"/>
          <w:color w:val="auto"/>
          <w:szCs w:val="21"/>
        </w:rPr>
        <w:t xml:space="preserve">时 </w:t>
      </w:r>
      <w:r>
        <w:rPr>
          <w:rFonts w:hint="eastAsia" w:ascii="宋体" w:hAnsi="宋体"/>
          <w:color w:val="auto"/>
          <w:szCs w:val="21"/>
          <w:lang w:val="en-US" w:eastAsia="zh-CN"/>
        </w:rPr>
        <w:t xml:space="preserve">  </w:t>
      </w:r>
      <w:r>
        <w:rPr>
          <w:rFonts w:hint="eastAsia" w:ascii="宋体" w:hAnsi="宋体"/>
          <w:color w:val="auto"/>
          <w:szCs w:val="21"/>
        </w:rPr>
        <w:t>分（北京时间）</w:t>
      </w:r>
    </w:p>
    <w:p w14:paraId="2D695702">
      <w:pPr>
        <w:adjustRightInd w:val="0"/>
        <w:snapToGrid w:val="0"/>
        <w:spacing w:line="360" w:lineRule="auto"/>
        <w:ind w:firstLine="420" w:firstLineChars="200"/>
        <w:rPr>
          <w:rFonts w:ascii="宋体" w:hAnsi="宋体"/>
          <w:bCs/>
          <w:color w:val="auto"/>
          <w:szCs w:val="21"/>
          <w:u w:val="single"/>
        </w:rPr>
      </w:pPr>
      <w:r>
        <w:rPr>
          <w:rFonts w:hint="eastAsia" w:ascii="宋体" w:hAnsi="宋体"/>
          <w:color w:val="auto"/>
          <w:szCs w:val="21"/>
        </w:rPr>
        <w:t>首次响应文件开启地点：</w:t>
      </w:r>
      <w:r>
        <w:rPr>
          <w:rFonts w:hint="eastAsia" w:ascii="宋体" w:hAnsi="宋体"/>
          <w:color w:val="auto"/>
          <w:szCs w:val="21"/>
          <w:u w:val="single"/>
          <w:lang w:val="en-US" w:eastAsia="zh-CN"/>
        </w:rPr>
        <w:t>湖南省怀化市鹤城区卢林南路宏运新苑1栋北面1楼</w:t>
      </w:r>
    </w:p>
    <w:p w14:paraId="626293BD">
      <w:pPr>
        <w:keepNext/>
        <w:keepLines/>
        <w:adjustRightInd w:val="0"/>
        <w:snapToGrid w:val="0"/>
        <w:spacing w:before="156" w:beforeLines="50" w:line="360" w:lineRule="auto"/>
        <w:outlineLvl w:val="1"/>
        <w:rPr>
          <w:rFonts w:ascii="黑体" w:hAnsi="黑体" w:eastAsia="黑体"/>
          <w:b/>
          <w:bCs/>
          <w:color w:val="auto"/>
          <w:sz w:val="24"/>
          <w:szCs w:val="32"/>
        </w:rPr>
      </w:pPr>
      <w:bookmarkStart w:id="18" w:name="_Toc396"/>
      <w:bookmarkStart w:id="19" w:name="_Toc22201061"/>
      <w:r>
        <w:rPr>
          <w:rFonts w:hint="eastAsia" w:ascii="黑体" w:hAnsi="黑体" w:eastAsia="黑体"/>
          <w:b/>
          <w:bCs/>
          <w:color w:val="auto"/>
          <w:sz w:val="24"/>
          <w:szCs w:val="32"/>
          <w:lang w:val="en-US" w:eastAsia="zh-CN"/>
        </w:rPr>
        <w:t>八</w:t>
      </w:r>
      <w:r>
        <w:rPr>
          <w:rFonts w:hint="eastAsia" w:ascii="黑体" w:hAnsi="黑体" w:eastAsia="黑体"/>
          <w:b/>
          <w:bCs/>
          <w:color w:val="auto"/>
          <w:sz w:val="24"/>
          <w:szCs w:val="32"/>
        </w:rPr>
        <w:t>、询问及质疑</w:t>
      </w:r>
      <w:bookmarkEnd w:id="18"/>
      <w:bookmarkEnd w:id="19"/>
    </w:p>
    <w:p w14:paraId="7B296A67">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auto"/>
          <w:szCs w:val="21"/>
        </w:rPr>
        <w:t>1、供应商对政府采购活动事项如有疑问的，可以向采购人、采购代理机构提出询问。采购人、</w:t>
      </w:r>
      <w:r>
        <w:rPr>
          <w:rFonts w:hint="eastAsia" w:ascii="宋体" w:hAnsi="宋体"/>
          <w:color w:val="000000" w:themeColor="text1"/>
          <w:szCs w:val="21"/>
          <w14:textFill>
            <w14:solidFill>
              <w14:schemeClr w14:val="tx1"/>
            </w14:solidFill>
          </w14:textFill>
        </w:rPr>
        <w:t>采购代理机构将在3个工作日内作出答复。</w:t>
      </w:r>
    </w:p>
    <w:p w14:paraId="551C4C23">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认为谈判文件使自己的合法权益受到损害的，可以在收到谈判文件之日起7个工作日内，按《湖南省财政厅关于印发＜政府采购质疑答复和投诉处理操作规程＞的通知》(湘财购〔2019〕20号)规定，以纸质书面形式向采购人、采购代理机构提出质疑。</w:t>
      </w:r>
    </w:p>
    <w:p w14:paraId="369F4C7A">
      <w:pPr>
        <w:keepNext/>
        <w:keepLines/>
        <w:adjustRightInd w:val="0"/>
        <w:snapToGrid w:val="0"/>
        <w:spacing w:line="360" w:lineRule="auto"/>
        <w:outlineLvl w:val="1"/>
        <w:rPr>
          <w:rFonts w:hint="eastAsia" w:ascii="黑体" w:hAnsi="黑体" w:eastAsia="黑体"/>
          <w:b/>
          <w:bCs/>
          <w:color w:val="000000" w:themeColor="text1"/>
          <w:sz w:val="24"/>
          <w:szCs w:val="32"/>
          <w:lang w:eastAsia="zh-CN"/>
          <w14:textFill>
            <w14:solidFill>
              <w14:schemeClr w14:val="tx1"/>
            </w14:solidFill>
          </w14:textFill>
        </w:rPr>
      </w:pPr>
      <w:bookmarkStart w:id="20" w:name="_Toc17258"/>
      <w:r>
        <w:rPr>
          <w:rFonts w:hint="eastAsia" w:ascii="黑体" w:hAnsi="黑体" w:eastAsia="黑体"/>
          <w:b/>
          <w:bCs/>
          <w:color w:val="000000" w:themeColor="text1"/>
          <w:sz w:val="24"/>
          <w:szCs w:val="32"/>
          <w:lang w:val="en-US" w:eastAsia="zh-CN"/>
          <w14:textFill>
            <w14:solidFill>
              <w14:schemeClr w14:val="tx1"/>
            </w14:solidFill>
          </w14:textFill>
        </w:rPr>
        <w:t>九</w:t>
      </w:r>
      <w:r>
        <w:rPr>
          <w:rFonts w:hint="eastAsia" w:ascii="黑体" w:hAnsi="黑体" w:eastAsia="黑体"/>
          <w:b/>
          <w:bCs/>
          <w:color w:val="000000" w:themeColor="text1"/>
          <w:sz w:val="24"/>
          <w:szCs w:val="32"/>
          <w14:textFill>
            <w14:solidFill>
              <w14:schemeClr w14:val="tx1"/>
            </w14:solidFill>
          </w14:textFill>
        </w:rPr>
        <w:t>、谈判</w:t>
      </w:r>
      <w:r>
        <w:rPr>
          <w:rFonts w:hint="eastAsia" w:ascii="黑体" w:hAnsi="黑体" w:eastAsia="黑体"/>
          <w:b/>
          <w:bCs/>
          <w:color w:val="000000" w:themeColor="text1"/>
          <w:sz w:val="24"/>
          <w:szCs w:val="32"/>
          <w:lang w:val="en-US" w:eastAsia="zh-CN"/>
          <w14:textFill>
            <w14:solidFill>
              <w14:schemeClr w14:val="tx1"/>
            </w14:solidFill>
          </w14:textFill>
        </w:rPr>
        <w:t>说明</w:t>
      </w:r>
      <w:bookmarkEnd w:id="20"/>
    </w:p>
    <w:p w14:paraId="7DAB6EC8">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1、谈判邀请选项：</w:t>
      </w:r>
      <w:r>
        <w:rPr>
          <w:rFonts w:hint="eastAsia" w:ascii="宋体" w:hAnsi="宋体"/>
          <w:color w:val="000000" w:themeColor="text1"/>
          <w:szCs w:val="21"/>
          <w:lang w:val="en-US" w:eastAsia="zh-CN"/>
          <w14:textFill>
            <w14:solidFill>
              <w14:schemeClr w14:val="tx1"/>
            </w14:solidFill>
          </w14:textFill>
        </w:rPr>
        <w:sym w:font="Wingdings" w:char="00FE"/>
      </w:r>
      <w:r>
        <w:rPr>
          <w:rFonts w:hint="eastAsia" w:ascii="宋体" w:hAnsi="宋体"/>
          <w:color w:val="000000" w:themeColor="text1"/>
          <w:szCs w:val="21"/>
          <w:lang w:val="en-US" w:eastAsia="zh-CN"/>
          <w14:textFill>
            <w14:solidFill>
              <w14:schemeClr w14:val="tx1"/>
            </w14:solidFill>
          </w14:textFill>
        </w:rPr>
        <w:t>表示选择，</w:t>
      </w:r>
      <w:r>
        <w:rPr>
          <w:rFonts w:hint="eastAsia" w:ascii="宋体" w:hAnsi="宋体"/>
          <w:color w:val="000000" w:themeColor="text1"/>
          <w:szCs w:val="21"/>
          <w:lang w:val="en-US" w:eastAsia="zh-CN"/>
          <w14:textFill>
            <w14:solidFill>
              <w14:schemeClr w14:val="tx1"/>
            </w14:solidFill>
          </w14:textFill>
        </w:rPr>
        <w:sym w:font="Wingdings" w:char="00A8"/>
      </w:r>
      <w:r>
        <w:rPr>
          <w:rFonts w:hint="eastAsia" w:ascii="宋体" w:hAnsi="宋体"/>
          <w:color w:val="000000" w:themeColor="text1"/>
          <w:szCs w:val="21"/>
          <w:lang w:val="en-US" w:eastAsia="zh-CN"/>
          <w14:textFill>
            <w14:solidFill>
              <w14:schemeClr w14:val="tx1"/>
            </w14:solidFill>
          </w14:textFill>
        </w:rPr>
        <w:t>表示未选择。</w:t>
      </w:r>
    </w:p>
    <w:p w14:paraId="5B488B62">
      <w:pPr>
        <w:tabs>
          <w:tab w:val="left" w:pos="4700"/>
          <w:tab w:val="left" w:pos="6000"/>
          <w:tab w:val="left" w:pos="7160"/>
          <w:tab w:val="left" w:pos="8520"/>
        </w:tabs>
        <w:autoSpaceDE w:val="0"/>
        <w:autoSpaceDN w:val="0"/>
        <w:adjustRightInd w:val="0"/>
        <w:snapToGrid w:val="0"/>
        <w:spacing w:line="360" w:lineRule="auto"/>
        <w:ind w:right="-23" w:firstLine="420" w:firstLineChars="200"/>
        <w:jc w:val="left"/>
        <w:rPr>
          <w:color w:val="000000" w:themeColor="text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2、供应商</w:t>
      </w:r>
      <w:r>
        <w:rPr>
          <w:rFonts w:hint="eastAsia" w:ascii="宋体" w:hAnsi="宋体"/>
          <w:color w:val="000000" w:themeColor="text1"/>
          <w:szCs w:val="21"/>
          <w14:textFill>
            <w14:solidFill>
              <w14:schemeClr w14:val="tx1"/>
            </w14:solidFill>
          </w14:textFill>
        </w:rPr>
        <w:t>参与政府采购活动，无需向采购人、代理机构、交易平台缴纳任何费用。</w:t>
      </w:r>
    </w:p>
    <w:p w14:paraId="311314CD">
      <w:pPr>
        <w:keepNext/>
        <w:keepLines/>
        <w:adjustRightInd w:val="0"/>
        <w:snapToGrid w:val="0"/>
        <w:spacing w:line="360" w:lineRule="auto"/>
        <w:outlineLvl w:val="1"/>
        <w:rPr>
          <w:rFonts w:ascii="黑体" w:hAnsi="黑体" w:eastAsia="黑体"/>
          <w:b/>
          <w:bCs/>
          <w:color w:val="000000" w:themeColor="text1"/>
          <w:sz w:val="24"/>
          <w:szCs w:val="32"/>
          <w14:textFill>
            <w14:solidFill>
              <w14:schemeClr w14:val="tx1"/>
            </w14:solidFill>
          </w14:textFill>
        </w:rPr>
      </w:pPr>
      <w:bookmarkStart w:id="21" w:name="_Toc32122"/>
      <w:r>
        <w:rPr>
          <w:rFonts w:hint="eastAsia" w:ascii="黑体" w:hAnsi="黑体" w:eastAsia="黑体"/>
          <w:b/>
          <w:bCs/>
          <w:color w:val="000000" w:themeColor="text1"/>
          <w:sz w:val="24"/>
          <w:szCs w:val="32"/>
          <w:lang w:val="en-US" w:eastAsia="zh-CN"/>
          <w14:textFill>
            <w14:solidFill>
              <w14:schemeClr w14:val="tx1"/>
            </w14:solidFill>
          </w14:textFill>
        </w:rPr>
        <w:t>十</w:t>
      </w:r>
      <w:r>
        <w:rPr>
          <w:rFonts w:hint="eastAsia" w:ascii="黑体" w:hAnsi="黑体" w:eastAsia="黑体"/>
          <w:b/>
          <w:bCs/>
          <w:color w:val="000000" w:themeColor="text1"/>
          <w:sz w:val="24"/>
          <w:szCs w:val="32"/>
          <w14:textFill>
            <w14:solidFill>
              <w14:schemeClr w14:val="tx1"/>
            </w14:solidFill>
          </w14:textFill>
        </w:rPr>
        <w:t>、</w:t>
      </w:r>
      <w:r>
        <w:rPr>
          <w:rFonts w:hint="eastAsia" w:ascii="黑体" w:hAnsi="黑体" w:eastAsia="黑体"/>
          <w:b/>
          <w:bCs/>
          <w:color w:val="000000" w:themeColor="text1"/>
          <w:sz w:val="24"/>
          <w:szCs w:val="21"/>
          <w14:textFill>
            <w14:solidFill>
              <w14:schemeClr w14:val="tx1"/>
            </w14:solidFill>
          </w14:textFill>
        </w:rPr>
        <w:t>采购项目联系人姓名和电话</w:t>
      </w:r>
      <w:bookmarkEnd w:id="21"/>
    </w:p>
    <w:p w14:paraId="0DCE35B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1、联系人姓名：</w:t>
      </w:r>
      <w:r>
        <w:rPr>
          <w:rFonts w:hint="eastAsia" w:ascii="宋体" w:hAnsi="宋体"/>
          <w:color w:val="000000" w:themeColor="text1"/>
          <w:szCs w:val="21"/>
          <w:u w:val="single"/>
          <w:lang w:val="en-US" w:eastAsia="zh-CN"/>
          <w14:textFill>
            <w14:solidFill>
              <w14:schemeClr w14:val="tx1"/>
            </w14:solidFill>
          </w14:textFill>
        </w:rPr>
        <w:t>王彦芝</w:t>
      </w:r>
    </w:p>
    <w:p w14:paraId="5405FE45">
      <w:pPr>
        <w:adjustRightInd w:val="0"/>
        <w:snapToGrid w:val="0"/>
        <w:spacing w:line="360" w:lineRule="auto"/>
        <w:ind w:firstLine="420" w:firstLineChars="200"/>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2、电话：</w:t>
      </w:r>
      <w:r>
        <w:rPr>
          <w:rFonts w:hint="eastAsia" w:ascii="宋体" w:hAnsi="宋体"/>
          <w:color w:val="000000" w:themeColor="text1"/>
          <w:szCs w:val="21"/>
          <w:u w:val="single"/>
          <w:lang w:val="en-US" w:eastAsia="zh-CN"/>
          <w14:textFill>
            <w14:solidFill>
              <w14:schemeClr w14:val="tx1"/>
            </w14:solidFill>
          </w14:textFill>
        </w:rPr>
        <w:t>0731-85118391</w:t>
      </w:r>
    </w:p>
    <w:p w14:paraId="6B6F3CBD">
      <w:pPr>
        <w:keepNext/>
        <w:keepLines/>
        <w:adjustRightInd w:val="0"/>
        <w:snapToGrid w:val="0"/>
        <w:spacing w:line="360" w:lineRule="auto"/>
        <w:outlineLvl w:val="1"/>
        <w:rPr>
          <w:rFonts w:ascii="黑体" w:hAnsi="黑体" w:eastAsia="黑体"/>
          <w:b/>
          <w:bCs/>
          <w:color w:val="000000" w:themeColor="text1"/>
          <w:sz w:val="24"/>
          <w:szCs w:val="32"/>
          <w14:textFill>
            <w14:solidFill>
              <w14:schemeClr w14:val="tx1"/>
            </w14:solidFill>
          </w14:textFill>
        </w:rPr>
      </w:pPr>
      <w:bookmarkStart w:id="22" w:name="_Toc14078"/>
      <w:r>
        <w:rPr>
          <w:rFonts w:hint="eastAsia" w:ascii="黑体" w:hAnsi="黑体" w:eastAsia="黑体"/>
          <w:b/>
          <w:bCs/>
          <w:color w:val="000000" w:themeColor="text1"/>
          <w:sz w:val="24"/>
          <w:szCs w:val="32"/>
          <w14:textFill>
            <w14:solidFill>
              <w14:schemeClr w14:val="tx1"/>
            </w14:solidFill>
          </w14:textFill>
        </w:rPr>
        <w:t>十</w:t>
      </w:r>
      <w:r>
        <w:rPr>
          <w:rFonts w:hint="eastAsia" w:ascii="黑体" w:hAnsi="黑体" w:eastAsia="黑体"/>
          <w:b/>
          <w:bCs/>
          <w:color w:val="000000" w:themeColor="text1"/>
          <w:sz w:val="24"/>
          <w:szCs w:val="32"/>
          <w:lang w:val="en-US" w:eastAsia="zh-CN"/>
          <w14:textFill>
            <w14:solidFill>
              <w14:schemeClr w14:val="tx1"/>
            </w14:solidFill>
          </w14:textFill>
        </w:rPr>
        <w:t>一</w:t>
      </w:r>
      <w:r>
        <w:rPr>
          <w:rFonts w:hint="eastAsia" w:ascii="黑体" w:hAnsi="黑体" w:eastAsia="黑体"/>
          <w:b/>
          <w:bCs/>
          <w:color w:val="000000" w:themeColor="text1"/>
          <w:sz w:val="24"/>
          <w:szCs w:val="32"/>
          <w14:textFill>
            <w14:solidFill>
              <w14:schemeClr w14:val="tx1"/>
            </w14:solidFill>
          </w14:textFill>
        </w:rPr>
        <w:t>、采购人、采购代理机构的名称、地址和联系方法</w:t>
      </w:r>
      <w:bookmarkEnd w:id="22"/>
    </w:p>
    <w:p w14:paraId="0BD3DA6E">
      <w:pPr>
        <w:adjustRightInd w:val="0"/>
        <w:snapToGrid w:val="0"/>
        <w:spacing w:line="360" w:lineRule="auto"/>
        <w:ind w:firstLine="411"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采购人信息</w:t>
      </w:r>
    </w:p>
    <w:p w14:paraId="62DA20BF">
      <w:pPr>
        <w:adjustRightInd w:val="0"/>
        <w:snapToGrid w:val="0"/>
        <w:spacing w:line="360" w:lineRule="auto"/>
        <w:ind w:firstLine="420" w:firstLineChars="200"/>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名  称：</w:t>
      </w:r>
      <w:r>
        <w:rPr>
          <w:rFonts w:hint="eastAsia" w:ascii="宋体" w:hAnsi="宋体"/>
          <w:color w:val="000000" w:themeColor="text1"/>
          <w:szCs w:val="21"/>
          <w:u w:val="single"/>
          <w:lang w:val="en-US" w:eastAsia="zh-CN"/>
          <w14:textFill>
            <w14:solidFill>
              <w14:schemeClr w14:val="tx1"/>
            </w14:solidFill>
          </w14:textFill>
        </w:rPr>
        <w:t>湖南医药学院总医院</w:t>
      </w:r>
    </w:p>
    <w:p w14:paraId="48398ED8">
      <w:pPr>
        <w:adjustRightInd w:val="0"/>
        <w:snapToGrid w:val="0"/>
        <w:spacing w:line="360" w:lineRule="auto"/>
        <w:ind w:firstLine="420" w:firstLineChars="200"/>
        <w:rPr>
          <w:rFonts w:hint="eastAsia" w:ascii="宋体" w:hAnsi="宋体"/>
          <w:color w:val="auto"/>
          <w:szCs w:val="21"/>
          <w:u w:val="single"/>
          <w:lang w:eastAsia="zh-CN"/>
        </w:rPr>
      </w:pPr>
      <w:r>
        <w:rPr>
          <w:rFonts w:hint="eastAsia" w:ascii="宋体" w:hAnsi="宋体"/>
          <w:color w:val="000000" w:themeColor="text1"/>
          <w:szCs w:val="21"/>
          <w14:textFill>
            <w14:solidFill>
              <w14:schemeClr w14:val="tx1"/>
            </w14:solidFill>
          </w14:textFill>
        </w:rPr>
        <w:t>（2）地  址：</w:t>
      </w:r>
      <w:r>
        <w:rPr>
          <w:rFonts w:hint="eastAsia" w:ascii="宋体" w:hAnsi="宋体"/>
          <w:color w:val="auto"/>
          <w:szCs w:val="21"/>
          <w:u w:val="single"/>
          <w:lang w:eastAsia="zh-CN"/>
        </w:rPr>
        <w:t>湖南省怀化市锦溪南路144号</w:t>
      </w:r>
    </w:p>
    <w:p w14:paraId="5DD74E4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（3）联系人</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u w:val="single"/>
          <w:lang w:val="en-US" w:eastAsia="zh-CN"/>
          <w14:textFill>
            <w14:solidFill>
              <w14:schemeClr w14:val="tx1"/>
            </w14:solidFill>
          </w14:textFill>
        </w:rPr>
        <w:t>周女士</w:t>
      </w:r>
      <w:r>
        <w:rPr>
          <w:rFonts w:hint="eastAsia" w:ascii="宋体" w:hAnsi="宋体"/>
          <w:color w:val="000000" w:themeColor="text1"/>
          <w:szCs w:val="21"/>
          <w:u w:val="single"/>
          <w14:textFill>
            <w14:solidFill>
              <w14:schemeClr w14:val="tx1"/>
            </w14:solidFill>
          </w14:textFill>
        </w:rPr>
        <w:t xml:space="preserve"> </w:t>
      </w:r>
    </w:p>
    <w:p w14:paraId="6290D7F0">
      <w:pPr>
        <w:adjustRightInd w:val="0"/>
        <w:snapToGrid w:val="0"/>
        <w:spacing w:line="360" w:lineRule="auto"/>
        <w:ind w:firstLine="420" w:firstLineChars="200"/>
        <w:rPr>
          <w:rFonts w:hint="default"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）电  话：</w:t>
      </w:r>
      <w:r>
        <w:rPr>
          <w:rFonts w:hint="eastAsia" w:ascii="宋体" w:hAnsi="宋体"/>
          <w:color w:val="auto"/>
          <w:szCs w:val="21"/>
          <w:u w:val="single"/>
          <w:lang w:val="en-US" w:eastAsia="zh-CN"/>
        </w:rPr>
        <w:t>15211535207</w:t>
      </w:r>
    </w:p>
    <w:p w14:paraId="057DFC69">
      <w:pPr>
        <w:adjustRightInd w:val="0"/>
        <w:snapToGrid w:val="0"/>
        <w:spacing w:line="360" w:lineRule="auto"/>
        <w:ind w:firstLine="411" w:firstLineChars="196"/>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采购代理机构信息</w:t>
      </w:r>
    </w:p>
    <w:p w14:paraId="42C6908E">
      <w:pPr>
        <w:adjustRightInd w:val="0"/>
        <w:snapToGrid w:val="0"/>
        <w:spacing w:line="360" w:lineRule="auto"/>
        <w:ind w:firstLine="411" w:firstLineChars="196"/>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Cs/>
          <w:color w:val="000000" w:themeColor="text1"/>
          <w:szCs w:val="21"/>
          <w14:textFill>
            <w14:solidFill>
              <w14:schemeClr w14:val="tx1"/>
            </w14:solidFill>
          </w14:textFill>
        </w:rPr>
        <w:t>名  称：</w:t>
      </w:r>
      <w:r>
        <w:rPr>
          <w:rFonts w:hint="eastAsia" w:ascii="宋体" w:hAnsi="宋体"/>
          <w:bCs/>
          <w:color w:val="000000" w:themeColor="text1"/>
          <w:szCs w:val="21"/>
          <w:u w:val="single"/>
          <w:lang w:val="en-US" w:eastAsia="zh-CN"/>
          <w14:textFill>
            <w14:solidFill>
              <w14:schemeClr w14:val="tx1"/>
            </w14:solidFill>
          </w14:textFill>
        </w:rPr>
        <w:t>湖南天舟招标代理有限公司</w:t>
      </w:r>
    </w:p>
    <w:p w14:paraId="1B0F9BFF">
      <w:pPr>
        <w:adjustRightInd w:val="0"/>
        <w:snapToGrid w:val="0"/>
        <w:spacing w:line="360" w:lineRule="auto"/>
        <w:ind w:firstLine="420" w:firstLineChars="200"/>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（2）地  址：</w:t>
      </w:r>
      <w:r>
        <w:rPr>
          <w:rFonts w:hint="eastAsia" w:ascii="宋体" w:hAnsi="宋体"/>
          <w:color w:val="000000" w:themeColor="text1"/>
          <w:szCs w:val="21"/>
          <w:u w:val="single"/>
          <w:lang w:val="en-US" w:eastAsia="zh-CN"/>
          <w14:textFill>
            <w14:solidFill>
              <w14:schemeClr w14:val="tx1"/>
            </w14:solidFill>
          </w14:textFill>
        </w:rPr>
        <w:t>湖南省怀化市鹤城区卢林南路宏运新苑1栋北面1楼</w:t>
      </w:r>
    </w:p>
    <w:p w14:paraId="4B8E9A71">
      <w:pPr>
        <w:adjustRightInd w:val="0"/>
        <w:snapToGrid w:val="0"/>
        <w:spacing w:line="360" w:lineRule="auto"/>
        <w:ind w:firstLine="420" w:firstLineChars="200"/>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（3）联系人：</w:t>
      </w:r>
      <w:r>
        <w:rPr>
          <w:rFonts w:hint="eastAsia" w:ascii="宋体" w:hAnsi="宋体"/>
          <w:color w:val="000000" w:themeColor="text1"/>
          <w:szCs w:val="21"/>
          <w:u w:val="single"/>
          <w:lang w:val="en-US" w:eastAsia="zh-CN"/>
          <w14:textFill>
            <w14:solidFill>
              <w14:schemeClr w14:val="tx1"/>
            </w14:solidFill>
          </w14:textFill>
        </w:rPr>
        <w:t>王彦芝 王慧 蔡依玲</w:t>
      </w:r>
    </w:p>
    <w:p w14:paraId="5460B422">
      <w:pPr>
        <w:adjustRightInd w:val="0"/>
        <w:snapToGrid w:val="0"/>
        <w:spacing w:line="360" w:lineRule="auto"/>
        <w:ind w:firstLine="420" w:firstLineChars="200"/>
        <w:rPr>
          <w:rFonts w:hint="default"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lang w:val="en-US" w:eastAsia="zh-CN"/>
          <w14:textFill>
            <w14:solidFill>
              <w14:schemeClr w14:val="tx1"/>
            </w14:solidFill>
          </w14:textFill>
        </w:rPr>
        <w:t>0731-85118391</w:t>
      </w:r>
    </w:p>
    <w:p w14:paraId="467685F3">
      <w:pPr>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u w:val="single"/>
          <w:lang w:val="en-US" w:eastAsia="zh-CN"/>
          <w14:textFill>
            <w14:solidFill>
              <w14:schemeClr w14:val="tx1"/>
            </w14:solidFill>
          </w14:textFill>
        </w:rPr>
        <w:br w:type="page"/>
      </w:r>
    </w:p>
    <w:p w14:paraId="121FB347">
      <w:pPr>
        <w:pStyle w:val="3"/>
        <w:adjustRightInd w:val="0"/>
        <w:snapToGrid w:val="0"/>
        <w:spacing w:before="0" w:after="0" w:line="360" w:lineRule="auto"/>
        <w:rPr>
          <w:rFonts w:ascii="宋体"/>
          <w:sz w:val="21"/>
          <w:szCs w:val="21"/>
        </w:rPr>
      </w:pPr>
      <w:bookmarkStart w:id="23" w:name="_Toc30849"/>
      <w:bookmarkStart w:id="24" w:name="_Toc24395"/>
      <w:r>
        <w:rPr>
          <w:rFonts w:hint="eastAsia" w:ascii="宋体" w:hAnsi="宋体" w:cs="宋体"/>
          <w:sz w:val="21"/>
          <w:szCs w:val="21"/>
        </w:rPr>
        <w:t>附件：</w:t>
      </w:r>
      <w:r>
        <w:rPr>
          <w:rFonts w:hint="eastAsia" w:ascii="宋体" w:hAnsi="宋体" w:cs="宋体"/>
          <w:spacing w:val="-3"/>
          <w:sz w:val="21"/>
          <w:szCs w:val="21"/>
        </w:rPr>
        <w:t>确</w:t>
      </w:r>
      <w:r>
        <w:rPr>
          <w:rFonts w:hint="eastAsia" w:ascii="宋体" w:hAnsi="宋体" w:cs="宋体"/>
          <w:sz w:val="21"/>
          <w:szCs w:val="21"/>
        </w:rPr>
        <w:t>认通知</w:t>
      </w:r>
      <w:bookmarkEnd w:id="23"/>
      <w:bookmarkEnd w:id="24"/>
    </w:p>
    <w:p w14:paraId="749B5742">
      <w:pPr>
        <w:autoSpaceDE w:val="0"/>
        <w:autoSpaceDN w:val="0"/>
        <w:adjustRightInd w:val="0"/>
        <w:snapToGrid w:val="0"/>
        <w:spacing w:beforeLines="50" w:line="360" w:lineRule="auto"/>
        <w:ind w:right="3816"/>
        <w:jc w:val="center"/>
        <w:rPr>
          <w:rFonts w:ascii="黑体" w:hAnsi="黑体" w:eastAsia="黑体"/>
          <w:b/>
          <w:bCs/>
          <w:kern w:val="0"/>
          <w:sz w:val="28"/>
          <w:szCs w:val="28"/>
        </w:rPr>
      </w:pPr>
      <w:r>
        <w:rPr>
          <w:rFonts w:ascii="黑体" w:hAnsi="黑体" w:eastAsia="黑体" w:cs="黑体"/>
          <w:kern w:val="0"/>
          <w:position w:val="-3"/>
          <w:sz w:val="28"/>
          <w:szCs w:val="28"/>
        </w:rPr>
        <w:t xml:space="preserve">                      </w:t>
      </w:r>
      <w:r>
        <w:rPr>
          <w:rFonts w:ascii="黑体" w:hAnsi="黑体" w:eastAsia="黑体" w:cs="黑体"/>
          <w:b/>
          <w:bCs/>
          <w:kern w:val="0"/>
          <w:position w:val="-3"/>
          <w:sz w:val="28"/>
          <w:szCs w:val="28"/>
        </w:rPr>
        <w:t xml:space="preserve"> </w:t>
      </w:r>
      <w:r>
        <w:rPr>
          <w:rFonts w:hint="eastAsia" w:ascii="黑体" w:hAnsi="黑体" w:eastAsia="黑体" w:cs="黑体"/>
          <w:b/>
          <w:bCs/>
          <w:kern w:val="0"/>
          <w:position w:val="-3"/>
          <w:sz w:val="28"/>
          <w:szCs w:val="28"/>
        </w:rPr>
        <w:t>确认通知</w:t>
      </w:r>
    </w:p>
    <w:p w14:paraId="7864C075">
      <w:pPr>
        <w:tabs>
          <w:tab w:val="left" w:pos="1980"/>
        </w:tabs>
        <w:autoSpaceDE w:val="0"/>
        <w:autoSpaceDN w:val="0"/>
        <w:adjustRightInd w:val="0"/>
        <w:snapToGrid w:val="0"/>
        <w:spacing w:beforeLines="50" w:line="360" w:lineRule="auto"/>
        <w:ind w:right="-20"/>
        <w:jc w:val="left"/>
        <w:rPr>
          <w:rFonts w:hint="eastAsia" w:ascii="仿宋" w:hAnsi="仿宋" w:eastAsia="仿宋" w:cs="仿宋"/>
          <w:spacing w:val="-108"/>
          <w:kern w:val="0"/>
          <w:position w:val="-2"/>
          <w:sz w:val="24"/>
          <w:szCs w:val="24"/>
        </w:rPr>
      </w:pPr>
      <w:r>
        <w:rPr>
          <w:rFonts w:hint="eastAsia" w:ascii="仿宋" w:hAnsi="仿宋" w:eastAsia="仿宋" w:cs="仿宋"/>
          <w:w w:val="169"/>
          <w:kern w:val="0"/>
          <w:position w:val="-2"/>
          <w:sz w:val="24"/>
          <w:szCs w:val="24"/>
          <w:u w:val="single"/>
        </w:rPr>
        <w:t xml:space="preserve">         </w:t>
      </w:r>
      <w:r>
        <w:rPr>
          <w:rFonts w:hint="eastAsia" w:ascii="仿宋" w:hAnsi="仿宋" w:eastAsia="仿宋" w:cs="仿宋"/>
          <w:kern w:val="0"/>
          <w:position w:val="-2"/>
          <w:sz w:val="24"/>
          <w:szCs w:val="24"/>
        </w:rPr>
        <w:t>（采购人、采购代理机构</w:t>
      </w:r>
      <w:r>
        <w:rPr>
          <w:rFonts w:hint="eastAsia" w:ascii="仿宋" w:hAnsi="仿宋" w:eastAsia="仿宋" w:cs="仿宋"/>
          <w:spacing w:val="-2"/>
          <w:kern w:val="0"/>
          <w:sz w:val="24"/>
          <w:szCs w:val="24"/>
        </w:rPr>
        <w:t>）：</w:t>
      </w:r>
    </w:p>
    <w:p w14:paraId="2E0B8B72">
      <w:pPr>
        <w:tabs>
          <w:tab w:val="left" w:pos="1980"/>
        </w:tabs>
        <w:autoSpaceDE w:val="0"/>
        <w:autoSpaceDN w:val="0"/>
        <w:adjustRightInd w:val="0"/>
        <w:snapToGrid w:val="0"/>
        <w:spacing w:beforeLines="50" w:line="360" w:lineRule="auto"/>
        <w:ind w:right="-23" w:firstLine="480" w:firstLineChars="200"/>
        <w:jc w:val="left"/>
        <w:rPr>
          <w:rFonts w:hint="eastAsia" w:ascii="仿宋" w:hAnsi="仿宋" w:eastAsia="仿宋" w:cs="仿宋"/>
          <w:kern w:val="0"/>
          <w:sz w:val="24"/>
          <w:szCs w:val="24"/>
        </w:rPr>
      </w:pPr>
      <w:r>
        <w:rPr>
          <w:rFonts w:hint="eastAsia" w:ascii="仿宋" w:hAnsi="仿宋" w:eastAsia="仿宋" w:cs="仿宋"/>
          <w:kern w:val="0"/>
          <w:position w:val="-2"/>
          <w:sz w:val="24"/>
          <w:szCs w:val="24"/>
        </w:rPr>
        <w:t>我单位</w:t>
      </w:r>
      <w:r>
        <w:rPr>
          <w:rFonts w:hint="eastAsia" w:ascii="仿宋" w:hAnsi="仿宋" w:eastAsia="仿宋" w:cs="仿宋"/>
          <w:spacing w:val="-2"/>
          <w:kern w:val="0"/>
          <w:position w:val="-2"/>
          <w:sz w:val="24"/>
          <w:szCs w:val="24"/>
        </w:rPr>
        <w:t>已</w:t>
      </w:r>
      <w:r>
        <w:rPr>
          <w:rFonts w:hint="eastAsia" w:ascii="仿宋" w:hAnsi="仿宋" w:eastAsia="仿宋" w:cs="仿宋"/>
          <w:kern w:val="0"/>
          <w:position w:val="-2"/>
          <w:sz w:val="24"/>
          <w:szCs w:val="24"/>
        </w:rPr>
        <w:t>于</w:t>
      </w:r>
      <w:r>
        <w:rPr>
          <w:rFonts w:hint="eastAsia" w:ascii="仿宋" w:hAnsi="仿宋" w:eastAsia="仿宋" w:cs="仿宋"/>
          <w:w w:val="169"/>
          <w:kern w:val="0"/>
          <w:position w:val="-2"/>
          <w:sz w:val="24"/>
          <w:szCs w:val="24"/>
          <w:u w:val="single"/>
        </w:rPr>
        <w:t xml:space="preserve">     </w:t>
      </w:r>
      <w:r>
        <w:rPr>
          <w:rFonts w:hint="eastAsia" w:ascii="仿宋" w:hAnsi="仿宋" w:eastAsia="仿宋" w:cs="仿宋"/>
          <w:spacing w:val="1"/>
          <w:kern w:val="0"/>
          <w:position w:val="-2"/>
          <w:sz w:val="24"/>
          <w:szCs w:val="24"/>
        </w:rPr>
        <w:t>年</w:t>
      </w:r>
      <w:r>
        <w:rPr>
          <w:rFonts w:hint="eastAsia" w:ascii="仿宋" w:hAnsi="仿宋" w:eastAsia="仿宋" w:cs="仿宋"/>
          <w:w w:val="169"/>
          <w:kern w:val="0"/>
          <w:position w:val="-2"/>
          <w:sz w:val="24"/>
          <w:szCs w:val="24"/>
          <w:u w:val="single"/>
        </w:rPr>
        <w:t xml:space="preserve">  </w:t>
      </w:r>
      <w:r>
        <w:rPr>
          <w:rFonts w:hint="eastAsia" w:ascii="仿宋" w:hAnsi="仿宋" w:eastAsia="仿宋" w:cs="仿宋"/>
          <w:kern w:val="0"/>
          <w:position w:val="-2"/>
          <w:sz w:val="24"/>
          <w:szCs w:val="24"/>
        </w:rPr>
        <w:t>月</w:t>
      </w:r>
      <w:r>
        <w:rPr>
          <w:rFonts w:hint="eastAsia" w:ascii="仿宋" w:hAnsi="仿宋" w:eastAsia="仿宋" w:cs="仿宋"/>
          <w:w w:val="169"/>
          <w:kern w:val="0"/>
          <w:position w:val="-2"/>
          <w:sz w:val="24"/>
          <w:szCs w:val="24"/>
          <w:u w:val="single"/>
        </w:rPr>
        <w:t xml:space="preserve">  </w:t>
      </w:r>
      <w:r>
        <w:rPr>
          <w:rFonts w:hint="eastAsia" w:ascii="仿宋" w:hAnsi="仿宋" w:eastAsia="仿宋" w:cs="仿宋"/>
          <w:spacing w:val="-2"/>
          <w:kern w:val="0"/>
          <w:position w:val="-2"/>
          <w:sz w:val="24"/>
          <w:szCs w:val="24"/>
        </w:rPr>
        <w:t>日</w:t>
      </w:r>
      <w:r>
        <w:rPr>
          <w:rFonts w:hint="eastAsia" w:ascii="仿宋" w:hAnsi="仿宋" w:eastAsia="仿宋" w:cs="仿宋"/>
          <w:kern w:val="0"/>
          <w:position w:val="-2"/>
          <w:sz w:val="24"/>
          <w:szCs w:val="24"/>
        </w:rPr>
        <w:t>收</w:t>
      </w:r>
      <w:r>
        <w:rPr>
          <w:rFonts w:hint="eastAsia" w:ascii="仿宋" w:hAnsi="仿宋" w:eastAsia="仿宋" w:cs="仿宋"/>
          <w:spacing w:val="-2"/>
          <w:kern w:val="0"/>
          <w:position w:val="-2"/>
          <w:sz w:val="24"/>
          <w:szCs w:val="24"/>
        </w:rPr>
        <w:t>到</w:t>
      </w:r>
      <w:r>
        <w:rPr>
          <w:rFonts w:hint="eastAsia" w:ascii="仿宋" w:hAnsi="仿宋" w:eastAsia="仿宋" w:cs="仿宋"/>
          <w:kern w:val="0"/>
          <w:position w:val="-2"/>
          <w:sz w:val="24"/>
          <w:szCs w:val="24"/>
        </w:rPr>
        <w:t>你单位</w:t>
      </w:r>
      <w:r>
        <w:rPr>
          <w:rFonts w:hint="eastAsia" w:ascii="仿宋" w:hAnsi="仿宋" w:eastAsia="仿宋" w:cs="仿宋"/>
          <w:w w:val="169"/>
          <w:kern w:val="0"/>
          <w:position w:val="-2"/>
          <w:sz w:val="24"/>
          <w:szCs w:val="24"/>
          <w:u w:val="single"/>
        </w:rPr>
        <w:t xml:space="preserve">    </w:t>
      </w:r>
      <w:r>
        <w:rPr>
          <w:rFonts w:hint="eastAsia" w:ascii="仿宋" w:hAnsi="仿宋" w:eastAsia="仿宋" w:cs="仿宋"/>
          <w:kern w:val="0"/>
          <w:position w:val="-2"/>
          <w:sz w:val="24"/>
          <w:szCs w:val="24"/>
        </w:rPr>
        <w:t>年</w:t>
      </w:r>
      <w:r>
        <w:rPr>
          <w:rFonts w:hint="eastAsia" w:ascii="仿宋" w:hAnsi="仿宋" w:eastAsia="仿宋" w:cs="仿宋"/>
          <w:w w:val="169"/>
          <w:kern w:val="0"/>
          <w:position w:val="-2"/>
          <w:sz w:val="24"/>
          <w:szCs w:val="24"/>
          <w:u w:val="single"/>
        </w:rPr>
        <w:t xml:space="preserve">  </w:t>
      </w:r>
      <w:r>
        <w:rPr>
          <w:rFonts w:hint="eastAsia" w:ascii="仿宋" w:hAnsi="仿宋" w:eastAsia="仿宋" w:cs="仿宋"/>
          <w:spacing w:val="1"/>
          <w:kern w:val="0"/>
          <w:position w:val="-2"/>
          <w:sz w:val="24"/>
          <w:szCs w:val="24"/>
        </w:rPr>
        <w:t>月</w:t>
      </w:r>
      <w:r>
        <w:rPr>
          <w:rFonts w:hint="eastAsia" w:ascii="仿宋" w:hAnsi="仿宋" w:eastAsia="仿宋" w:cs="仿宋"/>
          <w:w w:val="169"/>
          <w:kern w:val="0"/>
          <w:position w:val="-2"/>
          <w:sz w:val="24"/>
          <w:szCs w:val="24"/>
          <w:u w:val="single"/>
        </w:rPr>
        <w:t xml:space="preserve">  </w:t>
      </w:r>
      <w:r>
        <w:rPr>
          <w:rFonts w:hint="eastAsia" w:ascii="仿宋" w:hAnsi="仿宋" w:eastAsia="仿宋" w:cs="仿宋"/>
          <w:kern w:val="0"/>
          <w:position w:val="-2"/>
          <w:sz w:val="24"/>
          <w:szCs w:val="24"/>
        </w:rPr>
        <w:t>日发</w:t>
      </w:r>
      <w:r>
        <w:rPr>
          <w:rFonts w:hint="eastAsia" w:ascii="仿宋" w:hAnsi="仿宋" w:eastAsia="仿宋" w:cs="仿宋"/>
          <w:spacing w:val="-2"/>
          <w:kern w:val="0"/>
          <w:position w:val="-2"/>
          <w:sz w:val="24"/>
          <w:szCs w:val="24"/>
        </w:rPr>
        <w:t>出</w:t>
      </w:r>
      <w:r>
        <w:rPr>
          <w:rFonts w:hint="eastAsia" w:ascii="仿宋" w:hAnsi="仿宋" w:eastAsia="仿宋" w:cs="仿宋"/>
          <w:kern w:val="0"/>
          <w:position w:val="-2"/>
          <w:sz w:val="24"/>
          <w:szCs w:val="24"/>
        </w:rPr>
        <w:t>的</w:t>
      </w:r>
      <w:r>
        <w:rPr>
          <w:rFonts w:hint="eastAsia" w:ascii="仿宋" w:hAnsi="仿宋" w:eastAsia="仿宋" w:cs="仿宋"/>
          <w:spacing w:val="43"/>
          <w:kern w:val="0"/>
          <w:position w:val="-2"/>
          <w:sz w:val="24"/>
          <w:szCs w:val="24"/>
          <w:u w:val="single"/>
        </w:rPr>
        <w:t xml:space="preserve">     </w:t>
      </w:r>
      <w:r>
        <w:rPr>
          <w:rFonts w:hint="eastAsia" w:ascii="仿宋" w:hAnsi="仿宋" w:eastAsia="仿宋" w:cs="仿宋"/>
          <w:spacing w:val="-2"/>
          <w:kern w:val="0"/>
          <w:position w:val="-2"/>
          <w:sz w:val="24"/>
          <w:szCs w:val="24"/>
        </w:rPr>
        <w:t>（</w:t>
      </w:r>
      <w:r>
        <w:rPr>
          <w:rFonts w:hint="eastAsia" w:ascii="仿宋" w:hAnsi="仿宋" w:eastAsia="仿宋" w:cs="仿宋"/>
          <w:kern w:val="0"/>
          <w:position w:val="-2"/>
          <w:sz w:val="24"/>
          <w:szCs w:val="24"/>
        </w:rPr>
        <w:t>项</w:t>
      </w:r>
      <w:r>
        <w:rPr>
          <w:rFonts w:hint="eastAsia" w:ascii="仿宋" w:hAnsi="仿宋" w:eastAsia="仿宋" w:cs="仿宋"/>
          <w:spacing w:val="-2"/>
          <w:kern w:val="0"/>
          <w:position w:val="-2"/>
          <w:sz w:val="24"/>
          <w:szCs w:val="24"/>
        </w:rPr>
        <w:t>目</w:t>
      </w:r>
      <w:r>
        <w:rPr>
          <w:rFonts w:hint="eastAsia" w:ascii="仿宋" w:hAnsi="仿宋" w:eastAsia="仿宋" w:cs="仿宋"/>
          <w:kern w:val="0"/>
          <w:position w:val="-2"/>
          <w:sz w:val="24"/>
          <w:szCs w:val="24"/>
        </w:rPr>
        <w:t>名称</w:t>
      </w:r>
      <w:r>
        <w:rPr>
          <w:rFonts w:hint="eastAsia" w:ascii="仿宋" w:hAnsi="仿宋" w:eastAsia="仿宋" w:cs="仿宋"/>
          <w:spacing w:val="-22"/>
          <w:kern w:val="0"/>
          <w:position w:val="-2"/>
          <w:sz w:val="24"/>
          <w:szCs w:val="24"/>
        </w:rPr>
        <w:t>）</w:t>
      </w:r>
      <w:r>
        <w:rPr>
          <w:rFonts w:hint="eastAsia" w:ascii="仿宋" w:hAnsi="仿宋" w:eastAsia="仿宋" w:cs="仿宋"/>
          <w:kern w:val="0"/>
          <w:position w:val="-2"/>
          <w:sz w:val="24"/>
          <w:szCs w:val="24"/>
        </w:rPr>
        <w:t>谈判邀</w:t>
      </w:r>
      <w:r>
        <w:rPr>
          <w:rFonts w:hint="eastAsia" w:ascii="仿宋" w:hAnsi="仿宋" w:eastAsia="仿宋" w:cs="仿宋"/>
          <w:spacing w:val="-2"/>
          <w:kern w:val="0"/>
          <w:position w:val="-2"/>
          <w:sz w:val="24"/>
          <w:szCs w:val="24"/>
        </w:rPr>
        <w:t>请</w:t>
      </w:r>
      <w:r>
        <w:rPr>
          <w:rFonts w:hint="eastAsia" w:ascii="仿宋" w:hAnsi="仿宋" w:eastAsia="仿宋" w:cs="仿宋"/>
          <w:spacing w:val="-22"/>
          <w:kern w:val="0"/>
          <w:position w:val="-2"/>
          <w:sz w:val="24"/>
          <w:szCs w:val="24"/>
        </w:rPr>
        <w:t>，</w:t>
      </w:r>
      <w:r>
        <w:rPr>
          <w:rFonts w:hint="eastAsia" w:ascii="仿宋" w:hAnsi="仿宋" w:eastAsia="仿宋" w:cs="仿宋"/>
          <w:spacing w:val="-2"/>
          <w:kern w:val="0"/>
          <w:position w:val="-2"/>
          <w:sz w:val="24"/>
          <w:szCs w:val="24"/>
        </w:rPr>
        <w:t>确</w:t>
      </w:r>
      <w:r>
        <w:rPr>
          <w:rFonts w:hint="eastAsia" w:ascii="仿宋" w:hAnsi="仿宋" w:eastAsia="仿宋" w:cs="仿宋"/>
          <w:kern w:val="0"/>
          <w:position w:val="-2"/>
          <w:sz w:val="24"/>
          <w:szCs w:val="24"/>
        </w:rPr>
        <w:t>认</w:t>
      </w:r>
      <w:r>
        <w:rPr>
          <w:rFonts w:hint="eastAsia" w:ascii="仿宋" w:hAnsi="仿宋" w:eastAsia="仿宋" w:cs="仿宋"/>
          <w:spacing w:val="43"/>
          <w:kern w:val="0"/>
          <w:position w:val="-2"/>
          <w:sz w:val="24"/>
          <w:szCs w:val="24"/>
          <w:u w:val="single"/>
        </w:rPr>
        <w:t xml:space="preserve">    </w:t>
      </w:r>
      <w:r>
        <w:rPr>
          <w:rFonts w:hint="eastAsia" w:ascii="仿宋" w:hAnsi="仿宋" w:eastAsia="仿宋" w:cs="仿宋"/>
          <w:spacing w:val="-2"/>
          <w:kern w:val="0"/>
          <w:position w:val="-2"/>
          <w:sz w:val="24"/>
          <w:szCs w:val="24"/>
        </w:rPr>
        <w:t>（参</w:t>
      </w:r>
      <w:r>
        <w:rPr>
          <w:rFonts w:hint="eastAsia" w:ascii="仿宋" w:hAnsi="仿宋" w:eastAsia="仿宋" w:cs="仿宋"/>
          <w:kern w:val="0"/>
          <w:sz w:val="24"/>
          <w:szCs w:val="24"/>
        </w:rPr>
        <w:t>加</w:t>
      </w:r>
      <w:r>
        <w:rPr>
          <w:rFonts w:hint="eastAsia" w:ascii="仿宋" w:hAnsi="仿宋" w:eastAsia="仿宋" w:cs="仿宋"/>
          <w:spacing w:val="-1"/>
          <w:kern w:val="0"/>
          <w:sz w:val="24"/>
          <w:szCs w:val="24"/>
        </w:rPr>
        <w:t>/</w:t>
      </w:r>
      <w:r>
        <w:rPr>
          <w:rFonts w:hint="eastAsia" w:ascii="仿宋" w:hAnsi="仿宋" w:eastAsia="仿宋" w:cs="仿宋"/>
          <w:kern w:val="0"/>
          <w:sz w:val="24"/>
          <w:szCs w:val="24"/>
        </w:rPr>
        <w:t>不</w:t>
      </w:r>
      <w:r>
        <w:rPr>
          <w:rFonts w:hint="eastAsia" w:ascii="仿宋" w:hAnsi="仿宋" w:eastAsia="仿宋" w:cs="仿宋"/>
          <w:spacing w:val="-2"/>
          <w:kern w:val="0"/>
          <w:sz w:val="24"/>
          <w:szCs w:val="24"/>
        </w:rPr>
        <w:t>参</w:t>
      </w:r>
      <w:r>
        <w:rPr>
          <w:rFonts w:hint="eastAsia" w:ascii="仿宋" w:hAnsi="仿宋" w:eastAsia="仿宋" w:cs="仿宋"/>
          <w:kern w:val="0"/>
          <w:sz w:val="24"/>
          <w:szCs w:val="24"/>
        </w:rPr>
        <w:t>加</w:t>
      </w:r>
      <w:r>
        <w:rPr>
          <w:rFonts w:hint="eastAsia" w:ascii="仿宋" w:hAnsi="仿宋" w:eastAsia="仿宋" w:cs="仿宋"/>
          <w:spacing w:val="-2"/>
          <w:kern w:val="0"/>
          <w:sz w:val="24"/>
          <w:szCs w:val="24"/>
        </w:rPr>
        <w:t>）</w:t>
      </w:r>
      <w:r>
        <w:rPr>
          <w:rFonts w:hint="eastAsia" w:ascii="仿宋" w:hAnsi="仿宋" w:eastAsia="仿宋" w:cs="仿宋"/>
          <w:kern w:val="0"/>
          <w:sz w:val="24"/>
          <w:szCs w:val="24"/>
        </w:rPr>
        <w:t>谈判采购。</w:t>
      </w:r>
    </w:p>
    <w:p w14:paraId="3B9A8F94">
      <w:pPr>
        <w:autoSpaceDE w:val="0"/>
        <w:autoSpaceDN w:val="0"/>
        <w:adjustRightInd w:val="0"/>
        <w:snapToGrid w:val="0"/>
        <w:spacing w:beforeLines="50" w:line="360" w:lineRule="auto"/>
        <w:ind w:left="487" w:right="7230"/>
        <w:jc w:val="center"/>
        <w:rPr>
          <w:rFonts w:hint="eastAsia" w:ascii="仿宋" w:hAnsi="仿宋" w:eastAsia="仿宋" w:cs="仿宋"/>
          <w:kern w:val="0"/>
          <w:sz w:val="24"/>
          <w:szCs w:val="24"/>
        </w:rPr>
      </w:pPr>
      <w:r>
        <w:rPr>
          <w:rFonts w:hint="eastAsia" w:ascii="仿宋" w:hAnsi="仿宋" w:eastAsia="仿宋" w:cs="仿宋"/>
          <w:spacing w:val="-2"/>
          <w:kern w:val="0"/>
          <w:position w:val="-4"/>
          <w:sz w:val="24"/>
          <w:szCs w:val="24"/>
        </w:rPr>
        <w:t>特</w:t>
      </w:r>
      <w:r>
        <w:rPr>
          <w:rFonts w:hint="eastAsia" w:ascii="仿宋" w:hAnsi="仿宋" w:eastAsia="仿宋" w:cs="仿宋"/>
          <w:kern w:val="0"/>
          <w:position w:val="-4"/>
          <w:sz w:val="24"/>
          <w:szCs w:val="24"/>
        </w:rPr>
        <w:t>此</w:t>
      </w:r>
      <w:r>
        <w:rPr>
          <w:rFonts w:hint="eastAsia" w:ascii="仿宋" w:hAnsi="仿宋" w:eastAsia="仿宋" w:cs="仿宋"/>
          <w:spacing w:val="-2"/>
          <w:kern w:val="0"/>
          <w:position w:val="-4"/>
          <w:sz w:val="24"/>
          <w:szCs w:val="24"/>
        </w:rPr>
        <w:t>确</w:t>
      </w:r>
      <w:r>
        <w:rPr>
          <w:rFonts w:hint="eastAsia" w:ascii="仿宋" w:hAnsi="仿宋" w:eastAsia="仿宋" w:cs="仿宋"/>
          <w:kern w:val="0"/>
          <w:position w:val="-4"/>
          <w:sz w:val="24"/>
          <w:szCs w:val="24"/>
        </w:rPr>
        <w:t>认。</w:t>
      </w:r>
    </w:p>
    <w:p w14:paraId="5CAE26BD">
      <w:pPr>
        <w:autoSpaceDE w:val="0"/>
        <w:autoSpaceDN w:val="0"/>
        <w:adjustRightInd w:val="0"/>
        <w:snapToGrid w:val="0"/>
        <w:spacing w:beforeLines="50" w:line="360" w:lineRule="auto"/>
        <w:jc w:val="left"/>
        <w:rPr>
          <w:rFonts w:hint="eastAsia" w:ascii="仿宋" w:hAnsi="仿宋" w:eastAsia="仿宋" w:cs="仿宋"/>
          <w:kern w:val="0"/>
          <w:sz w:val="24"/>
          <w:szCs w:val="24"/>
        </w:rPr>
      </w:pPr>
    </w:p>
    <w:p w14:paraId="4FC69B97">
      <w:pPr>
        <w:tabs>
          <w:tab w:val="left" w:pos="7220"/>
        </w:tabs>
        <w:autoSpaceDE w:val="0"/>
        <w:autoSpaceDN w:val="0"/>
        <w:adjustRightInd w:val="0"/>
        <w:snapToGrid w:val="0"/>
        <w:spacing w:beforeLines="50" w:line="360" w:lineRule="auto"/>
        <w:ind w:left="3041" w:right="-20"/>
        <w:jc w:val="left"/>
        <w:rPr>
          <w:rFonts w:hint="eastAsia" w:ascii="仿宋" w:hAnsi="仿宋" w:eastAsia="仿宋" w:cs="仿宋"/>
          <w:kern w:val="0"/>
          <w:sz w:val="24"/>
          <w:szCs w:val="24"/>
        </w:rPr>
      </w:pPr>
      <w:r>
        <w:rPr>
          <w:rFonts w:hint="eastAsia" w:ascii="仿宋" w:hAnsi="仿宋" w:eastAsia="仿宋" w:cs="仿宋"/>
          <w:kern w:val="0"/>
          <w:position w:val="-2"/>
          <w:sz w:val="24"/>
          <w:szCs w:val="24"/>
        </w:rPr>
        <w:t>单</w:t>
      </w:r>
      <w:r>
        <w:rPr>
          <w:rFonts w:hint="eastAsia" w:ascii="仿宋" w:hAnsi="仿宋" w:eastAsia="仿宋" w:cs="仿宋"/>
          <w:spacing w:val="-2"/>
          <w:kern w:val="0"/>
          <w:position w:val="-2"/>
          <w:sz w:val="24"/>
          <w:szCs w:val="24"/>
        </w:rPr>
        <w:t>位</w:t>
      </w:r>
      <w:r>
        <w:rPr>
          <w:rFonts w:hint="eastAsia" w:ascii="仿宋" w:hAnsi="仿宋" w:eastAsia="仿宋" w:cs="仿宋"/>
          <w:kern w:val="0"/>
          <w:position w:val="-2"/>
          <w:sz w:val="24"/>
          <w:szCs w:val="24"/>
        </w:rPr>
        <w:t>名</w:t>
      </w:r>
      <w:r>
        <w:rPr>
          <w:rFonts w:hint="eastAsia" w:ascii="仿宋" w:hAnsi="仿宋" w:eastAsia="仿宋" w:cs="仿宋"/>
          <w:spacing w:val="-2"/>
          <w:kern w:val="0"/>
          <w:position w:val="-2"/>
          <w:sz w:val="24"/>
          <w:szCs w:val="24"/>
        </w:rPr>
        <w:t>称（盖单位公章）</w:t>
      </w:r>
      <w:r>
        <w:rPr>
          <w:rFonts w:hint="eastAsia" w:ascii="仿宋" w:hAnsi="仿宋" w:eastAsia="仿宋" w:cs="仿宋"/>
          <w:kern w:val="0"/>
          <w:position w:val="-2"/>
          <w:sz w:val="24"/>
          <w:szCs w:val="24"/>
        </w:rPr>
        <w:t>：</w:t>
      </w:r>
      <w:r>
        <w:rPr>
          <w:rFonts w:hint="eastAsia" w:ascii="仿宋" w:hAnsi="仿宋" w:eastAsia="仿宋" w:cs="仿宋"/>
          <w:spacing w:val="43"/>
          <w:kern w:val="0"/>
          <w:position w:val="-2"/>
          <w:sz w:val="24"/>
          <w:szCs w:val="24"/>
          <w:u w:val="single"/>
        </w:rPr>
        <w:t xml:space="preserve">            </w:t>
      </w:r>
    </w:p>
    <w:p w14:paraId="0B0AF2AB">
      <w:pPr>
        <w:tabs>
          <w:tab w:val="left" w:pos="7760"/>
        </w:tabs>
        <w:autoSpaceDE w:val="0"/>
        <w:autoSpaceDN w:val="0"/>
        <w:adjustRightInd w:val="0"/>
        <w:snapToGrid w:val="0"/>
        <w:spacing w:beforeLines="50" w:line="360" w:lineRule="auto"/>
        <w:ind w:left="3041" w:right="-20"/>
        <w:jc w:val="left"/>
        <w:rPr>
          <w:rFonts w:hint="eastAsia" w:ascii="仿宋" w:hAnsi="仿宋" w:eastAsia="仿宋" w:cs="仿宋"/>
          <w:kern w:val="0"/>
          <w:sz w:val="24"/>
          <w:szCs w:val="24"/>
        </w:rPr>
      </w:pPr>
      <w:r>
        <w:rPr>
          <w:rFonts w:hint="eastAsia" w:ascii="仿宋" w:hAnsi="仿宋" w:eastAsia="仿宋" w:cs="仿宋"/>
          <w:kern w:val="0"/>
          <w:position w:val="-2"/>
          <w:sz w:val="24"/>
          <w:szCs w:val="24"/>
        </w:rPr>
        <w:t>法定</w:t>
      </w:r>
      <w:r>
        <w:rPr>
          <w:rFonts w:hint="eastAsia" w:ascii="仿宋" w:hAnsi="仿宋" w:eastAsia="仿宋" w:cs="仿宋"/>
          <w:spacing w:val="-2"/>
          <w:kern w:val="0"/>
          <w:position w:val="-2"/>
          <w:sz w:val="24"/>
          <w:szCs w:val="24"/>
        </w:rPr>
        <w:t>代</w:t>
      </w:r>
      <w:r>
        <w:rPr>
          <w:rFonts w:hint="eastAsia" w:ascii="仿宋" w:hAnsi="仿宋" w:eastAsia="仿宋" w:cs="仿宋"/>
          <w:kern w:val="0"/>
          <w:position w:val="-2"/>
          <w:sz w:val="24"/>
          <w:szCs w:val="24"/>
        </w:rPr>
        <w:t>表</w:t>
      </w:r>
      <w:r>
        <w:rPr>
          <w:rFonts w:hint="eastAsia" w:ascii="仿宋" w:hAnsi="仿宋" w:eastAsia="仿宋" w:cs="仿宋"/>
          <w:spacing w:val="-2"/>
          <w:kern w:val="0"/>
          <w:position w:val="-2"/>
          <w:sz w:val="24"/>
          <w:szCs w:val="24"/>
        </w:rPr>
        <w:t>人</w:t>
      </w:r>
      <w:r>
        <w:rPr>
          <w:rFonts w:hint="eastAsia" w:ascii="仿宋" w:hAnsi="仿宋" w:eastAsia="仿宋" w:cs="仿宋"/>
          <w:kern w:val="0"/>
          <w:position w:val="-2"/>
          <w:sz w:val="24"/>
          <w:szCs w:val="24"/>
        </w:rPr>
        <w:t>（或</w:t>
      </w:r>
      <w:r>
        <w:rPr>
          <w:rFonts w:hint="eastAsia" w:ascii="仿宋" w:hAnsi="仿宋" w:eastAsia="仿宋" w:cs="仿宋"/>
          <w:spacing w:val="-2"/>
          <w:kern w:val="0"/>
          <w:position w:val="-2"/>
          <w:sz w:val="24"/>
          <w:szCs w:val="24"/>
        </w:rPr>
        <w:t>授权代表人）</w:t>
      </w:r>
      <w:r>
        <w:rPr>
          <w:rFonts w:hint="eastAsia" w:ascii="仿宋" w:hAnsi="仿宋" w:eastAsia="仿宋" w:cs="仿宋"/>
          <w:sz w:val="24"/>
          <w:szCs w:val="24"/>
        </w:rPr>
        <w:t>（签字或印章）：</w:t>
      </w:r>
      <w:r>
        <w:rPr>
          <w:rFonts w:hint="eastAsia" w:ascii="仿宋" w:hAnsi="仿宋" w:eastAsia="仿宋" w:cs="仿宋"/>
          <w:spacing w:val="43"/>
          <w:kern w:val="0"/>
          <w:position w:val="-2"/>
          <w:sz w:val="24"/>
          <w:szCs w:val="24"/>
          <w:u w:val="single"/>
        </w:rPr>
        <w:t xml:space="preserve">        </w:t>
      </w:r>
    </w:p>
    <w:p w14:paraId="33C4D56C">
      <w:pPr>
        <w:rPr>
          <w:rFonts w:hint="eastAsia" w:ascii="仿宋" w:hAnsi="仿宋" w:eastAsia="仿宋" w:cs="仿宋"/>
          <w:w w:val="169"/>
          <w:kern w:val="0"/>
          <w:sz w:val="24"/>
          <w:szCs w:val="24"/>
          <w:u w:val="single"/>
        </w:rPr>
      </w:pPr>
    </w:p>
    <w:p w14:paraId="2DFCB1B2">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6480" w:firstLineChars="1600"/>
        <w:jc w:val="both"/>
        <w:textAlignment w:val="auto"/>
        <w:rPr>
          <w:rFonts w:hint="eastAsia" w:ascii="仿宋" w:hAnsi="仿宋" w:eastAsia="仿宋" w:cs="仿宋"/>
          <w:kern w:val="0"/>
          <w:sz w:val="24"/>
          <w:szCs w:val="24"/>
        </w:rPr>
      </w:pPr>
      <w:r>
        <w:rPr>
          <w:rFonts w:hint="eastAsia" w:ascii="仿宋" w:hAnsi="仿宋" w:eastAsia="仿宋" w:cs="仿宋"/>
          <w:w w:val="169"/>
          <w:kern w:val="0"/>
          <w:sz w:val="24"/>
          <w:szCs w:val="24"/>
          <w:u w:val="single"/>
        </w:rPr>
        <w:t xml:space="preserve">     </w:t>
      </w:r>
      <w:r>
        <w:rPr>
          <w:rFonts w:hint="eastAsia" w:ascii="仿宋" w:hAnsi="仿宋" w:eastAsia="仿宋" w:cs="仿宋"/>
          <w:kern w:val="0"/>
          <w:sz w:val="24"/>
          <w:szCs w:val="24"/>
        </w:rPr>
        <w:t xml:space="preserve">年 </w:t>
      </w:r>
      <w:r>
        <w:rPr>
          <w:rFonts w:hint="eastAsia" w:ascii="仿宋" w:hAnsi="仿宋" w:eastAsia="仿宋" w:cs="仿宋"/>
          <w:spacing w:val="43"/>
          <w:kern w:val="0"/>
          <w:sz w:val="24"/>
          <w:szCs w:val="24"/>
          <w:u w:val="single"/>
        </w:rPr>
        <w:t xml:space="preserve"> </w:t>
      </w:r>
      <w:r>
        <w:rPr>
          <w:rFonts w:hint="eastAsia" w:ascii="仿宋" w:hAnsi="仿宋" w:eastAsia="仿宋" w:cs="仿宋"/>
          <w:spacing w:val="-2"/>
          <w:kern w:val="0"/>
          <w:sz w:val="24"/>
          <w:szCs w:val="24"/>
        </w:rPr>
        <w:t>月</w:t>
      </w:r>
      <w:r>
        <w:rPr>
          <w:rFonts w:hint="eastAsia" w:ascii="仿宋" w:hAnsi="仿宋" w:eastAsia="仿宋" w:cs="仿宋"/>
          <w:spacing w:val="43"/>
          <w:kern w:val="0"/>
          <w:sz w:val="24"/>
          <w:szCs w:val="24"/>
          <w:u w:val="single"/>
        </w:rPr>
        <w:t xml:space="preserve">  </w:t>
      </w:r>
      <w:r>
        <w:rPr>
          <w:rFonts w:hint="eastAsia" w:ascii="仿宋" w:hAnsi="仿宋" w:eastAsia="仿宋" w:cs="仿宋"/>
          <w:kern w:val="0"/>
          <w:sz w:val="24"/>
          <w:szCs w:val="24"/>
        </w:rPr>
        <w:t>日</w:t>
      </w:r>
    </w:p>
    <w:p w14:paraId="73E39FBC">
      <w:pPr>
        <w:pStyle w:val="23"/>
        <w:rPr>
          <w:rFonts w:hint="default"/>
          <w:lang w:val="en-US" w:eastAsia="zh-CN"/>
        </w:rPr>
      </w:pPr>
    </w:p>
    <w:p w14:paraId="45120A27">
      <w:pPr>
        <w:pStyle w:val="21"/>
        <w:rPr>
          <w:rFonts w:hint="eastAsia" w:ascii="宋体" w:hAnsi="宋体"/>
          <w:color w:val="000000" w:themeColor="text1"/>
          <w:szCs w:val="21"/>
          <w:u w:val="single"/>
          <w:lang w:val="en-US" w:eastAsia="zh-CN"/>
          <w14:textFill>
            <w14:solidFill>
              <w14:schemeClr w14:val="tx1"/>
            </w14:solidFill>
          </w14:textFill>
        </w:rPr>
      </w:pPr>
    </w:p>
    <w:p w14:paraId="1AB6CFAA">
      <w:pPr>
        <w:pStyle w:val="21"/>
        <w:rPr>
          <w:rFonts w:hint="eastAsia" w:ascii="宋体" w:hAnsi="宋体"/>
          <w:color w:val="000000" w:themeColor="text1"/>
          <w:szCs w:val="21"/>
          <w:u w:val="single"/>
          <w:lang w:val="en-US" w:eastAsia="zh-CN"/>
          <w14:textFill>
            <w14:solidFill>
              <w14:schemeClr w14:val="tx1"/>
            </w14:solidFill>
          </w14:textFill>
        </w:rPr>
      </w:pPr>
    </w:p>
    <w:p w14:paraId="31E96E2D">
      <w:pPr>
        <w:pStyle w:val="21"/>
        <w:rPr>
          <w:rFonts w:hint="eastAsia" w:ascii="宋体" w:hAnsi="宋体"/>
          <w:color w:val="000000" w:themeColor="text1"/>
          <w:szCs w:val="21"/>
          <w:u w:val="single"/>
          <w:lang w:val="en-US" w:eastAsia="zh-CN"/>
          <w14:textFill>
            <w14:solidFill>
              <w14:schemeClr w14:val="tx1"/>
            </w14:solidFill>
          </w14:textFill>
        </w:rPr>
      </w:pPr>
    </w:p>
    <w:p w14:paraId="60BE9F94">
      <w:pPr>
        <w:pStyle w:val="21"/>
        <w:rPr>
          <w:rFonts w:hint="eastAsia" w:ascii="宋体" w:hAnsi="宋体"/>
          <w:color w:val="000000" w:themeColor="text1"/>
          <w:szCs w:val="21"/>
          <w:u w:val="single"/>
          <w:lang w:val="en-US" w:eastAsia="zh-CN"/>
          <w14:textFill>
            <w14:solidFill>
              <w14:schemeClr w14:val="tx1"/>
            </w14:solidFill>
          </w14:textFill>
        </w:rPr>
      </w:pPr>
    </w:p>
    <w:p w14:paraId="7D4A05C1">
      <w:pPr>
        <w:pStyle w:val="21"/>
        <w:rPr>
          <w:rFonts w:hint="eastAsia" w:ascii="宋体" w:hAnsi="宋体"/>
          <w:color w:val="000000" w:themeColor="text1"/>
          <w:szCs w:val="21"/>
          <w:u w:val="single"/>
          <w:lang w:val="en-US" w:eastAsia="zh-CN"/>
          <w14:textFill>
            <w14:solidFill>
              <w14:schemeClr w14:val="tx1"/>
            </w14:solidFill>
          </w14:textFill>
        </w:rPr>
      </w:pPr>
    </w:p>
    <w:p w14:paraId="4F940786">
      <w:pPr>
        <w:pStyle w:val="21"/>
        <w:rPr>
          <w:rFonts w:hint="eastAsia" w:ascii="宋体" w:hAnsi="宋体"/>
          <w:color w:val="000000" w:themeColor="text1"/>
          <w:szCs w:val="21"/>
          <w:u w:val="single"/>
          <w:lang w:val="en-US" w:eastAsia="zh-CN"/>
          <w14:textFill>
            <w14:solidFill>
              <w14:schemeClr w14:val="tx1"/>
            </w14:solidFill>
          </w14:textFill>
        </w:rPr>
      </w:pPr>
    </w:p>
    <w:p w14:paraId="4EA45DC1">
      <w:pPr>
        <w:pStyle w:val="21"/>
        <w:rPr>
          <w:rFonts w:hint="eastAsia" w:ascii="宋体" w:hAnsi="宋体"/>
          <w:color w:val="000000" w:themeColor="text1"/>
          <w:szCs w:val="21"/>
          <w:u w:val="single"/>
          <w:lang w:val="en-US" w:eastAsia="zh-CN"/>
          <w14:textFill>
            <w14:solidFill>
              <w14:schemeClr w14:val="tx1"/>
            </w14:solidFill>
          </w14:textFill>
        </w:rPr>
      </w:pPr>
    </w:p>
    <w:p w14:paraId="47297B28">
      <w:pPr>
        <w:pStyle w:val="21"/>
        <w:rPr>
          <w:rFonts w:hint="eastAsia" w:ascii="宋体" w:hAnsi="宋体"/>
          <w:color w:val="000000" w:themeColor="text1"/>
          <w:szCs w:val="21"/>
          <w:u w:val="single"/>
          <w:lang w:val="en-US" w:eastAsia="zh-CN"/>
          <w14:textFill>
            <w14:solidFill>
              <w14:schemeClr w14:val="tx1"/>
            </w14:solidFill>
          </w14:textFill>
        </w:rPr>
      </w:pPr>
    </w:p>
    <w:p w14:paraId="26A2BC91">
      <w:pPr>
        <w:pStyle w:val="21"/>
        <w:rPr>
          <w:rFonts w:hint="eastAsia" w:ascii="宋体" w:hAnsi="宋体"/>
          <w:color w:val="000000" w:themeColor="text1"/>
          <w:szCs w:val="21"/>
          <w:u w:val="single"/>
          <w:lang w:val="en-US" w:eastAsia="zh-CN"/>
          <w14:textFill>
            <w14:solidFill>
              <w14:schemeClr w14:val="tx1"/>
            </w14:solidFill>
          </w14:textFill>
        </w:rPr>
      </w:pPr>
    </w:p>
    <w:p w14:paraId="43FAC7FE">
      <w:pPr>
        <w:pStyle w:val="21"/>
        <w:rPr>
          <w:rFonts w:hint="eastAsia" w:ascii="宋体" w:hAnsi="宋体"/>
          <w:color w:val="000000" w:themeColor="text1"/>
          <w:szCs w:val="21"/>
          <w:u w:val="single"/>
          <w:lang w:val="en-US" w:eastAsia="zh-CN"/>
          <w14:textFill>
            <w14:solidFill>
              <w14:schemeClr w14:val="tx1"/>
            </w14:solidFill>
          </w14:textFill>
        </w:rPr>
      </w:pPr>
    </w:p>
    <w:p w14:paraId="2CD7DCFF">
      <w:pPr>
        <w:pStyle w:val="21"/>
        <w:rPr>
          <w:rFonts w:hint="eastAsia" w:ascii="宋体" w:hAnsi="宋体"/>
          <w:color w:val="000000" w:themeColor="text1"/>
          <w:szCs w:val="21"/>
          <w:u w:val="single"/>
          <w:lang w:val="en-US" w:eastAsia="zh-CN"/>
          <w14:textFill>
            <w14:solidFill>
              <w14:schemeClr w14:val="tx1"/>
            </w14:solidFill>
          </w14:textFill>
        </w:rPr>
      </w:pPr>
    </w:p>
    <w:p w14:paraId="482F2ADA">
      <w:pPr>
        <w:rPr>
          <w:rFonts w:hint="eastAsia"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br w:type="page"/>
      </w:r>
    </w:p>
    <w:p w14:paraId="01C4A45A">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bookmarkStart w:id="25" w:name="_Toc1031"/>
      <w:r>
        <w:rPr>
          <w:rFonts w:hint="eastAsia" w:ascii="黑体" w:hAnsi="黑体" w:eastAsia="黑体"/>
          <w:b/>
          <w:bCs/>
          <w:color w:val="000000" w:themeColor="text1"/>
          <w:sz w:val="32"/>
          <w:szCs w:val="32"/>
          <w14:textFill>
            <w14:solidFill>
              <w14:schemeClr w14:val="tx1"/>
            </w14:solidFill>
          </w14:textFill>
        </w:rPr>
        <w:t>第二章 谈判须知</w:t>
      </w:r>
      <w:bookmarkEnd w:id="25"/>
    </w:p>
    <w:p w14:paraId="3A8DC12A">
      <w:pPr>
        <w:keepNext/>
        <w:keepLines/>
        <w:adjustRightInd w:val="0"/>
        <w:snapToGrid w:val="0"/>
        <w:spacing w:before="156" w:beforeLines="50"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26" w:name="_Toc10328"/>
      <w:r>
        <w:rPr>
          <w:rFonts w:hint="eastAsia" w:ascii="黑体" w:hAnsi="黑体" w:eastAsia="黑体"/>
          <w:b/>
          <w:bCs/>
          <w:color w:val="000000" w:themeColor="text1"/>
          <w:sz w:val="28"/>
          <w:szCs w:val="28"/>
          <w14:textFill>
            <w14:solidFill>
              <w14:schemeClr w14:val="tx1"/>
            </w14:solidFill>
          </w14:textFill>
        </w:rPr>
        <w:t>第一节 谈判须知前附表</w:t>
      </w:r>
      <w:bookmarkEnd w:id="26"/>
    </w:p>
    <w:tbl>
      <w:tblPr>
        <w:tblStyle w:val="18"/>
        <w:tblW w:w="925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22"/>
        <w:gridCol w:w="2556"/>
        <w:gridCol w:w="5074"/>
      </w:tblGrid>
      <w:tr w14:paraId="0F74AA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1622" w:type="dxa"/>
            <w:noWrap w:val="0"/>
            <w:vAlign w:val="center"/>
          </w:tcPr>
          <w:p w14:paraId="1BD34471">
            <w:pPr>
              <w:adjustRightInd w:val="0"/>
              <w:snapToGrid w:val="0"/>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556" w:type="dxa"/>
            <w:noWrap w:val="0"/>
            <w:vAlign w:val="center"/>
          </w:tcPr>
          <w:p w14:paraId="54D20151">
            <w:pPr>
              <w:adjustRightInd w:val="0"/>
              <w:snapToGrid w:val="0"/>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条款名称</w:t>
            </w:r>
          </w:p>
        </w:tc>
        <w:tc>
          <w:tcPr>
            <w:tcW w:w="5074" w:type="dxa"/>
            <w:noWrap w:val="0"/>
            <w:vAlign w:val="center"/>
          </w:tcPr>
          <w:p w14:paraId="35C8C82B">
            <w:pPr>
              <w:adjustRightInd w:val="0"/>
              <w:snapToGrid w:val="0"/>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编列内容规定</w:t>
            </w:r>
          </w:p>
        </w:tc>
      </w:tr>
      <w:tr w14:paraId="7F2901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759E2C8B">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一、说明</w:t>
            </w:r>
          </w:p>
        </w:tc>
      </w:tr>
      <w:tr w14:paraId="171C4D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0C53B315">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第1.1款</w:t>
            </w:r>
          </w:p>
        </w:tc>
        <w:tc>
          <w:tcPr>
            <w:tcW w:w="2556" w:type="dxa"/>
            <w:noWrap w:val="0"/>
            <w:vAlign w:val="center"/>
          </w:tcPr>
          <w:p w14:paraId="2E5DD6B4">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采购项目</w:t>
            </w:r>
          </w:p>
        </w:tc>
        <w:tc>
          <w:tcPr>
            <w:tcW w:w="5074" w:type="dxa"/>
            <w:noWrap w:val="0"/>
            <w:vAlign w:val="center"/>
          </w:tcPr>
          <w:p w14:paraId="1C2AC561">
            <w:pPr>
              <w:adjustRightInd w:val="0"/>
              <w:snapToGrid w:val="0"/>
              <w:spacing w:before="50"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湖南医药学院总医院低温液氧储存罐采购及配套安装项目</w:t>
            </w:r>
          </w:p>
        </w:tc>
      </w:tr>
      <w:tr w14:paraId="0A2726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1E6EAAFF">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第1.2款</w:t>
            </w:r>
          </w:p>
        </w:tc>
        <w:tc>
          <w:tcPr>
            <w:tcW w:w="2556" w:type="dxa"/>
            <w:noWrap w:val="0"/>
            <w:vAlign w:val="center"/>
          </w:tcPr>
          <w:p w14:paraId="5DDD3DF8">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是否预留采购份额</w:t>
            </w:r>
          </w:p>
        </w:tc>
        <w:tc>
          <w:tcPr>
            <w:tcW w:w="5074" w:type="dxa"/>
            <w:noWrap w:val="0"/>
            <w:vAlign w:val="center"/>
          </w:tcPr>
          <w:p w14:paraId="7E21E92C">
            <w:pPr>
              <w:adjustRightInd w:val="0"/>
              <w:snapToGrid w:val="0"/>
              <w:spacing w:before="50"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否</w:t>
            </w:r>
          </w:p>
        </w:tc>
      </w:tr>
      <w:tr w14:paraId="21AB2D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98AF925">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第2.1款</w:t>
            </w:r>
          </w:p>
        </w:tc>
        <w:tc>
          <w:tcPr>
            <w:tcW w:w="2556" w:type="dxa"/>
            <w:noWrap w:val="0"/>
            <w:vAlign w:val="center"/>
          </w:tcPr>
          <w:p w14:paraId="656E6A55">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采购项目联系人姓名和电话</w:t>
            </w:r>
          </w:p>
        </w:tc>
        <w:tc>
          <w:tcPr>
            <w:tcW w:w="5074" w:type="dxa"/>
            <w:noWrap w:val="0"/>
            <w:vAlign w:val="center"/>
          </w:tcPr>
          <w:p w14:paraId="425D30EC">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1、联系人姓名：</w:t>
            </w:r>
            <w:r>
              <w:rPr>
                <w:rFonts w:hint="eastAsia" w:ascii="宋体" w:hAnsi="宋体"/>
                <w:color w:val="000000" w:themeColor="text1"/>
                <w:szCs w:val="21"/>
                <w:lang w:val="en-US" w:eastAsia="zh-CN"/>
                <w14:textFill>
                  <w14:solidFill>
                    <w14:schemeClr w14:val="tx1"/>
                  </w14:solidFill>
                </w14:textFill>
              </w:rPr>
              <w:t>王彦芝</w:t>
            </w:r>
          </w:p>
          <w:p w14:paraId="555FE372">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2、电话：</w:t>
            </w:r>
            <w:r>
              <w:rPr>
                <w:rFonts w:hint="eastAsia" w:ascii="宋体" w:hAnsi="宋体"/>
                <w:color w:val="000000" w:themeColor="text1"/>
                <w:szCs w:val="21"/>
                <w:lang w:val="en-US" w:eastAsia="zh-CN"/>
                <w14:textFill>
                  <w14:solidFill>
                    <w14:schemeClr w14:val="tx1"/>
                  </w14:solidFill>
                </w14:textFill>
              </w:rPr>
              <w:t>0731-85118391</w:t>
            </w:r>
          </w:p>
        </w:tc>
      </w:tr>
      <w:tr w14:paraId="116D0E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19678273">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第2.2款</w:t>
            </w:r>
          </w:p>
        </w:tc>
        <w:tc>
          <w:tcPr>
            <w:tcW w:w="2556" w:type="dxa"/>
            <w:noWrap w:val="0"/>
            <w:vAlign w:val="top"/>
          </w:tcPr>
          <w:p w14:paraId="3BBAFAD6">
            <w:pPr>
              <w:adjustRightInd w:val="0"/>
              <w:snapToGrid w:val="0"/>
              <w:spacing w:before="5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采购人名称、地址、电话、联系人</w:t>
            </w:r>
          </w:p>
        </w:tc>
        <w:tc>
          <w:tcPr>
            <w:tcW w:w="5074" w:type="dxa"/>
            <w:noWrap w:val="0"/>
            <w:vAlign w:val="center"/>
          </w:tcPr>
          <w:p w14:paraId="1C332E67">
            <w:pPr>
              <w:adjustRightInd w:val="0"/>
              <w:snapToGrid w:val="0"/>
              <w:spacing w:before="50" w:line="240" w:lineRule="auto"/>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r>
              <w:rPr>
                <w:rFonts w:hint="eastAsia" w:ascii="宋体" w:hAnsi="宋体"/>
                <w:color w:val="000000" w:themeColor="text1"/>
                <w:szCs w:val="21"/>
                <w:lang w:val="en-US" w:eastAsia="zh-CN"/>
                <w14:textFill>
                  <w14:solidFill>
                    <w14:schemeClr w14:val="tx1"/>
                  </w14:solidFill>
                </w14:textFill>
              </w:rPr>
              <w:t>湖南医药学院总医院</w:t>
            </w:r>
          </w:p>
          <w:p w14:paraId="3B9438C5">
            <w:pPr>
              <w:adjustRightInd w:val="0"/>
              <w:snapToGrid w:val="0"/>
              <w:spacing w:before="50" w:line="240" w:lineRule="auto"/>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湖南省怀化市锦溪南路144号</w:t>
            </w:r>
          </w:p>
          <w:p w14:paraId="71BC04FE">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周女士</w:t>
            </w:r>
            <w:r>
              <w:rPr>
                <w:rFonts w:hint="eastAsia" w:ascii="宋体" w:hAnsi="宋体"/>
                <w:color w:val="000000" w:themeColor="text1"/>
                <w:szCs w:val="21"/>
                <w14:textFill>
                  <w14:solidFill>
                    <w14:schemeClr w14:val="tx1"/>
                  </w14:solidFill>
                </w14:textFill>
              </w:rPr>
              <w:t xml:space="preserve"> </w:t>
            </w:r>
          </w:p>
          <w:p w14:paraId="7EFA8E53">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lang w:val="en-US" w:eastAsia="zh-CN"/>
                <w14:textFill>
                  <w14:solidFill>
                    <w14:schemeClr w14:val="tx1"/>
                  </w14:solidFill>
                </w14:textFill>
              </w:rPr>
              <w:t>15211535207</w:t>
            </w:r>
          </w:p>
        </w:tc>
      </w:tr>
      <w:tr w14:paraId="17F01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34895A17">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第2.3款</w:t>
            </w:r>
          </w:p>
        </w:tc>
        <w:tc>
          <w:tcPr>
            <w:tcW w:w="2556" w:type="dxa"/>
            <w:noWrap w:val="0"/>
            <w:vAlign w:val="top"/>
          </w:tcPr>
          <w:p w14:paraId="35FE4E99">
            <w:pPr>
              <w:adjustRightInd w:val="0"/>
              <w:snapToGrid w:val="0"/>
              <w:spacing w:before="5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采购代理机构名称、地址、电话、联系人</w:t>
            </w:r>
          </w:p>
        </w:tc>
        <w:tc>
          <w:tcPr>
            <w:tcW w:w="5074" w:type="dxa"/>
            <w:noWrap w:val="0"/>
            <w:vAlign w:val="center"/>
          </w:tcPr>
          <w:p w14:paraId="74B19609">
            <w:pPr>
              <w:adjustRightInd w:val="0"/>
              <w:snapToGrid w:val="0"/>
              <w:spacing w:before="50" w:line="24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r>
              <w:rPr>
                <w:rFonts w:hint="eastAsia" w:ascii="宋体" w:hAnsi="宋体"/>
                <w:color w:val="000000" w:themeColor="text1"/>
                <w:szCs w:val="21"/>
                <w:lang w:val="en-US" w:eastAsia="zh-CN"/>
                <w14:textFill>
                  <w14:solidFill>
                    <w14:schemeClr w14:val="tx1"/>
                  </w14:solidFill>
                </w14:textFill>
              </w:rPr>
              <w:t>湖南天舟招标代理有限公司</w:t>
            </w:r>
          </w:p>
          <w:p w14:paraId="5BB05315">
            <w:pPr>
              <w:adjustRightInd w:val="0"/>
              <w:snapToGrid w:val="0"/>
              <w:spacing w:before="50" w:line="240" w:lineRule="auto"/>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val="en-US" w:eastAsia="zh-CN"/>
                <w14:textFill>
                  <w14:solidFill>
                    <w14:schemeClr w14:val="tx1"/>
                  </w14:solidFill>
                </w14:textFill>
              </w:rPr>
              <w:t>湖南省怀化市鹤城区卢林南路宏运新苑1栋北面1楼</w:t>
            </w:r>
          </w:p>
          <w:p w14:paraId="1708D862">
            <w:pPr>
              <w:adjustRightInd w:val="0"/>
              <w:snapToGrid w:val="0"/>
              <w:spacing w:before="50" w:line="240" w:lineRule="auto"/>
              <w:rPr>
                <w:rFonts w:hint="default"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联系人：</w:t>
            </w:r>
            <w:r>
              <w:rPr>
                <w:rFonts w:hint="eastAsia" w:ascii="宋体" w:hAnsi="宋体"/>
                <w:color w:val="000000" w:themeColor="text1"/>
                <w:szCs w:val="21"/>
                <w:lang w:val="en-US" w:eastAsia="zh-CN"/>
                <w14:textFill>
                  <w14:solidFill>
                    <w14:schemeClr w14:val="tx1"/>
                  </w14:solidFill>
                </w14:textFill>
              </w:rPr>
              <w:t>王彦芝 王慧 蔡依玲</w:t>
            </w:r>
          </w:p>
          <w:p w14:paraId="476FF3CC">
            <w:pPr>
              <w:adjustRightInd w:val="0"/>
              <w:snapToGrid w:val="0"/>
              <w:spacing w:before="50" w:line="240" w:lineRule="auto"/>
              <w:rPr>
                <w:rFonts w:hint="default" w:ascii="宋体" w:hAnsi="宋体"/>
                <w:color w:val="000000" w:themeColor="text1"/>
                <w:szCs w:val="21"/>
                <w:lang w:val="en-US"/>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lang w:val="en-US" w:eastAsia="zh-CN"/>
                <w14:textFill>
                  <w14:solidFill>
                    <w14:schemeClr w14:val="tx1"/>
                  </w14:solidFill>
                </w14:textFill>
              </w:rPr>
              <w:t>0731-85118391</w:t>
            </w:r>
          </w:p>
        </w:tc>
      </w:tr>
      <w:tr w14:paraId="1DB236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tcBorders>
              <w:bottom w:val="single" w:color="auto" w:sz="4" w:space="0"/>
            </w:tcBorders>
            <w:noWrap w:val="0"/>
            <w:vAlign w:val="center"/>
          </w:tcPr>
          <w:p w14:paraId="555D2D75">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第3.1款</w:t>
            </w:r>
          </w:p>
        </w:tc>
        <w:tc>
          <w:tcPr>
            <w:tcW w:w="2556" w:type="dxa"/>
            <w:noWrap w:val="0"/>
            <w:vAlign w:val="center"/>
          </w:tcPr>
          <w:p w14:paraId="2A00A0C4">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资格条件</w:t>
            </w:r>
          </w:p>
        </w:tc>
        <w:tc>
          <w:tcPr>
            <w:tcW w:w="5074" w:type="dxa"/>
            <w:noWrap w:val="0"/>
            <w:vAlign w:val="center"/>
          </w:tcPr>
          <w:p w14:paraId="6882E7FC">
            <w:pPr>
              <w:adjustRightInd w:val="0"/>
              <w:snapToGrid w:val="0"/>
              <w:spacing w:line="360" w:lineRule="auto"/>
              <w:rPr>
                <w:rFonts w:ascii="宋体" w:hAnsi="宋体" w:eastAsia="宋体" w:cs="Times New Roman"/>
                <w:bCs/>
                <w:szCs w:val="21"/>
              </w:rPr>
            </w:pPr>
            <w:r>
              <w:rPr>
                <w:rFonts w:hint="eastAsia" w:ascii="宋体" w:hAnsi="宋体" w:eastAsia="宋体" w:cs="Times New Roman"/>
                <w:bCs/>
                <w:szCs w:val="21"/>
              </w:rPr>
              <w:t>1、符合《中华人民共和国政府采购法》第二十二条和《政府采购法实施条例》第十七条规定的供应商条件。</w:t>
            </w:r>
          </w:p>
          <w:p w14:paraId="4B2D42D3">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（1）供应商营业执照副本复印件或合伙企业营业执照副本或事业单位法人证书复印件或自然人身份证明复印件；</w:t>
            </w:r>
          </w:p>
          <w:p w14:paraId="7BC11AFA">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（2）法定代表人或合伙执行人授权委托书及双方身份证复印件,自然人投标可不提交；</w:t>
            </w:r>
          </w:p>
          <w:p w14:paraId="5F211D61">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（3）《湖南省政府采购供应商资格承诺函》原件，详见附件5-2。</w:t>
            </w:r>
          </w:p>
          <w:p w14:paraId="4DEA0FAF">
            <w:pPr>
              <w:adjustRightInd w:val="0"/>
              <w:snapToGrid w:val="0"/>
              <w:spacing w:line="360" w:lineRule="auto"/>
              <w:rPr>
                <w:rFonts w:hint="eastAsia" w:ascii="宋体" w:hAnsi="宋体" w:eastAsia="宋体" w:cs="宋体"/>
                <w:szCs w:val="21"/>
                <w:u w:val="none"/>
              </w:rPr>
            </w:pPr>
            <w:r>
              <w:rPr>
                <w:rFonts w:hint="eastAsia" w:ascii="宋体" w:hAnsi="宋体" w:eastAsia="宋体" w:cs="Times New Roman"/>
                <w:color w:val="000000" w:themeColor="text1"/>
                <w:szCs w:val="21"/>
                <w:u w:val="none"/>
                <w:lang w:val="en-US" w:eastAsia="zh-CN"/>
                <w14:textFill>
                  <w14:solidFill>
                    <w14:schemeClr w14:val="tx1"/>
                  </w14:solidFill>
                </w14:textFill>
              </w:rPr>
              <w:t>（</w:t>
            </w:r>
            <w:r>
              <w:rPr>
                <w:rFonts w:hint="eastAsia" w:ascii="宋体" w:hAnsi="宋体" w:cs="Times New Roman"/>
                <w:color w:val="000000" w:themeColor="text1"/>
                <w:szCs w:val="21"/>
                <w:u w:val="none"/>
                <w:lang w:val="en-US" w:eastAsia="zh-CN"/>
                <w14:textFill>
                  <w14:solidFill>
                    <w14:schemeClr w14:val="tx1"/>
                  </w14:solidFill>
                </w14:textFill>
              </w:rPr>
              <w:t>4</w:t>
            </w:r>
            <w:r>
              <w:rPr>
                <w:rFonts w:hint="eastAsia" w:ascii="宋体" w:hAnsi="宋体" w:eastAsia="宋体" w:cs="Times New Roman"/>
                <w:color w:val="000000" w:themeColor="text1"/>
                <w:szCs w:val="21"/>
                <w:u w:val="none"/>
                <w:lang w:val="en-US" w:eastAsia="zh-CN"/>
                <w14:textFill>
                  <w14:solidFill>
                    <w14:schemeClr w14:val="tx1"/>
                  </w14:solidFill>
                </w14:textFill>
              </w:rPr>
              <w:t>）、《标前诚信承诺书》（格式见附件5-3）。</w:t>
            </w:r>
          </w:p>
          <w:p w14:paraId="7299F224">
            <w:pPr>
              <w:widowControl w:val="0"/>
              <w:spacing w:after="0" w:line="360" w:lineRule="auto"/>
              <w:ind w:left="0" w:leftChars="0" w:firstLine="0" w:firstLineChars="0"/>
              <w:jc w:val="both"/>
              <w:rPr>
                <w:rFonts w:hint="eastAsia" w:ascii="Times New Roman" w:hAnsi="Times New Roman" w:eastAsia="宋体" w:cs="Times New Roman"/>
                <w:kern w:val="2"/>
                <w:sz w:val="21"/>
                <w:szCs w:val="24"/>
                <w:lang w:val="en-US" w:eastAsia="zh-CN" w:bidi="ar-SA"/>
              </w:rPr>
            </w:pPr>
            <w:r>
              <w:rPr>
                <w:rFonts w:hint="eastAsia" w:ascii="宋体" w:hAnsi="宋体" w:eastAsia="宋体" w:cs="宋体"/>
                <w:kern w:val="2"/>
                <w:sz w:val="21"/>
                <w:szCs w:val="21"/>
                <w:lang w:val="en-US" w:eastAsia="zh-CN" w:bidi="ar-SA"/>
              </w:rPr>
              <w:t>注：供应商具有实行了“三证合一”登记制度改革的新证，视同为持有工商营业执照、组织机构代码证和税务登记证，符合基本资格条件的相关条款。供应商具有实行了“五证合一”登记制度改革的新证，视同为持有工商营业执照、组织机构代码证、税务登记证、社会保险登记证和统计登记证，符合基本资格条件的相关条款。供应商如是“三证合一“或“五证合一”，请自行说明。</w:t>
            </w:r>
          </w:p>
          <w:p w14:paraId="3BED22BB">
            <w:pPr>
              <w:adjustRightInd w:val="0"/>
              <w:snapToGrid w:val="0"/>
              <w:spacing w:line="360" w:lineRule="auto"/>
              <w:ind w:firstLine="420" w:firstLineChars="200"/>
              <w:rPr>
                <w:rFonts w:hint="eastAsia" w:ascii="宋体" w:hAnsi="宋体" w:eastAsia="宋体" w:cs="Times New Roman"/>
                <w:color w:val="000000" w:themeColor="text1"/>
                <w:szCs w:val="21"/>
                <w:u w:val="single"/>
                <w:lang w:val="en-US" w:eastAsia="zh-CN"/>
                <w14:textFill>
                  <w14:solidFill>
                    <w14:schemeClr w14:val="tx1"/>
                  </w14:solidFill>
                </w14:textFill>
              </w:rPr>
            </w:pPr>
            <w:r>
              <w:rPr>
                <w:rFonts w:hint="eastAsia" w:ascii="宋体" w:hAnsi="宋体" w:eastAsia="宋体" w:cs="宋体"/>
                <w:b w:val="0"/>
                <w:bCs w:val="0"/>
                <w:kern w:val="2"/>
                <w:sz w:val="21"/>
                <w:szCs w:val="21"/>
                <w:lang w:val="en-US" w:eastAsia="zh-CN" w:bidi="ar-SA"/>
              </w:rPr>
              <w:t>2</w:t>
            </w:r>
            <w:r>
              <w:rPr>
                <w:rFonts w:hint="eastAsia" w:ascii="Times New Roman" w:hAnsi="宋体" w:eastAsia="宋体" w:cs="宋体"/>
                <w:color w:val="auto"/>
                <w:kern w:val="2"/>
                <w:sz w:val="21"/>
                <w:szCs w:val="21"/>
                <w:lang w:val="en-US" w:eastAsia="zh-CN" w:bidi="ar-SA"/>
              </w:rPr>
              <w:t>、</w:t>
            </w:r>
            <w:r>
              <w:rPr>
                <w:rFonts w:hint="eastAsia" w:ascii="宋体" w:hAnsi="宋体" w:eastAsia="宋体" w:cs="宋体"/>
                <w:color w:val="auto"/>
                <w:szCs w:val="21"/>
              </w:rPr>
              <w:t>特定资格条件：</w:t>
            </w:r>
            <w:r>
              <w:rPr>
                <w:rFonts w:hint="eastAsia" w:ascii="宋体" w:hAnsi="宋体" w:eastAsia="宋体" w:cs="Times New Roman"/>
                <w:color w:val="000000" w:themeColor="text1"/>
                <w:szCs w:val="21"/>
                <w:u w:val="single"/>
                <w:lang w:val="en-US" w:eastAsia="zh-CN"/>
                <w14:textFill>
                  <w14:solidFill>
                    <w14:schemeClr w14:val="tx1"/>
                  </w14:solidFill>
                </w14:textFill>
              </w:rPr>
              <w:t>（1）、投标人为产品制造商，提供有效的《中华人民共和国特种设备生产许可证》（许可项目包含压力容器制造）。投标人非产品制造商，提供所投产品制造商有效的《中华人民共和国特种设备生产许可证》（许可项目包含压力容器制造）。</w:t>
            </w:r>
          </w:p>
          <w:p w14:paraId="7D1E33E8">
            <w:pPr>
              <w:adjustRightInd w:val="0"/>
              <w:snapToGrid w:val="0"/>
              <w:spacing w:line="360" w:lineRule="auto"/>
              <w:ind w:firstLine="420" w:firstLineChars="200"/>
              <w:rPr>
                <w:rFonts w:hint="eastAsia" w:ascii="Times New Roman" w:hAnsi="宋体" w:eastAsia="宋体" w:cs="宋体"/>
                <w:color w:val="auto"/>
                <w:szCs w:val="21"/>
                <w:lang w:val="en-US" w:eastAsia="zh-CN"/>
              </w:rPr>
            </w:pPr>
            <w:r>
              <w:rPr>
                <w:rFonts w:hint="eastAsia" w:ascii="宋体" w:hAnsi="宋体" w:eastAsia="宋体" w:cs="Times New Roman"/>
                <w:color w:val="000000" w:themeColor="text1"/>
                <w:szCs w:val="21"/>
                <w:u w:val="single"/>
                <w:lang w:val="en-US" w:eastAsia="zh-CN"/>
                <w14:textFill>
                  <w14:solidFill>
                    <w14:schemeClr w14:val="tx1"/>
                  </w14:solidFill>
                </w14:textFill>
              </w:rPr>
              <w:t>（2）、投标人具备有效的《中华人民共和国特种设备安装</w:t>
            </w:r>
            <w:r>
              <w:rPr>
                <w:rFonts w:hint="eastAsia" w:ascii="宋体" w:hAnsi="宋体" w:eastAsia="宋体" w:cs="Times New Roman"/>
                <w:color w:val="auto"/>
                <w:szCs w:val="21"/>
                <w:u w:val="single"/>
                <w:lang w:val="en-US" w:eastAsia="zh-CN"/>
              </w:rPr>
              <w:t>改造维修许可证》（许可项目包含压力容器）或《中华人民共和国特种设备生产许可证》（许可项目包含安装改造维修）。非投标人实施安装，投标人提供安装企业有效的《中华人民共和国特种设备安装改造维修许可证》（许可项目包含压力容器）或《中华人民共和国特种设备生产许可证》（许可项目包含安装改造维修）。</w:t>
            </w:r>
          </w:p>
          <w:p w14:paraId="24FF0E01">
            <w:pPr>
              <w:keepNext/>
              <w:keepLines/>
              <w:widowControl w:val="0"/>
              <w:spacing w:before="0" w:after="0" w:line="360" w:lineRule="auto"/>
              <w:jc w:val="both"/>
              <w:outlineLvl w:val="2"/>
              <w:rPr>
                <w:rFonts w:ascii="宋体" w:hAnsi="宋体" w:eastAsia="宋体" w:cs="宋体"/>
                <w:b w:val="0"/>
                <w:bCs w:val="0"/>
                <w:kern w:val="2"/>
                <w:sz w:val="21"/>
                <w:szCs w:val="21"/>
                <w:lang w:val="en-US" w:eastAsia="zh-CN" w:bidi="ar-SA"/>
              </w:rPr>
            </w:pPr>
            <w:bookmarkStart w:id="27" w:name="_Toc394"/>
            <w:r>
              <w:rPr>
                <w:rFonts w:hint="eastAsia" w:ascii="宋体" w:hAnsi="宋体" w:eastAsia="宋体" w:cs="宋体"/>
                <w:b w:val="0"/>
                <w:bCs w:val="0"/>
                <w:kern w:val="2"/>
                <w:sz w:val="21"/>
                <w:szCs w:val="21"/>
                <w:lang w:val="en-US" w:eastAsia="zh-CN" w:bidi="ar-SA"/>
              </w:rPr>
              <w:t>3、单位负责人为同一人或者存在直接控股、管理关系的不同供应商，不得参加同一合同项下的政府采购活动。</w:t>
            </w:r>
            <w:bookmarkEnd w:id="27"/>
          </w:p>
          <w:p w14:paraId="137BBDB7">
            <w:pPr>
              <w:keepNext/>
              <w:keepLines/>
              <w:widowControl w:val="0"/>
              <w:spacing w:before="0" w:after="0" w:line="360" w:lineRule="auto"/>
              <w:jc w:val="both"/>
              <w:outlineLvl w:val="2"/>
              <w:rPr>
                <w:rFonts w:ascii="宋体" w:hAnsi="宋体" w:eastAsia="宋体" w:cs="宋体"/>
                <w:b w:val="0"/>
                <w:bCs w:val="0"/>
                <w:kern w:val="2"/>
                <w:sz w:val="21"/>
                <w:szCs w:val="21"/>
                <w:lang w:val="en-US" w:eastAsia="zh-CN" w:bidi="ar-SA"/>
              </w:rPr>
            </w:pPr>
            <w:bookmarkStart w:id="28" w:name="_Toc27252"/>
            <w:r>
              <w:rPr>
                <w:rFonts w:hint="eastAsia" w:ascii="宋体" w:hAnsi="宋体" w:eastAsia="宋体" w:cs="宋体"/>
                <w:b w:val="0"/>
                <w:bCs w:val="0"/>
                <w:kern w:val="2"/>
                <w:sz w:val="21"/>
                <w:szCs w:val="21"/>
                <w:lang w:val="en-US" w:eastAsia="zh-CN" w:bidi="ar-SA"/>
              </w:rPr>
              <w:t>4、为本采购项目提供整体设计、规范编制或者项目管理、监理、检测等服务的，不得再参加此项目的其他采购活动。</w:t>
            </w:r>
            <w:bookmarkEnd w:id="28"/>
          </w:p>
          <w:p w14:paraId="5BCF4756">
            <w:pPr>
              <w:adjustRightInd w:val="0"/>
              <w:snapToGrid w:val="0"/>
              <w:spacing w:line="24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eastAsia="宋体" w:cs="宋体"/>
                <w:szCs w:val="21"/>
              </w:rPr>
              <w:t>5、列入失信被执行人、重大税收违法案件当事人名单，列入政府采购严重违法失信行为记录名单的，拒绝其参与政府采购活动。</w:t>
            </w:r>
          </w:p>
        </w:tc>
      </w:tr>
      <w:tr w14:paraId="78E970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tcBorders>
              <w:bottom w:val="single" w:color="auto" w:sz="4" w:space="0"/>
            </w:tcBorders>
            <w:noWrap w:val="0"/>
            <w:vAlign w:val="center"/>
          </w:tcPr>
          <w:p w14:paraId="4E198753">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第3.2款</w:t>
            </w:r>
          </w:p>
        </w:tc>
        <w:tc>
          <w:tcPr>
            <w:tcW w:w="2556" w:type="dxa"/>
            <w:noWrap w:val="0"/>
            <w:vAlign w:val="center"/>
          </w:tcPr>
          <w:p w14:paraId="0DB6B103">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是否接受联合体形式</w:t>
            </w:r>
          </w:p>
        </w:tc>
        <w:tc>
          <w:tcPr>
            <w:tcW w:w="5074" w:type="dxa"/>
            <w:noWrap w:val="0"/>
            <w:vAlign w:val="center"/>
          </w:tcPr>
          <w:p w14:paraId="3E86C47F">
            <w:pPr>
              <w:adjustRightInd w:val="0"/>
              <w:snapToGrid w:val="0"/>
              <w:spacing w:before="156" w:beforeLines="50" w:line="216" w:lineRule="auto"/>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不接受</w:t>
            </w:r>
          </w:p>
          <w:p w14:paraId="17342209">
            <w:pPr>
              <w:adjustRightInd w:val="0"/>
              <w:snapToGrid w:val="0"/>
              <w:spacing w:before="5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接受</w:t>
            </w:r>
          </w:p>
        </w:tc>
      </w:tr>
      <w:tr w14:paraId="272E67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0AD6DEAC">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第5.1款</w:t>
            </w:r>
          </w:p>
        </w:tc>
        <w:tc>
          <w:tcPr>
            <w:tcW w:w="2556" w:type="dxa"/>
            <w:noWrap w:val="0"/>
            <w:vAlign w:val="center"/>
          </w:tcPr>
          <w:p w14:paraId="4DD904CC">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现场勘察</w:t>
            </w:r>
          </w:p>
        </w:tc>
        <w:tc>
          <w:tcPr>
            <w:tcW w:w="5074" w:type="dxa"/>
            <w:noWrap w:val="0"/>
            <w:vAlign w:val="center"/>
          </w:tcPr>
          <w:p w14:paraId="65F096E8">
            <w:pPr>
              <w:adjustRightInd w:val="0"/>
              <w:snapToGrid w:val="0"/>
              <w:spacing w:before="156" w:beforeLines="50" w:line="24" w:lineRule="atLeast"/>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需要</w:t>
            </w:r>
          </w:p>
          <w:p w14:paraId="19C7C9DF">
            <w:pPr>
              <w:adjustRightInd w:val="0"/>
              <w:snapToGrid w:val="0"/>
              <w:spacing w:before="5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不需要</w:t>
            </w:r>
          </w:p>
        </w:tc>
      </w:tr>
      <w:tr w14:paraId="61DD2A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42996F10">
            <w:pPr>
              <w:adjustRightInd w:val="0"/>
              <w:snapToGrid w:val="0"/>
              <w:spacing w:before="5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二、谈判文件</w:t>
            </w:r>
          </w:p>
        </w:tc>
      </w:tr>
      <w:tr w14:paraId="42B3E0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4FCE2E5A">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第6.3款</w:t>
            </w:r>
          </w:p>
        </w:tc>
        <w:tc>
          <w:tcPr>
            <w:tcW w:w="2556" w:type="dxa"/>
            <w:noWrap w:val="0"/>
            <w:vAlign w:val="center"/>
          </w:tcPr>
          <w:p w14:paraId="4726E746">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谈判文件的实质性变动内容</w:t>
            </w:r>
          </w:p>
        </w:tc>
        <w:tc>
          <w:tcPr>
            <w:tcW w:w="5074" w:type="dxa"/>
            <w:noWrap w:val="0"/>
            <w:vAlign w:val="center"/>
          </w:tcPr>
          <w:p w14:paraId="337EF568">
            <w:pPr>
              <w:adjustRightInd w:val="0"/>
              <w:snapToGrid w:val="0"/>
              <w:spacing w:before="50" w:line="360" w:lineRule="auto"/>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技术。</w:t>
            </w:r>
          </w:p>
        </w:tc>
      </w:tr>
      <w:tr w14:paraId="3B167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752F15BB">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三、响应文件的编写</w:t>
            </w:r>
          </w:p>
        </w:tc>
      </w:tr>
      <w:tr w14:paraId="1EF027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597F406B">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第11.3款</w:t>
            </w:r>
          </w:p>
        </w:tc>
        <w:tc>
          <w:tcPr>
            <w:tcW w:w="2556" w:type="dxa"/>
            <w:noWrap w:val="0"/>
            <w:vAlign w:val="center"/>
          </w:tcPr>
          <w:p w14:paraId="7E829BD5">
            <w:pPr>
              <w:adjustRightInd w:val="0"/>
              <w:snapToGrid w:val="0"/>
              <w:spacing w:before="50" w:line="360" w:lineRule="auto"/>
              <w:jc w:val="left"/>
              <w:rPr>
                <w:rFonts w:ascii="宋体" w:hAnsi="宋体"/>
                <w:b w:val="0"/>
                <w:bCs w:val="0"/>
                <w:color w:val="auto"/>
                <w:szCs w:val="21"/>
              </w:rPr>
            </w:pPr>
            <w:r>
              <w:rPr>
                <w:rFonts w:hint="eastAsia" w:ascii="宋体" w:hAnsi="宋体"/>
                <w:b w:val="0"/>
                <w:bCs w:val="0"/>
                <w:color w:val="auto"/>
                <w:szCs w:val="21"/>
              </w:rPr>
              <w:t>采购项目预算</w:t>
            </w:r>
          </w:p>
        </w:tc>
        <w:tc>
          <w:tcPr>
            <w:tcW w:w="5074" w:type="dxa"/>
            <w:noWrap w:val="0"/>
            <w:vAlign w:val="center"/>
          </w:tcPr>
          <w:p w14:paraId="7E89FFD5">
            <w:pPr>
              <w:adjustRightInd w:val="0"/>
              <w:snapToGrid w:val="0"/>
              <w:spacing w:before="50" w:line="360" w:lineRule="auto"/>
              <w:jc w:val="left"/>
              <w:rPr>
                <w:rFonts w:hint="eastAsia" w:ascii="宋体" w:hAnsi="宋体"/>
                <w:b w:val="0"/>
                <w:bCs w:val="0"/>
                <w:color w:val="auto"/>
                <w:szCs w:val="21"/>
                <w:lang w:val="en-US" w:eastAsia="zh-CN"/>
              </w:rPr>
            </w:pPr>
            <w:r>
              <w:rPr>
                <w:rFonts w:hint="eastAsia" w:ascii="宋体" w:hAnsi="宋体"/>
                <w:b w:val="0"/>
                <w:bCs w:val="0"/>
                <w:color w:val="auto"/>
                <w:szCs w:val="21"/>
                <w:lang w:val="en-US" w:eastAsia="zh-CN"/>
              </w:rPr>
              <w:t>采购项目预算：900000.00元；</w:t>
            </w:r>
          </w:p>
          <w:p w14:paraId="5E6739B7">
            <w:pPr>
              <w:adjustRightInd w:val="0"/>
              <w:snapToGrid w:val="0"/>
              <w:spacing w:before="50" w:line="360" w:lineRule="auto"/>
              <w:jc w:val="left"/>
              <w:rPr>
                <w:rFonts w:hint="default" w:ascii="宋体" w:hAnsi="宋体"/>
                <w:b w:val="0"/>
                <w:bCs w:val="0"/>
                <w:color w:val="auto"/>
                <w:szCs w:val="21"/>
                <w:lang w:val="en-US"/>
              </w:rPr>
            </w:pPr>
            <w:r>
              <w:rPr>
                <w:rFonts w:hint="eastAsia" w:ascii="宋体" w:hAnsi="宋体"/>
                <w:b w:val="0"/>
                <w:bCs w:val="0"/>
                <w:color w:val="auto"/>
                <w:szCs w:val="21"/>
                <w:lang w:val="en-US" w:eastAsia="zh-CN"/>
              </w:rPr>
              <w:t>投标价超过采购项目预算的，做无效投标处理。</w:t>
            </w:r>
          </w:p>
        </w:tc>
      </w:tr>
      <w:tr w14:paraId="5D8E8B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440B7B52">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第11.6款</w:t>
            </w:r>
          </w:p>
        </w:tc>
        <w:tc>
          <w:tcPr>
            <w:tcW w:w="2556" w:type="dxa"/>
            <w:noWrap w:val="0"/>
            <w:vAlign w:val="center"/>
          </w:tcPr>
          <w:p w14:paraId="2CA4DC2A">
            <w:pPr>
              <w:adjustRightInd w:val="0"/>
              <w:snapToGrid w:val="0"/>
              <w:spacing w:before="5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报价的其他要求</w:t>
            </w:r>
          </w:p>
        </w:tc>
        <w:tc>
          <w:tcPr>
            <w:tcW w:w="5074" w:type="dxa"/>
            <w:noWrap w:val="0"/>
            <w:vAlign w:val="center"/>
          </w:tcPr>
          <w:p w14:paraId="65970924">
            <w:pPr>
              <w:adjustRightInd w:val="0"/>
              <w:snapToGrid w:val="0"/>
              <w:spacing w:before="50" w:line="360" w:lineRule="auto"/>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bCs/>
                <w:color w:val="auto"/>
                <w:szCs w:val="21"/>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响应无效处理。</w:t>
            </w:r>
          </w:p>
        </w:tc>
      </w:tr>
      <w:tr w14:paraId="0B5B5D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3585BFE0">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第12.1款</w:t>
            </w:r>
          </w:p>
        </w:tc>
        <w:tc>
          <w:tcPr>
            <w:tcW w:w="2556" w:type="dxa"/>
            <w:noWrap w:val="0"/>
            <w:vAlign w:val="center"/>
          </w:tcPr>
          <w:p w14:paraId="1E531121">
            <w:pPr>
              <w:adjustRightInd w:val="0"/>
              <w:snapToGrid w:val="0"/>
              <w:spacing w:before="156" w:beforeLines="50" w:line="360" w:lineRule="auto"/>
              <w:ind w:left="-533" w:leftChars="-254" w:firstLine="533" w:firstLineChars="25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保证金</w:t>
            </w:r>
          </w:p>
        </w:tc>
        <w:tc>
          <w:tcPr>
            <w:tcW w:w="5074" w:type="dxa"/>
            <w:noWrap w:val="0"/>
            <w:vAlign w:val="center"/>
          </w:tcPr>
          <w:p w14:paraId="238400AA">
            <w:pPr>
              <w:adjustRightInd w:val="0"/>
              <w:snapToGrid w:val="0"/>
              <w:spacing w:before="50" w:line="24"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不要求提供</w:t>
            </w:r>
          </w:p>
          <w:p w14:paraId="3B0328D3">
            <w:pPr>
              <w:ind w:right="23" w:rightChars="1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要求提供：</w:t>
            </w:r>
          </w:p>
          <w:p w14:paraId="380050D9">
            <w:pPr>
              <w:ind w:right="23" w:rightChars="11" w:firstLine="420" w:firstLineChars="200"/>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保证金数额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(人民币)</w:t>
            </w:r>
          </w:p>
          <w:p w14:paraId="4F0819D0">
            <w:pPr>
              <w:ind w:firstLine="420" w:firstLineChars="200"/>
              <w:rPr>
                <w:rFonts w:asci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2、缴纳方式：</w:t>
            </w:r>
            <w:r>
              <w:rPr>
                <w:rFonts w:hint="eastAsia" w:ascii="宋体"/>
                <w:bCs/>
                <w:color w:val="000000" w:themeColor="text1"/>
                <w:szCs w:val="21"/>
                <w14:textFill>
                  <w14:solidFill>
                    <w14:schemeClr w14:val="tx1"/>
                  </w14:solidFill>
                </w14:textFill>
              </w:rPr>
              <w:t>由投标人的基本帐户转入投标保证金的托管帐户（1）转投标保证金时，必须在银行进帐单上注明</w:t>
            </w:r>
            <w:r>
              <w:rPr>
                <w:rFonts w:hint="eastAsia" w:ascii="宋体"/>
                <w:bCs/>
                <w:color w:val="000000" w:themeColor="text1"/>
                <w:szCs w:val="21"/>
                <w:u w:val="single"/>
                <w14:textFill>
                  <w14:solidFill>
                    <w14:schemeClr w14:val="tx1"/>
                  </w14:solidFill>
                </w14:textFill>
              </w:rPr>
              <w:t>“             ”</w:t>
            </w:r>
            <w:r>
              <w:rPr>
                <w:rFonts w:hint="eastAsia" w:ascii="宋体"/>
                <w:bCs/>
                <w:color w:val="000000" w:themeColor="text1"/>
                <w:szCs w:val="21"/>
                <w14:textFill>
                  <w14:solidFill>
                    <w14:schemeClr w14:val="tx1"/>
                  </w14:solidFill>
                </w14:textFill>
              </w:rPr>
              <w:t>的投标保证金，如果没注明，由此造成无法查实是否到帐的，后果由投标人自行负责。⑵请将投标保证金于</w:t>
            </w:r>
            <w:r>
              <w:rPr>
                <w:rFonts w:hint="eastAsia" w:ascii="宋体"/>
                <w:color w:val="000000" w:themeColor="text1"/>
                <w:szCs w:val="21"/>
                <w:u w:val="single"/>
                <w:lang w:val="en-US" w:eastAsia="zh-CN"/>
                <w14:textFill>
                  <w14:solidFill>
                    <w14:schemeClr w14:val="tx1"/>
                  </w14:solidFill>
                </w14:textFill>
              </w:rPr>
              <w:t xml:space="preserve">        </w:t>
            </w:r>
            <w:r>
              <w:rPr>
                <w:rFonts w:hint="eastAsia" w:ascii="宋体"/>
                <w:color w:val="000000" w:themeColor="text1"/>
                <w:szCs w:val="21"/>
                <w14:textFill>
                  <w14:solidFill>
                    <w14:schemeClr w14:val="tx1"/>
                  </w14:solidFill>
                </w14:textFill>
              </w:rPr>
              <w:t>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日</w:t>
            </w:r>
            <w:r>
              <w:rPr>
                <w:rFonts w:hint="eastAsia" w:ascii="宋体"/>
                <w:color w:val="000000" w:themeColor="text1"/>
                <w:szCs w:val="21"/>
                <w:u w:val="single"/>
                <w14:textFill>
                  <w14:solidFill>
                    <w14:schemeClr w14:val="tx1"/>
                  </w14:solidFill>
                </w14:textFill>
              </w:rPr>
              <w:t xml:space="preserve">上午    </w:t>
            </w:r>
            <w:r>
              <w:rPr>
                <w:rFonts w:hint="eastAsia" w:ascii="宋体"/>
                <w:color w:val="000000" w:themeColor="text1"/>
                <w:szCs w:val="21"/>
                <w14:textFill>
                  <w14:solidFill>
                    <w14:schemeClr w14:val="tx1"/>
                  </w14:solidFill>
                </w14:textFill>
              </w:rPr>
              <w:t>时(北京时间)</w:t>
            </w:r>
            <w:r>
              <w:rPr>
                <w:rFonts w:hint="eastAsia" w:ascii="宋体"/>
                <w:bCs/>
                <w:color w:val="000000" w:themeColor="text1"/>
                <w:szCs w:val="21"/>
                <w14:textFill>
                  <w14:solidFill>
                    <w14:schemeClr w14:val="tx1"/>
                  </w14:solidFill>
                </w14:textFill>
              </w:rPr>
              <w:t>前转入投标保证金的托管账户管理，以到帐时间为准</w:t>
            </w:r>
          </w:p>
          <w:p w14:paraId="51DD9C87">
            <w:pPr>
              <w:adjustRightInd w:val="0"/>
              <w:snapToGrid w:val="0"/>
              <w:spacing w:before="156" w:beforeLines="5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开户名称：</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政府采购保证金专户</w:t>
            </w:r>
          </w:p>
          <w:p w14:paraId="40DAFD8E">
            <w:pPr>
              <w:adjustRightInd w:val="0"/>
              <w:snapToGrid w:val="0"/>
              <w:spacing w:before="156" w:beforeLines="50"/>
              <w:jc w:val="left"/>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户</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行：</w:t>
            </w:r>
            <w:r>
              <w:rPr>
                <w:rFonts w:hint="eastAsia" w:ascii="宋体" w:hAnsi="宋体"/>
                <w:color w:val="000000" w:themeColor="text1"/>
                <w:szCs w:val="21"/>
                <w:u w:val="single"/>
                <w:lang w:val="en-US" w:eastAsia="zh-CN"/>
                <w14:textFill>
                  <w14:solidFill>
                    <w14:schemeClr w14:val="tx1"/>
                  </w14:solidFill>
                </w14:textFill>
              </w:rPr>
              <w:t xml:space="preserve">                      </w:t>
            </w:r>
          </w:p>
          <w:p w14:paraId="02BE42D6">
            <w:pPr>
              <w:adjustRightInd w:val="0"/>
              <w:snapToGrid w:val="0"/>
              <w:spacing w:before="50" w:line="360" w:lineRule="auto"/>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银行账号：</w:t>
            </w:r>
            <w:r>
              <w:rPr>
                <w:rFonts w:hint="eastAsia" w:ascii="宋体" w:hAnsi="宋体"/>
                <w:color w:val="000000" w:themeColor="text1"/>
                <w:szCs w:val="21"/>
                <w:u w:val="single"/>
                <w:lang w:val="en-US" w:eastAsia="zh-CN"/>
                <w14:textFill>
                  <w14:solidFill>
                    <w14:schemeClr w14:val="tx1"/>
                  </w14:solidFill>
                </w14:textFill>
              </w:rPr>
              <w:t xml:space="preserve">                      </w:t>
            </w:r>
          </w:p>
        </w:tc>
      </w:tr>
      <w:tr w14:paraId="219E5A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50EAB98">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第13.1款</w:t>
            </w:r>
          </w:p>
        </w:tc>
        <w:tc>
          <w:tcPr>
            <w:tcW w:w="2556" w:type="dxa"/>
            <w:noWrap w:val="0"/>
            <w:vAlign w:val="center"/>
          </w:tcPr>
          <w:p w14:paraId="5DFFB062">
            <w:pPr>
              <w:adjustRightInd w:val="0"/>
              <w:snapToGrid w:val="0"/>
              <w:spacing w:before="156" w:beforeLines="50"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响应文件有效期</w:t>
            </w:r>
          </w:p>
        </w:tc>
        <w:tc>
          <w:tcPr>
            <w:tcW w:w="5074" w:type="dxa"/>
            <w:noWrap w:val="0"/>
            <w:vAlign w:val="center"/>
          </w:tcPr>
          <w:p w14:paraId="23C4EF4E">
            <w:pPr>
              <w:adjustRightInd w:val="0"/>
              <w:snapToGrid w:val="0"/>
              <w:spacing w:before="50"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u w:val="single"/>
                <w:lang w:val="en-US" w:eastAsia="zh-CN"/>
                <w14:textFill>
                  <w14:solidFill>
                    <w14:schemeClr w14:val="tx1"/>
                  </w14:solidFill>
                </w14:textFill>
              </w:rPr>
              <w:t>90</w:t>
            </w:r>
            <w:r>
              <w:rPr>
                <w:rFonts w:hint="eastAsia" w:ascii="宋体" w:hAnsi="宋体"/>
                <w:color w:val="000000" w:themeColor="text1"/>
                <w:szCs w:val="21"/>
                <w14:textFill>
                  <w14:solidFill>
                    <w14:schemeClr w14:val="tx1"/>
                  </w14:solidFill>
                </w14:textFill>
              </w:rPr>
              <w:t>日（日历日）</w:t>
            </w:r>
          </w:p>
        </w:tc>
      </w:tr>
      <w:tr w14:paraId="321B1A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087B4F39">
            <w:pPr>
              <w:adjustRightInd w:val="0"/>
              <w:snapToGrid w:val="0"/>
              <w:spacing w:before="156" w:beforeLines="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第14.1款</w:t>
            </w:r>
          </w:p>
        </w:tc>
        <w:tc>
          <w:tcPr>
            <w:tcW w:w="2556" w:type="dxa"/>
            <w:noWrap w:val="0"/>
            <w:vAlign w:val="center"/>
          </w:tcPr>
          <w:p w14:paraId="6E0BA70A">
            <w:pPr>
              <w:adjustRightInd w:val="0"/>
              <w:snapToGrid w:val="0"/>
              <w:spacing w:before="156" w:beforeLines="50"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分包</w:t>
            </w:r>
          </w:p>
        </w:tc>
        <w:tc>
          <w:tcPr>
            <w:tcW w:w="5074" w:type="dxa"/>
            <w:noWrap w:val="0"/>
            <w:vAlign w:val="center"/>
          </w:tcPr>
          <w:p w14:paraId="57FCBEFF">
            <w:pPr>
              <w:adjustRightInd w:val="0"/>
              <w:snapToGrid w:val="0"/>
              <w:spacing w:before="50" w:line="360" w:lineRule="auto"/>
              <w:rPr>
                <w:rFonts w:ascii="宋体" w:hAnsi="宋体"/>
                <w:bCs/>
                <w:color w:val="000000" w:themeColor="text1"/>
                <w:szCs w:val="21"/>
                <w14:textFill>
                  <w14:solidFill>
                    <w14:schemeClr w14:val="tx1"/>
                  </w14:solidFill>
                </w14:textFill>
              </w:rPr>
            </w:pPr>
            <w:r>
              <w:rPr>
                <w:rFonts w:hint="eastAsia"/>
                <w:color w:val="000000" w:themeColor="text1"/>
                <w14:textFill>
                  <w14:solidFill>
                    <w14:schemeClr w14:val="tx1"/>
                  </w14:solidFill>
                </w14:textFill>
              </w:rPr>
              <w:t>不允许</w:t>
            </w:r>
          </w:p>
        </w:tc>
      </w:tr>
      <w:tr w14:paraId="0D19A2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29B22BE7">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第15.2款</w:t>
            </w:r>
          </w:p>
        </w:tc>
        <w:tc>
          <w:tcPr>
            <w:tcW w:w="2556" w:type="dxa"/>
            <w:noWrap w:val="0"/>
            <w:vAlign w:val="center"/>
          </w:tcPr>
          <w:p w14:paraId="02E4AACD">
            <w:pPr>
              <w:adjustRightInd w:val="0"/>
              <w:snapToGrid w:val="0"/>
              <w:spacing w:before="50"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文件副本份数</w:t>
            </w:r>
          </w:p>
        </w:tc>
        <w:tc>
          <w:tcPr>
            <w:tcW w:w="5074" w:type="dxa"/>
            <w:noWrap w:val="0"/>
            <w:vAlign w:val="center"/>
          </w:tcPr>
          <w:p w14:paraId="4E0358E6">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正本一份，副本</w:t>
            </w:r>
            <w:r>
              <w:rPr>
                <w:rFonts w:hint="eastAsia" w:ascii="宋体" w:hAnsi="宋体"/>
                <w:color w:val="000000" w:themeColor="text1"/>
                <w:szCs w:val="21"/>
                <w:lang w:val="en-US" w:eastAsia="zh-CN"/>
                <w14:textFill>
                  <w14:solidFill>
                    <w14:schemeClr w14:val="tx1"/>
                  </w14:solidFill>
                </w14:textFill>
              </w:rPr>
              <w:t>两</w:t>
            </w:r>
            <w:r>
              <w:rPr>
                <w:rFonts w:hint="eastAsia" w:ascii="宋体" w:hAnsi="宋体"/>
                <w:color w:val="000000" w:themeColor="text1"/>
                <w:szCs w:val="21"/>
                <w14:textFill>
                  <w14:solidFill>
                    <w14:schemeClr w14:val="tx1"/>
                  </w14:solidFill>
                </w14:textFill>
              </w:rPr>
              <w:t>份，并提供响应文件盖章扫描件U盘形式提交</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并确认能正常读取。（包含所有投标文件组成部分，扫描并盖有公章）</w:t>
            </w:r>
          </w:p>
        </w:tc>
      </w:tr>
      <w:tr w14:paraId="351196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153C0A9E">
            <w:pPr>
              <w:adjustRightInd w:val="0"/>
              <w:snapToGrid w:val="0"/>
              <w:spacing w:before="50" w:line="360" w:lineRule="auto"/>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四、响应文件的递交</w:t>
            </w:r>
          </w:p>
        </w:tc>
      </w:tr>
      <w:tr w14:paraId="38A63B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4417783F">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第16.2款</w:t>
            </w:r>
          </w:p>
        </w:tc>
        <w:tc>
          <w:tcPr>
            <w:tcW w:w="2556" w:type="dxa"/>
            <w:noWrap w:val="0"/>
            <w:vAlign w:val="center"/>
          </w:tcPr>
          <w:p w14:paraId="4191838A">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封套上应载明的信息</w:t>
            </w:r>
          </w:p>
        </w:tc>
        <w:tc>
          <w:tcPr>
            <w:tcW w:w="5074" w:type="dxa"/>
            <w:noWrap w:val="0"/>
            <w:vAlign w:val="center"/>
          </w:tcPr>
          <w:p w14:paraId="4B357244">
            <w:pPr>
              <w:adjustRightInd w:val="0"/>
              <w:snapToGrid w:val="0"/>
              <w:spacing w:before="156" w:beforeLines="50" w:line="360" w:lineRule="auto"/>
              <w:rPr>
                <w:rFonts w:hint="eastAsia" w:ascii="宋体" w:hAnsi="宋体" w:eastAsia="宋体"/>
                <w:color w:val="auto"/>
                <w:szCs w:val="21"/>
                <w:lang w:val="en-US" w:eastAsia="zh-CN"/>
              </w:rPr>
            </w:pPr>
            <w:r>
              <w:rPr>
                <w:rFonts w:hint="eastAsia" w:ascii="宋体" w:hAnsi="宋体"/>
                <w:color w:val="auto"/>
                <w:szCs w:val="21"/>
              </w:rPr>
              <w:t>项目名称：</w:t>
            </w:r>
            <w:r>
              <w:rPr>
                <w:rFonts w:hint="eastAsia" w:ascii="宋体" w:hAnsi="宋体"/>
                <w:color w:val="auto"/>
                <w:szCs w:val="21"/>
                <w:lang w:eastAsia="zh-CN"/>
              </w:rPr>
              <w:t>湖南医药学院总医院低温液氧储存罐采购及配套安装项目</w:t>
            </w:r>
            <w:r>
              <w:rPr>
                <w:rFonts w:hint="eastAsia" w:ascii="宋体" w:hAnsi="宋体"/>
                <w:color w:val="auto"/>
                <w:szCs w:val="21"/>
                <w:lang w:val="en-US" w:eastAsia="zh-CN"/>
              </w:rPr>
              <w:t xml:space="preserve"> </w:t>
            </w:r>
          </w:p>
          <w:p w14:paraId="0A9E6BFB">
            <w:pPr>
              <w:adjustRightInd w:val="0"/>
              <w:snapToGrid w:val="0"/>
              <w:spacing w:before="156" w:beforeLines="50" w:line="360" w:lineRule="auto"/>
              <w:rPr>
                <w:rFonts w:hint="default" w:ascii="宋体" w:hAnsi="宋体"/>
                <w:color w:val="auto"/>
                <w:szCs w:val="21"/>
                <w:lang w:val="en-US"/>
              </w:rPr>
            </w:pPr>
            <w:r>
              <w:rPr>
                <w:rFonts w:hint="eastAsia" w:ascii="宋体" w:hAnsi="宋体"/>
                <w:color w:val="auto"/>
                <w:szCs w:val="21"/>
              </w:rPr>
              <w:t>政府采购编号：</w:t>
            </w:r>
            <w:r>
              <w:rPr>
                <w:rFonts w:hint="eastAsia" w:ascii="宋体" w:hAnsi="宋体"/>
                <w:color w:val="auto"/>
                <w:szCs w:val="21"/>
                <w:u w:val="single"/>
                <w:lang w:val="en-US" w:eastAsia="zh-CN"/>
              </w:rPr>
              <w:t>湘财采计[2025] 号</w:t>
            </w:r>
          </w:p>
          <w:p w14:paraId="34E1DE4F">
            <w:pPr>
              <w:adjustRightInd w:val="0"/>
              <w:snapToGrid w:val="0"/>
              <w:spacing w:line="360" w:lineRule="auto"/>
              <w:rPr>
                <w:rFonts w:hint="default" w:ascii="宋体" w:hAnsi="宋体" w:eastAsia="宋体"/>
                <w:color w:val="auto"/>
                <w:szCs w:val="21"/>
                <w:u w:val="single"/>
                <w:lang w:val="en-US" w:eastAsia="zh-CN"/>
              </w:rPr>
            </w:pPr>
            <w:r>
              <w:rPr>
                <w:rFonts w:hint="eastAsia" w:ascii="宋体" w:hAnsi="宋体"/>
                <w:color w:val="auto"/>
                <w:szCs w:val="21"/>
              </w:rPr>
              <w:t>采购代理机构编号：</w:t>
            </w:r>
            <w:r>
              <w:rPr>
                <w:rFonts w:hint="eastAsia" w:ascii="宋体" w:hAnsi="宋体"/>
                <w:color w:val="auto"/>
                <w:szCs w:val="21"/>
                <w:u w:val="single"/>
                <w:lang w:eastAsia="zh-CN"/>
              </w:rPr>
              <w:t>2025-TZ066</w:t>
            </w:r>
          </w:p>
          <w:p w14:paraId="756E69C8">
            <w:pPr>
              <w:adjustRightInd w:val="0"/>
              <w:snapToGrid w:val="0"/>
              <w:spacing w:before="156" w:beforeLines="50" w:line="180" w:lineRule="auto"/>
              <w:rPr>
                <w:rFonts w:ascii="宋体" w:hAnsi="宋体"/>
                <w:color w:val="auto"/>
                <w:szCs w:val="21"/>
              </w:rPr>
            </w:pPr>
            <w:r>
              <w:rPr>
                <w:rFonts w:hint="eastAsia" w:ascii="宋体" w:hAnsi="宋体"/>
                <w:color w:val="auto"/>
                <w:szCs w:val="21"/>
              </w:rPr>
              <w:t xml:space="preserve">包或品目名：                  </w:t>
            </w:r>
          </w:p>
          <w:p w14:paraId="542B24E9">
            <w:pPr>
              <w:adjustRightInd w:val="0"/>
              <w:snapToGrid w:val="0"/>
              <w:spacing w:before="156" w:beforeLines="50" w:line="360" w:lineRule="auto"/>
              <w:rPr>
                <w:rFonts w:ascii="宋体" w:hAnsi="宋体"/>
                <w:color w:val="auto"/>
                <w:szCs w:val="21"/>
              </w:rPr>
            </w:pPr>
            <w:r>
              <w:rPr>
                <w:rFonts w:hint="eastAsia" w:ascii="宋体" w:hAnsi="宋体"/>
                <w:color w:val="auto"/>
                <w:szCs w:val="21"/>
              </w:rPr>
              <w:t>在</w:t>
            </w:r>
            <w:r>
              <w:rPr>
                <w:rFonts w:hint="eastAsia" w:ascii="宋体" w:hAnsi="宋体" w:cs="微软雅黑"/>
                <w:color w:val="auto"/>
                <w:kern w:val="0"/>
                <w:szCs w:val="21"/>
                <w:u w:val="single"/>
                <w:lang w:val="en-US" w:eastAsia="zh-CN"/>
              </w:rPr>
              <w:t xml:space="preserve"> 2025 </w:t>
            </w:r>
            <w:r>
              <w:rPr>
                <w:rFonts w:hint="eastAsia" w:ascii="宋体" w:hAnsi="宋体" w:cs="微软雅黑"/>
                <w:color w:val="auto"/>
                <w:kern w:val="0"/>
                <w:szCs w:val="21"/>
              </w:rPr>
              <w:t>年</w:t>
            </w:r>
            <w:r>
              <w:rPr>
                <w:rFonts w:hint="eastAsia" w:ascii="宋体" w:hAnsi="宋体" w:cs="微软雅黑"/>
                <w:color w:val="auto"/>
                <w:kern w:val="0"/>
                <w:szCs w:val="21"/>
                <w:u w:val="single"/>
                <w:lang w:val="en-US" w:eastAsia="zh-CN"/>
              </w:rPr>
              <w:t>7</w:t>
            </w:r>
            <w:r>
              <w:rPr>
                <w:rFonts w:hint="eastAsia" w:ascii="宋体" w:hAnsi="宋体" w:cs="微软雅黑"/>
                <w:color w:val="auto"/>
                <w:spacing w:val="-2"/>
                <w:kern w:val="0"/>
                <w:szCs w:val="21"/>
              </w:rPr>
              <w:t>月</w:t>
            </w:r>
            <w:r>
              <w:rPr>
                <w:rFonts w:hint="eastAsia" w:ascii="宋体" w:hAnsi="宋体" w:cs="微软雅黑"/>
                <w:color w:val="auto"/>
                <w:spacing w:val="-2"/>
                <w:kern w:val="0"/>
                <w:szCs w:val="21"/>
                <w:u w:val="single"/>
                <w:lang w:val="en-US" w:eastAsia="zh-CN"/>
              </w:rPr>
              <w:t xml:space="preserve">     </w:t>
            </w:r>
            <w:r>
              <w:rPr>
                <w:rFonts w:hint="eastAsia" w:ascii="宋体" w:hAnsi="宋体" w:cs="微软雅黑"/>
                <w:color w:val="auto"/>
                <w:spacing w:val="-2"/>
                <w:kern w:val="0"/>
                <w:szCs w:val="21"/>
              </w:rPr>
              <w:t>日</w:t>
            </w:r>
            <w:r>
              <w:rPr>
                <w:rFonts w:hint="eastAsia" w:ascii="宋体" w:hAnsi="宋体"/>
                <w:color w:val="auto"/>
                <w:szCs w:val="21"/>
                <w:u w:val="single"/>
                <w:lang w:val="en-US" w:eastAsia="zh-CN"/>
              </w:rPr>
              <w:t xml:space="preserve">   </w:t>
            </w:r>
            <w:r>
              <w:rPr>
                <w:rFonts w:hint="eastAsia" w:ascii="宋体" w:hAnsi="宋体"/>
                <w:color w:val="auto"/>
                <w:szCs w:val="21"/>
              </w:rPr>
              <w:t>时</w:t>
            </w:r>
            <w:r>
              <w:rPr>
                <w:rFonts w:hint="eastAsia" w:ascii="宋体" w:hAnsi="宋体"/>
                <w:color w:val="auto"/>
                <w:szCs w:val="21"/>
                <w:u w:val="single"/>
                <w:lang w:val="en-US" w:eastAsia="zh-CN"/>
              </w:rPr>
              <w:t xml:space="preserve">   </w:t>
            </w:r>
            <w:r>
              <w:rPr>
                <w:rFonts w:hint="eastAsia" w:ascii="宋体" w:hAnsi="宋体"/>
                <w:color w:val="auto"/>
                <w:szCs w:val="21"/>
              </w:rPr>
              <w:t>分 (北京时间)之前不得启封</w:t>
            </w:r>
          </w:p>
        </w:tc>
      </w:tr>
      <w:tr w14:paraId="0CAE02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1D780EC7">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第18.1款</w:t>
            </w:r>
          </w:p>
        </w:tc>
        <w:tc>
          <w:tcPr>
            <w:tcW w:w="2556" w:type="dxa"/>
            <w:noWrap w:val="0"/>
            <w:vAlign w:val="center"/>
          </w:tcPr>
          <w:p w14:paraId="65CC44D9">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响应文件的递交</w:t>
            </w:r>
            <w:r>
              <w:rPr>
                <w:rFonts w:hint="eastAsia" w:ascii="宋体" w:hAnsi="宋体"/>
                <w:bCs/>
                <w:color w:val="000000" w:themeColor="text1"/>
                <w:szCs w:val="21"/>
                <w14:textFill>
                  <w14:solidFill>
                    <w14:schemeClr w14:val="tx1"/>
                  </w14:solidFill>
                </w14:textFill>
              </w:rPr>
              <w:t>时间和</w:t>
            </w:r>
            <w:r>
              <w:rPr>
                <w:rFonts w:hint="eastAsia" w:ascii="宋体" w:hAnsi="宋体"/>
                <w:color w:val="000000" w:themeColor="text1"/>
                <w:szCs w:val="21"/>
                <w14:textFill>
                  <w14:solidFill>
                    <w14:schemeClr w14:val="tx1"/>
                  </w14:solidFill>
                </w14:textFill>
              </w:rPr>
              <w:t>地点</w:t>
            </w:r>
          </w:p>
        </w:tc>
        <w:tc>
          <w:tcPr>
            <w:tcW w:w="5074" w:type="dxa"/>
            <w:noWrap w:val="0"/>
            <w:vAlign w:val="center"/>
          </w:tcPr>
          <w:p w14:paraId="43396DEA">
            <w:pPr>
              <w:adjustRightInd w:val="0"/>
              <w:snapToGrid w:val="0"/>
              <w:spacing w:before="50" w:line="24" w:lineRule="atLeast"/>
              <w:rPr>
                <w:rFonts w:hint="eastAsia" w:ascii="宋体" w:hAnsi="宋体" w:eastAsia="宋体"/>
                <w:color w:val="auto"/>
                <w:szCs w:val="21"/>
                <w:lang w:val="en-US" w:eastAsia="zh-CN"/>
              </w:rPr>
            </w:pPr>
            <w:r>
              <w:rPr>
                <w:rFonts w:hint="eastAsia" w:ascii="宋体" w:hAnsi="宋体" w:cs="微软雅黑"/>
                <w:color w:val="auto"/>
                <w:kern w:val="0"/>
                <w:szCs w:val="21"/>
              </w:rPr>
              <w:t>递交时间：</w:t>
            </w:r>
            <w:r>
              <w:rPr>
                <w:rFonts w:hint="eastAsia" w:ascii="宋体" w:hAnsi="宋体" w:cs="微软雅黑"/>
                <w:color w:val="auto"/>
                <w:kern w:val="0"/>
                <w:szCs w:val="21"/>
                <w:u w:val="single"/>
                <w:lang w:val="en-US" w:eastAsia="zh-CN"/>
              </w:rPr>
              <w:t xml:space="preserve">2025 </w:t>
            </w:r>
            <w:r>
              <w:rPr>
                <w:rFonts w:hint="eastAsia" w:ascii="宋体" w:hAnsi="宋体" w:cs="微软雅黑"/>
                <w:color w:val="auto"/>
                <w:kern w:val="0"/>
                <w:szCs w:val="21"/>
              </w:rPr>
              <w:t>年</w:t>
            </w:r>
            <w:r>
              <w:rPr>
                <w:rFonts w:hint="eastAsia" w:ascii="宋体" w:hAnsi="宋体" w:cs="微软雅黑"/>
                <w:color w:val="auto"/>
                <w:kern w:val="0"/>
                <w:szCs w:val="21"/>
                <w:u w:val="single"/>
                <w:lang w:val="en-US" w:eastAsia="zh-CN"/>
              </w:rPr>
              <w:t>7</w:t>
            </w:r>
            <w:r>
              <w:rPr>
                <w:rFonts w:hint="eastAsia" w:ascii="宋体" w:hAnsi="宋体" w:cs="微软雅黑"/>
                <w:color w:val="auto"/>
                <w:spacing w:val="-2"/>
                <w:kern w:val="0"/>
                <w:szCs w:val="21"/>
              </w:rPr>
              <w:t>月</w:t>
            </w:r>
            <w:r>
              <w:rPr>
                <w:rFonts w:hint="eastAsia" w:ascii="宋体" w:hAnsi="宋体" w:cs="微软雅黑"/>
                <w:color w:val="auto"/>
                <w:spacing w:val="-2"/>
                <w:kern w:val="0"/>
                <w:szCs w:val="21"/>
                <w:u w:val="single"/>
                <w:lang w:val="en-US" w:eastAsia="zh-CN"/>
              </w:rPr>
              <w:t xml:space="preserve">     </w:t>
            </w:r>
            <w:r>
              <w:rPr>
                <w:rFonts w:hint="eastAsia" w:ascii="宋体" w:hAnsi="宋体" w:cs="微软雅黑"/>
                <w:color w:val="auto"/>
                <w:spacing w:val="-2"/>
                <w:kern w:val="0"/>
                <w:szCs w:val="21"/>
              </w:rPr>
              <w:t>日</w:t>
            </w:r>
            <w:r>
              <w:rPr>
                <w:rFonts w:hint="eastAsia" w:ascii="宋体" w:hAnsi="宋体"/>
                <w:color w:val="auto"/>
                <w:szCs w:val="21"/>
                <w:u w:val="single"/>
                <w:lang w:val="en-US" w:eastAsia="zh-CN"/>
              </w:rPr>
              <w:t xml:space="preserve">    </w:t>
            </w:r>
            <w:r>
              <w:rPr>
                <w:rFonts w:hint="eastAsia" w:ascii="宋体" w:hAnsi="宋体"/>
                <w:color w:val="auto"/>
                <w:szCs w:val="21"/>
              </w:rPr>
              <w:t>时</w:t>
            </w:r>
            <w:r>
              <w:rPr>
                <w:rFonts w:hint="eastAsia" w:ascii="宋体" w:hAnsi="宋体"/>
                <w:color w:val="auto"/>
                <w:szCs w:val="21"/>
                <w:u w:val="single"/>
                <w:lang w:val="en-US" w:eastAsia="zh-CN"/>
              </w:rPr>
              <w:t xml:space="preserve">  </w:t>
            </w:r>
            <w:r>
              <w:rPr>
                <w:rFonts w:hint="eastAsia" w:ascii="宋体" w:hAnsi="宋体"/>
                <w:color w:val="auto"/>
                <w:szCs w:val="21"/>
              </w:rPr>
              <w:t>分</w:t>
            </w:r>
            <w:r>
              <w:rPr>
                <w:rFonts w:hint="eastAsia" w:ascii="宋体" w:hAnsi="宋体" w:cs="微软雅黑"/>
                <w:color w:val="auto"/>
                <w:kern w:val="0"/>
                <w:szCs w:val="21"/>
              </w:rPr>
              <w:t>（北京时间）</w:t>
            </w:r>
            <w:r>
              <w:rPr>
                <w:rFonts w:hint="eastAsia" w:ascii="宋体" w:hAnsi="宋体" w:cs="微软雅黑"/>
                <w:color w:val="auto"/>
                <w:kern w:val="0"/>
                <w:szCs w:val="21"/>
                <w:lang w:val="en-US" w:eastAsia="zh-CN"/>
              </w:rPr>
              <w:t xml:space="preserve"> </w:t>
            </w:r>
          </w:p>
          <w:p w14:paraId="293A0453">
            <w:pPr>
              <w:adjustRightInd w:val="0"/>
              <w:snapToGrid w:val="0"/>
              <w:spacing w:before="50" w:line="360" w:lineRule="auto"/>
              <w:rPr>
                <w:rFonts w:ascii="宋体" w:hAnsi="宋体"/>
                <w:b/>
                <w:bCs/>
                <w:color w:val="auto"/>
                <w:szCs w:val="21"/>
              </w:rPr>
            </w:pPr>
            <w:r>
              <w:rPr>
                <w:rFonts w:hint="eastAsia" w:ascii="宋体" w:hAnsi="宋体"/>
                <w:color w:val="auto"/>
                <w:szCs w:val="21"/>
              </w:rPr>
              <w:t>递交地点：</w:t>
            </w:r>
            <w:r>
              <w:rPr>
                <w:rFonts w:hint="eastAsia" w:ascii="宋体" w:hAnsi="宋体"/>
                <w:color w:val="auto"/>
                <w:szCs w:val="21"/>
                <w:lang w:val="en-US" w:eastAsia="zh-CN"/>
              </w:rPr>
              <w:t>湖南省怀化市鹤城区卢林南路宏运新苑1栋北面1楼室</w:t>
            </w:r>
            <w:r>
              <w:rPr>
                <w:rFonts w:hint="eastAsia" w:ascii="宋体" w:hAnsi="宋体"/>
                <w:b/>
                <w:bCs/>
                <w:color w:val="auto"/>
                <w:szCs w:val="21"/>
              </w:rPr>
              <w:t xml:space="preserve"> </w:t>
            </w:r>
          </w:p>
        </w:tc>
      </w:tr>
      <w:tr w14:paraId="1402FC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328D8CC7">
            <w:pPr>
              <w:adjustRightInd w:val="0"/>
              <w:snapToGrid w:val="0"/>
              <w:spacing w:before="50"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五、响应文件的评审与谈判</w:t>
            </w:r>
          </w:p>
        </w:tc>
      </w:tr>
      <w:tr w14:paraId="437F1A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0A6FB6C9">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第22.4款</w:t>
            </w:r>
          </w:p>
        </w:tc>
        <w:tc>
          <w:tcPr>
            <w:tcW w:w="2556" w:type="dxa"/>
            <w:noWrap w:val="0"/>
            <w:vAlign w:val="center"/>
          </w:tcPr>
          <w:p w14:paraId="42A168DE">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谈判文件规定的实质性要求和条件</w:t>
            </w:r>
          </w:p>
        </w:tc>
        <w:tc>
          <w:tcPr>
            <w:tcW w:w="5074" w:type="dxa"/>
            <w:noWrap w:val="0"/>
            <w:vAlign w:val="center"/>
          </w:tcPr>
          <w:p w14:paraId="3DB61C9D">
            <w:pPr>
              <w:adjustRightInd w:val="0"/>
              <w:snapToGrid w:val="0"/>
              <w:spacing w:before="50" w:line="360" w:lineRule="auto"/>
              <w:rPr>
                <w:rFonts w:ascii="宋体" w:hAnsi="宋体"/>
                <w:b/>
                <w:bCs/>
                <w:color w:val="000000" w:themeColor="text1"/>
                <w:szCs w:val="21"/>
                <w14:textFill>
                  <w14:solidFill>
                    <w14:schemeClr w14:val="tx1"/>
                  </w14:solidFill>
                </w14:textFill>
              </w:rPr>
            </w:pPr>
            <w:r>
              <w:rPr>
                <w:rFonts w:hint="eastAsia" w:ascii="宋体" w:hAnsi="宋体"/>
                <w:b w:val="0"/>
                <w:bCs w:val="0"/>
                <w:color w:val="auto"/>
                <w:szCs w:val="21"/>
                <w:lang w:val="en-US" w:eastAsia="zh-CN"/>
              </w:rPr>
              <w:t>采购需求、合同条款（必须全部满足，否则作投标无效处理。）</w:t>
            </w:r>
          </w:p>
        </w:tc>
      </w:tr>
      <w:tr w14:paraId="14A8EB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7C5CF5F0">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第28.3款</w:t>
            </w:r>
          </w:p>
        </w:tc>
        <w:tc>
          <w:tcPr>
            <w:tcW w:w="2556" w:type="dxa"/>
            <w:noWrap w:val="0"/>
            <w:vAlign w:val="center"/>
          </w:tcPr>
          <w:p w14:paraId="5CF96F8D">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最后报价的算术修正</w:t>
            </w:r>
          </w:p>
        </w:tc>
        <w:tc>
          <w:tcPr>
            <w:tcW w:w="5074" w:type="dxa"/>
            <w:noWrap w:val="0"/>
            <w:vAlign w:val="center"/>
          </w:tcPr>
          <w:p w14:paraId="257981B8">
            <w:pPr>
              <w:adjustRightInd w:val="0"/>
              <w:snapToGrid w:val="0"/>
              <w:spacing w:before="50" w:line="360" w:lineRule="auto"/>
              <w:rPr>
                <w:rFonts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按谈判须知正文规定</w:t>
            </w:r>
          </w:p>
        </w:tc>
      </w:tr>
      <w:tr w14:paraId="65CB11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6AA0C51A">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六、成交结果信息公布与授予合同</w:t>
            </w:r>
          </w:p>
        </w:tc>
      </w:tr>
      <w:tr w14:paraId="6F99F9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471A1C4E">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第34.1款</w:t>
            </w:r>
          </w:p>
        </w:tc>
        <w:tc>
          <w:tcPr>
            <w:tcW w:w="2556" w:type="dxa"/>
            <w:noWrap w:val="0"/>
            <w:vAlign w:val="center"/>
          </w:tcPr>
          <w:p w14:paraId="14A93ADB">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财政部门指定的媒体</w:t>
            </w:r>
          </w:p>
        </w:tc>
        <w:tc>
          <w:tcPr>
            <w:tcW w:w="5074" w:type="dxa"/>
            <w:noWrap w:val="0"/>
            <w:vAlign w:val="center"/>
          </w:tcPr>
          <w:p w14:paraId="6EE2B5E2">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中国·湖南</w:t>
            </w:r>
            <w:r>
              <w:rPr>
                <w:rFonts w:hint="eastAsia" w:ascii="宋体" w:hAnsi="宋体"/>
                <w:color w:val="000000" w:themeColor="text1"/>
                <w:szCs w:val="21"/>
                <w:lang w:eastAsia="zh-CN"/>
                <w14:textFill>
                  <w14:solidFill>
                    <w14:schemeClr w14:val="tx1"/>
                  </w14:solidFill>
                </w14:textFill>
              </w:rPr>
              <w:t>省</w:t>
            </w:r>
            <w:r>
              <w:rPr>
                <w:rFonts w:hint="eastAsia" w:ascii="宋体" w:hAnsi="宋体"/>
                <w:color w:val="000000" w:themeColor="text1"/>
                <w:szCs w:val="21"/>
                <w14:textFill>
                  <w14:solidFill>
                    <w14:schemeClr w14:val="tx1"/>
                  </w14:solidFill>
                </w14:textFill>
              </w:rPr>
              <w:t>政府采购网(www.ccgp-hunan.gov.cn)</w:t>
            </w:r>
          </w:p>
        </w:tc>
      </w:tr>
      <w:tr w14:paraId="7E353E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3BEFD99">
            <w:pPr>
              <w:adjustRightInd w:val="0"/>
              <w:snapToGrid w:val="0"/>
              <w:spacing w:line="360" w:lineRule="auto"/>
              <w:jc w:val="center"/>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第35.3</w:t>
            </w:r>
            <w:r>
              <w:rPr>
                <w:rFonts w:hint="eastAsia" w:ascii="宋体" w:hAnsi="宋体" w:eastAsia="宋体" w:cs="宋体"/>
                <w:color w:val="000000" w:themeColor="text1"/>
                <w:kern w:val="0"/>
                <w:szCs w:val="21"/>
                <w:lang w:val="zh-CN"/>
                <w14:textFill>
                  <w14:solidFill>
                    <w14:schemeClr w14:val="tx1"/>
                  </w14:solidFill>
                </w14:textFill>
              </w:rPr>
              <w:t>款</w:t>
            </w:r>
          </w:p>
        </w:tc>
        <w:tc>
          <w:tcPr>
            <w:tcW w:w="2556" w:type="dxa"/>
            <w:noWrap w:val="0"/>
            <w:vAlign w:val="center"/>
          </w:tcPr>
          <w:p w14:paraId="21BF5F05">
            <w:pPr>
              <w:adjustRightInd w:val="0"/>
              <w:snapToGrid w:val="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接收质疑函的联系部门、联系电话和通讯地址</w:t>
            </w:r>
          </w:p>
        </w:tc>
        <w:tc>
          <w:tcPr>
            <w:tcW w:w="5074" w:type="dxa"/>
            <w:noWrap w:val="0"/>
            <w:vAlign w:val="center"/>
          </w:tcPr>
          <w:p w14:paraId="279F097E">
            <w:pPr>
              <w:adjustRightInd w:val="0"/>
              <w:snapToGrid w:val="0"/>
              <w:spacing w:before="50" w:line="240" w:lineRule="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联系部门：</w:t>
            </w:r>
            <w:r>
              <w:rPr>
                <w:rFonts w:hint="eastAsia"/>
                <w:color w:val="000000" w:themeColor="text1"/>
                <w:lang w:eastAsia="zh-CN"/>
                <w14:textFill>
                  <w14:solidFill>
                    <w14:schemeClr w14:val="tx1"/>
                  </w14:solidFill>
                </w14:textFill>
              </w:rPr>
              <w:t>湖南天舟招标代理有限公司</w:t>
            </w:r>
          </w:p>
          <w:p w14:paraId="321490DE">
            <w:pPr>
              <w:pStyle w:val="7"/>
              <w:spacing w:line="240" w:lineRule="auto"/>
              <w:ind w:left="0" w:leftChars="0"/>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w:t>
            </w:r>
            <w:r>
              <w:rPr>
                <w:rFonts w:hint="eastAsia" w:ascii="宋体" w:hAnsi="宋体"/>
                <w:color w:val="000000" w:themeColor="text1"/>
                <w:szCs w:val="21"/>
                <w:lang w:eastAsia="zh-CN"/>
                <w14:textFill>
                  <w14:solidFill>
                    <w14:schemeClr w14:val="tx1"/>
                  </w14:solidFill>
                </w14:textFill>
              </w:rPr>
              <w:t>0731-85118391</w:t>
            </w:r>
          </w:p>
          <w:p w14:paraId="42C32E65">
            <w:pPr>
              <w:adjustRightInd w:val="0"/>
              <w:snapToGrid w:val="0"/>
              <w:spacing w:before="50" w:line="240" w:lineRule="auto"/>
              <w:rPr>
                <w:rFonts w:hint="eastAsia" w:ascii="宋体" w:hAnsi="宋体" w:eastAsia="宋体"/>
                <w:color w:val="000000" w:themeColor="text1"/>
                <w:szCs w:val="21"/>
                <w:u w:val="single"/>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通讯地址：</w:t>
            </w:r>
            <w:r>
              <w:rPr>
                <w:rFonts w:hint="eastAsia" w:ascii="宋体" w:hAnsi="宋体"/>
                <w:color w:val="000000" w:themeColor="text1"/>
                <w:szCs w:val="21"/>
                <w:lang w:eastAsia="zh-CN"/>
                <w14:textFill>
                  <w14:solidFill>
                    <w14:schemeClr w14:val="tx1"/>
                  </w14:solidFill>
                </w14:textFill>
              </w:rPr>
              <w:t>湖南省怀化市鹤城区卢林南路宏运新苑1栋北面1楼</w:t>
            </w:r>
          </w:p>
        </w:tc>
      </w:tr>
      <w:tr w14:paraId="08235C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41366E2">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第36.1款</w:t>
            </w:r>
          </w:p>
        </w:tc>
        <w:tc>
          <w:tcPr>
            <w:tcW w:w="2556" w:type="dxa"/>
            <w:noWrap w:val="0"/>
            <w:vAlign w:val="center"/>
          </w:tcPr>
          <w:p w14:paraId="36758E3F">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履约担保</w:t>
            </w:r>
          </w:p>
        </w:tc>
        <w:tc>
          <w:tcPr>
            <w:tcW w:w="5074" w:type="dxa"/>
            <w:noWrap w:val="0"/>
            <w:vAlign w:val="center"/>
          </w:tcPr>
          <w:p w14:paraId="1EF34768">
            <w:pPr>
              <w:adjustRightInd w:val="0"/>
              <w:snapToGrid w:val="0"/>
              <w:spacing w:before="156" w:beforeLines="50" w:line="24" w:lineRule="atLeast"/>
              <w:ind w:right="23" w:rightChars="11"/>
              <w:rPr>
                <w:rFonts w:ascii="宋体" w:hAnsi="宋体"/>
                <w:color w:val="auto"/>
                <w:szCs w:val="21"/>
              </w:rPr>
            </w:pPr>
            <w:r>
              <w:rPr>
                <w:rFonts w:hint="eastAsia" w:ascii="宋体" w:hAnsi="宋体"/>
                <w:color w:val="auto"/>
                <w:szCs w:val="21"/>
              </w:rPr>
              <w:t>☑ 不要求提供</w:t>
            </w:r>
          </w:p>
          <w:p w14:paraId="07F0B9A5">
            <w:pPr>
              <w:adjustRightInd w:val="0"/>
              <w:snapToGrid w:val="0"/>
              <w:spacing w:before="50"/>
              <w:rPr>
                <w:rFonts w:ascii="宋体" w:hAnsi="宋体"/>
                <w:color w:val="auto"/>
                <w:szCs w:val="21"/>
              </w:rPr>
            </w:pPr>
            <w:r>
              <w:rPr>
                <w:rFonts w:hint="eastAsia" w:ascii="宋体" w:hAnsi="宋体"/>
                <w:color w:val="auto"/>
                <w:szCs w:val="21"/>
              </w:rPr>
              <w:t>□ 要求提供，履约担保的金额为：</w:t>
            </w:r>
            <w:r>
              <w:rPr>
                <w:rFonts w:hint="eastAsia" w:ascii="宋体" w:hAnsi="宋体"/>
                <w:color w:val="auto"/>
                <w:szCs w:val="21"/>
                <w:u w:val="single"/>
              </w:rPr>
              <w:t>/</w:t>
            </w:r>
          </w:p>
        </w:tc>
      </w:tr>
      <w:tr w14:paraId="400C08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0985C3F0">
            <w:pPr>
              <w:adjustRightInd w:val="0"/>
              <w:snapToGrid w:val="0"/>
              <w:spacing w:before="50" w:line="360" w:lineRule="auto"/>
              <w:rPr>
                <w:rFonts w:ascii="宋体" w:hAnsi="宋体"/>
                <w:b/>
                <w:color w:val="auto"/>
                <w:szCs w:val="21"/>
              </w:rPr>
            </w:pPr>
            <w:r>
              <w:rPr>
                <w:rFonts w:hint="eastAsia" w:ascii="宋体" w:hAnsi="宋体"/>
                <w:b/>
                <w:color w:val="auto"/>
                <w:szCs w:val="21"/>
              </w:rPr>
              <w:t>七、政府采购政策</w:t>
            </w:r>
          </w:p>
        </w:tc>
      </w:tr>
      <w:tr w14:paraId="3FA9C6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1C242F33">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w:t>
            </w:r>
            <w:r>
              <w:rPr>
                <w:rFonts w:ascii="宋体" w:hAnsi="宋体"/>
                <w:color w:val="000000" w:themeColor="text1"/>
                <w:szCs w:val="21"/>
                <w14:textFill>
                  <w14:solidFill>
                    <w14:schemeClr w14:val="tx1"/>
                  </w14:solidFill>
                </w14:textFill>
              </w:rPr>
              <w:t>40</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款</w:t>
            </w:r>
          </w:p>
        </w:tc>
        <w:tc>
          <w:tcPr>
            <w:tcW w:w="2556" w:type="dxa"/>
            <w:noWrap w:val="0"/>
            <w:vAlign w:val="top"/>
          </w:tcPr>
          <w:p w14:paraId="1C5303DA">
            <w:pPr>
              <w:rPr>
                <w:color w:val="000000" w:themeColor="text1"/>
                <w14:textFill>
                  <w14:solidFill>
                    <w14:schemeClr w14:val="tx1"/>
                  </w14:solidFill>
                </w14:textFill>
              </w:rPr>
            </w:pPr>
            <w:r>
              <w:rPr>
                <w:rFonts w:hint="eastAsia" w:ascii="Times New Roman" w:eastAsia="宋体"/>
                <w:color w:val="000000" w:themeColor="text1"/>
                <w:lang w:val="en-US" w:eastAsia="zh-CN"/>
                <w14:textFill>
                  <w14:solidFill>
                    <w14:schemeClr w14:val="tx1"/>
                  </w14:solidFill>
                </w14:textFill>
              </w:rPr>
              <w:t>节能产品、</w:t>
            </w:r>
            <w:r>
              <w:rPr>
                <w:rFonts w:hint="eastAsia"/>
                <w:color w:val="000000" w:themeColor="text1"/>
                <w14:textFill>
                  <w14:solidFill>
                    <w14:schemeClr w14:val="tx1"/>
                  </w14:solidFill>
                </w14:textFill>
              </w:rPr>
              <w:t>环境标志产品</w:t>
            </w:r>
            <w:r>
              <w:rPr>
                <w:rFonts w:hint="eastAsia" w:ascii="宋体" w:hAnsi="宋体"/>
                <w:color w:val="000000" w:themeColor="text1"/>
                <w:szCs w:val="21"/>
                <w14:textFill>
                  <w14:solidFill>
                    <w14:schemeClr w14:val="tx1"/>
                  </w14:solidFill>
                </w14:textFill>
              </w:rPr>
              <w:t>的价格折扣比例</w:t>
            </w:r>
          </w:p>
        </w:tc>
        <w:tc>
          <w:tcPr>
            <w:tcW w:w="5074" w:type="dxa"/>
            <w:noWrap w:val="0"/>
            <w:vAlign w:val="center"/>
          </w:tcPr>
          <w:p w14:paraId="042E8130">
            <w:pPr>
              <w:adjustRightInd w:val="0"/>
              <w:snapToGrid w:val="0"/>
              <w:spacing w:before="50" w:line="360" w:lineRule="auto"/>
              <w:rPr>
                <w:rFonts w:ascii="宋体" w:hAnsi="宋体" w:eastAsia="宋体" w:cs="Times New Roman"/>
                <w:color w:val="auto"/>
                <w:szCs w:val="21"/>
              </w:rPr>
            </w:pPr>
            <w:r>
              <w:rPr>
                <w:rFonts w:hint="eastAsia" w:ascii="宋体" w:hAnsi="宋体" w:eastAsia="宋体" w:cs="Times New Roman"/>
                <w:color w:val="auto"/>
                <w:szCs w:val="21"/>
              </w:rPr>
              <w:t>采购产品为《节能产品政府采购清单》内非标记★符号的节能产品的，本项目给予的具体扣除比例为</w:t>
            </w:r>
            <w:r>
              <w:rPr>
                <w:rFonts w:hint="eastAsia" w:ascii="宋体" w:hAnsi="宋体" w:eastAsia="宋体" w:cs="Times New Roman"/>
                <w:color w:val="auto"/>
                <w:szCs w:val="21"/>
                <w:u w:val="single"/>
                <w:lang w:val="en-US" w:eastAsia="zh-CN"/>
              </w:rPr>
              <w:t xml:space="preserve">  </w:t>
            </w:r>
            <w:r>
              <w:rPr>
                <w:rFonts w:hint="eastAsia" w:ascii="宋体" w:hAnsi="宋体"/>
                <w:color w:val="auto"/>
                <w:kern w:val="2"/>
                <w:sz w:val="21"/>
                <w:szCs w:val="21"/>
                <w:u w:val="single"/>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rPr>
              <w:t>％。</w:t>
            </w:r>
          </w:p>
          <w:p w14:paraId="5B7961D9">
            <w:pPr>
              <w:adjustRightInd w:val="0"/>
              <w:snapToGrid w:val="0"/>
              <w:spacing w:before="50" w:line="360" w:lineRule="auto"/>
              <w:rPr>
                <w:rFonts w:hint="default" w:ascii="宋体" w:hAnsi="宋体" w:eastAsia="宋体"/>
                <w:color w:val="auto"/>
                <w:szCs w:val="21"/>
                <w:lang w:val="en-US" w:eastAsia="zh-CN"/>
              </w:rPr>
            </w:pPr>
            <w:r>
              <w:rPr>
                <w:rFonts w:hint="eastAsia" w:ascii="宋体" w:hAnsi="宋体"/>
                <w:color w:val="auto"/>
                <w:kern w:val="2"/>
                <w:sz w:val="21"/>
                <w:szCs w:val="21"/>
                <w:lang w:val="en-US" w:eastAsia="zh-CN"/>
              </w:rPr>
              <w:t>采购产品为《环境标志产品政府采购清单》内的，本项目给予的具体扣除比例为</w:t>
            </w:r>
            <w:r>
              <w:rPr>
                <w:rFonts w:hint="eastAsia" w:ascii="宋体" w:hAnsi="宋体"/>
                <w:color w:val="auto"/>
                <w:kern w:val="2"/>
                <w:sz w:val="21"/>
                <w:szCs w:val="21"/>
                <w:u w:val="single"/>
                <w:lang w:val="en-US" w:eastAsia="zh-CN"/>
              </w:rPr>
              <w:t xml:space="preserve">  </w:t>
            </w:r>
            <w:r>
              <w:rPr>
                <w:rFonts w:hint="eastAsia" w:ascii="宋体" w:hAnsi="宋体" w:eastAsia="宋体" w:cs="Times New Roman"/>
                <w:color w:val="auto"/>
                <w:szCs w:val="21"/>
                <w:u w:val="single"/>
                <w:lang w:val="en-US" w:eastAsia="zh-CN"/>
              </w:rPr>
              <w:t xml:space="preserve">/ </w:t>
            </w:r>
            <w:r>
              <w:rPr>
                <w:rFonts w:hint="eastAsia" w:ascii="宋体" w:hAnsi="宋体"/>
                <w:color w:val="auto"/>
                <w:kern w:val="2"/>
                <w:sz w:val="21"/>
                <w:szCs w:val="21"/>
                <w:lang w:val="en-US" w:eastAsia="zh-CN"/>
              </w:rPr>
              <w:t>%。</w:t>
            </w:r>
          </w:p>
        </w:tc>
      </w:tr>
      <w:tr w14:paraId="3F7624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538F5565">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w:t>
            </w:r>
            <w:r>
              <w:rPr>
                <w:rFonts w:ascii="宋体" w:hAnsi="宋体"/>
                <w:color w:val="000000" w:themeColor="text1"/>
                <w:szCs w:val="21"/>
                <w14:textFill>
                  <w14:solidFill>
                    <w14:schemeClr w14:val="tx1"/>
                  </w14:solidFill>
                </w14:textFill>
              </w:rPr>
              <w:t>41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（1）项</w:t>
            </w:r>
          </w:p>
        </w:tc>
        <w:tc>
          <w:tcPr>
            <w:tcW w:w="2556" w:type="dxa"/>
            <w:noWrap w:val="0"/>
            <w:vAlign w:val="center"/>
          </w:tcPr>
          <w:p w14:paraId="35340968">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小型、微型企业的价格折扣比例</w:t>
            </w:r>
          </w:p>
        </w:tc>
        <w:tc>
          <w:tcPr>
            <w:tcW w:w="5074" w:type="dxa"/>
            <w:noWrap w:val="0"/>
            <w:vAlign w:val="center"/>
          </w:tcPr>
          <w:p w14:paraId="5CEF4C1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专门面向小微企业采购（应同时在招标公告中注明）。</w:t>
            </w:r>
          </w:p>
          <w:p w14:paraId="36A15BA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非专门面向小微企业采购：</w:t>
            </w:r>
          </w:p>
          <w:p w14:paraId="2A27C921">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1、给予小型和微型企业产品的价格给予10%-20%的扣除，用扣除后的价格参与评审，本项目具体扣除比例为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 10</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2CB94F8F">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2、给予联合体2%-3%的价格扣除。本项目具体扣除比例为</w:t>
            </w:r>
            <w:r>
              <w:rPr>
                <w:rFonts w:hint="eastAsia"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14:paraId="6C6EA4AD">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3、应按要求填写《中、小企业声明函》，否则不予价格扣除。</w:t>
            </w:r>
          </w:p>
          <w:p w14:paraId="4F65A43A">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4、小微企业（含中型、小型、微型企业）应当同时符合以下条件：</w:t>
            </w:r>
          </w:p>
          <w:p w14:paraId="626F1D32">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4.1符合中小企业划分标准（中小企业划分标准，是指国务院有关部门根据企业从业人员、营业收入、资产总额等指标制定的中小企业划型标准）；</w:t>
            </w:r>
          </w:p>
          <w:p w14:paraId="66365573">
            <w:pPr>
              <w:adjustRightInd w:val="0"/>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4.2提供本企业制造的货物、承担的工程或者服务，或者提供其他小微企业制造的货物。本项所称货物不包括使用大、中型企业注册商标的货物。</w:t>
            </w:r>
          </w:p>
          <w:p w14:paraId="6F77F869">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5、小型、微型企业提供有中型企业制造的货物的，视同为中型企业。</w:t>
            </w:r>
          </w:p>
        </w:tc>
      </w:tr>
      <w:tr w14:paraId="51E01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4D4DDA41">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w:t>
            </w:r>
            <w:r>
              <w:rPr>
                <w:rFonts w:ascii="宋体" w:hAnsi="宋体"/>
                <w:color w:val="000000" w:themeColor="text1"/>
                <w:szCs w:val="21"/>
                <w14:textFill>
                  <w14:solidFill>
                    <w14:schemeClr w14:val="tx1"/>
                  </w14:solidFill>
                </w14:textFill>
              </w:rPr>
              <w:t>41</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（2）项</w:t>
            </w:r>
          </w:p>
        </w:tc>
        <w:tc>
          <w:tcPr>
            <w:tcW w:w="2556" w:type="dxa"/>
            <w:noWrap w:val="0"/>
            <w:vAlign w:val="center"/>
          </w:tcPr>
          <w:p w14:paraId="1ABD92F0">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小型、微型企业组成联合体或者大中型企业向小微企业分包的价格折扣比例</w:t>
            </w:r>
          </w:p>
        </w:tc>
        <w:tc>
          <w:tcPr>
            <w:tcW w:w="5074" w:type="dxa"/>
            <w:noWrap w:val="0"/>
            <w:vAlign w:val="center"/>
          </w:tcPr>
          <w:p w14:paraId="2D620A4E">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给予联合体2%-3%的价格扣除。本项目具体扣除比例为</w:t>
            </w:r>
            <w:r>
              <w:rPr>
                <w:rFonts w:hint="eastAsia"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tc>
      </w:tr>
      <w:tr w14:paraId="68507C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9252" w:type="dxa"/>
            <w:gridSpan w:val="3"/>
            <w:noWrap w:val="0"/>
            <w:vAlign w:val="center"/>
          </w:tcPr>
          <w:p w14:paraId="062925E4">
            <w:pPr>
              <w:adjustRightInd w:val="0"/>
              <w:snapToGrid w:val="0"/>
              <w:spacing w:before="5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八、其他规定</w:t>
            </w:r>
          </w:p>
        </w:tc>
      </w:tr>
      <w:tr w14:paraId="49D894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6D611CD">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第</w:t>
            </w:r>
            <w:r>
              <w:rPr>
                <w:rFonts w:ascii="宋体" w:hAnsi="宋体" w:eastAsia="宋体"/>
                <w:color w:val="000000" w:themeColor="text1"/>
                <w:szCs w:val="21"/>
                <w14:textFill>
                  <w14:solidFill>
                    <w14:schemeClr w14:val="tx1"/>
                  </w14:solidFill>
                </w14:textFill>
              </w:rPr>
              <w:t>4</w:t>
            </w:r>
            <w:r>
              <w:rPr>
                <w:rFonts w:hint="eastAsia" w:ascii="宋体" w:hAnsi="宋体" w:eastAsia="宋体"/>
                <w:color w:val="000000" w:themeColor="text1"/>
                <w:szCs w:val="21"/>
                <w14:textFill>
                  <w14:solidFill>
                    <w14:schemeClr w14:val="tx1"/>
                  </w14:solidFill>
                </w14:textFill>
              </w:rPr>
              <w:t>6.1</w:t>
            </w:r>
            <w:r>
              <w:rPr>
                <w:rFonts w:hint="eastAsia" w:ascii="宋体" w:hAnsi="宋体" w:eastAsia="宋体" w:cs="宋体"/>
                <w:color w:val="000000" w:themeColor="text1"/>
                <w:kern w:val="0"/>
                <w:szCs w:val="21"/>
                <w:lang w:val="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1</w:t>
            </w:r>
            <w:r>
              <w:rPr>
                <w:rFonts w:hint="eastAsia" w:ascii="宋体" w:hAnsi="宋体" w:eastAsia="宋体" w:cs="宋体"/>
                <w:color w:val="000000" w:themeColor="text1"/>
                <w:kern w:val="0"/>
                <w:szCs w:val="21"/>
                <w:lang w:val="zh-CN"/>
                <w14:textFill>
                  <w14:solidFill>
                    <w14:schemeClr w14:val="tx1"/>
                  </w14:solidFill>
                </w14:textFill>
              </w:rPr>
              <w:t>）</w:t>
            </w:r>
            <w:r>
              <w:rPr>
                <w:rFonts w:hint="eastAsia" w:ascii="宋体" w:hAnsi="宋体"/>
                <w:color w:val="000000" w:themeColor="text1"/>
                <w:szCs w:val="21"/>
                <w14:textFill>
                  <w14:solidFill>
                    <w14:schemeClr w14:val="tx1"/>
                  </w14:solidFill>
                </w14:textFill>
              </w:rPr>
              <w:t>项</w:t>
            </w:r>
          </w:p>
        </w:tc>
        <w:tc>
          <w:tcPr>
            <w:tcW w:w="2556" w:type="dxa"/>
            <w:noWrap w:val="0"/>
            <w:vAlign w:val="center"/>
          </w:tcPr>
          <w:p w14:paraId="17552BFD">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合同预付款的支付比例和支付条件</w:t>
            </w:r>
          </w:p>
        </w:tc>
        <w:tc>
          <w:tcPr>
            <w:tcW w:w="5074" w:type="dxa"/>
            <w:noWrap w:val="0"/>
            <w:vAlign w:val="center"/>
          </w:tcPr>
          <w:p w14:paraId="7E1F0C26">
            <w:pPr>
              <w:adjustRightInd w:val="0"/>
              <w:snapToGrid w:val="0"/>
              <w:spacing w:line="360" w:lineRule="auto"/>
              <w:rPr>
                <w:rFonts w:hint="eastAsia" w:ascii="宋体" w:hAnsi="宋体"/>
                <w:bCs/>
                <w:color w:val="000000" w:themeColor="text1"/>
                <w:szCs w:val="21"/>
                <w:u w:val="single"/>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FE"/>
            </w:r>
            <w:r>
              <w:rPr>
                <w:rFonts w:hint="eastAsia" w:ascii="宋体" w:hAnsi="宋体"/>
                <w:iCs/>
                <w:color w:val="000000" w:themeColor="text1"/>
                <w:szCs w:val="21"/>
                <w14:textFill>
                  <w14:solidFill>
                    <w14:schemeClr w14:val="tx1"/>
                  </w14:solidFill>
                </w14:textFill>
              </w:rPr>
              <w:t>不支持</w:t>
            </w:r>
            <w:r>
              <w:rPr>
                <w:rFonts w:hint="eastAsia" w:ascii="宋体" w:hAnsi="宋体"/>
                <w:bCs/>
                <w:color w:val="000000" w:themeColor="text1"/>
                <w:szCs w:val="21"/>
                <w14:textFill>
                  <w14:solidFill>
                    <w14:schemeClr w14:val="tx1"/>
                  </w14:solidFill>
                </w14:textFill>
              </w:rPr>
              <w:t>预付款；</w:t>
            </w:r>
          </w:p>
          <w:p w14:paraId="68AE6510">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r>
              <w:rPr>
                <w:rFonts w:hint="eastAsia" w:ascii="宋体" w:hAnsi="宋体"/>
                <w:iCs/>
                <w:color w:val="000000" w:themeColor="text1"/>
                <w:szCs w:val="21"/>
                <w14:textFill>
                  <w14:solidFill>
                    <w14:schemeClr w14:val="tx1"/>
                  </w14:solidFill>
                </w14:textFill>
              </w:rPr>
              <w:t>支持</w:t>
            </w:r>
            <w:r>
              <w:rPr>
                <w:rFonts w:hint="eastAsia" w:ascii="宋体" w:hAnsi="宋体"/>
                <w:bCs/>
                <w:color w:val="000000" w:themeColor="text1"/>
                <w:szCs w:val="21"/>
                <w14:textFill>
                  <w14:solidFill>
                    <w14:schemeClr w14:val="tx1"/>
                  </w14:solidFill>
                </w14:textFill>
              </w:rPr>
              <w:t>预付款，预付比例：</w:t>
            </w:r>
            <w:r>
              <w:rPr>
                <w:rFonts w:hint="eastAsia" w:ascii="宋体" w:hAnsi="宋体"/>
                <w:bCs/>
                <w:color w:val="000000" w:themeColor="text1"/>
                <w:szCs w:val="21"/>
                <w:u w:val="single"/>
                <w14:textFill>
                  <w14:solidFill>
                    <w14:schemeClr w14:val="tx1"/>
                  </w14:solidFill>
                </w14:textFill>
              </w:rPr>
              <w:t xml:space="preserve">           </w:t>
            </w:r>
          </w:p>
        </w:tc>
      </w:tr>
      <w:tr w14:paraId="1F9197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662CE1F4">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第</w:t>
            </w:r>
            <w:r>
              <w:rPr>
                <w:rFonts w:ascii="宋体" w:hAnsi="宋体" w:eastAsia="宋体"/>
                <w:color w:val="000000" w:themeColor="text1"/>
                <w:szCs w:val="21"/>
                <w14:textFill>
                  <w14:solidFill>
                    <w14:schemeClr w14:val="tx1"/>
                  </w14:solidFill>
                </w14:textFill>
              </w:rPr>
              <w:t>4</w:t>
            </w:r>
            <w:r>
              <w:rPr>
                <w:rFonts w:hint="eastAsia" w:ascii="宋体" w:hAnsi="宋体" w:eastAsia="宋体"/>
                <w:color w:val="000000" w:themeColor="text1"/>
                <w:szCs w:val="21"/>
                <w14:textFill>
                  <w14:solidFill>
                    <w14:schemeClr w14:val="tx1"/>
                  </w14:solidFill>
                </w14:textFill>
              </w:rPr>
              <w:t>6.1</w:t>
            </w:r>
            <w:r>
              <w:rPr>
                <w:rFonts w:hint="eastAsia" w:ascii="宋体" w:hAnsi="宋体" w:eastAsia="宋体" w:cs="宋体"/>
                <w:color w:val="000000" w:themeColor="text1"/>
                <w:kern w:val="0"/>
                <w:szCs w:val="21"/>
                <w:lang w:val="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2</w:t>
            </w:r>
            <w:r>
              <w:rPr>
                <w:rFonts w:hint="eastAsia" w:ascii="宋体" w:hAnsi="宋体" w:eastAsia="宋体" w:cs="宋体"/>
                <w:color w:val="000000" w:themeColor="text1"/>
                <w:kern w:val="0"/>
                <w:szCs w:val="21"/>
                <w:lang w:val="zh-CN"/>
                <w14:textFill>
                  <w14:solidFill>
                    <w14:schemeClr w14:val="tx1"/>
                  </w14:solidFill>
                </w14:textFill>
              </w:rPr>
              <w:t>）</w:t>
            </w:r>
            <w:r>
              <w:rPr>
                <w:rFonts w:hint="eastAsia" w:ascii="宋体" w:hAnsi="宋体"/>
                <w:color w:val="000000" w:themeColor="text1"/>
                <w:szCs w:val="21"/>
                <w14:textFill>
                  <w14:solidFill>
                    <w14:schemeClr w14:val="tx1"/>
                  </w14:solidFill>
                </w14:textFill>
              </w:rPr>
              <w:t>项</w:t>
            </w:r>
          </w:p>
        </w:tc>
        <w:tc>
          <w:tcPr>
            <w:tcW w:w="2556" w:type="dxa"/>
            <w:noWrap w:val="0"/>
            <w:vAlign w:val="center"/>
          </w:tcPr>
          <w:p w14:paraId="57B3795C">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质量保证金</w:t>
            </w:r>
          </w:p>
        </w:tc>
        <w:tc>
          <w:tcPr>
            <w:tcW w:w="5074" w:type="dxa"/>
            <w:noWrap w:val="0"/>
            <w:vAlign w:val="center"/>
          </w:tcPr>
          <w:p w14:paraId="14AA31F8">
            <w:pPr>
              <w:adjustRightInd w:val="0"/>
              <w:snapToGrid w:val="0"/>
              <w:spacing w:before="50" w:line="360" w:lineRule="auto"/>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无。</w:t>
            </w:r>
          </w:p>
        </w:tc>
      </w:tr>
      <w:tr w14:paraId="7FDBD8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vMerge w:val="restart"/>
            <w:noWrap w:val="0"/>
            <w:vAlign w:val="center"/>
          </w:tcPr>
          <w:p w14:paraId="4871B70E">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第46.</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款</w:t>
            </w:r>
          </w:p>
        </w:tc>
        <w:tc>
          <w:tcPr>
            <w:tcW w:w="2556" w:type="dxa"/>
            <w:noWrap w:val="0"/>
            <w:vAlign w:val="center"/>
          </w:tcPr>
          <w:p w14:paraId="30205291">
            <w:pPr>
              <w:adjustRightInd w:val="0"/>
              <w:snapToGrid w:val="0"/>
              <w:spacing w:before="50" w:line="360" w:lineRule="auto"/>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其他规定</w:t>
            </w:r>
            <w:r>
              <w:rPr>
                <w:rFonts w:hint="eastAsia" w:ascii="宋体" w:hAnsi="宋体"/>
                <w:color w:val="000000" w:themeColor="text1"/>
                <w:szCs w:val="21"/>
                <w:lang w:val="en-US" w:eastAsia="zh-CN"/>
                <w14:textFill>
                  <w14:solidFill>
                    <w14:schemeClr w14:val="tx1"/>
                  </w14:solidFill>
                </w14:textFill>
              </w:rPr>
              <w:t>1</w:t>
            </w:r>
          </w:p>
        </w:tc>
        <w:tc>
          <w:tcPr>
            <w:tcW w:w="5074" w:type="dxa"/>
            <w:noWrap w:val="0"/>
            <w:vAlign w:val="center"/>
          </w:tcPr>
          <w:p w14:paraId="7430E59E">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供应商须派法定代表人或者委托代理人持法人代表资格证明、授权委托书及本人身份证等原件参加谈判会。</w:t>
            </w:r>
          </w:p>
        </w:tc>
      </w:tr>
      <w:tr w14:paraId="6B98F0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vMerge w:val="continue"/>
            <w:noWrap w:val="0"/>
            <w:vAlign w:val="center"/>
          </w:tcPr>
          <w:p w14:paraId="368883B6">
            <w:pPr>
              <w:adjustRightInd w:val="0"/>
              <w:snapToGrid w:val="0"/>
              <w:spacing w:before="50" w:line="360" w:lineRule="auto"/>
              <w:jc w:val="center"/>
              <w:rPr>
                <w:rFonts w:hint="eastAsia" w:ascii="宋体" w:hAnsi="宋体"/>
                <w:color w:val="000000" w:themeColor="text1"/>
                <w:szCs w:val="21"/>
                <w14:textFill>
                  <w14:solidFill>
                    <w14:schemeClr w14:val="tx1"/>
                  </w14:solidFill>
                </w14:textFill>
              </w:rPr>
            </w:pPr>
          </w:p>
        </w:tc>
        <w:tc>
          <w:tcPr>
            <w:tcW w:w="2556" w:type="dxa"/>
            <w:noWrap w:val="0"/>
            <w:vAlign w:val="center"/>
          </w:tcPr>
          <w:p w14:paraId="4C0CA90A">
            <w:pPr>
              <w:adjustRightInd w:val="0"/>
              <w:snapToGrid w:val="0"/>
              <w:spacing w:before="50" w:line="360" w:lineRule="auto"/>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其他规定</w:t>
            </w:r>
            <w:r>
              <w:rPr>
                <w:rFonts w:hint="eastAsia" w:ascii="宋体" w:hAnsi="宋体"/>
                <w:color w:val="000000" w:themeColor="text1"/>
                <w:szCs w:val="21"/>
                <w:lang w:val="en-US" w:eastAsia="zh-CN"/>
                <w14:textFill>
                  <w14:solidFill>
                    <w14:schemeClr w14:val="tx1"/>
                  </w14:solidFill>
                </w14:textFill>
              </w:rPr>
              <w:t>2</w:t>
            </w:r>
          </w:p>
        </w:tc>
        <w:tc>
          <w:tcPr>
            <w:tcW w:w="5074" w:type="dxa"/>
            <w:noWrap w:val="0"/>
            <w:vAlign w:val="center"/>
          </w:tcPr>
          <w:p w14:paraId="4C0BA449">
            <w:pPr>
              <w:pStyle w:val="12"/>
              <w:spacing w:line="340" w:lineRule="exact"/>
              <w:jc w:val="both"/>
              <w:rPr>
                <w:rFonts w:hint="eastAsia"/>
                <w:color w:val="auto"/>
              </w:rPr>
            </w:pPr>
            <w:r>
              <w:rPr>
                <w:rFonts w:hint="eastAsia"/>
                <w:color w:val="auto"/>
                <w:lang w:val="en-US" w:eastAsia="zh-CN"/>
              </w:rPr>
              <w:t>1、</w:t>
            </w:r>
            <w:r>
              <w:rPr>
                <w:rFonts w:hint="eastAsia"/>
                <w:color w:val="auto"/>
              </w:rPr>
              <w:t>根据《财政部关于在政府采购活动中查询及使用信用记录有关问题的通知》（财库〔2016〕125号）的规定，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D0F4B06">
            <w:pPr>
              <w:pStyle w:val="12"/>
              <w:numPr>
                <w:ilvl w:val="0"/>
                <w:numId w:val="3"/>
              </w:numPr>
              <w:spacing w:line="340" w:lineRule="exact"/>
              <w:jc w:val="both"/>
              <w:rPr>
                <w:rFonts w:hint="eastAsia"/>
                <w:color w:val="auto"/>
              </w:rPr>
            </w:pPr>
            <w:r>
              <w:rPr>
                <w:rFonts w:hint="eastAsia"/>
                <w:color w:val="auto"/>
              </w:rPr>
              <w:t>信用信息查询的查询渠道：“信用中国”网站（www.creditchina.gov.cn）、中国政府采购网（www.ccgp.gov.cn）。</w:t>
            </w:r>
          </w:p>
          <w:p w14:paraId="329E1F5D">
            <w:pPr>
              <w:pStyle w:val="12"/>
              <w:numPr>
                <w:ilvl w:val="0"/>
                <w:numId w:val="3"/>
              </w:numPr>
              <w:spacing w:line="340" w:lineRule="exact"/>
              <w:jc w:val="both"/>
              <w:rPr>
                <w:rFonts w:hint="eastAsia"/>
                <w:color w:val="auto"/>
              </w:rPr>
            </w:pPr>
            <w:r>
              <w:rPr>
                <w:rFonts w:hint="eastAsia"/>
                <w:color w:val="auto"/>
              </w:rPr>
              <w:t>信用信息查询的截止时点：至本项目提交首次响应文件截止时间止。</w:t>
            </w:r>
          </w:p>
          <w:p w14:paraId="7B7AF10A">
            <w:pPr>
              <w:jc w:val="both"/>
              <w:rPr>
                <w:rFonts w:hint="eastAsia"/>
                <w:color w:val="auto"/>
              </w:rPr>
            </w:pPr>
            <w:r>
              <w:rPr>
                <w:rFonts w:hint="eastAsia" w:eastAsia="宋体"/>
                <w:color w:val="auto"/>
                <w:lang w:eastAsia="zh-CN"/>
              </w:rPr>
              <w:t>（</w:t>
            </w:r>
            <w:r>
              <w:rPr>
                <w:rFonts w:hint="eastAsia" w:ascii="Times New Roman" w:eastAsia="宋体"/>
                <w:color w:val="auto"/>
                <w:lang w:val="en-US" w:eastAsia="zh-CN"/>
              </w:rPr>
              <w:t>3）</w:t>
            </w:r>
            <w:r>
              <w:rPr>
                <w:rFonts w:hint="eastAsia"/>
                <w:color w:val="auto"/>
              </w:rPr>
              <w:t>信用信息查询记录的具体方式：采购人或采购代理机构在开标时在规定的查询渠道进行查询。</w:t>
            </w:r>
          </w:p>
          <w:p w14:paraId="7D8F0399">
            <w:pPr>
              <w:jc w:val="both"/>
              <w:rPr>
                <w:rFonts w:hint="eastAsia"/>
                <w:color w:val="auto"/>
              </w:rPr>
            </w:pPr>
            <w:r>
              <w:rPr>
                <w:rFonts w:hint="eastAsia" w:eastAsia="宋体"/>
                <w:color w:val="auto"/>
                <w:lang w:eastAsia="zh-CN"/>
              </w:rPr>
              <w:t>（</w:t>
            </w:r>
            <w:r>
              <w:rPr>
                <w:rFonts w:hint="eastAsia"/>
                <w:color w:val="auto"/>
              </w:rPr>
              <w:t>4</w:t>
            </w:r>
            <w:r>
              <w:rPr>
                <w:rFonts w:hint="eastAsia" w:eastAsia="宋体"/>
                <w:color w:val="auto"/>
                <w:lang w:eastAsia="zh-CN"/>
              </w:rPr>
              <w:t>）</w:t>
            </w:r>
            <w:r>
              <w:rPr>
                <w:rFonts w:hint="eastAsia"/>
                <w:color w:val="auto"/>
              </w:rPr>
              <w:t>信用信息查询记录证据留存的具体方式：查询记录的网上打印件。</w:t>
            </w:r>
          </w:p>
          <w:p w14:paraId="1F6029CF">
            <w:pPr>
              <w:jc w:val="both"/>
              <w:rPr>
                <w:rFonts w:hint="default"/>
                <w:color w:val="auto"/>
                <w:lang w:val="en-US" w:eastAsia="zh-CN"/>
              </w:rPr>
            </w:pPr>
            <w:r>
              <w:rPr>
                <w:rFonts w:hint="eastAsia" w:eastAsia="宋体"/>
                <w:color w:val="auto"/>
                <w:lang w:eastAsia="zh-CN"/>
              </w:rPr>
              <w:t>（</w:t>
            </w:r>
            <w:r>
              <w:rPr>
                <w:rFonts w:hint="eastAsia"/>
                <w:color w:val="auto"/>
              </w:rPr>
              <w:t>5</w:t>
            </w:r>
            <w:r>
              <w:rPr>
                <w:rFonts w:hint="eastAsia" w:eastAsia="宋体"/>
                <w:color w:val="auto"/>
                <w:lang w:eastAsia="zh-CN"/>
              </w:rPr>
              <w:t>）</w:t>
            </w:r>
            <w:r>
              <w:rPr>
                <w:rFonts w:hint="eastAsia"/>
                <w:color w:val="auto"/>
              </w:rPr>
              <w:t>信用信息的使用规则：对列入失信被执行人、重大税收违法案件当事人名单、政府采购严重违法失信行为记录名单的供应商，将拒绝其参与政府采购活动。</w:t>
            </w:r>
          </w:p>
          <w:p w14:paraId="4E943DE1">
            <w:pPr>
              <w:adjustRightInd w:val="0"/>
              <w:snapToGrid w:val="0"/>
              <w:spacing w:before="50" w:line="360" w:lineRule="auto"/>
              <w:rPr>
                <w:rFonts w:hint="eastAsia" w:ascii="宋体" w:hAnsi="宋体"/>
                <w:color w:val="auto"/>
                <w:szCs w:val="21"/>
              </w:rPr>
            </w:pPr>
            <w:r>
              <w:rPr>
                <w:rFonts w:hint="eastAsia"/>
                <w:color w:val="auto"/>
              </w:rPr>
              <w:t>2、成交供应商在与采购人签订采购合同后，2个工作日内必须通知代理公司，否则因采购合同无法公示所造成的后果由成交供应商自行承担。</w:t>
            </w:r>
          </w:p>
        </w:tc>
      </w:tr>
      <w:tr w14:paraId="3C203F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622" w:type="dxa"/>
            <w:noWrap w:val="0"/>
            <w:vAlign w:val="center"/>
          </w:tcPr>
          <w:p w14:paraId="0D76C39A">
            <w:pPr>
              <w:adjustRightInd w:val="0"/>
              <w:snapToGrid w:val="0"/>
              <w:spacing w:before="50" w:line="360" w:lineRule="auto"/>
              <w:jc w:val="center"/>
              <w:rPr>
                <w:rFonts w:hint="eastAsia" w:ascii="宋体" w:hAnsi="宋体"/>
                <w:color w:val="000000" w:themeColor="text1"/>
                <w:szCs w:val="21"/>
                <w14:textFill>
                  <w14:solidFill>
                    <w14:schemeClr w14:val="tx1"/>
                  </w14:solidFill>
                </w14:textFill>
              </w:rPr>
            </w:pPr>
          </w:p>
        </w:tc>
        <w:tc>
          <w:tcPr>
            <w:tcW w:w="2556" w:type="dxa"/>
            <w:noWrap w:val="0"/>
            <w:vAlign w:val="center"/>
          </w:tcPr>
          <w:p w14:paraId="069E192C">
            <w:pPr>
              <w:adjustRightInd w:val="0"/>
              <w:snapToGrid w:val="0"/>
              <w:spacing w:before="5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其他规定</w:t>
            </w:r>
            <w:r>
              <w:rPr>
                <w:rFonts w:hint="eastAsia" w:ascii="宋体" w:hAnsi="宋体"/>
                <w:color w:val="000000" w:themeColor="text1"/>
                <w:szCs w:val="21"/>
                <w:lang w:val="en-US" w:eastAsia="zh-CN"/>
                <w14:textFill>
                  <w14:solidFill>
                    <w14:schemeClr w14:val="tx1"/>
                  </w14:solidFill>
                </w14:textFill>
              </w:rPr>
              <w:t>3</w:t>
            </w:r>
          </w:p>
        </w:tc>
        <w:tc>
          <w:tcPr>
            <w:tcW w:w="5074" w:type="dxa"/>
            <w:noWrap w:val="0"/>
            <w:vAlign w:val="center"/>
          </w:tcPr>
          <w:p w14:paraId="51FC2255">
            <w:pPr>
              <w:adjustRightInd w:val="0"/>
              <w:snapToGrid w:val="0"/>
              <w:spacing w:before="50" w:line="360" w:lineRule="auto"/>
              <w:rPr>
                <w:rFonts w:hint="eastAsia"/>
                <w:color w:val="auto"/>
              </w:rPr>
            </w:pPr>
            <w:bookmarkStart w:id="29" w:name="EB005bfb6dfd724422be2c18e0e7c5c623"/>
            <w:r>
              <w:rPr>
                <w:rFonts w:hint="eastAsia" w:ascii="宋体" w:hAnsi="宋体"/>
                <w:color w:val="auto"/>
                <w:kern w:val="2"/>
                <w:sz w:val="21"/>
                <w:szCs w:val="21"/>
                <w:highlight w:val="white"/>
                <w:lang w:val="en-US" w:eastAsia="zh-CN" w:bidi="ar-SA"/>
              </w:rPr>
              <w:t>采购代理机构在本协议委托事项完成后，向采购人收取代理服务费；根据《招标代理服务收费管理暂行办法》计价格[2002]1980号标准收取，金额不超过10800.00元。</w:t>
            </w:r>
            <w:bookmarkEnd w:id="29"/>
          </w:p>
        </w:tc>
      </w:tr>
    </w:tbl>
    <w:p w14:paraId="67F05A5C">
      <w:pPr>
        <w:adjustRightInd w:val="0"/>
        <w:snapToGrid w:val="0"/>
        <w:spacing w:line="360" w:lineRule="auto"/>
        <w:rPr>
          <w:rFonts w:ascii="宋体" w:hAnsi="宋体"/>
          <w:b/>
          <w:bCs/>
          <w:color w:val="000000" w:themeColor="text1"/>
          <w:szCs w:val="21"/>
          <w14:textFill>
            <w14:solidFill>
              <w14:schemeClr w14:val="tx1"/>
            </w14:solidFill>
          </w14:textFill>
        </w:rPr>
      </w:pPr>
    </w:p>
    <w:p w14:paraId="65370D50">
      <w:pPr>
        <w:adjustRightInd w:val="0"/>
        <w:snapToGrid w:val="0"/>
        <w:spacing w:before="156" w:beforeLines="50" w:line="360" w:lineRule="auto"/>
        <w:jc w:val="center"/>
        <w:outlineLvl w:val="1"/>
        <w:rPr>
          <w:rFonts w:ascii="黑体" w:hAnsi="黑体" w:eastAsia="黑体"/>
          <w:b/>
          <w:bCs/>
          <w:color w:val="000000" w:themeColor="text1"/>
          <w:sz w:val="32"/>
          <w:szCs w:val="32"/>
          <w14:textFill>
            <w14:solidFill>
              <w14:schemeClr w14:val="tx1"/>
            </w14:solidFill>
          </w14:textFill>
        </w:rPr>
      </w:pPr>
      <w:r>
        <w:rPr>
          <w:rFonts w:ascii="Arial" w:hAnsi="Arial"/>
          <w:b/>
          <w:bCs/>
          <w:color w:val="000000" w:themeColor="text1"/>
          <w:sz w:val="24"/>
          <w:szCs w:val="32"/>
          <w14:textFill>
            <w14:solidFill>
              <w14:schemeClr w14:val="tx1"/>
            </w14:solidFill>
          </w14:textFill>
        </w:rPr>
        <w:br w:type="page"/>
      </w:r>
      <w:bookmarkStart w:id="30" w:name="_Toc15714"/>
      <w:r>
        <w:rPr>
          <w:rFonts w:hint="eastAsia" w:ascii="黑体" w:hAnsi="黑体" w:eastAsia="黑体"/>
          <w:b/>
          <w:bCs/>
          <w:color w:val="000000" w:themeColor="text1"/>
          <w:sz w:val="32"/>
          <w:szCs w:val="32"/>
          <w14:textFill>
            <w14:solidFill>
              <w14:schemeClr w14:val="tx1"/>
            </w14:solidFill>
          </w14:textFill>
        </w:rPr>
        <w:t>第二节 谈判须知正文</w:t>
      </w:r>
      <w:bookmarkEnd w:id="30"/>
    </w:p>
    <w:p w14:paraId="78A85C71">
      <w:pPr>
        <w:adjustRightInd w:val="0"/>
        <w:snapToGrid w:val="0"/>
        <w:spacing w:before="156" w:beforeLines="50"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31" w:name="_Toc6659"/>
      <w:r>
        <w:rPr>
          <w:rFonts w:hint="eastAsia" w:ascii="黑体" w:hAnsi="黑体" w:eastAsia="黑体"/>
          <w:b/>
          <w:bCs/>
          <w:color w:val="000000" w:themeColor="text1"/>
          <w:sz w:val="28"/>
          <w:szCs w:val="28"/>
          <w14:textFill>
            <w14:solidFill>
              <w14:schemeClr w14:val="tx1"/>
            </w14:solidFill>
          </w14:textFill>
        </w:rPr>
        <w:t>一、说明</w:t>
      </w:r>
      <w:bookmarkEnd w:id="31"/>
    </w:p>
    <w:p w14:paraId="271319AA">
      <w:pPr>
        <w:spacing w:line="360" w:lineRule="auto"/>
        <w:outlineLvl w:val="3"/>
        <w:rPr>
          <w:rFonts w:ascii="黑体" w:hAnsi="黑体" w:eastAsia="黑体"/>
          <w:b/>
          <w:bCs/>
          <w:color w:val="000000" w:themeColor="text1"/>
          <w:sz w:val="24"/>
          <w14:textFill>
            <w14:solidFill>
              <w14:schemeClr w14:val="tx1"/>
            </w14:solidFill>
          </w14:textFill>
        </w:rPr>
      </w:pPr>
      <w:bookmarkStart w:id="32" w:name="_Toc107997962"/>
      <w:bookmarkStart w:id="33" w:name="_Toc107997835"/>
      <w:r>
        <w:rPr>
          <w:rFonts w:hint="eastAsia" w:ascii="黑体" w:hAnsi="黑体" w:eastAsia="黑体"/>
          <w:b/>
          <w:bCs/>
          <w:color w:val="000000" w:themeColor="text1"/>
          <w:sz w:val="24"/>
          <w14:textFill>
            <w14:solidFill>
              <w14:schemeClr w14:val="tx1"/>
            </w14:solidFill>
          </w14:textFill>
        </w:rPr>
        <w:t>1.适用范围</w:t>
      </w:r>
      <w:bookmarkEnd w:id="32"/>
      <w:bookmarkEnd w:id="33"/>
    </w:p>
    <w:p w14:paraId="6B507CEF">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1.1本竞争性谈判文件仅适用于本章第一节“谈判须知前附表”（以下简称</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）中所叙述的采购项目。</w:t>
      </w:r>
    </w:p>
    <w:p w14:paraId="70B1A31A">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规定采购项目或者采购包属于“预留采购份额”的，供应商应当符合本章第3</w:t>
      </w:r>
      <w:r>
        <w:rPr>
          <w:rFonts w:ascii="宋体" w:hAnsi="宋体"/>
          <w:color w:val="000000" w:themeColor="text1"/>
          <w:szCs w:val="21"/>
          <w14:textFill>
            <w14:solidFill>
              <w14:schemeClr w14:val="tx1"/>
            </w14:solidFill>
          </w14:textFill>
        </w:rPr>
        <w:t>8</w:t>
      </w:r>
      <w:r>
        <w:rPr>
          <w:rFonts w:hint="eastAsia" w:ascii="宋体" w:hAnsi="宋体"/>
          <w:color w:val="000000" w:themeColor="text1"/>
          <w:szCs w:val="21"/>
          <w14:textFill>
            <w14:solidFill>
              <w14:schemeClr w14:val="tx1"/>
            </w14:solidFill>
          </w14:textFill>
        </w:rPr>
        <w:t>.1款规定，否则</w:t>
      </w:r>
      <w:r>
        <w:rPr>
          <w:rFonts w:hint="eastAsia" w:ascii="宋体" w:hAnsi="宋体"/>
          <w:color w:val="000000" w:themeColor="text1"/>
          <w:szCs w:val="21"/>
          <w:lang w:eastAsia="zh-CN"/>
          <w14:textFill>
            <w14:solidFill>
              <w14:schemeClr w14:val="tx1"/>
            </w14:solidFill>
          </w14:textFill>
        </w:rPr>
        <w:t>，</w:t>
      </w:r>
      <w:r>
        <w:rPr>
          <w:rFonts w:hint="eastAsia" w:ascii="宋体" w:hAnsi="宋体"/>
          <w:b/>
          <w:bCs/>
          <w:color w:val="000000" w:themeColor="text1"/>
          <w:kern w:val="0"/>
          <w:szCs w:val="21"/>
          <w14:textFill>
            <w14:solidFill>
              <w14:schemeClr w14:val="tx1"/>
            </w14:solidFill>
          </w14:textFill>
        </w:rPr>
        <w:t>其响应无效</w:t>
      </w:r>
      <w:r>
        <w:rPr>
          <w:rFonts w:hint="eastAsia" w:ascii="宋体" w:hAnsi="宋体"/>
          <w:color w:val="000000" w:themeColor="text1"/>
          <w:szCs w:val="21"/>
          <w14:textFill>
            <w14:solidFill>
              <w14:schemeClr w14:val="tx1"/>
            </w14:solidFill>
          </w14:textFill>
        </w:rPr>
        <w:t>。</w:t>
      </w:r>
    </w:p>
    <w:p w14:paraId="298581A5">
      <w:pPr>
        <w:spacing w:line="360" w:lineRule="auto"/>
        <w:outlineLvl w:val="3"/>
        <w:rPr>
          <w:rFonts w:ascii="黑体" w:hAnsi="黑体" w:eastAsia="黑体"/>
          <w:b/>
          <w:bCs/>
          <w:color w:val="000000" w:themeColor="text1"/>
          <w:sz w:val="24"/>
          <w14:textFill>
            <w14:solidFill>
              <w14:schemeClr w14:val="tx1"/>
            </w14:solidFill>
          </w14:textFill>
        </w:rPr>
      </w:pPr>
      <w:bookmarkStart w:id="34" w:name="_Toc107997836"/>
      <w:bookmarkStart w:id="35" w:name="_Toc107997963"/>
      <w:r>
        <w:rPr>
          <w:rFonts w:hint="eastAsia" w:ascii="黑体" w:hAnsi="黑体" w:eastAsia="黑体"/>
          <w:b/>
          <w:bCs/>
          <w:color w:val="000000" w:themeColor="text1"/>
          <w:sz w:val="24"/>
          <w14:textFill>
            <w14:solidFill>
              <w14:schemeClr w14:val="tx1"/>
            </w14:solidFill>
          </w14:textFill>
        </w:rPr>
        <w:t>2.定义</w:t>
      </w:r>
      <w:bookmarkEnd w:id="34"/>
      <w:bookmarkEnd w:id="35"/>
    </w:p>
    <w:p w14:paraId="225463F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2.1采购项目联系人姓名和电话见</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w:t>
      </w:r>
    </w:p>
    <w:p w14:paraId="52E410D2">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2.2采购人名称、地址、电话、联系人见</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w:t>
      </w:r>
    </w:p>
    <w:p w14:paraId="11C68C91">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2.3采购代理机构名称、地址、电话、联系人见【谈判须知前附表】。</w:t>
      </w:r>
    </w:p>
    <w:p w14:paraId="33ABEFBF">
      <w:pPr>
        <w:adjustRightInd w:val="0"/>
        <w:snapToGrid w:val="0"/>
        <w:spacing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2.4供应商是指响应谈判文件要求、参加竞争性谈判采购的法人、其他组织或者自然人。</w:t>
      </w:r>
      <w:bookmarkStart w:id="36" w:name="_Toc107997837"/>
      <w:bookmarkStart w:id="37" w:name="_Toc107997964"/>
    </w:p>
    <w:p w14:paraId="2616D058">
      <w:pPr>
        <w:spacing w:line="360" w:lineRule="auto"/>
        <w:outlineLvl w:val="3"/>
        <w:rPr>
          <w:rFonts w:hint="eastAsia"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3.供应商的资格要求</w:t>
      </w:r>
      <w:bookmarkEnd w:id="36"/>
      <w:bookmarkEnd w:id="37"/>
    </w:p>
    <w:p w14:paraId="4341D674">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3.1供应商应当符合</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规定的供应商资格条件。</w:t>
      </w:r>
    </w:p>
    <w:p w14:paraId="5543E0F3">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规定接受联合体形式的，供应商除应符合本章第3.1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szCs w:val="21"/>
          <w14:textFill>
            <w14:solidFill>
              <w14:schemeClr w14:val="tx1"/>
            </w14:solidFill>
          </w14:textFill>
        </w:rPr>
        <w:t xml:space="preserve">规定外，还应遵守以下规定： </w:t>
      </w:r>
    </w:p>
    <w:p w14:paraId="661177D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（l）联合体中有同类资质的供应商按照联合体分工承担相同工作的，应当按照资质等级较低的供应商确定资质等级。</w:t>
      </w:r>
    </w:p>
    <w:p w14:paraId="03DFC4A6">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（2）联合体各方应按谈判文件提供的格式签订联合体协议书，明确联合体牵头人和各方的权利义务、合同工作量比例；</w:t>
      </w:r>
    </w:p>
    <w:p w14:paraId="06AB0FA0">
      <w:pPr>
        <w:adjustRightInd w:val="0"/>
        <w:snapToGrid w:val="0"/>
        <w:spacing w:line="360" w:lineRule="auto"/>
        <w:ind w:firstLine="420" w:firstLineChars="200"/>
        <w:jc w:val="left"/>
        <w:rPr>
          <w:rFonts w:ascii="宋体" w:hAnsi="宋体" w:cs="宋体"/>
          <w:color w:val="000000" w:themeColor="text1"/>
          <w:kern w:val="0"/>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（3）联合体各方签订联合体协议书后，</w:t>
      </w:r>
      <w:r>
        <w:rPr>
          <w:rFonts w:hint="eastAsia" w:ascii="宋体" w:hAnsi="宋体" w:cs="宋体"/>
          <w:color w:val="000000" w:themeColor="text1"/>
          <w:kern w:val="0"/>
          <w:szCs w:val="21"/>
          <w:lang w:val="zh-CN"/>
          <w14:textFill>
            <w14:solidFill>
              <w14:schemeClr w14:val="tx1"/>
            </w14:solidFill>
          </w14:textFill>
        </w:rPr>
        <w:t>不得再单独参加或者与其他供应商组成新的联合体参加同一合同项下的采购活动。</w:t>
      </w:r>
    </w:p>
    <w:p w14:paraId="6865DB54">
      <w:pPr>
        <w:spacing w:line="360" w:lineRule="auto"/>
        <w:outlineLvl w:val="3"/>
        <w:rPr>
          <w:rFonts w:ascii="黑体" w:hAnsi="黑体" w:eastAsia="黑体"/>
          <w:b/>
          <w:bCs/>
          <w:color w:val="000000" w:themeColor="text1"/>
          <w:sz w:val="24"/>
          <w14:textFill>
            <w14:solidFill>
              <w14:schemeClr w14:val="tx1"/>
            </w14:solidFill>
          </w14:textFill>
        </w:rPr>
      </w:pPr>
      <w:bookmarkStart w:id="38" w:name="_Toc107997838"/>
      <w:bookmarkStart w:id="39" w:name="_Toc107997965"/>
      <w:r>
        <w:rPr>
          <w:rFonts w:hint="eastAsia" w:ascii="黑体" w:hAnsi="黑体" w:eastAsia="黑体"/>
          <w:b/>
          <w:bCs/>
          <w:color w:val="000000" w:themeColor="text1"/>
          <w:sz w:val="24"/>
          <w14:textFill>
            <w14:solidFill>
              <w14:schemeClr w14:val="tx1"/>
            </w14:solidFill>
          </w14:textFill>
        </w:rPr>
        <w:t>4.参与谈判的费用</w:t>
      </w:r>
      <w:bookmarkEnd w:id="38"/>
      <w:bookmarkEnd w:id="39"/>
    </w:p>
    <w:p w14:paraId="33FCADD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4.1无论谈判的结果如何，供应商应自行承担所有与竞争性谈判采购活动有关的全部费用。</w:t>
      </w:r>
    </w:p>
    <w:p w14:paraId="73A7E2DD">
      <w:pPr>
        <w:spacing w:line="360" w:lineRule="auto"/>
        <w:outlineLvl w:val="3"/>
        <w:rPr>
          <w:rFonts w:ascii="黑体" w:hAnsi="黑体" w:eastAsia="黑体"/>
          <w:b/>
          <w:bCs/>
          <w:color w:val="000000" w:themeColor="text1"/>
          <w:sz w:val="24"/>
          <w14:textFill>
            <w14:solidFill>
              <w14:schemeClr w14:val="tx1"/>
            </w14:solidFill>
          </w14:textFill>
        </w:rPr>
      </w:pPr>
      <w:bookmarkStart w:id="40" w:name="_Toc107997839"/>
      <w:bookmarkStart w:id="41" w:name="_Toc107997966"/>
      <w:r>
        <w:rPr>
          <w:rFonts w:hint="eastAsia" w:ascii="黑体" w:hAnsi="黑体" w:eastAsia="黑体"/>
          <w:b/>
          <w:bCs/>
          <w:color w:val="000000" w:themeColor="text1"/>
          <w:sz w:val="24"/>
          <w14:textFill>
            <w14:solidFill>
              <w14:schemeClr w14:val="tx1"/>
            </w14:solidFill>
          </w14:textFill>
        </w:rPr>
        <w:t>5.现场勘察</w:t>
      </w:r>
      <w:bookmarkEnd w:id="40"/>
      <w:bookmarkEnd w:id="41"/>
    </w:p>
    <w:p w14:paraId="6AA9468C">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5.1供应商应按</w:t>
      </w:r>
      <w:r>
        <w:rPr>
          <w:rFonts w:hint="eastAsia" w:ascii="宋体" w:hAnsi="宋体"/>
          <w:b/>
          <w:color w:val="000000" w:themeColor="text1"/>
          <w:szCs w:val="21"/>
          <w14:textFill>
            <w14:solidFill>
              <w14:schemeClr w14:val="tx1"/>
            </w14:solidFill>
          </w14:textFill>
        </w:rPr>
        <w:t>【谈判须知前附表】</w:t>
      </w:r>
      <w:r>
        <w:rPr>
          <w:rFonts w:hint="eastAsia" w:hAnsi="宋体"/>
          <w:color w:val="000000" w:themeColor="text1"/>
          <w14:textFill>
            <w14:solidFill>
              <w14:schemeClr w14:val="tx1"/>
            </w14:solidFill>
          </w14:textFill>
        </w:rPr>
        <w:t>中规定</w:t>
      </w:r>
      <w:r>
        <w:rPr>
          <w:rFonts w:hint="eastAsia" w:ascii="宋体" w:hAnsi="宋体"/>
          <w:color w:val="000000" w:themeColor="text1"/>
          <w:szCs w:val="21"/>
          <w14:textFill>
            <w14:solidFill>
              <w14:schemeClr w14:val="tx1"/>
            </w14:solidFill>
          </w14:textFill>
        </w:rPr>
        <w:t>对采购项目现场和周围环境的现场考察。</w:t>
      </w:r>
    </w:p>
    <w:p w14:paraId="13F8177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5.2勘察现场的费用由供应商自己承担，勘察期间所发生的人身伤害及财产损失由供应商自己负责。</w:t>
      </w:r>
    </w:p>
    <w:p w14:paraId="2BDEFDDB">
      <w:pPr>
        <w:adjustRightInd w:val="0"/>
        <w:snapToGrid w:val="0"/>
        <w:spacing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5.3采购人不对供应商据此而做出的推论、理解和结论负责。一旦成交，供应商不得以任何借口，而提出额外补偿，或延长合同期限的要求。</w:t>
      </w:r>
    </w:p>
    <w:p w14:paraId="71CF4F1A">
      <w:pPr>
        <w:adjustRightInd w:val="0"/>
        <w:snapToGrid w:val="0"/>
        <w:spacing w:line="360" w:lineRule="auto"/>
        <w:jc w:val="center"/>
        <w:outlineLvl w:val="2"/>
        <w:rPr>
          <w:rFonts w:hint="eastAsia" w:ascii="黑体" w:hAnsi="黑体" w:eastAsia="黑体"/>
          <w:b/>
          <w:bCs/>
          <w:color w:val="000000" w:themeColor="text1"/>
          <w:sz w:val="28"/>
          <w:szCs w:val="28"/>
          <w14:textFill>
            <w14:solidFill>
              <w14:schemeClr w14:val="tx1"/>
            </w14:solidFill>
          </w14:textFill>
        </w:rPr>
      </w:pPr>
      <w:bookmarkStart w:id="42" w:name="_Toc18580"/>
      <w:bookmarkStart w:id="43" w:name="_Toc107997967"/>
    </w:p>
    <w:p w14:paraId="0B19B6A8">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r>
        <w:rPr>
          <w:rFonts w:hint="eastAsia" w:ascii="黑体" w:hAnsi="黑体" w:eastAsia="黑体"/>
          <w:b/>
          <w:bCs/>
          <w:color w:val="000000" w:themeColor="text1"/>
          <w:sz w:val="28"/>
          <w:szCs w:val="28"/>
          <w14:textFill>
            <w14:solidFill>
              <w14:schemeClr w14:val="tx1"/>
            </w14:solidFill>
          </w14:textFill>
        </w:rPr>
        <w:t>二、谈判文件</w:t>
      </w:r>
      <w:bookmarkEnd w:id="42"/>
      <w:bookmarkEnd w:id="43"/>
    </w:p>
    <w:p w14:paraId="13358AC3">
      <w:pPr>
        <w:spacing w:line="360" w:lineRule="auto"/>
        <w:outlineLvl w:val="3"/>
        <w:rPr>
          <w:rFonts w:ascii="黑体" w:hAnsi="黑体" w:eastAsia="黑体"/>
          <w:b/>
          <w:bCs/>
          <w:color w:val="000000" w:themeColor="text1"/>
          <w:sz w:val="24"/>
          <w14:textFill>
            <w14:solidFill>
              <w14:schemeClr w14:val="tx1"/>
            </w14:solidFill>
          </w14:textFill>
        </w:rPr>
      </w:pPr>
      <w:bookmarkStart w:id="44" w:name="_Toc107997968"/>
      <w:bookmarkStart w:id="45" w:name="_Toc107997841"/>
      <w:r>
        <w:rPr>
          <w:rFonts w:hint="eastAsia" w:ascii="黑体" w:hAnsi="黑体" w:eastAsia="黑体"/>
          <w:b/>
          <w:bCs/>
          <w:color w:val="000000" w:themeColor="text1"/>
          <w:sz w:val="24"/>
          <w14:textFill>
            <w14:solidFill>
              <w14:schemeClr w14:val="tx1"/>
            </w14:solidFill>
          </w14:textFill>
        </w:rPr>
        <w:t>6.谈判文件的组成</w:t>
      </w:r>
      <w:bookmarkEnd w:id="44"/>
      <w:bookmarkEnd w:id="45"/>
    </w:p>
    <w:p w14:paraId="6D61093A">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6.1谈判文件由下列文件组成：</w:t>
      </w:r>
    </w:p>
    <w:p w14:paraId="4832AD62">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第一章 采购邀请</w:t>
      </w:r>
    </w:p>
    <w:p w14:paraId="3CAF719C">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第二章 谈判须知</w:t>
      </w:r>
    </w:p>
    <w:p w14:paraId="66224D61">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第三章 合同草案条款</w:t>
      </w:r>
    </w:p>
    <w:p w14:paraId="2A7594E3">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第四章 采购需求</w:t>
      </w:r>
    </w:p>
    <w:p w14:paraId="3F821B72">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第五章 响应文件组成</w:t>
      </w:r>
    </w:p>
    <w:p w14:paraId="05DCF098">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Courier New" w:cs="Courier New"/>
          <w:color w:val="000000" w:themeColor="text1"/>
          <w:szCs w:val="21"/>
          <w14:textFill>
            <w14:solidFill>
              <w14:schemeClr w14:val="tx1"/>
            </w14:solidFill>
          </w14:textFill>
        </w:rPr>
        <w:t>6.2</w:t>
      </w:r>
      <w:r>
        <w:rPr>
          <w:rFonts w:hint="eastAsia" w:ascii="宋体" w:hAnsi="宋体" w:cs="宋体"/>
          <w:color w:val="000000" w:themeColor="text1"/>
          <w:kern w:val="0"/>
          <w:szCs w:val="21"/>
          <w14:textFill>
            <w14:solidFill>
              <w14:schemeClr w14:val="tx1"/>
            </w14:solidFill>
          </w14:textFill>
        </w:rPr>
        <w:t>采购人、采购代理机构或者谈判小组在提交首次响应文件截止之日前对已发出的谈判文件进行的澄清或者修改，构成谈判文件的组成部分。</w:t>
      </w:r>
    </w:p>
    <w:p w14:paraId="5B1B81F9">
      <w:pPr>
        <w:adjustRightInd w:val="0"/>
        <w:snapToGrid w:val="0"/>
        <w:spacing w:line="360" w:lineRule="auto"/>
        <w:ind w:firstLine="420" w:firstLineChars="200"/>
        <w:rPr>
          <w:rFonts w:ascii="宋体" w:hAnsi="Courier New" w:cs="Courier New"/>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6.3谈判文件中，谈判小组根据与供应商谈判情况可能实质性变动的内容见</w:t>
      </w:r>
      <w:r>
        <w:rPr>
          <w:rFonts w:hint="eastAsia" w:ascii="宋体" w:hAnsi="宋体" w:cs="Courier New"/>
          <w:b/>
          <w:color w:val="000000" w:themeColor="text1"/>
          <w:szCs w:val="21"/>
          <w14:textFill>
            <w14:solidFill>
              <w14:schemeClr w14:val="tx1"/>
            </w14:solidFill>
          </w14:textFill>
        </w:rPr>
        <w:t>【谈判须知前附表】</w:t>
      </w:r>
      <w:r>
        <w:rPr>
          <w:rFonts w:hint="eastAsia" w:ascii="宋体" w:hAnsi="宋体" w:cs="宋体"/>
          <w:color w:val="000000" w:themeColor="text1"/>
          <w:kern w:val="0"/>
          <w:szCs w:val="21"/>
          <w14:textFill>
            <w14:solidFill>
              <w14:schemeClr w14:val="tx1"/>
            </w14:solidFill>
          </w14:textFill>
        </w:rPr>
        <w:t>。对谈判文件作出的实质性变动是谈判文件的有效组成部分。</w:t>
      </w:r>
    </w:p>
    <w:p w14:paraId="24B2B788">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Courier New" w:cs="Courier New"/>
          <w:color w:val="000000" w:themeColor="text1"/>
          <w:szCs w:val="21"/>
          <w14:textFill>
            <w14:solidFill>
              <w14:schemeClr w14:val="tx1"/>
            </w14:solidFill>
          </w14:textFill>
        </w:rPr>
        <w:t>6.4</w:t>
      </w:r>
      <w:r>
        <w:rPr>
          <w:rFonts w:hint="eastAsia" w:ascii="宋体" w:hAnsi="宋体" w:cs="Courier New"/>
          <w:color w:val="000000" w:themeColor="text1"/>
          <w:szCs w:val="21"/>
          <w14:textFill>
            <w14:solidFill>
              <w14:schemeClr w14:val="tx1"/>
            </w14:solidFill>
          </w14:textFill>
        </w:rPr>
        <w:t>供应商应仔细阅读</w:t>
      </w:r>
      <w:r>
        <w:rPr>
          <w:rFonts w:hint="eastAsia" w:ascii="宋体" w:hAnsi="宋体" w:cs="Courier New"/>
          <w:bCs/>
          <w:color w:val="000000" w:themeColor="text1"/>
          <w:szCs w:val="21"/>
          <w14:textFill>
            <w14:solidFill>
              <w14:schemeClr w14:val="tx1"/>
            </w14:solidFill>
          </w14:textFill>
        </w:rPr>
        <w:t>谈判</w:t>
      </w:r>
      <w:r>
        <w:rPr>
          <w:rFonts w:hint="eastAsia" w:ascii="宋体" w:hAnsi="宋体" w:cs="Courier New"/>
          <w:color w:val="000000" w:themeColor="text1"/>
          <w:szCs w:val="21"/>
          <w14:textFill>
            <w14:solidFill>
              <w14:schemeClr w14:val="tx1"/>
            </w14:solidFill>
          </w14:textFill>
        </w:rPr>
        <w:t>文件的全部内容，按照</w:t>
      </w:r>
      <w:r>
        <w:rPr>
          <w:rFonts w:hint="eastAsia" w:ascii="宋体" w:hAnsi="宋体" w:cs="Courier New"/>
          <w:bCs/>
          <w:color w:val="000000" w:themeColor="text1"/>
          <w:szCs w:val="21"/>
          <w14:textFill>
            <w14:solidFill>
              <w14:schemeClr w14:val="tx1"/>
            </w14:solidFill>
          </w14:textFill>
        </w:rPr>
        <w:t>谈判</w:t>
      </w:r>
      <w:r>
        <w:rPr>
          <w:rFonts w:hint="eastAsia" w:ascii="宋体" w:hAnsi="宋体" w:cs="Courier New"/>
          <w:color w:val="000000" w:themeColor="text1"/>
          <w:szCs w:val="21"/>
          <w14:textFill>
            <w14:solidFill>
              <w14:schemeClr w14:val="tx1"/>
            </w14:solidFill>
          </w14:textFill>
        </w:rPr>
        <w:t>文件要求编制</w:t>
      </w:r>
      <w:r>
        <w:rPr>
          <w:rFonts w:hint="eastAsia" w:ascii="宋体" w:hAnsi="Courier New" w:cs="Courier New"/>
          <w:color w:val="000000" w:themeColor="text1"/>
          <w:szCs w:val="21"/>
          <w14:textFill>
            <w14:solidFill>
              <w14:schemeClr w14:val="tx1"/>
            </w14:solidFill>
          </w14:textFill>
        </w:rPr>
        <w:t>响应</w:t>
      </w:r>
      <w:r>
        <w:rPr>
          <w:rFonts w:hint="eastAsia" w:ascii="宋体" w:hAnsi="宋体" w:cs="Courier New"/>
          <w:color w:val="000000" w:themeColor="text1"/>
          <w:szCs w:val="21"/>
          <w14:textFill>
            <w14:solidFill>
              <w14:schemeClr w14:val="tx1"/>
            </w14:solidFill>
          </w14:textFill>
        </w:rPr>
        <w:t>文件。任何对</w:t>
      </w:r>
      <w:r>
        <w:rPr>
          <w:rFonts w:hint="eastAsia" w:ascii="宋体" w:hAnsi="宋体" w:cs="Courier New"/>
          <w:bCs/>
          <w:color w:val="000000" w:themeColor="text1"/>
          <w:szCs w:val="21"/>
          <w14:textFill>
            <w14:solidFill>
              <w14:schemeClr w14:val="tx1"/>
            </w14:solidFill>
          </w14:textFill>
        </w:rPr>
        <w:t>谈判</w:t>
      </w:r>
      <w:r>
        <w:rPr>
          <w:rFonts w:hint="eastAsia" w:ascii="宋体" w:hAnsi="宋体" w:cs="Courier New"/>
          <w:color w:val="000000" w:themeColor="text1"/>
          <w:szCs w:val="21"/>
          <w14:textFill>
            <w14:solidFill>
              <w14:schemeClr w14:val="tx1"/>
            </w14:solidFill>
          </w14:textFill>
        </w:rPr>
        <w:t>文件的忽略或误解不能作为</w:t>
      </w:r>
      <w:r>
        <w:rPr>
          <w:rFonts w:hint="eastAsia" w:ascii="宋体" w:hAnsi="Courier New" w:cs="Courier New"/>
          <w:color w:val="000000" w:themeColor="text1"/>
          <w:szCs w:val="21"/>
          <w14:textFill>
            <w14:solidFill>
              <w14:schemeClr w14:val="tx1"/>
            </w14:solidFill>
          </w14:textFill>
        </w:rPr>
        <w:t>响应</w:t>
      </w:r>
      <w:r>
        <w:rPr>
          <w:rFonts w:hint="eastAsia" w:ascii="宋体" w:hAnsi="宋体" w:cs="Courier New"/>
          <w:color w:val="000000" w:themeColor="text1"/>
          <w:szCs w:val="21"/>
          <w14:textFill>
            <w14:solidFill>
              <w14:schemeClr w14:val="tx1"/>
            </w14:solidFill>
          </w14:textFill>
        </w:rPr>
        <w:t>文件存在缺陷或瑕疵的理由，其风险由供应商承担。</w:t>
      </w:r>
    </w:p>
    <w:p w14:paraId="73D47B60">
      <w:pPr>
        <w:spacing w:line="360" w:lineRule="auto"/>
        <w:outlineLvl w:val="3"/>
        <w:rPr>
          <w:rFonts w:ascii="黑体" w:hAnsi="黑体" w:eastAsia="黑体"/>
          <w:b/>
          <w:bCs/>
          <w:color w:val="000000" w:themeColor="text1"/>
          <w:sz w:val="24"/>
          <w14:textFill>
            <w14:solidFill>
              <w14:schemeClr w14:val="tx1"/>
            </w14:solidFill>
          </w14:textFill>
        </w:rPr>
      </w:pPr>
      <w:bookmarkStart w:id="46" w:name="_Toc107997842"/>
      <w:bookmarkStart w:id="47" w:name="_Toc107997969"/>
      <w:r>
        <w:rPr>
          <w:rFonts w:hint="eastAsia" w:ascii="黑体" w:hAnsi="黑体" w:eastAsia="黑体"/>
          <w:b/>
          <w:bCs/>
          <w:color w:val="000000" w:themeColor="text1"/>
          <w:sz w:val="24"/>
          <w14:textFill>
            <w14:solidFill>
              <w14:schemeClr w14:val="tx1"/>
            </w14:solidFill>
          </w14:textFill>
        </w:rPr>
        <w:t>7.谈判文件的澄清</w:t>
      </w:r>
      <w:r>
        <w:rPr>
          <w:rFonts w:hint="eastAsia" w:ascii="黑体" w:hAnsi="黑体" w:eastAsia="黑体"/>
          <w:b/>
          <w:bCs/>
          <w:color w:val="000000" w:themeColor="text1"/>
          <w:kern w:val="0"/>
          <w:sz w:val="24"/>
          <w:lang w:val="zh-CN"/>
          <w14:textFill>
            <w14:solidFill>
              <w14:schemeClr w14:val="tx1"/>
            </w14:solidFill>
          </w14:textFill>
        </w:rPr>
        <w:t>或者</w:t>
      </w:r>
      <w:r>
        <w:rPr>
          <w:rFonts w:hint="eastAsia" w:ascii="黑体" w:hAnsi="黑体" w:eastAsia="黑体"/>
          <w:b/>
          <w:bCs/>
          <w:color w:val="000000" w:themeColor="text1"/>
          <w:sz w:val="24"/>
          <w14:textFill>
            <w14:solidFill>
              <w14:schemeClr w14:val="tx1"/>
            </w14:solidFill>
          </w14:textFill>
        </w:rPr>
        <w:t>修改</w:t>
      </w:r>
      <w:bookmarkEnd w:id="46"/>
      <w:bookmarkEnd w:id="47"/>
    </w:p>
    <w:p w14:paraId="1FA39218">
      <w:pPr>
        <w:adjustRightInd w:val="0"/>
        <w:snapToGrid w:val="0"/>
        <w:spacing w:line="360" w:lineRule="auto"/>
        <w:ind w:right="-105" w:rightChars="-50"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7.1在</w:t>
      </w:r>
      <w:r>
        <w:rPr>
          <w:rFonts w:hint="eastAsia" w:ascii="宋体" w:hAnsi="宋体" w:cs="宋体"/>
          <w:color w:val="000000" w:themeColor="text1"/>
          <w:kern w:val="0"/>
          <w:szCs w:val="21"/>
          <w14:textFill>
            <w14:solidFill>
              <w14:schemeClr w14:val="tx1"/>
            </w14:solidFill>
          </w14:textFill>
        </w:rPr>
        <w:t>提交首次响应文件截止之日前，采购人、采购代理机构或者谈判小组可以对已发出的谈判文件进行必要的澄清或者修改。</w:t>
      </w:r>
    </w:p>
    <w:p w14:paraId="7D56EFF0">
      <w:pPr>
        <w:adjustRightInd w:val="0"/>
        <w:snapToGrid w:val="0"/>
        <w:spacing w:line="360" w:lineRule="auto"/>
        <w:ind w:right="-105" w:rightChars="-50"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w:t>
      </w:r>
      <w:r>
        <w:rPr>
          <w:rFonts w:hint="eastAsia" w:ascii="宋体" w:hAnsi="宋体" w:cs="宋体"/>
          <w:color w:val="000000" w:themeColor="text1"/>
          <w:kern w:val="0"/>
          <w:szCs w:val="21"/>
          <w14:textFill>
            <w14:solidFill>
              <w14:schemeClr w14:val="tx1"/>
            </w14:solidFill>
          </w14:textFill>
        </w:rPr>
        <w:t>澄清或者修改的内容可能影响响应文件编制的，采购人、采购代理机构或者谈判小组应当在提交首次响应文件截止之日3个工作日前，以书面形式通知所有接收谈判文件的供应商，不足3个工作日的，顺延供应商提交首次响应文件截止时间。</w:t>
      </w:r>
    </w:p>
    <w:p w14:paraId="71E232AF">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48" w:name="_Toc24948"/>
      <w:bookmarkStart w:id="49" w:name="_Toc107997970"/>
      <w:r>
        <w:rPr>
          <w:rFonts w:hint="eastAsia" w:ascii="黑体" w:hAnsi="黑体" w:eastAsia="黑体"/>
          <w:b/>
          <w:bCs/>
          <w:color w:val="000000" w:themeColor="text1"/>
          <w:sz w:val="28"/>
          <w:szCs w:val="28"/>
          <w14:textFill>
            <w14:solidFill>
              <w14:schemeClr w14:val="tx1"/>
            </w14:solidFill>
          </w14:textFill>
        </w:rPr>
        <w:t>三、响应文件</w:t>
      </w:r>
      <w:bookmarkEnd w:id="48"/>
      <w:bookmarkEnd w:id="49"/>
    </w:p>
    <w:p w14:paraId="2CCF63D9">
      <w:pPr>
        <w:spacing w:line="360" w:lineRule="auto"/>
        <w:outlineLvl w:val="3"/>
        <w:rPr>
          <w:rFonts w:ascii="黑体" w:hAnsi="黑体" w:eastAsia="黑体"/>
          <w:b/>
          <w:bCs/>
          <w:color w:val="000000" w:themeColor="text1"/>
          <w:sz w:val="24"/>
          <w14:textFill>
            <w14:solidFill>
              <w14:schemeClr w14:val="tx1"/>
            </w14:solidFill>
          </w14:textFill>
        </w:rPr>
      </w:pPr>
      <w:bookmarkStart w:id="50" w:name="_Toc107997971"/>
      <w:bookmarkStart w:id="51" w:name="_Toc107997844"/>
      <w:r>
        <w:rPr>
          <w:rFonts w:hint="eastAsia" w:ascii="黑体" w:hAnsi="黑体" w:eastAsia="黑体"/>
          <w:b/>
          <w:bCs/>
          <w:color w:val="000000" w:themeColor="text1"/>
          <w:sz w:val="24"/>
          <w14:textFill>
            <w14:solidFill>
              <w14:schemeClr w14:val="tx1"/>
            </w14:solidFill>
          </w14:textFill>
        </w:rPr>
        <w:t>8.一般要求</w:t>
      </w:r>
      <w:bookmarkEnd w:id="50"/>
      <w:bookmarkEnd w:id="51"/>
    </w:p>
    <w:p w14:paraId="764CB3B8">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8.1供应商应仔细阅读谈判文件的所有内容，按谈判文件的要求编制响应文件，并保证所提供的全部资料的真实性，以使其响应文件对谈判文件做出实质性的响应。</w:t>
      </w:r>
    </w:p>
    <w:p w14:paraId="1B634994">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8.2</w:t>
      </w:r>
      <w:r>
        <w:rPr>
          <w:rFonts w:hint="eastAsia" w:ascii="宋体" w:hAnsi="宋体"/>
          <w:color w:val="000000" w:themeColor="text1"/>
          <w:szCs w:val="21"/>
          <w14:textFill>
            <w14:solidFill>
              <w14:schemeClr w14:val="tx1"/>
            </w14:solidFill>
          </w14:textFill>
        </w:rPr>
        <w:t>供应商提交的响应文件及供应商与采购人或采购代理机构、谈判小组就有关谈判的所有来往函电均使用中文。供应商可以提交其他语言的资料，但应附中文注释，在有差异时以中文为准。</w:t>
      </w:r>
    </w:p>
    <w:p w14:paraId="71427491">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bCs/>
          <w:color w:val="000000" w:themeColor="text1"/>
          <w:szCs w:val="21"/>
          <w14:textFill>
            <w14:solidFill>
              <w14:schemeClr w14:val="tx1"/>
            </w14:solidFill>
          </w14:textFill>
        </w:rPr>
        <w:t>8.3</w:t>
      </w:r>
      <w:r>
        <w:rPr>
          <w:rFonts w:hint="eastAsia" w:ascii="宋体" w:hAnsi="宋体" w:cs="Courier New"/>
          <w:color w:val="000000" w:themeColor="text1"/>
          <w:szCs w:val="21"/>
          <w14:textFill>
            <w14:solidFill>
              <w14:schemeClr w14:val="tx1"/>
            </w14:solidFill>
          </w14:textFill>
        </w:rPr>
        <w:t>计量单位应使用我国法定计量单位，未列明时应默认为我国法定计量单位。</w:t>
      </w:r>
    </w:p>
    <w:p w14:paraId="533B9044">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8.4响应文件应采用书面形式，电报、传真、电子邮件形式的响应文件概不接受。</w:t>
      </w:r>
    </w:p>
    <w:p w14:paraId="1E6081A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8.5供应商应按谈判文件中提供的响应文件格式填写。</w:t>
      </w:r>
    </w:p>
    <w:p w14:paraId="50D61F05">
      <w:pPr>
        <w:spacing w:line="360" w:lineRule="auto"/>
        <w:outlineLvl w:val="3"/>
        <w:rPr>
          <w:rFonts w:ascii="黑体" w:hAnsi="黑体" w:eastAsia="黑体"/>
          <w:b/>
          <w:bCs/>
          <w:color w:val="000000" w:themeColor="text1"/>
          <w:sz w:val="24"/>
          <w14:textFill>
            <w14:solidFill>
              <w14:schemeClr w14:val="tx1"/>
            </w14:solidFill>
          </w14:textFill>
        </w:rPr>
      </w:pPr>
      <w:bookmarkStart w:id="52" w:name="_Toc107997972"/>
      <w:bookmarkStart w:id="53" w:name="_Toc107997845"/>
      <w:r>
        <w:rPr>
          <w:rFonts w:hint="eastAsia" w:ascii="黑体" w:hAnsi="黑体" w:eastAsia="黑体"/>
          <w:b/>
          <w:bCs/>
          <w:color w:val="000000" w:themeColor="text1"/>
          <w:sz w:val="24"/>
          <w14:textFill>
            <w14:solidFill>
              <w14:schemeClr w14:val="tx1"/>
            </w14:solidFill>
          </w14:textFill>
        </w:rPr>
        <w:t>9.响应文件的组成</w:t>
      </w:r>
      <w:bookmarkEnd w:id="52"/>
      <w:bookmarkEnd w:id="53"/>
    </w:p>
    <w:p w14:paraId="6200AE51">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9.1响应文件包括下列内容：</w:t>
      </w:r>
    </w:p>
    <w:p w14:paraId="396AB4E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（1）报价表及报价文件(格式)</w:t>
      </w:r>
    </w:p>
    <w:p w14:paraId="4452E41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（2）谈判响应声明(格式)</w:t>
      </w:r>
    </w:p>
    <w:p w14:paraId="301DA14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（3）保证金</w:t>
      </w:r>
    </w:p>
    <w:p w14:paraId="2CEDB8C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（4）授权委托书(格式)</w:t>
      </w:r>
    </w:p>
    <w:p w14:paraId="394157B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（5）供应商资格审查材料</w:t>
      </w:r>
    </w:p>
    <w:p w14:paraId="571413C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（6）采购需求响应</w:t>
      </w:r>
    </w:p>
    <w:p w14:paraId="60E448F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（7）合同条款偏离表</w:t>
      </w:r>
    </w:p>
    <w:p w14:paraId="1D3E2FD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（8）采购需求偏离表</w:t>
      </w:r>
    </w:p>
    <w:p w14:paraId="51EF47E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（9）享受政府采购政策的证明资料</w:t>
      </w:r>
    </w:p>
    <w:p w14:paraId="0C12E19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（10）响应标的符合谈判文件规定的证明文件</w:t>
      </w:r>
    </w:p>
    <w:p w14:paraId="48F9762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（11）供应商认为需提供的其他资料（如有）</w:t>
      </w:r>
    </w:p>
    <w:p w14:paraId="4E004AD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（12）最后报价</w:t>
      </w:r>
    </w:p>
    <w:p w14:paraId="333F0FDA">
      <w:pPr>
        <w:adjustRightInd w:val="0"/>
        <w:snapToGrid w:val="0"/>
        <w:spacing w:line="360" w:lineRule="auto"/>
        <w:ind w:firstLine="420" w:firstLineChars="200"/>
        <w:rPr>
          <w:rFonts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9.2在谈判过程中，</w:t>
      </w:r>
      <w:r>
        <w:rPr>
          <w:rFonts w:hint="eastAsia" w:ascii="宋体" w:hAnsi="宋体"/>
          <w:color w:val="000000" w:themeColor="text1"/>
          <w:szCs w:val="21"/>
          <w14:textFill>
            <w14:solidFill>
              <w14:schemeClr w14:val="tx1"/>
            </w14:solidFill>
          </w14:textFill>
        </w:rPr>
        <w:t>供应商</w:t>
      </w:r>
      <w:r>
        <w:rPr>
          <w:rFonts w:hint="eastAsia" w:ascii="宋体" w:hAnsi="宋体"/>
          <w:color w:val="000000" w:themeColor="text1"/>
          <w14:textFill>
            <w14:solidFill>
              <w14:schemeClr w14:val="tx1"/>
            </w14:solidFill>
          </w14:textFill>
        </w:rPr>
        <w:t>根据</w:t>
      </w:r>
      <w:r>
        <w:rPr>
          <w:rFonts w:hint="eastAsia" w:ascii="宋体" w:hAnsi="宋体" w:cs="宋体"/>
          <w:color w:val="000000" w:themeColor="text1"/>
          <w:kern w:val="0"/>
          <w:szCs w:val="21"/>
          <w14:textFill>
            <w14:solidFill>
              <w14:schemeClr w14:val="tx1"/>
            </w14:solidFill>
          </w14:textFill>
        </w:rPr>
        <w:t>谈判小组</w:t>
      </w:r>
      <w:r>
        <w:rPr>
          <w:rFonts w:hint="eastAsia" w:ascii="宋体" w:hAnsi="宋体"/>
          <w:bCs/>
          <w:color w:val="000000" w:themeColor="text1"/>
          <w:szCs w:val="21"/>
          <w14:textFill>
            <w14:solidFill>
              <w14:schemeClr w14:val="tx1"/>
            </w14:solidFill>
          </w14:textFill>
        </w:rPr>
        <w:t>书面形式要求</w:t>
      </w:r>
      <w:r>
        <w:rPr>
          <w:rFonts w:hint="eastAsia" w:ascii="宋体" w:hAnsi="宋体" w:cs="宋体"/>
          <w:color w:val="000000" w:themeColor="text1"/>
          <w:kern w:val="0"/>
          <w:szCs w:val="21"/>
          <w14:textFill>
            <w14:solidFill>
              <w14:schemeClr w14:val="tx1"/>
            </w14:solidFill>
          </w14:textFill>
        </w:rPr>
        <w:t>提交的</w:t>
      </w:r>
      <w:r>
        <w:rPr>
          <w:rFonts w:hint="eastAsia" w:hAnsi="宋体"/>
          <w:color w:val="000000" w:themeColor="text1"/>
          <w14:textFill>
            <w14:solidFill>
              <w14:schemeClr w14:val="tx1"/>
            </w14:solidFill>
          </w14:textFill>
        </w:rPr>
        <w:t>最后报价(或者</w:t>
      </w:r>
      <w:r>
        <w:rPr>
          <w:rFonts w:hint="eastAsia" w:ascii="宋体" w:hAnsi="宋体"/>
          <w:bCs/>
          <w:color w:val="000000" w:themeColor="text1"/>
          <w:szCs w:val="21"/>
          <w14:textFill>
            <w14:solidFill>
              <w14:schemeClr w14:val="tx1"/>
            </w14:solidFill>
          </w14:textFill>
        </w:rPr>
        <w:t>重</w:t>
      </w:r>
      <w:r>
        <w:rPr>
          <w:rFonts w:hint="eastAsia" w:ascii="宋体" w:hAnsi="宋体" w:cs="宋体"/>
          <w:color w:val="000000" w:themeColor="text1"/>
          <w:kern w:val="0"/>
          <w:szCs w:val="21"/>
          <w14:textFill>
            <w14:solidFill>
              <w14:schemeClr w14:val="tx1"/>
            </w14:solidFill>
          </w14:textFill>
        </w:rPr>
        <w:t>新提交的响应文件和</w:t>
      </w:r>
      <w:r>
        <w:rPr>
          <w:rFonts w:hint="eastAsia" w:hAnsi="宋体"/>
          <w:color w:val="000000" w:themeColor="text1"/>
          <w14:textFill>
            <w14:solidFill>
              <w14:schemeClr w14:val="tx1"/>
            </w14:solidFill>
          </w14:textFill>
        </w:rPr>
        <w:t>最后报价)是</w:t>
      </w:r>
      <w:r>
        <w:rPr>
          <w:rFonts w:hint="eastAsia" w:ascii="宋体" w:hAnsi="宋体"/>
          <w:color w:val="000000" w:themeColor="text1"/>
          <w:szCs w:val="21"/>
          <w14:textFill>
            <w14:solidFill>
              <w14:schemeClr w14:val="tx1"/>
            </w14:solidFill>
          </w14:textFill>
        </w:rPr>
        <w:t>响应文件</w:t>
      </w:r>
      <w:r>
        <w:rPr>
          <w:rFonts w:hint="eastAsia" w:hAnsi="宋体"/>
          <w:color w:val="000000" w:themeColor="text1"/>
          <w14:textFill>
            <w14:solidFill>
              <w14:schemeClr w14:val="tx1"/>
            </w14:solidFill>
          </w14:textFill>
        </w:rPr>
        <w:t>的有效组成部分。</w:t>
      </w:r>
    </w:p>
    <w:p w14:paraId="1E3BB81D">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9.3</w:t>
      </w:r>
      <w:r>
        <w:rPr>
          <w:rFonts w:hint="eastAsia" w:ascii="宋体" w:hAnsi="宋体"/>
          <w:color w:val="000000" w:themeColor="text1"/>
          <w:szCs w:val="21"/>
          <w14:textFill>
            <w14:solidFill>
              <w14:schemeClr w14:val="tx1"/>
            </w14:solidFill>
          </w14:textFill>
        </w:rPr>
        <w:t>根据《政府采购法》第四十二条的规定，供应商无论成交与否，其响应文件不予退还。</w:t>
      </w:r>
    </w:p>
    <w:p w14:paraId="4EC91FDE">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54" w:name="_Toc107997974"/>
      <w:bookmarkStart w:id="55" w:name="_Toc107997847"/>
      <w:bookmarkStart w:id="56" w:name="_Toc62225434"/>
      <w:r>
        <w:rPr>
          <w:rFonts w:hint="eastAsia" w:ascii="黑体" w:hAnsi="黑体" w:eastAsia="黑体"/>
          <w:b/>
          <w:bCs/>
          <w:color w:val="000000" w:themeColor="text1"/>
          <w:sz w:val="24"/>
          <w14:textFill>
            <w14:solidFill>
              <w14:schemeClr w14:val="tx1"/>
            </w14:solidFill>
          </w14:textFill>
        </w:rPr>
        <w:t>10.供应商的资格更新证明</w:t>
      </w:r>
      <w:bookmarkEnd w:id="54"/>
      <w:bookmarkEnd w:id="55"/>
      <w:bookmarkEnd w:id="56"/>
      <w:r>
        <w:rPr>
          <w:rFonts w:hint="eastAsia" w:ascii="黑体" w:hAnsi="黑体" w:eastAsia="黑体"/>
          <w:b/>
          <w:bCs/>
          <w:color w:val="000000" w:themeColor="text1"/>
          <w:sz w:val="24"/>
          <w14:textFill>
            <w14:solidFill>
              <w14:schemeClr w14:val="tx1"/>
            </w14:solidFill>
          </w14:textFill>
        </w:rPr>
        <w:t>材料</w:t>
      </w:r>
    </w:p>
    <w:p w14:paraId="779DF810">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10.1被邀请的供应商在提交首次响应文件前，其资格条件发生变化，影响或者可能影响资格条件的，应随响应文件提供更新或者补充的资格证明材料，以证实其各项条件仍能继续满足本章第3.1款规定的供应商资格条件要求。</w:t>
      </w:r>
    </w:p>
    <w:p w14:paraId="3445C747">
      <w:pPr>
        <w:spacing w:line="360" w:lineRule="auto"/>
        <w:outlineLvl w:val="3"/>
        <w:rPr>
          <w:rFonts w:ascii="黑体" w:hAnsi="黑体" w:eastAsia="黑体"/>
          <w:b/>
          <w:bCs/>
          <w:color w:val="000000" w:themeColor="text1"/>
          <w:sz w:val="24"/>
          <w14:textFill>
            <w14:solidFill>
              <w14:schemeClr w14:val="tx1"/>
            </w14:solidFill>
          </w14:textFill>
        </w:rPr>
      </w:pPr>
      <w:bookmarkStart w:id="57" w:name="_Toc107997848"/>
      <w:bookmarkStart w:id="58" w:name="_Toc107997975"/>
      <w:r>
        <w:rPr>
          <w:rFonts w:hint="eastAsia" w:ascii="黑体" w:hAnsi="黑体" w:eastAsia="黑体"/>
          <w:b/>
          <w:bCs/>
          <w:color w:val="000000" w:themeColor="text1"/>
          <w:sz w:val="24"/>
          <w14:textFill>
            <w14:solidFill>
              <w14:schemeClr w14:val="tx1"/>
            </w14:solidFill>
          </w14:textFill>
        </w:rPr>
        <w:t>11.报价要求</w:t>
      </w:r>
      <w:bookmarkEnd w:id="57"/>
      <w:bookmarkEnd w:id="58"/>
    </w:p>
    <w:p w14:paraId="6BE14CE5">
      <w:pPr>
        <w:adjustRightInd w:val="0"/>
        <w:snapToGrid w:val="0"/>
        <w:spacing w:line="360" w:lineRule="auto"/>
        <w:ind w:firstLine="420" w:firstLineChars="200"/>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w:t>
      </w:r>
      <w:r>
        <w:rPr>
          <w:rFonts w:hint="eastAsia" w:ascii="宋体" w:hAnsi="宋体" w:eastAsia="宋体"/>
          <w:color w:val="000000" w:themeColor="text1"/>
          <w:szCs w:val="21"/>
          <w14:textFill>
            <w14:solidFill>
              <w14:schemeClr w14:val="tx1"/>
            </w14:solidFill>
          </w14:textFill>
        </w:rPr>
        <w:t>供应商应当根据谈判文件第三章第一节“采购清单一览表”逐一报价；谈判文件第三章提供第二节“工程量清单”的，供应商应按其要求填写相应表格。</w:t>
      </w:r>
    </w:p>
    <w:p w14:paraId="6E9BFFE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11.2</w:t>
      </w:r>
      <w:r>
        <w:rPr>
          <w:rFonts w:hint="eastAsia" w:ascii="宋体" w:hAnsi="宋体"/>
          <w:color w:val="000000" w:themeColor="text1"/>
          <w:szCs w:val="21"/>
          <w14:textFill>
            <w14:solidFill>
              <w14:schemeClr w14:val="tx1"/>
            </w14:solidFill>
          </w14:textFill>
        </w:rPr>
        <w:t>在报价表、分项报价表填写报价时应注意下列要求：</w:t>
      </w:r>
    </w:p>
    <w:p w14:paraId="14B310DF">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（1）采购需求要求的安装、调试、培训、售后服务及其他附加服务的费用。</w:t>
      </w:r>
    </w:p>
    <w:p w14:paraId="7C69409D">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（2）所有根据合同或其他原因应由供应商交纳和支付的税款和费用。</w:t>
      </w:r>
    </w:p>
    <w:p w14:paraId="32D30AFA">
      <w:pPr>
        <w:adjustRightInd w:val="0"/>
        <w:snapToGrid w:val="0"/>
        <w:spacing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（3）谈判文件指定交货地点的运输、保险、装卸费。</w:t>
      </w:r>
    </w:p>
    <w:p w14:paraId="7EF0CE4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（4）实行工程量清单报价的，供应商提交最后报价应与已标价工程量清单总报价一致。</w:t>
      </w:r>
    </w:p>
    <w:p w14:paraId="3A0771E3">
      <w:pPr>
        <w:adjustRightInd w:val="0"/>
        <w:snapToGrid w:val="0"/>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11.3</w:t>
      </w:r>
      <w:r>
        <w:rPr>
          <w:rFonts w:hint="eastAsia" w:ascii="宋体" w:hAnsi="宋体" w:cs="宋体"/>
          <w:color w:val="000000" w:themeColor="text1"/>
          <w:kern w:val="0"/>
          <w:szCs w:val="21"/>
          <w:lang w:val="zh-CN"/>
          <w14:textFill>
            <w14:solidFill>
              <w14:schemeClr w14:val="tx1"/>
            </w14:solidFill>
          </w14:textFill>
        </w:rPr>
        <w:t>供应商</w:t>
      </w:r>
      <w:r>
        <w:rPr>
          <w:rFonts w:hint="eastAsia" w:ascii="宋体" w:hAnsi="宋体"/>
          <w:color w:val="000000" w:themeColor="text1"/>
          <w:kern w:val="0"/>
          <w:szCs w:val="21"/>
          <w14:textFill>
            <w14:solidFill>
              <w14:schemeClr w14:val="tx1"/>
            </w14:solidFill>
          </w14:textFill>
        </w:rPr>
        <w:t>的最后报价不得超过采购项目预算，</w:t>
      </w:r>
      <w:r>
        <w:rPr>
          <w:rFonts w:hint="eastAsia" w:ascii="宋体" w:hAnsi="宋体"/>
          <w:b/>
          <w:bCs/>
          <w:color w:val="000000" w:themeColor="text1"/>
          <w:kern w:val="0"/>
          <w:szCs w:val="21"/>
          <w14:textFill>
            <w14:solidFill>
              <w14:schemeClr w14:val="tx1"/>
            </w14:solidFill>
          </w14:textFill>
        </w:rPr>
        <w:t>否则，其响应无效</w:t>
      </w:r>
      <w:r>
        <w:rPr>
          <w:rFonts w:hint="eastAsia" w:ascii="宋体" w:hAnsi="宋体"/>
          <w:color w:val="000000" w:themeColor="text1"/>
          <w:kern w:val="0"/>
          <w:szCs w:val="21"/>
          <w14:textFill>
            <w14:solidFill>
              <w14:schemeClr w14:val="tx1"/>
            </w14:solidFill>
          </w14:textFill>
        </w:rPr>
        <w:t>。采购项目预算见</w:t>
      </w:r>
      <w:r>
        <w:rPr>
          <w:rFonts w:hint="eastAsia" w:ascii="宋体" w:hAnsi="宋体"/>
          <w:b/>
          <w:color w:val="000000" w:themeColor="text1"/>
          <w:kern w:val="0"/>
          <w:szCs w:val="21"/>
          <w14:textFill>
            <w14:solidFill>
              <w14:schemeClr w14:val="tx1"/>
            </w14:solidFill>
          </w14:textFill>
        </w:rPr>
        <w:t>【谈判须知前附表】</w:t>
      </w:r>
      <w:r>
        <w:rPr>
          <w:rFonts w:hint="eastAsia" w:ascii="宋体" w:hAnsi="宋体"/>
          <w:color w:val="000000" w:themeColor="text1"/>
          <w:kern w:val="0"/>
          <w:szCs w:val="21"/>
          <w14:textFill>
            <w14:solidFill>
              <w14:schemeClr w14:val="tx1"/>
            </w14:solidFill>
          </w14:textFill>
        </w:rPr>
        <w:t>。</w:t>
      </w:r>
    </w:p>
    <w:p w14:paraId="00908852">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11.4</w:t>
      </w:r>
      <w:r>
        <w:rPr>
          <w:rFonts w:hint="eastAsia" w:ascii="宋体" w:hAnsi="宋体"/>
          <w:color w:val="000000" w:themeColor="text1"/>
          <w:szCs w:val="21"/>
          <w14:textFill>
            <w14:solidFill>
              <w14:schemeClr w14:val="tx1"/>
            </w14:solidFill>
          </w14:textFill>
        </w:rPr>
        <w:t>采用固定价格定价方式的采购项目，</w:t>
      </w:r>
      <w:r>
        <w:rPr>
          <w:rFonts w:hint="eastAsia" w:ascii="宋体" w:hAnsi="宋体" w:cs="Courier New"/>
          <w:color w:val="000000" w:themeColor="text1"/>
          <w:szCs w:val="21"/>
          <w14:textFill>
            <w14:solidFill>
              <w14:schemeClr w14:val="tx1"/>
            </w14:solidFill>
          </w14:textFill>
        </w:rPr>
        <w:t>供应商提交的最后报价在合同执行过程中是固定不变的，不得以任何理由予以变更。以可变动价格提交的报价将被认为是非实质响应而被拒绝。</w:t>
      </w:r>
    </w:p>
    <w:p w14:paraId="152BA062">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11.5采购人不接受供应商给予的赠品、回扣或者与采购无关的其他商品、服务。</w:t>
      </w:r>
    </w:p>
    <w:p w14:paraId="1015496D">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11.6报价的其他要求见</w:t>
      </w:r>
      <w:r>
        <w:rPr>
          <w:rFonts w:hint="eastAsia" w:ascii="宋体" w:hAnsi="宋体" w:cs="Courier New"/>
          <w:b/>
          <w:color w:val="000000" w:themeColor="text1"/>
          <w:szCs w:val="21"/>
          <w14:textFill>
            <w14:solidFill>
              <w14:schemeClr w14:val="tx1"/>
            </w14:solidFill>
          </w14:textFill>
        </w:rPr>
        <w:t>【谈判须知前附表】</w:t>
      </w:r>
      <w:r>
        <w:rPr>
          <w:rFonts w:hint="eastAsia" w:ascii="宋体" w:hAnsi="宋体" w:cs="Courier New"/>
          <w:color w:val="000000" w:themeColor="text1"/>
          <w:szCs w:val="21"/>
          <w14:textFill>
            <w14:solidFill>
              <w14:schemeClr w14:val="tx1"/>
            </w14:solidFill>
          </w14:textFill>
        </w:rPr>
        <w:t>。</w:t>
      </w:r>
    </w:p>
    <w:p w14:paraId="5703430D">
      <w:pPr>
        <w:spacing w:line="360" w:lineRule="auto"/>
        <w:outlineLvl w:val="3"/>
        <w:rPr>
          <w:rFonts w:ascii="黑体" w:hAnsi="黑体" w:eastAsia="黑体"/>
          <w:b/>
          <w:bCs/>
          <w:color w:val="000000" w:themeColor="text1"/>
          <w:sz w:val="24"/>
          <w14:textFill>
            <w14:solidFill>
              <w14:schemeClr w14:val="tx1"/>
            </w14:solidFill>
          </w14:textFill>
        </w:rPr>
      </w:pPr>
      <w:bookmarkStart w:id="59" w:name="_Toc107997976"/>
      <w:bookmarkStart w:id="60" w:name="_Toc107997849"/>
      <w:r>
        <w:rPr>
          <w:rFonts w:hint="eastAsia" w:ascii="黑体" w:hAnsi="黑体" w:eastAsia="黑体"/>
          <w:b/>
          <w:bCs/>
          <w:color w:val="000000" w:themeColor="text1"/>
          <w:sz w:val="24"/>
          <w14:textFill>
            <w14:solidFill>
              <w14:schemeClr w14:val="tx1"/>
            </w14:solidFill>
          </w14:textFill>
        </w:rPr>
        <w:t>12.谈判保证金</w:t>
      </w:r>
      <w:bookmarkEnd w:id="59"/>
      <w:bookmarkEnd w:id="60"/>
      <w:r>
        <w:rPr>
          <w:rFonts w:hint="eastAsia" w:ascii="黑体" w:hAnsi="黑体" w:eastAsia="黑体"/>
          <w:b/>
          <w:bCs/>
          <w:color w:val="auto"/>
          <w:sz w:val="24"/>
          <w:lang w:eastAsia="zh-CN"/>
        </w:rPr>
        <w:t>（</w:t>
      </w:r>
      <w:r>
        <w:rPr>
          <w:rFonts w:hint="eastAsia" w:ascii="黑体" w:hAnsi="黑体" w:eastAsia="黑体"/>
          <w:b/>
          <w:bCs/>
          <w:color w:val="auto"/>
          <w:sz w:val="24"/>
          <w:lang w:val="en-US" w:eastAsia="zh-CN"/>
        </w:rPr>
        <w:t>本项目不需要提供</w:t>
      </w:r>
      <w:r>
        <w:rPr>
          <w:rFonts w:hint="eastAsia" w:ascii="黑体" w:hAnsi="黑体" w:eastAsia="黑体"/>
          <w:b/>
          <w:bCs/>
          <w:color w:val="auto"/>
          <w:sz w:val="24"/>
          <w:lang w:eastAsia="zh-CN"/>
        </w:rPr>
        <w:t>）</w:t>
      </w:r>
    </w:p>
    <w:p w14:paraId="67083951">
      <w:pPr>
        <w:autoSpaceDE w:val="0"/>
        <w:autoSpaceDN w:val="0"/>
        <w:adjustRightInd w:val="0"/>
        <w:spacing w:line="360" w:lineRule="auto"/>
        <w:ind w:firstLine="420" w:firstLineChars="200"/>
        <w:jc w:val="left"/>
        <w:rPr>
          <w:rFonts w:hAnsi="宋体"/>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12.1</w:t>
      </w:r>
      <w:r>
        <w:rPr>
          <w:rFonts w:hint="eastAsia" w:hAnsi="宋体"/>
          <w:bCs/>
          <w:color w:val="000000" w:themeColor="text1"/>
          <w14:textFill>
            <w14:solidFill>
              <w14:schemeClr w14:val="tx1"/>
            </w14:solidFill>
          </w14:textFill>
        </w:rPr>
        <w:t>谈判文件要求供应商提交谈判保证金的，供应商应按</w:t>
      </w:r>
      <w:r>
        <w:rPr>
          <w:rFonts w:hint="eastAsia" w:hAnsi="宋体"/>
          <w:b/>
          <w:bCs/>
          <w:color w:val="000000" w:themeColor="text1"/>
          <w14:textFill>
            <w14:solidFill>
              <w14:schemeClr w14:val="tx1"/>
            </w14:solidFill>
          </w14:textFill>
        </w:rPr>
        <w:t>【谈判须知前附表】</w:t>
      </w:r>
      <w:r>
        <w:rPr>
          <w:rFonts w:hint="eastAsia" w:hAnsi="宋体"/>
          <w:bCs/>
          <w:color w:val="000000" w:themeColor="text1"/>
          <w14:textFill>
            <w14:solidFill>
              <w14:schemeClr w14:val="tx1"/>
            </w14:solidFill>
          </w14:textFill>
        </w:rPr>
        <w:t>规定，在提交首次响应文件的截止时间前提交谈判保证金。谈判保证金有效期应当与响应文件有效期一致。供应商可用保函、电子增信替代谈判保证金。</w:t>
      </w:r>
    </w:p>
    <w:p w14:paraId="0C8174F5">
      <w:pPr>
        <w:adjustRightInd w:val="0"/>
        <w:snapToGrid w:val="0"/>
        <w:spacing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12.2</w:t>
      </w:r>
      <w:r>
        <w:rPr>
          <w:rFonts w:hint="eastAsia" w:ascii="宋体" w:hAnsi="宋体" w:cs="宋体"/>
          <w:color w:val="000000" w:themeColor="text1"/>
          <w:kern w:val="0"/>
          <w:szCs w:val="21"/>
          <w:lang w:val="zh-CN"/>
          <w14:textFill>
            <w14:solidFill>
              <w14:schemeClr w14:val="tx1"/>
            </w14:solidFill>
          </w14:textFill>
        </w:rPr>
        <w:t>供应商为联合体的，可以由联合体中的一方或者共同交纳</w:t>
      </w:r>
      <w:r>
        <w:rPr>
          <w:rFonts w:hint="eastAsia" w:hAnsi="宋体"/>
          <w:bCs/>
          <w:color w:val="000000" w:themeColor="text1"/>
          <w14:textFill>
            <w14:solidFill>
              <w14:schemeClr w14:val="tx1"/>
            </w14:solidFill>
          </w14:textFill>
        </w:rPr>
        <w:t>谈判</w:t>
      </w:r>
      <w:r>
        <w:rPr>
          <w:rFonts w:hint="eastAsia" w:ascii="宋体" w:hAnsi="宋体" w:cs="宋体"/>
          <w:color w:val="000000" w:themeColor="text1"/>
          <w:kern w:val="0"/>
          <w:szCs w:val="21"/>
          <w:lang w:val="zh-CN"/>
          <w14:textFill>
            <w14:solidFill>
              <w14:schemeClr w14:val="tx1"/>
            </w14:solidFill>
          </w14:textFill>
        </w:rPr>
        <w:t>保证金，其交纳的</w:t>
      </w:r>
      <w:r>
        <w:rPr>
          <w:rFonts w:hint="eastAsia" w:hAnsi="宋体"/>
          <w:bCs/>
          <w:color w:val="000000" w:themeColor="text1"/>
          <w14:textFill>
            <w14:solidFill>
              <w14:schemeClr w14:val="tx1"/>
            </w14:solidFill>
          </w14:textFill>
        </w:rPr>
        <w:t>谈判</w:t>
      </w:r>
      <w:r>
        <w:rPr>
          <w:rFonts w:hint="eastAsia" w:ascii="宋体" w:hAnsi="宋体" w:cs="宋体"/>
          <w:color w:val="000000" w:themeColor="text1"/>
          <w:kern w:val="0"/>
          <w:szCs w:val="21"/>
          <w:lang w:val="zh-CN"/>
          <w14:textFill>
            <w14:solidFill>
              <w14:schemeClr w14:val="tx1"/>
            </w14:solidFill>
          </w14:textFill>
        </w:rPr>
        <w:t>保证金，对联合体各方均具有约束力。</w:t>
      </w:r>
    </w:p>
    <w:p w14:paraId="7931FB1A">
      <w:pPr>
        <w:tabs>
          <w:tab w:val="left" w:pos="6300"/>
        </w:tabs>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12.3采购人、采购代理机构在成交通知书发出后5个工作日内退还未成交供应商的</w:t>
      </w:r>
      <w:r>
        <w:rPr>
          <w:rFonts w:hint="eastAsia" w:ascii="宋体" w:hAnsi="宋体" w:cs="Courier New"/>
          <w:bCs/>
          <w:color w:val="000000" w:themeColor="text1"/>
          <w:szCs w:val="21"/>
          <w14:textFill>
            <w14:solidFill>
              <w14:schemeClr w14:val="tx1"/>
            </w14:solidFill>
          </w14:textFill>
        </w:rPr>
        <w:t>谈判</w:t>
      </w:r>
      <w:r>
        <w:rPr>
          <w:rFonts w:hint="eastAsia" w:ascii="宋体" w:hAnsi="宋体" w:cs="Courier New"/>
          <w:color w:val="000000" w:themeColor="text1"/>
          <w:szCs w:val="21"/>
          <w14:textFill>
            <w14:solidFill>
              <w14:schemeClr w14:val="tx1"/>
            </w14:solidFill>
          </w14:textFill>
        </w:rPr>
        <w:t>保证金；在采购合同签订后5个工作日内退还成交供应商的</w:t>
      </w:r>
      <w:r>
        <w:rPr>
          <w:rFonts w:hint="eastAsia" w:ascii="宋体" w:hAnsi="宋体" w:cs="Courier New"/>
          <w:bCs/>
          <w:color w:val="000000" w:themeColor="text1"/>
          <w:szCs w:val="21"/>
          <w14:textFill>
            <w14:solidFill>
              <w14:schemeClr w14:val="tx1"/>
            </w14:solidFill>
          </w14:textFill>
        </w:rPr>
        <w:t>谈判</w:t>
      </w:r>
      <w:r>
        <w:rPr>
          <w:rFonts w:hint="eastAsia" w:ascii="宋体" w:hAnsi="宋体" w:cs="Courier New"/>
          <w:color w:val="000000" w:themeColor="text1"/>
          <w:szCs w:val="21"/>
          <w14:textFill>
            <w14:solidFill>
              <w14:schemeClr w14:val="tx1"/>
            </w14:solidFill>
          </w14:textFill>
        </w:rPr>
        <w:t>保证金，但因供应商自身原因导致无法及时退还的除外。</w:t>
      </w:r>
    </w:p>
    <w:p w14:paraId="1F335DA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12.4</w:t>
      </w:r>
      <w:r>
        <w:rPr>
          <w:rFonts w:hint="eastAsia" w:hAnsi="宋体"/>
          <w:bCs/>
          <w:color w:val="000000" w:themeColor="text1"/>
          <w14:textFill>
            <w14:solidFill>
              <w14:schemeClr w14:val="tx1"/>
            </w14:solidFill>
          </w14:textFill>
        </w:rPr>
        <w:t>谈判</w:t>
      </w:r>
      <w:r>
        <w:rPr>
          <w:rFonts w:hint="eastAsia" w:ascii="宋体" w:hAnsi="宋体"/>
          <w:color w:val="000000" w:themeColor="text1"/>
          <w:szCs w:val="21"/>
          <w14:textFill>
            <w14:solidFill>
              <w14:schemeClr w14:val="tx1"/>
            </w14:solidFill>
          </w14:textFill>
        </w:rPr>
        <w:t>保证金的退还按以下规定办理：</w:t>
      </w:r>
    </w:p>
    <w:p w14:paraId="7B774EAE">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（1）成交供应商的</w:t>
      </w:r>
      <w:r>
        <w:rPr>
          <w:rFonts w:hint="eastAsia" w:hAnsi="宋体"/>
          <w:bCs/>
          <w:color w:val="000000" w:themeColor="text1"/>
          <w14:textFill>
            <w14:solidFill>
              <w14:schemeClr w14:val="tx1"/>
            </w14:solidFill>
          </w14:textFill>
        </w:rPr>
        <w:t>谈判</w:t>
      </w:r>
      <w:r>
        <w:rPr>
          <w:rFonts w:hint="eastAsia" w:ascii="宋体" w:hAnsi="宋体"/>
          <w:color w:val="000000" w:themeColor="text1"/>
          <w:szCs w:val="21"/>
          <w14:textFill>
            <w14:solidFill>
              <w14:schemeClr w14:val="tx1"/>
            </w14:solidFill>
          </w14:textFill>
        </w:rPr>
        <w:t>保证金，在政府采购合同签订后5个工作日内退还。</w:t>
      </w:r>
    </w:p>
    <w:p w14:paraId="5F0E18F8">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（2）未成交供应商的</w:t>
      </w:r>
      <w:r>
        <w:rPr>
          <w:rFonts w:hint="eastAsia" w:hAnsi="宋体"/>
          <w:bCs/>
          <w:color w:val="000000" w:themeColor="text1"/>
          <w14:textFill>
            <w14:solidFill>
              <w14:schemeClr w14:val="tx1"/>
            </w14:solidFill>
          </w14:textFill>
        </w:rPr>
        <w:t>谈判</w:t>
      </w:r>
      <w:r>
        <w:rPr>
          <w:rFonts w:hint="eastAsia" w:ascii="宋体" w:hAnsi="宋体"/>
          <w:color w:val="000000" w:themeColor="text1"/>
          <w:szCs w:val="21"/>
          <w14:textFill>
            <w14:solidFill>
              <w14:schemeClr w14:val="tx1"/>
            </w14:solidFill>
          </w14:textFill>
        </w:rPr>
        <w:t>保证金，在成交通知书发出后5个工作日内退还。</w:t>
      </w:r>
    </w:p>
    <w:p w14:paraId="6FE8A7A3">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（3）终止竞争性谈判采购活动的，在发布项目终止公告后5个工作日内退还。</w:t>
      </w:r>
    </w:p>
    <w:p w14:paraId="596DDD39">
      <w:pPr>
        <w:adjustRightInd w:val="0"/>
        <w:snapToGrid w:val="0"/>
        <w:spacing w:line="360" w:lineRule="auto"/>
        <w:ind w:firstLine="420" w:firstLineChars="200"/>
        <w:rPr>
          <w:rFonts w:ascii="宋体" w:hAnsi="Courier New" w:cs="Courier New"/>
          <w:color w:val="000000" w:themeColor="text1"/>
          <w:kern w:val="0"/>
          <w:szCs w:val="21"/>
          <w14:textFill>
            <w14:solidFill>
              <w14:schemeClr w14:val="tx1"/>
            </w14:solidFill>
          </w14:textFill>
        </w:rPr>
      </w:pPr>
      <w:r>
        <w:rPr>
          <w:rFonts w:hint="eastAsia" w:ascii="宋体" w:hAnsi="Courier New" w:cs="Courier New"/>
          <w:color w:val="000000" w:themeColor="text1"/>
          <w:szCs w:val="21"/>
          <w14:textFill>
            <w14:solidFill>
              <w14:schemeClr w14:val="tx1"/>
            </w14:solidFill>
          </w14:textFill>
        </w:rPr>
        <w:t>12.5</w:t>
      </w:r>
      <w:r>
        <w:rPr>
          <w:rFonts w:hint="eastAsia" w:ascii="宋体" w:hAnsi="Courier New" w:cs="Courier New"/>
          <w:color w:val="000000" w:themeColor="text1"/>
          <w:kern w:val="0"/>
          <w:szCs w:val="21"/>
          <w14:textFill>
            <w14:solidFill>
              <w14:schemeClr w14:val="tx1"/>
            </w14:solidFill>
          </w14:textFill>
        </w:rPr>
        <w:t>有下列情形之一的，</w:t>
      </w:r>
      <w:r>
        <w:rPr>
          <w:rFonts w:hint="eastAsia" w:ascii="宋体" w:hAnsi="宋体" w:cs="Courier New"/>
          <w:bCs/>
          <w:color w:val="000000" w:themeColor="text1"/>
          <w:szCs w:val="21"/>
          <w14:textFill>
            <w14:solidFill>
              <w14:schemeClr w14:val="tx1"/>
            </w14:solidFill>
          </w14:textFill>
        </w:rPr>
        <w:t>谈判</w:t>
      </w:r>
      <w:r>
        <w:rPr>
          <w:rFonts w:hint="eastAsia" w:ascii="宋体" w:hAnsi="Courier New" w:cs="Courier New"/>
          <w:color w:val="000000" w:themeColor="text1"/>
          <w:kern w:val="0"/>
          <w:szCs w:val="21"/>
          <w14:textFill>
            <w14:solidFill>
              <w14:schemeClr w14:val="tx1"/>
            </w14:solidFill>
          </w14:textFill>
        </w:rPr>
        <w:t>保证金不予退还，并上缴本级财政国库：</w:t>
      </w:r>
    </w:p>
    <w:p w14:paraId="5B8CBEA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（1）供应商在提交响应文件截止时间后撤回响应文件的；</w:t>
      </w:r>
    </w:p>
    <w:p w14:paraId="1DDD318C">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（2）供应商在响应文件中提供虚假材料的；</w:t>
      </w:r>
    </w:p>
    <w:p w14:paraId="62CEC80C">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（3）除因不可抗力或谈判文件认可的情形以外，成交供应商不与采购人签订合同的；</w:t>
      </w:r>
    </w:p>
    <w:p w14:paraId="35BBF42E">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（4）供应商与采购人、其他供应商或者采购代理机构恶意串通的；</w:t>
      </w:r>
    </w:p>
    <w:p w14:paraId="1EBC6D68">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（5）谈判文件规定的其他情形。</w:t>
      </w:r>
    </w:p>
    <w:p w14:paraId="1A003AAC">
      <w:pPr>
        <w:spacing w:line="360" w:lineRule="auto"/>
        <w:outlineLvl w:val="3"/>
        <w:rPr>
          <w:rFonts w:ascii="黑体" w:hAnsi="黑体" w:eastAsia="黑体"/>
          <w:b/>
          <w:bCs/>
          <w:color w:val="000000" w:themeColor="text1"/>
          <w:sz w:val="24"/>
          <w14:textFill>
            <w14:solidFill>
              <w14:schemeClr w14:val="tx1"/>
            </w14:solidFill>
          </w14:textFill>
        </w:rPr>
      </w:pPr>
      <w:bookmarkStart w:id="61" w:name="_Toc107997850"/>
      <w:bookmarkStart w:id="62" w:name="_Toc107997977"/>
      <w:r>
        <w:rPr>
          <w:rFonts w:hint="eastAsia" w:ascii="黑体" w:hAnsi="黑体" w:eastAsia="黑体"/>
          <w:b/>
          <w:bCs/>
          <w:color w:val="000000" w:themeColor="text1"/>
          <w:sz w:val="24"/>
          <w14:textFill>
            <w14:solidFill>
              <w14:schemeClr w14:val="tx1"/>
            </w14:solidFill>
          </w14:textFill>
        </w:rPr>
        <w:t>13.响应文件有效期</w:t>
      </w:r>
      <w:bookmarkEnd w:id="61"/>
      <w:bookmarkEnd w:id="62"/>
    </w:p>
    <w:p w14:paraId="7F4F547C">
      <w:pPr>
        <w:adjustRightInd w:val="0"/>
        <w:snapToGrid w:val="0"/>
        <w:spacing w:line="360" w:lineRule="auto"/>
        <w:ind w:firstLine="420" w:firstLineChars="200"/>
        <w:jc w:val="left"/>
        <w:rPr>
          <w:rFonts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13.1响应文件</w:t>
      </w:r>
      <w:r>
        <w:rPr>
          <w:rFonts w:hint="eastAsia" w:ascii="宋体" w:hAnsi="宋体"/>
          <w:color w:val="000000" w:themeColor="text1"/>
          <w:szCs w:val="21"/>
          <w14:textFill>
            <w14:solidFill>
              <w14:schemeClr w14:val="tx1"/>
            </w14:solidFill>
          </w14:textFill>
        </w:rPr>
        <w:t>有效期见</w:t>
      </w:r>
      <w:r>
        <w:rPr>
          <w:rFonts w:hint="eastAsia" w:hAnsi="宋体"/>
          <w:b/>
          <w:bCs/>
          <w:color w:val="000000" w:themeColor="text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，在此期间</w:t>
      </w:r>
      <w:r>
        <w:rPr>
          <w:rFonts w:hint="eastAsia" w:ascii="宋体" w:hAnsi="宋体"/>
          <w:color w:val="000000" w:themeColor="text1"/>
          <w14:textFill>
            <w14:solidFill>
              <w14:schemeClr w14:val="tx1"/>
            </w14:solidFill>
          </w14:textFill>
        </w:rPr>
        <w:t>响应</w:t>
      </w:r>
      <w:r>
        <w:rPr>
          <w:rFonts w:hint="eastAsia" w:ascii="宋体" w:hAnsi="宋体"/>
          <w:color w:val="000000" w:themeColor="text1"/>
          <w:szCs w:val="21"/>
          <w14:textFill>
            <w14:solidFill>
              <w14:schemeClr w14:val="tx1"/>
            </w14:solidFill>
          </w14:textFill>
        </w:rPr>
        <w:t>文件对供应商具有法律约束力，</w:t>
      </w:r>
      <w:r>
        <w:rPr>
          <w:rFonts w:hint="eastAsia" w:ascii="宋体" w:hAnsi="宋体" w:cs="Arial"/>
          <w:color w:val="000000" w:themeColor="text1"/>
          <w14:textFill>
            <w14:solidFill>
              <w14:schemeClr w14:val="tx1"/>
            </w14:solidFill>
          </w14:textFill>
        </w:rPr>
        <w:t>从</w:t>
      </w:r>
      <w:r>
        <w:rPr>
          <w:rFonts w:hint="eastAsia" w:ascii="宋体" w:hAnsi="宋体" w:cs="宋体"/>
          <w:color w:val="000000" w:themeColor="text1"/>
          <w:kern w:val="0"/>
          <w:szCs w:val="21"/>
          <w14:textFill>
            <w14:solidFill>
              <w14:schemeClr w14:val="tx1"/>
            </w14:solidFill>
          </w14:textFill>
        </w:rPr>
        <w:t>提交首次响应文件截止时间</w:t>
      </w:r>
      <w:r>
        <w:rPr>
          <w:rFonts w:hint="eastAsia" w:hAnsi="宋体"/>
          <w:color w:val="000000" w:themeColor="text1"/>
          <w14:textFill>
            <w14:solidFill>
              <w14:schemeClr w14:val="tx1"/>
            </w14:solidFill>
          </w14:textFill>
        </w:rPr>
        <w:t>之日</w:t>
      </w:r>
      <w:r>
        <w:rPr>
          <w:rFonts w:hint="eastAsia" w:hAnsi="宋体" w:cs="Arial"/>
          <w:color w:val="000000" w:themeColor="text1"/>
          <w14:textFill>
            <w14:solidFill>
              <w14:schemeClr w14:val="tx1"/>
            </w14:solidFill>
          </w14:textFill>
        </w:rPr>
        <w:t>起计算。</w:t>
      </w:r>
      <w:r>
        <w:rPr>
          <w:rFonts w:hint="eastAsia" w:hAnsi="宋体"/>
          <w:color w:val="000000" w:themeColor="text1"/>
          <w14:textFill>
            <w14:solidFill>
              <w14:schemeClr w14:val="tx1"/>
            </w14:solidFill>
          </w14:textFill>
        </w:rPr>
        <w:t>响应文件有效期不足的</w:t>
      </w:r>
      <w:r>
        <w:rPr>
          <w:rFonts w:hint="eastAsia"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其</w:t>
      </w:r>
      <w:r>
        <w:rPr>
          <w:rFonts w:hint="eastAsia" w:ascii="宋体" w:hAnsi="宋体"/>
          <w:b/>
          <w:bCs/>
          <w:color w:val="000000" w:themeColor="text1"/>
          <w14:textFill>
            <w14:solidFill>
              <w14:schemeClr w14:val="tx1"/>
            </w14:solidFill>
          </w14:textFill>
        </w:rPr>
        <w:t>响应无效</w:t>
      </w:r>
      <w:r>
        <w:rPr>
          <w:rFonts w:hint="eastAsia" w:hAnsi="宋体"/>
          <w:color w:val="000000" w:themeColor="text1"/>
          <w14:textFill>
            <w14:solidFill>
              <w14:schemeClr w14:val="tx1"/>
            </w14:solidFill>
          </w14:textFill>
        </w:rPr>
        <w:t>。</w:t>
      </w:r>
    </w:p>
    <w:p w14:paraId="08C55602">
      <w:pPr>
        <w:spacing w:line="360" w:lineRule="auto"/>
        <w:outlineLvl w:val="3"/>
        <w:rPr>
          <w:rFonts w:ascii="黑体" w:hAnsi="黑体" w:eastAsia="黑体"/>
          <w:b/>
          <w:bCs/>
          <w:color w:val="000000" w:themeColor="text1"/>
          <w:sz w:val="24"/>
          <w14:textFill>
            <w14:solidFill>
              <w14:schemeClr w14:val="tx1"/>
            </w14:solidFill>
          </w14:textFill>
        </w:rPr>
      </w:pPr>
      <w:bookmarkStart w:id="63" w:name="_Toc107997978"/>
      <w:bookmarkStart w:id="64" w:name="_Toc107997851"/>
      <w:r>
        <w:rPr>
          <w:rFonts w:hint="eastAsia" w:ascii="黑体" w:hAnsi="黑体" w:eastAsia="黑体"/>
          <w:b/>
          <w:bCs/>
          <w:color w:val="000000" w:themeColor="text1"/>
          <w:sz w:val="24"/>
          <w14:textFill>
            <w14:solidFill>
              <w14:schemeClr w14:val="tx1"/>
            </w14:solidFill>
          </w14:textFill>
        </w:rPr>
        <w:t>14.分包</w:t>
      </w:r>
      <w:bookmarkEnd w:id="63"/>
      <w:bookmarkEnd w:id="64"/>
    </w:p>
    <w:p w14:paraId="0DDCA698">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.1</w:t>
      </w:r>
      <w:r>
        <w:rPr>
          <w:rFonts w:hint="eastAsia" w:hAnsi="宋体"/>
          <w:b/>
          <w:bCs/>
          <w:color w:val="000000" w:themeColor="text1"/>
          <w14:textFill>
            <w14:solidFill>
              <w14:schemeClr w14:val="tx1"/>
            </w14:solidFill>
          </w14:textFill>
        </w:rPr>
        <w:t>【谈判须知前附表】</w:t>
      </w:r>
      <w:r>
        <w:rPr>
          <w:rFonts w:hint="eastAsia" w:ascii="宋体" w:hAnsi="宋体"/>
          <w:color w:val="000000" w:themeColor="text1"/>
          <w14:textFill>
            <w14:solidFill>
              <w14:schemeClr w14:val="tx1"/>
            </w14:solidFill>
          </w14:textFill>
        </w:rPr>
        <w:t>规定供应商分包的，供应商分包承诺不符合竞争性谈判文件中有关分包规定的，其</w:t>
      </w:r>
      <w:r>
        <w:rPr>
          <w:rFonts w:hint="eastAsia" w:ascii="宋体" w:hAnsi="宋体"/>
          <w:b/>
          <w:bCs/>
          <w:color w:val="000000" w:themeColor="text1"/>
          <w14:textFill>
            <w14:solidFill>
              <w14:schemeClr w14:val="tx1"/>
            </w14:solidFill>
          </w14:textFill>
        </w:rPr>
        <w:t>响应无效</w:t>
      </w:r>
      <w:r>
        <w:rPr>
          <w:rFonts w:hint="eastAsia" w:ascii="宋体" w:hAnsi="宋体"/>
          <w:color w:val="000000" w:themeColor="text1"/>
          <w14:textFill>
            <w14:solidFill>
              <w14:schemeClr w14:val="tx1"/>
            </w14:solidFill>
          </w14:textFill>
        </w:rPr>
        <w:t>。</w:t>
      </w:r>
    </w:p>
    <w:p w14:paraId="458EDF0C">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.2供应商应在签订政府采购合同前向采购人提供分包合同，否则，采购人有权拒绝签订采购合同。</w:t>
      </w:r>
    </w:p>
    <w:p w14:paraId="7E2D4F05">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.3享受中小企业扶持政策获得政府采购合同的，小微企业不得将合同分包给大中型企业，中型企业不得将合同分包给大型企业。</w:t>
      </w:r>
    </w:p>
    <w:p w14:paraId="56F2EC74">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.4分包供应商不得再次分包。</w:t>
      </w:r>
    </w:p>
    <w:p w14:paraId="6297CFF5">
      <w:pPr>
        <w:spacing w:line="360" w:lineRule="auto"/>
        <w:outlineLvl w:val="3"/>
        <w:rPr>
          <w:rFonts w:ascii="黑体" w:hAnsi="黑体" w:eastAsia="黑体"/>
          <w:b/>
          <w:bCs/>
          <w:color w:val="000000" w:themeColor="text1"/>
          <w:sz w:val="24"/>
          <w14:textFill>
            <w14:solidFill>
              <w14:schemeClr w14:val="tx1"/>
            </w14:solidFill>
          </w14:textFill>
        </w:rPr>
      </w:pPr>
      <w:bookmarkStart w:id="65" w:name="_Toc107997979"/>
      <w:bookmarkStart w:id="66" w:name="_Toc107997852"/>
      <w:r>
        <w:rPr>
          <w:rFonts w:hint="eastAsia" w:ascii="黑体" w:hAnsi="黑体" w:eastAsia="黑体"/>
          <w:b/>
          <w:bCs/>
          <w:color w:val="000000" w:themeColor="text1"/>
          <w:sz w:val="24"/>
          <w14:textFill>
            <w14:solidFill>
              <w14:schemeClr w14:val="tx1"/>
            </w14:solidFill>
          </w14:textFill>
        </w:rPr>
        <w:t>15.响应文件的签署及规定</w:t>
      </w:r>
      <w:bookmarkEnd w:id="65"/>
      <w:bookmarkEnd w:id="66"/>
    </w:p>
    <w:p w14:paraId="4726AC33">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15.1响应文件应按谈判文件要求在签章处盖供应商单位公章和在签字处由供应商代表签字。供应商代表可为供应商法定代表人(非法人组织为负责人或合伙人、个体工商户为负责人，谈判文件统称单位负责人)；供应商代表不是供应商的法定代表人（单位负责人）的，应提供授权委托书。</w:t>
      </w:r>
    </w:p>
    <w:p w14:paraId="6D3AD0B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15.2响应文件正本一份，副本份数见</w:t>
      </w:r>
      <w:r>
        <w:rPr>
          <w:rFonts w:hint="eastAsia" w:ascii="宋体" w:hAnsi="宋体" w:cs="Courier New"/>
          <w:b/>
          <w:color w:val="000000" w:themeColor="text1"/>
          <w:szCs w:val="21"/>
          <w14:textFill>
            <w14:solidFill>
              <w14:schemeClr w14:val="tx1"/>
            </w14:solidFill>
          </w14:textFill>
        </w:rPr>
        <w:t>【谈判须知前附表】</w:t>
      </w:r>
      <w:r>
        <w:rPr>
          <w:rFonts w:hint="eastAsia" w:ascii="宋体" w:hAnsi="宋体" w:cs="Courier New"/>
          <w:color w:val="000000" w:themeColor="text1"/>
          <w:szCs w:val="21"/>
          <w14:textFill>
            <w14:solidFill>
              <w14:schemeClr w14:val="tx1"/>
            </w14:solidFill>
          </w14:textFill>
        </w:rPr>
        <w:t>；响应文件电子文档（U盘形式）：一份</w:t>
      </w:r>
      <w:r>
        <w:rPr>
          <w:rFonts w:hint="eastAsia" w:ascii="宋体" w:hAnsi="宋体" w:cs="Courier New"/>
          <w:b/>
          <w:color w:val="000000" w:themeColor="text1"/>
          <w:szCs w:val="21"/>
          <w14:textFill>
            <w14:solidFill>
              <w14:schemeClr w14:val="tx1"/>
            </w14:solidFill>
          </w14:textFill>
        </w:rPr>
        <w:t>。</w:t>
      </w:r>
      <w:r>
        <w:rPr>
          <w:rFonts w:hint="eastAsia" w:ascii="宋体" w:hAnsi="宋体" w:cs="Courier New"/>
          <w:color w:val="000000" w:themeColor="text1"/>
          <w:szCs w:val="21"/>
          <w14:textFill>
            <w14:solidFill>
              <w14:schemeClr w14:val="tx1"/>
            </w14:solidFill>
          </w14:textFill>
        </w:rPr>
        <w:t>纸质响应文件须清楚地注明“正本”或“副本”的字样。若副本和正本不一致或电子版文件和纸质正本文件不一致时，以纸质正本文件为准。响应文件的正本与副本应分别装订成册，并编制目录。响应文件的副本可为正本的复印件。</w:t>
      </w:r>
    </w:p>
    <w:p w14:paraId="2311A3FB">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15.3</w:t>
      </w:r>
      <w:r>
        <w:rPr>
          <w:rFonts w:hint="eastAsia" w:hAnsi="宋体"/>
          <w:color w:val="000000" w:themeColor="text1"/>
          <w14:textFill>
            <w14:solidFill>
              <w14:schemeClr w14:val="tx1"/>
            </w14:solidFill>
          </w14:textFill>
        </w:rPr>
        <w:t>响应文件任何加行、涂改、增删等改动，改动之处应由供应商代表签字。否则，将导致</w:t>
      </w:r>
      <w:r>
        <w:rPr>
          <w:rFonts w:hint="eastAsia" w:hAnsi="宋体"/>
          <w:b/>
          <w:color w:val="000000" w:themeColor="text1"/>
          <w14:textFill>
            <w14:solidFill>
              <w14:schemeClr w14:val="tx1"/>
            </w14:solidFill>
          </w14:textFill>
        </w:rPr>
        <w:t>响应文件无效。</w:t>
      </w:r>
    </w:p>
    <w:p w14:paraId="04EF7CA3">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15.4在谈判过程中，供应商按谈判文件规定和谈判小组要求</w:t>
      </w:r>
      <w:r>
        <w:rPr>
          <w:rFonts w:hint="eastAsia" w:ascii="宋体" w:hAnsi="宋体" w:cs="宋体"/>
          <w:color w:val="000000" w:themeColor="text1"/>
          <w:kern w:val="0"/>
          <w:szCs w:val="21"/>
          <w14:textFill>
            <w14:solidFill>
              <w14:schemeClr w14:val="tx1"/>
            </w14:solidFill>
          </w14:textFill>
        </w:rPr>
        <w:t>提交的</w:t>
      </w:r>
      <w:r>
        <w:rPr>
          <w:rFonts w:hint="eastAsia" w:ascii="宋体" w:hAnsi="宋体" w:cs="Courier New"/>
          <w:color w:val="000000" w:themeColor="text1"/>
          <w:szCs w:val="21"/>
          <w14:textFill>
            <w14:solidFill>
              <w14:schemeClr w14:val="tx1"/>
            </w14:solidFill>
          </w14:textFill>
        </w:rPr>
        <w:t>最后报价(或者</w:t>
      </w:r>
      <w:r>
        <w:rPr>
          <w:rFonts w:hint="eastAsia" w:ascii="宋体" w:hAnsi="宋体" w:cs="Courier New"/>
          <w:bCs/>
          <w:color w:val="000000" w:themeColor="text1"/>
          <w:szCs w:val="21"/>
          <w14:textFill>
            <w14:solidFill>
              <w14:schemeClr w14:val="tx1"/>
            </w14:solidFill>
          </w14:textFill>
        </w:rPr>
        <w:t>重</w:t>
      </w:r>
      <w:r>
        <w:rPr>
          <w:rFonts w:hint="eastAsia" w:ascii="宋体" w:hAnsi="宋体" w:cs="宋体"/>
          <w:color w:val="000000" w:themeColor="text1"/>
          <w:kern w:val="0"/>
          <w:szCs w:val="21"/>
          <w14:textFill>
            <w14:solidFill>
              <w14:schemeClr w14:val="tx1"/>
            </w14:solidFill>
          </w14:textFill>
        </w:rPr>
        <w:t>新提交的响应文件和</w:t>
      </w:r>
      <w:r>
        <w:rPr>
          <w:rFonts w:hint="eastAsia" w:ascii="宋体" w:hAnsi="宋体" w:cs="Courier New"/>
          <w:color w:val="000000" w:themeColor="text1"/>
          <w:szCs w:val="21"/>
          <w14:textFill>
            <w14:solidFill>
              <w14:schemeClr w14:val="tx1"/>
            </w14:solidFill>
          </w14:textFill>
        </w:rPr>
        <w:t>最后报价)，可打印或用不褪色材料书写，并经供应商代表签字，</w:t>
      </w:r>
      <w:r>
        <w:rPr>
          <w:rFonts w:hint="eastAsia" w:ascii="宋体" w:hAnsi="宋体" w:cs="宋体"/>
          <w:color w:val="000000" w:themeColor="text1"/>
          <w:kern w:val="0"/>
          <w:szCs w:val="21"/>
          <w14:textFill>
            <w14:solidFill>
              <w14:schemeClr w14:val="tx1"/>
            </w14:solidFill>
          </w14:textFill>
        </w:rPr>
        <w:t>或者加盖供应商单位公章</w:t>
      </w:r>
      <w:r>
        <w:rPr>
          <w:rFonts w:hint="eastAsia" w:ascii="宋体" w:hAnsi="宋体" w:cs="Courier New"/>
          <w:color w:val="000000" w:themeColor="text1"/>
          <w:szCs w:val="21"/>
          <w14:textFill>
            <w14:solidFill>
              <w14:schemeClr w14:val="tx1"/>
            </w14:solidFill>
          </w14:textFill>
        </w:rPr>
        <w:t>。否则，</w:t>
      </w:r>
      <w:r>
        <w:rPr>
          <w:rFonts w:hint="eastAsia" w:ascii="宋体" w:hAnsi="宋体" w:cs="Courier New"/>
          <w:b w:val="0"/>
          <w:bCs w:val="0"/>
          <w:color w:val="000000" w:themeColor="text1"/>
          <w:szCs w:val="21"/>
          <w14:textFill>
            <w14:solidFill>
              <w14:schemeClr w14:val="tx1"/>
            </w14:solidFill>
          </w14:textFill>
        </w:rPr>
        <w:t>将导致</w:t>
      </w:r>
      <w:r>
        <w:rPr>
          <w:rFonts w:hint="eastAsia" w:ascii="宋体" w:hAnsi="宋体" w:cs="Courier New"/>
          <w:b/>
          <w:bCs/>
          <w:color w:val="000000" w:themeColor="text1"/>
          <w:szCs w:val="21"/>
          <w14:textFill>
            <w14:solidFill>
              <w14:schemeClr w14:val="tx1"/>
            </w14:solidFill>
          </w14:textFill>
        </w:rPr>
        <w:t>响应文件无效。</w:t>
      </w:r>
    </w:p>
    <w:p w14:paraId="20F2CD8B">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15.5为便于采购文件保存，</w:t>
      </w:r>
      <w:r>
        <w:rPr>
          <w:rFonts w:hint="eastAsia" w:hAnsi="宋体"/>
          <w:color w:val="000000" w:themeColor="text1"/>
          <w14:textFill>
            <w14:solidFill>
              <w14:schemeClr w14:val="tx1"/>
            </w14:solidFill>
          </w14:textFill>
        </w:rPr>
        <w:t>响应文件</w:t>
      </w:r>
      <w:r>
        <w:rPr>
          <w:rFonts w:hint="eastAsia" w:ascii="宋体" w:hAnsi="宋体"/>
          <w:color w:val="000000" w:themeColor="text1"/>
          <w:szCs w:val="21"/>
          <w14:textFill>
            <w14:solidFill>
              <w14:schemeClr w14:val="tx1"/>
            </w14:solidFill>
          </w14:textFill>
        </w:rPr>
        <w:t>电子文档建议为PDF格式，内容与纸质</w:t>
      </w:r>
      <w:r>
        <w:rPr>
          <w:rFonts w:hint="eastAsia" w:hAnsi="宋体"/>
          <w:color w:val="000000" w:themeColor="text1"/>
          <w14:textFill>
            <w14:solidFill>
              <w14:schemeClr w14:val="tx1"/>
            </w14:solidFill>
          </w14:textFill>
        </w:rPr>
        <w:t>响应文件</w:t>
      </w:r>
      <w:r>
        <w:rPr>
          <w:rFonts w:hint="eastAsia" w:ascii="宋体" w:hAnsi="宋体"/>
          <w:color w:val="000000" w:themeColor="text1"/>
          <w:szCs w:val="21"/>
          <w14:textFill>
            <w14:solidFill>
              <w14:schemeClr w14:val="tx1"/>
            </w14:solidFill>
          </w14:textFill>
        </w:rPr>
        <w:t>正本一致。</w:t>
      </w:r>
    </w:p>
    <w:p w14:paraId="41EDABD8">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67" w:name="_Toc107997980"/>
      <w:bookmarkStart w:id="68" w:name="_Toc4934"/>
      <w:r>
        <w:rPr>
          <w:rFonts w:hint="eastAsia" w:ascii="黑体" w:hAnsi="黑体" w:eastAsia="黑体"/>
          <w:b/>
          <w:bCs/>
          <w:color w:val="000000" w:themeColor="text1"/>
          <w:sz w:val="28"/>
          <w:szCs w:val="28"/>
          <w14:textFill>
            <w14:solidFill>
              <w14:schemeClr w14:val="tx1"/>
            </w14:solidFill>
          </w14:textFill>
        </w:rPr>
        <w:t>四、响应文件的递交</w:t>
      </w:r>
      <w:bookmarkEnd w:id="67"/>
      <w:bookmarkEnd w:id="68"/>
    </w:p>
    <w:p w14:paraId="00B086CF">
      <w:pPr>
        <w:spacing w:line="360" w:lineRule="auto"/>
        <w:outlineLvl w:val="3"/>
        <w:rPr>
          <w:rFonts w:ascii="黑体" w:hAnsi="黑体" w:eastAsia="黑体"/>
          <w:b/>
          <w:bCs/>
          <w:color w:val="000000" w:themeColor="text1"/>
          <w:sz w:val="24"/>
          <w14:textFill>
            <w14:solidFill>
              <w14:schemeClr w14:val="tx1"/>
            </w14:solidFill>
          </w14:textFill>
        </w:rPr>
      </w:pPr>
      <w:bookmarkStart w:id="69" w:name="_Toc107997981"/>
      <w:bookmarkStart w:id="70" w:name="_Toc107997854"/>
      <w:r>
        <w:rPr>
          <w:rFonts w:hint="eastAsia" w:ascii="黑体" w:hAnsi="黑体" w:eastAsia="黑体"/>
          <w:b/>
          <w:bCs/>
          <w:color w:val="000000" w:themeColor="text1"/>
          <w:sz w:val="24"/>
          <w14:textFill>
            <w14:solidFill>
              <w14:schemeClr w14:val="tx1"/>
            </w14:solidFill>
          </w14:textFill>
        </w:rPr>
        <w:t>16.响应文件的密封和标记</w:t>
      </w:r>
      <w:bookmarkEnd w:id="69"/>
      <w:bookmarkEnd w:id="70"/>
    </w:p>
    <w:p w14:paraId="7956B6B5">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16.1响应文件应密封包装，以保证其响应文件信息在提交首次响应文件截止时间前不被透露。</w:t>
      </w:r>
    </w:p>
    <w:p w14:paraId="7928800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16.2响应文件封套上应写明的内容见</w:t>
      </w:r>
      <w:r>
        <w:rPr>
          <w:rFonts w:hint="eastAsia" w:ascii="宋体" w:hAnsi="宋体"/>
          <w:b/>
          <w:color w:val="000000" w:themeColor="text1"/>
          <w:szCs w:val="21"/>
          <w14:textFill>
            <w14:solidFill>
              <w14:schemeClr w14:val="tx1"/>
            </w14:solidFill>
          </w14:textFill>
        </w:rPr>
        <w:t>【</w:t>
      </w:r>
      <w:r>
        <w:rPr>
          <w:rFonts w:hint="eastAsia" w:hAnsi="宋体"/>
          <w:b/>
          <w:color w:val="000000" w:themeColor="text1"/>
          <w14:textFill>
            <w14:solidFill>
              <w14:schemeClr w14:val="tx1"/>
            </w14:solidFill>
          </w14:textFill>
        </w:rPr>
        <w:t>谈判</w:t>
      </w:r>
      <w:r>
        <w:rPr>
          <w:rFonts w:hint="eastAsia" w:ascii="宋体" w:hAnsi="宋体"/>
          <w:b/>
          <w:color w:val="000000" w:themeColor="text1"/>
          <w:szCs w:val="21"/>
          <w14:textFill>
            <w14:solidFill>
              <w14:schemeClr w14:val="tx1"/>
            </w14:solidFill>
          </w14:textFill>
        </w:rPr>
        <w:t>须知前附表】。</w:t>
      </w:r>
    </w:p>
    <w:p w14:paraId="3E66ECF2">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16.3响应文件如果未按本章第</w:t>
      </w:r>
      <w:r>
        <w:rPr>
          <w:rFonts w:hint="eastAsia" w:ascii="宋体" w:hAnsi="宋体"/>
          <w:color w:val="000000" w:themeColor="text1"/>
          <w14:textFill>
            <w14:solidFill>
              <w14:schemeClr w14:val="tx1"/>
            </w14:solidFill>
          </w14:textFill>
        </w:rPr>
        <w:t>16.1款</w:t>
      </w:r>
      <w:r>
        <w:rPr>
          <w:rFonts w:hint="eastAsia" w:ascii="宋体" w:hAnsi="宋体"/>
          <w:color w:val="000000" w:themeColor="text1"/>
          <w:szCs w:val="21"/>
          <w14:textFill>
            <w14:solidFill>
              <w14:schemeClr w14:val="tx1"/>
            </w14:solidFill>
          </w14:textFill>
        </w:rPr>
        <w:t>规定密封，采购人、采购代理机构将拒绝接收。</w:t>
      </w:r>
    </w:p>
    <w:p w14:paraId="2E0F7FE4">
      <w:pPr>
        <w:spacing w:line="360" w:lineRule="auto"/>
        <w:outlineLvl w:val="3"/>
        <w:rPr>
          <w:rFonts w:ascii="黑体" w:hAnsi="黑体" w:eastAsia="黑体"/>
          <w:b/>
          <w:bCs/>
          <w:color w:val="000000" w:themeColor="text1"/>
          <w:sz w:val="24"/>
          <w14:textFill>
            <w14:solidFill>
              <w14:schemeClr w14:val="tx1"/>
            </w14:solidFill>
          </w14:textFill>
        </w:rPr>
      </w:pPr>
      <w:bookmarkStart w:id="71" w:name="_Toc107997982"/>
      <w:bookmarkStart w:id="72" w:name="_Toc107997855"/>
      <w:r>
        <w:rPr>
          <w:rFonts w:hint="eastAsia" w:ascii="黑体" w:hAnsi="黑体" w:eastAsia="黑体"/>
          <w:b/>
          <w:bCs/>
          <w:color w:val="000000" w:themeColor="text1"/>
          <w:sz w:val="24"/>
          <w14:textFill>
            <w14:solidFill>
              <w14:schemeClr w14:val="tx1"/>
            </w14:solidFill>
          </w14:textFill>
        </w:rPr>
        <w:t>17.响应文件的</w:t>
      </w:r>
      <w:r>
        <w:rPr>
          <w:rFonts w:hint="eastAsia" w:ascii="黑体" w:hAnsi="黑体" w:eastAsia="黑体" w:cs="宋体"/>
          <w:b/>
          <w:bCs/>
          <w:color w:val="000000" w:themeColor="text1"/>
          <w:kern w:val="0"/>
          <w:sz w:val="24"/>
          <w:lang w:val="zh-CN"/>
          <w14:textFill>
            <w14:solidFill>
              <w14:schemeClr w14:val="tx1"/>
            </w14:solidFill>
          </w14:textFill>
        </w:rPr>
        <w:t>补充、修改或者撤回</w:t>
      </w:r>
      <w:bookmarkEnd w:id="71"/>
      <w:bookmarkEnd w:id="72"/>
    </w:p>
    <w:p w14:paraId="441FF2E8">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17.1</w:t>
      </w:r>
      <w:r>
        <w:rPr>
          <w:rFonts w:hint="eastAsia" w:ascii="宋体" w:hAnsi="宋体" w:cs="宋体"/>
          <w:color w:val="000000" w:themeColor="text1"/>
          <w:kern w:val="0"/>
          <w:szCs w:val="21"/>
          <w14:textFill>
            <w14:solidFill>
              <w14:schemeClr w14:val="tx1"/>
            </w14:solidFill>
          </w14:textFill>
        </w:rPr>
        <w:t>供应商在提交首次响应文件截止时间前，可以对所提交的首次响应文件进行补充、修改或者撤回，并书面通知采购人、采购代理机构。</w:t>
      </w:r>
      <w:r>
        <w:rPr>
          <w:rFonts w:hint="eastAsia" w:ascii="宋体" w:hAnsi="宋体" w:cs="Courier New"/>
          <w:color w:val="000000" w:themeColor="text1"/>
          <w:szCs w:val="21"/>
          <w14:textFill>
            <w14:solidFill>
              <w14:schemeClr w14:val="tx1"/>
            </w14:solidFill>
          </w14:textFill>
        </w:rPr>
        <w:t>该通知应有供应商代表签字。</w:t>
      </w:r>
    </w:p>
    <w:p w14:paraId="2DEF4917">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17.2</w:t>
      </w:r>
      <w:r>
        <w:rPr>
          <w:rFonts w:hint="eastAsia" w:ascii="宋体" w:hAnsi="宋体" w:cs="宋体"/>
          <w:color w:val="000000" w:themeColor="text1"/>
          <w:kern w:val="0"/>
          <w:szCs w:val="21"/>
          <w:lang w:val="zh-CN"/>
          <w14:textFill>
            <w14:solidFill>
              <w14:schemeClr w14:val="tx1"/>
            </w14:solidFill>
          </w14:textFill>
        </w:rPr>
        <w:t>补充、修改的内容与响应文件不一致时，以补充、修改的内容为准。</w:t>
      </w:r>
    </w:p>
    <w:p w14:paraId="63E8F2E3">
      <w:pPr>
        <w:spacing w:line="360" w:lineRule="auto"/>
        <w:outlineLvl w:val="3"/>
        <w:rPr>
          <w:rFonts w:ascii="黑体" w:hAnsi="黑体" w:eastAsia="黑体"/>
          <w:b/>
          <w:bCs/>
          <w:color w:val="000000" w:themeColor="text1"/>
          <w:sz w:val="24"/>
          <w14:textFill>
            <w14:solidFill>
              <w14:schemeClr w14:val="tx1"/>
            </w14:solidFill>
          </w14:textFill>
        </w:rPr>
      </w:pPr>
      <w:bookmarkStart w:id="73" w:name="_Toc107997983"/>
      <w:bookmarkStart w:id="74" w:name="_Toc107997856"/>
      <w:r>
        <w:rPr>
          <w:rFonts w:hint="eastAsia" w:ascii="黑体" w:hAnsi="黑体" w:eastAsia="黑体"/>
          <w:b/>
          <w:bCs/>
          <w:color w:val="000000" w:themeColor="text1"/>
          <w:sz w:val="24"/>
          <w14:textFill>
            <w14:solidFill>
              <w14:schemeClr w14:val="tx1"/>
            </w14:solidFill>
          </w14:textFill>
        </w:rPr>
        <w:t>18.响应文件的递交与接收</w:t>
      </w:r>
      <w:bookmarkEnd w:id="73"/>
      <w:bookmarkEnd w:id="74"/>
    </w:p>
    <w:p w14:paraId="33BB26FA">
      <w:pPr>
        <w:adjustRightInd w:val="0"/>
        <w:snapToGrid w:val="0"/>
        <w:spacing w:line="360" w:lineRule="auto"/>
        <w:ind w:firstLine="420" w:firstLineChars="200"/>
        <w:rPr>
          <w:rFonts w:hAnsi="宋体" w:cs="宋体"/>
          <w:color w:val="000000" w:themeColor="text1"/>
          <w:kern w:val="0"/>
          <w14:textFill>
            <w14:solidFill>
              <w14:schemeClr w14:val="tx1"/>
            </w14:solidFill>
          </w14:textFill>
        </w:rPr>
      </w:pPr>
      <w:r>
        <w:rPr>
          <w:rFonts w:hint="eastAsia" w:ascii="宋体" w:hAnsi="宋体"/>
          <w:color w:val="000000" w:themeColor="text1"/>
          <w:szCs w:val="21"/>
          <w14:textFill>
            <w14:solidFill>
              <w14:schemeClr w14:val="tx1"/>
            </w14:solidFill>
          </w14:textFill>
        </w:rPr>
        <w:t>18.1供应商应在</w:t>
      </w:r>
      <w:r>
        <w:rPr>
          <w:rFonts w:hint="eastAsia" w:ascii="宋体" w:hAnsi="宋体"/>
          <w:b/>
          <w:color w:val="000000" w:themeColor="text1"/>
          <w:szCs w:val="21"/>
          <w14:textFill>
            <w14:solidFill>
              <w14:schemeClr w14:val="tx1"/>
            </w14:solidFill>
          </w14:textFill>
        </w:rPr>
        <w:t>【</w:t>
      </w:r>
      <w:r>
        <w:rPr>
          <w:rFonts w:hint="eastAsia" w:hAnsi="宋体"/>
          <w:b/>
          <w:color w:val="000000" w:themeColor="text1"/>
          <w14:textFill>
            <w14:solidFill>
              <w14:schemeClr w14:val="tx1"/>
            </w14:solidFill>
          </w14:textFill>
        </w:rPr>
        <w:t>谈判</w:t>
      </w:r>
      <w:r>
        <w:rPr>
          <w:rFonts w:hint="eastAsia" w:ascii="宋体" w:hAnsi="宋体"/>
          <w:b/>
          <w:color w:val="000000" w:themeColor="text1"/>
          <w:szCs w:val="21"/>
          <w14:textFill>
            <w14:solidFill>
              <w14:schemeClr w14:val="tx1"/>
            </w14:solidFill>
          </w14:textFill>
        </w:rPr>
        <w:t>须知前附表】</w:t>
      </w:r>
      <w:r>
        <w:rPr>
          <w:rFonts w:hint="eastAsia" w:hAnsi="宋体"/>
          <w:color w:val="000000" w:themeColor="text1"/>
          <w14:textFill>
            <w14:solidFill>
              <w14:schemeClr w14:val="tx1"/>
            </w14:solidFill>
          </w14:textFill>
        </w:rPr>
        <w:t>规定的</w:t>
      </w:r>
      <w:r>
        <w:rPr>
          <w:rFonts w:hint="eastAsia" w:ascii="宋体" w:hAnsi="宋体" w:cs="宋体"/>
          <w:color w:val="000000" w:themeColor="text1"/>
          <w:kern w:val="0"/>
          <w:szCs w:val="21"/>
          <w14:textFill>
            <w14:solidFill>
              <w14:schemeClr w14:val="tx1"/>
            </w14:solidFill>
          </w14:textFill>
        </w:rPr>
        <w:t>时间和</w:t>
      </w:r>
      <w:r>
        <w:rPr>
          <w:rFonts w:hint="eastAsia" w:ascii="宋体" w:hAnsi="宋体"/>
          <w:color w:val="000000" w:themeColor="text1"/>
          <w:szCs w:val="21"/>
          <w14:textFill>
            <w14:solidFill>
              <w14:schemeClr w14:val="tx1"/>
            </w14:solidFill>
          </w14:textFill>
        </w:rPr>
        <w:t>地点提交响应文件。</w:t>
      </w:r>
      <w:r>
        <w:rPr>
          <w:rFonts w:hint="eastAsia" w:hAnsi="宋体" w:cs="宋体"/>
          <w:color w:val="000000" w:themeColor="text1"/>
          <w:kern w:val="0"/>
          <w14:textFill>
            <w14:solidFill>
              <w14:schemeClr w14:val="tx1"/>
            </w14:solidFill>
          </w14:textFill>
        </w:rPr>
        <w:t>采购人、采购代理机构或者谈判小组拒收逾期送达的响应文件。</w:t>
      </w:r>
    </w:p>
    <w:p w14:paraId="1FF416C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采购人、采购代理机构收到响应文件后，应当如实记载响应文件的送达时间和密封情况，签收保存，并向供应商出具包括以下信息的签收回执。任何单位和个人不得在提交首次响应文件截止时间前开启响应文件。</w:t>
      </w:r>
    </w:p>
    <w:p w14:paraId="600D119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（1）项目名称、政府采购计划编号；</w:t>
      </w:r>
    </w:p>
    <w:p w14:paraId="72B9E86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（2）供应商名称；</w:t>
      </w:r>
    </w:p>
    <w:p w14:paraId="14B2FB4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（3）响应文件送达时间、地址；</w:t>
      </w:r>
    </w:p>
    <w:p w14:paraId="0DB9846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（4）响应文件密封情况；</w:t>
      </w:r>
    </w:p>
    <w:p w14:paraId="4179401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（5）采购人、采购代理机构名称；</w:t>
      </w:r>
    </w:p>
    <w:p w14:paraId="04C04C5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（6）采购人、采购代理机构接收人签字。</w:t>
      </w:r>
    </w:p>
    <w:p w14:paraId="052D6A2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18.3采购人、</w:t>
      </w:r>
      <w:r>
        <w:rPr>
          <w:rFonts w:hint="eastAsia" w:ascii="宋体" w:hAnsi="宋体" w:cs="Courier New"/>
          <w:bCs/>
          <w:color w:val="000000" w:themeColor="text1"/>
          <w:szCs w:val="21"/>
          <w14:textFill>
            <w14:solidFill>
              <w14:schemeClr w14:val="tx1"/>
            </w14:solidFill>
          </w14:textFill>
        </w:rPr>
        <w:t>采购代理机构</w:t>
      </w:r>
      <w:r>
        <w:rPr>
          <w:rFonts w:hint="eastAsia" w:ascii="宋体" w:hAnsi="宋体" w:cs="Courier New"/>
          <w:color w:val="000000" w:themeColor="text1"/>
          <w:szCs w:val="21"/>
          <w14:textFill>
            <w14:solidFill>
              <w14:schemeClr w14:val="tx1"/>
            </w14:solidFill>
          </w14:textFill>
        </w:rPr>
        <w:t>在按本章第2</w:t>
      </w:r>
      <w:r>
        <w:rPr>
          <w:rFonts w:ascii="宋体" w:hAnsi="宋体" w:cs="Courier New"/>
          <w:color w:val="000000" w:themeColor="text1"/>
          <w:szCs w:val="21"/>
          <w14:textFill>
            <w14:solidFill>
              <w14:schemeClr w14:val="tx1"/>
            </w14:solidFill>
          </w14:textFill>
        </w:rPr>
        <w:t>4</w:t>
      </w:r>
      <w:r>
        <w:rPr>
          <w:rFonts w:hint="eastAsia" w:ascii="宋体" w:hAnsi="宋体" w:cs="Courier New"/>
          <w:color w:val="000000" w:themeColor="text1"/>
          <w:szCs w:val="21"/>
          <w14:textFill>
            <w14:solidFill>
              <w14:schemeClr w14:val="tx1"/>
            </w14:solidFill>
          </w14:textFill>
        </w:rPr>
        <w:t>.3款规定公布供应商的最后报价前，不公开供应商的技术资料、价格和其他信息。</w:t>
      </w:r>
    </w:p>
    <w:p w14:paraId="7ADCBFA7">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75" w:name="_Toc2539"/>
      <w:bookmarkStart w:id="76" w:name="_Toc107997984"/>
      <w:r>
        <w:rPr>
          <w:rFonts w:hint="eastAsia" w:ascii="黑体" w:hAnsi="黑体" w:eastAsia="黑体"/>
          <w:b/>
          <w:bCs/>
          <w:color w:val="000000" w:themeColor="text1"/>
          <w:sz w:val="28"/>
          <w:szCs w:val="28"/>
          <w14:textFill>
            <w14:solidFill>
              <w14:schemeClr w14:val="tx1"/>
            </w14:solidFill>
          </w14:textFill>
        </w:rPr>
        <w:t>五、响应文件的评审与谈判</w:t>
      </w:r>
      <w:bookmarkEnd w:id="75"/>
      <w:bookmarkEnd w:id="76"/>
    </w:p>
    <w:p w14:paraId="2DF11CDA">
      <w:pPr>
        <w:spacing w:line="360" w:lineRule="auto"/>
        <w:outlineLvl w:val="3"/>
        <w:rPr>
          <w:rFonts w:ascii="黑体" w:hAnsi="黑体" w:eastAsia="黑体"/>
          <w:b/>
          <w:bCs/>
          <w:color w:val="000000" w:themeColor="text1"/>
          <w:sz w:val="24"/>
          <w14:textFill>
            <w14:solidFill>
              <w14:schemeClr w14:val="tx1"/>
            </w14:solidFill>
          </w14:textFill>
        </w:rPr>
      </w:pPr>
      <w:bookmarkStart w:id="77" w:name="_Toc107997985"/>
      <w:bookmarkStart w:id="78" w:name="_Toc107997858"/>
      <w:r>
        <w:rPr>
          <w:rFonts w:hint="eastAsia" w:ascii="黑体" w:hAnsi="黑体" w:eastAsia="黑体"/>
          <w:b/>
          <w:bCs/>
          <w:color w:val="000000" w:themeColor="text1"/>
          <w:sz w:val="24"/>
          <w14:textFill>
            <w14:solidFill>
              <w14:schemeClr w14:val="tx1"/>
            </w14:solidFill>
          </w14:textFill>
        </w:rPr>
        <w:t>19.供应商资格审查</w:t>
      </w:r>
      <w:bookmarkEnd w:id="77"/>
      <w:bookmarkEnd w:id="78"/>
    </w:p>
    <w:p w14:paraId="20707CF2">
      <w:pPr>
        <w:adjustRightInd w:val="0"/>
        <w:snapToGrid w:val="0"/>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s="宋体"/>
          <w:color w:val="000000" w:themeColor="text1"/>
          <w:kern w:val="0"/>
          <w:lang w:val="zh-CN"/>
          <w14:textFill>
            <w14:solidFill>
              <w14:schemeClr w14:val="tx1"/>
            </w14:solidFill>
          </w14:textFill>
        </w:rPr>
        <w:t>19.1</w:t>
      </w:r>
      <w:r>
        <w:rPr>
          <w:rFonts w:hint="eastAsia" w:ascii="宋体" w:hAnsi="宋体" w:eastAsia="宋体"/>
          <w:color w:val="000000" w:themeColor="text1"/>
          <w:szCs w:val="21"/>
          <w14:textFill>
            <w14:solidFill>
              <w14:schemeClr w14:val="tx1"/>
            </w14:solidFill>
          </w14:textFill>
        </w:rPr>
        <w:t>除本章第14.1</w:t>
      </w:r>
      <w:r>
        <w:rPr>
          <w:rFonts w:hint="eastAsia" w:ascii="宋体" w:hAnsi="宋体" w:eastAsia="宋体" w:cs="宋体"/>
          <w:color w:val="000000" w:themeColor="text1"/>
          <w:kern w:val="0"/>
          <w:szCs w:val="21"/>
          <w:lang w:val="zh-CN"/>
          <w14:textFill>
            <w14:solidFill>
              <w14:schemeClr w14:val="tx1"/>
            </w14:solidFill>
          </w14:textFill>
        </w:rPr>
        <w:t>款规定的</w:t>
      </w:r>
      <w:r>
        <w:rPr>
          <w:rFonts w:hint="eastAsia" w:ascii="宋体" w:hAnsi="宋体" w:eastAsia="宋体"/>
          <w:color w:val="000000" w:themeColor="text1"/>
          <w14:textFill>
            <w14:solidFill>
              <w14:schemeClr w14:val="tx1"/>
            </w14:solidFill>
          </w14:textFill>
        </w:rPr>
        <w:t>情形外，采购人、采购代理机构不再对供应商进行资格审查。</w:t>
      </w:r>
    </w:p>
    <w:p w14:paraId="1AD8CDDB">
      <w:pPr>
        <w:adjustRightInd w:val="0"/>
        <w:snapToGrid w:val="0"/>
        <w:spacing w:line="360" w:lineRule="auto"/>
        <w:ind w:firstLine="420" w:firstLineChars="200"/>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19.2如果供应商不再具备本章第3.1款规定的供应商资格条件时，</w:t>
      </w:r>
      <w:r>
        <w:rPr>
          <w:rFonts w:hint="eastAsia" w:ascii="宋体" w:hAnsi="宋体" w:eastAsia="宋体"/>
          <w:b/>
          <w:color w:val="000000" w:themeColor="text1"/>
          <w14:textFill>
            <w14:solidFill>
              <w14:schemeClr w14:val="tx1"/>
            </w14:solidFill>
          </w14:textFill>
        </w:rPr>
        <w:t>响应文件无效</w:t>
      </w:r>
      <w:r>
        <w:rPr>
          <w:rFonts w:hint="eastAsia" w:ascii="宋体" w:hAnsi="宋体" w:eastAsia="宋体"/>
          <w:color w:val="000000" w:themeColor="text1"/>
          <w14:textFill>
            <w14:solidFill>
              <w14:schemeClr w14:val="tx1"/>
            </w14:solidFill>
          </w14:textFill>
        </w:rPr>
        <w:t>。</w:t>
      </w:r>
    </w:p>
    <w:p w14:paraId="32375029">
      <w:pPr>
        <w:spacing w:line="360" w:lineRule="auto"/>
        <w:outlineLvl w:val="3"/>
        <w:rPr>
          <w:rFonts w:ascii="黑体" w:hAnsi="黑体" w:eastAsia="黑体"/>
          <w:b/>
          <w:bCs/>
          <w:color w:val="000000" w:themeColor="text1"/>
          <w:sz w:val="24"/>
          <w14:textFill>
            <w14:solidFill>
              <w14:schemeClr w14:val="tx1"/>
            </w14:solidFill>
          </w14:textFill>
        </w:rPr>
      </w:pPr>
      <w:bookmarkStart w:id="79" w:name="_Toc107997860"/>
      <w:bookmarkStart w:id="80" w:name="_Toc107997987"/>
      <w:r>
        <w:rPr>
          <w:rFonts w:hint="eastAsia" w:ascii="黑体" w:hAnsi="黑体" w:eastAsia="黑体"/>
          <w:b/>
          <w:bCs/>
          <w:color w:val="000000" w:themeColor="text1"/>
          <w:sz w:val="24"/>
          <w14:textFill>
            <w14:solidFill>
              <w14:schemeClr w14:val="tx1"/>
            </w14:solidFill>
          </w14:textFill>
        </w:rPr>
        <w:t>20.谈判小组</w:t>
      </w:r>
      <w:bookmarkEnd w:id="79"/>
      <w:bookmarkEnd w:id="80"/>
    </w:p>
    <w:p w14:paraId="2DE46416">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20.1谈判小组由采购人代表和评审专家组成。</w:t>
      </w:r>
    </w:p>
    <w:p w14:paraId="1FB9CA1E">
      <w:pPr>
        <w:adjustRightInd w:val="0"/>
        <w:snapToGrid w:val="0"/>
        <w:spacing w:line="360" w:lineRule="auto"/>
        <w:ind w:firstLine="420"/>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20.2谈判小组</w:t>
      </w:r>
      <w:r>
        <w:rPr>
          <w:rFonts w:ascii="宋体" w:hAnsi="宋体"/>
          <w:color w:val="000000" w:themeColor="text1"/>
          <w:szCs w:val="21"/>
          <w14:textFill>
            <w14:solidFill>
              <w14:schemeClr w14:val="tx1"/>
            </w14:solidFill>
          </w14:textFill>
        </w:rPr>
        <w:t>成员有下列情形之一的，应当回避：</w:t>
      </w:r>
    </w:p>
    <w:p w14:paraId="7359E59D">
      <w:pPr>
        <w:adjustRightInd w:val="0"/>
        <w:snapToGrid w:val="0"/>
        <w:spacing w:line="360" w:lineRule="auto"/>
        <w:ind w:firstLine="420"/>
        <w:jc w:val="lef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（1）参加采购活动前 3 年内与供应商存在劳动关系</w:t>
      </w:r>
      <w:r>
        <w:rPr>
          <w:rFonts w:hint="eastAsia" w:ascii="宋体" w:hAnsi="宋体"/>
          <w:color w:val="000000" w:themeColor="text1"/>
          <w:szCs w:val="21"/>
          <w14:textFill>
            <w14:solidFill>
              <w14:schemeClr w14:val="tx1"/>
            </w14:solidFill>
          </w14:textFill>
        </w:rPr>
        <w:t>；</w:t>
      </w:r>
    </w:p>
    <w:p w14:paraId="2366A4BA">
      <w:pPr>
        <w:adjustRightInd w:val="0"/>
        <w:snapToGrid w:val="0"/>
        <w:spacing w:line="360" w:lineRule="auto"/>
        <w:ind w:firstLine="420"/>
        <w:jc w:val="lef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（2）参加采购活动前 3 年内担任供应商的董事、监事；</w:t>
      </w:r>
    </w:p>
    <w:p w14:paraId="25684DAD">
      <w:pPr>
        <w:adjustRightInd w:val="0"/>
        <w:snapToGrid w:val="0"/>
        <w:spacing w:line="360" w:lineRule="auto"/>
        <w:ind w:firstLine="420"/>
        <w:jc w:val="lef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（3）参加采购活动前 3 年内是供应商的控股股东或者实际控制人；</w:t>
      </w:r>
    </w:p>
    <w:p w14:paraId="5ED5D651">
      <w:pPr>
        <w:adjustRightInd w:val="0"/>
        <w:snapToGrid w:val="0"/>
        <w:spacing w:line="360" w:lineRule="auto"/>
        <w:ind w:firstLine="420"/>
        <w:jc w:val="left"/>
        <w:rPr>
          <w:rFonts w:hint="eastAsia" w:ascii="宋体" w:hAnsi="宋体" w:eastAsia="宋体"/>
          <w:color w:val="000000" w:themeColor="text1"/>
          <w:szCs w:val="21"/>
          <w:lang w:eastAsia="zh-CN"/>
          <w14:textFill>
            <w14:solidFill>
              <w14:schemeClr w14:val="tx1"/>
            </w14:solidFill>
          </w14:textFill>
        </w:rPr>
      </w:pPr>
      <w:r>
        <w:rPr>
          <w:rFonts w:ascii="宋体" w:hAnsi="宋体"/>
          <w:color w:val="000000" w:themeColor="text1"/>
          <w:szCs w:val="21"/>
          <w14:textFill>
            <w14:solidFill>
              <w14:schemeClr w14:val="tx1"/>
            </w14:solidFill>
          </w14:textFill>
        </w:rPr>
        <w:t>（4）与供应商的法定代表人或者负责人有夫妻、直系血亲、三代以内旁系血</w:t>
      </w:r>
    </w:p>
    <w:p w14:paraId="5ED8520B">
      <w:pPr>
        <w:adjustRightInd w:val="0"/>
        <w:snapToGrid w:val="0"/>
        <w:spacing w:line="360" w:lineRule="auto"/>
        <w:ind w:firstLine="420"/>
        <w:jc w:val="left"/>
        <w:rPr>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亲或者近姻亲关系；</w:t>
      </w:r>
    </w:p>
    <w:p w14:paraId="2F5E742A">
      <w:pPr>
        <w:adjustRightInd w:val="0"/>
        <w:snapToGrid w:val="0"/>
        <w:spacing w:line="360" w:lineRule="auto"/>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（5）与供应商有其他可能影响政府采购活动公平、公正进行的关系。</w:t>
      </w:r>
    </w:p>
    <w:p w14:paraId="36A8FBAB">
      <w:pPr>
        <w:adjustRightInd w:val="0"/>
        <w:snapToGrid w:val="0"/>
        <w:spacing w:line="360" w:lineRule="auto"/>
        <w:ind w:firstLine="420"/>
        <w:jc w:val="left"/>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3谈判小组成员应当按照客观、公正、审慎的原则，根据谈判文件规定的评审程序、评审方法和评审标准进行独立评审。</w:t>
      </w:r>
    </w:p>
    <w:p w14:paraId="66C22A73">
      <w:pPr>
        <w:spacing w:line="360" w:lineRule="auto"/>
        <w:outlineLvl w:val="3"/>
        <w:rPr>
          <w:rFonts w:ascii="黑体" w:hAnsi="黑体" w:eastAsia="黑体"/>
          <w:b/>
          <w:bCs/>
          <w:color w:val="000000" w:themeColor="text1"/>
          <w:sz w:val="24"/>
          <w14:textFill>
            <w14:solidFill>
              <w14:schemeClr w14:val="tx1"/>
            </w14:solidFill>
          </w14:textFill>
        </w:rPr>
      </w:pPr>
      <w:bookmarkStart w:id="81" w:name="_Toc107997988"/>
      <w:bookmarkStart w:id="82" w:name="_Toc107997861"/>
      <w:r>
        <w:rPr>
          <w:rFonts w:hint="eastAsia" w:ascii="黑体" w:hAnsi="黑体" w:eastAsia="黑体"/>
          <w:b/>
          <w:bCs/>
          <w:color w:val="000000" w:themeColor="text1"/>
          <w:sz w:val="24"/>
          <w14:textFill>
            <w14:solidFill>
              <w14:schemeClr w14:val="tx1"/>
            </w14:solidFill>
          </w14:textFill>
        </w:rPr>
        <w:t>21.谈判程序</w:t>
      </w:r>
      <w:bookmarkEnd w:id="81"/>
      <w:bookmarkEnd w:id="82"/>
    </w:p>
    <w:p w14:paraId="2B83E1BB">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21.1</w:t>
      </w:r>
      <w:r>
        <w:rPr>
          <w:rFonts w:hint="eastAsia" w:ascii="宋体" w:hAnsi="宋体"/>
          <w:bCs/>
          <w:color w:val="000000" w:themeColor="text1"/>
          <w:szCs w:val="21"/>
          <w14:textFill>
            <w14:solidFill>
              <w14:schemeClr w14:val="tx1"/>
            </w14:solidFill>
          </w14:textFill>
        </w:rPr>
        <w:t>谈判程序：谈判（响应文件审查、澄清）、最后报价、提出成交供应商。其中，谈判按本章第23条进行。</w:t>
      </w:r>
    </w:p>
    <w:p w14:paraId="6D549997">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21.2谈判小组应当对响应文件进行评审，并根据谈判文件规定的程序、评定成交的标准等事项与实质性响应谈判文件要求的供应商进行谈判。</w:t>
      </w:r>
    </w:p>
    <w:p w14:paraId="6B8E5BA1">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21.3在谈判过程中谈判的任何一方不得向他人透露与谈判有关的技术资料、价格或其他信息。</w:t>
      </w:r>
    </w:p>
    <w:p w14:paraId="4B9C05A9">
      <w:pPr>
        <w:spacing w:line="360" w:lineRule="auto"/>
        <w:outlineLvl w:val="3"/>
        <w:rPr>
          <w:rFonts w:ascii="黑体" w:hAnsi="黑体" w:eastAsia="黑体"/>
          <w:b/>
          <w:bCs/>
          <w:color w:val="000000" w:themeColor="text1"/>
          <w:sz w:val="24"/>
          <w14:textFill>
            <w14:solidFill>
              <w14:schemeClr w14:val="tx1"/>
            </w14:solidFill>
          </w14:textFill>
        </w:rPr>
      </w:pPr>
      <w:bookmarkStart w:id="83" w:name="_Toc107997989"/>
      <w:bookmarkStart w:id="84" w:name="_Toc107997862"/>
      <w:r>
        <w:rPr>
          <w:rFonts w:hint="eastAsia" w:ascii="黑体" w:hAnsi="黑体" w:eastAsia="黑体"/>
          <w:b/>
          <w:bCs/>
          <w:color w:val="000000" w:themeColor="text1"/>
          <w:sz w:val="24"/>
          <w14:textFill>
            <w14:solidFill>
              <w14:schemeClr w14:val="tx1"/>
            </w14:solidFill>
          </w14:textFill>
        </w:rPr>
        <w:t>22.响应文件审查</w:t>
      </w:r>
      <w:bookmarkEnd w:id="83"/>
      <w:bookmarkEnd w:id="84"/>
    </w:p>
    <w:p w14:paraId="63EF1979">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22.1谈判小组对响应文件(包括首次提交的响应文件、重新提交的响应文件)的有效性、完整性和对谈判文件的响应程度进行审查。</w:t>
      </w:r>
    </w:p>
    <w:p w14:paraId="03C9850A">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22.2响应文件有下列情况之一，响应文件按无效处理，谈判小组应当告知有关供应商。</w:t>
      </w:r>
    </w:p>
    <w:p w14:paraId="1D346227">
      <w:pPr>
        <w:adjustRightInd w:val="0"/>
        <w:snapToGrid w:val="0"/>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应交未交保证金或</w:t>
      </w:r>
      <w:r>
        <w:rPr>
          <w:rFonts w:hint="eastAsia"/>
          <w:color w:val="000000" w:themeColor="text1"/>
          <w:szCs w:val="21"/>
          <w14:textFill>
            <w14:solidFill>
              <w14:schemeClr w14:val="tx1"/>
            </w14:solidFill>
          </w14:textFill>
        </w:rPr>
        <w:t>金额不足、保证金形式不符合谈判文件要求的</w:t>
      </w:r>
      <w:r>
        <w:rPr>
          <w:rFonts w:hint="eastAsia" w:ascii="宋体" w:hAnsi="宋体"/>
          <w:color w:val="000000" w:themeColor="text1"/>
          <w:szCs w:val="21"/>
          <w14:textFill>
            <w14:solidFill>
              <w14:schemeClr w14:val="tx1"/>
            </w14:solidFill>
          </w14:textFill>
        </w:rPr>
        <w:t>；</w:t>
      </w:r>
    </w:p>
    <w:p w14:paraId="6B619C8B">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未按照谈判文件规定要求签署、盖章的；</w:t>
      </w:r>
    </w:p>
    <w:p w14:paraId="51ACF587">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（3）不满足谈判文件规定的实质性要求和条件的；</w:t>
      </w:r>
    </w:p>
    <w:p w14:paraId="72F9C223">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（4）法律、法规和谈判文件规定的其他响应无效情形。</w:t>
      </w:r>
    </w:p>
    <w:p w14:paraId="49522A73">
      <w:pPr>
        <w:tabs>
          <w:tab w:val="left" w:pos="735"/>
          <w:tab w:val="left" w:pos="7560"/>
          <w:tab w:val="left" w:pos="7740"/>
          <w:tab w:val="left" w:pos="7920"/>
        </w:tabs>
        <w:adjustRightInd w:val="0"/>
        <w:snapToGrid w:val="0"/>
        <w:spacing w:line="360" w:lineRule="auto"/>
        <w:ind w:right="300" w:rightChars="143"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22.3响应文件按无效处理的，谈判小组应拒绝其参与谈判，但属于谈判文件规定的实质性变动内容的除外。</w:t>
      </w:r>
    </w:p>
    <w:p w14:paraId="225E122F">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22.4谈判文件规定的实质性要求和条件见【</w:t>
      </w:r>
      <w:r>
        <w:rPr>
          <w:rFonts w:hint="eastAsia" w:ascii="宋体" w:hAnsi="宋体" w:cs="宋体"/>
          <w:b/>
          <w:color w:val="000000" w:themeColor="text1"/>
          <w:kern w:val="0"/>
          <w:szCs w:val="21"/>
          <w14:textFill>
            <w14:solidFill>
              <w14:schemeClr w14:val="tx1"/>
            </w14:solidFill>
          </w14:textFill>
        </w:rPr>
        <w:t>谈判须知前附表</w:t>
      </w:r>
      <w:r>
        <w:rPr>
          <w:rFonts w:hint="eastAsia" w:ascii="宋体" w:hAnsi="宋体" w:cs="宋体"/>
          <w:color w:val="000000" w:themeColor="text1"/>
          <w:kern w:val="0"/>
          <w:szCs w:val="21"/>
          <w14:textFill>
            <w14:solidFill>
              <w14:schemeClr w14:val="tx1"/>
            </w14:solidFill>
          </w14:textFill>
        </w:rPr>
        <w:t>】。</w:t>
      </w:r>
    </w:p>
    <w:p w14:paraId="2EFE9A38">
      <w:pPr>
        <w:spacing w:line="360" w:lineRule="auto"/>
        <w:outlineLvl w:val="3"/>
        <w:rPr>
          <w:rFonts w:ascii="黑体" w:hAnsi="黑体" w:eastAsia="黑体"/>
          <w:b/>
          <w:bCs/>
          <w:color w:val="000000" w:themeColor="text1"/>
          <w:sz w:val="24"/>
          <w14:textFill>
            <w14:solidFill>
              <w14:schemeClr w14:val="tx1"/>
            </w14:solidFill>
          </w14:textFill>
        </w:rPr>
      </w:pPr>
      <w:bookmarkStart w:id="85" w:name="_Toc107997863"/>
      <w:bookmarkStart w:id="86" w:name="_Toc107997990"/>
      <w:r>
        <w:rPr>
          <w:rFonts w:hint="eastAsia" w:ascii="黑体" w:hAnsi="黑体" w:eastAsia="黑体"/>
          <w:b/>
          <w:bCs/>
          <w:color w:val="000000" w:themeColor="text1"/>
          <w:sz w:val="24"/>
          <w14:textFill>
            <w14:solidFill>
              <w14:schemeClr w14:val="tx1"/>
            </w14:solidFill>
          </w14:textFill>
        </w:rPr>
        <w:t>23.澄清</w:t>
      </w:r>
      <w:bookmarkEnd w:id="85"/>
      <w:bookmarkEnd w:id="86"/>
    </w:p>
    <w:p w14:paraId="4E8298DF">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23.1谈判小组在对响应文件(包括</w:t>
      </w:r>
      <w:r>
        <w:rPr>
          <w:rFonts w:hint="eastAsia" w:hAnsi="宋体" w:cs="宋体"/>
          <w:color w:val="000000" w:themeColor="text1"/>
          <w:kern w:val="0"/>
          <w14:textFill>
            <w14:solidFill>
              <w14:schemeClr w14:val="tx1"/>
            </w14:solidFill>
          </w14:textFill>
        </w:rPr>
        <w:t>首次提交的</w:t>
      </w:r>
      <w:r>
        <w:rPr>
          <w:rFonts w:hint="eastAsia" w:ascii="宋体" w:hAnsi="宋体" w:cs="宋体"/>
          <w:color w:val="000000" w:themeColor="text1"/>
          <w:kern w:val="0"/>
          <w:szCs w:val="21"/>
          <w14:textFill>
            <w14:solidFill>
              <w14:schemeClr w14:val="tx1"/>
            </w14:solidFill>
          </w14:textFill>
        </w:rPr>
        <w:t>响应文件、重新提交的响应文件)的有效性、完整性和对谈判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供应商代表签字，供应商的澄清、说明或者更正不得超出谈判文件的范围或者改变响应文件的实质性内容。</w:t>
      </w:r>
    </w:p>
    <w:p w14:paraId="3F550609">
      <w:pPr>
        <w:spacing w:line="360" w:lineRule="auto"/>
        <w:outlineLvl w:val="3"/>
        <w:rPr>
          <w:rFonts w:ascii="黑体" w:hAnsi="黑体" w:eastAsia="黑体"/>
          <w:b/>
          <w:bCs/>
          <w:color w:val="000000" w:themeColor="text1"/>
          <w:sz w:val="24"/>
          <w14:textFill>
            <w14:solidFill>
              <w14:schemeClr w14:val="tx1"/>
            </w14:solidFill>
          </w14:textFill>
        </w:rPr>
      </w:pPr>
      <w:bookmarkStart w:id="87" w:name="_Toc107997864"/>
      <w:bookmarkStart w:id="88" w:name="_Toc107997991"/>
      <w:r>
        <w:rPr>
          <w:rFonts w:hint="eastAsia" w:ascii="黑体" w:hAnsi="黑体" w:eastAsia="黑体"/>
          <w:b/>
          <w:bCs/>
          <w:color w:val="000000" w:themeColor="text1"/>
          <w:sz w:val="24"/>
          <w14:textFill>
            <w14:solidFill>
              <w14:schemeClr w14:val="tx1"/>
            </w14:solidFill>
          </w14:textFill>
        </w:rPr>
        <w:t>24.谈判的规定</w:t>
      </w:r>
      <w:bookmarkEnd w:id="87"/>
      <w:bookmarkEnd w:id="88"/>
    </w:p>
    <w:p w14:paraId="652DDA76">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24.1</w:t>
      </w:r>
      <w:r>
        <w:rPr>
          <w:rFonts w:hint="eastAsia" w:ascii="宋体" w:hAnsi="宋体" w:cs="宋体"/>
          <w:color w:val="000000" w:themeColor="text1"/>
          <w:kern w:val="0"/>
          <w:szCs w:val="21"/>
          <w14:textFill>
            <w14:solidFill>
              <w14:schemeClr w14:val="tx1"/>
            </w14:solidFill>
          </w14:textFill>
        </w:rPr>
        <w:t>在谈判过程中，谈判小组所有成员集中与单一供应商分别进行谈判，并给予所有参加谈判的供应商平等的谈判机会。供应商应派其代表参加谈判。</w:t>
      </w:r>
    </w:p>
    <w:p w14:paraId="3C77837D">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24.2</w:t>
      </w:r>
      <w:r>
        <w:rPr>
          <w:rFonts w:hint="eastAsia" w:ascii="宋体" w:hAnsi="宋体" w:cs="宋体"/>
          <w:color w:val="000000" w:themeColor="text1"/>
          <w:kern w:val="0"/>
          <w:szCs w:val="21"/>
          <w14:textFill>
            <w14:solidFill>
              <w14:schemeClr w14:val="tx1"/>
            </w14:solidFill>
          </w14:textFill>
        </w:rPr>
        <w:t>在谈判过程中，谈判小组可以根据谈判文件和谈判情况实质性变动技术标准及要求中的技术、服务要求以及合同草案条款，但不得变动谈判文件中的其他内容。实质性变动的内容，须经采购人代表确认，谈判小组将以书面形式将修改内容同时通知所有参加谈判的供应商。</w:t>
      </w:r>
    </w:p>
    <w:p w14:paraId="5C3C5C73">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14:textFill>
            <w14:solidFill>
              <w14:schemeClr w14:val="tx1"/>
            </w14:solidFill>
          </w14:textFill>
        </w:rPr>
        <w:t>4</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3每轮谈判中，参加谈判的供应商代表应认真、准确、完整地记录谈判小组提出的问题和要求。重新提交的响应文件应当对谈判小组书面通知提出的要求和条件作出明确响应，并由供应商代表签字或者加盖供应商单位公章。</w:t>
      </w:r>
    </w:p>
    <w:p w14:paraId="36EBBB02">
      <w:pPr>
        <w:spacing w:line="360" w:lineRule="auto"/>
        <w:outlineLvl w:val="3"/>
        <w:rPr>
          <w:rFonts w:ascii="黑体" w:hAnsi="黑体" w:eastAsia="黑体" w:cs="宋体"/>
          <w:b/>
          <w:bCs/>
          <w:color w:val="000000" w:themeColor="text1"/>
          <w:kern w:val="0"/>
          <w:sz w:val="24"/>
          <w14:textFill>
            <w14:solidFill>
              <w14:schemeClr w14:val="tx1"/>
            </w14:solidFill>
          </w14:textFill>
        </w:rPr>
      </w:pPr>
      <w:bookmarkStart w:id="89" w:name="_Toc107997992"/>
      <w:bookmarkStart w:id="90" w:name="_Toc107997865"/>
      <w:r>
        <w:rPr>
          <w:rFonts w:hint="eastAsia" w:ascii="黑体" w:hAnsi="黑体" w:eastAsia="黑体"/>
          <w:b/>
          <w:bCs/>
          <w:color w:val="000000" w:themeColor="text1"/>
          <w:sz w:val="24"/>
          <w14:textFill>
            <w14:solidFill>
              <w14:schemeClr w14:val="tx1"/>
            </w14:solidFill>
          </w14:textFill>
        </w:rPr>
        <w:t>25.退出谈判</w:t>
      </w:r>
      <w:bookmarkEnd w:id="89"/>
      <w:bookmarkEnd w:id="90"/>
    </w:p>
    <w:p w14:paraId="2BDAE29F">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25.1供应商在提交最后报价之前，可以根据谈判情况退出谈判，</w:t>
      </w:r>
      <w:r>
        <w:rPr>
          <w:rFonts w:hint="eastAsia" w:ascii="宋体" w:hAnsi="宋体" w:cs="宋体"/>
          <w:color w:val="000000" w:themeColor="text1"/>
          <w:kern w:val="0"/>
          <w14:textFill>
            <w14:solidFill>
              <w14:schemeClr w14:val="tx1"/>
            </w14:solidFill>
          </w14:textFill>
        </w:rPr>
        <w:t>并书面通知采购人、采购代理机构或者谈判小组。</w:t>
      </w:r>
      <w:r>
        <w:rPr>
          <w:rFonts w:hint="eastAsia" w:ascii="宋体" w:hAnsi="宋体"/>
          <w:color w:val="000000" w:themeColor="text1"/>
          <w14:textFill>
            <w14:solidFill>
              <w14:schemeClr w14:val="tx1"/>
            </w14:solidFill>
          </w14:textFill>
        </w:rPr>
        <w:t>该通知由供应商代表签字。采购人、</w:t>
      </w:r>
      <w:r>
        <w:rPr>
          <w:rFonts w:hint="eastAsia" w:ascii="宋体" w:hAnsi="宋体" w:cs="宋体"/>
          <w:color w:val="000000" w:themeColor="text1"/>
          <w:kern w:val="0"/>
          <w:szCs w:val="21"/>
          <w14:textFill>
            <w14:solidFill>
              <w14:schemeClr w14:val="tx1"/>
            </w14:solidFill>
          </w14:textFill>
        </w:rPr>
        <w:t>采购代理机构</w:t>
      </w:r>
      <w:r>
        <w:rPr>
          <w:rFonts w:hint="eastAsia" w:ascii="宋体" w:hAnsi="宋体" w:cs="宋体"/>
          <w:color w:val="000000" w:themeColor="text1"/>
          <w:kern w:val="0"/>
          <w14:textFill>
            <w14:solidFill>
              <w14:schemeClr w14:val="tx1"/>
            </w14:solidFill>
          </w14:textFill>
        </w:rPr>
        <w:t>按</w:t>
      </w:r>
      <w:r>
        <w:rPr>
          <w:rFonts w:hint="eastAsia" w:ascii="宋体" w:hAnsi="宋体" w:cs="宋体"/>
          <w:color w:val="000000" w:themeColor="text1"/>
          <w:kern w:val="0"/>
          <w:szCs w:val="21"/>
          <w14:textFill>
            <w14:solidFill>
              <w14:schemeClr w14:val="tx1"/>
            </w14:solidFill>
          </w14:textFill>
        </w:rPr>
        <w:t>本章第</w:t>
      </w:r>
      <w:r>
        <w:rPr>
          <w:rFonts w:hint="eastAsia" w:ascii="宋体" w:hAnsi="宋体"/>
          <w:color w:val="000000" w:themeColor="text1"/>
          <w14:textFill>
            <w14:solidFill>
              <w14:schemeClr w14:val="tx1"/>
            </w14:solidFill>
          </w14:textFill>
        </w:rPr>
        <w:t>12.4</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olor w:val="000000" w:themeColor="text1"/>
          <w14:textFill>
            <w14:solidFill>
              <w14:schemeClr w14:val="tx1"/>
            </w14:solidFill>
          </w14:textFill>
        </w:rPr>
        <w:t>规定</w:t>
      </w:r>
      <w:r>
        <w:rPr>
          <w:rFonts w:hint="eastAsia" w:ascii="宋体" w:hAnsi="宋体" w:cs="宋体"/>
          <w:color w:val="000000" w:themeColor="text1"/>
          <w:kern w:val="0"/>
          <w:szCs w:val="21"/>
          <w14:textFill>
            <w14:solidFill>
              <w14:schemeClr w14:val="tx1"/>
            </w14:solidFill>
          </w14:textFill>
        </w:rPr>
        <w:t>退还退出谈判的供应商的保证金。</w:t>
      </w:r>
    </w:p>
    <w:p w14:paraId="75E9B9AD">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25.2供应商参与谈判，但未提交最后报价又未按前款规定退出谈判的，保证金不予退还。</w:t>
      </w:r>
    </w:p>
    <w:p w14:paraId="57D7D94B">
      <w:pPr>
        <w:spacing w:line="360" w:lineRule="auto"/>
        <w:outlineLvl w:val="3"/>
        <w:rPr>
          <w:rFonts w:ascii="黑体" w:hAnsi="黑体" w:eastAsia="黑体"/>
          <w:b/>
          <w:bCs/>
          <w:color w:val="000000" w:themeColor="text1"/>
          <w:sz w:val="24"/>
          <w14:textFill>
            <w14:solidFill>
              <w14:schemeClr w14:val="tx1"/>
            </w14:solidFill>
          </w14:textFill>
        </w:rPr>
      </w:pPr>
      <w:bookmarkStart w:id="91" w:name="_Toc107997993"/>
      <w:bookmarkStart w:id="92" w:name="_Toc107997866"/>
      <w:r>
        <w:rPr>
          <w:rFonts w:hint="eastAsia" w:ascii="黑体" w:hAnsi="黑体" w:eastAsia="黑体"/>
          <w:b/>
          <w:bCs/>
          <w:color w:val="000000" w:themeColor="text1"/>
          <w:sz w:val="24"/>
          <w14:textFill>
            <w14:solidFill>
              <w14:schemeClr w14:val="tx1"/>
            </w14:solidFill>
          </w14:textFill>
        </w:rPr>
        <w:t>26.最后报价</w:t>
      </w:r>
      <w:bookmarkEnd w:id="91"/>
      <w:bookmarkEnd w:id="92"/>
    </w:p>
    <w:p w14:paraId="50F98002">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26.1谈判结束后，谈判小组按本章第22.2款规定对响应文件或重新提交的响应文件进行审查。响应文件不符合谈判文件规定的实质性要求和条件的，谈判小组不得要求供应商提交最后报价，也不得接受供应商提交的最后报价。符合谈判文件规定的实质性要求和条件的供应商不少于3家的，谈判小组应当要求符合谈判文件规定的实质性要求和条件的供应商在规定时间内提交最后报价。最后报价应由供应商代表签字或者加盖供应商单位公章。</w:t>
      </w:r>
    </w:p>
    <w:p w14:paraId="7B35B955">
      <w:pPr>
        <w:adjustRightInd w:val="0"/>
        <w:snapToGrid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（1）谈判文件能够详细列明采购需求的技术、服务要求的，谈判结束后，谈判小组应当要求所有供应商在规定时间内提交最后报价。</w:t>
      </w:r>
    </w:p>
    <w:p w14:paraId="2690D971">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谈判文件不能详细列明采购需求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1E26C25B">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26.2下列情形，谈判小组确认符合谈判文件规定的实质性要求和条件的供应商不少于3家，可以不与供应商谈判，直接要求符合谈判文件规定的实质性要求和条件的供应商提交最后报价。</w:t>
      </w:r>
    </w:p>
    <w:p w14:paraId="233CAD00">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（1）谈判文件未明确可能实质性变动的；</w:t>
      </w:r>
    </w:p>
    <w:p w14:paraId="0D4E72FD">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（2）谈判文件明确可能实质性变动，但谈判小组对供应商提交的首次响应文件的有效性、完整性和响应程度进行审查后，认为谈判文件不需发生实质性变动、不需要谈判的。</w:t>
      </w:r>
    </w:p>
    <w:p w14:paraId="3FA88EAD">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26.3谈判小组应召集所有提交最后报价的供应商，逐一</w:t>
      </w:r>
      <w:r>
        <w:rPr>
          <w:rFonts w:hint="eastAsia" w:ascii="宋体" w:hAnsi="宋体"/>
          <w:bCs/>
          <w:color w:val="000000" w:themeColor="text1"/>
          <w:szCs w:val="21"/>
          <w14:textFill>
            <w14:solidFill>
              <w14:schemeClr w14:val="tx1"/>
            </w14:solidFill>
          </w14:textFill>
        </w:rPr>
        <w:t>公布</w:t>
      </w:r>
      <w:r>
        <w:rPr>
          <w:rFonts w:hint="eastAsia" w:ascii="宋体" w:hAnsi="宋体" w:cs="宋体"/>
          <w:color w:val="000000" w:themeColor="text1"/>
          <w:kern w:val="0"/>
          <w:szCs w:val="21"/>
          <w:lang w:val="zh-CN"/>
          <w14:textFill>
            <w14:solidFill>
              <w14:schemeClr w14:val="tx1"/>
            </w14:solidFill>
          </w14:textFill>
        </w:rPr>
        <w:t>供应商的</w:t>
      </w:r>
      <w:r>
        <w:rPr>
          <w:rFonts w:hint="eastAsia" w:ascii="宋体" w:hAnsi="宋体"/>
          <w:bCs/>
          <w:color w:val="000000" w:themeColor="text1"/>
          <w:szCs w:val="21"/>
          <w14:textFill>
            <w14:solidFill>
              <w14:schemeClr w14:val="tx1"/>
            </w14:solidFill>
          </w14:textFill>
        </w:rPr>
        <w:t>最</w:t>
      </w:r>
      <w:r>
        <w:rPr>
          <w:rFonts w:hint="eastAsia" w:ascii="宋体" w:hAnsi="宋体" w:cs="宋体"/>
          <w:color w:val="000000" w:themeColor="text1"/>
          <w:kern w:val="0"/>
          <w:szCs w:val="21"/>
          <w:lang w:val="zh-CN"/>
          <w14:textFill>
            <w14:solidFill>
              <w14:schemeClr w14:val="tx1"/>
            </w14:solidFill>
          </w14:textFill>
        </w:rPr>
        <w:t>后</w:t>
      </w:r>
      <w:r>
        <w:rPr>
          <w:rFonts w:hint="eastAsia" w:ascii="宋体" w:hAnsi="宋体"/>
          <w:bCs/>
          <w:color w:val="000000" w:themeColor="text1"/>
          <w:szCs w:val="21"/>
          <w14:textFill>
            <w14:solidFill>
              <w14:schemeClr w14:val="tx1"/>
            </w14:solidFill>
          </w14:textFill>
        </w:rPr>
        <w:t>报价</w:t>
      </w:r>
      <w:r>
        <w:rPr>
          <w:rFonts w:hint="eastAsia" w:ascii="宋体" w:hAnsi="宋体" w:cs="宋体"/>
          <w:color w:val="000000" w:themeColor="text1"/>
          <w:kern w:val="0"/>
          <w:szCs w:val="21"/>
          <w14:textFill>
            <w14:solidFill>
              <w14:schemeClr w14:val="tx1"/>
            </w14:solidFill>
          </w14:textFill>
        </w:rPr>
        <w:t>，由采购人、采购代理机构负责记录，并由供应商代表签字确认后随采购文件一并存档。</w:t>
      </w:r>
    </w:p>
    <w:p w14:paraId="056277D2">
      <w:pPr>
        <w:spacing w:line="360" w:lineRule="auto"/>
        <w:outlineLvl w:val="3"/>
        <w:rPr>
          <w:rFonts w:ascii="黑体" w:hAnsi="黑体" w:eastAsia="黑体" w:cs="宋体"/>
          <w:b/>
          <w:bCs/>
          <w:color w:val="000000" w:themeColor="text1"/>
          <w:kern w:val="0"/>
          <w:sz w:val="24"/>
          <w14:textFill>
            <w14:solidFill>
              <w14:schemeClr w14:val="tx1"/>
            </w14:solidFill>
          </w14:textFill>
        </w:rPr>
      </w:pPr>
      <w:bookmarkStart w:id="93" w:name="_Toc107997994"/>
      <w:bookmarkStart w:id="94" w:name="_Toc107997867"/>
      <w:r>
        <w:rPr>
          <w:rFonts w:hint="eastAsia" w:ascii="黑体" w:hAnsi="黑体" w:eastAsia="黑体"/>
          <w:b/>
          <w:bCs/>
          <w:color w:val="000000" w:themeColor="text1"/>
          <w:sz w:val="24"/>
          <w14:textFill>
            <w14:solidFill>
              <w14:schemeClr w14:val="tx1"/>
            </w14:solidFill>
          </w14:textFill>
        </w:rPr>
        <w:t>27.异常报价</w:t>
      </w:r>
      <w:bookmarkEnd w:id="93"/>
      <w:bookmarkEnd w:id="94"/>
    </w:p>
    <w:p w14:paraId="1051AEE5">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27．1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响应无效处理。</w:t>
      </w:r>
    </w:p>
    <w:p w14:paraId="345943E6">
      <w:pPr>
        <w:spacing w:line="360" w:lineRule="auto"/>
        <w:outlineLvl w:val="3"/>
        <w:rPr>
          <w:rFonts w:ascii="黑体" w:hAnsi="黑体" w:eastAsia="黑体"/>
          <w:b/>
          <w:bCs/>
          <w:color w:val="000000" w:themeColor="text1"/>
          <w:sz w:val="24"/>
          <w14:textFill>
            <w14:solidFill>
              <w14:schemeClr w14:val="tx1"/>
            </w14:solidFill>
          </w14:textFill>
        </w:rPr>
      </w:pPr>
      <w:bookmarkStart w:id="95" w:name="_Toc107997868"/>
      <w:bookmarkStart w:id="96" w:name="_Toc107997995"/>
      <w:r>
        <w:rPr>
          <w:rFonts w:hint="eastAsia" w:ascii="黑体" w:hAnsi="黑体" w:eastAsia="黑体" w:cs="宋体"/>
          <w:b/>
          <w:bCs/>
          <w:color w:val="000000" w:themeColor="text1"/>
          <w:kern w:val="0"/>
          <w:sz w:val="24"/>
          <w14:textFill>
            <w14:solidFill>
              <w14:schemeClr w14:val="tx1"/>
            </w14:solidFill>
          </w14:textFill>
        </w:rPr>
        <w:t>28.</w:t>
      </w:r>
      <w:r>
        <w:rPr>
          <w:rFonts w:hint="eastAsia" w:ascii="黑体" w:hAnsi="黑体" w:eastAsia="黑体"/>
          <w:b/>
          <w:bCs/>
          <w:color w:val="000000" w:themeColor="text1"/>
          <w:sz w:val="24"/>
          <w14:textFill>
            <w14:solidFill>
              <w14:schemeClr w14:val="tx1"/>
            </w14:solidFill>
          </w14:textFill>
        </w:rPr>
        <w:t>提出成交供应商</w:t>
      </w:r>
      <w:bookmarkEnd w:id="95"/>
      <w:bookmarkEnd w:id="96"/>
    </w:p>
    <w:p w14:paraId="68DE36FC">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28.1谈判小组应当从质量和服务均能满足采购文件实质性响应要求的供应商中，按照最后报价由低到高的顺序提出3名以上成交候选人，并编写评审报告。</w:t>
      </w:r>
    </w:p>
    <w:p w14:paraId="2D8AE02A">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28.2供应商最后报价涉及算术修正、需落实政府采购政策的，按上款规定由低到高的顺序排序。</w:t>
      </w:r>
      <w:r>
        <w:rPr>
          <w:rFonts w:hint="eastAsia"/>
          <w:color w:val="000000" w:themeColor="text1"/>
          <w:szCs w:val="21"/>
          <w14:textFill>
            <w14:solidFill>
              <w14:schemeClr w14:val="tx1"/>
            </w14:solidFill>
          </w14:textFill>
        </w:rPr>
        <w:t>最后报价排序</w:t>
      </w:r>
      <w:r>
        <w:rPr>
          <w:color w:val="000000" w:themeColor="text1"/>
          <w:szCs w:val="21"/>
          <w14:textFill>
            <w14:solidFill>
              <w14:schemeClr w14:val="tx1"/>
            </w14:solidFill>
          </w14:textFill>
        </w:rPr>
        <w:t>相同的</w:t>
      </w:r>
      <w:r>
        <w:rPr>
          <w:rFonts w:hint="eastAsia"/>
          <w:color w:val="000000" w:themeColor="text1"/>
          <w:szCs w:val="21"/>
          <w14:textFill>
            <w14:solidFill>
              <w14:schemeClr w14:val="tx1"/>
            </w14:solidFill>
          </w14:textFill>
        </w:rPr>
        <w:t>并列</w:t>
      </w:r>
      <w:r>
        <w:rPr>
          <w:rFonts w:hint="eastAsia" w:ascii="宋体" w:hAnsi="宋体"/>
          <w:bCs/>
          <w:color w:val="000000" w:themeColor="text1"/>
          <w:szCs w:val="21"/>
          <w14:textFill>
            <w14:solidFill>
              <w14:schemeClr w14:val="tx1"/>
            </w14:solidFill>
          </w14:textFill>
        </w:rPr>
        <w:t>。</w:t>
      </w:r>
    </w:p>
    <w:p w14:paraId="6B04A46E">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28.3</w:t>
      </w:r>
      <w:r>
        <w:rPr>
          <w:rFonts w:hint="eastAsia" w:ascii="宋体" w:hAnsi="宋体" w:cs="宋体"/>
          <w:color w:val="000000" w:themeColor="text1"/>
          <w:kern w:val="0"/>
          <w:szCs w:val="21"/>
          <w14:textFill>
            <w14:solidFill>
              <w14:schemeClr w14:val="tx1"/>
            </w14:solidFill>
          </w14:textFill>
        </w:rPr>
        <w:t>最后报价有算术错误的，除</w:t>
      </w:r>
      <w:r>
        <w:rPr>
          <w:rFonts w:hint="eastAsia" w:ascii="宋体" w:hAnsi="宋体"/>
          <w:b/>
          <w:color w:val="000000" w:themeColor="text1"/>
          <w:szCs w:val="21"/>
          <w14:textFill>
            <w14:solidFill>
              <w14:schemeClr w14:val="tx1"/>
            </w14:solidFill>
          </w14:textFill>
        </w:rPr>
        <w:t>【谈判须知前附表】</w:t>
      </w:r>
      <w:r>
        <w:rPr>
          <w:rFonts w:hint="eastAsia" w:ascii="宋体" w:hAnsi="宋体" w:cs="宋体"/>
          <w:color w:val="000000" w:themeColor="text1"/>
          <w:kern w:val="0"/>
          <w:szCs w:val="21"/>
          <w14:textFill>
            <w14:solidFill>
              <w14:schemeClr w14:val="tx1"/>
            </w14:solidFill>
          </w14:textFill>
        </w:rPr>
        <w:t>另有规定外，谈判小组按以下原则对报价进行修正，修正的价格经供应商书面确认，并由供应商代表签字或者加盖单位公章确认后产生约束力，供应商不接受修正价格的，其报价作无效报价处理。</w:t>
      </w:r>
    </w:p>
    <w:p w14:paraId="58B31B89">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（1）大写金额与小写金额不一致的，以大写金额为准。</w:t>
      </w:r>
    </w:p>
    <w:p w14:paraId="4A0F9AE4">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（2）总价金额与按单价汇总金额不一致的，以单价金额计算结果为准。</w:t>
      </w:r>
    </w:p>
    <w:p w14:paraId="0317D760">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修正后的报价由供应商代表签字或者加盖单位公章确认后产生约束力，不确认的，其报价无效。</w:t>
      </w:r>
    </w:p>
    <w:p w14:paraId="3C8B8DA0">
      <w:pPr>
        <w:adjustRightInd w:val="0"/>
        <w:snapToGrid w:val="0"/>
        <w:spacing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28.4最后报价的评审</w:t>
      </w:r>
    </w:p>
    <w:p w14:paraId="4797BA01">
      <w:pPr>
        <w:adjustRightInd w:val="0"/>
        <w:snapToGrid w:val="0"/>
        <w:spacing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（1）如果有算术错误，最后报价将按上款规定进行算术修正。</w:t>
      </w:r>
    </w:p>
    <w:p w14:paraId="074583E5">
      <w:pPr>
        <w:adjustRightInd w:val="0"/>
        <w:snapToGrid w:val="0"/>
        <w:spacing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（2）需落实政府采购政策（优先采购、价格评审优惠）的，按本章本节第40、41条等相关规定进行价格扣除。</w:t>
      </w:r>
    </w:p>
    <w:p w14:paraId="3A19DFD6">
      <w:pPr>
        <w:spacing w:line="360" w:lineRule="auto"/>
        <w:outlineLvl w:val="3"/>
        <w:rPr>
          <w:rFonts w:ascii="黑体" w:hAnsi="黑体" w:eastAsia="黑体"/>
          <w:b/>
          <w:bCs/>
          <w:color w:val="000000" w:themeColor="text1"/>
          <w:sz w:val="24"/>
          <w14:textFill>
            <w14:solidFill>
              <w14:schemeClr w14:val="tx1"/>
            </w14:solidFill>
          </w14:textFill>
        </w:rPr>
      </w:pPr>
      <w:bookmarkStart w:id="97" w:name="_Toc107997869"/>
      <w:bookmarkStart w:id="98" w:name="_Toc107997996"/>
      <w:r>
        <w:rPr>
          <w:rFonts w:hint="eastAsia" w:ascii="黑体" w:hAnsi="黑体" w:eastAsia="黑体"/>
          <w:b/>
          <w:bCs/>
          <w:color w:val="000000" w:themeColor="text1"/>
          <w:sz w:val="24"/>
          <w14:textFill>
            <w14:solidFill>
              <w14:schemeClr w14:val="tx1"/>
            </w14:solidFill>
          </w14:textFill>
        </w:rPr>
        <w:t>29.确定成交供应商</w:t>
      </w:r>
      <w:bookmarkEnd w:id="97"/>
      <w:bookmarkEnd w:id="98"/>
    </w:p>
    <w:p w14:paraId="4BF84FE7">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29.1采购代理机构应当在评审结束后2个工作日内将评审报告送采购人确认。</w:t>
      </w:r>
    </w:p>
    <w:p w14:paraId="1C85062D">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29.2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14:paraId="4B73F1FF">
      <w:pPr>
        <w:adjustRightInd w:val="0"/>
        <w:snapToGrid w:val="0"/>
        <w:spacing w:line="360" w:lineRule="auto"/>
        <w:ind w:firstLine="420"/>
        <w:jc w:val="left"/>
        <w:rPr>
          <w:rFonts w:ascii="宋体" w:hAnsi="宋体"/>
          <w:bCs/>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29.3成交候选人并列的，由采购人自行确定成交供应商。</w:t>
      </w:r>
    </w:p>
    <w:p w14:paraId="27E0DE5E">
      <w:pPr>
        <w:spacing w:line="360" w:lineRule="auto"/>
        <w:outlineLvl w:val="3"/>
        <w:rPr>
          <w:rFonts w:ascii="黑体" w:hAnsi="黑体" w:eastAsia="黑体"/>
          <w:b/>
          <w:bCs/>
          <w:color w:val="000000" w:themeColor="text1"/>
          <w:sz w:val="24"/>
          <w14:textFill>
            <w14:solidFill>
              <w14:schemeClr w14:val="tx1"/>
            </w14:solidFill>
          </w14:textFill>
        </w:rPr>
      </w:pPr>
      <w:bookmarkStart w:id="99" w:name="_Toc107997870"/>
      <w:bookmarkStart w:id="100" w:name="_Toc107997997"/>
      <w:r>
        <w:rPr>
          <w:rFonts w:hint="eastAsia" w:ascii="黑体" w:hAnsi="黑体" w:eastAsia="黑体"/>
          <w:b/>
          <w:bCs/>
          <w:color w:val="000000" w:themeColor="text1"/>
          <w:sz w:val="24"/>
          <w14:textFill>
            <w14:solidFill>
              <w14:schemeClr w14:val="tx1"/>
            </w14:solidFill>
          </w14:textFill>
        </w:rPr>
        <w:t>30.谈判的特殊情形</w:t>
      </w:r>
      <w:bookmarkEnd w:id="99"/>
      <w:bookmarkEnd w:id="100"/>
    </w:p>
    <w:p w14:paraId="3D10B576">
      <w:pPr>
        <w:adjustRightInd w:val="0"/>
        <w:snapToGrid w:val="0"/>
        <w:spacing w:line="360" w:lineRule="auto"/>
        <w:ind w:firstLine="420" w:firstLineChars="200"/>
        <w:rPr>
          <w:rFonts w:ascii="宋体" w:hAnsi="宋体"/>
          <w:color w:val="000000" w:themeColor="text1"/>
          <w:kern w:val="0"/>
          <w:lang w:val="zh-CN"/>
          <w14:textFill>
            <w14:solidFill>
              <w14:schemeClr w14:val="tx1"/>
            </w14:solidFill>
          </w14:textFill>
        </w:rPr>
      </w:pPr>
      <w:r>
        <w:rPr>
          <w:rFonts w:hint="eastAsia" w:ascii="宋体" w:hAnsi="宋体"/>
          <w:color w:val="000000" w:themeColor="text1"/>
          <w:kern w:val="0"/>
          <w:lang w:val="zh-CN"/>
          <w14:textFill>
            <w14:solidFill>
              <w14:schemeClr w14:val="tx1"/>
            </w14:solidFill>
          </w14:textFill>
        </w:rPr>
        <w:t>30.1对于经公开招标的货物、服务采购项目，招标过程中提交投标文件或者经评审实质性响应招标文件要求的供应商只有 2 家的，采购人在本次谈判采购活动开始前，报经主管预算单位同意，公开招标限额标准以上的经本级财政部门批准，可以与该两家供应商进行竞争性谈判采购。</w:t>
      </w:r>
    </w:p>
    <w:p w14:paraId="2A5FB8AE">
      <w:pPr>
        <w:adjustRightInd w:val="0"/>
        <w:snapToGrid w:val="0"/>
        <w:spacing w:line="360" w:lineRule="auto"/>
        <w:ind w:firstLine="420" w:firstLineChars="200"/>
        <w:rPr>
          <w:rFonts w:ascii="宋体" w:hAnsi="宋体"/>
          <w:color w:val="000000" w:themeColor="text1"/>
          <w:kern w:val="0"/>
          <w:lang w:val="zh-CN"/>
          <w14:textFill>
            <w14:solidFill>
              <w14:schemeClr w14:val="tx1"/>
            </w14:solidFill>
          </w14:textFill>
        </w:rPr>
      </w:pPr>
      <w:r>
        <w:rPr>
          <w:rFonts w:hint="eastAsia" w:ascii="宋体" w:hAnsi="宋体"/>
          <w:color w:val="000000" w:themeColor="text1"/>
          <w:kern w:val="0"/>
          <w:lang w:val="zh-CN"/>
          <w14:textFill>
            <w14:solidFill>
              <w14:schemeClr w14:val="tx1"/>
            </w14:solidFill>
          </w14:textFill>
        </w:rPr>
        <w:t>30.2</w:t>
      </w:r>
      <w:r>
        <w:rPr>
          <w:rFonts w:hint="eastAsia" w:ascii="宋体" w:hAnsi="宋体" w:cs="宋体"/>
          <w:color w:val="000000" w:themeColor="text1"/>
          <w:kern w:val="0"/>
          <w:szCs w:val="21"/>
          <w14:textFill>
            <w14:solidFill>
              <w14:schemeClr w14:val="tx1"/>
            </w14:solidFill>
          </w14:textFill>
        </w:rPr>
        <w:t>符合上款情形的，本章本节相关条款规定的供应商最低数量可以为两家。</w:t>
      </w:r>
    </w:p>
    <w:p w14:paraId="059D2174">
      <w:pPr>
        <w:spacing w:line="360" w:lineRule="auto"/>
        <w:outlineLvl w:val="3"/>
        <w:rPr>
          <w:rFonts w:ascii="黑体" w:hAnsi="黑体" w:eastAsia="黑体"/>
          <w:b/>
          <w:bCs/>
          <w:color w:val="000000" w:themeColor="text1"/>
          <w:sz w:val="24"/>
          <w14:textFill>
            <w14:solidFill>
              <w14:schemeClr w14:val="tx1"/>
            </w14:solidFill>
          </w14:textFill>
        </w:rPr>
      </w:pPr>
      <w:bookmarkStart w:id="101" w:name="_Toc107997998"/>
      <w:bookmarkStart w:id="102" w:name="_Toc107997871"/>
      <w:r>
        <w:rPr>
          <w:rFonts w:hint="eastAsia" w:ascii="黑体" w:hAnsi="黑体" w:eastAsia="黑体"/>
          <w:b/>
          <w:bCs/>
          <w:color w:val="000000" w:themeColor="text1"/>
          <w:sz w:val="24"/>
          <w14:textFill>
            <w14:solidFill>
              <w14:schemeClr w14:val="tx1"/>
            </w14:solidFill>
          </w14:textFill>
        </w:rPr>
        <w:t>31.谈判终止</w:t>
      </w:r>
      <w:bookmarkEnd w:id="101"/>
      <w:bookmarkEnd w:id="102"/>
    </w:p>
    <w:p w14:paraId="787B6E70">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31.1</w:t>
      </w:r>
      <w:r>
        <w:rPr>
          <w:rFonts w:hint="eastAsia" w:ascii="宋体" w:hAnsi="宋体" w:cs="宋体"/>
          <w:color w:val="000000" w:themeColor="text1"/>
          <w:kern w:val="0"/>
          <w:szCs w:val="21"/>
          <w14:textFill>
            <w14:solidFill>
              <w14:schemeClr w14:val="tx1"/>
            </w14:solidFill>
          </w14:textFill>
        </w:rPr>
        <w:t>出现下列情形之一的，采购人、采购代理机构应当终止竞争性谈判采购活动，</w:t>
      </w:r>
      <w:r>
        <w:rPr>
          <w:rFonts w:hint="eastAsia" w:hAnsi="宋体"/>
          <w:color w:val="000000" w:themeColor="text1"/>
          <w14:textFill>
            <w14:solidFill>
              <w14:schemeClr w14:val="tx1"/>
            </w14:solidFill>
          </w14:textFill>
        </w:rPr>
        <w:t>在指定的媒体上</w:t>
      </w:r>
      <w:r>
        <w:rPr>
          <w:rFonts w:hint="eastAsia" w:ascii="宋体" w:hAnsi="宋体" w:cs="宋体"/>
          <w:color w:val="000000" w:themeColor="text1"/>
          <w:kern w:val="0"/>
          <w:szCs w:val="21"/>
          <w14:textFill>
            <w14:solidFill>
              <w14:schemeClr w14:val="tx1"/>
            </w14:solidFill>
          </w14:textFill>
        </w:rPr>
        <w:t xml:space="preserve">发布项目终止公告并说明原因，重新开展采购活动： </w:t>
      </w:r>
    </w:p>
    <w:p w14:paraId="1425954C">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（1）因情况变化，不再符合规定的竞争性谈判采购方式适用情形的；</w:t>
      </w:r>
    </w:p>
    <w:p w14:paraId="7A4AC293">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（2）出现影响采购公正的违法、违规行为的；</w:t>
      </w:r>
    </w:p>
    <w:p w14:paraId="1EBD1F02">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（3）在采购过程中符合竞争要求的供应商或者报价未超过采购预算的供应商不足3家的，或者提交最后报价的供应商少于3家的；</w:t>
      </w:r>
    </w:p>
    <w:p w14:paraId="2E3FD87A">
      <w:pPr>
        <w:adjustRightInd w:val="0"/>
        <w:snapToGrid w:val="0"/>
        <w:spacing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（4）</w:t>
      </w:r>
      <w:r>
        <w:rPr>
          <w:rFonts w:hint="eastAsia" w:ascii="宋体" w:hAnsi="宋体"/>
          <w:bCs/>
          <w:color w:val="000000" w:themeColor="text1"/>
          <w:szCs w:val="21"/>
          <w14:textFill>
            <w14:solidFill>
              <w14:schemeClr w14:val="tx1"/>
            </w14:solidFill>
          </w14:textFill>
        </w:rPr>
        <w:t>因重大变故，采购任务取消的。</w:t>
      </w:r>
    </w:p>
    <w:p w14:paraId="662FFB1F">
      <w:pPr>
        <w:spacing w:line="360" w:lineRule="auto"/>
        <w:outlineLvl w:val="3"/>
        <w:rPr>
          <w:rFonts w:ascii="黑体" w:hAnsi="黑体" w:eastAsia="黑体"/>
          <w:b/>
          <w:bCs/>
          <w:color w:val="000000" w:themeColor="text1"/>
          <w:sz w:val="24"/>
          <w14:textFill>
            <w14:solidFill>
              <w14:schemeClr w14:val="tx1"/>
            </w14:solidFill>
          </w14:textFill>
        </w:rPr>
      </w:pPr>
      <w:bookmarkStart w:id="103" w:name="_Toc107997999"/>
      <w:bookmarkStart w:id="104" w:name="_Toc107997872"/>
      <w:r>
        <w:rPr>
          <w:rFonts w:hint="eastAsia" w:ascii="黑体" w:hAnsi="黑体" w:eastAsia="黑体"/>
          <w:b/>
          <w:bCs/>
          <w:color w:val="000000" w:themeColor="text1"/>
          <w:sz w:val="24"/>
          <w14:textFill>
            <w14:solidFill>
              <w14:schemeClr w14:val="tx1"/>
            </w14:solidFill>
          </w14:textFill>
        </w:rPr>
        <w:t>32.重新评审</w:t>
      </w:r>
      <w:bookmarkEnd w:id="103"/>
      <w:bookmarkEnd w:id="104"/>
    </w:p>
    <w:p w14:paraId="2CB8A550">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32.1除资格性审查认定错误和价格计算错误外，采购人、采购代理机构不以任何理由组织重新评审。</w:t>
      </w:r>
    </w:p>
    <w:p w14:paraId="338B9AD5">
      <w:pPr>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32.2采购人、采购代理机构发现谈判小组未按照谈判文件规定的评定成交的标准进行评审的，应当重新开展采购活动，并同时书面报告本级财政部门。</w:t>
      </w:r>
    </w:p>
    <w:p w14:paraId="30532CF3">
      <w:pPr>
        <w:spacing w:line="360" w:lineRule="auto"/>
        <w:outlineLvl w:val="3"/>
        <w:rPr>
          <w:rFonts w:ascii="黑体" w:hAnsi="黑体" w:eastAsia="黑体"/>
          <w:b/>
          <w:bCs/>
          <w:color w:val="000000" w:themeColor="text1"/>
          <w:sz w:val="24"/>
          <w14:textFill>
            <w14:solidFill>
              <w14:schemeClr w14:val="tx1"/>
            </w14:solidFill>
          </w14:textFill>
        </w:rPr>
      </w:pPr>
      <w:bookmarkStart w:id="105" w:name="_Toc107997873"/>
      <w:bookmarkStart w:id="106" w:name="_Toc107998000"/>
      <w:r>
        <w:rPr>
          <w:rFonts w:hint="eastAsia" w:ascii="黑体" w:hAnsi="黑体" w:eastAsia="黑体"/>
          <w:b/>
          <w:bCs/>
          <w:color w:val="000000" w:themeColor="text1"/>
          <w:sz w:val="24"/>
          <w14:textFill>
            <w14:solidFill>
              <w14:schemeClr w14:val="tx1"/>
            </w14:solidFill>
          </w14:textFill>
        </w:rPr>
        <w:t>33.保密及串通行为</w:t>
      </w:r>
      <w:bookmarkEnd w:id="105"/>
      <w:bookmarkEnd w:id="106"/>
    </w:p>
    <w:p w14:paraId="008A4691">
      <w:pPr>
        <w:adjustRightInd w:val="0"/>
        <w:snapToGrid w:val="0"/>
        <w:spacing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33.1谈判小组成员以及与评审工作有关的人员不得泄露评审情况以及评审过程中获悉的国家秘密、商业秘密。</w:t>
      </w:r>
    </w:p>
    <w:p w14:paraId="2F92DB3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w:t>
      </w:r>
      <w:r>
        <w:rPr>
          <w:rFonts w:hint="eastAsia" w:ascii="宋体" w:hAnsi="宋体" w:cs="宋体"/>
          <w:color w:val="000000" w:themeColor="text1"/>
          <w:kern w:val="0"/>
          <w:szCs w:val="21"/>
          <w14:textFill>
            <w14:solidFill>
              <w14:schemeClr w14:val="tx1"/>
            </w14:solidFill>
          </w14:textFill>
        </w:rPr>
        <w:t>供应商</w:t>
      </w:r>
      <w:r>
        <w:rPr>
          <w:rFonts w:hint="eastAsia" w:ascii="宋体" w:hAnsi="宋体"/>
          <w:color w:val="000000" w:themeColor="text1"/>
          <w:szCs w:val="21"/>
          <w14:textFill>
            <w14:solidFill>
              <w14:schemeClr w14:val="tx1"/>
            </w14:solidFill>
          </w14:textFill>
        </w:rPr>
        <w:t>不得与</w:t>
      </w:r>
      <w:r>
        <w:rPr>
          <w:rFonts w:hint="eastAsia" w:ascii="宋体" w:hAnsi="宋体" w:cs="宋体"/>
          <w:color w:val="000000" w:themeColor="text1"/>
          <w:kern w:val="0"/>
          <w:szCs w:val="21"/>
          <w14:textFill>
            <w14:solidFill>
              <w14:schemeClr w14:val="tx1"/>
            </w14:solidFill>
          </w14:textFill>
        </w:rPr>
        <w:t>采购人、采购代理机构、其他供应商恶意</w:t>
      </w:r>
      <w:r>
        <w:rPr>
          <w:rFonts w:hint="eastAsia" w:ascii="宋体" w:hAnsi="宋体"/>
          <w:color w:val="000000" w:themeColor="text1"/>
          <w:szCs w:val="21"/>
          <w14:textFill>
            <w14:solidFill>
              <w14:schemeClr w14:val="tx1"/>
            </w14:solidFill>
          </w14:textFill>
        </w:rPr>
        <w:t>串通；不得向</w:t>
      </w:r>
      <w:r>
        <w:rPr>
          <w:rFonts w:hint="eastAsia" w:ascii="宋体" w:hAnsi="宋体" w:cs="宋体"/>
          <w:color w:val="000000" w:themeColor="text1"/>
          <w:kern w:val="0"/>
          <w:szCs w:val="21"/>
          <w14:textFill>
            <w14:solidFill>
              <w14:schemeClr w14:val="tx1"/>
            </w14:solidFill>
          </w14:textFill>
        </w:rPr>
        <w:t>采购人、采购代理机构</w:t>
      </w:r>
      <w:r>
        <w:rPr>
          <w:rFonts w:hint="eastAsia" w:ascii="宋体" w:hAnsi="宋体"/>
          <w:color w:val="000000" w:themeColor="text1"/>
          <w:szCs w:val="21"/>
          <w14:textFill>
            <w14:solidFill>
              <w14:schemeClr w14:val="tx1"/>
            </w14:solidFill>
          </w14:textFill>
        </w:rPr>
        <w:t>或者谈判小组成员行贿或者提供其他不正当利益；不得提供虚假材料谋取成交；不得以任何方式干扰、影响采购工作。</w:t>
      </w:r>
    </w:p>
    <w:p w14:paraId="41642EE3">
      <w:pPr>
        <w:adjustRightInd w:val="0"/>
        <w:snapToGrid w:val="0"/>
        <w:spacing w:line="360" w:lineRule="auto"/>
        <w:ind w:firstLine="420" w:firstLineChars="200"/>
        <w:jc w:val="left"/>
        <w:rPr>
          <w:rFonts w:ascii="宋体" w:hAnsi="宋体" w:cs="宋体"/>
          <w:color w:val="000000" w:themeColor="text1"/>
          <w:kern w:val="0"/>
          <w:szCs w:val="21"/>
          <w:lang w:val="zh-CN"/>
          <w14:textFill>
            <w14:solidFill>
              <w14:schemeClr w14:val="tx1"/>
            </w14:solidFill>
          </w14:textFill>
        </w:rPr>
      </w:pPr>
      <w:r>
        <w:rPr>
          <w:rFonts w:hint="eastAsia" w:ascii="宋体" w:hAnsi="宋体" w:cs="Arial"/>
          <w:color w:val="000000" w:themeColor="text1"/>
          <w:kern w:val="0"/>
          <w:szCs w:val="21"/>
          <w14:textFill>
            <w14:solidFill>
              <w14:schemeClr w14:val="tx1"/>
            </w14:solidFill>
          </w14:textFill>
        </w:rPr>
        <w:t>33.3</w:t>
      </w:r>
      <w:r>
        <w:rPr>
          <w:rFonts w:ascii="宋体" w:hAnsi="宋体" w:cs="Arial"/>
          <w:color w:val="000000" w:themeColor="text1"/>
          <w:kern w:val="0"/>
          <w:szCs w:val="21"/>
          <w14:textFill>
            <w14:solidFill>
              <w14:schemeClr w14:val="tx1"/>
            </w14:solidFill>
          </w14:textFill>
        </w:rPr>
        <w:t>有下列情形之一的，</w:t>
      </w:r>
      <w:r>
        <w:rPr>
          <w:rFonts w:ascii="宋体" w:hAnsi="宋体" w:cs="宋体"/>
          <w:color w:val="000000" w:themeColor="text1"/>
          <w:kern w:val="0"/>
          <w:szCs w:val="21"/>
          <w:lang w:val="zh-CN"/>
          <w14:textFill>
            <w14:solidFill>
              <w14:schemeClr w14:val="tx1"/>
            </w14:solidFill>
          </w14:textFill>
        </w:rPr>
        <w:t>属于恶意串通，</w:t>
      </w:r>
      <w:r>
        <w:rPr>
          <w:rFonts w:ascii="宋体" w:hAnsi="宋体" w:cs="宋体"/>
          <w:color w:val="000000" w:themeColor="text1"/>
          <w:kern w:val="0"/>
          <w:szCs w:val="21"/>
          <w14:textFill>
            <w14:solidFill>
              <w14:schemeClr w14:val="tx1"/>
            </w14:solidFill>
          </w14:textFill>
        </w:rPr>
        <w:t>成交无效，并</w:t>
      </w:r>
      <w:r>
        <w:rPr>
          <w:rFonts w:ascii="宋体" w:hAnsi="宋体" w:cs="宋体"/>
          <w:color w:val="000000" w:themeColor="text1"/>
          <w:kern w:val="0"/>
          <w:szCs w:val="21"/>
          <w:lang w:val="zh-CN"/>
          <w14:textFill>
            <w14:solidFill>
              <w14:schemeClr w14:val="tx1"/>
            </w14:solidFill>
          </w14:textFill>
        </w:rPr>
        <w:t>依照《政府采购法》第七十七条的规定追究法律责任：</w:t>
      </w:r>
    </w:p>
    <w:p w14:paraId="39F930CF">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（1）供应商直接或者间接从</w:t>
      </w:r>
      <w:r>
        <w:rPr>
          <w:rFonts w:hint="eastAsia" w:ascii="宋体" w:hAnsi="宋体"/>
          <w:bCs/>
          <w:color w:val="000000" w:themeColor="text1"/>
          <w:szCs w:val="21"/>
          <w14:textFill>
            <w14:solidFill>
              <w14:schemeClr w14:val="tx1"/>
            </w14:solidFill>
          </w14:textFill>
        </w:rPr>
        <w:t>采购人、采购代理机构</w:t>
      </w:r>
      <w:r>
        <w:rPr>
          <w:rFonts w:hint="eastAsia" w:ascii="宋体" w:hAnsi="宋体"/>
          <w:color w:val="000000" w:themeColor="text1"/>
          <w:szCs w:val="21"/>
          <w14:textFill>
            <w14:solidFill>
              <w14:schemeClr w14:val="tx1"/>
            </w14:solidFill>
          </w14:textFill>
        </w:rPr>
        <w:t>获得其他供应商的响应情况，并修改其响应文件</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0A6402B9">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Cs/>
          <w:color w:val="000000" w:themeColor="text1"/>
          <w:szCs w:val="21"/>
          <w14:textFill>
            <w14:solidFill>
              <w14:schemeClr w14:val="tx1"/>
            </w14:solidFill>
          </w14:textFill>
        </w:rPr>
        <w:t>采购人、采购代理机构</w:t>
      </w:r>
      <w:r>
        <w:rPr>
          <w:rFonts w:hint="eastAsia" w:ascii="宋体" w:hAnsi="宋体"/>
          <w:color w:val="000000" w:themeColor="text1"/>
          <w:szCs w:val="21"/>
          <w14:textFill>
            <w14:solidFill>
              <w14:schemeClr w14:val="tx1"/>
            </w14:solidFill>
          </w14:textFill>
        </w:rPr>
        <w:t>授意供应商撤换、修改响应文件</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4B6F94F7">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（3）供应商之间协商技术方案、合同条款以及报价等响应文件实质性内容</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17333A6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（4）属于同一集团、协会、商会等组织成员的供应商按照该组织要求协同参加竞争性谈判政府采购活动</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1E604D15">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（5）供应商之间事先约定由某一特定供应商成交</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1FDD7493">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（6）供应商之间商定部分供应商放弃</w:t>
      </w:r>
      <w:r>
        <w:rPr>
          <w:rFonts w:hint="eastAsia" w:ascii="宋体" w:hAnsi="宋体"/>
          <w:color w:val="000000" w:themeColor="text1"/>
          <w14:textFill>
            <w14:solidFill>
              <w14:schemeClr w14:val="tx1"/>
            </w14:solidFill>
          </w14:textFill>
        </w:rPr>
        <w:t>提</w:t>
      </w:r>
      <w:r>
        <w:rPr>
          <w:rFonts w:hint="eastAsia" w:ascii="宋体" w:hAnsi="宋体"/>
          <w:color w:val="000000" w:themeColor="text1"/>
          <w:szCs w:val="21"/>
          <w14:textFill>
            <w14:solidFill>
              <w14:schemeClr w14:val="tx1"/>
            </w14:solidFill>
          </w14:textFill>
        </w:rPr>
        <w:t>交响应文件或者退出谈判或者放弃成交</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72591370">
      <w:pPr>
        <w:adjustRightInd w:val="0"/>
        <w:snapToGrid w:val="0"/>
        <w:spacing w:line="360" w:lineRule="auto"/>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（7）供应商与</w:t>
      </w:r>
      <w:r>
        <w:rPr>
          <w:rFonts w:hint="eastAsia" w:ascii="宋体" w:hAnsi="宋体"/>
          <w:bCs/>
          <w:color w:val="000000" w:themeColor="text1"/>
          <w:szCs w:val="21"/>
          <w14:textFill>
            <w14:solidFill>
              <w14:schemeClr w14:val="tx1"/>
            </w14:solidFill>
          </w14:textFill>
        </w:rPr>
        <w:t>采购人、采购代理机构以及</w:t>
      </w:r>
      <w:r>
        <w:rPr>
          <w:rFonts w:hint="eastAsia" w:ascii="宋体" w:hAnsi="宋体"/>
          <w:color w:val="000000" w:themeColor="text1"/>
          <w:szCs w:val="21"/>
          <w14:textFill>
            <w14:solidFill>
              <w14:schemeClr w14:val="tx1"/>
            </w14:solidFill>
          </w14:textFill>
        </w:rPr>
        <w:t>谈判小组成员之间、供应商相互之间，为谋求特定供应商成交或者排斥其他供应商的其他串通行为</w:t>
      </w:r>
      <w:r>
        <w:rPr>
          <w:rFonts w:hint="eastAsia" w:ascii="宋体" w:hAnsi="宋体"/>
          <w:color w:val="000000" w:themeColor="text1"/>
          <w14:textFill>
            <w14:solidFill>
              <w14:schemeClr w14:val="tx1"/>
            </w14:solidFill>
          </w14:textFill>
        </w:rPr>
        <w:t>的</w:t>
      </w:r>
      <w:r>
        <w:rPr>
          <w:rFonts w:hint="eastAsia" w:ascii="宋体" w:hAnsi="宋体"/>
          <w:color w:val="000000" w:themeColor="text1"/>
          <w:szCs w:val="21"/>
          <w14:textFill>
            <w14:solidFill>
              <w14:schemeClr w14:val="tx1"/>
            </w14:solidFill>
          </w14:textFill>
        </w:rPr>
        <w:t>。</w:t>
      </w:r>
    </w:p>
    <w:p w14:paraId="18B5E17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w:t>
      </w:r>
      <w:r>
        <w:rPr>
          <w:rFonts w:hint="eastAsia" w:ascii="宋体" w:hAnsi="宋体" w:cs="Arial"/>
          <w:color w:val="000000" w:themeColor="text1"/>
          <w:szCs w:val="21"/>
          <w14:textFill>
            <w14:solidFill>
              <w14:schemeClr w14:val="tx1"/>
            </w14:solidFill>
          </w14:textFill>
        </w:rPr>
        <w:t>8</w:t>
      </w:r>
      <w:r>
        <w:rPr>
          <w:rFonts w:ascii="宋体" w:hAnsi="宋体" w:cs="Arial"/>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法律、行政法规或规章规定的其他串通行为。</w:t>
      </w:r>
    </w:p>
    <w:p w14:paraId="0C1C4AAA">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107" w:name="_Toc15707"/>
      <w:bookmarkStart w:id="108" w:name="_Toc107998001"/>
      <w:r>
        <w:rPr>
          <w:rFonts w:hint="eastAsia" w:ascii="黑体" w:hAnsi="黑体" w:eastAsia="黑体"/>
          <w:b/>
          <w:bCs/>
          <w:color w:val="000000" w:themeColor="text1"/>
          <w:sz w:val="28"/>
          <w:szCs w:val="28"/>
          <w14:textFill>
            <w14:solidFill>
              <w14:schemeClr w14:val="tx1"/>
            </w14:solidFill>
          </w14:textFill>
        </w:rPr>
        <w:t>六、成交结果信息公布与授予合同</w:t>
      </w:r>
      <w:bookmarkEnd w:id="107"/>
      <w:bookmarkEnd w:id="108"/>
    </w:p>
    <w:p w14:paraId="50E8FCBC">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09" w:name="_Toc107997875"/>
      <w:bookmarkStart w:id="110" w:name="_Toc107998002"/>
      <w:r>
        <w:rPr>
          <w:rFonts w:hint="eastAsia" w:ascii="黑体" w:hAnsi="黑体" w:eastAsia="黑体"/>
          <w:b/>
          <w:bCs/>
          <w:color w:val="000000" w:themeColor="text1"/>
          <w:sz w:val="24"/>
          <w14:textFill>
            <w14:solidFill>
              <w14:schemeClr w14:val="tx1"/>
            </w14:solidFill>
          </w14:textFill>
        </w:rPr>
        <w:t>34.成交信息的公布与成交通知书</w:t>
      </w:r>
      <w:bookmarkEnd w:id="109"/>
      <w:bookmarkEnd w:id="110"/>
    </w:p>
    <w:p w14:paraId="18B65190">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34.1采购人、采购代理机构应当自采购人确定成交供应商之日起2个工作日内，发出成交通知书，并在</w:t>
      </w:r>
      <w:r>
        <w:rPr>
          <w:rFonts w:hint="eastAsia" w:ascii="宋体" w:hAnsi="宋体" w:cs="Courier New"/>
          <w:b/>
          <w:color w:val="000000" w:themeColor="text1"/>
          <w:szCs w:val="21"/>
          <w14:textFill>
            <w14:solidFill>
              <w14:schemeClr w14:val="tx1"/>
            </w14:solidFill>
          </w14:textFill>
        </w:rPr>
        <w:t>【谈判须知前附表】</w:t>
      </w:r>
      <w:r>
        <w:rPr>
          <w:rFonts w:hint="eastAsia" w:ascii="宋体" w:hAnsi="宋体" w:cs="Courier New"/>
          <w:color w:val="000000" w:themeColor="text1"/>
          <w:szCs w:val="21"/>
          <w14:textFill>
            <w14:solidFill>
              <w14:schemeClr w14:val="tx1"/>
            </w14:solidFill>
          </w14:textFill>
        </w:rPr>
        <w:t>指定媒体上公告成交结果，竞争性磋商文件随成交结果同时公告，成交结果公告期限为</w:t>
      </w:r>
      <w:r>
        <w:rPr>
          <w:rFonts w:hint="eastAsia" w:ascii="宋体" w:hAnsi="宋体" w:cs="Courier New"/>
          <w:color w:val="000000" w:themeColor="text1"/>
          <w:szCs w:val="21"/>
          <w:lang w:val="en-US" w:eastAsia="zh-CN"/>
          <w14:textFill>
            <w14:solidFill>
              <w14:schemeClr w14:val="tx1"/>
            </w14:solidFill>
          </w14:textFill>
        </w:rPr>
        <w:t>1</w:t>
      </w:r>
      <w:r>
        <w:rPr>
          <w:rFonts w:hint="eastAsia" w:ascii="宋体" w:hAnsi="宋体" w:cs="Courier New"/>
          <w:color w:val="000000" w:themeColor="text1"/>
          <w:szCs w:val="21"/>
          <w14:textFill>
            <w14:solidFill>
              <w14:schemeClr w14:val="tx1"/>
            </w14:solidFill>
          </w14:textFill>
        </w:rPr>
        <w:t>个工作日。</w:t>
      </w:r>
    </w:p>
    <w:p w14:paraId="46A9DB19">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34.2成交供应商确定后，采购人、采购代理机构将以书面形式向成交供应商发出成交通知书。成交通知书对采购人和成交供应商具有同等法律效力。</w:t>
      </w:r>
    </w:p>
    <w:p w14:paraId="2636F663">
      <w:pPr>
        <w:adjustRightInd w:val="0"/>
        <w:snapToGrid w:val="0"/>
        <w:spacing w:line="360" w:lineRule="auto"/>
        <w:ind w:firstLine="420" w:firstLineChars="200"/>
        <w:rPr>
          <w:rFonts w:ascii="宋体" w:hAnsi="Courier New"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34.3成交通知书是合同文件的组成部分。</w:t>
      </w:r>
    </w:p>
    <w:p w14:paraId="28812BE7">
      <w:pPr>
        <w:spacing w:line="360" w:lineRule="auto"/>
        <w:outlineLvl w:val="3"/>
        <w:rPr>
          <w:rFonts w:ascii="黑体" w:hAnsi="黑体" w:eastAsia="黑体"/>
          <w:b/>
          <w:bCs/>
          <w:color w:val="000000" w:themeColor="text1"/>
          <w:sz w:val="24"/>
          <w14:textFill>
            <w14:solidFill>
              <w14:schemeClr w14:val="tx1"/>
            </w14:solidFill>
          </w14:textFill>
        </w:rPr>
      </w:pPr>
      <w:bookmarkStart w:id="111" w:name="_Toc107997876"/>
      <w:bookmarkStart w:id="112" w:name="_Toc107998003"/>
      <w:r>
        <w:rPr>
          <w:rFonts w:hint="eastAsia" w:ascii="黑体" w:hAnsi="黑体" w:eastAsia="黑体"/>
          <w:b/>
          <w:bCs/>
          <w:color w:val="000000" w:themeColor="text1"/>
          <w:sz w:val="24"/>
          <w14:textFill>
            <w14:solidFill>
              <w14:schemeClr w14:val="tx1"/>
            </w14:solidFill>
          </w14:textFill>
        </w:rPr>
        <w:t>35.询问及质疑</w:t>
      </w:r>
      <w:bookmarkEnd w:id="111"/>
      <w:bookmarkEnd w:id="112"/>
    </w:p>
    <w:p w14:paraId="47C6997C">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35.1供应商对政府采购活动事项有疑问的，可以向采购人、采购代理机构提出询问。采购人或采购代理机构将在3个工作日内作出答复。</w:t>
      </w:r>
    </w:p>
    <w:p w14:paraId="5E196DA8">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35.2供应商若认为谈判文件、采购过程和成交结果使自己的权益受到损害，可以按法律、规章及《湖南省财政厅关于印发＜政府采购质疑答复和投诉处理操作规程＞的通知》(湘财购〔2019〕20号)文件规定向采购人、采购代理机构提出质疑。供应商应当在法定质疑期内一次性提出针对同一采购程序环节的质疑。</w:t>
      </w:r>
    </w:p>
    <w:p w14:paraId="71D58249">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35.3供应商</w:t>
      </w:r>
      <w:r>
        <w:rPr>
          <w:rFonts w:hint="eastAsia" w:ascii="宋体" w:hAnsi="宋体" w:eastAsia="宋体"/>
          <w:color w:val="000000" w:themeColor="text1"/>
          <w:szCs w:val="21"/>
          <w14:textFill>
            <w14:solidFill>
              <w14:schemeClr w14:val="tx1"/>
            </w14:solidFill>
          </w14:textFill>
        </w:rPr>
        <w:t>提出质疑的，</w:t>
      </w:r>
      <w:r>
        <w:rPr>
          <w:rFonts w:hint="eastAsia" w:ascii="宋体" w:hAnsi="宋体"/>
          <w:color w:val="000000" w:themeColor="text1"/>
          <w:szCs w:val="21"/>
          <w14:textFill>
            <w14:solidFill>
              <w14:schemeClr w14:val="tx1"/>
            </w14:solidFill>
          </w14:textFill>
        </w:rPr>
        <w:t>质疑函</w:t>
      </w:r>
      <w:r>
        <w:rPr>
          <w:rFonts w:hint="eastAsia" w:ascii="宋体" w:hAnsi="宋体" w:eastAsia="宋体"/>
          <w:color w:val="000000" w:themeColor="text1"/>
          <w:szCs w:val="21"/>
          <w14:textFill>
            <w14:solidFill>
              <w14:schemeClr w14:val="tx1"/>
            </w14:solidFill>
          </w14:textFill>
        </w:rPr>
        <w:t>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b/>
          <w:color w:val="000000" w:themeColor="text1"/>
          <w:szCs w:val="21"/>
          <w14:textFill>
            <w14:solidFill>
              <w14:schemeClr w14:val="tx1"/>
            </w14:solidFill>
          </w14:textFill>
        </w:rPr>
        <w:t>【谈判须知前附表】</w:t>
      </w:r>
      <w:r>
        <w:rPr>
          <w:rFonts w:hint="eastAsia" w:ascii="宋体" w:hAnsi="宋体" w:eastAsia="宋体"/>
          <w:color w:val="000000" w:themeColor="text1"/>
          <w:szCs w:val="21"/>
          <w14:textFill>
            <w14:solidFill>
              <w14:schemeClr w14:val="tx1"/>
            </w14:solidFill>
          </w14:textFill>
        </w:rPr>
        <w:t>。</w:t>
      </w:r>
    </w:p>
    <w:p w14:paraId="7F2E3A19">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35.4采购人、采购代理机构按照《湖南省财政厅关于印发＜政府采购质疑答复和投诉处理操作规程＞的通知》规定进行质疑答复。</w:t>
      </w:r>
    </w:p>
    <w:p w14:paraId="3429E99F">
      <w:pPr>
        <w:pStyle w:val="21"/>
        <w:spacing w:line="360" w:lineRule="auto"/>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35.5供应商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1FCEF6CB">
      <w:pPr>
        <w:spacing w:line="360" w:lineRule="auto"/>
        <w:outlineLvl w:val="3"/>
        <w:rPr>
          <w:rFonts w:ascii="黑体" w:hAnsi="黑体" w:eastAsia="黑体"/>
          <w:b/>
          <w:bCs/>
          <w:color w:val="000000" w:themeColor="text1"/>
          <w:sz w:val="24"/>
          <w14:textFill>
            <w14:solidFill>
              <w14:schemeClr w14:val="tx1"/>
            </w14:solidFill>
          </w14:textFill>
        </w:rPr>
      </w:pPr>
      <w:bookmarkStart w:id="113" w:name="_Toc107997877"/>
      <w:bookmarkStart w:id="114" w:name="_Toc107998004"/>
      <w:r>
        <w:rPr>
          <w:rFonts w:hint="eastAsia" w:ascii="黑体" w:hAnsi="黑体" w:eastAsia="黑体"/>
          <w:b/>
          <w:bCs/>
          <w:color w:val="000000" w:themeColor="text1"/>
          <w:sz w:val="24"/>
          <w14:textFill>
            <w14:solidFill>
              <w14:schemeClr w14:val="tx1"/>
            </w14:solidFill>
          </w14:textFill>
        </w:rPr>
        <w:t>36.履约担保</w:t>
      </w:r>
      <w:bookmarkEnd w:id="113"/>
      <w:bookmarkEnd w:id="114"/>
      <w:r>
        <w:rPr>
          <w:rFonts w:hint="eastAsia" w:ascii="黑体" w:hAnsi="黑体" w:eastAsia="黑体"/>
          <w:b/>
          <w:bCs/>
          <w:color w:val="auto"/>
          <w:sz w:val="24"/>
          <w:lang w:eastAsia="zh-CN"/>
        </w:rPr>
        <w:t>（</w:t>
      </w:r>
      <w:r>
        <w:rPr>
          <w:rFonts w:hint="eastAsia" w:ascii="黑体" w:hAnsi="黑体" w:eastAsia="黑体"/>
          <w:b/>
          <w:bCs/>
          <w:color w:val="auto"/>
          <w:sz w:val="24"/>
          <w:lang w:val="en-US" w:eastAsia="zh-CN"/>
        </w:rPr>
        <w:t>本项目不需要提供</w:t>
      </w:r>
      <w:r>
        <w:rPr>
          <w:rFonts w:hint="eastAsia" w:ascii="黑体" w:hAnsi="黑体" w:eastAsia="黑体"/>
          <w:b/>
          <w:bCs/>
          <w:color w:val="auto"/>
          <w:sz w:val="24"/>
          <w:lang w:eastAsia="zh-CN"/>
        </w:rPr>
        <w:t>）</w:t>
      </w:r>
    </w:p>
    <w:p w14:paraId="5E161461">
      <w:pPr>
        <w:adjustRightInd w:val="0"/>
        <w:snapToGrid w:val="0"/>
        <w:spacing w:before="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36.1</w:t>
      </w:r>
      <w:r>
        <w:rPr>
          <w:rFonts w:hint="eastAsia" w:ascii="宋体" w:hAnsi="宋体"/>
          <w:color w:val="000000" w:themeColor="text1"/>
          <w:szCs w:val="21"/>
          <w14:textFill>
            <w14:solidFill>
              <w14:schemeClr w14:val="tx1"/>
            </w14:solidFill>
          </w14:textFill>
        </w:rPr>
        <w:t>谈判文件要求成交供应商向采购人提交履约担保的，成交供应商应按照</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的规定提交，供应商可用保函、电子增信替代履约保证金。联合体成交的，履约担保由联合体各方或联合体中牵头人的名义提交。</w:t>
      </w:r>
    </w:p>
    <w:p w14:paraId="696B6CE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36.2成交供应商</w:t>
      </w:r>
      <w:r>
        <w:rPr>
          <w:rFonts w:hint="eastAsia" w:ascii="宋体" w:hAnsi="宋体" w:cs="Courier New"/>
          <w:color w:val="000000" w:themeColor="text1"/>
          <w:spacing w:val="4"/>
          <w:szCs w:val="21"/>
          <w14:textFill>
            <w14:solidFill>
              <w14:schemeClr w14:val="tx1"/>
            </w14:solidFill>
          </w14:textFill>
        </w:rPr>
        <w:t>没有按照本章第36.1</w:t>
      </w:r>
      <w:r>
        <w:rPr>
          <w:rFonts w:hint="eastAsia" w:ascii="宋体" w:hAnsi="宋体" w:cs="宋体"/>
          <w:color w:val="000000" w:themeColor="text1"/>
          <w:kern w:val="0"/>
          <w:szCs w:val="21"/>
          <w:lang w:val="zh-CN"/>
          <w14:textFill>
            <w14:solidFill>
              <w14:schemeClr w14:val="tx1"/>
            </w14:solidFill>
          </w14:textFill>
        </w:rPr>
        <w:t>款</w:t>
      </w:r>
      <w:r>
        <w:rPr>
          <w:rFonts w:hint="eastAsia" w:ascii="宋体" w:hAnsi="宋体" w:cs="Courier New"/>
          <w:color w:val="000000" w:themeColor="text1"/>
          <w:spacing w:val="4"/>
          <w:szCs w:val="21"/>
          <w14:textFill>
            <w14:solidFill>
              <w14:schemeClr w14:val="tx1"/>
            </w14:solidFill>
          </w14:textFill>
        </w:rPr>
        <w:t>规定</w:t>
      </w:r>
      <w:r>
        <w:rPr>
          <w:rFonts w:hint="eastAsia" w:ascii="宋体" w:hAnsi="宋体" w:cs="Courier New"/>
          <w:color w:val="000000" w:themeColor="text1"/>
          <w:szCs w:val="21"/>
          <w14:textFill>
            <w14:solidFill>
              <w14:schemeClr w14:val="tx1"/>
            </w14:solidFill>
          </w14:textFill>
        </w:rPr>
        <w:t>提交履约担保的</w:t>
      </w:r>
      <w:r>
        <w:rPr>
          <w:rFonts w:hint="eastAsia" w:ascii="宋体" w:hAnsi="宋体" w:cs="Courier New"/>
          <w:color w:val="000000" w:themeColor="text1"/>
          <w:spacing w:val="4"/>
          <w:szCs w:val="21"/>
          <w14:textFill>
            <w14:solidFill>
              <w14:schemeClr w14:val="tx1"/>
            </w14:solidFill>
          </w14:textFill>
        </w:rPr>
        <w:t>，视为放弃</w:t>
      </w:r>
      <w:r>
        <w:rPr>
          <w:rFonts w:hint="eastAsia" w:ascii="宋体" w:hAnsi="宋体" w:cs="Courier New"/>
          <w:color w:val="000000" w:themeColor="text1"/>
          <w:szCs w:val="21"/>
          <w14:textFill>
            <w14:solidFill>
              <w14:schemeClr w14:val="tx1"/>
            </w14:solidFill>
          </w14:textFill>
        </w:rPr>
        <w:t>成交资格</w:t>
      </w:r>
      <w:r>
        <w:rPr>
          <w:rFonts w:hint="eastAsia" w:ascii="宋体" w:hAnsi="宋体" w:cs="Courier New"/>
          <w:color w:val="000000" w:themeColor="text1"/>
          <w:spacing w:val="4"/>
          <w:szCs w:val="21"/>
          <w14:textFill>
            <w14:solidFill>
              <w14:schemeClr w14:val="tx1"/>
            </w14:solidFill>
          </w14:textFill>
        </w:rPr>
        <w:t>，</w:t>
      </w:r>
      <w:r>
        <w:rPr>
          <w:rFonts w:hint="eastAsia" w:ascii="宋体" w:hAnsi="宋体" w:cs="Courier New"/>
          <w:color w:val="000000" w:themeColor="text1"/>
          <w:spacing w:val="2"/>
          <w:szCs w:val="21"/>
          <w14:textFill>
            <w14:solidFill>
              <w14:schemeClr w14:val="tx1"/>
            </w14:solidFill>
          </w14:textFill>
        </w:rPr>
        <w:t>其谈判保证金不予退还。</w:t>
      </w:r>
    </w:p>
    <w:p w14:paraId="7557FC06">
      <w:pPr>
        <w:spacing w:line="360" w:lineRule="auto"/>
        <w:outlineLvl w:val="3"/>
        <w:rPr>
          <w:rFonts w:ascii="黑体" w:hAnsi="黑体" w:eastAsia="黑体"/>
          <w:b/>
          <w:bCs/>
          <w:color w:val="000000" w:themeColor="text1"/>
          <w:sz w:val="24"/>
          <w14:textFill>
            <w14:solidFill>
              <w14:schemeClr w14:val="tx1"/>
            </w14:solidFill>
          </w14:textFill>
        </w:rPr>
      </w:pPr>
      <w:bookmarkStart w:id="115" w:name="_Toc107997878"/>
      <w:bookmarkStart w:id="116" w:name="_Toc107998005"/>
      <w:r>
        <w:rPr>
          <w:rFonts w:hint="eastAsia" w:ascii="黑体" w:hAnsi="黑体" w:eastAsia="黑体"/>
          <w:b/>
          <w:bCs/>
          <w:color w:val="000000" w:themeColor="text1"/>
          <w:sz w:val="24"/>
          <w14:textFill>
            <w14:solidFill>
              <w14:schemeClr w14:val="tx1"/>
            </w14:solidFill>
          </w14:textFill>
        </w:rPr>
        <w:t>37.签订合同</w:t>
      </w:r>
      <w:bookmarkEnd w:id="115"/>
      <w:bookmarkEnd w:id="116"/>
    </w:p>
    <w:p w14:paraId="4ABD705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37.1谈判文件、成交供应商的响应文件及其补充的响应文件等均为签订政府采购合同的依据。</w:t>
      </w:r>
    </w:p>
    <w:p w14:paraId="6699F036">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37.2成交供应商应当在成交通知书发出之日起30日内与采购人签订政府采购合同。</w:t>
      </w:r>
    </w:p>
    <w:p w14:paraId="288E785B">
      <w:pPr>
        <w:adjustRightInd w:val="0"/>
        <w:snapToGrid w:val="0"/>
        <w:spacing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37.3成交供应商应当按照合同约定履行义务。成交供应商不得向他人转让成交项目，也不得将成交项目分包后分别向他人转让。</w:t>
      </w:r>
    </w:p>
    <w:p w14:paraId="7C603B17">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117" w:name="_Toc27104"/>
      <w:bookmarkStart w:id="118" w:name="_Toc22201076"/>
      <w:bookmarkStart w:id="119" w:name="_Toc107998006"/>
      <w:r>
        <w:rPr>
          <w:rFonts w:hint="eastAsia" w:ascii="黑体" w:hAnsi="黑体" w:eastAsia="黑体"/>
          <w:b/>
          <w:bCs/>
          <w:color w:val="000000" w:themeColor="text1"/>
          <w:sz w:val="28"/>
          <w:szCs w:val="28"/>
          <w14:textFill>
            <w14:solidFill>
              <w14:schemeClr w14:val="tx1"/>
            </w14:solidFill>
          </w14:textFill>
        </w:rPr>
        <w:t>七、政府采购政策</w:t>
      </w:r>
      <w:bookmarkEnd w:id="117"/>
      <w:bookmarkEnd w:id="118"/>
      <w:bookmarkEnd w:id="119"/>
    </w:p>
    <w:p w14:paraId="3896E048">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20" w:name="_Toc62225465"/>
      <w:bookmarkStart w:id="121" w:name="_Toc107997880"/>
      <w:bookmarkStart w:id="122" w:name="_Toc107998007"/>
      <w:r>
        <w:rPr>
          <w:rFonts w:hint="eastAsia" w:ascii="黑体" w:hAnsi="黑体" w:eastAsia="黑体"/>
          <w:b/>
          <w:bCs/>
          <w:color w:val="000000" w:themeColor="text1"/>
          <w:sz w:val="24"/>
          <w14:textFill>
            <w14:solidFill>
              <w14:schemeClr w14:val="tx1"/>
            </w14:solidFill>
          </w14:textFill>
        </w:rPr>
        <w:t>38.</w:t>
      </w:r>
      <w:bookmarkEnd w:id="120"/>
      <w:r>
        <w:rPr>
          <w:rFonts w:hint="eastAsia" w:ascii="黑体" w:hAnsi="黑体" w:eastAsia="黑体"/>
          <w:b/>
          <w:bCs/>
          <w:color w:val="000000" w:themeColor="text1"/>
          <w:sz w:val="24"/>
          <w14:textFill>
            <w14:solidFill>
              <w14:schemeClr w14:val="tx1"/>
            </w14:solidFill>
          </w14:textFill>
        </w:rPr>
        <w:t>预留采购份额</w:t>
      </w:r>
      <w:bookmarkEnd w:id="121"/>
      <w:bookmarkEnd w:id="122"/>
    </w:p>
    <w:p w14:paraId="19E23FF2">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38.1执行中小企业预留采购份额政策的规定：</w:t>
      </w:r>
    </w:p>
    <w:p w14:paraId="1308D529">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（1）预留份额的采购项目或者采购包，应明确该项目或相关采购包专门面向中小企业采购，并作为供应商资格条件。</w:t>
      </w:r>
    </w:p>
    <w:p w14:paraId="1CBA68B3">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（2）要求以联合体形式参加或者合同分包的，应明确联合协议或者分包承诺中中小企业合同金额应当达到的比例，并作为供应商资格条件。</w:t>
      </w:r>
    </w:p>
    <w:p w14:paraId="738BDCD1">
      <w:pPr>
        <w:adjustRightInd w:val="0"/>
        <w:snapToGrid w:val="0"/>
        <w:spacing w:line="360" w:lineRule="auto"/>
        <w:ind w:firstLine="420" w:firstLineChars="200"/>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（3）组成联合体或者接受分包合同的中小企业与联合体内其他企业(成员)、分包企业之间不得存在直接控股、管理关系。</w:t>
      </w:r>
    </w:p>
    <w:p w14:paraId="2C89627A">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23" w:name="_Toc107998008"/>
      <w:bookmarkStart w:id="124" w:name="_Toc62225466"/>
      <w:bookmarkStart w:id="125" w:name="_Toc107997881"/>
      <w:r>
        <w:rPr>
          <w:rFonts w:hint="eastAsia" w:ascii="黑体" w:hAnsi="黑体" w:eastAsia="黑体"/>
          <w:b/>
          <w:bCs/>
          <w:color w:val="000000" w:themeColor="text1"/>
          <w:sz w:val="24"/>
          <w14:textFill>
            <w14:solidFill>
              <w14:schemeClr w14:val="tx1"/>
            </w14:solidFill>
          </w14:textFill>
        </w:rPr>
        <w:t>39.强制采购</w:t>
      </w:r>
      <w:bookmarkEnd w:id="123"/>
      <w:bookmarkEnd w:id="124"/>
      <w:bookmarkEnd w:id="125"/>
    </w:p>
    <w:p w14:paraId="7B8D8247">
      <w:pPr>
        <w:adjustRightInd w:val="0"/>
        <w:snapToGrid w:val="0"/>
        <w:spacing w:line="360" w:lineRule="auto"/>
        <w:ind w:firstLine="420" w:firstLineChars="200"/>
        <w:jc w:val="left"/>
        <w:rPr>
          <w:rFonts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39.1纳入财政部会同国务院有关部门发布的节能产品政府采购品目清单（品目清单中标注</w:t>
      </w:r>
      <w:r>
        <w:rPr>
          <w:rFonts w:hint="eastAsia" w:ascii="宋体" w:hAnsi="宋体" w:eastAsia="宋体" w:cs="宋体"/>
          <w:color w:val="000000" w:themeColor="text1"/>
          <w:kern w:val="0"/>
          <w14:textFill>
            <w14:solidFill>
              <w14:schemeClr w14:val="tx1"/>
            </w14:solidFill>
          </w14:textFill>
        </w:rPr>
        <w:sym w:font="Wingdings" w:char="F0AB"/>
      </w:r>
      <w:r>
        <w:rPr>
          <w:rFonts w:hint="eastAsia" w:ascii="宋体" w:hAnsi="宋体" w:eastAsia="宋体" w:cs="宋体"/>
          <w:color w:val="000000" w:themeColor="text1"/>
          <w:kern w:val="0"/>
          <w14:textFill>
            <w14:solidFill>
              <w14:schemeClr w14:val="tx1"/>
            </w14:solidFill>
          </w14:textFill>
        </w:rPr>
        <w:t>符号产品），实施政府强制采购的，供应商提供的产品不符合强制采购规定，其</w:t>
      </w:r>
      <w:r>
        <w:rPr>
          <w:rFonts w:hint="eastAsia" w:ascii="宋体" w:hAnsi="宋体" w:eastAsia="宋体" w:cs="宋体"/>
          <w:b/>
          <w:color w:val="000000" w:themeColor="text1"/>
          <w:kern w:val="0"/>
          <w14:textFill>
            <w14:solidFill>
              <w14:schemeClr w14:val="tx1"/>
            </w14:solidFill>
          </w14:textFill>
        </w:rPr>
        <w:t>响应</w:t>
      </w:r>
      <w:r>
        <w:rPr>
          <w:rFonts w:hint="eastAsia" w:ascii="宋体" w:hAnsi="宋体" w:eastAsia="宋体" w:cs="宋体"/>
          <w:b/>
          <w:color w:val="000000" w:themeColor="text1"/>
          <w:kern w:val="0"/>
          <w:szCs w:val="21"/>
          <w14:textFill>
            <w14:solidFill>
              <w14:schemeClr w14:val="tx1"/>
            </w14:solidFill>
          </w14:textFill>
        </w:rPr>
        <w:t>无效</w:t>
      </w:r>
      <w:r>
        <w:rPr>
          <w:rFonts w:hint="eastAsia" w:ascii="宋体" w:hAnsi="宋体" w:eastAsia="宋体" w:cs="宋体"/>
          <w:color w:val="000000" w:themeColor="text1"/>
          <w:kern w:val="0"/>
          <w14:textFill>
            <w14:solidFill>
              <w14:schemeClr w14:val="tx1"/>
            </w14:solidFill>
          </w14:textFill>
        </w:rPr>
        <w:t>。</w:t>
      </w:r>
    </w:p>
    <w:p w14:paraId="0AAE6E14">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26" w:name="_Toc107998009"/>
      <w:bookmarkStart w:id="127" w:name="_Toc107997882"/>
      <w:bookmarkStart w:id="128" w:name="_Toc62225467"/>
      <w:r>
        <w:rPr>
          <w:rFonts w:hint="eastAsia" w:ascii="黑体" w:hAnsi="黑体" w:eastAsia="黑体"/>
          <w:b/>
          <w:bCs/>
          <w:color w:val="000000" w:themeColor="text1"/>
          <w:sz w:val="24"/>
          <w14:textFill>
            <w14:solidFill>
              <w14:schemeClr w14:val="tx1"/>
            </w14:solidFill>
          </w14:textFill>
        </w:rPr>
        <w:t>40.优先采购</w:t>
      </w:r>
      <w:bookmarkEnd w:id="126"/>
      <w:bookmarkEnd w:id="127"/>
      <w:bookmarkEnd w:id="128"/>
    </w:p>
    <w:p w14:paraId="6B2DD681">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40.1</w:t>
      </w:r>
      <w:r>
        <w:rPr>
          <w:rFonts w:hint="eastAsia" w:ascii="宋体" w:hAnsi="宋体"/>
          <w:color w:val="000000" w:themeColor="text1"/>
          <w14:textFill>
            <w14:solidFill>
              <w14:schemeClr w14:val="tx1"/>
            </w14:solidFill>
          </w14:textFill>
        </w:rPr>
        <w:t>对</w:t>
      </w:r>
      <w:r>
        <w:rPr>
          <w:rFonts w:hint="eastAsia" w:ascii="宋体" w:hAnsi="宋体"/>
          <w:color w:val="000000" w:themeColor="text1"/>
          <w:szCs w:val="21"/>
          <w14:textFill>
            <w14:solidFill>
              <w14:schemeClr w14:val="tx1"/>
            </w14:solidFill>
          </w14:textFill>
        </w:rPr>
        <w:t>纳入财政部会同国务院有关部门发布的节能产品(未</w:t>
      </w:r>
      <w:r>
        <w:rPr>
          <w:rFonts w:hint="eastAsia" w:ascii="宋体" w:hAnsi="宋体" w:eastAsia="宋体" w:cs="宋体"/>
          <w:color w:val="000000" w:themeColor="text1"/>
          <w:kern w:val="0"/>
          <w14:textFill>
            <w14:solidFill>
              <w14:schemeClr w14:val="tx1"/>
            </w14:solidFill>
          </w14:textFill>
        </w:rPr>
        <w:t>标注</w:t>
      </w:r>
      <w:r>
        <w:rPr>
          <w:rFonts w:hint="eastAsia" w:ascii="宋体" w:hAnsi="宋体" w:eastAsia="宋体" w:cs="宋体"/>
          <w:color w:val="000000" w:themeColor="text1"/>
          <w:kern w:val="0"/>
          <w14:textFill>
            <w14:solidFill>
              <w14:schemeClr w14:val="tx1"/>
            </w14:solidFill>
          </w14:textFill>
        </w:rPr>
        <w:sym w:font="Wingdings" w:char="F0AB"/>
      </w:r>
      <w:r>
        <w:rPr>
          <w:rFonts w:hint="eastAsia" w:ascii="宋体" w:hAnsi="宋体" w:eastAsia="宋体" w:cs="宋体"/>
          <w:color w:val="000000" w:themeColor="text1"/>
          <w:kern w:val="0"/>
          <w14:textFill>
            <w14:solidFill>
              <w14:schemeClr w14:val="tx1"/>
            </w14:solidFill>
          </w14:textFill>
        </w:rPr>
        <w:t>符号产品</w:t>
      </w:r>
      <w:r>
        <w:rPr>
          <w:rFonts w:hint="eastAsia" w:ascii="宋体" w:hAnsi="宋体"/>
          <w:color w:val="000000" w:themeColor="text1"/>
          <w:szCs w:val="21"/>
          <w14:textFill>
            <w14:solidFill>
              <w14:schemeClr w14:val="tx1"/>
            </w14:solidFill>
          </w14:textFill>
        </w:rPr>
        <w:t>)、环境标志产品政府采购品目清单，实施政府优先采购的，评审时</w:t>
      </w:r>
      <w:r>
        <w:rPr>
          <w:rFonts w:hint="eastAsia" w:ascii="宋体" w:hAnsi="宋体"/>
          <w:color w:val="000000" w:themeColor="text1"/>
          <w:szCs w:val="21"/>
          <w:lang w:val="en-US" w:eastAsia="zh-CN"/>
          <w14:textFill>
            <w14:solidFill>
              <w14:schemeClr w14:val="tx1"/>
            </w14:solidFill>
          </w14:textFill>
        </w:rPr>
        <w:t>对该部分产品</w:t>
      </w:r>
      <w:r>
        <w:rPr>
          <w:rFonts w:hint="eastAsia" w:ascii="宋体" w:hAnsi="宋体"/>
          <w:color w:val="000000" w:themeColor="text1"/>
          <w:szCs w:val="21"/>
          <w14:textFill>
            <w14:solidFill>
              <w14:schemeClr w14:val="tx1"/>
            </w14:solidFill>
          </w14:textFill>
        </w:rPr>
        <w:t>按</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规定给予价格折扣；</w:t>
      </w:r>
    </w:p>
    <w:p w14:paraId="183E8E9B">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29" w:name="_Toc107998010"/>
      <w:bookmarkStart w:id="130" w:name="_Toc62225468"/>
      <w:bookmarkStart w:id="131" w:name="_Toc107997883"/>
      <w:r>
        <w:rPr>
          <w:rFonts w:hint="eastAsia" w:ascii="黑体" w:hAnsi="黑体" w:eastAsia="黑体"/>
          <w:b/>
          <w:bCs/>
          <w:color w:val="000000" w:themeColor="text1"/>
          <w:sz w:val="24"/>
          <w14:textFill>
            <w14:solidFill>
              <w14:schemeClr w14:val="tx1"/>
            </w14:solidFill>
          </w14:textFill>
        </w:rPr>
        <w:t>41.价格评审优惠</w:t>
      </w:r>
      <w:bookmarkEnd w:id="129"/>
      <w:bookmarkEnd w:id="130"/>
      <w:bookmarkEnd w:id="131"/>
    </w:p>
    <w:p w14:paraId="53A6AC36">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1.1</w:t>
      </w:r>
      <w:r>
        <w:rPr>
          <w:rFonts w:hint="eastAsia" w:ascii="宋体" w:hAnsi="宋体" w:eastAsia="宋体"/>
          <w:color w:val="000000" w:themeColor="text1"/>
          <w14:textFill>
            <w14:solidFill>
              <w14:schemeClr w14:val="tx1"/>
            </w14:solidFill>
          </w14:textFill>
        </w:rPr>
        <w:t>在政府采购活动中，供应商提供的货物、工程或者服务符合下列情形的：</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1</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hint="eastAsia" w:ascii="宋体" w:hAnsi="宋体" w:eastAsia="宋体"/>
          <w:color w:val="000000" w:themeColor="text1"/>
          <w:lang w:eastAsia="zh-CN"/>
          <w14:textFill>
            <w14:solidFill>
              <w14:schemeClr w14:val="tx1"/>
            </w14:solidFill>
          </w14:textFill>
        </w:rPr>
        <w:t>；</w:t>
      </w:r>
      <w:r>
        <w:rPr>
          <w:rFonts w:hint="eastAsia" w:ascii="宋体" w:hAnsi="宋体" w:eastAsia="宋体"/>
          <w:color w:val="000000" w:themeColor="text1"/>
          <w14:textFill>
            <w14:solidFill>
              <w14:schemeClr w14:val="tx1"/>
            </w14:solidFill>
          </w14:textFill>
        </w:rPr>
        <w:t>给予一定比例的价格折扣，用扣除后的价格参与评审；</w:t>
      </w:r>
    </w:p>
    <w:p w14:paraId="6E5285C6">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1.2价格折扣比例</w:t>
      </w:r>
    </w:p>
    <w:p w14:paraId="65EFEC72">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（1）对于经主管预算单位统筹后未预留份额专门面向中小企业采购的采购项目，以及预留份额项目中的非预留部分采购包，符合小微企业生产的货物或者提供的服务、工程情形的，按照</w:t>
      </w:r>
      <w:r>
        <w:rPr>
          <w:rFonts w:hint="eastAsia" w:ascii="宋体" w:hAnsi="宋体"/>
          <w:b/>
          <w:color w:val="000000" w:themeColor="text1"/>
          <w:szCs w:val="21"/>
          <w14:textFill>
            <w14:solidFill>
              <w14:schemeClr w14:val="tx1"/>
            </w14:solidFill>
          </w14:textFill>
        </w:rPr>
        <w:t>【谈判须知前附表】</w:t>
      </w:r>
      <w:r>
        <w:rPr>
          <w:rFonts w:hint="eastAsia" w:ascii="宋体" w:hAnsi="宋体" w:eastAsia="宋体"/>
          <w:color w:val="000000" w:themeColor="text1"/>
          <w14:textFill>
            <w14:solidFill>
              <w14:schemeClr w14:val="tx1"/>
            </w14:solidFill>
          </w14:textFill>
        </w:rPr>
        <w:t>规定的比例给予价格折扣，用扣除后的价格参与评审。</w:t>
      </w:r>
    </w:p>
    <w:p w14:paraId="7FDD4BF2">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（2）接受大中型企业与小微企业组成联合体或者允许大中型企业向一家或者多家小微企业分包的采购项目，对于联合协议或者分包承诺约定小微企业的合同份额占到合同总金额30%以上的，按照</w:t>
      </w:r>
      <w:r>
        <w:rPr>
          <w:rFonts w:hint="eastAsia" w:ascii="宋体" w:hAnsi="宋体"/>
          <w:b/>
          <w:color w:val="000000" w:themeColor="text1"/>
          <w:szCs w:val="21"/>
          <w14:textFill>
            <w14:solidFill>
              <w14:schemeClr w14:val="tx1"/>
            </w14:solidFill>
          </w14:textFill>
        </w:rPr>
        <w:t>【谈判须知前附表】</w:t>
      </w:r>
      <w:r>
        <w:rPr>
          <w:rFonts w:hint="eastAsia" w:ascii="宋体" w:hAnsi="宋体" w:eastAsia="宋体"/>
          <w:color w:val="000000" w:themeColor="text1"/>
          <w14:textFill>
            <w14:solidFill>
              <w14:schemeClr w14:val="tx1"/>
            </w14:solidFill>
          </w14:textFill>
        </w:rPr>
        <w:t>规定的比例给予价格折扣，用扣除后的价格参与评审。以联合体形式参加政府采购活动，联合体各方均为中小企业的，联合体视同中小企业。其中，联合体各方均为小微企业的，联合体视同小微企业。</w:t>
      </w:r>
    </w:p>
    <w:p w14:paraId="6F46DECA">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1.3</w:t>
      </w:r>
      <w:r>
        <w:rPr>
          <w:rFonts w:hint="eastAsia" w:ascii="宋体" w:hAnsi="宋体" w:eastAsia="宋体"/>
          <w:color w:val="000000" w:themeColor="text1"/>
          <w14:textFill>
            <w14:solidFill>
              <w14:schemeClr w14:val="tx1"/>
            </w14:solidFill>
          </w14:textFill>
        </w:rPr>
        <w:t>符合中小企业划分标准的个体工商户视同中小企业，享受评审中价格扣除等促进中小企业发展的政府采购政策。</w:t>
      </w:r>
    </w:p>
    <w:p w14:paraId="785D371B">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1.4</w:t>
      </w:r>
      <w:r>
        <w:rPr>
          <w:rFonts w:hint="eastAsia" w:ascii="宋体" w:hAnsi="宋体" w:eastAsia="宋体"/>
          <w:color w:val="000000" w:themeColor="text1"/>
          <w14:textFill>
            <w14:solidFill>
              <w14:schemeClr w14:val="tx1"/>
            </w14:solidFill>
          </w14:textFill>
        </w:rPr>
        <w:t>监狱企业、残疾人福利性单位视同小型、微型企业，享受评审中价格扣除等促进中小企业发展的政府采购政策。</w:t>
      </w:r>
    </w:p>
    <w:p w14:paraId="2E44F928">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1.5</w:t>
      </w:r>
      <w:r>
        <w:rPr>
          <w:rFonts w:hint="eastAsia" w:ascii="宋体" w:hAnsi="宋体" w:eastAsia="宋体"/>
          <w:color w:val="000000" w:themeColor="text1"/>
          <w14:textFill>
            <w14:solidFill>
              <w14:schemeClr w14:val="tx1"/>
            </w14:solidFill>
          </w14:textFill>
        </w:rPr>
        <w:t xml:space="preserve">与大企业的负责人为同一人，或者与大企业存在直接控股、管理关系的中小企业，不享受评审中价格扣除等促进中小企业发展的政府采购政策。 </w:t>
      </w:r>
    </w:p>
    <w:p w14:paraId="7F3DC59F">
      <w:pPr>
        <w:adjustRightInd w:val="0"/>
        <w:snapToGrid w:val="0"/>
        <w:spacing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eastAsia="宋体"/>
          <w:color w:val="000000" w:themeColor="text1"/>
          <w14:textFill>
            <w14:solidFill>
              <w14:schemeClr w14:val="tx1"/>
            </w14:solidFill>
          </w14:textFill>
        </w:rPr>
        <w:t>4</w:t>
      </w:r>
      <w:r>
        <w:rPr>
          <w:rFonts w:ascii="宋体" w:hAnsi="宋体" w:eastAsia="宋体"/>
          <w:color w:val="000000" w:themeColor="text1"/>
          <w14:textFill>
            <w14:solidFill>
              <w14:schemeClr w14:val="tx1"/>
            </w14:solidFill>
          </w14:textFill>
        </w:rPr>
        <w:t>1.6</w:t>
      </w:r>
      <w:r>
        <w:rPr>
          <w:rFonts w:hint="eastAsia" w:ascii="宋体" w:hAnsi="宋体" w:eastAsia="宋体"/>
          <w:color w:val="000000" w:themeColor="text1"/>
          <w14:textFill>
            <w14:solidFill>
              <w14:schemeClr w14:val="tx1"/>
            </w14:solidFill>
          </w14:textFill>
        </w:rPr>
        <w:t>本章第1.2款规定采购项目或者采购包属于“预留采购份额”的，预留部分不再享受本款“价格评审优惠”的小微企业扶持政策。</w:t>
      </w:r>
    </w:p>
    <w:p w14:paraId="070864A5">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32" w:name="_Toc107998011"/>
      <w:bookmarkStart w:id="133" w:name="_Toc62225469"/>
      <w:bookmarkStart w:id="134" w:name="_Toc107997884"/>
      <w:r>
        <w:rPr>
          <w:rFonts w:hint="eastAsia" w:ascii="黑体" w:hAnsi="黑体" w:eastAsia="黑体"/>
          <w:b/>
          <w:bCs/>
          <w:color w:val="000000" w:themeColor="text1"/>
          <w:sz w:val="24"/>
          <w14:textFill>
            <w14:solidFill>
              <w14:schemeClr w14:val="tx1"/>
            </w14:solidFill>
          </w14:textFill>
        </w:rPr>
        <w:t>42.政府采购政策其他规定</w:t>
      </w:r>
      <w:bookmarkEnd w:id="132"/>
      <w:bookmarkEnd w:id="133"/>
      <w:bookmarkEnd w:id="134"/>
    </w:p>
    <w:p w14:paraId="2D1EABB2">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42.1中型企业、小型企业和微型企业类型按照《关于印发＜政府采购促进中小企业发展办法＞的通知》(财库[2020]46号)和《关于印发中小企业划型标准规定的通知》（工信部联企业〔2011〕300号）规定认定。</w:t>
      </w:r>
    </w:p>
    <w:p w14:paraId="218FB69F">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eastAsia="宋体"/>
          <w:color w:val="000000" w:themeColor="text1"/>
          <w14:textFill>
            <w14:solidFill>
              <w14:schemeClr w14:val="tx1"/>
            </w14:solidFill>
          </w14:textFill>
        </w:rPr>
        <w:t>42.2</w:t>
      </w:r>
      <w:r>
        <w:rPr>
          <w:rFonts w:hint="eastAsia" w:ascii="宋体" w:hAnsi="宋体"/>
          <w:color w:val="000000" w:themeColor="text1"/>
          <w14:textFill>
            <w14:solidFill>
              <w14:schemeClr w14:val="tx1"/>
            </w14:solidFill>
          </w14:textFill>
        </w:rPr>
        <w:t>监狱企业、残</w:t>
      </w:r>
      <w:r>
        <w:rPr>
          <w:rFonts w:hint="eastAsia" w:ascii="宋体" w:hAnsi="宋体"/>
          <w:color w:val="000000" w:themeColor="text1"/>
          <w:szCs w:val="21"/>
          <w14:textFill>
            <w14:solidFill>
              <w14:schemeClr w14:val="tx1"/>
            </w14:solidFill>
          </w14:textFill>
        </w:rPr>
        <w:t>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430BE9AE">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42.3以联合体形式参加政府采购活动，联合体各方均为中小企业的，联合体视同中小企业。其中，联合体各方均为小微企业的，联合体视同小微企业。</w:t>
      </w:r>
    </w:p>
    <w:p w14:paraId="343BC6ED">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42.4在货物采购项目中，供应商提供的货物既有中小企业制造货物，也有大型企业制造货物的，不享受中小企业扶持政策。</w:t>
      </w:r>
    </w:p>
    <w:p w14:paraId="1CA62DDB">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42.</w:t>
      </w:r>
      <w:r>
        <w:rPr>
          <w:rFonts w:ascii="宋体" w:hAnsi="宋体" w:eastAsia="宋体"/>
          <w:color w:val="000000" w:themeColor="text1"/>
          <w14:textFill>
            <w14:solidFill>
              <w14:schemeClr w14:val="tx1"/>
            </w14:solidFill>
          </w14:textFill>
        </w:rPr>
        <w:t>5</w:t>
      </w:r>
      <w:r>
        <w:rPr>
          <w:rFonts w:hint="eastAsia" w:ascii="宋体" w:hAnsi="宋体" w:eastAsia="宋体"/>
          <w:color w:val="000000" w:themeColor="text1"/>
          <w14:textFill>
            <w14:solidFill>
              <w14:schemeClr w14:val="tx1"/>
            </w14:solidFill>
          </w14:textFill>
        </w:rPr>
        <w:t>供应商提供的产品取得两个及以上优先采购产品认证的，评审时只有其中一项产品能够享受优先采购优惠（供应商自行选择，并在响应文件中并填报相关信息及数据）。</w:t>
      </w:r>
    </w:p>
    <w:p w14:paraId="53837B57">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42.</w:t>
      </w:r>
      <w:r>
        <w:rPr>
          <w:rFonts w:ascii="宋体" w:hAnsi="宋体" w:eastAsia="宋体"/>
          <w:color w:val="000000" w:themeColor="text1"/>
          <w14:textFill>
            <w14:solidFill>
              <w14:schemeClr w14:val="tx1"/>
            </w14:solidFill>
          </w14:textFill>
        </w:rPr>
        <w:t>6</w:t>
      </w:r>
      <w:r>
        <w:rPr>
          <w:rFonts w:hint="eastAsia" w:ascii="宋体" w:hAnsi="宋体" w:eastAsia="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价格评审优惠”可以与同时属于“节能产品”、“环境标志产品”中的一项“优先采购”累加计算。</w:t>
      </w:r>
    </w:p>
    <w:p w14:paraId="12C9C9EE">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35" w:name="_Toc107998012"/>
      <w:bookmarkStart w:id="136" w:name="_Toc62225470"/>
      <w:bookmarkStart w:id="137" w:name="_Toc23243979"/>
      <w:bookmarkStart w:id="138" w:name="_Toc23255846"/>
      <w:bookmarkStart w:id="139" w:name="_Toc107997885"/>
      <w:r>
        <w:rPr>
          <w:rFonts w:hint="eastAsia" w:ascii="黑体" w:hAnsi="黑体" w:eastAsia="黑体"/>
          <w:b/>
          <w:bCs/>
          <w:color w:val="000000" w:themeColor="text1"/>
          <w:sz w:val="24"/>
          <w14:textFill>
            <w14:solidFill>
              <w14:schemeClr w14:val="tx1"/>
            </w14:solidFill>
          </w14:textFill>
        </w:rPr>
        <w:t>43.供应商应提供的政府采购政策证明资料</w:t>
      </w:r>
      <w:bookmarkEnd w:id="135"/>
      <w:bookmarkEnd w:id="136"/>
      <w:bookmarkEnd w:id="137"/>
      <w:bookmarkEnd w:id="138"/>
      <w:bookmarkEnd w:id="139"/>
    </w:p>
    <w:p w14:paraId="39AB52A7">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43.1符合本章第38条、第39条、第40条、第41条规定的，供应商应在响应文件中提供相关证明资料。</w:t>
      </w:r>
    </w:p>
    <w:p w14:paraId="52B5E63E">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节能产品、环境标志产品：提供国家确定的认证机构出具的、处于有效期之内的节能产品、环境标志产品认证证书（复印件）。</w:t>
      </w:r>
    </w:p>
    <w:p w14:paraId="69F6407D">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2</w:t>
      </w:r>
      <w:r>
        <w:rPr>
          <w:rFonts w:hint="eastAsia" w:ascii="宋体" w:hAnsi="宋体" w:eastAsia="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中小企业：货物类采购项目，按《关于印发＜政府采购促进中小企业发展办法＞的通知》(财库[2020]46号) 和《关于印发中小企业划型标准规定的通知》（工信部联企业〔2011〕300号）文件规定提供中小企业声明函（格式）；工程、服务类采购项目，按《湖南省财政厅关于政府采购促进中小企业发展的有关措施的通知》（湘财购[2022]17号）文件规定提供湖南省政府采购供应商资格承诺函（格式）</w:t>
      </w:r>
      <w:r>
        <w:rPr>
          <w:rFonts w:hint="eastAsia" w:ascii="宋体" w:hAnsi="宋体"/>
          <w:color w:val="000000" w:themeColor="text1"/>
          <w:szCs w:val="21"/>
          <w14:textFill>
            <w14:solidFill>
              <w14:schemeClr w14:val="tx1"/>
            </w14:solidFill>
          </w14:textFill>
        </w:rPr>
        <w:t>。</w:t>
      </w:r>
    </w:p>
    <w:p w14:paraId="23721D17">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3</w:t>
      </w:r>
      <w:r>
        <w:rPr>
          <w:rFonts w:hint="eastAsia" w:ascii="宋体" w:hAnsi="宋体" w:eastAsia="宋体"/>
          <w:color w:val="000000" w:themeColor="text1"/>
          <w14:textFill>
            <w14:solidFill>
              <w14:schemeClr w14:val="tx1"/>
            </w14:solidFill>
          </w14:textFill>
        </w:rPr>
        <w:t>）监狱企业：按《关于政府采购支持监狱企业发展有关问题的通知》(财库〔2014〕68号)文件规定提供证明文件（复印件）。</w:t>
      </w:r>
    </w:p>
    <w:p w14:paraId="085AD43E">
      <w:pPr>
        <w:adjustRightInd w:val="0"/>
        <w:snapToGrid w:val="0"/>
        <w:spacing w:line="360" w:lineRule="auto"/>
        <w:ind w:firstLine="420" w:firstLineChars="200"/>
        <w:jc w:val="left"/>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w:t>
      </w:r>
      <w:r>
        <w:rPr>
          <w:rFonts w:hint="eastAsia" w:ascii="宋体" w:hAnsi="宋体"/>
          <w:color w:val="000000" w:themeColor="text1"/>
          <w:lang w:val="en-US" w:eastAsia="zh-CN"/>
          <w14:textFill>
            <w14:solidFill>
              <w14:schemeClr w14:val="tx1"/>
            </w14:solidFill>
          </w14:textFill>
        </w:rPr>
        <w:t>4</w:t>
      </w:r>
      <w:r>
        <w:rPr>
          <w:rFonts w:hint="eastAsia" w:ascii="宋体" w:hAnsi="宋体" w:eastAsia="宋体"/>
          <w:color w:val="000000" w:themeColor="text1"/>
          <w14:textFill>
            <w14:solidFill>
              <w14:schemeClr w14:val="tx1"/>
            </w14:solidFill>
          </w14:textFill>
        </w:rPr>
        <w:t>）残疾人福利性单位：按《关于促进残疾人就业政府采购政策的通知》(财库〔2017〕141号)文件规定提供《残疾人福利性单位声明函》（格式）。</w:t>
      </w:r>
    </w:p>
    <w:p w14:paraId="3EADA4EB">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bookmarkStart w:id="140" w:name="_Toc62225472"/>
      <w:bookmarkStart w:id="141" w:name="_Toc107998013"/>
      <w:bookmarkStart w:id="142" w:name="_Toc107997886"/>
      <w:r>
        <w:rPr>
          <w:rFonts w:hint="eastAsia" w:ascii="黑体" w:hAnsi="黑体" w:eastAsia="黑体"/>
          <w:b/>
          <w:bCs/>
          <w:color w:val="000000" w:themeColor="text1"/>
          <w:sz w:val="24"/>
          <w14:textFill>
            <w14:solidFill>
              <w14:schemeClr w14:val="tx1"/>
            </w14:solidFill>
          </w14:textFill>
        </w:rPr>
        <w:t>4</w:t>
      </w:r>
      <w:r>
        <w:rPr>
          <w:rFonts w:ascii="黑体" w:hAnsi="黑体" w:eastAsia="黑体"/>
          <w:b/>
          <w:bCs/>
          <w:color w:val="000000" w:themeColor="text1"/>
          <w:sz w:val="24"/>
          <w14:textFill>
            <w14:solidFill>
              <w14:schemeClr w14:val="tx1"/>
            </w14:solidFill>
          </w14:textFill>
        </w:rPr>
        <w:t>4</w:t>
      </w:r>
      <w:r>
        <w:rPr>
          <w:rFonts w:hint="eastAsia" w:ascii="黑体" w:hAnsi="黑体" w:eastAsia="黑体"/>
          <w:b/>
          <w:bCs/>
          <w:color w:val="000000" w:themeColor="text1"/>
          <w:sz w:val="24"/>
          <w14:textFill>
            <w14:solidFill>
              <w14:schemeClr w14:val="tx1"/>
            </w14:solidFill>
          </w14:textFill>
        </w:rPr>
        <w:t>. 采购进口产品</w:t>
      </w:r>
    </w:p>
    <w:p w14:paraId="08D90AC8">
      <w:pPr>
        <w:adjustRightInd w:val="0"/>
        <w:snapToGrid w:val="0"/>
        <w:spacing w:line="360" w:lineRule="auto"/>
        <w:ind w:firstLine="420" w:firstLineChars="200"/>
        <w:jc w:val="left"/>
        <w:rPr>
          <w:rFonts w:ascii="黑体" w:hAnsi="黑体" w:eastAsia="黑体"/>
          <w:b/>
          <w:bCs/>
          <w:color w:val="000000" w:themeColor="text1"/>
          <w:sz w:val="24"/>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44.1</w:t>
      </w:r>
      <w:r>
        <w:rPr>
          <w:rFonts w:hint="eastAsia" w:ascii="宋体" w:hAnsi="宋体" w:cs="宋体"/>
          <w:bCs/>
          <w:color w:val="000000" w:themeColor="text1"/>
          <w:kern w:val="0"/>
          <w:szCs w:val="21"/>
          <w:lang w:val="zh-CN"/>
          <w14:textFill>
            <w14:solidFill>
              <w14:schemeClr w14:val="tx1"/>
            </w14:solidFill>
          </w14:textFill>
        </w:rPr>
        <w:t>进口产品是指符合《政府采购进口产品管理办法》（财库〔2007〕119号）和《关于政府采购进口产品管理有关问题的通知》（财办库〔2008〕248号）文件规定的产品。</w:t>
      </w:r>
      <w:r>
        <w:rPr>
          <w:rFonts w:hint="eastAsia" w:ascii="宋体" w:hAnsi="宋体" w:cs="宋体"/>
          <w:b/>
          <w:color w:val="000000" w:themeColor="text1"/>
          <w:kern w:val="0"/>
          <w:szCs w:val="21"/>
          <w:lang w:val="zh-CN"/>
          <w14:textFill>
            <w14:solidFill>
              <w14:schemeClr w14:val="tx1"/>
            </w14:solidFill>
          </w14:textFill>
        </w:rPr>
        <w:t>除【谈判须知前附表】另有规定外，采购项目拒绝进口产品参加谈判。</w:t>
      </w:r>
      <w:r>
        <w:rPr>
          <w:rFonts w:hint="eastAsia" w:ascii="宋体" w:hAnsi="宋体" w:cs="宋体"/>
          <w:bCs/>
          <w:color w:val="000000" w:themeColor="text1"/>
          <w:kern w:val="0"/>
          <w:szCs w:val="21"/>
          <w:lang w:val="zh-CN"/>
          <w14:textFill>
            <w14:solidFill>
              <w14:schemeClr w14:val="tx1"/>
            </w14:solidFill>
          </w14:textFill>
        </w:rPr>
        <w:t>本款规定同意购买进口产品的，不限制满足谈判文件要求的国内产品参与谈判竞争。</w:t>
      </w:r>
    </w:p>
    <w:p w14:paraId="771BF4B0">
      <w:pPr>
        <w:adjustRightInd w:val="0"/>
        <w:snapToGrid w:val="0"/>
        <w:spacing w:line="360" w:lineRule="auto"/>
        <w:outlineLvl w:val="3"/>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45.融资、担保</w:t>
      </w:r>
      <w:bookmarkEnd w:id="140"/>
      <w:bookmarkEnd w:id="141"/>
      <w:bookmarkEnd w:id="142"/>
    </w:p>
    <w:p w14:paraId="74E18D44">
      <w:pPr>
        <w:adjustRightInd w:val="0"/>
        <w:snapToGrid w:val="0"/>
        <w:spacing w:line="360" w:lineRule="auto"/>
        <w:ind w:firstLine="420" w:firstLineChars="200"/>
        <w:jc w:val="left"/>
        <w:rPr>
          <w:rFonts w:ascii="宋体" w:hAnsi="宋体"/>
          <w:color w:val="000000" w:themeColor="text1"/>
          <w:sz w:val="24"/>
          <w14:textFill>
            <w14:solidFill>
              <w14:schemeClr w14:val="tx1"/>
            </w14:solidFill>
          </w14:textFill>
        </w:rPr>
      </w:pPr>
      <w:r>
        <w:rPr>
          <w:rFonts w:hint="eastAsia" w:ascii="宋体" w:hAnsi="宋体" w:eastAsia="宋体"/>
          <w:color w:val="000000" w:themeColor="text1"/>
          <w14:textFill>
            <w14:solidFill>
              <w14:schemeClr w14:val="tx1"/>
            </w14:solidFill>
          </w14:textFill>
        </w:rPr>
        <w:t>45.1供应商有融资、担保需求的，可登陆中国湖南政府采购网查询相关银行、担保机构业务。</w:t>
      </w:r>
    </w:p>
    <w:p w14:paraId="1B649D91">
      <w:pPr>
        <w:adjustRightInd w:val="0"/>
        <w:snapToGrid w:val="0"/>
        <w:spacing w:line="360" w:lineRule="auto"/>
        <w:jc w:val="center"/>
        <w:outlineLvl w:val="2"/>
        <w:rPr>
          <w:rFonts w:ascii="黑体" w:hAnsi="黑体" w:eastAsia="黑体"/>
          <w:b/>
          <w:bCs/>
          <w:color w:val="000000" w:themeColor="text1"/>
          <w:sz w:val="28"/>
          <w:szCs w:val="28"/>
          <w14:textFill>
            <w14:solidFill>
              <w14:schemeClr w14:val="tx1"/>
            </w14:solidFill>
          </w14:textFill>
        </w:rPr>
      </w:pPr>
      <w:bookmarkStart w:id="143" w:name="_Toc107998014"/>
      <w:bookmarkStart w:id="144" w:name="_Toc10498"/>
      <w:r>
        <w:rPr>
          <w:rFonts w:hint="eastAsia" w:ascii="黑体" w:hAnsi="黑体" w:eastAsia="黑体"/>
          <w:b/>
          <w:bCs/>
          <w:color w:val="000000" w:themeColor="text1"/>
          <w:sz w:val="28"/>
          <w:szCs w:val="28"/>
          <w14:textFill>
            <w14:solidFill>
              <w14:schemeClr w14:val="tx1"/>
            </w14:solidFill>
          </w14:textFill>
        </w:rPr>
        <w:t>八、其他规定</w:t>
      </w:r>
      <w:bookmarkEnd w:id="143"/>
      <w:bookmarkEnd w:id="144"/>
    </w:p>
    <w:p w14:paraId="2068063C">
      <w:pPr>
        <w:spacing w:line="360" w:lineRule="auto"/>
        <w:outlineLvl w:val="3"/>
        <w:rPr>
          <w:rFonts w:ascii="黑体" w:hAnsi="黑体" w:eastAsia="黑体"/>
          <w:b/>
          <w:bCs/>
          <w:color w:val="000000" w:themeColor="text1"/>
          <w:sz w:val="24"/>
          <w14:textFill>
            <w14:solidFill>
              <w14:schemeClr w14:val="tx1"/>
            </w14:solidFill>
          </w14:textFill>
        </w:rPr>
      </w:pPr>
      <w:bookmarkStart w:id="145" w:name="_Toc107997888"/>
      <w:bookmarkStart w:id="146" w:name="_Toc107998015"/>
      <w:r>
        <w:rPr>
          <w:rFonts w:hint="eastAsia" w:ascii="黑体" w:hAnsi="黑体" w:eastAsia="黑体"/>
          <w:b/>
          <w:bCs/>
          <w:color w:val="000000" w:themeColor="text1"/>
          <w:sz w:val="24"/>
          <w14:textFill>
            <w14:solidFill>
              <w14:schemeClr w14:val="tx1"/>
            </w14:solidFill>
          </w14:textFill>
        </w:rPr>
        <w:t>46.其他规定</w:t>
      </w:r>
      <w:bookmarkEnd w:id="145"/>
      <w:bookmarkEnd w:id="146"/>
    </w:p>
    <w:p w14:paraId="41BE3836">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6</w:t>
      </w: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合同价款支付</w:t>
      </w:r>
    </w:p>
    <w:p w14:paraId="6685268F">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（1）竞争性谈判文件规定支付合同预付款的，采购人应按【谈判须知前附表】规定的支付比例和支付条件向符合要求的成交供应商及时支付相应款项，并在政府采购合同中进行明确。</w:t>
      </w:r>
    </w:p>
    <w:p w14:paraId="0682CFD8">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（2）竞争性谈判文件规定需提交质量保证金的，采购人可以按【谈判须知前附表】规定要求成交供应商提交质量保证金，并在政府采购合同中进行明确。</w:t>
      </w:r>
    </w:p>
    <w:p w14:paraId="191E57D1">
      <w:pPr>
        <w:adjustRightInd w:val="0"/>
        <w:snapToGrid w:val="0"/>
        <w:spacing w:line="360" w:lineRule="auto"/>
        <w:ind w:firstLine="420" w:firstLineChars="200"/>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（3）供应商可以保函、电子增信替代预付款担保、质量保证金。</w:t>
      </w:r>
    </w:p>
    <w:p w14:paraId="1BE86D48">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46.</w:t>
      </w:r>
      <w:r>
        <w:rPr>
          <w:rFonts w:ascii="宋体" w:hAnsi="宋体"/>
          <w:color w:val="000000" w:themeColor="text1"/>
          <w14:textFill>
            <w14:solidFill>
              <w14:schemeClr w14:val="tx1"/>
            </w14:solidFill>
          </w14:textFill>
        </w:rPr>
        <w:t>2</w:t>
      </w:r>
      <w:r>
        <w:rPr>
          <w:rFonts w:hint="eastAsia" w:ascii="宋体" w:hAnsi="宋体"/>
          <w:color w:val="000000" w:themeColor="text1"/>
          <w:szCs w:val="21"/>
          <w14:textFill>
            <w14:solidFill>
              <w14:schemeClr w14:val="tx1"/>
            </w14:solidFill>
          </w14:textFill>
        </w:rPr>
        <w:t>谈判文件</w:t>
      </w:r>
      <w:r>
        <w:rPr>
          <w:rFonts w:hint="eastAsia" w:hAnsi="宋体"/>
          <w:color w:val="000000" w:themeColor="text1"/>
          <w14:textFill>
            <w14:solidFill>
              <w14:schemeClr w14:val="tx1"/>
            </w14:solidFill>
          </w14:textFill>
        </w:rPr>
        <w:t>的其他规定</w:t>
      </w:r>
      <w:r>
        <w:rPr>
          <w:rFonts w:hint="eastAsia" w:ascii="宋体" w:hAnsi="宋体"/>
          <w:color w:val="000000" w:themeColor="text1"/>
          <w:szCs w:val="21"/>
          <w14:textFill>
            <w14:solidFill>
              <w14:schemeClr w14:val="tx1"/>
            </w14:solidFill>
          </w14:textFill>
        </w:rPr>
        <w:t>见</w:t>
      </w:r>
      <w:r>
        <w:rPr>
          <w:rFonts w:hint="eastAsia" w:ascii="宋体" w:hAnsi="宋体"/>
          <w:b/>
          <w:color w:val="000000" w:themeColor="text1"/>
          <w:szCs w:val="21"/>
          <w14:textFill>
            <w14:solidFill>
              <w14:schemeClr w14:val="tx1"/>
            </w14:solidFill>
          </w14:textFill>
        </w:rPr>
        <w:t>【谈判须知前附表】</w:t>
      </w:r>
      <w:r>
        <w:rPr>
          <w:rFonts w:hint="eastAsia" w:ascii="宋体" w:hAnsi="宋体"/>
          <w:color w:val="000000" w:themeColor="text1"/>
          <w:szCs w:val="21"/>
          <w14:textFill>
            <w14:solidFill>
              <w14:schemeClr w14:val="tx1"/>
            </w14:solidFill>
          </w14:textFill>
        </w:rPr>
        <w:t>。</w:t>
      </w:r>
    </w:p>
    <w:p w14:paraId="2C355E7D">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13107073">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sectPr>
          <w:footerReference r:id="rId5" w:type="default"/>
          <w:pgSz w:w="11906" w:h="16838"/>
          <w:pgMar w:top="1418" w:right="1418" w:bottom="1134" w:left="1418" w:header="851" w:footer="992" w:gutter="0"/>
          <w:pgNumType w:fmt="decimal" w:start="1"/>
          <w:cols w:space="720" w:num="1"/>
          <w:docGrid w:type="linesAndChars" w:linePitch="312" w:charSpace="0"/>
        </w:sectPr>
      </w:pPr>
    </w:p>
    <w:p w14:paraId="627410F8">
      <w:pPr>
        <w:numPr>
          <w:ilvl w:val="0"/>
          <w:numId w:val="4"/>
        </w:numPr>
        <w:snapToGrid w:val="0"/>
        <w:spacing w:line="480" w:lineRule="exact"/>
        <w:jc w:val="center"/>
        <w:rPr>
          <w:rFonts w:hint="eastAsia"/>
          <w:b/>
          <w:bCs/>
          <w:color w:val="000000"/>
          <w:sz w:val="36"/>
          <w:szCs w:val="44"/>
        </w:rPr>
      </w:pPr>
      <w:bookmarkStart w:id="224" w:name="_GoBack"/>
      <w:r>
        <w:rPr>
          <w:rFonts w:hint="eastAsia"/>
          <w:b/>
          <w:bCs/>
          <w:color w:val="000000"/>
          <w:sz w:val="36"/>
          <w:szCs w:val="44"/>
        </w:rPr>
        <w:t>采购需求</w:t>
      </w:r>
    </w:p>
    <w:p w14:paraId="6C44E8CA">
      <w:pPr>
        <w:pStyle w:val="6"/>
        <w:numPr>
          <w:ilvl w:val="0"/>
          <w:numId w:val="0"/>
        </w:numPr>
        <w:spacing w:after="0" w:afterAutospacing="0" w:line="360"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kern w:val="2"/>
          <w:sz w:val="21"/>
          <w:szCs w:val="21"/>
          <w:lang w:val="en-US" w:eastAsia="zh-CN" w:bidi="ar-SA"/>
        </w:rPr>
        <w:t>一、</w:t>
      </w:r>
      <w:r>
        <w:rPr>
          <w:rFonts w:hint="eastAsia" w:ascii="宋体" w:hAnsi="宋体" w:eastAsia="宋体" w:cs="宋体"/>
          <w:b/>
          <w:bCs w:val="0"/>
          <w:sz w:val="21"/>
          <w:szCs w:val="21"/>
          <w:highlight w:val="none"/>
          <w:lang w:val="en-US" w:eastAsia="zh-CN"/>
        </w:rPr>
        <w:t>项目总体要求：</w:t>
      </w:r>
    </w:p>
    <w:p w14:paraId="087DB4B4">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5m³低温液氧贮槽3台，替换3台达到使用年限的旧低温液氧贮槽，并配套四套具备远程监控功能的电子液位监测器。本项目为包含运输、安装备案、吊装、安装、原液氧站房钢结构吊顶拆除及恢复、监检、旧低温液氧贮槽报废注销及处置、新低温液氧贮槽注册办理特种设备使用登记证等，保证低温液氧贮槽安装完成后就能够投入使用的交钥匙项目。</w:t>
      </w:r>
    </w:p>
    <w:p w14:paraId="63FC24E9">
      <w:pPr>
        <w:widowControl w:val="0"/>
        <w:bidi w:val="0"/>
        <w:spacing w:line="360" w:lineRule="auto"/>
        <w:ind w:left="0" w:leftChars="0" w:firstLine="0" w:firstLineChars="0"/>
        <w:jc w:val="both"/>
        <w:rPr>
          <w:rFonts w:hint="eastAsia" w:ascii="宋体" w:hAnsi="宋体" w:eastAsia="宋体" w:cs="宋体"/>
          <w:spacing w:val="20"/>
          <w:kern w:val="2"/>
          <w:sz w:val="21"/>
          <w:szCs w:val="21"/>
          <w:lang w:val="en-US" w:eastAsia="zh-CN" w:bidi="ar-SA"/>
        </w:rPr>
      </w:pPr>
      <w:r>
        <w:rPr>
          <w:rFonts w:hint="eastAsia" w:ascii="宋体" w:hAnsi="宋体" w:eastAsia="宋体" w:cs="宋体"/>
          <w:b/>
          <w:bCs/>
          <w:spacing w:val="20"/>
          <w:kern w:val="2"/>
          <w:sz w:val="21"/>
          <w:szCs w:val="21"/>
          <w:lang w:val="en-US" w:eastAsia="zh-CN" w:bidi="ar-SA"/>
        </w:rPr>
        <w:t>二、技术要求</w:t>
      </w:r>
      <w:r>
        <w:rPr>
          <w:rFonts w:hint="eastAsia" w:ascii="宋体" w:hAnsi="宋体" w:eastAsia="宋体" w:cs="宋体"/>
          <w:spacing w:val="20"/>
          <w:kern w:val="2"/>
          <w:sz w:val="21"/>
          <w:szCs w:val="21"/>
          <w:lang w:val="en-US" w:eastAsia="zh-CN" w:bidi="ar-SA"/>
        </w:rPr>
        <w:t>：</w:t>
      </w:r>
    </w:p>
    <w:p w14:paraId="0252B5F5">
      <w:pPr>
        <w:keepNext w:val="0"/>
        <w:keepLines w:val="0"/>
        <w:pageBreakBefore w:val="0"/>
        <w:widowControl w:val="0"/>
        <w:kinsoku/>
        <w:wordWrap/>
        <w:overflowPunct/>
        <w:topLinePunct w:val="0"/>
        <w:autoSpaceDE/>
        <w:autoSpaceDN/>
        <w:bidi w:val="0"/>
        <w:adjustRightInd w:val="0"/>
        <w:snapToGrid w:val="0"/>
        <w:spacing w:line="360" w:lineRule="auto"/>
        <w:ind w:right="21" w:rightChars="10" w:firstLine="420" w:firstLineChars="200"/>
        <w:textAlignment w:val="auto"/>
        <w:outlineLvl w:val="9"/>
        <w:rPr>
          <w:rFonts w:hint="eastAsia" w:ascii="宋体" w:hAnsi="宋体" w:eastAsia="宋体" w:cs="宋体"/>
          <w:b w:val="0"/>
          <w:bCs/>
          <w:sz w:val="21"/>
          <w:szCs w:val="21"/>
          <w:highlight w:val="none"/>
          <w:lang w:val="en-US"/>
        </w:rPr>
      </w:pPr>
      <w:bookmarkStart w:id="147" w:name="_Toc4597"/>
      <w:r>
        <w:rPr>
          <w:rFonts w:hint="eastAsia" w:ascii="宋体" w:hAnsi="宋体" w:eastAsia="宋体" w:cs="宋体"/>
          <w:b w:val="0"/>
          <w:bCs/>
          <w:sz w:val="21"/>
          <w:szCs w:val="21"/>
          <w:highlight w:val="none"/>
          <w:lang w:val="en-US" w:eastAsia="zh-CN"/>
        </w:rPr>
        <w:t>1、5m³低温液氧贮槽技术要求：</w:t>
      </w:r>
      <w:bookmarkEnd w:id="147"/>
    </w:p>
    <w:tbl>
      <w:tblPr>
        <w:tblStyle w:val="18"/>
        <w:tblW w:w="46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2584"/>
        <w:gridCol w:w="2485"/>
        <w:gridCol w:w="2738"/>
      </w:tblGrid>
      <w:tr w14:paraId="0643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182CD2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81" w:type="pct"/>
            <w:noWrap w:val="0"/>
            <w:vAlign w:val="center"/>
          </w:tcPr>
          <w:p w14:paraId="4BE12B5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技术参数名称</w:t>
            </w:r>
          </w:p>
        </w:tc>
        <w:tc>
          <w:tcPr>
            <w:tcW w:w="1424" w:type="pct"/>
            <w:noWrap w:val="0"/>
            <w:vAlign w:val="center"/>
          </w:tcPr>
          <w:p w14:paraId="73A2379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内  罐</w:t>
            </w:r>
          </w:p>
        </w:tc>
        <w:tc>
          <w:tcPr>
            <w:tcW w:w="1568" w:type="pct"/>
            <w:noWrap w:val="0"/>
            <w:vAlign w:val="center"/>
          </w:tcPr>
          <w:p w14:paraId="7C44E9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外  罐</w:t>
            </w:r>
          </w:p>
        </w:tc>
      </w:tr>
      <w:tr w14:paraId="7E53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542A5A16">
            <w:pPr>
              <w:numPr>
                <w:ilvl w:val="0"/>
                <w:numId w:val="5"/>
              </w:numPr>
              <w:spacing w:line="360" w:lineRule="auto"/>
              <w:rPr>
                <w:rFonts w:hint="eastAsia" w:ascii="宋体" w:hAnsi="宋体" w:eastAsia="宋体" w:cs="宋体"/>
                <w:sz w:val="21"/>
                <w:szCs w:val="21"/>
              </w:rPr>
            </w:pPr>
          </w:p>
        </w:tc>
        <w:tc>
          <w:tcPr>
            <w:tcW w:w="1481" w:type="pct"/>
            <w:noWrap w:val="0"/>
            <w:vAlign w:val="center"/>
          </w:tcPr>
          <w:p w14:paraId="66F8AA18">
            <w:pPr>
              <w:spacing w:line="360" w:lineRule="auto"/>
              <w:rPr>
                <w:rFonts w:hint="eastAsia" w:ascii="宋体" w:hAnsi="宋体" w:eastAsia="宋体" w:cs="宋体"/>
                <w:sz w:val="21"/>
                <w:szCs w:val="21"/>
              </w:rPr>
            </w:pPr>
            <w:r>
              <w:rPr>
                <w:rFonts w:hint="eastAsia" w:ascii="宋体" w:hAnsi="宋体" w:eastAsia="宋体" w:cs="宋体"/>
                <w:sz w:val="21"/>
                <w:szCs w:val="21"/>
              </w:rPr>
              <w:t>工作压力         MPa</w:t>
            </w:r>
          </w:p>
        </w:tc>
        <w:tc>
          <w:tcPr>
            <w:tcW w:w="1424" w:type="pct"/>
            <w:noWrap w:val="0"/>
            <w:vAlign w:val="center"/>
          </w:tcPr>
          <w:p w14:paraId="11B5DCA0">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≧0.8</w:t>
            </w:r>
          </w:p>
        </w:tc>
        <w:tc>
          <w:tcPr>
            <w:tcW w:w="1568" w:type="pct"/>
            <w:noWrap w:val="0"/>
            <w:vAlign w:val="center"/>
          </w:tcPr>
          <w:p w14:paraId="62A60FB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w:t>
            </w:r>
          </w:p>
        </w:tc>
      </w:tr>
      <w:tr w14:paraId="60EA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2898D50B">
            <w:pPr>
              <w:numPr>
                <w:ilvl w:val="0"/>
                <w:numId w:val="5"/>
              </w:numPr>
              <w:spacing w:line="360" w:lineRule="auto"/>
              <w:rPr>
                <w:rFonts w:hint="eastAsia" w:ascii="宋体" w:hAnsi="宋体" w:eastAsia="宋体" w:cs="宋体"/>
                <w:sz w:val="21"/>
                <w:szCs w:val="21"/>
              </w:rPr>
            </w:pPr>
          </w:p>
        </w:tc>
        <w:tc>
          <w:tcPr>
            <w:tcW w:w="1481" w:type="pct"/>
            <w:noWrap w:val="0"/>
            <w:vAlign w:val="center"/>
          </w:tcPr>
          <w:p w14:paraId="34AE172B">
            <w:pPr>
              <w:spacing w:line="360" w:lineRule="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设计压力         MPa</w:t>
            </w:r>
          </w:p>
        </w:tc>
        <w:tc>
          <w:tcPr>
            <w:tcW w:w="1424" w:type="pct"/>
            <w:noWrap w:val="0"/>
            <w:vAlign w:val="center"/>
          </w:tcPr>
          <w:p w14:paraId="1C4EC01C">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≧0.96</w:t>
            </w:r>
          </w:p>
        </w:tc>
        <w:tc>
          <w:tcPr>
            <w:tcW w:w="1568" w:type="pct"/>
            <w:noWrap w:val="0"/>
            <w:vAlign w:val="center"/>
          </w:tcPr>
          <w:p w14:paraId="2EC04D45">
            <w:pPr>
              <w:spacing w:line="360" w:lineRule="auto"/>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-0.1</w:t>
            </w:r>
          </w:p>
        </w:tc>
      </w:tr>
      <w:tr w14:paraId="0E8AE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0C14BD24">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43C0984C">
            <w:pPr>
              <w:spacing w:line="360" w:lineRule="auto"/>
              <w:rPr>
                <w:rFonts w:hint="eastAsia" w:ascii="宋体" w:hAnsi="宋体" w:eastAsia="宋体" w:cs="宋体"/>
                <w:sz w:val="21"/>
                <w:szCs w:val="21"/>
              </w:rPr>
            </w:pPr>
            <w:r>
              <w:rPr>
                <w:rFonts w:hint="eastAsia" w:ascii="宋体" w:hAnsi="宋体" w:eastAsia="宋体" w:cs="宋体"/>
                <w:sz w:val="21"/>
                <w:szCs w:val="21"/>
              </w:rPr>
              <w:t>最高允许工作压力 MPa</w:t>
            </w:r>
          </w:p>
        </w:tc>
        <w:tc>
          <w:tcPr>
            <w:tcW w:w="1424" w:type="pct"/>
            <w:noWrap w:val="0"/>
            <w:vAlign w:val="center"/>
          </w:tcPr>
          <w:p w14:paraId="6A12E34A">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≧0.96</w:t>
            </w:r>
          </w:p>
        </w:tc>
        <w:tc>
          <w:tcPr>
            <w:tcW w:w="1568" w:type="pct"/>
            <w:noWrap w:val="0"/>
            <w:vAlign w:val="center"/>
          </w:tcPr>
          <w:p w14:paraId="601D5B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2FA1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2543C8AA">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1572B5AB">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最低</w:t>
            </w:r>
            <w:r>
              <w:rPr>
                <w:rFonts w:hint="eastAsia" w:ascii="宋体" w:hAnsi="宋体" w:eastAsia="宋体" w:cs="宋体"/>
                <w:sz w:val="21"/>
                <w:szCs w:val="21"/>
              </w:rPr>
              <w:t>设计</w:t>
            </w:r>
            <w:r>
              <w:rPr>
                <w:rFonts w:hint="eastAsia" w:ascii="宋体" w:hAnsi="宋体" w:eastAsia="宋体" w:cs="宋体"/>
                <w:sz w:val="21"/>
                <w:szCs w:val="21"/>
                <w:lang w:val="en-US" w:eastAsia="zh-CN"/>
              </w:rPr>
              <w:t>金属</w:t>
            </w:r>
            <w:r>
              <w:rPr>
                <w:rFonts w:hint="eastAsia" w:ascii="宋体" w:hAnsi="宋体" w:eastAsia="宋体" w:cs="宋体"/>
                <w:sz w:val="21"/>
                <w:szCs w:val="21"/>
              </w:rPr>
              <w:t>温度     ℃</w:t>
            </w:r>
          </w:p>
        </w:tc>
        <w:tc>
          <w:tcPr>
            <w:tcW w:w="1424" w:type="pct"/>
            <w:noWrap w:val="0"/>
            <w:vAlign w:val="center"/>
          </w:tcPr>
          <w:p w14:paraId="06E1FB1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≦-196</w:t>
            </w:r>
          </w:p>
        </w:tc>
        <w:tc>
          <w:tcPr>
            <w:tcW w:w="1568" w:type="pct"/>
            <w:noWrap w:val="0"/>
            <w:vAlign w:val="center"/>
          </w:tcPr>
          <w:p w14:paraId="56398EE9">
            <w:pPr>
              <w:spacing w:line="360" w:lineRule="auto"/>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≦-20</w:t>
            </w:r>
          </w:p>
        </w:tc>
      </w:tr>
      <w:tr w14:paraId="3996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4A47162F">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106D8E87">
            <w:pPr>
              <w:spacing w:line="360" w:lineRule="auto"/>
              <w:rPr>
                <w:rFonts w:hint="eastAsia" w:ascii="宋体" w:hAnsi="宋体" w:eastAsia="宋体" w:cs="宋体"/>
                <w:sz w:val="21"/>
                <w:szCs w:val="21"/>
              </w:rPr>
            </w:pPr>
            <w:r>
              <w:rPr>
                <w:rFonts w:hint="eastAsia" w:ascii="宋体" w:hAnsi="宋体" w:eastAsia="宋体" w:cs="宋体"/>
                <w:sz w:val="21"/>
                <w:szCs w:val="21"/>
              </w:rPr>
              <w:t>安全阀开启压力   MPa</w:t>
            </w:r>
          </w:p>
        </w:tc>
        <w:tc>
          <w:tcPr>
            <w:tcW w:w="1424" w:type="pct"/>
            <w:noWrap w:val="0"/>
            <w:vAlign w:val="center"/>
          </w:tcPr>
          <w:p w14:paraId="48F9C70F">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0.88</w:t>
            </w:r>
          </w:p>
        </w:tc>
        <w:tc>
          <w:tcPr>
            <w:tcW w:w="1568" w:type="pct"/>
            <w:noWrap w:val="0"/>
            <w:vAlign w:val="center"/>
          </w:tcPr>
          <w:p w14:paraId="6815637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32D0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670EE004">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364AE7E9">
            <w:pPr>
              <w:spacing w:line="360" w:lineRule="auto"/>
              <w:rPr>
                <w:rFonts w:hint="eastAsia" w:ascii="宋体" w:hAnsi="宋体" w:eastAsia="宋体" w:cs="宋体"/>
                <w:sz w:val="21"/>
                <w:szCs w:val="21"/>
              </w:rPr>
            </w:pPr>
            <w:r>
              <w:rPr>
                <w:rFonts w:hint="eastAsia" w:ascii="宋体" w:hAnsi="宋体" w:eastAsia="宋体" w:cs="宋体"/>
                <w:sz w:val="21"/>
                <w:szCs w:val="21"/>
              </w:rPr>
              <w:t>防爆膜爆破压力   MPa</w:t>
            </w:r>
          </w:p>
        </w:tc>
        <w:tc>
          <w:tcPr>
            <w:tcW w:w="1424" w:type="pct"/>
            <w:noWrap w:val="0"/>
            <w:vAlign w:val="center"/>
          </w:tcPr>
          <w:p w14:paraId="0369F194">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1.05</w:t>
            </w:r>
          </w:p>
        </w:tc>
        <w:tc>
          <w:tcPr>
            <w:tcW w:w="1568" w:type="pct"/>
            <w:noWrap w:val="0"/>
            <w:vAlign w:val="center"/>
          </w:tcPr>
          <w:p w14:paraId="5F06A15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30ADD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525" w:type="pct"/>
            <w:noWrap w:val="0"/>
            <w:vAlign w:val="center"/>
          </w:tcPr>
          <w:p w14:paraId="7AF40A6A">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6DD8C2DA">
            <w:pPr>
              <w:spacing w:line="360" w:lineRule="auto"/>
              <w:rPr>
                <w:rFonts w:hint="eastAsia" w:ascii="宋体" w:hAnsi="宋体" w:eastAsia="宋体" w:cs="宋体"/>
                <w:sz w:val="21"/>
                <w:szCs w:val="21"/>
              </w:rPr>
            </w:pPr>
            <w:r>
              <w:rPr>
                <w:rFonts w:hint="eastAsia" w:ascii="宋体" w:hAnsi="宋体" w:eastAsia="宋体" w:cs="宋体"/>
                <w:sz w:val="21"/>
                <w:szCs w:val="21"/>
              </w:rPr>
              <w:t>几何容积           m</w:t>
            </w:r>
            <w:r>
              <w:rPr>
                <w:rFonts w:hint="eastAsia" w:ascii="宋体" w:hAnsi="宋体" w:eastAsia="宋体" w:cs="宋体"/>
                <w:sz w:val="32"/>
                <w:szCs w:val="32"/>
                <w:vertAlign w:val="superscript"/>
              </w:rPr>
              <w:t>3</w:t>
            </w:r>
          </w:p>
        </w:tc>
        <w:tc>
          <w:tcPr>
            <w:tcW w:w="1424" w:type="pct"/>
            <w:noWrap w:val="0"/>
            <w:vAlign w:val="center"/>
          </w:tcPr>
          <w:p w14:paraId="098F81C3">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≧5.2</w:t>
            </w:r>
          </w:p>
        </w:tc>
        <w:tc>
          <w:tcPr>
            <w:tcW w:w="1568" w:type="pct"/>
            <w:noWrap w:val="0"/>
            <w:vAlign w:val="center"/>
          </w:tcPr>
          <w:p w14:paraId="1EEC0DA2">
            <w:pPr>
              <w:spacing w:line="36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≧6.9</w:t>
            </w:r>
            <w:r>
              <w:rPr>
                <w:rFonts w:hint="eastAsia" w:ascii="宋体" w:hAnsi="宋体" w:eastAsia="宋体" w:cs="宋体"/>
                <w:sz w:val="21"/>
                <w:szCs w:val="21"/>
              </w:rPr>
              <w:t>（夹层）</w:t>
            </w:r>
          </w:p>
        </w:tc>
      </w:tr>
      <w:tr w14:paraId="6415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3E4B6668">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039E8F6B">
            <w:pPr>
              <w:spacing w:line="360" w:lineRule="auto"/>
              <w:rPr>
                <w:rFonts w:hint="eastAsia" w:ascii="宋体" w:hAnsi="宋体" w:eastAsia="宋体" w:cs="宋体"/>
                <w:sz w:val="21"/>
                <w:szCs w:val="21"/>
              </w:rPr>
            </w:pPr>
            <w:r>
              <w:rPr>
                <w:rFonts w:hint="eastAsia" w:ascii="宋体" w:hAnsi="宋体" w:eastAsia="宋体" w:cs="宋体"/>
                <w:sz w:val="21"/>
                <w:szCs w:val="21"/>
              </w:rPr>
              <w:t>有效容积           m</w:t>
            </w:r>
            <w:r>
              <w:rPr>
                <w:rFonts w:hint="eastAsia" w:ascii="宋体" w:hAnsi="宋体" w:eastAsia="宋体" w:cs="宋体"/>
                <w:sz w:val="32"/>
                <w:szCs w:val="32"/>
                <w:vertAlign w:val="superscript"/>
              </w:rPr>
              <w:t>3</w:t>
            </w:r>
          </w:p>
        </w:tc>
        <w:tc>
          <w:tcPr>
            <w:tcW w:w="1424" w:type="pct"/>
            <w:noWrap w:val="0"/>
            <w:vAlign w:val="center"/>
          </w:tcPr>
          <w:p w14:paraId="7F15CFB1">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568" w:type="pct"/>
            <w:noWrap w:val="0"/>
            <w:vAlign w:val="center"/>
          </w:tcPr>
          <w:p w14:paraId="7814142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4CB3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03662635">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08BAC89D">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额定充满率</w:t>
            </w:r>
          </w:p>
        </w:tc>
        <w:tc>
          <w:tcPr>
            <w:tcW w:w="1424" w:type="pct"/>
            <w:noWrap w:val="0"/>
            <w:vAlign w:val="center"/>
          </w:tcPr>
          <w:p w14:paraId="4C907806">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≧0.95</w:t>
            </w:r>
          </w:p>
        </w:tc>
        <w:tc>
          <w:tcPr>
            <w:tcW w:w="1568" w:type="pct"/>
            <w:noWrap w:val="0"/>
            <w:vAlign w:val="center"/>
          </w:tcPr>
          <w:p w14:paraId="17E83AF1">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r>
      <w:tr w14:paraId="45AA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016DDA64">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042940C7">
            <w:pPr>
              <w:spacing w:line="360" w:lineRule="auto"/>
              <w:rPr>
                <w:rFonts w:hint="eastAsia" w:ascii="宋体" w:hAnsi="宋体" w:eastAsia="宋体" w:cs="宋体"/>
                <w:sz w:val="21"/>
                <w:szCs w:val="21"/>
              </w:rPr>
            </w:pPr>
            <w:r>
              <w:rPr>
                <w:rFonts w:hint="eastAsia" w:ascii="宋体" w:hAnsi="宋体" w:eastAsia="宋体" w:cs="宋体"/>
                <w:sz w:val="21"/>
                <w:szCs w:val="21"/>
              </w:rPr>
              <w:t>贮存介质</w:t>
            </w:r>
          </w:p>
        </w:tc>
        <w:tc>
          <w:tcPr>
            <w:tcW w:w="1424" w:type="pct"/>
            <w:noWrap w:val="0"/>
            <w:vAlign w:val="center"/>
          </w:tcPr>
          <w:p w14:paraId="4928A956">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液氧</w:t>
            </w:r>
          </w:p>
        </w:tc>
        <w:tc>
          <w:tcPr>
            <w:tcW w:w="1568" w:type="pct"/>
            <w:noWrap w:val="0"/>
            <w:vAlign w:val="center"/>
          </w:tcPr>
          <w:p w14:paraId="2CA6BD7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珠光砂</w:t>
            </w:r>
          </w:p>
        </w:tc>
      </w:tr>
      <w:tr w14:paraId="3C6F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06FB89C6">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6724C564">
            <w:pPr>
              <w:spacing w:line="360" w:lineRule="auto"/>
              <w:rPr>
                <w:rFonts w:hint="eastAsia" w:ascii="宋体" w:hAnsi="宋体" w:eastAsia="宋体" w:cs="宋体"/>
                <w:sz w:val="21"/>
                <w:szCs w:val="21"/>
              </w:rPr>
            </w:pPr>
            <w:r>
              <w:rPr>
                <w:rFonts w:hint="eastAsia" w:ascii="宋体" w:hAnsi="宋体" w:eastAsia="宋体" w:cs="宋体"/>
                <w:sz w:val="21"/>
                <w:szCs w:val="21"/>
              </w:rPr>
              <w:t>材    质</w:t>
            </w:r>
          </w:p>
        </w:tc>
        <w:tc>
          <w:tcPr>
            <w:tcW w:w="1424" w:type="pct"/>
            <w:noWrap w:val="0"/>
            <w:vAlign w:val="center"/>
          </w:tcPr>
          <w:p w14:paraId="60B876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S304</w:t>
            </w:r>
          </w:p>
        </w:tc>
        <w:tc>
          <w:tcPr>
            <w:tcW w:w="1568" w:type="pct"/>
            <w:noWrap w:val="0"/>
            <w:vAlign w:val="center"/>
          </w:tcPr>
          <w:p w14:paraId="4EDDBD1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Q</w:t>
            </w:r>
            <w:r>
              <w:rPr>
                <w:rFonts w:hint="eastAsia" w:ascii="宋体" w:hAnsi="宋体" w:eastAsia="宋体" w:cs="宋体"/>
                <w:sz w:val="21"/>
                <w:szCs w:val="21"/>
                <w:lang w:val="en-US" w:eastAsia="zh-CN"/>
              </w:rPr>
              <w:t>3</w:t>
            </w:r>
            <w:r>
              <w:rPr>
                <w:rFonts w:hint="eastAsia" w:ascii="宋体" w:hAnsi="宋体" w:eastAsia="宋体" w:cs="宋体"/>
                <w:sz w:val="21"/>
                <w:szCs w:val="21"/>
              </w:rPr>
              <w:t>45R</w:t>
            </w:r>
          </w:p>
        </w:tc>
      </w:tr>
      <w:tr w14:paraId="2FB0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72953561">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55B20BE3">
            <w:pPr>
              <w:spacing w:line="360" w:lineRule="auto"/>
              <w:rPr>
                <w:rFonts w:hint="eastAsia" w:ascii="宋体" w:hAnsi="宋体" w:eastAsia="宋体" w:cs="宋体"/>
                <w:sz w:val="21"/>
                <w:szCs w:val="21"/>
              </w:rPr>
            </w:pPr>
            <w:r>
              <w:rPr>
                <w:rFonts w:hint="eastAsia" w:ascii="宋体" w:hAnsi="宋体" w:eastAsia="宋体" w:cs="宋体"/>
                <w:sz w:val="21"/>
                <w:szCs w:val="21"/>
              </w:rPr>
              <w:t>处    理</w:t>
            </w:r>
          </w:p>
        </w:tc>
        <w:tc>
          <w:tcPr>
            <w:tcW w:w="1424" w:type="pct"/>
            <w:noWrap w:val="0"/>
            <w:vAlign w:val="center"/>
          </w:tcPr>
          <w:p w14:paraId="72188D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整体酸洗钝化</w:t>
            </w:r>
          </w:p>
        </w:tc>
        <w:tc>
          <w:tcPr>
            <w:tcW w:w="1568" w:type="pct"/>
            <w:noWrap w:val="0"/>
            <w:vAlign w:val="center"/>
          </w:tcPr>
          <w:p w14:paraId="14B9EB8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喷砂打磨、油漆</w:t>
            </w:r>
          </w:p>
        </w:tc>
      </w:tr>
      <w:tr w14:paraId="1B73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771D24AF">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30379F80">
            <w:pPr>
              <w:spacing w:line="360" w:lineRule="auto"/>
              <w:rPr>
                <w:rFonts w:hint="eastAsia" w:ascii="宋体" w:hAnsi="宋体" w:eastAsia="宋体" w:cs="宋体"/>
                <w:sz w:val="21"/>
                <w:szCs w:val="21"/>
              </w:rPr>
            </w:pPr>
            <w:r>
              <w:rPr>
                <w:rFonts w:hint="eastAsia" w:ascii="宋体" w:hAnsi="宋体" w:eastAsia="宋体" w:cs="宋体"/>
                <w:sz w:val="21"/>
                <w:szCs w:val="21"/>
              </w:rPr>
              <w:t>日蒸发率          %/d</w:t>
            </w:r>
          </w:p>
        </w:tc>
        <w:tc>
          <w:tcPr>
            <w:tcW w:w="2993" w:type="pct"/>
            <w:gridSpan w:val="2"/>
            <w:noWrap w:val="0"/>
            <w:vAlign w:val="center"/>
          </w:tcPr>
          <w:p w14:paraId="0F51225F">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L</w:t>
            </w:r>
            <w:r>
              <w:rPr>
                <w:rFonts w:hint="eastAsia" w:ascii="宋体" w:hAnsi="宋体" w:eastAsia="宋体" w:cs="宋体"/>
                <w:sz w:val="21"/>
                <w:szCs w:val="21"/>
                <w:lang w:val="en-US" w:eastAsia="zh-CN"/>
              </w:rPr>
              <w:t>O</w:t>
            </w:r>
            <w:r>
              <w:rPr>
                <w:rFonts w:hint="eastAsia" w:ascii="宋体" w:hAnsi="宋体" w:eastAsia="宋体" w:cs="宋体"/>
                <w:sz w:val="21"/>
                <w:szCs w:val="21"/>
                <w:vertAlign w:val="subscript"/>
              </w:rPr>
              <w:t>2</w:t>
            </w:r>
            <w:r>
              <w:rPr>
                <w:rFonts w:hint="eastAsia" w:ascii="宋体" w:hAnsi="宋体" w:eastAsia="宋体" w:cs="宋体"/>
                <w:sz w:val="21"/>
                <w:szCs w:val="21"/>
              </w:rPr>
              <w:t>≤0.</w:t>
            </w:r>
            <w:r>
              <w:rPr>
                <w:rFonts w:hint="eastAsia" w:ascii="宋体" w:hAnsi="宋体" w:eastAsia="宋体" w:cs="宋体"/>
                <w:sz w:val="21"/>
                <w:szCs w:val="21"/>
                <w:lang w:val="en-US" w:eastAsia="zh-CN"/>
              </w:rPr>
              <w:t>45、LN</w:t>
            </w:r>
            <w:r>
              <w:rPr>
                <w:rFonts w:hint="eastAsia" w:ascii="宋体" w:hAnsi="宋体" w:eastAsia="宋体" w:cs="宋体"/>
                <w:sz w:val="21"/>
                <w:szCs w:val="21"/>
                <w:vertAlign w:val="subscript"/>
                <w:lang w:val="en-US" w:eastAsia="zh-CN"/>
              </w:rPr>
              <w:t>2</w:t>
            </w:r>
            <w:r>
              <w:rPr>
                <w:rFonts w:hint="eastAsia" w:ascii="宋体" w:hAnsi="宋体" w:eastAsia="宋体" w:cs="宋体"/>
                <w:sz w:val="21"/>
                <w:szCs w:val="21"/>
              </w:rPr>
              <w:t>≤0.</w:t>
            </w:r>
            <w:r>
              <w:rPr>
                <w:rFonts w:hint="eastAsia" w:ascii="宋体" w:hAnsi="宋体" w:eastAsia="宋体" w:cs="宋体"/>
                <w:sz w:val="21"/>
                <w:szCs w:val="21"/>
                <w:lang w:val="en-US" w:eastAsia="zh-CN"/>
              </w:rPr>
              <w:t>65、LAr</w:t>
            </w:r>
            <w:r>
              <w:rPr>
                <w:rFonts w:hint="eastAsia" w:ascii="宋体" w:hAnsi="宋体" w:eastAsia="宋体" w:cs="宋体"/>
                <w:sz w:val="21"/>
                <w:szCs w:val="21"/>
              </w:rPr>
              <w:t>≤0.</w:t>
            </w:r>
            <w:r>
              <w:rPr>
                <w:rFonts w:hint="eastAsia" w:ascii="宋体" w:hAnsi="宋体" w:eastAsia="宋体" w:cs="宋体"/>
                <w:sz w:val="21"/>
                <w:szCs w:val="21"/>
                <w:lang w:val="en-US" w:eastAsia="zh-CN"/>
              </w:rPr>
              <w:t>46</w:t>
            </w:r>
          </w:p>
        </w:tc>
      </w:tr>
      <w:tr w14:paraId="73B8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61645FAC">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24782B94">
            <w:pPr>
              <w:spacing w:line="360" w:lineRule="auto"/>
              <w:rPr>
                <w:rFonts w:hint="eastAsia" w:ascii="宋体" w:hAnsi="宋体" w:eastAsia="宋体" w:cs="宋体"/>
                <w:sz w:val="21"/>
                <w:szCs w:val="21"/>
              </w:rPr>
            </w:pPr>
            <w:r>
              <w:rPr>
                <w:rFonts w:hint="eastAsia" w:ascii="宋体" w:hAnsi="宋体" w:eastAsia="宋体" w:cs="宋体"/>
                <w:sz w:val="21"/>
                <w:szCs w:val="21"/>
              </w:rPr>
              <w:t>夹层封结真空       Pa</w:t>
            </w:r>
          </w:p>
        </w:tc>
        <w:tc>
          <w:tcPr>
            <w:tcW w:w="2993" w:type="pct"/>
            <w:gridSpan w:val="2"/>
            <w:noWrap w:val="0"/>
            <w:vAlign w:val="center"/>
          </w:tcPr>
          <w:p w14:paraId="2087D5D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.0</w:t>
            </w:r>
          </w:p>
        </w:tc>
      </w:tr>
      <w:tr w14:paraId="74C1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456B808F">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431837D6">
            <w:pPr>
              <w:spacing w:line="360" w:lineRule="auto"/>
              <w:rPr>
                <w:rFonts w:hint="eastAsia" w:ascii="宋体" w:hAnsi="宋体" w:eastAsia="宋体" w:cs="宋体"/>
                <w:sz w:val="21"/>
                <w:szCs w:val="21"/>
              </w:rPr>
            </w:pPr>
            <w:r>
              <w:rPr>
                <w:rFonts w:hint="eastAsia" w:ascii="宋体" w:hAnsi="宋体" w:eastAsia="宋体" w:cs="宋体"/>
                <w:sz w:val="21"/>
                <w:szCs w:val="21"/>
              </w:rPr>
              <w:t>安放形式</w:t>
            </w:r>
          </w:p>
        </w:tc>
        <w:tc>
          <w:tcPr>
            <w:tcW w:w="2993" w:type="pct"/>
            <w:gridSpan w:val="2"/>
            <w:noWrap w:val="0"/>
            <w:vAlign w:val="center"/>
          </w:tcPr>
          <w:p w14:paraId="2B6ABC8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立式</w:t>
            </w:r>
          </w:p>
        </w:tc>
      </w:tr>
      <w:tr w14:paraId="12AE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525" w:type="pct"/>
            <w:noWrap w:val="0"/>
            <w:vAlign w:val="center"/>
          </w:tcPr>
          <w:p w14:paraId="33ECD669">
            <w:pPr>
              <w:numPr>
                <w:ilvl w:val="0"/>
                <w:numId w:val="5"/>
              </w:numPr>
              <w:tabs>
                <w:tab w:val="left" w:pos="425"/>
              </w:tabs>
              <w:spacing w:line="360" w:lineRule="auto"/>
              <w:jc w:val="center"/>
              <w:rPr>
                <w:rFonts w:hint="eastAsia" w:ascii="宋体" w:hAnsi="宋体" w:eastAsia="宋体" w:cs="宋体"/>
                <w:sz w:val="21"/>
                <w:szCs w:val="21"/>
              </w:rPr>
            </w:pPr>
          </w:p>
        </w:tc>
        <w:tc>
          <w:tcPr>
            <w:tcW w:w="1481" w:type="pct"/>
            <w:noWrap w:val="0"/>
            <w:vAlign w:val="center"/>
          </w:tcPr>
          <w:p w14:paraId="1558D17D">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设计使用年限       </w:t>
            </w:r>
          </w:p>
        </w:tc>
        <w:tc>
          <w:tcPr>
            <w:tcW w:w="2993" w:type="pct"/>
            <w:gridSpan w:val="2"/>
            <w:noWrap w:val="0"/>
            <w:vAlign w:val="center"/>
          </w:tcPr>
          <w:p w14:paraId="76CB7FD8">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0</w:t>
            </w:r>
            <w:r>
              <w:rPr>
                <w:rFonts w:hint="eastAsia" w:ascii="宋体" w:hAnsi="宋体" w:eastAsia="宋体" w:cs="宋体"/>
                <w:sz w:val="21"/>
                <w:szCs w:val="21"/>
                <w:lang w:val="en-US" w:eastAsia="zh-CN"/>
              </w:rPr>
              <w:t>年</w:t>
            </w:r>
          </w:p>
        </w:tc>
      </w:tr>
    </w:tbl>
    <w:p w14:paraId="7E0E4F88">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1.1低温液氧贮槽配套安全阀需提供校验报告。</w:t>
      </w:r>
    </w:p>
    <w:p w14:paraId="0C7B4753">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1.2低温液氧贮槽上配套氧气压力表需提供第三方校准证书。</w:t>
      </w:r>
    </w:p>
    <w:p w14:paraId="38036FEF">
      <w:pPr>
        <w:pStyle w:val="6"/>
        <w:spacing w:line="360" w:lineRule="auto"/>
        <w:ind w:firstLine="420" w:firstLineChars="200"/>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2、电子液位计技术要求</w:t>
      </w:r>
      <w:r>
        <w:rPr>
          <w:rFonts w:hint="eastAsia" w:ascii="宋体" w:hAnsi="宋体" w:eastAsia="宋体" w:cs="宋体"/>
          <w:b/>
          <w:bCs w:val="0"/>
          <w:color w:val="auto"/>
          <w:kern w:val="2"/>
          <w:sz w:val="21"/>
          <w:szCs w:val="21"/>
          <w:highlight w:val="none"/>
          <w:lang w:val="en-US" w:eastAsia="zh-CN" w:bidi="ar-SA"/>
        </w:rPr>
        <w:t>：</w:t>
      </w:r>
    </w:p>
    <w:tbl>
      <w:tblPr>
        <w:tblStyle w:val="18"/>
        <w:tblW w:w="42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8"/>
        <w:gridCol w:w="3892"/>
        <w:gridCol w:w="2737"/>
      </w:tblGrid>
      <w:tr w14:paraId="41AE4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48816">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序号</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76F54">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技术参数名称</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0CE68">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内罐</w:t>
            </w:r>
          </w:p>
        </w:tc>
      </w:tr>
      <w:tr w14:paraId="14CB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90CAB">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w:t>
            </w:r>
          </w:p>
        </w:tc>
        <w:tc>
          <w:tcPr>
            <w:tcW w:w="245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543593">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测量范围</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487FB">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0~20mH2O</w:t>
            </w:r>
          </w:p>
        </w:tc>
      </w:tr>
      <w:tr w14:paraId="7A355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7A21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45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09712">
            <w:pPr>
              <w:spacing w:line="360" w:lineRule="auto"/>
              <w:jc w:val="both"/>
              <w:rPr>
                <w:rFonts w:hint="eastAsia" w:ascii="宋体" w:hAnsi="宋体" w:eastAsia="宋体" w:cs="宋体"/>
                <w:i w:val="0"/>
                <w:iCs w:val="0"/>
                <w:color w:val="000000"/>
                <w:sz w:val="21"/>
                <w:szCs w:val="21"/>
                <w:highlight w:val="none"/>
                <w:u w:val="none"/>
              </w:rPr>
            </w:pP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BC9D1">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≦4MPa</w:t>
            </w:r>
          </w:p>
        </w:tc>
      </w:tr>
      <w:tr w14:paraId="5C8EA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2885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28C7C">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单向过载</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30F43">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1.6MPa</w:t>
            </w:r>
          </w:p>
        </w:tc>
      </w:tr>
      <w:tr w14:paraId="793AF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83D1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24D1D">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准确度等级</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DA859">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不低于0.25 级</w:t>
            </w:r>
          </w:p>
        </w:tc>
      </w:tr>
      <w:tr w14:paraId="44CD9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50E8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E4BC2">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防护等级</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61791">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不低于IP65</w:t>
            </w:r>
          </w:p>
        </w:tc>
      </w:tr>
      <w:tr w14:paraId="6251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DFFE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BE4C">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防爆等级</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CEF57">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不低于Exial BT4Ga </w:t>
            </w:r>
          </w:p>
        </w:tc>
      </w:tr>
      <w:tr w14:paraId="6195D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17E9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F7A51">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显示方式</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4AE83">
            <w:pPr>
              <w:keepNext w:val="0"/>
              <w:keepLines w:val="0"/>
              <w:widowControl/>
              <w:suppressLineNumbers w:val="0"/>
              <w:spacing w:line="360" w:lineRule="auto"/>
              <w:jc w:val="both"/>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液晶显示，远程监测报警</w:t>
            </w:r>
          </w:p>
        </w:tc>
      </w:tr>
      <w:tr w14:paraId="56612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4AD25">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8</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35AC0">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工作环境温度</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B21E1">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 xml:space="preserve"> -40℃~+80℃</w:t>
            </w:r>
          </w:p>
        </w:tc>
      </w:tr>
      <w:tr w14:paraId="0E3FB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8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4655E">
            <w:pPr>
              <w:pStyle w:val="6"/>
              <w:spacing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9</w:t>
            </w:r>
          </w:p>
        </w:tc>
        <w:tc>
          <w:tcPr>
            <w:tcW w:w="24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7D938">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供电电源</w:t>
            </w:r>
          </w:p>
        </w:tc>
        <w:tc>
          <w:tcPr>
            <w:tcW w:w="17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AF861">
            <w:pPr>
              <w:pStyle w:val="6"/>
              <w:spacing w:line="36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一次性锂亚电池</w:t>
            </w:r>
          </w:p>
        </w:tc>
      </w:tr>
    </w:tbl>
    <w:p w14:paraId="5FD8A102">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2.1液位计需提供第三方校准证书复印件加盖公章。</w:t>
      </w:r>
    </w:p>
    <w:p w14:paraId="35E743D7">
      <w:pPr>
        <w:pStyle w:val="6"/>
        <w:spacing w:line="360" w:lineRule="auto"/>
        <w:ind w:firstLine="420" w:firstLineChars="20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3、低温液氧贮槽制造商须具备压力容器设计资质，提供所投产品制造商《中华人民共和国特种设备生产许可证》（许可项目包含压力容器设计）。</w:t>
      </w:r>
    </w:p>
    <w:p w14:paraId="3B9DF1BB">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3</w:t>
      </w:r>
      <w:r>
        <w:rPr>
          <w:rFonts w:hint="eastAsia" w:ascii="宋体" w:hAnsi="宋体" w:eastAsia="宋体" w:cs="宋体"/>
          <w:bCs/>
          <w:color w:val="auto"/>
          <w:kern w:val="2"/>
          <w:sz w:val="21"/>
          <w:szCs w:val="21"/>
          <w:highlight w:val="none"/>
          <w:lang w:val="en-US" w:eastAsia="zh-CN" w:bidi="ar-SA"/>
        </w:rPr>
        <w:t>、配四套具备远程监测功能的电子液位监测器，其中本次新增3台低温液氧贮槽各配置一套电子液位监测器，原有1个低温液氧贮槽配置1套电子液位监测器，终身免费使用远程监测功能。（提供电子液位监测器实现远程监测及报警App功能截图）。</w:t>
      </w:r>
    </w:p>
    <w:p w14:paraId="175FAABC">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4</w:t>
      </w:r>
      <w:r>
        <w:rPr>
          <w:rFonts w:hint="eastAsia" w:ascii="宋体" w:hAnsi="宋体" w:eastAsia="宋体" w:cs="宋体"/>
          <w:bCs/>
          <w:color w:val="auto"/>
          <w:kern w:val="2"/>
          <w:sz w:val="21"/>
          <w:szCs w:val="21"/>
          <w:highlight w:val="none"/>
          <w:lang w:val="en-US" w:eastAsia="zh-CN" w:bidi="ar-SA"/>
        </w:rPr>
        <w:t>、更换后的低温液氧贮槽不锈钢管路及阀门安装需重新安装。</w:t>
      </w:r>
    </w:p>
    <w:p w14:paraId="7F330F1A">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5</w:t>
      </w:r>
      <w:r>
        <w:rPr>
          <w:rFonts w:hint="eastAsia" w:ascii="宋体" w:hAnsi="宋体" w:eastAsia="宋体" w:cs="宋体"/>
          <w:bCs/>
          <w:color w:val="auto"/>
          <w:kern w:val="2"/>
          <w:sz w:val="21"/>
          <w:szCs w:val="21"/>
          <w:highlight w:val="none"/>
          <w:lang w:val="en-US" w:eastAsia="zh-CN" w:bidi="ar-SA"/>
        </w:rPr>
        <w:t>、新安装的低温液氧贮槽需满足现有的基座定位要求。</w:t>
      </w:r>
    </w:p>
    <w:p w14:paraId="373B0B4E">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6</w:t>
      </w:r>
      <w:r>
        <w:rPr>
          <w:rFonts w:hint="eastAsia" w:ascii="宋体" w:hAnsi="宋体" w:eastAsia="宋体" w:cs="宋体"/>
          <w:bCs/>
          <w:color w:val="auto"/>
          <w:kern w:val="2"/>
          <w:sz w:val="21"/>
          <w:szCs w:val="21"/>
          <w:highlight w:val="none"/>
          <w:lang w:val="en-US" w:eastAsia="zh-CN" w:bidi="ar-SA"/>
        </w:rPr>
        <w:t>、现有液氧站房钢结构吊顶需进行拆除及恢复。</w:t>
      </w:r>
    </w:p>
    <w:p w14:paraId="48981665">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7</w:t>
      </w:r>
      <w:r>
        <w:rPr>
          <w:rFonts w:hint="eastAsia" w:ascii="宋体" w:hAnsi="宋体" w:eastAsia="宋体" w:cs="宋体"/>
          <w:bCs/>
          <w:color w:val="auto"/>
          <w:kern w:val="2"/>
          <w:sz w:val="21"/>
          <w:szCs w:val="21"/>
          <w:highlight w:val="none"/>
          <w:lang w:val="en-US" w:eastAsia="zh-CN" w:bidi="ar-SA"/>
        </w:rPr>
        <w:t>、为确保医院氧气正常供应，本项目采取不停氧操作，新旧低温液氧贮槽更换期间不得中断氧气供应，采取逐个罐体更换方式，罐体更换期间至少保证有两个低温液氧贮槽处于正常工作状态，供应商须提供合理可行性的现场安装施工方案。</w:t>
      </w:r>
    </w:p>
    <w:p w14:paraId="3DFBC566">
      <w:pPr>
        <w:pStyle w:val="6"/>
        <w:spacing w:line="360" w:lineRule="auto"/>
        <w:ind w:firstLine="420" w:firstLineChars="200"/>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8、每个低温液氧贮槽需要使用的压力表和安全阀提供备用品一套。</w:t>
      </w:r>
    </w:p>
    <w:p w14:paraId="3D65A9BA">
      <w:pPr>
        <w:widowControl w:val="0"/>
        <w:bidi w:val="0"/>
        <w:spacing w:line="360" w:lineRule="auto"/>
        <w:ind w:left="0" w:leftChars="0" w:firstLine="0" w:firstLineChars="0"/>
        <w:jc w:val="both"/>
        <w:rPr>
          <w:rFonts w:hint="eastAsia" w:ascii="宋体" w:hAnsi="宋体" w:eastAsia="宋体" w:cs="宋体"/>
          <w:b/>
          <w:bCs/>
          <w:spacing w:val="20"/>
          <w:kern w:val="2"/>
          <w:sz w:val="21"/>
          <w:szCs w:val="21"/>
          <w:highlight w:val="none"/>
          <w:lang w:val="en-US" w:eastAsia="zh-CN" w:bidi="ar-SA"/>
        </w:rPr>
      </w:pPr>
      <w:r>
        <w:rPr>
          <w:rFonts w:hint="eastAsia" w:ascii="宋体" w:hAnsi="宋体" w:eastAsia="宋体" w:cs="宋体"/>
          <w:b/>
          <w:bCs/>
          <w:spacing w:val="20"/>
          <w:kern w:val="2"/>
          <w:sz w:val="21"/>
          <w:szCs w:val="21"/>
          <w:highlight w:val="none"/>
          <w:lang w:val="en-US" w:eastAsia="zh-CN" w:bidi="ar-SA"/>
        </w:rPr>
        <w:t>三、其他要求与说明</w:t>
      </w:r>
      <w:r>
        <w:rPr>
          <w:rFonts w:hint="eastAsia" w:ascii="宋体" w:hAnsi="宋体" w:cs="宋体"/>
          <w:b/>
          <w:bCs/>
          <w:spacing w:val="20"/>
          <w:kern w:val="2"/>
          <w:sz w:val="21"/>
          <w:szCs w:val="21"/>
          <w:highlight w:val="none"/>
          <w:lang w:val="en-US" w:eastAsia="zh-CN" w:bidi="ar-SA"/>
        </w:rPr>
        <w:t>：</w:t>
      </w:r>
    </w:p>
    <w:p w14:paraId="1FA283C2">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1</w:t>
      </w:r>
      <w:r>
        <w:rPr>
          <w:rFonts w:hint="eastAsia" w:ascii="宋体" w:hAnsi="宋体" w:eastAsia="宋体" w:cs="宋体"/>
          <w:bCs/>
          <w:color w:val="auto"/>
          <w:kern w:val="2"/>
          <w:sz w:val="21"/>
          <w:szCs w:val="21"/>
          <w:highlight w:val="none"/>
          <w:lang w:val="en-US" w:eastAsia="zh-CN" w:bidi="ar-SA"/>
        </w:rPr>
        <w:t>、本项目报价包含运输、吊装、安装、备案、监检、旧低温液氧贮槽报废注销、新低温液氧贮槽注册办理特种设备使用登记证等所有费用，保证低温液氧贮槽安装完成后就能够投入使用的交钥匙项目。</w:t>
      </w:r>
    </w:p>
    <w:p w14:paraId="05518A56">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2</w:t>
      </w:r>
      <w:r>
        <w:rPr>
          <w:rFonts w:hint="eastAsia" w:ascii="宋体" w:hAnsi="宋体" w:eastAsia="宋体" w:cs="宋体"/>
          <w:bCs/>
          <w:color w:val="auto"/>
          <w:kern w:val="2"/>
          <w:sz w:val="21"/>
          <w:szCs w:val="21"/>
          <w:highlight w:val="none"/>
          <w:lang w:val="en-US" w:eastAsia="zh-CN" w:bidi="ar-SA"/>
        </w:rPr>
        <w:t>、勘察现场的费用由供应商</w:t>
      </w:r>
      <w:r>
        <w:rPr>
          <w:rFonts w:hint="eastAsia" w:ascii="宋体" w:hAnsi="宋体" w:cs="宋体"/>
          <w:bCs/>
          <w:color w:val="auto"/>
          <w:kern w:val="2"/>
          <w:sz w:val="21"/>
          <w:szCs w:val="21"/>
          <w:highlight w:val="none"/>
          <w:lang w:val="en-US" w:eastAsia="zh-CN" w:bidi="ar-SA"/>
        </w:rPr>
        <w:t>自行</w:t>
      </w:r>
      <w:r>
        <w:rPr>
          <w:rFonts w:hint="eastAsia" w:ascii="宋体" w:hAnsi="宋体" w:eastAsia="宋体" w:cs="宋体"/>
          <w:bCs/>
          <w:color w:val="auto"/>
          <w:kern w:val="2"/>
          <w:sz w:val="21"/>
          <w:szCs w:val="21"/>
          <w:highlight w:val="none"/>
          <w:lang w:val="en-US" w:eastAsia="zh-CN" w:bidi="ar-SA"/>
        </w:rPr>
        <w:t>承担，勘察期间所发生的人身伤害及财产损失由供应商</w:t>
      </w:r>
      <w:r>
        <w:rPr>
          <w:rFonts w:hint="eastAsia" w:ascii="宋体" w:hAnsi="宋体" w:cs="宋体"/>
          <w:bCs/>
          <w:color w:val="auto"/>
          <w:kern w:val="2"/>
          <w:sz w:val="21"/>
          <w:szCs w:val="21"/>
          <w:highlight w:val="none"/>
          <w:lang w:val="en-US" w:eastAsia="zh-CN" w:bidi="ar-SA"/>
        </w:rPr>
        <w:t>自行</w:t>
      </w:r>
      <w:r>
        <w:rPr>
          <w:rFonts w:hint="eastAsia" w:ascii="宋体" w:hAnsi="宋体" w:eastAsia="宋体" w:cs="宋体"/>
          <w:bCs/>
          <w:color w:val="auto"/>
          <w:kern w:val="2"/>
          <w:sz w:val="21"/>
          <w:szCs w:val="21"/>
          <w:highlight w:val="none"/>
          <w:lang w:val="en-US" w:eastAsia="zh-CN" w:bidi="ar-SA"/>
        </w:rPr>
        <w:t>负责。</w:t>
      </w:r>
    </w:p>
    <w:p w14:paraId="55DA741F">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3</w:t>
      </w:r>
      <w:r>
        <w:rPr>
          <w:rFonts w:hint="eastAsia" w:ascii="宋体" w:hAnsi="宋体" w:eastAsia="宋体" w:cs="宋体"/>
          <w:bCs/>
          <w:color w:val="auto"/>
          <w:kern w:val="2"/>
          <w:sz w:val="21"/>
          <w:szCs w:val="21"/>
          <w:highlight w:val="none"/>
          <w:lang w:val="en-US" w:eastAsia="zh-CN" w:bidi="ar-SA"/>
        </w:rPr>
        <w:t>、按市场废旧钢铁收购价格评估报废的3个旧低温液氧贮槽残值为2000元/个，残值共计6000元，中标人向采购人财务部门缴纳残值款项后方可进行报废处置。</w:t>
      </w:r>
    </w:p>
    <w:p w14:paraId="38A86A45">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4</w:t>
      </w:r>
      <w:r>
        <w:rPr>
          <w:rFonts w:hint="eastAsia" w:ascii="宋体" w:hAnsi="宋体" w:eastAsia="宋体" w:cs="宋体"/>
          <w:bCs/>
          <w:color w:val="auto"/>
          <w:kern w:val="2"/>
          <w:sz w:val="21"/>
          <w:szCs w:val="21"/>
          <w:highlight w:val="none"/>
          <w:lang w:val="en-US" w:eastAsia="zh-CN" w:bidi="ar-SA"/>
        </w:rPr>
        <w:t>、自报废低温液氧贮槽移交中标人之时起，报废低温液氧贮槽所有权自动转移至中标人，中标人在处置报废低温液氧贮槽过程中应遵守国家安全生产相关法律法规，不得违规操作处置，一旦发生任何安全事故或违规行为，由中标人承担全部责任。</w:t>
      </w:r>
    </w:p>
    <w:p w14:paraId="11218F28">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5</w:t>
      </w: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服务期限</w:t>
      </w:r>
      <w:r>
        <w:rPr>
          <w:rFonts w:hint="eastAsia" w:ascii="宋体" w:hAnsi="宋体" w:eastAsia="宋体" w:cs="宋体"/>
          <w:bCs/>
          <w:color w:val="auto"/>
          <w:kern w:val="2"/>
          <w:sz w:val="21"/>
          <w:szCs w:val="21"/>
          <w:highlight w:val="none"/>
          <w:lang w:val="en-US" w:eastAsia="zh-CN" w:bidi="ar-SA"/>
        </w:rPr>
        <w:t>：合同签订后40日历日内完成供货。</w:t>
      </w:r>
    </w:p>
    <w:p w14:paraId="1ABF2221">
      <w:pPr>
        <w:pStyle w:val="6"/>
        <w:spacing w:line="360"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6</w:t>
      </w:r>
      <w:r>
        <w:rPr>
          <w:rFonts w:hint="eastAsia" w:ascii="宋体" w:hAnsi="宋体" w:eastAsia="宋体" w:cs="宋体"/>
          <w:bCs/>
          <w:color w:val="auto"/>
          <w:kern w:val="2"/>
          <w:sz w:val="21"/>
          <w:szCs w:val="21"/>
          <w:highlight w:val="none"/>
          <w:lang w:val="en-US" w:eastAsia="zh-CN" w:bidi="ar-SA"/>
        </w:rPr>
        <w:t>、付款方式：经特种设备监管部门安装监检合格并取得使用注册证后，采购人再组织验收，验收合格支付95%合同款，余</w:t>
      </w:r>
      <w:r>
        <w:rPr>
          <w:rFonts w:hint="eastAsia" w:ascii="宋体" w:hAnsi="宋体" w:cs="宋体"/>
          <w:bCs/>
          <w:color w:val="auto"/>
          <w:kern w:val="2"/>
          <w:sz w:val="21"/>
          <w:szCs w:val="21"/>
          <w:highlight w:val="none"/>
          <w:lang w:val="en-US" w:eastAsia="zh-CN" w:bidi="ar-SA"/>
        </w:rPr>
        <w:t>款</w:t>
      </w:r>
      <w:r>
        <w:rPr>
          <w:rFonts w:hint="eastAsia" w:ascii="宋体" w:hAnsi="宋体" w:eastAsia="宋体" w:cs="宋体"/>
          <w:bCs/>
          <w:color w:val="auto"/>
          <w:kern w:val="2"/>
          <w:sz w:val="21"/>
          <w:szCs w:val="21"/>
          <w:highlight w:val="none"/>
          <w:lang w:val="en-US" w:eastAsia="zh-CN" w:bidi="ar-SA"/>
        </w:rPr>
        <w:t>5%一年后无息支付。</w:t>
      </w:r>
    </w:p>
    <w:p w14:paraId="42C8DCAD">
      <w:pPr>
        <w:pStyle w:val="6"/>
        <w:spacing w:line="360" w:lineRule="auto"/>
        <w:ind w:firstLine="420" w:firstLineChars="200"/>
        <w:rPr>
          <w:rFonts w:hint="default"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7、成交供应商承担其在安装调试等施工过程中产生的一切后果和法律责任，包括人身安全、财产损失等。</w:t>
      </w:r>
    </w:p>
    <w:bookmarkEnd w:id="224"/>
    <w:p w14:paraId="1179A6BD">
      <w:pPr>
        <w:widowControl w:val="0"/>
        <w:bidi w:val="0"/>
        <w:ind w:left="0" w:leftChars="0" w:firstLine="0" w:firstLineChars="0"/>
        <w:jc w:val="both"/>
        <w:rPr>
          <w:rFonts w:hint="eastAsia" w:ascii="仿宋" w:hAnsi="仿宋" w:eastAsia="仿宋" w:cs="仿宋"/>
          <w:spacing w:val="20"/>
          <w:kern w:val="2"/>
          <w:sz w:val="24"/>
          <w:szCs w:val="24"/>
          <w:lang w:val="en-US" w:eastAsia="zh-CN" w:bidi="ar-SA"/>
        </w:rPr>
      </w:pPr>
    </w:p>
    <w:p w14:paraId="4FE30D0F">
      <w:pPr>
        <w:rPr>
          <w:rFonts w:hint="eastAsia" w:ascii="黑体" w:hAnsi="黑体" w:eastAsia="黑体"/>
          <w:b/>
          <w:bCs/>
          <w:color w:val="000000" w:themeColor="text1"/>
          <w:sz w:val="32"/>
          <w:szCs w:val="32"/>
          <w14:textFill>
            <w14:solidFill>
              <w14:schemeClr w14:val="tx1"/>
            </w14:solidFill>
          </w14:textFill>
        </w:rPr>
      </w:pPr>
      <w:r>
        <w:rPr>
          <w:rFonts w:hint="eastAsia" w:ascii="黑体" w:hAnsi="黑体" w:eastAsia="黑体"/>
          <w:b/>
          <w:bCs/>
          <w:color w:val="000000" w:themeColor="text1"/>
          <w:sz w:val="32"/>
          <w:szCs w:val="32"/>
          <w14:textFill>
            <w14:solidFill>
              <w14:schemeClr w14:val="tx1"/>
            </w14:solidFill>
          </w14:textFill>
        </w:rPr>
        <w:br w:type="page"/>
      </w:r>
    </w:p>
    <w:p w14:paraId="68489A84">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bookmarkStart w:id="148" w:name="_Toc18114"/>
      <w:r>
        <w:rPr>
          <w:rFonts w:hint="eastAsia" w:ascii="黑体" w:hAnsi="黑体" w:eastAsia="黑体"/>
          <w:b/>
          <w:bCs/>
          <w:color w:val="000000" w:themeColor="text1"/>
          <w:sz w:val="32"/>
          <w:szCs w:val="32"/>
          <w14:textFill>
            <w14:solidFill>
              <w14:schemeClr w14:val="tx1"/>
            </w14:solidFill>
          </w14:textFill>
        </w:rPr>
        <w:t>第四章 合同草案条款</w:t>
      </w:r>
      <w:bookmarkEnd w:id="148"/>
    </w:p>
    <w:p w14:paraId="0C886616">
      <w:pPr>
        <w:keepNext/>
        <w:keepLines/>
        <w:adjustRightInd w:val="0"/>
        <w:snapToGrid w:val="0"/>
        <w:spacing w:before="156" w:beforeLines="50" w:line="360" w:lineRule="auto"/>
        <w:jc w:val="center"/>
        <w:outlineLvl w:val="1"/>
        <w:rPr>
          <w:rFonts w:ascii="黑体" w:hAnsi="华文中宋" w:eastAsia="黑体" w:cs="Times New Roman"/>
          <w:b/>
          <w:bCs/>
          <w:sz w:val="28"/>
          <w:szCs w:val="28"/>
        </w:rPr>
      </w:pPr>
      <w:bookmarkStart w:id="149" w:name="_Toc29020"/>
      <w:bookmarkStart w:id="150" w:name="_Toc22201110"/>
      <w:r>
        <w:rPr>
          <w:rFonts w:hint="eastAsia" w:ascii="黑体" w:hAnsi="华文中宋" w:eastAsia="黑体" w:cs="Times New Roman"/>
          <w:b/>
          <w:bCs/>
          <w:sz w:val="28"/>
          <w:szCs w:val="28"/>
        </w:rPr>
        <w:t>第一节 合同协议书</w:t>
      </w:r>
      <w:bookmarkEnd w:id="149"/>
      <w:bookmarkEnd w:id="150"/>
    </w:p>
    <w:p w14:paraId="4AF33CEE">
      <w:pPr>
        <w:adjustRightInd w:val="0"/>
        <w:snapToGrid w:val="0"/>
        <w:spacing w:before="156" w:beforeLines="50" w:line="360" w:lineRule="auto"/>
        <w:ind w:firstLine="5460" w:firstLineChars="2600"/>
        <w:rPr>
          <w:rFonts w:ascii="宋体" w:hAnsi="宋体" w:eastAsia="宋体" w:cs="Times New Roman"/>
          <w:b/>
          <w:szCs w:val="21"/>
        </w:rPr>
      </w:pPr>
      <w:r>
        <w:rPr>
          <w:rFonts w:hint="eastAsia" w:ascii="宋体" w:hAnsi="宋体" w:eastAsia="宋体" w:cs="Times New Roman"/>
          <w:szCs w:val="21"/>
        </w:rPr>
        <w:t>采购合同编号：</w:t>
      </w:r>
    </w:p>
    <w:p w14:paraId="3C04041E">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采购人（全称）：</w:t>
      </w:r>
      <w:r>
        <w:rPr>
          <w:rFonts w:hint="eastAsia" w:ascii="宋体" w:hAnsi="宋体" w:eastAsia="宋体" w:cs="Times New Roman"/>
          <w:szCs w:val="21"/>
          <w:u w:val="single"/>
        </w:rPr>
        <w:t xml:space="preserve">                             </w:t>
      </w:r>
      <w:r>
        <w:rPr>
          <w:rFonts w:hint="eastAsia" w:ascii="宋体" w:hAnsi="宋体" w:eastAsia="宋体" w:cs="Times New Roman"/>
          <w:szCs w:val="21"/>
        </w:rPr>
        <w:t>（甲方）</w:t>
      </w:r>
    </w:p>
    <w:p w14:paraId="3ACCA729">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供应商（全称）：</w:t>
      </w:r>
      <w:r>
        <w:rPr>
          <w:rFonts w:hint="eastAsia" w:ascii="宋体" w:hAnsi="宋体" w:eastAsia="宋体" w:cs="Times New Roman"/>
          <w:szCs w:val="21"/>
          <w:u w:val="single"/>
        </w:rPr>
        <w:t xml:space="preserve">                             </w:t>
      </w:r>
      <w:r>
        <w:rPr>
          <w:rFonts w:hint="eastAsia" w:ascii="宋体" w:hAnsi="宋体" w:eastAsia="宋体" w:cs="Times New Roman"/>
          <w:szCs w:val="21"/>
        </w:rPr>
        <w:t>（乙方）</w:t>
      </w:r>
    </w:p>
    <w:p w14:paraId="13871930">
      <w:pPr>
        <w:adjustRightInd w:val="0"/>
        <w:snapToGrid w:val="0"/>
        <w:spacing w:before="156" w:beforeLines="50" w:line="360" w:lineRule="auto"/>
        <w:ind w:left="420" w:leftChars="200"/>
        <w:rPr>
          <w:rFonts w:ascii="宋体" w:hAnsi="宋体" w:eastAsia="宋体" w:cs="Times New Roman"/>
          <w:szCs w:val="21"/>
        </w:rPr>
      </w:pPr>
    </w:p>
    <w:p w14:paraId="0F8A708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为了保护甲、乙双方合法权益，根据《中华人民共和国民法典》、《中华人民共和国政府采购法》及其他有关法律、法规、规章，双方签订本合同协议书。</w:t>
      </w:r>
    </w:p>
    <w:p w14:paraId="2164DDE6">
      <w:pPr>
        <w:adjustRightInd w:val="0"/>
        <w:snapToGrid w:val="0"/>
        <w:spacing w:before="156" w:beforeLines="50" w:line="360" w:lineRule="auto"/>
        <w:ind w:firstLine="420" w:firstLineChars="200"/>
        <w:outlineLvl w:val="2"/>
        <w:rPr>
          <w:rFonts w:ascii="宋体" w:hAnsi="宋体" w:eastAsia="宋体" w:cs="Times New Roman"/>
          <w:b/>
          <w:szCs w:val="21"/>
        </w:rPr>
      </w:pPr>
      <w:bookmarkStart w:id="151" w:name="_Toc3773"/>
      <w:r>
        <w:rPr>
          <w:rFonts w:hint="eastAsia" w:ascii="宋体" w:hAnsi="宋体" w:eastAsia="宋体" w:cs="Times New Roman"/>
          <w:b/>
          <w:szCs w:val="21"/>
        </w:rPr>
        <w:t>1.项目信息</w:t>
      </w:r>
      <w:bookmarkEnd w:id="151"/>
    </w:p>
    <w:p w14:paraId="4CDC11EB">
      <w:pPr>
        <w:adjustRightInd w:val="0"/>
        <w:snapToGrid w:val="0"/>
        <w:spacing w:before="156" w:beforeLines="50" w:line="360" w:lineRule="auto"/>
        <w:ind w:left="420" w:leftChars="200"/>
        <w:rPr>
          <w:rFonts w:ascii="宋体" w:hAnsi="宋体" w:eastAsia="宋体" w:cs="Times New Roman"/>
          <w:szCs w:val="21"/>
        </w:rPr>
      </w:pPr>
      <w:r>
        <w:rPr>
          <w:rFonts w:hint="eastAsia" w:ascii="宋体" w:hAnsi="宋体" w:eastAsia="宋体" w:cs="Times New Roman"/>
          <w:szCs w:val="21"/>
        </w:rPr>
        <w:t>（1）采购项目名称：</w:t>
      </w:r>
      <w:r>
        <w:rPr>
          <w:rFonts w:ascii="宋体" w:hAnsi="宋体" w:eastAsia="宋体" w:cs="Times New Roman"/>
          <w:szCs w:val="21"/>
          <w:u w:val="single"/>
        </w:rPr>
        <w:t xml:space="preserve">                                          </w:t>
      </w:r>
    </w:p>
    <w:p w14:paraId="12A7D032">
      <w:pPr>
        <w:adjustRightInd w:val="0"/>
        <w:snapToGrid w:val="0"/>
        <w:spacing w:before="156" w:beforeLines="50" w:line="360" w:lineRule="auto"/>
        <w:ind w:left="420" w:leftChars="200"/>
        <w:rPr>
          <w:rFonts w:ascii="宋体" w:hAnsi="宋体" w:eastAsia="宋体" w:cs="Times New Roman"/>
          <w:szCs w:val="21"/>
        </w:rPr>
      </w:pPr>
      <w:r>
        <w:rPr>
          <w:rFonts w:hint="eastAsia" w:ascii="宋体" w:hAnsi="宋体" w:eastAsia="宋体" w:cs="Times New Roman"/>
          <w:szCs w:val="21"/>
        </w:rPr>
        <w:t>（2）政府采购计划编号：</w:t>
      </w:r>
      <w:r>
        <w:rPr>
          <w:rFonts w:ascii="宋体" w:hAnsi="宋体" w:eastAsia="宋体" w:cs="Times New Roman"/>
          <w:szCs w:val="21"/>
          <w:u w:val="single"/>
        </w:rPr>
        <w:t xml:space="preserve">                          </w:t>
      </w:r>
      <w:r>
        <w:rPr>
          <w:rFonts w:ascii="宋体" w:hAnsi="宋体" w:eastAsia="宋体" w:cs="Times New Roman"/>
          <w:szCs w:val="21"/>
        </w:rPr>
        <w:t xml:space="preserve"> </w:t>
      </w:r>
    </w:p>
    <w:p w14:paraId="1A0511B4">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（3）项目内容：</w:t>
      </w:r>
      <w:r>
        <w:rPr>
          <w:rFonts w:hint="eastAsia" w:ascii="宋体" w:hAnsi="宋体" w:eastAsia="宋体" w:cs="Times New Roman"/>
          <w:szCs w:val="21"/>
          <w:u w:val="single"/>
        </w:rPr>
        <w:t xml:space="preserve">                             </w:t>
      </w:r>
    </w:p>
    <w:p w14:paraId="6DF99968">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（4）是否分包：</w:t>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55DA4B02">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（5）项目负责人：</w:t>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6F1B9401">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（6）联系电话：</w:t>
      </w:r>
      <w:r>
        <w:rPr>
          <w:rFonts w:hint="eastAsia" w:ascii="宋体" w:hAnsi="宋体" w:eastAsia="宋体" w:cs="Times New Roman"/>
          <w:szCs w:val="21"/>
          <w:u w:val="single"/>
        </w:rPr>
        <w:t xml:space="preserve">               </w:t>
      </w:r>
      <w:r>
        <w:rPr>
          <w:rFonts w:hint="eastAsia" w:ascii="宋体" w:hAnsi="宋体" w:eastAsia="宋体" w:cs="Times New Roman"/>
          <w:szCs w:val="21"/>
        </w:rPr>
        <w:t>。</w:t>
      </w:r>
    </w:p>
    <w:p w14:paraId="22164431">
      <w:pPr>
        <w:adjustRightInd w:val="0"/>
        <w:snapToGrid w:val="0"/>
        <w:spacing w:before="156" w:beforeLines="50" w:line="360" w:lineRule="auto"/>
        <w:ind w:firstLine="411" w:firstLineChars="196"/>
        <w:outlineLvl w:val="2"/>
        <w:rPr>
          <w:rFonts w:ascii="宋体" w:hAnsi="宋体" w:eastAsia="宋体" w:cs="Times New Roman"/>
          <w:b/>
          <w:szCs w:val="21"/>
        </w:rPr>
      </w:pPr>
      <w:bookmarkStart w:id="152" w:name="_Toc13948"/>
      <w:r>
        <w:rPr>
          <w:rFonts w:hint="eastAsia" w:ascii="宋体" w:hAnsi="宋体" w:eastAsia="宋体" w:cs="Times New Roman"/>
          <w:b/>
          <w:szCs w:val="21"/>
        </w:rPr>
        <w:t>2.合同金额</w:t>
      </w:r>
      <w:bookmarkEnd w:id="152"/>
    </w:p>
    <w:p w14:paraId="49B198DE">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（1）合同金额小写：</w:t>
      </w:r>
      <w:r>
        <w:rPr>
          <w:rFonts w:hint="eastAsia" w:ascii="宋体" w:hAnsi="宋体" w:eastAsia="宋体" w:cs="Times New Roman"/>
          <w:szCs w:val="21"/>
          <w:u w:val="single"/>
        </w:rPr>
        <w:t xml:space="preserve">                      </w:t>
      </w:r>
    </w:p>
    <w:p w14:paraId="42C7004E">
      <w:pPr>
        <w:adjustRightInd w:val="0"/>
        <w:snapToGrid w:val="0"/>
        <w:spacing w:before="156" w:beforeLines="50" w:line="360" w:lineRule="auto"/>
        <w:ind w:firstLine="1260" w:firstLineChars="600"/>
        <w:rPr>
          <w:rFonts w:ascii="宋体" w:hAnsi="宋体" w:eastAsia="宋体" w:cs="Times New Roman"/>
          <w:b/>
          <w:szCs w:val="21"/>
        </w:rPr>
      </w:pPr>
      <w:r>
        <w:rPr>
          <w:rFonts w:hint="eastAsia" w:ascii="宋体" w:hAnsi="宋体" w:eastAsia="宋体" w:cs="Times New Roman"/>
          <w:szCs w:val="21"/>
        </w:rPr>
        <w:t>大写：</w:t>
      </w:r>
      <w:r>
        <w:rPr>
          <w:rFonts w:hint="eastAsia" w:ascii="宋体" w:hAnsi="宋体" w:eastAsia="宋体" w:cs="Times New Roman"/>
          <w:szCs w:val="21"/>
          <w:u w:val="single"/>
        </w:rPr>
        <w:t xml:space="preserve">                      </w:t>
      </w:r>
    </w:p>
    <w:p w14:paraId="4DE9EAAD">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（2）具体标的见附件。</w:t>
      </w:r>
    </w:p>
    <w:p w14:paraId="11862B66">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（3）合同定价方式：</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固定总价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固定单价 </w:t>
      </w:r>
      <w:r>
        <w:rPr>
          <w:rFonts w:hint="eastAsia" w:ascii="宋体" w:hAnsi="宋体" w:eastAsia="宋体" w:cs="Times New Roman"/>
          <w:iCs/>
          <w:szCs w:val="21"/>
        </w:rPr>
        <w:sym w:font="Wingdings" w:char="00A8"/>
      </w:r>
      <w:r>
        <w:rPr>
          <w:rFonts w:hint="eastAsia" w:ascii="宋体" w:hAnsi="宋体" w:eastAsia="宋体" w:cs="Times New Roman"/>
          <w:iCs/>
          <w:szCs w:val="21"/>
        </w:rPr>
        <w:t xml:space="preserve">成本补偿 </w:t>
      </w:r>
      <w:r>
        <w:rPr>
          <w:rFonts w:hint="eastAsia" w:ascii="宋体" w:hAnsi="宋体" w:eastAsia="宋体" w:cs="Times New Roman"/>
          <w:iCs/>
          <w:szCs w:val="21"/>
        </w:rPr>
        <w:sym w:font="Wingdings" w:char="00A8"/>
      </w:r>
      <w:r>
        <w:rPr>
          <w:rFonts w:hint="eastAsia" w:ascii="宋体" w:hAnsi="宋体" w:eastAsia="宋体" w:cs="Times New Roman"/>
          <w:iCs/>
          <w:szCs w:val="21"/>
        </w:rPr>
        <w:t>绩效激励</w:t>
      </w:r>
    </w:p>
    <w:p w14:paraId="2E543EEF">
      <w:pPr>
        <w:spacing w:line="360" w:lineRule="auto"/>
        <w:ind w:firstLine="420" w:firstLineChars="200"/>
        <w:rPr>
          <w:rFonts w:ascii="Times New Roman" w:hAnsi="Times New Roman" w:eastAsia="宋体" w:cs="Times New Roman"/>
          <w:szCs w:val="21"/>
        </w:rPr>
      </w:pPr>
      <w:r>
        <w:rPr>
          <w:rFonts w:hint="eastAsia" w:ascii="宋体" w:hAnsi="宋体" w:eastAsia="宋体" w:cs="Times New Roman"/>
          <w:szCs w:val="21"/>
        </w:rPr>
        <w:t>（4）付款方式（按项目实际勾选填写）：</w:t>
      </w:r>
    </w:p>
    <w:p w14:paraId="47E9F84C">
      <w:pPr>
        <w:adjustRightInd w:val="0"/>
        <w:snapToGrid w:val="0"/>
        <w:spacing w:before="156" w:beforeLines="50" w:line="360" w:lineRule="auto"/>
        <w:ind w:firstLine="630" w:firstLineChars="300"/>
        <w:rPr>
          <w:rFonts w:ascii="宋体" w:hAnsi="宋体" w:eastAsia="宋体" w:cs="Times New Roman"/>
          <w:szCs w:val="21"/>
          <w:u w:val="single"/>
        </w:rPr>
      </w:pPr>
      <w:r>
        <w:rPr>
          <w:rFonts w:hint="eastAsia" w:ascii="宋体" w:hAnsi="宋体" w:eastAsia="宋体" w:cs="Times New Roman"/>
          <w:szCs w:val="21"/>
        </w:rPr>
        <w:sym w:font="Wingdings" w:char="00A8"/>
      </w:r>
      <w:r>
        <w:rPr>
          <w:rFonts w:hint="eastAsia" w:ascii="宋体" w:hAnsi="宋体" w:eastAsia="宋体" w:cs="Times New Roman"/>
          <w:szCs w:val="21"/>
        </w:rPr>
        <w:t>全额付款：</w:t>
      </w:r>
      <w:r>
        <w:rPr>
          <w:rFonts w:hint="eastAsia" w:ascii="宋体" w:hAnsi="宋体" w:eastAsia="宋体" w:cs="Times New Roman"/>
          <w:szCs w:val="21"/>
          <w:u w:val="single"/>
        </w:rPr>
        <w:t xml:space="preserve">     （应一次性支付全部合同款项）                    </w:t>
      </w:r>
    </w:p>
    <w:p w14:paraId="33D0ECCB">
      <w:pPr>
        <w:adjustRightInd w:val="0"/>
        <w:snapToGrid w:val="0"/>
        <w:spacing w:before="156" w:beforeLines="50" w:line="360" w:lineRule="auto"/>
        <w:ind w:firstLine="630" w:firstLineChars="300"/>
        <w:rPr>
          <w:rFonts w:ascii="宋体" w:hAnsi="宋体" w:eastAsia="宋体" w:cs="Times New Roman"/>
          <w:szCs w:val="21"/>
          <w:u w:val="single"/>
        </w:rPr>
      </w:pPr>
      <w:r>
        <w:rPr>
          <w:rFonts w:hint="eastAsia" w:ascii="宋体" w:hAnsi="宋体" w:eastAsia="宋体" w:cs="Times New Roman"/>
          <w:szCs w:val="21"/>
        </w:rPr>
        <w:sym w:font="Wingdings" w:char="00A8"/>
      </w:r>
      <w:r>
        <w:rPr>
          <w:rFonts w:hint="eastAsia" w:ascii="宋体" w:hAnsi="宋体" w:eastAsia="宋体" w:cs="Times New Roman"/>
          <w:szCs w:val="21"/>
        </w:rPr>
        <w:t>预付款：</w:t>
      </w:r>
      <w:r>
        <w:rPr>
          <w:rFonts w:hint="eastAsia" w:ascii="宋体" w:hAnsi="宋体" w:eastAsia="宋体" w:cs="Times New Roman"/>
          <w:szCs w:val="21"/>
          <w:u w:val="single"/>
        </w:rPr>
        <w:t xml:space="preserve">    （应明确预付款的支付比例和支付条件）               </w:t>
      </w:r>
    </w:p>
    <w:p w14:paraId="79D26F35">
      <w:pPr>
        <w:adjustRightInd w:val="0"/>
        <w:snapToGrid w:val="0"/>
        <w:spacing w:before="156" w:beforeLines="50" w:line="360" w:lineRule="auto"/>
        <w:ind w:firstLine="630" w:firstLineChars="300"/>
        <w:rPr>
          <w:rFonts w:ascii="宋体" w:hAnsi="宋体" w:eastAsia="宋体" w:cs="Times New Roman"/>
          <w:szCs w:val="21"/>
        </w:rPr>
      </w:pPr>
      <w:r>
        <w:rPr>
          <w:rFonts w:hint="eastAsia" w:ascii="宋体" w:hAnsi="宋体" w:eastAsia="宋体" w:cs="Times New Roman"/>
          <w:szCs w:val="21"/>
        </w:rPr>
        <w:sym w:font="Wingdings" w:char="00A8"/>
      </w:r>
      <w:r>
        <w:rPr>
          <w:rFonts w:hint="eastAsia" w:ascii="宋体" w:hAnsi="宋体" w:eastAsia="宋体" w:cs="Times New Roman"/>
          <w:szCs w:val="21"/>
        </w:rPr>
        <w:t>分期付款：</w:t>
      </w:r>
      <w:r>
        <w:rPr>
          <w:rFonts w:hint="eastAsia" w:ascii="宋体" w:hAnsi="宋体" w:eastAsia="宋体" w:cs="Times New Roman"/>
          <w:szCs w:val="21"/>
          <w:u w:val="single"/>
        </w:rPr>
        <w:t xml:space="preserve">     （应按照季度分期支付合同款项）                   </w:t>
      </w:r>
    </w:p>
    <w:p w14:paraId="5EFD7B55">
      <w:pPr>
        <w:adjustRightInd w:val="0"/>
        <w:snapToGrid w:val="0"/>
        <w:spacing w:before="156" w:beforeLines="50" w:line="360" w:lineRule="auto"/>
        <w:ind w:firstLine="630" w:firstLineChars="300"/>
        <w:rPr>
          <w:rFonts w:ascii="宋体" w:hAnsi="宋体" w:eastAsia="宋体" w:cs="Times New Roman"/>
          <w:szCs w:val="21"/>
        </w:rPr>
      </w:pPr>
      <w:r>
        <w:rPr>
          <w:rFonts w:hint="eastAsia" w:ascii="宋体" w:hAnsi="宋体" w:eastAsia="宋体" w:cs="Times New Roman"/>
          <w:szCs w:val="21"/>
        </w:rPr>
        <w:sym w:font="Wingdings" w:char="00A8"/>
      </w:r>
      <w:r>
        <w:rPr>
          <w:rFonts w:hint="eastAsia" w:ascii="宋体" w:hAnsi="宋体" w:eastAsia="宋体" w:cs="Times New Roman"/>
          <w:szCs w:val="21"/>
        </w:rPr>
        <w:t>成本补偿：</w:t>
      </w:r>
      <w:r>
        <w:rPr>
          <w:rFonts w:hint="eastAsia" w:ascii="宋体" w:hAnsi="宋体" w:eastAsia="宋体" w:cs="Times New Roman"/>
          <w:szCs w:val="21"/>
          <w:u w:val="single"/>
        </w:rPr>
        <w:t xml:space="preserve">      （应明确按照成本补偿方式的支付方式和支付条件）   </w:t>
      </w:r>
    </w:p>
    <w:p w14:paraId="0916D81C">
      <w:pPr>
        <w:adjustRightInd w:val="0"/>
        <w:snapToGrid w:val="0"/>
        <w:spacing w:before="156" w:beforeLines="50" w:line="360" w:lineRule="auto"/>
        <w:ind w:firstLine="630" w:firstLineChars="300"/>
        <w:rPr>
          <w:rFonts w:ascii="宋体" w:hAnsi="宋体" w:eastAsia="宋体" w:cs="Times New Roman"/>
          <w:szCs w:val="21"/>
        </w:rPr>
      </w:pPr>
      <w:r>
        <w:rPr>
          <w:rFonts w:hint="eastAsia" w:ascii="宋体" w:hAnsi="宋体" w:eastAsia="宋体" w:cs="Times New Roman"/>
          <w:szCs w:val="21"/>
        </w:rPr>
        <w:sym w:font="Wingdings" w:char="00A8"/>
      </w:r>
      <w:r>
        <w:rPr>
          <w:rFonts w:hint="eastAsia" w:ascii="宋体" w:hAnsi="宋体" w:eastAsia="宋体" w:cs="Times New Roman"/>
          <w:szCs w:val="21"/>
        </w:rPr>
        <w:t>绩效激励：</w:t>
      </w:r>
      <w:r>
        <w:rPr>
          <w:rFonts w:hint="eastAsia" w:ascii="宋体" w:hAnsi="宋体" w:eastAsia="宋体" w:cs="Times New Roman"/>
          <w:szCs w:val="21"/>
          <w:u w:val="single"/>
        </w:rPr>
        <w:t xml:space="preserve">      （应明确按照绩效激励方式的支付方式和支付条件）   </w:t>
      </w:r>
    </w:p>
    <w:p w14:paraId="6384FD99">
      <w:pPr>
        <w:adjustRightInd w:val="0"/>
        <w:snapToGrid w:val="0"/>
        <w:spacing w:before="156" w:beforeLines="50" w:line="360" w:lineRule="auto"/>
        <w:ind w:firstLine="420" w:firstLineChars="200"/>
        <w:outlineLvl w:val="2"/>
        <w:rPr>
          <w:rFonts w:ascii="宋体" w:hAnsi="宋体" w:eastAsia="宋体" w:cs="Times New Roman"/>
          <w:szCs w:val="21"/>
          <w:u w:val="single"/>
        </w:rPr>
      </w:pPr>
      <w:bookmarkStart w:id="153" w:name="_Toc31048"/>
      <w:r>
        <w:rPr>
          <w:rFonts w:hint="eastAsia" w:ascii="宋体" w:hAnsi="宋体" w:eastAsia="宋体" w:cs="Times New Roman"/>
          <w:b/>
          <w:szCs w:val="21"/>
        </w:rPr>
        <w:t>3.合同履行</w:t>
      </w:r>
      <w:bookmarkEnd w:id="153"/>
    </w:p>
    <w:p w14:paraId="0135BFF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（1）起始日期：</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日，完成日期：</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日。总日历天数：</w:t>
      </w:r>
      <w:r>
        <w:rPr>
          <w:rFonts w:hint="eastAsia" w:ascii="宋体" w:hAnsi="宋体" w:eastAsia="宋体" w:cs="Times New Roman"/>
          <w:szCs w:val="21"/>
          <w:u w:val="single"/>
        </w:rPr>
        <w:t xml:space="preserve">     </w:t>
      </w:r>
      <w:r>
        <w:rPr>
          <w:rFonts w:hint="eastAsia" w:ascii="宋体" w:hAnsi="宋体" w:eastAsia="宋体" w:cs="Times New Roman"/>
          <w:szCs w:val="21"/>
        </w:rPr>
        <w:t>天。</w:t>
      </w:r>
    </w:p>
    <w:p w14:paraId="409BC6A6">
      <w:pPr>
        <w:adjustRightInd w:val="0"/>
        <w:snapToGrid w:val="0"/>
        <w:spacing w:before="156" w:beforeLines="50" w:line="360" w:lineRule="auto"/>
        <w:ind w:firstLine="420" w:firstLineChars="200"/>
        <w:rPr>
          <w:rFonts w:ascii="宋体" w:hAnsi="宋体" w:eastAsia="宋体" w:cs="Times New Roman"/>
          <w:szCs w:val="21"/>
          <w:u w:val="single"/>
        </w:rPr>
      </w:pPr>
      <w:r>
        <w:rPr>
          <w:rFonts w:hint="eastAsia" w:ascii="宋体" w:hAnsi="宋体" w:eastAsia="宋体" w:cs="Times New Roman"/>
          <w:szCs w:val="21"/>
        </w:rPr>
        <w:t>（2）地点</w:t>
      </w:r>
      <w:r>
        <w:rPr>
          <w:rFonts w:hint="eastAsia" w:ascii="宋体" w:hAnsi="宋体" w:eastAsia="宋体" w:cs="Times New Roman"/>
          <w:b/>
          <w:szCs w:val="21"/>
        </w:rPr>
        <w:t>：</w:t>
      </w:r>
      <w:r>
        <w:rPr>
          <w:rFonts w:hint="eastAsia" w:ascii="宋体" w:hAnsi="宋体" w:eastAsia="宋体" w:cs="Times New Roman"/>
          <w:szCs w:val="21"/>
          <w:u w:val="single"/>
        </w:rPr>
        <w:t xml:space="preserve">                             </w:t>
      </w:r>
    </w:p>
    <w:p w14:paraId="36D4CC06">
      <w:pPr>
        <w:adjustRightInd w:val="0"/>
        <w:snapToGrid w:val="0"/>
        <w:spacing w:before="156" w:beforeLines="50" w:line="360" w:lineRule="auto"/>
        <w:ind w:firstLine="420" w:firstLineChars="200"/>
        <w:rPr>
          <w:rFonts w:ascii="宋体" w:hAnsi="宋体" w:eastAsia="宋体" w:cs="Times New Roman"/>
          <w:szCs w:val="21"/>
          <w:u w:val="single"/>
        </w:rPr>
      </w:pPr>
      <w:r>
        <w:rPr>
          <w:rFonts w:hint="eastAsia" w:ascii="宋体" w:hAnsi="宋体" w:eastAsia="宋体" w:cs="Times New Roman"/>
          <w:szCs w:val="21"/>
        </w:rPr>
        <w:t>（3）方式：</w:t>
      </w:r>
      <w:r>
        <w:rPr>
          <w:rFonts w:hint="eastAsia" w:ascii="宋体" w:hAnsi="宋体" w:eastAsia="宋体" w:cs="Times New Roman"/>
          <w:szCs w:val="21"/>
          <w:u w:val="single"/>
        </w:rPr>
        <w:t xml:space="preserve">                             </w:t>
      </w:r>
    </w:p>
    <w:p w14:paraId="55498657">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（4）履约担保：</w:t>
      </w:r>
      <w:r>
        <w:rPr>
          <w:rFonts w:hint="eastAsia" w:ascii="宋体" w:hAnsi="宋体" w:eastAsia="宋体" w:cs="Times New Roman"/>
          <w:bCs/>
          <w:szCs w:val="21"/>
          <w:u w:val="single"/>
        </w:rPr>
        <w:t>履约担保的金额、形式和期限要求</w:t>
      </w:r>
      <w:r>
        <w:rPr>
          <w:rFonts w:hint="eastAsia" w:ascii="宋体" w:hAnsi="宋体" w:eastAsia="宋体" w:cs="Times New Roman"/>
          <w:bCs/>
          <w:szCs w:val="21"/>
        </w:rPr>
        <w:t>。</w:t>
      </w:r>
    </w:p>
    <w:p w14:paraId="101BFA35">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（5）质量保证金：</w:t>
      </w:r>
      <w:r>
        <w:rPr>
          <w:rFonts w:hint="eastAsia" w:ascii="宋体" w:hAnsi="宋体" w:eastAsia="宋体" w:cs="Times New Roman"/>
          <w:bCs/>
          <w:szCs w:val="21"/>
          <w:u w:val="single"/>
        </w:rPr>
        <w:t>质量保证金的金额、形式和期限要求</w:t>
      </w:r>
      <w:r>
        <w:rPr>
          <w:rFonts w:hint="eastAsia" w:ascii="宋体" w:hAnsi="宋体" w:eastAsia="宋体" w:cs="Times New Roman"/>
          <w:bCs/>
          <w:szCs w:val="21"/>
        </w:rPr>
        <w:t>。</w:t>
      </w:r>
    </w:p>
    <w:p w14:paraId="34B09B7B">
      <w:pPr>
        <w:adjustRightInd w:val="0"/>
        <w:snapToGrid w:val="0"/>
        <w:spacing w:before="156" w:beforeLines="50" w:line="360" w:lineRule="auto"/>
        <w:ind w:firstLine="420" w:firstLineChars="200"/>
        <w:outlineLvl w:val="2"/>
        <w:rPr>
          <w:rFonts w:ascii="宋体" w:hAnsi="宋体" w:eastAsia="宋体" w:cs="Times New Roman"/>
          <w:b/>
          <w:szCs w:val="21"/>
        </w:rPr>
      </w:pPr>
      <w:bookmarkStart w:id="154" w:name="_Toc5563"/>
      <w:r>
        <w:rPr>
          <w:rFonts w:hint="eastAsia" w:ascii="宋体" w:hAnsi="宋体" w:eastAsia="宋体" w:cs="Times New Roman"/>
          <w:b/>
          <w:szCs w:val="21"/>
        </w:rPr>
        <w:t>4.合同验收</w:t>
      </w:r>
      <w:bookmarkEnd w:id="154"/>
    </w:p>
    <w:p w14:paraId="1602EDB1">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（1）验收主体：</w:t>
      </w:r>
      <w:r>
        <w:rPr>
          <w:rFonts w:hint="eastAsia" w:ascii="宋体" w:hAnsi="宋体" w:eastAsia="宋体" w:cs="Times New Roman"/>
          <w:bCs/>
          <w:szCs w:val="21"/>
          <w:u w:val="single"/>
        </w:rPr>
        <w:t xml:space="preserve">                             </w:t>
      </w:r>
      <w:r>
        <w:rPr>
          <w:rFonts w:hint="eastAsia" w:ascii="宋体" w:hAnsi="宋体" w:eastAsia="宋体" w:cs="Times New Roman"/>
          <w:bCs/>
          <w:szCs w:val="21"/>
        </w:rPr>
        <w:t>。</w:t>
      </w:r>
    </w:p>
    <w:p w14:paraId="50735497">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（2）验收方式：</w:t>
      </w:r>
      <w:r>
        <w:rPr>
          <w:rFonts w:hint="eastAsia" w:ascii="宋体" w:hAnsi="宋体" w:eastAsia="宋体" w:cs="Times New Roman"/>
          <w:bCs/>
          <w:szCs w:val="21"/>
          <w:u w:val="single"/>
        </w:rPr>
        <w:t xml:space="preserve">                             </w:t>
      </w:r>
      <w:r>
        <w:rPr>
          <w:rFonts w:hint="eastAsia" w:ascii="宋体" w:hAnsi="宋体" w:eastAsia="宋体" w:cs="Times New Roman"/>
          <w:bCs/>
          <w:szCs w:val="21"/>
        </w:rPr>
        <w:t>。</w:t>
      </w:r>
    </w:p>
    <w:p w14:paraId="2B4CD730">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（3）验收标准：</w:t>
      </w:r>
      <w:r>
        <w:rPr>
          <w:rFonts w:hint="eastAsia" w:ascii="宋体" w:hAnsi="宋体" w:eastAsia="宋体" w:cs="Times New Roman"/>
          <w:bCs/>
          <w:szCs w:val="21"/>
          <w:u w:val="single"/>
        </w:rPr>
        <w:t xml:space="preserve">                             </w:t>
      </w:r>
      <w:r>
        <w:rPr>
          <w:rFonts w:hint="eastAsia" w:ascii="宋体" w:hAnsi="宋体" w:eastAsia="宋体" w:cs="Times New Roman"/>
          <w:bCs/>
          <w:szCs w:val="21"/>
        </w:rPr>
        <w:t>。</w:t>
      </w:r>
    </w:p>
    <w:p w14:paraId="024EEDDD">
      <w:pPr>
        <w:adjustRightInd w:val="0"/>
        <w:snapToGrid w:val="0"/>
        <w:spacing w:before="156" w:beforeLines="50" w:line="360" w:lineRule="auto"/>
        <w:ind w:firstLine="420" w:firstLineChars="200"/>
        <w:outlineLvl w:val="2"/>
        <w:rPr>
          <w:rFonts w:ascii="宋体" w:hAnsi="宋体" w:eastAsia="宋体" w:cs="Times New Roman"/>
          <w:b/>
          <w:szCs w:val="21"/>
        </w:rPr>
      </w:pPr>
      <w:bookmarkStart w:id="155" w:name="_Toc6410"/>
      <w:r>
        <w:rPr>
          <w:rFonts w:hint="eastAsia" w:ascii="宋体" w:hAnsi="宋体" w:eastAsia="宋体" w:cs="Times New Roman"/>
          <w:b/>
          <w:szCs w:val="21"/>
        </w:rPr>
        <w:t>5.组成合同的文件</w:t>
      </w:r>
      <w:bookmarkEnd w:id="155"/>
    </w:p>
    <w:p w14:paraId="5DFE255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本协议书与下列文件一起构成合同文件，如下述文件之间有任何抵触、矛盾或歧义，应按以下顺序解释：</w:t>
      </w:r>
    </w:p>
    <w:p w14:paraId="79EE2DFC">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（1）在采购或合同履行过程中乙方作出的承诺以及双方协商达成的变更或补充协议</w:t>
      </w:r>
    </w:p>
    <w:p w14:paraId="0834C5CC">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（2）本合同协议书</w:t>
      </w:r>
    </w:p>
    <w:p w14:paraId="02E887ED">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（3）成交通知书</w:t>
      </w:r>
    </w:p>
    <w:p w14:paraId="098BE407">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（4）响应文件</w:t>
      </w:r>
    </w:p>
    <w:p w14:paraId="61B73D10">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（5）政府采购合同专用条款</w:t>
      </w:r>
    </w:p>
    <w:p w14:paraId="36EBAB27">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（6）政府采购合同通用条款</w:t>
      </w:r>
    </w:p>
    <w:p w14:paraId="2903FDE9">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（7）标准、规范及有关技术文件，图纸。</w:t>
      </w:r>
    </w:p>
    <w:p w14:paraId="550413B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（8）其他合同文件。</w:t>
      </w:r>
    </w:p>
    <w:p w14:paraId="215AA90D">
      <w:pPr>
        <w:adjustRightInd w:val="0"/>
        <w:snapToGrid w:val="0"/>
        <w:spacing w:before="156" w:beforeLines="50" w:line="360" w:lineRule="auto"/>
        <w:ind w:firstLine="308" w:firstLineChars="147"/>
        <w:outlineLvl w:val="2"/>
        <w:rPr>
          <w:rFonts w:ascii="宋体" w:hAnsi="宋体" w:eastAsia="宋体" w:cs="Times New Roman"/>
          <w:b/>
          <w:szCs w:val="21"/>
        </w:rPr>
      </w:pPr>
      <w:bookmarkStart w:id="156" w:name="_Toc12182"/>
      <w:r>
        <w:rPr>
          <w:rFonts w:hint="eastAsia" w:ascii="宋体" w:hAnsi="宋体" w:eastAsia="宋体" w:cs="Times New Roman"/>
          <w:b/>
          <w:szCs w:val="21"/>
        </w:rPr>
        <w:t>6.合同生效</w:t>
      </w:r>
      <w:bookmarkEnd w:id="156"/>
    </w:p>
    <w:p w14:paraId="09C69C18">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本合同自</w:t>
      </w:r>
      <w:r>
        <w:rPr>
          <w:rFonts w:hint="eastAsia" w:ascii="宋体" w:hAnsi="宋体" w:eastAsia="宋体" w:cs="Times New Roman"/>
          <w:szCs w:val="21"/>
          <w:u w:val="single"/>
        </w:rPr>
        <w:t xml:space="preserve">                             </w:t>
      </w:r>
      <w:r>
        <w:rPr>
          <w:rFonts w:hint="eastAsia" w:ascii="宋体" w:hAnsi="宋体" w:eastAsia="宋体" w:cs="Times New Roman"/>
          <w:szCs w:val="21"/>
        </w:rPr>
        <w:t>生效。</w:t>
      </w:r>
    </w:p>
    <w:p w14:paraId="43945C8C">
      <w:pPr>
        <w:adjustRightInd w:val="0"/>
        <w:snapToGrid w:val="0"/>
        <w:spacing w:before="156" w:beforeLines="50" w:line="360" w:lineRule="auto"/>
        <w:ind w:firstLine="308" w:firstLineChars="147"/>
        <w:outlineLvl w:val="2"/>
        <w:rPr>
          <w:rFonts w:ascii="宋体" w:hAnsi="宋体" w:eastAsia="宋体" w:cs="Times New Roman"/>
          <w:b/>
          <w:szCs w:val="21"/>
        </w:rPr>
      </w:pPr>
      <w:bookmarkStart w:id="157" w:name="_Toc19258"/>
      <w:r>
        <w:rPr>
          <w:rFonts w:hint="eastAsia" w:ascii="宋体" w:hAnsi="宋体" w:eastAsia="宋体" w:cs="Times New Roman"/>
          <w:b/>
          <w:szCs w:val="21"/>
        </w:rPr>
        <w:t>7.合同份数</w:t>
      </w:r>
      <w:bookmarkEnd w:id="157"/>
    </w:p>
    <w:p w14:paraId="2D1FC62C">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本合同一式</w:t>
      </w:r>
      <w:r>
        <w:rPr>
          <w:rFonts w:hint="eastAsia" w:ascii="宋体" w:hAnsi="宋体" w:eastAsia="宋体" w:cs="Times New Roman"/>
          <w:szCs w:val="21"/>
          <w:u w:val="single"/>
        </w:rPr>
        <w:t xml:space="preserve">    </w:t>
      </w:r>
      <w:r>
        <w:rPr>
          <w:rFonts w:hint="eastAsia" w:ascii="宋体" w:hAnsi="宋体" w:eastAsia="宋体" w:cs="Times New Roman"/>
          <w:szCs w:val="21"/>
        </w:rPr>
        <w:t>份，采购人执</w:t>
      </w:r>
      <w:r>
        <w:rPr>
          <w:rFonts w:hint="eastAsia" w:ascii="宋体" w:hAnsi="宋体" w:eastAsia="宋体" w:cs="Times New Roman"/>
          <w:szCs w:val="21"/>
          <w:u w:val="single"/>
        </w:rPr>
        <w:t xml:space="preserve">   </w:t>
      </w:r>
      <w:r>
        <w:rPr>
          <w:rFonts w:hint="eastAsia" w:ascii="宋体" w:hAnsi="宋体" w:eastAsia="宋体" w:cs="Times New Roman"/>
          <w:szCs w:val="21"/>
        </w:rPr>
        <w:t>份，供应商执</w:t>
      </w:r>
      <w:r>
        <w:rPr>
          <w:rFonts w:hint="eastAsia" w:ascii="宋体" w:hAnsi="宋体" w:eastAsia="宋体" w:cs="Times New Roman"/>
          <w:szCs w:val="21"/>
          <w:u w:val="single"/>
        </w:rPr>
        <w:t xml:space="preserve">   </w:t>
      </w:r>
      <w:r>
        <w:rPr>
          <w:rFonts w:hint="eastAsia" w:ascii="宋体" w:hAnsi="宋体" w:eastAsia="宋体" w:cs="Times New Roman"/>
          <w:szCs w:val="21"/>
        </w:rPr>
        <w:t>份，均具有同等法律效力。</w:t>
      </w:r>
    </w:p>
    <w:p w14:paraId="3E8284E3">
      <w:pPr>
        <w:adjustRightInd w:val="0"/>
        <w:snapToGrid w:val="0"/>
        <w:spacing w:before="156" w:beforeLines="50" w:line="360" w:lineRule="auto"/>
        <w:rPr>
          <w:rFonts w:ascii="宋体" w:hAnsi="宋体" w:eastAsia="宋体" w:cs="Times New Roman"/>
          <w:szCs w:val="21"/>
        </w:rPr>
      </w:pPr>
    </w:p>
    <w:p w14:paraId="1F809A86">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合同订立时间：</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7437EC29">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合同订立地点：</w:t>
      </w:r>
      <w:r>
        <w:rPr>
          <w:rFonts w:hint="eastAsia" w:ascii="宋体" w:hAnsi="宋体" w:eastAsia="宋体" w:cs="Times New Roman"/>
          <w:szCs w:val="21"/>
          <w:u w:val="single"/>
        </w:rPr>
        <w:t xml:space="preserve">                           </w:t>
      </w:r>
    </w:p>
    <w:p w14:paraId="66B64693">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 xml:space="preserve">附件：具体标的明细、分包合同等。    </w:t>
      </w:r>
    </w:p>
    <w:p w14:paraId="1840AFEC">
      <w:pPr>
        <w:ind w:firstLine="420" w:firstLineChars="200"/>
        <w:rPr>
          <w:rFonts w:ascii="宋体" w:hAnsi="宋体" w:eastAsia="宋体" w:cs="Times New Roman"/>
          <w:szCs w:val="21"/>
        </w:rPr>
      </w:pPr>
    </w:p>
    <w:p w14:paraId="5E1C2E1D">
      <w:pPr>
        <w:ind w:firstLine="420" w:firstLineChars="200"/>
        <w:rPr>
          <w:rFonts w:ascii="宋体" w:hAnsi="宋体" w:eastAsia="宋体" w:cs="Times New Roman"/>
          <w:szCs w:val="21"/>
        </w:rPr>
      </w:pPr>
    </w:p>
    <w:p w14:paraId="536F2FF1">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甲      方：（公章）                     乙      方：（公章）</w:t>
      </w:r>
    </w:p>
    <w:p w14:paraId="1AC9470D">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法定代表人：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法定代表人：</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03FC4225">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委托代理人：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委托代理人：</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0A5F7867">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电      话：</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电      话：</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7166841C">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传      真：</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传      真：</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1474CB4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 xml:space="preserve">                                    开 户 银 行：</w:t>
      </w:r>
      <w:r>
        <w:rPr>
          <w:rFonts w:hint="eastAsia" w:ascii="宋体" w:hAnsi="宋体" w:eastAsia="宋体" w:cs="Times New Roman"/>
          <w:szCs w:val="21"/>
          <w:u w:val="single"/>
        </w:rPr>
        <w:t xml:space="preserve">                   </w:t>
      </w:r>
    </w:p>
    <w:p w14:paraId="1CF36C0F">
      <w:pPr>
        <w:adjustRightInd w:val="0"/>
        <w:snapToGrid w:val="0"/>
        <w:spacing w:before="156" w:beforeLines="50" w:line="360" w:lineRule="auto"/>
        <w:jc w:val="center"/>
        <w:rPr>
          <w:rFonts w:ascii="宋体" w:hAnsi="宋体" w:eastAsia="宋体" w:cs="Times New Roman"/>
          <w:b/>
          <w:szCs w:val="21"/>
        </w:rPr>
      </w:pPr>
      <w:r>
        <w:rPr>
          <w:rFonts w:hint="eastAsia" w:ascii="宋体" w:hAnsi="宋体" w:eastAsia="宋体" w:cs="Times New Roman"/>
          <w:szCs w:val="21"/>
        </w:rPr>
        <w:t xml:space="preserve">      账      号：</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6FAF699F">
      <w:pPr>
        <w:adjustRightInd w:val="0"/>
        <w:snapToGrid w:val="0"/>
        <w:spacing w:before="156" w:beforeLines="50" w:line="360" w:lineRule="auto"/>
        <w:rPr>
          <w:rFonts w:ascii="宋体" w:hAnsi="宋体"/>
          <w:b/>
          <w:szCs w:val="21"/>
        </w:rPr>
        <w:sectPr>
          <w:pgSz w:w="11906" w:h="16838"/>
          <w:pgMar w:top="1418" w:right="1418" w:bottom="1134" w:left="1418" w:header="851" w:footer="992" w:gutter="0"/>
          <w:cols w:space="720" w:num="1"/>
          <w:docGrid w:type="linesAndChars" w:linePitch="312" w:charSpace="0"/>
        </w:sectPr>
      </w:pPr>
    </w:p>
    <w:p w14:paraId="58AC654A">
      <w:pPr>
        <w:keepNext/>
        <w:keepLines/>
        <w:numPr>
          <w:ilvl w:val="0"/>
          <w:numId w:val="6"/>
        </w:numPr>
        <w:adjustRightInd w:val="0"/>
        <w:snapToGrid w:val="0"/>
        <w:spacing w:before="156" w:beforeLines="50" w:line="360" w:lineRule="auto"/>
        <w:jc w:val="center"/>
        <w:outlineLvl w:val="1"/>
        <w:rPr>
          <w:rFonts w:hint="eastAsia" w:ascii="黑体" w:hAnsi="黑体" w:eastAsia="黑体"/>
          <w:b/>
          <w:bCs/>
          <w:color w:val="000000" w:themeColor="text1"/>
          <w:sz w:val="28"/>
          <w:szCs w:val="28"/>
          <w14:textFill>
            <w14:solidFill>
              <w14:schemeClr w14:val="tx1"/>
            </w14:solidFill>
          </w14:textFill>
        </w:rPr>
      </w:pPr>
      <w:bookmarkStart w:id="158" w:name="_Toc22632"/>
      <w:bookmarkStart w:id="159" w:name="_Toc22201111"/>
      <w:bookmarkStart w:id="160" w:name="_Toc32542"/>
      <w:r>
        <w:rPr>
          <w:rFonts w:hint="eastAsia" w:ascii="黑体" w:hAnsi="黑体" w:eastAsia="黑体"/>
          <w:b/>
          <w:bCs/>
          <w:color w:val="000000" w:themeColor="text1"/>
          <w:sz w:val="28"/>
          <w:szCs w:val="28"/>
          <w14:textFill>
            <w14:solidFill>
              <w14:schemeClr w14:val="tx1"/>
            </w14:solidFill>
          </w14:textFill>
        </w:rPr>
        <w:t>政府采购合同</w:t>
      </w:r>
      <w:bookmarkEnd w:id="158"/>
      <w:bookmarkEnd w:id="159"/>
      <w:bookmarkEnd w:id="160"/>
    </w:p>
    <w:p w14:paraId="01990F78">
      <w:pPr>
        <w:adjustRightInd w:val="0"/>
        <w:snapToGrid w:val="0"/>
        <w:spacing w:line="360" w:lineRule="auto"/>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通用合同条款</w:t>
      </w:r>
    </w:p>
    <w:p w14:paraId="23EDED2A">
      <w:pPr>
        <w:tabs>
          <w:tab w:val="left" w:pos="8820"/>
          <w:tab w:val="left" w:pos="9345"/>
          <w:tab w:val="left" w:pos="9765"/>
        </w:tabs>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w:t>
      </w:r>
      <w:r>
        <w:rPr>
          <w:rFonts w:hint="eastAsia" w:ascii="宋体" w:hAnsi="宋体"/>
          <w:b/>
          <w:bCs/>
          <w:color w:val="000000" w:themeColor="text1"/>
          <w:sz w:val="24"/>
          <w14:textFill>
            <w14:solidFill>
              <w14:schemeClr w14:val="tx1"/>
            </w14:solidFill>
          </w14:textFill>
        </w:rPr>
        <w:t>定义</w:t>
      </w:r>
    </w:p>
    <w:p w14:paraId="50FC1AC7">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63768A5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（1）采购人（以下称甲方）是指使用财政性资金，通过政府采购程序向供应商购买货物、服务的国家机关、事业单位、团体组织。本次采购的甲方名称、地址见</w:t>
      </w:r>
      <w:r>
        <w:rPr>
          <w:rFonts w:hint="eastAsia" w:ascii="宋体" w:hAnsi="宋体"/>
          <w:b/>
          <w:color w:val="000000" w:themeColor="text1"/>
          <w:szCs w:val="21"/>
          <w14:textFill>
            <w14:solidFill>
              <w14:schemeClr w14:val="tx1"/>
            </w14:solidFill>
          </w14:textFill>
        </w:rPr>
        <w:t>【政府采购合同专用条款】。</w:t>
      </w:r>
    </w:p>
    <w:p w14:paraId="08162829">
      <w:pPr>
        <w:autoSpaceDE w:val="0"/>
        <w:autoSpaceDN w:val="0"/>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（2）供应商（以下称乙方）是指参加政府采购活动而取得中标结果，并向采购人提供货物、服务的法人、其他组织或者自然人。</w:t>
      </w:r>
    </w:p>
    <w:p w14:paraId="08E9D953">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1.2本合同下列术语应解释为：</w:t>
      </w:r>
    </w:p>
    <w:p w14:paraId="14862142">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（1）“合同”系指甲乙双方签署的、政府采购合同协议书中载明的甲乙双方所达成的协议，包括所有的附件、附录和上述文件所提到的构成合同的所有文件。</w:t>
      </w:r>
    </w:p>
    <w:p w14:paraId="5D1CA004">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（2）“合同价”系指根据本合同规定乙方在正确地完全履行合同义务后甲方应支付给乙方的价款。</w:t>
      </w:r>
    </w:p>
    <w:p w14:paraId="0B852E00">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14:paraId="1BBAAA1B">
      <w:pPr>
        <w:tabs>
          <w:tab w:val="left" w:pos="570"/>
          <w:tab w:val="left" w:pos="888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服务”系指根据合同规定，乙方应提供的技术、管理和其它服务，包括但不限于：管理和质量保证、运输、保险、检验、现场准备、安装、集成、调试、培训、维修、技术支持等以及合同中规定乙方应承担的其它义务。</w:t>
      </w:r>
    </w:p>
    <w:p w14:paraId="2D827CC4">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（5）“合同条款”系指本合同条款。</w:t>
      </w:r>
    </w:p>
    <w:p w14:paraId="3830836C">
      <w:pPr>
        <w:tabs>
          <w:tab w:val="left" w:pos="570"/>
          <w:tab w:val="left" w:pos="9240"/>
          <w:tab w:val="left" w:pos="9555"/>
        </w:tabs>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（6）“项目现场”系指本合同项下货物安装、运行的现场，其名称见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307DBA63">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2.合同的适用范围</w:t>
      </w:r>
    </w:p>
    <w:p w14:paraId="6139E1A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本合同条款适用于没有被本合同其他部分的条款所取代的范围。</w:t>
      </w:r>
    </w:p>
    <w:p w14:paraId="597126D7">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合同内容根据招标文件、投标文件而确定。</w:t>
      </w:r>
    </w:p>
    <w:p w14:paraId="62ED1FB1">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3.</w:t>
      </w:r>
      <w:r>
        <w:rPr>
          <w:rFonts w:hint="eastAsia" w:ascii="宋体" w:hAnsi="宋体"/>
          <w:b/>
          <w:color w:val="000000" w:themeColor="text1"/>
          <w:sz w:val="24"/>
          <w14:textFill>
            <w14:solidFill>
              <w14:schemeClr w14:val="tx1"/>
            </w14:solidFill>
          </w14:textFill>
        </w:rPr>
        <w:t>合同标的及金额</w:t>
      </w:r>
    </w:p>
    <w:p w14:paraId="1E74D90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合同标的及金额应与中标结果一致。</w:t>
      </w:r>
    </w:p>
    <w:p w14:paraId="095294F7">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4.</w:t>
      </w:r>
      <w:r>
        <w:rPr>
          <w:rFonts w:hint="eastAsia" w:ascii="宋体" w:hAnsi="宋体"/>
          <w:b/>
          <w:color w:val="000000" w:themeColor="text1"/>
          <w:sz w:val="24"/>
          <w14:textFill>
            <w14:solidFill>
              <w14:schemeClr w14:val="tx1"/>
            </w14:solidFill>
          </w14:textFill>
        </w:rPr>
        <w:t>合同价款</w:t>
      </w:r>
    </w:p>
    <w:p w14:paraId="5ED60A43">
      <w:pPr>
        <w:adjustRightInd w:val="0"/>
        <w:snapToGrid w:val="0"/>
        <w:spacing w:before="50" w:line="360" w:lineRule="auto"/>
        <w:ind w:firstLine="420" w:firstLineChars="200"/>
        <w:jc w:val="lef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4.1具体合同价款见本合同第3.1条。乙方为履行本合同而发生的所有费用均应包含在合同价款中，甲方不再另行支付其它任何费用。</w:t>
      </w:r>
    </w:p>
    <w:p w14:paraId="794D2A96">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5.履行合同的时间、地点和方式</w:t>
      </w:r>
    </w:p>
    <w:p w14:paraId="148B81A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5.1 乙方应当在甲方确定的时间、指定的地点履行合同，具体的交货时间、地点和方式见</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w:t>
      </w:r>
    </w:p>
    <w:p w14:paraId="46FC3D07">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5.2 乙方提供服务的应当在甲方指定的地点完成服务项目。</w:t>
      </w:r>
    </w:p>
    <w:p w14:paraId="4D254B7F">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6.</w:t>
      </w:r>
      <w:r>
        <w:rPr>
          <w:rFonts w:hint="eastAsia" w:ascii="宋体" w:hAnsi="宋体"/>
          <w:b/>
          <w:color w:val="000000" w:themeColor="text1"/>
          <w:sz w:val="24"/>
          <w14:textFill>
            <w14:solidFill>
              <w14:schemeClr w14:val="tx1"/>
            </w14:solidFill>
          </w14:textFill>
        </w:rPr>
        <w:t>货物的验收</w:t>
      </w:r>
    </w:p>
    <w:p w14:paraId="66A25B7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甲方在收到乙方交付的货物后应当及时组织验收。</w:t>
      </w:r>
    </w:p>
    <w:p w14:paraId="442F919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6.2 货物的表面瑕疵，甲方应在验收时当面提出；对质量问题有异议的应在安装调试后十个工作日内提出。</w:t>
      </w:r>
    </w:p>
    <w:p w14:paraId="6C2B8FF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6.3 在验收过程中发现数量不足或有质量、技术等问题，乙方应负责按照甲方的要求采取补足、更换或退货等处理措施，并承担由此发生的一切费用和损失。</w:t>
      </w:r>
    </w:p>
    <w:p w14:paraId="7D21CA7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6.4 甲方在乙方按合同规定交货或安装、调试后，无正当理由而拖延接收、验收或拒绝接收、验收的，应承担因此给乙方造成的直接损失。</w:t>
      </w:r>
    </w:p>
    <w:p w14:paraId="37C2CBE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6.5 甲方对货物进行检查验收合格后，应当收取发票并在《交货验收单》上签署验收意见及加盖单位印章。</w:t>
      </w:r>
    </w:p>
    <w:p w14:paraId="0FBACC9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6.6 大型或者复杂的货物采购项目，甲方可以邀请国家认可的质量检测机构参加验收工作，并由其出具验收报告单。</w:t>
      </w:r>
    </w:p>
    <w:p w14:paraId="2D8C480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6.7 乙方提供的进口产品，乙方应出示中华人民共和国进出口商品检验部门出具的检验证书（招标文件第五章采购需求另有约定的除外）。</w:t>
      </w:r>
    </w:p>
    <w:p w14:paraId="6076BBB0">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7.货物包装要求</w:t>
      </w:r>
    </w:p>
    <w:p w14:paraId="47B3CF1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7E2E200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每一个包装箱内应附一份详细装箱单、质量证书和保修保养证书。</w:t>
      </w:r>
    </w:p>
    <w:p w14:paraId="7239E169">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8.运输和保险</w:t>
      </w:r>
    </w:p>
    <w:p w14:paraId="257FCEBF">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8.1乙方负责办理将货物运抵本合同第5.1条规定的交货地点的一切运输事项，相关费用应包括在合同总价中。</w:t>
      </w:r>
    </w:p>
    <w:p w14:paraId="0A980E2A">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8.2乙方应向保险公司投保以甲方为受益人的发运合同货物发票金额的110％运输一切险。</w:t>
      </w:r>
    </w:p>
    <w:p w14:paraId="2AB12BCB">
      <w:pPr>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9.质量标准和保证</w:t>
      </w:r>
    </w:p>
    <w:p w14:paraId="2ECD8014">
      <w:pPr>
        <w:pStyle w:val="12"/>
        <w:adjustRightInd w:val="0"/>
        <w:snapToGrid w:val="0"/>
        <w:spacing w:before="50" w:line="360" w:lineRule="auto"/>
        <w:ind w:firstLine="420" w:firstLineChars="200"/>
        <w:jc w:val="left"/>
        <w:rPr>
          <w:rFonts w:hAnsi="宋体"/>
          <w:b/>
          <w:color w:val="000000" w:themeColor="text1"/>
          <w14:textFill>
            <w14:solidFill>
              <w14:schemeClr w14:val="tx1"/>
            </w14:solidFill>
          </w14:textFill>
        </w:rPr>
      </w:pPr>
      <w:r>
        <w:rPr>
          <w:rFonts w:hint="eastAsia" w:hAnsi="宋体"/>
          <w:color w:val="000000" w:themeColor="text1"/>
          <w14:textFill>
            <w14:solidFill>
              <w14:schemeClr w14:val="tx1"/>
            </w14:solidFill>
          </w14:textFill>
        </w:rPr>
        <w:t>9.1 质量标准</w:t>
      </w:r>
    </w:p>
    <w:p w14:paraId="42D489A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14:paraId="13912441">
      <w:pPr>
        <w:pStyle w:val="12"/>
        <w:adjustRightInd w:val="0"/>
        <w:snapToGrid w:val="0"/>
        <w:spacing w:before="50" w:line="360" w:lineRule="auto"/>
        <w:ind w:firstLine="420" w:firstLineChars="200"/>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（2）采用中华人民共和国法定计量单位。</w:t>
      </w:r>
    </w:p>
    <w:p w14:paraId="05E979C5">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（3）乙方所出售的货物还应符合国家有关安全、环保、卫生之规定。</w:t>
      </w:r>
    </w:p>
    <w:p w14:paraId="2EBB447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9.2 保证</w:t>
      </w:r>
    </w:p>
    <w:p w14:paraId="7900762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规定或乙方承诺（两者以较长的为准）的质量保证期内，本保证保持有效。</w:t>
      </w:r>
    </w:p>
    <w:p w14:paraId="09B3CA6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（2）在质量保证期内所发现的缺陷，甲方应尽快以书面形式通知乙方。</w:t>
      </w:r>
    </w:p>
    <w:p w14:paraId="6AAC9BC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（3）乙方收到通知后应在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规定的响应时间内以合理的速度免费维修或更换有缺陷的货物或部件。</w:t>
      </w:r>
    </w:p>
    <w:p w14:paraId="527C592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14:paraId="69C70356">
      <w:pPr>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14:paraId="46997C39">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10.权利瑕疵担保</w:t>
      </w:r>
    </w:p>
    <w:p w14:paraId="2F229AB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 乙方保证对其出售的货物享有合法的权利。</w:t>
      </w:r>
    </w:p>
    <w:p w14:paraId="051277B5">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10.2 乙方保证在其出售的货物上不存在任何未曾向甲方透露的担保物权，如抵押权、质押权、留置权等。</w:t>
      </w:r>
    </w:p>
    <w:p w14:paraId="26F555E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10.3 如甲方使用该货物构成上述侵权的，则由乙方承担全部责任。</w:t>
      </w:r>
    </w:p>
    <w:p w14:paraId="19123431">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11.知识产权保护</w:t>
      </w:r>
    </w:p>
    <w:p w14:paraId="53049C1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11.1 乙方对其所销售的货物应当享有知识产权或经权利人合法授权，保证没有侵犯任何第三人的知识产权和商业秘密等权利。</w:t>
      </w:r>
    </w:p>
    <w:p w14:paraId="1A60D1F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11.2 甲方使用乙方提供的货物对第三人构成侵权的，应当由乙方承担全部法律责任，给甲方造成损害的，乙方应当承担赔偿责任。</w:t>
      </w:r>
    </w:p>
    <w:p w14:paraId="6F954C5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 甲方委托乙方开发的产品，甲方享有知识产权，未经甲方许可不得转让任何第三人。</w:t>
      </w:r>
    </w:p>
    <w:p w14:paraId="59C6F094">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12.保密义务</w:t>
      </w:r>
    </w:p>
    <w:p w14:paraId="1F82389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12.1 甲、乙双方在采购和履行合同过程中所获悉的对方属于保密的内容，双方均有保密义务。</w:t>
      </w:r>
    </w:p>
    <w:p w14:paraId="1F1653D7">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13.合同价款支付</w:t>
      </w:r>
    </w:p>
    <w:p w14:paraId="752330E9">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13.1验收合格后，乙方出具正规发票给甲方，凭甲方开具的《政府采购合同验收报告单》办理合同价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结算手续。</w:t>
      </w:r>
    </w:p>
    <w:p w14:paraId="087913B6">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13.2 合同价款构成中应当由财政支付的部分，甲方应当在货物验收合格后的十五个工作日内向国库管理部门申请支付，经国库管理部门审核后直接支付给乙方。</w:t>
      </w:r>
    </w:p>
    <w:p w14:paraId="636FC3F5">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13.3 合同价款构成中应当由甲方自行支付的部分，甲方应当在货物验收合格后十五个工作内支付。</w:t>
      </w:r>
    </w:p>
    <w:p w14:paraId="1D0A33AA">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13.4支付合同价</w:t>
      </w:r>
      <w:r>
        <w:rPr>
          <w:rFonts w:hint="eastAsia" w:ascii="宋体" w:hAnsi="宋体"/>
          <w:bCs/>
          <w:color w:val="000000" w:themeColor="text1"/>
          <w:szCs w:val="21"/>
          <w14:textFill>
            <w14:solidFill>
              <w14:schemeClr w14:val="tx1"/>
            </w14:solidFill>
          </w14:textFill>
        </w:rPr>
        <w:t>款</w:t>
      </w:r>
      <w:r>
        <w:rPr>
          <w:rFonts w:hint="eastAsia" w:ascii="宋体" w:hAnsi="宋体"/>
          <w:color w:val="000000" w:themeColor="text1"/>
          <w:szCs w:val="21"/>
          <w14:textFill>
            <w14:solidFill>
              <w14:schemeClr w14:val="tx1"/>
            </w14:solidFill>
          </w14:textFill>
        </w:rPr>
        <w:t>时，一律不向乙方以外的任何第三方办理付款手续。开户行和账号以签订的政府采购合同为准，如果乙方要求变更，则乙方必须提供加盖了财务专用章、法定代表人签字的证明文件，报经甲方审查同意。</w:t>
      </w:r>
    </w:p>
    <w:p w14:paraId="4C1C4BF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13.5 合同价款支付方式</w:t>
      </w:r>
      <w:r>
        <w:rPr>
          <w:rFonts w:hint="eastAsia" w:ascii="宋体" w:hAnsi="宋体"/>
          <w:bCs/>
          <w:color w:val="000000" w:themeColor="text1"/>
          <w:szCs w:val="21"/>
          <w14:textFill>
            <w14:solidFill>
              <w14:schemeClr w14:val="tx1"/>
            </w14:solidFill>
          </w14:textFill>
        </w:rPr>
        <w:t>和条件在</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中另有规定。</w:t>
      </w:r>
    </w:p>
    <w:p w14:paraId="7F89EC4B">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14.</w:t>
      </w:r>
      <w:r>
        <w:rPr>
          <w:rFonts w:hint="eastAsia"/>
          <w:b/>
          <w:color w:val="000000" w:themeColor="text1"/>
          <w:sz w:val="24"/>
          <w14:textFill>
            <w14:solidFill>
              <w14:schemeClr w14:val="tx1"/>
            </w14:solidFill>
          </w14:textFill>
        </w:rPr>
        <w:t>乙方应提供的</w:t>
      </w:r>
      <w:r>
        <w:rPr>
          <w:rFonts w:hint="eastAsia" w:ascii="宋体" w:hAnsi="宋体"/>
          <w:b/>
          <w:color w:val="000000" w:themeColor="text1"/>
          <w:sz w:val="24"/>
          <w14:textFill>
            <w14:solidFill>
              <w14:schemeClr w14:val="tx1"/>
            </w14:solidFill>
          </w14:textFill>
        </w:rPr>
        <w:t>服务</w:t>
      </w:r>
    </w:p>
    <w:p w14:paraId="690ADFEF">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14.1 乙方应向甲方提交所提供货物的技术文件，包括相应的中文技术文件，如：产品目录、图纸、操作手册、使用说明、维护手册或服务指南。这些文件应包装好随同货物一起发运。</w:t>
      </w:r>
    </w:p>
    <w:p w14:paraId="2CEE800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14.2 乙方还应提供下列服务：</w:t>
      </w:r>
    </w:p>
    <w:p w14:paraId="13E9293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（1）货物的现场移动、安装、调试、启动监督及技术支持；</w:t>
      </w:r>
    </w:p>
    <w:p w14:paraId="6E3C6BA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（2）提供货物组装和维修所需的专用工具和辅助材料；</w:t>
      </w:r>
    </w:p>
    <w:p w14:paraId="35F1874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（3）在合同各方商定的一定期限内对所有的货物实施运行监督、维修，但前提条件是该服务并不能免除乙方在质量保证期内所承担的义务；</w:t>
      </w:r>
    </w:p>
    <w:p w14:paraId="0F0D90F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（4）在制造商或项目现场就货物的安装、启动、运营、维护对甲方操作人员进行培训；</w:t>
      </w:r>
    </w:p>
    <w:p w14:paraId="6EE93A0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规定由乙方提供的其他服务。</w:t>
      </w:r>
    </w:p>
    <w:p w14:paraId="2F0F6D4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14.3 乙方提供的服务的费用应包含在合同价款中，甲方不再另行支付。</w:t>
      </w:r>
    </w:p>
    <w:p w14:paraId="3A0AEBC2">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15.违约责任</w:t>
      </w:r>
    </w:p>
    <w:p w14:paraId="649BDFBD">
      <w:pPr>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15.1质量瑕疵的补救措施和索赔</w:t>
      </w:r>
    </w:p>
    <w:p w14:paraId="60ACA15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18D90F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①乙方同意退货并将货款退还给甲方，由此发生的一切费用和损失由乙方承担。</w:t>
      </w:r>
    </w:p>
    <w:p w14:paraId="1F47378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②根据货物的质量状况以及甲方所遭受的损失，经过甲乙双方商定降低货物的价格。</w:t>
      </w:r>
    </w:p>
    <w:p w14:paraId="120591A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647D02B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7C3E8A19">
      <w:pPr>
        <w:autoSpaceDE w:val="0"/>
        <w:autoSpaceDN w:val="0"/>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15.2 迟延交货的违约责任</w:t>
      </w:r>
    </w:p>
    <w:p w14:paraId="0F074B88">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683CF99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（2）除本合同</w:t>
      </w:r>
      <w:r>
        <w:rPr>
          <w:rFonts w:hint="eastAsia" w:ascii="宋体" w:hAnsi="宋体"/>
          <w:bCs/>
          <w:color w:val="000000" w:themeColor="text1"/>
          <w:szCs w:val="21"/>
          <w14:textFill>
            <w14:solidFill>
              <w14:schemeClr w14:val="tx1"/>
            </w14:solidFill>
          </w14:textFill>
        </w:rPr>
        <w:t>第20条</w:t>
      </w:r>
      <w:r>
        <w:rPr>
          <w:rFonts w:hint="eastAsia" w:ascii="宋体" w:hAnsi="宋体"/>
          <w:color w:val="000000" w:themeColor="text1"/>
          <w:szCs w:val="21"/>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1C36E43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1A42EB33">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16.合同的变更</w:t>
      </w:r>
    </w:p>
    <w:p w14:paraId="5297DFD1">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16.1 在合同履行过程中，甲、乙双方可就合同履行的时间、地点和方式等协商进行变更。协商一致后，双方应签订书面的补充协议。</w:t>
      </w:r>
    </w:p>
    <w:p w14:paraId="7C41725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16.2 在不改变合同其他条款的前提下，甲方有权在合同价款百分之十的范围内追加与合同标的相同的货物或服务，并就此与乙方签订补充合同，乙方不得拒绝。</w:t>
      </w:r>
    </w:p>
    <w:p w14:paraId="42A0FB6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16.3 除双方签署书面协议，并成为合同不可分割的一部分外，本合同条件不得有任何变更。</w:t>
      </w:r>
    </w:p>
    <w:p w14:paraId="3F5EC273">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17.合同中止与终止</w:t>
      </w:r>
    </w:p>
    <w:p w14:paraId="12C4E7A0">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17.1合同的中止</w:t>
      </w:r>
    </w:p>
    <w:p w14:paraId="14260409">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（1）合同在履行过程中，因采购计划调整，甲方可以要求中止履行，待计划确定后继续履行；</w:t>
      </w:r>
    </w:p>
    <w:p w14:paraId="3B7DC61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（2）合同履行过程中因供应商就采购过程或结果提起投诉的，甲方认为有必要或财政部门责令中止的，应当中止合同的履行。</w:t>
      </w:r>
    </w:p>
    <w:p w14:paraId="29E1E1A4">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17.2合同的终止</w:t>
      </w:r>
    </w:p>
    <w:p w14:paraId="5AE6593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（1）合同因有效期限届满而终止；</w:t>
      </w:r>
    </w:p>
    <w:p w14:paraId="273EDA6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（2）乙方未能依照本合同约定条件履行合同，已构成根本性违约的，甲方有权终止本合同，并追究乙方的违约责任。</w:t>
      </w:r>
    </w:p>
    <w:p w14:paraId="6582BB4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（3）如果乙方丧失履约能力或被宣告破产，甲方可在任何时候以书面形式通知乙方终止合同而不给乙方补偿。</w:t>
      </w:r>
    </w:p>
    <w:p w14:paraId="0F995E9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（4）如果乙方在履行合同过程中有不正当竞争行为，甲方有权解除合同，并按《中华人民共和国反不正当竞争法》规定由有关部门追究其法律责任。</w:t>
      </w:r>
    </w:p>
    <w:p w14:paraId="120FA61C">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（5）如果合同的履行将损害国家利益或社会公共利益，甲方有权终止合同的履行，给乙方造成损失的予以相应补偿。</w:t>
      </w:r>
    </w:p>
    <w:p w14:paraId="5088F81C">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18.合同转让和分包</w:t>
      </w:r>
    </w:p>
    <w:p w14:paraId="7BAF3CF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18.1 乙方不得以任何形式将合同转包。</w:t>
      </w:r>
    </w:p>
    <w:p w14:paraId="0BB5256D">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18.2 乙方未在投标文件中说明，不得将</w:t>
      </w:r>
      <w:r>
        <w:rPr>
          <w:rFonts w:hint="eastAsia" w:ascii="宋体" w:hAnsi="宋体"/>
          <w:bCs/>
          <w:color w:val="000000" w:themeColor="text1"/>
          <w:szCs w:val="21"/>
          <w14:textFill>
            <w14:solidFill>
              <w14:schemeClr w14:val="tx1"/>
            </w14:solidFill>
          </w14:textFill>
        </w:rPr>
        <w:t>合同</w:t>
      </w:r>
      <w:r>
        <w:rPr>
          <w:rFonts w:hint="eastAsia" w:ascii="宋体" w:hAnsi="宋体"/>
          <w:color w:val="000000" w:themeColor="text1"/>
          <w:szCs w:val="21"/>
          <w14:textFill>
            <w14:solidFill>
              <w14:schemeClr w14:val="tx1"/>
            </w14:solidFill>
          </w14:textFill>
        </w:rPr>
        <w:t>的非主体、非关键性工作分包给他人。</w:t>
      </w:r>
    </w:p>
    <w:p w14:paraId="2E2710EE">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19.不可抗力</w:t>
      </w:r>
    </w:p>
    <w:p w14:paraId="7A0F062E">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19.1 不可抗力是指合同双方不可预见、不可避免、不可克服的自然灾害和社会事件。</w:t>
      </w:r>
    </w:p>
    <w:p w14:paraId="7B3079AB">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19.2 任何一方对由于不可抗力造成的部分或全部不能履行合同不承担违约责任。但迟延履行后发生不可抗力的，不能免除责任。</w:t>
      </w:r>
    </w:p>
    <w:p w14:paraId="03A15320">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19.3 遇有不可抗力的一方，应在三日内将事件的情况以书面形式通知另一方，并在事件发生后十日内，向另一方提交合同不能履行或部分不能履行或需要延期履行理由的报告。</w:t>
      </w:r>
    </w:p>
    <w:p w14:paraId="062EFDD0">
      <w:pPr>
        <w:autoSpaceDE w:val="0"/>
        <w:autoSpaceDN w:val="0"/>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20.解决争议的方法</w:t>
      </w:r>
    </w:p>
    <w:p w14:paraId="2AABE84A">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20.1 合同各方应通过友好协商，解决在执行合同过程中所发生的或与合同有关的一切争端。如从协商开始后十日内仍不能解决，可以向财政部门提请调解。</w:t>
      </w:r>
    </w:p>
    <w:p w14:paraId="5AC7CFC2">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20.2 调解不成可以按</w:t>
      </w:r>
      <w:r>
        <w:rPr>
          <w:rFonts w:hint="eastAsia" w:ascii="宋体" w:hAnsi="宋体"/>
          <w:b/>
          <w:color w:val="000000" w:themeColor="text1"/>
          <w:szCs w:val="21"/>
          <w14:textFill>
            <w14:solidFill>
              <w14:schemeClr w14:val="tx1"/>
            </w14:solidFill>
          </w14:textFill>
        </w:rPr>
        <w:t>【政府采购合同专用条款】</w:t>
      </w:r>
      <w:r>
        <w:rPr>
          <w:rFonts w:hint="eastAsia" w:ascii="宋体" w:hAnsi="宋体"/>
          <w:color w:val="000000" w:themeColor="text1"/>
          <w:szCs w:val="21"/>
          <w14:textFill>
            <w14:solidFill>
              <w14:schemeClr w14:val="tx1"/>
            </w14:solidFill>
          </w14:textFill>
        </w:rPr>
        <w:t>中约定中规定下列方式之一提起仲裁或诉讼：</w:t>
      </w:r>
    </w:p>
    <w:p w14:paraId="1B5F89D4">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（1）向甲方所在地仲裁机构提起仲裁；</w:t>
      </w:r>
    </w:p>
    <w:p w14:paraId="29586FB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（2）向甲方所在地人民法院提起诉讼。</w:t>
      </w:r>
    </w:p>
    <w:p w14:paraId="0AA30FD3">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20.3 如仲裁或诉讼事项不影响合同其它部分的履行，则在仲裁或诉讼期间，除正在进行仲裁或诉讼的部分外，合同的其它部分应继续执行。</w:t>
      </w:r>
    </w:p>
    <w:p w14:paraId="0DE11B42">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21.法律适用</w:t>
      </w:r>
    </w:p>
    <w:p w14:paraId="345DA125">
      <w:pPr>
        <w:autoSpaceDE w:val="0"/>
        <w:autoSpaceDN w:val="0"/>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21.1 本合同适用中华人民共和国现行法律、行政法规和规章，如合同条款与法律、行政法规和规章不一致的，按照法律、行政法规和规章修改本合同。</w:t>
      </w:r>
    </w:p>
    <w:p w14:paraId="4CE4AED8">
      <w:pPr>
        <w:autoSpaceDE w:val="0"/>
        <w:autoSpaceDN w:val="0"/>
        <w:adjustRightInd w:val="0"/>
        <w:snapToGrid w:val="0"/>
        <w:spacing w:before="50" w:line="360" w:lineRule="auto"/>
        <w:jc w:val="lef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22.</w:t>
      </w:r>
      <w:r>
        <w:rPr>
          <w:rFonts w:hint="eastAsia" w:ascii="宋体" w:hAnsi="宋体"/>
          <w:b/>
          <w:color w:val="000000" w:themeColor="text1"/>
          <w:sz w:val="24"/>
          <w14:textFill>
            <w14:solidFill>
              <w14:schemeClr w14:val="tx1"/>
            </w14:solidFill>
          </w14:textFill>
        </w:rPr>
        <w:t>通知</w:t>
      </w:r>
    </w:p>
    <w:p w14:paraId="6A71CADE">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22.1本合同一方给另一方的通知均应采用书面形式，传真或快递送到本合同中规定的对方的地址和办理签收手续，</w:t>
      </w:r>
    </w:p>
    <w:p w14:paraId="7C4360C0">
      <w:pPr>
        <w:adjustRightInd w:val="0"/>
        <w:snapToGrid w:val="0"/>
        <w:spacing w:before="5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22.2通知以送到之日或通知书中规定的生效之日起生效，两者中以较迟之日为准。</w:t>
      </w:r>
    </w:p>
    <w:p w14:paraId="073D1978">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23. 合同未尽事项</w:t>
      </w:r>
    </w:p>
    <w:p w14:paraId="3586285B">
      <w:pPr>
        <w:adjustRightInd w:val="0"/>
        <w:snapToGrid w:val="0"/>
        <w:spacing w:before="50" w:line="360" w:lineRule="auto"/>
        <w:ind w:firstLine="420" w:firstLineChars="200"/>
        <w:jc w:val="lef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23.1合同未尽事项见</w:t>
      </w:r>
      <w:r>
        <w:rPr>
          <w:rFonts w:hint="eastAsia" w:ascii="宋体" w:hAnsi="宋体"/>
          <w:b/>
          <w:color w:val="000000" w:themeColor="text1"/>
          <w:szCs w:val="21"/>
          <w14:textFill>
            <w14:solidFill>
              <w14:schemeClr w14:val="tx1"/>
            </w14:solidFill>
          </w14:textFill>
        </w:rPr>
        <w:t>【政府采购合同专用条款】。</w:t>
      </w:r>
    </w:p>
    <w:p w14:paraId="6C30AE46">
      <w:pPr>
        <w:adjustRightInd w:val="0"/>
        <w:snapToGrid w:val="0"/>
        <w:spacing w:before="50" w:line="360" w:lineRule="auto"/>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24.合同生效</w:t>
      </w:r>
    </w:p>
    <w:p w14:paraId="02C3C1F7">
      <w:pPr>
        <w:autoSpaceDE w:val="0"/>
        <w:autoSpaceDN w:val="0"/>
        <w:adjustRightInd w:val="0"/>
        <w:snapToGrid w:val="0"/>
        <w:spacing w:before="50" w:line="360" w:lineRule="auto"/>
        <w:ind w:firstLine="420" w:firstLineChars="200"/>
        <w:jc w:val="left"/>
        <w:rPr>
          <w:rFonts w:ascii="黑体" w:hAnsi="黑体" w:eastAsia="黑体"/>
          <w:b/>
          <w:bCs/>
          <w:color w:val="000000" w:themeColor="text1"/>
          <w:sz w:val="32"/>
          <w14:textFill>
            <w14:solidFill>
              <w14:schemeClr w14:val="tx1"/>
            </w14:solidFill>
          </w14:textFill>
        </w:rPr>
      </w:pPr>
      <w:r>
        <w:rPr>
          <w:rFonts w:hint="eastAsia" w:ascii="宋体" w:hAnsi="宋体"/>
          <w:color w:val="000000" w:themeColor="text1"/>
          <w:szCs w:val="21"/>
          <w14:textFill>
            <w14:solidFill>
              <w14:schemeClr w14:val="tx1"/>
            </w14:solidFill>
          </w14:textFill>
        </w:rPr>
        <w:t>24.1 本合同在合同双方签字盖章后生效。</w:t>
      </w:r>
      <w:r>
        <w:rPr>
          <w:rFonts w:ascii="黑体" w:hAnsi="黑体" w:eastAsia="黑体"/>
          <w:b/>
          <w:bCs/>
          <w:color w:val="000000" w:themeColor="text1"/>
          <w:sz w:val="32"/>
          <w14:textFill>
            <w14:solidFill>
              <w14:schemeClr w14:val="tx1"/>
            </w14:solidFill>
          </w14:textFill>
        </w:rPr>
        <w:br w:type="page"/>
      </w:r>
    </w:p>
    <w:p w14:paraId="2CF8B98E">
      <w:pPr>
        <w:pStyle w:val="2"/>
        <w:adjustRightInd w:val="0"/>
        <w:snapToGrid w:val="0"/>
        <w:jc w:val="center"/>
        <w:rPr>
          <w:rFonts w:ascii="黑体" w:hAnsi="华文中宋" w:eastAsia="黑体"/>
          <w:color w:val="000000" w:themeColor="text1"/>
          <w:sz w:val="28"/>
          <w:szCs w:val="28"/>
          <w14:textFill>
            <w14:solidFill>
              <w14:schemeClr w14:val="tx1"/>
            </w14:solidFill>
          </w14:textFill>
        </w:rPr>
      </w:pPr>
      <w:bookmarkStart w:id="161" w:name="_Toc22205"/>
      <w:bookmarkStart w:id="162" w:name="_Toc116977178"/>
      <w:bookmarkStart w:id="163" w:name="_Toc20651239"/>
      <w:r>
        <w:rPr>
          <w:rFonts w:hint="eastAsia" w:ascii="黑体" w:hAnsi="华文中宋" w:eastAsia="黑体"/>
          <w:color w:val="000000" w:themeColor="text1"/>
          <w:sz w:val="28"/>
          <w:szCs w:val="28"/>
          <w14:textFill>
            <w14:solidFill>
              <w14:schemeClr w14:val="tx1"/>
            </w14:solidFill>
          </w14:textFill>
        </w:rPr>
        <w:t>第三节 政府采购合同专用条款</w:t>
      </w:r>
      <w:bookmarkEnd w:id="161"/>
      <w:bookmarkEnd w:id="162"/>
      <w:bookmarkEnd w:id="163"/>
    </w:p>
    <w:p w14:paraId="6B760D70">
      <w:pPr>
        <w:adjustRightInd w:val="0"/>
        <w:snapToGrid w:val="0"/>
        <w:spacing w:line="360" w:lineRule="auto"/>
        <w:jc w:val="center"/>
        <w:rPr>
          <w:rFonts w:ascii="宋体" w:hAnsi="宋体"/>
          <w:color w:val="000000" w:themeColor="text1"/>
          <w:sz w:val="24"/>
          <w14:textFill>
            <w14:solidFill>
              <w14:schemeClr w14:val="tx1"/>
            </w14:solidFill>
          </w14:textFill>
        </w:rPr>
      </w:pPr>
    </w:p>
    <w:tbl>
      <w:tblPr>
        <w:tblStyle w:val="18"/>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43B057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2D6DFEB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4464F386">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第1.1款</w:t>
            </w:r>
          </w:p>
        </w:tc>
        <w:tc>
          <w:tcPr>
            <w:tcW w:w="1843" w:type="dxa"/>
            <w:noWrap w:val="0"/>
            <w:vAlign w:val="center"/>
          </w:tcPr>
          <w:p w14:paraId="6C11F850">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甲方名称、地址 </w:t>
            </w:r>
          </w:p>
        </w:tc>
        <w:tc>
          <w:tcPr>
            <w:tcW w:w="5464" w:type="dxa"/>
            <w:noWrap w:val="0"/>
            <w:vAlign w:val="center"/>
          </w:tcPr>
          <w:p w14:paraId="1FE4A565">
            <w:pPr>
              <w:pStyle w:val="7"/>
              <w:spacing w:line="240" w:lineRule="auto"/>
              <w:ind w:left="0" w:leftChars="0"/>
              <w:rPr>
                <w:rFonts w:hint="eastAsia" w:eastAsia="宋体"/>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名称：湖南医药学院总医院</w:t>
            </w:r>
          </w:p>
          <w:p w14:paraId="1A0381C6">
            <w:pPr>
              <w:pStyle w:val="7"/>
              <w:spacing w:line="240" w:lineRule="auto"/>
              <w:ind w:left="0" w:leftChars="0"/>
              <w:rPr>
                <w:rFonts w:hint="default"/>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地址：</w:t>
            </w:r>
            <w:r>
              <w:rPr>
                <w:rFonts w:hint="default"/>
                <w:color w:val="000000" w:themeColor="text1"/>
                <w:lang w:val="en-US"/>
                <w14:textFill>
                  <w14:solidFill>
                    <w14:schemeClr w14:val="tx1"/>
                  </w14:solidFill>
                </w14:textFill>
              </w:rPr>
              <w:t>湖南省怀化市锦溪南路144号</w:t>
            </w:r>
          </w:p>
        </w:tc>
      </w:tr>
      <w:tr w14:paraId="453597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731AEDA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0DF1760E">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第1.2（6）项</w:t>
            </w:r>
          </w:p>
        </w:tc>
        <w:tc>
          <w:tcPr>
            <w:tcW w:w="1843" w:type="dxa"/>
            <w:noWrap w:val="0"/>
            <w:vAlign w:val="center"/>
          </w:tcPr>
          <w:p w14:paraId="7F6FA539">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项目现场</w:t>
            </w:r>
          </w:p>
        </w:tc>
        <w:tc>
          <w:tcPr>
            <w:tcW w:w="5464" w:type="dxa"/>
            <w:noWrap w:val="0"/>
            <w:vAlign w:val="center"/>
          </w:tcPr>
          <w:p w14:paraId="39FC13EA">
            <w:pPr>
              <w:pStyle w:val="7"/>
              <w:spacing w:line="240" w:lineRule="auto"/>
              <w:ind w:left="0" w:leftChars="0"/>
              <w:rPr>
                <w:rFonts w:hint="eastAsia" w:ascii="宋体" w:hAnsi="宋体"/>
                <w:color w:val="000000" w:themeColor="text1"/>
                <w:szCs w:val="21"/>
                <w14:textFill>
                  <w14:solidFill>
                    <w14:schemeClr w14:val="tx1"/>
                  </w14:solidFill>
                </w14:textFill>
              </w:rPr>
            </w:pPr>
            <w:r>
              <w:rPr>
                <w:rFonts w:hint="eastAsia"/>
                <w:color w:val="000000" w:themeColor="text1"/>
                <w:lang w:val="en-US" w:eastAsia="zh-CN"/>
                <w14:textFill>
                  <w14:solidFill>
                    <w14:schemeClr w14:val="tx1"/>
                  </w14:solidFill>
                </w14:textFill>
              </w:rPr>
              <w:t>采购人</w:t>
            </w:r>
            <w:r>
              <w:rPr>
                <w:rFonts w:hint="eastAsia"/>
                <w:color w:val="000000" w:themeColor="text1"/>
                <w14:textFill>
                  <w14:solidFill>
                    <w14:schemeClr w14:val="tx1"/>
                  </w14:solidFill>
                </w14:textFill>
              </w:rPr>
              <w:t>指定地点</w:t>
            </w:r>
          </w:p>
        </w:tc>
      </w:tr>
      <w:tr w14:paraId="4F5E88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2D0E7655">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44C77FD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第5.1款</w:t>
            </w:r>
          </w:p>
        </w:tc>
        <w:tc>
          <w:tcPr>
            <w:tcW w:w="1843" w:type="dxa"/>
            <w:noWrap w:val="0"/>
            <w:vAlign w:val="center"/>
          </w:tcPr>
          <w:p w14:paraId="2C30A73C">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履行合同的时间、地点及方式</w:t>
            </w:r>
          </w:p>
        </w:tc>
        <w:tc>
          <w:tcPr>
            <w:tcW w:w="5464" w:type="dxa"/>
            <w:noWrap w:val="0"/>
            <w:vAlign w:val="center"/>
          </w:tcPr>
          <w:p w14:paraId="64741634">
            <w:pPr>
              <w:pStyle w:val="6"/>
              <w:spacing w:line="360" w:lineRule="auto"/>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服务时间：</w:t>
            </w:r>
            <w:r>
              <w:rPr>
                <w:rFonts w:hint="eastAsia" w:ascii="宋体" w:hAnsi="宋体" w:eastAsia="宋体" w:cs="宋体"/>
                <w:bCs/>
                <w:color w:val="auto"/>
                <w:kern w:val="2"/>
                <w:sz w:val="21"/>
                <w:szCs w:val="21"/>
                <w:highlight w:val="none"/>
                <w:lang w:val="en-US" w:eastAsia="zh-CN" w:bidi="ar-SA"/>
              </w:rPr>
              <w:t>合同签订后40日历日内完成供货</w:t>
            </w:r>
            <w:r>
              <w:rPr>
                <w:rFonts w:hint="eastAsia" w:ascii="宋体" w:hAnsi="宋体" w:cs="宋体"/>
                <w:bCs/>
                <w:color w:val="auto"/>
                <w:kern w:val="2"/>
                <w:sz w:val="21"/>
                <w:szCs w:val="21"/>
                <w:highlight w:val="none"/>
                <w:lang w:val="en-US" w:eastAsia="zh-CN" w:bidi="ar-SA"/>
              </w:rPr>
              <w:t>。</w:t>
            </w:r>
          </w:p>
          <w:p w14:paraId="73A861D7">
            <w:pP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服务地点：</w:t>
            </w:r>
            <w:r>
              <w:rPr>
                <w:rFonts w:hint="eastAsia" w:ascii="宋体" w:hAnsi="宋体"/>
                <w:color w:val="000000" w:themeColor="text1"/>
                <w:szCs w:val="21"/>
                <w:highlight w:val="none"/>
                <w:lang w:val="en-US" w:eastAsia="zh-CN"/>
                <w14:textFill>
                  <w14:solidFill>
                    <w14:schemeClr w14:val="tx1"/>
                  </w14:solidFill>
                </w14:textFill>
              </w:rPr>
              <w:t>采购人</w:t>
            </w:r>
            <w:r>
              <w:rPr>
                <w:rFonts w:hint="eastAsia" w:ascii="宋体" w:hAnsi="宋体"/>
                <w:color w:val="000000" w:themeColor="text1"/>
                <w:szCs w:val="21"/>
                <w:highlight w:val="none"/>
                <w14:textFill>
                  <w14:solidFill>
                    <w14:schemeClr w14:val="tx1"/>
                  </w14:solidFill>
                </w14:textFill>
              </w:rPr>
              <w:t>指定地点</w:t>
            </w:r>
          </w:p>
          <w:p w14:paraId="7DEE3DF3">
            <w:pPr>
              <w:adjustRightInd w:val="0"/>
              <w:snapToGrid w:val="0"/>
              <w:spacing w:line="360" w:lineRule="auto"/>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服务方式：按采购人要求完成。</w:t>
            </w:r>
          </w:p>
        </w:tc>
      </w:tr>
      <w:tr w14:paraId="77A28D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4E8B649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08CF6600">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第9.2（1）项</w:t>
            </w:r>
          </w:p>
        </w:tc>
        <w:tc>
          <w:tcPr>
            <w:tcW w:w="1843" w:type="dxa"/>
            <w:noWrap w:val="0"/>
            <w:vAlign w:val="center"/>
          </w:tcPr>
          <w:p w14:paraId="48811A35">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质量保证</w:t>
            </w:r>
          </w:p>
        </w:tc>
        <w:tc>
          <w:tcPr>
            <w:tcW w:w="5464" w:type="dxa"/>
            <w:noWrap w:val="0"/>
            <w:vAlign w:val="center"/>
          </w:tcPr>
          <w:p w14:paraId="7999B9CA">
            <w:pPr>
              <w:pStyle w:val="7"/>
              <w:ind w:left="0" w:leftChars="0" w:firstLine="0" w:firstLineChars="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一年质保期。</w:t>
            </w:r>
          </w:p>
        </w:tc>
      </w:tr>
      <w:tr w14:paraId="150F3B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49AF0C2">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281A3B9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第9.2（3）项</w:t>
            </w:r>
          </w:p>
        </w:tc>
        <w:tc>
          <w:tcPr>
            <w:tcW w:w="1843" w:type="dxa"/>
            <w:noWrap w:val="0"/>
            <w:vAlign w:val="center"/>
          </w:tcPr>
          <w:p w14:paraId="5BE8871F">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响应时间</w:t>
            </w:r>
          </w:p>
        </w:tc>
        <w:tc>
          <w:tcPr>
            <w:tcW w:w="5464" w:type="dxa"/>
            <w:noWrap w:val="0"/>
            <w:vAlign w:val="center"/>
          </w:tcPr>
          <w:p w14:paraId="4F706269">
            <w:pPr>
              <w:pStyle w:val="27"/>
              <w:widowControl/>
              <w:spacing w:line="480" w:lineRule="exact"/>
              <w:rPr>
                <w:rFonts w:hint="eastAsia" w:ascii="宋体" w:hAnsi="宋体" w:eastAsia="宋体"/>
                <w:color w:val="000000" w:themeColor="text1"/>
                <w:szCs w:val="21"/>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按采购人要求完成</w:t>
            </w:r>
            <w:r>
              <w:rPr>
                <w:rFonts w:hint="eastAsia" w:ascii="宋体" w:hAnsi="宋体"/>
                <w:color w:val="000000" w:themeColor="text1"/>
                <w:szCs w:val="21"/>
                <w:highlight w:val="none"/>
                <w:lang w:eastAsia="zh-CN"/>
                <w14:textFill>
                  <w14:solidFill>
                    <w14:schemeClr w14:val="tx1"/>
                  </w14:solidFill>
                </w14:textFill>
              </w:rPr>
              <w:t>。</w:t>
            </w:r>
          </w:p>
        </w:tc>
      </w:tr>
      <w:tr w14:paraId="0694D7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7E00B7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46BEE3D2">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第13.5款</w:t>
            </w:r>
          </w:p>
        </w:tc>
        <w:tc>
          <w:tcPr>
            <w:tcW w:w="1843" w:type="dxa"/>
            <w:noWrap w:val="0"/>
            <w:vAlign w:val="center"/>
          </w:tcPr>
          <w:p w14:paraId="1A51F001">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合同价款支付方式</w:t>
            </w:r>
            <w:r>
              <w:rPr>
                <w:rFonts w:hint="eastAsia" w:ascii="宋体" w:hAnsi="宋体"/>
                <w:bCs/>
                <w:color w:val="000000" w:themeColor="text1"/>
                <w:szCs w:val="21"/>
                <w14:textFill>
                  <w14:solidFill>
                    <w14:schemeClr w14:val="tx1"/>
                  </w14:solidFill>
                </w14:textFill>
              </w:rPr>
              <w:t>和条件</w:t>
            </w:r>
          </w:p>
        </w:tc>
        <w:tc>
          <w:tcPr>
            <w:tcW w:w="5464" w:type="dxa"/>
            <w:noWrap w:val="0"/>
            <w:vAlign w:val="center"/>
          </w:tcPr>
          <w:p w14:paraId="64E821CC">
            <w:pPr>
              <w:adjustRightInd w:val="0"/>
              <w:snapToGrid w:val="0"/>
              <w:spacing w:line="360" w:lineRule="auto"/>
              <w:jc w:val="left"/>
              <w:rPr>
                <w:rFonts w:hint="eastAsia" w:ascii="宋体" w:hAnsi="宋体"/>
                <w:color w:val="000000" w:themeColor="text1"/>
                <w:szCs w:val="21"/>
                <w14:textFill>
                  <w14:solidFill>
                    <w14:schemeClr w14:val="tx1"/>
                  </w14:solidFill>
                </w14:textFill>
              </w:rPr>
            </w:pPr>
            <w:r>
              <w:rPr>
                <w:rFonts w:hint="eastAsia" w:ascii="宋体" w:hAnsi="宋体"/>
                <w:szCs w:val="21"/>
              </w:rPr>
              <w:t>详见采购需求</w:t>
            </w:r>
            <w:r>
              <w:rPr>
                <w:rFonts w:hint="eastAsia" w:ascii="宋体" w:hAnsi="宋体"/>
                <w:szCs w:val="21"/>
                <w:lang w:val="en-US" w:eastAsia="zh-CN"/>
              </w:rPr>
              <w:t>以及</w:t>
            </w:r>
            <w:r>
              <w:rPr>
                <w:rFonts w:hint="eastAsia" w:ascii="宋体" w:hAnsi="宋体"/>
                <w:color w:val="auto"/>
                <w:szCs w:val="21"/>
                <w:lang w:eastAsia="zh-CN"/>
              </w:rPr>
              <w:t>合同约定执行</w:t>
            </w:r>
          </w:p>
        </w:tc>
      </w:tr>
      <w:tr w14:paraId="02CF4F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4BBF35A">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5EB7AC3D">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第14.2（6）项</w:t>
            </w:r>
          </w:p>
        </w:tc>
        <w:tc>
          <w:tcPr>
            <w:tcW w:w="1843" w:type="dxa"/>
            <w:noWrap w:val="0"/>
            <w:vAlign w:val="center"/>
          </w:tcPr>
          <w:p w14:paraId="1284968C">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乙方提供的其他服务</w:t>
            </w:r>
          </w:p>
        </w:tc>
        <w:tc>
          <w:tcPr>
            <w:tcW w:w="5464" w:type="dxa"/>
            <w:noWrap w:val="0"/>
            <w:vAlign w:val="center"/>
          </w:tcPr>
          <w:p w14:paraId="745F9EA0">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详见第四章采购需求。</w:t>
            </w:r>
          </w:p>
        </w:tc>
      </w:tr>
      <w:tr w14:paraId="4E21A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26574A6D">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480C1061">
            <w:pPr>
              <w:adjustRightInd w:val="0"/>
              <w:snapToGrid w:val="0"/>
              <w:spacing w:line="360" w:lineRule="auto"/>
              <w:jc w:val="center"/>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第20.2款</w:t>
            </w:r>
          </w:p>
        </w:tc>
        <w:tc>
          <w:tcPr>
            <w:tcW w:w="1843" w:type="dxa"/>
            <w:noWrap w:val="0"/>
            <w:vAlign w:val="center"/>
          </w:tcPr>
          <w:p w14:paraId="213A8579">
            <w:pPr>
              <w:adjustRightInd w:val="0"/>
              <w:snapToGrid w:val="0"/>
              <w:spacing w:line="360" w:lineRule="auto"/>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解决争议的方式</w:t>
            </w:r>
          </w:p>
        </w:tc>
        <w:tc>
          <w:tcPr>
            <w:tcW w:w="5464" w:type="dxa"/>
            <w:noWrap w:val="0"/>
            <w:vAlign w:val="center"/>
          </w:tcPr>
          <w:p w14:paraId="25E5D58C">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诉讼</w:t>
            </w:r>
          </w:p>
          <w:p w14:paraId="765735AE">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仲裁</w:t>
            </w:r>
          </w:p>
        </w:tc>
      </w:tr>
      <w:tr w14:paraId="7FE829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8C563A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本章第二节</w:t>
            </w:r>
          </w:p>
          <w:p w14:paraId="228DFC5B">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第23.1款</w:t>
            </w:r>
          </w:p>
        </w:tc>
        <w:tc>
          <w:tcPr>
            <w:tcW w:w="1843" w:type="dxa"/>
            <w:noWrap w:val="0"/>
            <w:vAlign w:val="center"/>
          </w:tcPr>
          <w:p w14:paraId="6BFC3F64">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合同未尽事项</w:t>
            </w:r>
          </w:p>
        </w:tc>
        <w:tc>
          <w:tcPr>
            <w:tcW w:w="5464" w:type="dxa"/>
            <w:noWrap w:val="0"/>
            <w:vAlign w:val="center"/>
          </w:tcPr>
          <w:p w14:paraId="5CED7800">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双方友好协商</w:t>
            </w:r>
          </w:p>
        </w:tc>
      </w:tr>
    </w:tbl>
    <w:p w14:paraId="252BB25C">
      <w:pPr>
        <w:pStyle w:val="4"/>
        <w:rPr>
          <w:rFonts w:hint="eastAsia" w:eastAsiaTheme="minorEastAsia"/>
          <w:color w:val="000000" w:themeColor="text1"/>
          <w:lang w:eastAsia="zh-CN"/>
          <w14:textFill>
            <w14:solidFill>
              <w14:schemeClr w14:val="tx1"/>
            </w14:solidFill>
          </w14:textFill>
        </w:rPr>
        <w:sectPr>
          <w:pgSz w:w="11906" w:h="16838"/>
          <w:pgMar w:top="1474" w:right="1474" w:bottom="1474" w:left="1588" w:header="851" w:footer="992" w:gutter="0"/>
          <w:pgNumType w:fmt="decimal"/>
          <w:cols w:space="720" w:num="1"/>
          <w:docGrid w:type="lines" w:linePitch="312" w:charSpace="0"/>
        </w:sectPr>
      </w:pPr>
      <w:r>
        <w:rPr>
          <w:rFonts w:hint="eastAsia" w:ascii="宋体" w:hAnsi="宋体"/>
          <w:b/>
          <w:color w:val="000000" w:themeColor="text1"/>
          <w:szCs w:val="21"/>
          <w:lang w:eastAsia="zh-CN"/>
          <w14:textFill>
            <w14:solidFill>
              <w14:schemeClr w14:val="tx1"/>
            </w14:solidFill>
          </w14:textFill>
        </w:rPr>
        <w:t>（</w:t>
      </w:r>
      <w:r>
        <w:rPr>
          <w:rFonts w:hint="eastAsia" w:asciiTheme="minorEastAsia" w:hAnsiTheme="minorEastAsia" w:eastAsiaTheme="minorEastAsia" w:cstheme="minorEastAsia"/>
          <w:b/>
          <w:color w:val="000000" w:themeColor="text1"/>
          <w:szCs w:val="21"/>
          <w14:textFill>
            <w14:solidFill>
              <w14:schemeClr w14:val="tx1"/>
            </w14:solidFill>
          </w14:textFill>
        </w:rPr>
        <w:t>具体合同内容按签订的合同为准</w:t>
      </w:r>
      <w:r>
        <w:rPr>
          <w:rFonts w:hint="eastAsia" w:asciiTheme="minorEastAsia" w:hAnsiTheme="minorEastAsia" w:eastAsiaTheme="minorEastAsia" w:cstheme="minorEastAsia"/>
          <w:b/>
          <w:color w:val="000000" w:themeColor="text1"/>
          <w:szCs w:val="21"/>
          <w:lang w:eastAsia="zh-CN"/>
          <w14:textFill>
            <w14:solidFill>
              <w14:schemeClr w14:val="tx1"/>
            </w14:solidFill>
          </w14:textFill>
        </w:rPr>
        <w:t>）</w:t>
      </w:r>
    </w:p>
    <w:p w14:paraId="65DE9064">
      <w:pPr>
        <w:keepNext/>
        <w:adjustRightInd w:val="0"/>
        <w:snapToGrid w:val="0"/>
        <w:spacing w:before="156" w:beforeLines="50" w:line="360" w:lineRule="auto"/>
        <w:jc w:val="center"/>
        <w:outlineLvl w:val="0"/>
        <w:rPr>
          <w:rFonts w:ascii="黑体" w:hAnsi="黑体" w:eastAsia="黑体"/>
          <w:b/>
          <w:bCs/>
          <w:color w:val="000000" w:themeColor="text1"/>
          <w:sz w:val="32"/>
          <w:szCs w:val="32"/>
          <w14:textFill>
            <w14:solidFill>
              <w14:schemeClr w14:val="tx1"/>
            </w14:solidFill>
          </w14:textFill>
        </w:rPr>
      </w:pPr>
      <w:bookmarkStart w:id="164" w:name="_Toc22424"/>
      <w:bookmarkStart w:id="165" w:name="_Toc19628646"/>
      <w:r>
        <w:rPr>
          <w:rFonts w:hint="eastAsia" w:ascii="黑体" w:hAnsi="黑体" w:eastAsia="黑体"/>
          <w:b/>
          <w:bCs/>
          <w:color w:val="000000" w:themeColor="text1"/>
          <w:sz w:val="32"/>
          <w:szCs w:val="32"/>
          <w14:textFill>
            <w14:solidFill>
              <w14:schemeClr w14:val="tx1"/>
            </w14:solidFill>
          </w14:textFill>
        </w:rPr>
        <w:t>第五章 响应文件组成</w:t>
      </w:r>
      <w:bookmarkEnd w:id="164"/>
      <w:bookmarkEnd w:id="165"/>
    </w:p>
    <w:p w14:paraId="209CBDC8">
      <w:pPr>
        <w:widowControl/>
        <w:tabs>
          <w:tab w:val="left" w:pos="753"/>
        </w:tabs>
        <w:adjustRightInd w:val="0"/>
        <w:snapToGrid w:val="0"/>
        <w:spacing w:before="156" w:beforeLines="50" w:line="360" w:lineRule="auto"/>
        <w:ind w:firstLine="480" w:firstLineChars="20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目录</w:t>
      </w:r>
    </w:p>
    <w:p w14:paraId="642869AA">
      <w:pPr>
        <w:adjustRightInd w:val="0"/>
        <w:snapToGrid w:val="0"/>
        <w:spacing w:before="156" w:beforeLines="50" w:line="360" w:lineRule="auto"/>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供应商的响应文件应包含以下部分：</w:t>
      </w:r>
    </w:p>
    <w:p w14:paraId="2E317508">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一</w:t>
      </w:r>
      <w:r>
        <w:rPr>
          <w:rFonts w:hint="eastAsia" w:ascii="宋体" w:hAnsi="宋体"/>
          <w:color w:val="000000" w:themeColor="text1"/>
          <w:szCs w:val="21"/>
          <w14:textFill>
            <w14:solidFill>
              <w14:schemeClr w14:val="tx1"/>
            </w14:solidFill>
          </w14:textFill>
        </w:rPr>
        <w:t>、报价表及报价文件(格式)</w:t>
      </w:r>
    </w:p>
    <w:p w14:paraId="1C3D116B">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二、谈判响应声明(格式)</w:t>
      </w:r>
    </w:p>
    <w:p w14:paraId="0279D905">
      <w:pPr>
        <w:widowControl/>
        <w:tabs>
          <w:tab w:val="left" w:pos="753"/>
        </w:tabs>
        <w:adjustRightInd w:val="0"/>
        <w:snapToGrid w:val="0"/>
        <w:spacing w:before="156" w:beforeLines="50" w:line="360" w:lineRule="auto"/>
        <w:ind w:firstLine="420" w:firstLineChars="200"/>
        <w:rPr>
          <w:rFonts w:asci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三、保证金</w:t>
      </w:r>
    </w:p>
    <w:p w14:paraId="7C75EF28">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四、授权委托书(格式)</w:t>
      </w:r>
    </w:p>
    <w:p w14:paraId="34B51AD2">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w:t>
      </w:r>
      <w:r>
        <w:rPr>
          <w:rFonts w:hint="eastAsia" w:ascii="宋体" w:hAnsi="宋体"/>
          <w:color w:val="000000" w:themeColor="text1"/>
          <w:kern w:val="32"/>
          <w:szCs w:val="21"/>
          <w14:textFill>
            <w14:solidFill>
              <w14:schemeClr w14:val="tx1"/>
            </w14:solidFill>
          </w14:textFill>
        </w:rPr>
        <w:t>供应商资格审查材料</w:t>
      </w:r>
    </w:p>
    <w:p w14:paraId="68A240D4">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六、采购需求响应</w:t>
      </w:r>
    </w:p>
    <w:p w14:paraId="536BCDCB">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七、合同条款偏离表</w:t>
      </w:r>
    </w:p>
    <w:p w14:paraId="3B3EAD67">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八、采购需求偏离表</w:t>
      </w:r>
    </w:p>
    <w:p w14:paraId="422B0A1E">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九、享受政府采购政策的证明资料</w:t>
      </w:r>
    </w:p>
    <w:p w14:paraId="55F9D138">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kern w:val="32"/>
          <w:szCs w:val="21"/>
          <w14:textFill>
            <w14:solidFill>
              <w14:schemeClr w14:val="tx1"/>
            </w14:solidFill>
          </w14:textFill>
        </w:rPr>
        <w:t>十、</w:t>
      </w:r>
      <w:r>
        <w:rPr>
          <w:rFonts w:hint="eastAsia" w:ascii="宋体" w:hAnsi="宋体"/>
          <w:color w:val="000000" w:themeColor="text1"/>
          <w:szCs w:val="21"/>
          <w14:textFill>
            <w14:solidFill>
              <w14:schemeClr w14:val="tx1"/>
            </w14:solidFill>
          </w14:textFill>
        </w:rPr>
        <w:t>响应标的符合谈判文件规定的证明文件</w:t>
      </w:r>
    </w:p>
    <w:p w14:paraId="0AFC2D8A">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十一、供应商认为需提供的其他资料（如有）</w:t>
      </w:r>
    </w:p>
    <w:p w14:paraId="7BBB16E0">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十二、最后报价</w:t>
      </w:r>
    </w:p>
    <w:p w14:paraId="0A22EF39">
      <w:pPr>
        <w:widowControl/>
        <w:tabs>
          <w:tab w:val="left" w:pos="753"/>
        </w:tabs>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611C6912">
      <w:pPr>
        <w:adjustRightInd w:val="0"/>
        <w:snapToGrid w:val="0"/>
        <w:spacing w:before="156" w:beforeLines="50" w:line="360" w:lineRule="auto"/>
        <w:rPr>
          <w:rFonts w:ascii="宋体"/>
          <w:color w:val="000000" w:themeColor="text1"/>
          <w14:textFill>
            <w14:solidFill>
              <w14:schemeClr w14:val="tx1"/>
            </w14:solidFill>
          </w14:textFill>
        </w:rPr>
      </w:pPr>
    </w:p>
    <w:p w14:paraId="10D60D22">
      <w:pPr>
        <w:spacing w:line="360" w:lineRule="exact"/>
        <w:jc w:val="center"/>
        <w:rPr>
          <w:rFonts w:ascii="黑体" w:eastAsia="黑体"/>
          <w:b/>
          <w:color w:val="000000" w:themeColor="text1"/>
          <w:sz w:val="32"/>
          <w:szCs w:val="32"/>
          <w14:textFill>
            <w14:solidFill>
              <w14:schemeClr w14:val="tx1"/>
            </w14:solidFill>
          </w14:textFill>
        </w:rPr>
      </w:pPr>
    </w:p>
    <w:p w14:paraId="05046E40">
      <w:pPr>
        <w:spacing w:line="360" w:lineRule="exact"/>
        <w:jc w:val="center"/>
        <w:rPr>
          <w:rFonts w:ascii="黑体" w:eastAsia="黑体"/>
          <w:b/>
          <w:color w:val="000000" w:themeColor="text1"/>
          <w:sz w:val="32"/>
          <w:szCs w:val="32"/>
          <w14:textFill>
            <w14:solidFill>
              <w14:schemeClr w14:val="tx1"/>
            </w14:solidFill>
          </w14:textFill>
        </w:rPr>
      </w:pPr>
    </w:p>
    <w:p w14:paraId="43253651">
      <w:pPr>
        <w:spacing w:line="360" w:lineRule="exact"/>
        <w:jc w:val="center"/>
        <w:rPr>
          <w:rFonts w:ascii="黑体" w:eastAsia="黑体"/>
          <w:b/>
          <w:color w:val="000000" w:themeColor="text1"/>
          <w:sz w:val="32"/>
          <w:szCs w:val="32"/>
          <w14:textFill>
            <w14:solidFill>
              <w14:schemeClr w14:val="tx1"/>
            </w14:solidFill>
          </w14:textFill>
        </w:rPr>
      </w:pPr>
    </w:p>
    <w:p w14:paraId="4CD17A82">
      <w:pPr>
        <w:spacing w:line="360" w:lineRule="exact"/>
        <w:jc w:val="center"/>
        <w:rPr>
          <w:rFonts w:ascii="黑体" w:eastAsia="黑体"/>
          <w:b/>
          <w:color w:val="000000" w:themeColor="text1"/>
          <w:sz w:val="32"/>
          <w:szCs w:val="32"/>
          <w14:textFill>
            <w14:solidFill>
              <w14:schemeClr w14:val="tx1"/>
            </w14:solidFill>
          </w14:textFill>
        </w:rPr>
      </w:pPr>
    </w:p>
    <w:p w14:paraId="55298587">
      <w:pPr>
        <w:spacing w:line="360" w:lineRule="exact"/>
        <w:jc w:val="center"/>
        <w:rPr>
          <w:rFonts w:ascii="黑体" w:eastAsia="黑体"/>
          <w:b/>
          <w:color w:val="000000" w:themeColor="text1"/>
          <w:sz w:val="32"/>
          <w:szCs w:val="32"/>
          <w14:textFill>
            <w14:solidFill>
              <w14:schemeClr w14:val="tx1"/>
            </w14:solidFill>
          </w14:textFill>
        </w:rPr>
      </w:pPr>
    </w:p>
    <w:p w14:paraId="732D4F37">
      <w:pPr>
        <w:spacing w:line="360" w:lineRule="exact"/>
        <w:jc w:val="center"/>
        <w:rPr>
          <w:rFonts w:ascii="黑体" w:eastAsia="黑体"/>
          <w:b/>
          <w:color w:val="000000" w:themeColor="text1"/>
          <w:sz w:val="32"/>
          <w:szCs w:val="32"/>
          <w14:textFill>
            <w14:solidFill>
              <w14:schemeClr w14:val="tx1"/>
            </w14:solidFill>
          </w14:textFill>
        </w:rPr>
      </w:pPr>
    </w:p>
    <w:p w14:paraId="6A298879">
      <w:pPr>
        <w:spacing w:line="360" w:lineRule="exact"/>
        <w:jc w:val="center"/>
        <w:rPr>
          <w:rFonts w:ascii="黑体" w:eastAsia="黑体"/>
          <w:b/>
          <w:color w:val="000000" w:themeColor="text1"/>
          <w:sz w:val="32"/>
          <w:szCs w:val="32"/>
          <w14:textFill>
            <w14:solidFill>
              <w14:schemeClr w14:val="tx1"/>
            </w14:solidFill>
          </w14:textFill>
        </w:rPr>
      </w:pPr>
    </w:p>
    <w:p w14:paraId="74D78CA7">
      <w:pPr>
        <w:spacing w:line="360" w:lineRule="exact"/>
        <w:jc w:val="center"/>
        <w:rPr>
          <w:rFonts w:ascii="黑体" w:eastAsia="黑体"/>
          <w:b/>
          <w:color w:val="000000" w:themeColor="text1"/>
          <w:sz w:val="32"/>
          <w:szCs w:val="32"/>
          <w14:textFill>
            <w14:solidFill>
              <w14:schemeClr w14:val="tx1"/>
            </w14:solidFill>
          </w14:textFill>
        </w:rPr>
      </w:pPr>
    </w:p>
    <w:p w14:paraId="7F2F0C56">
      <w:pPr>
        <w:adjustRightInd w:val="0"/>
        <w:snapToGrid w:val="0"/>
        <w:spacing w:line="360" w:lineRule="auto"/>
        <w:jc w:val="center"/>
        <w:rPr>
          <w:rFonts w:ascii="黑体" w:eastAsia="黑体"/>
          <w:color w:val="000000" w:themeColor="text1"/>
          <w:sz w:val="32"/>
          <w:szCs w:val="32"/>
          <w14:textFill>
            <w14:solidFill>
              <w14:schemeClr w14:val="tx1"/>
            </w14:solidFill>
          </w14:textFill>
        </w:rPr>
      </w:pPr>
      <w:r>
        <w:rPr>
          <w:color w:val="000000" w:themeColor="text1"/>
          <w14:textFill>
            <w14:solidFill>
              <w14:schemeClr w14:val="tx1"/>
            </w14:solidFill>
          </w14:textFill>
        </w:rPr>
        <w:br w:type="page"/>
      </w:r>
    </w:p>
    <w:p w14:paraId="2391C382">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3065D558">
      <w:pPr>
        <w:adjustRightInd w:val="0"/>
        <w:snapToGrid w:val="0"/>
        <w:spacing w:line="360" w:lineRule="auto"/>
        <w:jc w:val="center"/>
        <w:rPr>
          <w:rFonts w:ascii="宋体" w:hAnsi="宋体" w:cs="Courier New"/>
          <w:b/>
          <w:bCs/>
          <w:color w:val="000000" w:themeColor="text1"/>
          <w:sz w:val="72"/>
          <w:szCs w:val="72"/>
          <w14:textFill>
            <w14:solidFill>
              <w14:schemeClr w14:val="tx1"/>
            </w14:solidFill>
          </w14:textFill>
        </w:rPr>
      </w:pPr>
      <w:r>
        <w:rPr>
          <w:rFonts w:hint="eastAsia" w:ascii="宋体" w:hAnsi="宋体" w:cs="Courier New"/>
          <w:b/>
          <w:bCs/>
          <w:color w:val="000000" w:themeColor="text1"/>
          <w:sz w:val="72"/>
          <w:szCs w:val="72"/>
          <w14:textFill>
            <w14:solidFill>
              <w14:schemeClr w14:val="tx1"/>
            </w14:solidFill>
          </w14:textFill>
        </w:rPr>
        <w:t>政府采购</w:t>
      </w:r>
    </w:p>
    <w:p w14:paraId="1FF9E8D4">
      <w:pPr>
        <w:adjustRightInd w:val="0"/>
        <w:snapToGrid w:val="0"/>
        <w:spacing w:line="360" w:lineRule="auto"/>
        <w:jc w:val="center"/>
        <w:rPr>
          <w:rFonts w:ascii="宋体" w:hAnsi="宋体"/>
          <w:b/>
          <w:bCs/>
          <w:color w:val="000000" w:themeColor="text1"/>
          <w:sz w:val="84"/>
          <w:szCs w:val="84"/>
          <w14:textFill>
            <w14:solidFill>
              <w14:schemeClr w14:val="tx1"/>
            </w14:solidFill>
          </w14:textFill>
        </w:rPr>
      </w:pPr>
      <w:r>
        <w:rPr>
          <w:rFonts w:hint="eastAsia" w:ascii="宋体" w:hAnsi="宋体"/>
          <w:b/>
          <w:bCs/>
          <w:color w:val="000000" w:themeColor="text1"/>
          <w:sz w:val="84"/>
          <w:szCs w:val="84"/>
          <w14:textFill>
            <w14:solidFill>
              <w14:schemeClr w14:val="tx1"/>
            </w14:solidFill>
          </w14:textFill>
        </w:rPr>
        <w:t>响 应 文 件</w:t>
      </w:r>
    </w:p>
    <w:p w14:paraId="6F7C9D0A">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14:paraId="02A93963">
      <w:pPr>
        <w:adjustRightInd w:val="0"/>
        <w:snapToGrid w:val="0"/>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                     </w:t>
      </w:r>
    </w:p>
    <w:p w14:paraId="0D197623">
      <w:pPr>
        <w:adjustRightInd w:val="0"/>
        <w:snapToGrid w:val="0"/>
        <w:spacing w:line="360" w:lineRule="auto"/>
        <w:ind w:firstLine="1988" w:firstLineChars="660"/>
        <w:rPr>
          <w:rFonts w:ascii="宋体" w:hAnsi="宋体" w:cs="Courier New"/>
          <w:b/>
          <w:bCs/>
          <w:color w:val="000000" w:themeColor="text1"/>
          <w:sz w:val="30"/>
          <w:szCs w:val="30"/>
          <w:u w:val="single"/>
          <w14:textFill>
            <w14:solidFill>
              <w14:schemeClr w14:val="tx1"/>
            </w14:solidFill>
          </w14:textFill>
        </w:rPr>
      </w:pPr>
      <w:r>
        <w:rPr>
          <w:rFonts w:hint="eastAsia" w:ascii="宋体" w:hAnsi="宋体" w:cs="Courier New"/>
          <w:b/>
          <w:bCs/>
          <w:color w:val="000000" w:themeColor="text1"/>
          <w:sz w:val="30"/>
          <w:szCs w:val="30"/>
          <w14:textFill>
            <w14:solidFill>
              <w14:schemeClr w14:val="tx1"/>
            </w14:solidFill>
          </w14:textFill>
        </w:rPr>
        <w:t>采购项目名称:</w:t>
      </w:r>
      <w:r>
        <w:rPr>
          <w:rFonts w:hint="eastAsia" w:ascii="宋体" w:hAnsi="宋体" w:cs="Courier New"/>
          <w:b/>
          <w:bCs/>
          <w:color w:val="000000" w:themeColor="text1"/>
          <w:sz w:val="30"/>
          <w:szCs w:val="30"/>
          <w:u w:val="single"/>
          <w14:textFill>
            <w14:solidFill>
              <w14:schemeClr w14:val="tx1"/>
            </w14:solidFill>
          </w14:textFill>
        </w:rPr>
        <w:t xml:space="preserve">                       </w:t>
      </w:r>
    </w:p>
    <w:p w14:paraId="0AA0C2AF">
      <w:pPr>
        <w:adjustRightInd w:val="0"/>
        <w:snapToGrid w:val="0"/>
        <w:spacing w:line="360" w:lineRule="auto"/>
        <w:ind w:firstLine="1988" w:firstLineChars="660"/>
        <w:rPr>
          <w:rFonts w:ascii="宋体" w:hAnsi="宋体" w:cs="Courier New"/>
          <w:b/>
          <w:bCs/>
          <w:color w:val="000000" w:themeColor="text1"/>
          <w:sz w:val="30"/>
          <w:szCs w:val="30"/>
          <w14:textFill>
            <w14:solidFill>
              <w14:schemeClr w14:val="tx1"/>
            </w14:solidFill>
          </w14:textFill>
        </w:rPr>
      </w:pPr>
      <w:r>
        <w:rPr>
          <w:rFonts w:hint="eastAsia" w:ascii="宋体" w:hAnsi="宋体" w:cs="Courier New"/>
          <w:b/>
          <w:bCs/>
          <w:color w:val="000000" w:themeColor="text1"/>
          <w:sz w:val="30"/>
          <w:szCs w:val="30"/>
          <w14:textFill>
            <w14:solidFill>
              <w14:schemeClr w14:val="tx1"/>
            </w14:solidFill>
          </w14:textFill>
        </w:rPr>
        <w:t>采   购   人：</w:t>
      </w:r>
      <w:r>
        <w:rPr>
          <w:rFonts w:hint="eastAsia" w:ascii="宋体" w:hAnsi="宋体" w:cs="Courier New"/>
          <w:b/>
          <w:bCs/>
          <w:color w:val="000000" w:themeColor="text1"/>
          <w:sz w:val="30"/>
          <w:szCs w:val="30"/>
          <w:u w:val="single"/>
          <w14:textFill>
            <w14:solidFill>
              <w14:schemeClr w14:val="tx1"/>
            </w14:solidFill>
          </w14:textFill>
        </w:rPr>
        <w:t xml:space="preserve">                      </w:t>
      </w:r>
    </w:p>
    <w:p w14:paraId="237D8BA8">
      <w:pPr>
        <w:adjustRightInd w:val="0"/>
        <w:snapToGrid w:val="0"/>
        <w:spacing w:line="360" w:lineRule="auto"/>
        <w:ind w:firstLine="1988" w:firstLineChars="660"/>
        <w:rPr>
          <w:rFonts w:ascii="宋体" w:hAnsi="宋体" w:cs="Courier New"/>
          <w:b/>
          <w:bCs/>
          <w:color w:val="000000" w:themeColor="text1"/>
          <w:sz w:val="30"/>
          <w:szCs w:val="30"/>
          <w:u w:val="single"/>
          <w14:textFill>
            <w14:solidFill>
              <w14:schemeClr w14:val="tx1"/>
            </w14:solidFill>
          </w14:textFill>
        </w:rPr>
      </w:pPr>
      <w:r>
        <w:rPr>
          <w:rFonts w:hint="eastAsia" w:ascii="宋体" w:hAnsi="宋体" w:cs="Courier New"/>
          <w:b/>
          <w:bCs/>
          <w:color w:val="000000" w:themeColor="text1"/>
          <w:sz w:val="30"/>
          <w:szCs w:val="30"/>
          <w14:textFill>
            <w14:solidFill>
              <w14:schemeClr w14:val="tx1"/>
            </w14:solidFill>
          </w14:textFill>
        </w:rPr>
        <w:t>政府采购计划编号:</w:t>
      </w:r>
      <w:r>
        <w:rPr>
          <w:rFonts w:hint="eastAsia" w:ascii="宋体" w:hAnsi="宋体" w:cs="Courier New"/>
          <w:b/>
          <w:bCs/>
          <w:color w:val="000000" w:themeColor="text1"/>
          <w:sz w:val="30"/>
          <w:szCs w:val="30"/>
          <w:u w:val="single"/>
          <w14:textFill>
            <w14:solidFill>
              <w14:schemeClr w14:val="tx1"/>
            </w14:solidFill>
          </w14:textFill>
        </w:rPr>
        <w:t xml:space="preserve">                   </w:t>
      </w:r>
    </w:p>
    <w:p w14:paraId="4F764655">
      <w:pPr>
        <w:adjustRightInd w:val="0"/>
        <w:snapToGrid w:val="0"/>
        <w:spacing w:line="360" w:lineRule="auto"/>
        <w:ind w:firstLine="1988" w:firstLineChars="660"/>
        <w:rPr>
          <w:rFonts w:ascii="宋体" w:hAnsi="宋体" w:cs="Courier New"/>
          <w:b/>
          <w:bCs/>
          <w:color w:val="000000" w:themeColor="text1"/>
          <w:sz w:val="30"/>
          <w:szCs w:val="30"/>
          <w:u w:val="single"/>
          <w14:textFill>
            <w14:solidFill>
              <w14:schemeClr w14:val="tx1"/>
            </w14:solidFill>
          </w14:textFill>
        </w:rPr>
      </w:pPr>
      <w:r>
        <w:rPr>
          <w:rFonts w:hint="eastAsia" w:ascii="宋体" w:hAnsi="宋体" w:cs="Courier New"/>
          <w:b/>
          <w:bCs/>
          <w:color w:val="000000" w:themeColor="text1"/>
          <w:sz w:val="30"/>
          <w:szCs w:val="30"/>
          <w14:textFill>
            <w14:solidFill>
              <w14:schemeClr w14:val="tx1"/>
            </w14:solidFill>
          </w14:textFill>
        </w:rPr>
        <w:t>委托代理编号:</w:t>
      </w:r>
      <w:r>
        <w:rPr>
          <w:rFonts w:hint="eastAsia" w:ascii="宋体" w:hAnsi="宋体" w:cs="Courier New"/>
          <w:b/>
          <w:bCs/>
          <w:color w:val="000000" w:themeColor="text1"/>
          <w:sz w:val="30"/>
          <w:szCs w:val="30"/>
          <w:u w:val="single"/>
          <w14:textFill>
            <w14:solidFill>
              <w14:schemeClr w14:val="tx1"/>
            </w14:solidFill>
          </w14:textFill>
        </w:rPr>
        <w:t xml:space="preserve">                       </w:t>
      </w:r>
    </w:p>
    <w:p w14:paraId="2C66B278">
      <w:pPr>
        <w:adjustRightInd w:val="0"/>
        <w:snapToGrid w:val="0"/>
        <w:spacing w:line="360" w:lineRule="auto"/>
        <w:ind w:firstLine="1988" w:firstLineChars="660"/>
        <w:rPr>
          <w:rFonts w:ascii="宋体" w:hAnsi="宋体" w:cs="Courier New"/>
          <w:b/>
          <w:bCs/>
          <w:color w:val="000000" w:themeColor="text1"/>
          <w:sz w:val="30"/>
          <w:szCs w:val="30"/>
          <w:u w:val="single"/>
          <w14:textFill>
            <w14:solidFill>
              <w14:schemeClr w14:val="tx1"/>
            </w14:solidFill>
          </w14:textFill>
        </w:rPr>
      </w:pPr>
      <w:r>
        <w:rPr>
          <w:rFonts w:hint="eastAsia" w:ascii="宋体" w:hAnsi="宋体" w:cs="Courier New"/>
          <w:b/>
          <w:bCs/>
          <w:color w:val="000000" w:themeColor="text1"/>
          <w:sz w:val="30"/>
          <w:szCs w:val="30"/>
          <w14:textFill>
            <w14:solidFill>
              <w14:schemeClr w14:val="tx1"/>
            </w14:solidFill>
          </w14:textFill>
        </w:rPr>
        <w:t>采购代理机构：</w:t>
      </w:r>
      <w:r>
        <w:rPr>
          <w:rFonts w:hint="eastAsia" w:ascii="宋体" w:hAnsi="宋体" w:cs="Courier New"/>
          <w:b/>
          <w:bCs/>
          <w:color w:val="000000" w:themeColor="text1"/>
          <w:sz w:val="30"/>
          <w:szCs w:val="30"/>
          <w:u w:val="single"/>
          <w14:textFill>
            <w14:solidFill>
              <w14:schemeClr w14:val="tx1"/>
            </w14:solidFill>
          </w14:textFill>
        </w:rPr>
        <w:t xml:space="preserve">                      </w:t>
      </w:r>
    </w:p>
    <w:p w14:paraId="6E0342B1">
      <w:pPr>
        <w:adjustRightInd w:val="0"/>
        <w:snapToGrid w:val="0"/>
        <w:spacing w:line="360" w:lineRule="auto"/>
        <w:rPr>
          <w:rFonts w:ascii="黑体" w:hAnsi="黑体" w:eastAsia="黑体"/>
          <w:color w:val="000000" w:themeColor="text1"/>
          <w:sz w:val="30"/>
          <w:szCs w:val="30"/>
          <w14:textFill>
            <w14:solidFill>
              <w14:schemeClr w14:val="tx1"/>
            </w14:solidFill>
          </w14:textFill>
        </w:rPr>
      </w:pPr>
    </w:p>
    <w:p w14:paraId="322C66B0">
      <w:pPr>
        <w:adjustRightInd w:val="0"/>
        <w:snapToGrid w:val="0"/>
        <w:rPr>
          <w:rFonts w:ascii="黑体" w:hAnsi="宋体" w:eastAsia="黑体"/>
          <w:color w:val="000000" w:themeColor="text1"/>
          <w:sz w:val="30"/>
          <w:szCs w:val="30"/>
          <w14:textFill>
            <w14:solidFill>
              <w14:schemeClr w14:val="tx1"/>
            </w14:solidFill>
          </w14:textFill>
        </w:rPr>
      </w:pPr>
    </w:p>
    <w:p w14:paraId="668BAE99">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009AE172">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7FBF3E8F">
      <w:pPr>
        <w:adjustRightInd w:val="0"/>
        <w:snapToGrid w:val="0"/>
        <w:spacing w:line="360" w:lineRule="auto"/>
        <w:rPr>
          <w:rFonts w:ascii="黑体" w:hAnsi="宋体" w:eastAsia="黑体"/>
          <w:color w:val="000000" w:themeColor="text1"/>
          <w:sz w:val="30"/>
          <w:szCs w:val="30"/>
          <w14:textFill>
            <w14:solidFill>
              <w14:schemeClr w14:val="tx1"/>
            </w14:solidFill>
          </w14:textFill>
        </w:rPr>
      </w:pPr>
    </w:p>
    <w:p w14:paraId="345DC1EC">
      <w:pPr>
        <w:adjustRightInd w:val="0"/>
        <w:snapToGrid w:val="0"/>
        <w:spacing w:line="360" w:lineRule="auto"/>
        <w:ind w:firstLine="1984" w:firstLineChars="620"/>
        <w:rPr>
          <w:rFonts w:ascii="黑体" w:hAnsi="黑体" w:eastAsia="黑体"/>
          <w:color w:val="000000" w:themeColor="text1"/>
          <w:sz w:val="32"/>
          <w:szCs w:val="32"/>
          <w:u w:val="single"/>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供应商</w:t>
      </w:r>
      <w:r>
        <w:rPr>
          <w:rFonts w:hint="eastAsia" w:ascii="黑体" w:hAnsi="黑体" w:eastAsia="黑体"/>
          <w:color w:val="000000" w:themeColor="text1"/>
          <w:sz w:val="32"/>
          <w:szCs w:val="32"/>
          <w:u w:val="single"/>
          <w14:textFill>
            <w14:solidFill>
              <w14:schemeClr w14:val="tx1"/>
            </w14:solidFill>
          </w14:textFill>
        </w:rPr>
        <w:t xml:space="preserve">                         </w:t>
      </w:r>
    </w:p>
    <w:p w14:paraId="721F9D83">
      <w:pPr>
        <w:jc w:val="center"/>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年  月  日</w:t>
      </w:r>
    </w:p>
    <w:p w14:paraId="68B0D9F5">
      <w:pPr>
        <w:jc w:val="center"/>
        <w:rPr>
          <w:rFonts w:ascii="黑体" w:hAnsi="黑体" w:eastAsia="黑体"/>
          <w:color w:val="000000" w:themeColor="text1"/>
          <w:sz w:val="32"/>
          <w:szCs w:val="32"/>
          <w14:textFill>
            <w14:solidFill>
              <w14:schemeClr w14:val="tx1"/>
            </w14:solidFill>
          </w14:textFill>
        </w:rPr>
        <w:sectPr>
          <w:pgSz w:w="11906" w:h="16838"/>
          <w:pgMar w:top="1474" w:right="1474" w:bottom="1474" w:left="1588" w:header="851" w:footer="992" w:gutter="0"/>
          <w:pgNumType w:fmt="decimal"/>
          <w:cols w:space="720" w:num="1"/>
          <w:docGrid w:type="lines" w:linePitch="312" w:charSpace="0"/>
        </w:sectPr>
      </w:pPr>
    </w:p>
    <w:p w14:paraId="070689C5">
      <w:pPr>
        <w:keepNext/>
        <w:keepLines/>
        <w:spacing w:line="360" w:lineRule="auto"/>
        <w:outlineLvl w:val="1"/>
        <w:rPr>
          <w:rFonts w:ascii="宋体" w:hAnsi="宋体"/>
          <w:b/>
          <w:bCs/>
          <w:color w:val="000000" w:themeColor="text1"/>
          <w:szCs w:val="21"/>
          <w14:textFill>
            <w14:solidFill>
              <w14:schemeClr w14:val="tx1"/>
            </w14:solidFill>
          </w14:textFill>
        </w:rPr>
      </w:pPr>
      <w:bookmarkStart w:id="166" w:name="_Toc22824"/>
      <w:bookmarkStart w:id="167" w:name="_Toc22201151"/>
      <w:r>
        <w:rPr>
          <w:rFonts w:hint="eastAsia" w:ascii="宋体" w:hAnsi="宋体"/>
          <w:b/>
          <w:bCs/>
          <w:color w:val="000000" w:themeColor="text1"/>
          <w:szCs w:val="21"/>
          <w14:textFill>
            <w14:solidFill>
              <w14:schemeClr w14:val="tx1"/>
            </w14:solidFill>
          </w14:textFill>
        </w:rPr>
        <w:t>索引表 符合性审查索引表</w:t>
      </w:r>
      <w:bookmarkEnd w:id="166"/>
      <w:bookmarkEnd w:id="167"/>
    </w:p>
    <w:p w14:paraId="6DF03327">
      <w:pPr>
        <w:adjustRightIn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符合性审查索引表</w:t>
      </w:r>
    </w:p>
    <w:tbl>
      <w:tblPr>
        <w:tblStyle w:val="18"/>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31A65C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center"/>
          </w:tcPr>
          <w:p w14:paraId="7EEF2F79">
            <w:pPr>
              <w:adjustRightInd w:val="0"/>
              <w:snapToGrid w:val="0"/>
              <w:spacing w:before="156" w:beforeLines="50" w:line="360" w:lineRule="auto"/>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序号</w:t>
            </w:r>
          </w:p>
        </w:tc>
        <w:tc>
          <w:tcPr>
            <w:tcW w:w="1871" w:type="dxa"/>
            <w:tcBorders>
              <w:right w:val="single" w:color="auto" w:sz="4" w:space="0"/>
            </w:tcBorders>
            <w:noWrap w:val="0"/>
            <w:vAlign w:val="center"/>
          </w:tcPr>
          <w:p w14:paraId="26639B0D">
            <w:pPr>
              <w:adjustRightInd w:val="0"/>
              <w:snapToGrid w:val="0"/>
              <w:spacing w:before="156" w:beforeLines="50"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 w:val="20"/>
                <w:szCs w:val="21"/>
                <w14:textFill>
                  <w14:solidFill>
                    <w14:schemeClr w14:val="tx1"/>
                  </w14:solidFill>
                </w14:textFill>
              </w:rPr>
              <w:t>谈判文件条款号</w:t>
            </w:r>
          </w:p>
        </w:tc>
        <w:tc>
          <w:tcPr>
            <w:tcW w:w="2410" w:type="dxa"/>
            <w:tcBorders>
              <w:left w:val="single" w:color="auto" w:sz="4" w:space="0"/>
            </w:tcBorders>
            <w:noWrap w:val="0"/>
            <w:vAlign w:val="center"/>
          </w:tcPr>
          <w:p w14:paraId="5E6BE84B">
            <w:pPr>
              <w:adjustRightInd w:val="0"/>
              <w:snapToGrid w:val="0"/>
              <w:spacing w:before="156" w:beforeLines="50"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审查内容及标准</w:t>
            </w:r>
          </w:p>
        </w:tc>
        <w:tc>
          <w:tcPr>
            <w:tcW w:w="2268" w:type="dxa"/>
            <w:noWrap w:val="0"/>
            <w:vAlign w:val="center"/>
          </w:tcPr>
          <w:p w14:paraId="3438D8EC">
            <w:pPr>
              <w:adjustRightInd w:val="0"/>
              <w:snapToGrid w:val="0"/>
              <w:spacing w:before="156" w:beforeLines="50" w:line="360" w:lineRule="auto"/>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响应文件及证明材料</w:t>
            </w:r>
          </w:p>
        </w:tc>
        <w:tc>
          <w:tcPr>
            <w:tcW w:w="1722" w:type="dxa"/>
            <w:noWrap w:val="0"/>
            <w:vAlign w:val="center"/>
          </w:tcPr>
          <w:p w14:paraId="305EA30F">
            <w:pPr>
              <w:adjustRightInd w:val="0"/>
              <w:snapToGrid w:val="0"/>
              <w:spacing w:before="156" w:beforeLines="50"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响应文件对应内容的册及页码</w:t>
            </w:r>
          </w:p>
        </w:tc>
      </w:tr>
      <w:tr w14:paraId="2189EE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3A12E4E5">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p>
        </w:tc>
        <w:tc>
          <w:tcPr>
            <w:tcW w:w="1871" w:type="dxa"/>
            <w:tcBorders>
              <w:right w:val="single" w:color="auto" w:sz="4" w:space="0"/>
            </w:tcBorders>
            <w:noWrap w:val="0"/>
            <w:vAlign w:val="top"/>
          </w:tcPr>
          <w:p w14:paraId="1682E5C4">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69634F9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502267F0">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p>
        </w:tc>
        <w:tc>
          <w:tcPr>
            <w:tcW w:w="1722" w:type="dxa"/>
            <w:noWrap w:val="0"/>
            <w:vAlign w:val="top"/>
          </w:tcPr>
          <w:p w14:paraId="309DABC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3F9225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074BF753">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695B845A">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511EFF12">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4E7F192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34EBFD01">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6B1E5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463ED966">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00AF26DC">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192E9C39">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1AAF5933">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74B3445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05A8F0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110B6D87">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7375ACEC">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7637F2F4">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4F8E9C88">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6E2D49E1">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0B4569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60CC0B8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4DB9DC3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35A68EE6">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0AF746D7">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3ACE9DE0">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6DC40D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7F033248">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6BFC52FD">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6C20252E">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51F46D6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428DB560">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55B4BD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67F1E8C1">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0EB84C37">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1FFA27B0">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6055B28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28AEBB89">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7F504D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2DCCF7A5">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6BE54123">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768B39D5">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7BEB19E6">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1027C38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2680A0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7701060B">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4A2E2534">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1AF40F1D">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1C0BB91D">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74300E0D">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12220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noWrap w:val="0"/>
            <w:vAlign w:val="top"/>
          </w:tcPr>
          <w:p w14:paraId="77421F3B">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02DB819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2AB55537">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6FCC7C24">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3B6E7876">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r w14:paraId="05DA6F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noWrap w:val="0"/>
            <w:vAlign w:val="top"/>
          </w:tcPr>
          <w:p w14:paraId="02BE565B">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871" w:type="dxa"/>
            <w:tcBorders>
              <w:right w:val="single" w:color="auto" w:sz="4" w:space="0"/>
            </w:tcBorders>
            <w:noWrap w:val="0"/>
            <w:vAlign w:val="top"/>
          </w:tcPr>
          <w:p w14:paraId="5B460619">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410" w:type="dxa"/>
            <w:tcBorders>
              <w:left w:val="single" w:color="auto" w:sz="4" w:space="0"/>
            </w:tcBorders>
            <w:noWrap w:val="0"/>
            <w:vAlign w:val="top"/>
          </w:tcPr>
          <w:p w14:paraId="1347198F">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2268" w:type="dxa"/>
            <w:noWrap w:val="0"/>
            <w:vAlign w:val="top"/>
          </w:tcPr>
          <w:p w14:paraId="6E07386A">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c>
          <w:tcPr>
            <w:tcW w:w="1722" w:type="dxa"/>
            <w:noWrap w:val="0"/>
            <w:vAlign w:val="top"/>
          </w:tcPr>
          <w:p w14:paraId="6781CEEA">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p>
        </w:tc>
      </w:tr>
    </w:tbl>
    <w:p w14:paraId="213CD605">
      <w:pPr>
        <w:rPr>
          <w:color w:val="000000" w:themeColor="text1"/>
          <w14:textFill>
            <w14:solidFill>
              <w14:schemeClr w14:val="tx1"/>
            </w14:solidFill>
          </w14:textFill>
        </w:rPr>
        <w:sectPr>
          <w:pgSz w:w="11906" w:h="16838"/>
          <w:pgMar w:top="1474" w:right="1474" w:bottom="1474" w:left="1588" w:header="851" w:footer="992" w:gutter="0"/>
          <w:pgNumType w:fmt="decimal"/>
          <w:cols w:space="720" w:num="1"/>
          <w:docGrid w:type="lines" w:linePitch="312" w:charSpace="0"/>
        </w:sectPr>
      </w:pPr>
    </w:p>
    <w:p w14:paraId="7A7750A0">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68" w:name="_Toc107998028"/>
      <w:bookmarkStart w:id="169" w:name="_Toc8452"/>
      <w:r>
        <w:rPr>
          <w:rFonts w:hint="eastAsia" w:ascii="黑体" w:hAnsi="黑体" w:eastAsia="黑体"/>
          <w:b/>
          <w:bCs/>
          <w:color w:val="000000" w:themeColor="text1"/>
          <w:sz w:val="28"/>
          <w:szCs w:val="28"/>
          <w14:textFill>
            <w14:solidFill>
              <w14:schemeClr w14:val="tx1"/>
            </w14:solidFill>
          </w14:textFill>
        </w:rPr>
        <w:t>一、报价表及报价文件(格式)</w:t>
      </w:r>
      <w:bookmarkEnd w:id="168"/>
      <w:bookmarkEnd w:id="169"/>
    </w:p>
    <w:p w14:paraId="00B85DB6">
      <w:pPr>
        <w:keepNext/>
        <w:keepLines/>
        <w:spacing w:before="260" w:after="260" w:line="416" w:lineRule="auto"/>
        <w:outlineLvl w:val="2"/>
        <w:rPr>
          <w:rFonts w:ascii="宋体" w:hAnsi="宋体"/>
          <w:b/>
          <w:bCs/>
          <w:color w:val="000000" w:themeColor="text1"/>
          <w:szCs w:val="21"/>
          <w14:textFill>
            <w14:solidFill>
              <w14:schemeClr w14:val="tx1"/>
            </w14:solidFill>
          </w14:textFill>
        </w:rPr>
      </w:pPr>
      <w:bookmarkStart w:id="170" w:name="_Toc6396"/>
      <w:bookmarkStart w:id="171" w:name="_Toc107998029"/>
      <w:r>
        <w:rPr>
          <w:rFonts w:hint="eastAsia" w:ascii="宋体" w:hAnsi="宋体"/>
          <w:b/>
          <w:bCs/>
          <w:color w:val="000000" w:themeColor="text1"/>
          <w:szCs w:val="21"/>
          <w14:textFill>
            <w14:solidFill>
              <w14:schemeClr w14:val="tx1"/>
            </w14:solidFill>
          </w14:textFill>
        </w:rPr>
        <w:t>附件</w:t>
      </w:r>
      <w:r>
        <w:rPr>
          <w:rFonts w:ascii="宋体" w:hAnsi="宋体"/>
          <w:b/>
          <w:bCs/>
          <w:color w:val="000000" w:themeColor="text1"/>
          <w:szCs w:val="21"/>
          <w14:textFill>
            <w14:solidFill>
              <w14:schemeClr w14:val="tx1"/>
            </w14:solidFill>
          </w14:textFill>
        </w:rPr>
        <w:t>1</w:t>
      </w:r>
      <w:r>
        <w:rPr>
          <w:rFonts w:hint="eastAsia" w:ascii="宋体" w:hAnsi="宋体"/>
          <w:b/>
          <w:bCs/>
          <w:color w:val="000000" w:themeColor="text1"/>
          <w:szCs w:val="21"/>
          <w14:textFill>
            <w14:solidFill>
              <w14:schemeClr w14:val="tx1"/>
            </w14:solidFill>
          </w14:textFill>
        </w:rPr>
        <w:t>-1 报价表</w:t>
      </w:r>
      <w:bookmarkEnd w:id="170"/>
      <w:bookmarkEnd w:id="171"/>
    </w:p>
    <w:p w14:paraId="0D303DAC">
      <w:pPr>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报价表</w:t>
      </w:r>
    </w:p>
    <w:p w14:paraId="45E2C333">
      <w:pPr>
        <w:adjustRightInd w:val="0"/>
        <w:snapToGrid w:val="0"/>
        <w:spacing w:line="360" w:lineRule="auto"/>
        <w:ind w:left="-88" w:leftChars="-42"/>
        <w:jc w:val="center"/>
        <w:rPr>
          <w:rFonts w:ascii="仿宋_GB2312" w:hAnsi="宋体" w:eastAsia="仿宋_GB2312"/>
          <w:color w:val="000000" w:themeColor="text1"/>
          <w:sz w:val="24"/>
          <w14:textFill>
            <w14:solidFill>
              <w14:schemeClr w14:val="tx1"/>
            </w14:solidFill>
          </w14:textFill>
        </w:rPr>
      </w:pPr>
    </w:p>
    <w:p w14:paraId="2B3E70A3">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7DEEC88F">
      <w:pPr>
        <w:adjustRightInd w:val="0"/>
        <w:snapToGrid w:val="0"/>
        <w:spacing w:before="156" w:beforeLines="50"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012B41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6866850A">
            <w:pPr>
              <w:adjustRightInd w:val="0"/>
              <w:snapToGrid w:val="0"/>
              <w:spacing w:before="156" w:beforeLines="50" w:line="360" w:lineRule="auto"/>
              <w:jc w:val="center"/>
              <w:rPr>
                <w:rFonts w:ascii="宋体" w:hAnsi="宋体"/>
                <w:b/>
                <w:color w:val="000000" w:themeColor="text1"/>
                <w:kern w:val="0"/>
                <w:sz w:val="2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报价</w:t>
            </w:r>
          </w:p>
        </w:tc>
        <w:tc>
          <w:tcPr>
            <w:tcW w:w="3119" w:type="dxa"/>
            <w:noWrap w:val="0"/>
            <w:vAlign w:val="center"/>
          </w:tcPr>
          <w:p w14:paraId="7E2B155E">
            <w:pPr>
              <w:adjustRightInd w:val="0"/>
              <w:snapToGrid w:val="0"/>
              <w:spacing w:before="156" w:beforeLines="50" w:line="360" w:lineRule="auto"/>
              <w:jc w:val="center"/>
              <w:rPr>
                <w:rFonts w:ascii="宋体" w:hAnsi="宋体"/>
                <w:b/>
                <w:color w:val="000000" w:themeColor="text1"/>
                <w:kern w:val="0"/>
                <w:szCs w:val="21"/>
                <w:highlight w:val="none"/>
                <w14:textFill>
                  <w14:solidFill>
                    <w14:schemeClr w14:val="tx1"/>
                  </w14:solidFill>
                </w14:textFill>
              </w:rPr>
            </w:pPr>
            <w:r>
              <w:rPr>
                <w:rFonts w:hint="eastAsia" w:ascii="宋体" w:hAnsi="宋体"/>
                <w:b/>
                <w:color w:val="000000" w:themeColor="text1"/>
                <w:kern w:val="0"/>
                <w:szCs w:val="21"/>
                <w:highlight w:val="none"/>
                <w14:textFill>
                  <w14:solidFill>
                    <w14:schemeClr w14:val="tx1"/>
                  </w14:solidFill>
                </w14:textFill>
              </w:rPr>
              <w:t>其他内容</w:t>
            </w:r>
          </w:p>
        </w:tc>
      </w:tr>
      <w:tr w14:paraId="023A0F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3B36A817">
            <w:pPr>
              <w:adjustRightInd w:val="0"/>
              <w:snapToGrid w:val="0"/>
              <w:spacing w:before="156" w:beforeLines="50" w:line="360" w:lineRule="auto"/>
              <w:jc w:val="center"/>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小写金额：</w:t>
            </w:r>
            <w:r>
              <w:rPr>
                <w:rFonts w:hint="eastAsia" w:ascii="宋体" w:hAnsi="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46870230">
            <w:pPr>
              <w:adjustRightInd w:val="0"/>
              <w:snapToGrid w:val="0"/>
              <w:spacing w:before="156" w:beforeLines="50" w:line="360" w:lineRule="auto"/>
              <w:jc w:val="center"/>
              <w:rPr>
                <w:rFonts w:ascii="宋体" w:hAnsi="宋体"/>
                <w:color w:val="000000" w:themeColor="text1"/>
                <w:kern w:val="0"/>
                <w:szCs w:val="21"/>
                <w:highlight w:val="none"/>
                <w:u w:val="singl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大写金额：</w:t>
            </w:r>
            <w:r>
              <w:rPr>
                <w:rFonts w:hint="eastAsia" w:ascii="宋体" w:hAnsi="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 w:val="20"/>
                <w:szCs w:val="21"/>
                <w:highlight w:val="none"/>
                <w14:textFill>
                  <w14:solidFill>
                    <w14:schemeClr w14:val="tx1"/>
                  </w14:solidFill>
                </w14:textFill>
              </w:rPr>
              <w:t>人民币元</w:t>
            </w:r>
            <w:r>
              <w:rPr>
                <w:rFonts w:hint="eastAsia" w:ascii="宋体" w:hAnsi="宋体"/>
                <w:color w:val="000000" w:themeColor="text1"/>
                <w:kern w:val="0"/>
                <w:szCs w:val="21"/>
                <w:highlight w:val="none"/>
                <w14:textFill>
                  <w14:solidFill>
                    <w14:schemeClr w14:val="tx1"/>
                  </w14:solidFill>
                </w14:textFill>
              </w:rPr>
              <w:t>）</w:t>
            </w:r>
          </w:p>
          <w:p w14:paraId="3DF16D66">
            <w:pPr>
              <w:adjustRightInd w:val="0"/>
              <w:snapToGrid w:val="0"/>
              <w:spacing w:before="156" w:beforeLines="50" w:line="360" w:lineRule="auto"/>
              <w:jc w:val="center"/>
              <w:rPr>
                <w:rFonts w:ascii="宋体" w:hAnsi="宋体"/>
                <w:color w:val="000000" w:themeColor="text1"/>
                <w:kern w:val="0"/>
                <w:sz w:val="2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w:t>
            </w:r>
            <w:r>
              <w:rPr>
                <w:rFonts w:hint="eastAsia" w:ascii="黑体" w:hAnsi="黑体" w:eastAsia="黑体"/>
                <w:color w:val="000000" w:themeColor="text1"/>
                <w:kern w:val="0"/>
                <w:sz w:val="24"/>
                <w:highlight w:val="none"/>
                <w14:textFill>
                  <w14:solidFill>
                    <w14:schemeClr w14:val="tx1"/>
                  </w14:solidFill>
                </w14:textFill>
              </w:rPr>
              <w:t>大写金额与小写金额不一致时，以大写金额为准</w:t>
            </w:r>
            <w:r>
              <w:rPr>
                <w:rFonts w:hint="eastAsia" w:ascii="宋体" w:hAnsi="宋体"/>
                <w:color w:val="000000" w:themeColor="text1"/>
                <w:kern w:val="0"/>
                <w:szCs w:val="21"/>
                <w:highlight w:val="none"/>
                <w14:textFill>
                  <w14:solidFill>
                    <w14:schemeClr w14:val="tx1"/>
                  </w14:solidFill>
                </w14:textFill>
              </w:rPr>
              <w:t>）</w:t>
            </w:r>
          </w:p>
        </w:tc>
        <w:tc>
          <w:tcPr>
            <w:tcW w:w="3119" w:type="dxa"/>
            <w:noWrap w:val="0"/>
            <w:vAlign w:val="center"/>
          </w:tcPr>
          <w:p w14:paraId="5A41B371">
            <w:pPr>
              <w:adjustRightInd w:val="0"/>
              <w:snapToGrid w:val="0"/>
              <w:spacing w:before="156" w:beforeLines="50" w:line="360" w:lineRule="auto"/>
              <w:jc w:val="center"/>
              <w:rPr>
                <w:rFonts w:hint="default" w:ascii="宋体" w:hAnsi="宋体" w:eastAsia="宋体"/>
                <w:color w:val="000000" w:themeColor="text1"/>
                <w:kern w:val="0"/>
                <w:szCs w:val="21"/>
                <w:highlight w:val="none"/>
                <w:lang w:val="en-US" w:eastAsia="zh-CN"/>
                <w14:textFill>
                  <w14:solidFill>
                    <w14:schemeClr w14:val="tx1"/>
                  </w14:solidFill>
                </w14:textFill>
              </w:rPr>
            </w:pPr>
            <w:r>
              <w:rPr>
                <w:rFonts w:hint="eastAsia" w:ascii="宋体" w:hAnsi="宋体"/>
                <w:color w:val="000000" w:themeColor="text1"/>
                <w:kern w:val="0"/>
                <w:szCs w:val="21"/>
                <w:highlight w:val="none"/>
                <w:lang w:val="en-US" w:eastAsia="zh-CN"/>
                <w14:textFill>
                  <w14:solidFill>
                    <w14:schemeClr w14:val="tx1"/>
                  </w14:solidFill>
                </w14:textFill>
              </w:rPr>
              <w:t>服务期限3年。</w:t>
            </w:r>
          </w:p>
        </w:tc>
      </w:tr>
    </w:tbl>
    <w:p w14:paraId="53434869">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注：</w:t>
      </w:r>
      <w:r>
        <w:rPr>
          <w:rFonts w:hint="eastAsia" w:ascii="宋体" w:hAnsi="宋体"/>
          <w:color w:val="000000" w:themeColor="text1"/>
          <w:szCs w:val="21"/>
          <w:highlight w:val="none"/>
          <w14:textFill>
            <w14:solidFill>
              <w14:schemeClr w14:val="tx1"/>
            </w14:solidFill>
          </w14:textFill>
        </w:rPr>
        <w:t>本表须按包填写，一个“包号”一份。</w:t>
      </w:r>
    </w:p>
    <w:p w14:paraId="51CFDF69">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3731F18E">
      <w:pPr>
        <w:adjustRightInd w:val="0"/>
        <w:snapToGrid w:val="0"/>
        <w:spacing w:line="360" w:lineRule="auto"/>
        <w:rPr>
          <w:rFonts w:ascii="宋体" w:hAnsi="宋体"/>
          <w:color w:val="000000" w:themeColor="text1"/>
          <w:szCs w:val="21"/>
          <w14:textFill>
            <w14:solidFill>
              <w14:schemeClr w14:val="tx1"/>
            </w14:solidFill>
          </w14:textFill>
        </w:rPr>
      </w:pPr>
    </w:p>
    <w:p w14:paraId="2AE39FD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25C97B3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796BEAB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DD7DA5A">
      <w:pPr>
        <w:adjustRightInd w:val="0"/>
        <w:snapToGrid w:val="0"/>
        <w:jc w:val="center"/>
        <w:rPr>
          <w:rFonts w:ascii="黑体" w:hAnsi="黑体" w:eastAsia="黑体"/>
          <w:bCs/>
          <w:color w:val="000000" w:themeColor="text1"/>
          <w:sz w:val="30"/>
          <w:szCs w:val="30"/>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332B84C6">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72" w:name="_Toc107998033"/>
      <w:bookmarkStart w:id="173" w:name="_Toc25308"/>
      <w:r>
        <w:rPr>
          <w:rFonts w:hint="eastAsia" w:ascii="黑体" w:hAnsi="黑体" w:eastAsia="黑体"/>
          <w:b/>
          <w:bCs/>
          <w:color w:val="000000" w:themeColor="text1"/>
          <w:sz w:val="28"/>
          <w:szCs w:val="28"/>
          <w14:textFill>
            <w14:solidFill>
              <w14:schemeClr w14:val="tx1"/>
            </w14:solidFill>
          </w14:textFill>
        </w:rPr>
        <w:t>二、谈判响应声明(格式)</w:t>
      </w:r>
      <w:bookmarkEnd w:id="172"/>
      <w:bookmarkEnd w:id="173"/>
    </w:p>
    <w:p w14:paraId="4C92CE1E">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致</w:t>
      </w:r>
      <w:r>
        <w:rPr>
          <w:rFonts w:hint="eastAsia" w:ascii="宋体" w:hAnsi="宋体"/>
          <w:color w:val="000000" w:themeColor="text1"/>
          <w:szCs w:val="21"/>
          <w:u w:val="single"/>
          <w14:textFill>
            <w14:solidFill>
              <w14:schemeClr w14:val="tx1"/>
            </w14:solidFill>
          </w14:textFill>
        </w:rPr>
        <w:t xml:space="preserve"> (采购人、采购代理机构)</w:t>
      </w:r>
      <w:r>
        <w:rPr>
          <w:rFonts w:hint="eastAsia" w:ascii="宋体" w:hAnsi="宋体"/>
          <w:color w:val="000000" w:themeColor="text1"/>
          <w:szCs w:val="21"/>
          <w14:textFill>
            <w14:solidFill>
              <w14:schemeClr w14:val="tx1"/>
            </w14:solidFill>
          </w14:textFill>
        </w:rPr>
        <w:t>：</w:t>
      </w:r>
    </w:p>
    <w:p w14:paraId="218F2398">
      <w:pPr>
        <w:adjustRightInd w:val="0"/>
        <w:snapToGrid w:val="0"/>
        <w:spacing w:before="156" w:beforeLines="50" w:line="360" w:lineRule="auto"/>
        <w:ind w:firstLine="43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根据贵方为</w:t>
      </w:r>
      <w:r>
        <w:rPr>
          <w:rFonts w:hint="eastAsia" w:ascii="宋体" w:hAnsi="宋体"/>
          <w:color w:val="000000" w:themeColor="text1"/>
          <w:szCs w:val="21"/>
          <w:u w:val="single"/>
          <w14:textFill>
            <w14:solidFill>
              <w14:schemeClr w14:val="tx1"/>
            </w14:solidFill>
          </w14:textFill>
        </w:rPr>
        <w:t>（项目名称）</w:t>
      </w:r>
      <w:r>
        <w:rPr>
          <w:rFonts w:hint="eastAsia" w:ascii="宋体" w:hAnsi="宋体"/>
          <w:color w:val="000000" w:themeColor="text1"/>
          <w:szCs w:val="21"/>
          <w14:textFill>
            <w14:solidFill>
              <w14:schemeClr w14:val="tx1"/>
            </w14:solidFill>
          </w14:textFill>
        </w:rPr>
        <w:t>的谈判邀请（</w:t>
      </w:r>
      <w:r>
        <w:rPr>
          <w:rFonts w:hint="eastAsia" w:ascii="宋体" w:hAnsi="宋体"/>
          <w:color w:val="000000" w:themeColor="text1"/>
          <w14:textFill>
            <w14:solidFill>
              <w14:schemeClr w14:val="tx1"/>
            </w14:solidFill>
          </w14:textFill>
        </w:rPr>
        <w:t>政府采购计划编号</w:t>
      </w:r>
      <w:r>
        <w:rPr>
          <w:rFonts w:hint="eastAsia" w:ascii="宋体" w:hAnsi="宋体"/>
          <w:iCs/>
          <w:color w:val="000000" w:themeColor="text1"/>
          <w14:textFill>
            <w14:solidFill>
              <w14:schemeClr w14:val="tx1"/>
            </w14:solidFill>
          </w14:textFill>
        </w:rPr>
        <w:t>：</w:t>
      </w:r>
      <w:r>
        <w:rPr>
          <w:rFonts w:hint="eastAsia" w:ascii="宋体" w:hAnsi="宋体"/>
          <w:iCs/>
          <w:color w:val="000000" w:themeColor="text1"/>
          <w:u w:val="single"/>
          <w14:textFill>
            <w14:solidFill>
              <w14:schemeClr w14:val="tx1"/>
            </w14:solidFill>
          </w14:textFill>
        </w:rPr>
        <w:t xml:space="preserve">           </w:t>
      </w:r>
      <w:r>
        <w:rPr>
          <w:rFonts w:hint="eastAsia" w:ascii="宋体" w:hAnsi="宋体"/>
          <w:iCs/>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委托代理编号：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），签字代表</w:t>
      </w:r>
      <w:r>
        <w:rPr>
          <w:rFonts w:hint="eastAsia" w:ascii="宋体" w:hAnsi="宋体"/>
          <w:color w:val="000000" w:themeColor="text1"/>
          <w:szCs w:val="21"/>
          <w:u w:val="single"/>
          <w14:textFill>
            <w14:solidFill>
              <w14:schemeClr w14:val="tx1"/>
            </w14:solidFill>
          </w14:textFill>
        </w:rPr>
        <w:t xml:space="preserve"> （姓名、职务）</w:t>
      </w:r>
      <w:r>
        <w:rPr>
          <w:rFonts w:hint="eastAsia" w:ascii="宋体" w:hAnsi="宋体"/>
          <w:color w:val="000000" w:themeColor="text1"/>
          <w:szCs w:val="21"/>
          <w14:textFill>
            <w14:solidFill>
              <w14:schemeClr w14:val="tx1"/>
            </w14:solidFill>
          </w14:textFill>
        </w:rPr>
        <w:t>经正式授权并代表供应商</w:t>
      </w:r>
      <w:r>
        <w:rPr>
          <w:rFonts w:hint="eastAsia" w:ascii="宋体" w:hAnsi="宋体"/>
          <w:color w:val="000000" w:themeColor="text1"/>
          <w:szCs w:val="21"/>
          <w:u w:val="single"/>
          <w14:textFill>
            <w14:solidFill>
              <w14:schemeClr w14:val="tx1"/>
            </w14:solidFill>
          </w14:textFill>
        </w:rPr>
        <w:t xml:space="preserve"> （供应商名称）</w:t>
      </w:r>
      <w:r>
        <w:rPr>
          <w:rFonts w:hint="eastAsia" w:ascii="宋体" w:hAnsi="宋体"/>
          <w:color w:val="000000" w:themeColor="text1"/>
          <w:szCs w:val="21"/>
          <w14:textFill>
            <w14:solidFill>
              <w14:schemeClr w14:val="tx1"/>
            </w14:solidFill>
          </w14:textFill>
        </w:rPr>
        <w:t>提交响应文件正本一份,副本</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份；响应文件电子文档：一份，参加采购项目第</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包谈判，并在此声明，所递交的响应文件内容完整、真实。</w:t>
      </w:r>
    </w:p>
    <w:p w14:paraId="4E743360">
      <w:pPr>
        <w:adjustRightInd w:val="0"/>
        <w:snapToGrid w:val="0"/>
        <w:spacing w:before="156" w:beforeLines="50"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一、我方已详细审查谈判文件。我们完全理解并同意放弃对这方面有不明及误解的权力。</w:t>
      </w:r>
    </w:p>
    <w:p w14:paraId="451EF05A">
      <w:pPr>
        <w:adjustRightInd w:val="0"/>
        <w:snapToGrid w:val="0"/>
        <w:spacing w:before="156" w:beforeLines="50" w:line="360" w:lineRule="auto"/>
        <w:ind w:firstLine="420" w:firstLineChars="200"/>
        <w:rPr>
          <w:rFonts w:ascii="宋体" w:hAnsi="宋体" w:cs="Courier New"/>
          <w:bCs/>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二、我方愿意向贵方提供任何与本项采购有关的数据、情况和技术资料。若贵方需要，我方愿意提供我方作出的一切承诺的证明材料。</w:t>
      </w:r>
    </w:p>
    <w:p w14:paraId="0E6E6300">
      <w:pPr>
        <w:adjustRightInd w:val="0"/>
        <w:snapToGrid w:val="0"/>
        <w:spacing w:before="156" w:beforeLines="50"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三、我方愿意按谈判文件规定和谈判小组要求重新提交响应文件和最后报价。</w:t>
      </w:r>
    </w:p>
    <w:p w14:paraId="22CB33B1">
      <w:pPr>
        <w:adjustRightInd w:val="0"/>
        <w:snapToGrid w:val="0"/>
        <w:spacing w:before="156" w:beforeLines="50"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四、我方同意在谈判文件中规定的提交首次响应文件截止时间起</w:t>
      </w:r>
      <w:r>
        <w:rPr>
          <w:rFonts w:hint="eastAsia" w:ascii="宋体" w:hAnsi="宋体" w:cs="Courier New"/>
          <w:color w:val="000000" w:themeColor="text1"/>
          <w:szCs w:val="21"/>
          <w:u w:val="single"/>
          <w:lang w:val="en-US" w:eastAsia="zh-CN"/>
          <w14:textFill>
            <w14:solidFill>
              <w14:schemeClr w14:val="tx1"/>
            </w14:solidFill>
          </w14:textFill>
        </w:rPr>
        <w:t xml:space="preserve">     </w:t>
      </w:r>
      <w:r>
        <w:rPr>
          <w:rFonts w:hint="eastAsia" w:ascii="宋体" w:hAnsi="宋体" w:cs="Courier New"/>
          <w:color w:val="000000" w:themeColor="text1"/>
          <w:szCs w:val="21"/>
          <w14:textFill>
            <w14:solidFill>
              <w14:schemeClr w14:val="tx1"/>
            </w14:solidFill>
          </w14:textFill>
        </w:rPr>
        <w:t>日内(响应文件有效期)遵守本响应文件中的承诺且在此期限期满之前均具有法律约束力。</w:t>
      </w:r>
    </w:p>
    <w:p w14:paraId="497BEF92">
      <w:pPr>
        <w:adjustRightInd w:val="0"/>
        <w:snapToGrid w:val="0"/>
        <w:spacing w:before="156" w:beforeLines="50"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五、我方承诺遵守《政府采购法》及实施条例、《政府采购非招标方式管理办法》（财政部第74号令）的有关规定，保证在获得成交资格后，按照谈判文件确定的事项签订政府采购合同，履行双方所签订的合同，并承担合同规定的责任和义务。</w:t>
      </w:r>
    </w:p>
    <w:p w14:paraId="59161644">
      <w:pPr>
        <w:adjustRightInd w:val="0"/>
        <w:snapToGrid w:val="0"/>
        <w:spacing w:before="156" w:beforeLines="50" w:line="360" w:lineRule="auto"/>
        <w:ind w:firstLine="420" w:firstLineChars="200"/>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六、我方承诺在参与竞争性谈判过程中，若出现《政府采购法》第七十七条、《政府采购法实施条例》第七十二条和《政府采购非招标方式管理办法》第五十四条规定之情形，我方同意接受条款规定作出的处罚。</w:t>
      </w:r>
    </w:p>
    <w:p w14:paraId="0E24C27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七、我方的联系方式：</w:t>
      </w:r>
    </w:p>
    <w:p w14:paraId="155BD780">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；邮编：</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；电话：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；电子邮箱：</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49887CB5">
      <w:pPr>
        <w:adjustRightInd w:val="0"/>
        <w:snapToGrid w:val="0"/>
        <w:spacing w:before="156" w:beforeLines="50" w:line="360" w:lineRule="auto"/>
        <w:rPr>
          <w:rFonts w:ascii="宋体" w:hAnsi="宋体" w:cs="Courier New"/>
          <w:color w:val="000000" w:themeColor="text1"/>
          <w:szCs w:val="21"/>
          <w14:textFill>
            <w14:solidFill>
              <w14:schemeClr w14:val="tx1"/>
            </w14:solidFill>
          </w14:textFill>
        </w:rPr>
      </w:pPr>
    </w:p>
    <w:p w14:paraId="0733BB9A">
      <w:pPr>
        <w:adjustRightInd w:val="0"/>
        <w:snapToGrid w:val="0"/>
        <w:spacing w:before="156" w:beforeLines="50" w:line="360" w:lineRule="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供应商名称(盖单位公章)：</w:t>
      </w:r>
    </w:p>
    <w:p w14:paraId="33B46AC0">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5DDAFBBB">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3F993FC7">
      <w:pPr>
        <w:adjustRightInd w:val="0"/>
        <w:snapToGrid w:val="0"/>
        <w:spacing w:before="156" w:beforeLines="50" w:line="360" w:lineRule="auto"/>
        <w:rPr>
          <w:rFonts w:ascii="宋体" w:hAnsi="宋体"/>
          <w:color w:val="000000" w:themeColor="text1"/>
          <w:szCs w:val="2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06F3701D">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74" w:name="_Toc107998034"/>
      <w:bookmarkStart w:id="175" w:name="_Toc20117"/>
      <w:r>
        <w:rPr>
          <w:rFonts w:hint="eastAsia" w:ascii="黑体" w:hAnsi="黑体" w:eastAsia="黑体"/>
          <w:b/>
          <w:bCs/>
          <w:color w:val="000000" w:themeColor="text1"/>
          <w:sz w:val="28"/>
          <w:szCs w:val="28"/>
          <w14:textFill>
            <w14:solidFill>
              <w14:schemeClr w14:val="tx1"/>
            </w14:solidFill>
          </w14:textFill>
        </w:rPr>
        <w:t>三、保证金</w:t>
      </w:r>
      <w:bookmarkEnd w:id="174"/>
      <w:bookmarkEnd w:id="175"/>
    </w:p>
    <w:p w14:paraId="58FE6536">
      <w:pPr>
        <w:autoSpaceDE w:val="0"/>
        <w:autoSpaceDN w:val="0"/>
        <w:adjustRightInd w:val="0"/>
        <w:jc w:val="center"/>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b w:val="0"/>
          <w:bCs/>
          <w:color w:val="000000" w:themeColor="text1"/>
          <w:sz w:val="28"/>
          <w:szCs w:val="28"/>
          <w:lang w:eastAsia="zh-CN"/>
          <w14:textFill>
            <w14:solidFill>
              <w14:schemeClr w14:val="tx1"/>
            </w14:solidFill>
          </w14:textFill>
        </w:rPr>
        <w:t>（本项目不需要提供）</w:t>
      </w:r>
    </w:p>
    <w:p w14:paraId="28E2A523">
      <w:pPr>
        <w:adjustRightInd w:val="0"/>
        <w:snapToGrid w:val="0"/>
        <w:spacing w:before="156" w:beforeLines="50" w:line="360" w:lineRule="auto"/>
        <w:ind w:firstLine="420" w:firstLineChars="200"/>
        <w:jc w:val="left"/>
        <w:rPr>
          <w:rFonts w:ascii="宋体" w:hAnsi="宋体"/>
          <w:color w:val="000000" w:themeColor="text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7583B798">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76" w:name="_Toc21328"/>
      <w:bookmarkStart w:id="177" w:name="_Toc107998035"/>
      <w:r>
        <w:rPr>
          <w:rFonts w:hint="eastAsia" w:ascii="黑体" w:hAnsi="黑体" w:eastAsia="黑体"/>
          <w:b/>
          <w:bCs/>
          <w:color w:val="000000" w:themeColor="text1"/>
          <w:sz w:val="28"/>
          <w:szCs w:val="28"/>
          <w14:textFill>
            <w14:solidFill>
              <w14:schemeClr w14:val="tx1"/>
            </w14:solidFill>
          </w14:textFill>
        </w:rPr>
        <w:t>四、授权委托书(格式)</w:t>
      </w:r>
      <w:bookmarkEnd w:id="176"/>
      <w:bookmarkEnd w:id="177"/>
    </w:p>
    <w:p w14:paraId="26908D05">
      <w:pPr>
        <w:autoSpaceDE w:val="0"/>
        <w:autoSpaceDN w:val="0"/>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p>
    <w:p w14:paraId="37B5A645">
      <w:pPr>
        <w:autoSpaceDE w:val="0"/>
        <w:autoSpaceDN w:val="0"/>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hint="eastAsia" w:ascii="宋体" w:hAnsi="宋体" w:cs="宋体"/>
          <w:color w:val="000000" w:themeColor="text1"/>
          <w:kern w:val="0"/>
          <w:szCs w:val="21"/>
          <w:u w:val="single"/>
          <w14:textFill>
            <w14:solidFill>
              <w14:schemeClr w14:val="tx1"/>
            </w14:solidFill>
          </w14:textFill>
        </w:rPr>
        <w:t>（姓名、职务）</w:t>
      </w:r>
      <w:r>
        <w:rPr>
          <w:rFonts w:hint="eastAsia" w:ascii="宋体" w:hAnsi="宋体" w:cs="宋体"/>
          <w:color w:val="000000" w:themeColor="text1"/>
          <w:kern w:val="0"/>
          <w:szCs w:val="21"/>
          <w14:textFill>
            <w14:solidFill>
              <w14:schemeClr w14:val="tx1"/>
            </w14:solidFill>
          </w14:textFill>
        </w:rPr>
        <w:t xml:space="preserve">系 </w:t>
      </w:r>
      <w:r>
        <w:rPr>
          <w:rFonts w:hint="eastAsia" w:ascii="宋体" w:hAnsi="宋体" w:cs="宋体"/>
          <w:color w:val="000000" w:themeColor="text1"/>
          <w:kern w:val="0"/>
          <w:szCs w:val="21"/>
          <w:u w:val="single"/>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供应商</w:t>
      </w:r>
      <w:r>
        <w:rPr>
          <w:rFonts w:hint="eastAsia" w:ascii="宋体" w:hAnsi="宋体" w:cs="宋体"/>
          <w:color w:val="000000" w:themeColor="text1"/>
          <w:kern w:val="0"/>
          <w:szCs w:val="21"/>
          <w:u w:val="single"/>
          <w14:textFill>
            <w14:solidFill>
              <w14:schemeClr w14:val="tx1"/>
            </w14:solidFill>
          </w14:textFill>
        </w:rPr>
        <w:t>名称）</w:t>
      </w:r>
      <w:r>
        <w:rPr>
          <w:rFonts w:hint="eastAsia" w:ascii="宋体" w:hAnsi="宋体" w:cs="宋体"/>
          <w:color w:val="000000" w:themeColor="text1"/>
          <w:kern w:val="0"/>
          <w:szCs w:val="21"/>
          <w14:textFill>
            <w14:solidFill>
              <w14:schemeClr w14:val="tx1"/>
            </w14:solidFill>
          </w14:textFill>
        </w:rPr>
        <w:t>的法定代表人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，现授权</w:t>
      </w:r>
      <w:r>
        <w:rPr>
          <w:rFonts w:hint="eastAsia" w:ascii="宋体" w:hAnsi="宋体" w:cs="宋体"/>
          <w:color w:val="000000" w:themeColor="text1"/>
          <w:kern w:val="0"/>
          <w:szCs w:val="21"/>
          <w:u w:val="single"/>
          <w14:textFill>
            <w14:solidFill>
              <w14:schemeClr w14:val="tx1"/>
            </w14:solidFill>
          </w14:textFill>
        </w:rPr>
        <w:t>（姓名、职务）</w:t>
      </w:r>
      <w:r>
        <w:rPr>
          <w:rFonts w:hint="eastAsia" w:ascii="宋体" w:hAnsi="宋体" w:cs="宋体"/>
          <w:color w:val="000000" w:themeColor="text1"/>
          <w:kern w:val="0"/>
          <w:szCs w:val="21"/>
          <w14:textFill>
            <w14:solidFill>
              <w14:schemeClr w14:val="tx1"/>
            </w14:solidFill>
          </w14:textFill>
        </w:rPr>
        <w:t>为我方代理人。代理人根据授权，以我方名义：(1)签署、澄清、补正、修改、撤回、提交</w:t>
      </w:r>
      <w:r>
        <w:rPr>
          <w:rFonts w:hint="eastAsia" w:ascii="宋体" w:hAnsi="宋体" w:cs="宋体"/>
          <w:color w:val="000000" w:themeColor="text1"/>
          <w:kern w:val="0"/>
          <w:szCs w:val="21"/>
          <w:u w:val="single"/>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政府采购计划编号</w:t>
      </w:r>
      <w:r>
        <w:rPr>
          <w:rFonts w:hint="eastAsia" w:ascii="宋体" w:hAnsi="宋体" w:cs="宋体"/>
          <w:color w:val="000000" w:themeColor="text1"/>
          <w:kern w:val="0"/>
          <w:szCs w:val="21"/>
          <w:u w:val="single"/>
          <w14:textFill>
            <w14:solidFill>
              <w14:schemeClr w14:val="tx1"/>
            </w14:solidFill>
          </w14:textFill>
        </w:rPr>
        <w:t>、委托代理编号）</w:t>
      </w:r>
      <w:r>
        <w:rPr>
          <w:rFonts w:hint="eastAsia" w:ascii="宋体" w:hAnsi="宋体" w:cs="宋体"/>
          <w:color w:val="000000" w:themeColor="text1"/>
          <w:kern w:val="0"/>
          <w:szCs w:val="21"/>
          <w14:textFill>
            <w14:solidFill>
              <w14:schemeClr w14:val="tx1"/>
            </w14:solidFill>
          </w14:textFill>
        </w:rPr>
        <w:t>响应文件；(2)签署并重新提交响应文件及最后报价；(3)退出谈判（如可能）；(4)签订合同和处理有关事宜，其法律后果由我方承担。</w:t>
      </w:r>
    </w:p>
    <w:p w14:paraId="4E36CF35">
      <w:pPr>
        <w:autoSpaceDE w:val="0"/>
        <w:autoSpaceDN w:val="0"/>
        <w:adjustRightInd w:val="0"/>
        <w:snapToGrid w:val="0"/>
        <w:spacing w:before="156" w:beforeLines="50"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74A7F7E1">
      <w:pPr>
        <w:adjustRightInd w:val="0"/>
        <w:snapToGrid w:val="0"/>
        <w:spacing w:before="156" w:beforeLines="50" w:line="36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4306C3C9">
      <w:pPr>
        <w:adjustRightInd w:val="0"/>
        <w:snapToGrid w:val="0"/>
        <w:spacing w:before="156" w:beforeLines="50" w:line="360" w:lineRule="auto"/>
        <w:ind w:firstLine="435"/>
        <w:rPr>
          <w:rFonts w:ascii="宋体" w:hAnsi="宋体" w:cs="微软雅黑"/>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日签字生效，特此声明。</w:t>
      </w:r>
    </w:p>
    <w:tbl>
      <w:tblPr>
        <w:tblStyle w:val="18"/>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DEC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63DDFF6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委托代理人身份证（正面）</w:t>
            </w:r>
            <w:r>
              <w:rPr>
                <w:rFonts w:hint="eastAsia" w:ascii="宋体" w:hAnsi="宋体" w:eastAsia="宋体" w:cs="微软雅黑"/>
                <w:color w:val="000000" w:themeColor="text1"/>
                <w:spacing w:val="-2"/>
                <w:kern w:val="0"/>
                <w:szCs w:val="21"/>
                <w14:textFill>
                  <w14:solidFill>
                    <w14:schemeClr w14:val="tx1"/>
                  </w14:solidFill>
                </w14:textFill>
              </w:rPr>
              <w:t>复</w:t>
            </w:r>
            <w:r>
              <w:rPr>
                <w:rFonts w:hint="eastAsia" w:ascii="宋体" w:hAnsi="宋体" w:eastAsia="宋体" w:cs="微软雅黑"/>
                <w:color w:val="000000" w:themeColor="text1"/>
                <w:kern w:val="0"/>
                <w:szCs w:val="21"/>
                <w14:textFill>
                  <w14:solidFill>
                    <w14:schemeClr w14:val="tx1"/>
                  </w14:solidFill>
                </w14:textFill>
              </w:rPr>
              <w:t>印</w:t>
            </w:r>
            <w:r>
              <w:rPr>
                <w:rFonts w:hint="eastAsia" w:ascii="宋体" w:hAnsi="宋体" w:eastAsia="宋体" w:cs="微软雅黑"/>
                <w:color w:val="000000" w:themeColor="text1"/>
                <w:spacing w:val="-2"/>
                <w:kern w:val="0"/>
                <w:szCs w:val="21"/>
                <w14:textFill>
                  <w14:solidFill>
                    <w14:schemeClr w14:val="tx1"/>
                  </w14:solidFill>
                </w14:textFill>
              </w:rPr>
              <w:t>件</w:t>
            </w:r>
          </w:p>
        </w:tc>
        <w:tc>
          <w:tcPr>
            <w:tcW w:w="3899" w:type="dxa"/>
            <w:noWrap w:val="0"/>
            <w:vAlign w:val="center"/>
          </w:tcPr>
          <w:p w14:paraId="73DBDDE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委托代理人身份证（反面）</w:t>
            </w:r>
            <w:r>
              <w:rPr>
                <w:rFonts w:hint="eastAsia" w:ascii="宋体" w:hAnsi="宋体" w:eastAsia="宋体" w:cs="微软雅黑"/>
                <w:color w:val="000000" w:themeColor="text1"/>
                <w:spacing w:val="-2"/>
                <w:kern w:val="0"/>
                <w:szCs w:val="21"/>
                <w14:textFill>
                  <w14:solidFill>
                    <w14:schemeClr w14:val="tx1"/>
                  </w14:solidFill>
                </w14:textFill>
              </w:rPr>
              <w:t>复</w:t>
            </w:r>
            <w:r>
              <w:rPr>
                <w:rFonts w:hint="eastAsia" w:ascii="宋体" w:hAnsi="宋体" w:eastAsia="宋体" w:cs="微软雅黑"/>
                <w:color w:val="000000" w:themeColor="text1"/>
                <w:kern w:val="0"/>
                <w:szCs w:val="21"/>
                <w14:textFill>
                  <w14:solidFill>
                    <w14:schemeClr w14:val="tx1"/>
                  </w14:solidFill>
                </w14:textFill>
              </w:rPr>
              <w:t>印</w:t>
            </w:r>
            <w:r>
              <w:rPr>
                <w:rFonts w:hint="eastAsia" w:ascii="宋体" w:hAnsi="宋体" w:eastAsia="宋体" w:cs="微软雅黑"/>
                <w:color w:val="000000" w:themeColor="text1"/>
                <w:spacing w:val="-2"/>
                <w:kern w:val="0"/>
                <w:szCs w:val="21"/>
                <w14:textFill>
                  <w14:solidFill>
                    <w14:schemeClr w14:val="tx1"/>
                  </w14:solidFill>
                </w14:textFill>
              </w:rPr>
              <w:t>件</w:t>
            </w:r>
          </w:p>
        </w:tc>
      </w:tr>
      <w:tr w14:paraId="6E38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035BCA2F">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法定代表人身份证（正面）</w:t>
            </w:r>
            <w:r>
              <w:rPr>
                <w:rFonts w:hint="eastAsia" w:ascii="宋体" w:hAnsi="宋体" w:eastAsia="宋体" w:cs="微软雅黑"/>
                <w:color w:val="000000" w:themeColor="text1"/>
                <w:spacing w:val="-2"/>
                <w:kern w:val="0"/>
                <w:szCs w:val="21"/>
                <w14:textFill>
                  <w14:solidFill>
                    <w14:schemeClr w14:val="tx1"/>
                  </w14:solidFill>
                </w14:textFill>
              </w:rPr>
              <w:t>复</w:t>
            </w:r>
            <w:r>
              <w:rPr>
                <w:rFonts w:hint="eastAsia" w:ascii="宋体" w:hAnsi="宋体" w:eastAsia="宋体" w:cs="微软雅黑"/>
                <w:color w:val="000000" w:themeColor="text1"/>
                <w:kern w:val="0"/>
                <w:szCs w:val="21"/>
                <w14:textFill>
                  <w14:solidFill>
                    <w14:schemeClr w14:val="tx1"/>
                  </w14:solidFill>
                </w14:textFill>
              </w:rPr>
              <w:t>印</w:t>
            </w:r>
            <w:r>
              <w:rPr>
                <w:rFonts w:hint="eastAsia" w:ascii="宋体" w:hAnsi="宋体" w:eastAsia="宋体" w:cs="微软雅黑"/>
                <w:color w:val="000000" w:themeColor="text1"/>
                <w:spacing w:val="-2"/>
                <w:kern w:val="0"/>
                <w:szCs w:val="21"/>
                <w14:textFill>
                  <w14:solidFill>
                    <w14:schemeClr w14:val="tx1"/>
                  </w14:solidFill>
                </w14:textFill>
              </w:rPr>
              <w:t>件</w:t>
            </w:r>
          </w:p>
        </w:tc>
        <w:tc>
          <w:tcPr>
            <w:tcW w:w="3899" w:type="dxa"/>
            <w:noWrap w:val="0"/>
            <w:vAlign w:val="center"/>
          </w:tcPr>
          <w:p w14:paraId="00A1E43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法定代表人身份证（反面）</w:t>
            </w:r>
            <w:r>
              <w:rPr>
                <w:rFonts w:hint="eastAsia" w:ascii="宋体" w:hAnsi="宋体" w:eastAsia="宋体" w:cs="微软雅黑"/>
                <w:color w:val="000000" w:themeColor="text1"/>
                <w:spacing w:val="-2"/>
                <w:kern w:val="0"/>
                <w:szCs w:val="21"/>
                <w14:textFill>
                  <w14:solidFill>
                    <w14:schemeClr w14:val="tx1"/>
                  </w14:solidFill>
                </w14:textFill>
              </w:rPr>
              <w:t>复</w:t>
            </w:r>
            <w:r>
              <w:rPr>
                <w:rFonts w:hint="eastAsia" w:ascii="宋体" w:hAnsi="宋体" w:eastAsia="宋体" w:cs="微软雅黑"/>
                <w:color w:val="000000" w:themeColor="text1"/>
                <w:kern w:val="0"/>
                <w:szCs w:val="21"/>
                <w14:textFill>
                  <w14:solidFill>
                    <w14:schemeClr w14:val="tx1"/>
                  </w14:solidFill>
                </w14:textFill>
              </w:rPr>
              <w:t>印</w:t>
            </w:r>
            <w:r>
              <w:rPr>
                <w:rFonts w:hint="eastAsia" w:ascii="宋体" w:hAnsi="宋体" w:eastAsia="宋体" w:cs="微软雅黑"/>
                <w:color w:val="000000" w:themeColor="text1"/>
                <w:spacing w:val="-2"/>
                <w:kern w:val="0"/>
                <w:szCs w:val="21"/>
                <w14:textFill>
                  <w14:solidFill>
                    <w14:schemeClr w14:val="tx1"/>
                  </w14:solidFill>
                </w14:textFill>
              </w:rPr>
              <w:t>件</w:t>
            </w:r>
          </w:p>
        </w:tc>
      </w:tr>
    </w:tbl>
    <w:p w14:paraId="6E07B624">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618DEF6C">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5160C193">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注：供应商代表不是供应商的法定代表人（单位负责人）的提供。</w:t>
      </w:r>
    </w:p>
    <w:p w14:paraId="0CF47F31">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3FD23E9F">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4D28A166">
      <w:pPr>
        <w:adjustRightInd w:val="0"/>
        <w:snapToGrid w:val="0"/>
        <w:spacing w:before="156" w:beforeLines="50" w:line="360" w:lineRule="auto"/>
        <w:rPr>
          <w:rFonts w:ascii="宋体" w:hAnsi="宋体" w:cs="Courier New"/>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供应商名称(盖单位公章)：</w:t>
      </w:r>
    </w:p>
    <w:p w14:paraId="4CB27AB7">
      <w:pPr>
        <w:adjustRightInd w:val="0"/>
        <w:snapToGrid w:val="0"/>
        <w:spacing w:before="156" w:beforeLines="50" w:line="360" w:lineRule="auto"/>
        <w:rPr>
          <w:rFonts w:ascii="宋体" w:hAnsi="宋体" w:cs="微软雅黑"/>
          <w:color w:val="000000" w:themeColor="text1"/>
          <w:spacing w:val="-2"/>
          <w:kern w:val="0"/>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（签字或印章）：</w:t>
      </w:r>
    </w:p>
    <w:p w14:paraId="466CF172">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委托代理人（签字或印章）：</w:t>
      </w:r>
    </w:p>
    <w:p w14:paraId="034DBC44">
      <w:pPr>
        <w:adjustRightInd w:val="0"/>
        <w:snapToGrid w:val="0"/>
        <w:spacing w:before="156" w:beforeLines="5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541D5293">
      <w:pPr>
        <w:adjustRightInd w:val="0"/>
        <w:snapToGrid w:val="0"/>
        <w:spacing w:before="156" w:beforeLines="50" w:line="360" w:lineRule="auto"/>
        <w:rPr>
          <w:rFonts w:ascii="宋体" w:hAnsi="宋体"/>
          <w:color w:val="000000" w:themeColor="text1"/>
          <w:szCs w:val="2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r>
        <w:rPr>
          <w:rFonts w:hint="eastAsia" w:ascii="宋体" w:hAnsi="宋体" w:eastAsia="宋体" w:cs="Times New Roman"/>
          <w:b/>
          <w:bCs/>
          <w:color w:val="000000"/>
          <w:kern w:val="2"/>
          <w:sz w:val="21"/>
          <w:szCs w:val="21"/>
          <w:lang w:val="en-US" w:eastAsia="zh-CN" w:bidi="ar-SA"/>
        </w:rPr>
        <w:t>说明：由授权委托代理人参加开标会议的，请按第二章谈判须知的规定另行准备授权委托书、法定代表人身份证明原件一份，在参加谈判时单独提交</w:t>
      </w:r>
      <w:r>
        <w:rPr>
          <w:rFonts w:ascii="宋体" w:hAnsi="宋体"/>
          <w:color w:val="000000" w:themeColor="text1"/>
          <w14:textFill>
            <w14:solidFill>
              <w14:schemeClr w14:val="tx1"/>
            </w14:solidFill>
          </w14:textFill>
        </w:rPr>
        <w:t xml:space="preserve"> </w:t>
      </w:r>
    </w:p>
    <w:p w14:paraId="79EFA2DF">
      <w:pPr>
        <w:pStyle w:val="2"/>
        <w:jc w:val="center"/>
        <w:rPr>
          <w:rFonts w:ascii="黑体" w:hAnsi="黑体" w:eastAsia="黑体"/>
          <w:color w:val="000000"/>
          <w:sz w:val="28"/>
          <w:szCs w:val="28"/>
        </w:rPr>
      </w:pPr>
      <w:bookmarkStart w:id="178" w:name="_Toc16793"/>
      <w:bookmarkStart w:id="179" w:name="_Toc107998036"/>
      <w:bookmarkStart w:id="180" w:name="_Toc22201157"/>
      <w:r>
        <w:rPr>
          <w:rFonts w:hint="eastAsia" w:ascii="黑体" w:hAnsi="黑体" w:eastAsia="黑体"/>
          <w:color w:val="000000"/>
          <w:sz w:val="28"/>
          <w:szCs w:val="28"/>
        </w:rPr>
        <w:t>法定代表人（单位负责人）身份证明(格式)</w:t>
      </w:r>
      <w:bookmarkEnd w:id="178"/>
    </w:p>
    <w:p w14:paraId="130CDCC8">
      <w:pPr>
        <w:tabs>
          <w:tab w:val="left" w:pos="3880"/>
        </w:tabs>
        <w:autoSpaceDE w:val="0"/>
        <w:autoSpaceDN w:val="0"/>
        <w:adjustRightInd w:val="0"/>
        <w:snapToGrid w:val="0"/>
        <w:spacing w:before="156" w:beforeLines="50" w:line="360" w:lineRule="auto"/>
        <w:ind w:left="100" w:right="-20"/>
        <w:jc w:val="left"/>
        <w:rPr>
          <w:rFonts w:ascii="宋体" w:hAnsi="宋体" w:cs="微软雅黑"/>
          <w:color w:val="000000"/>
          <w:kern w:val="0"/>
          <w:position w:val="-4"/>
          <w:szCs w:val="21"/>
        </w:rPr>
      </w:pPr>
    </w:p>
    <w:p w14:paraId="5270358F">
      <w:pPr>
        <w:tabs>
          <w:tab w:val="left" w:pos="3880"/>
        </w:tabs>
        <w:autoSpaceDE w:val="0"/>
        <w:autoSpaceDN w:val="0"/>
        <w:adjustRightInd w:val="0"/>
        <w:snapToGrid w:val="0"/>
        <w:spacing w:before="156" w:beforeLines="50" w:line="360" w:lineRule="auto"/>
        <w:ind w:left="100" w:right="-20"/>
        <w:jc w:val="left"/>
        <w:rPr>
          <w:rFonts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4ACB04D1">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7E81F1A6">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080C83F0">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552D38D3">
      <w:pPr>
        <w:autoSpaceDE w:val="0"/>
        <w:autoSpaceDN w:val="0"/>
        <w:adjustRightInd w:val="0"/>
        <w:snapToGrid w:val="0"/>
        <w:spacing w:before="156" w:beforeLines="50" w:line="360" w:lineRule="auto"/>
        <w:ind w:left="520" w:right="-20"/>
        <w:jc w:val="left"/>
        <w:rPr>
          <w:rFonts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77F7640C">
      <w:pPr>
        <w:autoSpaceDE w:val="0"/>
        <w:autoSpaceDN w:val="0"/>
        <w:adjustRightInd w:val="0"/>
        <w:snapToGrid w:val="0"/>
        <w:spacing w:before="156" w:beforeLines="50" w:line="360" w:lineRule="auto"/>
        <w:ind w:left="100" w:right="4231"/>
        <w:jc w:val="left"/>
        <w:rPr>
          <w:rFonts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18"/>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48ED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3F9CC762">
            <w:pPr>
              <w:adjustRightInd w:val="0"/>
              <w:snapToGrid w:val="0"/>
              <w:spacing w:before="156" w:beforeLines="50" w:line="360" w:lineRule="auto"/>
              <w:jc w:val="center"/>
              <w:rPr>
                <w:rFonts w:ascii="宋体" w:hAnsi="宋体"/>
                <w:color w:val="000000"/>
                <w:szCs w:val="21"/>
              </w:rPr>
            </w:pPr>
            <w:r>
              <w:rPr>
                <w:rFonts w:hint="eastAsia" w:ascii="宋体" w:hAnsi="宋体"/>
                <w:color w:val="000000"/>
                <w:szCs w:val="21"/>
              </w:rPr>
              <w:t>身份证（正面）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noWrap w:val="0"/>
            <w:vAlign w:val="center"/>
          </w:tcPr>
          <w:p w14:paraId="24EC02B1">
            <w:pPr>
              <w:adjustRightInd w:val="0"/>
              <w:snapToGrid w:val="0"/>
              <w:spacing w:before="156" w:beforeLines="50" w:line="360" w:lineRule="auto"/>
              <w:jc w:val="center"/>
              <w:rPr>
                <w:rFonts w:ascii="宋体" w:hAnsi="宋体"/>
                <w:color w:val="000000"/>
                <w:szCs w:val="21"/>
              </w:rPr>
            </w:pPr>
            <w:r>
              <w:rPr>
                <w:rFonts w:hint="eastAsia" w:ascii="宋体" w:hAnsi="宋体"/>
                <w:color w:val="000000"/>
                <w:szCs w:val="21"/>
              </w:rPr>
              <w:t>身份证（反面）</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21E813D6">
      <w:pPr>
        <w:adjustRightInd w:val="0"/>
        <w:snapToGrid w:val="0"/>
        <w:spacing w:before="156" w:beforeLines="50" w:line="360" w:lineRule="auto"/>
        <w:rPr>
          <w:rFonts w:ascii="宋体" w:hAnsi="宋体"/>
          <w:color w:val="000000"/>
          <w:szCs w:val="21"/>
        </w:rPr>
      </w:pPr>
    </w:p>
    <w:p w14:paraId="1314E628">
      <w:pPr>
        <w:adjustRightInd w:val="0"/>
        <w:snapToGrid w:val="0"/>
        <w:spacing w:before="156" w:beforeLines="50" w:line="360" w:lineRule="auto"/>
        <w:rPr>
          <w:rFonts w:ascii="宋体" w:hAnsi="宋体"/>
          <w:color w:val="000000"/>
          <w:szCs w:val="21"/>
        </w:rPr>
      </w:pPr>
      <w:r>
        <w:rPr>
          <w:rFonts w:hint="eastAsia" w:ascii="宋体" w:hAnsi="宋体"/>
          <w:color w:val="000000"/>
          <w:szCs w:val="21"/>
        </w:rPr>
        <w:t>注：供应商代表为法定代表人（单位负责人）的提供。供应商为自然人的无需提供。</w:t>
      </w:r>
    </w:p>
    <w:p w14:paraId="140A77E3">
      <w:pPr>
        <w:adjustRightInd w:val="0"/>
        <w:snapToGrid w:val="0"/>
        <w:spacing w:before="156" w:beforeLines="50" w:line="360" w:lineRule="auto"/>
        <w:rPr>
          <w:rFonts w:ascii="宋体" w:hAnsi="宋体"/>
          <w:color w:val="000000"/>
          <w:szCs w:val="21"/>
        </w:rPr>
      </w:pPr>
    </w:p>
    <w:p w14:paraId="02B57618">
      <w:pPr>
        <w:pStyle w:val="12"/>
        <w:adjustRightInd w:val="0"/>
        <w:snapToGrid w:val="0"/>
        <w:spacing w:before="156" w:beforeLines="50" w:line="360" w:lineRule="auto"/>
        <w:rPr>
          <w:rFonts w:hAnsi="宋体"/>
          <w:color w:val="000000"/>
        </w:rPr>
      </w:pPr>
      <w:r>
        <w:rPr>
          <w:rFonts w:hint="eastAsia" w:hAnsi="宋体"/>
          <w:color w:val="000000"/>
        </w:rPr>
        <w:t>供应商名称(盖单位公章)：</w:t>
      </w:r>
    </w:p>
    <w:p w14:paraId="3A869EDF">
      <w:pPr>
        <w:adjustRightInd w:val="0"/>
        <w:snapToGrid w:val="0"/>
        <w:spacing w:before="156" w:beforeLines="50" w:line="360" w:lineRule="auto"/>
        <w:ind w:right="24"/>
        <w:rPr>
          <w:rFonts w:ascii="仿宋_GB2312" w:hAnsi="宋体" w:eastAsia="仿宋_GB2312"/>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07154037">
      <w:pPr>
        <w:pStyle w:val="2"/>
        <w:jc w:val="center"/>
        <w:rPr>
          <w:color w:val="000000"/>
        </w:rPr>
      </w:pPr>
    </w:p>
    <w:p w14:paraId="56D830ED">
      <w:pPr>
        <w:rPr>
          <w:rFonts w:hint="eastAsia" w:ascii="黑体" w:hAnsi="黑体" w:eastAsia="黑体"/>
          <w:b/>
          <w:bCs/>
          <w:color w:val="000000" w:themeColor="text1"/>
          <w:sz w:val="28"/>
          <w:szCs w:val="28"/>
          <w14:textFill>
            <w14:solidFill>
              <w14:schemeClr w14:val="tx1"/>
            </w14:solidFill>
          </w14:textFill>
        </w:rPr>
      </w:pPr>
      <w:r>
        <w:rPr>
          <w:rFonts w:hint="eastAsia" w:ascii="宋体" w:hAnsi="宋体" w:eastAsia="宋体" w:cs="Times New Roman"/>
          <w:b/>
          <w:bCs/>
          <w:color w:val="000000"/>
          <w:kern w:val="2"/>
          <w:sz w:val="21"/>
          <w:szCs w:val="21"/>
          <w:lang w:val="en-US" w:eastAsia="zh-CN" w:bidi="ar-SA"/>
        </w:rPr>
        <w:t>说明：由法定代表人参加开标会议的，请按第二章谈判须知的规定另行准备法定代表人身份证明原件一份，在参加谈判时单独提交。</w:t>
      </w:r>
      <w:r>
        <w:rPr>
          <w:rFonts w:hint="eastAsia" w:ascii="黑体" w:hAnsi="黑体" w:eastAsia="黑体"/>
          <w:b/>
          <w:bCs/>
          <w:color w:val="000000" w:themeColor="text1"/>
          <w:sz w:val="28"/>
          <w:szCs w:val="28"/>
          <w14:textFill>
            <w14:solidFill>
              <w14:schemeClr w14:val="tx1"/>
            </w14:solidFill>
          </w14:textFill>
        </w:rPr>
        <w:br w:type="page"/>
      </w:r>
    </w:p>
    <w:p w14:paraId="3CE362D6">
      <w:pPr>
        <w:keepNext/>
        <w:keepLines/>
        <w:adjustRightInd w:val="0"/>
        <w:snapToGrid w:val="0"/>
        <w:spacing w:before="156" w:beforeLines="50"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81" w:name="_Toc17601"/>
      <w:r>
        <w:rPr>
          <w:rFonts w:hint="eastAsia" w:ascii="黑体" w:hAnsi="黑体" w:eastAsia="黑体"/>
          <w:b/>
          <w:bCs/>
          <w:color w:val="000000" w:themeColor="text1"/>
          <w:sz w:val="28"/>
          <w:szCs w:val="28"/>
          <w14:textFill>
            <w14:solidFill>
              <w14:schemeClr w14:val="tx1"/>
            </w14:solidFill>
          </w14:textFill>
        </w:rPr>
        <w:t>五、供应商资格审查材料</w:t>
      </w:r>
      <w:bookmarkEnd w:id="179"/>
      <w:bookmarkEnd w:id="181"/>
    </w:p>
    <w:p w14:paraId="144748B9">
      <w:pPr>
        <w:keepNext/>
        <w:keepLines/>
        <w:adjustRightInd w:val="0"/>
        <w:snapToGrid w:val="0"/>
        <w:spacing w:before="156" w:beforeLines="50" w:line="360" w:lineRule="auto"/>
        <w:outlineLvl w:val="2"/>
        <w:rPr>
          <w:rFonts w:ascii="宋体" w:hAnsi="宋体" w:eastAsia="宋体"/>
          <w:b/>
          <w:bCs/>
          <w:color w:val="000000" w:themeColor="text1"/>
          <w:szCs w:val="21"/>
          <w14:textFill>
            <w14:solidFill>
              <w14:schemeClr w14:val="tx1"/>
            </w14:solidFill>
          </w14:textFill>
        </w:rPr>
      </w:pPr>
      <w:bookmarkStart w:id="182" w:name="_Toc62225545"/>
      <w:bookmarkStart w:id="183" w:name="_Toc107998044"/>
      <w:bookmarkStart w:id="184" w:name="_Toc18162"/>
      <w:r>
        <w:rPr>
          <w:rFonts w:hint="eastAsia" w:ascii="宋体" w:hAnsi="宋体" w:eastAsia="宋体"/>
          <w:b/>
          <w:bCs/>
          <w:color w:val="000000" w:themeColor="text1"/>
          <w:szCs w:val="21"/>
          <w14:textFill>
            <w14:solidFill>
              <w14:schemeClr w14:val="tx1"/>
            </w14:solidFill>
          </w14:textFill>
        </w:rPr>
        <w:t>附件</w:t>
      </w:r>
      <w:r>
        <w:rPr>
          <w:rFonts w:ascii="宋体" w:hAnsi="宋体" w:eastAsia="宋体"/>
          <w:b/>
          <w:bCs/>
          <w:color w:val="000000" w:themeColor="text1"/>
          <w:szCs w:val="21"/>
          <w14:textFill>
            <w14:solidFill>
              <w14:schemeClr w14:val="tx1"/>
            </w14:solidFill>
          </w14:textFill>
        </w:rPr>
        <w:t>5</w:t>
      </w:r>
      <w:r>
        <w:rPr>
          <w:rFonts w:hint="eastAsia" w:ascii="宋体" w:hAnsi="宋体" w:eastAsia="宋体"/>
          <w:b/>
          <w:bCs/>
          <w:color w:val="000000" w:themeColor="text1"/>
          <w:szCs w:val="21"/>
          <w14:textFill>
            <w14:solidFill>
              <w14:schemeClr w14:val="tx1"/>
            </w14:solidFill>
          </w14:textFill>
        </w:rPr>
        <w:t>-</w:t>
      </w:r>
      <w:r>
        <w:rPr>
          <w:rFonts w:ascii="宋体" w:hAnsi="宋体" w:eastAsia="宋体"/>
          <w:b/>
          <w:bCs/>
          <w:color w:val="000000" w:themeColor="text1"/>
          <w:szCs w:val="21"/>
          <w14:textFill>
            <w14:solidFill>
              <w14:schemeClr w14:val="tx1"/>
            </w14:solidFill>
          </w14:textFill>
        </w:rPr>
        <w:t>1</w:t>
      </w:r>
      <w:r>
        <w:rPr>
          <w:rFonts w:hint="eastAsia" w:ascii="宋体" w:hAnsi="宋体" w:eastAsia="宋体"/>
          <w:b/>
          <w:bCs/>
          <w:color w:val="000000" w:themeColor="text1"/>
          <w:szCs w:val="21"/>
          <w14:textFill>
            <w14:solidFill>
              <w14:schemeClr w14:val="tx1"/>
            </w14:solidFill>
          </w14:textFill>
        </w:rPr>
        <w:t xml:space="preserve"> 资格更新证明材料</w:t>
      </w:r>
      <w:bookmarkEnd w:id="182"/>
      <w:bookmarkEnd w:id="183"/>
      <w:bookmarkEnd w:id="184"/>
    </w:p>
    <w:p w14:paraId="0DE55557">
      <w:pPr>
        <w:adjustRightInd w:val="0"/>
        <w:snapToGrid w:val="0"/>
        <w:spacing w:before="156" w:beforeLines="50" w:line="360" w:lineRule="auto"/>
        <w:jc w:val="center"/>
        <w:rPr>
          <w:rFonts w:ascii="仿宋_GB2312" w:hAnsi="宋体" w:eastAsia="仿宋_GB2312"/>
          <w:b/>
          <w:color w:val="000000" w:themeColor="text1"/>
          <w:sz w:val="28"/>
          <w:szCs w:val="28"/>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供应商的资格更新证明材料</w:t>
      </w:r>
    </w:p>
    <w:p w14:paraId="2F2B1478">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eastAsia="宋体"/>
          <w:b w:val="0"/>
          <w:bCs/>
          <w:color w:val="000000" w:themeColor="text1"/>
          <w:szCs w:val="21"/>
          <w14:textFill>
            <w14:solidFill>
              <w14:schemeClr w14:val="tx1"/>
            </w14:solidFill>
          </w14:textFill>
        </w:rPr>
        <w:t>注</w:t>
      </w:r>
      <w:r>
        <w:rPr>
          <w:rFonts w:hint="eastAsia" w:ascii="宋体" w:hAnsi="宋体"/>
          <w:b w:val="0"/>
          <w:bCs/>
          <w:color w:val="000000" w:themeColor="text1"/>
          <w14:textFill>
            <w14:solidFill>
              <w14:schemeClr w14:val="tx1"/>
            </w14:solidFill>
          </w14:textFill>
        </w:rPr>
        <w:t>：</w:t>
      </w:r>
      <w:r>
        <w:rPr>
          <w:rFonts w:hint="eastAsia" w:ascii="宋体" w:hAnsi="宋体" w:cs="宋体"/>
          <w:b w:val="0"/>
          <w:bCs/>
          <w:color w:val="000000" w:themeColor="text1"/>
          <w:kern w:val="0"/>
          <w:szCs w:val="21"/>
          <w:lang w:val="zh-CN"/>
          <w14:textFill>
            <w14:solidFill>
              <w14:schemeClr w14:val="tx1"/>
            </w14:solidFill>
          </w14:textFill>
        </w:rPr>
        <w:t>根据</w:t>
      </w:r>
      <w:r>
        <w:rPr>
          <w:rFonts w:hint="eastAsia" w:ascii="宋体" w:hAnsi="宋体" w:cs="宋体"/>
          <w:color w:val="000000" w:themeColor="text1"/>
          <w:kern w:val="0"/>
          <w:szCs w:val="21"/>
          <w:lang w:val="zh-CN"/>
          <w14:textFill>
            <w14:solidFill>
              <w14:schemeClr w14:val="tx1"/>
            </w14:solidFill>
          </w14:textFill>
        </w:rPr>
        <w:t>谈判文件第二章第10.1款规定，被邀请的</w:t>
      </w:r>
      <w:r>
        <w:rPr>
          <w:rFonts w:hint="eastAsia" w:ascii="宋体" w:hAnsi="宋体"/>
          <w:color w:val="000000" w:themeColor="text1"/>
          <w:szCs w:val="21"/>
          <w14:textFill>
            <w14:solidFill>
              <w14:schemeClr w14:val="tx1"/>
            </w14:solidFill>
          </w14:textFill>
        </w:rPr>
        <w:t>供应商在提交资格证明材料</w:t>
      </w:r>
      <w:r>
        <w:rPr>
          <w:rFonts w:hint="eastAsia" w:ascii="宋体" w:hAnsi="宋体"/>
          <w:bCs/>
          <w:color w:val="000000" w:themeColor="text1"/>
          <w:szCs w:val="21"/>
          <w14:textFill>
            <w14:solidFill>
              <w14:schemeClr w14:val="tx1"/>
            </w14:solidFill>
          </w14:textFill>
        </w:rPr>
        <w:t>起</w:t>
      </w:r>
      <w:r>
        <w:rPr>
          <w:rFonts w:hint="eastAsia" w:ascii="宋体" w:hAnsi="宋体"/>
          <w:color w:val="000000" w:themeColor="text1"/>
          <w:szCs w:val="21"/>
          <w14:textFill>
            <w14:solidFill>
              <w14:schemeClr w14:val="tx1"/>
            </w14:solidFill>
          </w14:textFill>
        </w:rPr>
        <w:t>至</w:t>
      </w:r>
      <w:r>
        <w:rPr>
          <w:rFonts w:hint="eastAsia" w:ascii="宋体" w:hAnsi="宋体" w:cs="宋体"/>
          <w:color w:val="000000" w:themeColor="text1"/>
          <w:kern w:val="0"/>
          <w:szCs w:val="21"/>
          <w14:textFill>
            <w14:solidFill>
              <w14:schemeClr w14:val="tx1"/>
            </w14:solidFill>
          </w14:textFill>
        </w:rPr>
        <w:t>提交首次响应文件</w:t>
      </w:r>
      <w:r>
        <w:rPr>
          <w:rFonts w:hint="eastAsia" w:ascii="宋体" w:hAnsi="宋体"/>
          <w:color w:val="000000" w:themeColor="text1"/>
          <w:szCs w:val="21"/>
          <w14:textFill>
            <w14:solidFill>
              <w14:schemeClr w14:val="tx1"/>
            </w14:solidFill>
          </w14:textFill>
        </w:rPr>
        <w:t>止，其资格条件发生变化，影响或者可能影响资格条件的，应随本响应文件提供更新或者补充的资格证明材料。</w:t>
      </w:r>
    </w:p>
    <w:p w14:paraId="28931096">
      <w:pPr>
        <w:adjustRightInd w:val="0"/>
        <w:snapToGrid w:val="0"/>
        <w:spacing w:before="156" w:beforeLines="50" w:line="360" w:lineRule="auto"/>
        <w:rPr>
          <w:rFonts w:ascii="宋体" w:hAnsi="宋体"/>
          <w:color w:val="000000" w:themeColor="text1"/>
          <w:szCs w:val="21"/>
          <w14:textFill>
            <w14:solidFill>
              <w14:schemeClr w14:val="tx1"/>
            </w14:solidFill>
          </w14:textFill>
        </w:rPr>
        <w:sectPr>
          <w:footerReference r:id="rId6" w:type="even"/>
          <w:pgSz w:w="11906" w:h="16838"/>
          <w:pgMar w:top="1418" w:right="1418" w:bottom="1134" w:left="1418" w:header="851" w:footer="992" w:gutter="0"/>
          <w:pgNumType w:fmt="decimal"/>
          <w:cols w:space="720" w:num="1"/>
          <w:docGrid w:type="linesAndChars" w:linePitch="312" w:charSpace="0"/>
        </w:sectPr>
      </w:pPr>
    </w:p>
    <w:p w14:paraId="6AC2337C">
      <w:pPr>
        <w:pStyle w:val="28"/>
        <w:keepNext/>
        <w:keepLines/>
        <w:spacing w:before="120" w:after="260" w:line="415" w:lineRule="auto"/>
        <w:outlineLvl w:val="2"/>
        <w:rPr>
          <w:rFonts w:hint="eastAsia" w:ascii="黑体" w:hAnsi="黑体" w:cs="黑体"/>
          <w:b/>
          <w:bCs/>
          <w:sz w:val="24"/>
          <w:szCs w:val="24"/>
        </w:rPr>
      </w:pPr>
      <w:bookmarkStart w:id="185" w:name="_Toc31822"/>
      <w:bookmarkStart w:id="186" w:name="_Toc107998045"/>
      <w:r>
        <w:rPr>
          <w:rFonts w:hint="eastAsia" w:ascii="宋体" w:hAnsi="宋体"/>
          <w:b/>
          <w:bCs/>
          <w:szCs w:val="21"/>
        </w:rPr>
        <w:t>附件5-2湖南省政府采购供应商资格承诺函</w:t>
      </w:r>
      <w:bookmarkEnd w:id="185"/>
    </w:p>
    <w:p w14:paraId="60BD212D">
      <w:pPr>
        <w:adjustRightInd w:val="0"/>
        <w:snapToGrid w:val="0"/>
        <w:spacing w:before="156" w:beforeLines="50" w:line="360" w:lineRule="auto"/>
        <w:jc w:val="center"/>
        <w:rPr>
          <w:rFonts w:hint="eastAsia" w:ascii="黑体" w:hAnsi="宋体" w:eastAsia="黑体" w:cs="Times New Roman"/>
          <w:b/>
          <w:sz w:val="28"/>
          <w:szCs w:val="28"/>
        </w:rPr>
      </w:pPr>
      <w:r>
        <w:rPr>
          <w:rFonts w:hint="eastAsia" w:ascii="黑体" w:hAnsi="宋体" w:eastAsia="黑体" w:cs="Times New Roman"/>
          <w:b/>
          <w:sz w:val="28"/>
          <w:szCs w:val="28"/>
        </w:rPr>
        <w:t>湖南省政府采购供应商资格承诺函</w:t>
      </w:r>
    </w:p>
    <w:p w14:paraId="104D8AD4">
      <w:pPr>
        <w:spacing w:line="266" w:lineRule="auto"/>
        <w:rPr>
          <w:rFonts w:ascii="Arial" w:hAnsi="Times New Roman" w:eastAsia="宋体" w:cs="Times New Roman"/>
        </w:rPr>
      </w:pPr>
    </w:p>
    <w:p w14:paraId="1702E67A">
      <w:pPr>
        <w:spacing w:line="266" w:lineRule="auto"/>
        <w:rPr>
          <w:rFonts w:ascii="Arial" w:hAnsi="Times New Roman" w:eastAsia="宋体" w:cs="Times New Roman"/>
        </w:rPr>
      </w:pPr>
    </w:p>
    <w:p w14:paraId="60602320">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本公司独立承担民事责任、具有良好的商业信誉和健全的财务会计制度、依法缴纳税收和社会保障资金，在前三年的经营活 动中无重大违法记录，未列入严重失信行为名单，符合政府采购供应商的基本资格要求。</w:t>
      </w:r>
    </w:p>
    <w:p w14:paraId="5CDA8F34">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按 照《 政 府 采 购 促 进 中 小 企 业 发 展 管 理 办 法》 ( 财 库〔2020〕46 号 )，本公司企业规模为：</w:t>
      </w:r>
      <w:r>
        <w:rPr>
          <w:rFonts w:hint="eastAsia" w:ascii="宋体" w:hAnsi="宋体" w:eastAsia="宋体" w:cs="宋体"/>
          <w:kern w:val="0"/>
          <w:szCs w:val="21"/>
        </w:rPr>
        <w:sym w:font="Wingdings" w:char="00A8"/>
      </w:r>
      <w:r>
        <w:rPr>
          <w:rFonts w:hint="eastAsia" w:ascii="宋体" w:hAnsi="宋体" w:eastAsia="宋体" w:cs="宋体"/>
          <w:kern w:val="0"/>
          <w:szCs w:val="21"/>
        </w:rPr>
        <w:t xml:space="preserve">大型 </w:t>
      </w:r>
      <w:r>
        <w:rPr>
          <w:rFonts w:hint="eastAsia" w:ascii="宋体" w:hAnsi="宋体" w:eastAsia="宋体" w:cs="宋体"/>
          <w:kern w:val="0"/>
          <w:szCs w:val="21"/>
        </w:rPr>
        <w:sym w:font="Wingdings" w:char="00A8"/>
      </w:r>
      <w:r>
        <w:rPr>
          <w:rFonts w:hint="eastAsia" w:ascii="宋体" w:hAnsi="宋体" w:eastAsia="宋体" w:cs="宋体"/>
          <w:kern w:val="0"/>
          <w:szCs w:val="21"/>
        </w:rPr>
        <w:t xml:space="preserve">中型 </w:t>
      </w:r>
      <w:r>
        <w:rPr>
          <w:rFonts w:hint="eastAsia" w:ascii="宋体" w:hAnsi="宋体" w:eastAsia="宋体" w:cs="宋体"/>
          <w:kern w:val="0"/>
          <w:szCs w:val="21"/>
        </w:rPr>
        <w:sym w:font="Wingdings" w:char="00A8"/>
      </w:r>
      <w:r>
        <w:rPr>
          <w:rFonts w:hint="eastAsia" w:ascii="宋体" w:hAnsi="宋体" w:eastAsia="宋体" w:cs="宋体"/>
          <w:kern w:val="0"/>
          <w:szCs w:val="21"/>
        </w:rPr>
        <w:t xml:space="preserve">小型 </w:t>
      </w:r>
      <w:r>
        <w:rPr>
          <w:rFonts w:hint="eastAsia" w:ascii="宋体" w:hAnsi="宋体" w:eastAsia="宋体" w:cs="宋体"/>
          <w:kern w:val="0"/>
          <w:szCs w:val="21"/>
        </w:rPr>
        <w:sym w:font="Wingdings" w:char="00A8"/>
      </w:r>
      <w:r>
        <w:rPr>
          <w:rFonts w:hint="eastAsia" w:ascii="宋体" w:hAnsi="宋体" w:eastAsia="宋体" w:cs="宋体"/>
          <w:kern w:val="0"/>
          <w:szCs w:val="21"/>
        </w:rPr>
        <w:t>微 型</w:t>
      </w:r>
    </w:p>
    <w:p w14:paraId="7C752E98">
      <w:pPr>
        <w:autoSpaceDE w:val="0"/>
        <w:autoSpaceDN w:val="0"/>
        <w:adjustRightInd w:val="0"/>
        <w:snapToGrid w:val="0"/>
        <w:spacing w:before="156" w:beforeLines="50"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sym w:font="Wingdings" w:char="00A8"/>
      </w:r>
      <w:r>
        <w:rPr>
          <w:rFonts w:hint="eastAsia" w:ascii="宋体" w:hAnsi="宋体" w:eastAsia="宋体" w:cs="宋体"/>
          <w:kern w:val="0"/>
          <w:szCs w:val="21"/>
        </w:rPr>
        <w:t>本公司自愿入驻湖南省政府采购电子卖场，遵守《湖南省政府采购电子卖场管理办法》( 湘财购〔2019〕27 号 )，如违反承诺，同意金融机构将增信保证划缴国库 ( 非电子卖场采购活动项目不需勾选)。</w:t>
      </w:r>
    </w:p>
    <w:p w14:paraId="4CBD1D28">
      <w:pPr>
        <w:spacing w:line="431" w:lineRule="auto"/>
        <w:rPr>
          <w:rFonts w:ascii="Arial" w:hAnsi="Times New Roman" w:eastAsia="宋体" w:cs="Times New Roman"/>
        </w:rPr>
      </w:pPr>
    </w:p>
    <w:p w14:paraId="2958BE0E">
      <w:pPr>
        <w:adjustRightInd w:val="0"/>
        <w:snapToGrid w:val="0"/>
        <w:spacing w:before="156" w:beforeLines="50" w:line="360" w:lineRule="auto"/>
        <w:jc w:val="right"/>
        <w:rPr>
          <w:rFonts w:hint="eastAsia" w:ascii="宋体" w:hAnsi="宋体" w:eastAsia="宋体" w:cs="宋体"/>
          <w:kern w:val="0"/>
          <w:szCs w:val="21"/>
          <w:lang w:val="zh-CN"/>
        </w:rPr>
      </w:pPr>
      <w:r>
        <w:rPr>
          <w:rFonts w:hint="eastAsia" w:ascii="宋体" w:hAnsi="宋体" w:eastAsia="宋体" w:cs="宋体"/>
          <w:kern w:val="0"/>
          <w:szCs w:val="21"/>
          <w:lang w:val="zh-CN"/>
        </w:rPr>
        <w:t>公司 (单位) 名称 (盖章)</w:t>
      </w:r>
    </w:p>
    <w:p w14:paraId="00C83FF0">
      <w:pPr>
        <w:adjustRightInd w:val="0"/>
        <w:snapToGrid w:val="0"/>
        <w:spacing w:before="156" w:beforeLines="50" w:line="360" w:lineRule="auto"/>
        <w:rPr>
          <w:rFonts w:hint="eastAsia" w:ascii="宋体" w:hAnsi="宋体" w:eastAsia="宋体" w:cs="宋体"/>
          <w:kern w:val="0"/>
          <w:szCs w:val="21"/>
          <w:lang w:val="zh-CN"/>
        </w:rPr>
      </w:pPr>
    </w:p>
    <w:p w14:paraId="5F97BAA1">
      <w:pPr>
        <w:adjustRightInd w:val="0"/>
        <w:snapToGrid w:val="0"/>
        <w:spacing w:before="156" w:beforeLines="50" w:line="360" w:lineRule="auto"/>
        <w:jc w:val="right"/>
        <w:rPr>
          <w:rFonts w:hint="eastAsia" w:ascii="宋体" w:hAnsi="宋体" w:eastAsia="宋体" w:cs="宋体"/>
          <w:kern w:val="0"/>
          <w:szCs w:val="21"/>
          <w:lang w:val="zh-CN"/>
        </w:rPr>
      </w:pPr>
      <w:r>
        <w:rPr>
          <w:rFonts w:hint="eastAsia" w:ascii="宋体" w:hAnsi="宋体" w:eastAsia="宋体" w:cs="宋体"/>
          <w:kern w:val="0"/>
          <w:szCs w:val="21"/>
          <w:lang w:val="zh-CN"/>
        </w:rPr>
        <w:tab/>
      </w:r>
      <w:r>
        <w:rPr>
          <w:rFonts w:hint="eastAsia" w:ascii="宋体" w:hAnsi="宋体" w:eastAsia="宋体" w:cs="宋体"/>
          <w:kern w:val="0"/>
          <w:szCs w:val="21"/>
          <w:lang w:val="zh-CN"/>
        </w:rPr>
        <w:t>年   月    日</w:t>
      </w:r>
    </w:p>
    <w:p w14:paraId="6A5640DB">
      <w:pPr>
        <w:adjustRightInd w:val="0"/>
        <w:snapToGrid w:val="0"/>
        <w:spacing w:before="156" w:beforeLines="50" w:line="360" w:lineRule="auto"/>
        <w:rPr>
          <w:rFonts w:hint="eastAsia" w:ascii="宋体" w:hAnsi="宋体" w:eastAsia="宋体" w:cs="宋体"/>
          <w:kern w:val="0"/>
          <w:szCs w:val="21"/>
          <w:lang w:val="zh-CN"/>
        </w:rPr>
      </w:pPr>
    </w:p>
    <w:p w14:paraId="49651389">
      <w:pPr>
        <w:adjustRightInd w:val="0"/>
        <w:snapToGrid w:val="0"/>
        <w:spacing w:before="156" w:beforeLines="50" w:line="360" w:lineRule="auto"/>
        <w:rPr>
          <w:rFonts w:hint="eastAsia" w:ascii="宋体" w:hAnsi="宋体" w:eastAsia="宋体" w:cs="宋体"/>
          <w:kern w:val="0"/>
          <w:szCs w:val="21"/>
          <w:lang w:val="zh-CN"/>
        </w:rPr>
      </w:pPr>
    </w:p>
    <w:p w14:paraId="18B91DDA">
      <w:pPr>
        <w:adjustRightInd w:val="0"/>
        <w:snapToGrid w:val="0"/>
        <w:spacing w:before="156" w:beforeLines="50" w:line="360" w:lineRule="auto"/>
        <w:rPr>
          <w:rFonts w:hint="eastAsia" w:ascii="宋体" w:hAnsi="宋体" w:eastAsia="宋体" w:cs="宋体"/>
          <w:kern w:val="0"/>
          <w:szCs w:val="21"/>
          <w:lang w:val="zh-CN"/>
        </w:rPr>
      </w:pPr>
      <w:r>
        <w:rPr>
          <w:rFonts w:hint="eastAsia" w:ascii="宋体" w:hAnsi="宋体" w:eastAsia="宋体" w:cs="宋体"/>
          <w:kern w:val="0"/>
          <w:szCs w:val="21"/>
          <w:lang w:val="zh-CN"/>
        </w:rPr>
        <w:t>机构代码、注册登记机构、 日期、有效期、注册资本、地址、经济行业、经济性质</w:t>
      </w:r>
    </w:p>
    <w:p w14:paraId="293A9F3D">
      <w:pPr>
        <w:adjustRightInd w:val="0"/>
        <w:snapToGrid w:val="0"/>
        <w:spacing w:before="156" w:beforeLines="50" w:line="360" w:lineRule="auto"/>
        <w:rPr>
          <w:rFonts w:hint="eastAsia" w:ascii="宋体" w:hAnsi="宋体" w:eastAsia="宋体" w:cs="宋体"/>
          <w:kern w:val="0"/>
          <w:szCs w:val="21"/>
          <w:lang w:val="zh-CN"/>
        </w:rPr>
      </w:pPr>
      <w:r>
        <w:rPr>
          <w:rFonts w:hint="eastAsia" w:ascii="宋体" w:hAnsi="宋体" w:eastAsia="宋体" w:cs="宋体"/>
          <w:kern w:val="0"/>
          <w:szCs w:val="21"/>
          <w:lang w:val="zh-CN"/>
        </w:rPr>
        <w:t xml:space="preserve">法定代表人 (负责人) 姓名 (签字)、身份证号、手机号： </w:t>
      </w:r>
    </w:p>
    <w:p w14:paraId="66861BCA">
      <w:pPr>
        <w:adjustRightInd w:val="0"/>
        <w:snapToGrid w:val="0"/>
        <w:spacing w:before="156" w:beforeLines="50" w:line="360" w:lineRule="auto"/>
        <w:rPr>
          <w:rFonts w:hint="eastAsia" w:ascii="宋体" w:hAnsi="宋体" w:eastAsia="宋体" w:cs="宋体"/>
          <w:kern w:val="0"/>
          <w:szCs w:val="21"/>
          <w:lang w:val="zh-CN"/>
        </w:rPr>
      </w:pPr>
      <w:r>
        <w:rPr>
          <w:rFonts w:hint="eastAsia" w:ascii="宋体" w:hAnsi="宋体" w:eastAsia="宋体" w:cs="宋体"/>
          <w:kern w:val="0"/>
          <w:szCs w:val="21"/>
          <w:lang w:val="zh-CN"/>
        </w:rPr>
        <w:t>授权代表人姓名 (签字)、身份证号、手机号：</w:t>
      </w:r>
    </w:p>
    <w:p w14:paraId="183A4C93">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5530DB46">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213FA7BD">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5F6CCAC2">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1C8B3684">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243FFAF9">
      <w:pPr>
        <w:widowControl w:val="0"/>
        <w:spacing w:after="120"/>
        <w:ind w:left="420" w:leftChars="200" w:firstLine="400" w:firstLineChars="200"/>
        <w:jc w:val="both"/>
        <w:rPr>
          <w:rFonts w:hint="eastAsia" w:ascii="Times New Roman" w:hAnsi="Times New Roman" w:eastAsia="宋体" w:cs="Times New Roman"/>
          <w:kern w:val="0"/>
          <w:sz w:val="20"/>
          <w:szCs w:val="24"/>
          <w:lang w:val="en-US" w:eastAsia="zh-CN" w:bidi="ar-SA"/>
        </w:rPr>
      </w:pPr>
    </w:p>
    <w:p w14:paraId="0BAD4848">
      <w:pPr>
        <w:pStyle w:val="28"/>
        <w:keepNext/>
        <w:keepLines/>
        <w:spacing w:before="120" w:after="260" w:line="415" w:lineRule="auto"/>
        <w:outlineLvl w:val="2"/>
        <w:rPr>
          <w:rFonts w:hint="default" w:ascii="宋体" w:hAnsi="宋体" w:eastAsia="宋体" w:cs="Times New Roman"/>
          <w:b/>
          <w:bCs/>
          <w:szCs w:val="21"/>
          <w:lang w:val="en-US" w:eastAsia="zh-CN"/>
        </w:rPr>
      </w:pPr>
      <w:bookmarkStart w:id="187" w:name="_Toc19359"/>
      <w:r>
        <w:rPr>
          <w:rFonts w:hint="eastAsia" w:ascii="宋体" w:hAnsi="宋体" w:eastAsia="宋体" w:cs="Times New Roman"/>
          <w:b/>
          <w:bCs/>
          <w:szCs w:val="21"/>
          <w:lang w:val="en-US" w:eastAsia="zh-CN"/>
        </w:rPr>
        <w:t>附件5-3标前诚信承诺书</w:t>
      </w:r>
      <w:bookmarkEnd w:id="187"/>
    </w:p>
    <w:p w14:paraId="5F1FBE73">
      <w:pPr>
        <w:adjustRightInd w:val="0"/>
        <w:snapToGrid w:val="0"/>
        <w:spacing w:before="156" w:beforeLines="50" w:line="360" w:lineRule="auto"/>
        <w:jc w:val="center"/>
        <w:rPr>
          <w:rFonts w:hint="eastAsia" w:ascii="黑体" w:hAnsi="宋体" w:eastAsia="黑体" w:cs="Times New Roman"/>
          <w:b/>
          <w:sz w:val="28"/>
          <w:szCs w:val="28"/>
        </w:rPr>
      </w:pPr>
      <w:r>
        <w:rPr>
          <w:rFonts w:hint="eastAsia" w:ascii="黑体" w:hAnsi="宋体" w:eastAsia="黑体" w:cs="Times New Roman"/>
          <w:b/>
          <w:sz w:val="28"/>
          <w:szCs w:val="28"/>
          <w:lang w:eastAsia="zh-CN"/>
        </w:rPr>
        <w:t>标</w:t>
      </w:r>
      <w:r>
        <w:rPr>
          <w:rFonts w:hint="eastAsia" w:ascii="黑体" w:hAnsi="宋体" w:eastAsia="黑体" w:cs="Times New Roman"/>
          <w:b/>
          <w:sz w:val="28"/>
          <w:szCs w:val="28"/>
        </w:rPr>
        <w:t>前</w:t>
      </w:r>
      <w:r>
        <w:rPr>
          <w:rFonts w:hint="eastAsia" w:ascii="黑体" w:hAnsi="宋体" w:eastAsia="黑体" w:cs="Times New Roman"/>
          <w:b/>
          <w:sz w:val="28"/>
          <w:szCs w:val="28"/>
          <w:lang w:eastAsia="zh-CN"/>
        </w:rPr>
        <w:t>诚</w:t>
      </w:r>
      <w:r>
        <w:rPr>
          <w:rFonts w:hint="eastAsia" w:ascii="黑体" w:hAnsi="宋体" w:eastAsia="黑体" w:cs="Times New Roman"/>
          <w:b/>
          <w:sz w:val="28"/>
          <w:szCs w:val="28"/>
        </w:rPr>
        <w:t>信承诺书</w:t>
      </w:r>
    </w:p>
    <w:p w14:paraId="7174B0A8">
      <w:pPr>
        <w:numPr>
          <w:ilvl w:val="0"/>
          <w:numId w:val="7"/>
        </w:numPr>
        <w:spacing w:line="360" w:lineRule="auto"/>
        <w:rPr>
          <w:rFonts w:hint="eastAsia" w:ascii="Calibri" w:hAnsi="Calibri" w:eastAsia="宋体" w:cs="Times New Roman"/>
          <w:color w:val="000000"/>
          <w:sz w:val="24"/>
          <w:szCs w:val="32"/>
        </w:rPr>
      </w:pPr>
      <w:r>
        <w:rPr>
          <w:rFonts w:hint="eastAsia" w:ascii="Calibri" w:hAnsi="Calibri" w:eastAsia="宋体" w:cs="Times New Roman"/>
          <w:color w:val="000000"/>
          <w:sz w:val="24"/>
          <w:szCs w:val="32"/>
        </w:rPr>
        <w:t>本单位</w:t>
      </w:r>
      <w:r>
        <w:rPr>
          <w:rFonts w:hint="eastAsia" w:ascii="Calibri" w:hAnsi="Calibri" w:eastAsia="宋体" w:cs="Times New Roman"/>
          <w:color w:val="000000"/>
          <w:sz w:val="24"/>
          <w:szCs w:val="32"/>
          <w:lang w:eastAsia="zh-CN"/>
        </w:rPr>
        <w:t>依据采购（招标）文件</w:t>
      </w:r>
      <w:r>
        <w:rPr>
          <w:rFonts w:hint="eastAsia" w:ascii="Calibri" w:hAnsi="Calibri" w:eastAsia="宋体" w:cs="Times New Roman"/>
          <w:color w:val="000000"/>
          <w:sz w:val="24"/>
          <w:szCs w:val="32"/>
        </w:rPr>
        <w:t>填报或提交的所有资料和信息，均合法、真实、准确、有效，无任何伪造、篡改、虚假成份。</w:t>
      </w:r>
    </w:p>
    <w:p w14:paraId="161409A3">
      <w:pPr>
        <w:numPr>
          <w:ilvl w:val="0"/>
          <w:numId w:val="7"/>
        </w:numPr>
        <w:spacing w:line="360" w:lineRule="auto"/>
        <w:rPr>
          <w:rFonts w:ascii="Calibri" w:hAnsi="Calibri" w:eastAsia="宋体" w:cs="Times New Roman"/>
          <w:color w:val="000000"/>
          <w:sz w:val="24"/>
          <w:szCs w:val="32"/>
        </w:rPr>
      </w:pPr>
      <w:r>
        <w:rPr>
          <w:rFonts w:hint="eastAsia" w:ascii="Calibri" w:hAnsi="Calibri" w:eastAsia="宋体" w:cs="Times New Roman"/>
          <w:color w:val="000000"/>
          <w:sz w:val="24"/>
          <w:szCs w:val="32"/>
        </w:rPr>
        <w:t>参与</w:t>
      </w:r>
      <w:r>
        <w:rPr>
          <w:rFonts w:hint="eastAsia" w:ascii="Calibri" w:hAnsi="Calibri" w:eastAsia="宋体" w:cs="Times New Roman"/>
          <w:color w:val="000000"/>
          <w:sz w:val="24"/>
          <w:szCs w:val="32"/>
          <w:lang w:eastAsia="zh-CN"/>
        </w:rPr>
        <w:t>本次采购（招标）</w:t>
      </w:r>
      <w:r>
        <w:rPr>
          <w:rFonts w:hint="eastAsia" w:ascii="Calibri" w:hAnsi="Calibri" w:eastAsia="宋体" w:cs="Times New Roman"/>
          <w:color w:val="000000"/>
          <w:sz w:val="24"/>
          <w:szCs w:val="32"/>
        </w:rPr>
        <w:t>活动系本单位自愿行为。保证无组织或参与围标、串标、出卖（借）、转让资质证书或接受他人挂靠投标、以他人名义参与竞争或以其他方式弄虚作假骗取中标（成交）、恶意报价、恶意投诉等违法违规行为。</w:t>
      </w:r>
    </w:p>
    <w:p w14:paraId="3B7AED8E">
      <w:pPr>
        <w:numPr>
          <w:ilvl w:val="0"/>
          <w:numId w:val="7"/>
        </w:numPr>
        <w:spacing w:line="360" w:lineRule="auto"/>
        <w:rPr>
          <w:rFonts w:ascii="Calibri" w:hAnsi="Calibri" w:eastAsia="宋体" w:cs="Times New Roman"/>
          <w:color w:val="000000"/>
          <w:sz w:val="24"/>
          <w:szCs w:val="32"/>
        </w:rPr>
      </w:pPr>
      <w:r>
        <w:rPr>
          <w:rFonts w:hint="eastAsia" w:ascii="Calibri" w:hAnsi="Calibri" w:eastAsia="宋体" w:cs="Times New Roman"/>
          <w:color w:val="000000"/>
          <w:sz w:val="24"/>
          <w:szCs w:val="32"/>
        </w:rPr>
        <w:t>如发生</w:t>
      </w:r>
      <w:r>
        <w:rPr>
          <w:rFonts w:hint="eastAsia" w:ascii="Calibri" w:hAnsi="Calibri" w:eastAsia="宋体" w:cs="Times New Roman"/>
          <w:color w:val="000000"/>
          <w:sz w:val="24"/>
          <w:szCs w:val="32"/>
          <w:lang w:eastAsia="zh-CN"/>
        </w:rPr>
        <w:t>上述（包括但不限于）</w:t>
      </w:r>
      <w:r>
        <w:rPr>
          <w:rFonts w:hint="eastAsia" w:ascii="Calibri" w:hAnsi="Calibri" w:eastAsia="宋体" w:cs="Times New Roman"/>
          <w:color w:val="000000"/>
          <w:sz w:val="24"/>
          <w:szCs w:val="32"/>
        </w:rPr>
        <w:t>违法违规</w:t>
      </w:r>
      <w:r>
        <w:rPr>
          <w:rFonts w:hint="eastAsia" w:ascii="Calibri" w:hAnsi="Calibri" w:eastAsia="宋体" w:cs="Times New Roman"/>
          <w:color w:val="000000"/>
          <w:sz w:val="24"/>
          <w:szCs w:val="32"/>
          <w:lang w:eastAsia="zh-CN"/>
        </w:rPr>
        <w:t>或</w:t>
      </w:r>
      <w:r>
        <w:rPr>
          <w:rFonts w:hint="eastAsia" w:ascii="Calibri" w:hAnsi="Calibri" w:eastAsia="宋体" w:cs="Times New Roman"/>
          <w:color w:val="000000"/>
          <w:sz w:val="24"/>
          <w:szCs w:val="32"/>
        </w:rPr>
        <w:t>不良行为，自愿接受有关行政监督部门依法给予的行政处罚（处理），执行诚信不良行为记录联合惩戒措施，触犯法律的，依法承担法律责任。</w:t>
      </w:r>
    </w:p>
    <w:p w14:paraId="60D81B05">
      <w:pPr>
        <w:numPr>
          <w:ilvl w:val="0"/>
          <w:numId w:val="7"/>
        </w:numPr>
        <w:spacing w:line="360" w:lineRule="auto"/>
        <w:rPr>
          <w:rFonts w:ascii="Calibri" w:hAnsi="Calibri" w:eastAsia="宋体" w:cs="Times New Roman"/>
          <w:color w:val="000000"/>
          <w:sz w:val="24"/>
          <w:szCs w:val="32"/>
        </w:rPr>
      </w:pPr>
      <w:r>
        <w:rPr>
          <w:rFonts w:hint="eastAsia" w:ascii="Calibri" w:hAnsi="Calibri" w:eastAsia="宋体" w:cs="Times New Roman"/>
          <w:color w:val="000000"/>
          <w:sz w:val="24"/>
          <w:szCs w:val="32"/>
        </w:rPr>
        <w:t>本人郑重作出上述承诺。本人和单位员工均已熟悉诚信承诺内容并认真践行承诺。</w:t>
      </w:r>
    </w:p>
    <w:p w14:paraId="2E936CDD">
      <w:pPr>
        <w:numPr>
          <w:ilvl w:val="0"/>
          <w:numId w:val="0"/>
        </w:numPr>
        <w:spacing w:line="360" w:lineRule="auto"/>
        <w:rPr>
          <w:rFonts w:hint="eastAsia" w:ascii="Calibri" w:hAnsi="Calibri" w:eastAsia="宋体" w:cs="Times New Roman"/>
          <w:color w:val="000000"/>
          <w:sz w:val="24"/>
          <w:szCs w:val="32"/>
        </w:rPr>
      </w:pPr>
    </w:p>
    <w:p w14:paraId="45FE2BD9">
      <w:pPr>
        <w:numPr>
          <w:ilvl w:val="0"/>
          <w:numId w:val="0"/>
        </w:numPr>
        <w:spacing w:line="360" w:lineRule="auto"/>
        <w:rPr>
          <w:rFonts w:hint="eastAsia" w:ascii="Calibri" w:hAnsi="Calibri" w:eastAsia="宋体" w:cs="Times New Roman"/>
          <w:color w:val="000000"/>
          <w:sz w:val="24"/>
          <w:szCs w:val="32"/>
        </w:rPr>
      </w:pPr>
      <w:r>
        <w:rPr>
          <w:rFonts w:hint="eastAsia" w:ascii="Calibri" w:hAnsi="Calibri" w:eastAsia="宋体" w:cs="Times New Roman"/>
          <w:color w:val="000000"/>
          <w:sz w:val="24"/>
          <w:szCs w:val="32"/>
        </w:rPr>
        <w:t>法定代表人签名</w:t>
      </w:r>
      <w:r>
        <w:rPr>
          <w:rFonts w:hint="eastAsia" w:ascii="Calibri" w:hAnsi="Calibri" w:eastAsia="宋体" w:cs="Times New Roman"/>
          <w:color w:val="000000"/>
          <w:sz w:val="24"/>
          <w:szCs w:val="32"/>
          <w:lang w:eastAsia="zh-CN"/>
        </w:rPr>
        <w:t>（或签章）</w:t>
      </w:r>
      <w:r>
        <w:rPr>
          <w:rFonts w:hint="eastAsia" w:ascii="Calibri" w:hAnsi="Calibri" w:eastAsia="宋体" w:cs="Times New Roman"/>
          <w:color w:val="000000"/>
          <w:sz w:val="24"/>
          <w:szCs w:val="32"/>
        </w:rPr>
        <w:t>：                                 单位名称（盖章）：</w:t>
      </w:r>
    </w:p>
    <w:p w14:paraId="20274791">
      <w:pPr>
        <w:numPr>
          <w:ilvl w:val="0"/>
          <w:numId w:val="0"/>
        </w:numPr>
        <w:spacing w:line="360" w:lineRule="auto"/>
        <w:rPr>
          <w:rFonts w:hint="eastAsia" w:ascii="Calibri" w:hAnsi="Calibri" w:eastAsia="宋体" w:cs="Times New Roman"/>
          <w:color w:val="000000"/>
          <w:sz w:val="24"/>
          <w:szCs w:val="32"/>
        </w:rPr>
      </w:pPr>
    </w:p>
    <w:p w14:paraId="3F0CEFB2">
      <w:pPr>
        <w:numPr>
          <w:ilvl w:val="0"/>
          <w:numId w:val="0"/>
        </w:numPr>
        <w:spacing w:line="360" w:lineRule="auto"/>
        <w:ind w:firstLine="6960" w:firstLineChars="2900"/>
        <w:rPr>
          <w:rFonts w:hint="default" w:ascii="Calibri" w:hAnsi="Calibri" w:eastAsia="宋体" w:cs="Times New Roman"/>
          <w:color w:val="000000"/>
          <w:sz w:val="24"/>
          <w:szCs w:val="32"/>
          <w:lang w:val="en-US" w:eastAsia="zh-CN"/>
        </w:rPr>
      </w:pPr>
      <w:r>
        <w:rPr>
          <w:rFonts w:hint="eastAsia" w:ascii="Calibri" w:hAnsi="Calibri" w:eastAsia="宋体" w:cs="Times New Roman"/>
          <w:color w:val="000000"/>
          <w:sz w:val="24"/>
          <w:szCs w:val="32"/>
        </w:rPr>
        <w:t>年</w:t>
      </w:r>
      <w:r>
        <w:rPr>
          <w:rFonts w:hint="eastAsia" w:ascii="Calibri" w:hAnsi="Calibri" w:eastAsia="宋体" w:cs="Times New Roman"/>
          <w:color w:val="000000"/>
          <w:sz w:val="24"/>
          <w:szCs w:val="32"/>
          <w:lang w:val="en-US" w:eastAsia="zh-CN"/>
        </w:rPr>
        <w:t xml:space="preserve">    月   日</w:t>
      </w:r>
    </w:p>
    <w:p w14:paraId="55CDBC98">
      <w:pPr>
        <w:rPr>
          <w:rFonts w:ascii="Calibri" w:hAnsi="Calibri" w:eastAsia="宋体" w:cs="Times New Roman"/>
          <w:color w:val="000000"/>
          <w:szCs w:val="22"/>
        </w:rPr>
      </w:pPr>
    </w:p>
    <w:p w14:paraId="1A4A2FE4">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88" w:name="_Toc26100"/>
      <w:r>
        <w:rPr>
          <w:rFonts w:hint="eastAsia" w:ascii="黑体" w:hAnsi="黑体" w:eastAsia="黑体"/>
          <w:b/>
          <w:bCs/>
          <w:color w:val="000000" w:themeColor="text1"/>
          <w:sz w:val="28"/>
          <w:szCs w:val="28"/>
          <w14:textFill>
            <w14:solidFill>
              <w14:schemeClr w14:val="tx1"/>
            </w14:solidFill>
          </w14:textFill>
        </w:rPr>
        <w:t>六、采购需求的响应</w:t>
      </w:r>
      <w:bookmarkEnd w:id="180"/>
      <w:bookmarkEnd w:id="186"/>
      <w:bookmarkEnd w:id="188"/>
    </w:p>
    <w:p w14:paraId="1AA27B84">
      <w:pPr>
        <w:adjustRightInd w:val="0"/>
        <w:snapToGrid w:val="0"/>
        <w:spacing w:line="360" w:lineRule="auto"/>
        <w:rPr>
          <w:rFonts w:ascii="宋体" w:hAnsi="宋体"/>
          <w:b/>
          <w:color w:val="000000" w:themeColor="text1"/>
          <w:szCs w:val="21"/>
          <w14:textFill>
            <w14:solidFill>
              <w14:schemeClr w14:val="tx1"/>
            </w14:solidFill>
          </w14:textFill>
        </w:rPr>
      </w:pPr>
    </w:p>
    <w:p w14:paraId="2C4C548C">
      <w:pPr>
        <w:adjustRightInd w:val="0"/>
        <w:snapToGrid w:val="0"/>
        <w:spacing w:line="360" w:lineRule="auto"/>
        <w:rPr>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编制说明</w:t>
      </w:r>
      <w:r>
        <w:rPr>
          <w:rFonts w:hint="eastAsia" w:ascii="宋体" w:hAnsi="宋体"/>
          <w:bCs/>
          <w:color w:val="000000" w:themeColor="text1"/>
          <w:szCs w:val="21"/>
          <w14:textFill>
            <w14:solidFill>
              <w14:schemeClr w14:val="tx1"/>
            </w14:solidFill>
          </w14:textFill>
        </w:rPr>
        <w:t>：</w:t>
      </w:r>
      <w:r>
        <w:rPr>
          <w:rFonts w:hint="eastAsia"/>
          <w:b/>
          <w:color w:val="000000" w:themeColor="text1"/>
          <w14:textFill>
            <w14:solidFill>
              <w14:schemeClr w14:val="tx1"/>
            </w14:solidFill>
          </w14:textFill>
        </w:rPr>
        <w:t>供应商应按谈判文件第三章采购需求自行编写采购需求响应文件（其内容可包括，且不限于详细的技术指标和性能、售后服务和技术服务的组织及保证措施等，格式自拟）。</w:t>
      </w:r>
    </w:p>
    <w:p w14:paraId="2271BCEF">
      <w:pPr>
        <w:rPr>
          <w:color w:val="000000" w:themeColor="text1"/>
          <w14:textFill>
            <w14:solidFill>
              <w14:schemeClr w14:val="tx1"/>
            </w14:solidFill>
          </w14:textFill>
        </w:rPr>
      </w:pPr>
    </w:p>
    <w:p w14:paraId="2AE3BEE7">
      <w:pPr>
        <w:tabs>
          <w:tab w:val="left" w:pos="6208"/>
        </w:tabs>
        <w:adjustRightInd w:val="0"/>
        <w:snapToGrid w:val="0"/>
        <w:spacing w:line="360" w:lineRule="auto"/>
        <w:ind w:left="-88" w:leftChars="-42"/>
        <w:rPr>
          <w:rFonts w:ascii="宋体" w:hAnsi="宋体"/>
          <w:bCs/>
          <w:color w:val="000000" w:themeColor="text1"/>
          <w:szCs w:val="21"/>
          <w14:textFill>
            <w14:solidFill>
              <w14:schemeClr w14:val="tx1"/>
            </w14:solidFill>
          </w14:textFill>
        </w:rPr>
      </w:pPr>
    </w:p>
    <w:p w14:paraId="5FBD05DE">
      <w:pPr>
        <w:adjustRightInd w:val="0"/>
        <w:snapToGrid w:val="0"/>
        <w:spacing w:line="360" w:lineRule="auto"/>
        <w:rPr>
          <w:rFonts w:ascii="宋体" w:hAnsi="宋体"/>
          <w:color w:val="000000" w:themeColor="text1"/>
          <w:szCs w:val="21"/>
          <w14:textFill>
            <w14:solidFill>
              <w14:schemeClr w14:val="tx1"/>
            </w14:solidFill>
          </w14:textFill>
        </w:rPr>
      </w:pPr>
    </w:p>
    <w:p w14:paraId="46F03F8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7E96A12A">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08D45CF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7D5AE482">
      <w:pPr>
        <w:rPr>
          <w:color w:val="000000" w:themeColor="text1"/>
          <w14:textFill>
            <w14:solidFill>
              <w14:schemeClr w14:val="tx1"/>
            </w14:solidFill>
          </w14:textFill>
        </w:rPr>
      </w:pPr>
    </w:p>
    <w:p w14:paraId="59BF4F63">
      <w:pPr>
        <w:rPr>
          <w:color w:val="000000" w:themeColor="text1"/>
          <w14:textFill>
            <w14:solidFill>
              <w14:schemeClr w14:val="tx1"/>
            </w14:solidFill>
          </w14:textFill>
        </w:rPr>
      </w:pPr>
    </w:p>
    <w:p w14:paraId="376FDEA0">
      <w:pPr>
        <w:keepNext/>
        <w:keepLines/>
        <w:spacing w:before="260" w:after="260" w:line="416" w:lineRule="auto"/>
        <w:outlineLvl w:val="2"/>
        <w:rPr>
          <w:rFonts w:ascii="宋体" w:hAnsi="宋体"/>
          <w:b/>
          <w:bCs/>
          <w:color w:val="000000" w:themeColor="text1"/>
          <w:szCs w:val="21"/>
          <w14:textFill>
            <w14:solidFill>
              <w14:schemeClr w14:val="tx1"/>
            </w14:solidFill>
          </w14:textFill>
        </w:rPr>
      </w:pPr>
      <w:bookmarkStart w:id="189" w:name="_Toc107998046"/>
      <w:bookmarkStart w:id="190" w:name="_Toc15054"/>
      <w:bookmarkStart w:id="191" w:name="_Toc22201158"/>
      <w:r>
        <w:rPr>
          <w:rFonts w:hint="eastAsia" w:ascii="宋体" w:hAnsi="宋体"/>
          <w:b/>
          <w:bCs/>
          <w:color w:val="000000" w:themeColor="text1"/>
          <w:szCs w:val="21"/>
          <w14:textFill>
            <w14:solidFill>
              <w14:schemeClr w14:val="tx1"/>
            </w14:solidFill>
          </w14:textFill>
        </w:rPr>
        <w:t>附件</w:t>
      </w:r>
      <w:r>
        <w:rPr>
          <w:rFonts w:ascii="宋体" w:hAnsi="宋体"/>
          <w:b/>
          <w:bCs/>
          <w:color w:val="000000" w:themeColor="text1"/>
          <w:szCs w:val="21"/>
          <w14:textFill>
            <w14:solidFill>
              <w14:schemeClr w14:val="tx1"/>
            </w14:solidFill>
          </w14:textFill>
        </w:rPr>
        <w:t>6</w:t>
      </w:r>
      <w:r>
        <w:rPr>
          <w:rFonts w:hint="eastAsia" w:ascii="宋体" w:hAnsi="宋体"/>
          <w:b/>
          <w:bCs/>
          <w:color w:val="000000" w:themeColor="text1"/>
          <w:szCs w:val="21"/>
          <w14:textFill>
            <w14:solidFill>
              <w14:schemeClr w14:val="tx1"/>
            </w14:solidFill>
          </w14:textFill>
        </w:rPr>
        <w:t>-1 响应一览表</w:t>
      </w:r>
      <w:bookmarkEnd w:id="189"/>
      <w:bookmarkEnd w:id="190"/>
      <w:bookmarkEnd w:id="191"/>
    </w:p>
    <w:p w14:paraId="0CF228E2">
      <w:pPr>
        <w:adjustRightInd w:val="0"/>
        <w:snapToGrid w:val="0"/>
        <w:spacing w:before="156" w:beforeLines="50" w:line="360" w:lineRule="auto"/>
        <w:jc w:val="center"/>
        <w:rPr>
          <w:rFonts w:ascii="黑体" w:hAnsi="黑体" w:eastAsia="黑体"/>
          <w:b/>
          <w:bCs/>
          <w:color w:val="000000" w:themeColor="text1"/>
          <w:sz w:val="28"/>
          <w:szCs w:val="28"/>
          <w14:textFill>
            <w14:solidFill>
              <w14:schemeClr w14:val="tx1"/>
            </w14:solidFill>
          </w14:textFill>
        </w:rPr>
      </w:pPr>
      <w:r>
        <w:rPr>
          <w:rFonts w:hint="eastAsia" w:ascii="黑体" w:hAnsi="黑体" w:eastAsia="黑体"/>
          <w:b/>
          <w:bCs/>
          <w:color w:val="000000" w:themeColor="text1"/>
          <w:sz w:val="28"/>
          <w:szCs w:val="28"/>
          <w14:textFill>
            <w14:solidFill>
              <w14:schemeClr w14:val="tx1"/>
            </w14:solidFill>
          </w14:textFill>
        </w:rPr>
        <w:t>响应一览表</w:t>
      </w:r>
    </w:p>
    <w:p w14:paraId="2C6D26CB">
      <w:pPr>
        <w:adjustRightInd w:val="0"/>
        <w:snapToGrid w:val="0"/>
        <w:spacing w:before="50" w:line="360" w:lineRule="auto"/>
        <w:rPr>
          <w:rFonts w:ascii="宋体" w:hAnsi="宋体"/>
          <w:color w:val="000000" w:themeColor="text1"/>
          <w:szCs w:val="21"/>
          <w:u w:val="single"/>
          <w14:textFill>
            <w14:solidFill>
              <w14:schemeClr w14:val="tx1"/>
            </w14:solidFill>
          </w14:textFill>
        </w:rPr>
      </w:pPr>
    </w:p>
    <w:tbl>
      <w:tblPr>
        <w:tblStyle w:val="18"/>
        <w:tblW w:w="894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5"/>
        <w:gridCol w:w="1183"/>
        <w:gridCol w:w="2200"/>
        <w:gridCol w:w="2271"/>
        <w:gridCol w:w="1027"/>
        <w:gridCol w:w="844"/>
        <w:gridCol w:w="800"/>
      </w:tblGrid>
      <w:tr w14:paraId="5DDCAC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27" w:hRule="atLeast"/>
        </w:trPr>
        <w:tc>
          <w:tcPr>
            <w:tcW w:w="615" w:type="dxa"/>
            <w:noWrap w:val="0"/>
            <w:vAlign w:val="center"/>
          </w:tcPr>
          <w:p w14:paraId="723CEFD3">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包号 </w:t>
            </w:r>
          </w:p>
        </w:tc>
        <w:tc>
          <w:tcPr>
            <w:tcW w:w="1183" w:type="dxa"/>
            <w:noWrap w:val="0"/>
            <w:vAlign w:val="center"/>
          </w:tcPr>
          <w:p w14:paraId="024FC5C1">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2200" w:type="dxa"/>
            <w:noWrap w:val="0"/>
            <w:vAlign w:val="center"/>
          </w:tcPr>
          <w:p w14:paraId="0598023E">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标的名称</w:t>
            </w:r>
          </w:p>
        </w:tc>
        <w:tc>
          <w:tcPr>
            <w:tcW w:w="2271" w:type="dxa"/>
            <w:tcBorders>
              <w:left w:val="single" w:color="auto" w:sz="4" w:space="0"/>
            </w:tcBorders>
            <w:noWrap w:val="0"/>
            <w:vAlign w:val="center"/>
          </w:tcPr>
          <w:p w14:paraId="6412E30A">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简要技术要求</w:t>
            </w:r>
          </w:p>
        </w:tc>
        <w:tc>
          <w:tcPr>
            <w:tcW w:w="1027" w:type="dxa"/>
            <w:tcBorders>
              <w:left w:val="single" w:color="auto" w:sz="4" w:space="0"/>
            </w:tcBorders>
            <w:noWrap w:val="0"/>
            <w:vAlign w:val="center"/>
          </w:tcPr>
          <w:p w14:paraId="1A58A249">
            <w:pPr>
              <w:adjustRightInd w:val="0"/>
              <w:snapToGrid w:val="0"/>
              <w:jc w:val="center"/>
              <w:rPr>
                <w:rFonts w:ascii="宋体" w:hAnsi="宋体" w:cs="宋体"/>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数量</w:t>
            </w:r>
          </w:p>
        </w:tc>
        <w:tc>
          <w:tcPr>
            <w:tcW w:w="844" w:type="dxa"/>
            <w:noWrap w:val="0"/>
            <w:vAlign w:val="center"/>
          </w:tcPr>
          <w:p w14:paraId="293FB5E5">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节能产品</w:t>
            </w:r>
          </w:p>
        </w:tc>
        <w:tc>
          <w:tcPr>
            <w:tcW w:w="800" w:type="dxa"/>
            <w:noWrap w:val="0"/>
            <w:vAlign w:val="center"/>
          </w:tcPr>
          <w:p w14:paraId="05E5D3DC">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进口产品</w:t>
            </w:r>
          </w:p>
        </w:tc>
      </w:tr>
      <w:tr w14:paraId="746138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restart"/>
            <w:noWrap w:val="0"/>
            <w:vAlign w:val="top"/>
          </w:tcPr>
          <w:p w14:paraId="5646C1B3">
            <w:pPr>
              <w:adjustRightInd w:val="0"/>
              <w:snapToGrid w:val="0"/>
              <w:spacing w:before="156" w:beforeLines="50" w:line="360" w:lineRule="auto"/>
              <w:rPr>
                <w:color w:val="000000" w:themeColor="text1"/>
                <w:szCs w:val="21"/>
                <w14:textFill>
                  <w14:solidFill>
                    <w14:schemeClr w14:val="tx1"/>
                  </w14:solidFill>
                </w14:textFill>
              </w:rPr>
            </w:pPr>
          </w:p>
        </w:tc>
        <w:tc>
          <w:tcPr>
            <w:tcW w:w="1183" w:type="dxa"/>
            <w:vMerge w:val="restart"/>
            <w:noWrap w:val="0"/>
            <w:vAlign w:val="top"/>
          </w:tcPr>
          <w:p w14:paraId="7B62152C">
            <w:pPr>
              <w:adjustRightInd w:val="0"/>
              <w:snapToGrid w:val="0"/>
              <w:spacing w:before="156" w:beforeLines="50" w:line="360" w:lineRule="auto"/>
              <w:rPr>
                <w:color w:val="000000" w:themeColor="text1"/>
                <w:szCs w:val="21"/>
                <w14:textFill>
                  <w14:solidFill>
                    <w14:schemeClr w14:val="tx1"/>
                  </w14:solidFill>
                </w14:textFill>
              </w:rPr>
            </w:pPr>
          </w:p>
        </w:tc>
        <w:tc>
          <w:tcPr>
            <w:tcW w:w="2200" w:type="dxa"/>
            <w:noWrap w:val="0"/>
            <w:vAlign w:val="top"/>
          </w:tcPr>
          <w:p w14:paraId="07E94A2E">
            <w:pPr>
              <w:adjustRightInd w:val="0"/>
              <w:snapToGrid w:val="0"/>
              <w:spacing w:before="156" w:beforeLines="50" w:line="360" w:lineRule="auto"/>
              <w:rPr>
                <w:color w:val="000000" w:themeColor="text1"/>
                <w:szCs w:val="21"/>
                <w14:textFill>
                  <w14:solidFill>
                    <w14:schemeClr w14:val="tx1"/>
                  </w14:solidFill>
                </w14:textFill>
              </w:rPr>
            </w:pPr>
          </w:p>
        </w:tc>
        <w:tc>
          <w:tcPr>
            <w:tcW w:w="2271" w:type="dxa"/>
            <w:tcBorders>
              <w:left w:val="single" w:color="auto" w:sz="4" w:space="0"/>
            </w:tcBorders>
            <w:noWrap w:val="0"/>
            <w:vAlign w:val="top"/>
          </w:tcPr>
          <w:p w14:paraId="3EEA23E7">
            <w:pPr>
              <w:adjustRightInd w:val="0"/>
              <w:snapToGrid w:val="0"/>
              <w:spacing w:before="156" w:beforeLines="50" w:line="360" w:lineRule="auto"/>
              <w:rPr>
                <w:color w:val="000000" w:themeColor="text1"/>
                <w:szCs w:val="21"/>
                <w14:textFill>
                  <w14:solidFill>
                    <w14:schemeClr w14:val="tx1"/>
                  </w14:solidFill>
                </w14:textFill>
              </w:rPr>
            </w:pPr>
          </w:p>
        </w:tc>
        <w:tc>
          <w:tcPr>
            <w:tcW w:w="1027" w:type="dxa"/>
            <w:tcBorders>
              <w:left w:val="single" w:color="auto" w:sz="4" w:space="0"/>
            </w:tcBorders>
            <w:noWrap w:val="0"/>
            <w:vAlign w:val="top"/>
          </w:tcPr>
          <w:p w14:paraId="7C371846">
            <w:pPr>
              <w:adjustRightInd w:val="0"/>
              <w:snapToGrid w:val="0"/>
              <w:spacing w:before="156" w:beforeLines="50" w:line="360" w:lineRule="auto"/>
              <w:rPr>
                <w:color w:val="000000" w:themeColor="text1"/>
                <w:szCs w:val="21"/>
                <w14:textFill>
                  <w14:solidFill>
                    <w14:schemeClr w14:val="tx1"/>
                  </w14:solidFill>
                </w14:textFill>
              </w:rPr>
            </w:pPr>
          </w:p>
        </w:tc>
        <w:tc>
          <w:tcPr>
            <w:tcW w:w="844" w:type="dxa"/>
            <w:noWrap w:val="0"/>
            <w:vAlign w:val="top"/>
          </w:tcPr>
          <w:p w14:paraId="03636C67">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800" w:type="dxa"/>
            <w:noWrap w:val="0"/>
            <w:vAlign w:val="top"/>
          </w:tcPr>
          <w:p w14:paraId="0E1CD655">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r w14:paraId="60150B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continue"/>
            <w:noWrap w:val="0"/>
            <w:vAlign w:val="top"/>
          </w:tcPr>
          <w:p w14:paraId="2E689F8E">
            <w:pPr>
              <w:adjustRightInd w:val="0"/>
              <w:snapToGrid w:val="0"/>
              <w:spacing w:before="156" w:beforeLines="50" w:line="360" w:lineRule="auto"/>
              <w:rPr>
                <w:color w:val="000000" w:themeColor="text1"/>
                <w:szCs w:val="21"/>
                <w14:textFill>
                  <w14:solidFill>
                    <w14:schemeClr w14:val="tx1"/>
                  </w14:solidFill>
                </w14:textFill>
              </w:rPr>
            </w:pPr>
          </w:p>
        </w:tc>
        <w:tc>
          <w:tcPr>
            <w:tcW w:w="1183" w:type="dxa"/>
            <w:vMerge w:val="continue"/>
            <w:noWrap w:val="0"/>
            <w:vAlign w:val="top"/>
          </w:tcPr>
          <w:p w14:paraId="3B1B2ED2">
            <w:pPr>
              <w:adjustRightInd w:val="0"/>
              <w:snapToGrid w:val="0"/>
              <w:spacing w:before="156" w:beforeLines="50" w:line="360" w:lineRule="auto"/>
              <w:rPr>
                <w:color w:val="000000" w:themeColor="text1"/>
                <w:szCs w:val="21"/>
                <w14:textFill>
                  <w14:solidFill>
                    <w14:schemeClr w14:val="tx1"/>
                  </w14:solidFill>
                </w14:textFill>
              </w:rPr>
            </w:pPr>
          </w:p>
        </w:tc>
        <w:tc>
          <w:tcPr>
            <w:tcW w:w="2200" w:type="dxa"/>
            <w:noWrap w:val="0"/>
            <w:vAlign w:val="top"/>
          </w:tcPr>
          <w:p w14:paraId="65D90EC4">
            <w:pPr>
              <w:adjustRightInd w:val="0"/>
              <w:snapToGrid w:val="0"/>
              <w:spacing w:before="156" w:beforeLines="50" w:line="360" w:lineRule="auto"/>
              <w:rPr>
                <w:color w:val="000000" w:themeColor="text1"/>
                <w:szCs w:val="21"/>
                <w14:textFill>
                  <w14:solidFill>
                    <w14:schemeClr w14:val="tx1"/>
                  </w14:solidFill>
                </w14:textFill>
              </w:rPr>
            </w:pPr>
          </w:p>
        </w:tc>
        <w:tc>
          <w:tcPr>
            <w:tcW w:w="2271" w:type="dxa"/>
            <w:tcBorders>
              <w:left w:val="single" w:color="auto" w:sz="4" w:space="0"/>
            </w:tcBorders>
            <w:noWrap w:val="0"/>
            <w:vAlign w:val="top"/>
          </w:tcPr>
          <w:p w14:paraId="1AA45A04">
            <w:pPr>
              <w:adjustRightInd w:val="0"/>
              <w:snapToGrid w:val="0"/>
              <w:spacing w:before="156" w:beforeLines="50" w:line="360" w:lineRule="auto"/>
              <w:rPr>
                <w:color w:val="000000" w:themeColor="text1"/>
                <w:szCs w:val="21"/>
                <w14:textFill>
                  <w14:solidFill>
                    <w14:schemeClr w14:val="tx1"/>
                  </w14:solidFill>
                </w14:textFill>
              </w:rPr>
            </w:pPr>
          </w:p>
        </w:tc>
        <w:tc>
          <w:tcPr>
            <w:tcW w:w="1027" w:type="dxa"/>
            <w:tcBorders>
              <w:left w:val="single" w:color="auto" w:sz="4" w:space="0"/>
            </w:tcBorders>
            <w:noWrap w:val="0"/>
            <w:vAlign w:val="top"/>
          </w:tcPr>
          <w:p w14:paraId="70C7B437">
            <w:pPr>
              <w:adjustRightInd w:val="0"/>
              <w:snapToGrid w:val="0"/>
              <w:spacing w:before="156" w:beforeLines="50" w:line="360" w:lineRule="auto"/>
              <w:rPr>
                <w:color w:val="000000" w:themeColor="text1"/>
                <w:szCs w:val="21"/>
                <w14:textFill>
                  <w14:solidFill>
                    <w14:schemeClr w14:val="tx1"/>
                  </w14:solidFill>
                </w14:textFill>
              </w:rPr>
            </w:pPr>
          </w:p>
        </w:tc>
        <w:tc>
          <w:tcPr>
            <w:tcW w:w="844" w:type="dxa"/>
            <w:noWrap w:val="0"/>
            <w:vAlign w:val="top"/>
          </w:tcPr>
          <w:p w14:paraId="109A1EB0">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800" w:type="dxa"/>
            <w:noWrap w:val="0"/>
            <w:vAlign w:val="top"/>
          </w:tcPr>
          <w:p w14:paraId="407C4B30">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r w14:paraId="5A9FD2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615" w:type="dxa"/>
            <w:vMerge w:val="restart"/>
            <w:noWrap w:val="0"/>
            <w:vAlign w:val="top"/>
          </w:tcPr>
          <w:p w14:paraId="0A6EBBD8">
            <w:pPr>
              <w:adjustRightInd w:val="0"/>
              <w:snapToGrid w:val="0"/>
              <w:spacing w:before="156" w:beforeLines="50" w:line="360" w:lineRule="auto"/>
              <w:rPr>
                <w:color w:val="000000" w:themeColor="text1"/>
                <w:szCs w:val="21"/>
                <w14:textFill>
                  <w14:solidFill>
                    <w14:schemeClr w14:val="tx1"/>
                  </w14:solidFill>
                </w14:textFill>
              </w:rPr>
            </w:pPr>
          </w:p>
        </w:tc>
        <w:tc>
          <w:tcPr>
            <w:tcW w:w="1183" w:type="dxa"/>
            <w:vMerge w:val="restart"/>
            <w:noWrap w:val="0"/>
            <w:vAlign w:val="top"/>
          </w:tcPr>
          <w:p w14:paraId="1069020A">
            <w:pPr>
              <w:adjustRightInd w:val="0"/>
              <w:snapToGrid w:val="0"/>
              <w:spacing w:before="156" w:beforeLines="50" w:line="360" w:lineRule="auto"/>
              <w:rPr>
                <w:color w:val="000000" w:themeColor="text1"/>
                <w:szCs w:val="21"/>
                <w14:textFill>
                  <w14:solidFill>
                    <w14:schemeClr w14:val="tx1"/>
                  </w14:solidFill>
                </w14:textFill>
              </w:rPr>
            </w:pPr>
          </w:p>
        </w:tc>
        <w:tc>
          <w:tcPr>
            <w:tcW w:w="2200" w:type="dxa"/>
            <w:noWrap w:val="0"/>
            <w:vAlign w:val="top"/>
          </w:tcPr>
          <w:p w14:paraId="28962D1A">
            <w:pPr>
              <w:adjustRightInd w:val="0"/>
              <w:snapToGrid w:val="0"/>
              <w:spacing w:before="156" w:beforeLines="50" w:line="360" w:lineRule="auto"/>
              <w:rPr>
                <w:color w:val="000000" w:themeColor="text1"/>
                <w:szCs w:val="21"/>
                <w14:textFill>
                  <w14:solidFill>
                    <w14:schemeClr w14:val="tx1"/>
                  </w14:solidFill>
                </w14:textFill>
              </w:rPr>
            </w:pPr>
          </w:p>
        </w:tc>
        <w:tc>
          <w:tcPr>
            <w:tcW w:w="2271" w:type="dxa"/>
            <w:tcBorders>
              <w:left w:val="single" w:color="auto" w:sz="4" w:space="0"/>
            </w:tcBorders>
            <w:noWrap w:val="0"/>
            <w:vAlign w:val="top"/>
          </w:tcPr>
          <w:p w14:paraId="32B6E77B">
            <w:pPr>
              <w:adjustRightInd w:val="0"/>
              <w:snapToGrid w:val="0"/>
              <w:spacing w:before="156" w:beforeLines="50" w:line="360" w:lineRule="auto"/>
              <w:rPr>
                <w:color w:val="000000" w:themeColor="text1"/>
                <w:szCs w:val="21"/>
                <w14:textFill>
                  <w14:solidFill>
                    <w14:schemeClr w14:val="tx1"/>
                  </w14:solidFill>
                </w14:textFill>
              </w:rPr>
            </w:pPr>
          </w:p>
        </w:tc>
        <w:tc>
          <w:tcPr>
            <w:tcW w:w="1027" w:type="dxa"/>
            <w:tcBorders>
              <w:left w:val="single" w:color="auto" w:sz="4" w:space="0"/>
            </w:tcBorders>
            <w:noWrap w:val="0"/>
            <w:vAlign w:val="top"/>
          </w:tcPr>
          <w:p w14:paraId="58411A33">
            <w:pPr>
              <w:adjustRightInd w:val="0"/>
              <w:snapToGrid w:val="0"/>
              <w:spacing w:before="156" w:beforeLines="50" w:line="360" w:lineRule="auto"/>
              <w:rPr>
                <w:color w:val="000000" w:themeColor="text1"/>
                <w:szCs w:val="21"/>
                <w14:textFill>
                  <w14:solidFill>
                    <w14:schemeClr w14:val="tx1"/>
                  </w14:solidFill>
                </w14:textFill>
              </w:rPr>
            </w:pPr>
          </w:p>
        </w:tc>
        <w:tc>
          <w:tcPr>
            <w:tcW w:w="844" w:type="dxa"/>
            <w:noWrap w:val="0"/>
            <w:vAlign w:val="top"/>
          </w:tcPr>
          <w:p w14:paraId="03933E4C">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800" w:type="dxa"/>
            <w:noWrap w:val="0"/>
            <w:vAlign w:val="top"/>
          </w:tcPr>
          <w:p w14:paraId="2E05481A">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r w14:paraId="7BC233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615" w:type="dxa"/>
            <w:vMerge w:val="continue"/>
            <w:noWrap w:val="0"/>
            <w:vAlign w:val="top"/>
          </w:tcPr>
          <w:p w14:paraId="7DFB92D7">
            <w:pPr>
              <w:adjustRightInd w:val="0"/>
              <w:snapToGrid w:val="0"/>
              <w:spacing w:before="156" w:beforeLines="50" w:line="360" w:lineRule="auto"/>
              <w:rPr>
                <w:color w:val="000000" w:themeColor="text1"/>
                <w:szCs w:val="21"/>
                <w14:textFill>
                  <w14:solidFill>
                    <w14:schemeClr w14:val="tx1"/>
                  </w14:solidFill>
                </w14:textFill>
              </w:rPr>
            </w:pPr>
          </w:p>
        </w:tc>
        <w:tc>
          <w:tcPr>
            <w:tcW w:w="1183" w:type="dxa"/>
            <w:vMerge w:val="continue"/>
            <w:noWrap w:val="0"/>
            <w:vAlign w:val="top"/>
          </w:tcPr>
          <w:p w14:paraId="39320A29">
            <w:pPr>
              <w:adjustRightInd w:val="0"/>
              <w:snapToGrid w:val="0"/>
              <w:spacing w:before="156" w:beforeLines="50" w:line="360" w:lineRule="auto"/>
              <w:rPr>
                <w:color w:val="000000" w:themeColor="text1"/>
                <w:szCs w:val="21"/>
                <w14:textFill>
                  <w14:solidFill>
                    <w14:schemeClr w14:val="tx1"/>
                  </w14:solidFill>
                </w14:textFill>
              </w:rPr>
            </w:pPr>
          </w:p>
        </w:tc>
        <w:tc>
          <w:tcPr>
            <w:tcW w:w="2200" w:type="dxa"/>
            <w:noWrap w:val="0"/>
            <w:vAlign w:val="top"/>
          </w:tcPr>
          <w:p w14:paraId="0AA49F80">
            <w:pPr>
              <w:adjustRightInd w:val="0"/>
              <w:snapToGrid w:val="0"/>
              <w:spacing w:before="156" w:beforeLines="50" w:line="360" w:lineRule="auto"/>
              <w:rPr>
                <w:color w:val="000000" w:themeColor="text1"/>
                <w:szCs w:val="21"/>
                <w14:textFill>
                  <w14:solidFill>
                    <w14:schemeClr w14:val="tx1"/>
                  </w14:solidFill>
                </w14:textFill>
              </w:rPr>
            </w:pPr>
          </w:p>
        </w:tc>
        <w:tc>
          <w:tcPr>
            <w:tcW w:w="2271" w:type="dxa"/>
            <w:tcBorders>
              <w:left w:val="single" w:color="auto" w:sz="4" w:space="0"/>
            </w:tcBorders>
            <w:noWrap w:val="0"/>
            <w:vAlign w:val="top"/>
          </w:tcPr>
          <w:p w14:paraId="347FDFBE">
            <w:pPr>
              <w:adjustRightInd w:val="0"/>
              <w:snapToGrid w:val="0"/>
              <w:spacing w:before="156" w:beforeLines="50" w:line="360" w:lineRule="auto"/>
              <w:rPr>
                <w:color w:val="000000" w:themeColor="text1"/>
                <w:szCs w:val="21"/>
                <w14:textFill>
                  <w14:solidFill>
                    <w14:schemeClr w14:val="tx1"/>
                  </w14:solidFill>
                </w14:textFill>
              </w:rPr>
            </w:pPr>
          </w:p>
        </w:tc>
        <w:tc>
          <w:tcPr>
            <w:tcW w:w="1027" w:type="dxa"/>
            <w:tcBorders>
              <w:left w:val="single" w:color="auto" w:sz="4" w:space="0"/>
            </w:tcBorders>
            <w:noWrap w:val="0"/>
            <w:vAlign w:val="top"/>
          </w:tcPr>
          <w:p w14:paraId="47511F50">
            <w:pPr>
              <w:adjustRightInd w:val="0"/>
              <w:snapToGrid w:val="0"/>
              <w:spacing w:before="156" w:beforeLines="50" w:line="360" w:lineRule="auto"/>
              <w:rPr>
                <w:color w:val="000000" w:themeColor="text1"/>
                <w:szCs w:val="21"/>
                <w14:textFill>
                  <w14:solidFill>
                    <w14:schemeClr w14:val="tx1"/>
                  </w14:solidFill>
                </w14:textFill>
              </w:rPr>
            </w:pPr>
          </w:p>
        </w:tc>
        <w:tc>
          <w:tcPr>
            <w:tcW w:w="844" w:type="dxa"/>
            <w:noWrap w:val="0"/>
            <w:vAlign w:val="top"/>
          </w:tcPr>
          <w:p w14:paraId="5550E5C3">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800" w:type="dxa"/>
            <w:noWrap w:val="0"/>
            <w:vAlign w:val="top"/>
          </w:tcPr>
          <w:p w14:paraId="503D79AF">
            <w:pPr>
              <w:adjustRightInd w:val="0"/>
              <w:snapToGrid w:val="0"/>
              <w:spacing w:before="156" w:beforeLines="50" w:line="360" w:lineRule="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bl>
    <w:p w14:paraId="763AD9CB">
      <w:pPr>
        <w:adjustRightInd w:val="0"/>
        <w:snapToGrid w:val="0"/>
        <w:spacing w:line="360" w:lineRule="auto"/>
        <w:rPr>
          <w:color w:val="000000" w:themeColor="text1"/>
          <w14:textFill>
            <w14:solidFill>
              <w14:schemeClr w14:val="tx1"/>
            </w14:solidFill>
          </w14:textFill>
        </w:rPr>
      </w:pPr>
    </w:p>
    <w:p w14:paraId="698C7FED">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69837BF7">
      <w:pPr>
        <w:adjustRightInd w:val="0"/>
        <w:snapToGrid w:val="0"/>
        <w:spacing w:line="360" w:lineRule="auto"/>
        <w:rPr>
          <w:rFonts w:ascii="宋体" w:hAnsi="宋体"/>
          <w:color w:val="000000" w:themeColor="text1"/>
          <w:szCs w:val="21"/>
          <w:u w:val="single"/>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04E7DA95">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3852FB3">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92" w:name="_Toc22201159"/>
      <w:bookmarkStart w:id="193" w:name="_Toc23203"/>
      <w:bookmarkStart w:id="194" w:name="_Toc107998047"/>
      <w:r>
        <w:rPr>
          <w:rFonts w:hint="eastAsia" w:ascii="黑体" w:hAnsi="黑体" w:eastAsia="黑体"/>
          <w:b/>
          <w:bCs/>
          <w:color w:val="000000" w:themeColor="text1"/>
          <w:sz w:val="28"/>
          <w:szCs w:val="28"/>
          <w14:textFill>
            <w14:solidFill>
              <w14:schemeClr w14:val="tx1"/>
            </w14:solidFill>
          </w14:textFill>
        </w:rPr>
        <w:t>七、合同条款偏离表</w:t>
      </w:r>
      <w:bookmarkEnd w:id="192"/>
      <w:bookmarkEnd w:id="193"/>
      <w:bookmarkEnd w:id="194"/>
    </w:p>
    <w:p w14:paraId="659B5D98">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57E157DF">
      <w:pPr>
        <w:adjustRightInd w:val="0"/>
        <w:snapToGrid w:val="0"/>
        <w:spacing w:before="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18"/>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453C60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noWrap w:val="0"/>
            <w:vAlign w:val="center"/>
          </w:tcPr>
          <w:p w14:paraId="6D36D5A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410" w:type="dxa"/>
            <w:noWrap w:val="0"/>
            <w:vAlign w:val="center"/>
          </w:tcPr>
          <w:p w14:paraId="3538B46F">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谈判文件章节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noWrap w:val="0"/>
            <w:vAlign w:val="center"/>
          </w:tcPr>
          <w:p w14:paraId="690724A1">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谈判</w:t>
            </w:r>
            <w:r>
              <w:rPr>
                <w:rFonts w:hint="eastAsia"/>
                <w:color w:val="000000" w:themeColor="text1"/>
                <w14:textFill>
                  <w14:solidFill>
                    <w14:schemeClr w14:val="tx1"/>
                  </w14:solidFill>
                </w14:textFill>
              </w:rPr>
              <w:t>文件要求</w:t>
            </w:r>
          </w:p>
        </w:tc>
        <w:tc>
          <w:tcPr>
            <w:tcW w:w="2082" w:type="dxa"/>
            <w:tcBorders>
              <w:right w:val="single" w:color="auto" w:sz="4" w:space="0"/>
            </w:tcBorders>
            <w:noWrap w:val="0"/>
            <w:vAlign w:val="center"/>
          </w:tcPr>
          <w:p w14:paraId="642B3D31">
            <w:pPr>
              <w:adjustRightInd w:val="0"/>
              <w:snapToGrid w:val="0"/>
              <w:spacing w:before="50" w:line="360" w:lineRule="auto"/>
              <w:jc w:val="center"/>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响应文件的应答</w:t>
            </w:r>
          </w:p>
        </w:tc>
        <w:tc>
          <w:tcPr>
            <w:tcW w:w="1942" w:type="dxa"/>
            <w:tcBorders>
              <w:left w:val="single" w:color="auto" w:sz="4" w:space="0"/>
            </w:tcBorders>
            <w:noWrap w:val="0"/>
            <w:vAlign w:val="center"/>
          </w:tcPr>
          <w:p w14:paraId="64FA86E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107B01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2FCFFAA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1C787F2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top"/>
          </w:tcPr>
          <w:p w14:paraId="6C7C25E2">
            <w:pPr>
              <w:adjustRightInd w:val="0"/>
              <w:snapToGrid w:val="0"/>
              <w:spacing w:before="50" w:line="360" w:lineRule="auto"/>
              <w:rPr>
                <w:color w:val="000000" w:themeColor="text1"/>
                <w14:textFill>
                  <w14:solidFill>
                    <w14:schemeClr w14:val="tx1"/>
                  </w14:solidFill>
                </w14:textFill>
              </w:rPr>
            </w:pPr>
          </w:p>
        </w:tc>
        <w:tc>
          <w:tcPr>
            <w:tcW w:w="2082" w:type="dxa"/>
            <w:tcBorders>
              <w:right w:val="single" w:color="auto" w:sz="4" w:space="0"/>
            </w:tcBorders>
            <w:noWrap w:val="0"/>
            <w:vAlign w:val="top"/>
          </w:tcPr>
          <w:p w14:paraId="4884CE73">
            <w:pPr>
              <w:adjustRightInd w:val="0"/>
              <w:snapToGrid w:val="0"/>
              <w:spacing w:before="50" w:line="360" w:lineRule="auto"/>
              <w:rPr>
                <w:color w:val="000000" w:themeColor="text1"/>
                <w14:textFill>
                  <w14:solidFill>
                    <w14:schemeClr w14:val="tx1"/>
                  </w14:solidFill>
                </w14:textFill>
              </w:rPr>
            </w:pPr>
          </w:p>
        </w:tc>
        <w:tc>
          <w:tcPr>
            <w:tcW w:w="1942" w:type="dxa"/>
            <w:tcBorders>
              <w:left w:val="single" w:color="auto" w:sz="4" w:space="0"/>
            </w:tcBorders>
            <w:noWrap w:val="0"/>
            <w:vAlign w:val="top"/>
          </w:tcPr>
          <w:p w14:paraId="0C10D28C">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3A1078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CD4FBA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69B67412">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33D9671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noWrap w:val="0"/>
            <w:vAlign w:val="center"/>
          </w:tcPr>
          <w:p w14:paraId="24DFD8D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noWrap w:val="0"/>
            <w:vAlign w:val="center"/>
          </w:tcPr>
          <w:p w14:paraId="349D890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2E7C7C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1083181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101716F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711916C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noWrap w:val="0"/>
            <w:vAlign w:val="center"/>
          </w:tcPr>
          <w:p w14:paraId="3D567B2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noWrap w:val="0"/>
            <w:vAlign w:val="center"/>
          </w:tcPr>
          <w:p w14:paraId="7862224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76FFBC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48BE49F">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19269F5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17320F6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noWrap w:val="0"/>
            <w:vAlign w:val="center"/>
          </w:tcPr>
          <w:p w14:paraId="276F015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noWrap w:val="0"/>
            <w:vAlign w:val="center"/>
          </w:tcPr>
          <w:p w14:paraId="16480C0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645CE1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25F3542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7A68552C">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2B46479C">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noWrap w:val="0"/>
            <w:vAlign w:val="center"/>
          </w:tcPr>
          <w:p w14:paraId="6EB47471">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noWrap w:val="0"/>
            <w:vAlign w:val="center"/>
          </w:tcPr>
          <w:p w14:paraId="59E19E4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7176B3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40787BB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6063965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1963B5C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082" w:type="dxa"/>
            <w:tcBorders>
              <w:right w:val="single" w:color="auto" w:sz="4" w:space="0"/>
            </w:tcBorders>
            <w:noWrap w:val="0"/>
            <w:vAlign w:val="center"/>
          </w:tcPr>
          <w:p w14:paraId="398867FB">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42" w:type="dxa"/>
            <w:tcBorders>
              <w:left w:val="single" w:color="auto" w:sz="4" w:space="0"/>
            </w:tcBorders>
            <w:noWrap w:val="0"/>
            <w:vAlign w:val="center"/>
          </w:tcPr>
          <w:p w14:paraId="1D91464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5B821B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noWrap w:val="0"/>
            <w:vAlign w:val="center"/>
          </w:tcPr>
          <w:p w14:paraId="6330174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299042D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noWrap w:val="0"/>
            <w:vAlign w:val="center"/>
          </w:tcPr>
          <w:p w14:paraId="13ECE578">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4024" w:type="dxa"/>
            <w:gridSpan w:val="2"/>
            <w:noWrap w:val="0"/>
            <w:vAlign w:val="center"/>
          </w:tcPr>
          <w:p w14:paraId="7A726DE7">
            <w:pPr>
              <w:adjustRightInd w:val="0"/>
              <w:snapToGrid w:val="0"/>
              <w:spacing w:before="50" w:line="360" w:lineRule="auto"/>
              <w:ind w:firstLine="420" w:firstLineChars="2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供应商保证：除本合同条款偏离表列出的偏离外，我单位对谈判文件的其他商务、合同条款完全响应，无偏离。</w:t>
            </w:r>
          </w:p>
        </w:tc>
      </w:tr>
    </w:tbl>
    <w:p w14:paraId="622D49A2">
      <w:pPr>
        <w:adjustRightInd w:val="0"/>
        <w:snapToGrid w:val="0"/>
        <w:spacing w:before="50" w:line="360" w:lineRule="auto"/>
        <w:ind w:left="-88" w:leftChars="-42"/>
        <w:rPr>
          <w:rFonts w:ascii="宋体" w:hAnsi="宋体"/>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注：</w:t>
      </w:r>
      <w:r>
        <w:rPr>
          <w:rFonts w:hint="eastAsia" w:ascii="宋体" w:hAnsi="宋体"/>
          <w:b w:val="0"/>
          <w:bCs/>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供应商应根据谈判文件第四章</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合同草案条款</w:t>
      </w:r>
      <w:r>
        <w:rPr>
          <w:rFonts w:hint="eastAsia" w:ascii="华文宋体" w:hAnsi="华文宋体" w:eastAsia="华文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填写本表；</w:t>
      </w:r>
    </w:p>
    <w:p w14:paraId="351245D3">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b/>
          <w:color w:val="000000" w:themeColor="text1"/>
          <w:szCs w:val="21"/>
          <w14:textFill>
            <w14:solidFill>
              <w14:schemeClr w14:val="tx1"/>
            </w14:solidFill>
          </w14:textFill>
        </w:rPr>
        <w:t>供应商如果对谈判文件第四章“合同草案条款”的响应有偏离，应将偏离条款逐条如实应答，并作出说明；</w:t>
      </w:r>
    </w:p>
    <w:p w14:paraId="781013B3">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如不提供此表，则视为供应商不满足谈判文件第四章的所有条款要求，其</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0C419076">
      <w:pPr>
        <w:adjustRightInd w:val="0"/>
        <w:snapToGrid w:val="0"/>
        <w:spacing w:before="50" w:line="360" w:lineRule="auto"/>
        <w:ind w:left="-88" w:leftChars="-42"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eastAsia="宋体"/>
          <w:color w:val="000000" w:themeColor="text1"/>
          <w:szCs w:val="21"/>
          <w14:textFill>
            <w14:solidFill>
              <w14:schemeClr w14:val="tx1"/>
            </w14:solidFill>
          </w14:textFill>
        </w:rPr>
        <w:t>在采购人与成交供应商签订合同时，如成交供应商未在响应文件“合同条款偏离表”中列出偏离说明，无论已发生或即将发生任何情形，均视为完全符合谈判文件要求，并写入合同。若成交供应商在合同签订前，以上述事项为借口而不履行合同签订手续及执行合同，则视作拒绝与采购人签订合同。</w:t>
      </w:r>
    </w:p>
    <w:p w14:paraId="4BE03666">
      <w:pPr>
        <w:adjustRightInd w:val="0"/>
        <w:snapToGrid w:val="0"/>
        <w:spacing w:before="50" w:line="360" w:lineRule="auto"/>
        <w:rPr>
          <w:rFonts w:ascii="宋体" w:hAnsi="宋体"/>
          <w:color w:val="000000" w:themeColor="text1"/>
          <w:szCs w:val="21"/>
          <w14:textFill>
            <w14:solidFill>
              <w14:schemeClr w14:val="tx1"/>
            </w14:solidFill>
          </w14:textFill>
        </w:rPr>
      </w:pPr>
    </w:p>
    <w:p w14:paraId="78ED474C">
      <w:pPr>
        <w:adjustRightInd w:val="0"/>
        <w:snapToGrid w:val="0"/>
        <w:spacing w:before="50" w:line="360" w:lineRule="auto"/>
        <w:rPr>
          <w:rFonts w:ascii="宋体" w:hAnsi="宋体"/>
          <w:color w:val="000000" w:themeColor="text1"/>
          <w:szCs w:val="21"/>
          <w14:textFill>
            <w14:solidFill>
              <w14:schemeClr w14:val="tx1"/>
            </w14:solidFill>
          </w14:textFill>
        </w:rPr>
      </w:pPr>
    </w:p>
    <w:p w14:paraId="7BBEEF92">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2C53218E">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2BB1ABDB">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rFonts w:hint="eastAsia" w:ascii="Times New Roman" w:eastAsia="宋体"/>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年</w:t>
      </w:r>
      <w:r>
        <w:rPr>
          <w:rFonts w:hint="eastAsia" w:ascii="Times New Roman" w:eastAsia="宋体"/>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月</w:t>
      </w:r>
      <w:r>
        <w:rPr>
          <w:rFonts w:hint="eastAsia" w:ascii="Times New Roman" w:eastAsia="宋体"/>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 xml:space="preserve"> 日</w:t>
      </w:r>
    </w:p>
    <w:p w14:paraId="65E168A5">
      <w:pPr>
        <w:keepNext/>
        <w:keepLines/>
        <w:spacing w:line="360" w:lineRule="auto"/>
        <w:jc w:val="center"/>
        <w:outlineLvl w:val="1"/>
        <w:rPr>
          <w:rFonts w:ascii="黑体" w:hAnsi="Arial" w:eastAsia="黑体"/>
          <w:b/>
          <w:bCs/>
          <w:color w:val="000000" w:themeColor="text1"/>
          <w:sz w:val="28"/>
          <w:szCs w:val="28"/>
          <w14:textFill>
            <w14:solidFill>
              <w14:schemeClr w14:val="tx1"/>
            </w14:solidFill>
          </w14:textFill>
        </w:rPr>
      </w:pPr>
      <w:r>
        <w:rPr>
          <w:rFonts w:ascii="黑体" w:hAnsi="Arial" w:eastAsia="黑体"/>
          <w:b/>
          <w:bCs/>
          <w:color w:val="000000" w:themeColor="text1"/>
          <w:sz w:val="28"/>
          <w:szCs w:val="28"/>
          <w14:textFill>
            <w14:solidFill>
              <w14:schemeClr w14:val="tx1"/>
            </w14:solidFill>
          </w14:textFill>
        </w:rPr>
        <w:br w:type="page"/>
      </w:r>
      <w:bookmarkStart w:id="195" w:name="_Toc16938"/>
      <w:bookmarkStart w:id="196" w:name="_Toc107998048"/>
      <w:bookmarkStart w:id="197" w:name="_Toc22201160"/>
      <w:r>
        <w:rPr>
          <w:rFonts w:hint="eastAsia" w:ascii="黑体" w:hAnsi="Arial" w:eastAsia="黑体"/>
          <w:b/>
          <w:bCs/>
          <w:color w:val="000000" w:themeColor="text1"/>
          <w:sz w:val="28"/>
          <w:szCs w:val="28"/>
          <w14:textFill>
            <w14:solidFill>
              <w14:schemeClr w14:val="tx1"/>
            </w14:solidFill>
          </w14:textFill>
        </w:rPr>
        <w:t>八、采购需求偏离表</w:t>
      </w:r>
      <w:bookmarkEnd w:id="195"/>
      <w:bookmarkEnd w:id="196"/>
      <w:bookmarkEnd w:id="197"/>
    </w:p>
    <w:p w14:paraId="4DD704D6">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政府采购计划编号: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104F84C5">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包名称：</w:t>
      </w:r>
      <w:r>
        <w:rPr>
          <w:rFonts w:hint="eastAsia" w:ascii="宋体" w:hAnsi="宋体"/>
          <w:color w:val="000000" w:themeColor="text1"/>
          <w:szCs w:val="21"/>
          <w:u w:val="single"/>
          <w14:textFill>
            <w14:solidFill>
              <w14:schemeClr w14:val="tx1"/>
            </w14:solidFill>
          </w14:textFill>
        </w:rPr>
        <w:t xml:space="preserve">                   </w:t>
      </w:r>
    </w:p>
    <w:tbl>
      <w:tblPr>
        <w:tblStyle w:val="18"/>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5D44C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noWrap w:val="0"/>
            <w:vAlign w:val="center"/>
          </w:tcPr>
          <w:p w14:paraId="431ECC5A">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序</w:t>
            </w:r>
            <w:r>
              <w:rPr>
                <w:rFonts w:hint="eastAsia" w:ascii="宋体" w:hAnsi="宋体"/>
                <w:color w:val="000000" w:themeColor="text1"/>
                <w:szCs w:val="21"/>
                <w14:textFill>
                  <w14:solidFill>
                    <w14:schemeClr w14:val="tx1"/>
                  </w14:solidFill>
                </w14:textFill>
              </w:rPr>
              <w:t>号</w:t>
            </w:r>
          </w:p>
        </w:tc>
        <w:tc>
          <w:tcPr>
            <w:tcW w:w="2410" w:type="dxa"/>
            <w:noWrap w:val="0"/>
            <w:vAlign w:val="center"/>
          </w:tcPr>
          <w:p w14:paraId="692924C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谈判文件章节</w:t>
            </w:r>
            <w:r>
              <w:rPr>
                <w:rFonts w:hint="eastAsia" w:ascii="宋体" w:hAnsi="宋体"/>
                <w:bCs/>
                <w:color w:val="000000" w:themeColor="text1"/>
                <w:szCs w:val="21"/>
                <w14:textFill>
                  <w14:solidFill>
                    <w14:schemeClr w14:val="tx1"/>
                  </w14:solidFill>
                </w14:textFill>
              </w:rPr>
              <w:t>条</w:t>
            </w:r>
            <w:r>
              <w:rPr>
                <w:rFonts w:hint="eastAsia" w:ascii="宋体" w:hAnsi="宋体"/>
                <w:color w:val="000000" w:themeColor="text1"/>
                <w:szCs w:val="21"/>
                <w14:textFill>
                  <w14:solidFill>
                    <w14:schemeClr w14:val="tx1"/>
                  </w14:solidFill>
                </w14:textFill>
              </w:rPr>
              <w:t>款号</w:t>
            </w:r>
          </w:p>
        </w:tc>
        <w:tc>
          <w:tcPr>
            <w:tcW w:w="1985" w:type="dxa"/>
            <w:tcBorders>
              <w:right w:val="single" w:color="auto" w:sz="4" w:space="0"/>
            </w:tcBorders>
            <w:noWrap w:val="0"/>
            <w:vAlign w:val="top"/>
          </w:tcPr>
          <w:p w14:paraId="4EF31259">
            <w:pPr>
              <w:adjustRightInd w:val="0"/>
              <w:snapToGrid w:val="0"/>
              <w:spacing w:before="50" w:line="360" w:lineRule="auto"/>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谈判</w:t>
            </w:r>
            <w:r>
              <w:rPr>
                <w:rFonts w:hint="eastAsia"/>
                <w:color w:val="000000" w:themeColor="text1"/>
                <w14:textFill>
                  <w14:solidFill>
                    <w14:schemeClr w14:val="tx1"/>
                  </w14:solidFill>
                </w14:textFill>
              </w:rPr>
              <w:t>文件要求</w:t>
            </w:r>
          </w:p>
        </w:tc>
        <w:tc>
          <w:tcPr>
            <w:tcW w:w="2126" w:type="dxa"/>
            <w:tcBorders>
              <w:left w:val="single" w:color="auto" w:sz="4" w:space="0"/>
            </w:tcBorders>
            <w:noWrap w:val="0"/>
            <w:vAlign w:val="top"/>
          </w:tcPr>
          <w:p w14:paraId="0E7F157E">
            <w:pPr>
              <w:adjustRightInd w:val="0"/>
              <w:snapToGrid w:val="0"/>
              <w:spacing w:before="50" w:line="360" w:lineRule="auto"/>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响应</w:t>
            </w:r>
            <w:r>
              <w:rPr>
                <w:rFonts w:hint="eastAsia"/>
                <w:color w:val="000000" w:themeColor="text1"/>
                <w14:textFill>
                  <w14:solidFill>
                    <w14:schemeClr w14:val="tx1"/>
                  </w14:solidFill>
                </w14:textFill>
              </w:rPr>
              <w:t>文件应答</w:t>
            </w:r>
          </w:p>
        </w:tc>
        <w:tc>
          <w:tcPr>
            <w:tcW w:w="1756" w:type="dxa"/>
            <w:noWrap w:val="0"/>
            <w:vAlign w:val="center"/>
          </w:tcPr>
          <w:p w14:paraId="7D7BB24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偏离说明</w:t>
            </w:r>
          </w:p>
        </w:tc>
      </w:tr>
      <w:tr w14:paraId="1138C5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796147B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7263322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600E7B17">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noWrap w:val="0"/>
            <w:vAlign w:val="center"/>
          </w:tcPr>
          <w:p w14:paraId="45F5197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noWrap w:val="0"/>
            <w:vAlign w:val="center"/>
          </w:tcPr>
          <w:p w14:paraId="2853A6D2">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2733FC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1A26FBC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4BE1D23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56B30B8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noWrap w:val="0"/>
            <w:vAlign w:val="center"/>
          </w:tcPr>
          <w:p w14:paraId="248DF1F0">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noWrap w:val="0"/>
            <w:vAlign w:val="center"/>
          </w:tcPr>
          <w:p w14:paraId="371625B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3907C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65A3700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1250927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46B6706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noWrap w:val="0"/>
            <w:vAlign w:val="center"/>
          </w:tcPr>
          <w:p w14:paraId="350E2A4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noWrap w:val="0"/>
            <w:vAlign w:val="center"/>
          </w:tcPr>
          <w:p w14:paraId="6DBC521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513340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3D6D1D8D">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3C3C5EC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4BF277AC">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noWrap w:val="0"/>
            <w:vAlign w:val="center"/>
          </w:tcPr>
          <w:p w14:paraId="4A383626">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noWrap w:val="0"/>
            <w:vAlign w:val="center"/>
          </w:tcPr>
          <w:p w14:paraId="6A25B964">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7329F5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4CF111F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7AB01FC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08850801">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126" w:type="dxa"/>
            <w:tcBorders>
              <w:left w:val="single" w:color="auto" w:sz="4" w:space="0"/>
            </w:tcBorders>
            <w:noWrap w:val="0"/>
            <w:vAlign w:val="center"/>
          </w:tcPr>
          <w:p w14:paraId="2E4AB5A9">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756" w:type="dxa"/>
            <w:noWrap w:val="0"/>
            <w:vAlign w:val="center"/>
          </w:tcPr>
          <w:p w14:paraId="3ACD464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r>
      <w:tr w14:paraId="33F638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noWrap w:val="0"/>
            <w:vAlign w:val="center"/>
          </w:tcPr>
          <w:p w14:paraId="5ACEEC15">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2410" w:type="dxa"/>
            <w:noWrap w:val="0"/>
            <w:vAlign w:val="center"/>
          </w:tcPr>
          <w:p w14:paraId="212EEF5E">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1985" w:type="dxa"/>
            <w:tcBorders>
              <w:right w:val="single" w:color="auto" w:sz="4" w:space="0"/>
            </w:tcBorders>
            <w:noWrap w:val="0"/>
            <w:vAlign w:val="center"/>
          </w:tcPr>
          <w:p w14:paraId="62612713">
            <w:pPr>
              <w:adjustRightInd w:val="0"/>
              <w:snapToGrid w:val="0"/>
              <w:spacing w:before="50" w:line="360" w:lineRule="auto"/>
              <w:ind w:left="-88" w:leftChars="-42"/>
              <w:jc w:val="center"/>
              <w:rPr>
                <w:rFonts w:ascii="宋体" w:hAnsi="宋体"/>
                <w:color w:val="000000" w:themeColor="text1"/>
                <w:szCs w:val="21"/>
                <w14:textFill>
                  <w14:solidFill>
                    <w14:schemeClr w14:val="tx1"/>
                  </w14:solidFill>
                </w14:textFill>
              </w:rPr>
            </w:pPr>
          </w:p>
        </w:tc>
        <w:tc>
          <w:tcPr>
            <w:tcW w:w="3882" w:type="dxa"/>
            <w:gridSpan w:val="2"/>
            <w:tcBorders>
              <w:left w:val="single" w:color="auto" w:sz="4" w:space="0"/>
            </w:tcBorders>
            <w:noWrap w:val="0"/>
            <w:vAlign w:val="center"/>
          </w:tcPr>
          <w:p w14:paraId="0BB3FAC4">
            <w:pPr>
              <w:adjustRightInd w:val="0"/>
              <w:snapToGrid w:val="0"/>
              <w:spacing w:before="5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供应商保证：除本采购需求偏离表列出的偏离外，我单位对谈判文件的其他采购需求条款完全响应，无偏离。</w:t>
            </w:r>
          </w:p>
        </w:tc>
      </w:tr>
    </w:tbl>
    <w:p w14:paraId="63E37933">
      <w:pPr>
        <w:adjustRightInd w:val="0"/>
        <w:snapToGrid w:val="0"/>
        <w:spacing w:before="50" w:line="360" w:lineRule="auto"/>
        <w:ind w:left="-88" w:leftChars="-42"/>
        <w:rPr>
          <w:rFonts w:ascii="宋体" w:hAnsi="宋体"/>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注：</w:t>
      </w: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供应商应根据谈判文件第三章“采购需求”填写本表；</w:t>
      </w:r>
    </w:p>
    <w:p w14:paraId="61AC269B">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b/>
          <w:color w:val="000000" w:themeColor="text1"/>
          <w:szCs w:val="21"/>
          <w14:textFill>
            <w14:solidFill>
              <w14:schemeClr w14:val="tx1"/>
            </w14:solidFill>
          </w14:textFill>
        </w:rPr>
        <w:t>供应商如果对谈判文件第三章“采购需求”的响应有偏离，应将偏离条款逐条如实应答，并作出说明；</w:t>
      </w:r>
    </w:p>
    <w:p w14:paraId="2F9F460F">
      <w:pPr>
        <w:adjustRightInd w:val="0"/>
        <w:snapToGrid w:val="0"/>
        <w:spacing w:before="50" w:line="360" w:lineRule="auto"/>
        <w:ind w:left="-88" w:leftChars="-42" w:firstLine="420"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3.</w:t>
      </w:r>
      <w:r>
        <w:rPr>
          <w:rFonts w:hint="eastAsia" w:ascii="宋体" w:hAnsi="宋体"/>
          <w:b/>
          <w:color w:val="000000" w:themeColor="text1"/>
          <w:szCs w:val="21"/>
          <w14:textFill>
            <w14:solidFill>
              <w14:schemeClr w14:val="tx1"/>
            </w14:solidFill>
          </w14:textFill>
        </w:rPr>
        <w:t>如不提供此表，则视为供应商不满足谈判文件第三章的所有条款要求，其响应无效。</w:t>
      </w:r>
    </w:p>
    <w:p w14:paraId="336D2011">
      <w:pPr>
        <w:adjustRightInd w:val="0"/>
        <w:snapToGrid w:val="0"/>
        <w:spacing w:before="50" w:line="360" w:lineRule="auto"/>
        <w:ind w:left="-88" w:leftChars="-42" w:firstLine="420" w:firstLineChars="200"/>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eastAsia="宋体"/>
          <w:color w:val="000000" w:themeColor="text1"/>
          <w:szCs w:val="21"/>
          <w14:textFill>
            <w14:solidFill>
              <w14:schemeClr w14:val="tx1"/>
            </w14:solidFill>
          </w14:textFill>
        </w:rPr>
        <w:t>在采购人与成交供应商签订合同时，如成交供应商未在响应文件“采购需求偏离表”中列出偏离说明，无论已发生或即将发生任何情形，均视为完全符合谈判文件要求，并写入合同。若成交供应商在合同签订前，以上述事项为借口而不履行合同签订手续及执行合同，则视作拒绝与采购人签订合同。</w:t>
      </w:r>
    </w:p>
    <w:p w14:paraId="0A8161AE">
      <w:pPr>
        <w:adjustRightInd w:val="0"/>
        <w:snapToGrid w:val="0"/>
        <w:spacing w:before="50" w:line="360" w:lineRule="auto"/>
        <w:ind w:left="-88" w:leftChars="-42" w:firstLine="420" w:firstLineChars="200"/>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5.</w:t>
      </w:r>
      <w:r>
        <w:rPr>
          <w:rFonts w:hint="eastAsia" w:ascii="宋体" w:hAnsi="宋体" w:eastAsia="宋体"/>
          <w:color w:val="000000" w:themeColor="text1"/>
          <w:szCs w:val="21"/>
          <w14:textFill>
            <w14:solidFill>
              <w14:schemeClr w14:val="tx1"/>
            </w14:solidFill>
          </w14:textFill>
        </w:rPr>
        <w:t>本表偏离表与本章第六节“采购需求响应”不一致时，以“采购需求响应”为准。</w:t>
      </w:r>
    </w:p>
    <w:p w14:paraId="687515B4">
      <w:pPr>
        <w:adjustRightInd w:val="0"/>
        <w:snapToGrid w:val="0"/>
        <w:spacing w:before="50" w:line="360" w:lineRule="auto"/>
        <w:rPr>
          <w:rFonts w:ascii="宋体" w:hAnsi="宋体"/>
          <w:color w:val="000000" w:themeColor="text1"/>
          <w:szCs w:val="21"/>
          <w14:textFill>
            <w14:solidFill>
              <w14:schemeClr w14:val="tx1"/>
            </w14:solidFill>
          </w14:textFill>
        </w:rPr>
      </w:pPr>
    </w:p>
    <w:p w14:paraId="39F74DAC">
      <w:pPr>
        <w:adjustRightInd w:val="0"/>
        <w:snapToGrid w:val="0"/>
        <w:spacing w:before="50" w:line="360" w:lineRule="auto"/>
        <w:rPr>
          <w:rFonts w:ascii="宋体" w:hAnsi="宋体"/>
          <w:color w:val="000000" w:themeColor="text1"/>
          <w:szCs w:val="21"/>
          <w14:textFill>
            <w14:solidFill>
              <w14:schemeClr w14:val="tx1"/>
            </w14:solidFill>
          </w14:textFill>
        </w:rPr>
      </w:pPr>
    </w:p>
    <w:p w14:paraId="0CD5B307">
      <w:pPr>
        <w:adjustRightInd w:val="0"/>
        <w:snapToGrid w:val="0"/>
        <w:spacing w:before="50" w:line="360" w:lineRule="auto"/>
        <w:rPr>
          <w:rFonts w:ascii="宋体" w:hAnsi="宋体"/>
          <w:color w:val="000000" w:themeColor="text1"/>
          <w:szCs w:val="21"/>
          <w14:textFill>
            <w14:solidFill>
              <w14:schemeClr w14:val="tx1"/>
            </w14:solidFill>
          </w14:textFill>
        </w:rPr>
      </w:pPr>
    </w:p>
    <w:p w14:paraId="5648434A">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645C0771">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4A0429C1">
      <w:pPr>
        <w:adjustRightInd w:val="0"/>
        <w:snapToGrid w:val="0"/>
        <w:spacing w:before="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      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831DA81">
      <w:pPr>
        <w:rPr>
          <w:color w:val="000000" w:themeColor="text1"/>
          <w14:textFill>
            <w14:solidFill>
              <w14:schemeClr w14:val="tx1"/>
            </w14:solidFill>
          </w14:textFill>
        </w:rPr>
      </w:pPr>
    </w:p>
    <w:p w14:paraId="26D45B65">
      <w:pPr>
        <w:rPr>
          <w:color w:val="000000" w:themeColor="text1"/>
          <w14:textFill>
            <w14:solidFill>
              <w14:schemeClr w14:val="tx1"/>
            </w14:solidFill>
          </w14:textFill>
        </w:rPr>
        <w:sectPr>
          <w:footerReference r:id="rId7" w:type="even"/>
          <w:pgSz w:w="11906" w:h="16838"/>
          <w:pgMar w:top="1418" w:right="1418" w:bottom="1134" w:left="1418" w:header="851" w:footer="992" w:gutter="0"/>
          <w:pgNumType w:fmt="decimal"/>
          <w:cols w:space="720" w:num="1"/>
          <w:docGrid w:type="linesAndChars" w:linePitch="312" w:charSpace="0"/>
        </w:sectPr>
      </w:pPr>
    </w:p>
    <w:p w14:paraId="735695F9">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198" w:name="_Toc107998049"/>
      <w:bookmarkStart w:id="199" w:name="_Toc4078"/>
      <w:bookmarkStart w:id="200" w:name="_Toc22201161"/>
      <w:r>
        <w:rPr>
          <w:rFonts w:ascii="Arial" w:hAnsi="Arial"/>
          <w:b/>
          <w:bCs/>
          <w:color w:val="000000" w:themeColor="text1"/>
          <w:sz w:val="24"/>
          <w:szCs w:val="32"/>
          <w14:textFill>
            <w14:solidFill>
              <w14:schemeClr w14:val="tx1"/>
            </w14:solidFill>
          </w14:textFill>
        </w:rPr>
        <w:t>九</w:t>
      </w:r>
      <w:r>
        <w:rPr>
          <w:rFonts w:hint="eastAsia" w:ascii="黑体" w:hAnsi="黑体" w:eastAsia="黑体"/>
          <w:b/>
          <w:bCs/>
          <w:color w:val="000000" w:themeColor="text1"/>
          <w:sz w:val="28"/>
          <w:szCs w:val="28"/>
          <w14:textFill>
            <w14:solidFill>
              <w14:schemeClr w14:val="tx1"/>
            </w14:solidFill>
          </w14:textFill>
        </w:rPr>
        <w:t>、享受政府采购政策优惠的证明资料</w:t>
      </w:r>
      <w:bookmarkEnd w:id="198"/>
      <w:bookmarkEnd w:id="199"/>
      <w:bookmarkEnd w:id="200"/>
    </w:p>
    <w:p w14:paraId="78997F3A">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p>
    <w:p w14:paraId="11D29BCC">
      <w:pPr>
        <w:adjustRightInd w:val="0"/>
        <w:snapToGrid w:val="0"/>
        <w:spacing w:line="360" w:lineRule="auto"/>
        <w:ind w:firstLine="444" w:firstLineChars="200"/>
        <w:rPr>
          <w:rFonts w:ascii="宋体" w:hAnsi="宋体" w:cs="宋体"/>
          <w:bCs/>
          <w:color w:val="000000" w:themeColor="text1"/>
          <w:spacing w:val="6"/>
          <w:kern w:val="0"/>
          <w:szCs w:val="21"/>
          <w14:textFill>
            <w14:solidFill>
              <w14:schemeClr w14:val="tx1"/>
            </w14:solidFill>
          </w14:textFill>
        </w:rPr>
      </w:pPr>
      <w:r>
        <w:rPr>
          <w:rFonts w:hint="eastAsia" w:ascii="宋体" w:hAnsi="宋体" w:cs="宋体"/>
          <w:bCs/>
          <w:color w:val="000000" w:themeColor="text1"/>
          <w:spacing w:val="6"/>
          <w:kern w:val="0"/>
          <w:szCs w:val="21"/>
          <w14:textFill>
            <w14:solidFill>
              <w14:schemeClr w14:val="tx1"/>
            </w14:solidFill>
          </w14:textFill>
        </w:rPr>
        <w:t>供应商符合第二章第38条、第39条、第40条、第41条要求的，应提供下列证明资料，并填写相关数据。</w:t>
      </w:r>
    </w:p>
    <w:p w14:paraId="103593D1">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p>
    <w:p w14:paraId="68F121E1">
      <w:pPr>
        <w:keepNext/>
        <w:keepLines/>
        <w:spacing w:before="260" w:after="260" w:line="416" w:lineRule="auto"/>
        <w:outlineLvl w:val="2"/>
        <w:rPr>
          <w:rFonts w:ascii="宋体" w:hAnsi="宋体"/>
          <w:b/>
          <w:bCs/>
          <w:color w:val="000000" w:themeColor="text1"/>
          <w:szCs w:val="21"/>
          <w14:textFill>
            <w14:solidFill>
              <w14:schemeClr w14:val="tx1"/>
            </w14:solidFill>
          </w14:textFill>
        </w:rPr>
      </w:pPr>
      <w:bookmarkStart w:id="201" w:name="_Toc19783"/>
      <w:r>
        <w:rPr>
          <w:rFonts w:hint="eastAsia" w:ascii="宋体" w:hAnsi="宋体"/>
          <w:b/>
          <w:bCs/>
          <w:color w:val="000000" w:themeColor="text1"/>
          <w:szCs w:val="21"/>
          <w14:textFill>
            <w14:solidFill>
              <w14:schemeClr w14:val="tx1"/>
            </w14:solidFill>
          </w14:textFill>
        </w:rPr>
        <w:t>附件9-1中小企业声明函(</w:t>
      </w:r>
      <w:r>
        <w:rPr>
          <w:rFonts w:hint="eastAsia" w:ascii="宋体" w:hAnsi="宋体"/>
          <w:b/>
          <w:bCs/>
          <w:color w:val="000000" w:themeColor="text1"/>
          <w:szCs w:val="21"/>
          <w:lang w:val="en-US" w:eastAsia="zh-CN"/>
          <w14:textFill>
            <w14:solidFill>
              <w14:schemeClr w14:val="tx1"/>
            </w14:solidFill>
          </w14:textFill>
        </w:rPr>
        <w:t>货物</w:t>
      </w:r>
      <w:r>
        <w:rPr>
          <w:rFonts w:hint="eastAsia" w:ascii="宋体" w:hAnsi="宋体"/>
          <w:b/>
          <w:bCs/>
          <w:color w:val="000000" w:themeColor="text1"/>
          <w:szCs w:val="21"/>
          <w14:textFill>
            <w14:solidFill>
              <w14:schemeClr w14:val="tx1"/>
            </w14:solidFill>
          </w14:textFill>
        </w:rPr>
        <w:t>)</w:t>
      </w:r>
      <w:bookmarkEnd w:id="201"/>
    </w:p>
    <w:p w14:paraId="6BC73CC2">
      <w:pPr>
        <w:jc w:val="center"/>
        <w:rPr>
          <w:rFonts w:hint="eastAsia" w:ascii="宋体" w:hAnsi="宋体" w:eastAsia="宋体" w:cs="宋体"/>
          <w:sz w:val="30"/>
          <w:szCs w:val="30"/>
        </w:rPr>
      </w:pPr>
      <w:r>
        <w:rPr>
          <w:rFonts w:hint="eastAsia" w:ascii="宋体" w:hAnsi="宋体" w:eastAsia="宋体" w:cs="宋体"/>
          <w:sz w:val="30"/>
          <w:szCs w:val="30"/>
        </w:rPr>
        <w:t>中小企业声明函(货物)</w:t>
      </w:r>
    </w:p>
    <w:p w14:paraId="4A2230B1">
      <w:pPr>
        <w:adjustRightInd w:val="0"/>
        <w:snapToGrid w:val="0"/>
        <w:spacing w:line="360" w:lineRule="auto"/>
        <w:jc w:val="center"/>
        <w:rPr>
          <w:rFonts w:hint="eastAsia" w:ascii="宋体" w:hAnsi="宋体" w:eastAsia="宋体" w:cs="宋体"/>
          <w:b/>
          <w:spacing w:val="6"/>
          <w:szCs w:val="21"/>
        </w:rPr>
      </w:pPr>
      <w:r>
        <w:rPr>
          <w:rFonts w:hint="eastAsia" w:ascii="宋体" w:hAnsi="宋体" w:eastAsia="宋体" w:cs="宋体"/>
          <w:b/>
          <w:spacing w:val="6"/>
          <w:szCs w:val="21"/>
        </w:rPr>
        <w:t>(不符合政策要求的无需提供)</w:t>
      </w:r>
    </w:p>
    <w:p w14:paraId="1A9B8625">
      <w:pPr>
        <w:rPr>
          <w:rFonts w:hint="eastAsia" w:ascii="宋体" w:hAnsi="宋体" w:eastAsia="宋体" w:cs="宋体"/>
        </w:rPr>
      </w:pPr>
    </w:p>
    <w:p w14:paraId="09BB705D">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本公司(联合体)郑重声明，根据《政府采购促进中小企业发展管理办法》(财库[2020]46号)的规定，本公司(联合体)参加</w:t>
      </w:r>
      <w:r>
        <w:rPr>
          <w:rFonts w:hint="eastAsia" w:ascii="宋体" w:hAnsi="宋体" w:eastAsia="宋体" w:cs="宋体"/>
          <w:u w:val="single"/>
        </w:rPr>
        <w:t xml:space="preserve">    (单位名称)</w:t>
      </w:r>
      <w:r>
        <w:rPr>
          <w:rFonts w:hint="eastAsia" w:ascii="宋体" w:hAnsi="宋体" w:eastAsia="宋体" w:cs="宋体"/>
        </w:rPr>
        <w:t>的</w:t>
      </w:r>
      <w:r>
        <w:rPr>
          <w:rFonts w:hint="eastAsia" w:ascii="宋体" w:hAnsi="宋体" w:eastAsia="宋体" w:cs="宋体"/>
          <w:u w:val="single"/>
        </w:rPr>
        <w:t xml:space="preserve">   (项目名称)</w:t>
      </w:r>
      <w:r>
        <w:rPr>
          <w:rFonts w:hint="eastAsia" w:ascii="宋体" w:hAnsi="宋体" w:eastAsia="宋体" w:cs="宋体"/>
        </w:rPr>
        <w:t>采购活动，提供的货物全部由符合政策要求的中小企业制造。相关企业（含联合体中的中小企业、签订分包意向协议的中小企业)的具体情况如下</w:t>
      </w:r>
    </w:p>
    <w:p w14:paraId="41D0F9D5">
      <w:pPr>
        <w:adjustRightInd w:val="0"/>
        <w:snapToGrid w:val="0"/>
        <w:spacing w:line="360" w:lineRule="auto"/>
        <w:ind w:firstLine="420" w:firstLineChars="200"/>
        <w:rPr>
          <w:rFonts w:hint="eastAsia" w:ascii="宋体" w:hAnsi="宋体" w:eastAsia="宋体" w:cs="宋体"/>
          <w:u w:val="single"/>
        </w:rPr>
      </w:pPr>
      <w:r>
        <w:rPr>
          <w:rFonts w:hint="eastAsia" w:ascii="宋体" w:hAnsi="宋体" w:eastAsia="宋体" w:cs="宋体"/>
        </w:rPr>
        <w:t>1、</w:t>
      </w:r>
      <w:r>
        <w:rPr>
          <w:rFonts w:hint="eastAsia" w:ascii="宋体" w:hAnsi="宋体" w:eastAsia="宋体" w:cs="宋体"/>
          <w:u w:val="single"/>
        </w:rPr>
        <w:t xml:space="preserve">   ( 标的名称)</w:t>
      </w:r>
      <w:r>
        <w:rPr>
          <w:rFonts w:hint="eastAsia" w:ascii="宋体" w:hAnsi="宋体" w:eastAsia="宋体" w:cs="宋体"/>
        </w:rPr>
        <w:t>，属于</w:t>
      </w:r>
      <w:r>
        <w:rPr>
          <w:rFonts w:hint="eastAsia" w:ascii="宋体" w:hAnsi="宋体" w:eastAsia="宋体" w:cs="宋体"/>
          <w:u w:val="single"/>
        </w:rPr>
        <w:t xml:space="preserve">   (采购文件中明确的所属行业)</w:t>
      </w:r>
      <w:r>
        <w:rPr>
          <w:rFonts w:hint="eastAsia" w:ascii="宋体" w:hAnsi="宋体" w:eastAsia="宋体" w:cs="宋体"/>
        </w:rPr>
        <w:t xml:space="preserve"> 行业：制造商为</w:t>
      </w:r>
      <w:r>
        <w:rPr>
          <w:rFonts w:hint="eastAsia" w:ascii="宋体" w:hAnsi="宋体" w:eastAsia="宋体" w:cs="宋体"/>
          <w:u w:val="single"/>
        </w:rPr>
        <w:t xml:space="preserve">    (企业名称)</w:t>
      </w:r>
      <w:r>
        <w:rPr>
          <w:rFonts w:hint="eastAsia" w:ascii="宋体" w:hAnsi="宋体" w:eastAsia="宋体" w:cs="宋体"/>
        </w:rPr>
        <w:t>，从业人员人，营业收入为万元，资产总额为万元，属于</w:t>
      </w:r>
      <w:r>
        <w:rPr>
          <w:rFonts w:hint="eastAsia" w:ascii="宋体" w:hAnsi="宋体" w:eastAsia="宋体" w:cs="宋体"/>
          <w:u w:val="single"/>
        </w:rPr>
        <w:t xml:space="preserve">   (中型企业、小型企业，微型企业)</w:t>
      </w:r>
      <w:r>
        <w:rPr>
          <w:rFonts w:hint="eastAsia" w:ascii="宋体" w:hAnsi="宋体" w:eastAsia="宋体" w:cs="宋体"/>
        </w:rPr>
        <w:t xml:space="preserve"> 。</w:t>
      </w:r>
    </w:p>
    <w:p w14:paraId="195A879F">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2、</w:t>
      </w:r>
      <w:r>
        <w:rPr>
          <w:rFonts w:hint="eastAsia" w:ascii="宋体" w:hAnsi="宋体" w:eastAsia="宋体" w:cs="宋体"/>
          <w:u w:val="single"/>
        </w:rPr>
        <w:t xml:space="preserve">   ( 标的名称)</w:t>
      </w:r>
      <w:r>
        <w:rPr>
          <w:rFonts w:hint="eastAsia" w:ascii="宋体" w:hAnsi="宋体" w:eastAsia="宋体" w:cs="宋体"/>
        </w:rPr>
        <w:t>，属于</w:t>
      </w:r>
      <w:r>
        <w:rPr>
          <w:rFonts w:hint="eastAsia" w:ascii="宋体" w:hAnsi="宋体" w:eastAsia="宋体" w:cs="宋体"/>
          <w:u w:val="single"/>
        </w:rPr>
        <w:t xml:space="preserve">   (采购文件中明确的所属行业)</w:t>
      </w:r>
      <w:r>
        <w:rPr>
          <w:rFonts w:hint="eastAsia" w:ascii="宋体" w:hAnsi="宋体" w:eastAsia="宋体" w:cs="宋体"/>
        </w:rPr>
        <w:t xml:space="preserve"> 行业：制造商为</w:t>
      </w:r>
      <w:r>
        <w:rPr>
          <w:rFonts w:hint="eastAsia" w:ascii="宋体" w:hAnsi="宋体" w:eastAsia="宋体" w:cs="宋体"/>
          <w:u w:val="single"/>
        </w:rPr>
        <w:t xml:space="preserve">    (企业名称)</w:t>
      </w:r>
      <w:r>
        <w:rPr>
          <w:rFonts w:hint="eastAsia" w:ascii="宋体" w:hAnsi="宋体" w:eastAsia="宋体" w:cs="宋体"/>
        </w:rPr>
        <w:t>，从业人员人，营业收入为万元，资产总额为万元，属于</w:t>
      </w:r>
      <w:r>
        <w:rPr>
          <w:rFonts w:hint="eastAsia" w:ascii="宋体" w:hAnsi="宋体" w:eastAsia="宋体" w:cs="宋体"/>
          <w:u w:val="single"/>
        </w:rPr>
        <w:t xml:space="preserve">   (中型企业、小型企业，微型企业)</w:t>
      </w:r>
      <w:r>
        <w:rPr>
          <w:rFonts w:hint="eastAsia" w:ascii="宋体" w:hAnsi="宋体" w:eastAsia="宋体" w:cs="宋体"/>
        </w:rPr>
        <w:t xml:space="preserve"> 。</w:t>
      </w:r>
    </w:p>
    <w:p w14:paraId="6F92E695">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w:t>
      </w:r>
    </w:p>
    <w:p w14:paraId="017227CB">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3BE6F194">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381C7D04">
      <w:pPr>
        <w:adjustRightInd w:val="0"/>
        <w:snapToGrid w:val="0"/>
        <w:spacing w:line="360" w:lineRule="auto"/>
        <w:ind w:firstLine="5670" w:firstLineChars="2700"/>
        <w:rPr>
          <w:rFonts w:hint="eastAsia" w:ascii="宋体" w:hAnsi="宋体" w:eastAsia="宋体" w:cs="宋体"/>
        </w:rPr>
      </w:pPr>
    </w:p>
    <w:p w14:paraId="72575D43">
      <w:pPr>
        <w:adjustRightInd w:val="0"/>
        <w:snapToGrid w:val="0"/>
        <w:spacing w:line="360" w:lineRule="auto"/>
        <w:ind w:firstLine="5670" w:firstLineChars="2700"/>
        <w:rPr>
          <w:rFonts w:hint="eastAsia" w:ascii="宋体" w:hAnsi="宋体" w:eastAsia="宋体" w:cs="宋体"/>
        </w:rPr>
      </w:pPr>
      <w:r>
        <w:rPr>
          <w:rFonts w:hint="eastAsia" w:ascii="宋体" w:hAnsi="宋体" w:eastAsia="宋体" w:cs="宋体"/>
        </w:rPr>
        <w:t>企业名称(盖章) ：</w:t>
      </w:r>
    </w:p>
    <w:p w14:paraId="4D18042A">
      <w:pPr>
        <w:adjustRightInd w:val="0"/>
        <w:snapToGrid w:val="0"/>
        <w:spacing w:line="360" w:lineRule="auto"/>
        <w:ind w:firstLine="5670" w:firstLineChars="2700"/>
        <w:rPr>
          <w:rFonts w:hint="eastAsia" w:ascii="宋体" w:hAnsi="宋体" w:eastAsia="宋体" w:cs="宋体"/>
        </w:rPr>
      </w:pPr>
      <w:r>
        <w:rPr>
          <w:rFonts w:hint="eastAsia" w:ascii="宋体" w:hAnsi="宋体" w:eastAsia="宋体" w:cs="宋体"/>
        </w:rPr>
        <w:t>日期:</w:t>
      </w:r>
    </w:p>
    <w:p w14:paraId="3C179743">
      <w:pPr>
        <w:adjustRightInd w:val="0"/>
        <w:snapToGrid w:val="0"/>
        <w:spacing w:line="360" w:lineRule="auto"/>
        <w:ind w:firstLine="5670" w:firstLineChars="2700"/>
        <w:rPr>
          <w:rFonts w:hint="eastAsia" w:ascii="宋体" w:hAnsi="宋体" w:eastAsia="宋体" w:cs="宋体"/>
        </w:rPr>
      </w:pPr>
    </w:p>
    <w:p w14:paraId="2EF68C25">
      <w:pPr>
        <w:adjustRightInd w:val="0"/>
        <w:snapToGrid w:val="0"/>
        <w:rPr>
          <w:rFonts w:hint="eastAsia" w:ascii="宋体" w:hAnsi="宋体" w:eastAsia="宋体" w:cs="宋体"/>
          <w:szCs w:val="21"/>
        </w:rPr>
      </w:pPr>
      <w:r>
        <w:rPr>
          <w:rFonts w:hint="eastAsia" w:ascii="宋体" w:hAnsi="宋体" w:eastAsia="宋体" w:cs="宋体"/>
          <w:szCs w:val="21"/>
        </w:rPr>
        <w:t>说明：</w:t>
      </w:r>
      <w:r>
        <w:rPr>
          <w:rFonts w:hint="eastAsia" w:ascii="宋体" w:hAnsi="宋体" w:eastAsia="宋体" w:cs="宋体"/>
          <w:b/>
          <w:bCs/>
          <w:szCs w:val="21"/>
        </w:rPr>
        <w:t>1、从业人员、营业收入、资产总额填报上一年度数据，无上一年度数据的新成立企业可不填报。</w:t>
      </w:r>
    </w:p>
    <w:p w14:paraId="2F42E01E">
      <w:pPr>
        <w:adjustRightInd w:val="0"/>
        <w:snapToGrid w:val="0"/>
        <w:ind w:firstLine="420" w:firstLineChars="200"/>
        <w:rPr>
          <w:rFonts w:hint="eastAsia" w:ascii="宋体" w:hAnsi="宋体" w:eastAsia="宋体" w:cs="宋体"/>
          <w:szCs w:val="21"/>
        </w:rPr>
      </w:pPr>
      <w:r>
        <w:rPr>
          <w:rFonts w:hint="eastAsia" w:ascii="宋体" w:hAnsi="宋体" w:eastAsia="宋体" w:cs="宋体"/>
          <w:szCs w:val="21"/>
        </w:rPr>
        <w:t>2、填写前请认真阅读</w:t>
      </w:r>
      <w:r>
        <w:rPr>
          <w:rFonts w:hint="eastAsia" w:ascii="宋体" w:hAnsi="宋体" w:eastAsia="宋体" w:cs="宋体"/>
          <w:spacing w:val="6"/>
          <w:kern w:val="0"/>
          <w:szCs w:val="21"/>
        </w:rPr>
        <w:t>《工业和信息化部、国家统计局、国家发展和改革委员会、财政部关于印发中小企业划型标准规定的通知》（工信部联企业[2011]300号）和</w:t>
      </w:r>
      <w:r>
        <w:rPr>
          <w:rFonts w:hint="eastAsia" w:ascii="宋体" w:hAnsi="宋体" w:eastAsia="宋体" w:cs="宋体"/>
          <w:spacing w:val="6"/>
          <w:szCs w:val="21"/>
        </w:rPr>
        <w:t>《财政部</w:t>
      </w:r>
      <w:r>
        <w:rPr>
          <w:rFonts w:hint="eastAsia" w:ascii="宋体" w:hAnsi="宋体" w:eastAsia="宋体" w:cs="宋体"/>
          <w:szCs w:val="21"/>
        </w:rPr>
        <w:t xml:space="preserve"> </w:t>
      </w:r>
      <w:r>
        <w:rPr>
          <w:rFonts w:hint="eastAsia" w:ascii="宋体" w:hAnsi="宋体" w:eastAsia="宋体" w:cs="宋体"/>
          <w:spacing w:val="6"/>
          <w:szCs w:val="21"/>
        </w:rPr>
        <w:t>工业和信息化部关于印发&lt;政府采购促进中小企业发展管理办法&gt;的通知</w:t>
      </w:r>
      <w:r>
        <w:rPr>
          <w:rFonts w:hint="eastAsia" w:ascii="宋体" w:hAnsi="宋体" w:eastAsia="宋体" w:cs="宋体"/>
          <w:bCs/>
          <w:szCs w:val="21"/>
        </w:rPr>
        <w:t>》(财库〔2020〕46号</w:t>
      </w:r>
      <w:r>
        <w:rPr>
          <w:rFonts w:hint="eastAsia" w:ascii="宋体" w:hAnsi="宋体" w:eastAsia="宋体" w:cs="宋体"/>
          <w:szCs w:val="21"/>
        </w:rPr>
        <w:t>)相关规定。</w:t>
      </w:r>
    </w:p>
    <w:p w14:paraId="4B697EA2">
      <w:pPr>
        <w:adjustRightInd w:val="0"/>
        <w:snapToGrid w:val="0"/>
        <w:ind w:firstLine="420" w:firstLineChars="200"/>
        <w:rPr>
          <w:rFonts w:hint="eastAsia" w:ascii="宋体" w:hAnsi="宋体" w:eastAsia="宋体" w:cs="宋体"/>
          <w:bCs/>
          <w:szCs w:val="21"/>
        </w:rPr>
      </w:pPr>
      <w:r>
        <w:rPr>
          <w:rFonts w:hint="eastAsia" w:ascii="宋体" w:hAnsi="宋体" w:eastAsia="宋体" w:cs="宋体"/>
          <w:szCs w:val="21"/>
        </w:rPr>
        <w:t>3、</w:t>
      </w:r>
      <w:r>
        <w:rPr>
          <w:rFonts w:hint="eastAsia" w:ascii="宋体" w:hAnsi="宋体" w:eastAsia="宋体" w:cs="宋体"/>
          <w:bCs/>
          <w:szCs w:val="21"/>
        </w:rPr>
        <w:t>未按上述要求提供、</w:t>
      </w:r>
      <w:r>
        <w:rPr>
          <w:rFonts w:hint="eastAsia" w:ascii="宋体" w:hAnsi="宋体" w:eastAsia="宋体" w:cs="宋体"/>
          <w:szCs w:val="21"/>
        </w:rPr>
        <w:t>填写</w:t>
      </w:r>
      <w:r>
        <w:rPr>
          <w:rFonts w:hint="eastAsia" w:ascii="宋体" w:hAnsi="宋体" w:eastAsia="宋体" w:cs="宋体"/>
          <w:bCs/>
          <w:szCs w:val="21"/>
        </w:rPr>
        <w:t>的，评审时不予以考虑。</w:t>
      </w:r>
    </w:p>
    <w:p w14:paraId="6A574509">
      <w:pPr>
        <w:widowControl/>
        <w:adjustRightInd w:val="0"/>
        <w:snapToGrid w:val="0"/>
        <w:spacing w:line="360" w:lineRule="auto"/>
        <w:ind w:firstLine="444" w:firstLineChars="200"/>
        <w:jc w:val="left"/>
        <w:rPr>
          <w:rFonts w:hint="eastAsia" w:ascii="宋体" w:hAnsi="宋体" w:eastAsia="宋体" w:cs="宋体"/>
          <w:b/>
          <w:bCs/>
          <w:spacing w:val="6"/>
          <w:kern w:val="0"/>
          <w:szCs w:val="21"/>
        </w:rPr>
      </w:pPr>
      <w:r>
        <w:rPr>
          <w:rFonts w:hint="eastAsia" w:ascii="宋体" w:hAnsi="宋体" w:eastAsia="宋体" w:cs="宋体"/>
          <w:b/>
          <w:bCs/>
          <w:spacing w:val="6"/>
          <w:kern w:val="0"/>
          <w:szCs w:val="21"/>
        </w:rPr>
        <w:t>4、本声明函将随中标、成交结果公开。供应商提供声明函内容不实的，属于提供虚假材料谋取中标、成交，依照《中华人民共和国政府采购法》等国家有关规定追究相应责任。</w:t>
      </w:r>
    </w:p>
    <w:p w14:paraId="42399156">
      <w:pPr>
        <w:widowControl/>
        <w:adjustRightInd w:val="0"/>
        <w:snapToGrid w:val="0"/>
        <w:spacing w:line="360" w:lineRule="auto"/>
        <w:ind w:firstLine="420" w:firstLineChars="200"/>
        <w:jc w:val="left"/>
        <w:rPr>
          <w:rFonts w:hint="eastAsia" w:ascii="宋体" w:hAnsi="宋体" w:eastAsia="宋体" w:cs="宋体"/>
          <w:kern w:val="0"/>
          <w:szCs w:val="21"/>
        </w:rPr>
      </w:pPr>
    </w:p>
    <w:p w14:paraId="35F8EA44">
      <w:pPr>
        <w:adjustRightInd w:val="0"/>
        <w:snapToGrid w:val="0"/>
        <w:spacing w:line="360" w:lineRule="auto"/>
        <w:ind w:firstLine="5670" w:firstLineChars="27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p w14:paraId="3885C1E2">
      <w:pPr>
        <w:keepNext/>
        <w:keepLines/>
        <w:adjustRightInd w:val="0"/>
        <w:snapToGrid w:val="0"/>
        <w:spacing w:line="360" w:lineRule="auto"/>
        <w:outlineLvl w:val="2"/>
        <w:rPr>
          <w:rFonts w:ascii="宋体" w:hAnsi="宋体"/>
          <w:b/>
          <w:bCs/>
          <w:color w:val="000000" w:themeColor="text1"/>
          <w:spacing w:val="6"/>
          <w:szCs w:val="32"/>
          <w14:textFill>
            <w14:solidFill>
              <w14:schemeClr w14:val="tx1"/>
            </w14:solidFill>
          </w14:textFill>
        </w:rPr>
      </w:pPr>
      <w:bookmarkStart w:id="202" w:name="_Toc17984"/>
      <w:r>
        <w:rPr>
          <w:rFonts w:hint="eastAsia" w:ascii="宋体" w:hAnsi="宋体" w:cs="宋体"/>
          <w:b/>
          <w:bCs/>
          <w:color w:val="000000" w:themeColor="text1"/>
          <w:spacing w:val="6"/>
          <w:kern w:val="0"/>
          <w:szCs w:val="32"/>
          <w14:textFill>
            <w14:solidFill>
              <w14:schemeClr w14:val="tx1"/>
            </w14:solidFill>
          </w14:textFill>
        </w:rPr>
        <w:t>附件9-2</w:t>
      </w:r>
      <w:r>
        <w:rPr>
          <w:rFonts w:hint="eastAsia" w:ascii="宋体" w:hAnsi="宋体"/>
          <w:b/>
          <w:bCs/>
          <w:color w:val="000000" w:themeColor="text1"/>
          <w:spacing w:val="6"/>
          <w:szCs w:val="32"/>
          <w14:textFill>
            <w14:solidFill>
              <w14:schemeClr w14:val="tx1"/>
            </w14:solidFill>
          </w14:textFill>
        </w:rPr>
        <w:t>残疾人福利性单位声明函</w:t>
      </w:r>
      <w:bookmarkEnd w:id="202"/>
    </w:p>
    <w:p w14:paraId="46F56572">
      <w:pPr>
        <w:adjustRightInd w:val="0"/>
        <w:snapToGrid w:val="0"/>
        <w:spacing w:line="360" w:lineRule="auto"/>
        <w:jc w:val="center"/>
        <w:rPr>
          <w:rFonts w:ascii="黑体" w:hAnsi="黑体" w:eastAsia="黑体"/>
          <w:b/>
          <w:color w:val="000000" w:themeColor="text1"/>
          <w:spacing w:val="6"/>
          <w:sz w:val="28"/>
          <w:szCs w:val="28"/>
          <w14:textFill>
            <w14:solidFill>
              <w14:schemeClr w14:val="tx1"/>
            </w14:solidFill>
          </w14:textFill>
        </w:rPr>
      </w:pPr>
      <w:r>
        <w:rPr>
          <w:rFonts w:hint="eastAsia" w:ascii="黑体" w:hAnsi="黑体" w:eastAsia="黑体"/>
          <w:b/>
          <w:color w:val="000000" w:themeColor="text1"/>
          <w:spacing w:val="6"/>
          <w:sz w:val="28"/>
          <w:szCs w:val="28"/>
          <w14:textFill>
            <w14:solidFill>
              <w14:schemeClr w14:val="tx1"/>
            </w14:solidFill>
          </w14:textFill>
        </w:rPr>
        <w:t>残疾人福利性单位声明函</w:t>
      </w:r>
    </w:p>
    <w:p w14:paraId="435FEACB">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(不符合政策要求的无需提供)</w:t>
      </w:r>
    </w:p>
    <w:p w14:paraId="38E7C86D">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24FAF082">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Cs w:val="21"/>
          <w14:textFill>
            <w14:solidFill>
              <w14:schemeClr w14:val="tx1"/>
            </w14:solidFill>
          </w14:textFill>
        </w:rPr>
        <w:t>〔2017〕141</w:t>
      </w:r>
      <w:r>
        <w:rPr>
          <w:rFonts w:hint="eastAsia" w:ascii="宋体" w:hAnsi="宋体"/>
          <w:color w:val="000000" w:themeColor="text1"/>
          <w:spacing w:val="6"/>
          <w:szCs w:val="21"/>
          <w14:textFill>
            <w14:solidFill>
              <w14:schemeClr w14:val="tx1"/>
            </w14:solidFill>
          </w14:textFill>
        </w:rPr>
        <w:t>号）的规定，本单位为符合条件的残疾人福利性单位，且本单位参加</w:t>
      </w:r>
      <w:r>
        <w:rPr>
          <w:rFonts w:hint="eastAsia"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14:textFill>
            <w14:solidFill>
              <w14:schemeClr w14:val="tx1"/>
            </w14:solidFill>
          </w14:textFill>
        </w:rPr>
        <w:t>单位的</w:t>
      </w:r>
      <w:r>
        <w:rPr>
          <w:rFonts w:hint="eastAsia"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28B2ABDC">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本单位对上述声明的真实性负责。如有虚假，将依法承担相应责任。</w:t>
      </w:r>
    </w:p>
    <w:p w14:paraId="6960A90C">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36C47143">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17B3B9EF">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单位名称（盖章）：</w:t>
      </w:r>
    </w:p>
    <w:p w14:paraId="623FD5DC">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日  期：</w:t>
      </w:r>
    </w:p>
    <w:p w14:paraId="0D0F9BCA">
      <w:pPr>
        <w:widowControl/>
        <w:adjustRightInd w:val="0"/>
        <w:snapToGrid w:val="0"/>
        <w:spacing w:line="360" w:lineRule="auto"/>
        <w:jc w:val="left"/>
        <w:rPr>
          <w:rFonts w:ascii="宋体" w:hAnsi="宋体" w:cs="宋体"/>
          <w:color w:val="000000" w:themeColor="text1"/>
          <w:kern w:val="0"/>
          <w:szCs w:val="2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156A5045">
      <w:pPr>
        <w:keepNext/>
        <w:keepLines/>
        <w:adjustRightInd w:val="0"/>
        <w:snapToGrid w:val="0"/>
        <w:spacing w:line="360" w:lineRule="auto"/>
        <w:outlineLvl w:val="2"/>
        <w:rPr>
          <w:rFonts w:ascii="宋体" w:hAnsi="宋体"/>
          <w:b/>
          <w:bCs/>
          <w:color w:val="000000" w:themeColor="text1"/>
          <w:szCs w:val="21"/>
          <w14:textFill>
            <w14:solidFill>
              <w14:schemeClr w14:val="tx1"/>
            </w14:solidFill>
          </w14:textFill>
        </w:rPr>
      </w:pPr>
      <w:bookmarkStart w:id="203" w:name="_Toc6524"/>
      <w:r>
        <w:rPr>
          <w:rFonts w:hint="eastAsia" w:ascii="宋体" w:hAnsi="宋体" w:cs="宋体"/>
          <w:b/>
          <w:bCs/>
          <w:color w:val="000000" w:themeColor="text1"/>
          <w:kern w:val="0"/>
          <w:szCs w:val="21"/>
          <w14:textFill>
            <w14:solidFill>
              <w14:schemeClr w14:val="tx1"/>
            </w14:solidFill>
          </w14:textFill>
        </w:rPr>
        <w:t>附件9-3</w:t>
      </w:r>
      <w:r>
        <w:rPr>
          <w:rFonts w:hint="eastAsia" w:ascii="宋体" w:hAnsi="宋体"/>
          <w:b/>
          <w:bCs/>
          <w:color w:val="000000" w:themeColor="text1"/>
          <w:szCs w:val="21"/>
          <w14:textFill>
            <w14:solidFill>
              <w14:schemeClr w14:val="tx1"/>
            </w14:solidFill>
          </w14:textFill>
        </w:rPr>
        <w:t>监狱企业证明资料</w:t>
      </w:r>
      <w:bookmarkEnd w:id="203"/>
    </w:p>
    <w:p w14:paraId="30B199B9">
      <w:pPr>
        <w:adjustRightInd w:val="0"/>
        <w:snapToGrid w:val="0"/>
        <w:spacing w:line="360" w:lineRule="auto"/>
        <w:jc w:val="center"/>
        <w:rPr>
          <w:rFonts w:ascii="黑体" w:hAnsi="宋体"/>
          <w:b/>
          <w:color w:val="000000" w:themeColor="text1"/>
          <w:sz w:val="28"/>
          <w:szCs w:val="28"/>
          <w14:textFill>
            <w14:solidFill>
              <w14:schemeClr w14:val="tx1"/>
            </w14:solidFill>
          </w14:textFill>
        </w:rPr>
      </w:pPr>
      <w:r>
        <w:rPr>
          <w:rFonts w:hint="eastAsia" w:ascii="黑体" w:hAnsi="宋体"/>
          <w:b/>
          <w:color w:val="000000" w:themeColor="text1"/>
          <w:sz w:val="28"/>
          <w:szCs w:val="28"/>
          <w14:textFill>
            <w14:solidFill>
              <w14:schemeClr w14:val="tx1"/>
            </w14:solidFill>
          </w14:textFill>
        </w:rPr>
        <w:t>监狱企业证明资料</w:t>
      </w:r>
    </w:p>
    <w:p w14:paraId="470F8927">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(不符合政策要求的无需提供)</w:t>
      </w:r>
    </w:p>
    <w:p w14:paraId="507A83B4">
      <w:pPr>
        <w:adjustRightInd w:val="0"/>
        <w:snapToGrid w:val="0"/>
        <w:spacing w:line="360" w:lineRule="auto"/>
        <w:rPr>
          <w:rFonts w:ascii="宋体" w:hAnsi="宋体"/>
          <w:color w:val="000000" w:themeColor="text1"/>
          <w:szCs w:val="21"/>
          <w14:textFill>
            <w14:solidFill>
              <w14:schemeClr w14:val="tx1"/>
            </w14:solidFill>
          </w14:textFill>
        </w:rPr>
      </w:pPr>
    </w:p>
    <w:p w14:paraId="73BA84EB">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eastAsia="宋体"/>
          <w:b w:val="0"/>
          <w:bCs/>
          <w:color w:val="000000" w:themeColor="text1"/>
          <w:szCs w:val="21"/>
          <w14:textFill>
            <w14:solidFill>
              <w14:schemeClr w14:val="tx1"/>
            </w14:solidFill>
          </w14:textFill>
        </w:rPr>
        <w:t>注</w:t>
      </w:r>
      <w:r>
        <w:rPr>
          <w:rFonts w:hint="eastAsia" w:ascii="宋体" w:hAnsi="宋体" w:cs="宋体"/>
          <w:b w:val="0"/>
          <w:bCs/>
          <w:color w:val="000000" w:themeColor="text1"/>
          <w:spacing w:val="6"/>
          <w:kern w:val="0"/>
          <w:szCs w:val="21"/>
          <w14:textFill>
            <w14:solidFill>
              <w14:schemeClr w14:val="tx1"/>
            </w14:solidFill>
          </w14:textFill>
        </w:rPr>
        <w:t>：</w:t>
      </w:r>
      <w:r>
        <w:rPr>
          <w:rFonts w:hint="eastAsia" w:ascii="宋体" w:hAnsi="宋体"/>
          <w:b w:val="0"/>
          <w:bCs/>
          <w:color w:val="000000" w:themeColor="text1"/>
          <w:szCs w:val="21"/>
          <w14:textFill>
            <w14:solidFill>
              <w14:schemeClr w14:val="tx1"/>
            </w14:solidFill>
          </w14:textFill>
        </w:rPr>
        <w:t>按</w:t>
      </w:r>
      <w:r>
        <w:rPr>
          <w:rFonts w:hint="eastAsia" w:ascii="宋体" w:hAnsi="宋体"/>
          <w:b w:val="0"/>
          <w:bCs/>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(财库〔2014〕68号)文件规定提供证明文件（复印件）。</w:t>
      </w:r>
    </w:p>
    <w:p w14:paraId="3454CE6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44ECBF7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0F12F680">
      <w:pPr>
        <w:keepNext/>
        <w:keepLines/>
        <w:adjustRightInd w:val="0"/>
        <w:snapToGrid w:val="0"/>
        <w:spacing w:line="360" w:lineRule="auto"/>
        <w:outlineLvl w:val="2"/>
        <w:rPr>
          <w:rFonts w:ascii="宋体" w:hAnsi="宋体"/>
          <w:b/>
          <w:bCs/>
          <w:color w:val="000000" w:themeColor="text1"/>
          <w:szCs w:val="21"/>
          <w14:textFill>
            <w14:solidFill>
              <w14:schemeClr w14:val="tx1"/>
            </w14:solidFill>
          </w14:textFill>
        </w:rPr>
      </w:pPr>
      <w:bookmarkStart w:id="204" w:name="_Toc62225533"/>
      <w:bookmarkStart w:id="205" w:name="_Toc12734"/>
      <w:bookmarkStart w:id="206" w:name="_Toc107998053"/>
      <w:r>
        <w:rPr>
          <w:rFonts w:hint="eastAsia" w:ascii="宋体" w:hAnsi="宋体" w:cs="宋体"/>
          <w:b/>
          <w:bCs/>
          <w:color w:val="000000" w:themeColor="text1"/>
          <w:spacing w:val="6"/>
          <w:kern w:val="0"/>
          <w:szCs w:val="21"/>
          <w14:textFill>
            <w14:solidFill>
              <w14:schemeClr w14:val="tx1"/>
            </w14:solidFill>
          </w14:textFill>
        </w:rPr>
        <w:t xml:space="preserve">附件9-4 </w:t>
      </w:r>
      <w:r>
        <w:rPr>
          <w:rFonts w:hint="eastAsia" w:ascii="宋体" w:hAnsi="宋体"/>
          <w:b/>
          <w:bCs/>
          <w:color w:val="000000" w:themeColor="text1"/>
          <w:szCs w:val="21"/>
          <w14:textFill>
            <w14:solidFill>
              <w14:schemeClr w14:val="tx1"/>
            </w14:solidFill>
          </w14:textFill>
        </w:rPr>
        <w:t>强制采购或者优先采购产品的证明材料</w:t>
      </w:r>
      <w:bookmarkEnd w:id="204"/>
      <w:bookmarkEnd w:id="205"/>
      <w:bookmarkEnd w:id="206"/>
    </w:p>
    <w:p w14:paraId="1BD00C32">
      <w:pPr>
        <w:adjustRightInd w:val="0"/>
        <w:snapToGrid w:val="0"/>
        <w:spacing w:before="156"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强制采购或者优先采购产品</w:t>
      </w:r>
      <w:r>
        <w:rPr>
          <w:rFonts w:hint="eastAsia" w:ascii="黑体" w:hAnsi="黑体" w:eastAsia="黑体"/>
          <w:b/>
          <w:bCs/>
          <w:color w:val="000000" w:themeColor="text1"/>
          <w:sz w:val="28"/>
          <w:szCs w:val="28"/>
          <w14:textFill>
            <w14:solidFill>
              <w14:schemeClr w14:val="tx1"/>
            </w14:solidFill>
          </w14:textFill>
        </w:rPr>
        <w:t>的</w:t>
      </w:r>
      <w:r>
        <w:rPr>
          <w:rFonts w:hint="eastAsia" w:ascii="黑体" w:hAnsi="黑体" w:eastAsia="黑体"/>
          <w:b/>
          <w:color w:val="000000" w:themeColor="text1"/>
          <w:sz w:val="28"/>
          <w:szCs w:val="28"/>
          <w14:textFill>
            <w14:solidFill>
              <w14:schemeClr w14:val="tx1"/>
            </w14:solidFill>
          </w14:textFill>
        </w:rPr>
        <w:t>证明材料</w:t>
      </w:r>
    </w:p>
    <w:p w14:paraId="0BD33502">
      <w:pPr>
        <w:adjustRightInd w:val="0"/>
        <w:snapToGrid w:val="0"/>
        <w:spacing w:before="156" w:beforeLines="50"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(不属于强制采购或者优先采购产品的无需提供)</w:t>
      </w:r>
    </w:p>
    <w:p w14:paraId="696B0AAF">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p>
    <w:p w14:paraId="6ACCEDA9">
      <w:pPr>
        <w:adjustRightInd w:val="0"/>
        <w:snapToGrid w:val="0"/>
        <w:spacing w:line="360" w:lineRule="auto"/>
        <w:jc w:val="left"/>
        <w:rPr>
          <w:rFonts w:ascii="宋体" w:hAnsi="宋体"/>
          <w:color w:val="000000" w:themeColor="text1"/>
          <w:szCs w:val="21"/>
          <w14:textFill>
            <w14:solidFill>
              <w14:schemeClr w14:val="tx1"/>
            </w14:solidFill>
          </w14:textFill>
        </w:rPr>
      </w:pPr>
      <w:r>
        <w:rPr>
          <w:rFonts w:hint="eastAsia" w:ascii="宋体" w:hAnsi="宋体" w:eastAsia="宋体"/>
          <w:b w:val="0"/>
          <w:bCs/>
          <w:color w:val="000000" w:themeColor="text1"/>
          <w:szCs w:val="21"/>
          <w14:textFill>
            <w14:solidFill>
              <w14:schemeClr w14:val="tx1"/>
            </w14:solidFill>
          </w14:textFill>
        </w:rPr>
        <w:t>注</w:t>
      </w:r>
      <w:r>
        <w:rPr>
          <w:rFonts w:hint="eastAsia" w:ascii="宋体" w:hAnsi="宋体"/>
          <w:b w:val="0"/>
          <w:bCs/>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供应商提供的产品</w:t>
      </w:r>
      <w:r>
        <w:rPr>
          <w:rFonts w:hint="eastAsia" w:ascii="宋体" w:hAnsi="宋体"/>
          <w:bCs/>
          <w:color w:val="000000" w:themeColor="text1"/>
          <w:szCs w:val="21"/>
          <w14:textFill>
            <w14:solidFill>
              <w14:schemeClr w14:val="tx1"/>
            </w14:solidFill>
          </w14:textFill>
        </w:rPr>
        <w:t>属于优先采购的</w:t>
      </w:r>
      <w:r>
        <w:rPr>
          <w:rFonts w:hint="eastAsia" w:ascii="宋体" w:hAnsi="宋体"/>
          <w:color w:val="000000" w:themeColor="text1"/>
          <w:szCs w:val="21"/>
          <w14:textFill>
            <w14:solidFill>
              <w14:schemeClr w14:val="tx1"/>
            </w14:solidFill>
          </w14:textFill>
        </w:rPr>
        <w:t>，应按第二章第4</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条规定提供证明材料和本章本节附页</w:t>
      </w: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“优先采购产品清单”，并加盖供应商单位公章。</w:t>
      </w:r>
    </w:p>
    <w:p w14:paraId="7A2261F9">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节能产品、环境标志产品(强制采购或者优先采购产品)认证证书内容</w:t>
      </w:r>
      <w:r>
        <w:rPr>
          <w:rFonts w:hint="eastAsia" w:ascii="宋体" w:hAnsi="宋体" w:eastAsia="宋体"/>
          <w:color w:val="000000" w:themeColor="text1"/>
          <w:szCs w:val="21"/>
          <w14:textFill>
            <w14:solidFill>
              <w14:schemeClr w14:val="tx1"/>
            </w14:solidFill>
          </w14:textFill>
        </w:rPr>
        <w:t>注明“详见证</w:t>
      </w:r>
      <w:r>
        <w:rPr>
          <w:rFonts w:hint="eastAsia" w:ascii="宋体" w:hAnsi="宋体"/>
          <w:color w:val="000000" w:themeColor="text1"/>
          <w:szCs w:val="21"/>
          <w14:textFill>
            <w14:solidFill>
              <w14:schemeClr w14:val="tx1"/>
            </w14:solidFill>
          </w14:textFill>
        </w:rPr>
        <w:t>书附件</w:t>
      </w:r>
      <w:r>
        <w:rPr>
          <w:rFonts w:hint="eastAsia" w:ascii="华文中宋" w:hAnsi="华文中宋" w:eastAsia="华文中宋"/>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的，应提供其附件，以证明认证证书与响应文件一致。</w:t>
      </w:r>
    </w:p>
    <w:p w14:paraId="7C35DAC1">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7B8086A9">
      <w:pPr>
        <w:keepNext/>
        <w:keepLines/>
        <w:adjustRightInd w:val="0"/>
        <w:snapToGrid w:val="0"/>
        <w:spacing w:line="360" w:lineRule="auto"/>
        <w:outlineLvl w:val="3"/>
        <w:rPr>
          <w:rFonts w:ascii="宋体" w:hAnsi="宋体"/>
          <w:b/>
          <w:bCs/>
          <w:color w:val="000000" w:themeColor="text1"/>
          <w:szCs w:val="21"/>
          <w14:textFill>
            <w14:solidFill>
              <w14:schemeClr w14:val="tx1"/>
            </w14:solidFill>
          </w14:textFill>
        </w:rPr>
      </w:pPr>
      <w:bookmarkStart w:id="207" w:name="_Toc62225534"/>
      <w:bookmarkStart w:id="208" w:name="_Toc107998054"/>
      <w:r>
        <w:rPr>
          <w:rFonts w:hint="eastAsia" w:ascii="宋体" w:hAnsi="宋体" w:cs="宋体"/>
          <w:b/>
          <w:bCs/>
          <w:color w:val="000000" w:themeColor="text1"/>
          <w:spacing w:val="6"/>
          <w:kern w:val="0"/>
          <w:szCs w:val="21"/>
          <w14:textFill>
            <w14:solidFill>
              <w14:schemeClr w14:val="tx1"/>
            </w14:solidFill>
          </w14:textFill>
        </w:rPr>
        <w:t>附页1</w:t>
      </w:r>
      <w:r>
        <w:rPr>
          <w:rFonts w:hint="eastAsia" w:ascii="宋体" w:hAnsi="宋体"/>
          <w:b/>
          <w:bCs/>
          <w:color w:val="000000" w:themeColor="text1"/>
          <w:szCs w:val="21"/>
          <w14:textFill>
            <w14:solidFill>
              <w14:schemeClr w14:val="tx1"/>
            </w14:solidFill>
          </w14:textFill>
        </w:rPr>
        <w:t>优先采购产品清单</w:t>
      </w:r>
      <w:bookmarkEnd w:id="207"/>
      <w:bookmarkEnd w:id="208"/>
    </w:p>
    <w:p w14:paraId="448AB777">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黑体" w:hAnsi="宋体" w:eastAsia="黑体"/>
          <w:b/>
          <w:color w:val="000000" w:themeColor="text1"/>
          <w:sz w:val="28"/>
          <w:szCs w:val="28"/>
          <w14:textFill>
            <w14:solidFill>
              <w14:schemeClr w14:val="tx1"/>
            </w14:solidFill>
          </w14:textFill>
        </w:rPr>
        <w:t>优先采购产品清单</w:t>
      </w:r>
    </w:p>
    <w:p w14:paraId="170F1DBE">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政府采购计划编号: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10BBCEEF">
      <w:pPr>
        <w:adjustRightInd w:val="0"/>
        <w:snapToGrid w:val="0"/>
        <w:spacing w:before="156" w:beforeLines="50" w:line="360" w:lineRule="auto"/>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包名称：</w:t>
      </w:r>
      <w:r>
        <w:rPr>
          <w:rFonts w:hint="eastAsia" w:ascii="宋体" w:hAnsi="宋体"/>
          <w:color w:val="000000" w:themeColor="text1"/>
          <w:szCs w:val="21"/>
          <w:u w:val="single"/>
          <w14:textFill>
            <w14:solidFill>
              <w14:schemeClr w14:val="tx1"/>
            </w14:solidFill>
          </w14:textFill>
        </w:rPr>
        <w:t xml:space="preserve">                   </w:t>
      </w: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4AE502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noWrap w:val="0"/>
            <w:vAlign w:val="center"/>
          </w:tcPr>
          <w:p w14:paraId="57DD50C3">
            <w:pPr>
              <w:widowControl/>
              <w:adjustRightInd w:val="0"/>
              <w:snapToGrid w:val="0"/>
              <w:spacing w:line="360" w:lineRule="auto"/>
              <w:ind w:firstLine="480" w:firstLineChars="200"/>
              <w:jc w:val="left"/>
              <w:rPr>
                <w:rFonts w:ascii="黑体" w:hAnsi="黑体" w:eastAsia="黑体"/>
                <w:color w:val="000000" w:themeColor="text1"/>
                <w:kern w:val="0"/>
                <w:sz w:val="24"/>
                <w14:textFill>
                  <w14:solidFill>
                    <w14:schemeClr w14:val="tx1"/>
                  </w14:solidFill>
                </w14:textFill>
              </w:rPr>
            </w:pPr>
            <w:r>
              <w:rPr>
                <w:rFonts w:hint="eastAsia" w:ascii="黑体" w:hAnsi="宋体" w:eastAsia="黑体"/>
                <w:color w:val="000000" w:themeColor="text1"/>
                <w:kern w:val="0"/>
                <w:sz w:val="24"/>
                <w14:textFill>
                  <w14:solidFill>
                    <w14:schemeClr w14:val="tx1"/>
                  </w14:solidFill>
                </w14:textFill>
              </w:rPr>
              <w:t>以下为供应商提供的政府采购优先采购产品，供应商对本表的真实性负责。如有虚假，将依法承担相应责任。</w:t>
            </w:r>
          </w:p>
        </w:tc>
      </w:tr>
      <w:tr w14:paraId="6A02E7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noWrap w:val="0"/>
            <w:vAlign w:val="center"/>
          </w:tcPr>
          <w:p w14:paraId="78AE5B1D">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w:t>
            </w:r>
          </w:p>
        </w:tc>
        <w:tc>
          <w:tcPr>
            <w:tcW w:w="1739" w:type="dxa"/>
            <w:noWrap w:val="0"/>
            <w:vAlign w:val="center"/>
          </w:tcPr>
          <w:p w14:paraId="50168BC5">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w:t>
            </w:r>
          </w:p>
        </w:tc>
        <w:tc>
          <w:tcPr>
            <w:tcW w:w="1134" w:type="dxa"/>
            <w:tcBorders>
              <w:right w:val="single" w:color="auto" w:sz="4" w:space="0"/>
            </w:tcBorders>
            <w:noWrap w:val="0"/>
            <w:vAlign w:val="center"/>
          </w:tcPr>
          <w:p w14:paraId="3A6BFE64">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3</w:t>
            </w:r>
          </w:p>
        </w:tc>
        <w:tc>
          <w:tcPr>
            <w:tcW w:w="1418" w:type="dxa"/>
            <w:tcBorders>
              <w:left w:val="single" w:color="auto" w:sz="4" w:space="0"/>
            </w:tcBorders>
            <w:noWrap w:val="0"/>
            <w:vAlign w:val="center"/>
          </w:tcPr>
          <w:p w14:paraId="0B9B224C">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4</w:t>
            </w:r>
          </w:p>
        </w:tc>
        <w:tc>
          <w:tcPr>
            <w:tcW w:w="1984" w:type="dxa"/>
            <w:noWrap w:val="0"/>
            <w:vAlign w:val="center"/>
          </w:tcPr>
          <w:p w14:paraId="5F40B5B3">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5</w:t>
            </w:r>
          </w:p>
        </w:tc>
        <w:tc>
          <w:tcPr>
            <w:tcW w:w="1843" w:type="dxa"/>
            <w:noWrap w:val="0"/>
            <w:vAlign w:val="center"/>
          </w:tcPr>
          <w:p w14:paraId="23106E03">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6</w:t>
            </w:r>
          </w:p>
        </w:tc>
      </w:tr>
      <w:tr w14:paraId="7067C2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noWrap w:val="0"/>
            <w:vAlign w:val="center"/>
          </w:tcPr>
          <w:p w14:paraId="0A657601">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序号</w:t>
            </w:r>
          </w:p>
        </w:tc>
        <w:tc>
          <w:tcPr>
            <w:tcW w:w="1739" w:type="dxa"/>
            <w:noWrap w:val="0"/>
            <w:vAlign w:val="center"/>
          </w:tcPr>
          <w:p w14:paraId="651BA6DB">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货物名称</w:t>
            </w:r>
          </w:p>
        </w:tc>
        <w:tc>
          <w:tcPr>
            <w:tcW w:w="1134" w:type="dxa"/>
            <w:tcBorders>
              <w:right w:val="single" w:color="auto" w:sz="4" w:space="0"/>
            </w:tcBorders>
            <w:noWrap w:val="0"/>
            <w:vAlign w:val="center"/>
          </w:tcPr>
          <w:p w14:paraId="3BFA430F">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规格型号</w:t>
            </w:r>
          </w:p>
        </w:tc>
        <w:tc>
          <w:tcPr>
            <w:tcW w:w="1418" w:type="dxa"/>
            <w:tcBorders>
              <w:left w:val="single" w:color="auto" w:sz="4" w:space="0"/>
            </w:tcBorders>
            <w:noWrap w:val="0"/>
            <w:vAlign w:val="center"/>
          </w:tcPr>
          <w:p w14:paraId="77E8A21F">
            <w:pPr>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价格（元）</w:t>
            </w:r>
          </w:p>
        </w:tc>
        <w:tc>
          <w:tcPr>
            <w:tcW w:w="1984" w:type="dxa"/>
            <w:noWrap w:val="0"/>
            <w:vAlign w:val="center"/>
          </w:tcPr>
          <w:p w14:paraId="797BF4C9">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货物制造商名称</w:t>
            </w:r>
          </w:p>
        </w:tc>
        <w:tc>
          <w:tcPr>
            <w:tcW w:w="1843" w:type="dxa"/>
            <w:noWrap w:val="0"/>
            <w:vAlign w:val="center"/>
          </w:tcPr>
          <w:p w14:paraId="562477DF">
            <w:pPr>
              <w:widowControl/>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政策功能编码</w:t>
            </w:r>
          </w:p>
        </w:tc>
      </w:tr>
      <w:tr w14:paraId="4DA984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7366D6A7">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节能产品</w:t>
            </w:r>
          </w:p>
        </w:tc>
      </w:tr>
      <w:tr w14:paraId="50BA41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405C58FB">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39" w:type="dxa"/>
            <w:noWrap w:val="0"/>
            <w:vAlign w:val="center"/>
          </w:tcPr>
          <w:p w14:paraId="431D56C6">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34" w:type="dxa"/>
            <w:tcBorders>
              <w:right w:val="single" w:color="auto" w:sz="4" w:space="0"/>
            </w:tcBorders>
            <w:noWrap w:val="0"/>
            <w:vAlign w:val="center"/>
          </w:tcPr>
          <w:p w14:paraId="24003290">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noWrap w:val="0"/>
            <w:vAlign w:val="center"/>
          </w:tcPr>
          <w:p w14:paraId="1EE9B199">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noWrap w:val="0"/>
            <w:vAlign w:val="center"/>
          </w:tcPr>
          <w:p w14:paraId="59FB8A1E">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43" w:type="dxa"/>
            <w:noWrap w:val="0"/>
            <w:vAlign w:val="top"/>
          </w:tcPr>
          <w:p w14:paraId="740E1FED">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04C1E7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7A5194F6">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39" w:type="dxa"/>
            <w:noWrap w:val="0"/>
            <w:vAlign w:val="center"/>
          </w:tcPr>
          <w:p w14:paraId="35048331">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134" w:type="dxa"/>
            <w:tcBorders>
              <w:right w:val="single" w:color="auto" w:sz="4" w:space="0"/>
            </w:tcBorders>
            <w:noWrap w:val="0"/>
            <w:vAlign w:val="center"/>
          </w:tcPr>
          <w:p w14:paraId="44D6A08D">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noWrap w:val="0"/>
            <w:vAlign w:val="center"/>
          </w:tcPr>
          <w:p w14:paraId="74108CBD">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noWrap w:val="0"/>
            <w:vAlign w:val="center"/>
          </w:tcPr>
          <w:p w14:paraId="6688166C">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843" w:type="dxa"/>
            <w:noWrap w:val="0"/>
            <w:vAlign w:val="top"/>
          </w:tcPr>
          <w:p w14:paraId="7D5708E2">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r w14:paraId="3FDFF5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noWrap w:val="0"/>
            <w:vAlign w:val="center"/>
          </w:tcPr>
          <w:p w14:paraId="1602F536">
            <w:pPr>
              <w:adjustRightInd w:val="0"/>
              <w:snapToGrid w:val="0"/>
              <w:spacing w:line="360" w:lineRule="auto"/>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环境标志产品</w:t>
            </w:r>
          </w:p>
        </w:tc>
      </w:tr>
      <w:tr w14:paraId="06AEFE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25ECA308">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739" w:type="dxa"/>
            <w:noWrap w:val="0"/>
            <w:vAlign w:val="center"/>
          </w:tcPr>
          <w:p w14:paraId="1482F9FF">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134" w:type="dxa"/>
            <w:tcBorders>
              <w:right w:val="single" w:color="auto" w:sz="4" w:space="0"/>
            </w:tcBorders>
            <w:noWrap w:val="0"/>
            <w:vAlign w:val="center"/>
          </w:tcPr>
          <w:p w14:paraId="75B6BA34">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noWrap w:val="0"/>
            <w:vAlign w:val="center"/>
          </w:tcPr>
          <w:p w14:paraId="10B1474A">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noWrap w:val="0"/>
            <w:vAlign w:val="center"/>
          </w:tcPr>
          <w:p w14:paraId="121FF500">
            <w:pPr>
              <w:adjustRightInd w:val="0"/>
              <w:snapToGrid w:val="0"/>
              <w:spacing w:line="360" w:lineRule="auto"/>
              <w:jc w:val="center"/>
              <w:rPr>
                <w:rFonts w:ascii="宋体" w:hAnsi="宋体"/>
                <w:b/>
                <w:color w:val="000000" w:themeColor="text1"/>
                <w:szCs w:val="21"/>
                <w14:textFill>
                  <w14:solidFill>
                    <w14:schemeClr w14:val="tx1"/>
                  </w14:solidFill>
                </w14:textFill>
              </w:rPr>
            </w:pPr>
          </w:p>
        </w:tc>
        <w:tc>
          <w:tcPr>
            <w:tcW w:w="1843" w:type="dxa"/>
            <w:noWrap w:val="0"/>
            <w:vAlign w:val="top"/>
          </w:tcPr>
          <w:p w14:paraId="6648AABC">
            <w:pPr>
              <w:adjustRightInd w:val="0"/>
              <w:snapToGrid w:val="0"/>
              <w:spacing w:line="360" w:lineRule="auto"/>
              <w:jc w:val="center"/>
              <w:rPr>
                <w:rFonts w:ascii="宋体" w:hAnsi="宋体"/>
                <w:b/>
                <w:color w:val="000000" w:themeColor="text1"/>
                <w:szCs w:val="21"/>
                <w14:textFill>
                  <w14:solidFill>
                    <w14:schemeClr w14:val="tx1"/>
                  </w14:solidFill>
                </w14:textFill>
              </w:rPr>
            </w:pPr>
          </w:p>
        </w:tc>
      </w:tr>
      <w:tr w14:paraId="6FDAD7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64ADB08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小计</w:t>
            </w:r>
          </w:p>
        </w:tc>
        <w:tc>
          <w:tcPr>
            <w:tcW w:w="1739" w:type="dxa"/>
            <w:noWrap w:val="0"/>
            <w:vAlign w:val="center"/>
          </w:tcPr>
          <w:p w14:paraId="33C9C4CC">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134" w:type="dxa"/>
            <w:tcBorders>
              <w:right w:val="single" w:color="auto" w:sz="4" w:space="0"/>
            </w:tcBorders>
            <w:noWrap w:val="0"/>
            <w:vAlign w:val="center"/>
          </w:tcPr>
          <w:p w14:paraId="255A6A22">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418" w:type="dxa"/>
            <w:tcBorders>
              <w:left w:val="single" w:color="auto" w:sz="4" w:space="0"/>
            </w:tcBorders>
            <w:noWrap w:val="0"/>
            <w:vAlign w:val="center"/>
          </w:tcPr>
          <w:p w14:paraId="7B08B250">
            <w:pPr>
              <w:adjustRightInd w:val="0"/>
              <w:snapToGrid w:val="0"/>
              <w:spacing w:line="360" w:lineRule="auto"/>
              <w:jc w:val="left"/>
              <w:rPr>
                <w:rFonts w:ascii="宋体" w:hAnsi="宋体"/>
                <w:b/>
                <w:color w:val="000000" w:themeColor="text1"/>
                <w:szCs w:val="21"/>
                <w14:textFill>
                  <w14:solidFill>
                    <w14:schemeClr w14:val="tx1"/>
                  </w14:solidFill>
                </w14:textFill>
              </w:rPr>
            </w:pPr>
          </w:p>
        </w:tc>
        <w:tc>
          <w:tcPr>
            <w:tcW w:w="1984" w:type="dxa"/>
            <w:noWrap w:val="0"/>
            <w:vAlign w:val="center"/>
          </w:tcPr>
          <w:p w14:paraId="2AA1C908">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c>
          <w:tcPr>
            <w:tcW w:w="1843" w:type="dxa"/>
            <w:noWrap w:val="0"/>
            <w:vAlign w:val="top"/>
          </w:tcPr>
          <w:p w14:paraId="03173236">
            <w:pPr>
              <w:adjustRightInd w:val="0"/>
              <w:snapToGrid w:val="0"/>
              <w:spacing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w:t>
            </w:r>
          </w:p>
        </w:tc>
      </w:tr>
    </w:tbl>
    <w:p w14:paraId="74D8B22C">
      <w:pPr>
        <w:adjustRightInd w:val="0"/>
        <w:snapToGrid w:val="0"/>
        <w:spacing w:line="360" w:lineRule="auto"/>
        <w:jc w:val="left"/>
        <w:rPr>
          <w:rFonts w:hint="eastAsia" w:ascii="宋体" w:hAnsi="宋体"/>
          <w:color w:val="000000" w:themeColor="text1"/>
          <w:szCs w:val="21"/>
          <w14:textFill>
            <w14:solidFill>
              <w14:schemeClr w14:val="tx1"/>
            </w14:solidFill>
          </w14:textFill>
        </w:rPr>
      </w:pPr>
      <w:r>
        <w:rPr>
          <w:rFonts w:hint="eastAsia" w:ascii="宋体" w:hAnsi="宋体" w:eastAsia="宋体"/>
          <w:b w:val="0"/>
          <w:bCs/>
          <w:color w:val="000000" w:themeColor="text1"/>
          <w:szCs w:val="21"/>
          <w14:textFill>
            <w14:solidFill>
              <w14:schemeClr w14:val="tx1"/>
            </w14:solidFill>
          </w14:textFill>
        </w:rPr>
        <w:t>注</w:t>
      </w:r>
      <w:r>
        <w:rPr>
          <w:rFonts w:hint="eastAsia" w:ascii="宋体" w:hAnsi="宋体"/>
          <w:b w:val="0"/>
          <w:bCs/>
          <w:color w:val="000000" w:themeColor="text1"/>
          <w:szCs w:val="21"/>
          <w14:textFill>
            <w14:solidFill>
              <w14:schemeClr w14:val="tx1"/>
            </w14:solidFill>
          </w14:textFill>
        </w:rPr>
        <w:t>：1</w:t>
      </w:r>
      <w:r>
        <w:rPr>
          <w:rFonts w:hint="eastAsia" w:ascii="宋体" w:hAnsi="宋体"/>
          <w:bCs/>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本表用于计算政府采购优先采购产品（节能产品或者环境标志产品）的政府采购政策价格扣除。</w:t>
      </w:r>
    </w:p>
    <w:p w14:paraId="4FF63D65">
      <w:pPr>
        <w:adjustRightInd w:val="0"/>
        <w:snapToGrid w:val="0"/>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栏目4“价格”为综合单价，包含货物所有隐含的内容，如运输费、保险费、管理费和利润等。</w:t>
      </w:r>
    </w:p>
    <w:p w14:paraId="3CB5E6DB">
      <w:pPr>
        <w:adjustRightInd w:val="0"/>
        <w:snapToGrid w:val="0"/>
        <w:spacing w:line="360" w:lineRule="auto"/>
        <w:ind w:left="0" w:leftChars="0"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栏目6“政策功能编码”是指货物的中国环境标志认证证书编号、中国节能标志认证证书号编号。</w:t>
      </w:r>
    </w:p>
    <w:p w14:paraId="294E6908">
      <w:pPr>
        <w:adjustRightInd w:val="0"/>
        <w:snapToGrid w:val="0"/>
        <w:spacing w:line="360" w:lineRule="auto"/>
        <w:ind w:left="0" w:leftChars="0"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货物同时属于节能产品、环境标志产品，只需填写一种。</w:t>
      </w:r>
    </w:p>
    <w:p w14:paraId="53AD7E78">
      <w:pPr>
        <w:adjustRightInd w:val="0"/>
        <w:snapToGrid w:val="0"/>
        <w:spacing w:line="360" w:lineRule="auto"/>
        <w:rPr>
          <w:rFonts w:ascii="宋体" w:hAnsi="宋体"/>
          <w:bCs/>
          <w:color w:val="000000" w:themeColor="text1"/>
          <w:szCs w:val="21"/>
          <w14:textFill>
            <w14:solidFill>
              <w14:schemeClr w14:val="tx1"/>
            </w14:solidFill>
          </w14:textFill>
        </w:rPr>
      </w:pPr>
    </w:p>
    <w:p w14:paraId="76C078CB">
      <w:pPr>
        <w:adjustRightInd w:val="0"/>
        <w:snapToGrid w:val="0"/>
        <w:spacing w:line="360" w:lineRule="auto"/>
        <w:rPr>
          <w:rFonts w:ascii="宋体" w:hAnsi="宋体"/>
          <w:color w:val="000000" w:themeColor="text1"/>
          <w:szCs w:val="21"/>
          <w14:textFill>
            <w14:solidFill>
              <w14:schemeClr w14:val="tx1"/>
            </w14:solidFill>
          </w14:textFill>
        </w:rPr>
      </w:pPr>
    </w:p>
    <w:p w14:paraId="2F1AFEF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78F2C4F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或者其委托代理人（签字或者印章）：</w:t>
      </w:r>
    </w:p>
    <w:p w14:paraId="54A2922B">
      <w:pPr>
        <w:rPr>
          <w:color w:val="000000" w:themeColor="text1"/>
          <w14:textFill>
            <w14:solidFill>
              <w14:schemeClr w14:val="tx1"/>
            </w14:solidFill>
          </w14:textFill>
        </w:rPr>
      </w:pPr>
      <w:r>
        <w:rPr>
          <w:rFonts w:hint="eastAsia"/>
          <w:color w:val="000000" w:themeColor="text1"/>
          <w14:textFill>
            <w14:solidFill>
              <w14:schemeClr w14:val="tx1"/>
            </w14:solidFill>
          </w14:textFill>
        </w:rPr>
        <w:t>日期：年月日</w:t>
      </w:r>
    </w:p>
    <w:p w14:paraId="3F918F1A">
      <w:pPr>
        <w:rPr>
          <w:color w:val="000000" w:themeColor="text1"/>
          <w14:textFill>
            <w14:solidFill>
              <w14:schemeClr w14:val="tx1"/>
            </w14:solidFill>
          </w14:textFill>
        </w:rPr>
      </w:pPr>
    </w:p>
    <w:p w14:paraId="07285836">
      <w:pPr>
        <w:widowControl/>
        <w:jc w:val="left"/>
        <w:rPr>
          <w:rFonts w:ascii="宋体" w:hAnsi="宋体" w:cs="宋体"/>
          <w:b/>
          <w:bCs/>
          <w:color w:val="000000" w:themeColor="text1"/>
          <w:spacing w:val="6"/>
          <w:kern w:val="0"/>
          <w:szCs w:val="21"/>
          <w14:textFill>
            <w14:solidFill>
              <w14:schemeClr w14:val="tx1"/>
            </w14:solidFill>
          </w14:textFill>
        </w:rPr>
      </w:pPr>
      <w:r>
        <w:rPr>
          <w:rFonts w:ascii="宋体" w:hAnsi="宋体" w:cs="宋体"/>
          <w:color w:val="000000" w:themeColor="text1"/>
          <w:spacing w:val="6"/>
          <w:kern w:val="0"/>
          <w:szCs w:val="21"/>
          <w14:textFill>
            <w14:solidFill>
              <w14:schemeClr w14:val="tx1"/>
            </w14:solidFill>
          </w14:textFill>
        </w:rPr>
        <w:br w:type="page"/>
      </w:r>
    </w:p>
    <w:p w14:paraId="33AAFBB4">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209" w:name="_Toc107998055"/>
      <w:bookmarkStart w:id="210" w:name="_Toc3524"/>
      <w:r>
        <w:rPr>
          <w:rFonts w:hint="eastAsia" w:ascii="黑体" w:hAnsi="黑体" w:eastAsia="黑体"/>
          <w:b/>
          <w:bCs/>
          <w:color w:val="000000" w:themeColor="text1"/>
          <w:sz w:val="28"/>
          <w:szCs w:val="28"/>
          <w14:textFill>
            <w14:solidFill>
              <w14:schemeClr w14:val="tx1"/>
            </w14:solidFill>
          </w14:textFill>
        </w:rPr>
        <w:t>十、响应标的符合谈判文件规定的证明文件</w:t>
      </w:r>
      <w:bookmarkEnd w:id="209"/>
      <w:bookmarkEnd w:id="210"/>
    </w:p>
    <w:p w14:paraId="7333453E">
      <w:pPr>
        <w:adjustRightInd w:val="0"/>
        <w:snapToGrid w:val="0"/>
        <w:spacing w:line="360" w:lineRule="auto"/>
        <w:rPr>
          <w:rFonts w:ascii="宋体" w:hAnsi="宋体"/>
          <w:color w:val="000000" w:themeColor="text1"/>
          <w:szCs w:val="21"/>
          <w14:textFill>
            <w14:solidFill>
              <w14:schemeClr w14:val="tx1"/>
            </w14:solidFill>
          </w14:textFill>
        </w:rPr>
      </w:pPr>
    </w:p>
    <w:p w14:paraId="4A8A0FEE">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注：提供第三章规定的证明材料复印件。</w:t>
      </w:r>
    </w:p>
    <w:p w14:paraId="5C142170">
      <w:pPr>
        <w:adjustRightInd w:val="0"/>
        <w:snapToGrid w:val="0"/>
        <w:spacing w:line="360" w:lineRule="auto"/>
        <w:rPr>
          <w:rFonts w:ascii="宋体" w:hAnsi="宋体"/>
          <w:color w:val="000000" w:themeColor="text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2200856F">
      <w:pPr>
        <w:keepNext/>
        <w:keepLines/>
        <w:spacing w:line="360" w:lineRule="auto"/>
        <w:jc w:val="center"/>
        <w:outlineLvl w:val="1"/>
        <w:rPr>
          <w:rFonts w:ascii="黑体" w:hAnsi="黑体" w:eastAsia="黑体"/>
          <w:b/>
          <w:bCs/>
          <w:color w:val="000000" w:themeColor="text1"/>
          <w:sz w:val="28"/>
          <w:szCs w:val="28"/>
          <w14:textFill>
            <w14:solidFill>
              <w14:schemeClr w14:val="tx1"/>
            </w14:solidFill>
          </w14:textFill>
        </w:rPr>
      </w:pPr>
      <w:bookmarkStart w:id="211" w:name="_Toc15169"/>
      <w:bookmarkStart w:id="212" w:name="_Toc107998056"/>
      <w:r>
        <w:rPr>
          <w:rFonts w:hint="eastAsia" w:ascii="黑体" w:hAnsi="黑体" w:eastAsia="黑体"/>
          <w:b/>
          <w:bCs/>
          <w:color w:val="000000" w:themeColor="text1"/>
          <w:sz w:val="28"/>
          <w:szCs w:val="28"/>
          <w14:textFill>
            <w14:solidFill>
              <w14:schemeClr w14:val="tx1"/>
            </w14:solidFill>
          </w14:textFill>
        </w:rPr>
        <w:t>十一、供应商认为需提供的其他资料</w:t>
      </w:r>
      <w:bookmarkEnd w:id="211"/>
      <w:bookmarkEnd w:id="212"/>
    </w:p>
    <w:p w14:paraId="176A199D">
      <w:pPr>
        <w:adjustRightInd w:val="0"/>
        <w:snapToGrid w:val="0"/>
        <w:spacing w:before="156" w:beforeLines="50" w:line="360" w:lineRule="auto"/>
        <w:rPr>
          <w:rFonts w:ascii="宋体" w:hAnsi="宋体"/>
          <w:color w:val="000000" w:themeColor="text1"/>
          <w14:textFill>
            <w14:solidFill>
              <w14:schemeClr w14:val="tx1"/>
            </w14:solidFill>
          </w14:textFill>
        </w:rPr>
      </w:pPr>
    </w:p>
    <w:p w14:paraId="2CAC7B96">
      <w:pPr>
        <w:adjustRightInd w:val="0"/>
        <w:snapToGrid w:val="0"/>
        <w:spacing w:before="156" w:beforeLines="5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注：供应商认为需提供的其他资料包括：</w:t>
      </w:r>
    </w:p>
    <w:p w14:paraId="187B9992">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1.</w:t>
      </w:r>
      <w:r>
        <w:rPr>
          <w:rFonts w:hint="eastAsia" w:ascii="宋体" w:hAnsi="宋体"/>
          <w:color w:val="000000" w:themeColor="text1"/>
          <w14:textFill>
            <w14:solidFill>
              <w14:schemeClr w14:val="tx1"/>
            </w14:solidFill>
          </w14:textFill>
        </w:rPr>
        <w:t>谈判文件第三章采购需求要求的其他资料；</w:t>
      </w:r>
    </w:p>
    <w:p w14:paraId="7208EDA2">
      <w:pPr>
        <w:adjustRightInd w:val="0"/>
        <w:snapToGrid w:val="0"/>
        <w:spacing w:before="156" w:beforeLines="50" w:line="360" w:lineRule="auto"/>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2.</w:t>
      </w:r>
      <w:r>
        <w:rPr>
          <w:rFonts w:hint="eastAsia" w:ascii="宋体" w:hAnsi="宋体"/>
          <w:color w:val="000000" w:themeColor="text1"/>
          <w14:textFill>
            <w14:solidFill>
              <w14:schemeClr w14:val="tx1"/>
            </w14:solidFill>
          </w14:textFill>
        </w:rPr>
        <w:t>谈判文件要求的其他相关资料。</w:t>
      </w:r>
    </w:p>
    <w:p w14:paraId="0314D491">
      <w:pPr>
        <w:adjustRightInd w:val="0"/>
        <w:snapToGrid w:val="0"/>
        <w:spacing w:before="156" w:beforeLines="50" w:line="360" w:lineRule="auto"/>
        <w:rPr>
          <w:rFonts w:ascii="宋体" w:hAnsi="宋体"/>
          <w:color w:val="000000" w:themeColor="text1"/>
          <w14:textFill>
            <w14:solidFill>
              <w14:schemeClr w14:val="tx1"/>
            </w14:solidFill>
          </w14:textFill>
        </w:rPr>
        <w:sectPr>
          <w:pgSz w:w="11906" w:h="16838"/>
          <w:pgMar w:top="1418" w:right="1418" w:bottom="1134" w:left="1418" w:header="851" w:footer="992" w:gutter="0"/>
          <w:pgNumType w:fmt="decimal"/>
          <w:cols w:space="720" w:num="1"/>
          <w:docGrid w:type="linesAndChars" w:linePitch="312" w:charSpace="0"/>
        </w:sectPr>
      </w:pPr>
    </w:p>
    <w:p w14:paraId="61B8966A">
      <w:pPr>
        <w:keepNext/>
        <w:keepLines/>
        <w:spacing w:line="360" w:lineRule="auto"/>
        <w:jc w:val="center"/>
        <w:outlineLvl w:val="1"/>
        <w:rPr>
          <w:rFonts w:ascii="Arial" w:hAnsi="Arial"/>
          <w:b/>
          <w:bCs/>
          <w:color w:val="000000" w:themeColor="text1"/>
          <w:sz w:val="32"/>
          <w:szCs w:val="32"/>
          <w14:textFill>
            <w14:solidFill>
              <w14:schemeClr w14:val="tx1"/>
            </w14:solidFill>
          </w14:textFill>
        </w:rPr>
      </w:pPr>
      <w:bookmarkStart w:id="213" w:name="_Toc7758"/>
      <w:bookmarkStart w:id="214" w:name="_Toc107998057"/>
      <w:r>
        <w:rPr>
          <w:rFonts w:hint="eastAsia" w:ascii="Arial" w:hAnsi="Arial"/>
          <w:b/>
          <w:bCs/>
          <w:color w:val="000000" w:themeColor="text1"/>
          <w:sz w:val="32"/>
          <w:szCs w:val="32"/>
          <w14:textFill>
            <w14:solidFill>
              <w14:schemeClr w14:val="tx1"/>
            </w14:solidFill>
          </w14:textFill>
        </w:rPr>
        <w:t>十二、最后报价</w:t>
      </w:r>
      <w:bookmarkEnd w:id="213"/>
      <w:bookmarkEnd w:id="214"/>
    </w:p>
    <w:p w14:paraId="475B79E8">
      <w:pPr>
        <w:adjustRightInd w:val="0"/>
        <w:snapToGrid w:val="0"/>
        <w:spacing w:line="360" w:lineRule="auto"/>
        <w:rPr>
          <w:rFonts w:ascii="宋体" w:hAnsi="宋体"/>
          <w:color w:val="000000" w:themeColor="text1"/>
          <w:szCs w:val="21"/>
          <w14:textFill>
            <w14:solidFill>
              <w14:schemeClr w14:val="tx1"/>
            </w14:solidFill>
          </w14:textFill>
        </w:rPr>
      </w:pPr>
    </w:p>
    <w:p w14:paraId="4926D96C">
      <w:pPr>
        <w:keepNext/>
        <w:keepLines/>
        <w:adjustRightInd w:val="0"/>
        <w:snapToGrid w:val="0"/>
        <w:spacing w:before="156" w:beforeLines="50" w:line="360" w:lineRule="auto"/>
        <w:outlineLvl w:val="2"/>
        <w:rPr>
          <w:rFonts w:ascii="宋体" w:hAnsi="宋体"/>
          <w:b/>
          <w:bCs/>
          <w:color w:val="000000" w:themeColor="text1"/>
          <w:szCs w:val="21"/>
          <w14:textFill>
            <w14:solidFill>
              <w14:schemeClr w14:val="tx1"/>
            </w14:solidFill>
          </w14:textFill>
        </w:rPr>
      </w:pPr>
      <w:bookmarkStart w:id="215" w:name="_Toc25097"/>
      <w:bookmarkStart w:id="216" w:name="_Toc107998058"/>
      <w:bookmarkStart w:id="217" w:name="_Toc108015410"/>
      <w:r>
        <w:rPr>
          <w:rFonts w:hint="eastAsia" w:ascii="宋体" w:hAnsi="宋体"/>
          <w:b/>
          <w:bCs/>
          <w:color w:val="000000" w:themeColor="text1"/>
          <w:szCs w:val="21"/>
          <w14:textFill>
            <w14:solidFill>
              <w14:schemeClr w14:val="tx1"/>
            </w14:solidFill>
          </w14:textFill>
        </w:rPr>
        <w:t>附件</w:t>
      </w:r>
      <w:r>
        <w:rPr>
          <w:rFonts w:ascii="宋体" w:hAnsi="宋体"/>
          <w:b/>
          <w:bCs/>
          <w:color w:val="000000" w:themeColor="text1"/>
          <w:szCs w:val="21"/>
          <w14:textFill>
            <w14:solidFill>
              <w14:schemeClr w14:val="tx1"/>
            </w14:solidFill>
          </w14:textFill>
        </w:rPr>
        <w:t>12</w:t>
      </w:r>
      <w:r>
        <w:rPr>
          <w:rFonts w:hint="eastAsia" w:ascii="宋体" w:hAnsi="宋体"/>
          <w:b/>
          <w:bCs/>
          <w:color w:val="000000" w:themeColor="text1"/>
          <w:szCs w:val="21"/>
          <w14:textFill>
            <w14:solidFill>
              <w14:schemeClr w14:val="tx1"/>
            </w14:solidFill>
          </w14:textFill>
        </w:rPr>
        <w:t>-1 报价表</w:t>
      </w:r>
      <w:bookmarkEnd w:id="215"/>
      <w:bookmarkEnd w:id="216"/>
      <w:bookmarkEnd w:id="217"/>
    </w:p>
    <w:p w14:paraId="0AC70B9B">
      <w:pPr>
        <w:tabs>
          <w:tab w:val="left" w:pos="1680"/>
        </w:tabs>
        <w:adjustRightInd w:val="0"/>
        <w:snapToGrid w:val="0"/>
        <w:spacing w:line="360" w:lineRule="auto"/>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报价表（最后报价）</w:t>
      </w:r>
    </w:p>
    <w:p w14:paraId="5C79ADCC">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p>
    <w:p w14:paraId="1302DB14">
      <w:pPr>
        <w:adjustRightInd w:val="0"/>
        <w:snapToGrid w:val="0"/>
        <w:spacing w:before="156" w:beforeLines="50"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26A9D7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39AE86FE">
            <w:pPr>
              <w:adjustRightInd w:val="0"/>
              <w:snapToGrid w:val="0"/>
              <w:spacing w:before="156" w:beforeLines="50" w:line="360" w:lineRule="auto"/>
              <w:jc w:val="center"/>
              <w:rPr>
                <w:rFonts w:ascii="宋体" w:hAnsi="宋体"/>
                <w:b/>
                <w:color w:val="000000" w:themeColor="text1"/>
                <w:kern w:val="0"/>
                <w:sz w:val="2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报价</w:t>
            </w:r>
          </w:p>
        </w:tc>
        <w:tc>
          <w:tcPr>
            <w:tcW w:w="3119" w:type="dxa"/>
            <w:noWrap w:val="0"/>
            <w:vAlign w:val="center"/>
          </w:tcPr>
          <w:p w14:paraId="6F4BFA12">
            <w:pPr>
              <w:adjustRightInd w:val="0"/>
              <w:snapToGrid w:val="0"/>
              <w:spacing w:before="156" w:beforeLines="50" w:line="360" w:lineRule="auto"/>
              <w:jc w:val="center"/>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其他内容</w:t>
            </w:r>
          </w:p>
        </w:tc>
      </w:tr>
      <w:tr w14:paraId="327A56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noWrap w:val="0"/>
            <w:vAlign w:val="center"/>
          </w:tcPr>
          <w:p w14:paraId="27F4B67F">
            <w:pPr>
              <w:adjustRightInd w:val="0"/>
              <w:snapToGrid w:val="0"/>
              <w:spacing w:before="156" w:beforeLines="50" w:line="360" w:lineRule="auto"/>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00D7FA9C">
            <w:pPr>
              <w:adjustRightInd w:val="0"/>
              <w:snapToGrid w:val="0"/>
              <w:spacing w:before="156" w:beforeLines="50" w:line="360" w:lineRule="auto"/>
              <w:jc w:val="center"/>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大写金额：</w:t>
            </w:r>
            <w:r>
              <w:rPr>
                <w:rFonts w:hint="eastAsia" w:ascii="宋体" w:hAnsi="宋体"/>
                <w:color w:val="000000" w:themeColor="text1"/>
                <w:kern w:val="0"/>
                <w:szCs w:val="21"/>
                <w:u w:val="single"/>
                <w14:textFill>
                  <w14:solidFill>
                    <w14:schemeClr w14:val="tx1"/>
                  </w14:solidFill>
                </w14:textFill>
              </w:rPr>
              <w:t xml:space="preserve">               </w:t>
            </w:r>
            <w:r>
              <w:rPr>
                <w:rFonts w:hint="eastAsia" w:ascii="宋体" w:hAnsi="宋体"/>
                <w:color w:val="000000" w:themeColor="text1"/>
                <w:kern w:val="0"/>
                <w:szCs w:val="21"/>
                <w14:textFill>
                  <w14:solidFill>
                    <w14:schemeClr w14:val="tx1"/>
                  </w14:solidFill>
                </w14:textFill>
              </w:rPr>
              <w:t>（</w:t>
            </w:r>
            <w:r>
              <w:rPr>
                <w:rFonts w:hint="eastAsia" w:ascii="宋体" w:hAnsi="宋体"/>
                <w:color w:val="000000" w:themeColor="text1"/>
                <w:kern w:val="0"/>
                <w:sz w:val="20"/>
                <w:szCs w:val="21"/>
                <w14:textFill>
                  <w14:solidFill>
                    <w14:schemeClr w14:val="tx1"/>
                  </w14:solidFill>
                </w14:textFill>
              </w:rPr>
              <w:t>人民币元</w:t>
            </w:r>
            <w:r>
              <w:rPr>
                <w:rFonts w:hint="eastAsia" w:ascii="宋体" w:hAnsi="宋体"/>
                <w:color w:val="000000" w:themeColor="text1"/>
                <w:kern w:val="0"/>
                <w:szCs w:val="21"/>
                <w14:textFill>
                  <w14:solidFill>
                    <w14:schemeClr w14:val="tx1"/>
                  </w14:solidFill>
                </w14:textFill>
              </w:rPr>
              <w:t>）</w:t>
            </w:r>
          </w:p>
          <w:p w14:paraId="52E3D765">
            <w:pPr>
              <w:adjustRightInd w:val="0"/>
              <w:snapToGrid w:val="0"/>
              <w:spacing w:before="156" w:beforeLines="50" w:line="360" w:lineRule="auto"/>
              <w:jc w:val="center"/>
              <w:rPr>
                <w:rFonts w:ascii="宋体" w:hAnsi="宋体"/>
                <w:color w:val="000000" w:themeColor="text1"/>
                <w:kern w:val="0"/>
                <w:sz w:val="2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w:t>
            </w:r>
            <w:r>
              <w:rPr>
                <w:rFonts w:hint="eastAsia" w:ascii="黑体" w:hAnsi="黑体" w:eastAsia="黑体"/>
                <w:color w:val="000000" w:themeColor="text1"/>
                <w:kern w:val="0"/>
                <w:sz w:val="24"/>
                <w14:textFill>
                  <w14:solidFill>
                    <w14:schemeClr w14:val="tx1"/>
                  </w14:solidFill>
                </w14:textFill>
              </w:rPr>
              <w:t>大写金额与小写金额不一致时，以大写金额为准</w:t>
            </w:r>
            <w:r>
              <w:rPr>
                <w:rFonts w:hint="eastAsia" w:ascii="宋体" w:hAnsi="宋体"/>
                <w:color w:val="000000" w:themeColor="text1"/>
                <w:kern w:val="0"/>
                <w:szCs w:val="21"/>
                <w14:textFill>
                  <w14:solidFill>
                    <w14:schemeClr w14:val="tx1"/>
                  </w14:solidFill>
                </w14:textFill>
              </w:rPr>
              <w:t>）</w:t>
            </w:r>
          </w:p>
        </w:tc>
        <w:tc>
          <w:tcPr>
            <w:tcW w:w="3119" w:type="dxa"/>
            <w:noWrap w:val="0"/>
            <w:vAlign w:val="center"/>
          </w:tcPr>
          <w:p w14:paraId="3B3A71D5">
            <w:pPr>
              <w:adjustRightInd w:val="0"/>
              <w:snapToGrid w:val="0"/>
              <w:spacing w:before="156" w:beforeLines="50" w:line="360" w:lineRule="auto"/>
              <w:jc w:val="center"/>
              <w:rPr>
                <w:rFonts w:hint="default" w:ascii="宋体" w:hAnsi="宋体" w:eastAsia="宋体"/>
                <w:color w:val="000000" w:themeColor="text1"/>
                <w:kern w:val="0"/>
                <w:szCs w:val="21"/>
                <w:lang w:val="en-US" w:eastAsia="zh-CN"/>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服务期3年</w:t>
            </w:r>
          </w:p>
        </w:tc>
      </w:tr>
    </w:tbl>
    <w:p w14:paraId="6EDF15AD">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注：本</w:t>
      </w:r>
      <w:r>
        <w:rPr>
          <w:rFonts w:hint="eastAsia" w:ascii="宋体" w:hAnsi="宋体"/>
          <w:color w:val="000000" w:themeColor="text1"/>
          <w:szCs w:val="21"/>
          <w14:textFill>
            <w14:solidFill>
              <w14:schemeClr w14:val="tx1"/>
            </w14:solidFill>
          </w14:textFill>
        </w:rPr>
        <w:t>表须按包填写，一个“包号”一份。</w:t>
      </w:r>
    </w:p>
    <w:p w14:paraId="602B0C55">
      <w:pPr>
        <w:adjustRightInd w:val="0"/>
        <w:snapToGrid w:val="0"/>
        <w:spacing w:before="156" w:beforeLines="50" w:line="360" w:lineRule="auto"/>
        <w:ind w:firstLine="420" w:firstLineChars="200"/>
        <w:rPr>
          <w:rFonts w:ascii="宋体" w:hAnsi="宋体"/>
          <w:color w:val="000000" w:themeColor="text1"/>
          <w:szCs w:val="21"/>
          <w14:textFill>
            <w14:solidFill>
              <w14:schemeClr w14:val="tx1"/>
            </w14:solidFill>
          </w14:textFill>
        </w:rPr>
      </w:pPr>
    </w:p>
    <w:p w14:paraId="71A7AEC1">
      <w:pPr>
        <w:adjustRightInd w:val="0"/>
        <w:snapToGrid w:val="0"/>
        <w:spacing w:line="360" w:lineRule="auto"/>
        <w:rPr>
          <w:rFonts w:ascii="宋体" w:hAnsi="宋体"/>
          <w:color w:val="000000" w:themeColor="text1"/>
          <w:szCs w:val="21"/>
          <w14:textFill>
            <w14:solidFill>
              <w14:schemeClr w14:val="tx1"/>
            </w14:solidFill>
          </w14:textFill>
        </w:rPr>
      </w:pPr>
    </w:p>
    <w:p w14:paraId="4DA31BF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3EE0C68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48A3FC10">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79871D72">
      <w:pPr>
        <w:adjustRightInd w:val="0"/>
        <w:snapToGrid w:val="0"/>
        <w:spacing w:line="360" w:lineRule="auto"/>
        <w:rPr>
          <w:rFonts w:ascii="宋体" w:hAnsi="宋体" w:cs="宋体"/>
          <w:color w:val="000000" w:themeColor="text1"/>
          <w:szCs w:val="21"/>
          <w14:textFill>
            <w14:solidFill>
              <w14:schemeClr w14:val="tx1"/>
            </w14:solidFill>
          </w14:textFill>
        </w:rPr>
      </w:pPr>
    </w:p>
    <w:p w14:paraId="778B7510">
      <w:pPr>
        <w:adjustRightInd w:val="0"/>
        <w:snapToGrid w:val="0"/>
        <w:spacing w:line="360" w:lineRule="auto"/>
        <w:ind w:left="-88" w:leftChars="-42" w:firstLine="525" w:firstLineChars="250"/>
        <w:rPr>
          <w:rFonts w:ascii="宋体" w:hAnsi="宋体" w:cs="宋体"/>
          <w:color w:val="000000" w:themeColor="text1"/>
          <w:kern w:val="0"/>
          <w:szCs w:val="21"/>
          <w14:textFill>
            <w14:solidFill>
              <w14:schemeClr w14:val="tx1"/>
            </w14:solidFill>
          </w14:textFill>
        </w:rPr>
      </w:pPr>
    </w:p>
    <w:p w14:paraId="1368574E">
      <w:pPr>
        <w:adjustRightInd w:val="0"/>
        <w:snapToGrid w:val="0"/>
        <w:spacing w:line="360" w:lineRule="auto"/>
        <w:ind w:left="-88" w:leftChars="-42" w:firstLine="525" w:firstLineChars="25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说明</w:t>
      </w:r>
      <w:r>
        <w:rPr>
          <w:rFonts w:hint="eastAsia" w:ascii="宋体" w:hAnsi="宋体" w:cs="宋体"/>
          <w:color w:val="000000" w:themeColor="text1"/>
          <w:kern w:val="0"/>
          <w:szCs w:val="21"/>
          <w14:textFill>
            <w14:solidFill>
              <w14:schemeClr w14:val="tx1"/>
            </w14:solidFill>
          </w14:textFill>
        </w:rPr>
        <w:t>：最后报价</w:t>
      </w:r>
      <w:r>
        <w:rPr>
          <w:rFonts w:hint="eastAsia" w:ascii="宋体" w:hAnsi="宋体" w:cs="宋体"/>
          <w:color w:val="000000" w:themeColor="text1"/>
          <w:kern w:val="0"/>
          <w:szCs w:val="21"/>
          <w:lang w:val="en-US" w:eastAsia="zh-CN"/>
          <w14:textFill>
            <w14:solidFill>
              <w14:schemeClr w14:val="tx1"/>
            </w14:solidFill>
          </w14:textFill>
        </w:rPr>
        <w:t>相关内容和</w:t>
      </w:r>
      <w:r>
        <w:rPr>
          <w:rFonts w:hint="eastAsia" w:ascii="宋体" w:hAnsi="宋体" w:cs="宋体"/>
          <w:color w:val="000000" w:themeColor="text1"/>
          <w:kern w:val="0"/>
          <w:szCs w:val="21"/>
          <w14:textFill>
            <w14:solidFill>
              <w14:schemeClr w14:val="tx1"/>
            </w14:solidFill>
          </w14:textFill>
        </w:rPr>
        <w:t>表格不得装订在响应文件中，供应商需单独准备，谈判现场进行最后报价。</w:t>
      </w:r>
    </w:p>
    <w:p w14:paraId="7C137458">
      <w:pPr>
        <w:adjustRightInd w:val="0"/>
        <w:snapToGrid w:val="0"/>
        <w:spacing w:line="360" w:lineRule="auto"/>
        <w:ind w:left="-88" w:leftChars="-42" w:firstLine="525" w:firstLineChars="250"/>
        <w:rPr>
          <w:rFonts w:ascii="宋体" w:hAnsi="宋体" w:cs="宋体"/>
          <w:color w:val="000000" w:themeColor="text1"/>
          <w:kern w:val="0"/>
          <w:szCs w:val="21"/>
          <w14:textFill>
            <w14:solidFill>
              <w14:schemeClr w14:val="tx1"/>
            </w14:solidFill>
          </w14:textFill>
        </w:rPr>
        <w:sectPr>
          <w:pgSz w:w="11906" w:h="16838"/>
          <w:pgMar w:top="1417" w:right="1417" w:bottom="1417" w:left="1417" w:header="851" w:footer="992" w:gutter="0"/>
          <w:pgNumType w:fmt="decimal"/>
          <w:cols w:space="720" w:num="1"/>
          <w:docGrid w:type="lines" w:linePitch="312" w:charSpace="0"/>
        </w:sectPr>
      </w:pPr>
    </w:p>
    <w:p w14:paraId="3646047C">
      <w:pPr>
        <w:keepNext/>
        <w:keepLines/>
        <w:adjustRightInd w:val="0"/>
        <w:snapToGrid w:val="0"/>
        <w:spacing w:before="156" w:beforeLines="50" w:line="360" w:lineRule="auto"/>
        <w:outlineLvl w:val="2"/>
        <w:rPr>
          <w:rFonts w:ascii="宋体" w:hAnsi="宋体"/>
          <w:b/>
          <w:bCs/>
          <w:color w:val="000000" w:themeColor="text1"/>
          <w:szCs w:val="21"/>
          <w14:textFill>
            <w14:solidFill>
              <w14:schemeClr w14:val="tx1"/>
            </w14:solidFill>
          </w14:textFill>
        </w:rPr>
      </w:pPr>
      <w:bookmarkStart w:id="218" w:name="_Toc108015411"/>
      <w:bookmarkStart w:id="219" w:name="_Toc107998059"/>
      <w:bookmarkStart w:id="220" w:name="_Toc486"/>
      <w:r>
        <w:rPr>
          <w:rFonts w:hint="eastAsia" w:ascii="宋体" w:hAnsi="宋体"/>
          <w:b/>
          <w:bCs/>
          <w:color w:val="000000" w:themeColor="text1"/>
          <w:szCs w:val="21"/>
          <w14:textFill>
            <w14:solidFill>
              <w14:schemeClr w14:val="tx1"/>
            </w14:solidFill>
          </w14:textFill>
        </w:rPr>
        <w:t>附件</w:t>
      </w:r>
      <w:r>
        <w:rPr>
          <w:rFonts w:ascii="宋体" w:hAnsi="宋体"/>
          <w:b/>
          <w:bCs/>
          <w:color w:val="000000" w:themeColor="text1"/>
          <w:szCs w:val="21"/>
          <w14:textFill>
            <w14:solidFill>
              <w14:schemeClr w14:val="tx1"/>
            </w14:solidFill>
          </w14:textFill>
        </w:rPr>
        <w:t>12</w:t>
      </w:r>
      <w:r>
        <w:rPr>
          <w:rFonts w:hint="eastAsia" w:ascii="宋体" w:hAnsi="宋体"/>
          <w:b/>
          <w:bCs/>
          <w:color w:val="000000" w:themeColor="text1"/>
          <w:szCs w:val="21"/>
          <w14:textFill>
            <w14:solidFill>
              <w14:schemeClr w14:val="tx1"/>
            </w14:solidFill>
          </w14:textFill>
        </w:rPr>
        <w:t>-2分项报价说明</w:t>
      </w:r>
      <w:bookmarkEnd w:id="218"/>
      <w:bookmarkEnd w:id="219"/>
      <w:bookmarkEnd w:id="220"/>
    </w:p>
    <w:p w14:paraId="1F7F7C99">
      <w:pPr>
        <w:autoSpaceDE w:val="0"/>
        <w:autoSpaceDN w:val="0"/>
        <w:adjustRightInd w:val="0"/>
        <w:snapToGrid w:val="0"/>
        <w:spacing w:before="156" w:beforeLines="50" w:line="360" w:lineRule="auto"/>
        <w:jc w:val="center"/>
        <w:rPr>
          <w:rFonts w:ascii="黑体" w:hAnsi="宋体" w:eastAsia="黑体" w:cs="微软雅黑"/>
          <w:b/>
          <w:color w:val="000000" w:themeColor="text1"/>
          <w:kern w:val="0"/>
          <w:sz w:val="28"/>
          <w:szCs w:val="28"/>
          <w14:textFill>
            <w14:solidFill>
              <w14:schemeClr w14:val="tx1"/>
            </w14:solidFill>
          </w14:textFill>
        </w:rPr>
      </w:pPr>
      <w:r>
        <w:rPr>
          <w:rFonts w:hint="eastAsia" w:ascii="黑体" w:hAnsi="宋体" w:eastAsia="黑体" w:cs="微软雅黑"/>
          <w:b/>
          <w:color w:val="000000" w:themeColor="text1"/>
          <w:spacing w:val="-2"/>
          <w:kern w:val="0"/>
          <w:sz w:val="28"/>
          <w:szCs w:val="28"/>
          <w14:textFill>
            <w14:solidFill>
              <w14:schemeClr w14:val="tx1"/>
            </w14:solidFill>
          </w14:textFill>
        </w:rPr>
        <w:t>分</w:t>
      </w:r>
      <w:r>
        <w:rPr>
          <w:rFonts w:hint="eastAsia" w:ascii="黑体" w:hAnsi="宋体" w:eastAsia="黑体" w:cs="微软雅黑"/>
          <w:b/>
          <w:color w:val="000000" w:themeColor="text1"/>
          <w:kern w:val="0"/>
          <w:sz w:val="28"/>
          <w:szCs w:val="28"/>
          <w14:textFill>
            <w14:solidFill>
              <w14:schemeClr w14:val="tx1"/>
            </w14:solidFill>
          </w14:textFill>
        </w:rPr>
        <w:t>项</w:t>
      </w:r>
      <w:r>
        <w:rPr>
          <w:rFonts w:hint="eastAsia" w:ascii="黑体" w:hAnsi="宋体" w:eastAsia="黑体" w:cs="微软雅黑"/>
          <w:b/>
          <w:color w:val="000000" w:themeColor="text1"/>
          <w:spacing w:val="-2"/>
          <w:kern w:val="0"/>
          <w:sz w:val="28"/>
          <w:szCs w:val="28"/>
          <w14:textFill>
            <w14:solidFill>
              <w14:schemeClr w14:val="tx1"/>
            </w14:solidFill>
          </w14:textFill>
        </w:rPr>
        <w:t>报</w:t>
      </w:r>
      <w:r>
        <w:rPr>
          <w:rFonts w:hint="eastAsia" w:ascii="黑体" w:hAnsi="宋体" w:eastAsia="黑体" w:cs="微软雅黑"/>
          <w:b/>
          <w:color w:val="000000" w:themeColor="text1"/>
          <w:kern w:val="0"/>
          <w:sz w:val="28"/>
          <w:szCs w:val="28"/>
          <w14:textFill>
            <w14:solidFill>
              <w14:schemeClr w14:val="tx1"/>
            </w14:solidFill>
          </w14:textFill>
        </w:rPr>
        <w:t>价说明</w:t>
      </w:r>
      <w:r>
        <w:rPr>
          <w:rFonts w:hint="eastAsia" w:ascii="宋体" w:hAnsi="宋体" w:cs="宋体"/>
          <w:b/>
          <w:color w:val="000000" w:themeColor="text1"/>
          <w:sz w:val="30"/>
          <w:szCs w:val="30"/>
          <w14:textFill>
            <w14:solidFill>
              <w14:schemeClr w14:val="tx1"/>
            </w14:solidFill>
          </w14:textFill>
        </w:rPr>
        <w:t>（最后报价）</w:t>
      </w:r>
    </w:p>
    <w:p w14:paraId="08E1BE9B">
      <w:pPr>
        <w:autoSpaceDE w:val="0"/>
        <w:autoSpaceDN w:val="0"/>
        <w:adjustRightInd w:val="0"/>
        <w:snapToGrid w:val="0"/>
        <w:spacing w:before="156" w:beforeLines="50" w:line="360" w:lineRule="auto"/>
        <w:jc w:val="left"/>
        <w:rPr>
          <w:rFonts w:ascii="宋体" w:hAnsi="宋体" w:cs="微软雅黑"/>
          <w:color w:val="000000" w:themeColor="text1"/>
          <w:kern w:val="0"/>
          <w:szCs w:val="21"/>
          <w14:textFill>
            <w14:solidFill>
              <w14:schemeClr w14:val="tx1"/>
            </w14:solidFill>
          </w14:textFill>
        </w:rPr>
      </w:pPr>
    </w:p>
    <w:p w14:paraId="6B7974BC">
      <w:pPr>
        <w:autoSpaceDE w:val="0"/>
        <w:autoSpaceDN w:val="0"/>
        <w:adjustRightInd w:val="0"/>
        <w:snapToGrid w:val="0"/>
        <w:spacing w:before="156" w:beforeLines="50" w:line="360" w:lineRule="auto"/>
        <w:jc w:val="left"/>
        <w:rPr>
          <w:rFonts w:ascii="宋体" w:hAnsi="宋体" w:cs="微软雅黑"/>
          <w:color w:val="000000" w:themeColor="text1"/>
          <w:kern w:val="0"/>
          <w:szCs w:val="21"/>
          <w14:textFill>
            <w14:solidFill>
              <w14:schemeClr w14:val="tx1"/>
            </w14:solidFill>
          </w14:textFill>
        </w:rPr>
      </w:pPr>
      <w:r>
        <w:rPr>
          <w:rFonts w:hint="eastAsia" w:ascii="宋体" w:hAnsi="宋体" w:cs="微软雅黑"/>
          <w:color w:val="000000" w:themeColor="text1"/>
          <w:kern w:val="0"/>
          <w:szCs w:val="21"/>
          <w14:textFill>
            <w14:solidFill>
              <w14:schemeClr w14:val="tx1"/>
            </w14:solidFill>
          </w14:textFill>
        </w:rPr>
        <w:t>注：1</w:t>
      </w:r>
      <w:r>
        <w:rPr>
          <w:rFonts w:hint="eastAsia" w:ascii="宋体" w:hAnsi="宋体" w:cs="微软雅黑"/>
          <w:color w:val="000000" w:themeColor="text1"/>
          <w:kern w:val="0"/>
          <w:szCs w:val="21"/>
          <w:lang w:val="en-US" w:eastAsia="zh-CN"/>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供应商应按谈判文件第二章相关要求，对本节</w:t>
      </w:r>
      <w:r>
        <w:rPr>
          <w:rFonts w:hint="eastAsia" w:ascii="宋体" w:hAnsi="宋体"/>
          <w:bCs/>
          <w:color w:val="000000" w:themeColor="text1"/>
          <w:szCs w:val="21"/>
          <w14:textFill>
            <w14:solidFill>
              <w14:schemeClr w14:val="tx1"/>
            </w14:solidFill>
          </w14:textFill>
        </w:rPr>
        <w:t>“</w:t>
      </w:r>
      <w:r>
        <w:rPr>
          <w:rFonts w:hint="eastAsia" w:ascii="宋体" w:hAnsi="宋体" w:cs="微软雅黑"/>
          <w:color w:val="000000" w:themeColor="text1"/>
          <w:kern w:val="0"/>
          <w:szCs w:val="21"/>
          <w14:textFill>
            <w14:solidFill>
              <w14:schemeClr w14:val="tx1"/>
            </w14:solidFill>
          </w14:textFill>
        </w:rPr>
        <w:t>分项报价明细表</w:t>
      </w:r>
      <w:r>
        <w:rPr>
          <w:rFonts w:hint="eastAsia" w:ascii="宋体" w:hAnsi="宋体"/>
          <w:bCs/>
          <w:color w:val="000000" w:themeColor="text1"/>
          <w:szCs w:val="21"/>
          <w14:textFill>
            <w14:solidFill>
              <w14:schemeClr w14:val="tx1"/>
            </w14:solidFill>
          </w14:textFill>
        </w:rPr>
        <w:t>”进行</w:t>
      </w:r>
      <w:r>
        <w:rPr>
          <w:rFonts w:hint="eastAsia" w:ascii="宋体" w:hAnsi="宋体" w:cs="微软雅黑"/>
          <w:color w:val="000000" w:themeColor="text1"/>
          <w:kern w:val="0"/>
          <w:szCs w:val="21"/>
          <w14:textFill>
            <w14:solidFill>
              <w14:schemeClr w14:val="tx1"/>
            </w14:solidFill>
          </w14:textFill>
        </w:rPr>
        <w:t>编制，并说明。</w:t>
      </w:r>
    </w:p>
    <w:p w14:paraId="06FD631C">
      <w:pPr>
        <w:adjustRightInd w:val="0"/>
        <w:snapToGrid w:val="0"/>
        <w:spacing w:before="156" w:beforeLines="50" w:line="360" w:lineRule="auto"/>
        <w:rPr>
          <w:color w:val="000000" w:themeColor="text1"/>
          <w14:textFill>
            <w14:solidFill>
              <w14:schemeClr w14:val="tx1"/>
            </w14:solidFill>
          </w14:textFill>
        </w:rPr>
      </w:pPr>
    </w:p>
    <w:p w14:paraId="422C555F">
      <w:pPr>
        <w:keepNext/>
        <w:keepLines/>
        <w:adjustRightInd w:val="0"/>
        <w:snapToGrid w:val="0"/>
        <w:spacing w:before="156" w:beforeLines="50" w:line="360" w:lineRule="auto"/>
        <w:outlineLvl w:val="2"/>
        <w:rPr>
          <w:rFonts w:ascii="宋体" w:hAnsi="宋体"/>
          <w:b/>
          <w:bCs/>
          <w:color w:val="000000" w:themeColor="text1"/>
          <w:szCs w:val="21"/>
          <w14:textFill>
            <w14:solidFill>
              <w14:schemeClr w14:val="tx1"/>
            </w14:solidFill>
          </w14:textFill>
        </w:rPr>
      </w:pPr>
      <w:bookmarkStart w:id="221" w:name="_Toc108015412"/>
      <w:bookmarkStart w:id="222" w:name="_Toc107998060"/>
      <w:bookmarkStart w:id="223" w:name="_Toc3093"/>
      <w:r>
        <w:rPr>
          <w:rFonts w:hint="eastAsia" w:ascii="宋体" w:hAnsi="宋体"/>
          <w:b/>
          <w:bCs/>
          <w:color w:val="000000" w:themeColor="text1"/>
          <w:szCs w:val="21"/>
          <w14:textFill>
            <w14:solidFill>
              <w14:schemeClr w14:val="tx1"/>
            </w14:solidFill>
          </w14:textFill>
        </w:rPr>
        <w:t>附件</w:t>
      </w:r>
      <w:r>
        <w:rPr>
          <w:rFonts w:ascii="宋体" w:hAnsi="宋体"/>
          <w:b/>
          <w:bCs/>
          <w:color w:val="000000" w:themeColor="text1"/>
          <w:szCs w:val="21"/>
          <w14:textFill>
            <w14:solidFill>
              <w14:schemeClr w14:val="tx1"/>
            </w14:solidFill>
          </w14:textFill>
        </w:rPr>
        <w:t>12</w:t>
      </w:r>
      <w:r>
        <w:rPr>
          <w:rFonts w:hint="eastAsia" w:ascii="宋体" w:hAnsi="宋体"/>
          <w:b/>
          <w:bCs/>
          <w:color w:val="000000" w:themeColor="text1"/>
          <w:szCs w:val="21"/>
          <w14:textFill>
            <w14:solidFill>
              <w14:schemeClr w14:val="tx1"/>
            </w14:solidFill>
          </w14:textFill>
        </w:rPr>
        <w:t>-3分项报价明细表</w:t>
      </w:r>
      <w:bookmarkEnd w:id="221"/>
      <w:bookmarkEnd w:id="222"/>
      <w:bookmarkEnd w:id="223"/>
    </w:p>
    <w:p w14:paraId="0385E804">
      <w:pPr>
        <w:adjustRightInd w:val="0"/>
        <w:snapToGrid w:val="0"/>
        <w:spacing w:before="156" w:beforeLines="50" w:line="360" w:lineRule="auto"/>
        <w:jc w:val="center"/>
        <w:rPr>
          <w:rFonts w:ascii="黑体" w:hAnsi="宋体" w:eastAsia="黑体" w:cs="微软雅黑"/>
          <w:b/>
          <w:color w:val="000000" w:themeColor="text1"/>
          <w:kern w:val="0"/>
          <w:position w:val="-3"/>
          <w:sz w:val="28"/>
          <w:szCs w:val="28"/>
          <w14:textFill>
            <w14:solidFill>
              <w14:schemeClr w14:val="tx1"/>
            </w14:solidFill>
          </w14:textFill>
        </w:rPr>
      </w:pPr>
      <w:r>
        <w:rPr>
          <w:rFonts w:hint="eastAsia" w:ascii="黑体" w:hAnsi="宋体" w:eastAsia="黑体" w:cs="微软雅黑"/>
          <w:b/>
          <w:color w:val="000000" w:themeColor="text1"/>
          <w:spacing w:val="-2"/>
          <w:kern w:val="0"/>
          <w:position w:val="-3"/>
          <w:sz w:val="28"/>
          <w:szCs w:val="28"/>
          <w14:textFill>
            <w14:solidFill>
              <w14:schemeClr w14:val="tx1"/>
            </w14:solidFill>
          </w14:textFill>
        </w:rPr>
        <w:t>分</w:t>
      </w:r>
      <w:r>
        <w:rPr>
          <w:rFonts w:hint="eastAsia" w:ascii="黑体" w:hAnsi="宋体" w:eastAsia="黑体" w:cs="微软雅黑"/>
          <w:b/>
          <w:color w:val="000000" w:themeColor="text1"/>
          <w:kern w:val="0"/>
          <w:position w:val="-3"/>
          <w:sz w:val="28"/>
          <w:szCs w:val="28"/>
          <w14:textFill>
            <w14:solidFill>
              <w14:schemeClr w14:val="tx1"/>
            </w14:solidFill>
          </w14:textFill>
        </w:rPr>
        <w:t>项</w:t>
      </w:r>
      <w:r>
        <w:rPr>
          <w:rFonts w:hint="eastAsia" w:ascii="黑体" w:hAnsi="宋体" w:eastAsia="黑体" w:cs="微软雅黑"/>
          <w:b/>
          <w:color w:val="000000" w:themeColor="text1"/>
          <w:spacing w:val="-2"/>
          <w:kern w:val="0"/>
          <w:position w:val="-3"/>
          <w:sz w:val="28"/>
          <w:szCs w:val="28"/>
          <w14:textFill>
            <w14:solidFill>
              <w14:schemeClr w14:val="tx1"/>
            </w14:solidFill>
          </w14:textFill>
        </w:rPr>
        <w:t>报</w:t>
      </w:r>
      <w:r>
        <w:rPr>
          <w:rFonts w:hint="eastAsia" w:ascii="黑体" w:hAnsi="宋体" w:eastAsia="黑体" w:cs="微软雅黑"/>
          <w:b/>
          <w:color w:val="000000" w:themeColor="text1"/>
          <w:kern w:val="0"/>
          <w:position w:val="-3"/>
          <w:sz w:val="28"/>
          <w:szCs w:val="28"/>
          <w14:textFill>
            <w14:solidFill>
              <w14:schemeClr w14:val="tx1"/>
            </w14:solidFill>
          </w14:textFill>
        </w:rPr>
        <w:t>价明细表（最后报价）（货物、服务类适用）</w:t>
      </w:r>
    </w:p>
    <w:p w14:paraId="10B91081">
      <w:pPr>
        <w:adjustRightInd w:val="0"/>
        <w:snapToGrid w:val="0"/>
        <w:spacing w:before="156" w:beforeLines="5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政府采购计划编号：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项目名称：</w:t>
      </w:r>
      <w:r>
        <w:rPr>
          <w:rFonts w:hint="eastAsia" w:ascii="宋体" w:hAnsi="宋体"/>
          <w:color w:val="000000" w:themeColor="text1"/>
          <w:szCs w:val="21"/>
          <w:u w:val="single"/>
          <w14:textFill>
            <w14:solidFill>
              <w14:schemeClr w14:val="tx1"/>
            </w14:solidFill>
          </w14:textFill>
        </w:rPr>
        <w:t xml:space="preserve">                        </w:t>
      </w:r>
    </w:p>
    <w:p w14:paraId="1DBEA055">
      <w:pPr>
        <w:adjustRightInd w:val="0"/>
        <w:snapToGrid w:val="0"/>
        <w:spacing w:before="156" w:beforeLines="50"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包名称：</w:t>
      </w:r>
      <w:r>
        <w:rPr>
          <w:rFonts w:hint="eastAsia" w:ascii="宋体" w:hAnsi="宋体"/>
          <w:color w:val="000000" w:themeColor="text1"/>
          <w:szCs w:val="21"/>
          <w:u w:val="single"/>
          <w14:textFill>
            <w14:solidFill>
              <w14:schemeClr w14:val="tx1"/>
            </w14:solidFill>
          </w14:textFill>
        </w:rPr>
        <w:t xml:space="preserve">                        </w:t>
      </w:r>
    </w:p>
    <w:tbl>
      <w:tblPr>
        <w:tblStyle w:val="18"/>
        <w:tblW w:w="8874" w:type="dxa"/>
        <w:tblInd w:w="0" w:type="dxa"/>
        <w:tblLayout w:type="fixed"/>
        <w:tblCellMar>
          <w:top w:w="0" w:type="dxa"/>
          <w:left w:w="0" w:type="dxa"/>
          <w:bottom w:w="0" w:type="dxa"/>
          <w:right w:w="0" w:type="dxa"/>
        </w:tblCellMar>
      </w:tblPr>
      <w:tblGrid>
        <w:gridCol w:w="333"/>
        <w:gridCol w:w="1383"/>
        <w:gridCol w:w="2126"/>
        <w:gridCol w:w="1276"/>
        <w:gridCol w:w="1016"/>
        <w:gridCol w:w="910"/>
        <w:gridCol w:w="916"/>
        <w:gridCol w:w="914"/>
      </w:tblGrid>
      <w:tr w14:paraId="40FF39CC">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noWrap w:val="0"/>
            <w:vAlign w:val="center"/>
          </w:tcPr>
          <w:p w14:paraId="24DFAA2A">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标的名称</w:t>
            </w:r>
          </w:p>
        </w:tc>
        <w:tc>
          <w:tcPr>
            <w:tcW w:w="2126" w:type="dxa"/>
            <w:vMerge w:val="restart"/>
            <w:tcBorders>
              <w:top w:val="double" w:color="auto" w:sz="4" w:space="0"/>
              <w:left w:val="single" w:color="auto" w:sz="6" w:space="0"/>
              <w:bottom w:val="single" w:color="auto" w:sz="6" w:space="0"/>
              <w:right w:val="single" w:color="auto" w:sz="4" w:space="0"/>
            </w:tcBorders>
            <w:noWrap w:val="0"/>
            <w:vAlign w:val="center"/>
          </w:tcPr>
          <w:p w14:paraId="516C32C7">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规格型号（或服务要求</w:t>
            </w:r>
            <w:r>
              <w:rPr>
                <w:rFonts w:ascii="宋体" w:hAnsi="宋体"/>
                <w:color w:val="000000" w:themeColor="text1"/>
                <w:szCs w:val="21"/>
                <w14:textFill>
                  <w14:solidFill>
                    <w14:schemeClr w14:val="tx1"/>
                  </w14:solidFill>
                </w14:textFill>
              </w:rPr>
              <w:t>）</w:t>
            </w:r>
          </w:p>
        </w:tc>
        <w:tc>
          <w:tcPr>
            <w:tcW w:w="1276" w:type="dxa"/>
            <w:vMerge w:val="restart"/>
            <w:tcBorders>
              <w:top w:val="double" w:color="auto" w:sz="4" w:space="0"/>
              <w:left w:val="single" w:color="auto" w:sz="4" w:space="0"/>
              <w:bottom w:val="single" w:color="auto" w:sz="6" w:space="0"/>
              <w:right w:val="single" w:color="auto" w:sz="6" w:space="0"/>
            </w:tcBorders>
            <w:noWrap w:val="0"/>
            <w:vAlign w:val="center"/>
          </w:tcPr>
          <w:p w14:paraId="307E6973">
            <w:pPr>
              <w:autoSpaceDE w:val="0"/>
              <w:autoSpaceDN w:val="0"/>
              <w:adjustRightInd w:val="0"/>
              <w:snapToGrid w:val="0"/>
              <w:spacing w:line="360" w:lineRule="auto"/>
              <w:ind w:right="-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品牌/产地（服务类删除该列）</w:t>
            </w:r>
          </w:p>
        </w:tc>
        <w:tc>
          <w:tcPr>
            <w:tcW w:w="1016" w:type="dxa"/>
            <w:vMerge w:val="restart"/>
            <w:tcBorders>
              <w:top w:val="double" w:color="auto" w:sz="4" w:space="0"/>
              <w:left w:val="single" w:color="auto" w:sz="6" w:space="0"/>
              <w:right w:val="single" w:color="auto" w:sz="4" w:space="0"/>
            </w:tcBorders>
            <w:noWrap w:val="0"/>
            <w:vAlign w:val="center"/>
          </w:tcPr>
          <w:p w14:paraId="2597F9DE">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数量/单位</w:t>
            </w:r>
          </w:p>
        </w:tc>
        <w:tc>
          <w:tcPr>
            <w:tcW w:w="1826" w:type="dxa"/>
            <w:gridSpan w:val="2"/>
            <w:tcBorders>
              <w:top w:val="double" w:color="auto" w:sz="4" w:space="0"/>
              <w:left w:val="single" w:color="auto" w:sz="4" w:space="0"/>
              <w:bottom w:val="single" w:color="auto" w:sz="6" w:space="0"/>
              <w:right w:val="single" w:color="auto" w:sz="6" w:space="0"/>
            </w:tcBorders>
            <w:noWrap w:val="0"/>
            <w:vAlign w:val="center"/>
          </w:tcPr>
          <w:p w14:paraId="2AED026B">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金额（元）</w:t>
            </w:r>
          </w:p>
        </w:tc>
        <w:tc>
          <w:tcPr>
            <w:tcW w:w="914" w:type="dxa"/>
            <w:vMerge w:val="restart"/>
            <w:tcBorders>
              <w:top w:val="double" w:color="auto" w:sz="4" w:space="0"/>
              <w:left w:val="single" w:color="auto" w:sz="6" w:space="0"/>
              <w:bottom w:val="single" w:color="auto" w:sz="6" w:space="0"/>
              <w:right w:val="double" w:color="auto" w:sz="4" w:space="0"/>
            </w:tcBorders>
            <w:noWrap w:val="0"/>
            <w:vAlign w:val="center"/>
          </w:tcPr>
          <w:p w14:paraId="30C3BF2E">
            <w:pPr>
              <w:autoSpaceDE w:val="0"/>
              <w:autoSpaceDN w:val="0"/>
              <w:adjustRightInd w:val="0"/>
              <w:snapToGrid w:val="0"/>
              <w:spacing w:line="360" w:lineRule="auto"/>
              <w:ind w:right="-20"/>
              <w:jc w:val="center"/>
              <w:rPr>
                <w:rFonts w:ascii="宋体" w:hAnsi="宋体" w:cs="微软雅黑"/>
                <w:color w:val="000000" w:themeColor="text1"/>
                <w:kern w:val="0"/>
                <w:position w:val="-1"/>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备注</w:t>
            </w:r>
          </w:p>
        </w:tc>
      </w:tr>
      <w:tr w14:paraId="6C931246">
        <w:tblPrEx>
          <w:tblCellMar>
            <w:top w:w="0" w:type="dxa"/>
            <w:left w:w="0" w:type="dxa"/>
            <w:bottom w:w="0" w:type="dxa"/>
            <w:right w:w="0" w:type="dxa"/>
          </w:tblCellMar>
        </w:tblPrEx>
        <w:trPr>
          <w:trHeight w:val="873" w:hRule="exact"/>
        </w:trPr>
        <w:tc>
          <w:tcPr>
            <w:tcW w:w="1716" w:type="dxa"/>
            <w:gridSpan w:val="2"/>
            <w:vMerge w:val="continue"/>
            <w:tcBorders>
              <w:left w:val="double" w:color="auto" w:sz="4" w:space="0"/>
              <w:bottom w:val="single" w:color="auto" w:sz="6" w:space="0"/>
              <w:right w:val="single" w:color="auto" w:sz="6" w:space="0"/>
            </w:tcBorders>
            <w:noWrap w:val="0"/>
            <w:vAlign w:val="top"/>
          </w:tcPr>
          <w:p w14:paraId="5FD0369D">
            <w:pPr>
              <w:autoSpaceDE w:val="0"/>
              <w:autoSpaceDN w:val="0"/>
              <w:adjustRightInd w:val="0"/>
              <w:snapToGrid w:val="0"/>
              <w:spacing w:line="360" w:lineRule="auto"/>
              <w:ind w:left="352" w:right="-20"/>
              <w:jc w:val="left"/>
              <w:rPr>
                <w:rFonts w:ascii="宋体" w:hAnsi="宋体"/>
                <w:color w:val="000000" w:themeColor="text1"/>
                <w:kern w:val="0"/>
                <w:szCs w:val="21"/>
                <w14:textFill>
                  <w14:solidFill>
                    <w14:schemeClr w14:val="tx1"/>
                  </w14:solidFill>
                </w14:textFill>
              </w:rPr>
            </w:pPr>
          </w:p>
        </w:tc>
        <w:tc>
          <w:tcPr>
            <w:tcW w:w="2126" w:type="dxa"/>
            <w:vMerge w:val="continue"/>
            <w:tcBorders>
              <w:top w:val="single" w:color="auto" w:sz="6" w:space="0"/>
              <w:left w:val="single" w:color="auto" w:sz="6" w:space="0"/>
              <w:bottom w:val="single" w:color="auto" w:sz="6" w:space="0"/>
              <w:right w:val="single" w:color="auto" w:sz="4" w:space="0"/>
            </w:tcBorders>
            <w:noWrap w:val="0"/>
            <w:vAlign w:val="center"/>
          </w:tcPr>
          <w:p w14:paraId="1027BEAA">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276" w:type="dxa"/>
            <w:vMerge w:val="continue"/>
            <w:tcBorders>
              <w:top w:val="single" w:color="auto" w:sz="6" w:space="0"/>
              <w:left w:val="single" w:color="auto" w:sz="4" w:space="0"/>
              <w:bottom w:val="single" w:color="auto" w:sz="6" w:space="0"/>
              <w:right w:val="single" w:color="auto" w:sz="6" w:space="0"/>
            </w:tcBorders>
            <w:noWrap w:val="0"/>
            <w:vAlign w:val="center"/>
          </w:tcPr>
          <w:p w14:paraId="45EE6CD7">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1016" w:type="dxa"/>
            <w:vMerge w:val="continue"/>
            <w:tcBorders>
              <w:left w:val="single" w:color="auto" w:sz="6" w:space="0"/>
              <w:bottom w:val="single" w:color="auto" w:sz="6" w:space="0"/>
              <w:right w:val="single" w:color="auto" w:sz="4" w:space="0"/>
            </w:tcBorders>
            <w:noWrap w:val="0"/>
            <w:vAlign w:val="center"/>
          </w:tcPr>
          <w:p w14:paraId="56E6F612">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4" w:space="0"/>
            </w:tcBorders>
            <w:noWrap w:val="0"/>
            <w:vAlign w:val="center"/>
          </w:tcPr>
          <w:p w14:paraId="746D5B44">
            <w:pPr>
              <w:autoSpaceDE w:val="0"/>
              <w:autoSpaceDN w:val="0"/>
              <w:adjustRightInd w:val="0"/>
              <w:snapToGrid w:val="0"/>
              <w:spacing w:line="360" w:lineRule="auto"/>
              <w:ind w:right="-20"/>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单价</w:t>
            </w:r>
          </w:p>
        </w:tc>
        <w:tc>
          <w:tcPr>
            <w:tcW w:w="916" w:type="dxa"/>
            <w:tcBorders>
              <w:top w:val="single" w:color="auto" w:sz="6" w:space="0"/>
              <w:left w:val="single" w:color="auto" w:sz="4" w:space="0"/>
              <w:bottom w:val="single" w:color="auto" w:sz="6" w:space="0"/>
              <w:right w:val="single" w:color="auto" w:sz="6" w:space="0"/>
            </w:tcBorders>
            <w:noWrap w:val="0"/>
            <w:vAlign w:val="center"/>
          </w:tcPr>
          <w:p w14:paraId="1284B635">
            <w:pPr>
              <w:autoSpaceDE w:val="0"/>
              <w:autoSpaceDN w:val="0"/>
              <w:adjustRightInd w:val="0"/>
              <w:snapToGrid w:val="0"/>
              <w:spacing w:line="360" w:lineRule="auto"/>
              <w:ind w:left="70" w:right="-20"/>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小计</w:t>
            </w:r>
          </w:p>
        </w:tc>
        <w:tc>
          <w:tcPr>
            <w:tcW w:w="914" w:type="dxa"/>
            <w:vMerge w:val="continue"/>
            <w:tcBorders>
              <w:top w:val="single" w:color="auto" w:sz="6" w:space="0"/>
              <w:left w:val="single" w:color="auto" w:sz="6" w:space="0"/>
              <w:bottom w:val="single" w:color="auto" w:sz="6" w:space="0"/>
              <w:right w:val="double" w:color="auto" w:sz="4" w:space="0"/>
            </w:tcBorders>
            <w:noWrap w:val="0"/>
            <w:vAlign w:val="top"/>
          </w:tcPr>
          <w:p w14:paraId="5170C88D">
            <w:pPr>
              <w:autoSpaceDE w:val="0"/>
              <w:autoSpaceDN w:val="0"/>
              <w:adjustRightInd w:val="0"/>
              <w:snapToGrid w:val="0"/>
              <w:spacing w:line="360" w:lineRule="auto"/>
              <w:ind w:left="422" w:right="-20"/>
              <w:jc w:val="left"/>
              <w:rPr>
                <w:rFonts w:ascii="宋体" w:hAnsi="宋体"/>
                <w:color w:val="000000" w:themeColor="text1"/>
                <w:kern w:val="0"/>
                <w:szCs w:val="21"/>
                <w14:textFill>
                  <w14:solidFill>
                    <w14:schemeClr w14:val="tx1"/>
                  </w14:solidFill>
                </w14:textFill>
              </w:rPr>
            </w:pPr>
          </w:p>
        </w:tc>
      </w:tr>
      <w:tr w14:paraId="6E37EB4C">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5EF4BDBB">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5528F2FE">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5793076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22A8B21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4439EC2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7B35B99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53C100C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08BAE6B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05CD1EAD">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03A786F6">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6B0BEA19">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30E0393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42B5BD7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169D11F6">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5B07F7B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4E20405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B201FD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1ADC4BD9">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5664796E">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5F148995">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B76BE5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5F314A7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61E4FBD1">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6" w:space="0"/>
              <w:bottom w:val="single" w:color="auto" w:sz="6" w:space="0"/>
              <w:right w:val="single" w:color="auto" w:sz="6" w:space="0"/>
            </w:tcBorders>
            <w:noWrap w:val="0"/>
            <w:vAlign w:val="top"/>
          </w:tcPr>
          <w:p w14:paraId="6AD49527">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552BE8B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146ACCC">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630C4788">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43F1ACCE">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40A7DB4D">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157B1E9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3E683D4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0F6C8B43">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14B625C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6DD8D92E">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0B9A0DD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13D8E28C">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11B18190">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1383" w:type="dxa"/>
            <w:tcBorders>
              <w:top w:val="single" w:color="auto" w:sz="6" w:space="0"/>
              <w:left w:val="single" w:color="auto" w:sz="6" w:space="0"/>
              <w:bottom w:val="single" w:color="auto" w:sz="6" w:space="0"/>
              <w:right w:val="single" w:color="auto" w:sz="6" w:space="0"/>
            </w:tcBorders>
            <w:noWrap w:val="0"/>
            <w:vAlign w:val="center"/>
          </w:tcPr>
          <w:p w14:paraId="703D7A24">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3932A220">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07D112C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7DFB3E4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33C0086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04818E9D">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3CE00682">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63647D95">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noWrap w:val="0"/>
            <w:vAlign w:val="center"/>
          </w:tcPr>
          <w:p w14:paraId="2D8A4E71">
            <w:pPr>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383" w:type="dxa"/>
            <w:tcBorders>
              <w:top w:val="single" w:color="auto" w:sz="6" w:space="0"/>
              <w:left w:val="single" w:color="auto" w:sz="6" w:space="0"/>
              <w:bottom w:val="single" w:color="auto" w:sz="6" w:space="0"/>
              <w:right w:val="single" w:color="auto" w:sz="6" w:space="0"/>
            </w:tcBorders>
            <w:noWrap w:val="0"/>
            <w:vAlign w:val="top"/>
          </w:tcPr>
          <w:p w14:paraId="7AC36221">
            <w:pPr>
              <w:autoSpaceDE w:val="0"/>
              <w:autoSpaceDN w:val="0"/>
              <w:adjustRightInd w:val="0"/>
              <w:snapToGrid w:val="0"/>
              <w:spacing w:line="360" w:lineRule="auto"/>
              <w:ind w:left="527" w:right="507"/>
              <w:jc w:val="center"/>
              <w:rPr>
                <w:rFonts w:ascii="宋体" w:hAnsi="宋体"/>
                <w:color w:val="000000" w:themeColor="text1"/>
                <w:kern w:val="0"/>
                <w:szCs w:val="21"/>
                <w14:textFill>
                  <w14:solidFill>
                    <w14:schemeClr w14:val="tx1"/>
                  </w14:solidFill>
                </w14:textFill>
              </w:rPr>
            </w:pPr>
          </w:p>
        </w:tc>
        <w:tc>
          <w:tcPr>
            <w:tcW w:w="2126" w:type="dxa"/>
            <w:tcBorders>
              <w:top w:val="single" w:color="auto" w:sz="6" w:space="0"/>
              <w:left w:val="single" w:color="auto" w:sz="6" w:space="0"/>
              <w:bottom w:val="single" w:color="auto" w:sz="6" w:space="0"/>
              <w:right w:val="single" w:color="auto" w:sz="4" w:space="0"/>
            </w:tcBorders>
            <w:noWrap w:val="0"/>
            <w:vAlign w:val="top"/>
          </w:tcPr>
          <w:p w14:paraId="6FFDDEF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276" w:type="dxa"/>
            <w:tcBorders>
              <w:top w:val="single" w:color="auto" w:sz="6" w:space="0"/>
              <w:left w:val="single" w:color="auto" w:sz="4" w:space="0"/>
              <w:bottom w:val="single" w:color="auto" w:sz="6" w:space="0"/>
              <w:right w:val="single" w:color="auto" w:sz="6" w:space="0"/>
            </w:tcBorders>
            <w:noWrap w:val="0"/>
            <w:vAlign w:val="top"/>
          </w:tcPr>
          <w:p w14:paraId="3343FBD9">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1016" w:type="dxa"/>
            <w:tcBorders>
              <w:top w:val="single" w:color="auto" w:sz="6" w:space="0"/>
              <w:left w:val="single" w:color="auto" w:sz="6" w:space="0"/>
              <w:bottom w:val="single" w:color="auto" w:sz="6" w:space="0"/>
              <w:right w:val="single" w:color="auto" w:sz="4" w:space="0"/>
            </w:tcBorders>
            <w:noWrap w:val="0"/>
            <w:vAlign w:val="top"/>
          </w:tcPr>
          <w:p w14:paraId="1C6E7315">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0" w:type="dxa"/>
            <w:tcBorders>
              <w:top w:val="single" w:color="auto" w:sz="6" w:space="0"/>
              <w:left w:val="single" w:color="auto" w:sz="4" w:space="0"/>
              <w:bottom w:val="single" w:color="auto" w:sz="6" w:space="0"/>
              <w:right w:val="single" w:color="auto" w:sz="6" w:space="0"/>
            </w:tcBorders>
            <w:noWrap w:val="0"/>
            <w:vAlign w:val="top"/>
          </w:tcPr>
          <w:p w14:paraId="1C843D9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6" w:type="dxa"/>
            <w:tcBorders>
              <w:top w:val="single" w:color="auto" w:sz="6" w:space="0"/>
              <w:left w:val="single" w:color="auto" w:sz="6" w:space="0"/>
              <w:bottom w:val="single" w:color="auto" w:sz="6" w:space="0"/>
              <w:right w:val="single" w:color="auto" w:sz="6" w:space="0"/>
            </w:tcBorders>
            <w:noWrap w:val="0"/>
            <w:vAlign w:val="top"/>
          </w:tcPr>
          <w:p w14:paraId="646D762B">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single" w:color="auto" w:sz="6" w:space="0"/>
              <w:right w:val="double" w:color="auto" w:sz="4" w:space="0"/>
            </w:tcBorders>
            <w:noWrap w:val="0"/>
            <w:vAlign w:val="top"/>
          </w:tcPr>
          <w:p w14:paraId="7D9BC394">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r w14:paraId="0349626E">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noWrap w:val="0"/>
            <w:vAlign w:val="center"/>
          </w:tcPr>
          <w:p w14:paraId="7EE7BF9E">
            <w:pPr>
              <w:autoSpaceDE w:val="0"/>
              <w:autoSpaceDN w:val="0"/>
              <w:adjustRightInd w:val="0"/>
              <w:snapToGrid w:val="0"/>
              <w:spacing w:line="360" w:lineRule="auto"/>
              <w:jc w:val="center"/>
              <w:rPr>
                <w:rFonts w:ascii="宋体" w:hAnsi="宋体"/>
                <w:color w:val="000000" w:themeColor="text1"/>
                <w:kern w:val="0"/>
                <w:szCs w:val="21"/>
                <w14:textFill>
                  <w14:solidFill>
                    <w14:schemeClr w14:val="tx1"/>
                  </w14:solidFill>
                </w14:textFill>
              </w:rPr>
            </w:pPr>
            <w:r>
              <w:rPr>
                <w:rFonts w:hint="eastAsia" w:ascii="宋体" w:hAnsi="宋体" w:cs="微软雅黑"/>
                <w:color w:val="000000" w:themeColor="text1"/>
                <w:kern w:val="0"/>
                <w:position w:val="-1"/>
                <w:szCs w:val="21"/>
                <w14:textFill>
                  <w14:solidFill>
                    <w14:schemeClr w14:val="tx1"/>
                  </w14:solidFill>
                </w14:textFill>
              </w:rPr>
              <w:t>报价（元）：</w:t>
            </w:r>
          </w:p>
        </w:tc>
        <w:tc>
          <w:tcPr>
            <w:tcW w:w="916" w:type="dxa"/>
            <w:tcBorders>
              <w:top w:val="single" w:color="auto" w:sz="6" w:space="0"/>
              <w:left w:val="single" w:color="auto" w:sz="6" w:space="0"/>
              <w:bottom w:val="double" w:color="auto" w:sz="4" w:space="0"/>
              <w:right w:val="single" w:color="auto" w:sz="6" w:space="0"/>
            </w:tcBorders>
            <w:noWrap w:val="0"/>
            <w:vAlign w:val="top"/>
          </w:tcPr>
          <w:p w14:paraId="2D5D7788">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c>
          <w:tcPr>
            <w:tcW w:w="914" w:type="dxa"/>
            <w:tcBorders>
              <w:top w:val="single" w:color="auto" w:sz="6" w:space="0"/>
              <w:left w:val="single" w:color="auto" w:sz="6" w:space="0"/>
              <w:bottom w:val="double" w:color="auto" w:sz="4" w:space="0"/>
              <w:right w:val="double" w:color="auto" w:sz="4" w:space="0"/>
            </w:tcBorders>
            <w:noWrap w:val="0"/>
            <w:vAlign w:val="top"/>
          </w:tcPr>
          <w:p w14:paraId="01F0132A">
            <w:pPr>
              <w:autoSpaceDE w:val="0"/>
              <w:autoSpaceDN w:val="0"/>
              <w:adjustRightInd w:val="0"/>
              <w:snapToGrid w:val="0"/>
              <w:spacing w:line="360" w:lineRule="auto"/>
              <w:jc w:val="left"/>
              <w:rPr>
                <w:rFonts w:ascii="宋体" w:hAnsi="宋体"/>
                <w:color w:val="000000" w:themeColor="text1"/>
                <w:kern w:val="0"/>
                <w:szCs w:val="21"/>
                <w14:textFill>
                  <w14:solidFill>
                    <w14:schemeClr w14:val="tx1"/>
                  </w14:solidFill>
                </w14:textFill>
              </w:rPr>
            </w:pPr>
          </w:p>
        </w:tc>
      </w:tr>
    </w:tbl>
    <w:p w14:paraId="420EA16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r>
        <w:rPr>
          <w:rFonts w:hint="eastAsia" w:ascii="宋体" w:hAnsi="宋体"/>
          <w:color w:val="000000" w:themeColor="text1"/>
          <w:szCs w:val="21"/>
          <w:lang w:val="en-US" w:eastAsia="zh-CN"/>
          <w14:textFill>
            <w14:solidFill>
              <w14:schemeClr w14:val="tx1"/>
            </w14:solidFill>
          </w14:textFill>
        </w:rPr>
        <w:t>1.</w:t>
      </w:r>
      <w:r>
        <w:rPr>
          <w:rFonts w:hint="eastAsia" w:ascii="宋体" w:hAnsi="宋体"/>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，按包填写</w:t>
      </w:r>
      <w:r>
        <w:rPr>
          <w:rFonts w:hint="eastAsia" w:ascii="宋体" w:hAnsi="宋体"/>
          <w:color w:val="000000" w:themeColor="text1"/>
          <w:szCs w:val="21"/>
          <w14:textFill>
            <w14:solidFill>
              <w14:schemeClr w14:val="tx1"/>
            </w14:solidFill>
          </w14:textFill>
        </w:rPr>
        <w:t>。供应商如果不提供分项报价明细表，其</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29421B8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不得填写“免费”或“赠与”，也不得进行“零”报价，否则</w:t>
      </w:r>
      <w:r>
        <w:rPr>
          <w:rFonts w:hint="eastAsia" w:ascii="宋体" w:hAnsi="宋体"/>
          <w:b/>
          <w:color w:val="000000" w:themeColor="text1"/>
          <w:szCs w:val="21"/>
          <w14:textFill>
            <w14:solidFill>
              <w14:schemeClr w14:val="tx1"/>
            </w14:solidFill>
          </w14:textFill>
        </w:rPr>
        <w:t>响应无效</w:t>
      </w:r>
      <w:r>
        <w:rPr>
          <w:rFonts w:hint="eastAsia" w:ascii="宋体" w:hAnsi="宋体"/>
          <w:color w:val="000000" w:themeColor="text1"/>
          <w:szCs w:val="21"/>
          <w14:textFill>
            <w14:solidFill>
              <w14:schemeClr w14:val="tx1"/>
            </w14:solidFill>
          </w14:textFill>
        </w:rPr>
        <w:t>。</w:t>
      </w:r>
    </w:p>
    <w:p w14:paraId="0641F3EC">
      <w:pPr>
        <w:adjustRightInd w:val="0"/>
        <w:snapToGrid w:val="0"/>
        <w:spacing w:line="360" w:lineRule="auto"/>
        <w:rPr>
          <w:rFonts w:ascii="宋体" w:hAnsi="宋体"/>
          <w:color w:val="000000" w:themeColor="text1"/>
          <w:szCs w:val="21"/>
          <w14:textFill>
            <w14:solidFill>
              <w14:schemeClr w14:val="tx1"/>
            </w14:solidFill>
          </w14:textFill>
        </w:rPr>
      </w:pPr>
    </w:p>
    <w:p w14:paraId="4A52B3E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供应商名称（盖单位公章）：</w:t>
      </w:r>
    </w:p>
    <w:p w14:paraId="0B8283C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s="微软雅黑"/>
          <w:color w:val="000000" w:themeColor="text1"/>
          <w:spacing w:val="-2"/>
          <w:kern w:val="0"/>
          <w:szCs w:val="21"/>
          <w14:textFill>
            <w14:solidFill>
              <w14:schemeClr w14:val="tx1"/>
            </w14:solidFill>
          </w14:textFill>
        </w:rPr>
        <w:t>法</w:t>
      </w:r>
      <w:r>
        <w:rPr>
          <w:rFonts w:hint="eastAsia" w:ascii="宋体" w:hAnsi="宋体" w:cs="微软雅黑"/>
          <w:color w:val="000000" w:themeColor="text1"/>
          <w:kern w:val="0"/>
          <w:szCs w:val="21"/>
          <w14:textFill>
            <w14:solidFill>
              <w14:schemeClr w14:val="tx1"/>
            </w14:solidFill>
          </w14:textFill>
        </w:rPr>
        <w:t>定</w:t>
      </w:r>
      <w:r>
        <w:rPr>
          <w:rFonts w:hint="eastAsia" w:ascii="宋体" w:hAnsi="宋体" w:cs="微软雅黑"/>
          <w:color w:val="000000" w:themeColor="text1"/>
          <w:spacing w:val="-2"/>
          <w:kern w:val="0"/>
          <w:szCs w:val="21"/>
          <w14:textFill>
            <w14:solidFill>
              <w14:schemeClr w14:val="tx1"/>
            </w14:solidFill>
          </w14:textFill>
        </w:rPr>
        <w:t>代</w:t>
      </w:r>
      <w:r>
        <w:rPr>
          <w:rFonts w:hint="eastAsia" w:ascii="宋体" w:hAnsi="宋体" w:cs="微软雅黑"/>
          <w:color w:val="000000" w:themeColor="text1"/>
          <w:kern w:val="0"/>
          <w:szCs w:val="21"/>
          <w14:textFill>
            <w14:solidFill>
              <w14:schemeClr w14:val="tx1"/>
            </w14:solidFill>
          </w14:textFill>
        </w:rPr>
        <w:t>表</w:t>
      </w:r>
      <w:r>
        <w:rPr>
          <w:rFonts w:hint="eastAsia" w:ascii="宋体" w:hAnsi="宋体" w:cs="微软雅黑"/>
          <w:color w:val="000000" w:themeColor="text1"/>
          <w:spacing w:val="-2"/>
          <w:kern w:val="0"/>
          <w:szCs w:val="21"/>
          <w14:textFill>
            <w14:solidFill>
              <w14:schemeClr w14:val="tx1"/>
            </w14:solidFill>
          </w14:textFill>
        </w:rPr>
        <w:t>人</w:t>
      </w:r>
      <w:r>
        <w:rPr>
          <w:rFonts w:hint="eastAsia" w:ascii="宋体" w:hAnsi="宋体" w:cs="微软雅黑"/>
          <w:color w:val="000000" w:themeColor="text1"/>
          <w:kern w:val="0"/>
          <w:szCs w:val="21"/>
          <w14:textFill>
            <w14:solidFill>
              <w14:schemeClr w14:val="tx1"/>
            </w14:solidFill>
          </w14:textFill>
        </w:rPr>
        <w:t>（</w:t>
      </w:r>
      <w:r>
        <w:rPr>
          <w:rFonts w:hint="eastAsia" w:ascii="宋体" w:hAnsi="宋体" w:cs="微软雅黑"/>
          <w:color w:val="000000" w:themeColor="text1"/>
          <w:spacing w:val="-2"/>
          <w:kern w:val="0"/>
          <w:szCs w:val="21"/>
          <w14:textFill>
            <w14:solidFill>
              <w14:schemeClr w14:val="tx1"/>
            </w14:solidFill>
          </w14:textFill>
        </w:rPr>
        <w:t>单</w:t>
      </w:r>
      <w:r>
        <w:rPr>
          <w:rFonts w:hint="eastAsia" w:ascii="宋体" w:hAnsi="宋体" w:cs="微软雅黑"/>
          <w:color w:val="000000" w:themeColor="text1"/>
          <w:kern w:val="0"/>
          <w:szCs w:val="21"/>
          <w14:textFill>
            <w14:solidFill>
              <w14:schemeClr w14:val="tx1"/>
            </w14:solidFill>
          </w14:textFill>
        </w:rPr>
        <w:t>位</w:t>
      </w:r>
      <w:r>
        <w:rPr>
          <w:rFonts w:hint="eastAsia" w:ascii="宋体" w:hAnsi="宋体" w:cs="微软雅黑"/>
          <w:color w:val="000000" w:themeColor="text1"/>
          <w:spacing w:val="-2"/>
          <w:kern w:val="0"/>
          <w:szCs w:val="21"/>
          <w14:textFill>
            <w14:solidFill>
              <w14:schemeClr w14:val="tx1"/>
            </w14:solidFill>
          </w14:textFill>
        </w:rPr>
        <w:t>负</w:t>
      </w:r>
      <w:r>
        <w:rPr>
          <w:rFonts w:hint="eastAsia" w:ascii="宋体" w:hAnsi="宋体" w:cs="微软雅黑"/>
          <w:color w:val="000000" w:themeColor="text1"/>
          <w:kern w:val="0"/>
          <w:szCs w:val="21"/>
          <w14:textFill>
            <w14:solidFill>
              <w14:schemeClr w14:val="tx1"/>
            </w14:solidFill>
          </w14:textFill>
        </w:rPr>
        <w:t>责人</w:t>
      </w:r>
      <w:r>
        <w:rPr>
          <w:rFonts w:hint="eastAsia" w:ascii="宋体" w:hAnsi="宋体" w:cs="微软雅黑"/>
          <w:color w:val="000000" w:themeColor="text1"/>
          <w:spacing w:val="-2"/>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或其授权的代理人（签字或印章）：</w:t>
      </w:r>
    </w:p>
    <w:p w14:paraId="40A4D4F0">
      <w:pPr>
        <w:adjustRightInd w:val="0"/>
        <w:snapToGrid w:val="0"/>
        <w:spacing w:line="360" w:lineRule="auto"/>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 xml:space="preserve">      </w:t>
      </w:r>
    </w:p>
    <w:p w14:paraId="04F288BF"/>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0DF7C36-5D20-40C3-AFE9-1A23AAC9CFEB}"/>
  </w:font>
  <w:font w:name="Arial">
    <w:panose1 w:val="020B0604020202020204"/>
    <w:charset w:val="01"/>
    <w:family w:val="swiss"/>
    <w:pitch w:val="default"/>
    <w:sig w:usb0="E0002EFF" w:usb1="C000785B" w:usb2="00000009" w:usb3="00000000" w:csb0="400001FF" w:csb1="FFFF0000"/>
    <w:embedRegular r:id="rId2" w:fontKey="{00899234-782F-4DC6-93AD-91BAEFFCB3AB}"/>
  </w:font>
  <w:font w:name="黑体">
    <w:panose1 w:val="02010609060101010101"/>
    <w:charset w:val="86"/>
    <w:family w:val="auto"/>
    <w:pitch w:val="default"/>
    <w:sig w:usb0="800002BF" w:usb1="38CF7CFA" w:usb2="00000016" w:usb3="00000000" w:csb0="00040001" w:csb1="00000000"/>
    <w:embedRegular r:id="rId3" w:fontKey="{2F858020-918B-4C24-9735-1646C156D25F}"/>
  </w:font>
  <w:font w:name="Courier New">
    <w:panose1 w:val="02070309020205020404"/>
    <w:charset w:val="01"/>
    <w:family w:val="modern"/>
    <w:pitch w:val="default"/>
    <w:sig w:usb0="E0002EFF" w:usb1="C0007843" w:usb2="00000009" w:usb3="00000000" w:csb0="400001FF" w:csb1="FFFF0000"/>
    <w:embedRegular r:id="rId4" w:fontKey="{B5F987BF-E89C-4751-826B-B4FACA576EB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079D41B5-8893-42D4-B694-51F1546909F2}"/>
  </w:font>
  <w:font w:name="仿宋">
    <w:panose1 w:val="02010609060101010101"/>
    <w:charset w:val="86"/>
    <w:family w:val="auto"/>
    <w:pitch w:val="default"/>
    <w:sig w:usb0="800002BF" w:usb1="38CF7CFA" w:usb2="00000016" w:usb3="00000000" w:csb0="00040001" w:csb1="00000000"/>
    <w:embedRegular r:id="rId6" w:fontKey="{C2CC697E-F5C6-4A17-8BDA-458241785FF7}"/>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embedRegular r:id="rId7" w:fontKey="{E3133AAA-D461-4A4A-B8A3-C6DB55B1F9B2}"/>
  </w:font>
  <w:font w:name="Microsoft JhengHei UI">
    <w:panose1 w:val="020B0604030504040204"/>
    <w:charset w:val="88"/>
    <w:family w:val="swiss"/>
    <w:pitch w:val="default"/>
    <w:sig w:usb0="000002A7" w:usb1="28CF4400" w:usb2="00000016" w:usb3="00000000" w:csb0="00100009" w:csb1="00000000"/>
  </w:font>
  <w:font w:name="隶书">
    <w:altName w:val="微软雅黑"/>
    <w:panose1 w:val="02010509060101010101"/>
    <w:charset w:val="86"/>
    <w:family w:val="modern"/>
    <w:pitch w:val="default"/>
    <w:sig w:usb0="00000000" w:usb1="00000000" w:usb2="00000000" w:usb3="00000000" w:csb0="00040000" w:csb1="00000000"/>
    <w:embedRegular r:id="rId8" w:fontKey="{69DD1284-F9CB-4714-BBAD-A6FB9CC44528}"/>
  </w:font>
  <w:font w:name="微软雅黑">
    <w:panose1 w:val="020B0503020204020204"/>
    <w:charset w:val="86"/>
    <w:family w:val="auto"/>
    <w:pitch w:val="default"/>
    <w:sig w:usb0="80000287" w:usb1="2ACF3C50" w:usb2="00000016" w:usb3="00000000" w:csb0="0004001F" w:csb1="00000000"/>
    <w:embedRegular r:id="rId9" w:fontKey="{3CCB4D82-70CF-44BA-91D0-6B25D728A9B9}"/>
  </w:font>
  <w:font w:name="华文中宋">
    <w:panose1 w:val="02010600040101010101"/>
    <w:charset w:val="86"/>
    <w:family w:val="auto"/>
    <w:pitch w:val="default"/>
    <w:sig w:usb0="00000287" w:usb1="080F0000" w:usb2="00000000" w:usb3="00000000" w:csb0="0004009F" w:csb1="DFD70000"/>
    <w:embedRegular r:id="rId10" w:fontKey="{2930C015-BF1B-4889-B7DB-D6F28A9A91BA}"/>
  </w:font>
  <w:font w:name="仿宋_GB2312">
    <w:panose1 w:val="02010609030101010101"/>
    <w:charset w:val="86"/>
    <w:family w:val="modern"/>
    <w:pitch w:val="default"/>
    <w:sig w:usb0="00000001" w:usb1="080E0000" w:usb2="00000000" w:usb3="00000000" w:csb0="00040000" w:csb1="00000000"/>
    <w:embedRegular r:id="rId11" w:fontKey="{8057CD3F-2476-41D1-8D1D-2DC3024932E5}"/>
  </w:font>
  <w:font w:name="华文宋体">
    <w:panose1 w:val="02010600040101010101"/>
    <w:charset w:val="86"/>
    <w:family w:val="auto"/>
    <w:pitch w:val="default"/>
    <w:sig w:usb0="00000287" w:usb1="080F0000" w:usb2="00000000" w:usb3="00000000" w:csb0="0004009F" w:csb1="DFD70000"/>
    <w:embedRegular r:id="rId12" w:fontKey="{BD853057-F8E9-4342-A59E-BA5EDDE85EB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2A555">
    <w:pPr>
      <w:pStyle w:val="13"/>
      <w:ind w:left="180" w:right="359" w:rightChars="171" w:hanging="180" w:hangingChars="100"/>
      <w:jc w:val="right"/>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34536">
    <w:pPr>
      <w:pStyle w:val="13"/>
      <w:ind w:left="180" w:right="359" w:rightChars="171" w:hanging="180" w:hangingChars="100"/>
      <w:jc w:val="right"/>
      <w:rPr>
        <w:rFonts w:eastAsia="楷体_GB23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95E7C">
    <w:pPr>
      <w:pStyle w:val="13"/>
      <w:ind w:left="240" w:right="359" w:rightChars="171" w:hanging="240" w:hangingChars="100"/>
      <w:jc w:val="center"/>
      <w:rPr>
        <w:rFonts w:eastAsia="楷体_GB2312"/>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A52921">
                          <w:pPr>
                            <w:pStyle w:val="13"/>
                            <w:rPr>
                              <w:sz w:val="21"/>
                              <w:szCs w:val="21"/>
                            </w:rP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73A52921">
                    <w:pPr>
                      <w:pStyle w:val="13"/>
                      <w:rPr>
                        <w:sz w:val="21"/>
                        <w:szCs w:val="21"/>
                      </w:rPr>
                    </w:pPr>
                    <w:r>
                      <w:fldChar w:fldCharType="begin"/>
                    </w:r>
                    <w:r>
                      <w:instrText xml:space="preserve"> PAGE  \* MERGEFORMAT </w:instrText>
                    </w:r>
                    <w:r>
                      <w:fldChar w:fldCharType="separate"/>
                    </w:r>
                    <w:r>
                      <w:t>4</w:t>
                    </w:r>
                    <w:r>
                      <w:fldChar w:fldCharType="end"/>
                    </w:r>
                  </w:p>
                </w:txbxContent>
              </v:textbox>
            </v:shape>
          </w:pict>
        </mc:Fallback>
      </mc:AlternateContent>
    </w:r>
  </w:p>
  <w:p w14:paraId="1A823676">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AD9B8">
    <w:pPr>
      <w:pStyle w:val="13"/>
      <w:framePr w:wrap="around" w:vAnchor="text" w:hAnchor="margin" w:xAlign="right" w:y="1"/>
      <w:rPr>
        <w:rStyle w:val="20"/>
      </w:rPr>
    </w:pPr>
    <w:r>
      <w:fldChar w:fldCharType="begin"/>
    </w:r>
    <w:r>
      <w:rPr>
        <w:rStyle w:val="20"/>
        <w:sz w:val="21"/>
        <w:szCs w:val="24"/>
      </w:rPr>
      <w:instrText xml:space="preserve">PAGE  </w:instrText>
    </w:r>
    <w:r>
      <w:fldChar w:fldCharType="end"/>
    </w:r>
  </w:p>
  <w:p w14:paraId="1EAFBEF4">
    <w:pPr>
      <w:pStyle w:val="1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612B7">
    <w:pPr>
      <w:pStyle w:val="13"/>
      <w:framePr w:wrap="around" w:vAnchor="text" w:hAnchor="margin" w:xAlign="right" w:y="1"/>
      <w:rPr>
        <w:rStyle w:val="20"/>
      </w:rPr>
    </w:pPr>
    <w:r>
      <w:fldChar w:fldCharType="begin"/>
    </w:r>
    <w:r>
      <w:rPr>
        <w:rStyle w:val="20"/>
        <w:sz w:val="21"/>
        <w:szCs w:val="24"/>
      </w:rPr>
      <w:instrText xml:space="preserve">PAGE  </w:instrText>
    </w:r>
    <w:r>
      <w:fldChar w:fldCharType="end"/>
    </w:r>
  </w:p>
  <w:p w14:paraId="03A33255">
    <w:pPr>
      <w:pStyle w:val="1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F8B">
    <w:pPr>
      <w:pStyle w:val="13"/>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02683">
                          <w:pPr>
                            <w:pStyle w:val="13"/>
                            <w:jc w:val="center"/>
                            <w:rPr>
                              <w:rStyle w:val="20"/>
                              <w:rFonts w:ascii="宋体" w:hAnsi="宋体"/>
                              <w:sz w:val="21"/>
                              <w:szCs w:val="21"/>
                            </w:rPr>
                          </w:pPr>
                          <w:r>
                            <w:fldChar w:fldCharType="begin"/>
                          </w:r>
                          <w:r>
                            <w:rPr>
                              <w:rStyle w:val="20"/>
                              <w:sz w:val="21"/>
                              <w:szCs w:val="24"/>
                            </w:rPr>
                            <w:instrText xml:space="preserve">PAGE  </w:instrText>
                          </w:r>
                          <w:r>
                            <w:fldChar w:fldCharType="separate"/>
                          </w:r>
                          <w:r>
                            <w:rPr>
                              <w:rStyle w:val="20"/>
                              <w:sz w:val="21"/>
                              <w:szCs w:val="24"/>
                            </w:rPr>
                            <w:t>63</w:t>
                          </w:r>
                          <w:r>
                            <w:rPr>
                              <w:rFonts w:ascii="宋体" w:hAnsi="宋体"/>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7902683">
                    <w:pPr>
                      <w:pStyle w:val="13"/>
                      <w:jc w:val="center"/>
                      <w:rPr>
                        <w:rStyle w:val="20"/>
                        <w:rFonts w:ascii="宋体" w:hAnsi="宋体"/>
                        <w:sz w:val="21"/>
                        <w:szCs w:val="21"/>
                      </w:rPr>
                    </w:pPr>
                    <w:r>
                      <w:fldChar w:fldCharType="begin"/>
                    </w:r>
                    <w:r>
                      <w:rPr>
                        <w:rStyle w:val="20"/>
                        <w:sz w:val="21"/>
                        <w:szCs w:val="24"/>
                      </w:rPr>
                      <w:instrText xml:space="preserve">PAGE  </w:instrText>
                    </w:r>
                    <w:r>
                      <w:fldChar w:fldCharType="separate"/>
                    </w:r>
                    <w:r>
                      <w:rPr>
                        <w:rStyle w:val="20"/>
                        <w:sz w:val="21"/>
                        <w:szCs w:val="24"/>
                      </w:rPr>
                      <w:t>63</w:t>
                    </w:r>
                    <w:r>
                      <w:rPr>
                        <w:rFonts w:ascii="宋体" w:hAnsi="宋体"/>
                        <w:sz w:val="21"/>
                        <w:szCs w:val="21"/>
                      </w:rPr>
                      <w:fldChar w:fldCharType="end"/>
                    </w:r>
                  </w:p>
                </w:txbxContent>
              </v:textbox>
            </v:shape>
          </w:pict>
        </mc:Fallback>
      </mc:AlternateContent>
    </w:r>
  </w:p>
  <w:p w14:paraId="1EB129C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5BAAF0"/>
    <w:multiLevelType w:val="singleLevel"/>
    <w:tmpl w:val="E35BAAF0"/>
    <w:lvl w:ilvl="0" w:tentative="0">
      <w:start w:val="3"/>
      <w:numFmt w:val="decimal"/>
      <w:suff w:val="nothing"/>
      <w:lvlText w:val="%1、"/>
      <w:lvlJc w:val="left"/>
    </w:lvl>
  </w:abstractNum>
  <w:abstractNum w:abstractNumId="1">
    <w:nsid w:val="00859670"/>
    <w:multiLevelType w:val="singleLevel"/>
    <w:tmpl w:val="00859670"/>
    <w:lvl w:ilvl="0" w:tentative="0">
      <w:start w:val="2"/>
      <w:numFmt w:val="chineseCounting"/>
      <w:suff w:val="space"/>
      <w:lvlText w:val="第%1节"/>
      <w:lvlJc w:val="left"/>
      <w:rPr>
        <w:rFonts w:hint="eastAsia"/>
      </w:rPr>
    </w:lvl>
  </w:abstractNum>
  <w:abstractNum w:abstractNumId="2">
    <w:nsid w:val="0AEDB953"/>
    <w:multiLevelType w:val="singleLevel"/>
    <w:tmpl w:val="0AEDB953"/>
    <w:lvl w:ilvl="0" w:tentative="0">
      <w:start w:val="1"/>
      <w:numFmt w:val="decimal"/>
      <w:suff w:val="nothing"/>
      <w:lvlText w:val="（%1）"/>
      <w:lvlJc w:val="left"/>
    </w:lvl>
  </w:abstractNum>
  <w:abstractNum w:abstractNumId="3">
    <w:nsid w:val="2C26D082"/>
    <w:multiLevelType w:val="singleLevel"/>
    <w:tmpl w:val="2C26D082"/>
    <w:lvl w:ilvl="0" w:tentative="0">
      <w:start w:val="2"/>
      <w:numFmt w:val="chineseCounting"/>
      <w:suff w:val="nothing"/>
      <w:lvlText w:val="%1、"/>
      <w:lvlJc w:val="left"/>
      <w:rPr>
        <w:rFonts w:hint="eastAsia"/>
      </w:rPr>
    </w:lvl>
  </w:abstractNum>
  <w:abstractNum w:abstractNumId="4">
    <w:nsid w:val="4CDAE9B9"/>
    <w:multiLevelType w:val="singleLevel"/>
    <w:tmpl w:val="4CDAE9B9"/>
    <w:lvl w:ilvl="0" w:tentative="0">
      <w:start w:val="3"/>
      <w:numFmt w:val="chineseCounting"/>
      <w:suff w:val="space"/>
      <w:lvlText w:val="第%1章"/>
      <w:lvlJc w:val="left"/>
      <w:rPr>
        <w:rFonts w:hint="eastAsia"/>
      </w:rPr>
    </w:lvl>
  </w:abstractNum>
  <w:abstractNum w:abstractNumId="5">
    <w:nsid w:val="4DEFAEE7"/>
    <w:multiLevelType w:val="singleLevel"/>
    <w:tmpl w:val="4DEFAEE7"/>
    <w:lvl w:ilvl="0" w:tentative="0">
      <w:start w:val="1"/>
      <w:numFmt w:val="chineseCounting"/>
      <w:suff w:val="nothing"/>
      <w:lvlText w:val="（%1）"/>
      <w:lvlJc w:val="left"/>
      <w:rPr>
        <w:rFonts w:hint="eastAsia"/>
      </w:rPr>
    </w:lvl>
  </w:abstractNum>
  <w:abstractNum w:abstractNumId="6">
    <w:nsid w:val="5969B260"/>
    <w:multiLevelType w:val="singleLevel"/>
    <w:tmpl w:val="5969B260"/>
    <w:lvl w:ilvl="0" w:tentative="0">
      <w:start w:val="1"/>
      <w:numFmt w:val="decimal"/>
      <w:lvlText w:val="%1."/>
      <w:lvlJc w:val="left"/>
      <w:pPr>
        <w:ind w:left="425" w:hanging="425"/>
      </w:pPr>
      <w:rPr>
        <w:rFonts w:hint="default" w:cs="Times New Roman"/>
      </w:rPr>
    </w:lvl>
  </w:abstractNum>
  <w:num w:numId="1">
    <w:abstractNumId w:val="3"/>
  </w:num>
  <w:num w:numId="2">
    <w:abstractNumId w:val="0"/>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192C2B"/>
    <w:rsid w:val="07234030"/>
    <w:rsid w:val="0AC57974"/>
    <w:rsid w:val="10126657"/>
    <w:rsid w:val="11FD35E2"/>
    <w:rsid w:val="23C929DC"/>
    <w:rsid w:val="44863E9E"/>
    <w:rsid w:val="4E3C4E24"/>
    <w:rsid w:val="534373F1"/>
    <w:rsid w:val="53565241"/>
    <w:rsid w:val="584773B9"/>
    <w:rsid w:val="5F9C53B4"/>
    <w:rsid w:val="79986648"/>
    <w:rsid w:val="7D192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next w:val="1"/>
    <w:qFormat/>
    <w:uiPriority w:val="0"/>
    <w:pPr>
      <w:keepNext/>
      <w:keepLines/>
      <w:widowControl w:val="0"/>
      <w:spacing w:line="360" w:lineRule="auto"/>
      <w:jc w:val="both"/>
      <w:outlineLvl w:val="1"/>
    </w:pPr>
    <w:rPr>
      <w:rFonts w:ascii="Arial" w:hAnsi="Arial" w:eastAsia="宋体" w:cs="Times New Roman"/>
      <w:b/>
      <w:bCs/>
      <w:kern w:val="0"/>
      <w:sz w:val="24"/>
      <w:szCs w:val="32"/>
      <w:lang w:val="en-US" w:eastAsia="zh-CN" w:bidi="ar-SA"/>
    </w:rPr>
  </w:style>
  <w:style w:type="paragraph" w:styleId="3">
    <w:name w:val="heading 3"/>
    <w:next w:val="1"/>
    <w:unhideWhenUsed/>
    <w:qFormat/>
    <w:uiPriority w:val="0"/>
    <w:pPr>
      <w:keepNext/>
      <w:keepLines/>
      <w:widowControl w:val="0"/>
      <w:spacing w:beforeLines="0" w:beforeAutospacing="0" w:afterLines="0" w:afterAutospacing="0" w:line="360" w:lineRule="auto"/>
      <w:ind w:firstLine="0" w:firstLineChars="0"/>
      <w:jc w:val="both"/>
      <w:outlineLvl w:val="2"/>
    </w:pPr>
    <w:rPr>
      <w:rFonts w:ascii="仿宋" w:hAnsi="仿宋" w:eastAsia="宋体" w:cs="仿宋"/>
      <w:b/>
      <w:kern w:val="2"/>
      <w:sz w:val="21"/>
      <w:szCs w:val="24"/>
      <w:lang w:val="en-US" w:eastAsia="zh-CN"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Normal Indent"/>
    <w:qFormat/>
    <w:uiPriority w:val="0"/>
    <w:pPr>
      <w:widowControl/>
      <w:ind w:firstLine="420"/>
      <w:jc w:val="left"/>
    </w:pPr>
    <w:rPr>
      <w:rFonts w:ascii="Times New Roman" w:hAnsi="Times New Roman" w:eastAsia="宋体" w:cs="Times New Roman"/>
      <w:kern w:val="0"/>
      <w:sz w:val="20"/>
      <w:szCs w:val="20"/>
      <w:lang w:val="en-US" w:eastAsia="zh-CN" w:bidi="ar-SA"/>
    </w:rPr>
  </w:style>
  <w:style w:type="paragraph" w:styleId="5">
    <w:name w:val="annotation text"/>
    <w:basedOn w:val="1"/>
    <w:qFormat/>
    <w:uiPriority w:val="0"/>
    <w:pPr>
      <w:jc w:val="left"/>
    </w:pPr>
  </w:style>
  <w:style w:type="paragraph" w:styleId="6">
    <w:name w:val="Body Text"/>
    <w:next w:val="7"/>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7">
    <w:name w:val="Body Text Indent 2"/>
    <w:next w:val="8"/>
    <w:qFormat/>
    <w:uiPriority w:val="99"/>
    <w:pPr>
      <w:widowControl w:val="0"/>
      <w:spacing w:after="12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8">
    <w:name w:val="header"/>
    <w:qFormat/>
    <w:uiPriority w:val="0"/>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0"/>
      <w:sz w:val="18"/>
      <w:szCs w:val="18"/>
      <w:lang w:val="en-US" w:eastAsia="zh-CN" w:bidi="ar-SA"/>
    </w:rPr>
  </w:style>
  <w:style w:type="paragraph" w:styleId="9">
    <w:name w:val="Body Text Indent"/>
    <w:next w:val="10"/>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10">
    <w:name w:val="envelope return"/>
    <w:qFormat/>
    <w:uiPriority w:val="0"/>
    <w:pPr>
      <w:widowControl w:val="0"/>
      <w:snapToGrid w:val="0"/>
      <w:jc w:val="both"/>
    </w:pPr>
    <w:rPr>
      <w:rFonts w:ascii="Arial" w:hAnsi="Arial" w:eastAsia="宋体" w:cs="Times New Roman"/>
      <w:kern w:val="2"/>
      <w:sz w:val="21"/>
      <w:szCs w:val="24"/>
      <w:lang w:val="en-US" w:eastAsia="zh-CN" w:bidi="ar-SA"/>
    </w:rPr>
  </w:style>
  <w:style w:type="paragraph" w:styleId="11">
    <w:name w:val="toc 3"/>
    <w:next w:val="1"/>
    <w:unhideWhenUsed/>
    <w:qFormat/>
    <w:uiPriority w:val="39"/>
    <w:pPr>
      <w:widowControl w:val="0"/>
      <w:adjustRightInd w:val="0"/>
      <w:snapToGrid w:val="0"/>
      <w:spacing w:line="360" w:lineRule="auto"/>
      <w:ind w:left="400" w:leftChars="400"/>
      <w:jc w:val="both"/>
    </w:pPr>
    <w:rPr>
      <w:rFonts w:ascii="Times New Roman" w:hAnsi="Times New Roman" w:eastAsia="宋体" w:cs="Times New Roman"/>
      <w:b/>
      <w:kern w:val="2"/>
      <w:sz w:val="21"/>
      <w:szCs w:val="24"/>
      <w:lang w:val="en-US" w:eastAsia="zh-CN" w:bidi="ar-SA"/>
    </w:rPr>
  </w:style>
  <w:style w:type="paragraph" w:styleId="12">
    <w:name w:val="Plain Text"/>
    <w:qFormat/>
    <w:uiPriority w:val="0"/>
    <w:pPr>
      <w:widowControl w:val="0"/>
      <w:jc w:val="both"/>
    </w:pPr>
    <w:rPr>
      <w:rFonts w:ascii="宋体" w:hAnsi="Times New Roman" w:eastAsia="宋体" w:cs="Courier New"/>
      <w:kern w:val="2"/>
      <w:sz w:val="21"/>
      <w:szCs w:val="21"/>
      <w:lang w:val="en-US" w:eastAsia="zh-CN" w:bidi="ar-SA"/>
    </w:rPr>
  </w:style>
  <w:style w:type="paragraph" w:styleId="13">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4">
    <w:name w:val="toc 1"/>
    <w:next w:val="1"/>
    <w:qFormat/>
    <w:uiPriority w:val="39"/>
    <w:pPr>
      <w:widowControl w:val="0"/>
      <w:spacing w:line="360" w:lineRule="auto"/>
      <w:jc w:val="both"/>
    </w:pPr>
    <w:rPr>
      <w:rFonts w:ascii="宋体" w:hAnsi="宋体" w:eastAsia="宋体" w:cs="Times New Roman"/>
      <w:b/>
      <w:kern w:val="2"/>
      <w:sz w:val="24"/>
      <w:szCs w:val="21"/>
      <w:lang w:val="en-US" w:eastAsia="zh-CN" w:bidi="ar-SA"/>
    </w:rPr>
  </w:style>
  <w:style w:type="paragraph" w:styleId="15">
    <w:name w:val="toc 2"/>
    <w:next w:val="1"/>
    <w:unhideWhenUsed/>
    <w:qFormat/>
    <w:uiPriority w:val="39"/>
    <w:pPr>
      <w:widowControl w:val="0"/>
      <w:spacing w:line="360" w:lineRule="auto"/>
      <w:ind w:left="200" w:leftChars="200"/>
      <w:jc w:val="both"/>
    </w:pPr>
    <w:rPr>
      <w:rFonts w:ascii="Times New Roman" w:hAnsi="Times New Roman" w:eastAsia="宋体" w:cs="Times New Roman"/>
      <w:b/>
      <w:kern w:val="2"/>
      <w:sz w:val="21"/>
      <w:szCs w:val="24"/>
      <w:lang w:val="en-US" w:eastAsia="zh-CN" w:bidi="ar-SA"/>
    </w:rPr>
  </w:style>
  <w:style w:type="paragraph" w:styleId="16">
    <w:name w:val="Normal (Web)"/>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17">
    <w:name w:val="Body Text First Indent 2"/>
    <w:next w:val="4"/>
    <w:qFormat/>
    <w:uiPriority w:val="0"/>
    <w:pPr>
      <w:widowControl w:val="0"/>
      <w:spacing w:after="120" w:afterLines="0"/>
      <w:ind w:left="420" w:leftChars="200" w:firstLine="482" w:firstLineChars="200"/>
      <w:jc w:val="both"/>
    </w:pPr>
    <w:rPr>
      <w:rFonts w:ascii="Calibri" w:hAnsi="Calibri" w:eastAsia="宋体" w:cs="Times New Roman"/>
      <w:b/>
      <w:kern w:val="2"/>
      <w:sz w:val="24"/>
      <w:szCs w:val="24"/>
      <w:lang w:val="en-US" w:eastAsia="zh-CN" w:bidi="ar-SA"/>
    </w:rPr>
  </w:style>
  <w:style w:type="character" w:styleId="20">
    <w:name w:val="page number"/>
    <w:qFormat/>
    <w:uiPriority w:val="0"/>
  </w:style>
  <w:style w:type="paragraph" w:customStyle="1" w:styleId="21">
    <w:name w:val="列出段落1"/>
    <w:qFormat/>
    <w:uiPriority w:val="0"/>
    <w:pPr>
      <w:widowControl w:val="0"/>
      <w:ind w:firstLine="420" w:firstLineChars="200"/>
      <w:jc w:val="both"/>
    </w:pPr>
    <w:rPr>
      <w:rFonts w:ascii="Times New Roman" w:hAnsi="Times New Roman" w:eastAsia="宋体" w:cs="Times New Roman"/>
      <w:kern w:val="2"/>
      <w:sz w:val="21"/>
      <w:szCs w:val="21"/>
      <w:lang w:val="en-US" w:eastAsia="zh-CN" w:bidi="ar-SA"/>
    </w:rPr>
  </w:style>
  <w:style w:type="paragraph" w:customStyle="1" w:styleId="22">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Table Paragraph"/>
    <w:qFormat/>
    <w:uiPriority w:val="1"/>
    <w:pPr>
      <w:widowControl w:val="0"/>
      <w:spacing w:line="322" w:lineRule="exact"/>
      <w:ind w:left="102"/>
      <w:jc w:val="both"/>
    </w:pPr>
    <w:rPr>
      <w:rFonts w:ascii="Microsoft JhengHei UI" w:hAnsi="Microsoft JhengHei UI" w:eastAsia="Microsoft JhengHei UI" w:cs="Microsoft JhengHei UI"/>
      <w:kern w:val="2"/>
      <w:sz w:val="21"/>
      <w:szCs w:val="24"/>
      <w:lang w:val="en-US" w:eastAsia="en-US" w:bidi="en-US"/>
    </w:rPr>
  </w:style>
  <w:style w:type="paragraph" w:customStyle="1" w:styleId="25">
    <w:name w:val="Normal_36"/>
    <w:qFormat/>
    <w:uiPriority w:val="0"/>
    <w:pPr>
      <w:widowControl w:val="0"/>
      <w:jc w:val="both"/>
    </w:pPr>
    <w:rPr>
      <w:rFonts w:ascii="Calibri" w:hAnsi="Calibri" w:eastAsia="宋体" w:cs="Times New Roman"/>
    </w:rPr>
  </w:style>
  <w:style w:type="paragraph" w:customStyle="1" w:styleId="26">
    <w:name w:val="首行缩进"/>
    <w:qFormat/>
    <w:uiPriority w:val="0"/>
    <w:pPr>
      <w:widowControl w:val="0"/>
      <w:ind w:firstLine="720"/>
      <w:jc w:val="left"/>
    </w:pPr>
    <w:rPr>
      <w:rFonts w:ascii="Times New Roman" w:hAnsi="Times New Roman" w:eastAsia="宋体" w:cs="Times New Roman"/>
      <w:kern w:val="0"/>
      <w:sz w:val="24"/>
      <w:szCs w:val="20"/>
      <w:lang w:val="ru-RU" w:eastAsia="ru-RU" w:bidi="ar-SA"/>
    </w:rPr>
  </w:style>
  <w:style w:type="paragraph" w:customStyle="1" w:styleId="27">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
    <w:name w:val="正文_4"/>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3908</Words>
  <Characters>4203</Characters>
  <Lines>0</Lines>
  <Paragraphs>0</Paragraphs>
  <TotalTime>55</TotalTime>
  <ScaleCrop>false</ScaleCrop>
  <LinksUpToDate>false</LinksUpToDate>
  <CharactersWithSpaces>4541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2025-06-17T02:54:00Z</dcterms:created>
  <dc:creator>Administrator</dc:creator>
  <cp:lastModifiedBy>Administrator</cp:lastModifiedBy>
  <cp:lastPrinted>2025-06-23T09:19:00Z</cp:lastPrinted>
  <dcterms:modified xsi:type="dcterms:W3CDTF">2025-06-30T03:33:52Z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08DE4783E0464B3BBA70FCB4BCC20A08_13</vt:lpwstr>
  </property>
  <property fmtid="{D5CDD505-2E9C-101B-9397-08002B2CF9AE}" pid="4" name="KSOTemplateDocerSaveRecord">
    <vt:lpwstr>eyJoZGlkIjoiNzk4Y2Q5YmQ3MWYyZWRkNjdmMTAxNTAxNmIyMjdkYjciLCJ1c2VySWQiOiIyNTAwODA0NTYifQ==</vt:lpwstr>
  </property>
</Properties>
</file>