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4C2E95">
      <w:pPr>
        <w:wordWrap w:val="0"/>
        <w:spacing w:line="360" w:lineRule="auto"/>
        <w:ind w:firstLine="420" w:firstLineChars="200"/>
        <w:jc w:val="center"/>
        <w:rPr>
          <w:rFonts w:hint="eastAsia" w:ascii="仿宋" w:hAnsi="仿宋" w:eastAsia="仿宋" w:cs="仿宋"/>
          <w:sz w:val="21"/>
        </w:rPr>
      </w:pPr>
    </w:p>
    <w:p w14:paraId="50A3DA9A">
      <w:pPr>
        <w:wordWrap w:val="0"/>
        <w:spacing w:line="360" w:lineRule="auto"/>
        <w:ind w:firstLine="420" w:firstLineChars="200"/>
        <w:jc w:val="center"/>
        <w:rPr>
          <w:rFonts w:hint="eastAsia" w:ascii="仿宋" w:hAnsi="仿宋" w:eastAsia="仿宋" w:cs="仿宋"/>
          <w:sz w:val="21"/>
        </w:rPr>
      </w:pPr>
    </w:p>
    <w:p w14:paraId="390622EF">
      <w:pPr>
        <w:wordWrap w:val="0"/>
        <w:snapToGrid w:val="0"/>
        <w:spacing w:before="240" w:beforeLines="100" w:line="360" w:lineRule="auto"/>
        <w:ind w:left="600" w:leftChars="300" w:right="354" w:rightChars="177"/>
        <w:jc w:val="center"/>
        <w:rPr>
          <w:rFonts w:hint="eastAsia" w:ascii="仿宋" w:hAnsi="仿宋" w:eastAsia="仿宋" w:cs="仿宋"/>
          <w:bCs/>
          <w:sz w:val="44"/>
          <w:szCs w:val="44"/>
        </w:rPr>
      </w:pPr>
    </w:p>
    <w:p w14:paraId="3B76EE43">
      <w:pPr>
        <w:jc w:val="center"/>
        <w:rPr>
          <w:rFonts w:hint="eastAsia" w:ascii="仿宋" w:hAnsi="仿宋" w:eastAsia="仿宋" w:cs="仿宋"/>
          <w:bCs/>
          <w:sz w:val="48"/>
          <w:szCs w:val="36"/>
        </w:rPr>
      </w:pPr>
      <w:bookmarkStart w:id="0" w:name="_Toc2608"/>
      <w:r>
        <w:rPr>
          <w:rStyle w:val="33"/>
          <w:rFonts w:hint="eastAsia" w:ascii="仿宋" w:hAnsi="仿宋" w:eastAsia="仿宋" w:cs="仿宋"/>
          <w:szCs w:val="36"/>
        </w:rPr>
        <w:t>富民县永定小学校外供餐企业采购项目</w:t>
      </w:r>
      <w:bookmarkEnd w:id="0"/>
    </w:p>
    <w:p w14:paraId="5C9F4619">
      <w:pPr>
        <w:wordWrap w:val="0"/>
        <w:spacing w:line="360" w:lineRule="auto"/>
        <w:rPr>
          <w:rFonts w:hint="eastAsia" w:ascii="仿宋" w:hAnsi="仿宋" w:eastAsia="仿宋" w:cs="仿宋"/>
          <w:b/>
          <w:sz w:val="21"/>
          <w:szCs w:val="21"/>
        </w:rPr>
      </w:pPr>
    </w:p>
    <w:p w14:paraId="65510B0A">
      <w:pPr>
        <w:pStyle w:val="6"/>
        <w:rPr>
          <w:rFonts w:hint="eastAsia" w:ascii="仿宋" w:hAnsi="仿宋" w:eastAsia="仿宋" w:cs="仿宋"/>
        </w:rPr>
      </w:pPr>
    </w:p>
    <w:p w14:paraId="7121764A">
      <w:pPr>
        <w:rPr>
          <w:rFonts w:hint="eastAsia" w:ascii="仿宋" w:hAnsi="仿宋" w:eastAsia="仿宋" w:cs="仿宋"/>
        </w:rPr>
      </w:pPr>
    </w:p>
    <w:p w14:paraId="2BC3F829">
      <w:pPr>
        <w:wordWrap w:val="0"/>
        <w:spacing w:before="120" w:beforeLines="50" w:after="120" w:afterLines="50" w:line="360" w:lineRule="auto"/>
        <w:jc w:val="center"/>
        <w:rPr>
          <w:rFonts w:hint="eastAsia" w:ascii="仿宋" w:hAnsi="仿宋" w:eastAsia="仿宋" w:cs="仿宋"/>
          <w:sz w:val="72"/>
          <w:szCs w:val="72"/>
        </w:rPr>
      </w:pPr>
      <w:r>
        <w:rPr>
          <w:rFonts w:hint="eastAsia" w:ascii="仿宋" w:hAnsi="仿宋" w:eastAsia="仿宋" w:cs="仿宋"/>
          <w:sz w:val="72"/>
          <w:szCs w:val="72"/>
        </w:rPr>
        <w:t>招标文件</w:t>
      </w:r>
    </w:p>
    <w:p w14:paraId="1813F95D">
      <w:pPr>
        <w:spacing w:before="120" w:beforeLines="50" w:after="120" w:afterLines="50" w:line="360" w:lineRule="auto"/>
        <w:jc w:val="center"/>
        <w:rPr>
          <w:rFonts w:hint="eastAsia" w:ascii="仿宋" w:hAnsi="仿宋" w:eastAsia="仿宋" w:cs="仿宋"/>
          <w:sz w:val="32"/>
          <w:szCs w:val="30"/>
        </w:rPr>
      </w:pPr>
      <w:r>
        <w:rPr>
          <w:rFonts w:hint="eastAsia" w:ascii="仿宋" w:hAnsi="仿宋" w:eastAsia="仿宋" w:cs="仿宋"/>
          <w:sz w:val="32"/>
          <w:szCs w:val="30"/>
        </w:rPr>
        <w:t>项目编号：KMZC2024-G3-02681-YNXH-0024</w:t>
      </w:r>
    </w:p>
    <w:p w14:paraId="51522EAA">
      <w:pPr>
        <w:wordWrap w:val="0"/>
        <w:spacing w:before="120" w:beforeLines="50" w:after="120" w:afterLines="50" w:line="360" w:lineRule="auto"/>
        <w:ind w:left="538"/>
        <w:jc w:val="center"/>
        <w:rPr>
          <w:rFonts w:hint="eastAsia" w:ascii="仿宋" w:hAnsi="仿宋" w:eastAsia="仿宋" w:cs="仿宋"/>
          <w:sz w:val="32"/>
          <w:szCs w:val="30"/>
        </w:rPr>
      </w:pPr>
    </w:p>
    <w:p w14:paraId="58D50D58">
      <w:pPr>
        <w:tabs>
          <w:tab w:val="left" w:pos="6781"/>
        </w:tabs>
        <w:wordWrap w:val="0"/>
        <w:spacing w:line="360" w:lineRule="auto"/>
        <w:jc w:val="both"/>
        <w:rPr>
          <w:rFonts w:hint="eastAsia" w:ascii="仿宋" w:hAnsi="仿宋" w:eastAsia="仿宋" w:cs="仿宋"/>
          <w:sz w:val="21"/>
          <w:szCs w:val="21"/>
        </w:rPr>
      </w:pPr>
    </w:p>
    <w:p w14:paraId="006DBDCB">
      <w:pPr>
        <w:wordWrap w:val="0"/>
        <w:spacing w:line="360" w:lineRule="auto"/>
        <w:rPr>
          <w:rFonts w:hint="eastAsia" w:ascii="仿宋" w:hAnsi="仿宋" w:eastAsia="仿宋" w:cs="仿宋"/>
          <w:sz w:val="21"/>
          <w:szCs w:val="21"/>
        </w:rPr>
      </w:pPr>
    </w:p>
    <w:p w14:paraId="0D16B98A">
      <w:pPr>
        <w:wordWrap w:val="0"/>
        <w:adjustRightInd w:val="0"/>
        <w:snapToGrid w:val="0"/>
        <w:spacing w:before="240" w:beforeLines="100" w:after="240" w:afterLines="100" w:line="360" w:lineRule="auto"/>
        <w:ind w:left="1758" w:leftChars="279" w:hanging="1200" w:hangingChars="400"/>
        <w:jc w:val="center"/>
        <w:rPr>
          <w:rFonts w:hint="eastAsia" w:ascii="仿宋" w:hAnsi="仿宋" w:eastAsia="仿宋" w:cs="仿宋"/>
          <w:sz w:val="30"/>
          <w:szCs w:val="30"/>
        </w:rPr>
      </w:pPr>
    </w:p>
    <w:p w14:paraId="3BD89DBA">
      <w:pPr>
        <w:pStyle w:val="6"/>
        <w:rPr>
          <w:rFonts w:hint="eastAsia" w:ascii="仿宋" w:hAnsi="仿宋" w:eastAsia="仿宋" w:cs="仿宋"/>
        </w:rPr>
      </w:pPr>
    </w:p>
    <w:p w14:paraId="0027CF90">
      <w:pPr>
        <w:rPr>
          <w:rFonts w:hint="eastAsia" w:ascii="仿宋" w:hAnsi="仿宋" w:eastAsia="仿宋" w:cs="仿宋"/>
        </w:rPr>
      </w:pPr>
    </w:p>
    <w:p w14:paraId="12528129">
      <w:pPr>
        <w:wordWrap w:val="0"/>
        <w:adjustRightInd w:val="0"/>
        <w:snapToGrid w:val="0"/>
        <w:spacing w:before="240" w:beforeLines="100" w:after="240" w:afterLines="100" w:line="360" w:lineRule="auto"/>
        <w:ind w:firstLine="600" w:firstLineChars="200"/>
        <w:jc w:val="both"/>
        <w:rPr>
          <w:rFonts w:hint="eastAsia" w:ascii="仿宋" w:hAnsi="仿宋" w:eastAsia="仿宋" w:cs="仿宋"/>
          <w:sz w:val="30"/>
          <w:szCs w:val="30"/>
          <w:u w:val="single"/>
        </w:rPr>
      </w:pPr>
      <w:r>
        <w:rPr>
          <w:rFonts w:hint="eastAsia" w:ascii="仿宋" w:hAnsi="仿宋" w:eastAsia="仿宋" w:cs="仿宋"/>
          <w:sz w:val="30"/>
          <w:szCs w:val="30"/>
        </w:rPr>
        <w:t>采购人：</w:t>
      </w:r>
      <w:r>
        <w:rPr>
          <w:rFonts w:hint="eastAsia" w:ascii="仿宋" w:hAnsi="仿宋" w:eastAsia="仿宋" w:cs="仿宋"/>
          <w:sz w:val="30"/>
          <w:szCs w:val="30"/>
          <w:u w:val="single"/>
        </w:rPr>
        <w:t>富民县教育体育局</w:t>
      </w:r>
    </w:p>
    <w:p w14:paraId="0231BE11">
      <w:pPr>
        <w:wordWrap w:val="0"/>
        <w:adjustRightInd w:val="0"/>
        <w:snapToGrid w:val="0"/>
        <w:spacing w:before="240" w:beforeLines="100" w:after="240" w:afterLines="100" w:line="360" w:lineRule="auto"/>
        <w:ind w:firstLine="600" w:firstLineChars="200"/>
        <w:jc w:val="both"/>
        <w:rPr>
          <w:rFonts w:hint="eastAsia" w:ascii="仿宋" w:hAnsi="仿宋" w:eastAsia="仿宋" w:cs="仿宋"/>
          <w:sz w:val="30"/>
          <w:szCs w:val="30"/>
          <w:u w:val="single"/>
        </w:rPr>
      </w:pPr>
      <w:r>
        <w:rPr>
          <w:rFonts w:hint="eastAsia" w:ascii="仿宋" w:hAnsi="仿宋" w:eastAsia="仿宋" w:cs="仿宋"/>
          <w:sz w:val="30"/>
          <w:szCs w:val="30"/>
        </w:rPr>
        <w:t>采购代理机构（电子签章）：</w:t>
      </w:r>
      <w:r>
        <w:rPr>
          <w:rFonts w:hint="eastAsia" w:ascii="仿宋" w:hAnsi="仿宋" w:eastAsia="仿宋" w:cs="仿宋"/>
          <w:sz w:val="30"/>
          <w:szCs w:val="30"/>
          <w:u w:val="single"/>
        </w:rPr>
        <w:t>云南雄辉招标有限公司</w:t>
      </w:r>
    </w:p>
    <w:p w14:paraId="257F6C83">
      <w:pPr>
        <w:adjustRightInd w:val="0"/>
        <w:snapToGrid w:val="0"/>
        <w:spacing w:before="240" w:beforeLines="100" w:after="240" w:afterLines="100" w:line="360" w:lineRule="auto"/>
        <w:jc w:val="center"/>
        <w:rPr>
          <w:rFonts w:hint="eastAsia" w:ascii="仿宋" w:hAnsi="仿宋" w:eastAsia="仿宋" w:cs="仿宋"/>
          <w:b/>
          <w:sz w:val="32"/>
          <w:szCs w:val="32"/>
        </w:rPr>
        <w:sectPr>
          <w:headerReference r:id="rId6" w:type="first"/>
          <w:footerReference r:id="rId8" w:type="first"/>
          <w:headerReference r:id="rId5" w:type="default"/>
          <w:footerReference r:id="rId7" w:type="default"/>
          <w:pgSz w:w="11907" w:h="16840"/>
          <w:pgMar w:top="1474" w:right="1247" w:bottom="1247" w:left="1474" w:header="851" w:footer="851" w:gutter="0"/>
          <w:pgNumType w:start="0"/>
          <w:cols w:space="720" w:num="1"/>
          <w:titlePg/>
          <w:docGrid w:linePitch="286" w:charSpace="0"/>
        </w:sectPr>
      </w:pPr>
    </w:p>
    <w:p w14:paraId="68B341FC">
      <w:pPr>
        <w:pStyle w:val="2"/>
        <w:tabs>
          <w:tab w:val="right" w:leader="dot" w:pos="9855"/>
        </w:tabs>
        <w:wordWrap w:val="0"/>
        <w:spacing w:before="120" w:beforeLines="50" w:after="120" w:afterLines="50" w:line="360" w:lineRule="auto"/>
        <w:jc w:val="center"/>
        <w:rPr>
          <w:rFonts w:hint="eastAsia" w:ascii="仿宋" w:hAnsi="仿宋" w:eastAsia="仿宋" w:cs="仿宋"/>
          <w:i/>
          <w:caps/>
          <w:smallCaps/>
          <w:sz w:val="21"/>
          <w:szCs w:val="21"/>
        </w:rPr>
      </w:pPr>
      <w:bookmarkStart w:id="1" w:name="_Toc25454"/>
      <w:r>
        <w:rPr>
          <w:rFonts w:hint="eastAsia" w:ascii="仿宋" w:hAnsi="仿宋" w:eastAsia="仿宋" w:cs="仿宋"/>
          <w:sz w:val="32"/>
          <w:szCs w:val="32"/>
        </w:rPr>
        <w:t>目  录</w:t>
      </w:r>
      <w:bookmarkEnd w:id="1"/>
      <w:r>
        <w:rPr>
          <w:rFonts w:hint="eastAsia" w:ascii="仿宋" w:hAnsi="仿宋" w:eastAsia="仿宋" w:cs="仿宋"/>
          <w:i/>
          <w:smallCaps/>
          <w:sz w:val="21"/>
          <w:szCs w:val="21"/>
        </w:rPr>
        <w:fldChar w:fldCharType="begin"/>
      </w:r>
      <w:r>
        <w:rPr>
          <w:rFonts w:hint="eastAsia" w:ascii="仿宋" w:hAnsi="仿宋" w:eastAsia="仿宋" w:cs="仿宋"/>
          <w:i/>
          <w:smallCaps/>
          <w:sz w:val="21"/>
          <w:szCs w:val="21"/>
        </w:rPr>
        <w:instrText xml:space="preserve"> TOC \o "1-2" \h \z \u </w:instrText>
      </w:r>
      <w:r>
        <w:rPr>
          <w:rFonts w:hint="eastAsia" w:ascii="仿宋" w:hAnsi="仿宋" w:eastAsia="仿宋" w:cs="仿宋"/>
          <w:i/>
          <w:smallCaps/>
          <w:sz w:val="21"/>
          <w:szCs w:val="21"/>
        </w:rPr>
        <w:fldChar w:fldCharType="separate"/>
      </w:r>
    </w:p>
    <w:p w14:paraId="3FF73D89">
      <w:pPr>
        <w:pStyle w:val="17"/>
        <w:tabs>
          <w:tab w:val="right" w:leader="dot" w:pos="9186"/>
        </w:tabs>
      </w:pPr>
      <w:r>
        <w:fldChar w:fldCharType="begin"/>
      </w:r>
      <w:r>
        <w:instrText xml:space="preserve"> HYPERLINK \l "_Toc2608" </w:instrText>
      </w:r>
      <w:r>
        <w:fldChar w:fldCharType="separate"/>
      </w:r>
      <w:r>
        <w:rPr>
          <w:rFonts w:hint="eastAsia" w:ascii="仿宋" w:hAnsi="仿宋" w:eastAsia="仿宋" w:cs="仿宋"/>
          <w:szCs w:val="36"/>
        </w:rPr>
        <w:t>富民县永定小学校外供餐企业采购项目</w:t>
      </w:r>
      <w:r>
        <w:tab/>
      </w:r>
      <w:r>
        <w:fldChar w:fldCharType="begin"/>
      </w:r>
      <w:r>
        <w:instrText xml:space="preserve"> PAGEREF _Toc2608 \h </w:instrText>
      </w:r>
      <w:r>
        <w:fldChar w:fldCharType="separate"/>
      </w:r>
      <w:r>
        <w:t>0</w:t>
      </w:r>
      <w:r>
        <w:fldChar w:fldCharType="end"/>
      </w:r>
      <w:r>
        <w:fldChar w:fldCharType="end"/>
      </w:r>
    </w:p>
    <w:p w14:paraId="0B007435">
      <w:pPr>
        <w:pStyle w:val="17"/>
        <w:tabs>
          <w:tab w:val="right" w:leader="dot" w:pos="9186"/>
        </w:tabs>
      </w:pPr>
      <w:r>
        <w:fldChar w:fldCharType="begin"/>
      </w:r>
      <w:r>
        <w:instrText xml:space="preserve"> HYPERLINK \l "_Toc25454" </w:instrText>
      </w:r>
      <w:r>
        <w:fldChar w:fldCharType="separate"/>
      </w:r>
      <w:r>
        <w:rPr>
          <w:rFonts w:hint="eastAsia" w:ascii="仿宋" w:hAnsi="仿宋" w:eastAsia="仿宋" w:cs="仿宋"/>
          <w:szCs w:val="32"/>
        </w:rPr>
        <w:t>目  录</w:t>
      </w:r>
      <w:r>
        <w:tab/>
      </w:r>
      <w:r>
        <w:fldChar w:fldCharType="begin"/>
      </w:r>
      <w:r>
        <w:instrText xml:space="preserve"> PAGEREF _Toc25454 \h </w:instrText>
      </w:r>
      <w:r>
        <w:fldChar w:fldCharType="separate"/>
      </w:r>
      <w:r>
        <w:t>1</w:t>
      </w:r>
      <w:r>
        <w:fldChar w:fldCharType="end"/>
      </w:r>
      <w:r>
        <w:fldChar w:fldCharType="end"/>
      </w:r>
    </w:p>
    <w:p w14:paraId="2B76DB04">
      <w:pPr>
        <w:pStyle w:val="17"/>
        <w:tabs>
          <w:tab w:val="right" w:leader="dot" w:pos="9186"/>
        </w:tabs>
      </w:pPr>
      <w:r>
        <w:fldChar w:fldCharType="begin"/>
      </w:r>
      <w:r>
        <w:instrText xml:space="preserve"> HYPERLINK \l "_Toc23540" </w:instrText>
      </w:r>
      <w:r>
        <w:fldChar w:fldCharType="separate"/>
      </w:r>
      <w:r>
        <w:rPr>
          <w:rFonts w:hint="eastAsia" w:ascii="仿宋" w:hAnsi="仿宋" w:eastAsia="仿宋" w:cs="仿宋"/>
        </w:rPr>
        <w:t>第一章 招标公告</w:t>
      </w:r>
      <w:r>
        <w:tab/>
      </w:r>
      <w:r>
        <w:fldChar w:fldCharType="begin"/>
      </w:r>
      <w:r>
        <w:instrText xml:space="preserve"> PAGEREF _Toc23540 \h </w:instrText>
      </w:r>
      <w:r>
        <w:fldChar w:fldCharType="separate"/>
      </w:r>
      <w:r>
        <w:t>1</w:t>
      </w:r>
      <w:r>
        <w:fldChar w:fldCharType="end"/>
      </w:r>
      <w:r>
        <w:fldChar w:fldCharType="end"/>
      </w:r>
    </w:p>
    <w:p w14:paraId="09BCE00E">
      <w:pPr>
        <w:pStyle w:val="20"/>
        <w:tabs>
          <w:tab w:val="right" w:leader="dot" w:pos="9186"/>
        </w:tabs>
      </w:pPr>
      <w:r>
        <w:fldChar w:fldCharType="begin"/>
      </w:r>
      <w:r>
        <w:instrText xml:space="preserve"> HYPERLINK \l "_Toc23317" </w:instrText>
      </w:r>
      <w:r>
        <w:fldChar w:fldCharType="separate"/>
      </w:r>
      <w:r>
        <w:rPr>
          <w:rFonts w:hint="eastAsia" w:ascii="仿宋" w:hAnsi="仿宋" w:eastAsia="仿宋" w:cs="仿宋"/>
          <w:szCs w:val="21"/>
        </w:rPr>
        <w:t>一、项目基本情况</w:t>
      </w:r>
      <w:r>
        <w:tab/>
      </w:r>
      <w:r>
        <w:fldChar w:fldCharType="begin"/>
      </w:r>
      <w:r>
        <w:instrText xml:space="preserve"> PAGEREF _Toc23317 \h </w:instrText>
      </w:r>
      <w:r>
        <w:fldChar w:fldCharType="separate"/>
      </w:r>
      <w:r>
        <w:t>1</w:t>
      </w:r>
      <w:r>
        <w:fldChar w:fldCharType="end"/>
      </w:r>
      <w:r>
        <w:fldChar w:fldCharType="end"/>
      </w:r>
    </w:p>
    <w:p w14:paraId="2DEC2405">
      <w:pPr>
        <w:pStyle w:val="20"/>
        <w:tabs>
          <w:tab w:val="right" w:leader="dot" w:pos="9186"/>
        </w:tabs>
      </w:pPr>
      <w:r>
        <w:fldChar w:fldCharType="begin"/>
      </w:r>
      <w:r>
        <w:instrText xml:space="preserve"> HYPERLINK \l "_Toc838" </w:instrText>
      </w:r>
      <w:r>
        <w:fldChar w:fldCharType="separate"/>
      </w:r>
      <w:r>
        <w:rPr>
          <w:rFonts w:hint="eastAsia" w:ascii="仿宋" w:hAnsi="仿宋" w:eastAsia="仿宋" w:cs="仿宋"/>
          <w:szCs w:val="21"/>
        </w:rPr>
        <w:t>二、申请人的资格要求</w:t>
      </w:r>
      <w:r>
        <w:tab/>
      </w:r>
      <w:r>
        <w:fldChar w:fldCharType="begin"/>
      </w:r>
      <w:r>
        <w:instrText xml:space="preserve"> PAGEREF _Toc838 \h </w:instrText>
      </w:r>
      <w:r>
        <w:fldChar w:fldCharType="separate"/>
      </w:r>
      <w:r>
        <w:t>1</w:t>
      </w:r>
      <w:r>
        <w:fldChar w:fldCharType="end"/>
      </w:r>
      <w:r>
        <w:fldChar w:fldCharType="end"/>
      </w:r>
    </w:p>
    <w:p w14:paraId="572EB0BA">
      <w:pPr>
        <w:pStyle w:val="20"/>
        <w:tabs>
          <w:tab w:val="right" w:leader="dot" w:pos="9186"/>
        </w:tabs>
      </w:pPr>
      <w:r>
        <w:fldChar w:fldCharType="begin"/>
      </w:r>
      <w:r>
        <w:instrText xml:space="preserve"> HYPERLINK \l "_Toc15081" </w:instrText>
      </w:r>
      <w:r>
        <w:fldChar w:fldCharType="separate"/>
      </w:r>
      <w:r>
        <w:rPr>
          <w:rFonts w:hint="eastAsia" w:ascii="仿宋" w:hAnsi="仿宋" w:eastAsia="仿宋" w:cs="仿宋"/>
          <w:szCs w:val="21"/>
        </w:rPr>
        <w:t>三、获取招标文件</w:t>
      </w:r>
      <w:r>
        <w:tab/>
      </w:r>
      <w:r>
        <w:fldChar w:fldCharType="begin"/>
      </w:r>
      <w:r>
        <w:instrText xml:space="preserve"> PAGEREF _Toc15081 \h </w:instrText>
      </w:r>
      <w:r>
        <w:fldChar w:fldCharType="separate"/>
      </w:r>
      <w:r>
        <w:t>2</w:t>
      </w:r>
      <w:r>
        <w:fldChar w:fldCharType="end"/>
      </w:r>
      <w:r>
        <w:fldChar w:fldCharType="end"/>
      </w:r>
    </w:p>
    <w:p w14:paraId="353EB267">
      <w:pPr>
        <w:pStyle w:val="20"/>
        <w:tabs>
          <w:tab w:val="right" w:leader="dot" w:pos="9186"/>
        </w:tabs>
      </w:pPr>
      <w:r>
        <w:fldChar w:fldCharType="begin"/>
      </w:r>
      <w:r>
        <w:instrText xml:space="preserve"> HYPERLINK \l "_Toc24717" </w:instrText>
      </w:r>
      <w:r>
        <w:fldChar w:fldCharType="separate"/>
      </w:r>
      <w:r>
        <w:rPr>
          <w:rFonts w:hint="eastAsia" w:ascii="仿宋" w:hAnsi="仿宋" w:eastAsia="仿宋" w:cs="仿宋"/>
          <w:szCs w:val="21"/>
        </w:rPr>
        <w:t>四、提交投标文件截止时间、开标时间和地点</w:t>
      </w:r>
      <w:r>
        <w:tab/>
      </w:r>
      <w:r>
        <w:fldChar w:fldCharType="begin"/>
      </w:r>
      <w:r>
        <w:instrText xml:space="preserve"> PAGEREF _Toc24717 \h </w:instrText>
      </w:r>
      <w:r>
        <w:fldChar w:fldCharType="separate"/>
      </w:r>
      <w:r>
        <w:t>2</w:t>
      </w:r>
      <w:r>
        <w:fldChar w:fldCharType="end"/>
      </w:r>
      <w:r>
        <w:fldChar w:fldCharType="end"/>
      </w:r>
    </w:p>
    <w:p w14:paraId="414EE34C">
      <w:pPr>
        <w:pStyle w:val="20"/>
        <w:tabs>
          <w:tab w:val="right" w:leader="dot" w:pos="9186"/>
        </w:tabs>
      </w:pPr>
      <w:r>
        <w:fldChar w:fldCharType="begin"/>
      </w:r>
      <w:r>
        <w:instrText xml:space="preserve"> HYPERLINK \l "_Toc12899" </w:instrText>
      </w:r>
      <w:r>
        <w:fldChar w:fldCharType="separate"/>
      </w:r>
      <w:r>
        <w:rPr>
          <w:rFonts w:hint="eastAsia" w:ascii="仿宋" w:hAnsi="仿宋" w:eastAsia="仿宋" w:cs="仿宋"/>
          <w:szCs w:val="21"/>
        </w:rPr>
        <w:t>五、开启</w:t>
      </w:r>
      <w:r>
        <w:tab/>
      </w:r>
      <w:r>
        <w:fldChar w:fldCharType="begin"/>
      </w:r>
      <w:r>
        <w:instrText xml:space="preserve"> PAGEREF _Toc12899 \h </w:instrText>
      </w:r>
      <w:r>
        <w:fldChar w:fldCharType="separate"/>
      </w:r>
      <w:r>
        <w:t>2</w:t>
      </w:r>
      <w:r>
        <w:fldChar w:fldCharType="end"/>
      </w:r>
      <w:r>
        <w:fldChar w:fldCharType="end"/>
      </w:r>
    </w:p>
    <w:p w14:paraId="0A72B833">
      <w:pPr>
        <w:pStyle w:val="20"/>
        <w:tabs>
          <w:tab w:val="right" w:leader="dot" w:pos="9186"/>
        </w:tabs>
      </w:pPr>
      <w:r>
        <w:fldChar w:fldCharType="begin"/>
      </w:r>
      <w:r>
        <w:instrText xml:space="preserve"> HYPERLINK \l "_Toc15180" </w:instrText>
      </w:r>
      <w:r>
        <w:fldChar w:fldCharType="separate"/>
      </w:r>
      <w:r>
        <w:rPr>
          <w:rFonts w:hint="eastAsia" w:ascii="仿宋" w:hAnsi="仿宋" w:eastAsia="仿宋" w:cs="仿宋"/>
          <w:szCs w:val="21"/>
        </w:rPr>
        <w:t>六、公告期限</w:t>
      </w:r>
      <w:r>
        <w:tab/>
      </w:r>
      <w:r>
        <w:fldChar w:fldCharType="begin"/>
      </w:r>
      <w:r>
        <w:instrText xml:space="preserve"> PAGEREF _Toc15180 \h </w:instrText>
      </w:r>
      <w:r>
        <w:fldChar w:fldCharType="separate"/>
      </w:r>
      <w:r>
        <w:t>2</w:t>
      </w:r>
      <w:r>
        <w:fldChar w:fldCharType="end"/>
      </w:r>
      <w:r>
        <w:fldChar w:fldCharType="end"/>
      </w:r>
    </w:p>
    <w:p w14:paraId="6E112AFB">
      <w:pPr>
        <w:pStyle w:val="20"/>
        <w:tabs>
          <w:tab w:val="right" w:leader="dot" w:pos="9186"/>
        </w:tabs>
      </w:pPr>
      <w:r>
        <w:fldChar w:fldCharType="begin"/>
      </w:r>
      <w:r>
        <w:instrText xml:space="preserve"> HYPERLINK \l "_Toc4418" </w:instrText>
      </w:r>
      <w:r>
        <w:fldChar w:fldCharType="separate"/>
      </w:r>
      <w:r>
        <w:rPr>
          <w:rFonts w:hint="eastAsia" w:ascii="仿宋" w:hAnsi="仿宋" w:eastAsia="仿宋" w:cs="仿宋"/>
          <w:szCs w:val="21"/>
        </w:rPr>
        <w:t>七、其他补充事宜</w:t>
      </w:r>
      <w:r>
        <w:tab/>
      </w:r>
      <w:r>
        <w:fldChar w:fldCharType="begin"/>
      </w:r>
      <w:r>
        <w:instrText xml:space="preserve"> PAGEREF _Toc4418 \h </w:instrText>
      </w:r>
      <w:r>
        <w:fldChar w:fldCharType="separate"/>
      </w:r>
      <w:r>
        <w:t>2</w:t>
      </w:r>
      <w:r>
        <w:fldChar w:fldCharType="end"/>
      </w:r>
      <w:r>
        <w:fldChar w:fldCharType="end"/>
      </w:r>
    </w:p>
    <w:p w14:paraId="23AAD0B4">
      <w:pPr>
        <w:pStyle w:val="20"/>
        <w:tabs>
          <w:tab w:val="right" w:leader="dot" w:pos="9186"/>
        </w:tabs>
      </w:pPr>
      <w:r>
        <w:fldChar w:fldCharType="begin"/>
      </w:r>
      <w:r>
        <w:instrText xml:space="preserve"> HYPERLINK \l "_Toc14716" </w:instrText>
      </w:r>
      <w:r>
        <w:fldChar w:fldCharType="separate"/>
      </w:r>
      <w:r>
        <w:rPr>
          <w:rFonts w:hint="eastAsia" w:ascii="仿宋" w:hAnsi="仿宋" w:eastAsia="仿宋" w:cs="仿宋"/>
          <w:szCs w:val="21"/>
        </w:rPr>
        <w:t>八、对本次招标提出询问，请按以下方式联系</w:t>
      </w:r>
      <w:r>
        <w:tab/>
      </w:r>
      <w:r>
        <w:fldChar w:fldCharType="begin"/>
      </w:r>
      <w:r>
        <w:instrText xml:space="preserve"> PAGEREF _Toc14716 \h </w:instrText>
      </w:r>
      <w:r>
        <w:fldChar w:fldCharType="separate"/>
      </w:r>
      <w:r>
        <w:t>3</w:t>
      </w:r>
      <w:r>
        <w:fldChar w:fldCharType="end"/>
      </w:r>
      <w:r>
        <w:fldChar w:fldCharType="end"/>
      </w:r>
    </w:p>
    <w:p w14:paraId="6B15440F">
      <w:pPr>
        <w:pStyle w:val="20"/>
        <w:tabs>
          <w:tab w:val="right" w:leader="dot" w:pos="9186"/>
        </w:tabs>
      </w:pPr>
      <w:r>
        <w:fldChar w:fldCharType="begin"/>
      </w:r>
      <w:r>
        <w:instrText xml:space="preserve"> HYPERLINK \l "_Toc3563" </w:instrText>
      </w:r>
      <w:r>
        <w:fldChar w:fldCharType="separate"/>
      </w:r>
      <w:r>
        <w:rPr>
          <w:rFonts w:hint="eastAsia" w:ascii="仿宋" w:hAnsi="仿宋" w:eastAsia="仿宋" w:cs="仿宋"/>
        </w:rPr>
        <w:t>一、投标人须知前附表</w:t>
      </w:r>
      <w:r>
        <w:tab/>
      </w:r>
      <w:r>
        <w:fldChar w:fldCharType="begin"/>
      </w:r>
      <w:r>
        <w:instrText xml:space="preserve"> PAGEREF _Toc3563 \h </w:instrText>
      </w:r>
      <w:r>
        <w:fldChar w:fldCharType="separate"/>
      </w:r>
      <w:r>
        <w:t>4</w:t>
      </w:r>
      <w:r>
        <w:fldChar w:fldCharType="end"/>
      </w:r>
      <w:r>
        <w:fldChar w:fldCharType="end"/>
      </w:r>
    </w:p>
    <w:p w14:paraId="29E0D5E8">
      <w:pPr>
        <w:pStyle w:val="20"/>
        <w:tabs>
          <w:tab w:val="right" w:leader="dot" w:pos="9186"/>
        </w:tabs>
      </w:pPr>
      <w:r>
        <w:fldChar w:fldCharType="begin"/>
      </w:r>
      <w:r>
        <w:instrText xml:space="preserve"> HYPERLINK \l "_Toc1786" </w:instrText>
      </w:r>
      <w:r>
        <w:fldChar w:fldCharType="separate"/>
      </w:r>
      <w:r>
        <w:rPr>
          <w:rFonts w:hint="eastAsia" w:ascii="仿宋" w:hAnsi="仿宋" w:eastAsia="仿宋" w:cs="仿宋"/>
        </w:rPr>
        <w:t>二、投标人须知</w:t>
      </w:r>
      <w:r>
        <w:tab/>
      </w:r>
      <w:r>
        <w:fldChar w:fldCharType="begin"/>
      </w:r>
      <w:r>
        <w:instrText xml:space="preserve"> PAGEREF _Toc1786 \h </w:instrText>
      </w:r>
      <w:r>
        <w:fldChar w:fldCharType="separate"/>
      </w:r>
      <w:r>
        <w:t>9</w:t>
      </w:r>
      <w:r>
        <w:fldChar w:fldCharType="end"/>
      </w:r>
      <w:r>
        <w:fldChar w:fldCharType="end"/>
      </w:r>
    </w:p>
    <w:p w14:paraId="317AF2D5">
      <w:pPr>
        <w:pStyle w:val="17"/>
        <w:tabs>
          <w:tab w:val="right" w:leader="dot" w:pos="9186"/>
        </w:tabs>
      </w:pPr>
      <w:r>
        <w:fldChar w:fldCharType="begin"/>
      </w:r>
      <w:r>
        <w:instrText xml:space="preserve"> HYPERLINK \l "_Toc24488" </w:instrText>
      </w:r>
      <w:r>
        <w:fldChar w:fldCharType="separate"/>
      </w:r>
      <w:r>
        <w:rPr>
          <w:rFonts w:hint="eastAsia" w:ascii="仿宋" w:hAnsi="仿宋" w:eastAsia="仿宋" w:cs="仿宋"/>
        </w:rPr>
        <w:t>第三章 资格审查</w:t>
      </w:r>
      <w:r>
        <w:tab/>
      </w:r>
      <w:r>
        <w:fldChar w:fldCharType="begin"/>
      </w:r>
      <w:r>
        <w:instrText xml:space="preserve"> PAGEREF _Toc24488 \h </w:instrText>
      </w:r>
      <w:r>
        <w:fldChar w:fldCharType="separate"/>
      </w:r>
      <w:r>
        <w:t>22</w:t>
      </w:r>
      <w:r>
        <w:fldChar w:fldCharType="end"/>
      </w:r>
      <w:r>
        <w:fldChar w:fldCharType="end"/>
      </w:r>
    </w:p>
    <w:p w14:paraId="54C2AF24">
      <w:pPr>
        <w:pStyle w:val="17"/>
        <w:tabs>
          <w:tab w:val="right" w:leader="dot" w:pos="9186"/>
        </w:tabs>
      </w:pPr>
      <w:r>
        <w:fldChar w:fldCharType="begin"/>
      </w:r>
      <w:r>
        <w:instrText xml:space="preserve"> HYPERLINK \l "_Toc21825" </w:instrText>
      </w:r>
      <w:r>
        <w:fldChar w:fldCharType="separate"/>
      </w:r>
      <w:r>
        <w:rPr>
          <w:rFonts w:hint="eastAsia" w:ascii="仿宋" w:hAnsi="仿宋" w:eastAsia="仿宋" w:cs="仿宋"/>
        </w:rPr>
        <w:t>第四章 评标办法</w:t>
      </w:r>
      <w:r>
        <w:tab/>
      </w:r>
      <w:r>
        <w:fldChar w:fldCharType="begin"/>
      </w:r>
      <w:r>
        <w:instrText xml:space="preserve"> PAGEREF _Toc21825 \h </w:instrText>
      </w:r>
      <w:r>
        <w:fldChar w:fldCharType="separate"/>
      </w:r>
      <w:r>
        <w:t>23</w:t>
      </w:r>
      <w:r>
        <w:fldChar w:fldCharType="end"/>
      </w:r>
      <w:r>
        <w:fldChar w:fldCharType="end"/>
      </w:r>
    </w:p>
    <w:p w14:paraId="4BC5E925">
      <w:pPr>
        <w:pStyle w:val="20"/>
        <w:tabs>
          <w:tab w:val="right" w:leader="dot" w:pos="9186"/>
        </w:tabs>
      </w:pPr>
      <w:r>
        <w:fldChar w:fldCharType="begin"/>
      </w:r>
      <w:r>
        <w:instrText xml:space="preserve"> HYPERLINK \l "_Toc21495" </w:instrText>
      </w:r>
      <w:r>
        <w:fldChar w:fldCharType="separate"/>
      </w:r>
      <w:r>
        <w:rPr>
          <w:rFonts w:hint="eastAsia" w:ascii="仿宋" w:hAnsi="仿宋" w:eastAsia="仿宋" w:cs="仿宋"/>
        </w:rPr>
        <w:t>一、评标办法前附表</w:t>
      </w:r>
      <w:r>
        <w:tab/>
      </w:r>
      <w:r>
        <w:fldChar w:fldCharType="begin"/>
      </w:r>
      <w:r>
        <w:instrText xml:space="preserve"> PAGEREF _Toc21495 \h </w:instrText>
      </w:r>
      <w:r>
        <w:fldChar w:fldCharType="separate"/>
      </w:r>
      <w:r>
        <w:t>23</w:t>
      </w:r>
      <w:r>
        <w:fldChar w:fldCharType="end"/>
      </w:r>
      <w:r>
        <w:fldChar w:fldCharType="end"/>
      </w:r>
    </w:p>
    <w:p w14:paraId="028E0DF5">
      <w:pPr>
        <w:pStyle w:val="20"/>
        <w:tabs>
          <w:tab w:val="right" w:leader="dot" w:pos="9186"/>
        </w:tabs>
      </w:pPr>
      <w:r>
        <w:fldChar w:fldCharType="begin"/>
      </w:r>
      <w:r>
        <w:instrText xml:space="preserve"> HYPERLINK \l "_Toc24066" </w:instrText>
      </w:r>
      <w:r>
        <w:fldChar w:fldCharType="separate"/>
      </w:r>
      <w:r>
        <w:rPr>
          <w:rFonts w:hint="eastAsia" w:ascii="仿宋" w:hAnsi="仿宋" w:eastAsia="仿宋" w:cs="仿宋"/>
        </w:rPr>
        <w:t>二、评标方法</w:t>
      </w:r>
      <w:r>
        <w:tab/>
      </w:r>
      <w:r>
        <w:fldChar w:fldCharType="begin"/>
      </w:r>
      <w:r>
        <w:instrText xml:space="preserve"> PAGEREF _Toc24066 \h </w:instrText>
      </w:r>
      <w:r>
        <w:fldChar w:fldCharType="separate"/>
      </w:r>
      <w:r>
        <w:t>28</w:t>
      </w:r>
      <w:r>
        <w:fldChar w:fldCharType="end"/>
      </w:r>
      <w:r>
        <w:fldChar w:fldCharType="end"/>
      </w:r>
    </w:p>
    <w:p w14:paraId="1EBA177E">
      <w:pPr>
        <w:pStyle w:val="20"/>
        <w:tabs>
          <w:tab w:val="right" w:leader="dot" w:pos="9186"/>
        </w:tabs>
      </w:pPr>
      <w:r>
        <w:fldChar w:fldCharType="begin"/>
      </w:r>
      <w:r>
        <w:instrText xml:space="preserve"> HYPERLINK \l "_Toc32591" </w:instrText>
      </w:r>
      <w:r>
        <w:fldChar w:fldCharType="separate"/>
      </w:r>
      <w:r>
        <w:rPr>
          <w:rFonts w:hint="eastAsia" w:ascii="仿宋" w:hAnsi="仿宋" w:eastAsia="仿宋" w:cs="仿宋"/>
        </w:rPr>
        <w:t>三、评标程序</w:t>
      </w:r>
      <w:r>
        <w:tab/>
      </w:r>
      <w:r>
        <w:fldChar w:fldCharType="begin"/>
      </w:r>
      <w:r>
        <w:instrText xml:space="preserve"> PAGEREF _Toc32591 \h </w:instrText>
      </w:r>
      <w:r>
        <w:fldChar w:fldCharType="separate"/>
      </w:r>
      <w:r>
        <w:t>30</w:t>
      </w:r>
      <w:r>
        <w:fldChar w:fldCharType="end"/>
      </w:r>
      <w:r>
        <w:fldChar w:fldCharType="end"/>
      </w:r>
    </w:p>
    <w:p w14:paraId="64240C0C">
      <w:pPr>
        <w:pStyle w:val="20"/>
        <w:tabs>
          <w:tab w:val="right" w:leader="dot" w:pos="9186"/>
        </w:tabs>
      </w:pPr>
      <w:r>
        <w:fldChar w:fldCharType="begin"/>
      </w:r>
      <w:r>
        <w:instrText xml:space="preserve"> HYPERLINK \l "_Toc10064" </w:instrText>
      </w:r>
      <w:r>
        <w:fldChar w:fldCharType="separate"/>
      </w:r>
      <w:r>
        <w:rPr>
          <w:rFonts w:hint="eastAsia" w:ascii="仿宋" w:hAnsi="仿宋" w:eastAsia="仿宋" w:cs="仿宋"/>
        </w:rPr>
        <w:t>四、汇总评标结果</w:t>
      </w:r>
      <w:r>
        <w:tab/>
      </w:r>
      <w:r>
        <w:fldChar w:fldCharType="begin"/>
      </w:r>
      <w:r>
        <w:instrText xml:space="preserve"> PAGEREF _Toc10064 \h </w:instrText>
      </w:r>
      <w:r>
        <w:fldChar w:fldCharType="separate"/>
      </w:r>
      <w:r>
        <w:t>32</w:t>
      </w:r>
      <w:r>
        <w:fldChar w:fldCharType="end"/>
      </w:r>
      <w:r>
        <w:fldChar w:fldCharType="end"/>
      </w:r>
    </w:p>
    <w:p w14:paraId="55EF1FF2">
      <w:pPr>
        <w:pStyle w:val="20"/>
        <w:tabs>
          <w:tab w:val="right" w:leader="dot" w:pos="9186"/>
        </w:tabs>
      </w:pPr>
      <w:r>
        <w:fldChar w:fldCharType="begin"/>
      </w:r>
      <w:r>
        <w:instrText xml:space="preserve"> HYPERLINK \l "_Toc27903" </w:instrText>
      </w:r>
      <w:r>
        <w:fldChar w:fldCharType="separate"/>
      </w:r>
      <w:r>
        <w:rPr>
          <w:rFonts w:hint="eastAsia" w:ascii="仿宋" w:hAnsi="仿宋" w:eastAsia="仿宋" w:cs="仿宋"/>
        </w:rPr>
        <w:t>五、推荐中标候选人</w:t>
      </w:r>
      <w:r>
        <w:tab/>
      </w:r>
      <w:r>
        <w:fldChar w:fldCharType="begin"/>
      </w:r>
      <w:r>
        <w:instrText xml:space="preserve"> PAGEREF _Toc27903 \h </w:instrText>
      </w:r>
      <w:r>
        <w:fldChar w:fldCharType="separate"/>
      </w:r>
      <w:r>
        <w:t>33</w:t>
      </w:r>
      <w:r>
        <w:fldChar w:fldCharType="end"/>
      </w:r>
      <w:r>
        <w:fldChar w:fldCharType="end"/>
      </w:r>
    </w:p>
    <w:p w14:paraId="51A95CDB">
      <w:pPr>
        <w:pStyle w:val="20"/>
        <w:tabs>
          <w:tab w:val="right" w:leader="dot" w:pos="9186"/>
        </w:tabs>
      </w:pPr>
      <w:r>
        <w:fldChar w:fldCharType="begin"/>
      </w:r>
      <w:r>
        <w:instrText xml:space="preserve"> HYPERLINK \l "_Toc32394" </w:instrText>
      </w:r>
      <w:r>
        <w:fldChar w:fldCharType="separate"/>
      </w:r>
      <w:r>
        <w:rPr>
          <w:rFonts w:hint="eastAsia" w:ascii="仿宋" w:hAnsi="仿宋" w:eastAsia="仿宋" w:cs="仿宋"/>
        </w:rPr>
        <w:t>六、特殊情况的处置程序</w:t>
      </w:r>
      <w:r>
        <w:tab/>
      </w:r>
      <w:r>
        <w:fldChar w:fldCharType="begin"/>
      </w:r>
      <w:r>
        <w:instrText xml:space="preserve"> PAGEREF _Toc32394 \h </w:instrText>
      </w:r>
      <w:r>
        <w:fldChar w:fldCharType="separate"/>
      </w:r>
      <w:r>
        <w:t>33</w:t>
      </w:r>
      <w:r>
        <w:fldChar w:fldCharType="end"/>
      </w:r>
      <w:r>
        <w:fldChar w:fldCharType="end"/>
      </w:r>
    </w:p>
    <w:p w14:paraId="695C2482">
      <w:pPr>
        <w:pStyle w:val="17"/>
        <w:tabs>
          <w:tab w:val="right" w:leader="dot" w:pos="9186"/>
        </w:tabs>
      </w:pPr>
      <w:r>
        <w:fldChar w:fldCharType="begin"/>
      </w:r>
      <w:r>
        <w:instrText xml:space="preserve"> HYPERLINK \l "_Toc3861" </w:instrText>
      </w:r>
      <w:r>
        <w:fldChar w:fldCharType="separate"/>
      </w:r>
      <w:r>
        <w:rPr>
          <w:rFonts w:hint="eastAsia" w:ascii="仿宋" w:hAnsi="仿宋" w:eastAsia="仿宋" w:cs="仿宋"/>
        </w:rPr>
        <w:t>第五章 合同条款及格式</w:t>
      </w:r>
      <w:r>
        <w:tab/>
      </w:r>
      <w:r>
        <w:fldChar w:fldCharType="begin"/>
      </w:r>
      <w:r>
        <w:instrText xml:space="preserve"> PAGEREF _Toc3861 \h </w:instrText>
      </w:r>
      <w:r>
        <w:fldChar w:fldCharType="separate"/>
      </w:r>
      <w:r>
        <w:t>34</w:t>
      </w:r>
      <w:r>
        <w:fldChar w:fldCharType="end"/>
      </w:r>
      <w:r>
        <w:fldChar w:fldCharType="end"/>
      </w:r>
    </w:p>
    <w:p w14:paraId="0EF17F19">
      <w:pPr>
        <w:pStyle w:val="17"/>
        <w:tabs>
          <w:tab w:val="right" w:leader="dot" w:pos="9186"/>
        </w:tabs>
      </w:pPr>
      <w:r>
        <w:fldChar w:fldCharType="begin"/>
      </w:r>
      <w:r>
        <w:instrText xml:space="preserve"> HYPERLINK \l "_Toc1824" </w:instrText>
      </w:r>
      <w:r>
        <w:fldChar w:fldCharType="separate"/>
      </w:r>
      <w:r>
        <w:rPr>
          <w:rFonts w:hint="eastAsia" w:ascii="仿宋" w:hAnsi="仿宋" w:eastAsia="仿宋" w:cs="仿宋"/>
        </w:rPr>
        <w:t>第六章 采购需求</w:t>
      </w:r>
      <w:r>
        <w:tab/>
      </w:r>
      <w:r>
        <w:fldChar w:fldCharType="begin"/>
      </w:r>
      <w:r>
        <w:instrText xml:space="preserve"> PAGEREF _Toc1824 \h </w:instrText>
      </w:r>
      <w:r>
        <w:fldChar w:fldCharType="separate"/>
      </w:r>
      <w:r>
        <w:t>42</w:t>
      </w:r>
      <w:r>
        <w:fldChar w:fldCharType="end"/>
      </w:r>
      <w:r>
        <w:fldChar w:fldCharType="end"/>
      </w:r>
    </w:p>
    <w:p w14:paraId="61A59CD3">
      <w:pPr>
        <w:pStyle w:val="17"/>
        <w:tabs>
          <w:tab w:val="right" w:leader="dot" w:pos="9186"/>
        </w:tabs>
      </w:pPr>
      <w:r>
        <w:fldChar w:fldCharType="begin"/>
      </w:r>
      <w:r>
        <w:instrText xml:space="preserve"> HYPERLINK \l "_Toc30319" </w:instrText>
      </w:r>
      <w:r>
        <w:fldChar w:fldCharType="separate"/>
      </w:r>
      <w:r>
        <w:rPr>
          <w:rFonts w:hint="eastAsia" w:ascii="仿宋" w:hAnsi="仿宋" w:eastAsia="仿宋" w:cs="仿宋"/>
        </w:rPr>
        <w:t>第七章投标文件格式</w:t>
      </w:r>
      <w:r>
        <w:tab/>
      </w:r>
      <w:r>
        <w:fldChar w:fldCharType="begin"/>
      </w:r>
      <w:r>
        <w:instrText xml:space="preserve"> PAGEREF _Toc30319 \h </w:instrText>
      </w:r>
      <w:r>
        <w:fldChar w:fldCharType="separate"/>
      </w:r>
      <w:r>
        <w:t>45</w:t>
      </w:r>
      <w:r>
        <w:fldChar w:fldCharType="end"/>
      </w:r>
      <w:r>
        <w:fldChar w:fldCharType="end"/>
      </w:r>
    </w:p>
    <w:p w14:paraId="297E3414">
      <w:pPr>
        <w:pStyle w:val="20"/>
        <w:tabs>
          <w:tab w:val="right" w:leader="dot" w:pos="9186"/>
        </w:tabs>
      </w:pPr>
      <w:r>
        <w:fldChar w:fldCharType="begin"/>
      </w:r>
      <w:r>
        <w:instrText xml:space="preserve"> HYPERLINK \l "_Toc25824" </w:instrText>
      </w:r>
      <w:r>
        <w:fldChar w:fldCharType="separate"/>
      </w:r>
      <w:r>
        <w:rPr>
          <w:rFonts w:hint="eastAsia" w:ascii="仿宋" w:hAnsi="仿宋" w:eastAsia="仿宋" w:cs="仿宋"/>
        </w:rPr>
        <w:t>一、投标文件资格审查部分格式</w:t>
      </w:r>
      <w:r>
        <w:tab/>
      </w:r>
      <w:r>
        <w:fldChar w:fldCharType="begin"/>
      </w:r>
      <w:r>
        <w:instrText xml:space="preserve"> PAGEREF _Toc25824 \h </w:instrText>
      </w:r>
      <w:r>
        <w:fldChar w:fldCharType="separate"/>
      </w:r>
      <w:r>
        <w:t>45</w:t>
      </w:r>
      <w:r>
        <w:fldChar w:fldCharType="end"/>
      </w:r>
      <w:r>
        <w:fldChar w:fldCharType="end"/>
      </w:r>
    </w:p>
    <w:p w14:paraId="69A0AC8B">
      <w:pPr>
        <w:pStyle w:val="20"/>
        <w:tabs>
          <w:tab w:val="right" w:leader="dot" w:pos="9186"/>
        </w:tabs>
      </w:pPr>
      <w:r>
        <w:fldChar w:fldCharType="begin"/>
      </w:r>
      <w:r>
        <w:instrText xml:space="preserve"> HYPERLINK \l "_Toc23652" </w:instrText>
      </w:r>
      <w:r>
        <w:fldChar w:fldCharType="separate"/>
      </w:r>
      <w:r>
        <w:rPr>
          <w:rFonts w:hint="eastAsia" w:ascii="仿宋" w:hAnsi="仿宋" w:eastAsia="仿宋" w:cs="仿宋"/>
        </w:rPr>
        <w:t>（一）投标函</w:t>
      </w:r>
      <w:r>
        <w:tab/>
      </w:r>
      <w:r>
        <w:fldChar w:fldCharType="begin"/>
      </w:r>
      <w:r>
        <w:instrText xml:space="preserve"> PAGEREF _Toc23652 \h </w:instrText>
      </w:r>
      <w:r>
        <w:fldChar w:fldCharType="separate"/>
      </w:r>
      <w:r>
        <w:t>45</w:t>
      </w:r>
      <w:r>
        <w:fldChar w:fldCharType="end"/>
      </w:r>
      <w:r>
        <w:fldChar w:fldCharType="end"/>
      </w:r>
    </w:p>
    <w:p w14:paraId="54084310">
      <w:pPr>
        <w:pStyle w:val="20"/>
        <w:tabs>
          <w:tab w:val="right" w:leader="dot" w:pos="9186"/>
        </w:tabs>
      </w:pPr>
      <w:r>
        <w:fldChar w:fldCharType="begin"/>
      </w:r>
      <w:r>
        <w:instrText xml:space="preserve"> HYPERLINK \l "_Toc1407" </w:instrText>
      </w:r>
      <w:r>
        <w:fldChar w:fldCharType="separate"/>
      </w:r>
      <w:r>
        <w:rPr>
          <w:rFonts w:hint="eastAsia" w:ascii="仿宋" w:hAnsi="仿宋" w:eastAsia="仿宋" w:cs="仿宋"/>
        </w:rPr>
        <w:t>（二）投标人一般情况表</w:t>
      </w:r>
      <w:r>
        <w:tab/>
      </w:r>
      <w:r>
        <w:fldChar w:fldCharType="begin"/>
      </w:r>
      <w:r>
        <w:instrText xml:space="preserve"> PAGEREF _Toc1407 \h </w:instrText>
      </w:r>
      <w:r>
        <w:fldChar w:fldCharType="separate"/>
      </w:r>
      <w:r>
        <w:t>47</w:t>
      </w:r>
      <w:r>
        <w:fldChar w:fldCharType="end"/>
      </w:r>
      <w:r>
        <w:fldChar w:fldCharType="end"/>
      </w:r>
    </w:p>
    <w:p w14:paraId="5C018C3C">
      <w:pPr>
        <w:pStyle w:val="20"/>
        <w:tabs>
          <w:tab w:val="right" w:leader="dot" w:pos="9186"/>
        </w:tabs>
      </w:pPr>
      <w:r>
        <w:fldChar w:fldCharType="begin"/>
      </w:r>
      <w:r>
        <w:instrText xml:space="preserve"> HYPERLINK \l "_Toc4777" </w:instrText>
      </w:r>
      <w:r>
        <w:fldChar w:fldCharType="separate"/>
      </w:r>
      <w:r>
        <w:rPr>
          <w:rFonts w:hint="eastAsia" w:ascii="仿宋" w:hAnsi="仿宋" w:eastAsia="仿宋" w:cs="仿宋"/>
        </w:rPr>
        <w:t>（三）政府采购二十二条要求</w:t>
      </w:r>
      <w:r>
        <w:tab/>
      </w:r>
      <w:r>
        <w:fldChar w:fldCharType="begin"/>
      </w:r>
      <w:r>
        <w:instrText xml:space="preserve"> PAGEREF _Toc4777 \h </w:instrText>
      </w:r>
      <w:r>
        <w:fldChar w:fldCharType="separate"/>
      </w:r>
      <w:r>
        <w:t>48</w:t>
      </w:r>
      <w:r>
        <w:fldChar w:fldCharType="end"/>
      </w:r>
      <w:r>
        <w:fldChar w:fldCharType="end"/>
      </w:r>
    </w:p>
    <w:p w14:paraId="426DC851">
      <w:pPr>
        <w:pStyle w:val="20"/>
        <w:tabs>
          <w:tab w:val="right" w:leader="dot" w:pos="9186"/>
        </w:tabs>
      </w:pPr>
      <w:r>
        <w:fldChar w:fldCharType="begin"/>
      </w:r>
      <w:r>
        <w:instrText xml:space="preserve"> HYPERLINK \l "_Toc27497" </w:instrText>
      </w:r>
      <w:r>
        <w:fldChar w:fldCharType="separate"/>
      </w:r>
      <w:r>
        <w:rPr>
          <w:rFonts w:hint="eastAsia" w:ascii="仿宋" w:hAnsi="仿宋" w:eastAsia="仿宋" w:cs="仿宋"/>
        </w:rPr>
        <w:t>（四）特定资格要求</w:t>
      </w:r>
      <w:r>
        <w:tab/>
      </w:r>
      <w:r>
        <w:fldChar w:fldCharType="begin"/>
      </w:r>
      <w:r>
        <w:instrText xml:space="preserve"> PAGEREF _Toc27497 \h </w:instrText>
      </w:r>
      <w:r>
        <w:fldChar w:fldCharType="separate"/>
      </w:r>
      <w:r>
        <w:t>48</w:t>
      </w:r>
      <w:r>
        <w:fldChar w:fldCharType="end"/>
      </w:r>
      <w:r>
        <w:fldChar w:fldCharType="end"/>
      </w:r>
    </w:p>
    <w:p w14:paraId="08AAA232">
      <w:pPr>
        <w:pStyle w:val="20"/>
        <w:tabs>
          <w:tab w:val="right" w:leader="dot" w:pos="9186"/>
        </w:tabs>
      </w:pPr>
      <w:r>
        <w:fldChar w:fldCharType="begin"/>
      </w:r>
      <w:r>
        <w:instrText xml:space="preserve"> HYPERLINK \l "_Toc21338" </w:instrText>
      </w:r>
      <w:r>
        <w:fldChar w:fldCharType="separate"/>
      </w:r>
      <w:r>
        <w:rPr>
          <w:rFonts w:hint="eastAsia" w:ascii="仿宋" w:hAnsi="仿宋" w:eastAsia="仿宋" w:cs="仿宋"/>
        </w:rPr>
        <w:t>（五）投标人不得存在以下情形</w:t>
      </w:r>
      <w:r>
        <w:tab/>
      </w:r>
      <w:r>
        <w:fldChar w:fldCharType="begin"/>
      </w:r>
      <w:r>
        <w:instrText xml:space="preserve"> PAGEREF _Toc21338 \h </w:instrText>
      </w:r>
      <w:r>
        <w:fldChar w:fldCharType="separate"/>
      </w:r>
      <w:r>
        <w:t>48</w:t>
      </w:r>
      <w:r>
        <w:fldChar w:fldCharType="end"/>
      </w:r>
      <w:r>
        <w:fldChar w:fldCharType="end"/>
      </w:r>
    </w:p>
    <w:p w14:paraId="151D18AE">
      <w:pPr>
        <w:pStyle w:val="20"/>
        <w:tabs>
          <w:tab w:val="right" w:leader="dot" w:pos="9186"/>
        </w:tabs>
      </w:pPr>
      <w:r>
        <w:fldChar w:fldCharType="begin"/>
      </w:r>
      <w:r>
        <w:instrText xml:space="preserve"> HYPERLINK \l "_Toc11304" </w:instrText>
      </w:r>
      <w:r>
        <w:fldChar w:fldCharType="separate"/>
      </w:r>
      <w:r>
        <w:rPr>
          <w:rFonts w:hint="eastAsia" w:ascii="仿宋" w:hAnsi="仿宋" w:eastAsia="仿宋" w:cs="仿宋"/>
        </w:rPr>
        <w:t>（六）投标人承诺书</w:t>
      </w:r>
      <w:r>
        <w:tab/>
      </w:r>
      <w:r>
        <w:fldChar w:fldCharType="begin"/>
      </w:r>
      <w:r>
        <w:instrText xml:space="preserve"> PAGEREF _Toc11304 \h </w:instrText>
      </w:r>
      <w:r>
        <w:fldChar w:fldCharType="separate"/>
      </w:r>
      <w:r>
        <w:t>49</w:t>
      </w:r>
      <w:r>
        <w:fldChar w:fldCharType="end"/>
      </w:r>
      <w:r>
        <w:fldChar w:fldCharType="end"/>
      </w:r>
    </w:p>
    <w:p w14:paraId="18488DC0">
      <w:pPr>
        <w:pStyle w:val="20"/>
        <w:tabs>
          <w:tab w:val="right" w:leader="dot" w:pos="9186"/>
        </w:tabs>
      </w:pPr>
      <w:r>
        <w:fldChar w:fldCharType="begin"/>
      </w:r>
      <w:r>
        <w:instrText xml:space="preserve"> HYPERLINK \l "_Toc31310" </w:instrText>
      </w:r>
      <w:r>
        <w:fldChar w:fldCharType="separate"/>
      </w:r>
      <w:r>
        <w:rPr>
          <w:rFonts w:hint="eastAsia" w:ascii="仿宋" w:hAnsi="仿宋" w:eastAsia="仿宋" w:cs="仿宋"/>
        </w:rPr>
        <w:t>（七）法定代表人身份证明书</w:t>
      </w:r>
      <w:r>
        <w:tab/>
      </w:r>
      <w:r>
        <w:fldChar w:fldCharType="begin"/>
      </w:r>
      <w:r>
        <w:instrText xml:space="preserve"> PAGEREF _Toc31310 \h </w:instrText>
      </w:r>
      <w:r>
        <w:fldChar w:fldCharType="separate"/>
      </w:r>
      <w:r>
        <w:t>50</w:t>
      </w:r>
      <w:r>
        <w:fldChar w:fldCharType="end"/>
      </w:r>
      <w:r>
        <w:fldChar w:fldCharType="end"/>
      </w:r>
    </w:p>
    <w:p w14:paraId="3272BD9E">
      <w:pPr>
        <w:pStyle w:val="20"/>
        <w:tabs>
          <w:tab w:val="right" w:leader="dot" w:pos="9186"/>
        </w:tabs>
      </w:pPr>
      <w:r>
        <w:fldChar w:fldCharType="begin"/>
      </w:r>
      <w:r>
        <w:instrText xml:space="preserve"> HYPERLINK \l "_Toc9947" </w:instrText>
      </w:r>
      <w:r>
        <w:fldChar w:fldCharType="separate"/>
      </w:r>
      <w:r>
        <w:rPr>
          <w:rFonts w:hint="eastAsia" w:ascii="仿宋" w:hAnsi="仿宋" w:eastAsia="仿宋" w:cs="仿宋"/>
        </w:rPr>
        <w:t>（八）授权委托书</w:t>
      </w:r>
      <w:r>
        <w:tab/>
      </w:r>
      <w:r>
        <w:fldChar w:fldCharType="begin"/>
      </w:r>
      <w:r>
        <w:instrText xml:space="preserve"> PAGEREF _Toc9947 \h </w:instrText>
      </w:r>
      <w:r>
        <w:fldChar w:fldCharType="separate"/>
      </w:r>
      <w:r>
        <w:t>51</w:t>
      </w:r>
      <w:r>
        <w:fldChar w:fldCharType="end"/>
      </w:r>
      <w:r>
        <w:fldChar w:fldCharType="end"/>
      </w:r>
    </w:p>
    <w:p w14:paraId="76E11915">
      <w:pPr>
        <w:pStyle w:val="20"/>
        <w:tabs>
          <w:tab w:val="right" w:leader="dot" w:pos="9186"/>
        </w:tabs>
      </w:pPr>
      <w:r>
        <w:fldChar w:fldCharType="begin"/>
      </w:r>
      <w:r>
        <w:instrText xml:space="preserve"> HYPERLINK \l "_Toc14887" </w:instrText>
      </w:r>
      <w:r>
        <w:fldChar w:fldCharType="separate"/>
      </w:r>
      <w:r>
        <w:rPr>
          <w:rFonts w:hint="eastAsia" w:ascii="仿宋" w:hAnsi="仿宋" w:eastAsia="仿宋" w:cs="仿宋"/>
        </w:rPr>
        <w:t>二、投标文件报价部分格式</w:t>
      </w:r>
      <w:r>
        <w:tab/>
      </w:r>
      <w:r>
        <w:fldChar w:fldCharType="begin"/>
      </w:r>
      <w:r>
        <w:instrText xml:space="preserve"> PAGEREF _Toc14887 \h </w:instrText>
      </w:r>
      <w:r>
        <w:fldChar w:fldCharType="separate"/>
      </w:r>
      <w:r>
        <w:t>52</w:t>
      </w:r>
      <w:r>
        <w:fldChar w:fldCharType="end"/>
      </w:r>
      <w:r>
        <w:fldChar w:fldCharType="end"/>
      </w:r>
    </w:p>
    <w:p w14:paraId="348C2DCB">
      <w:pPr>
        <w:pStyle w:val="20"/>
        <w:tabs>
          <w:tab w:val="right" w:leader="dot" w:pos="9186"/>
        </w:tabs>
      </w:pPr>
      <w:r>
        <w:fldChar w:fldCharType="begin"/>
      </w:r>
      <w:r>
        <w:instrText xml:space="preserve"> HYPERLINK \l "_Toc23447" </w:instrText>
      </w:r>
      <w:r>
        <w:fldChar w:fldCharType="separate"/>
      </w:r>
      <w:r>
        <w:rPr>
          <w:rFonts w:hint="eastAsia" w:ascii="仿宋" w:hAnsi="仿宋" w:eastAsia="仿宋" w:cs="仿宋"/>
        </w:rPr>
        <w:t>（一）投标报价说明</w:t>
      </w:r>
      <w:r>
        <w:tab/>
      </w:r>
      <w:r>
        <w:fldChar w:fldCharType="begin"/>
      </w:r>
      <w:r>
        <w:instrText xml:space="preserve"> PAGEREF _Toc23447 \h </w:instrText>
      </w:r>
      <w:r>
        <w:fldChar w:fldCharType="separate"/>
      </w:r>
      <w:r>
        <w:t>52</w:t>
      </w:r>
      <w:r>
        <w:fldChar w:fldCharType="end"/>
      </w:r>
      <w:r>
        <w:fldChar w:fldCharType="end"/>
      </w:r>
    </w:p>
    <w:p w14:paraId="00C5A5A2">
      <w:pPr>
        <w:pStyle w:val="20"/>
        <w:tabs>
          <w:tab w:val="right" w:leader="dot" w:pos="9186"/>
        </w:tabs>
      </w:pPr>
      <w:r>
        <w:fldChar w:fldCharType="begin"/>
      </w:r>
      <w:r>
        <w:instrText xml:space="preserve"> HYPERLINK \l "_Toc12986" </w:instrText>
      </w:r>
      <w:r>
        <w:fldChar w:fldCharType="separate"/>
      </w:r>
      <w:r>
        <w:rPr>
          <w:rFonts w:hint="eastAsia" w:ascii="仿宋" w:hAnsi="仿宋" w:eastAsia="仿宋" w:cs="仿宋"/>
        </w:rPr>
        <w:t>（二）投标报价 （唱标）一览表</w:t>
      </w:r>
      <w:r>
        <w:tab/>
      </w:r>
      <w:r>
        <w:fldChar w:fldCharType="begin"/>
      </w:r>
      <w:r>
        <w:instrText xml:space="preserve"> PAGEREF _Toc12986 \h </w:instrText>
      </w:r>
      <w:r>
        <w:fldChar w:fldCharType="separate"/>
      </w:r>
      <w:r>
        <w:t>53</w:t>
      </w:r>
      <w:r>
        <w:fldChar w:fldCharType="end"/>
      </w:r>
      <w:r>
        <w:fldChar w:fldCharType="end"/>
      </w:r>
    </w:p>
    <w:p w14:paraId="396FE602">
      <w:pPr>
        <w:pStyle w:val="20"/>
        <w:tabs>
          <w:tab w:val="right" w:leader="dot" w:pos="9186"/>
        </w:tabs>
      </w:pPr>
      <w:r>
        <w:fldChar w:fldCharType="begin"/>
      </w:r>
      <w:r>
        <w:instrText xml:space="preserve"> HYPERLINK \l "_Toc21164" </w:instrText>
      </w:r>
      <w:r>
        <w:fldChar w:fldCharType="separate"/>
      </w:r>
      <w:r>
        <w:rPr>
          <w:rFonts w:hint="eastAsia" w:ascii="仿宋" w:hAnsi="仿宋" w:eastAsia="仿宋" w:cs="仿宋"/>
        </w:rPr>
        <w:t>（三）中小企业声明函</w:t>
      </w:r>
      <w:r>
        <w:tab/>
      </w:r>
      <w:r>
        <w:fldChar w:fldCharType="begin"/>
      </w:r>
      <w:r>
        <w:instrText xml:space="preserve"> PAGEREF _Toc21164 \h </w:instrText>
      </w:r>
      <w:r>
        <w:fldChar w:fldCharType="separate"/>
      </w:r>
      <w:r>
        <w:t>54</w:t>
      </w:r>
      <w:r>
        <w:fldChar w:fldCharType="end"/>
      </w:r>
      <w:r>
        <w:fldChar w:fldCharType="end"/>
      </w:r>
    </w:p>
    <w:p w14:paraId="14D7B060">
      <w:pPr>
        <w:pStyle w:val="20"/>
        <w:tabs>
          <w:tab w:val="right" w:leader="dot" w:pos="9186"/>
        </w:tabs>
      </w:pPr>
      <w:r>
        <w:fldChar w:fldCharType="begin"/>
      </w:r>
      <w:r>
        <w:instrText xml:space="preserve"> HYPERLINK \l "_Toc15287" </w:instrText>
      </w:r>
      <w:r>
        <w:fldChar w:fldCharType="separate"/>
      </w:r>
      <w:r>
        <w:rPr>
          <w:rFonts w:hint="eastAsia" w:ascii="仿宋" w:hAnsi="仿宋" w:eastAsia="仿宋" w:cs="仿宋"/>
        </w:rPr>
        <w:t>（四）残疾人福利性单位声明函（如有）</w:t>
      </w:r>
      <w:r>
        <w:tab/>
      </w:r>
      <w:r>
        <w:fldChar w:fldCharType="begin"/>
      </w:r>
      <w:r>
        <w:instrText xml:space="preserve"> PAGEREF _Toc15287 \h </w:instrText>
      </w:r>
      <w:r>
        <w:fldChar w:fldCharType="separate"/>
      </w:r>
      <w:r>
        <w:t>55</w:t>
      </w:r>
      <w:r>
        <w:fldChar w:fldCharType="end"/>
      </w:r>
      <w:r>
        <w:fldChar w:fldCharType="end"/>
      </w:r>
    </w:p>
    <w:p w14:paraId="3196030E">
      <w:pPr>
        <w:pStyle w:val="20"/>
        <w:tabs>
          <w:tab w:val="right" w:leader="dot" w:pos="9186"/>
        </w:tabs>
      </w:pPr>
      <w:r>
        <w:fldChar w:fldCharType="begin"/>
      </w:r>
      <w:r>
        <w:instrText xml:space="preserve"> HYPERLINK \l "_Toc15132" </w:instrText>
      </w:r>
      <w:r>
        <w:fldChar w:fldCharType="separate"/>
      </w:r>
      <w:r>
        <w:rPr>
          <w:rFonts w:hint="eastAsia" w:ascii="仿宋" w:hAnsi="仿宋" w:eastAsia="仿宋" w:cs="仿宋"/>
        </w:rPr>
        <w:t>（五）监狱企业证明材料（如有）</w:t>
      </w:r>
      <w:r>
        <w:tab/>
      </w:r>
      <w:r>
        <w:fldChar w:fldCharType="begin"/>
      </w:r>
      <w:r>
        <w:instrText xml:space="preserve"> PAGEREF _Toc15132 \h </w:instrText>
      </w:r>
      <w:r>
        <w:fldChar w:fldCharType="separate"/>
      </w:r>
      <w:r>
        <w:t>56</w:t>
      </w:r>
      <w:r>
        <w:fldChar w:fldCharType="end"/>
      </w:r>
      <w:r>
        <w:fldChar w:fldCharType="end"/>
      </w:r>
    </w:p>
    <w:p w14:paraId="6300020E">
      <w:pPr>
        <w:pStyle w:val="20"/>
        <w:tabs>
          <w:tab w:val="right" w:leader="dot" w:pos="9186"/>
        </w:tabs>
      </w:pPr>
      <w:r>
        <w:fldChar w:fldCharType="begin"/>
      </w:r>
      <w:r>
        <w:instrText xml:space="preserve"> HYPERLINK \l "_Toc3533" </w:instrText>
      </w:r>
      <w:r>
        <w:fldChar w:fldCharType="separate"/>
      </w:r>
      <w:r>
        <w:rPr>
          <w:rFonts w:hint="eastAsia" w:ascii="仿宋" w:hAnsi="仿宋" w:eastAsia="仿宋" w:cs="仿宋"/>
        </w:rPr>
        <w:t>三、投标文件技术部分格式</w:t>
      </w:r>
      <w:r>
        <w:tab/>
      </w:r>
      <w:r>
        <w:fldChar w:fldCharType="begin"/>
      </w:r>
      <w:r>
        <w:instrText xml:space="preserve"> PAGEREF _Toc3533 \h </w:instrText>
      </w:r>
      <w:r>
        <w:fldChar w:fldCharType="separate"/>
      </w:r>
      <w:r>
        <w:t>57</w:t>
      </w:r>
      <w:r>
        <w:fldChar w:fldCharType="end"/>
      </w:r>
      <w:r>
        <w:fldChar w:fldCharType="end"/>
      </w:r>
    </w:p>
    <w:p w14:paraId="125BC85A">
      <w:pPr>
        <w:pStyle w:val="20"/>
        <w:tabs>
          <w:tab w:val="right" w:leader="dot" w:pos="9186"/>
        </w:tabs>
      </w:pPr>
      <w:r>
        <w:fldChar w:fldCharType="begin"/>
      </w:r>
      <w:r>
        <w:instrText xml:space="preserve"> HYPERLINK \l "_Toc25035" </w:instrText>
      </w:r>
      <w:r>
        <w:fldChar w:fldCharType="separate"/>
      </w:r>
      <w:r>
        <w:rPr>
          <w:rFonts w:hint="eastAsia" w:ascii="仿宋" w:hAnsi="仿宋" w:eastAsia="仿宋" w:cs="仿宋"/>
          <w:szCs w:val="30"/>
        </w:rPr>
        <w:t>四、投标文件商务部分格式</w:t>
      </w:r>
      <w:r>
        <w:tab/>
      </w:r>
      <w:r>
        <w:fldChar w:fldCharType="begin"/>
      </w:r>
      <w:r>
        <w:instrText xml:space="preserve"> PAGEREF _Toc25035 \h </w:instrText>
      </w:r>
      <w:r>
        <w:fldChar w:fldCharType="separate"/>
      </w:r>
      <w:r>
        <w:t>59</w:t>
      </w:r>
      <w:r>
        <w:fldChar w:fldCharType="end"/>
      </w:r>
      <w:r>
        <w:fldChar w:fldCharType="end"/>
      </w:r>
    </w:p>
    <w:p w14:paraId="6621E26F">
      <w:pPr>
        <w:pStyle w:val="20"/>
        <w:tabs>
          <w:tab w:val="right" w:leader="dot" w:pos="9186"/>
        </w:tabs>
      </w:pPr>
      <w:r>
        <w:fldChar w:fldCharType="begin"/>
      </w:r>
      <w:r>
        <w:instrText xml:space="preserve"> HYPERLINK \l "_Toc1426" </w:instrText>
      </w:r>
      <w:r>
        <w:fldChar w:fldCharType="separate"/>
      </w:r>
      <w:r>
        <w:rPr>
          <w:rFonts w:hint="eastAsia" w:ascii="仿宋" w:hAnsi="仿宋" w:eastAsia="仿宋" w:cs="仿宋"/>
        </w:rPr>
        <w:t>（一）类似业绩</w:t>
      </w:r>
      <w:r>
        <w:tab/>
      </w:r>
      <w:r>
        <w:fldChar w:fldCharType="begin"/>
      </w:r>
      <w:r>
        <w:instrText xml:space="preserve"> PAGEREF _Toc1426 \h </w:instrText>
      </w:r>
      <w:r>
        <w:fldChar w:fldCharType="separate"/>
      </w:r>
      <w:r>
        <w:t>59</w:t>
      </w:r>
      <w:r>
        <w:fldChar w:fldCharType="end"/>
      </w:r>
      <w:r>
        <w:fldChar w:fldCharType="end"/>
      </w:r>
    </w:p>
    <w:p w14:paraId="4575CA8D">
      <w:pPr>
        <w:tabs>
          <w:tab w:val="right" w:leader="dot" w:pos="9855"/>
        </w:tabs>
        <w:wordWrap w:val="0"/>
        <w:adjustRightInd w:val="0"/>
        <w:snapToGrid w:val="0"/>
        <w:spacing w:before="240" w:beforeLines="100" w:after="240" w:afterLines="100" w:line="360" w:lineRule="auto"/>
        <w:jc w:val="center"/>
        <w:rPr>
          <w:rFonts w:hint="eastAsia" w:ascii="仿宋" w:hAnsi="仿宋" w:eastAsia="仿宋" w:cs="仿宋"/>
          <w:i/>
          <w:caps/>
          <w:smallCaps/>
          <w:sz w:val="21"/>
          <w:szCs w:val="21"/>
        </w:rPr>
        <w:sectPr>
          <w:footerReference r:id="rId9" w:type="default"/>
          <w:pgSz w:w="11907" w:h="16840"/>
          <w:pgMar w:top="1474" w:right="1247" w:bottom="1247" w:left="1474" w:header="851" w:footer="851" w:gutter="0"/>
          <w:pgNumType w:start="1"/>
          <w:cols w:space="720" w:num="1"/>
          <w:docGrid w:linePitch="286" w:charSpace="0"/>
        </w:sectPr>
      </w:pPr>
      <w:r>
        <w:rPr>
          <w:rFonts w:hint="eastAsia" w:ascii="仿宋" w:hAnsi="仿宋" w:eastAsia="仿宋" w:cs="仿宋"/>
          <w:i/>
          <w:caps/>
          <w:smallCaps/>
          <w:sz w:val="21"/>
          <w:szCs w:val="21"/>
        </w:rPr>
        <w:fldChar w:fldCharType="end"/>
      </w:r>
      <w:bookmarkStart w:id="2" w:name="_Toc45284380"/>
      <w:bookmarkStart w:id="3" w:name="_Hlk24379207"/>
      <w:bookmarkStart w:id="4" w:name="_Toc229583198"/>
    </w:p>
    <w:p w14:paraId="2B826E71">
      <w:pPr>
        <w:pStyle w:val="2"/>
        <w:tabs>
          <w:tab w:val="right" w:leader="dot" w:pos="9855"/>
        </w:tabs>
        <w:wordWrap w:val="0"/>
        <w:spacing w:before="120" w:beforeLines="50" w:after="120" w:afterLines="50" w:line="360" w:lineRule="auto"/>
        <w:jc w:val="center"/>
        <w:rPr>
          <w:rFonts w:hint="eastAsia" w:ascii="仿宋" w:hAnsi="仿宋" w:eastAsia="仿宋" w:cs="仿宋"/>
          <w:b w:val="0"/>
          <w:sz w:val="36"/>
        </w:rPr>
      </w:pPr>
      <w:bookmarkStart w:id="5" w:name="_Toc23540"/>
      <w:r>
        <w:rPr>
          <w:rFonts w:hint="eastAsia" w:ascii="仿宋" w:hAnsi="仿宋" w:eastAsia="仿宋" w:cs="仿宋"/>
          <w:b w:val="0"/>
          <w:sz w:val="36"/>
        </w:rPr>
        <w:t>第一章 招标公告</w:t>
      </w:r>
      <w:bookmarkEnd w:id="2"/>
      <w:bookmarkEnd w:id="5"/>
    </w:p>
    <w:bookmarkEnd w:id="3"/>
    <w:p w14:paraId="45D3C03D">
      <w:pPr>
        <w:jc w:val="center"/>
        <w:rPr>
          <w:rFonts w:hint="eastAsia" w:ascii="仿宋" w:hAnsi="仿宋" w:eastAsia="仿宋" w:cs="仿宋"/>
          <w:b/>
          <w:bCs/>
          <w:sz w:val="30"/>
          <w:szCs w:val="30"/>
        </w:rPr>
      </w:pPr>
      <w:bookmarkStart w:id="6" w:name="_Toc260908184"/>
      <w:bookmarkStart w:id="7" w:name="_Toc260907968"/>
      <w:r>
        <w:rPr>
          <w:rFonts w:hint="eastAsia" w:ascii="仿宋" w:hAnsi="仿宋" w:eastAsia="仿宋" w:cs="仿宋"/>
          <w:b/>
          <w:sz w:val="28"/>
          <w:szCs w:val="28"/>
        </w:rPr>
        <w:t>富民县永定小学校外供餐企业采购项目</w:t>
      </w:r>
      <w:r>
        <w:rPr>
          <w:rFonts w:hint="eastAsia" w:ascii="仿宋" w:hAnsi="仿宋" w:eastAsia="仿宋" w:cs="仿宋"/>
          <w:b/>
          <w:bCs/>
          <w:sz w:val="30"/>
          <w:szCs w:val="30"/>
        </w:rPr>
        <w:t>公开招标公告</w:t>
      </w:r>
    </w:p>
    <w:tbl>
      <w:tblPr>
        <w:tblStyle w:val="26"/>
        <w:tblW w:w="9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0"/>
      </w:tblGrid>
      <w:tr w14:paraId="61BBB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2" w:hRule="atLeast"/>
        </w:trPr>
        <w:tc>
          <w:tcPr>
            <w:tcW w:w="9440" w:type="dxa"/>
          </w:tcPr>
          <w:p w14:paraId="6782C02C">
            <w:pPr>
              <w:spacing w:before="240" w:beforeLines="100" w:line="360" w:lineRule="auto"/>
              <w:rPr>
                <w:rFonts w:hint="eastAsia" w:ascii="仿宋" w:hAnsi="仿宋" w:eastAsia="仿宋" w:cs="仿宋"/>
                <w:sz w:val="21"/>
                <w:szCs w:val="21"/>
              </w:rPr>
            </w:pPr>
            <w:bookmarkStart w:id="8" w:name="_Toc31712"/>
            <w:bookmarkStart w:id="9" w:name="_Toc10475"/>
            <w:bookmarkStart w:id="10" w:name="_Toc23482"/>
            <w:r>
              <w:rPr>
                <w:rFonts w:hint="eastAsia" w:ascii="仿宋" w:hAnsi="仿宋" w:eastAsia="仿宋" w:cs="仿宋"/>
                <w:sz w:val="21"/>
                <w:szCs w:val="21"/>
              </w:rPr>
              <w:t>项目概况</w:t>
            </w:r>
          </w:p>
          <w:p w14:paraId="1E1333EC">
            <w:pPr>
              <w:spacing w:line="360" w:lineRule="auto"/>
              <w:ind w:firstLine="420" w:firstLineChars="200"/>
              <w:jc w:val="both"/>
              <w:rPr>
                <w:rFonts w:hint="eastAsia" w:ascii="仿宋" w:hAnsi="仿宋" w:eastAsia="仿宋" w:cs="仿宋"/>
                <w:sz w:val="21"/>
                <w:szCs w:val="21"/>
              </w:rPr>
            </w:pPr>
            <w:r>
              <w:rPr>
                <w:rFonts w:hint="eastAsia" w:ascii="仿宋" w:hAnsi="仿宋" w:eastAsia="仿宋" w:cs="仿宋"/>
                <w:sz w:val="21"/>
                <w:szCs w:val="21"/>
              </w:rPr>
              <w:t>富民县永定小学校外供餐企业采购项目招标项目的潜在投标人应在政府采购云平台（</w:t>
            </w:r>
            <w:r>
              <w:fldChar w:fldCharType="begin"/>
            </w:r>
            <w:r>
              <w:instrText xml:space="preserve"> HYPERLINK "https://www.zcygov.cn/" </w:instrText>
            </w:r>
            <w:r>
              <w:fldChar w:fldCharType="separate"/>
            </w:r>
            <w:r>
              <w:rPr>
                <w:rStyle w:val="30"/>
                <w:rFonts w:hint="eastAsia" w:ascii="仿宋" w:hAnsi="仿宋" w:eastAsia="仿宋" w:cs="仿宋"/>
                <w:color w:val="auto"/>
                <w:sz w:val="21"/>
                <w:szCs w:val="21"/>
              </w:rPr>
              <w:t>https://www.zcygov.cn/</w:t>
            </w:r>
            <w:r>
              <w:rPr>
                <w:rStyle w:val="30"/>
                <w:rFonts w:hint="eastAsia" w:ascii="仿宋" w:hAnsi="仿宋" w:eastAsia="仿宋" w:cs="仿宋"/>
                <w:color w:val="auto"/>
                <w:sz w:val="21"/>
                <w:szCs w:val="21"/>
              </w:rPr>
              <w:fldChar w:fldCharType="end"/>
            </w:r>
            <w:r>
              <w:rPr>
                <w:rFonts w:hint="eastAsia" w:ascii="仿宋" w:hAnsi="仿宋" w:eastAsia="仿宋" w:cs="仿宋"/>
                <w:sz w:val="21"/>
                <w:szCs w:val="21"/>
              </w:rPr>
              <w:t>，获取招标文件，并于</w:t>
            </w:r>
            <w:r>
              <w:rPr>
                <w:rFonts w:hint="eastAsia" w:ascii="仿宋" w:hAnsi="仿宋" w:eastAsia="仿宋" w:cs="仿宋"/>
                <w:sz w:val="21"/>
                <w:szCs w:val="21"/>
                <w:highlight w:val="none"/>
              </w:rPr>
              <w:t>2024-</w:t>
            </w:r>
            <w:r>
              <w:rPr>
                <w:rFonts w:hint="eastAsia" w:ascii="仿宋" w:hAnsi="仿宋" w:eastAsia="仿宋" w:cs="仿宋"/>
                <w:sz w:val="21"/>
                <w:szCs w:val="21"/>
                <w:highlight w:val="none"/>
                <w:lang w:val="en-US" w:eastAsia="zh-CN"/>
              </w:rPr>
              <w:t>11</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26</w:t>
            </w:r>
            <w:r>
              <w:rPr>
                <w:rFonts w:hint="eastAsia" w:ascii="仿宋" w:hAnsi="仿宋" w:eastAsia="仿宋" w:cs="仿宋"/>
                <w:sz w:val="21"/>
                <w:szCs w:val="21"/>
                <w:highlight w:val="none"/>
              </w:rPr>
              <w:t xml:space="preserve"> 09:30</w:t>
            </w:r>
            <w:r>
              <w:rPr>
                <w:rFonts w:hint="eastAsia" w:ascii="仿宋" w:hAnsi="仿宋" w:eastAsia="仿宋" w:cs="仿宋"/>
                <w:sz w:val="21"/>
                <w:szCs w:val="21"/>
              </w:rPr>
              <w:t>（北京时间）前递交投标文件。</w:t>
            </w:r>
          </w:p>
        </w:tc>
      </w:tr>
    </w:tbl>
    <w:p w14:paraId="79D0077A">
      <w:pPr>
        <w:pStyle w:val="3"/>
        <w:spacing w:before="120" w:beforeLines="50" w:line="360" w:lineRule="auto"/>
        <w:rPr>
          <w:rFonts w:hint="eastAsia" w:ascii="仿宋" w:hAnsi="仿宋" w:eastAsia="仿宋" w:cs="仿宋"/>
          <w:sz w:val="21"/>
          <w:szCs w:val="21"/>
        </w:rPr>
      </w:pPr>
      <w:bookmarkStart w:id="11" w:name="_Toc23317"/>
      <w:r>
        <w:rPr>
          <w:rFonts w:hint="eastAsia" w:ascii="仿宋" w:hAnsi="仿宋" w:eastAsia="仿宋" w:cs="仿宋"/>
          <w:sz w:val="21"/>
          <w:szCs w:val="21"/>
        </w:rPr>
        <w:t>一、项目基本情况</w:t>
      </w:r>
      <w:bookmarkEnd w:id="8"/>
      <w:bookmarkEnd w:id="9"/>
      <w:bookmarkEnd w:id="10"/>
      <w:bookmarkEnd w:id="11"/>
    </w:p>
    <w:p w14:paraId="3CBBD266">
      <w:pPr>
        <w:spacing w:after="0" w:line="360" w:lineRule="auto"/>
        <w:ind w:firstLine="420" w:firstLineChars="200"/>
        <w:rPr>
          <w:rFonts w:hint="eastAsia" w:ascii="仿宋" w:hAnsi="仿宋" w:eastAsia="仿宋" w:cs="仿宋"/>
          <w:sz w:val="21"/>
          <w:szCs w:val="21"/>
        </w:rPr>
      </w:pPr>
      <w:bookmarkStart w:id="12" w:name="_Toc8719"/>
      <w:bookmarkStart w:id="13" w:name="_Toc7050"/>
      <w:bookmarkStart w:id="14" w:name="_Toc8735"/>
      <w:r>
        <w:rPr>
          <w:rFonts w:hint="eastAsia" w:ascii="仿宋" w:hAnsi="仿宋" w:eastAsia="仿宋" w:cs="仿宋"/>
          <w:sz w:val="21"/>
          <w:szCs w:val="21"/>
        </w:rPr>
        <w:t>项目编号：KMZC2024-G3-02681-YNXH-0024</w:t>
      </w:r>
    </w:p>
    <w:p w14:paraId="0C836F4B">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项目名称：富民县永定小学校外供餐企业采购项目</w:t>
      </w:r>
    </w:p>
    <w:p w14:paraId="29515ABA">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预算金额（万元）：353.91</w:t>
      </w:r>
    </w:p>
    <w:p w14:paraId="31125A2D">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最高限价（万元）：353.91</w:t>
      </w:r>
    </w:p>
    <w:p w14:paraId="281A4A90">
      <w:pPr>
        <w:spacing w:after="0"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采购需求：为富民县永定小学全校学生提供午餐供餐服务，餐费标准1</w:t>
      </w:r>
      <w:r>
        <w:rPr>
          <w:rFonts w:hint="eastAsia" w:ascii="仿宋" w:hAnsi="仿宋" w:eastAsia="仿宋" w:cs="仿宋"/>
          <w:sz w:val="21"/>
          <w:szCs w:val="21"/>
          <w:highlight w:val="none"/>
          <w:lang w:val="en-US" w:eastAsia="zh-CN"/>
        </w:rPr>
        <w:t>0</w:t>
      </w:r>
      <w:r>
        <w:rPr>
          <w:rFonts w:hint="eastAsia" w:ascii="仿宋" w:hAnsi="仿宋" w:eastAsia="仿宋" w:cs="仿宋"/>
          <w:sz w:val="21"/>
          <w:szCs w:val="21"/>
          <w:highlight w:val="none"/>
        </w:rPr>
        <w:t>元/人/餐，具体要求详见第六章采购需求。</w:t>
      </w:r>
    </w:p>
    <w:p w14:paraId="13AB4477">
      <w:pPr>
        <w:spacing w:after="0" w:line="360" w:lineRule="auto"/>
        <w:ind w:firstLine="420" w:firstLineChars="200"/>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rPr>
        <w:t>合同履行期限：</w:t>
      </w:r>
      <w:bookmarkStart w:id="15" w:name="OLE_LINK1"/>
      <w:r>
        <w:rPr>
          <w:rFonts w:hint="eastAsia" w:ascii="仿宋" w:hAnsi="仿宋" w:eastAsia="仿宋" w:cs="仿宋"/>
          <w:sz w:val="21"/>
          <w:szCs w:val="21"/>
          <w:highlight w:val="none"/>
          <w:lang w:val="en-US" w:eastAsia="zh-CN"/>
        </w:rPr>
        <w:t>自签定合同之日起至2025年7月31日止。</w:t>
      </w:r>
      <w:bookmarkEnd w:id="15"/>
    </w:p>
    <w:p w14:paraId="2C6E4E04">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本项目（否）接受联合体投标。</w:t>
      </w:r>
    </w:p>
    <w:p w14:paraId="1EB3BF8E">
      <w:pPr>
        <w:pStyle w:val="3"/>
        <w:spacing w:before="0" w:line="360" w:lineRule="auto"/>
        <w:rPr>
          <w:rFonts w:hint="eastAsia" w:ascii="仿宋" w:hAnsi="仿宋" w:eastAsia="仿宋" w:cs="仿宋"/>
          <w:sz w:val="21"/>
          <w:szCs w:val="21"/>
        </w:rPr>
      </w:pPr>
      <w:bookmarkStart w:id="16" w:name="_Toc838"/>
      <w:r>
        <w:rPr>
          <w:rFonts w:hint="eastAsia" w:ascii="仿宋" w:hAnsi="仿宋" w:eastAsia="仿宋" w:cs="仿宋"/>
          <w:sz w:val="21"/>
          <w:szCs w:val="21"/>
        </w:rPr>
        <w:t>二、申请人的资格要求</w:t>
      </w:r>
      <w:bookmarkEnd w:id="12"/>
      <w:bookmarkEnd w:id="13"/>
      <w:bookmarkEnd w:id="14"/>
      <w:bookmarkEnd w:id="16"/>
    </w:p>
    <w:p w14:paraId="70C864BA">
      <w:pPr>
        <w:spacing w:after="0" w:line="360" w:lineRule="auto"/>
        <w:ind w:firstLine="420" w:firstLineChars="200"/>
        <w:rPr>
          <w:rFonts w:hint="eastAsia" w:ascii="仿宋" w:hAnsi="仿宋" w:eastAsia="仿宋" w:cs="仿宋"/>
          <w:sz w:val="21"/>
          <w:szCs w:val="21"/>
        </w:rPr>
      </w:pPr>
      <w:bookmarkStart w:id="17" w:name="_Toc4787"/>
      <w:bookmarkStart w:id="18" w:name="_Toc17217"/>
      <w:bookmarkStart w:id="19" w:name="_Toc10450"/>
      <w:r>
        <w:rPr>
          <w:rFonts w:hint="eastAsia" w:ascii="仿宋" w:hAnsi="仿宋" w:eastAsia="仿宋" w:cs="仿宋"/>
          <w:sz w:val="21"/>
          <w:szCs w:val="21"/>
        </w:rPr>
        <w:t>1、满足《中华人民共和国政府采购法》第二十二条规定；</w:t>
      </w:r>
    </w:p>
    <w:p w14:paraId="52CD31F9">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2、落实政府采购政策需满足的资格要求：本项目为不专门面向中小企业采购的项目，执行价格评审优惠的扶持政策,残疾人企业和监狱企业视同为小微企业，小微企业价格扣除优惠比例:10%；</w:t>
      </w:r>
    </w:p>
    <w:p w14:paraId="250307C8">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3、本项目的特定资格要求</w:t>
      </w:r>
      <w:r>
        <w:rPr>
          <w:rFonts w:hint="eastAsia" w:ascii="仿宋" w:hAnsi="仿宋" w:eastAsia="仿宋" w:cs="仿宋"/>
          <w:sz w:val="21"/>
          <w:szCs w:val="21"/>
          <w:highlight w:val="none"/>
        </w:rPr>
        <w:t>：（1）投标人必须为持有有效期内《食品经营许可证》</w:t>
      </w:r>
      <w:r>
        <w:rPr>
          <w:rFonts w:hint="eastAsia" w:ascii="仿宋" w:hAnsi="仿宋" w:eastAsia="仿宋" w:cs="仿宋"/>
          <w:sz w:val="21"/>
          <w:szCs w:val="21"/>
          <w:highlight w:val="none"/>
          <w:lang w:val="en-US" w:eastAsia="zh-CN"/>
        </w:rPr>
        <w:t>和</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集体用餐配送资质</w:t>
      </w:r>
      <w:r>
        <w:rPr>
          <w:rFonts w:hint="eastAsia" w:ascii="仿宋" w:hAnsi="仿宋" w:eastAsia="仿宋" w:cs="仿宋"/>
          <w:sz w:val="21"/>
          <w:szCs w:val="21"/>
          <w:highlight w:val="none"/>
        </w:rPr>
        <w:t>》；</w:t>
      </w:r>
      <w:r>
        <w:rPr>
          <w:rFonts w:hint="eastAsia" w:ascii="仿宋" w:hAnsi="仿宋" w:eastAsia="仿宋" w:cs="仿宋"/>
          <w:sz w:val="21"/>
          <w:szCs w:val="21"/>
        </w:rPr>
        <w:t>（</w:t>
      </w:r>
      <w:r>
        <w:rPr>
          <w:rFonts w:hint="eastAsia" w:ascii="仿宋" w:hAnsi="仿宋" w:eastAsia="仿宋" w:cs="仿宋"/>
          <w:sz w:val="21"/>
          <w:szCs w:val="21"/>
          <w:lang w:val="en-US" w:eastAsia="zh-CN"/>
        </w:rPr>
        <w:t>2</w:t>
      </w:r>
      <w:r>
        <w:rPr>
          <w:rFonts w:hint="eastAsia" w:ascii="仿宋" w:hAnsi="仿宋" w:eastAsia="仿宋" w:cs="仿宋"/>
          <w:sz w:val="21"/>
          <w:szCs w:val="21"/>
        </w:rPr>
        <w:t>）单位负责人为同一人或者存在直接控股、管理关系的不同投标人，不得参加同一合同项下的政府采购活动，否则均按无效处理；（</w:t>
      </w:r>
      <w:r>
        <w:rPr>
          <w:rFonts w:hint="eastAsia" w:ascii="仿宋" w:hAnsi="仿宋" w:eastAsia="仿宋" w:cs="仿宋"/>
          <w:sz w:val="21"/>
          <w:szCs w:val="21"/>
          <w:lang w:val="en-US" w:eastAsia="zh-CN"/>
        </w:rPr>
        <w:t>3</w:t>
      </w:r>
      <w:r>
        <w:rPr>
          <w:rFonts w:hint="eastAsia" w:ascii="仿宋" w:hAnsi="仿宋" w:eastAsia="仿宋" w:cs="仿宋"/>
          <w:sz w:val="21"/>
          <w:szCs w:val="21"/>
        </w:rPr>
        <w:t>）采购人或采购代理机构在投标文件递交的截止时间后将对投标人的信用信息在“信用中国”网站（www.creditchina.gov.cn）及中国政府采购网上进行查询，投标人如被列入“信用中国”网站（www.creditchina.gov.cn）失信被执行人（或失信惩戒人）、重大税收违法失信主体及中国政府采购网（www.ccgp.gov.cn）政府采购严重违法失信行为信息记录（被禁止在一定期限内参加政府采购活动但期限届满的除外）名单的，其投标文件按无效投标文件处理；（</w:t>
      </w:r>
      <w:r>
        <w:rPr>
          <w:rFonts w:hint="eastAsia" w:ascii="仿宋" w:hAnsi="仿宋" w:eastAsia="仿宋" w:cs="仿宋"/>
          <w:sz w:val="21"/>
          <w:szCs w:val="21"/>
          <w:lang w:val="en-US" w:eastAsia="zh-CN"/>
        </w:rPr>
        <w:t>4</w:t>
      </w:r>
      <w:r>
        <w:rPr>
          <w:rFonts w:hint="eastAsia" w:ascii="仿宋" w:hAnsi="仿宋" w:eastAsia="仿宋" w:cs="仿宋"/>
          <w:sz w:val="21"/>
          <w:szCs w:val="21"/>
        </w:rPr>
        <w:t>）本项目不接</w:t>
      </w:r>
      <w:r>
        <w:rPr>
          <w:rFonts w:hint="eastAsia" w:ascii="仿宋" w:hAnsi="仿宋" w:eastAsia="仿宋" w:cs="仿宋"/>
          <w:sz w:val="21"/>
          <w:szCs w:val="21"/>
          <w:highlight w:val="none"/>
        </w:rPr>
        <w:t>受进口产品</w:t>
      </w:r>
      <w:r>
        <w:rPr>
          <w:rFonts w:hint="eastAsia" w:ascii="仿宋" w:hAnsi="仿宋" w:eastAsia="仿宋" w:cs="仿宋"/>
          <w:sz w:val="21"/>
          <w:szCs w:val="21"/>
        </w:rPr>
        <w:t>。</w:t>
      </w:r>
    </w:p>
    <w:p w14:paraId="004E53D5">
      <w:pPr>
        <w:pStyle w:val="3"/>
        <w:spacing w:before="0" w:line="360" w:lineRule="auto"/>
        <w:rPr>
          <w:rFonts w:hint="eastAsia" w:ascii="仿宋" w:hAnsi="仿宋" w:eastAsia="仿宋" w:cs="仿宋"/>
          <w:sz w:val="21"/>
          <w:szCs w:val="21"/>
        </w:rPr>
      </w:pPr>
      <w:bookmarkStart w:id="20" w:name="_Toc15081"/>
      <w:r>
        <w:rPr>
          <w:rFonts w:hint="eastAsia" w:ascii="仿宋" w:hAnsi="仿宋" w:eastAsia="仿宋" w:cs="仿宋"/>
          <w:sz w:val="21"/>
          <w:szCs w:val="21"/>
        </w:rPr>
        <w:t>三、获取招标文件</w:t>
      </w:r>
      <w:bookmarkEnd w:id="17"/>
      <w:bookmarkEnd w:id="18"/>
      <w:bookmarkEnd w:id="19"/>
      <w:bookmarkEnd w:id="20"/>
    </w:p>
    <w:p w14:paraId="57F2D37E">
      <w:pPr>
        <w:spacing w:after="0" w:line="360" w:lineRule="auto"/>
        <w:ind w:firstLine="420" w:firstLineChars="200"/>
        <w:rPr>
          <w:rFonts w:hint="eastAsia" w:ascii="仿宋" w:hAnsi="仿宋" w:eastAsia="仿宋" w:cs="仿宋"/>
          <w:sz w:val="21"/>
          <w:szCs w:val="21"/>
        </w:rPr>
      </w:pPr>
      <w:bookmarkStart w:id="21" w:name="_Toc28359082"/>
      <w:bookmarkStart w:id="22" w:name="_Toc28359005"/>
      <w:bookmarkStart w:id="23" w:name="_Toc20671"/>
      <w:bookmarkStart w:id="24" w:name="_Toc35393793"/>
      <w:bookmarkStart w:id="25" w:name="_Toc23695"/>
      <w:bookmarkStart w:id="26" w:name="_Toc35393624"/>
      <w:bookmarkStart w:id="27" w:name="_Toc7785"/>
      <w:r>
        <w:rPr>
          <w:rFonts w:hint="eastAsia" w:ascii="仿宋" w:hAnsi="仿宋" w:eastAsia="仿宋" w:cs="仿宋"/>
          <w:sz w:val="21"/>
          <w:szCs w:val="21"/>
        </w:rPr>
        <w:t>时间：</w:t>
      </w:r>
      <w:r>
        <w:rPr>
          <w:rFonts w:hint="eastAsia" w:ascii="仿宋" w:hAnsi="仿宋" w:eastAsia="仿宋" w:cs="仿宋"/>
          <w:sz w:val="21"/>
          <w:szCs w:val="21"/>
          <w:highlight w:val="none"/>
        </w:rPr>
        <w:t>2024-1</w:t>
      </w: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06</w:t>
      </w:r>
      <w:r>
        <w:rPr>
          <w:rFonts w:hint="eastAsia" w:ascii="仿宋" w:hAnsi="仿宋" w:eastAsia="仿宋" w:cs="仿宋"/>
          <w:sz w:val="21"/>
          <w:szCs w:val="21"/>
        </w:rPr>
        <w:t xml:space="preserve"> 00:00至2024-11-</w:t>
      </w:r>
      <w:r>
        <w:rPr>
          <w:rFonts w:hint="eastAsia" w:ascii="仿宋" w:hAnsi="仿宋" w:eastAsia="仿宋" w:cs="仿宋"/>
          <w:sz w:val="21"/>
          <w:szCs w:val="21"/>
          <w:lang w:val="en-US" w:eastAsia="zh-CN"/>
        </w:rPr>
        <w:t>13</w:t>
      </w:r>
      <w:r>
        <w:rPr>
          <w:rFonts w:hint="eastAsia" w:ascii="仿宋" w:hAnsi="仿宋" w:eastAsia="仿宋" w:cs="仿宋"/>
          <w:sz w:val="21"/>
          <w:szCs w:val="21"/>
        </w:rPr>
        <w:t xml:space="preserve"> 0:00（每天上午00:00至12:00，下午12:00至23:59（北京时间，法定节假日除外）</w:t>
      </w:r>
    </w:p>
    <w:p w14:paraId="19A85CB2">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地点：政采云平台（https://www.zcygov.cn/）获取（下载）</w:t>
      </w:r>
    </w:p>
    <w:p w14:paraId="6AF8EB4F">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方式：1.凡有意参加投标者，须在政采云平台办理数字证书（CA），并在政采云绑定数字证书（CA）后线上获取采购文件及其它采购资料。CA申领链接：</w:t>
      </w:r>
      <w:r>
        <w:fldChar w:fldCharType="begin"/>
      </w:r>
      <w:r>
        <w:instrText xml:space="preserve"> HYPERLINK "https://middle.zcygov.cn/ca/apply/list?_app_=zcy.sys，CA申领后需登陆政采云平台完成数字证书（CA）绑定才可以使用，数字证书（CA）详见其办理流程。" </w:instrText>
      </w:r>
      <w:r>
        <w:fldChar w:fldCharType="separate"/>
      </w:r>
      <w:r>
        <w:rPr>
          <w:rStyle w:val="30"/>
          <w:rFonts w:hint="eastAsia" w:ascii="仿宋" w:hAnsi="仿宋" w:eastAsia="仿宋" w:cs="仿宋"/>
          <w:color w:val="auto"/>
          <w:sz w:val="21"/>
          <w:szCs w:val="21"/>
        </w:rPr>
        <w:t>https://middle.zcygov.cn/ca/apply/list?_app_=zcy.sys，CA申领后需登陆政采云平台完成数字证书（CA）绑定才可以使用，数字证书（CA）详见其办理流程。</w:t>
      </w:r>
      <w:r>
        <w:rPr>
          <w:rStyle w:val="30"/>
          <w:rFonts w:hint="eastAsia" w:ascii="仿宋" w:hAnsi="仿宋" w:eastAsia="仿宋" w:cs="仿宋"/>
          <w:color w:val="auto"/>
          <w:sz w:val="21"/>
          <w:szCs w:val="21"/>
        </w:rPr>
        <w:fldChar w:fldCharType="end"/>
      </w:r>
      <w:r>
        <w:rPr>
          <w:rFonts w:hint="eastAsia" w:ascii="仿宋" w:hAnsi="仿宋" w:eastAsia="仿宋" w:cs="仿宋"/>
          <w:sz w:val="21"/>
          <w:szCs w:val="21"/>
        </w:rPr>
        <w:t>2.按上述要求获取文件的投标人视为合法获取了本项目采购文件，具备本项目的投标资格。</w:t>
      </w:r>
    </w:p>
    <w:p w14:paraId="6A681CF3">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售价（元）：0</w:t>
      </w:r>
    </w:p>
    <w:p w14:paraId="372B7BCE">
      <w:pPr>
        <w:pStyle w:val="3"/>
        <w:spacing w:before="0" w:line="360" w:lineRule="auto"/>
        <w:rPr>
          <w:rFonts w:hint="eastAsia" w:ascii="仿宋" w:hAnsi="仿宋" w:eastAsia="仿宋" w:cs="仿宋"/>
          <w:sz w:val="21"/>
          <w:szCs w:val="21"/>
        </w:rPr>
      </w:pPr>
      <w:bookmarkStart w:id="28" w:name="_Toc24717"/>
      <w:r>
        <w:rPr>
          <w:rFonts w:hint="eastAsia" w:ascii="仿宋" w:hAnsi="仿宋" w:eastAsia="仿宋" w:cs="仿宋"/>
          <w:sz w:val="21"/>
          <w:szCs w:val="21"/>
        </w:rPr>
        <w:t>四、提交投标文件</w:t>
      </w:r>
      <w:bookmarkEnd w:id="21"/>
      <w:bookmarkEnd w:id="22"/>
      <w:r>
        <w:rPr>
          <w:rFonts w:hint="eastAsia" w:ascii="仿宋" w:hAnsi="仿宋" w:eastAsia="仿宋" w:cs="仿宋"/>
          <w:sz w:val="21"/>
          <w:szCs w:val="21"/>
        </w:rPr>
        <w:t>截止时间、开标时间和地点</w:t>
      </w:r>
      <w:bookmarkEnd w:id="23"/>
      <w:bookmarkEnd w:id="24"/>
      <w:bookmarkEnd w:id="25"/>
      <w:bookmarkEnd w:id="26"/>
      <w:bookmarkEnd w:id="27"/>
      <w:bookmarkEnd w:id="28"/>
    </w:p>
    <w:p w14:paraId="1A396C66">
      <w:pPr>
        <w:spacing w:after="0" w:line="360" w:lineRule="auto"/>
        <w:ind w:firstLine="420" w:firstLineChars="200"/>
        <w:rPr>
          <w:rFonts w:hint="eastAsia" w:ascii="仿宋" w:hAnsi="仿宋" w:eastAsia="仿宋" w:cs="仿宋"/>
          <w:sz w:val="21"/>
          <w:szCs w:val="21"/>
        </w:rPr>
      </w:pPr>
      <w:bookmarkStart w:id="29" w:name="_Toc3020"/>
      <w:bookmarkStart w:id="30" w:name="_Toc8688"/>
      <w:bookmarkStart w:id="31" w:name="_Toc24912"/>
      <w:r>
        <w:rPr>
          <w:rFonts w:hint="eastAsia" w:ascii="仿宋" w:hAnsi="仿宋" w:eastAsia="仿宋" w:cs="仿宋"/>
          <w:sz w:val="21"/>
          <w:szCs w:val="21"/>
        </w:rPr>
        <w:t>截止时间： 2024-11-</w:t>
      </w:r>
      <w:r>
        <w:rPr>
          <w:rFonts w:hint="eastAsia" w:ascii="仿宋" w:hAnsi="仿宋" w:eastAsia="仿宋" w:cs="仿宋"/>
          <w:sz w:val="21"/>
          <w:szCs w:val="21"/>
          <w:lang w:val="en-US" w:eastAsia="zh-CN"/>
        </w:rPr>
        <w:t>26</w:t>
      </w:r>
      <w:r>
        <w:rPr>
          <w:rFonts w:hint="eastAsia" w:ascii="仿宋" w:hAnsi="仿宋" w:eastAsia="仿宋" w:cs="仿宋"/>
          <w:sz w:val="21"/>
          <w:szCs w:val="21"/>
        </w:rPr>
        <w:t xml:space="preserve"> 09:30（北京时间）</w:t>
      </w:r>
    </w:p>
    <w:p w14:paraId="28004160">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地点：请登录政采云投标客户端投标</w:t>
      </w:r>
    </w:p>
    <w:p w14:paraId="2CD8BBD2">
      <w:pPr>
        <w:pStyle w:val="3"/>
        <w:spacing w:before="0" w:line="360" w:lineRule="auto"/>
        <w:rPr>
          <w:rFonts w:hint="eastAsia" w:ascii="仿宋" w:hAnsi="仿宋" w:eastAsia="仿宋" w:cs="仿宋"/>
          <w:sz w:val="21"/>
          <w:szCs w:val="21"/>
        </w:rPr>
      </w:pPr>
      <w:bookmarkStart w:id="32" w:name="_Toc12899"/>
      <w:r>
        <w:rPr>
          <w:rFonts w:hint="eastAsia" w:ascii="仿宋" w:hAnsi="仿宋" w:eastAsia="仿宋" w:cs="仿宋"/>
          <w:sz w:val="21"/>
          <w:szCs w:val="21"/>
        </w:rPr>
        <w:t>五、开启</w:t>
      </w:r>
      <w:bookmarkEnd w:id="32"/>
    </w:p>
    <w:p w14:paraId="11AA26C2">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时间：2024-11-</w:t>
      </w:r>
      <w:r>
        <w:rPr>
          <w:rFonts w:hint="eastAsia" w:ascii="仿宋" w:hAnsi="仿宋" w:eastAsia="仿宋" w:cs="仿宋"/>
          <w:sz w:val="21"/>
          <w:szCs w:val="21"/>
          <w:lang w:val="en-US" w:eastAsia="zh-CN"/>
        </w:rPr>
        <w:t>26</w:t>
      </w:r>
      <w:r>
        <w:rPr>
          <w:rFonts w:hint="eastAsia" w:ascii="仿宋" w:hAnsi="仿宋" w:eastAsia="仿宋" w:cs="仿宋"/>
          <w:sz w:val="21"/>
          <w:szCs w:val="21"/>
        </w:rPr>
        <w:t xml:space="preserve"> 09:30（北京时间）</w:t>
      </w:r>
    </w:p>
    <w:p w14:paraId="479D8E2F">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地点：昆明市富民县螳川西路滨江俊园1-13文昌书院三楼云南雄辉招标有限公司会议室</w:t>
      </w:r>
    </w:p>
    <w:p w14:paraId="02647346">
      <w:pPr>
        <w:pStyle w:val="3"/>
        <w:spacing w:before="0" w:line="360" w:lineRule="auto"/>
        <w:rPr>
          <w:rFonts w:hint="eastAsia" w:ascii="仿宋" w:hAnsi="仿宋" w:eastAsia="仿宋" w:cs="仿宋"/>
          <w:sz w:val="21"/>
          <w:szCs w:val="21"/>
        </w:rPr>
      </w:pPr>
      <w:bookmarkStart w:id="33" w:name="_Toc15180"/>
      <w:r>
        <w:rPr>
          <w:rFonts w:hint="eastAsia" w:ascii="仿宋" w:hAnsi="仿宋" w:eastAsia="仿宋" w:cs="仿宋"/>
          <w:sz w:val="21"/>
          <w:szCs w:val="21"/>
        </w:rPr>
        <w:t>六、公告期限</w:t>
      </w:r>
      <w:bookmarkEnd w:id="29"/>
      <w:bookmarkEnd w:id="30"/>
      <w:bookmarkEnd w:id="31"/>
      <w:bookmarkEnd w:id="33"/>
    </w:p>
    <w:p w14:paraId="62A701DE">
      <w:pPr>
        <w:spacing w:line="360" w:lineRule="auto"/>
        <w:ind w:firstLine="207" w:firstLineChars="98"/>
        <w:rPr>
          <w:rFonts w:hint="eastAsia" w:ascii="仿宋" w:hAnsi="仿宋" w:eastAsia="仿宋" w:cs="仿宋"/>
          <w:sz w:val="21"/>
          <w:szCs w:val="21"/>
        </w:rPr>
      </w:pPr>
      <w:r>
        <w:rPr>
          <w:rFonts w:hint="eastAsia" w:ascii="仿宋" w:hAnsi="仿宋" w:eastAsia="仿宋" w:cs="仿宋"/>
          <w:b/>
          <w:bCs/>
          <w:sz w:val="21"/>
          <w:szCs w:val="21"/>
        </w:rPr>
        <w:t xml:space="preserve"> </w:t>
      </w:r>
      <w:r>
        <w:rPr>
          <w:rFonts w:hint="eastAsia" w:ascii="仿宋" w:hAnsi="仿宋" w:eastAsia="仿宋" w:cs="仿宋"/>
          <w:sz w:val="21"/>
          <w:szCs w:val="21"/>
        </w:rPr>
        <w:t xml:space="preserve"> 自本公告发布之日起5个工作日。</w:t>
      </w:r>
      <w:bookmarkStart w:id="34" w:name="_Toc35393626"/>
      <w:bookmarkStart w:id="35" w:name="_Toc35393795"/>
    </w:p>
    <w:p w14:paraId="3BFF9FC1">
      <w:pPr>
        <w:pStyle w:val="3"/>
        <w:spacing w:before="120" w:beforeLines="50" w:line="360" w:lineRule="auto"/>
        <w:rPr>
          <w:rFonts w:hint="eastAsia" w:ascii="仿宋" w:hAnsi="仿宋" w:eastAsia="仿宋" w:cs="仿宋"/>
          <w:sz w:val="21"/>
          <w:szCs w:val="21"/>
        </w:rPr>
      </w:pPr>
      <w:bookmarkStart w:id="36" w:name="_Toc4418"/>
      <w:bookmarkStart w:id="37" w:name="_Toc10305"/>
      <w:bookmarkStart w:id="38" w:name="_Toc12095"/>
      <w:bookmarkStart w:id="39" w:name="_Toc14562"/>
      <w:r>
        <w:rPr>
          <w:rFonts w:hint="eastAsia" w:ascii="仿宋" w:hAnsi="仿宋" w:eastAsia="仿宋" w:cs="仿宋"/>
          <w:sz w:val="21"/>
          <w:szCs w:val="21"/>
        </w:rPr>
        <w:t>七、其他补充事宜</w:t>
      </w:r>
      <w:bookmarkEnd w:id="34"/>
      <w:bookmarkEnd w:id="35"/>
      <w:bookmarkEnd w:id="36"/>
      <w:bookmarkEnd w:id="37"/>
      <w:bookmarkEnd w:id="38"/>
      <w:bookmarkEnd w:id="39"/>
    </w:p>
    <w:p w14:paraId="58A0947D">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开标方式：网上开标</w:t>
      </w:r>
    </w:p>
    <w:p w14:paraId="236D7666">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是否需要缴纳投标保证金：否</w:t>
      </w:r>
    </w:p>
    <w:p w14:paraId="3963EB9D">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其他：1、本项目招标公告在中国政府采购网、云南省政府采购网、政采云平台上发布，我公司对其他网站或媒体转载的公告及公告内容不承担任何责任；</w:t>
      </w:r>
    </w:p>
    <w:p w14:paraId="4952C797">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2、根据《中华人民共和国政府采购法》、《政府采购货物和服务招标投标管理办法》（中华人民共和国财政部令第87号）等相关规定，富民县永定小学校外供餐企业采购项目已具备采购条件，资金来源为财政资金、自有资金，云南雄辉招标有限公司受富民县教育体育局委托，现对本项目进行公开招标；</w:t>
      </w:r>
    </w:p>
    <w:p w14:paraId="07BFD8BB">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3、服务地点：富民县永定</w:t>
      </w:r>
      <w:r>
        <w:rPr>
          <w:rFonts w:hint="eastAsia" w:ascii="仿宋" w:hAnsi="仿宋" w:eastAsia="仿宋" w:cs="仿宋"/>
          <w:sz w:val="21"/>
          <w:szCs w:val="21"/>
          <w:highlight w:val="none"/>
        </w:rPr>
        <w:t>小学</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en-US" w:eastAsia="zh-CN"/>
        </w:rPr>
        <w:t>环城西路校区</w:t>
      </w:r>
      <w:r>
        <w:rPr>
          <w:rFonts w:hint="eastAsia" w:ascii="仿宋" w:hAnsi="仿宋" w:eastAsia="仿宋" w:cs="仿宋"/>
          <w:sz w:val="21"/>
          <w:szCs w:val="21"/>
          <w:highlight w:val="none"/>
        </w:rPr>
        <w:t>、黎阳</w:t>
      </w:r>
      <w:r>
        <w:rPr>
          <w:rFonts w:hint="eastAsia" w:ascii="仿宋" w:hAnsi="仿宋" w:eastAsia="仿宋" w:cs="仿宋"/>
          <w:sz w:val="21"/>
          <w:szCs w:val="21"/>
          <w:highlight w:val="none"/>
          <w:lang w:val="en-US" w:eastAsia="zh-CN"/>
        </w:rPr>
        <w:t>校区</w:t>
      </w:r>
      <w:r>
        <w:rPr>
          <w:rFonts w:hint="eastAsia" w:ascii="仿宋" w:hAnsi="仿宋" w:eastAsia="仿宋" w:cs="仿宋"/>
          <w:sz w:val="21"/>
          <w:szCs w:val="21"/>
          <w:highlight w:val="none"/>
          <w:lang w:eastAsia="zh-CN"/>
        </w:rPr>
        <w:t>）</w:t>
      </w:r>
      <w:r>
        <w:rPr>
          <w:rFonts w:hint="eastAsia" w:ascii="仿宋" w:hAnsi="仿宋" w:eastAsia="仿宋" w:cs="仿宋"/>
          <w:sz w:val="21"/>
          <w:szCs w:val="21"/>
        </w:rPr>
        <w:t>。</w:t>
      </w:r>
    </w:p>
    <w:p w14:paraId="65EA2E7C">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4、合同履行期限：</w:t>
      </w:r>
      <w:r>
        <w:rPr>
          <w:rFonts w:hint="eastAsia" w:ascii="仿宋" w:hAnsi="仿宋" w:eastAsia="仿宋" w:cs="仿宋"/>
          <w:sz w:val="21"/>
          <w:szCs w:val="21"/>
          <w:highlight w:val="none"/>
          <w:lang w:val="en-US" w:eastAsia="zh-CN"/>
        </w:rPr>
        <w:t>自签定合同之日起至2025年7月31日止。</w:t>
      </w:r>
    </w:p>
    <w:p w14:paraId="64063FDC">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5、质量要求：</w:t>
      </w:r>
      <w:bookmarkStart w:id="40" w:name="OLE_LINK3"/>
      <w:r>
        <w:rPr>
          <w:rFonts w:hint="eastAsia" w:ascii="仿宋" w:hAnsi="仿宋" w:eastAsia="仿宋" w:cs="仿宋"/>
          <w:sz w:val="21"/>
          <w:szCs w:val="21"/>
        </w:rPr>
        <w:t>符合国家食品安全相关法律法规及行业相关标准、规范。供应的食材须严格执行《中华人民共和国食品安全法》、《学生营养餐生产企业卫生规范》、《餐饮服务食品安全操作指南》、《学生餐营养指南》（国家卫计委发布，标准编号：WS/T554-2017）、《学校食品安全与营养健康管理规定》（学校食品安全与营养健康管理规定教育部、国家市场监督管理总局、国家卫生健康委员会令第45号）</w:t>
      </w:r>
      <w:r>
        <w:rPr>
          <w:rFonts w:hint="eastAsia" w:ascii="仿宋" w:hAnsi="仿宋" w:eastAsia="仿宋" w:cs="仿宋"/>
          <w:sz w:val="21"/>
          <w:szCs w:val="21"/>
          <w:highlight w:val="none"/>
        </w:rPr>
        <w:t>《农村义务教育学生营养改善计划实施办法》（教财（2022）2号）</w:t>
      </w:r>
      <w:r>
        <w:rPr>
          <w:rFonts w:hint="eastAsia" w:ascii="仿宋" w:hAnsi="仿宋" w:eastAsia="仿宋" w:cs="仿宋"/>
          <w:color w:val="000000" w:themeColor="text1"/>
          <w:sz w:val="21"/>
          <w:szCs w:val="21"/>
          <w:highlight w:val="none"/>
          <w14:textFill>
            <w14:solidFill>
              <w14:schemeClr w14:val="tx1"/>
            </w14:solidFill>
          </w14:textFill>
        </w:rPr>
        <w:t>等法律法规</w:t>
      </w:r>
      <w:r>
        <w:rPr>
          <w:rFonts w:hint="eastAsia" w:ascii="仿宋" w:hAnsi="仿宋" w:eastAsia="仿宋" w:cs="仿宋"/>
          <w:color w:val="000000" w:themeColor="text1"/>
          <w:sz w:val="21"/>
          <w:szCs w:val="21"/>
          <w14:textFill>
            <w14:solidFill>
              <w14:schemeClr w14:val="tx1"/>
            </w14:solidFill>
          </w14:textFill>
        </w:rPr>
        <w:t>相关规定和标准，并确保配送到学校的食品安全、营养、健康。</w:t>
      </w:r>
      <w:bookmarkEnd w:id="40"/>
    </w:p>
    <w:p w14:paraId="5ECCBB94">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6、供货要求：按招标人具体采购批次的时间、品种、数量要求，由中标单位按招标人要求的时间，负责配送到招标人指定地点。具体采供时间、品种、数量以招标人通知为准；</w:t>
      </w:r>
    </w:p>
    <w:p w14:paraId="6F4502BE">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 xml:space="preserve">7、代理机构开户名称：云南雄辉招标有限公司，开户银行：中国农业银行富民县支行，账号：24019101040019130。 </w:t>
      </w:r>
    </w:p>
    <w:p w14:paraId="45871508">
      <w:pPr>
        <w:pStyle w:val="3"/>
        <w:snapToGrid w:val="0"/>
        <w:spacing w:before="0" w:line="360" w:lineRule="auto"/>
        <w:rPr>
          <w:rFonts w:hint="eastAsia" w:ascii="仿宋" w:hAnsi="仿宋" w:eastAsia="仿宋" w:cs="仿宋"/>
          <w:sz w:val="21"/>
          <w:szCs w:val="21"/>
        </w:rPr>
      </w:pPr>
      <w:bookmarkStart w:id="41" w:name="_Toc3833"/>
      <w:bookmarkStart w:id="42" w:name="_Toc2436"/>
      <w:bookmarkStart w:id="43" w:name="_Toc14716"/>
      <w:bookmarkStart w:id="44" w:name="_Toc29804"/>
      <w:r>
        <w:rPr>
          <w:rFonts w:hint="eastAsia" w:ascii="仿宋" w:hAnsi="仿宋" w:eastAsia="仿宋" w:cs="仿宋"/>
          <w:sz w:val="21"/>
          <w:szCs w:val="21"/>
        </w:rPr>
        <w:t>八、对本次招标提出询问，请按以下方式联系</w:t>
      </w:r>
      <w:bookmarkEnd w:id="41"/>
      <w:bookmarkEnd w:id="42"/>
      <w:bookmarkEnd w:id="43"/>
      <w:bookmarkEnd w:id="44"/>
    </w:p>
    <w:p w14:paraId="6A3E9DDC">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1.采购人信息：</w:t>
      </w:r>
    </w:p>
    <w:p w14:paraId="7F3AE579">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名    称：富民县教育体育局</w:t>
      </w:r>
    </w:p>
    <w:p w14:paraId="11824A05">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地址：昆明市富民县永定街道环城西路17号</w:t>
      </w:r>
    </w:p>
    <w:p w14:paraId="4E5E6D6B">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联系方式：王老师  0871-68811193</w:t>
      </w:r>
    </w:p>
    <w:p w14:paraId="17988647">
      <w:pPr>
        <w:spacing w:after="0" w:line="360" w:lineRule="auto"/>
        <w:ind w:firstLine="420" w:firstLineChars="200"/>
        <w:rPr>
          <w:rFonts w:hint="eastAsia" w:ascii="仿宋" w:hAnsi="仿宋" w:eastAsia="仿宋" w:cs="仿宋"/>
          <w:sz w:val="21"/>
          <w:szCs w:val="21"/>
        </w:rPr>
      </w:pPr>
    </w:p>
    <w:p w14:paraId="5164148E">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2.采购代理机构信息：</w:t>
      </w:r>
    </w:p>
    <w:p w14:paraId="07755F5C">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名    称：云南雄辉招标有限公司</w:t>
      </w:r>
    </w:p>
    <w:p w14:paraId="3CD802BF">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地址：昆明市富民县螳川西路滨江俊园1-13文昌书院三楼</w:t>
      </w:r>
    </w:p>
    <w:p w14:paraId="45EE2750">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 xml:space="preserve">联系方式：0871-68819589  </w:t>
      </w:r>
    </w:p>
    <w:p w14:paraId="5C66FE4E">
      <w:pPr>
        <w:spacing w:after="0" w:line="360" w:lineRule="auto"/>
        <w:ind w:firstLine="420" w:firstLineChars="200"/>
        <w:rPr>
          <w:rFonts w:hint="eastAsia" w:ascii="仿宋" w:hAnsi="仿宋" w:eastAsia="仿宋" w:cs="仿宋"/>
          <w:sz w:val="21"/>
          <w:szCs w:val="21"/>
        </w:rPr>
      </w:pPr>
    </w:p>
    <w:p w14:paraId="7636D2CB">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3.项目联系方式</w:t>
      </w:r>
    </w:p>
    <w:p w14:paraId="3041BB7F">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 xml:space="preserve">联系人：赵俊雄、张健 </w:t>
      </w:r>
    </w:p>
    <w:p w14:paraId="64C2B374">
      <w:pPr>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 xml:space="preserve">联系电话：0871-68819589 </w:t>
      </w:r>
    </w:p>
    <w:p w14:paraId="1C6B4B73">
      <w:pPr>
        <w:spacing w:line="360" w:lineRule="auto"/>
        <w:ind w:firstLine="420" w:firstLineChars="200"/>
        <w:rPr>
          <w:rFonts w:hint="eastAsia" w:ascii="仿宋" w:hAnsi="仿宋" w:eastAsia="仿宋" w:cs="仿宋"/>
          <w:sz w:val="21"/>
          <w:szCs w:val="21"/>
          <w:u w:val="single"/>
        </w:rPr>
      </w:pPr>
    </w:p>
    <w:p w14:paraId="5B3A3A3E">
      <w:pPr>
        <w:rPr>
          <w:rFonts w:hint="eastAsia" w:ascii="仿宋" w:hAnsi="仿宋" w:eastAsia="仿宋" w:cs="仿宋"/>
          <w:sz w:val="36"/>
        </w:rPr>
      </w:pPr>
      <w:r>
        <w:rPr>
          <w:rFonts w:hint="eastAsia" w:ascii="仿宋" w:hAnsi="仿宋" w:eastAsia="仿宋" w:cs="仿宋"/>
          <w:sz w:val="36"/>
        </w:rPr>
        <w:br w:type="page"/>
      </w:r>
    </w:p>
    <w:p w14:paraId="63D93097">
      <w:pPr>
        <w:jc w:val="center"/>
        <w:rPr>
          <w:rFonts w:hint="eastAsia" w:ascii="仿宋" w:hAnsi="仿宋" w:eastAsia="仿宋" w:cs="仿宋"/>
          <w:sz w:val="36"/>
        </w:rPr>
      </w:pPr>
      <w:r>
        <w:rPr>
          <w:rFonts w:hint="eastAsia" w:ascii="仿宋" w:hAnsi="仿宋" w:eastAsia="仿宋" w:cs="仿宋"/>
          <w:sz w:val="36"/>
        </w:rPr>
        <w:t>第二章 投标人须知及投标人须知前附表</w:t>
      </w:r>
      <w:bookmarkEnd w:id="4"/>
      <w:bookmarkEnd w:id="6"/>
      <w:bookmarkEnd w:id="7"/>
    </w:p>
    <w:p w14:paraId="1E2A096B">
      <w:pPr>
        <w:pStyle w:val="3"/>
        <w:wordWrap w:val="0"/>
        <w:spacing w:before="200" w:after="200" w:line="360" w:lineRule="auto"/>
        <w:jc w:val="center"/>
        <w:rPr>
          <w:rFonts w:hint="eastAsia" w:ascii="仿宋" w:hAnsi="仿宋" w:eastAsia="仿宋" w:cs="仿宋"/>
        </w:rPr>
      </w:pPr>
      <w:bookmarkStart w:id="45" w:name="_Toc270090081"/>
      <w:bookmarkStart w:id="46" w:name="_Toc3563"/>
      <w:bookmarkStart w:id="47" w:name="_Toc13407762"/>
      <w:bookmarkStart w:id="48" w:name="_Toc260908185"/>
      <w:bookmarkStart w:id="49" w:name="_Toc260907969"/>
      <w:bookmarkStart w:id="50" w:name="_Toc229583199"/>
      <w:r>
        <w:rPr>
          <w:rFonts w:hint="eastAsia" w:ascii="仿宋" w:hAnsi="仿宋" w:eastAsia="仿宋" w:cs="仿宋"/>
        </w:rPr>
        <w:t>一、投标人须知前附表</w:t>
      </w:r>
      <w:bookmarkEnd w:id="45"/>
      <w:bookmarkEnd w:id="46"/>
      <w:bookmarkEnd w:id="47"/>
      <w:bookmarkEnd w:id="48"/>
      <w:bookmarkEnd w:id="49"/>
      <w:bookmarkEnd w:id="50"/>
    </w:p>
    <w:tbl>
      <w:tblPr>
        <w:tblStyle w:val="26"/>
        <w:tblW w:w="10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1726"/>
        <w:gridCol w:w="7685"/>
      </w:tblGrid>
      <w:tr w14:paraId="1AD37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4DB80B50">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条款号</w:t>
            </w:r>
          </w:p>
        </w:tc>
        <w:tc>
          <w:tcPr>
            <w:tcW w:w="1726" w:type="dxa"/>
            <w:tcBorders>
              <w:top w:val="single" w:color="auto" w:sz="4" w:space="0"/>
              <w:left w:val="single" w:color="auto" w:sz="4" w:space="0"/>
              <w:bottom w:val="single" w:color="auto" w:sz="4" w:space="0"/>
              <w:right w:val="single" w:color="auto" w:sz="4" w:space="0"/>
            </w:tcBorders>
            <w:vAlign w:val="center"/>
          </w:tcPr>
          <w:p w14:paraId="2896D3CE">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条款名称</w:t>
            </w:r>
          </w:p>
        </w:tc>
        <w:tc>
          <w:tcPr>
            <w:tcW w:w="7685" w:type="dxa"/>
            <w:tcBorders>
              <w:top w:val="single" w:color="auto" w:sz="4" w:space="0"/>
              <w:left w:val="single" w:color="auto" w:sz="4" w:space="0"/>
              <w:bottom w:val="single" w:color="auto" w:sz="4" w:space="0"/>
              <w:right w:val="single" w:color="auto" w:sz="4" w:space="0"/>
            </w:tcBorders>
            <w:vAlign w:val="center"/>
          </w:tcPr>
          <w:p w14:paraId="3D485436">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编列内容</w:t>
            </w:r>
          </w:p>
        </w:tc>
      </w:tr>
      <w:tr w14:paraId="65881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3D481B6F">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1.1.2</w:t>
            </w:r>
          </w:p>
        </w:tc>
        <w:tc>
          <w:tcPr>
            <w:tcW w:w="1726" w:type="dxa"/>
            <w:tcBorders>
              <w:top w:val="single" w:color="auto" w:sz="4" w:space="0"/>
              <w:left w:val="single" w:color="auto" w:sz="4" w:space="0"/>
              <w:bottom w:val="single" w:color="auto" w:sz="4" w:space="0"/>
              <w:right w:val="single" w:color="auto" w:sz="4" w:space="0"/>
            </w:tcBorders>
            <w:vAlign w:val="center"/>
          </w:tcPr>
          <w:p w14:paraId="125152F5">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采购人</w:t>
            </w:r>
          </w:p>
        </w:tc>
        <w:tc>
          <w:tcPr>
            <w:tcW w:w="7685" w:type="dxa"/>
            <w:tcBorders>
              <w:top w:val="single" w:color="auto" w:sz="4" w:space="0"/>
              <w:left w:val="single" w:color="auto" w:sz="4" w:space="0"/>
              <w:bottom w:val="single" w:color="auto" w:sz="4" w:space="0"/>
              <w:right w:val="single" w:color="auto" w:sz="4" w:space="0"/>
            </w:tcBorders>
            <w:vAlign w:val="center"/>
          </w:tcPr>
          <w:p w14:paraId="54E84E7B">
            <w:pPr>
              <w:pStyle w:val="4"/>
              <w:wordWrap w:val="0"/>
              <w:spacing w:before="0" w:after="0" w:line="360" w:lineRule="auto"/>
              <w:rPr>
                <w:rFonts w:hint="eastAsia" w:ascii="仿宋" w:hAnsi="仿宋" w:eastAsia="仿宋" w:cs="仿宋"/>
                <w:b w:val="0"/>
                <w:bCs w:val="0"/>
                <w:sz w:val="21"/>
                <w:szCs w:val="21"/>
              </w:rPr>
            </w:pPr>
            <w:r>
              <w:rPr>
                <w:rFonts w:hint="eastAsia" w:ascii="仿宋" w:hAnsi="仿宋" w:eastAsia="仿宋" w:cs="仿宋"/>
                <w:b w:val="0"/>
                <w:bCs w:val="0"/>
                <w:sz w:val="21"/>
                <w:szCs w:val="21"/>
              </w:rPr>
              <w:t>名    称：富民县教育体育局</w:t>
            </w:r>
          </w:p>
          <w:p w14:paraId="6F17977A">
            <w:pPr>
              <w:pStyle w:val="4"/>
              <w:wordWrap w:val="0"/>
              <w:spacing w:before="0" w:after="0" w:line="360" w:lineRule="auto"/>
              <w:rPr>
                <w:rFonts w:hint="eastAsia" w:ascii="仿宋" w:hAnsi="仿宋" w:eastAsia="仿宋" w:cs="仿宋"/>
                <w:b w:val="0"/>
                <w:bCs w:val="0"/>
                <w:sz w:val="21"/>
                <w:szCs w:val="21"/>
              </w:rPr>
            </w:pPr>
            <w:r>
              <w:rPr>
                <w:rFonts w:hint="eastAsia" w:ascii="仿宋" w:hAnsi="仿宋" w:eastAsia="仿宋" w:cs="仿宋"/>
                <w:b w:val="0"/>
                <w:bCs w:val="0"/>
                <w:sz w:val="21"/>
                <w:szCs w:val="21"/>
              </w:rPr>
              <w:t>地址：昆明市富民县永定街道环城西路17号</w:t>
            </w:r>
          </w:p>
          <w:p w14:paraId="771B1881">
            <w:pPr>
              <w:pStyle w:val="4"/>
              <w:wordWrap w:val="0"/>
              <w:spacing w:before="0" w:after="0" w:line="360" w:lineRule="auto"/>
              <w:rPr>
                <w:rFonts w:hint="eastAsia" w:ascii="仿宋" w:hAnsi="仿宋" w:eastAsia="仿宋" w:cs="仿宋"/>
                <w:b w:val="0"/>
                <w:bCs w:val="0"/>
                <w:sz w:val="21"/>
                <w:szCs w:val="21"/>
              </w:rPr>
            </w:pPr>
            <w:r>
              <w:rPr>
                <w:rFonts w:hint="eastAsia" w:ascii="仿宋" w:hAnsi="仿宋" w:eastAsia="仿宋" w:cs="仿宋"/>
                <w:b w:val="0"/>
                <w:bCs w:val="0"/>
                <w:sz w:val="21"/>
                <w:szCs w:val="21"/>
              </w:rPr>
              <w:t xml:space="preserve">联系方式：王老师  0871-68811193 </w:t>
            </w:r>
          </w:p>
        </w:tc>
      </w:tr>
      <w:tr w14:paraId="66866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2FE8913C">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1.1.3</w:t>
            </w:r>
          </w:p>
        </w:tc>
        <w:tc>
          <w:tcPr>
            <w:tcW w:w="1726" w:type="dxa"/>
            <w:tcBorders>
              <w:top w:val="single" w:color="auto" w:sz="4" w:space="0"/>
              <w:left w:val="single" w:color="auto" w:sz="4" w:space="0"/>
              <w:bottom w:val="single" w:color="auto" w:sz="4" w:space="0"/>
              <w:right w:val="single" w:color="auto" w:sz="4" w:space="0"/>
            </w:tcBorders>
            <w:vAlign w:val="center"/>
          </w:tcPr>
          <w:p w14:paraId="08186F49">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采购代理机构</w:t>
            </w:r>
          </w:p>
        </w:tc>
        <w:tc>
          <w:tcPr>
            <w:tcW w:w="7685" w:type="dxa"/>
            <w:tcBorders>
              <w:top w:val="single" w:color="auto" w:sz="4" w:space="0"/>
              <w:left w:val="single" w:color="auto" w:sz="4" w:space="0"/>
              <w:bottom w:val="single" w:color="auto" w:sz="4" w:space="0"/>
              <w:right w:val="single" w:color="auto" w:sz="4" w:space="0"/>
            </w:tcBorders>
            <w:vAlign w:val="center"/>
          </w:tcPr>
          <w:p w14:paraId="2C71F7BF">
            <w:pPr>
              <w:pStyle w:val="4"/>
              <w:wordWrap w:val="0"/>
              <w:spacing w:before="0" w:after="0" w:line="360" w:lineRule="auto"/>
              <w:rPr>
                <w:rFonts w:hint="eastAsia" w:ascii="仿宋" w:hAnsi="仿宋" w:eastAsia="仿宋" w:cs="仿宋"/>
                <w:b w:val="0"/>
                <w:bCs w:val="0"/>
                <w:sz w:val="21"/>
                <w:szCs w:val="21"/>
              </w:rPr>
            </w:pPr>
            <w:r>
              <w:rPr>
                <w:rFonts w:hint="eastAsia" w:ascii="仿宋" w:hAnsi="仿宋" w:eastAsia="仿宋" w:cs="仿宋"/>
                <w:b w:val="0"/>
                <w:bCs w:val="0"/>
                <w:sz w:val="21"/>
                <w:szCs w:val="21"/>
              </w:rPr>
              <w:t>名    称：云南雄辉招标有限公司</w:t>
            </w:r>
          </w:p>
          <w:p w14:paraId="2B3A2504">
            <w:pPr>
              <w:pStyle w:val="4"/>
              <w:wordWrap w:val="0"/>
              <w:spacing w:before="0" w:after="0" w:line="360" w:lineRule="auto"/>
              <w:rPr>
                <w:rFonts w:hint="eastAsia" w:ascii="仿宋" w:hAnsi="仿宋" w:eastAsia="仿宋" w:cs="仿宋"/>
                <w:b w:val="0"/>
                <w:bCs w:val="0"/>
                <w:sz w:val="21"/>
                <w:szCs w:val="21"/>
              </w:rPr>
            </w:pPr>
            <w:r>
              <w:rPr>
                <w:rFonts w:hint="eastAsia" w:ascii="仿宋" w:hAnsi="仿宋" w:eastAsia="仿宋" w:cs="仿宋"/>
                <w:b w:val="0"/>
                <w:bCs w:val="0"/>
                <w:sz w:val="21"/>
                <w:szCs w:val="21"/>
              </w:rPr>
              <w:t>地址：昆明市富民县螳川西路滨江俊园1-13文昌书院三楼</w:t>
            </w:r>
          </w:p>
          <w:p w14:paraId="70AAE0FE">
            <w:pPr>
              <w:pStyle w:val="4"/>
              <w:wordWrap w:val="0"/>
              <w:spacing w:before="0" w:after="0" w:line="360" w:lineRule="auto"/>
              <w:rPr>
                <w:rFonts w:hint="eastAsia" w:ascii="仿宋" w:hAnsi="仿宋" w:eastAsia="仿宋" w:cs="仿宋"/>
                <w:b w:val="0"/>
                <w:bCs w:val="0"/>
                <w:sz w:val="21"/>
                <w:szCs w:val="21"/>
              </w:rPr>
            </w:pPr>
            <w:r>
              <w:rPr>
                <w:rFonts w:hint="eastAsia" w:ascii="仿宋" w:hAnsi="仿宋" w:eastAsia="仿宋" w:cs="仿宋"/>
                <w:b w:val="0"/>
                <w:bCs w:val="0"/>
                <w:sz w:val="21"/>
                <w:szCs w:val="21"/>
              </w:rPr>
              <w:t xml:space="preserve">联系方式：赵俊雄、张健0871-68819589 </w:t>
            </w:r>
          </w:p>
        </w:tc>
      </w:tr>
      <w:tr w14:paraId="76378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4D67F7B9">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1.1.4</w:t>
            </w:r>
          </w:p>
        </w:tc>
        <w:tc>
          <w:tcPr>
            <w:tcW w:w="1726" w:type="dxa"/>
            <w:tcBorders>
              <w:top w:val="single" w:color="auto" w:sz="4" w:space="0"/>
              <w:left w:val="single" w:color="auto" w:sz="4" w:space="0"/>
              <w:bottom w:val="single" w:color="auto" w:sz="4" w:space="0"/>
              <w:right w:val="single" w:color="auto" w:sz="4" w:space="0"/>
            </w:tcBorders>
            <w:vAlign w:val="center"/>
          </w:tcPr>
          <w:p w14:paraId="28973FE3">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项目名称</w:t>
            </w:r>
          </w:p>
        </w:tc>
        <w:tc>
          <w:tcPr>
            <w:tcW w:w="7685" w:type="dxa"/>
            <w:tcBorders>
              <w:top w:val="single" w:color="auto" w:sz="4" w:space="0"/>
              <w:left w:val="single" w:color="auto" w:sz="4" w:space="0"/>
              <w:bottom w:val="single" w:color="auto" w:sz="4" w:space="0"/>
              <w:right w:val="single" w:color="auto" w:sz="4" w:space="0"/>
            </w:tcBorders>
            <w:vAlign w:val="center"/>
          </w:tcPr>
          <w:p w14:paraId="4D7AAC79">
            <w:pPr>
              <w:wordWrap w:val="0"/>
              <w:snapToGrid w:val="0"/>
              <w:spacing w:before="120" w:beforeLines="50" w:after="0" w:line="360" w:lineRule="auto"/>
              <w:jc w:val="both"/>
              <w:rPr>
                <w:rFonts w:hint="eastAsia" w:ascii="仿宋" w:hAnsi="仿宋" w:eastAsia="仿宋" w:cs="仿宋"/>
                <w:sz w:val="21"/>
                <w:szCs w:val="21"/>
              </w:rPr>
            </w:pPr>
            <w:r>
              <w:rPr>
                <w:rFonts w:hint="eastAsia" w:ascii="仿宋" w:hAnsi="仿宋" w:eastAsia="仿宋" w:cs="仿宋"/>
                <w:sz w:val="21"/>
                <w:szCs w:val="21"/>
              </w:rPr>
              <w:t>富民县永定小学校外供餐企业采购项目</w:t>
            </w:r>
          </w:p>
        </w:tc>
      </w:tr>
      <w:tr w14:paraId="3E33F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4AA7EB83">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1.1.5</w:t>
            </w:r>
          </w:p>
        </w:tc>
        <w:tc>
          <w:tcPr>
            <w:tcW w:w="1726" w:type="dxa"/>
            <w:tcBorders>
              <w:top w:val="single" w:color="auto" w:sz="4" w:space="0"/>
              <w:left w:val="single" w:color="auto" w:sz="4" w:space="0"/>
              <w:bottom w:val="single" w:color="auto" w:sz="4" w:space="0"/>
              <w:right w:val="single" w:color="auto" w:sz="4" w:space="0"/>
            </w:tcBorders>
            <w:vAlign w:val="center"/>
          </w:tcPr>
          <w:p w14:paraId="2702D9D5">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供货地点</w:t>
            </w:r>
          </w:p>
        </w:tc>
        <w:tc>
          <w:tcPr>
            <w:tcW w:w="7685" w:type="dxa"/>
            <w:tcBorders>
              <w:top w:val="single" w:color="auto" w:sz="4" w:space="0"/>
              <w:left w:val="single" w:color="auto" w:sz="4" w:space="0"/>
              <w:bottom w:val="single" w:color="auto" w:sz="4" w:space="0"/>
              <w:right w:val="single" w:color="auto" w:sz="4" w:space="0"/>
            </w:tcBorders>
            <w:vAlign w:val="center"/>
          </w:tcPr>
          <w:p w14:paraId="336B80AB">
            <w:pPr>
              <w:wordWrap w:val="0"/>
              <w:snapToGrid w:val="0"/>
              <w:spacing w:before="120" w:beforeLines="50" w:after="0" w:line="360" w:lineRule="auto"/>
              <w:jc w:val="both"/>
              <w:rPr>
                <w:rFonts w:hint="eastAsia" w:ascii="仿宋" w:hAnsi="仿宋" w:eastAsia="仿宋" w:cs="仿宋"/>
                <w:sz w:val="21"/>
                <w:szCs w:val="21"/>
              </w:rPr>
            </w:pPr>
            <w:r>
              <w:rPr>
                <w:rFonts w:hint="eastAsia" w:ascii="仿宋" w:hAnsi="仿宋" w:eastAsia="仿宋" w:cs="仿宋"/>
                <w:sz w:val="21"/>
                <w:szCs w:val="21"/>
              </w:rPr>
              <w:t>具体内容详见“第一章招标公告供货地点”</w:t>
            </w:r>
          </w:p>
        </w:tc>
      </w:tr>
      <w:tr w14:paraId="1713B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6A28EE20">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1.2.1</w:t>
            </w:r>
          </w:p>
        </w:tc>
        <w:tc>
          <w:tcPr>
            <w:tcW w:w="1726" w:type="dxa"/>
            <w:tcBorders>
              <w:top w:val="single" w:color="auto" w:sz="4" w:space="0"/>
              <w:left w:val="single" w:color="auto" w:sz="4" w:space="0"/>
              <w:bottom w:val="single" w:color="auto" w:sz="4" w:space="0"/>
              <w:right w:val="single" w:color="auto" w:sz="4" w:space="0"/>
            </w:tcBorders>
            <w:vAlign w:val="center"/>
          </w:tcPr>
          <w:p w14:paraId="3F44298D">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资金来源</w:t>
            </w:r>
          </w:p>
        </w:tc>
        <w:tc>
          <w:tcPr>
            <w:tcW w:w="7685" w:type="dxa"/>
            <w:tcBorders>
              <w:top w:val="single" w:color="auto" w:sz="4" w:space="0"/>
              <w:left w:val="single" w:color="auto" w:sz="4" w:space="0"/>
              <w:bottom w:val="single" w:color="auto" w:sz="4" w:space="0"/>
              <w:right w:val="single" w:color="auto" w:sz="4" w:space="0"/>
            </w:tcBorders>
            <w:vAlign w:val="center"/>
          </w:tcPr>
          <w:p w14:paraId="34FADD97">
            <w:pPr>
              <w:wordWrap w:val="0"/>
              <w:snapToGrid w:val="0"/>
              <w:spacing w:before="120" w:beforeLines="50" w:after="0" w:line="360" w:lineRule="auto"/>
              <w:jc w:val="both"/>
              <w:rPr>
                <w:rFonts w:hint="eastAsia" w:ascii="仿宋" w:hAnsi="仿宋" w:eastAsia="仿宋" w:cs="仿宋"/>
                <w:sz w:val="21"/>
                <w:szCs w:val="21"/>
              </w:rPr>
            </w:pPr>
            <w:r>
              <w:rPr>
                <w:rFonts w:hint="eastAsia" w:ascii="仿宋" w:hAnsi="仿宋" w:eastAsia="仿宋" w:cs="仿宋"/>
                <w:sz w:val="21"/>
                <w:szCs w:val="21"/>
              </w:rPr>
              <w:t>财政资金、自有资金</w:t>
            </w:r>
          </w:p>
        </w:tc>
      </w:tr>
      <w:tr w14:paraId="2BDD6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B16A30B">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1.2.2</w:t>
            </w:r>
          </w:p>
        </w:tc>
        <w:tc>
          <w:tcPr>
            <w:tcW w:w="1726" w:type="dxa"/>
            <w:tcBorders>
              <w:top w:val="single" w:color="auto" w:sz="4" w:space="0"/>
              <w:left w:val="single" w:color="auto" w:sz="4" w:space="0"/>
              <w:bottom w:val="single" w:color="auto" w:sz="4" w:space="0"/>
              <w:right w:val="single" w:color="auto" w:sz="4" w:space="0"/>
            </w:tcBorders>
            <w:vAlign w:val="center"/>
          </w:tcPr>
          <w:p w14:paraId="5E79C538">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采购预算金额</w:t>
            </w:r>
          </w:p>
        </w:tc>
        <w:tc>
          <w:tcPr>
            <w:tcW w:w="7685" w:type="dxa"/>
            <w:tcBorders>
              <w:top w:val="single" w:color="auto" w:sz="4" w:space="0"/>
              <w:left w:val="single" w:color="auto" w:sz="4" w:space="0"/>
              <w:bottom w:val="single" w:color="auto" w:sz="4" w:space="0"/>
              <w:right w:val="single" w:color="auto" w:sz="4" w:space="0"/>
            </w:tcBorders>
            <w:vAlign w:val="center"/>
          </w:tcPr>
          <w:p w14:paraId="008FE8AA">
            <w:pPr>
              <w:wordWrap w:val="0"/>
              <w:snapToGrid w:val="0"/>
              <w:spacing w:before="120" w:beforeLines="50" w:after="0" w:line="360" w:lineRule="auto"/>
              <w:jc w:val="both"/>
              <w:rPr>
                <w:rFonts w:hint="eastAsia" w:ascii="仿宋" w:hAnsi="仿宋" w:eastAsia="仿宋" w:cs="仿宋"/>
                <w:sz w:val="21"/>
                <w:szCs w:val="21"/>
              </w:rPr>
            </w:pPr>
            <w:r>
              <w:rPr>
                <w:rFonts w:hint="eastAsia" w:ascii="仿宋" w:hAnsi="仿宋" w:eastAsia="仿宋" w:cs="仿宋"/>
                <w:sz w:val="21"/>
                <w:szCs w:val="21"/>
              </w:rPr>
              <w:t>本项目采购预</w:t>
            </w:r>
            <w:r>
              <w:rPr>
                <w:rFonts w:hint="eastAsia" w:ascii="仿宋" w:hAnsi="仿宋" w:eastAsia="仿宋" w:cs="仿宋"/>
                <w:sz w:val="21"/>
                <w:szCs w:val="21"/>
                <w:highlight w:val="none"/>
              </w:rPr>
              <w:t>算为353.91万元。</w:t>
            </w:r>
          </w:p>
        </w:tc>
      </w:tr>
      <w:tr w14:paraId="069F3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67498E9A">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1.2.3</w:t>
            </w:r>
          </w:p>
        </w:tc>
        <w:tc>
          <w:tcPr>
            <w:tcW w:w="1726" w:type="dxa"/>
            <w:tcBorders>
              <w:top w:val="single" w:color="auto" w:sz="4" w:space="0"/>
              <w:left w:val="single" w:color="auto" w:sz="4" w:space="0"/>
              <w:bottom w:val="single" w:color="auto" w:sz="4" w:space="0"/>
              <w:right w:val="single" w:color="auto" w:sz="4" w:space="0"/>
            </w:tcBorders>
            <w:vAlign w:val="center"/>
          </w:tcPr>
          <w:p w14:paraId="0BF08FF7">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资金落实情况</w:t>
            </w:r>
          </w:p>
        </w:tc>
        <w:tc>
          <w:tcPr>
            <w:tcW w:w="7685" w:type="dxa"/>
            <w:tcBorders>
              <w:top w:val="single" w:color="auto" w:sz="4" w:space="0"/>
              <w:left w:val="single" w:color="auto" w:sz="4" w:space="0"/>
              <w:bottom w:val="single" w:color="auto" w:sz="4" w:space="0"/>
              <w:right w:val="single" w:color="auto" w:sz="4" w:space="0"/>
            </w:tcBorders>
            <w:vAlign w:val="center"/>
          </w:tcPr>
          <w:p w14:paraId="26CFA2A4">
            <w:pPr>
              <w:wordWrap w:val="0"/>
              <w:snapToGrid w:val="0"/>
              <w:spacing w:before="120" w:beforeLines="50" w:after="0" w:line="360" w:lineRule="auto"/>
              <w:jc w:val="both"/>
              <w:rPr>
                <w:rFonts w:hint="eastAsia" w:ascii="仿宋" w:hAnsi="仿宋" w:eastAsia="仿宋" w:cs="仿宋"/>
                <w:sz w:val="21"/>
                <w:szCs w:val="21"/>
              </w:rPr>
            </w:pPr>
            <w:r>
              <w:rPr>
                <w:rFonts w:hint="eastAsia" w:ascii="仿宋" w:hAnsi="仿宋" w:eastAsia="仿宋" w:cs="仿宋"/>
                <w:sz w:val="21"/>
                <w:szCs w:val="21"/>
              </w:rPr>
              <w:t>已落实</w:t>
            </w:r>
          </w:p>
        </w:tc>
      </w:tr>
      <w:tr w14:paraId="61490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244D8A88">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1.3.1</w:t>
            </w:r>
          </w:p>
        </w:tc>
        <w:tc>
          <w:tcPr>
            <w:tcW w:w="1726" w:type="dxa"/>
            <w:tcBorders>
              <w:top w:val="single" w:color="auto" w:sz="4" w:space="0"/>
              <w:left w:val="single" w:color="auto" w:sz="4" w:space="0"/>
              <w:bottom w:val="single" w:color="auto" w:sz="4" w:space="0"/>
              <w:right w:val="single" w:color="auto" w:sz="4" w:space="0"/>
            </w:tcBorders>
            <w:vAlign w:val="center"/>
          </w:tcPr>
          <w:p w14:paraId="4DC85228">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采购需求</w:t>
            </w:r>
          </w:p>
        </w:tc>
        <w:tc>
          <w:tcPr>
            <w:tcW w:w="7685" w:type="dxa"/>
            <w:tcBorders>
              <w:top w:val="single" w:color="auto" w:sz="4" w:space="0"/>
              <w:left w:val="single" w:color="auto" w:sz="4" w:space="0"/>
              <w:bottom w:val="single" w:color="auto" w:sz="4" w:space="0"/>
              <w:right w:val="single" w:color="auto" w:sz="4" w:space="0"/>
            </w:tcBorders>
            <w:vAlign w:val="center"/>
          </w:tcPr>
          <w:p w14:paraId="19049EB4">
            <w:pPr>
              <w:wordWrap w:val="0"/>
              <w:snapToGrid w:val="0"/>
              <w:spacing w:before="120" w:beforeLines="50" w:after="0" w:line="360" w:lineRule="auto"/>
              <w:jc w:val="both"/>
              <w:rPr>
                <w:rFonts w:hint="eastAsia" w:ascii="仿宋" w:hAnsi="仿宋" w:eastAsia="仿宋" w:cs="仿宋"/>
                <w:sz w:val="21"/>
                <w:szCs w:val="21"/>
              </w:rPr>
            </w:pPr>
            <w:r>
              <w:rPr>
                <w:rFonts w:hint="eastAsia" w:ascii="仿宋" w:hAnsi="仿宋" w:eastAsia="仿宋" w:cs="仿宋"/>
                <w:sz w:val="21"/>
                <w:szCs w:val="21"/>
              </w:rPr>
              <w:t>具体内容详见“第六章采购需求”</w:t>
            </w:r>
          </w:p>
        </w:tc>
      </w:tr>
      <w:tr w14:paraId="0DE33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4ABEE7D2">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1.3.2</w:t>
            </w:r>
          </w:p>
        </w:tc>
        <w:tc>
          <w:tcPr>
            <w:tcW w:w="1726" w:type="dxa"/>
            <w:tcBorders>
              <w:top w:val="single" w:color="auto" w:sz="4" w:space="0"/>
              <w:left w:val="single" w:color="auto" w:sz="4" w:space="0"/>
              <w:bottom w:val="single" w:color="auto" w:sz="4" w:space="0"/>
              <w:right w:val="single" w:color="auto" w:sz="4" w:space="0"/>
            </w:tcBorders>
            <w:vAlign w:val="center"/>
          </w:tcPr>
          <w:p w14:paraId="18D04586">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标包划分</w:t>
            </w:r>
          </w:p>
        </w:tc>
        <w:tc>
          <w:tcPr>
            <w:tcW w:w="7685" w:type="dxa"/>
            <w:tcBorders>
              <w:top w:val="single" w:color="auto" w:sz="4" w:space="0"/>
              <w:left w:val="single" w:color="auto" w:sz="4" w:space="0"/>
              <w:bottom w:val="single" w:color="auto" w:sz="4" w:space="0"/>
              <w:right w:val="single" w:color="auto" w:sz="4" w:space="0"/>
            </w:tcBorders>
            <w:vAlign w:val="center"/>
          </w:tcPr>
          <w:p w14:paraId="0907DE2E">
            <w:pPr>
              <w:wordWrap w:val="0"/>
              <w:snapToGrid w:val="0"/>
              <w:spacing w:before="120" w:beforeLines="50" w:after="0" w:line="360" w:lineRule="auto"/>
              <w:jc w:val="both"/>
              <w:rPr>
                <w:rFonts w:hint="eastAsia" w:ascii="仿宋" w:hAnsi="仿宋" w:eastAsia="仿宋" w:cs="仿宋"/>
                <w:sz w:val="21"/>
                <w:szCs w:val="21"/>
              </w:rPr>
            </w:pPr>
            <w:r>
              <w:rPr>
                <w:rFonts w:hint="eastAsia" w:ascii="仿宋" w:hAnsi="仿宋" w:eastAsia="仿宋" w:cs="仿宋"/>
                <w:sz w:val="21"/>
                <w:szCs w:val="21"/>
              </w:rPr>
              <w:t>详见第一章招标公告。</w:t>
            </w:r>
          </w:p>
        </w:tc>
      </w:tr>
      <w:tr w14:paraId="310CE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61964BF4">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1.3.3</w:t>
            </w:r>
          </w:p>
        </w:tc>
        <w:tc>
          <w:tcPr>
            <w:tcW w:w="1726" w:type="dxa"/>
            <w:tcBorders>
              <w:top w:val="single" w:color="auto" w:sz="4" w:space="0"/>
              <w:left w:val="single" w:color="auto" w:sz="4" w:space="0"/>
              <w:bottom w:val="single" w:color="auto" w:sz="4" w:space="0"/>
              <w:right w:val="single" w:color="auto" w:sz="4" w:space="0"/>
            </w:tcBorders>
            <w:vAlign w:val="center"/>
          </w:tcPr>
          <w:p w14:paraId="5DECB6F7">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合同履行期限</w:t>
            </w:r>
          </w:p>
        </w:tc>
        <w:tc>
          <w:tcPr>
            <w:tcW w:w="7685" w:type="dxa"/>
            <w:tcBorders>
              <w:top w:val="single" w:color="auto" w:sz="4" w:space="0"/>
              <w:left w:val="single" w:color="auto" w:sz="4" w:space="0"/>
              <w:bottom w:val="single" w:color="auto" w:sz="4" w:space="0"/>
              <w:right w:val="single" w:color="auto" w:sz="4" w:space="0"/>
            </w:tcBorders>
            <w:vAlign w:val="center"/>
          </w:tcPr>
          <w:p w14:paraId="5D340E13">
            <w:pPr>
              <w:wordWrap w:val="0"/>
              <w:snapToGrid w:val="0"/>
              <w:spacing w:before="120" w:beforeLines="50" w:after="0" w:line="360" w:lineRule="auto"/>
              <w:jc w:val="both"/>
              <w:rPr>
                <w:rFonts w:hint="eastAsia" w:ascii="仿宋" w:hAnsi="仿宋" w:eastAsia="仿宋" w:cs="仿宋"/>
                <w:sz w:val="21"/>
                <w:szCs w:val="21"/>
              </w:rPr>
            </w:pPr>
            <w:r>
              <w:rPr>
                <w:rFonts w:hint="eastAsia" w:ascii="仿宋" w:hAnsi="仿宋" w:eastAsia="仿宋" w:cs="仿宋"/>
                <w:sz w:val="21"/>
                <w:szCs w:val="21"/>
              </w:rPr>
              <w:t>详见第一章招标公告</w:t>
            </w:r>
          </w:p>
        </w:tc>
      </w:tr>
      <w:tr w14:paraId="3D21A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563E0780">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1.3.6</w:t>
            </w:r>
          </w:p>
        </w:tc>
        <w:tc>
          <w:tcPr>
            <w:tcW w:w="1726" w:type="dxa"/>
            <w:tcBorders>
              <w:top w:val="single" w:color="auto" w:sz="4" w:space="0"/>
              <w:left w:val="single" w:color="auto" w:sz="4" w:space="0"/>
              <w:bottom w:val="single" w:color="auto" w:sz="4" w:space="0"/>
              <w:right w:val="single" w:color="auto" w:sz="4" w:space="0"/>
            </w:tcBorders>
            <w:vAlign w:val="center"/>
          </w:tcPr>
          <w:p w14:paraId="24B29789">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质量要求</w:t>
            </w:r>
          </w:p>
        </w:tc>
        <w:tc>
          <w:tcPr>
            <w:tcW w:w="7685" w:type="dxa"/>
            <w:tcBorders>
              <w:top w:val="single" w:color="auto" w:sz="4" w:space="0"/>
              <w:left w:val="single" w:color="auto" w:sz="4" w:space="0"/>
              <w:bottom w:val="single" w:color="auto" w:sz="4" w:space="0"/>
              <w:right w:val="single" w:color="auto" w:sz="4" w:space="0"/>
            </w:tcBorders>
            <w:vAlign w:val="center"/>
          </w:tcPr>
          <w:p w14:paraId="726C3B08">
            <w:pPr>
              <w:wordWrap w:val="0"/>
              <w:snapToGrid w:val="0"/>
              <w:spacing w:before="120" w:beforeLines="50" w:after="0" w:line="360" w:lineRule="auto"/>
              <w:rPr>
                <w:rFonts w:hint="eastAsia" w:ascii="仿宋" w:hAnsi="仿宋" w:eastAsia="仿宋" w:cs="仿宋"/>
                <w:sz w:val="21"/>
                <w:szCs w:val="21"/>
              </w:rPr>
            </w:pPr>
            <w:r>
              <w:rPr>
                <w:rFonts w:hint="eastAsia" w:ascii="仿宋" w:hAnsi="仿宋" w:eastAsia="仿宋" w:cs="仿宋"/>
                <w:sz w:val="21"/>
                <w:szCs w:val="21"/>
              </w:rPr>
              <w:t>详见第一章招标公告</w:t>
            </w:r>
          </w:p>
        </w:tc>
      </w:tr>
      <w:tr w14:paraId="4D4E5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4E2C9FBB">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1.4.1</w:t>
            </w:r>
          </w:p>
        </w:tc>
        <w:tc>
          <w:tcPr>
            <w:tcW w:w="1726" w:type="dxa"/>
            <w:tcBorders>
              <w:top w:val="single" w:color="auto" w:sz="4" w:space="0"/>
              <w:left w:val="single" w:color="auto" w:sz="4" w:space="0"/>
              <w:bottom w:val="single" w:color="auto" w:sz="4" w:space="0"/>
              <w:right w:val="single" w:color="auto" w:sz="4" w:space="0"/>
            </w:tcBorders>
            <w:vAlign w:val="center"/>
          </w:tcPr>
          <w:p w14:paraId="20F89643">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投标人资格要求</w:t>
            </w:r>
          </w:p>
        </w:tc>
        <w:tc>
          <w:tcPr>
            <w:tcW w:w="7685" w:type="dxa"/>
            <w:tcBorders>
              <w:top w:val="single" w:color="auto" w:sz="4" w:space="0"/>
              <w:left w:val="single" w:color="auto" w:sz="4" w:space="0"/>
              <w:bottom w:val="single" w:color="auto" w:sz="4" w:space="0"/>
              <w:right w:val="single" w:color="auto" w:sz="4" w:space="0"/>
            </w:tcBorders>
            <w:vAlign w:val="center"/>
          </w:tcPr>
          <w:p w14:paraId="7BA94D32">
            <w:pPr>
              <w:wordWrap w:val="0"/>
              <w:snapToGrid w:val="0"/>
              <w:spacing w:before="120" w:beforeLines="50" w:after="0" w:line="360" w:lineRule="auto"/>
              <w:rPr>
                <w:rFonts w:hint="eastAsia" w:ascii="仿宋" w:hAnsi="仿宋" w:eastAsia="仿宋" w:cs="仿宋"/>
                <w:sz w:val="21"/>
                <w:szCs w:val="21"/>
              </w:rPr>
            </w:pPr>
            <w:r>
              <w:rPr>
                <w:rFonts w:hint="eastAsia" w:ascii="仿宋" w:hAnsi="仿宋" w:eastAsia="仿宋" w:cs="仿宋"/>
                <w:sz w:val="21"/>
                <w:szCs w:val="21"/>
              </w:rPr>
              <w:t>1、满足《中华人民共和国政府采购法》第二十二条规定；</w:t>
            </w:r>
          </w:p>
          <w:p w14:paraId="29037499">
            <w:pPr>
              <w:wordWrap w:val="0"/>
              <w:snapToGrid w:val="0"/>
              <w:spacing w:before="120" w:beforeLines="50" w:after="0" w:line="360" w:lineRule="auto"/>
              <w:rPr>
                <w:rFonts w:hint="eastAsia" w:ascii="仿宋" w:hAnsi="仿宋" w:eastAsia="仿宋" w:cs="仿宋"/>
                <w:sz w:val="21"/>
                <w:szCs w:val="21"/>
              </w:rPr>
            </w:pPr>
            <w:r>
              <w:rPr>
                <w:rFonts w:hint="eastAsia" w:ascii="仿宋" w:hAnsi="仿宋" w:eastAsia="仿宋" w:cs="仿宋"/>
                <w:sz w:val="21"/>
                <w:szCs w:val="21"/>
              </w:rPr>
              <w:t xml:space="preserve">1.1具有独立承担民事责任的能力；【投标人须在中华人民共和国境内登记或注册，提供有效的营业执照或事业单位法人证书或其他类似的法定证明文件（法人或者其他组织的营业执照等证明文件，自然人的身份证明】 </w:t>
            </w:r>
          </w:p>
          <w:p w14:paraId="049CC7C2">
            <w:pPr>
              <w:wordWrap w:val="0"/>
              <w:snapToGrid w:val="0"/>
              <w:spacing w:before="120" w:beforeLines="50" w:after="0" w:line="360" w:lineRule="auto"/>
              <w:rPr>
                <w:rFonts w:hint="eastAsia" w:ascii="仿宋" w:hAnsi="仿宋" w:eastAsia="仿宋" w:cs="仿宋"/>
                <w:sz w:val="21"/>
                <w:szCs w:val="21"/>
              </w:rPr>
            </w:pPr>
            <w:r>
              <w:rPr>
                <w:rFonts w:hint="eastAsia" w:ascii="仿宋" w:hAnsi="仿宋" w:eastAsia="仿宋" w:cs="仿宋"/>
                <w:sz w:val="21"/>
                <w:szCs w:val="21"/>
              </w:rPr>
              <w:t>1.2具有良好的商业信誉和健全的财务会计制度；【投标人具有健全的财务会计制度，须提供近三年任意一年经第三方机构审计的</w:t>
            </w:r>
            <w:r>
              <w:rPr>
                <w:rFonts w:hint="eastAsia" w:ascii="仿宋" w:hAnsi="仿宋" w:eastAsia="仿宋" w:cs="仿宋"/>
                <w:sz w:val="21"/>
                <w:szCs w:val="21"/>
                <w:highlight w:val="none"/>
              </w:rPr>
              <w:t>审计报告及财务报表</w:t>
            </w:r>
            <w:r>
              <w:rPr>
                <w:rFonts w:hint="eastAsia" w:ascii="仿宋" w:hAnsi="仿宋" w:eastAsia="仿宋" w:cs="仿宋"/>
                <w:sz w:val="21"/>
                <w:szCs w:val="21"/>
              </w:rPr>
              <w:t>【包括但不限于：资产负债表、现金流量表、利润表（或损益表，下同）】注：投标人若为事业单位的，则不需提供利润表；投标人为分公司参与的可提供总公司的；新成立企业不满一年的，提供其基本开户银行出具的资信证明或担保机构针对本项目出具的担保函或其他证明材料】</w:t>
            </w:r>
          </w:p>
          <w:p w14:paraId="0DA81D78">
            <w:pPr>
              <w:wordWrap w:val="0"/>
              <w:snapToGrid w:val="0"/>
              <w:spacing w:before="120" w:beforeLines="50" w:after="0" w:line="360" w:lineRule="auto"/>
              <w:rPr>
                <w:rFonts w:hint="eastAsia" w:ascii="仿宋" w:hAnsi="仿宋" w:eastAsia="仿宋" w:cs="仿宋"/>
                <w:sz w:val="21"/>
                <w:szCs w:val="21"/>
              </w:rPr>
            </w:pPr>
            <w:r>
              <w:rPr>
                <w:rFonts w:hint="eastAsia" w:ascii="仿宋" w:hAnsi="仿宋" w:eastAsia="仿宋" w:cs="仿宋"/>
                <w:sz w:val="21"/>
                <w:szCs w:val="21"/>
              </w:rPr>
              <w:t>1.3具有履行合同所必需的设备和专业技术能力；【投标人须提供具有履行合同所必需的设备和专业技术能力的证明材料或书面声明】</w:t>
            </w:r>
          </w:p>
          <w:p w14:paraId="057F3CB8">
            <w:pPr>
              <w:wordWrap w:val="0"/>
              <w:snapToGrid w:val="0"/>
              <w:spacing w:before="120" w:beforeLines="50" w:after="0" w:line="360" w:lineRule="auto"/>
              <w:rPr>
                <w:rFonts w:hint="eastAsia" w:ascii="仿宋" w:hAnsi="仿宋" w:eastAsia="仿宋" w:cs="仿宋"/>
                <w:sz w:val="21"/>
                <w:szCs w:val="21"/>
              </w:rPr>
            </w:pPr>
            <w:r>
              <w:rPr>
                <w:rFonts w:hint="eastAsia" w:ascii="仿宋" w:hAnsi="仿宋" w:eastAsia="仿宋" w:cs="仿宋"/>
                <w:sz w:val="21"/>
                <w:szCs w:val="21"/>
              </w:rPr>
              <w:t>1.4有依法缴纳税收和社会保障资金的良好记录；【①投标人须提供缴税所属时间在2024年01月至本项目投标文件提交截止时间前任</w:t>
            </w:r>
            <w:r>
              <w:rPr>
                <w:rFonts w:hint="eastAsia" w:ascii="仿宋" w:hAnsi="仿宋" w:eastAsia="仿宋" w:cs="仿宋"/>
                <w:sz w:val="21"/>
                <w:szCs w:val="21"/>
                <w:highlight w:val="none"/>
              </w:rPr>
              <w:t>意3个月的</w:t>
            </w:r>
            <w:r>
              <w:rPr>
                <w:rFonts w:hint="eastAsia" w:ascii="仿宋" w:hAnsi="仿宋" w:eastAsia="仿宋" w:cs="仿宋"/>
                <w:sz w:val="21"/>
                <w:szCs w:val="21"/>
              </w:rPr>
              <w:t>税务局税收通用缴款书或银行电子缴税（费）凭证或税务局出具的纳税情况相关证明材料；依法免税的，应提供依法免税的相关证明材料（自行编写无效）。</w:t>
            </w:r>
          </w:p>
          <w:p w14:paraId="7D491430">
            <w:pPr>
              <w:wordWrap w:val="0"/>
              <w:snapToGrid w:val="0"/>
              <w:spacing w:before="120" w:beforeLines="50" w:after="0" w:line="360" w:lineRule="auto"/>
              <w:rPr>
                <w:rFonts w:hint="eastAsia" w:ascii="仿宋" w:hAnsi="仿宋" w:eastAsia="仿宋" w:cs="仿宋"/>
                <w:sz w:val="21"/>
                <w:szCs w:val="21"/>
              </w:rPr>
            </w:pPr>
            <w:r>
              <w:rPr>
                <w:rFonts w:hint="eastAsia" w:ascii="仿宋" w:hAnsi="仿宋" w:eastAsia="仿宋" w:cs="仿宋"/>
                <w:sz w:val="21"/>
                <w:szCs w:val="21"/>
              </w:rPr>
              <w:t>说明</w:t>
            </w:r>
            <w:r>
              <w:rPr>
                <w:rFonts w:hint="eastAsia" w:ascii="仿宋" w:hAnsi="仿宋" w:eastAsia="仿宋" w:cs="仿宋"/>
                <w:sz w:val="21"/>
                <w:szCs w:val="21"/>
                <w:highlight w:val="none"/>
              </w:rPr>
              <w:t>：新成立企业不满3个月的，提供缴税所属时间在企业成立之日起至本项目投标文件提交截止时间前任意1个月的税务</w:t>
            </w:r>
            <w:r>
              <w:rPr>
                <w:rFonts w:hint="eastAsia" w:ascii="仿宋" w:hAnsi="仿宋" w:eastAsia="仿宋" w:cs="仿宋"/>
                <w:sz w:val="21"/>
                <w:szCs w:val="21"/>
              </w:rPr>
              <w:t>局税收通用缴款书或银行电子缴税（费）凭证或税务局出具的纳税情况相关证明材料；依法免税的，应提供依法免税的相关证明材料（自行编写无效）。</w:t>
            </w:r>
          </w:p>
          <w:p w14:paraId="7798823A">
            <w:pPr>
              <w:wordWrap w:val="0"/>
              <w:snapToGrid w:val="0"/>
              <w:spacing w:before="120" w:beforeLines="50" w:after="0" w:line="360" w:lineRule="auto"/>
              <w:rPr>
                <w:rFonts w:hint="eastAsia" w:ascii="仿宋" w:hAnsi="仿宋" w:eastAsia="仿宋" w:cs="仿宋"/>
                <w:sz w:val="21"/>
                <w:szCs w:val="21"/>
              </w:rPr>
            </w:pPr>
            <w:r>
              <w:rPr>
                <w:rFonts w:hint="eastAsia" w:ascii="仿宋" w:hAnsi="仿宋" w:eastAsia="仿宋" w:cs="仿宋"/>
                <w:sz w:val="21"/>
                <w:szCs w:val="21"/>
              </w:rPr>
              <w:t>②投标人须提供缴费所属时间在2024年01月至本项目投标文件提交截止时间前任意3个月的社会保险费缴款书或银行电子缴税（费）凭证或社保管理部门出具的缴款证明；依法免缴的，应提供依法免缴的相关证明材料（自行编写无效）。</w:t>
            </w:r>
          </w:p>
          <w:p w14:paraId="30C8D099">
            <w:pPr>
              <w:wordWrap w:val="0"/>
              <w:snapToGrid w:val="0"/>
              <w:spacing w:before="120" w:beforeLines="50" w:after="0" w:line="360" w:lineRule="auto"/>
              <w:rPr>
                <w:rFonts w:hint="eastAsia" w:ascii="仿宋" w:hAnsi="仿宋" w:eastAsia="仿宋" w:cs="仿宋"/>
                <w:sz w:val="21"/>
                <w:szCs w:val="21"/>
              </w:rPr>
            </w:pPr>
            <w:r>
              <w:rPr>
                <w:rFonts w:hint="eastAsia" w:ascii="仿宋" w:hAnsi="仿宋" w:eastAsia="仿宋" w:cs="仿宋"/>
                <w:sz w:val="21"/>
                <w:szCs w:val="21"/>
              </w:rPr>
              <w:t>说明：新成立企业不满3个月的，提供缴费所属时间在企业成立之日起至本项目投标文件提交截止时间前任意1个月的社会保险费缴款书或银行电子缴税（费）凭证或社保管理部门出具的缴款证明；依法免缴的，应提供依法免缴的相关证明材料（自行编写无效）】</w:t>
            </w:r>
          </w:p>
          <w:p w14:paraId="22F75C38">
            <w:pPr>
              <w:wordWrap w:val="0"/>
              <w:snapToGrid w:val="0"/>
              <w:spacing w:before="120" w:beforeLines="50" w:after="0" w:line="360" w:lineRule="auto"/>
              <w:rPr>
                <w:rFonts w:hint="eastAsia" w:ascii="仿宋" w:hAnsi="仿宋" w:eastAsia="仿宋" w:cs="仿宋"/>
                <w:sz w:val="21"/>
                <w:szCs w:val="21"/>
                <w:highlight w:val="none"/>
              </w:rPr>
            </w:pPr>
            <w:r>
              <w:rPr>
                <w:rFonts w:hint="eastAsia" w:ascii="仿宋" w:hAnsi="仿宋" w:eastAsia="仿宋" w:cs="仿宋"/>
                <w:sz w:val="21"/>
                <w:szCs w:val="21"/>
              </w:rPr>
              <w:t>1.5参加政府采购活动前三</w:t>
            </w:r>
            <w:r>
              <w:rPr>
                <w:rFonts w:hint="eastAsia" w:ascii="仿宋" w:hAnsi="仿宋" w:eastAsia="仿宋" w:cs="仿宋"/>
                <w:sz w:val="21"/>
                <w:szCs w:val="21"/>
                <w:highlight w:val="none"/>
              </w:rPr>
              <w:t>年内，</w:t>
            </w:r>
            <w:r>
              <w:rPr>
                <w:rFonts w:hint="eastAsia" w:ascii="仿宋" w:hAnsi="仿宋" w:eastAsia="仿宋" w:cs="仿宋"/>
                <w:sz w:val="21"/>
                <w:szCs w:val="21"/>
                <w:highlight w:val="none"/>
                <w:lang w:val="en-US" w:eastAsia="zh-CN"/>
              </w:rPr>
              <w:t>未发生过食品安全事故，</w:t>
            </w:r>
            <w:r>
              <w:rPr>
                <w:rFonts w:hint="eastAsia" w:ascii="仿宋" w:hAnsi="仿宋" w:eastAsia="仿宋" w:cs="仿宋"/>
                <w:sz w:val="21"/>
                <w:szCs w:val="21"/>
                <w:highlight w:val="none"/>
              </w:rPr>
              <w:t>在经营活动</w:t>
            </w:r>
            <w:r>
              <w:rPr>
                <w:rFonts w:hint="eastAsia" w:ascii="仿宋" w:hAnsi="仿宋" w:eastAsia="仿宋" w:cs="仿宋"/>
                <w:sz w:val="21"/>
                <w:szCs w:val="21"/>
              </w:rPr>
              <w:t>中没有重大违法</w:t>
            </w:r>
            <w:r>
              <w:rPr>
                <w:rFonts w:hint="eastAsia" w:ascii="仿宋" w:hAnsi="仿宋" w:eastAsia="仿宋" w:cs="仿宋"/>
                <w:sz w:val="21"/>
                <w:szCs w:val="21"/>
                <w:lang w:val="en-US" w:eastAsia="zh-CN"/>
              </w:rPr>
              <w:t>情况</w:t>
            </w:r>
            <w:r>
              <w:rPr>
                <w:rFonts w:hint="eastAsia" w:ascii="仿宋" w:hAnsi="仿宋" w:eastAsia="仿宋" w:cs="仿宋"/>
                <w:sz w:val="21"/>
                <w:szCs w:val="21"/>
              </w:rPr>
              <w:t>；【投标人须提供参加政府采购活动前三年内，在经营活动中没有重大违法</w:t>
            </w:r>
            <w:r>
              <w:rPr>
                <w:rFonts w:hint="eastAsia" w:ascii="仿宋" w:hAnsi="仿宋" w:eastAsia="仿宋" w:cs="仿宋"/>
                <w:sz w:val="21"/>
                <w:szCs w:val="21"/>
                <w:lang w:val="en-US" w:eastAsia="zh-CN"/>
              </w:rPr>
              <w:t>情况</w:t>
            </w:r>
            <w:r>
              <w:rPr>
                <w:rFonts w:hint="eastAsia" w:ascii="仿宋" w:hAnsi="仿宋" w:eastAsia="仿宋" w:cs="仿宋"/>
                <w:sz w:val="21"/>
                <w:szCs w:val="21"/>
              </w:rPr>
              <w:t>（重大违</w:t>
            </w:r>
            <w:r>
              <w:rPr>
                <w:rFonts w:hint="eastAsia" w:ascii="仿宋" w:hAnsi="仿宋" w:eastAsia="仿宋" w:cs="仿宋"/>
                <w:sz w:val="21"/>
                <w:szCs w:val="21"/>
                <w:lang w:val="en-US" w:eastAsia="zh-CN"/>
              </w:rPr>
              <w:t>法</w:t>
            </w:r>
            <w:r>
              <w:rPr>
                <w:rFonts w:hint="eastAsia" w:ascii="仿宋" w:hAnsi="仿宋" w:eastAsia="仿宋" w:cs="仿宋"/>
                <w:sz w:val="21"/>
                <w:szCs w:val="21"/>
                <w:highlight w:val="none"/>
                <w:lang w:val="en-US" w:eastAsia="zh-CN"/>
              </w:rPr>
              <w:t>情况</w:t>
            </w:r>
            <w:r>
              <w:rPr>
                <w:rFonts w:hint="eastAsia" w:ascii="仿宋" w:hAnsi="仿宋" w:eastAsia="仿宋" w:cs="仿宋"/>
                <w:sz w:val="21"/>
                <w:szCs w:val="21"/>
                <w:highlight w:val="none"/>
              </w:rPr>
              <w:t>是指：投标人因违法经营受到刑事处罚或者责令停产停业、吊销许可证或者执照、较大数额罚款等行政处罚）的书面声明】</w:t>
            </w:r>
          </w:p>
          <w:p w14:paraId="069993A2">
            <w:pPr>
              <w:wordWrap w:val="0"/>
              <w:snapToGrid w:val="0"/>
              <w:spacing w:before="120" w:beforeLines="50" w:after="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1.6法律、行政法规规定的其他条件；</w:t>
            </w:r>
          </w:p>
          <w:p w14:paraId="4CC165AC">
            <w:pPr>
              <w:numPr>
                <w:ilvl w:val="0"/>
                <w:numId w:val="0"/>
              </w:numPr>
              <w:wordWrap w:val="0"/>
              <w:snapToGrid w:val="0"/>
              <w:spacing w:before="120" w:beforeLines="50" w:after="0" w:line="360" w:lineRule="auto"/>
              <w:rPr>
                <w:rFonts w:hint="eastAsia" w:ascii="仿宋" w:hAnsi="仿宋" w:eastAsia="仿宋" w:cs="仿宋"/>
                <w:sz w:val="21"/>
                <w:szCs w:val="21"/>
                <w:highlight w:val="yellow"/>
              </w:rPr>
            </w:pP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rPr>
              <w:t>落实政府采购政策需满足的资格要求：本项目为不专门面向中小企业采购的项目，执行价格评审优惠的扶持政策,残疾人企业和监狱企业视同为小微企业，小微企业价格扣除优惠比例:10%；</w:t>
            </w:r>
          </w:p>
          <w:p w14:paraId="32665DB0">
            <w:pPr>
              <w:wordWrap w:val="0"/>
              <w:snapToGrid w:val="0"/>
              <w:spacing w:before="120" w:beforeLines="50" w:after="0" w:line="360" w:lineRule="auto"/>
              <w:rPr>
                <w:rFonts w:hint="eastAsia" w:ascii="仿宋" w:hAnsi="仿宋" w:eastAsia="仿宋" w:cs="仿宋"/>
                <w:sz w:val="21"/>
                <w:szCs w:val="21"/>
              </w:rPr>
            </w:pPr>
            <w:r>
              <w:rPr>
                <w:rFonts w:hint="eastAsia" w:ascii="仿宋" w:hAnsi="仿宋" w:eastAsia="仿宋" w:cs="仿宋"/>
                <w:sz w:val="21"/>
                <w:szCs w:val="21"/>
              </w:rPr>
              <w:t>3、本项目的特定资格要求：</w:t>
            </w:r>
          </w:p>
          <w:p w14:paraId="1C24F97D">
            <w:pPr>
              <w:wordWrap w:val="0"/>
              <w:snapToGrid w:val="0"/>
              <w:spacing w:before="120" w:beforeLines="50" w:after="0" w:line="360" w:lineRule="auto"/>
              <w:rPr>
                <w:rFonts w:hint="eastAsia" w:ascii="仿宋" w:hAnsi="仿宋" w:eastAsia="仿宋" w:cs="仿宋"/>
                <w:sz w:val="21"/>
                <w:szCs w:val="21"/>
                <w:highlight w:val="none"/>
              </w:rPr>
            </w:pPr>
            <w:r>
              <w:rPr>
                <w:rFonts w:hint="eastAsia" w:ascii="仿宋" w:hAnsi="仿宋" w:eastAsia="仿宋" w:cs="仿宋"/>
                <w:sz w:val="21"/>
                <w:szCs w:val="21"/>
              </w:rPr>
              <w:t>（1）</w:t>
            </w:r>
            <w:r>
              <w:rPr>
                <w:rFonts w:hint="eastAsia" w:ascii="仿宋" w:hAnsi="仿宋" w:eastAsia="仿宋" w:cs="仿宋"/>
                <w:sz w:val="21"/>
                <w:szCs w:val="21"/>
                <w:highlight w:val="none"/>
              </w:rPr>
              <w:t>投标人必须为持有有效期内《食品经营许可证》</w:t>
            </w:r>
            <w:r>
              <w:rPr>
                <w:rFonts w:hint="eastAsia" w:ascii="仿宋" w:hAnsi="仿宋" w:eastAsia="仿宋" w:cs="仿宋"/>
                <w:sz w:val="21"/>
                <w:szCs w:val="21"/>
                <w:highlight w:val="none"/>
                <w:lang w:eastAsia="zh-CN"/>
              </w:rPr>
              <w:t>和《集体用餐配送资质》</w:t>
            </w:r>
            <w:r>
              <w:rPr>
                <w:rFonts w:hint="eastAsia" w:ascii="仿宋" w:hAnsi="仿宋" w:eastAsia="仿宋" w:cs="仿宋"/>
                <w:sz w:val="21"/>
                <w:szCs w:val="21"/>
                <w:highlight w:val="none"/>
              </w:rPr>
              <w:t>；</w:t>
            </w:r>
            <w:r>
              <w:rPr>
                <w:rFonts w:hint="eastAsia" w:ascii="仿宋" w:hAnsi="仿宋" w:eastAsia="仿宋" w:cs="仿宋"/>
                <w:sz w:val="21"/>
                <w:szCs w:val="21"/>
              </w:rPr>
              <w:t>（</w:t>
            </w:r>
            <w:r>
              <w:rPr>
                <w:rFonts w:hint="eastAsia" w:ascii="仿宋" w:hAnsi="仿宋" w:eastAsia="仿宋" w:cs="仿宋"/>
                <w:sz w:val="21"/>
                <w:szCs w:val="21"/>
                <w:lang w:val="en-US" w:eastAsia="zh-CN"/>
              </w:rPr>
              <w:t>2</w:t>
            </w:r>
            <w:r>
              <w:rPr>
                <w:rFonts w:hint="eastAsia" w:ascii="仿宋" w:hAnsi="仿宋" w:eastAsia="仿宋" w:cs="仿宋"/>
                <w:sz w:val="21"/>
                <w:szCs w:val="21"/>
              </w:rPr>
              <w:t>）单位负责人为同一人或者存在直接控股、管理关系的不同投标人，不得参加同一合同项下的政府采购活动，否则均按无效处理；（</w:t>
            </w:r>
            <w:r>
              <w:rPr>
                <w:rFonts w:hint="eastAsia" w:ascii="仿宋" w:hAnsi="仿宋" w:eastAsia="仿宋" w:cs="仿宋"/>
                <w:sz w:val="21"/>
                <w:szCs w:val="21"/>
                <w:lang w:val="en-US" w:eastAsia="zh-CN"/>
              </w:rPr>
              <w:t>3</w:t>
            </w:r>
            <w:r>
              <w:rPr>
                <w:rFonts w:hint="eastAsia" w:ascii="仿宋" w:hAnsi="仿宋" w:eastAsia="仿宋" w:cs="仿宋"/>
                <w:sz w:val="21"/>
                <w:szCs w:val="21"/>
              </w:rPr>
              <w:t>）采购人或采购代理机构在投标文件递交的截止时间后将对投标人的信用信息在“信用中国”网站（www.creditchina.gov.cn）及中国政府采购网上进行查询，投标人如被列入“信用中国”网站（www.creditchina.gov.cn）失信被执行人（或失信惩戒人）、重大税收违法失信主体及中国政府采购网（www.ccgp.gov.cn）政府采购严重违法失信行为信息记录（被禁止在一定期限内参加政府采购活动但期限届满的除外）名单的，其投标文件按无效投标文件处理；</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）本项目不接受进口产品。</w:t>
            </w:r>
          </w:p>
          <w:p w14:paraId="5183EE00">
            <w:pPr>
              <w:wordWrap w:val="0"/>
              <w:snapToGrid w:val="0"/>
              <w:spacing w:before="120" w:beforeLines="50" w:after="0" w:line="360" w:lineRule="auto"/>
              <w:rPr>
                <w:rFonts w:hint="eastAsia" w:ascii="仿宋" w:hAnsi="仿宋" w:eastAsia="仿宋" w:cs="仿宋"/>
                <w:sz w:val="21"/>
                <w:szCs w:val="21"/>
              </w:rPr>
            </w:pPr>
            <w:r>
              <w:rPr>
                <w:rFonts w:hint="eastAsia" w:ascii="仿宋" w:hAnsi="仿宋" w:eastAsia="仿宋" w:cs="仿宋"/>
                <w:sz w:val="21"/>
                <w:szCs w:val="21"/>
              </w:rPr>
              <w:t>注：若为个体户的只需提供营业执照、经营者身份证。若为自然人的只需提供身份证。</w:t>
            </w:r>
          </w:p>
        </w:tc>
      </w:tr>
      <w:tr w14:paraId="6507E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521FE858">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1.4.2</w:t>
            </w:r>
          </w:p>
        </w:tc>
        <w:tc>
          <w:tcPr>
            <w:tcW w:w="1726" w:type="dxa"/>
            <w:tcBorders>
              <w:top w:val="single" w:color="auto" w:sz="4" w:space="0"/>
              <w:left w:val="single" w:color="auto" w:sz="4" w:space="0"/>
              <w:bottom w:val="single" w:color="auto" w:sz="4" w:space="0"/>
              <w:right w:val="single" w:color="auto" w:sz="4" w:space="0"/>
            </w:tcBorders>
            <w:vAlign w:val="center"/>
          </w:tcPr>
          <w:p w14:paraId="2D215269">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是否接受联合体投标</w:t>
            </w:r>
          </w:p>
        </w:tc>
        <w:tc>
          <w:tcPr>
            <w:tcW w:w="7685" w:type="dxa"/>
            <w:tcBorders>
              <w:top w:val="single" w:color="auto" w:sz="4" w:space="0"/>
              <w:left w:val="single" w:color="auto" w:sz="4" w:space="0"/>
              <w:bottom w:val="single" w:color="auto" w:sz="4" w:space="0"/>
              <w:right w:val="single" w:color="auto" w:sz="4" w:space="0"/>
            </w:tcBorders>
            <w:vAlign w:val="center"/>
          </w:tcPr>
          <w:p w14:paraId="726342D5">
            <w:pPr>
              <w:wordWrap w:val="0"/>
              <w:snapToGrid w:val="0"/>
              <w:spacing w:before="120" w:beforeLines="50" w:after="0" w:line="360" w:lineRule="auto"/>
              <w:rPr>
                <w:rFonts w:hint="eastAsia" w:ascii="仿宋" w:hAnsi="仿宋" w:eastAsia="仿宋" w:cs="仿宋"/>
                <w:sz w:val="21"/>
                <w:szCs w:val="21"/>
              </w:rPr>
            </w:pPr>
            <w:r>
              <w:rPr>
                <w:rFonts w:hint="eastAsia" w:ascii="仿宋" w:hAnsi="仿宋" w:eastAsia="仿宋" w:cs="仿宋"/>
                <w:sz w:val="21"/>
                <w:szCs w:val="21"/>
              </w:rPr>
              <w:t>本次项目不接受联合体投标</w:t>
            </w:r>
          </w:p>
        </w:tc>
      </w:tr>
      <w:tr w14:paraId="77098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7BBD0E56">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1.4.3</w:t>
            </w:r>
          </w:p>
        </w:tc>
        <w:tc>
          <w:tcPr>
            <w:tcW w:w="1726" w:type="dxa"/>
            <w:tcBorders>
              <w:top w:val="single" w:color="auto" w:sz="4" w:space="0"/>
              <w:left w:val="single" w:color="auto" w:sz="4" w:space="0"/>
              <w:bottom w:val="single" w:color="auto" w:sz="4" w:space="0"/>
              <w:right w:val="single" w:color="auto" w:sz="4" w:space="0"/>
            </w:tcBorders>
            <w:vAlign w:val="center"/>
          </w:tcPr>
          <w:p w14:paraId="1EDBFC85">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投标人不得存在的其他情形</w:t>
            </w:r>
          </w:p>
        </w:tc>
        <w:tc>
          <w:tcPr>
            <w:tcW w:w="7685" w:type="dxa"/>
            <w:tcBorders>
              <w:top w:val="single" w:color="auto" w:sz="4" w:space="0"/>
              <w:left w:val="single" w:color="auto" w:sz="4" w:space="0"/>
              <w:bottom w:val="single" w:color="auto" w:sz="4" w:space="0"/>
              <w:right w:val="single" w:color="auto" w:sz="4" w:space="0"/>
            </w:tcBorders>
            <w:vAlign w:val="center"/>
          </w:tcPr>
          <w:p w14:paraId="787336C8">
            <w:pPr>
              <w:wordWrap w:val="0"/>
              <w:snapToGrid w:val="0"/>
              <w:spacing w:after="0" w:line="360" w:lineRule="auto"/>
              <w:rPr>
                <w:rFonts w:hint="eastAsia" w:ascii="仿宋" w:hAnsi="仿宋" w:eastAsia="仿宋" w:cs="仿宋"/>
                <w:sz w:val="21"/>
                <w:szCs w:val="21"/>
              </w:rPr>
            </w:pPr>
            <w:r>
              <w:rPr>
                <w:rFonts w:hint="eastAsia" w:ascii="仿宋" w:hAnsi="仿宋" w:eastAsia="仿宋" w:cs="仿宋"/>
                <w:sz w:val="21"/>
                <w:szCs w:val="21"/>
              </w:rPr>
              <w:t>单位负责人为同一人或者存在直接控股、管理关系的不同投标人参加同一合同项下的政府采购活动的。</w:t>
            </w:r>
          </w:p>
        </w:tc>
      </w:tr>
      <w:tr w14:paraId="0566D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4389034A">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1.9.1</w:t>
            </w:r>
          </w:p>
        </w:tc>
        <w:tc>
          <w:tcPr>
            <w:tcW w:w="1726" w:type="dxa"/>
            <w:tcBorders>
              <w:top w:val="single" w:color="auto" w:sz="4" w:space="0"/>
              <w:left w:val="single" w:color="auto" w:sz="4" w:space="0"/>
              <w:bottom w:val="single" w:color="auto" w:sz="4" w:space="0"/>
              <w:right w:val="single" w:color="auto" w:sz="4" w:space="0"/>
            </w:tcBorders>
            <w:vAlign w:val="center"/>
          </w:tcPr>
          <w:p w14:paraId="7A5010B6">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踏勘现场</w:t>
            </w:r>
          </w:p>
        </w:tc>
        <w:tc>
          <w:tcPr>
            <w:tcW w:w="7685" w:type="dxa"/>
            <w:tcBorders>
              <w:top w:val="single" w:color="auto" w:sz="4" w:space="0"/>
              <w:left w:val="single" w:color="auto" w:sz="4" w:space="0"/>
              <w:bottom w:val="single" w:color="auto" w:sz="4" w:space="0"/>
              <w:right w:val="single" w:color="auto" w:sz="4" w:space="0"/>
            </w:tcBorders>
            <w:vAlign w:val="center"/>
          </w:tcPr>
          <w:p w14:paraId="6C9E065B">
            <w:pPr>
              <w:wordWrap w:val="0"/>
              <w:snapToGrid w:val="0"/>
              <w:spacing w:before="120" w:beforeLines="50" w:after="0" w:line="360" w:lineRule="auto"/>
              <w:rPr>
                <w:rFonts w:hint="eastAsia" w:ascii="仿宋" w:hAnsi="仿宋" w:eastAsia="仿宋" w:cs="仿宋"/>
                <w:sz w:val="21"/>
                <w:szCs w:val="21"/>
              </w:rPr>
            </w:pPr>
            <w:r>
              <w:rPr>
                <w:rFonts w:hint="eastAsia" w:ascii="仿宋" w:hAnsi="仿宋" w:eastAsia="仿宋" w:cs="仿宋"/>
                <w:sz w:val="21"/>
                <w:szCs w:val="21"/>
              </w:rPr>
              <w:t>不组织</w:t>
            </w:r>
          </w:p>
        </w:tc>
      </w:tr>
      <w:tr w14:paraId="554F2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550C425C">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1.10</w:t>
            </w:r>
          </w:p>
        </w:tc>
        <w:tc>
          <w:tcPr>
            <w:tcW w:w="1726" w:type="dxa"/>
            <w:tcBorders>
              <w:top w:val="single" w:color="auto" w:sz="4" w:space="0"/>
              <w:left w:val="single" w:color="auto" w:sz="4" w:space="0"/>
              <w:bottom w:val="single" w:color="auto" w:sz="4" w:space="0"/>
              <w:right w:val="single" w:color="auto" w:sz="4" w:space="0"/>
            </w:tcBorders>
            <w:vAlign w:val="center"/>
          </w:tcPr>
          <w:p w14:paraId="525AB3AA">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开标前答疑会</w:t>
            </w:r>
          </w:p>
        </w:tc>
        <w:tc>
          <w:tcPr>
            <w:tcW w:w="7685" w:type="dxa"/>
            <w:tcBorders>
              <w:top w:val="single" w:color="auto" w:sz="4" w:space="0"/>
              <w:left w:val="single" w:color="auto" w:sz="4" w:space="0"/>
              <w:bottom w:val="single" w:color="auto" w:sz="4" w:space="0"/>
              <w:right w:val="single" w:color="auto" w:sz="4" w:space="0"/>
            </w:tcBorders>
            <w:vAlign w:val="center"/>
          </w:tcPr>
          <w:p w14:paraId="7CAB5E57">
            <w:pPr>
              <w:wordWrap w:val="0"/>
              <w:snapToGrid w:val="0"/>
              <w:spacing w:before="120" w:beforeLines="50" w:after="0" w:line="360" w:lineRule="auto"/>
              <w:rPr>
                <w:rFonts w:hint="eastAsia" w:ascii="仿宋" w:hAnsi="仿宋" w:eastAsia="仿宋" w:cs="仿宋"/>
                <w:sz w:val="21"/>
                <w:szCs w:val="21"/>
              </w:rPr>
            </w:pPr>
            <w:r>
              <w:rPr>
                <w:rFonts w:hint="eastAsia" w:ascii="仿宋" w:hAnsi="仿宋" w:eastAsia="仿宋" w:cs="仿宋"/>
                <w:sz w:val="21"/>
                <w:szCs w:val="21"/>
              </w:rPr>
              <w:t>不召开</w:t>
            </w:r>
          </w:p>
        </w:tc>
      </w:tr>
      <w:tr w14:paraId="2F7E4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9295289">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1.11</w:t>
            </w:r>
          </w:p>
        </w:tc>
        <w:tc>
          <w:tcPr>
            <w:tcW w:w="1726" w:type="dxa"/>
            <w:tcBorders>
              <w:top w:val="single" w:color="auto" w:sz="4" w:space="0"/>
              <w:left w:val="single" w:color="auto" w:sz="4" w:space="0"/>
              <w:bottom w:val="single" w:color="auto" w:sz="4" w:space="0"/>
              <w:right w:val="single" w:color="auto" w:sz="4" w:space="0"/>
            </w:tcBorders>
            <w:vAlign w:val="center"/>
          </w:tcPr>
          <w:p w14:paraId="215032BB">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分包</w:t>
            </w:r>
          </w:p>
        </w:tc>
        <w:tc>
          <w:tcPr>
            <w:tcW w:w="7685" w:type="dxa"/>
            <w:tcBorders>
              <w:top w:val="single" w:color="auto" w:sz="4" w:space="0"/>
              <w:left w:val="single" w:color="auto" w:sz="4" w:space="0"/>
              <w:bottom w:val="single" w:color="auto" w:sz="4" w:space="0"/>
              <w:right w:val="single" w:color="auto" w:sz="4" w:space="0"/>
            </w:tcBorders>
            <w:vAlign w:val="center"/>
          </w:tcPr>
          <w:p w14:paraId="1CB6E50F">
            <w:pPr>
              <w:wordWrap w:val="0"/>
              <w:snapToGrid w:val="0"/>
              <w:spacing w:before="120" w:beforeLines="50" w:after="0" w:line="360" w:lineRule="auto"/>
              <w:rPr>
                <w:rFonts w:hint="eastAsia" w:ascii="仿宋" w:hAnsi="仿宋" w:eastAsia="仿宋" w:cs="仿宋"/>
                <w:sz w:val="21"/>
                <w:szCs w:val="21"/>
              </w:rPr>
            </w:pPr>
            <w:r>
              <w:rPr>
                <w:rFonts w:hint="eastAsia" w:ascii="仿宋" w:hAnsi="仿宋" w:eastAsia="仿宋" w:cs="仿宋"/>
                <w:sz w:val="21"/>
                <w:szCs w:val="21"/>
              </w:rPr>
              <w:t>不允许</w:t>
            </w:r>
          </w:p>
        </w:tc>
      </w:tr>
      <w:tr w14:paraId="34D55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19B5B8EA">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1.12</w:t>
            </w:r>
          </w:p>
        </w:tc>
        <w:tc>
          <w:tcPr>
            <w:tcW w:w="1726" w:type="dxa"/>
            <w:tcBorders>
              <w:top w:val="single" w:color="auto" w:sz="4" w:space="0"/>
              <w:left w:val="single" w:color="auto" w:sz="4" w:space="0"/>
              <w:bottom w:val="single" w:color="auto" w:sz="4" w:space="0"/>
              <w:right w:val="single" w:color="auto" w:sz="4" w:space="0"/>
            </w:tcBorders>
            <w:vAlign w:val="center"/>
          </w:tcPr>
          <w:p w14:paraId="6B83991C">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偏离</w:t>
            </w:r>
          </w:p>
        </w:tc>
        <w:tc>
          <w:tcPr>
            <w:tcW w:w="7685" w:type="dxa"/>
            <w:tcBorders>
              <w:top w:val="single" w:color="auto" w:sz="4" w:space="0"/>
              <w:left w:val="single" w:color="auto" w:sz="4" w:space="0"/>
              <w:bottom w:val="single" w:color="auto" w:sz="4" w:space="0"/>
              <w:right w:val="single" w:color="auto" w:sz="4" w:space="0"/>
            </w:tcBorders>
            <w:vAlign w:val="center"/>
          </w:tcPr>
          <w:p w14:paraId="3295B88A">
            <w:pPr>
              <w:wordWrap w:val="0"/>
              <w:snapToGrid w:val="0"/>
              <w:spacing w:before="120" w:beforeLines="50" w:after="0" w:line="360" w:lineRule="auto"/>
              <w:rPr>
                <w:rFonts w:hint="eastAsia" w:ascii="仿宋" w:hAnsi="仿宋" w:eastAsia="仿宋" w:cs="仿宋"/>
                <w:sz w:val="21"/>
                <w:szCs w:val="21"/>
              </w:rPr>
            </w:pPr>
            <w:r>
              <w:rPr>
                <w:rFonts w:hint="eastAsia" w:ascii="仿宋" w:hAnsi="仿宋" w:eastAsia="仿宋" w:cs="仿宋"/>
                <w:sz w:val="21"/>
                <w:szCs w:val="21"/>
              </w:rPr>
              <w:t>投标人可在招标文件要求的条件上，作出正偏离的承诺，如质量要求提高、处罚额度增大等。</w:t>
            </w:r>
          </w:p>
        </w:tc>
      </w:tr>
      <w:tr w14:paraId="67F18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77CCF0C4">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2.1</w:t>
            </w:r>
          </w:p>
        </w:tc>
        <w:tc>
          <w:tcPr>
            <w:tcW w:w="1726" w:type="dxa"/>
            <w:tcBorders>
              <w:top w:val="single" w:color="auto" w:sz="4" w:space="0"/>
              <w:left w:val="single" w:color="auto" w:sz="4" w:space="0"/>
              <w:bottom w:val="single" w:color="auto" w:sz="4" w:space="0"/>
              <w:right w:val="single" w:color="auto" w:sz="4" w:space="0"/>
            </w:tcBorders>
            <w:vAlign w:val="center"/>
          </w:tcPr>
          <w:p w14:paraId="0C3D8239">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招标文件的询问时间</w:t>
            </w:r>
          </w:p>
        </w:tc>
        <w:tc>
          <w:tcPr>
            <w:tcW w:w="7685" w:type="dxa"/>
            <w:tcBorders>
              <w:top w:val="single" w:color="auto" w:sz="4" w:space="0"/>
              <w:left w:val="single" w:color="auto" w:sz="4" w:space="0"/>
              <w:bottom w:val="single" w:color="auto" w:sz="4" w:space="0"/>
              <w:right w:val="single" w:color="auto" w:sz="4" w:space="0"/>
            </w:tcBorders>
            <w:vAlign w:val="center"/>
          </w:tcPr>
          <w:p w14:paraId="2EB9714A">
            <w:pPr>
              <w:wordWrap w:val="0"/>
              <w:snapToGrid w:val="0"/>
              <w:spacing w:before="120" w:beforeLines="50" w:after="0" w:line="360" w:lineRule="auto"/>
              <w:rPr>
                <w:rFonts w:hint="eastAsia" w:ascii="仿宋" w:hAnsi="仿宋" w:eastAsia="仿宋" w:cs="仿宋"/>
                <w:sz w:val="21"/>
                <w:szCs w:val="21"/>
              </w:rPr>
            </w:pPr>
            <w:r>
              <w:rPr>
                <w:rFonts w:hint="eastAsia" w:ascii="仿宋" w:hAnsi="仿宋" w:eastAsia="仿宋" w:cs="仿宋"/>
                <w:sz w:val="21"/>
                <w:szCs w:val="21"/>
              </w:rPr>
              <w:t>询问时间：获取招标文件后7个工作日内。</w:t>
            </w:r>
          </w:p>
          <w:p w14:paraId="1B3C00A6">
            <w:pPr>
              <w:wordWrap w:val="0"/>
              <w:snapToGrid w:val="0"/>
              <w:spacing w:before="120" w:beforeLines="50" w:after="0" w:line="360" w:lineRule="auto"/>
              <w:rPr>
                <w:rFonts w:hint="eastAsia" w:ascii="仿宋" w:hAnsi="仿宋" w:eastAsia="仿宋" w:cs="仿宋"/>
                <w:sz w:val="21"/>
                <w:szCs w:val="21"/>
              </w:rPr>
            </w:pPr>
            <w:r>
              <w:rPr>
                <w:rFonts w:hint="eastAsia" w:ascii="仿宋" w:hAnsi="仿宋" w:eastAsia="仿宋" w:cs="仿宋"/>
                <w:sz w:val="21"/>
                <w:szCs w:val="21"/>
              </w:rPr>
              <w:t>询问方式：所有获取了招标文件的潜在投标人凭企业数字证书（CA）登录政府采购云平台（网址：https://www.zcygov.cn/）在“询问列表”，通过网络在线方式进行提问，并在合理时间内以书面形式向采购人提出（送至云南雄辉招标有限公司：昆明市富民县螳川西路滨江俊园1-13文昌书院三楼）。</w:t>
            </w:r>
          </w:p>
        </w:tc>
      </w:tr>
      <w:tr w14:paraId="101B6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390179DD">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2.11</w:t>
            </w:r>
          </w:p>
        </w:tc>
        <w:tc>
          <w:tcPr>
            <w:tcW w:w="1726" w:type="dxa"/>
            <w:tcBorders>
              <w:top w:val="single" w:color="auto" w:sz="4" w:space="0"/>
              <w:left w:val="single" w:color="auto" w:sz="4" w:space="0"/>
              <w:bottom w:val="single" w:color="auto" w:sz="4" w:space="0"/>
              <w:right w:val="single" w:color="auto" w:sz="4" w:space="0"/>
            </w:tcBorders>
            <w:vAlign w:val="center"/>
          </w:tcPr>
          <w:p w14:paraId="08ACF020">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招标文件询问联系方式</w:t>
            </w:r>
          </w:p>
        </w:tc>
        <w:tc>
          <w:tcPr>
            <w:tcW w:w="7685" w:type="dxa"/>
            <w:tcBorders>
              <w:top w:val="single" w:color="auto" w:sz="4" w:space="0"/>
              <w:left w:val="single" w:color="auto" w:sz="4" w:space="0"/>
              <w:bottom w:val="single" w:color="auto" w:sz="4" w:space="0"/>
              <w:right w:val="single" w:color="auto" w:sz="4" w:space="0"/>
            </w:tcBorders>
            <w:vAlign w:val="center"/>
          </w:tcPr>
          <w:p w14:paraId="6D84B11F">
            <w:pPr>
              <w:wordWrap w:val="0"/>
              <w:snapToGrid w:val="0"/>
              <w:spacing w:before="120" w:beforeLines="50" w:after="0" w:line="360" w:lineRule="auto"/>
              <w:jc w:val="both"/>
              <w:rPr>
                <w:rFonts w:hint="eastAsia" w:ascii="仿宋" w:hAnsi="仿宋" w:eastAsia="仿宋" w:cs="仿宋"/>
                <w:sz w:val="21"/>
                <w:szCs w:val="21"/>
              </w:rPr>
            </w:pPr>
            <w:r>
              <w:rPr>
                <w:rFonts w:hint="eastAsia" w:ascii="仿宋" w:hAnsi="仿宋" w:eastAsia="仿宋" w:cs="仿宋"/>
                <w:sz w:val="21"/>
                <w:szCs w:val="21"/>
              </w:rPr>
              <w:t xml:space="preserve">询问联系人：赵俊雄、张健 </w:t>
            </w:r>
          </w:p>
          <w:p w14:paraId="168BE6A1">
            <w:pPr>
              <w:wordWrap w:val="0"/>
              <w:snapToGrid w:val="0"/>
              <w:spacing w:before="120" w:beforeLines="50" w:after="0" w:line="360" w:lineRule="auto"/>
              <w:jc w:val="both"/>
              <w:rPr>
                <w:rFonts w:hint="eastAsia" w:ascii="仿宋" w:hAnsi="仿宋" w:eastAsia="仿宋" w:cs="仿宋"/>
                <w:sz w:val="21"/>
                <w:szCs w:val="21"/>
              </w:rPr>
            </w:pPr>
            <w:r>
              <w:rPr>
                <w:rFonts w:hint="eastAsia" w:ascii="仿宋" w:hAnsi="仿宋" w:eastAsia="仿宋" w:cs="仿宋"/>
                <w:sz w:val="21"/>
                <w:szCs w:val="21"/>
              </w:rPr>
              <w:t xml:space="preserve">电话：0871-68819589 </w:t>
            </w:r>
          </w:p>
        </w:tc>
      </w:tr>
      <w:tr w14:paraId="5E605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060E4C75">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2.2</w:t>
            </w:r>
          </w:p>
        </w:tc>
        <w:tc>
          <w:tcPr>
            <w:tcW w:w="1726" w:type="dxa"/>
            <w:tcBorders>
              <w:top w:val="single" w:color="auto" w:sz="4" w:space="0"/>
              <w:left w:val="single" w:color="auto" w:sz="4" w:space="0"/>
              <w:bottom w:val="single" w:color="auto" w:sz="4" w:space="0"/>
              <w:right w:val="single" w:color="auto" w:sz="4" w:space="0"/>
            </w:tcBorders>
            <w:vAlign w:val="center"/>
          </w:tcPr>
          <w:p w14:paraId="6D97D9C7">
            <w:pPr>
              <w:wordWrap w:val="0"/>
              <w:snapToGrid w:val="0"/>
              <w:spacing w:before="120" w:beforeLines="50" w:after="0" w:line="360" w:lineRule="auto"/>
              <w:rPr>
                <w:rFonts w:hint="eastAsia" w:ascii="仿宋" w:hAnsi="仿宋" w:eastAsia="仿宋" w:cs="仿宋"/>
                <w:sz w:val="21"/>
                <w:szCs w:val="21"/>
              </w:rPr>
            </w:pPr>
            <w:r>
              <w:rPr>
                <w:rFonts w:hint="eastAsia" w:ascii="仿宋" w:hAnsi="仿宋" w:eastAsia="仿宋" w:cs="仿宋"/>
                <w:sz w:val="21"/>
                <w:szCs w:val="21"/>
              </w:rPr>
              <w:t>采购人、采购代理机构澄清或者修改的时间和方法</w:t>
            </w:r>
          </w:p>
        </w:tc>
        <w:tc>
          <w:tcPr>
            <w:tcW w:w="7685" w:type="dxa"/>
            <w:tcBorders>
              <w:top w:val="single" w:color="auto" w:sz="4" w:space="0"/>
              <w:left w:val="single" w:color="auto" w:sz="4" w:space="0"/>
              <w:bottom w:val="single" w:color="auto" w:sz="4" w:space="0"/>
              <w:right w:val="single" w:color="auto" w:sz="4" w:space="0"/>
            </w:tcBorders>
            <w:vAlign w:val="center"/>
          </w:tcPr>
          <w:p w14:paraId="758A86C0">
            <w:pPr>
              <w:wordWrap w:val="0"/>
              <w:snapToGrid w:val="0"/>
              <w:spacing w:before="120" w:beforeLines="50" w:after="0" w:line="360" w:lineRule="auto"/>
              <w:rPr>
                <w:rFonts w:hint="eastAsia" w:ascii="仿宋" w:hAnsi="仿宋" w:eastAsia="仿宋" w:cs="仿宋"/>
                <w:sz w:val="21"/>
                <w:szCs w:val="21"/>
              </w:rPr>
            </w:pPr>
            <w:r>
              <w:rPr>
                <w:rFonts w:hint="eastAsia" w:ascii="仿宋" w:hAnsi="仿宋" w:eastAsia="仿宋" w:cs="仿宋"/>
                <w:sz w:val="21"/>
                <w:szCs w:val="21"/>
              </w:rPr>
              <w:t>采购人或者采购代理机构可以对已发出的招标文件进行必要的澄清或者修改。澄清或者修改的内容可能影响投标文件编制的，采购人或者采购代理机构应当在投标截止时间至少15日前，按程序报有关主管部门备案后，在招标公告发布的网站上向潜在投标人公布，并以书面形式通知所有获取招标文件的潜在投标人；不足15日的，且影响投标文件编制的，采购人或者采购代理机构应当顺延提交投标文件的截止时间。所有获取了招标文件的潜在投标人登录政府采购云平台（https://www.zcygov.cn/）凭企业身份认证数字证书（CA）查看澄清或者修改的内容，该澄清或者修改文件作为招标文件的组成部分，对双方均具有约束力。</w:t>
            </w:r>
          </w:p>
        </w:tc>
      </w:tr>
      <w:tr w14:paraId="6E581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EED030">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3.2</w:t>
            </w:r>
          </w:p>
        </w:tc>
        <w:tc>
          <w:tcPr>
            <w:tcW w:w="1726" w:type="dxa"/>
            <w:tcBorders>
              <w:top w:val="single" w:color="auto" w:sz="4" w:space="0"/>
              <w:left w:val="single" w:color="auto" w:sz="4" w:space="0"/>
              <w:bottom w:val="single" w:color="auto" w:sz="4" w:space="0"/>
              <w:right w:val="single" w:color="auto" w:sz="4" w:space="0"/>
            </w:tcBorders>
            <w:vAlign w:val="center"/>
          </w:tcPr>
          <w:p w14:paraId="31B58420">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投标报价</w:t>
            </w:r>
          </w:p>
        </w:tc>
        <w:tc>
          <w:tcPr>
            <w:tcW w:w="7685" w:type="dxa"/>
            <w:tcBorders>
              <w:top w:val="single" w:color="auto" w:sz="4" w:space="0"/>
              <w:left w:val="single" w:color="auto" w:sz="4" w:space="0"/>
              <w:bottom w:val="single" w:color="auto" w:sz="4" w:space="0"/>
              <w:right w:val="single" w:color="auto" w:sz="4" w:space="0"/>
            </w:tcBorders>
            <w:vAlign w:val="center"/>
          </w:tcPr>
          <w:p w14:paraId="1B9A8C6E">
            <w:pPr>
              <w:wordWrap w:val="0"/>
              <w:spacing w:after="0" w:line="360" w:lineRule="auto"/>
              <w:rPr>
                <w:rFonts w:hint="eastAsia" w:ascii="仿宋" w:hAnsi="仿宋" w:eastAsia="仿宋" w:cs="仿宋"/>
                <w:sz w:val="21"/>
                <w:szCs w:val="21"/>
              </w:rPr>
            </w:pPr>
            <w:r>
              <w:rPr>
                <w:rFonts w:hint="eastAsia" w:ascii="仿宋" w:hAnsi="仿宋" w:eastAsia="仿宋" w:cs="仿宋"/>
                <w:sz w:val="21"/>
                <w:szCs w:val="21"/>
              </w:rPr>
              <w:t>1、投标报价采用固定餐费标准报价；</w:t>
            </w:r>
          </w:p>
          <w:p w14:paraId="130A1268">
            <w:pPr>
              <w:wordWrap w:val="0"/>
              <w:spacing w:after="0"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2、</w:t>
            </w:r>
            <w:r>
              <w:rPr>
                <w:rFonts w:hint="eastAsia" w:ascii="仿宋" w:hAnsi="仿宋" w:eastAsia="仿宋" w:cs="仿宋"/>
                <w:color w:val="auto"/>
                <w:sz w:val="21"/>
                <w:szCs w:val="21"/>
                <w:highlight w:val="none"/>
              </w:rPr>
              <w:t>餐标</w:t>
            </w:r>
            <w:r>
              <w:rPr>
                <w:rFonts w:hint="eastAsia" w:ascii="仿宋" w:hAnsi="仿宋" w:eastAsia="仿宋" w:cs="仿宋"/>
                <w:sz w:val="21"/>
                <w:szCs w:val="21"/>
                <w:highlight w:val="none"/>
              </w:rPr>
              <w:t>：1</w:t>
            </w:r>
            <w:r>
              <w:rPr>
                <w:rFonts w:hint="eastAsia" w:ascii="仿宋" w:hAnsi="仿宋" w:eastAsia="仿宋" w:cs="仿宋"/>
                <w:sz w:val="21"/>
                <w:szCs w:val="21"/>
                <w:highlight w:val="none"/>
                <w:lang w:val="en-US" w:eastAsia="zh-CN"/>
              </w:rPr>
              <w:t>0</w:t>
            </w:r>
            <w:r>
              <w:rPr>
                <w:rFonts w:hint="eastAsia" w:ascii="仿宋" w:hAnsi="仿宋" w:eastAsia="仿宋" w:cs="仿宋"/>
                <w:sz w:val="21"/>
                <w:szCs w:val="21"/>
                <w:highlight w:val="none"/>
              </w:rPr>
              <w:t>元/人/餐</w:t>
            </w:r>
            <w:r>
              <w:rPr>
                <w:rFonts w:hint="eastAsia" w:ascii="仿宋" w:hAnsi="仿宋" w:eastAsia="仿宋" w:cs="仿宋"/>
                <w:sz w:val="21"/>
                <w:szCs w:val="21"/>
                <w:highlight w:val="none"/>
                <w:lang w:eastAsia="zh-CN"/>
              </w:rPr>
              <w:t>。</w:t>
            </w:r>
          </w:p>
          <w:p w14:paraId="0470ED56">
            <w:pPr>
              <w:wordWrap w:val="0"/>
              <w:spacing w:after="0" w:line="360" w:lineRule="auto"/>
              <w:rPr>
                <w:rFonts w:hint="eastAsia" w:ascii="仿宋" w:hAnsi="仿宋" w:eastAsia="仿宋" w:cs="仿宋"/>
                <w:sz w:val="21"/>
                <w:szCs w:val="21"/>
              </w:rPr>
            </w:pPr>
            <w:r>
              <w:rPr>
                <w:rFonts w:hint="eastAsia" w:ascii="仿宋" w:hAnsi="仿宋" w:eastAsia="仿宋" w:cs="仿宋"/>
                <w:sz w:val="21"/>
                <w:szCs w:val="21"/>
              </w:rPr>
              <w:t>3、投标人须按规定的餐标固定报价，未按要求报价的按否决投标处理；</w:t>
            </w:r>
          </w:p>
          <w:p w14:paraId="7B4DAFA4">
            <w:pPr>
              <w:wordWrap w:val="0"/>
              <w:spacing w:after="0" w:line="360" w:lineRule="auto"/>
              <w:rPr>
                <w:rFonts w:hint="eastAsia" w:ascii="仿宋" w:hAnsi="仿宋" w:eastAsia="仿宋" w:cs="仿宋"/>
                <w:sz w:val="21"/>
                <w:szCs w:val="21"/>
              </w:rPr>
            </w:pPr>
            <w:r>
              <w:rPr>
                <w:rFonts w:hint="eastAsia" w:ascii="仿宋" w:hAnsi="仿宋" w:eastAsia="仿宋" w:cs="仿宋"/>
                <w:sz w:val="21"/>
                <w:szCs w:val="21"/>
              </w:rPr>
              <w:t>4、结算以招标人最终选定的餐标×供餐数量据实结算。</w:t>
            </w:r>
          </w:p>
        </w:tc>
      </w:tr>
      <w:tr w14:paraId="618F3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448FF287">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3.3.1</w:t>
            </w:r>
          </w:p>
        </w:tc>
        <w:tc>
          <w:tcPr>
            <w:tcW w:w="1726" w:type="dxa"/>
            <w:tcBorders>
              <w:top w:val="single" w:color="auto" w:sz="4" w:space="0"/>
              <w:left w:val="single" w:color="auto" w:sz="4" w:space="0"/>
              <w:bottom w:val="single" w:color="auto" w:sz="4" w:space="0"/>
              <w:right w:val="single" w:color="auto" w:sz="4" w:space="0"/>
            </w:tcBorders>
            <w:vAlign w:val="center"/>
          </w:tcPr>
          <w:p w14:paraId="6157F9EF">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投标有效期</w:t>
            </w:r>
          </w:p>
        </w:tc>
        <w:tc>
          <w:tcPr>
            <w:tcW w:w="7685" w:type="dxa"/>
            <w:tcBorders>
              <w:top w:val="single" w:color="auto" w:sz="4" w:space="0"/>
              <w:left w:val="single" w:color="auto" w:sz="4" w:space="0"/>
              <w:bottom w:val="single" w:color="auto" w:sz="4" w:space="0"/>
              <w:right w:val="single" w:color="auto" w:sz="4" w:space="0"/>
            </w:tcBorders>
            <w:vAlign w:val="center"/>
          </w:tcPr>
          <w:p w14:paraId="071C3E50">
            <w:pPr>
              <w:wordWrap w:val="0"/>
              <w:snapToGrid w:val="0"/>
              <w:spacing w:before="120" w:beforeLines="50" w:after="0" w:line="360" w:lineRule="auto"/>
              <w:rPr>
                <w:rFonts w:hint="eastAsia" w:ascii="仿宋" w:hAnsi="仿宋" w:eastAsia="仿宋" w:cs="仿宋"/>
                <w:sz w:val="21"/>
                <w:szCs w:val="21"/>
              </w:rPr>
            </w:pPr>
            <w:r>
              <w:rPr>
                <w:rFonts w:hint="eastAsia" w:ascii="仿宋" w:hAnsi="仿宋" w:eastAsia="仿宋" w:cs="仿宋"/>
                <w:sz w:val="21"/>
                <w:szCs w:val="21"/>
              </w:rPr>
              <w:t>投标文件递交截止之日起90日历天</w:t>
            </w:r>
          </w:p>
        </w:tc>
      </w:tr>
      <w:tr w14:paraId="74930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4E9F18A2">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3.4.1</w:t>
            </w:r>
          </w:p>
        </w:tc>
        <w:tc>
          <w:tcPr>
            <w:tcW w:w="1726" w:type="dxa"/>
            <w:tcBorders>
              <w:top w:val="single" w:color="auto" w:sz="4" w:space="0"/>
              <w:left w:val="single" w:color="auto" w:sz="4" w:space="0"/>
              <w:bottom w:val="single" w:color="auto" w:sz="4" w:space="0"/>
              <w:right w:val="single" w:color="auto" w:sz="4" w:space="0"/>
            </w:tcBorders>
            <w:vAlign w:val="center"/>
          </w:tcPr>
          <w:p w14:paraId="4880CCDA">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投标保证金</w:t>
            </w:r>
          </w:p>
        </w:tc>
        <w:tc>
          <w:tcPr>
            <w:tcW w:w="7685" w:type="dxa"/>
            <w:tcBorders>
              <w:top w:val="single" w:color="auto" w:sz="4" w:space="0"/>
              <w:left w:val="single" w:color="auto" w:sz="4" w:space="0"/>
              <w:bottom w:val="single" w:color="auto" w:sz="4" w:space="0"/>
              <w:right w:val="single" w:color="auto" w:sz="4" w:space="0"/>
            </w:tcBorders>
            <w:vAlign w:val="center"/>
          </w:tcPr>
          <w:p w14:paraId="103FA469">
            <w:pPr>
              <w:wordWrap w:val="0"/>
              <w:snapToGrid w:val="0"/>
              <w:spacing w:after="0" w:line="360" w:lineRule="auto"/>
              <w:rPr>
                <w:rFonts w:hint="eastAsia" w:ascii="仿宋" w:hAnsi="仿宋" w:eastAsia="仿宋" w:cs="仿宋"/>
                <w:sz w:val="21"/>
                <w:szCs w:val="21"/>
              </w:rPr>
            </w:pPr>
            <w:r>
              <w:rPr>
                <w:rFonts w:hint="eastAsia" w:ascii="仿宋" w:hAnsi="仿宋" w:eastAsia="仿宋" w:cs="仿宋"/>
                <w:sz w:val="21"/>
                <w:szCs w:val="21"/>
              </w:rPr>
              <w:t>本项目无须缴纳投标保证金</w:t>
            </w:r>
          </w:p>
        </w:tc>
      </w:tr>
      <w:tr w14:paraId="73CC7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46C53F05">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3.5</w:t>
            </w:r>
          </w:p>
        </w:tc>
        <w:tc>
          <w:tcPr>
            <w:tcW w:w="1726" w:type="dxa"/>
            <w:tcBorders>
              <w:top w:val="single" w:color="auto" w:sz="4" w:space="0"/>
              <w:left w:val="single" w:color="auto" w:sz="4" w:space="0"/>
              <w:bottom w:val="single" w:color="auto" w:sz="4" w:space="0"/>
              <w:right w:val="single" w:color="auto" w:sz="4" w:space="0"/>
            </w:tcBorders>
            <w:vAlign w:val="center"/>
          </w:tcPr>
          <w:p w14:paraId="180F820E">
            <w:pPr>
              <w:wordWrap w:val="0"/>
              <w:snapToGrid w:val="0"/>
              <w:spacing w:after="0" w:line="360" w:lineRule="auto"/>
              <w:rPr>
                <w:rFonts w:hint="eastAsia" w:ascii="仿宋" w:hAnsi="仿宋" w:eastAsia="仿宋" w:cs="仿宋"/>
                <w:sz w:val="21"/>
                <w:szCs w:val="21"/>
              </w:rPr>
            </w:pPr>
            <w:r>
              <w:rPr>
                <w:rFonts w:hint="eastAsia" w:ascii="仿宋" w:hAnsi="仿宋" w:eastAsia="仿宋" w:cs="仿宋"/>
                <w:sz w:val="21"/>
                <w:szCs w:val="21"/>
              </w:rPr>
              <w:t>投标文件编制及格式</w:t>
            </w:r>
          </w:p>
        </w:tc>
        <w:tc>
          <w:tcPr>
            <w:tcW w:w="7685" w:type="dxa"/>
            <w:tcBorders>
              <w:top w:val="single" w:color="auto" w:sz="4" w:space="0"/>
              <w:left w:val="single" w:color="auto" w:sz="4" w:space="0"/>
              <w:bottom w:val="single" w:color="auto" w:sz="4" w:space="0"/>
              <w:right w:val="single" w:color="auto" w:sz="4" w:space="0"/>
            </w:tcBorders>
            <w:vAlign w:val="center"/>
          </w:tcPr>
          <w:p w14:paraId="25FD0165">
            <w:pPr>
              <w:wordWrap w:val="0"/>
              <w:snapToGrid w:val="0"/>
              <w:spacing w:after="0" w:line="360" w:lineRule="auto"/>
              <w:rPr>
                <w:rFonts w:hint="eastAsia" w:ascii="仿宋" w:hAnsi="仿宋" w:eastAsia="仿宋" w:cs="仿宋"/>
                <w:sz w:val="21"/>
                <w:szCs w:val="21"/>
              </w:rPr>
            </w:pPr>
            <w:r>
              <w:rPr>
                <w:rFonts w:hint="eastAsia" w:ascii="仿宋" w:hAnsi="仿宋" w:eastAsia="仿宋" w:cs="仿宋"/>
                <w:sz w:val="21"/>
                <w:szCs w:val="21"/>
              </w:rPr>
              <w:t>（1）电子投标文件应使用政府采购云平台（网址：https://www.zcygov.cn/）中下载的政采云投标客户端制作，并进行电子签章及加密后上传至政采云平台。</w:t>
            </w:r>
          </w:p>
          <w:p w14:paraId="762B3CE8">
            <w:pPr>
              <w:wordWrap w:val="0"/>
              <w:snapToGrid w:val="0"/>
              <w:spacing w:after="0" w:line="360" w:lineRule="auto"/>
              <w:rPr>
                <w:rFonts w:hint="eastAsia" w:ascii="仿宋" w:hAnsi="仿宋" w:eastAsia="仿宋" w:cs="仿宋"/>
                <w:sz w:val="21"/>
                <w:szCs w:val="21"/>
              </w:rPr>
            </w:pPr>
            <w:r>
              <w:rPr>
                <w:rFonts w:hint="eastAsia" w:ascii="仿宋" w:hAnsi="仿宋" w:eastAsia="仿宋" w:cs="仿宋"/>
                <w:sz w:val="21"/>
                <w:szCs w:val="21"/>
              </w:rPr>
              <w:t>（2）如投标人提交的电子标书不符合</w:t>
            </w:r>
            <w:r>
              <w:rPr>
                <w:rFonts w:hint="eastAsia" w:ascii="仿宋" w:hAnsi="仿宋" w:eastAsia="仿宋" w:cs="仿宋"/>
                <w:sz w:val="21"/>
                <w:szCs w:val="21"/>
                <w:highlight w:val="none"/>
              </w:rPr>
              <w:t>（1）要</w:t>
            </w:r>
            <w:r>
              <w:rPr>
                <w:rFonts w:hint="eastAsia" w:ascii="仿宋" w:hAnsi="仿宋" w:eastAsia="仿宋" w:cs="仿宋"/>
                <w:sz w:val="21"/>
                <w:szCs w:val="21"/>
              </w:rPr>
              <w:t>求或开标时无法读取导入或解密，其投标文件将不予受理。</w:t>
            </w:r>
          </w:p>
        </w:tc>
      </w:tr>
      <w:tr w14:paraId="7D5C4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065D3E6D">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3.5.1</w:t>
            </w:r>
          </w:p>
        </w:tc>
        <w:tc>
          <w:tcPr>
            <w:tcW w:w="1726" w:type="dxa"/>
            <w:tcBorders>
              <w:top w:val="single" w:color="auto" w:sz="4" w:space="0"/>
              <w:left w:val="single" w:color="auto" w:sz="4" w:space="0"/>
              <w:bottom w:val="single" w:color="auto" w:sz="4" w:space="0"/>
              <w:right w:val="single" w:color="auto" w:sz="4" w:space="0"/>
            </w:tcBorders>
            <w:vAlign w:val="center"/>
          </w:tcPr>
          <w:p w14:paraId="42308DE0">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投标文件电子签章及电子签名要求</w:t>
            </w:r>
          </w:p>
        </w:tc>
        <w:tc>
          <w:tcPr>
            <w:tcW w:w="7685" w:type="dxa"/>
            <w:tcBorders>
              <w:top w:val="single" w:color="auto" w:sz="4" w:space="0"/>
              <w:left w:val="single" w:color="auto" w:sz="4" w:space="0"/>
              <w:bottom w:val="single" w:color="auto" w:sz="4" w:space="0"/>
              <w:right w:val="single" w:color="auto" w:sz="4" w:space="0"/>
            </w:tcBorders>
            <w:vAlign w:val="center"/>
          </w:tcPr>
          <w:p w14:paraId="5BBF9FA4">
            <w:pPr>
              <w:wordWrap w:val="0"/>
              <w:snapToGrid w:val="0"/>
              <w:spacing w:after="0" w:line="360" w:lineRule="auto"/>
              <w:rPr>
                <w:rFonts w:hint="eastAsia" w:ascii="仿宋" w:hAnsi="仿宋" w:eastAsia="仿宋" w:cs="仿宋"/>
                <w:sz w:val="21"/>
                <w:szCs w:val="21"/>
                <w:lang w:val="ru-RU"/>
              </w:rPr>
            </w:pPr>
            <w:r>
              <w:rPr>
                <w:rFonts w:hint="eastAsia" w:ascii="仿宋" w:hAnsi="仿宋" w:eastAsia="仿宋" w:cs="仿宋"/>
                <w:sz w:val="21"/>
                <w:szCs w:val="21"/>
                <w:lang w:val="ru-RU"/>
              </w:rPr>
              <w:t>按照投标文件格式，采用单位和个人数字证书电子签章及电子签名：投标文件需要企业、法定代表人电子签章及电子签名。</w:t>
            </w:r>
          </w:p>
          <w:p w14:paraId="615C4B8A">
            <w:pPr>
              <w:wordWrap w:val="0"/>
              <w:snapToGrid w:val="0"/>
              <w:spacing w:after="0" w:line="360" w:lineRule="auto"/>
              <w:rPr>
                <w:rFonts w:hint="eastAsia" w:ascii="仿宋" w:hAnsi="仿宋" w:eastAsia="仿宋" w:cs="仿宋"/>
                <w:sz w:val="21"/>
                <w:szCs w:val="21"/>
                <w:lang w:val="ru-RU"/>
              </w:rPr>
            </w:pPr>
            <w:r>
              <w:rPr>
                <w:rFonts w:hint="eastAsia" w:ascii="仿宋" w:hAnsi="仿宋" w:eastAsia="仿宋" w:cs="仿宋"/>
                <w:sz w:val="21"/>
                <w:szCs w:val="21"/>
                <w:lang w:val="ru-RU"/>
              </w:rPr>
              <w:t>注：1.在需要电子签章的地方进行电子签章，无需逐页电子签章。</w:t>
            </w:r>
          </w:p>
          <w:p w14:paraId="2CCADBBA">
            <w:pPr>
              <w:wordWrap w:val="0"/>
              <w:snapToGrid w:val="0"/>
              <w:spacing w:after="0" w:line="360" w:lineRule="auto"/>
              <w:rPr>
                <w:rFonts w:hint="eastAsia" w:ascii="仿宋" w:hAnsi="仿宋" w:eastAsia="仿宋" w:cs="仿宋"/>
                <w:b/>
                <w:sz w:val="21"/>
                <w:szCs w:val="21"/>
                <w:lang w:val="ru-RU"/>
              </w:rPr>
            </w:pPr>
            <w:r>
              <w:rPr>
                <w:rFonts w:hint="eastAsia" w:ascii="仿宋" w:hAnsi="仿宋" w:eastAsia="仿宋" w:cs="仿宋"/>
                <w:sz w:val="21"/>
                <w:szCs w:val="21"/>
                <w:highlight w:val="none"/>
                <w:lang w:val="ru-RU"/>
              </w:rPr>
              <w:t>2.如为联合体投标的，除招标文件有特殊说明外，投标人“签章”均指联合体牵头人。</w:t>
            </w:r>
          </w:p>
        </w:tc>
      </w:tr>
      <w:tr w14:paraId="68A63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58E82F17">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4.1.1</w:t>
            </w:r>
          </w:p>
        </w:tc>
        <w:tc>
          <w:tcPr>
            <w:tcW w:w="1726" w:type="dxa"/>
            <w:tcBorders>
              <w:top w:val="single" w:color="auto" w:sz="4" w:space="0"/>
              <w:left w:val="single" w:color="auto" w:sz="4" w:space="0"/>
              <w:bottom w:val="single" w:color="auto" w:sz="4" w:space="0"/>
              <w:right w:val="single" w:color="auto" w:sz="4" w:space="0"/>
            </w:tcBorders>
            <w:vAlign w:val="center"/>
          </w:tcPr>
          <w:p w14:paraId="5E636EC7">
            <w:pPr>
              <w:wordWrap w:val="0"/>
              <w:snapToGrid w:val="0"/>
              <w:spacing w:after="0" w:line="360" w:lineRule="auto"/>
              <w:jc w:val="center"/>
              <w:rPr>
                <w:rFonts w:hint="eastAsia" w:ascii="仿宋" w:hAnsi="仿宋" w:eastAsia="仿宋" w:cs="仿宋"/>
                <w:sz w:val="21"/>
                <w:szCs w:val="21"/>
              </w:rPr>
            </w:pPr>
            <w:r>
              <w:rPr>
                <w:rFonts w:hint="eastAsia" w:ascii="仿宋" w:hAnsi="仿宋" w:eastAsia="仿宋" w:cs="仿宋"/>
                <w:sz w:val="21"/>
                <w:szCs w:val="21"/>
              </w:rPr>
              <w:t>投标文件的密封</w:t>
            </w:r>
          </w:p>
        </w:tc>
        <w:tc>
          <w:tcPr>
            <w:tcW w:w="7685" w:type="dxa"/>
            <w:tcBorders>
              <w:top w:val="single" w:color="auto" w:sz="4" w:space="0"/>
              <w:left w:val="single" w:color="auto" w:sz="4" w:space="0"/>
              <w:bottom w:val="single" w:color="auto" w:sz="4" w:space="0"/>
              <w:right w:val="single" w:color="auto" w:sz="4" w:space="0"/>
            </w:tcBorders>
            <w:vAlign w:val="center"/>
          </w:tcPr>
          <w:p w14:paraId="279DB7F0">
            <w:pPr>
              <w:wordWrap w:val="0"/>
              <w:snapToGrid w:val="0"/>
              <w:spacing w:after="0" w:line="360" w:lineRule="auto"/>
              <w:rPr>
                <w:rFonts w:hint="eastAsia" w:ascii="仿宋" w:hAnsi="仿宋" w:eastAsia="仿宋" w:cs="仿宋"/>
              </w:rPr>
            </w:pPr>
            <w:r>
              <w:rPr>
                <w:rFonts w:hint="eastAsia" w:ascii="仿宋" w:hAnsi="仿宋" w:eastAsia="仿宋" w:cs="仿宋"/>
                <w:sz w:val="21"/>
                <w:szCs w:val="21"/>
                <w:lang w:val="ru-RU"/>
              </w:rPr>
              <w:t>网上递交的投标文件应使用数字证书进行加密</w:t>
            </w:r>
          </w:p>
        </w:tc>
      </w:tr>
      <w:tr w14:paraId="5A33E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4CB451C0">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4.2</w:t>
            </w:r>
          </w:p>
        </w:tc>
        <w:tc>
          <w:tcPr>
            <w:tcW w:w="1726" w:type="dxa"/>
            <w:tcBorders>
              <w:top w:val="single" w:color="auto" w:sz="4" w:space="0"/>
              <w:left w:val="single" w:color="auto" w:sz="4" w:space="0"/>
              <w:bottom w:val="single" w:color="auto" w:sz="4" w:space="0"/>
              <w:right w:val="single" w:color="auto" w:sz="4" w:space="0"/>
            </w:tcBorders>
            <w:vAlign w:val="center"/>
          </w:tcPr>
          <w:p w14:paraId="3CB12145">
            <w:pPr>
              <w:snapToGrid w:val="0"/>
              <w:spacing w:line="360" w:lineRule="auto"/>
              <w:jc w:val="center"/>
              <w:rPr>
                <w:rFonts w:hint="eastAsia" w:ascii="仿宋" w:hAnsi="仿宋" w:eastAsia="仿宋" w:cs="仿宋"/>
                <w:sz w:val="21"/>
                <w:szCs w:val="21"/>
              </w:rPr>
            </w:pPr>
            <w:r>
              <w:rPr>
                <w:rFonts w:hint="eastAsia" w:ascii="仿宋" w:hAnsi="仿宋" w:eastAsia="仿宋" w:cs="仿宋"/>
                <w:sz w:val="21"/>
                <w:szCs w:val="21"/>
              </w:rPr>
              <w:t>投标文件的提交及有关内容</w:t>
            </w:r>
          </w:p>
        </w:tc>
        <w:tc>
          <w:tcPr>
            <w:tcW w:w="7685" w:type="dxa"/>
            <w:tcBorders>
              <w:top w:val="single" w:color="auto" w:sz="4" w:space="0"/>
              <w:left w:val="single" w:color="auto" w:sz="4" w:space="0"/>
              <w:bottom w:val="single" w:color="auto" w:sz="4" w:space="0"/>
              <w:right w:val="single" w:color="auto" w:sz="4" w:space="0"/>
            </w:tcBorders>
            <w:vAlign w:val="center"/>
          </w:tcPr>
          <w:p w14:paraId="72562AD5">
            <w:pPr>
              <w:wordWrap w:val="0"/>
              <w:snapToGrid w:val="0"/>
              <w:spacing w:after="0" w:line="360" w:lineRule="auto"/>
              <w:rPr>
                <w:rFonts w:hint="eastAsia" w:ascii="仿宋" w:hAnsi="仿宋" w:eastAsia="仿宋" w:cs="仿宋"/>
                <w:sz w:val="21"/>
                <w:szCs w:val="21"/>
                <w:lang w:val="ru-RU"/>
              </w:rPr>
            </w:pPr>
            <w:r>
              <w:rPr>
                <w:rFonts w:hint="eastAsia" w:ascii="仿宋" w:hAnsi="仿宋" w:eastAsia="仿宋" w:cs="仿宋"/>
                <w:sz w:val="21"/>
                <w:szCs w:val="21"/>
                <w:lang w:val="ru-RU"/>
              </w:rPr>
              <w:t>（1）电子投标文件应使用政府采购云平台（网址：https://www.zcygov.cn/）中下载的政采云投标客户端制作，并进行电子签章及加密后上传至政采云平台。</w:t>
            </w:r>
          </w:p>
          <w:p w14:paraId="6EB61441">
            <w:pPr>
              <w:wordWrap w:val="0"/>
              <w:snapToGrid w:val="0"/>
              <w:spacing w:after="0" w:line="360" w:lineRule="auto"/>
              <w:rPr>
                <w:rFonts w:hint="eastAsia" w:ascii="仿宋" w:hAnsi="仿宋" w:eastAsia="仿宋" w:cs="仿宋"/>
                <w:sz w:val="21"/>
                <w:szCs w:val="21"/>
              </w:rPr>
            </w:pPr>
            <w:r>
              <w:rPr>
                <w:rFonts w:hint="eastAsia" w:ascii="仿宋" w:hAnsi="仿宋" w:eastAsia="仿宋" w:cs="仿宋"/>
                <w:sz w:val="21"/>
                <w:szCs w:val="21"/>
                <w:lang w:val="ru-RU"/>
              </w:rPr>
              <w:t>（2）如投标人提交的电子标书不符合</w:t>
            </w:r>
            <w:r>
              <w:rPr>
                <w:rFonts w:hint="eastAsia" w:ascii="仿宋" w:hAnsi="仿宋" w:eastAsia="仿宋" w:cs="仿宋"/>
                <w:sz w:val="21"/>
                <w:szCs w:val="21"/>
                <w:highlight w:val="none"/>
                <w:lang w:val="ru-RU"/>
              </w:rPr>
              <w:t>（1）</w:t>
            </w:r>
            <w:r>
              <w:rPr>
                <w:rFonts w:hint="eastAsia" w:ascii="仿宋" w:hAnsi="仿宋" w:eastAsia="仿宋" w:cs="仿宋"/>
                <w:sz w:val="21"/>
                <w:szCs w:val="21"/>
                <w:lang w:val="ru-RU"/>
              </w:rPr>
              <w:t>要求或开标时无法读取导入或解密，其投标文件将不予受理。</w:t>
            </w:r>
          </w:p>
        </w:tc>
      </w:tr>
      <w:tr w14:paraId="38B3D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14BB68C4">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5.1</w:t>
            </w:r>
          </w:p>
        </w:tc>
        <w:tc>
          <w:tcPr>
            <w:tcW w:w="1726" w:type="dxa"/>
            <w:tcBorders>
              <w:top w:val="single" w:color="auto" w:sz="4" w:space="0"/>
              <w:left w:val="single" w:color="auto" w:sz="4" w:space="0"/>
              <w:bottom w:val="single" w:color="auto" w:sz="4" w:space="0"/>
              <w:right w:val="single" w:color="auto" w:sz="4" w:space="0"/>
            </w:tcBorders>
            <w:vAlign w:val="center"/>
          </w:tcPr>
          <w:p w14:paraId="74AEECBC">
            <w:pPr>
              <w:wordWrap w:val="0"/>
              <w:snapToGrid w:val="0"/>
              <w:spacing w:after="0" w:line="360" w:lineRule="auto"/>
              <w:jc w:val="center"/>
              <w:rPr>
                <w:rFonts w:hint="eastAsia" w:ascii="仿宋" w:hAnsi="仿宋" w:eastAsia="仿宋" w:cs="仿宋"/>
                <w:sz w:val="21"/>
                <w:szCs w:val="21"/>
              </w:rPr>
            </w:pPr>
            <w:r>
              <w:rPr>
                <w:rFonts w:hint="eastAsia" w:ascii="仿宋" w:hAnsi="仿宋" w:eastAsia="仿宋" w:cs="仿宋"/>
                <w:sz w:val="21"/>
                <w:szCs w:val="21"/>
              </w:rPr>
              <w:t>开标时间和地点</w:t>
            </w:r>
          </w:p>
        </w:tc>
        <w:tc>
          <w:tcPr>
            <w:tcW w:w="7685" w:type="dxa"/>
            <w:tcBorders>
              <w:top w:val="single" w:color="auto" w:sz="4" w:space="0"/>
              <w:left w:val="single" w:color="auto" w:sz="4" w:space="0"/>
              <w:bottom w:val="single" w:color="auto" w:sz="4" w:space="0"/>
              <w:right w:val="single" w:color="auto" w:sz="4" w:space="0"/>
            </w:tcBorders>
            <w:vAlign w:val="center"/>
          </w:tcPr>
          <w:p w14:paraId="75BCD7B6">
            <w:pPr>
              <w:wordWrap w:val="0"/>
              <w:snapToGrid w:val="0"/>
              <w:spacing w:after="0" w:line="360" w:lineRule="auto"/>
              <w:rPr>
                <w:rFonts w:hint="eastAsia" w:ascii="仿宋" w:hAnsi="仿宋" w:eastAsia="仿宋" w:cs="仿宋"/>
                <w:sz w:val="21"/>
                <w:szCs w:val="21"/>
              </w:rPr>
            </w:pPr>
            <w:r>
              <w:rPr>
                <w:rFonts w:hint="eastAsia" w:ascii="仿宋" w:hAnsi="仿宋" w:eastAsia="仿宋" w:cs="仿宋"/>
                <w:sz w:val="21"/>
                <w:szCs w:val="21"/>
              </w:rPr>
              <w:t>开标时间：同投标截止时间。</w:t>
            </w:r>
          </w:p>
          <w:p w14:paraId="68AC6537">
            <w:pPr>
              <w:wordWrap w:val="0"/>
              <w:snapToGrid w:val="0"/>
              <w:spacing w:after="0" w:line="360" w:lineRule="auto"/>
              <w:rPr>
                <w:rFonts w:hint="eastAsia" w:ascii="仿宋" w:hAnsi="仿宋" w:eastAsia="仿宋" w:cs="仿宋"/>
                <w:sz w:val="21"/>
                <w:szCs w:val="21"/>
              </w:rPr>
            </w:pPr>
            <w:r>
              <w:rPr>
                <w:rFonts w:hint="eastAsia" w:ascii="仿宋" w:hAnsi="仿宋" w:eastAsia="仿宋" w:cs="仿宋"/>
                <w:sz w:val="21"/>
                <w:szCs w:val="21"/>
              </w:rPr>
              <w:t>开标地点：详见公告。</w:t>
            </w:r>
          </w:p>
        </w:tc>
      </w:tr>
      <w:tr w14:paraId="22B72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6584E271">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5.2</w:t>
            </w:r>
          </w:p>
        </w:tc>
        <w:tc>
          <w:tcPr>
            <w:tcW w:w="1726" w:type="dxa"/>
            <w:tcBorders>
              <w:top w:val="single" w:color="auto" w:sz="4" w:space="0"/>
              <w:left w:val="single" w:color="auto" w:sz="4" w:space="0"/>
              <w:bottom w:val="single" w:color="auto" w:sz="4" w:space="0"/>
              <w:right w:val="single" w:color="auto" w:sz="4" w:space="0"/>
            </w:tcBorders>
            <w:vAlign w:val="center"/>
          </w:tcPr>
          <w:p w14:paraId="35EFE6A3">
            <w:pPr>
              <w:wordWrap w:val="0"/>
              <w:snapToGrid w:val="0"/>
              <w:spacing w:after="0" w:line="360" w:lineRule="auto"/>
              <w:jc w:val="center"/>
              <w:rPr>
                <w:rFonts w:hint="eastAsia" w:ascii="仿宋" w:hAnsi="仿宋" w:eastAsia="仿宋" w:cs="仿宋"/>
                <w:sz w:val="21"/>
                <w:szCs w:val="21"/>
              </w:rPr>
            </w:pPr>
            <w:r>
              <w:rPr>
                <w:rFonts w:hint="eastAsia" w:ascii="仿宋" w:hAnsi="仿宋" w:eastAsia="仿宋" w:cs="仿宋"/>
                <w:sz w:val="21"/>
                <w:szCs w:val="21"/>
              </w:rPr>
              <w:t>开标程序</w:t>
            </w:r>
          </w:p>
        </w:tc>
        <w:tc>
          <w:tcPr>
            <w:tcW w:w="7685" w:type="dxa"/>
            <w:tcBorders>
              <w:top w:val="single" w:color="auto" w:sz="4" w:space="0"/>
              <w:left w:val="single" w:color="auto" w:sz="4" w:space="0"/>
              <w:bottom w:val="single" w:color="auto" w:sz="4" w:space="0"/>
              <w:right w:val="single" w:color="auto" w:sz="4" w:space="0"/>
            </w:tcBorders>
            <w:vAlign w:val="center"/>
          </w:tcPr>
          <w:p w14:paraId="4F6FD008">
            <w:pPr>
              <w:wordWrap w:val="0"/>
              <w:snapToGrid w:val="0"/>
              <w:spacing w:after="0" w:line="360" w:lineRule="auto"/>
              <w:rPr>
                <w:rFonts w:hint="eastAsia" w:ascii="仿宋" w:hAnsi="仿宋" w:eastAsia="仿宋" w:cs="仿宋"/>
                <w:sz w:val="21"/>
                <w:szCs w:val="21"/>
              </w:rPr>
            </w:pPr>
            <w:r>
              <w:rPr>
                <w:rFonts w:hint="eastAsia" w:ascii="仿宋" w:hAnsi="仿宋" w:eastAsia="仿宋" w:cs="仿宋"/>
                <w:sz w:val="21"/>
                <w:szCs w:val="21"/>
              </w:rPr>
              <w:t>（1）宣布开标纪律；</w:t>
            </w:r>
          </w:p>
          <w:p w14:paraId="0F8CB46D">
            <w:pPr>
              <w:wordWrap w:val="0"/>
              <w:snapToGrid w:val="0"/>
              <w:spacing w:after="0" w:line="360" w:lineRule="auto"/>
              <w:rPr>
                <w:rFonts w:hint="eastAsia" w:ascii="仿宋" w:hAnsi="仿宋" w:eastAsia="仿宋" w:cs="仿宋"/>
                <w:sz w:val="21"/>
                <w:szCs w:val="21"/>
              </w:rPr>
            </w:pPr>
            <w:r>
              <w:rPr>
                <w:rFonts w:hint="eastAsia" w:ascii="仿宋" w:hAnsi="仿宋" w:eastAsia="仿宋" w:cs="仿宋"/>
                <w:sz w:val="21"/>
                <w:szCs w:val="21"/>
              </w:rPr>
              <w:t>（2）公布在投标截止时间前递交投标文件的投标人名称，检验确认投标人代表资格；</w:t>
            </w:r>
          </w:p>
          <w:p w14:paraId="23F27432">
            <w:pPr>
              <w:wordWrap w:val="0"/>
              <w:snapToGrid w:val="0"/>
              <w:spacing w:after="0" w:line="360" w:lineRule="auto"/>
              <w:rPr>
                <w:rFonts w:hint="eastAsia" w:ascii="仿宋" w:hAnsi="仿宋" w:eastAsia="仿宋" w:cs="仿宋"/>
                <w:sz w:val="21"/>
                <w:szCs w:val="21"/>
              </w:rPr>
            </w:pPr>
            <w:r>
              <w:rPr>
                <w:rFonts w:hint="eastAsia" w:ascii="仿宋" w:hAnsi="仿宋" w:eastAsia="仿宋" w:cs="仿宋"/>
                <w:sz w:val="21"/>
                <w:szCs w:val="21"/>
              </w:rPr>
              <w:t>（3）宣布开标参会人等有关人员姓名；</w:t>
            </w:r>
          </w:p>
          <w:p w14:paraId="2760574A">
            <w:pPr>
              <w:wordWrap w:val="0"/>
              <w:snapToGrid w:val="0"/>
              <w:spacing w:after="0" w:line="360" w:lineRule="auto"/>
              <w:rPr>
                <w:rFonts w:hint="eastAsia" w:ascii="仿宋" w:hAnsi="仿宋" w:eastAsia="仿宋" w:cs="仿宋"/>
                <w:sz w:val="21"/>
                <w:szCs w:val="21"/>
              </w:rPr>
            </w:pPr>
            <w:r>
              <w:rPr>
                <w:rFonts w:hint="eastAsia" w:ascii="仿宋" w:hAnsi="仿宋" w:eastAsia="仿宋" w:cs="仿宋"/>
                <w:sz w:val="21"/>
                <w:szCs w:val="21"/>
              </w:rPr>
              <w:t>（4）按照投标人须知前附表规定检查投标文件的密封情况；</w:t>
            </w:r>
          </w:p>
          <w:p w14:paraId="36018368">
            <w:pPr>
              <w:wordWrap w:val="0"/>
              <w:snapToGrid w:val="0"/>
              <w:spacing w:after="0" w:line="360" w:lineRule="auto"/>
              <w:rPr>
                <w:rFonts w:hint="eastAsia" w:ascii="仿宋" w:hAnsi="仿宋" w:eastAsia="仿宋" w:cs="仿宋"/>
                <w:sz w:val="21"/>
                <w:szCs w:val="21"/>
              </w:rPr>
            </w:pPr>
            <w:r>
              <w:rPr>
                <w:rFonts w:hint="eastAsia" w:ascii="仿宋" w:hAnsi="仿宋" w:eastAsia="仿宋" w:cs="仿宋"/>
                <w:sz w:val="21"/>
                <w:szCs w:val="21"/>
              </w:rPr>
              <w:t>（5）电子文件开标顺序：按照交易平台自动提取所有投标人的顺序当众开标；</w:t>
            </w:r>
          </w:p>
          <w:p w14:paraId="731AF83B">
            <w:pPr>
              <w:wordWrap w:val="0"/>
              <w:snapToGrid w:val="0"/>
              <w:spacing w:after="0" w:line="360" w:lineRule="auto"/>
              <w:rPr>
                <w:rFonts w:hint="eastAsia" w:ascii="仿宋" w:hAnsi="仿宋" w:eastAsia="仿宋" w:cs="仿宋"/>
                <w:sz w:val="21"/>
                <w:szCs w:val="21"/>
              </w:rPr>
            </w:pPr>
            <w:r>
              <w:rPr>
                <w:rFonts w:hint="eastAsia" w:ascii="仿宋" w:hAnsi="仿宋" w:eastAsia="仿宋" w:cs="仿宋"/>
                <w:sz w:val="21"/>
                <w:szCs w:val="21"/>
              </w:rPr>
              <w:t>（6）采购人或者采购代理机构宣布开启电子投标文件后，投标人按照电子文件的开标顺序上前，使用投标人编制投标文件时的加密数字证书对投标文件进行解密。</w:t>
            </w:r>
            <w:r>
              <w:rPr>
                <w:rFonts w:hint="eastAsia" w:ascii="仿宋" w:hAnsi="仿宋" w:eastAsia="仿宋" w:cs="仿宋"/>
                <w:b/>
                <w:sz w:val="21"/>
                <w:szCs w:val="21"/>
              </w:rPr>
              <w:t>因投标人原因造成投标文件未解密的，视为撤销其投标文件</w:t>
            </w:r>
            <w:r>
              <w:rPr>
                <w:rFonts w:hint="eastAsia" w:ascii="仿宋" w:hAnsi="仿宋" w:eastAsia="仿宋" w:cs="仿宋"/>
                <w:sz w:val="21"/>
                <w:szCs w:val="21"/>
              </w:rPr>
              <w:t>；</w:t>
            </w:r>
          </w:p>
          <w:p w14:paraId="6CB1EC43">
            <w:pPr>
              <w:wordWrap w:val="0"/>
              <w:snapToGrid w:val="0"/>
              <w:spacing w:after="0" w:line="360" w:lineRule="auto"/>
              <w:rPr>
                <w:rFonts w:hint="eastAsia" w:ascii="仿宋" w:hAnsi="仿宋" w:eastAsia="仿宋" w:cs="仿宋"/>
                <w:sz w:val="21"/>
                <w:szCs w:val="21"/>
              </w:rPr>
            </w:pPr>
            <w:r>
              <w:rPr>
                <w:rFonts w:hint="eastAsia" w:ascii="仿宋" w:hAnsi="仿宋" w:eastAsia="仿宋" w:cs="仿宋"/>
                <w:sz w:val="21"/>
                <w:szCs w:val="21"/>
              </w:rPr>
              <w:t>（7）采购人代表、监督人、记录人等有关人员在开标记录上签字确认；</w:t>
            </w:r>
          </w:p>
          <w:p w14:paraId="00C1B7DC">
            <w:pPr>
              <w:wordWrap w:val="0"/>
              <w:snapToGrid w:val="0"/>
              <w:spacing w:after="0" w:line="360" w:lineRule="auto"/>
              <w:rPr>
                <w:rFonts w:hint="eastAsia" w:ascii="仿宋" w:hAnsi="仿宋" w:eastAsia="仿宋" w:cs="仿宋"/>
                <w:sz w:val="21"/>
                <w:szCs w:val="21"/>
              </w:rPr>
            </w:pPr>
            <w:r>
              <w:rPr>
                <w:rFonts w:hint="eastAsia" w:ascii="仿宋" w:hAnsi="仿宋" w:eastAsia="仿宋" w:cs="仿宋"/>
                <w:sz w:val="21"/>
                <w:szCs w:val="21"/>
              </w:rPr>
              <w:t>（8）开标结束。</w:t>
            </w:r>
          </w:p>
        </w:tc>
      </w:tr>
      <w:tr w14:paraId="7CC60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685CDC4F">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6.1.1</w:t>
            </w:r>
          </w:p>
        </w:tc>
        <w:tc>
          <w:tcPr>
            <w:tcW w:w="1726" w:type="dxa"/>
            <w:tcBorders>
              <w:top w:val="single" w:color="auto" w:sz="4" w:space="0"/>
              <w:left w:val="single" w:color="auto" w:sz="4" w:space="0"/>
              <w:bottom w:val="single" w:color="auto" w:sz="4" w:space="0"/>
              <w:right w:val="single" w:color="auto" w:sz="4" w:space="0"/>
            </w:tcBorders>
            <w:vAlign w:val="center"/>
          </w:tcPr>
          <w:p w14:paraId="4D7CC1F7">
            <w:pPr>
              <w:wordWrap w:val="0"/>
              <w:snapToGrid w:val="0"/>
              <w:spacing w:after="0" w:line="360" w:lineRule="auto"/>
              <w:jc w:val="center"/>
              <w:rPr>
                <w:rFonts w:hint="eastAsia" w:ascii="仿宋" w:hAnsi="仿宋" w:eastAsia="仿宋" w:cs="仿宋"/>
                <w:sz w:val="21"/>
                <w:szCs w:val="21"/>
              </w:rPr>
            </w:pPr>
            <w:r>
              <w:rPr>
                <w:rFonts w:hint="eastAsia" w:ascii="仿宋" w:hAnsi="仿宋" w:eastAsia="仿宋" w:cs="仿宋"/>
                <w:sz w:val="21"/>
                <w:szCs w:val="21"/>
              </w:rPr>
              <w:t>评标委员会的组建</w:t>
            </w:r>
          </w:p>
        </w:tc>
        <w:tc>
          <w:tcPr>
            <w:tcW w:w="7685" w:type="dxa"/>
            <w:tcBorders>
              <w:top w:val="single" w:color="auto" w:sz="4" w:space="0"/>
              <w:left w:val="single" w:color="auto" w:sz="4" w:space="0"/>
              <w:bottom w:val="single" w:color="auto" w:sz="4" w:space="0"/>
              <w:right w:val="single" w:color="auto" w:sz="4" w:space="0"/>
            </w:tcBorders>
            <w:vAlign w:val="center"/>
          </w:tcPr>
          <w:p w14:paraId="4629FB3E">
            <w:pPr>
              <w:wordWrap w:val="0"/>
              <w:snapToGrid w:val="0"/>
              <w:spacing w:after="0" w:line="360" w:lineRule="auto"/>
              <w:rPr>
                <w:rFonts w:hint="eastAsia" w:ascii="仿宋" w:hAnsi="仿宋" w:eastAsia="仿宋" w:cs="仿宋"/>
                <w:sz w:val="21"/>
                <w:szCs w:val="21"/>
              </w:rPr>
            </w:pPr>
            <w:r>
              <w:rPr>
                <w:rFonts w:hint="eastAsia" w:ascii="仿宋" w:hAnsi="仿宋" w:eastAsia="仿宋" w:cs="仿宋"/>
                <w:sz w:val="21"/>
                <w:szCs w:val="21"/>
              </w:rPr>
              <w:t>评标委员会人数：5人及以上单数。</w:t>
            </w:r>
          </w:p>
          <w:p w14:paraId="5398638C">
            <w:pPr>
              <w:wordWrap w:val="0"/>
              <w:snapToGrid w:val="0"/>
              <w:spacing w:after="0" w:line="360" w:lineRule="auto"/>
              <w:rPr>
                <w:rFonts w:hint="eastAsia" w:ascii="仿宋" w:hAnsi="仿宋" w:eastAsia="仿宋" w:cs="仿宋"/>
                <w:sz w:val="21"/>
                <w:szCs w:val="21"/>
              </w:rPr>
            </w:pPr>
            <w:r>
              <w:rPr>
                <w:rFonts w:hint="eastAsia" w:ascii="仿宋" w:hAnsi="仿宋" w:eastAsia="仿宋" w:cs="仿宋"/>
                <w:sz w:val="21"/>
                <w:szCs w:val="21"/>
              </w:rPr>
              <w:t>评标专家确定方式：评标委员会由采购人代表和评审专家组成，其中评审专家不得少于成员总数的三分之二。评审专家从云南省政府采购评审专家库中，通过随机方式抽取产生。</w:t>
            </w:r>
          </w:p>
          <w:p w14:paraId="182FCC86">
            <w:pPr>
              <w:wordWrap w:val="0"/>
              <w:snapToGrid w:val="0"/>
              <w:spacing w:after="0" w:line="360" w:lineRule="auto"/>
              <w:rPr>
                <w:rFonts w:hint="eastAsia" w:ascii="仿宋" w:hAnsi="仿宋" w:eastAsia="仿宋" w:cs="仿宋"/>
                <w:sz w:val="21"/>
                <w:szCs w:val="21"/>
              </w:rPr>
            </w:pPr>
            <w:r>
              <w:rPr>
                <w:rFonts w:hint="eastAsia" w:ascii="仿宋" w:hAnsi="仿宋" w:eastAsia="仿宋" w:cs="仿宋"/>
                <w:sz w:val="21"/>
                <w:szCs w:val="21"/>
              </w:rPr>
              <w:t>注：对技术复杂、专业性强的采购项目，通过随机方式难以确定合适评审专家的，经主管预算单位同意，采购人可以自行选定相应专业领域的评审专家。</w:t>
            </w:r>
          </w:p>
        </w:tc>
      </w:tr>
      <w:tr w14:paraId="5E41D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53523037">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7.1</w:t>
            </w:r>
          </w:p>
        </w:tc>
        <w:tc>
          <w:tcPr>
            <w:tcW w:w="1726" w:type="dxa"/>
            <w:tcBorders>
              <w:top w:val="single" w:color="auto" w:sz="4" w:space="0"/>
              <w:left w:val="single" w:color="auto" w:sz="4" w:space="0"/>
              <w:bottom w:val="single" w:color="auto" w:sz="4" w:space="0"/>
              <w:right w:val="single" w:color="auto" w:sz="4" w:space="0"/>
            </w:tcBorders>
            <w:vAlign w:val="center"/>
          </w:tcPr>
          <w:p w14:paraId="13108054">
            <w:pPr>
              <w:wordWrap w:val="0"/>
              <w:snapToGrid w:val="0"/>
              <w:spacing w:after="0" w:line="360" w:lineRule="auto"/>
              <w:jc w:val="center"/>
              <w:rPr>
                <w:rFonts w:hint="eastAsia" w:ascii="仿宋" w:hAnsi="仿宋" w:eastAsia="仿宋" w:cs="仿宋"/>
                <w:sz w:val="21"/>
                <w:szCs w:val="21"/>
              </w:rPr>
            </w:pPr>
            <w:r>
              <w:rPr>
                <w:rFonts w:hint="eastAsia" w:ascii="仿宋" w:hAnsi="仿宋" w:eastAsia="仿宋" w:cs="仿宋"/>
                <w:sz w:val="21"/>
                <w:szCs w:val="21"/>
              </w:rPr>
              <w:t>是否授权评标委员会确定中标人</w:t>
            </w:r>
          </w:p>
        </w:tc>
        <w:tc>
          <w:tcPr>
            <w:tcW w:w="7685" w:type="dxa"/>
            <w:tcBorders>
              <w:top w:val="single" w:color="auto" w:sz="4" w:space="0"/>
              <w:left w:val="single" w:color="auto" w:sz="4" w:space="0"/>
              <w:bottom w:val="single" w:color="auto" w:sz="4" w:space="0"/>
              <w:right w:val="single" w:color="auto" w:sz="4" w:space="0"/>
            </w:tcBorders>
            <w:vAlign w:val="center"/>
          </w:tcPr>
          <w:p w14:paraId="7B17E1E4">
            <w:pPr>
              <w:wordWrap w:val="0"/>
              <w:snapToGrid w:val="0"/>
              <w:spacing w:after="0" w:line="360" w:lineRule="auto"/>
              <w:rPr>
                <w:rFonts w:hint="eastAsia" w:ascii="仿宋" w:hAnsi="仿宋" w:eastAsia="仿宋" w:cs="仿宋"/>
                <w:sz w:val="21"/>
                <w:szCs w:val="21"/>
              </w:rPr>
            </w:pPr>
            <w:r>
              <w:rPr>
                <w:rFonts w:hint="eastAsia" w:ascii="仿宋" w:hAnsi="仿宋" w:eastAsia="仿宋" w:cs="仿宋"/>
                <w:sz w:val="21"/>
                <w:szCs w:val="21"/>
              </w:rPr>
              <w:t>否，由评标委员会根据“第三章 评标办法”的相关规定推荐1—3名中标候选人，采购人根据相关规定确定中标人。</w:t>
            </w:r>
          </w:p>
        </w:tc>
      </w:tr>
      <w:tr w14:paraId="43B66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1FE29E81">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7.2</w:t>
            </w:r>
          </w:p>
        </w:tc>
        <w:tc>
          <w:tcPr>
            <w:tcW w:w="1726" w:type="dxa"/>
            <w:tcBorders>
              <w:top w:val="single" w:color="auto" w:sz="4" w:space="0"/>
              <w:left w:val="single" w:color="auto" w:sz="4" w:space="0"/>
              <w:bottom w:val="single" w:color="auto" w:sz="4" w:space="0"/>
              <w:right w:val="single" w:color="auto" w:sz="4" w:space="0"/>
            </w:tcBorders>
            <w:vAlign w:val="center"/>
          </w:tcPr>
          <w:p w14:paraId="53E76E1D">
            <w:pPr>
              <w:wordWrap w:val="0"/>
              <w:snapToGrid w:val="0"/>
              <w:spacing w:after="0" w:line="360" w:lineRule="auto"/>
              <w:jc w:val="center"/>
              <w:rPr>
                <w:rFonts w:hint="eastAsia" w:ascii="仿宋" w:hAnsi="仿宋" w:eastAsia="仿宋" w:cs="仿宋"/>
                <w:sz w:val="21"/>
                <w:szCs w:val="21"/>
              </w:rPr>
            </w:pPr>
            <w:r>
              <w:rPr>
                <w:rFonts w:hint="eastAsia" w:ascii="仿宋" w:hAnsi="仿宋" w:eastAsia="仿宋" w:cs="仿宋"/>
                <w:sz w:val="21"/>
                <w:szCs w:val="21"/>
              </w:rPr>
              <w:t>中标公告媒介及期限</w:t>
            </w:r>
          </w:p>
        </w:tc>
        <w:tc>
          <w:tcPr>
            <w:tcW w:w="7685" w:type="dxa"/>
            <w:tcBorders>
              <w:top w:val="single" w:color="auto" w:sz="4" w:space="0"/>
              <w:left w:val="single" w:color="auto" w:sz="4" w:space="0"/>
              <w:bottom w:val="single" w:color="auto" w:sz="4" w:space="0"/>
              <w:right w:val="single" w:color="auto" w:sz="4" w:space="0"/>
            </w:tcBorders>
            <w:vAlign w:val="center"/>
          </w:tcPr>
          <w:p w14:paraId="707831AA">
            <w:pPr>
              <w:wordWrap w:val="0"/>
              <w:snapToGrid w:val="0"/>
              <w:spacing w:after="0" w:line="360" w:lineRule="auto"/>
              <w:rPr>
                <w:rFonts w:hint="eastAsia" w:ascii="仿宋" w:hAnsi="仿宋" w:eastAsia="仿宋" w:cs="仿宋"/>
                <w:sz w:val="21"/>
                <w:szCs w:val="21"/>
              </w:rPr>
            </w:pPr>
            <w:r>
              <w:rPr>
                <w:rFonts w:hint="eastAsia" w:ascii="仿宋" w:hAnsi="仿宋" w:eastAsia="仿宋" w:cs="仿宋"/>
                <w:sz w:val="21"/>
                <w:szCs w:val="21"/>
              </w:rPr>
              <w:t>公告媒介：云南省政府采购网（http://www.yngp.com/）、政采云平台（https://www.zcygov.cn/）</w:t>
            </w:r>
          </w:p>
          <w:p w14:paraId="4E162C83">
            <w:pPr>
              <w:wordWrap w:val="0"/>
              <w:snapToGrid w:val="0"/>
              <w:spacing w:after="0" w:line="360" w:lineRule="auto"/>
              <w:rPr>
                <w:rFonts w:hint="eastAsia" w:ascii="仿宋" w:hAnsi="仿宋" w:eastAsia="仿宋" w:cs="仿宋"/>
                <w:sz w:val="21"/>
                <w:szCs w:val="21"/>
              </w:rPr>
            </w:pPr>
            <w:r>
              <w:rPr>
                <w:rFonts w:hint="eastAsia" w:ascii="仿宋" w:hAnsi="仿宋" w:eastAsia="仿宋" w:cs="仿宋"/>
                <w:sz w:val="21"/>
                <w:szCs w:val="21"/>
              </w:rPr>
              <w:t>公告期限：1个工作日。</w:t>
            </w:r>
          </w:p>
        </w:tc>
      </w:tr>
      <w:tr w14:paraId="2F64B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tcBorders>
              <w:top w:val="single" w:color="auto" w:sz="4" w:space="0"/>
              <w:left w:val="single" w:color="auto" w:sz="4" w:space="0"/>
              <w:bottom w:val="single" w:color="auto" w:sz="4" w:space="0"/>
              <w:right w:val="single" w:color="auto" w:sz="4" w:space="0"/>
            </w:tcBorders>
            <w:vAlign w:val="center"/>
          </w:tcPr>
          <w:p w14:paraId="482D9E5C">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7.3.1</w:t>
            </w:r>
          </w:p>
        </w:tc>
        <w:tc>
          <w:tcPr>
            <w:tcW w:w="1726" w:type="dxa"/>
            <w:tcBorders>
              <w:top w:val="single" w:color="auto" w:sz="4" w:space="0"/>
              <w:left w:val="single" w:color="auto" w:sz="4" w:space="0"/>
              <w:bottom w:val="single" w:color="auto" w:sz="4" w:space="0"/>
              <w:right w:val="single" w:color="auto" w:sz="4" w:space="0"/>
            </w:tcBorders>
            <w:vAlign w:val="center"/>
          </w:tcPr>
          <w:p w14:paraId="19210A9D">
            <w:pPr>
              <w:wordWrap w:val="0"/>
              <w:snapToGrid w:val="0"/>
              <w:spacing w:after="0" w:line="360" w:lineRule="auto"/>
              <w:jc w:val="center"/>
              <w:rPr>
                <w:rFonts w:hint="eastAsia" w:ascii="仿宋" w:hAnsi="仿宋" w:eastAsia="仿宋" w:cs="仿宋"/>
                <w:sz w:val="21"/>
                <w:szCs w:val="21"/>
              </w:rPr>
            </w:pPr>
            <w:r>
              <w:rPr>
                <w:rFonts w:hint="eastAsia" w:ascii="仿宋" w:hAnsi="仿宋" w:eastAsia="仿宋" w:cs="仿宋"/>
                <w:sz w:val="21"/>
                <w:szCs w:val="21"/>
              </w:rPr>
              <w:t>履约保证金</w:t>
            </w:r>
          </w:p>
        </w:tc>
        <w:tc>
          <w:tcPr>
            <w:tcW w:w="7685" w:type="dxa"/>
            <w:tcBorders>
              <w:top w:val="single" w:color="auto" w:sz="4" w:space="0"/>
              <w:left w:val="single" w:color="auto" w:sz="4" w:space="0"/>
              <w:bottom w:val="single" w:color="auto" w:sz="4" w:space="0"/>
              <w:right w:val="single" w:color="auto" w:sz="4" w:space="0"/>
            </w:tcBorders>
            <w:vAlign w:val="center"/>
          </w:tcPr>
          <w:p w14:paraId="23A0DEB0">
            <w:pPr>
              <w:wordWrap w:val="0"/>
              <w:snapToGrid w:val="0"/>
              <w:spacing w:after="0" w:line="360" w:lineRule="auto"/>
              <w:rPr>
                <w:rFonts w:hint="eastAsia" w:ascii="仿宋" w:hAnsi="仿宋" w:eastAsia="仿宋" w:cs="仿宋"/>
                <w:sz w:val="21"/>
                <w:szCs w:val="21"/>
              </w:rPr>
            </w:pPr>
            <w:r>
              <w:rPr>
                <w:rFonts w:hint="eastAsia" w:ascii="仿宋" w:hAnsi="仿宋" w:eastAsia="仿宋" w:cs="仿宋"/>
                <w:sz w:val="21"/>
                <w:szCs w:val="21"/>
              </w:rPr>
              <w:t>（1）履约保证金的金额</w:t>
            </w:r>
            <w:r>
              <w:rPr>
                <w:rFonts w:hint="eastAsia" w:ascii="仿宋" w:hAnsi="仿宋" w:eastAsia="仿宋" w:cs="仿宋"/>
                <w:sz w:val="21"/>
                <w:szCs w:val="21"/>
                <w:highlight w:val="none"/>
              </w:rPr>
              <w:t>：合同金额</w:t>
            </w: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rPr>
              <w:t>%。</w:t>
            </w:r>
          </w:p>
          <w:p w14:paraId="6D8BBB82">
            <w:pPr>
              <w:wordWrap w:val="0"/>
              <w:snapToGrid w:val="0"/>
              <w:spacing w:after="0" w:line="360" w:lineRule="auto"/>
              <w:rPr>
                <w:rFonts w:hint="eastAsia" w:ascii="仿宋" w:hAnsi="仿宋" w:eastAsia="仿宋" w:cs="仿宋"/>
                <w:sz w:val="21"/>
                <w:szCs w:val="21"/>
              </w:rPr>
            </w:pPr>
            <w:r>
              <w:rPr>
                <w:rFonts w:hint="eastAsia" w:ascii="仿宋" w:hAnsi="仿宋" w:eastAsia="仿宋" w:cs="仿宋"/>
                <w:sz w:val="21"/>
                <w:szCs w:val="21"/>
              </w:rPr>
              <w:t>（2）形式：投标人应当以支票、汇票、本票、银行转账或者金融机构、担保机构出具的保函等非现金形式提交。</w:t>
            </w:r>
          </w:p>
          <w:p w14:paraId="24A5658F">
            <w:pPr>
              <w:wordWrap w:val="0"/>
              <w:snapToGrid w:val="0"/>
              <w:spacing w:after="0" w:line="360" w:lineRule="auto"/>
              <w:rPr>
                <w:rFonts w:hint="eastAsia" w:ascii="仿宋" w:hAnsi="仿宋" w:eastAsia="仿宋" w:cs="仿宋"/>
                <w:sz w:val="21"/>
                <w:szCs w:val="21"/>
              </w:rPr>
            </w:pPr>
            <w:r>
              <w:rPr>
                <w:rFonts w:hint="eastAsia" w:ascii="仿宋" w:hAnsi="仿宋" w:eastAsia="仿宋" w:cs="仿宋"/>
                <w:sz w:val="21"/>
                <w:szCs w:val="21"/>
              </w:rPr>
              <w:t>（3）履约担保提交时间：领取中标（成交）通知书后5个工作日内。</w:t>
            </w:r>
          </w:p>
          <w:p w14:paraId="7835F830">
            <w:pPr>
              <w:wordWrap w:val="0"/>
              <w:snapToGrid w:val="0"/>
              <w:spacing w:after="0" w:line="360" w:lineRule="auto"/>
              <w:rPr>
                <w:rFonts w:hint="eastAsia" w:ascii="仿宋" w:hAnsi="仿宋" w:eastAsia="仿宋" w:cs="仿宋"/>
                <w:sz w:val="21"/>
                <w:szCs w:val="21"/>
              </w:rPr>
            </w:pPr>
            <w:r>
              <w:rPr>
                <w:rFonts w:hint="eastAsia" w:ascii="仿宋" w:hAnsi="仿宋" w:eastAsia="仿宋" w:cs="仿宋"/>
                <w:sz w:val="21"/>
                <w:szCs w:val="21"/>
              </w:rPr>
              <w:t>（4）履约担保期限：自合同生效之日起至验收合格之日止。</w:t>
            </w:r>
          </w:p>
          <w:p w14:paraId="497F3017">
            <w:pPr>
              <w:wordWrap w:val="0"/>
              <w:snapToGrid w:val="0"/>
              <w:spacing w:after="0" w:line="360" w:lineRule="auto"/>
              <w:rPr>
                <w:rFonts w:hint="eastAsia" w:ascii="仿宋" w:hAnsi="仿宋" w:eastAsia="仿宋" w:cs="仿宋"/>
                <w:sz w:val="21"/>
                <w:szCs w:val="21"/>
              </w:rPr>
            </w:pPr>
            <w:r>
              <w:rPr>
                <w:rFonts w:hint="eastAsia" w:ascii="仿宋" w:hAnsi="仿宋" w:eastAsia="仿宋" w:cs="仿宋"/>
                <w:sz w:val="21"/>
                <w:szCs w:val="21"/>
              </w:rPr>
              <w:t>（5）成交人不按规定提交履约担保的视为放弃中标（成交）。</w:t>
            </w:r>
          </w:p>
        </w:tc>
      </w:tr>
      <w:tr w14:paraId="70BA2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5" w:type="dxa"/>
            <w:vAlign w:val="center"/>
          </w:tcPr>
          <w:p w14:paraId="45BA25AA">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10</w:t>
            </w:r>
          </w:p>
        </w:tc>
        <w:tc>
          <w:tcPr>
            <w:tcW w:w="9411" w:type="dxa"/>
            <w:gridSpan w:val="2"/>
            <w:vAlign w:val="center"/>
          </w:tcPr>
          <w:p w14:paraId="1143CA72">
            <w:pPr>
              <w:wordWrap w:val="0"/>
              <w:snapToGrid w:val="0"/>
              <w:spacing w:after="0" w:line="360" w:lineRule="auto"/>
              <w:jc w:val="center"/>
              <w:rPr>
                <w:rFonts w:hint="eastAsia" w:ascii="仿宋" w:hAnsi="仿宋" w:eastAsia="仿宋" w:cs="仿宋"/>
                <w:sz w:val="21"/>
                <w:szCs w:val="21"/>
              </w:rPr>
            </w:pPr>
            <w:r>
              <w:rPr>
                <w:rFonts w:hint="eastAsia" w:ascii="仿宋" w:hAnsi="仿宋" w:eastAsia="仿宋" w:cs="仿宋"/>
                <w:sz w:val="21"/>
                <w:szCs w:val="21"/>
              </w:rPr>
              <w:t>需要补充的其他内容</w:t>
            </w:r>
          </w:p>
        </w:tc>
      </w:tr>
      <w:tr w14:paraId="76004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5" w:type="dxa"/>
            <w:vAlign w:val="center"/>
          </w:tcPr>
          <w:p w14:paraId="30CA217A">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10.4.6</w:t>
            </w:r>
          </w:p>
        </w:tc>
        <w:tc>
          <w:tcPr>
            <w:tcW w:w="1726" w:type="dxa"/>
            <w:vAlign w:val="center"/>
          </w:tcPr>
          <w:p w14:paraId="55730A7A">
            <w:pPr>
              <w:wordWrap w:val="0"/>
              <w:snapToGrid w:val="0"/>
              <w:spacing w:after="0" w:line="360" w:lineRule="auto"/>
              <w:jc w:val="center"/>
              <w:rPr>
                <w:rFonts w:hint="eastAsia" w:ascii="仿宋" w:hAnsi="仿宋" w:eastAsia="仿宋" w:cs="仿宋"/>
                <w:sz w:val="21"/>
                <w:szCs w:val="21"/>
              </w:rPr>
            </w:pPr>
            <w:r>
              <w:rPr>
                <w:rFonts w:hint="eastAsia" w:ascii="仿宋" w:hAnsi="仿宋" w:eastAsia="仿宋" w:cs="仿宋"/>
                <w:sz w:val="21"/>
                <w:szCs w:val="21"/>
              </w:rPr>
              <w:t>采购人补充的其他内容</w:t>
            </w:r>
          </w:p>
        </w:tc>
        <w:tc>
          <w:tcPr>
            <w:tcW w:w="7685" w:type="dxa"/>
            <w:vAlign w:val="center"/>
          </w:tcPr>
          <w:p w14:paraId="3965DD43">
            <w:pPr>
              <w:snapToGrid w:val="0"/>
              <w:spacing w:after="0" w:line="360" w:lineRule="auto"/>
              <w:jc w:val="both"/>
              <w:rPr>
                <w:rFonts w:hint="eastAsia" w:ascii="仿宋" w:hAnsi="仿宋" w:eastAsia="仿宋" w:cs="仿宋"/>
                <w:sz w:val="21"/>
                <w:szCs w:val="21"/>
              </w:rPr>
            </w:pPr>
            <w:r>
              <w:rPr>
                <w:rFonts w:hint="eastAsia" w:ascii="仿宋" w:hAnsi="仿宋" w:eastAsia="仿宋" w:cs="仿宋"/>
                <w:sz w:val="21"/>
                <w:szCs w:val="21"/>
              </w:rPr>
              <w:t>1、投标单位须承诺制作餐食完成后至学生就餐时间不</w:t>
            </w:r>
            <w:r>
              <w:rPr>
                <w:rFonts w:hint="eastAsia" w:ascii="仿宋" w:hAnsi="仿宋" w:eastAsia="仿宋" w:cs="仿宋"/>
                <w:sz w:val="21"/>
                <w:szCs w:val="21"/>
                <w:highlight w:val="none"/>
              </w:rPr>
              <w:t>大于1小时（</w:t>
            </w:r>
            <w:r>
              <w:rPr>
                <w:rFonts w:hint="eastAsia" w:ascii="仿宋" w:hAnsi="仿宋" w:eastAsia="仿宋" w:cs="仿宋"/>
                <w:sz w:val="21"/>
                <w:szCs w:val="21"/>
              </w:rPr>
              <w:t>提供承诺书）；</w:t>
            </w:r>
          </w:p>
          <w:p w14:paraId="13E61F3F">
            <w:pPr>
              <w:snapToGrid w:val="0"/>
              <w:spacing w:after="0" w:line="360" w:lineRule="auto"/>
              <w:jc w:val="both"/>
              <w:rPr>
                <w:rFonts w:hint="eastAsia" w:ascii="仿宋" w:hAnsi="仿宋" w:eastAsia="仿宋" w:cs="仿宋"/>
                <w:sz w:val="21"/>
                <w:szCs w:val="21"/>
              </w:rPr>
            </w:pPr>
            <w:r>
              <w:rPr>
                <w:rFonts w:hint="eastAsia" w:ascii="仿宋" w:hAnsi="仿宋" w:eastAsia="仿宋" w:cs="仿宋"/>
                <w:sz w:val="21"/>
                <w:szCs w:val="21"/>
              </w:rPr>
              <w:t>2、投标单位必须提供食品安全质量承诺书；</w:t>
            </w:r>
          </w:p>
          <w:p w14:paraId="7E49676F">
            <w:pPr>
              <w:snapToGrid w:val="0"/>
              <w:spacing w:after="0" w:line="360" w:lineRule="auto"/>
              <w:jc w:val="both"/>
              <w:rPr>
                <w:rFonts w:hint="eastAsia" w:ascii="仿宋" w:hAnsi="仿宋" w:eastAsia="仿宋" w:cs="仿宋"/>
                <w:sz w:val="21"/>
                <w:szCs w:val="21"/>
              </w:rPr>
            </w:pPr>
            <w:r>
              <w:rPr>
                <w:rFonts w:hint="eastAsia" w:ascii="仿宋" w:hAnsi="仿宋" w:eastAsia="仿宋" w:cs="仿宋"/>
                <w:sz w:val="21"/>
                <w:szCs w:val="21"/>
              </w:rPr>
              <w:t>3、投标人中标后在项目实施过程中须配合校方做好用餐管理服务工作（提供承诺书。）</w:t>
            </w:r>
          </w:p>
          <w:p w14:paraId="61120C53">
            <w:pPr>
              <w:snapToGrid w:val="0"/>
              <w:spacing w:after="0" w:line="360" w:lineRule="auto"/>
              <w:jc w:val="both"/>
              <w:rPr>
                <w:rFonts w:hint="eastAsia" w:ascii="仿宋" w:hAnsi="仿宋" w:eastAsia="仿宋" w:cs="仿宋"/>
                <w:sz w:val="21"/>
                <w:szCs w:val="21"/>
              </w:rPr>
            </w:pPr>
            <w:r>
              <w:rPr>
                <w:rFonts w:hint="eastAsia" w:ascii="仿宋" w:hAnsi="仿宋" w:eastAsia="仿宋" w:cs="仿宋"/>
                <w:sz w:val="21"/>
                <w:szCs w:val="21"/>
              </w:rPr>
              <w:t>4、投标人具有清真餐的供餐服务并确保清真食品的原材料采购、加工、分餐、配送等环节符合清真相关要求。（提供承诺书。）</w:t>
            </w:r>
          </w:p>
          <w:p w14:paraId="0C6FC7DD">
            <w:pPr>
              <w:snapToGrid w:val="0"/>
              <w:spacing w:after="0" w:line="360" w:lineRule="auto"/>
              <w:jc w:val="both"/>
              <w:rPr>
                <w:rFonts w:hint="eastAsia" w:ascii="仿宋" w:hAnsi="仿宋" w:eastAsia="仿宋" w:cs="仿宋"/>
                <w:sz w:val="21"/>
                <w:szCs w:val="21"/>
              </w:rPr>
            </w:pPr>
            <w:r>
              <w:rPr>
                <w:rFonts w:hint="eastAsia" w:ascii="仿宋" w:hAnsi="仿宋" w:eastAsia="仿宋" w:cs="仿宋"/>
                <w:sz w:val="21"/>
                <w:szCs w:val="21"/>
              </w:rPr>
              <w:t>5.所有投标文件，资格审查文件、技术标文件、失信被执行人失信信息材料部分格式、商务标文件，全部采用电子标书，采购人要求提交的所有材料的原件或扫描件，均扫描为电子文档并储存JPG格式，粘贴到投标文件编制系统中；</w:t>
            </w:r>
          </w:p>
          <w:p w14:paraId="3753187E">
            <w:pPr>
              <w:snapToGrid w:val="0"/>
              <w:spacing w:after="0" w:line="360" w:lineRule="auto"/>
              <w:jc w:val="both"/>
              <w:rPr>
                <w:rFonts w:hint="eastAsia" w:ascii="仿宋" w:hAnsi="仿宋" w:eastAsia="仿宋" w:cs="仿宋"/>
                <w:sz w:val="21"/>
                <w:szCs w:val="21"/>
              </w:rPr>
            </w:pPr>
            <w:r>
              <w:rPr>
                <w:rFonts w:hint="eastAsia" w:ascii="仿宋" w:hAnsi="仿宋" w:eastAsia="仿宋" w:cs="仿宋"/>
                <w:sz w:val="21"/>
                <w:szCs w:val="21"/>
              </w:rPr>
              <w:t>6.投标文件中规定需企业盖章和个人签名的，全部改为企业机构数字证书电子签章、相应个人数字证书的电子签章、电子签名，若因投标文件格式、递交方式或自身问题，导致投标业务不成功，责任由投标单位自行承担；</w:t>
            </w:r>
          </w:p>
          <w:p w14:paraId="09DF5DE3">
            <w:pPr>
              <w:snapToGrid w:val="0"/>
              <w:spacing w:after="0" w:line="360" w:lineRule="auto"/>
              <w:jc w:val="both"/>
              <w:rPr>
                <w:rFonts w:hint="eastAsia" w:ascii="仿宋" w:hAnsi="仿宋" w:eastAsia="仿宋" w:cs="仿宋"/>
                <w:sz w:val="21"/>
                <w:szCs w:val="21"/>
              </w:rPr>
            </w:pPr>
            <w:r>
              <w:rPr>
                <w:rFonts w:hint="eastAsia" w:ascii="仿宋" w:hAnsi="仿宋" w:eastAsia="仿宋" w:cs="仿宋"/>
                <w:sz w:val="21"/>
                <w:szCs w:val="21"/>
              </w:rPr>
              <w:t>7.投标人编制投标文件中技术问题可联系政采云技术支持电话：4008817190（客服热线）；</w:t>
            </w:r>
          </w:p>
          <w:p w14:paraId="59218536">
            <w:pPr>
              <w:snapToGrid w:val="0"/>
              <w:spacing w:after="0" w:line="360" w:lineRule="auto"/>
              <w:jc w:val="both"/>
              <w:rPr>
                <w:rFonts w:hint="eastAsia" w:ascii="仿宋" w:hAnsi="仿宋" w:eastAsia="仿宋" w:cs="仿宋"/>
                <w:sz w:val="21"/>
                <w:szCs w:val="21"/>
              </w:rPr>
            </w:pPr>
            <w:r>
              <w:rPr>
                <w:rFonts w:hint="eastAsia" w:ascii="仿宋" w:hAnsi="仿宋" w:eastAsia="仿宋" w:cs="仿宋"/>
                <w:sz w:val="21"/>
                <w:szCs w:val="21"/>
              </w:rPr>
              <w:t>8.中标人须进行承诺：中标人投标文件中所提供的所有资料承诺真实有效，公开接受利害关系人质询，如存在虚假材料，上报相关监管部门按规定处理，投标人将自行承担相关后果及法律责任。</w:t>
            </w:r>
          </w:p>
        </w:tc>
      </w:tr>
      <w:tr w14:paraId="4C310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5" w:type="dxa"/>
            <w:vAlign w:val="center"/>
          </w:tcPr>
          <w:p w14:paraId="03D14ADE">
            <w:pPr>
              <w:wordWrap w:val="0"/>
              <w:snapToGrid w:val="0"/>
              <w:spacing w:before="120" w:beforeLines="50" w:after="0" w:line="360" w:lineRule="auto"/>
              <w:jc w:val="center"/>
              <w:rPr>
                <w:rFonts w:hint="eastAsia" w:ascii="仿宋" w:hAnsi="仿宋" w:eastAsia="仿宋" w:cs="仿宋"/>
                <w:sz w:val="21"/>
                <w:szCs w:val="21"/>
              </w:rPr>
            </w:pPr>
            <w:r>
              <w:rPr>
                <w:rFonts w:hint="eastAsia" w:ascii="仿宋" w:hAnsi="仿宋" w:eastAsia="仿宋" w:cs="仿宋"/>
                <w:sz w:val="21"/>
                <w:szCs w:val="21"/>
              </w:rPr>
              <w:t>10.4.7</w:t>
            </w:r>
          </w:p>
        </w:tc>
        <w:tc>
          <w:tcPr>
            <w:tcW w:w="9411" w:type="dxa"/>
            <w:gridSpan w:val="2"/>
            <w:vAlign w:val="center"/>
          </w:tcPr>
          <w:p w14:paraId="0F31E405">
            <w:pPr>
              <w:numPr>
                <w:ilvl w:val="0"/>
                <w:numId w:val="1"/>
              </w:numPr>
              <w:snapToGrid w:val="0"/>
              <w:spacing w:after="0" w:line="360" w:lineRule="auto"/>
              <w:jc w:val="both"/>
              <w:rPr>
                <w:rFonts w:hint="eastAsia" w:ascii="仿宋" w:hAnsi="仿宋" w:eastAsia="仿宋" w:cs="仿宋"/>
                <w:sz w:val="21"/>
                <w:szCs w:val="21"/>
              </w:rPr>
            </w:pPr>
            <w:r>
              <w:rPr>
                <w:rFonts w:hint="eastAsia" w:ascii="仿宋" w:hAnsi="仿宋" w:eastAsia="仿宋" w:cs="仿宋"/>
                <w:sz w:val="21"/>
                <w:szCs w:val="21"/>
              </w:rPr>
              <w:t>根据《财政部关于在政府采购活动中查询及使用信用记录有关问题的通知》（财库〔2016〕125 号）相关要求，采购人或者采购代理机构对信用记录进行核实，对列入失信被执行人、重大税收违法案件当事人名单、政府采购严重违法失信行为记录名单及其他不符合《中华人民共和国政府采购法》第二十二条规定条件的投标人，拒绝其参与政府采购活动。</w:t>
            </w:r>
          </w:p>
          <w:p w14:paraId="08053E3B">
            <w:pPr>
              <w:numPr>
                <w:ilvl w:val="0"/>
                <w:numId w:val="1"/>
              </w:numPr>
              <w:snapToGrid w:val="0"/>
              <w:spacing w:after="0" w:line="360" w:lineRule="auto"/>
              <w:jc w:val="both"/>
              <w:rPr>
                <w:rFonts w:hint="eastAsia" w:ascii="仿宋" w:hAnsi="仿宋" w:eastAsia="仿宋" w:cs="仿宋"/>
                <w:sz w:val="21"/>
                <w:szCs w:val="21"/>
              </w:rPr>
            </w:pPr>
            <w:r>
              <w:rPr>
                <w:rFonts w:hint="eastAsia" w:ascii="仿宋" w:hAnsi="仿宋" w:eastAsia="仿宋" w:cs="仿宋"/>
                <w:sz w:val="21"/>
                <w:szCs w:val="21"/>
              </w:rPr>
              <w:t>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tc>
      </w:tr>
    </w:tbl>
    <w:p w14:paraId="1048D8FE">
      <w:pPr>
        <w:pStyle w:val="3"/>
        <w:wordWrap w:val="0"/>
        <w:spacing w:before="200" w:after="200" w:line="360" w:lineRule="auto"/>
        <w:jc w:val="center"/>
        <w:rPr>
          <w:rFonts w:hint="eastAsia" w:ascii="仿宋" w:hAnsi="仿宋" w:eastAsia="仿宋" w:cs="仿宋"/>
        </w:rPr>
      </w:pPr>
      <w:bookmarkStart w:id="51" w:name="_Toc1786"/>
      <w:bookmarkStart w:id="52" w:name="_Toc270090082"/>
      <w:bookmarkStart w:id="53" w:name="_Toc13407763"/>
      <w:bookmarkStart w:id="54" w:name="_Toc260907970"/>
      <w:bookmarkStart w:id="55" w:name="_Toc260908186"/>
      <w:r>
        <w:rPr>
          <w:rFonts w:hint="eastAsia" w:ascii="仿宋" w:hAnsi="仿宋" w:eastAsia="仿宋" w:cs="仿宋"/>
        </w:rPr>
        <w:t>二、投标人须知</w:t>
      </w:r>
      <w:bookmarkEnd w:id="51"/>
      <w:bookmarkEnd w:id="52"/>
      <w:bookmarkEnd w:id="53"/>
      <w:bookmarkEnd w:id="54"/>
      <w:bookmarkEnd w:id="55"/>
    </w:p>
    <w:p w14:paraId="55B94F87">
      <w:pPr>
        <w:pStyle w:val="4"/>
        <w:wordWrap w:val="0"/>
        <w:spacing w:before="100" w:after="100" w:line="360" w:lineRule="auto"/>
        <w:jc w:val="center"/>
        <w:rPr>
          <w:rFonts w:hint="eastAsia" w:ascii="仿宋" w:hAnsi="仿宋" w:eastAsia="仿宋" w:cs="仿宋"/>
          <w:b w:val="0"/>
          <w:bCs w:val="0"/>
          <w:sz w:val="28"/>
          <w:szCs w:val="30"/>
        </w:rPr>
      </w:pPr>
      <w:bookmarkStart w:id="56" w:name="_Toc260908187"/>
      <w:bookmarkStart w:id="57" w:name="_Toc260907971"/>
      <w:r>
        <w:rPr>
          <w:rFonts w:hint="eastAsia" w:ascii="仿宋" w:hAnsi="仿宋" w:eastAsia="仿宋" w:cs="仿宋"/>
          <w:b w:val="0"/>
          <w:bCs w:val="0"/>
          <w:sz w:val="28"/>
          <w:szCs w:val="30"/>
        </w:rPr>
        <w:t>（一）总则</w:t>
      </w:r>
      <w:bookmarkEnd w:id="56"/>
      <w:bookmarkEnd w:id="57"/>
    </w:p>
    <w:p w14:paraId="412CE448">
      <w:pPr>
        <w:pStyle w:val="5"/>
        <w:wordWrap w:val="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1.1 项目概况</w:t>
      </w:r>
    </w:p>
    <w:p w14:paraId="723E69C2">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1.1.1 根据《中华人民共和国政府采购法》、《中华人民共和国政府采购法实施条例》、《政府采购货物和服务招标投标管理办法》等有关法律法规的规定，本招标项目已具备采购条件，现对本项目进行公开招标。</w:t>
      </w:r>
    </w:p>
    <w:p w14:paraId="5F6C1BE1">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1.1.2 本项目采购人：见投标人须知前附表。</w:t>
      </w:r>
    </w:p>
    <w:p w14:paraId="51766FDD">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1.1.3 本项目采购代理机构：见投标人须知前附表。</w:t>
      </w:r>
    </w:p>
    <w:p w14:paraId="47AE450E">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1.1.4 本项目名称：见投标人须知前附表。</w:t>
      </w:r>
    </w:p>
    <w:p w14:paraId="039C06C7">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1.1.5 本项目供货地点：见投标人须知前附表。</w:t>
      </w:r>
    </w:p>
    <w:p w14:paraId="13BCA7DC">
      <w:pPr>
        <w:pStyle w:val="5"/>
        <w:wordWrap w:val="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1.2 资金来源和资金落实情况</w:t>
      </w:r>
    </w:p>
    <w:p w14:paraId="478052CD">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1.2.1 本项目的资金来源：见投标人须知前附表。</w:t>
      </w:r>
    </w:p>
    <w:p w14:paraId="20F55EF0">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1.2.2 本项目的采购预算：见投标人须知前附表。</w:t>
      </w:r>
    </w:p>
    <w:p w14:paraId="0047D636">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1.2.3 本项目的资金落实情况：见投标人须知前附表。</w:t>
      </w:r>
    </w:p>
    <w:p w14:paraId="5EF191DC">
      <w:pPr>
        <w:pStyle w:val="5"/>
        <w:wordWrap w:val="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1.3采购需求、标包划分、合同履行期限、服务标准及要求</w:t>
      </w:r>
    </w:p>
    <w:p w14:paraId="74758042">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1.3.1本招标项目的采购需求：见投标人须知前附表。</w:t>
      </w:r>
    </w:p>
    <w:p w14:paraId="5AC65C4F">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1.3.2本招标项目的标包划分：见投标人须知前附表。</w:t>
      </w:r>
    </w:p>
    <w:p w14:paraId="06D0381E">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1.3.3本招标项目的</w:t>
      </w:r>
      <w:r>
        <w:rPr>
          <w:rFonts w:hint="eastAsia" w:ascii="仿宋" w:hAnsi="仿宋" w:eastAsia="仿宋" w:cs="仿宋"/>
          <w:sz w:val="21"/>
        </w:rPr>
        <w:t>合同履行期限</w:t>
      </w:r>
      <w:r>
        <w:rPr>
          <w:rFonts w:hint="eastAsia" w:ascii="仿宋" w:hAnsi="仿宋" w:eastAsia="仿宋" w:cs="仿宋"/>
          <w:sz w:val="21"/>
          <w:szCs w:val="21"/>
        </w:rPr>
        <w:t>：见投标人须知前附表。</w:t>
      </w:r>
    </w:p>
    <w:p w14:paraId="7D057C36">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1.3.4本招标项目的服务标准及要求：见投标人须知前附表。</w:t>
      </w:r>
    </w:p>
    <w:p w14:paraId="567B0EFD">
      <w:pPr>
        <w:pStyle w:val="5"/>
        <w:wordWrap w:val="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1.4投标人资格要求</w:t>
      </w:r>
    </w:p>
    <w:p w14:paraId="49FAE4FD">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1.4.1 投标人资格条件要求：见投标人须知前附表。</w:t>
      </w:r>
    </w:p>
    <w:p w14:paraId="392F9906">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1.4.2 本项目招标是否接受联合体投标：见投标人须知前附表。</w:t>
      </w:r>
    </w:p>
    <w:p w14:paraId="720E5038">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1.4.3  投标人存在下列情况之一的，投标无效：</w:t>
      </w:r>
    </w:p>
    <w:p w14:paraId="2A287AC4">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（1）投标文件未按招标文件要求签署、盖章的；</w:t>
      </w:r>
    </w:p>
    <w:p w14:paraId="6DFA85F2">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（2）不具备招标文件中规定的资格要求的；</w:t>
      </w:r>
    </w:p>
    <w:p w14:paraId="3EF17F76">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（3）报价超过招标文件中规定的预算金额或者最高限价的；</w:t>
      </w:r>
    </w:p>
    <w:p w14:paraId="51B3B718">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（4）投标文件含有采购人不能接受的附加条件的；</w:t>
      </w:r>
    </w:p>
    <w:p w14:paraId="7683FCC4">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（5）法律、法规和招标文件规定的其他无效情形。</w:t>
      </w:r>
    </w:p>
    <w:p w14:paraId="4084DE5E">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1.4.4 有下列情形之一的，视为投标人串通投标，其投标无效：</w:t>
      </w:r>
    </w:p>
    <w:p w14:paraId="44539D08">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（1）不同投标人的投标文件由同一单位或者个人编制；</w:t>
      </w:r>
    </w:p>
    <w:p w14:paraId="56BC106D">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（2）不同投标人委托同一单位或者个人办理投标事宜；</w:t>
      </w:r>
    </w:p>
    <w:p w14:paraId="07CEFB3F">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（3）不同投标人的投标文件载明的项目管理成员或者联系人员为同一人；</w:t>
      </w:r>
    </w:p>
    <w:p w14:paraId="2A89449A">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（4）不同投标人的投标文件异常一致或者投标报价呈规律性差异；</w:t>
      </w:r>
    </w:p>
    <w:p w14:paraId="6F19A1EF">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（5）不同投标人的投标文件相互混装；</w:t>
      </w:r>
    </w:p>
    <w:p w14:paraId="45662D6F">
      <w:pPr>
        <w:pStyle w:val="5"/>
        <w:wordWrap w:val="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1.5费用承担</w:t>
      </w:r>
    </w:p>
    <w:p w14:paraId="7BE9CC78">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1.5.1 投标人准备和参加投标活动发生的费用自理。</w:t>
      </w:r>
    </w:p>
    <w:p w14:paraId="53560CEE">
      <w:pPr>
        <w:snapToGrid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1.5.2本次中标服务费执行关于印发《云南省建设工程招标代理服务收费指导意见（试行）》的通知的规定收取招标代理服务费；招标代理服务费由中标人向招标代理机构支付；招标代理服务费及其它相关费用在发放中标通知书前由中标人一次性缴清给本项目的招标代理机构。</w:t>
      </w:r>
    </w:p>
    <w:p w14:paraId="273AF1AF">
      <w:pPr>
        <w:snapToGrid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1.5.3中标人应支付本项目招标过程中的其他相关费用。</w:t>
      </w:r>
    </w:p>
    <w:p w14:paraId="1B569DA5">
      <w:pPr>
        <w:pStyle w:val="5"/>
        <w:wordWrap w:val="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1.6保密</w:t>
      </w:r>
    </w:p>
    <w:p w14:paraId="64EA78F6">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参与招标投标活动的各方应对招标文件和投标文件中的商业和技术等秘密保密，违者应对由此造成的后果承担法律责任。</w:t>
      </w:r>
    </w:p>
    <w:p w14:paraId="122F7426">
      <w:pPr>
        <w:pStyle w:val="5"/>
        <w:wordWrap w:val="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1.7语言文字</w:t>
      </w:r>
    </w:p>
    <w:p w14:paraId="4187962B">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除专用术语外，与招标投标有关的语言均使用中文。必要时专用术语应附中文注释。</w:t>
      </w:r>
    </w:p>
    <w:p w14:paraId="0998CA96">
      <w:pPr>
        <w:pStyle w:val="5"/>
        <w:wordWrap w:val="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1.8计量单位</w:t>
      </w:r>
    </w:p>
    <w:p w14:paraId="45A0A399">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所有计量均采用中华人民共和国法定计量单位。</w:t>
      </w:r>
    </w:p>
    <w:p w14:paraId="3EB10CE2">
      <w:pPr>
        <w:pStyle w:val="5"/>
        <w:wordWrap w:val="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1.9踏勘现场</w:t>
      </w:r>
    </w:p>
    <w:p w14:paraId="29480DF3">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1.9.1 采购人不组织踏勘现场，由投标人根据自身情况自行踏勘项目现场。自行组织对项目现场及周围环境进行踏勘，以便投标人获取有关编制投标文件和签署合同所涉及现场的资料。</w:t>
      </w:r>
    </w:p>
    <w:p w14:paraId="4C4BE091">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1.9.2 投标人踏勘现场发生的费用自理。</w:t>
      </w:r>
    </w:p>
    <w:p w14:paraId="15F30AD9">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1.9.3 投标人自行负责在踏勘现场中所发生的人员伤亡和财产损失。</w:t>
      </w:r>
    </w:p>
    <w:p w14:paraId="27F3D716">
      <w:pPr>
        <w:pStyle w:val="5"/>
        <w:wordWrap w:val="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1.10开标前答疑会</w:t>
      </w:r>
    </w:p>
    <w:p w14:paraId="508F3FEE">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不召开。</w:t>
      </w:r>
    </w:p>
    <w:p w14:paraId="22947E9B">
      <w:pPr>
        <w:pStyle w:val="5"/>
        <w:wordWrap w:val="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1.11分包</w:t>
      </w:r>
    </w:p>
    <w:p w14:paraId="35C9BE6D">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见投标人须知前附表。</w:t>
      </w:r>
    </w:p>
    <w:p w14:paraId="179B2554">
      <w:pPr>
        <w:pStyle w:val="5"/>
        <w:wordWrap w:val="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1.12偏离</w:t>
      </w:r>
    </w:p>
    <w:p w14:paraId="35F3D72A">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见投标人须知前附表。</w:t>
      </w:r>
    </w:p>
    <w:p w14:paraId="66924351">
      <w:pPr>
        <w:pStyle w:val="4"/>
        <w:wordWrap w:val="0"/>
        <w:spacing w:before="0" w:after="0" w:line="360" w:lineRule="auto"/>
        <w:jc w:val="center"/>
        <w:rPr>
          <w:rFonts w:hint="eastAsia" w:ascii="仿宋" w:hAnsi="仿宋" w:eastAsia="仿宋" w:cs="仿宋"/>
          <w:b w:val="0"/>
          <w:bCs w:val="0"/>
          <w:sz w:val="28"/>
          <w:szCs w:val="30"/>
        </w:rPr>
      </w:pPr>
      <w:bookmarkStart w:id="58" w:name="_Toc260908188"/>
      <w:bookmarkStart w:id="59" w:name="_Toc260907972"/>
      <w:r>
        <w:rPr>
          <w:rFonts w:hint="eastAsia" w:ascii="仿宋" w:hAnsi="仿宋" w:eastAsia="仿宋" w:cs="仿宋"/>
          <w:b w:val="0"/>
          <w:bCs w:val="0"/>
          <w:sz w:val="28"/>
          <w:szCs w:val="30"/>
        </w:rPr>
        <w:t>（二）招标文件</w:t>
      </w:r>
      <w:bookmarkEnd w:id="58"/>
      <w:bookmarkEnd w:id="59"/>
    </w:p>
    <w:p w14:paraId="142D6B32">
      <w:pPr>
        <w:pStyle w:val="5"/>
        <w:wordWrap w:val="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2.1招标文件的组成</w:t>
      </w:r>
    </w:p>
    <w:p w14:paraId="2D761ECD">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2.1.1 本招标文件包括：采购公告（或投标邀请书）、投标人须知、资格审查、评标办法、合同条款及格式、采购需求、投标文件格式、投标人须知前附表规定的其他材料；</w:t>
      </w:r>
    </w:p>
    <w:p w14:paraId="27887CCF">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2.1.2 对招标文件所作的澄清、修改，构成招标文件的组成部分。</w:t>
      </w:r>
    </w:p>
    <w:p w14:paraId="3A28DEFA">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2.1.3 投标人同时应认真审阅招标文件中所有的事项、格式、条款和规范要求等，如果投标人的投标文件没有按照招标文件要求递交全部资料或者投标文件没有对招标文件做出实质性响应，其风险应由投标人自行承担。实质上不响应招标文件要求的投标文件视为无效标被拒绝。</w:t>
      </w:r>
    </w:p>
    <w:p w14:paraId="4CFEE520">
      <w:pPr>
        <w:pStyle w:val="5"/>
        <w:wordWrap w:val="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2.2招标文件的澄清</w:t>
      </w:r>
    </w:p>
    <w:p w14:paraId="69A8E154">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2.2.1 投标人应仔细阅读和检查招标文件的全部内容。如发现缺页或附件不全，应及时向采购人提出，以便补齐。如有疑问，应在投标人须知前附表规定的时间前以在线不署名提交，要求采购人对招标文件予以澄清。</w:t>
      </w:r>
    </w:p>
    <w:p w14:paraId="0ED93227">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2.2.2 招标文件的澄清以投标人须知前附表规定的形式发给所有购买招标文件的投标人，但不指明澄清问题的来源。澄清发出的时间距本章第 4.2.1 项规定的投标截止时间不足 15 日的，并且澄清内容可能影响投标文件编制的，将相应延长投标截止时间。</w:t>
      </w:r>
    </w:p>
    <w:p w14:paraId="3D65C574">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2.2.3 投标人在收到澄清通知后，应按投标人须知前附表规定的时间和形式通知采购人，确认已收到该澄清。</w:t>
      </w:r>
    </w:p>
    <w:p w14:paraId="0454D154">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2.2.4 除非采购人认为确有必要答复，否则，采购人有权拒绝回复投标人在本章第2.2.1 项规定的时间后的任何澄清要求。</w:t>
      </w:r>
    </w:p>
    <w:p w14:paraId="44EF435B">
      <w:pPr>
        <w:pStyle w:val="5"/>
        <w:wordWrap w:val="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2.3招标文件的修改</w:t>
      </w:r>
    </w:p>
    <w:p w14:paraId="29F7CA9C">
      <w:pPr>
        <w:wordWrap w:val="0"/>
        <w:spacing w:after="0" w:line="360" w:lineRule="auto"/>
        <w:ind w:firstLine="420" w:firstLineChars="200"/>
        <w:rPr>
          <w:rFonts w:hint="eastAsia" w:ascii="仿宋" w:hAnsi="仿宋" w:eastAsia="仿宋" w:cs="仿宋"/>
          <w:sz w:val="21"/>
          <w:szCs w:val="21"/>
        </w:rPr>
      </w:pPr>
      <w:bookmarkStart w:id="60" w:name="_Toc260907973"/>
      <w:bookmarkStart w:id="61" w:name="_Toc229583203"/>
      <w:bookmarkStart w:id="62" w:name="_Toc260908189"/>
      <w:r>
        <w:rPr>
          <w:rFonts w:hint="eastAsia" w:ascii="仿宋" w:hAnsi="仿宋" w:eastAsia="仿宋" w:cs="仿宋"/>
          <w:sz w:val="21"/>
          <w:szCs w:val="21"/>
        </w:rPr>
        <w:t>2.3.1 采购代理机构对已发出的招标文件进行必要澄清或者修改的，于招标文件要求提交投标文件截止时间 15 日前，在财政部门指定的政府采购信息发布媒体上发布澄清公告。该澄清或者修改的内容为招标文件的组成部分。</w:t>
      </w:r>
    </w:p>
    <w:p w14:paraId="22248044">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2.3.2 采购代理机构和采购单位可以视采购具体情况，延长投标截止时间和开标时间，但至少在招标文件要求提交投标文件的截止时间 3 日前，将变更时间书面通知所有购买招标文件的投标人，并在财政部门指定的政府采购信息发布媒体上发布澄清公告。</w:t>
      </w:r>
    </w:p>
    <w:p w14:paraId="6D597004">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2.3.3 采购人对招标文件中的涉及评标办法、评审项目等重要评审内容做出变更，将同时发布补遗文件进行说明以保证各投标人都能重新下载并用于编制电子投标文件。</w:t>
      </w:r>
    </w:p>
    <w:p w14:paraId="1B2B35F4">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2.3.4 投标人应在投标截止时间前及时登录政府采购云平台（网址：https://www.zcygov.cn/）中查看有关该项目招标文件的答疑、补遗内容。否则，后果自负。</w:t>
      </w:r>
    </w:p>
    <w:p w14:paraId="63C185B7">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2.3.5 招标文件澄清、招标文件修改文件内容均以网上电子文件为准，当招标文件、招标文件澄清、招标文件修改文件内容后前相互矛盾时，以最后发出的为准。</w:t>
      </w:r>
    </w:p>
    <w:p w14:paraId="1233A08A">
      <w:pPr>
        <w:pStyle w:val="4"/>
        <w:wordWrap w:val="0"/>
        <w:spacing w:before="0" w:after="0" w:line="360" w:lineRule="auto"/>
        <w:jc w:val="center"/>
        <w:rPr>
          <w:rFonts w:hint="eastAsia" w:ascii="仿宋" w:hAnsi="仿宋" w:eastAsia="仿宋" w:cs="仿宋"/>
          <w:b w:val="0"/>
          <w:bCs w:val="0"/>
          <w:sz w:val="28"/>
          <w:szCs w:val="30"/>
        </w:rPr>
      </w:pPr>
      <w:r>
        <w:rPr>
          <w:rFonts w:hint="eastAsia" w:ascii="仿宋" w:hAnsi="仿宋" w:eastAsia="仿宋" w:cs="仿宋"/>
          <w:b w:val="0"/>
          <w:bCs w:val="0"/>
          <w:sz w:val="28"/>
          <w:szCs w:val="30"/>
        </w:rPr>
        <w:t>（三）投标文件</w:t>
      </w:r>
      <w:bookmarkEnd w:id="60"/>
      <w:bookmarkEnd w:id="61"/>
      <w:bookmarkEnd w:id="62"/>
    </w:p>
    <w:p w14:paraId="61A2868D">
      <w:pPr>
        <w:pStyle w:val="5"/>
        <w:wordWrap w:val="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3.1 投标文件的组成</w:t>
      </w:r>
    </w:p>
    <w:p w14:paraId="3310C6CF">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投标文件由开标一览表、资格审查部分、投标函部分、报价部分、商务部分、技术部分组成。具体内容及格式详见招标文件第七章。</w:t>
      </w:r>
    </w:p>
    <w:p w14:paraId="25A7C925">
      <w:pPr>
        <w:pStyle w:val="5"/>
        <w:wordWrap w:val="0"/>
        <w:spacing w:before="0" w:after="0" w:line="360" w:lineRule="auto"/>
        <w:rPr>
          <w:rFonts w:hint="eastAsia" w:ascii="仿宋" w:hAnsi="仿宋" w:eastAsia="仿宋" w:cs="仿宋"/>
          <w:sz w:val="24"/>
          <w:szCs w:val="24"/>
        </w:rPr>
      </w:pPr>
      <w:r>
        <w:rPr>
          <w:rFonts w:hint="eastAsia" w:ascii="仿宋" w:hAnsi="仿宋" w:eastAsia="仿宋" w:cs="仿宋"/>
          <w:sz w:val="24"/>
          <w:szCs w:val="24"/>
        </w:rPr>
        <w:t>3.2 投标报价</w:t>
      </w:r>
    </w:p>
    <w:p w14:paraId="30DC5108">
      <w:pPr>
        <w:pStyle w:val="74"/>
        <w:shd w:val="clear" w:color="auto" w:fill="auto"/>
        <w:tabs>
          <w:tab w:val="left" w:pos="320"/>
        </w:tabs>
        <w:spacing w:before="0" w:line="440" w:lineRule="exact"/>
        <w:ind w:firstLine="420" w:firstLineChars="200"/>
        <w:jc w:val="both"/>
        <w:rPr>
          <w:rFonts w:hint="eastAsia" w:ascii="仿宋" w:hAnsi="仿宋" w:eastAsia="仿宋" w:cs="仿宋"/>
          <w:sz w:val="21"/>
          <w:szCs w:val="21"/>
        </w:rPr>
      </w:pPr>
      <w:r>
        <w:rPr>
          <w:rFonts w:hint="eastAsia" w:ascii="仿宋" w:hAnsi="仿宋" w:eastAsia="仿宋" w:cs="仿宋"/>
          <w:sz w:val="21"/>
          <w:szCs w:val="21"/>
        </w:rPr>
        <w:t>3.2.1投标报价详见投标人须知前附表，投标人只能有一个报价，发包单位不接受有任何选择的报价。</w:t>
      </w:r>
    </w:p>
    <w:p w14:paraId="0F1D696A">
      <w:pPr>
        <w:pStyle w:val="74"/>
        <w:shd w:val="clear" w:color="auto" w:fill="auto"/>
        <w:tabs>
          <w:tab w:val="left" w:pos="320"/>
        </w:tabs>
        <w:spacing w:before="0" w:line="440" w:lineRule="exact"/>
        <w:ind w:firstLine="420" w:firstLineChars="200"/>
        <w:jc w:val="both"/>
        <w:rPr>
          <w:rFonts w:hint="eastAsia" w:ascii="仿宋" w:hAnsi="仿宋" w:eastAsia="仿宋" w:cs="仿宋"/>
          <w:sz w:val="21"/>
          <w:szCs w:val="21"/>
        </w:rPr>
      </w:pPr>
      <w:r>
        <w:rPr>
          <w:rFonts w:hint="eastAsia" w:ascii="仿宋" w:hAnsi="仿宋" w:eastAsia="仿宋" w:cs="仿宋"/>
          <w:sz w:val="21"/>
          <w:szCs w:val="21"/>
        </w:rPr>
        <w:t>3.2.2投标报价应包括完成招标文件所确定的委托服务的范围所需的全部费用。</w:t>
      </w:r>
    </w:p>
    <w:p w14:paraId="7661C240">
      <w:pPr>
        <w:pStyle w:val="74"/>
        <w:shd w:val="clear" w:color="auto" w:fill="auto"/>
        <w:tabs>
          <w:tab w:val="left" w:pos="320"/>
        </w:tabs>
        <w:spacing w:before="0" w:line="440" w:lineRule="exact"/>
        <w:ind w:firstLine="420" w:firstLineChars="200"/>
        <w:jc w:val="both"/>
        <w:rPr>
          <w:rFonts w:hint="eastAsia" w:ascii="仿宋" w:hAnsi="仿宋" w:eastAsia="仿宋" w:cs="仿宋"/>
          <w:sz w:val="21"/>
          <w:szCs w:val="21"/>
        </w:rPr>
      </w:pPr>
      <w:r>
        <w:rPr>
          <w:rFonts w:hint="eastAsia" w:ascii="仿宋" w:hAnsi="仿宋" w:eastAsia="仿宋" w:cs="仿宋"/>
          <w:sz w:val="21"/>
          <w:szCs w:val="21"/>
        </w:rPr>
        <w:t>3.2.3投标人在投标报价时应综合考虑，中标后不得提出因为费用偏低提出任何要求。</w:t>
      </w:r>
    </w:p>
    <w:p w14:paraId="1F65FAAD">
      <w:pPr>
        <w:pStyle w:val="74"/>
        <w:shd w:val="clear" w:color="auto" w:fill="auto"/>
        <w:tabs>
          <w:tab w:val="left" w:pos="320"/>
        </w:tabs>
        <w:spacing w:before="0" w:line="440" w:lineRule="exact"/>
        <w:ind w:firstLine="420" w:firstLineChars="200"/>
        <w:jc w:val="both"/>
        <w:rPr>
          <w:rFonts w:hint="eastAsia" w:ascii="仿宋" w:hAnsi="仿宋" w:eastAsia="仿宋" w:cs="仿宋"/>
          <w:sz w:val="21"/>
          <w:szCs w:val="21"/>
        </w:rPr>
      </w:pPr>
      <w:r>
        <w:rPr>
          <w:rFonts w:hint="eastAsia" w:ascii="仿宋" w:hAnsi="仿宋" w:eastAsia="仿宋" w:cs="仿宋"/>
          <w:sz w:val="21"/>
          <w:szCs w:val="21"/>
        </w:rPr>
        <w:t>3.2.4投标人可自行踏勘以充分了解位置、情况、道路及任何其他足以影响报价的情况，任何因忽视或误解导致的索赔或周期延长申请将不被批准。</w:t>
      </w:r>
    </w:p>
    <w:p w14:paraId="264E8834">
      <w:pPr>
        <w:pStyle w:val="74"/>
        <w:shd w:val="clear" w:color="auto" w:fill="auto"/>
        <w:tabs>
          <w:tab w:val="left" w:pos="320"/>
        </w:tabs>
        <w:spacing w:before="0" w:line="440" w:lineRule="exact"/>
        <w:ind w:firstLine="420" w:firstLineChars="200"/>
        <w:jc w:val="both"/>
        <w:rPr>
          <w:rFonts w:hint="eastAsia" w:ascii="仿宋" w:hAnsi="仿宋" w:eastAsia="仿宋" w:cs="仿宋"/>
          <w:sz w:val="21"/>
          <w:szCs w:val="21"/>
        </w:rPr>
      </w:pPr>
      <w:r>
        <w:rPr>
          <w:rFonts w:hint="eastAsia" w:ascii="仿宋" w:hAnsi="仿宋" w:eastAsia="仿宋" w:cs="仿宋"/>
          <w:sz w:val="21"/>
          <w:szCs w:val="21"/>
        </w:rPr>
        <w:t>3.2.5 由投标人支付的所有税费，都应包括在投标报价中，招标人不另行支付</w:t>
      </w:r>
    </w:p>
    <w:p w14:paraId="2DCC0610">
      <w:pPr>
        <w:pStyle w:val="5"/>
        <w:wordWrap w:val="0"/>
        <w:spacing w:before="0" w:after="0" w:line="360" w:lineRule="auto"/>
        <w:rPr>
          <w:rFonts w:hint="eastAsia" w:ascii="仿宋" w:hAnsi="仿宋" w:eastAsia="仿宋" w:cs="仿宋"/>
          <w:sz w:val="21"/>
          <w:szCs w:val="21"/>
        </w:rPr>
      </w:pPr>
      <w:r>
        <w:rPr>
          <w:rFonts w:hint="eastAsia" w:ascii="仿宋" w:hAnsi="仿宋" w:eastAsia="仿宋" w:cs="仿宋"/>
          <w:sz w:val="21"/>
          <w:szCs w:val="21"/>
        </w:rPr>
        <w:t>3.3 投标有效期</w:t>
      </w:r>
    </w:p>
    <w:p w14:paraId="07115F1F">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3.3.1 除投标人须知前附表另有规定外，投标有效期为 90 个日历天。</w:t>
      </w:r>
    </w:p>
    <w:p w14:paraId="407ACA6E">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3.3.2 在投标有效期内，投标人撤销或修改其投标文件的，应承担招标文件和法律规定的责任。</w:t>
      </w:r>
    </w:p>
    <w:p w14:paraId="41B4B135">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3.3.3 出现特殊情况需要延长投标有效期的，采购人以书面形式通知所有投标人延长投标有效期。投标人应予以书面答复，但不得要求或被允许修改其投标文件；投标人拒绝延长的，其投标失效。</w:t>
      </w:r>
    </w:p>
    <w:p w14:paraId="4BFF1086">
      <w:pPr>
        <w:pStyle w:val="5"/>
        <w:wordWrap w:val="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3.4投标文件的编制</w:t>
      </w:r>
    </w:p>
    <w:p w14:paraId="1329CF75">
      <w:pPr>
        <w:wordWrap w:val="0"/>
        <w:spacing w:after="0" w:line="360" w:lineRule="auto"/>
        <w:ind w:left="200" w:leftChars="100" w:firstLine="403" w:firstLineChars="192"/>
        <w:rPr>
          <w:rFonts w:hint="eastAsia" w:ascii="仿宋" w:hAnsi="仿宋" w:eastAsia="仿宋" w:cs="仿宋"/>
          <w:sz w:val="21"/>
          <w:szCs w:val="21"/>
        </w:rPr>
      </w:pPr>
      <w:bookmarkStart w:id="63" w:name="_Toc260908190"/>
      <w:bookmarkStart w:id="64" w:name="_Toc260907974"/>
      <w:bookmarkStart w:id="65" w:name="_Toc229583204"/>
      <w:r>
        <w:rPr>
          <w:rFonts w:hint="eastAsia" w:ascii="仿宋" w:hAnsi="仿宋" w:eastAsia="仿宋" w:cs="仿宋"/>
          <w:sz w:val="21"/>
          <w:szCs w:val="21"/>
        </w:rPr>
        <w:t>3.4.1投标文件全部采用电子文档.</w:t>
      </w:r>
    </w:p>
    <w:p w14:paraId="460868C3">
      <w:pPr>
        <w:wordWrap w:val="0"/>
        <w:spacing w:after="0" w:line="360" w:lineRule="auto"/>
        <w:ind w:left="200" w:leftChars="100" w:firstLine="403" w:firstLineChars="192"/>
        <w:rPr>
          <w:rFonts w:hint="eastAsia" w:ascii="仿宋" w:hAnsi="仿宋" w:eastAsia="仿宋" w:cs="仿宋"/>
          <w:sz w:val="21"/>
          <w:szCs w:val="21"/>
        </w:rPr>
      </w:pPr>
      <w:r>
        <w:rPr>
          <w:rFonts w:hint="eastAsia" w:ascii="仿宋" w:hAnsi="仿宋" w:eastAsia="仿宋" w:cs="仿宋"/>
          <w:sz w:val="21"/>
          <w:szCs w:val="21"/>
        </w:rPr>
        <w:t>3.4.2如投标人提交的电子投标文件不符合要求或开标时无法读取导入或解密，其投标文件将不予受理。</w:t>
      </w:r>
    </w:p>
    <w:p w14:paraId="4BA7CF97">
      <w:pPr>
        <w:wordWrap w:val="0"/>
        <w:spacing w:after="0" w:line="360" w:lineRule="auto"/>
        <w:ind w:left="200" w:leftChars="100" w:firstLine="403" w:firstLineChars="192"/>
        <w:rPr>
          <w:rFonts w:hint="eastAsia" w:ascii="仿宋" w:hAnsi="仿宋" w:eastAsia="仿宋" w:cs="仿宋"/>
          <w:sz w:val="21"/>
          <w:szCs w:val="21"/>
        </w:rPr>
      </w:pPr>
      <w:r>
        <w:rPr>
          <w:rFonts w:hint="eastAsia" w:ascii="仿宋" w:hAnsi="仿宋" w:eastAsia="仿宋" w:cs="仿宋"/>
          <w:sz w:val="21"/>
          <w:szCs w:val="21"/>
        </w:rPr>
        <w:t>3.4.3投标文件中提供的资料（包括扫描件）、关键内容必须清晰可辨，若出现字迹潦草、表达不清、未按要求填写而导致非唯一理解，视为未实质性响应招标文件，投标人投标文件将按无效处理。</w:t>
      </w:r>
    </w:p>
    <w:p w14:paraId="7FD3AA05">
      <w:pPr>
        <w:pStyle w:val="4"/>
        <w:wordWrap w:val="0"/>
        <w:spacing w:before="0" w:after="0" w:line="360" w:lineRule="auto"/>
        <w:jc w:val="center"/>
        <w:rPr>
          <w:rFonts w:hint="eastAsia" w:ascii="仿宋" w:hAnsi="仿宋" w:eastAsia="仿宋" w:cs="仿宋"/>
          <w:b w:val="0"/>
          <w:bCs w:val="0"/>
          <w:sz w:val="28"/>
          <w:szCs w:val="30"/>
        </w:rPr>
      </w:pPr>
      <w:r>
        <w:rPr>
          <w:rFonts w:hint="eastAsia" w:ascii="仿宋" w:hAnsi="仿宋" w:eastAsia="仿宋" w:cs="仿宋"/>
          <w:b w:val="0"/>
          <w:bCs w:val="0"/>
          <w:sz w:val="28"/>
          <w:szCs w:val="30"/>
        </w:rPr>
        <w:t>（四）投标</w:t>
      </w:r>
      <w:bookmarkEnd w:id="63"/>
      <w:bookmarkEnd w:id="64"/>
      <w:bookmarkEnd w:id="65"/>
    </w:p>
    <w:p w14:paraId="762E7DAB">
      <w:pPr>
        <w:pStyle w:val="5"/>
        <w:wordWrap w:val="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4.1投标文件的密封和标识</w:t>
      </w:r>
    </w:p>
    <w:p w14:paraId="70981310">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4.1.1 网上递交的投标文件需要对投标文件进行加密。</w:t>
      </w:r>
    </w:p>
    <w:p w14:paraId="15203617">
      <w:pPr>
        <w:pStyle w:val="5"/>
        <w:wordWrap w:val="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4.2投标文件的递交</w:t>
      </w:r>
    </w:p>
    <w:p w14:paraId="0FC7CBC7">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4.2.1投标文件递交及有关内容：见投标人须知前附表。</w:t>
      </w:r>
    </w:p>
    <w:p w14:paraId="7EE14657">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4.2.2 投标人递交投标文件的时间和地点：见投标人须知前附表。</w:t>
      </w:r>
    </w:p>
    <w:p w14:paraId="23546886">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4.2.3 除投标人须知前附表另有规定外，投标人所递交的投标文件不予退还。</w:t>
      </w:r>
    </w:p>
    <w:p w14:paraId="783AAC53">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4.2.4 采购人或者采购代理机构收到投标文件后，应当如实记载投标文件的送达时间和密封情况，签收保存。</w:t>
      </w:r>
    </w:p>
    <w:p w14:paraId="7DF1EF93">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4.2.5 逾期送达的或者未送达指定地点的投标文件，采购人不予受理。</w:t>
      </w:r>
    </w:p>
    <w:p w14:paraId="4580CB52">
      <w:pPr>
        <w:pStyle w:val="5"/>
        <w:wordWrap w:val="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4.3投标文件的修改与撤回</w:t>
      </w:r>
    </w:p>
    <w:p w14:paraId="7904D86F">
      <w:pPr>
        <w:wordWrap w:val="0"/>
        <w:spacing w:after="0" w:line="360" w:lineRule="auto"/>
        <w:ind w:firstLine="472" w:firstLineChars="225"/>
        <w:rPr>
          <w:rFonts w:hint="eastAsia" w:ascii="仿宋" w:hAnsi="仿宋" w:eastAsia="仿宋" w:cs="仿宋"/>
          <w:sz w:val="24"/>
          <w:szCs w:val="24"/>
        </w:rPr>
      </w:pPr>
      <w:r>
        <w:rPr>
          <w:rFonts w:hint="eastAsia" w:ascii="仿宋" w:hAnsi="仿宋" w:eastAsia="仿宋" w:cs="仿宋"/>
          <w:sz w:val="21"/>
          <w:szCs w:val="21"/>
        </w:rPr>
        <w:t>在投标截止时间前，投标人可以修改或撤回已递交的投标文件，已递交的投标文件，无须以书面形式通知采购人。</w:t>
      </w:r>
    </w:p>
    <w:p w14:paraId="49F01DC0">
      <w:pPr>
        <w:pStyle w:val="4"/>
        <w:wordWrap w:val="0"/>
        <w:spacing w:before="0" w:after="0" w:line="360" w:lineRule="auto"/>
        <w:jc w:val="center"/>
        <w:rPr>
          <w:rFonts w:hint="eastAsia" w:ascii="仿宋" w:hAnsi="仿宋" w:eastAsia="仿宋" w:cs="仿宋"/>
          <w:b w:val="0"/>
          <w:bCs w:val="0"/>
          <w:sz w:val="28"/>
          <w:szCs w:val="30"/>
        </w:rPr>
      </w:pPr>
      <w:bookmarkStart w:id="66" w:name="_Toc260907975"/>
      <w:bookmarkStart w:id="67" w:name="_Toc229583205"/>
      <w:bookmarkStart w:id="68" w:name="_Toc260908191"/>
      <w:r>
        <w:rPr>
          <w:rFonts w:hint="eastAsia" w:ascii="仿宋" w:hAnsi="仿宋" w:eastAsia="仿宋" w:cs="仿宋"/>
          <w:b w:val="0"/>
          <w:bCs w:val="0"/>
          <w:sz w:val="28"/>
          <w:szCs w:val="30"/>
        </w:rPr>
        <w:t>（五）开标</w:t>
      </w:r>
      <w:bookmarkEnd w:id="66"/>
      <w:bookmarkEnd w:id="67"/>
      <w:bookmarkEnd w:id="68"/>
    </w:p>
    <w:p w14:paraId="1BB2194E">
      <w:pPr>
        <w:pStyle w:val="5"/>
        <w:wordWrap w:val="0"/>
        <w:spacing w:before="0" w:after="0" w:line="360" w:lineRule="auto"/>
        <w:ind w:firstLine="480" w:firstLineChars="200"/>
        <w:rPr>
          <w:rFonts w:hint="eastAsia" w:ascii="仿宋" w:hAnsi="仿宋" w:eastAsia="仿宋" w:cs="仿宋"/>
          <w:b w:val="0"/>
          <w:sz w:val="24"/>
          <w:szCs w:val="24"/>
        </w:rPr>
      </w:pPr>
      <w:r>
        <w:rPr>
          <w:rFonts w:hint="eastAsia" w:ascii="仿宋" w:hAnsi="仿宋" w:eastAsia="仿宋" w:cs="仿宋"/>
          <w:b w:val="0"/>
          <w:sz w:val="24"/>
          <w:szCs w:val="24"/>
        </w:rPr>
        <w:t>5.1开标时间和地点</w:t>
      </w:r>
    </w:p>
    <w:p w14:paraId="1A8194EA">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采购人在本章规定的投标截止时间（开标时间）和投标人须知前附表规定的地点开标。</w:t>
      </w:r>
    </w:p>
    <w:p w14:paraId="783A84BC">
      <w:pPr>
        <w:pStyle w:val="5"/>
        <w:wordWrap w:val="0"/>
        <w:spacing w:before="0" w:after="0" w:line="360" w:lineRule="auto"/>
        <w:ind w:firstLine="480" w:firstLineChars="200"/>
        <w:rPr>
          <w:rFonts w:hint="eastAsia" w:ascii="仿宋" w:hAnsi="仿宋" w:eastAsia="仿宋" w:cs="仿宋"/>
          <w:b w:val="0"/>
          <w:sz w:val="24"/>
          <w:szCs w:val="24"/>
        </w:rPr>
      </w:pPr>
      <w:r>
        <w:rPr>
          <w:rFonts w:hint="eastAsia" w:ascii="仿宋" w:hAnsi="仿宋" w:eastAsia="仿宋" w:cs="仿宋"/>
          <w:b w:val="0"/>
          <w:sz w:val="24"/>
          <w:szCs w:val="24"/>
        </w:rPr>
        <w:t>5.2开标程序</w:t>
      </w:r>
    </w:p>
    <w:p w14:paraId="7803152F">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主持人按照下列程序进行开标：</w:t>
      </w:r>
    </w:p>
    <w:p w14:paraId="295093B4">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（1）宣布开标纪律；</w:t>
      </w:r>
    </w:p>
    <w:p w14:paraId="133F1BF6">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（2）公布在投标截止时间前递交投标文件的投标人名称，检验确认投标人代表资格；</w:t>
      </w:r>
    </w:p>
    <w:p w14:paraId="77206F5A">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（3）宣布开标参会人等有关人员姓名；</w:t>
      </w:r>
    </w:p>
    <w:p w14:paraId="325CB85F">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（4）按照投标人须知前附表规定检查投标文件的密封情况；</w:t>
      </w:r>
    </w:p>
    <w:p w14:paraId="2A19E4E9">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（5）电子文件开标顺序：按照交易平台自动提取所有投标人的顺序当众开标；</w:t>
      </w:r>
    </w:p>
    <w:p w14:paraId="3E6F94AA">
      <w:pPr>
        <w:wordWrap w:val="0"/>
        <w:spacing w:after="0" w:line="360" w:lineRule="auto"/>
        <w:ind w:firstLine="472" w:firstLineChars="225"/>
        <w:rPr>
          <w:rFonts w:hint="eastAsia" w:ascii="仿宋" w:hAnsi="仿宋" w:eastAsia="仿宋" w:cs="仿宋"/>
          <w:b/>
          <w:sz w:val="21"/>
          <w:szCs w:val="21"/>
        </w:rPr>
      </w:pPr>
      <w:r>
        <w:rPr>
          <w:rFonts w:hint="eastAsia" w:ascii="仿宋" w:hAnsi="仿宋" w:eastAsia="仿宋" w:cs="仿宋"/>
          <w:sz w:val="21"/>
          <w:szCs w:val="21"/>
        </w:rPr>
        <w:t>（6）采购人或者采购代理机构宣布开启电子投标文件后，由投标人对网上递交已加密的投标文件，提供现场或远程解密。</w:t>
      </w:r>
      <w:r>
        <w:rPr>
          <w:rFonts w:hint="eastAsia" w:ascii="仿宋" w:hAnsi="仿宋" w:eastAsia="仿宋" w:cs="仿宋"/>
          <w:b/>
          <w:sz w:val="21"/>
          <w:szCs w:val="21"/>
        </w:rPr>
        <w:t>因投标人原因造成投标文件未解密的，视为撤回其投标文件；</w:t>
      </w:r>
    </w:p>
    <w:p w14:paraId="59A70550">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（7）投标人代表、采购人代表、监标人、记录人等有关人员在开标记录上签字确认；</w:t>
      </w:r>
    </w:p>
    <w:p w14:paraId="7783B9CE">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（8）开标结束。</w:t>
      </w:r>
    </w:p>
    <w:p w14:paraId="137C1BAF">
      <w:pPr>
        <w:pStyle w:val="5"/>
        <w:wordWrap w:val="0"/>
        <w:spacing w:before="0" w:after="0" w:line="360" w:lineRule="auto"/>
        <w:ind w:firstLine="480" w:firstLineChars="200"/>
        <w:rPr>
          <w:rFonts w:hint="eastAsia" w:ascii="仿宋" w:hAnsi="仿宋" w:eastAsia="仿宋" w:cs="仿宋"/>
          <w:b w:val="0"/>
          <w:sz w:val="24"/>
          <w:szCs w:val="24"/>
        </w:rPr>
      </w:pPr>
      <w:r>
        <w:rPr>
          <w:rFonts w:hint="eastAsia" w:ascii="仿宋" w:hAnsi="仿宋" w:eastAsia="仿宋" w:cs="仿宋"/>
          <w:b w:val="0"/>
          <w:sz w:val="24"/>
          <w:szCs w:val="24"/>
        </w:rPr>
        <w:t>5.3 开标疑义</w:t>
      </w:r>
    </w:p>
    <w:p w14:paraId="1B3EC831">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开标过程应当由采购人或者采购代理机构负责记录，由参加开标的各投标人代表和相关工作人员签字确认后随招标文件一并存档。</w:t>
      </w:r>
    </w:p>
    <w:p w14:paraId="5292BB71">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622DCE5E">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投标人未参加开标的，视同认可开标结果。</w:t>
      </w:r>
    </w:p>
    <w:p w14:paraId="1252D0B5">
      <w:pPr>
        <w:pStyle w:val="5"/>
        <w:wordWrap w:val="0"/>
        <w:spacing w:before="0" w:after="0" w:line="360" w:lineRule="auto"/>
        <w:ind w:firstLine="480" w:firstLineChars="200"/>
        <w:rPr>
          <w:rFonts w:hint="eastAsia" w:ascii="仿宋" w:hAnsi="仿宋" w:eastAsia="仿宋" w:cs="仿宋"/>
          <w:b w:val="0"/>
          <w:sz w:val="24"/>
          <w:szCs w:val="24"/>
        </w:rPr>
      </w:pPr>
      <w:r>
        <w:rPr>
          <w:rFonts w:hint="eastAsia" w:ascii="仿宋" w:hAnsi="仿宋" w:eastAsia="仿宋" w:cs="仿宋"/>
          <w:b w:val="0"/>
          <w:sz w:val="24"/>
          <w:szCs w:val="24"/>
        </w:rPr>
        <w:t>5.4投标文件报价出现前后不一致的，按照下列规定修正：</w:t>
      </w:r>
    </w:p>
    <w:p w14:paraId="0E1D5A17">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（一）投标文件中开标一览表（报价表）内容与投标文件中相应内容不一致的，以开标一览表（报价表）为准；</w:t>
      </w:r>
    </w:p>
    <w:p w14:paraId="1715EFE3">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（二）大写金额和小写金额不一致的，以大写金额为准；</w:t>
      </w:r>
    </w:p>
    <w:p w14:paraId="3FA08E8A">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（三）单价金额小数点或者百分比有明显错位的，以开标一览表的总价为准，并修改单价；</w:t>
      </w:r>
    </w:p>
    <w:p w14:paraId="0D890B05">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（四）总价金额与按单价汇总金额不一致的，以单价金额计算结果为准。</w:t>
      </w:r>
    </w:p>
    <w:p w14:paraId="5D786BD9">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同时出现两种以上不一致的，按照前款规定的顺序修正。修正后的报价按照招标文件规定并经投标人确认后产生约束力，投标人不确认的，其投标无效。</w:t>
      </w:r>
    </w:p>
    <w:p w14:paraId="6FCE440A">
      <w:pPr>
        <w:wordWrap w:val="0"/>
        <w:spacing w:after="0" w:line="360" w:lineRule="auto"/>
        <w:ind w:firstLine="472" w:firstLineChars="225"/>
        <w:rPr>
          <w:rFonts w:hint="eastAsia" w:ascii="仿宋" w:hAnsi="仿宋" w:eastAsia="仿宋" w:cs="仿宋"/>
          <w:sz w:val="21"/>
          <w:szCs w:val="21"/>
        </w:rPr>
      </w:pPr>
    </w:p>
    <w:p w14:paraId="5715162A">
      <w:pPr>
        <w:pStyle w:val="4"/>
        <w:wordWrap w:val="0"/>
        <w:spacing w:before="0" w:after="0" w:line="360" w:lineRule="auto"/>
        <w:jc w:val="center"/>
        <w:rPr>
          <w:rFonts w:hint="eastAsia" w:ascii="仿宋" w:hAnsi="仿宋" w:eastAsia="仿宋" w:cs="仿宋"/>
          <w:b w:val="0"/>
          <w:bCs w:val="0"/>
          <w:sz w:val="28"/>
          <w:szCs w:val="30"/>
        </w:rPr>
      </w:pPr>
      <w:bookmarkStart w:id="69" w:name="_Toc260908192"/>
      <w:bookmarkStart w:id="70" w:name="_Toc260907976"/>
      <w:bookmarkStart w:id="71" w:name="_Toc229583206"/>
      <w:r>
        <w:rPr>
          <w:rFonts w:hint="eastAsia" w:ascii="仿宋" w:hAnsi="仿宋" w:eastAsia="仿宋" w:cs="仿宋"/>
          <w:b w:val="0"/>
          <w:bCs w:val="0"/>
          <w:sz w:val="28"/>
          <w:szCs w:val="30"/>
        </w:rPr>
        <w:t>（六）评标</w:t>
      </w:r>
      <w:bookmarkEnd w:id="69"/>
      <w:bookmarkEnd w:id="70"/>
      <w:bookmarkEnd w:id="71"/>
    </w:p>
    <w:p w14:paraId="5F001DB3">
      <w:pPr>
        <w:wordWrap w:val="0"/>
        <w:spacing w:after="0" w:line="360" w:lineRule="auto"/>
        <w:ind w:firstLine="472" w:firstLineChars="225"/>
        <w:rPr>
          <w:rFonts w:hint="eastAsia" w:ascii="仿宋" w:hAnsi="仿宋" w:eastAsia="仿宋" w:cs="仿宋"/>
          <w:sz w:val="21"/>
          <w:szCs w:val="21"/>
        </w:rPr>
      </w:pPr>
      <w:bookmarkStart w:id="72" w:name="_Toc401342139"/>
      <w:bookmarkStart w:id="73" w:name="_Toc296602451"/>
      <w:bookmarkStart w:id="74" w:name="_Toc378239356"/>
      <w:bookmarkStart w:id="75" w:name="_Toc1045"/>
      <w:bookmarkStart w:id="76" w:name="_Toc378239175"/>
      <w:bookmarkStart w:id="77" w:name="_Toc246996949"/>
      <w:bookmarkStart w:id="78" w:name="_Toc378239083"/>
      <w:bookmarkStart w:id="79" w:name="_Toc144974530"/>
      <w:bookmarkStart w:id="80" w:name="_Toc152042338"/>
      <w:bookmarkStart w:id="81" w:name="_Toc152045562"/>
      <w:bookmarkStart w:id="82" w:name="_Toc179632580"/>
      <w:bookmarkStart w:id="83" w:name="_Toc246996206"/>
      <w:bookmarkStart w:id="84" w:name="_Toc247085720"/>
      <w:bookmarkStart w:id="85" w:name="_Toc480817648"/>
      <w:bookmarkStart w:id="86" w:name="_Toc260908193"/>
      <w:bookmarkStart w:id="87" w:name="_Toc229583207"/>
      <w:bookmarkStart w:id="88" w:name="_Toc260907977"/>
      <w:r>
        <w:rPr>
          <w:rFonts w:hint="eastAsia" w:ascii="仿宋" w:hAnsi="仿宋" w:eastAsia="仿宋" w:cs="仿宋"/>
          <w:sz w:val="21"/>
          <w:szCs w:val="21"/>
        </w:rPr>
        <w:t>6.1</w:t>
      </w:r>
      <w:bookmarkEnd w:id="72"/>
      <w:bookmarkEnd w:id="73"/>
      <w:bookmarkEnd w:id="74"/>
      <w:bookmarkEnd w:id="75"/>
      <w:bookmarkEnd w:id="76"/>
      <w:bookmarkEnd w:id="77"/>
      <w:bookmarkEnd w:id="78"/>
      <w:bookmarkEnd w:id="79"/>
      <w:bookmarkEnd w:id="80"/>
      <w:bookmarkEnd w:id="81"/>
      <w:bookmarkEnd w:id="82"/>
      <w:bookmarkEnd w:id="83"/>
      <w:bookmarkEnd w:id="84"/>
      <w:bookmarkEnd w:id="85"/>
      <w:r>
        <w:rPr>
          <w:rFonts w:hint="eastAsia" w:ascii="仿宋" w:hAnsi="仿宋" w:eastAsia="仿宋" w:cs="仿宋"/>
          <w:sz w:val="21"/>
          <w:szCs w:val="21"/>
        </w:rPr>
        <w:t>开</w:t>
      </w:r>
      <w:bookmarkStart w:id="89" w:name="_Toc247085721"/>
      <w:bookmarkStart w:id="90" w:name="_Toc296602452"/>
      <w:bookmarkStart w:id="91" w:name="_Toc152045563"/>
      <w:bookmarkStart w:id="92" w:name="_Toc179632581"/>
      <w:bookmarkStart w:id="93" w:name="_Toc152042339"/>
      <w:bookmarkStart w:id="94" w:name="_Toc246996207"/>
      <w:bookmarkStart w:id="95" w:name="_Toc144974531"/>
      <w:bookmarkStart w:id="96" w:name="_Toc246996950"/>
      <w:r>
        <w:rPr>
          <w:rFonts w:hint="eastAsia" w:ascii="仿宋" w:hAnsi="仿宋" w:eastAsia="仿宋" w:cs="仿宋"/>
          <w:sz w:val="21"/>
          <w:szCs w:val="21"/>
        </w:rPr>
        <w:t>标结束后，采</w:t>
      </w:r>
      <w:bookmarkEnd w:id="89"/>
      <w:bookmarkEnd w:id="90"/>
      <w:bookmarkEnd w:id="91"/>
      <w:bookmarkEnd w:id="92"/>
      <w:bookmarkEnd w:id="93"/>
      <w:bookmarkEnd w:id="94"/>
      <w:bookmarkEnd w:id="95"/>
      <w:bookmarkEnd w:id="96"/>
      <w:r>
        <w:rPr>
          <w:rFonts w:hint="eastAsia" w:ascii="仿宋" w:hAnsi="仿宋" w:eastAsia="仿宋" w:cs="仿宋"/>
          <w:sz w:val="21"/>
          <w:szCs w:val="21"/>
        </w:rPr>
        <w:t>购人或者采购代理机构将根据招标文件规定，依法对投标人的资格进行审查。合格投标人不足3家的，不得评标。</w:t>
      </w:r>
    </w:p>
    <w:p w14:paraId="22805111">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6.2评标委员会由采购人代表和评审专家组成，成员人数为5人以上单数，其中评审专家不得少于成员总数的三分之二。评标委员会应当推选组长，但采购人代表不得担任组长。</w:t>
      </w:r>
    </w:p>
    <w:p w14:paraId="2FB2C860">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6.3采购人委派代表参加评标委员会的，要向采购代理机构出具授权函。除授权代表外，采购人可以委派纪检监察等相关人员进入评审现场，对评审工作实施监督，但不得超过2人。</w:t>
      </w:r>
    </w:p>
    <w:p w14:paraId="78BDE47C">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6.4评标活动遵循公平</w:t>
      </w:r>
      <w:bookmarkStart w:id="97" w:name="_Toc152045565"/>
      <w:bookmarkStart w:id="98" w:name="_Toc179632583"/>
      <w:bookmarkStart w:id="99" w:name="_Toc247085723"/>
      <w:bookmarkStart w:id="100" w:name="_Toc152042341"/>
      <w:bookmarkStart w:id="101" w:name="_Toc246996952"/>
      <w:bookmarkStart w:id="102" w:name="_Toc144974533"/>
      <w:bookmarkStart w:id="103" w:name="_Toc296602454"/>
      <w:bookmarkStart w:id="104" w:name="_Toc246996209"/>
      <w:r>
        <w:rPr>
          <w:rFonts w:hint="eastAsia" w:ascii="仿宋" w:hAnsi="仿宋" w:eastAsia="仿宋" w:cs="仿宋"/>
          <w:sz w:val="21"/>
          <w:szCs w:val="21"/>
        </w:rPr>
        <w:t>、公正、科学和择优的原则。</w:t>
      </w:r>
    </w:p>
    <w:p w14:paraId="27F3728B">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6.5评标委员会各成员</w:t>
      </w:r>
      <w:bookmarkEnd w:id="97"/>
      <w:bookmarkEnd w:id="98"/>
      <w:bookmarkEnd w:id="99"/>
      <w:bookmarkEnd w:id="100"/>
      <w:bookmarkEnd w:id="101"/>
      <w:bookmarkEnd w:id="102"/>
      <w:bookmarkEnd w:id="103"/>
      <w:bookmarkEnd w:id="104"/>
      <w:r>
        <w:rPr>
          <w:rFonts w:hint="eastAsia" w:ascii="仿宋" w:hAnsi="仿宋" w:eastAsia="仿宋" w:cs="仿宋"/>
          <w:sz w:val="21"/>
          <w:szCs w:val="21"/>
        </w:rPr>
        <w:t>根据政府采购法律法规按照招标文件规定的评标方法和标准，独立对符合性审查合格的投标文件进行商务和技术评估，综合比较与评价，并汇总每个投标人的得分。招标文件中没有规定的方法、评审因素和标准，不作为评标依据。</w:t>
      </w:r>
    </w:p>
    <w:p w14:paraId="417DFDF6">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6.6评标过程的保密</w:t>
      </w:r>
    </w:p>
    <w:p w14:paraId="19849A70">
      <w:pPr>
        <w:wordWrap w:val="0"/>
        <w:spacing w:after="0" w:line="360" w:lineRule="auto"/>
        <w:ind w:firstLine="472" w:firstLineChars="225"/>
        <w:rPr>
          <w:rFonts w:hint="eastAsia" w:ascii="仿宋" w:hAnsi="仿宋" w:eastAsia="仿宋" w:cs="仿宋"/>
          <w:sz w:val="21"/>
          <w:szCs w:val="21"/>
        </w:rPr>
      </w:pPr>
      <w:bookmarkStart w:id="105" w:name="_Toc417913976"/>
      <w:r>
        <w:rPr>
          <w:rFonts w:hint="eastAsia" w:ascii="仿宋" w:hAnsi="仿宋" w:eastAsia="仿宋" w:cs="仿宋"/>
          <w:sz w:val="21"/>
          <w:szCs w:val="21"/>
        </w:rPr>
        <w:t>6.6.1评标在严格</w:t>
      </w:r>
      <w:bookmarkEnd w:id="105"/>
      <w:r>
        <w:rPr>
          <w:rFonts w:hint="eastAsia" w:ascii="仿宋" w:hAnsi="仿宋" w:eastAsia="仿宋" w:cs="仿宋"/>
          <w:sz w:val="21"/>
          <w:szCs w:val="21"/>
        </w:rPr>
        <w:t>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0F258CE3">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6.6.2任何单位和个人不得非法干预、影响评审工作。采购人、采购代理机构和评审委员会在评审工作中，依法相互监督和制约，并自觉接受财政部门的监督。对非法干预评审工作等违法违规行为，将及时向财政部门报告。</w:t>
      </w:r>
    </w:p>
    <w:p w14:paraId="2E9A9DE8">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6.7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7CA8A505">
      <w:pPr>
        <w:pStyle w:val="4"/>
        <w:wordWrap w:val="0"/>
        <w:spacing w:before="0" w:after="0" w:line="360" w:lineRule="auto"/>
        <w:jc w:val="center"/>
        <w:rPr>
          <w:rFonts w:hint="eastAsia" w:ascii="仿宋" w:hAnsi="仿宋" w:eastAsia="仿宋" w:cs="仿宋"/>
          <w:b w:val="0"/>
          <w:bCs w:val="0"/>
          <w:sz w:val="28"/>
          <w:szCs w:val="30"/>
        </w:rPr>
      </w:pPr>
      <w:r>
        <w:rPr>
          <w:rFonts w:hint="eastAsia" w:ascii="仿宋" w:hAnsi="仿宋" w:eastAsia="仿宋" w:cs="仿宋"/>
          <w:b w:val="0"/>
          <w:bCs w:val="0"/>
          <w:sz w:val="28"/>
          <w:szCs w:val="30"/>
        </w:rPr>
        <w:t>（七）</w:t>
      </w:r>
      <w:bookmarkEnd w:id="86"/>
      <w:bookmarkEnd w:id="87"/>
      <w:bookmarkEnd w:id="88"/>
      <w:r>
        <w:rPr>
          <w:rFonts w:hint="eastAsia" w:ascii="仿宋" w:hAnsi="仿宋" w:eastAsia="仿宋" w:cs="仿宋"/>
          <w:b w:val="0"/>
          <w:bCs w:val="0"/>
          <w:sz w:val="28"/>
          <w:szCs w:val="30"/>
        </w:rPr>
        <w:t>中标及合同</w:t>
      </w:r>
    </w:p>
    <w:p w14:paraId="6CCFA58D">
      <w:pPr>
        <w:pStyle w:val="5"/>
        <w:wordWrap w:val="0"/>
        <w:spacing w:before="0" w:after="0" w:line="360" w:lineRule="auto"/>
        <w:ind w:firstLine="480" w:firstLineChars="200"/>
        <w:rPr>
          <w:rFonts w:hint="eastAsia" w:ascii="仿宋" w:hAnsi="仿宋" w:eastAsia="仿宋" w:cs="仿宋"/>
          <w:b w:val="0"/>
          <w:sz w:val="24"/>
          <w:szCs w:val="24"/>
        </w:rPr>
      </w:pPr>
      <w:r>
        <w:rPr>
          <w:rFonts w:hint="eastAsia" w:ascii="仿宋" w:hAnsi="仿宋" w:eastAsia="仿宋" w:cs="仿宋"/>
          <w:b w:val="0"/>
          <w:sz w:val="24"/>
          <w:szCs w:val="24"/>
        </w:rPr>
        <w:t>7.1定标方式</w:t>
      </w:r>
    </w:p>
    <w:p w14:paraId="750F126C">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按照投标人须知前附表的规定，采购人或采购人授权的评标委员会依法确定中标人。</w:t>
      </w:r>
    </w:p>
    <w:p w14:paraId="5E42B158">
      <w:pPr>
        <w:pStyle w:val="5"/>
        <w:wordWrap w:val="0"/>
        <w:spacing w:before="0" w:after="0" w:line="360" w:lineRule="auto"/>
        <w:ind w:firstLine="480" w:firstLineChars="200"/>
        <w:rPr>
          <w:rFonts w:hint="eastAsia" w:ascii="仿宋" w:hAnsi="仿宋" w:eastAsia="仿宋" w:cs="仿宋"/>
          <w:b w:val="0"/>
          <w:sz w:val="24"/>
          <w:szCs w:val="24"/>
        </w:rPr>
      </w:pPr>
      <w:r>
        <w:rPr>
          <w:rFonts w:hint="eastAsia" w:ascii="仿宋" w:hAnsi="仿宋" w:eastAsia="仿宋" w:cs="仿宋"/>
          <w:b w:val="0"/>
          <w:sz w:val="24"/>
          <w:szCs w:val="24"/>
        </w:rPr>
        <w:t>7.2中标公告</w:t>
      </w:r>
    </w:p>
    <w:p w14:paraId="3F9A5D67">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采购人或者采购代理机构应当自中标人确定之日起2个工作日内，按照投标人须知前附表规定的省级以上财政部门指定的媒介和期限公告中标结果，招标文件应当随中标结果同时公告。</w:t>
      </w:r>
    </w:p>
    <w:p w14:paraId="1FFE097E">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中标公告期限详见投标人须知前附表。</w:t>
      </w:r>
    </w:p>
    <w:p w14:paraId="6FBEEEC7">
      <w:pPr>
        <w:pStyle w:val="5"/>
        <w:wordWrap w:val="0"/>
        <w:spacing w:before="0" w:after="0" w:line="360" w:lineRule="auto"/>
        <w:ind w:firstLine="480" w:firstLineChars="200"/>
        <w:rPr>
          <w:rFonts w:hint="eastAsia" w:ascii="仿宋" w:hAnsi="仿宋" w:eastAsia="仿宋" w:cs="仿宋"/>
          <w:b w:val="0"/>
          <w:sz w:val="24"/>
          <w:szCs w:val="24"/>
        </w:rPr>
      </w:pPr>
      <w:r>
        <w:rPr>
          <w:rFonts w:hint="eastAsia" w:ascii="仿宋" w:hAnsi="仿宋" w:eastAsia="仿宋" w:cs="仿宋"/>
          <w:b w:val="0"/>
          <w:sz w:val="24"/>
          <w:szCs w:val="24"/>
        </w:rPr>
        <w:t>7.3中标通知</w:t>
      </w:r>
    </w:p>
    <w:p w14:paraId="0ADB377D">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在本章第 3.3 款规定的投标有效期内，在公告中标结果的同时，采购人或者采购代理机构应当向中标人发出中标通知书；对未通过资格审查的投标人，应当告知其未通过的原因。同时应当告知未中标人本人的评审得分与排序。</w:t>
      </w:r>
    </w:p>
    <w:p w14:paraId="16EC7F2B">
      <w:pPr>
        <w:pStyle w:val="5"/>
        <w:wordWrap w:val="0"/>
        <w:spacing w:before="0" w:after="0" w:line="360" w:lineRule="auto"/>
        <w:ind w:firstLine="480" w:firstLineChars="200"/>
        <w:rPr>
          <w:rFonts w:hint="eastAsia" w:ascii="仿宋" w:hAnsi="仿宋" w:eastAsia="仿宋" w:cs="仿宋"/>
          <w:b w:val="0"/>
          <w:sz w:val="24"/>
          <w:szCs w:val="24"/>
          <w:highlight w:val="none"/>
        </w:rPr>
      </w:pPr>
      <w:r>
        <w:rPr>
          <w:rFonts w:hint="eastAsia" w:ascii="仿宋" w:hAnsi="仿宋" w:eastAsia="仿宋" w:cs="仿宋"/>
          <w:b w:val="0"/>
          <w:sz w:val="24"/>
          <w:szCs w:val="24"/>
          <w:highlight w:val="none"/>
        </w:rPr>
        <w:t>7.4履约保证金</w:t>
      </w:r>
    </w:p>
    <w:p w14:paraId="09D75669">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详见须知前附表</w:t>
      </w:r>
    </w:p>
    <w:p w14:paraId="251AC00E">
      <w:pPr>
        <w:pStyle w:val="5"/>
        <w:wordWrap w:val="0"/>
        <w:spacing w:before="0" w:after="0" w:line="360" w:lineRule="auto"/>
        <w:ind w:firstLine="480" w:firstLineChars="200"/>
        <w:rPr>
          <w:rFonts w:hint="eastAsia" w:ascii="仿宋" w:hAnsi="仿宋" w:eastAsia="仿宋" w:cs="仿宋"/>
          <w:b w:val="0"/>
          <w:sz w:val="24"/>
          <w:szCs w:val="24"/>
        </w:rPr>
      </w:pPr>
      <w:r>
        <w:rPr>
          <w:rFonts w:hint="eastAsia" w:ascii="仿宋" w:hAnsi="仿宋" w:eastAsia="仿宋" w:cs="仿宋"/>
          <w:b w:val="0"/>
          <w:sz w:val="24"/>
          <w:szCs w:val="24"/>
        </w:rPr>
        <w:t>7.5签订合同</w:t>
      </w:r>
    </w:p>
    <w:p w14:paraId="0E469E9F">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7.5.1 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64002D1">
      <w:pPr>
        <w:wordWrap w:val="0"/>
        <w:spacing w:after="0" w:line="360" w:lineRule="auto"/>
        <w:ind w:firstLine="472" w:firstLineChars="225"/>
        <w:rPr>
          <w:rFonts w:hint="eastAsia" w:ascii="仿宋" w:hAnsi="仿宋" w:eastAsia="仿宋" w:cs="仿宋"/>
          <w:b/>
          <w:sz w:val="24"/>
          <w:szCs w:val="24"/>
          <w:u w:val="single"/>
        </w:rPr>
      </w:pPr>
      <w:r>
        <w:rPr>
          <w:rFonts w:hint="eastAsia" w:ascii="仿宋" w:hAnsi="仿宋" w:eastAsia="仿宋" w:cs="仿宋"/>
          <w:sz w:val="21"/>
          <w:szCs w:val="21"/>
        </w:rPr>
        <w:t>7.5.2 中标通知书发出后，采购人不得违法改变中标结果，中标人无正当理由不得放弃中标。</w:t>
      </w:r>
    </w:p>
    <w:p w14:paraId="20B8E997">
      <w:pPr>
        <w:pStyle w:val="4"/>
        <w:wordWrap w:val="0"/>
        <w:spacing w:before="0" w:after="0" w:line="360" w:lineRule="auto"/>
        <w:jc w:val="center"/>
        <w:rPr>
          <w:rFonts w:hint="eastAsia" w:ascii="仿宋" w:hAnsi="仿宋" w:eastAsia="仿宋" w:cs="仿宋"/>
          <w:b w:val="0"/>
          <w:bCs w:val="0"/>
          <w:sz w:val="28"/>
          <w:szCs w:val="30"/>
        </w:rPr>
      </w:pPr>
      <w:bookmarkStart w:id="106" w:name="_Toc260908194"/>
      <w:bookmarkStart w:id="107" w:name="_Toc260907978"/>
      <w:r>
        <w:rPr>
          <w:rFonts w:hint="eastAsia" w:ascii="仿宋" w:hAnsi="仿宋" w:eastAsia="仿宋" w:cs="仿宋"/>
          <w:b w:val="0"/>
          <w:bCs w:val="0"/>
          <w:sz w:val="28"/>
          <w:szCs w:val="30"/>
        </w:rPr>
        <w:t>（八）重新招标</w:t>
      </w:r>
      <w:bookmarkEnd w:id="106"/>
      <w:bookmarkEnd w:id="107"/>
    </w:p>
    <w:p w14:paraId="70E5FB47">
      <w:pPr>
        <w:pStyle w:val="5"/>
        <w:wordWrap w:val="0"/>
        <w:spacing w:before="0" w:after="0" w:line="360" w:lineRule="auto"/>
        <w:ind w:firstLine="480" w:firstLineChars="200"/>
        <w:rPr>
          <w:rFonts w:hint="eastAsia" w:ascii="仿宋" w:hAnsi="仿宋" w:eastAsia="仿宋" w:cs="仿宋"/>
          <w:b w:val="0"/>
          <w:sz w:val="24"/>
          <w:szCs w:val="24"/>
        </w:rPr>
      </w:pPr>
      <w:r>
        <w:rPr>
          <w:rFonts w:hint="eastAsia" w:ascii="仿宋" w:hAnsi="仿宋" w:eastAsia="仿宋" w:cs="仿宋"/>
          <w:b w:val="0"/>
          <w:sz w:val="24"/>
          <w:szCs w:val="24"/>
        </w:rPr>
        <w:t>8.1 重新招标</w:t>
      </w:r>
    </w:p>
    <w:p w14:paraId="41E5C030">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有下列情形之一的，采购人将重新招标：</w:t>
      </w:r>
    </w:p>
    <w:p w14:paraId="260AD2C5">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（1）符合专业条件的投标人或者对招标文件作实质响应的投标人不足三家的；</w:t>
      </w:r>
    </w:p>
    <w:p w14:paraId="0844A789">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（2）出现影响采购公正的违法、违规行为的；</w:t>
      </w:r>
    </w:p>
    <w:p w14:paraId="4CDBEFB0">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（3）投标人的报价均超过了采购预算（上限价），采购人不能支付的。</w:t>
      </w:r>
    </w:p>
    <w:p w14:paraId="2C870044">
      <w:pPr>
        <w:pStyle w:val="4"/>
        <w:wordWrap w:val="0"/>
        <w:spacing w:before="0" w:after="0" w:line="360" w:lineRule="auto"/>
        <w:jc w:val="center"/>
        <w:rPr>
          <w:rFonts w:hint="eastAsia" w:ascii="仿宋" w:hAnsi="仿宋" w:eastAsia="仿宋" w:cs="仿宋"/>
          <w:b w:val="0"/>
          <w:bCs w:val="0"/>
          <w:sz w:val="28"/>
          <w:szCs w:val="30"/>
        </w:rPr>
      </w:pPr>
      <w:bookmarkStart w:id="108" w:name="_Toc184635079"/>
      <w:bookmarkStart w:id="109" w:name="_Toc260908195"/>
      <w:bookmarkStart w:id="110" w:name="_Toc260907979"/>
      <w:r>
        <w:rPr>
          <w:rFonts w:hint="eastAsia" w:ascii="仿宋" w:hAnsi="仿宋" w:eastAsia="仿宋" w:cs="仿宋"/>
          <w:b w:val="0"/>
          <w:bCs w:val="0"/>
          <w:sz w:val="28"/>
          <w:szCs w:val="30"/>
        </w:rPr>
        <w:t>（九）纪律和监督</w:t>
      </w:r>
      <w:bookmarkEnd w:id="108"/>
      <w:bookmarkEnd w:id="109"/>
      <w:bookmarkEnd w:id="110"/>
    </w:p>
    <w:p w14:paraId="5221F590">
      <w:pPr>
        <w:pStyle w:val="5"/>
        <w:wordWrap w:val="0"/>
        <w:spacing w:before="0" w:after="0" w:line="360" w:lineRule="auto"/>
        <w:ind w:firstLine="480" w:firstLineChars="200"/>
        <w:rPr>
          <w:rFonts w:hint="eastAsia" w:ascii="仿宋" w:hAnsi="仿宋" w:eastAsia="仿宋" w:cs="仿宋"/>
          <w:b w:val="0"/>
          <w:sz w:val="24"/>
          <w:szCs w:val="24"/>
        </w:rPr>
      </w:pPr>
      <w:r>
        <w:rPr>
          <w:rFonts w:hint="eastAsia" w:ascii="仿宋" w:hAnsi="仿宋" w:eastAsia="仿宋" w:cs="仿宋"/>
          <w:b w:val="0"/>
          <w:sz w:val="24"/>
          <w:szCs w:val="24"/>
        </w:rPr>
        <w:t>9.1 对采购人的纪律要求</w:t>
      </w:r>
    </w:p>
    <w:p w14:paraId="7BD66C60">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采购人不得泄漏招标投标活动中应当保密的情况和资料，不得与投标人串通损害国有利益、社会公共利益或者他人合法权益。</w:t>
      </w:r>
    </w:p>
    <w:p w14:paraId="6C08A19F">
      <w:pPr>
        <w:pStyle w:val="5"/>
        <w:wordWrap w:val="0"/>
        <w:spacing w:before="0" w:after="0" w:line="360" w:lineRule="auto"/>
        <w:ind w:firstLine="480" w:firstLineChars="200"/>
        <w:rPr>
          <w:rFonts w:hint="eastAsia" w:ascii="仿宋" w:hAnsi="仿宋" w:eastAsia="仿宋" w:cs="仿宋"/>
          <w:b w:val="0"/>
          <w:sz w:val="24"/>
          <w:szCs w:val="24"/>
        </w:rPr>
      </w:pPr>
      <w:r>
        <w:rPr>
          <w:rFonts w:hint="eastAsia" w:ascii="仿宋" w:hAnsi="仿宋" w:eastAsia="仿宋" w:cs="仿宋"/>
          <w:b w:val="0"/>
          <w:sz w:val="24"/>
          <w:szCs w:val="24"/>
        </w:rPr>
        <w:t>9.2 对投标人的纪律要求</w:t>
      </w:r>
    </w:p>
    <w:p w14:paraId="222D4F9E">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3F5427CE">
      <w:pPr>
        <w:pStyle w:val="5"/>
        <w:wordWrap w:val="0"/>
        <w:spacing w:before="0" w:after="0" w:line="360" w:lineRule="auto"/>
        <w:ind w:firstLine="480" w:firstLineChars="200"/>
        <w:rPr>
          <w:rFonts w:hint="eastAsia" w:ascii="仿宋" w:hAnsi="仿宋" w:eastAsia="仿宋" w:cs="仿宋"/>
          <w:b w:val="0"/>
          <w:sz w:val="24"/>
          <w:szCs w:val="24"/>
        </w:rPr>
      </w:pPr>
      <w:r>
        <w:rPr>
          <w:rFonts w:hint="eastAsia" w:ascii="仿宋" w:hAnsi="仿宋" w:eastAsia="仿宋" w:cs="仿宋"/>
          <w:b w:val="0"/>
          <w:sz w:val="24"/>
          <w:szCs w:val="24"/>
        </w:rPr>
        <w:t>9.3 对评标委员会成员的纪律要求</w:t>
      </w:r>
    </w:p>
    <w:p w14:paraId="1A87E7A6">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评标委员会成员不得收受他人的财物或者其他好处，不得向他人透漏对投标文件的评审和比较、入围候选人的推荐情况以及评标有关的其他情况。在评标活动中，评标委员会成员不得擅离职守，影响评标程序正常进行，不得使用第三章“评标办法”没有规定的评审因素和标准进行评标。</w:t>
      </w:r>
    </w:p>
    <w:p w14:paraId="6ACE8EAA">
      <w:pPr>
        <w:pStyle w:val="5"/>
        <w:wordWrap w:val="0"/>
        <w:spacing w:before="0" w:after="0" w:line="360" w:lineRule="auto"/>
        <w:ind w:firstLine="480" w:firstLineChars="200"/>
        <w:rPr>
          <w:rFonts w:hint="eastAsia" w:ascii="仿宋" w:hAnsi="仿宋" w:eastAsia="仿宋" w:cs="仿宋"/>
          <w:b w:val="0"/>
          <w:sz w:val="24"/>
          <w:szCs w:val="24"/>
        </w:rPr>
      </w:pPr>
      <w:r>
        <w:rPr>
          <w:rFonts w:hint="eastAsia" w:ascii="仿宋" w:hAnsi="仿宋" w:eastAsia="仿宋" w:cs="仿宋"/>
          <w:b w:val="0"/>
          <w:sz w:val="24"/>
          <w:szCs w:val="24"/>
        </w:rPr>
        <w:t>9.4 对与评标活动有关的工作人员的纪律要求</w:t>
      </w:r>
    </w:p>
    <w:p w14:paraId="1143F4EA">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与评标活动有关的工作人员不得收受他人的财物或者其他好处，不得向他人透漏对投标文件的评审和比较、入围候选人的推荐情况以及评标有关的其他情况。在评标活动中，与评标活动有关的工作人员不得擅离职守，影响评标程序正常进行。</w:t>
      </w:r>
    </w:p>
    <w:p w14:paraId="771770DF">
      <w:pPr>
        <w:pStyle w:val="5"/>
        <w:wordWrap w:val="0"/>
        <w:spacing w:before="0" w:after="0" w:line="360" w:lineRule="auto"/>
        <w:ind w:firstLine="480" w:firstLineChars="200"/>
        <w:rPr>
          <w:rFonts w:hint="eastAsia" w:ascii="仿宋" w:hAnsi="仿宋" w:eastAsia="仿宋" w:cs="仿宋"/>
          <w:b w:val="0"/>
          <w:sz w:val="24"/>
          <w:szCs w:val="24"/>
        </w:rPr>
      </w:pPr>
      <w:r>
        <w:rPr>
          <w:rFonts w:hint="eastAsia" w:ascii="仿宋" w:hAnsi="仿宋" w:eastAsia="仿宋" w:cs="仿宋"/>
          <w:b w:val="0"/>
          <w:sz w:val="24"/>
          <w:szCs w:val="24"/>
        </w:rPr>
        <w:t>9.5 质疑和投诉</w:t>
      </w:r>
    </w:p>
    <w:p w14:paraId="5952203C">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9.5.1 质疑期限</w:t>
      </w:r>
    </w:p>
    <w:p w14:paraId="3EAB7623">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潜在投标人已依法获取其可质疑的招标文件的，可以对该文件提出质疑。对招标文件提出质疑的，应当在获取招标文件或者招标文件公告期限届满之日起 7 个工作日内提出。</w:t>
      </w:r>
    </w:p>
    <w:p w14:paraId="52DFFC79">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投标人认为招标文件、招标过程、中标结果使自己的权益受到损害的，可以在知道或者应知其权益受到损害之日起 7 个工作日内，以书面形式向采购人、采购代理机构提出质疑。</w:t>
      </w:r>
    </w:p>
    <w:p w14:paraId="75E58D0A">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9.5.2 质疑主体</w:t>
      </w:r>
    </w:p>
    <w:p w14:paraId="0260A5BC">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提出质疑的投标人应当是参与所质疑项目采购活动的投标人。</w:t>
      </w:r>
    </w:p>
    <w:p w14:paraId="50C2BC64">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9.5.3 质疑函</w:t>
      </w:r>
    </w:p>
    <w:p w14:paraId="59C230C7">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投标人应在法定质疑期内一次性提出针对同一采购程序环节的质疑。投标人提出质疑应当提交质疑函和必要的证明材料，质疑函应当使用中文。</w:t>
      </w:r>
    </w:p>
    <w:p w14:paraId="09D63B15">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质疑函应当包括下列内容：（一）投标人的姓名或者名称、地址、邮编、联系人及联系电话；（二）质疑项目的名称、编号；（三）具体、明确的质疑事项和与质疑事项相关的请求；（四）事实依据；（五）必要的法律依据；（六）提出质疑的日期。</w:t>
      </w:r>
    </w:p>
    <w:p w14:paraId="7AA5409C">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投标人为自然人的，应当由本人签字；投标人为法人或者其他组织的，应当由法定代表人、主要负责人，或者其授权代表签字或者盖章，并加盖公章。(本招标文件中的公章是指经工商部门和公安部门登记备案的具有法律效力的行政法人公章。不包括“合同专用章”或“投标专用章”等投标人内部使用的业务章，下同)</w:t>
      </w:r>
    </w:p>
    <w:p w14:paraId="30AC926A">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14:paraId="6779BC28">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代理人提出质疑和投诉，应当提交投标人签署的授权委托书。</w:t>
      </w:r>
    </w:p>
    <w:p w14:paraId="44342798">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9.5.4 质疑函的递交</w:t>
      </w:r>
    </w:p>
    <w:p w14:paraId="1FDFBCA0">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质疑函采取现场书面递交形式。由法定代表人持本人身份证原件或授权委托代理人持本人身份证原件及授权委托书原件，同时携带质疑函(原件)和加盖单位公章的相关依据和证明材料，送至采购代理机构。</w:t>
      </w:r>
    </w:p>
    <w:p w14:paraId="655407C3">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9.5.5 质疑回复</w:t>
      </w:r>
    </w:p>
    <w:p w14:paraId="63BAA22C">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采购人或者招标代理机构应在收到质疑函后 7 个工作日内作出答复，并以书面形式通知质疑投标人和其他有关投标人，质疑答复的内容不得涉及商业秘密。</w:t>
      </w:r>
    </w:p>
    <w:p w14:paraId="09EC6620">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9.5.2 投诉</w:t>
      </w:r>
    </w:p>
    <w:p w14:paraId="4D16A1EE">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质疑投标人对采购人、采购代理机构的答复不满意，或者采购人、采购代理机构未在规定时间内作出答复的，可以在答复期满后 15 个工作日内向同级政府采购监督管理部门投诉。</w:t>
      </w:r>
    </w:p>
    <w:p w14:paraId="784F0C29">
      <w:pPr>
        <w:pStyle w:val="4"/>
        <w:wordWrap w:val="0"/>
        <w:spacing w:before="0" w:after="0" w:line="360" w:lineRule="auto"/>
        <w:jc w:val="center"/>
        <w:rPr>
          <w:rFonts w:hint="eastAsia" w:ascii="仿宋" w:hAnsi="仿宋" w:eastAsia="仿宋" w:cs="仿宋"/>
          <w:b w:val="0"/>
          <w:bCs w:val="0"/>
          <w:sz w:val="28"/>
          <w:szCs w:val="30"/>
        </w:rPr>
      </w:pPr>
      <w:bookmarkStart w:id="111" w:name="_Toc260907981"/>
      <w:bookmarkStart w:id="112" w:name="_Toc260908197"/>
      <w:bookmarkStart w:id="113" w:name="_Toc184635080"/>
      <w:r>
        <w:rPr>
          <w:rFonts w:hint="eastAsia" w:ascii="仿宋" w:hAnsi="仿宋" w:eastAsia="仿宋" w:cs="仿宋"/>
          <w:b w:val="0"/>
          <w:bCs w:val="0"/>
          <w:sz w:val="28"/>
          <w:szCs w:val="30"/>
        </w:rPr>
        <w:t>（十）需要补充的其他内容</w:t>
      </w:r>
      <w:bookmarkEnd w:id="111"/>
      <w:bookmarkEnd w:id="112"/>
      <w:bookmarkEnd w:id="113"/>
    </w:p>
    <w:p w14:paraId="0B9285E5">
      <w:pPr>
        <w:wordWrap w:val="0"/>
        <w:spacing w:after="0" w:line="360" w:lineRule="auto"/>
        <w:ind w:firstLine="420" w:firstLineChars="200"/>
        <w:rPr>
          <w:rFonts w:hint="eastAsia" w:ascii="仿宋" w:hAnsi="仿宋" w:eastAsia="仿宋" w:cs="仿宋"/>
          <w:sz w:val="21"/>
          <w:szCs w:val="21"/>
        </w:rPr>
      </w:pPr>
      <w:bookmarkStart w:id="114" w:name="_Toc528186485"/>
      <w:bookmarkStart w:id="115" w:name="_Toc489197841"/>
      <w:bookmarkStart w:id="116" w:name="_Toc489145737"/>
      <w:bookmarkStart w:id="117" w:name="_Toc12244"/>
      <w:r>
        <w:rPr>
          <w:rFonts w:hint="eastAsia" w:ascii="仿宋" w:hAnsi="仿宋" w:eastAsia="仿宋" w:cs="仿宋"/>
          <w:sz w:val="21"/>
          <w:szCs w:val="21"/>
        </w:rPr>
        <w:t>10.1相同品牌产品：/。</w:t>
      </w:r>
    </w:p>
    <w:p w14:paraId="0F27658E">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10.2核心产品:核心产品。</w:t>
      </w:r>
    </w:p>
    <w:p w14:paraId="756FB75F">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10.3在招标采购中，出现下列情形之一的，应予废标：</w:t>
      </w:r>
      <w:bookmarkEnd w:id="114"/>
      <w:bookmarkEnd w:id="115"/>
      <w:bookmarkEnd w:id="116"/>
      <w:bookmarkEnd w:id="117"/>
    </w:p>
    <w:p w14:paraId="59DABFF4">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（一）符合专业条件的投标人或者对招标文件作实质响应的投标人不足三家的；</w:t>
      </w:r>
    </w:p>
    <w:p w14:paraId="3802EB01">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（二）出现影响采购公正的违法、违规行为的；</w:t>
      </w:r>
    </w:p>
    <w:p w14:paraId="62FE4666">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（三）投标人的报价均超过了采购预算，采购人不能支付的；</w:t>
      </w:r>
    </w:p>
    <w:p w14:paraId="4FDFAA5E">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（四）因重大变故，采购任务取消的。</w:t>
      </w:r>
    </w:p>
    <w:p w14:paraId="5297C6E4">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废标后，采购人应当将废标理由通知所有投标人。</w:t>
      </w:r>
    </w:p>
    <w:p w14:paraId="23B60481">
      <w:pPr>
        <w:wordWrap w:val="0"/>
        <w:spacing w:after="0" w:line="360" w:lineRule="auto"/>
        <w:ind w:firstLine="420" w:firstLineChars="200"/>
        <w:rPr>
          <w:rFonts w:hint="eastAsia" w:ascii="仿宋" w:hAnsi="仿宋" w:eastAsia="仿宋" w:cs="仿宋"/>
          <w:sz w:val="21"/>
          <w:szCs w:val="21"/>
        </w:rPr>
      </w:pPr>
      <w:bookmarkStart w:id="118" w:name="_Toc20994"/>
      <w:r>
        <w:rPr>
          <w:rFonts w:hint="eastAsia" w:ascii="仿宋" w:hAnsi="仿宋" w:eastAsia="仿宋" w:cs="仿宋"/>
          <w:sz w:val="21"/>
          <w:szCs w:val="21"/>
        </w:rPr>
        <w:t>10.4.需要补充的其他内容</w:t>
      </w:r>
      <w:bookmarkEnd w:id="118"/>
    </w:p>
    <w:p w14:paraId="18D77D04">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10.4.1关于中小企业：</w:t>
      </w:r>
    </w:p>
    <w:p w14:paraId="1DE3C61E">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10.4.1.1根据《财政部、工业和信息化部关于印发《政府采购促进中小企业发展管理办法》的通知》（财库〔2020〕46号）及财库〔2022〕19号:《关于进一步加大政府采购支持中小企业力度的通知》等规定，在政府采购活动中，投标人提供的货物、工程或者服务符合下列情形的，享受中小企业扶持政策：</w:t>
      </w:r>
    </w:p>
    <w:p w14:paraId="46342133">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（一）在货物采购项目中，货物由中小企业制造，即货物由中小企业生产且使用该中小企业商号或者注册商标；</w:t>
      </w:r>
    </w:p>
    <w:p w14:paraId="58EA7320">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（二）在工程采购项目中，工程由中小企业承建，即工程施工单位为中小企业；</w:t>
      </w:r>
    </w:p>
    <w:p w14:paraId="354F650C">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（三）在服务采购项目中，服务由中小企业承接，即提供服务的人员为中小企业依照《中华人民共和国劳动合同法》订立劳动合同的从业人员。</w:t>
      </w:r>
    </w:p>
    <w:p w14:paraId="41E44FB5">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在货物采购项目中，投标人提供的货物既有中小企业制造货物，也有大型企业制造货物的，不享受中小企业扶持政策。</w:t>
      </w:r>
    </w:p>
    <w:p w14:paraId="6ED29E21">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以联合体形式参加政府采购活动，联合体各方均为中小企业的，联合体视同中小企业。其中，联合体各方均为小微企业的，联合体视同小微企业。</w:t>
      </w:r>
    </w:p>
    <w:p w14:paraId="21094DDA">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10.4.1.2本办法所称中小企业，是指在中华人民共和国境内依法设立，依据国务院批准的中小企业划分标准（详见《关于印发中小企业划型标准规定的通知》（工信部联企业〔2011〕300号））确定的中型企业、小型企业和微型企业，但与大企业的负责人为同一人，或者与大企业存在直接控股、管理关系的除外。</w:t>
      </w:r>
    </w:p>
    <w:p w14:paraId="7CFC7364">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10.4.1.3对于经主管预算单位统筹后未预留份额专门面向中小企业采购的采购项目（本项目不属于适宜由中小企业提供的采购项目和采购包，本项目为非专门面向中小企业采购项目），以及预留份额项目中的非预留部分采购包，对符合规定的小微企业报价给予10%（工程项目为3%）的扣除，用扣除后的价格参加评审。</w:t>
      </w:r>
    </w:p>
    <w:p w14:paraId="7BE3C34D">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接受大中型企业与小微企业组成联合体或者允许大中型企业向一家或者多家小微企业分包的采购项目，对于联合协议或者分包意向协议约定小微企业的合同份额占到合同总金额40%以上的，对联合体或者大中型企业的报价给予4%（工程项目为1%）的扣除，用扣除后的价格参加评审。组成联合体或者接受分包的小微企业与联合体内其他企业、分包企业之间存在直接控股、管理关系的，不享受价格扣除优惠政策。</w:t>
      </w:r>
    </w:p>
    <w:p w14:paraId="6BC86A77">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10.4.1.4中小企业参加政府采购活动，应当出具《中小企业声明函》，否则不得享受相关中小企业扶持政策。任何单位和个人不得要求投标人提供《中小企业声明函》之外的中小企业身份证明文件。</w:t>
      </w:r>
    </w:p>
    <w:p w14:paraId="02A93D10">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10.4.1.5按规定享受扶持政策获得政府采购合同的，小微企业不得将合同分包给大中型企业，中型企业不得将合同分包给大型企业。</w:t>
      </w:r>
    </w:p>
    <w:p w14:paraId="31983C98">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10.4.1.6价格扣除比例或者价格分加分比例对小型企业和微型企业同等对待，不作区分。</w:t>
      </w:r>
    </w:p>
    <w:p w14:paraId="38596C63">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10.4.1.7采购项目涉及中小企业采购的，招标文件应当明确以下内容：</w:t>
      </w:r>
    </w:p>
    <w:p w14:paraId="599FE249">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（一）预留份额的采购项目或者采购包，明确该项目或相关采购包专门面向中小企业采购，以及相关标的及预算金额（详见招标文件第二章投标人须知及投标人须知前附表10.4.1.3）；</w:t>
      </w:r>
    </w:p>
    <w:p w14:paraId="65B8FFEE">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（二）要求以联合体形式参加或者合同分包的，明确联合协议或者分包意向协议中中小企业合同金额应当达到的比例，并作为投标人资格条件（详见招标文件第二章投标人须知及投标人须知前附表）；</w:t>
      </w:r>
    </w:p>
    <w:p w14:paraId="053F3F81">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（三）非预留份额的采购项目或者采购包，明确有关价格扣除比例或者价格分加分比例（详见招标文件第二章投标人须知及投标人须知前附表10.4.1.3）；</w:t>
      </w:r>
    </w:p>
    <w:p w14:paraId="6673FCDF">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（四）规定依据《政府采购促进中小企业发展管理办法》规定享受扶持政策获得政府采购合同的，小微企业不得将合同分包给大中型企业，中型企业不得将合同分包给大型企业；</w:t>
      </w:r>
    </w:p>
    <w:p w14:paraId="0AB8DC05">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（五）采购人认为具备相关条件的，明确对中小企业在资金支付期限、预付款比例等方面的优惠措施（无）；</w:t>
      </w:r>
    </w:p>
    <w:p w14:paraId="70DD5998">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（六）明确采购标的对应的中小企业划分标准所属行业；</w:t>
      </w:r>
    </w:p>
    <w:p w14:paraId="76C31BBE">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（七）法律法规和省级以上人民政府财政部门规定的其他事项（无）</w:t>
      </w:r>
    </w:p>
    <w:p w14:paraId="360C4E39">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10.4.2关于监狱企业：</w:t>
      </w:r>
    </w:p>
    <w:p w14:paraId="1121A079">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10.4.2.1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2160B89">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10.4.2.2监狱企业参加政府采购活动时，应当提供由省级以上监狱管理局、戒毒管理局（含新疆生产建设兵团）出具的属于监狱企业的证明文件。</w:t>
      </w:r>
    </w:p>
    <w:p w14:paraId="32C56ED9">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10.4.2.3在政府采购活动中，监狱企业视同小型、微型企业，享受预留份额、评审中价格扣除等政府采购促进中小企业发展的政府采购政策。</w:t>
      </w:r>
    </w:p>
    <w:p w14:paraId="5B3A39C5">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10.4.3关于节能产品及环境标志产品：</w:t>
      </w:r>
    </w:p>
    <w:p w14:paraId="63C72A95">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10.4.3.1投标人根据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及市场监管总局关于发布参与实施政府采购节能产品、环境标志产品认证机构名录的公告2019年第16号，节能产品是指列入财政部和国家发改委公布的《节能产品政府采购品目清单》中的产品，政府强制采购节能产品是指“品目清单”中以“★”标注类别的产品。</w:t>
      </w:r>
    </w:p>
    <w:p w14:paraId="6AB9852C">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10.4.3.2投标产品属于财政部和国家发改委公布的当期《节能产品政府采购品目清单》中以“★”标注类别的节能产品，投标人需在投标文件中提供节能产品认证证书。</w:t>
      </w:r>
    </w:p>
    <w:p w14:paraId="6A36CA2A">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10.4.3.3财政部、发展改革委、生态环境部、市场监管总局“关于调整优化节能产品、环境标志产品政府采购执行机制的通知财库〔2019〕9号”、“关于印发环境标志产品政府采购品目清单的通知”财库〔2019〕18号及“关于印发节能产品政府采购品目清单的通知”财库〔2019〕19号、市场监管总局关于发布参与实施政府采购节能产品、环境标志产品认证机构名录的公告2019年第16号可通过中国政府采购网（http://www.ccgp.gov.cn/）查阅、下载。</w:t>
      </w:r>
    </w:p>
    <w:p w14:paraId="52F69DA6">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10.4.4关于残疾人福利性单位：</w:t>
      </w:r>
    </w:p>
    <w:p w14:paraId="5A0AD4D3">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10.4.4.1根据《三部门联合发布关于促进残疾人就业政府采购政策的通知》（财库〔2017〕141号）的规定，享受政府采购支持政策的残疾人福利性单位应当同时满足以下条件：</w:t>
      </w:r>
    </w:p>
    <w:p w14:paraId="6C939597">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（一）安置的残疾人占本单位在职职工人数的比例不低于25%（含25%），并且安置的残疾人人数不少于10人（含10人）；</w:t>
      </w:r>
    </w:p>
    <w:p w14:paraId="74DEB41E">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（二）依法与安置的每位残疾人签订了一年以上（含一年）的劳动合同或服务协议；</w:t>
      </w:r>
    </w:p>
    <w:p w14:paraId="1EB0E341">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（三）为安置的每位残疾人按月足额缴纳了基本养老保险、基本医疗保险、失业保险、工伤保险和生育保险等社会保险费；</w:t>
      </w:r>
    </w:p>
    <w:p w14:paraId="030AEDF0">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（四）通过银行等金融机构向安置的每位残疾人，按月支付了不低于单位所在区县适用的经省级人民政府批准的月最低工资标准的工资；</w:t>
      </w:r>
    </w:p>
    <w:p w14:paraId="5556C1F0">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（五）提供本单位制造的货物、承担的工程或者服务（以下简称产品），或者提供其他残疾人福利性单位制造的货物（不包括使用非残疾人福利性单位注册商标的货物）。</w:t>
      </w:r>
    </w:p>
    <w:p w14:paraId="7C5B0567">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AEB42DE">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10.4.4.2符合条件的残疾人福利性单位在参加政府采购活动时，应当按《三部门联合发布关于促进残疾人就业政府采购政策的通知》（财库〔2017〕141号）提供规定的《残疾人福利性单位声明函》，并对声明的真实性负责。</w:t>
      </w:r>
    </w:p>
    <w:p w14:paraId="3E7121A1">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10.4.4.3本项目针对残疾人福利性单位产品的价格给予10%的扣除，用扣除后的价格参与评审。残疾人福利性单位属于小型、微型企业的，不重复享受政策。</w:t>
      </w:r>
    </w:p>
    <w:p w14:paraId="1523F54F">
      <w:pPr>
        <w:wordWrap w:val="0"/>
        <w:spacing w:after="0" w:line="360" w:lineRule="auto"/>
        <w:ind w:firstLine="403" w:firstLineChars="192"/>
        <w:rPr>
          <w:rFonts w:hint="eastAsia" w:ascii="仿宋" w:hAnsi="仿宋" w:eastAsia="仿宋" w:cs="仿宋"/>
          <w:sz w:val="21"/>
          <w:szCs w:val="21"/>
        </w:rPr>
      </w:pPr>
      <w:r>
        <w:rPr>
          <w:rFonts w:hint="eastAsia" w:ascii="仿宋" w:hAnsi="仿宋" w:eastAsia="仿宋" w:cs="仿宋"/>
          <w:sz w:val="21"/>
          <w:szCs w:val="21"/>
        </w:rPr>
        <w:t>10.4.5 根据《中华人民共和国政府采购法》、《中华人民共和国政府采购法实施条例》、《政府采购货物和服务招标投标管理办法》(财政部令〔2017〕第87号)的规定，采购人应当在货物服务招标投标活动中落实节约能源、保护环境、扶持不发达地区和少数民族地区、促进中小企业发展等政府采购政策。</w:t>
      </w:r>
    </w:p>
    <w:p w14:paraId="1F8686AE">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10.4.6其它需要补充的其他内容：详见《投标人须知前附表》。</w:t>
      </w:r>
      <w:bookmarkStart w:id="119" w:name="_Toc144974546"/>
      <w:bookmarkStart w:id="120" w:name="_Toc152042355"/>
    </w:p>
    <w:p w14:paraId="06E996C8">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10.4.7根据《财政部关于在政府采购活动中查询及使用信用记录有关问题的通知》（财库〔2016〕125 号）相关要求，采购人或者采购代理机构对信用记录进行核实，对列入失信被执行人、重大税收违法案件当事人名单、政府采购严重违法失信行为记录名单及其他不符合《中华人民共和国政府采购法》第二十二条规定条件的投标人，拒绝其参与政府采购活动。</w:t>
      </w:r>
      <w:bookmarkEnd w:id="119"/>
      <w:bookmarkEnd w:id="120"/>
    </w:p>
    <w:p w14:paraId="4A4A3AC4">
      <w:pPr>
        <w:pStyle w:val="2"/>
        <w:wordWrap w:val="0"/>
        <w:spacing w:before="200" w:after="200" w:line="360" w:lineRule="auto"/>
        <w:jc w:val="center"/>
        <w:rPr>
          <w:rFonts w:hint="eastAsia" w:ascii="仿宋" w:hAnsi="仿宋" w:eastAsia="仿宋" w:cs="仿宋"/>
        </w:rPr>
      </w:pPr>
      <w:r>
        <w:rPr>
          <w:rFonts w:hint="eastAsia" w:ascii="仿宋" w:hAnsi="仿宋" w:eastAsia="仿宋" w:cs="仿宋"/>
          <w:sz w:val="21"/>
          <w:szCs w:val="21"/>
        </w:rPr>
        <w:br w:type="page"/>
      </w:r>
      <w:bookmarkStart w:id="121" w:name="_Toc24488"/>
      <w:r>
        <w:rPr>
          <w:rFonts w:hint="eastAsia" w:ascii="仿宋" w:hAnsi="仿宋" w:eastAsia="仿宋" w:cs="仿宋"/>
          <w:b w:val="0"/>
          <w:sz w:val="36"/>
        </w:rPr>
        <w:t>第三章 资格审查</w:t>
      </w:r>
      <w:bookmarkEnd w:id="121"/>
    </w:p>
    <w:p w14:paraId="1CBD4F51">
      <w:pPr>
        <w:widowControl w:val="0"/>
        <w:autoSpaceDE w:val="0"/>
        <w:autoSpaceDN w:val="0"/>
        <w:adjustRightInd w:val="0"/>
        <w:snapToGrid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公开招标采购项目开标结束后，采购人和采购代理机构依据法律法规和招标文件的规定，对投标人的资格进行审查</w:t>
      </w:r>
    </w:p>
    <w:tbl>
      <w:tblPr>
        <w:tblStyle w:val="26"/>
        <w:tblW w:w="939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3843"/>
        <w:gridCol w:w="5556"/>
      </w:tblGrid>
      <w:tr w14:paraId="628F265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31" w:hRule="atLeast"/>
          <w:jc w:val="center"/>
        </w:trPr>
        <w:tc>
          <w:tcPr>
            <w:tcW w:w="3843" w:type="dxa"/>
            <w:vAlign w:val="center"/>
          </w:tcPr>
          <w:p w14:paraId="25988F4C">
            <w:pPr>
              <w:spacing w:before="120" w:beforeLines="50" w:after="0" w:line="360" w:lineRule="auto"/>
              <w:jc w:val="center"/>
              <w:rPr>
                <w:rFonts w:hint="eastAsia" w:ascii="仿宋" w:hAnsi="仿宋" w:eastAsia="仿宋" w:cs="仿宋"/>
                <w:b/>
                <w:sz w:val="21"/>
                <w:szCs w:val="21"/>
              </w:rPr>
            </w:pPr>
            <w:r>
              <w:rPr>
                <w:rFonts w:hint="eastAsia" w:ascii="仿宋" w:hAnsi="仿宋" w:eastAsia="仿宋" w:cs="仿宋"/>
                <w:b/>
                <w:sz w:val="21"/>
                <w:szCs w:val="21"/>
              </w:rPr>
              <w:t>条款号</w:t>
            </w:r>
          </w:p>
        </w:tc>
        <w:tc>
          <w:tcPr>
            <w:tcW w:w="5556" w:type="dxa"/>
            <w:vAlign w:val="center"/>
          </w:tcPr>
          <w:p w14:paraId="68BE2B47">
            <w:pPr>
              <w:spacing w:before="120" w:beforeLines="50" w:after="0" w:line="360" w:lineRule="auto"/>
              <w:jc w:val="center"/>
              <w:rPr>
                <w:rFonts w:hint="eastAsia" w:ascii="仿宋" w:hAnsi="仿宋" w:eastAsia="仿宋" w:cs="仿宋"/>
                <w:b/>
                <w:sz w:val="21"/>
                <w:szCs w:val="21"/>
              </w:rPr>
            </w:pPr>
            <w:r>
              <w:rPr>
                <w:rFonts w:hint="eastAsia" w:ascii="仿宋" w:hAnsi="仿宋" w:eastAsia="仿宋" w:cs="仿宋"/>
                <w:b/>
                <w:sz w:val="21"/>
                <w:szCs w:val="21"/>
              </w:rPr>
              <w:t>评审标准</w:t>
            </w:r>
          </w:p>
        </w:tc>
      </w:tr>
      <w:tr w14:paraId="6F9E151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538" w:hRule="atLeast"/>
          <w:jc w:val="center"/>
        </w:trPr>
        <w:tc>
          <w:tcPr>
            <w:tcW w:w="3843" w:type="dxa"/>
            <w:vAlign w:val="center"/>
          </w:tcPr>
          <w:p w14:paraId="28BFF3B6">
            <w:pPr>
              <w:spacing w:before="120" w:beforeLines="50" w:after="0" w:line="360" w:lineRule="auto"/>
              <w:jc w:val="center"/>
              <w:rPr>
                <w:rFonts w:hint="eastAsia" w:ascii="仿宋" w:hAnsi="仿宋" w:eastAsia="仿宋" w:cs="仿宋"/>
                <w:b/>
                <w:bCs/>
                <w:sz w:val="28"/>
                <w:szCs w:val="28"/>
              </w:rPr>
            </w:pPr>
            <w:r>
              <w:rPr>
                <w:rFonts w:hint="eastAsia" w:ascii="仿宋" w:hAnsi="仿宋" w:eastAsia="仿宋" w:cs="仿宋"/>
                <w:b/>
                <w:bCs/>
                <w:sz w:val="28"/>
                <w:szCs w:val="28"/>
              </w:rPr>
              <w:t>资格审查评审标准</w:t>
            </w:r>
          </w:p>
        </w:tc>
        <w:tc>
          <w:tcPr>
            <w:tcW w:w="5556" w:type="dxa"/>
            <w:vAlign w:val="center"/>
          </w:tcPr>
          <w:p w14:paraId="66F567DA">
            <w:pPr>
              <w:pStyle w:val="25"/>
              <w:ind w:left="0" w:leftChars="0" w:firstLine="0" w:firstLineChars="0"/>
              <w:jc w:val="center"/>
              <w:rPr>
                <w:rFonts w:hint="eastAsia" w:ascii="仿宋" w:hAnsi="仿宋" w:eastAsia="仿宋" w:cs="仿宋"/>
                <w:b/>
                <w:bCs/>
                <w:sz w:val="28"/>
                <w:szCs w:val="36"/>
              </w:rPr>
            </w:pPr>
            <w:r>
              <w:rPr>
                <w:rFonts w:hint="eastAsia" w:ascii="仿宋" w:hAnsi="仿宋" w:eastAsia="仿宋" w:cs="仿宋"/>
                <w:b/>
                <w:bCs/>
                <w:sz w:val="28"/>
                <w:szCs w:val="28"/>
              </w:rPr>
              <w:t>详见投标人须知前附表1.4.1</w:t>
            </w:r>
          </w:p>
        </w:tc>
      </w:tr>
    </w:tbl>
    <w:p w14:paraId="1E9D3AED">
      <w:pPr>
        <w:pStyle w:val="2"/>
        <w:wordWrap w:val="0"/>
        <w:spacing w:before="200" w:after="200" w:line="360" w:lineRule="auto"/>
        <w:jc w:val="center"/>
        <w:rPr>
          <w:rFonts w:hint="eastAsia" w:ascii="仿宋" w:hAnsi="仿宋" w:eastAsia="仿宋" w:cs="仿宋"/>
          <w:b w:val="0"/>
          <w:sz w:val="36"/>
        </w:rPr>
      </w:pPr>
      <w:bookmarkStart w:id="122" w:name="_Toc260908198"/>
      <w:bookmarkStart w:id="123" w:name="_Toc260907982"/>
      <w:bookmarkStart w:id="124" w:name="_Toc224363895"/>
      <w:bookmarkStart w:id="125" w:name="_Toc229583208"/>
      <w:r>
        <w:rPr>
          <w:rFonts w:hint="eastAsia" w:ascii="仿宋" w:hAnsi="仿宋" w:eastAsia="仿宋" w:cs="仿宋"/>
          <w:b w:val="0"/>
          <w:sz w:val="32"/>
        </w:rPr>
        <w:br w:type="page"/>
      </w:r>
      <w:bookmarkStart w:id="126" w:name="_Toc21825"/>
      <w:r>
        <w:rPr>
          <w:rFonts w:hint="eastAsia" w:ascii="仿宋" w:hAnsi="仿宋" w:eastAsia="仿宋" w:cs="仿宋"/>
          <w:b w:val="0"/>
          <w:sz w:val="36"/>
        </w:rPr>
        <w:t>第四章 评标办法</w:t>
      </w:r>
      <w:bookmarkEnd w:id="122"/>
      <w:bookmarkEnd w:id="123"/>
      <w:bookmarkEnd w:id="124"/>
      <w:bookmarkEnd w:id="125"/>
      <w:bookmarkEnd w:id="126"/>
    </w:p>
    <w:p w14:paraId="10EA68E6">
      <w:pPr>
        <w:pStyle w:val="3"/>
        <w:wordWrap w:val="0"/>
        <w:spacing w:before="200" w:after="200" w:line="360" w:lineRule="auto"/>
        <w:jc w:val="center"/>
        <w:rPr>
          <w:rFonts w:hint="eastAsia" w:ascii="仿宋" w:hAnsi="仿宋" w:eastAsia="仿宋" w:cs="仿宋"/>
        </w:rPr>
      </w:pPr>
      <w:bookmarkStart w:id="127" w:name="_Toc260908199"/>
      <w:bookmarkStart w:id="128" w:name="_Toc13407766"/>
      <w:bookmarkStart w:id="129" w:name="_Toc520104003"/>
      <w:bookmarkStart w:id="130" w:name="_Toc481712045"/>
      <w:bookmarkStart w:id="131" w:name="_Toc259188727"/>
      <w:bookmarkStart w:id="132" w:name="_Toc270090084"/>
      <w:bookmarkStart w:id="133" w:name="_Toc260907983"/>
      <w:bookmarkStart w:id="134" w:name="_Toc21495"/>
      <w:bookmarkStart w:id="135" w:name="_Toc259188728"/>
      <w:bookmarkStart w:id="136" w:name="_Toc260908200"/>
      <w:bookmarkStart w:id="137" w:name="_Toc270090085"/>
      <w:bookmarkStart w:id="138" w:name="_Toc260907984"/>
      <w:bookmarkStart w:id="139" w:name="_Toc13407767"/>
      <w:bookmarkStart w:id="140" w:name="_Toc481712046"/>
      <w:r>
        <w:rPr>
          <w:rFonts w:hint="eastAsia" w:ascii="仿宋" w:hAnsi="仿宋" w:eastAsia="仿宋" w:cs="仿宋"/>
        </w:rPr>
        <w:t>一、评标办法前附表</w:t>
      </w:r>
      <w:bookmarkEnd w:id="127"/>
      <w:bookmarkEnd w:id="128"/>
      <w:bookmarkEnd w:id="129"/>
      <w:bookmarkEnd w:id="130"/>
      <w:bookmarkEnd w:id="131"/>
      <w:bookmarkEnd w:id="132"/>
      <w:bookmarkEnd w:id="133"/>
      <w:bookmarkEnd w:id="134"/>
    </w:p>
    <w:tbl>
      <w:tblPr>
        <w:tblStyle w:val="26"/>
        <w:tblW w:w="1006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52"/>
        <w:gridCol w:w="1134"/>
        <w:gridCol w:w="1217"/>
        <w:gridCol w:w="6763"/>
      </w:tblGrid>
      <w:tr w14:paraId="49B42CF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52" w:type="dxa"/>
            <w:vAlign w:val="bottom"/>
          </w:tcPr>
          <w:p w14:paraId="0BC6E805">
            <w:pPr>
              <w:adjustRightInd w:val="0"/>
              <w:snapToGrid w:val="0"/>
              <w:spacing w:line="240" w:lineRule="auto"/>
              <w:jc w:val="center"/>
              <w:rPr>
                <w:rFonts w:hint="eastAsia" w:ascii="仿宋" w:hAnsi="仿宋" w:eastAsia="仿宋" w:cs="仿宋"/>
                <w:b/>
                <w:szCs w:val="21"/>
              </w:rPr>
            </w:pPr>
            <w:r>
              <w:rPr>
                <w:rFonts w:hint="eastAsia" w:ascii="仿宋" w:hAnsi="仿宋" w:eastAsia="仿宋" w:cs="仿宋"/>
                <w:b/>
                <w:szCs w:val="21"/>
              </w:rPr>
              <w:t>条款号</w:t>
            </w:r>
          </w:p>
        </w:tc>
        <w:tc>
          <w:tcPr>
            <w:tcW w:w="2351" w:type="dxa"/>
            <w:gridSpan w:val="2"/>
            <w:vAlign w:val="bottom"/>
          </w:tcPr>
          <w:p w14:paraId="68BFBE96">
            <w:pPr>
              <w:adjustRightInd w:val="0"/>
              <w:snapToGrid w:val="0"/>
              <w:spacing w:line="240" w:lineRule="auto"/>
              <w:jc w:val="center"/>
              <w:rPr>
                <w:rFonts w:hint="eastAsia" w:ascii="仿宋" w:hAnsi="仿宋" w:eastAsia="仿宋" w:cs="仿宋"/>
                <w:b/>
                <w:szCs w:val="21"/>
              </w:rPr>
            </w:pPr>
            <w:r>
              <w:rPr>
                <w:rFonts w:hint="eastAsia" w:ascii="仿宋" w:hAnsi="仿宋" w:eastAsia="仿宋" w:cs="仿宋"/>
                <w:b/>
                <w:szCs w:val="21"/>
              </w:rPr>
              <w:t>评审因素</w:t>
            </w:r>
          </w:p>
        </w:tc>
        <w:tc>
          <w:tcPr>
            <w:tcW w:w="6763" w:type="dxa"/>
            <w:vAlign w:val="bottom"/>
          </w:tcPr>
          <w:p w14:paraId="1EFF783B">
            <w:pPr>
              <w:adjustRightInd w:val="0"/>
              <w:snapToGrid w:val="0"/>
              <w:spacing w:line="240" w:lineRule="auto"/>
              <w:jc w:val="center"/>
              <w:rPr>
                <w:rFonts w:hint="eastAsia" w:ascii="仿宋" w:hAnsi="仿宋" w:eastAsia="仿宋" w:cs="仿宋"/>
                <w:b/>
                <w:szCs w:val="21"/>
              </w:rPr>
            </w:pPr>
            <w:r>
              <w:rPr>
                <w:rFonts w:hint="eastAsia" w:ascii="仿宋" w:hAnsi="仿宋" w:eastAsia="仿宋" w:cs="仿宋"/>
                <w:b/>
                <w:szCs w:val="21"/>
              </w:rPr>
              <w:t>评审标准</w:t>
            </w:r>
          </w:p>
        </w:tc>
      </w:tr>
      <w:tr w14:paraId="6841495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52" w:type="dxa"/>
            <w:vMerge w:val="restart"/>
            <w:vAlign w:val="center"/>
          </w:tcPr>
          <w:p w14:paraId="202D44FD">
            <w:pPr>
              <w:adjustRightInd w:val="0"/>
              <w:snapToGrid w:val="0"/>
              <w:spacing w:line="240" w:lineRule="auto"/>
              <w:jc w:val="center"/>
              <w:rPr>
                <w:rFonts w:hint="eastAsia" w:ascii="仿宋" w:hAnsi="仿宋" w:eastAsia="仿宋" w:cs="仿宋"/>
                <w:szCs w:val="21"/>
              </w:rPr>
            </w:pPr>
            <w:r>
              <w:rPr>
                <w:rFonts w:hint="eastAsia" w:ascii="仿宋" w:hAnsi="仿宋" w:eastAsia="仿宋" w:cs="仿宋"/>
                <w:szCs w:val="21"/>
              </w:rPr>
              <w:t>符合性评审</w:t>
            </w:r>
          </w:p>
        </w:tc>
        <w:tc>
          <w:tcPr>
            <w:tcW w:w="2351" w:type="dxa"/>
            <w:gridSpan w:val="2"/>
            <w:vAlign w:val="center"/>
          </w:tcPr>
          <w:p w14:paraId="03BC682B">
            <w:pPr>
              <w:adjustRightInd w:val="0"/>
              <w:snapToGrid w:val="0"/>
              <w:spacing w:line="240" w:lineRule="auto"/>
              <w:jc w:val="center"/>
              <w:rPr>
                <w:rFonts w:hint="eastAsia" w:ascii="仿宋" w:hAnsi="仿宋" w:eastAsia="仿宋" w:cs="仿宋"/>
                <w:sz w:val="21"/>
                <w:szCs w:val="21"/>
              </w:rPr>
            </w:pPr>
            <w:r>
              <w:rPr>
                <w:rFonts w:hint="eastAsia" w:ascii="仿宋" w:hAnsi="仿宋" w:eastAsia="仿宋" w:cs="仿宋"/>
                <w:sz w:val="21"/>
                <w:szCs w:val="21"/>
              </w:rPr>
              <w:t>投标文件格式</w:t>
            </w:r>
          </w:p>
        </w:tc>
        <w:tc>
          <w:tcPr>
            <w:tcW w:w="6763" w:type="dxa"/>
            <w:vAlign w:val="center"/>
          </w:tcPr>
          <w:p w14:paraId="6DF4ED52">
            <w:pPr>
              <w:adjustRightInd w:val="0"/>
              <w:snapToGrid w:val="0"/>
              <w:spacing w:line="240" w:lineRule="auto"/>
              <w:rPr>
                <w:rFonts w:hint="eastAsia" w:ascii="仿宋" w:hAnsi="仿宋" w:eastAsia="仿宋" w:cs="仿宋"/>
                <w:sz w:val="21"/>
                <w:szCs w:val="21"/>
              </w:rPr>
            </w:pPr>
            <w:r>
              <w:rPr>
                <w:rFonts w:hint="eastAsia" w:ascii="仿宋" w:hAnsi="仿宋" w:eastAsia="仿宋" w:cs="仿宋"/>
                <w:sz w:val="21"/>
                <w:szCs w:val="21"/>
              </w:rPr>
              <w:t>符合第二章投标人须知“3.5投标文件编制及格式”要求和招标文件第七章投标文件格式要求。</w:t>
            </w:r>
          </w:p>
        </w:tc>
      </w:tr>
      <w:tr w14:paraId="63B6EA2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52" w:type="dxa"/>
            <w:vMerge w:val="continue"/>
            <w:vAlign w:val="center"/>
          </w:tcPr>
          <w:p w14:paraId="2BA86840">
            <w:pPr>
              <w:adjustRightInd w:val="0"/>
              <w:snapToGrid w:val="0"/>
              <w:spacing w:line="240" w:lineRule="auto"/>
              <w:jc w:val="center"/>
              <w:rPr>
                <w:rFonts w:hint="eastAsia" w:ascii="仿宋" w:hAnsi="仿宋" w:eastAsia="仿宋" w:cs="仿宋"/>
                <w:szCs w:val="21"/>
              </w:rPr>
            </w:pPr>
          </w:p>
        </w:tc>
        <w:tc>
          <w:tcPr>
            <w:tcW w:w="2351" w:type="dxa"/>
            <w:gridSpan w:val="2"/>
            <w:vAlign w:val="center"/>
          </w:tcPr>
          <w:p w14:paraId="76B43590">
            <w:pPr>
              <w:adjustRightInd w:val="0"/>
              <w:snapToGrid w:val="0"/>
              <w:spacing w:line="240" w:lineRule="auto"/>
              <w:jc w:val="center"/>
              <w:rPr>
                <w:rFonts w:hint="eastAsia" w:ascii="仿宋" w:hAnsi="仿宋" w:eastAsia="仿宋" w:cs="仿宋"/>
                <w:sz w:val="21"/>
                <w:szCs w:val="21"/>
              </w:rPr>
            </w:pPr>
            <w:r>
              <w:rPr>
                <w:rFonts w:hint="eastAsia" w:ascii="仿宋" w:hAnsi="仿宋" w:eastAsia="仿宋" w:cs="仿宋"/>
                <w:sz w:val="21"/>
                <w:szCs w:val="21"/>
              </w:rPr>
              <w:t>投标文件的签字或盖章要求</w:t>
            </w:r>
          </w:p>
        </w:tc>
        <w:tc>
          <w:tcPr>
            <w:tcW w:w="6763" w:type="dxa"/>
            <w:vAlign w:val="center"/>
          </w:tcPr>
          <w:p w14:paraId="7A77DF1A">
            <w:pPr>
              <w:adjustRightInd w:val="0"/>
              <w:snapToGrid w:val="0"/>
              <w:spacing w:line="240" w:lineRule="auto"/>
              <w:rPr>
                <w:rFonts w:hint="eastAsia" w:ascii="仿宋" w:hAnsi="仿宋" w:eastAsia="仿宋" w:cs="仿宋"/>
                <w:sz w:val="21"/>
                <w:szCs w:val="21"/>
              </w:rPr>
            </w:pPr>
            <w:r>
              <w:rPr>
                <w:rFonts w:hint="eastAsia" w:ascii="仿宋" w:hAnsi="仿宋" w:eastAsia="仿宋" w:cs="仿宋"/>
                <w:sz w:val="21"/>
                <w:szCs w:val="21"/>
              </w:rPr>
              <w:t>符合招标文件第二章“投标人须知前附表”3.5.1要求。</w:t>
            </w:r>
          </w:p>
        </w:tc>
      </w:tr>
      <w:tr w14:paraId="1FE5EB8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52" w:type="dxa"/>
            <w:vMerge w:val="continue"/>
            <w:vAlign w:val="center"/>
          </w:tcPr>
          <w:p w14:paraId="7B417776">
            <w:pPr>
              <w:adjustRightInd w:val="0"/>
              <w:snapToGrid w:val="0"/>
              <w:spacing w:line="240" w:lineRule="auto"/>
              <w:rPr>
                <w:rFonts w:hint="eastAsia" w:ascii="仿宋" w:hAnsi="仿宋" w:eastAsia="仿宋" w:cs="仿宋"/>
                <w:szCs w:val="21"/>
              </w:rPr>
            </w:pPr>
          </w:p>
        </w:tc>
        <w:tc>
          <w:tcPr>
            <w:tcW w:w="2351" w:type="dxa"/>
            <w:gridSpan w:val="2"/>
            <w:vAlign w:val="center"/>
          </w:tcPr>
          <w:p w14:paraId="1990EAE5">
            <w:pPr>
              <w:adjustRightInd w:val="0"/>
              <w:snapToGrid w:val="0"/>
              <w:spacing w:line="240" w:lineRule="auto"/>
              <w:jc w:val="center"/>
              <w:rPr>
                <w:rFonts w:hint="eastAsia" w:ascii="仿宋" w:hAnsi="仿宋" w:eastAsia="仿宋" w:cs="仿宋"/>
                <w:sz w:val="21"/>
                <w:szCs w:val="21"/>
              </w:rPr>
            </w:pPr>
            <w:r>
              <w:rPr>
                <w:rFonts w:hint="eastAsia" w:ascii="仿宋" w:hAnsi="仿宋" w:eastAsia="仿宋" w:cs="仿宋"/>
                <w:sz w:val="21"/>
                <w:szCs w:val="21"/>
              </w:rPr>
              <w:t>报价</w:t>
            </w:r>
          </w:p>
        </w:tc>
        <w:tc>
          <w:tcPr>
            <w:tcW w:w="6763" w:type="dxa"/>
            <w:vAlign w:val="center"/>
          </w:tcPr>
          <w:p w14:paraId="679024F0">
            <w:pPr>
              <w:adjustRightInd w:val="0"/>
              <w:snapToGrid w:val="0"/>
              <w:spacing w:line="240" w:lineRule="auto"/>
              <w:rPr>
                <w:rFonts w:hint="eastAsia" w:ascii="仿宋" w:hAnsi="仿宋" w:eastAsia="仿宋" w:cs="仿宋"/>
                <w:sz w:val="21"/>
                <w:szCs w:val="21"/>
              </w:rPr>
            </w:pPr>
            <w:r>
              <w:rPr>
                <w:rFonts w:hint="eastAsia" w:ascii="仿宋" w:hAnsi="仿宋" w:eastAsia="仿宋" w:cs="仿宋"/>
                <w:sz w:val="21"/>
                <w:szCs w:val="21"/>
              </w:rPr>
              <w:t>符合本项目投标报价要求；投标报价未超过采购预算。</w:t>
            </w:r>
          </w:p>
        </w:tc>
      </w:tr>
      <w:tr w14:paraId="37334B8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52" w:type="dxa"/>
            <w:vMerge w:val="continue"/>
            <w:vAlign w:val="center"/>
          </w:tcPr>
          <w:p w14:paraId="528A23F6">
            <w:pPr>
              <w:adjustRightInd w:val="0"/>
              <w:snapToGrid w:val="0"/>
              <w:spacing w:line="240" w:lineRule="auto"/>
              <w:rPr>
                <w:rFonts w:hint="eastAsia" w:ascii="仿宋" w:hAnsi="仿宋" w:eastAsia="仿宋" w:cs="仿宋"/>
                <w:szCs w:val="21"/>
              </w:rPr>
            </w:pPr>
          </w:p>
        </w:tc>
        <w:tc>
          <w:tcPr>
            <w:tcW w:w="2351" w:type="dxa"/>
            <w:gridSpan w:val="2"/>
            <w:vAlign w:val="center"/>
          </w:tcPr>
          <w:p w14:paraId="189286DC">
            <w:pPr>
              <w:adjustRightInd w:val="0"/>
              <w:snapToGrid w:val="0"/>
              <w:spacing w:line="240" w:lineRule="auto"/>
              <w:jc w:val="center"/>
              <w:rPr>
                <w:rFonts w:hint="eastAsia" w:ascii="仿宋" w:hAnsi="仿宋" w:eastAsia="仿宋" w:cs="仿宋"/>
                <w:sz w:val="21"/>
                <w:szCs w:val="21"/>
              </w:rPr>
            </w:pPr>
            <w:r>
              <w:rPr>
                <w:rFonts w:hint="eastAsia" w:ascii="仿宋" w:hAnsi="仿宋" w:eastAsia="仿宋" w:cs="仿宋"/>
                <w:sz w:val="21"/>
                <w:szCs w:val="21"/>
              </w:rPr>
              <w:t>合同履行期限</w:t>
            </w:r>
          </w:p>
        </w:tc>
        <w:tc>
          <w:tcPr>
            <w:tcW w:w="6763" w:type="dxa"/>
            <w:vAlign w:val="center"/>
          </w:tcPr>
          <w:p w14:paraId="484C6E61">
            <w:pPr>
              <w:adjustRightInd w:val="0"/>
              <w:snapToGrid w:val="0"/>
              <w:spacing w:line="240" w:lineRule="auto"/>
              <w:jc w:val="both"/>
              <w:rPr>
                <w:rFonts w:hint="eastAsia" w:ascii="仿宋" w:hAnsi="仿宋" w:eastAsia="仿宋" w:cs="仿宋"/>
                <w:sz w:val="21"/>
                <w:szCs w:val="21"/>
              </w:rPr>
            </w:pPr>
            <w:r>
              <w:rPr>
                <w:rFonts w:hint="eastAsia" w:ascii="仿宋" w:hAnsi="仿宋" w:eastAsia="仿宋" w:cs="仿宋"/>
                <w:sz w:val="21"/>
                <w:szCs w:val="21"/>
              </w:rPr>
              <w:t>符合招标文件第二章“投标人须知前附表”1.3.3要求。</w:t>
            </w:r>
          </w:p>
        </w:tc>
      </w:tr>
      <w:tr w14:paraId="36DECE5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52" w:type="dxa"/>
            <w:vMerge w:val="continue"/>
            <w:vAlign w:val="center"/>
          </w:tcPr>
          <w:p w14:paraId="45E4DD58">
            <w:pPr>
              <w:adjustRightInd w:val="0"/>
              <w:snapToGrid w:val="0"/>
              <w:spacing w:line="240" w:lineRule="auto"/>
              <w:rPr>
                <w:rFonts w:hint="eastAsia" w:ascii="仿宋" w:hAnsi="仿宋" w:eastAsia="仿宋" w:cs="仿宋"/>
                <w:szCs w:val="21"/>
              </w:rPr>
            </w:pPr>
          </w:p>
        </w:tc>
        <w:tc>
          <w:tcPr>
            <w:tcW w:w="2351" w:type="dxa"/>
            <w:gridSpan w:val="2"/>
            <w:vAlign w:val="center"/>
          </w:tcPr>
          <w:p w14:paraId="780C635D">
            <w:pPr>
              <w:adjustRightInd w:val="0"/>
              <w:snapToGrid w:val="0"/>
              <w:spacing w:line="240" w:lineRule="auto"/>
              <w:jc w:val="center"/>
              <w:rPr>
                <w:rFonts w:hint="eastAsia" w:ascii="仿宋" w:hAnsi="仿宋" w:eastAsia="仿宋" w:cs="仿宋"/>
                <w:sz w:val="21"/>
                <w:szCs w:val="21"/>
              </w:rPr>
            </w:pPr>
            <w:r>
              <w:rPr>
                <w:rFonts w:hint="eastAsia" w:ascii="仿宋" w:hAnsi="仿宋" w:eastAsia="仿宋" w:cs="仿宋"/>
                <w:sz w:val="21"/>
                <w:szCs w:val="21"/>
              </w:rPr>
              <w:t>质量标准承诺</w:t>
            </w:r>
          </w:p>
        </w:tc>
        <w:tc>
          <w:tcPr>
            <w:tcW w:w="6763" w:type="dxa"/>
            <w:vAlign w:val="center"/>
          </w:tcPr>
          <w:p w14:paraId="0E4CE44B">
            <w:pPr>
              <w:adjustRightInd w:val="0"/>
              <w:snapToGrid w:val="0"/>
              <w:spacing w:line="240" w:lineRule="auto"/>
              <w:jc w:val="both"/>
              <w:rPr>
                <w:rFonts w:hint="eastAsia" w:ascii="仿宋" w:hAnsi="仿宋" w:eastAsia="仿宋" w:cs="仿宋"/>
                <w:sz w:val="21"/>
                <w:szCs w:val="21"/>
              </w:rPr>
            </w:pPr>
            <w:r>
              <w:rPr>
                <w:rFonts w:hint="eastAsia" w:ascii="仿宋" w:hAnsi="仿宋" w:eastAsia="仿宋" w:cs="仿宋"/>
                <w:sz w:val="21"/>
                <w:szCs w:val="21"/>
              </w:rPr>
              <w:t>符合招标文件第二章“投标人须知前附表”1.3.6要求。</w:t>
            </w:r>
          </w:p>
        </w:tc>
      </w:tr>
      <w:tr w14:paraId="296507F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52" w:type="dxa"/>
            <w:vMerge w:val="continue"/>
            <w:vAlign w:val="center"/>
          </w:tcPr>
          <w:p w14:paraId="1C9DAE54">
            <w:pPr>
              <w:adjustRightInd w:val="0"/>
              <w:snapToGrid w:val="0"/>
              <w:spacing w:line="240" w:lineRule="auto"/>
              <w:rPr>
                <w:rFonts w:hint="eastAsia" w:ascii="仿宋" w:hAnsi="仿宋" w:eastAsia="仿宋" w:cs="仿宋"/>
                <w:szCs w:val="21"/>
              </w:rPr>
            </w:pPr>
          </w:p>
        </w:tc>
        <w:tc>
          <w:tcPr>
            <w:tcW w:w="2351" w:type="dxa"/>
            <w:gridSpan w:val="2"/>
            <w:vAlign w:val="center"/>
          </w:tcPr>
          <w:p w14:paraId="68358921">
            <w:pPr>
              <w:adjustRightInd w:val="0"/>
              <w:snapToGrid w:val="0"/>
              <w:spacing w:line="240" w:lineRule="auto"/>
              <w:jc w:val="center"/>
              <w:rPr>
                <w:rFonts w:hint="eastAsia" w:ascii="仿宋" w:hAnsi="仿宋" w:eastAsia="仿宋" w:cs="仿宋"/>
                <w:sz w:val="21"/>
                <w:szCs w:val="21"/>
              </w:rPr>
            </w:pPr>
            <w:r>
              <w:rPr>
                <w:rFonts w:hint="eastAsia" w:ascii="仿宋" w:hAnsi="仿宋" w:eastAsia="仿宋" w:cs="仿宋"/>
                <w:sz w:val="21"/>
                <w:szCs w:val="21"/>
              </w:rPr>
              <w:t>投标有效期</w:t>
            </w:r>
          </w:p>
        </w:tc>
        <w:tc>
          <w:tcPr>
            <w:tcW w:w="6763" w:type="dxa"/>
            <w:vAlign w:val="center"/>
          </w:tcPr>
          <w:p w14:paraId="68DAB52A">
            <w:pPr>
              <w:adjustRightInd w:val="0"/>
              <w:snapToGrid w:val="0"/>
              <w:spacing w:line="240" w:lineRule="auto"/>
              <w:rPr>
                <w:rFonts w:hint="eastAsia" w:ascii="仿宋" w:hAnsi="仿宋" w:eastAsia="仿宋" w:cs="仿宋"/>
                <w:sz w:val="21"/>
                <w:szCs w:val="21"/>
              </w:rPr>
            </w:pPr>
            <w:r>
              <w:rPr>
                <w:rFonts w:hint="eastAsia" w:ascii="仿宋" w:hAnsi="仿宋" w:eastAsia="仿宋" w:cs="仿宋"/>
                <w:sz w:val="21"/>
                <w:szCs w:val="21"/>
              </w:rPr>
              <w:t>投标有效期满足招标文件要求。</w:t>
            </w:r>
          </w:p>
        </w:tc>
      </w:tr>
      <w:tr w14:paraId="5FE47AE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84" w:hRule="atLeast"/>
          <w:jc w:val="center"/>
        </w:trPr>
        <w:tc>
          <w:tcPr>
            <w:tcW w:w="952" w:type="dxa"/>
            <w:vMerge w:val="continue"/>
            <w:vAlign w:val="center"/>
          </w:tcPr>
          <w:p w14:paraId="23EF644D">
            <w:pPr>
              <w:adjustRightInd w:val="0"/>
              <w:snapToGrid w:val="0"/>
              <w:spacing w:line="240" w:lineRule="auto"/>
              <w:rPr>
                <w:rFonts w:hint="eastAsia" w:ascii="仿宋" w:hAnsi="仿宋" w:eastAsia="仿宋" w:cs="仿宋"/>
                <w:szCs w:val="21"/>
              </w:rPr>
            </w:pPr>
          </w:p>
        </w:tc>
        <w:tc>
          <w:tcPr>
            <w:tcW w:w="2351" w:type="dxa"/>
            <w:gridSpan w:val="2"/>
            <w:vAlign w:val="center"/>
          </w:tcPr>
          <w:p w14:paraId="31E7A215">
            <w:pPr>
              <w:pStyle w:val="21"/>
              <w:adjustRightInd w:val="0"/>
              <w:snapToGrid w:val="0"/>
              <w:spacing w:before="0" w:beforeAutospacing="0" w:after="0" w:afterAutospacing="0" w:line="240" w:lineRule="auto"/>
              <w:jc w:val="center"/>
              <w:rPr>
                <w:rFonts w:hint="eastAsia" w:ascii="仿宋" w:hAnsi="仿宋" w:eastAsia="仿宋" w:cs="仿宋"/>
                <w:sz w:val="21"/>
                <w:szCs w:val="21"/>
              </w:rPr>
            </w:pPr>
            <w:r>
              <w:rPr>
                <w:rFonts w:hint="eastAsia" w:ascii="仿宋" w:hAnsi="仿宋" w:eastAsia="仿宋" w:cs="仿宋"/>
                <w:sz w:val="21"/>
                <w:szCs w:val="21"/>
              </w:rPr>
              <w:t>法定代表人身份证明书</w:t>
            </w:r>
          </w:p>
        </w:tc>
        <w:tc>
          <w:tcPr>
            <w:tcW w:w="6763" w:type="dxa"/>
            <w:vAlign w:val="center"/>
          </w:tcPr>
          <w:p w14:paraId="1E41DDBE">
            <w:pPr>
              <w:autoSpaceDE w:val="0"/>
              <w:autoSpaceDN w:val="0"/>
              <w:adjustRightInd w:val="0"/>
              <w:snapToGrid w:val="0"/>
              <w:spacing w:line="240" w:lineRule="auto"/>
              <w:rPr>
                <w:rFonts w:hint="eastAsia" w:ascii="仿宋" w:hAnsi="仿宋" w:eastAsia="仿宋" w:cs="仿宋"/>
                <w:sz w:val="21"/>
                <w:szCs w:val="21"/>
              </w:rPr>
            </w:pPr>
            <w:r>
              <w:rPr>
                <w:rFonts w:hint="eastAsia" w:ascii="仿宋" w:hAnsi="仿宋" w:eastAsia="仿宋" w:cs="仿宋"/>
                <w:sz w:val="21"/>
                <w:szCs w:val="21"/>
              </w:rPr>
              <w:t>按规定格式填写及签章。</w:t>
            </w:r>
          </w:p>
        </w:tc>
      </w:tr>
      <w:tr w14:paraId="225B4EC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52" w:type="dxa"/>
            <w:vMerge w:val="continue"/>
            <w:vAlign w:val="center"/>
          </w:tcPr>
          <w:p w14:paraId="5B4B77DC">
            <w:pPr>
              <w:adjustRightInd w:val="0"/>
              <w:snapToGrid w:val="0"/>
              <w:spacing w:line="240" w:lineRule="auto"/>
              <w:rPr>
                <w:rFonts w:hint="eastAsia" w:ascii="仿宋" w:hAnsi="仿宋" w:eastAsia="仿宋" w:cs="仿宋"/>
                <w:szCs w:val="21"/>
              </w:rPr>
            </w:pPr>
          </w:p>
        </w:tc>
        <w:tc>
          <w:tcPr>
            <w:tcW w:w="2351" w:type="dxa"/>
            <w:gridSpan w:val="2"/>
            <w:vAlign w:val="center"/>
          </w:tcPr>
          <w:p w14:paraId="79421680">
            <w:pPr>
              <w:pStyle w:val="21"/>
              <w:adjustRightInd w:val="0"/>
              <w:snapToGrid w:val="0"/>
              <w:spacing w:before="0" w:beforeAutospacing="0" w:after="0" w:afterAutospacing="0" w:line="240" w:lineRule="auto"/>
              <w:jc w:val="center"/>
              <w:rPr>
                <w:rFonts w:hint="eastAsia" w:ascii="仿宋" w:hAnsi="仿宋" w:eastAsia="仿宋" w:cs="仿宋"/>
                <w:sz w:val="21"/>
                <w:szCs w:val="21"/>
              </w:rPr>
            </w:pPr>
            <w:r>
              <w:rPr>
                <w:rFonts w:hint="eastAsia" w:ascii="仿宋" w:hAnsi="仿宋" w:eastAsia="仿宋" w:cs="仿宋"/>
                <w:sz w:val="21"/>
                <w:szCs w:val="21"/>
              </w:rPr>
              <w:t>法定代表人授权委托书</w:t>
            </w:r>
          </w:p>
        </w:tc>
        <w:tc>
          <w:tcPr>
            <w:tcW w:w="6763" w:type="dxa"/>
            <w:vAlign w:val="center"/>
          </w:tcPr>
          <w:p w14:paraId="776615B2">
            <w:pPr>
              <w:autoSpaceDE w:val="0"/>
              <w:autoSpaceDN w:val="0"/>
              <w:adjustRightInd w:val="0"/>
              <w:snapToGrid w:val="0"/>
              <w:spacing w:line="240" w:lineRule="auto"/>
              <w:rPr>
                <w:rFonts w:hint="eastAsia" w:ascii="仿宋" w:hAnsi="仿宋" w:eastAsia="仿宋" w:cs="仿宋"/>
                <w:sz w:val="21"/>
                <w:szCs w:val="21"/>
              </w:rPr>
            </w:pPr>
            <w:r>
              <w:rPr>
                <w:rFonts w:hint="eastAsia" w:ascii="仿宋" w:hAnsi="仿宋" w:eastAsia="仿宋" w:cs="仿宋"/>
                <w:sz w:val="21"/>
                <w:szCs w:val="21"/>
              </w:rPr>
              <w:t>按规定格式填写及签章。</w:t>
            </w:r>
          </w:p>
        </w:tc>
      </w:tr>
      <w:tr w14:paraId="36C99B9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52" w:type="dxa"/>
            <w:vMerge w:val="continue"/>
            <w:vAlign w:val="center"/>
          </w:tcPr>
          <w:p w14:paraId="23E98DD8">
            <w:pPr>
              <w:adjustRightInd w:val="0"/>
              <w:snapToGrid w:val="0"/>
              <w:spacing w:line="240" w:lineRule="auto"/>
              <w:rPr>
                <w:rFonts w:hint="eastAsia" w:ascii="仿宋" w:hAnsi="仿宋" w:eastAsia="仿宋" w:cs="仿宋"/>
                <w:szCs w:val="21"/>
              </w:rPr>
            </w:pPr>
          </w:p>
        </w:tc>
        <w:tc>
          <w:tcPr>
            <w:tcW w:w="2351" w:type="dxa"/>
            <w:gridSpan w:val="2"/>
            <w:vAlign w:val="center"/>
          </w:tcPr>
          <w:p w14:paraId="51F36CBD">
            <w:pPr>
              <w:pStyle w:val="21"/>
              <w:adjustRightInd w:val="0"/>
              <w:snapToGrid w:val="0"/>
              <w:spacing w:before="0" w:beforeAutospacing="0" w:after="0" w:afterAutospacing="0" w:line="240" w:lineRule="auto"/>
              <w:jc w:val="center"/>
              <w:rPr>
                <w:rFonts w:hint="eastAsia" w:ascii="仿宋" w:hAnsi="仿宋" w:eastAsia="仿宋" w:cs="仿宋"/>
                <w:kern w:val="2"/>
                <w:sz w:val="21"/>
                <w:szCs w:val="21"/>
              </w:rPr>
            </w:pPr>
            <w:r>
              <w:rPr>
                <w:rFonts w:hint="eastAsia" w:ascii="仿宋" w:hAnsi="仿宋" w:eastAsia="仿宋" w:cs="仿宋"/>
                <w:kern w:val="2"/>
                <w:sz w:val="21"/>
                <w:szCs w:val="21"/>
              </w:rPr>
              <w:t>法定代表人或授权代理人居民身份证</w:t>
            </w:r>
          </w:p>
        </w:tc>
        <w:tc>
          <w:tcPr>
            <w:tcW w:w="6763" w:type="dxa"/>
            <w:vAlign w:val="center"/>
          </w:tcPr>
          <w:p w14:paraId="029F5D44">
            <w:pPr>
              <w:adjustRightInd w:val="0"/>
              <w:snapToGrid w:val="0"/>
              <w:spacing w:line="240" w:lineRule="auto"/>
              <w:rPr>
                <w:rFonts w:hint="eastAsia" w:ascii="仿宋" w:hAnsi="仿宋" w:eastAsia="仿宋" w:cs="仿宋"/>
                <w:sz w:val="21"/>
                <w:szCs w:val="21"/>
              </w:rPr>
            </w:pPr>
            <w:r>
              <w:rPr>
                <w:rFonts w:hint="eastAsia" w:ascii="仿宋" w:hAnsi="仿宋" w:eastAsia="仿宋" w:cs="仿宋"/>
                <w:sz w:val="21"/>
                <w:szCs w:val="21"/>
              </w:rPr>
              <w:t>具备有效证件，附原件扫描件。</w:t>
            </w:r>
          </w:p>
        </w:tc>
      </w:tr>
      <w:tr w14:paraId="35365BD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18" w:hRule="atLeast"/>
          <w:jc w:val="center"/>
        </w:trPr>
        <w:tc>
          <w:tcPr>
            <w:tcW w:w="952" w:type="dxa"/>
            <w:vMerge w:val="continue"/>
            <w:vAlign w:val="center"/>
          </w:tcPr>
          <w:p w14:paraId="6F620DC6">
            <w:pPr>
              <w:adjustRightInd w:val="0"/>
              <w:snapToGrid w:val="0"/>
              <w:spacing w:line="240" w:lineRule="auto"/>
              <w:rPr>
                <w:rFonts w:hint="eastAsia" w:ascii="仿宋" w:hAnsi="仿宋" w:eastAsia="仿宋" w:cs="仿宋"/>
                <w:szCs w:val="21"/>
              </w:rPr>
            </w:pPr>
          </w:p>
        </w:tc>
        <w:tc>
          <w:tcPr>
            <w:tcW w:w="2351" w:type="dxa"/>
            <w:gridSpan w:val="2"/>
            <w:vAlign w:val="center"/>
          </w:tcPr>
          <w:p w14:paraId="1FB75EB1">
            <w:pPr>
              <w:pStyle w:val="21"/>
              <w:adjustRightInd w:val="0"/>
              <w:snapToGrid w:val="0"/>
              <w:spacing w:before="0" w:beforeAutospacing="0" w:after="0" w:afterAutospacing="0" w:line="240" w:lineRule="auto"/>
              <w:jc w:val="center"/>
              <w:rPr>
                <w:rFonts w:hint="eastAsia" w:ascii="仿宋" w:hAnsi="仿宋" w:eastAsia="仿宋" w:cs="仿宋"/>
                <w:kern w:val="2"/>
                <w:sz w:val="21"/>
                <w:szCs w:val="21"/>
              </w:rPr>
            </w:pPr>
            <w:r>
              <w:rPr>
                <w:rFonts w:hint="eastAsia" w:ascii="仿宋" w:hAnsi="仿宋" w:eastAsia="仿宋" w:cs="仿宋"/>
                <w:sz w:val="21"/>
                <w:szCs w:val="21"/>
              </w:rPr>
              <w:t>采购人补充的其他内容</w:t>
            </w:r>
          </w:p>
        </w:tc>
        <w:tc>
          <w:tcPr>
            <w:tcW w:w="6763" w:type="dxa"/>
            <w:vAlign w:val="center"/>
          </w:tcPr>
          <w:p w14:paraId="58B86638">
            <w:pPr>
              <w:adjustRightInd w:val="0"/>
              <w:snapToGrid w:val="0"/>
              <w:spacing w:line="240" w:lineRule="auto"/>
              <w:rPr>
                <w:rFonts w:hint="eastAsia" w:ascii="仿宋" w:hAnsi="仿宋" w:eastAsia="仿宋" w:cs="仿宋"/>
                <w:sz w:val="21"/>
                <w:szCs w:val="21"/>
              </w:rPr>
            </w:pPr>
            <w:r>
              <w:rPr>
                <w:rFonts w:hint="eastAsia" w:ascii="仿宋" w:hAnsi="仿宋" w:eastAsia="仿宋" w:cs="仿宋"/>
                <w:sz w:val="21"/>
                <w:szCs w:val="21"/>
              </w:rPr>
              <w:t>符合招标文件第二章“投标人须知前附表10.4.6采购人补充的其他内容”的要求。</w:t>
            </w:r>
          </w:p>
        </w:tc>
      </w:tr>
      <w:tr w14:paraId="58FF49C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52" w:type="dxa"/>
            <w:vMerge w:val="continue"/>
            <w:vAlign w:val="center"/>
          </w:tcPr>
          <w:p w14:paraId="016E3DB9">
            <w:pPr>
              <w:adjustRightInd w:val="0"/>
              <w:snapToGrid w:val="0"/>
              <w:spacing w:line="240" w:lineRule="auto"/>
              <w:rPr>
                <w:rFonts w:hint="eastAsia" w:ascii="仿宋" w:hAnsi="仿宋" w:eastAsia="仿宋" w:cs="仿宋"/>
                <w:szCs w:val="21"/>
              </w:rPr>
            </w:pPr>
          </w:p>
        </w:tc>
        <w:tc>
          <w:tcPr>
            <w:tcW w:w="2351" w:type="dxa"/>
            <w:gridSpan w:val="2"/>
            <w:vAlign w:val="center"/>
          </w:tcPr>
          <w:p w14:paraId="7D4283EC">
            <w:pPr>
              <w:adjustRightInd w:val="0"/>
              <w:snapToGrid w:val="0"/>
              <w:spacing w:line="240" w:lineRule="auto"/>
              <w:jc w:val="center"/>
              <w:rPr>
                <w:rFonts w:hint="eastAsia" w:ascii="仿宋" w:hAnsi="仿宋" w:eastAsia="仿宋" w:cs="仿宋"/>
                <w:sz w:val="21"/>
                <w:szCs w:val="21"/>
              </w:rPr>
            </w:pPr>
            <w:r>
              <w:rPr>
                <w:rFonts w:hint="eastAsia" w:ascii="仿宋" w:hAnsi="仿宋" w:eastAsia="仿宋" w:cs="仿宋"/>
                <w:sz w:val="21"/>
                <w:szCs w:val="21"/>
              </w:rPr>
              <w:t>其他投标无效情形</w:t>
            </w:r>
          </w:p>
        </w:tc>
        <w:tc>
          <w:tcPr>
            <w:tcW w:w="6763" w:type="dxa"/>
            <w:vAlign w:val="center"/>
          </w:tcPr>
          <w:p w14:paraId="7BCBEAE5">
            <w:pPr>
              <w:adjustRightInd w:val="0"/>
              <w:snapToGrid w:val="0"/>
              <w:spacing w:line="240" w:lineRule="auto"/>
              <w:rPr>
                <w:rFonts w:hint="eastAsia" w:ascii="仿宋" w:hAnsi="仿宋" w:eastAsia="仿宋" w:cs="仿宋"/>
                <w:sz w:val="21"/>
                <w:szCs w:val="21"/>
              </w:rPr>
            </w:pPr>
            <w:r>
              <w:rPr>
                <w:rFonts w:hint="eastAsia" w:ascii="仿宋" w:hAnsi="仿宋" w:eastAsia="仿宋" w:cs="仿宋"/>
                <w:sz w:val="21"/>
                <w:szCs w:val="21"/>
              </w:rPr>
              <w:t>投标人存在招标文件规定的“其他投标无效情形”中任意情形之一的，投标无效。</w:t>
            </w:r>
          </w:p>
        </w:tc>
      </w:tr>
      <w:tr w14:paraId="4D55A82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52" w:type="dxa"/>
            <w:vAlign w:val="center"/>
          </w:tcPr>
          <w:p w14:paraId="54BF2BFE">
            <w:pPr>
              <w:adjustRightInd w:val="0"/>
              <w:snapToGrid w:val="0"/>
              <w:spacing w:line="240" w:lineRule="auto"/>
              <w:jc w:val="center"/>
              <w:rPr>
                <w:rFonts w:hint="eastAsia" w:ascii="仿宋" w:hAnsi="仿宋" w:eastAsia="仿宋" w:cs="仿宋"/>
                <w:b/>
                <w:sz w:val="21"/>
                <w:szCs w:val="21"/>
              </w:rPr>
            </w:pPr>
            <w:r>
              <w:rPr>
                <w:rFonts w:hint="eastAsia" w:ascii="仿宋" w:hAnsi="仿宋" w:eastAsia="仿宋" w:cs="仿宋"/>
                <w:b/>
                <w:sz w:val="21"/>
                <w:szCs w:val="21"/>
              </w:rPr>
              <w:t>条款号</w:t>
            </w:r>
          </w:p>
        </w:tc>
        <w:tc>
          <w:tcPr>
            <w:tcW w:w="2351" w:type="dxa"/>
            <w:gridSpan w:val="2"/>
            <w:vAlign w:val="center"/>
          </w:tcPr>
          <w:p w14:paraId="4507860A">
            <w:pPr>
              <w:adjustRightInd w:val="0"/>
              <w:snapToGrid w:val="0"/>
              <w:spacing w:line="240" w:lineRule="auto"/>
              <w:jc w:val="center"/>
              <w:rPr>
                <w:rFonts w:hint="eastAsia" w:ascii="仿宋" w:hAnsi="仿宋" w:eastAsia="仿宋" w:cs="仿宋"/>
                <w:b/>
                <w:sz w:val="21"/>
                <w:szCs w:val="21"/>
              </w:rPr>
            </w:pPr>
            <w:r>
              <w:rPr>
                <w:rFonts w:hint="eastAsia" w:ascii="仿宋" w:hAnsi="仿宋" w:eastAsia="仿宋" w:cs="仿宋"/>
                <w:b/>
                <w:sz w:val="21"/>
                <w:szCs w:val="21"/>
              </w:rPr>
              <w:t>条款内容</w:t>
            </w:r>
          </w:p>
        </w:tc>
        <w:tc>
          <w:tcPr>
            <w:tcW w:w="6763" w:type="dxa"/>
            <w:vAlign w:val="center"/>
          </w:tcPr>
          <w:p w14:paraId="4CAE1482">
            <w:pPr>
              <w:adjustRightInd w:val="0"/>
              <w:snapToGrid w:val="0"/>
              <w:spacing w:line="240" w:lineRule="auto"/>
              <w:jc w:val="center"/>
              <w:rPr>
                <w:rFonts w:hint="eastAsia" w:ascii="仿宋" w:hAnsi="仿宋" w:eastAsia="仿宋" w:cs="仿宋"/>
                <w:b/>
                <w:sz w:val="21"/>
                <w:szCs w:val="21"/>
              </w:rPr>
            </w:pPr>
            <w:r>
              <w:rPr>
                <w:rFonts w:hint="eastAsia" w:ascii="仿宋" w:hAnsi="仿宋" w:eastAsia="仿宋" w:cs="仿宋"/>
                <w:b/>
                <w:sz w:val="21"/>
                <w:szCs w:val="21"/>
              </w:rPr>
              <w:t>编列内容</w:t>
            </w:r>
          </w:p>
        </w:tc>
      </w:tr>
      <w:tr w14:paraId="30DFCD8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288" w:hRule="atLeast"/>
          <w:jc w:val="center"/>
        </w:trPr>
        <w:tc>
          <w:tcPr>
            <w:tcW w:w="952" w:type="dxa"/>
            <w:vMerge w:val="restart"/>
            <w:vAlign w:val="center"/>
          </w:tcPr>
          <w:p w14:paraId="6A1FB8DA">
            <w:pPr>
              <w:adjustRightInd w:val="0"/>
              <w:snapToGrid w:val="0"/>
              <w:spacing w:line="240" w:lineRule="auto"/>
              <w:jc w:val="center"/>
              <w:rPr>
                <w:rFonts w:hint="eastAsia" w:ascii="仿宋" w:hAnsi="仿宋" w:eastAsia="仿宋" w:cs="仿宋"/>
                <w:sz w:val="21"/>
                <w:szCs w:val="21"/>
              </w:rPr>
            </w:pPr>
            <w:r>
              <w:rPr>
                <w:rFonts w:hint="eastAsia" w:ascii="仿宋" w:hAnsi="仿宋" w:eastAsia="仿宋" w:cs="仿宋"/>
                <w:sz w:val="21"/>
                <w:szCs w:val="21"/>
              </w:rPr>
              <w:t>详细评审</w:t>
            </w:r>
          </w:p>
          <w:p w14:paraId="5E036C3E">
            <w:pPr>
              <w:adjustRightInd w:val="0"/>
              <w:snapToGrid w:val="0"/>
              <w:spacing w:line="240" w:lineRule="auto"/>
              <w:jc w:val="center"/>
              <w:rPr>
                <w:rFonts w:hint="eastAsia" w:ascii="仿宋" w:hAnsi="仿宋" w:eastAsia="仿宋" w:cs="仿宋"/>
                <w:sz w:val="21"/>
                <w:szCs w:val="21"/>
              </w:rPr>
            </w:pPr>
            <w:r>
              <w:rPr>
                <w:rFonts w:hint="eastAsia" w:ascii="仿宋" w:hAnsi="仿宋" w:eastAsia="仿宋" w:cs="仿宋"/>
                <w:sz w:val="21"/>
                <w:szCs w:val="21"/>
              </w:rPr>
              <w:t>（综合评分法）</w:t>
            </w:r>
          </w:p>
        </w:tc>
        <w:tc>
          <w:tcPr>
            <w:tcW w:w="1134" w:type="dxa"/>
            <w:vAlign w:val="center"/>
          </w:tcPr>
          <w:p w14:paraId="445C79B0">
            <w:pPr>
              <w:adjustRightInd w:val="0"/>
              <w:snapToGrid w:val="0"/>
              <w:spacing w:line="240" w:lineRule="auto"/>
              <w:jc w:val="center"/>
              <w:rPr>
                <w:rFonts w:hint="eastAsia" w:ascii="仿宋" w:hAnsi="仿宋" w:eastAsia="仿宋" w:cs="仿宋"/>
                <w:sz w:val="21"/>
                <w:szCs w:val="21"/>
              </w:rPr>
            </w:pPr>
            <w:r>
              <w:rPr>
                <w:rFonts w:hint="eastAsia" w:ascii="仿宋" w:hAnsi="仿宋" w:eastAsia="仿宋" w:cs="仿宋"/>
                <w:sz w:val="21"/>
                <w:szCs w:val="21"/>
              </w:rPr>
              <w:t>2.1</w:t>
            </w:r>
          </w:p>
        </w:tc>
        <w:tc>
          <w:tcPr>
            <w:tcW w:w="1217" w:type="dxa"/>
            <w:vAlign w:val="center"/>
          </w:tcPr>
          <w:p w14:paraId="2AB535BF">
            <w:pPr>
              <w:adjustRightInd w:val="0"/>
              <w:snapToGrid w:val="0"/>
              <w:spacing w:line="240" w:lineRule="auto"/>
              <w:jc w:val="center"/>
              <w:rPr>
                <w:rFonts w:hint="eastAsia" w:ascii="仿宋" w:hAnsi="仿宋" w:eastAsia="仿宋" w:cs="仿宋"/>
                <w:sz w:val="21"/>
                <w:szCs w:val="21"/>
              </w:rPr>
            </w:pPr>
            <w:r>
              <w:rPr>
                <w:rFonts w:hint="eastAsia" w:ascii="仿宋" w:hAnsi="仿宋" w:eastAsia="仿宋" w:cs="仿宋"/>
                <w:sz w:val="21"/>
                <w:szCs w:val="21"/>
              </w:rPr>
              <w:t>评标总得分计算公式</w:t>
            </w:r>
          </w:p>
        </w:tc>
        <w:tc>
          <w:tcPr>
            <w:tcW w:w="6763" w:type="dxa"/>
            <w:vAlign w:val="center"/>
          </w:tcPr>
          <w:p w14:paraId="04DBADF1">
            <w:pPr>
              <w:adjustRightInd w:val="0"/>
              <w:snapToGrid w:val="0"/>
              <w:spacing w:line="240" w:lineRule="auto"/>
              <w:rPr>
                <w:rFonts w:hint="eastAsia" w:ascii="仿宋" w:hAnsi="仿宋" w:eastAsia="仿宋" w:cs="仿宋"/>
                <w:sz w:val="21"/>
                <w:szCs w:val="21"/>
              </w:rPr>
            </w:pPr>
            <w:r>
              <w:rPr>
                <w:rFonts w:hint="eastAsia" w:ascii="仿宋" w:hAnsi="仿宋" w:eastAsia="仿宋" w:cs="仿宋"/>
                <w:sz w:val="21"/>
                <w:szCs w:val="21"/>
              </w:rPr>
              <w:t>投标人的评标总得分＝F1＋F2＋F3</w:t>
            </w:r>
          </w:p>
          <w:p w14:paraId="7AACA9F3">
            <w:pPr>
              <w:adjustRightInd w:val="0"/>
              <w:snapToGrid w:val="0"/>
              <w:spacing w:line="240" w:lineRule="auto"/>
              <w:rPr>
                <w:rFonts w:hint="eastAsia" w:ascii="仿宋" w:hAnsi="仿宋" w:eastAsia="仿宋" w:cs="仿宋"/>
                <w:sz w:val="21"/>
                <w:szCs w:val="21"/>
              </w:rPr>
            </w:pPr>
            <w:r>
              <w:rPr>
                <w:rFonts w:hint="eastAsia" w:ascii="仿宋" w:hAnsi="仿宋" w:eastAsia="仿宋" w:cs="仿宋"/>
                <w:sz w:val="21"/>
                <w:szCs w:val="21"/>
              </w:rPr>
              <w:t>其中：</w:t>
            </w:r>
          </w:p>
          <w:p w14:paraId="4D00C058">
            <w:pPr>
              <w:adjustRightInd w:val="0"/>
              <w:snapToGrid w:val="0"/>
              <w:spacing w:line="240" w:lineRule="auto"/>
              <w:rPr>
                <w:rFonts w:hint="eastAsia" w:ascii="仿宋" w:hAnsi="仿宋" w:eastAsia="仿宋" w:cs="仿宋"/>
                <w:sz w:val="21"/>
                <w:szCs w:val="21"/>
              </w:rPr>
            </w:pPr>
            <w:r>
              <w:rPr>
                <w:rFonts w:hint="eastAsia" w:ascii="仿宋" w:hAnsi="仿宋" w:eastAsia="仿宋" w:cs="仿宋"/>
                <w:sz w:val="21"/>
                <w:szCs w:val="21"/>
              </w:rPr>
              <w:t>F1、F2、F3分别为配餐方案、技术部分、商务部分3项评分因素的汇总得分；</w:t>
            </w:r>
          </w:p>
        </w:tc>
      </w:tr>
      <w:tr w14:paraId="2322628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52" w:type="dxa"/>
            <w:vMerge w:val="continue"/>
            <w:vAlign w:val="center"/>
          </w:tcPr>
          <w:p w14:paraId="14DD9568">
            <w:pPr>
              <w:adjustRightInd w:val="0"/>
              <w:snapToGrid w:val="0"/>
              <w:spacing w:line="240" w:lineRule="auto"/>
              <w:jc w:val="center"/>
              <w:rPr>
                <w:rFonts w:hint="eastAsia" w:ascii="仿宋" w:hAnsi="仿宋" w:eastAsia="仿宋" w:cs="仿宋"/>
                <w:sz w:val="21"/>
                <w:szCs w:val="21"/>
              </w:rPr>
            </w:pPr>
          </w:p>
        </w:tc>
        <w:tc>
          <w:tcPr>
            <w:tcW w:w="1134" w:type="dxa"/>
            <w:vAlign w:val="center"/>
          </w:tcPr>
          <w:p w14:paraId="13B981F0">
            <w:pPr>
              <w:adjustRightInd w:val="0"/>
              <w:snapToGrid w:val="0"/>
              <w:spacing w:line="240" w:lineRule="auto"/>
              <w:jc w:val="center"/>
              <w:rPr>
                <w:rFonts w:hint="eastAsia" w:ascii="仿宋" w:hAnsi="仿宋" w:eastAsia="仿宋" w:cs="仿宋"/>
                <w:sz w:val="21"/>
                <w:szCs w:val="21"/>
              </w:rPr>
            </w:pPr>
            <w:r>
              <w:rPr>
                <w:rFonts w:hint="eastAsia" w:ascii="仿宋" w:hAnsi="仿宋" w:eastAsia="仿宋" w:cs="仿宋"/>
                <w:sz w:val="21"/>
                <w:szCs w:val="21"/>
              </w:rPr>
              <w:t>2.2</w:t>
            </w:r>
          </w:p>
        </w:tc>
        <w:tc>
          <w:tcPr>
            <w:tcW w:w="1217" w:type="dxa"/>
            <w:vAlign w:val="center"/>
          </w:tcPr>
          <w:p w14:paraId="4EBA8EC8">
            <w:pPr>
              <w:adjustRightInd w:val="0"/>
              <w:snapToGrid w:val="0"/>
              <w:spacing w:line="240" w:lineRule="auto"/>
              <w:jc w:val="center"/>
              <w:rPr>
                <w:rFonts w:hint="eastAsia" w:ascii="仿宋" w:hAnsi="仿宋" w:eastAsia="仿宋" w:cs="仿宋"/>
                <w:sz w:val="21"/>
                <w:szCs w:val="21"/>
              </w:rPr>
            </w:pPr>
            <w:r>
              <w:rPr>
                <w:rFonts w:hint="eastAsia" w:ascii="仿宋" w:hAnsi="仿宋" w:eastAsia="仿宋" w:cs="仿宋"/>
                <w:sz w:val="21"/>
                <w:szCs w:val="21"/>
              </w:rPr>
              <w:t>评分因素权重</w:t>
            </w:r>
          </w:p>
        </w:tc>
        <w:tc>
          <w:tcPr>
            <w:tcW w:w="6763" w:type="dxa"/>
            <w:vAlign w:val="center"/>
          </w:tcPr>
          <w:p w14:paraId="66046A24">
            <w:pPr>
              <w:adjustRightInd w:val="0"/>
              <w:snapToGrid w:val="0"/>
              <w:spacing w:line="240" w:lineRule="auto"/>
              <w:rPr>
                <w:rFonts w:hint="eastAsia" w:ascii="仿宋" w:hAnsi="仿宋" w:eastAsia="仿宋" w:cs="仿宋"/>
              </w:rPr>
            </w:pPr>
            <w:r>
              <w:rPr>
                <w:rFonts w:hint="eastAsia" w:ascii="仿宋" w:hAnsi="仿宋" w:eastAsia="仿宋" w:cs="仿宋"/>
                <w:sz w:val="21"/>
                <w:szCs w:val="21"/>
              </w:rPr>
              <w:t>配餐方案</w:t>
            </w:r>
            <w:r>
              <w:rPr>
                <w:rFonts w:hint="eastAsia" w:ascii="仿宋" w:hAnsi="仿宋" w:eastAsia="仿宋" w:cs="仿宋"/>
              </w:rPr>
              <w:t>F1：30分。</w:t>
            </w:r>
          </w:p>
          <w:p w14:paraId="5268DEF6">
            <w:pPr>
              <w:adjustRightInd w:val="0"/>
              <w:snapToGrid w:val="0"/>
              <w:spacing w:line="240" w:lineRule="auto"/>
              <w:rPr>
                <w:rFonts w:hint="eastAsia" w:ascii="仿宋" w:hAnsi="仿宋" w:eastAsia="仿宋" w:cs="仿宋"/>
              </w:rPr>
            </w:pPr>
            <w:r>
              <w:rPr>
                <w:rFonts w:hint="eastAsia" w:ascii="仿宋" w:hAnsi="仿宋" w:eastAsia="仿宋" w:cs="仿宋"/>
              </w:rPr>
              <w:t>技术部分F2：6</w:t>
            </w:r>
            <w:r>
              <w:rPr>
                <w:rFonts w:hint="eastAsia" w:ascii="仿宋" w:hAnsi="仿宋" w:eastAsia="仿宋" w:cs="仿宋"/>
                <w:lang w:val="en-US" w:eastAsia="zh-CN"/>
              </w:rPr>
              <w:t>5</w:t>
            </w:r>
            <w:r>
              <w:rPr>
                <w:rFonts w:hint="eastAsia" w:ascii="仿宋" w:hAnsi="仿宋" w:eastAsia="仿宋" w:cs="仿宋"/>
              </w:rPr>
              <w:t>分。</w:t>
            </w:r>
          </w:p>
          <w:p w14:paraId="1C3E7530">
            <w:pPr>
              <w:pStyle w:val="13"/>
              <w:adjustRightInd w:val="0"/>
              <w:snapToGrid w:val="0"/>
              <w:spacing w:line="240" w:lineRule="auto"/>
              <w:rPr>
                <w:rFonts w:hint="eastAsia" w:ascii="仿宋" w:hAnsi="仿宋" w:eastAsia="仿宋" w:cs="仿宋"/>
              </w:rPr>
            </w:pPr>
            <w:r>
              <w:rPr>
                <w:rFonts w:hint="eastAsia" w:ascii="仿宋" w:hAnsi="仿宋" w:eastAsia="仿宋" w:cs="仿宋"/>
              </w:rPr>
              <w:t>商务部分</w:t>
            </w:r>
            <w:r>
              <w:rPr>
                <w:rFonts w:hint="eastAsia" w:ascii="仿宋" w:hAnsi="仿宋" w:eastAsia="仿宋" w:cs="仿宋"/>
                <w:kern w:val="0"/>
                <w:sz w:val="20"/>
                <w:szCs w:val="20"/>
              </w:rPr>
              <w:t>F3</w:t>
            </w:r>
            <w:r>
              <w:rPr>
                <w:rFonts w:hint="eastAsia" w:ascii="仿宋" w:hAnsi="仿宋" w:eastAsia="仿宋" w:cs="仿宋"/>
              </w:rPr>
              <w:t>：</w:t>
            </w:r>
            <w:r>
              <w:rPr>
                <w:rFonts w:hint="eastAsia" w:ascii="仿宋" w:hAnsi="仿宋" w:eastAsia="仿宋" w:cs="仿宋"/>
                <w:lang w:val="en-US" w:eastAsia="zh-CN"/>
              </w:rPr>
              <w:t>5</w:t>
            </w:r>
            <w:r>
              <w:rPr>
                <w:rFonts w:hint="eastAsia" w:ascii="仿宋" w:hAnsi="仿宋" w:eastAsia="仿宋" w:cs="仿宋"/>
                <w:kern w:val="0"/>
                <w:sz w:val="20"/>
                <w:szCs w:val="20"/>
              </w:rPr>
              <w:t>分。</w:t>
            </w:r>
          </w:p>
        </w:tc>
      </w:tr>
      <w:tr w14:paraId="1C1E63D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52" w:type="dxa"/>
            <w:vMerge w:val="continue"/>
            <w:vAlign w:val="center"/>
          </w:tcPr>
          <w:p w14:paraId="792B397F">
            <w:pPr>
              <w:adjustRightInd w:val="0"/>
              <w:snapToGrid w:val="0"/>
              <w:spacing w:line="240" w:lineRule="auto"/>
              <w:jc w:val="center"/>
              <w:rPr>
                <w:rFonts w:hint="eastAsia" w:ascii="仿宋" w:hAnsi="仿宋" w:eastAsia="仿宋" w:cs="仿宋"/>
                <w:sz w:val="21"/>
                <w:szCs w:val="21"/>
              </w:rPr>
            </w:pPr>
          </w:p>
        </w:tc>
        <w:tc>
          <w:tcPr>
            <w:tcW w:w="1134" w:type="dxa"/>
            <w:vAlign w:val="center"/>
          </w:tcPr>
          <w:p w14:paraId="0A49B686">
            <w:pPr>
              <w:adjustRightInd w:val="0"/>
              <w:snapToGrid w:val="0"/>
              <w:spacing w:line="240" w:lineRule="auto"/>
              <w:jc w:val="center"/>
              <w:rPr>
                <w:rFonts w:hint="eastAsia" w:ascii="仿宋" w:hAnsi="仿宋" w:eastAsia="仿宋" w:cs="仿宋"/>
                <w:b/>
                <w:sz w:val="21"/>
                <w:szCs w:val="21"/>
              </w:rPr>
            </w:pPr>
            <w:r>
              <w:rPr>
                <w:rFonts w:hint="eastAsia" w:ascii="仿宋" w:hAnsi="仿宋" w:eastAsia="仿宋" w:cs="仿宋"/>
                <w:b/>
                <w:sz w:val="21"/>
                <w:szCs w:val="21"/>
              </w:rPr>
              <w:t>2.3</w:t>
            </w:r>
          </w:p>
        </w:tc>
        <w:tc>
          <w:tcPr>
            <w:tcW w:w="1217" w:type="dxa"/>
            <w:vAlign w:val="center"/>
          </w:tcPr>
          <w:p w14:paraId="48EBF00C">
            <w:pPr>
              <w:adjustRightInd w:val="0"/>
              <w:snapToGrid w:val="0"/>
              <w:spacing w:line="240" w:lineRule="auto"/>
              <w:jc w:val="center"/>
              <w:rPr>
                <w:rFonts w:hint="eastAsia" w:ascii="仿宋" w:hAnsi="仿宋" w:eastAsia="仿宋" w:cs="仿宋"/>
                <w:b/>
                <w:sz w:val="21"/>
                <w:szCs w:val="21"/>
              </w:rPr>
            </w:pPr>
            <w:r>
              <w:rPr>
                <w:rFonts w:hint="eastAsia" w:ascii="仿宋" w:hAnsi="仿宋" w:eastAsia="仿宋" w:cs="仿宋"/>
                <w:b/>
                <w:sz w:val="21"/>
                <w:szCs w:val="21"/>
              </w:rPr>
              <w:t>配餐方案部分评审</w:t>
            </w:r>
          </w:p>
        </w:tc>
        <w:tc>
          <w:tcPr>
            <w:tcW w:w="6763" w:type="dxa"/>
            <w:vAlign w:val="center"/>
          </w:tcPr>
          <w:p w14:paraId="1E64CD22">
            <w:pPr>
              <w:adjustRightInd w:val="0"/>
              <w:snapToGrid w:val="0"/>
              <w:spacing w:line="240" w:lineRule="auto"/>
              <w:jc w:val="center"/>
              <w:rPr>
                <w:rFonts w:hint="eastAsia" w:ascii="仿宋" w:hAnsi="仿宋" w:eastAsia="仿宋" w:cs="仿宋"/>
                <w:b/>
                <w:sz w:val="21"/>
                <w:szCs w:val="21"/>
              </w:rPr>
            </w:pPr>
            <w:r>
              <w:rPr>
                <w:rFonts w:hint="eastAsia" w:ascii="仿宋" w:hAnsi="仿宋" w:eastAsia="仿宋" w:cs="仿宋"/>
                <w:b/>
                <w:sz w:val="21"/>
                <w:szCs w:val="21"/>
              </w:rPr>
              <w:t>F1＝30分</w:t>
            </w:r>
          </w:p>
        </w:tc>
      </w:tr>
      <w:tr w14:paraId="6F4CB25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52" w:type="dxa"/>
            <w:vMerge w:val="continue"/>
            <w:vAlign w:val="center"/>
          </w:tcPr>
          <w:p w14:paraId="54E95525">
            <w:pPr>
              <w:adjustRightInd w:val="0"/>
              <w:snapToGrid w:val="0"/>
              <w:spacing w:line="240" w:lineRule="auto"/>
              <w:jc w:val="center"/>
              <w:rPr>
                <w:rFonts w:hint="eastAsia" w:ascii="仿宋" w:hAnsi="仿宋" w:eastAsia="仿宋" w:cs="仿宋"/>
                <w:sz w:val="21"/>
                <w:szCs w:val="21"/>
              </w:rPr>
            </w:pPr>
          </w:p>
        </w:tc>
        <w:tc>
          <w:tcPr>
            <w:tcW w:w="2351" w:type="dxa"/>
            <w:gridSpan w:val="2"/>
            <w:vAlign w:val="center"/>
          </w:tcPr>
          <w:p w14:paraId="16745A10">
            <w:pPr>
              <w:adjustRightInd w:val="0"/>
              <w:snapToGrid w:val="0"/>
              <w:spacing w:line="240" w:lineRule="auto"/>
              <w:jc w:val="center"/>
              <w:rPr>
                <w:rFonts w:hint="eastAsia" w:ascii="仿宋" w:hAnsi="仿宋" w:eastAsia="仿宋" w:cs="仿宋"/>
                <w:sz w:val="21"/>
                <w:szCs w:val="21"/>
              </w:rPr>
            </w:pPr>
            <w:r>
              <w:rPr>
                <w:rFonts w:hint="eastAsia" w:ascii="仿宋" w:hAnsi="仿宋" w:eastAsia="仿宋" w:cs="仿宋"/>
                <w:sz w:val="21"/>
                <w:szCs w:val="21"/>
              </w:rPr>
              <w:t>配餐方案评审评分</w:t>
            </w:r>
          </w:p>
          <w:p w14:paraId="08AFE7B1">
            <w:pPr>
              <w:adjustRightInd w:val="0"/>
              <w:snapToGrid w:val="0"/>
              <w:spacing w:line="240" w:lineRule="auto"/>
              <w:jc w:val="center"/>
              <w:rPr>
                <w:rFonts w:hint="eastAsia" w:ascii="仿宋" w:hAnsi="仿宋" w:eastAsia="仿宋" w:cs="仿宋"/>
                <w:sz w:val="21"/>
                <w:szCs w:val="21"/>
              </w:rPr>
            </w:pPr>
            <w:r>
              <w:rPr>
                <w:rFonts w:hint="eastAsia" w:ascii="仿宋" w:hAnsi="仿宋" w:eastAsia="仿宋" w:cs="仿宋"/>
                <w:sz w:val="21"/>
                <w:szCs w:val="21"/>
              </w:rPr>
              <w:t>（30分）</w:t>
            </w:r>
          </w:p>
        </w:tc>
        <w:tc>
          <w:tcPr>
            <w:tcW w:w="6763" w:type="dxa"/>
            <w:vAlign w:val="center"/>
          </w:tcPr>
          <w:p w14:paraId="5F58168A">
            <w:pPr>
              <w:adjustRightInd w:val="0"/>
              <w:snapToGrid w:val="0"/>
              <w:spacing w:line="240" w:lineRule="auto"/>
              <w:rPr>
                <w:rFonts w:hint="eastAsia" w:ascii="仿宋" w:hAnsi="仿宋" w:eastAsia="仿宋" w:cs="仿宋"/>
                <w:sz w:val="21"/>
                <w:szCs w:val="21"/>
              </w:rPr>
            </w:pPr>
            <w:r>
              <w:rPr>
                <w:rFonts w:hint="eastAsia" w:ascii="仿宋" w:hAnsi="仿宋" w:eastAsia="仿宋" w:cs="仿宋"/>
                <w:sz w:val="21"/>
                <w:szCs w:val="21"/>
              </w:rPr>
              <w:t>根据招标文件要求的餐费标准，结合营养、健康、科学、合理、性价比的配餐组合方案综合分档评分：</w:t>
            </w:r>
          </w:p>
          <w:p w14:paraId="51659089">
            <w:pPr>
              <w:adjustRightInd w:val="0"/>
              <w:snapToGrid w:val="0"/>
              <w:spacing w:line="240" w:lineRule="auto"/>
              <w:rPr>
                <w:rFonts w:hint="eastAsia" w:ascii="仿宋" w:hAnsi="仿宋" w:eastAsia="仿宋" w:cs="仿宋"/>
                <w:sz w:val="21"/>
                <w:szCs w:val="21"/>
              </w:rPr>
            </w:pPr>
            <w:r>
              <w:rPr>
                <w:rFonts w:hint="eastAsia" w:ascii="仿宋" w:hAnsi="仿宋" w:eastAsia="仿宋" w:cs="仿宋"/>
                <w:sz w:val="21"/>
                <w:szCs w:val="21"/>
              </w:rPr>
              <w:t>1、优：30分；</w:t>
            </w:r>
          </w:p>
          <w:p w14:paraId="4066C0E5">
            <w:pPr>
              <w:adjustRightInd w:val="0"/>
              <w:snapToGrid w:val="0"/>
              <w:spacing w:line="240" w:lineRule="auto"/>
              <w:rPr>
                <w:rFonts w:hint="eastAsia" w:ascii="仿宋" w:hAnsi="仿宋" w:eastAsia="仿宋" w:cs="仿宋"/>
                <w:sz w:val="21"/>
                <w:szCs w:val="21"/>
              </w:rPr>
            </w:pPr>
            <w:r>
              <w:rPr>
                <w:rFonts w:hint="eastAsia" w:ascii="仿宋" w:hAnsi="仿宋" w:eastAsia="仿宋" w:cs="仿宋"/>
                <w:sz w:val="21"/>
                <w:szCs w:val="21"/>
              </w:rPr>
              <w:t>2、良：20分；</w:t>
            </w:r>
          </w:p>
          <w:p w14:paraId="4102E4F6">
            <w:pPr>
              <w:adjustRightInd w:val="0"/>
              <w:snapToGrid w:val="0"/>
              <w:spacing w:line="240" w:lineRule="auto"/>
              <w:rPr>
                <w:rFonts w:hint="eastAsia" w:ascii="仿宋" w:hAnsi="仿宋" w:eastAsia="仿宋" w:cs="仿宋"/>
                <w:sz w:val="21"/>
                <w:szCs w:val="21"/>
              </w:rPr>
            </w:pPr>
            <w:r>
              <w:rPr>
                <w:rFonts w:hint="eastAsia" w:ascii="仿宋" w:hAnsi="仿宋" w:eastAsia="仿宋" w:cs="仿宋"/>
                <w:sz w:val="21"/>
                <w:szCs w:val="21"/>
              </w:rPr>
              <w:t>3、中：12分；</w:t>
            </w:r>
          </w:p>
          <w:p w14:paraId="27168E0E">
            <w:pPr>
              <w:adjustRightInd w:val="0"/>
              <w:snapToGrid w:val="0"/>
              <w:spacing w:line="240" w:lineRule="auto"/>
              <w:rPr>
                <w:rFonts w:hint="eastAsia" w:ascii="仿宋" w:hAnsi="仿宋" w:eastAsia="仿宋" w:cs="仿宋"/>
                <w:sz w:val="21"/>
                <w:szCs w:val="21"/>
                <w:lang w:eastAsia="zh-CN"/>
              </w:rPr>
            </w:pPr>
            <w:r>
              <w:rPr>
                <w:rFonts w:hint="eastAsia" w:ascii="仿宋" w:hAnsi="仿宋" w:eastAsia="仿宋" w:cs="仿宋"/>
                <w:sz w:val="21"/>
                <w:szCs w:val="21"/>
              </w:rPr>
              <w:t>4、一般：6分</w:t>
            </w:r>
            <w:r>
              <w:rPr>
                <w:rFonts w:hint="eastAsia" w:ascii="仿宋" w:hAnsi="仿宋" w:eastAsia="仿宋" w:cs="仿宋"/>
                <w:sz w:val="21"/>
                <w:szCs w:val="21"/>
                <w:lang w:eastAsia="zh-CN"/>
              </w:rPr>
              <w:t>；</w:t>
            </w:r>
          </w:p>
          <w:p w14:paraId="27547D03">
            <w:pPr>
              <w:adjustRightInd w:val="0"/>
              <w:snapToGrid w:val="0"/>
              <w:spacing w:line="240" w:lineRule="auto"/>
              <w:rPr>
                <w:rFonts w:hint="eastAsia" w:ascii="仿宋" w:hAnsi="仿宋" w:eastAsia="仿宋" w:cs="仿宋"/>
                <w:sz w:val="21"/>
                <w:szCs w:val="21"/>
              </w:rPr>
            </w:pPr>
            <w:r>
              <w:rPr>
                <w:rFonts w:hint="eastAsia" w:ascii="仿宋" w:hAnsi="仿宋" w:eastAsia="仿宋" w:cs="仿宋"/>
                <w:sz w:val="21"/>
                <w:szCs w:val="21"/>
              </w:rPr>
              <w:t>5、差：0分</w:t>
            </w:r>
          </w:p>
        </w:tc>
      </w:tr>
      <w:tr w14:paraId="3471A94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52" w:type="dxa"/>
            <w:vMerge w:val="continue"/>
            <w:vAlign w:val="center"/>
          </w:tcPr>
          <w:p w14:paraId="6C624357">
            <w:pPr>
              <w:adjustRightInd w:val="0"/>
              <w:snapToGrid w:val="0"/>
              <w:spacing w:line="240" w:lineRule="auto"/>
              <w:jc w:val="center"/>
              <w:rPr>
                <w:rFonts w:hint="eastAsia" w:ascii="仿宋" w:hAnsi="仿宋" w:eastAsia="仿宋" w:cs="仿宋"/>
                <w:sz w:val="21"/>
                <w:szCs w:val="21"/>
              </w:rPr>
            </w:pPr>
          </w:p>
        </w:tc>
        <w:tc>
          <w:tcPr>
            <w:tcW w:w="1134" w:type="dxa"/>
            <w:vAlign w:val="center"/>
          </w:tcPr>
          <w:p w14:paraId="10BE4024">
            <w:pPr>
              <w:adjustRightInd w:val="0"/>
              <w:snapToGrid w:val="0"/>
              <w:spacing w:line="240" w:lineRule="auto"/>
              <w:jc w:val="center"/>
              <w:rPr>
                <w:rFonts w:hint="eastAsia" w:ascii="仿宋" w:hAnsi="仿宋" w:eastAsia="仿宋" w:cs="仿宋"/>
                <w:b/>
                <w:sz w:val="21"/>
                <w:szCs w:val="21"/>
              </w:rPr>
            </w:pPr>
            <w:r>
              <w:rPr>
                <w:rFonts w:hint="eastAsia" w:ascii="仿宋" w:hAnsi="仿宋" w:eastAsia="仿宋" w:cs="仿宋"/>
                <w:b/>
                <w:sz w:val="21"/>
                <w:szCs w:val="21"/>
              </w:rPr>
              <w:t>2.4</w:t>
            </w:r>
          </w:p>
        </w:tc>
        <w:tc>
          <w:tcPr>
            <w:tcW w:w="1217" w:type="dxa"/>
            <w:vAlign w:val="center"/>
          </w:tcPr>
          <w:p w14:paraId="6DAF6F54">
            <w:pPr>
              <w:adjustRightInd w:val="0"/>
              <w:snapToGrid w:val="0"/>
              <w:spacing w:line="240" w:lineRule="auto"/>
              <w:jc w:val="center"/>
              <w:rPr>
                <w:rFonts w:hint="eastAsia" w:ascii="仿宋" w:hAnsi="仿宋" w:eastAsia="仿宋" w:cs="仿宋"/>
                <w:b/>
                <w:sz w:val="21"/>
                <w:szCs w:val="21"/>
              </w:rPr>
            </w:pPr>
            <w:r>
              <w:rPr>
                <w:rFonts w:hint="eastAsia" w:ascii="仿宋" w:hAnsi="仿宋" w:eastAsia="仿宋" w:cs="仿宋"/>
                <w:b/>
                <w:sz w:val="21"/>
                <w:szCs w:val="21"/>
              </w:rPr>
              <w:t>技术部分评审</w:t>
            </w:r>
          </w:p>
        </w:tc>
        <w:tc>
          <w:tcPr>
            <w:tcW w:w="6763" w:type="dxa"/>
            <w:vAlign w:val="center"/>
          </w:tcPr>
          <w:p w14:paraId="7E4EE9F0">
            <w:pPr>
              <w:adjustRightInd w:val="0"/>
              <w:snapToGrid w:val="0"/>
              <w:spacing w:line="240" w:lineRule="auto"/>
              <w:jc w:val="center"/>
              <w:rPr>
                <w:rFonts w:hint="eastAsia" w:ascii="仿宋" w:hAnsi="仿宋" w:eastAsia="仿宋" w:cs="仿宋"/>
                <w:b/>
                <w:sz w:val="21"/>
                <w:szCs w:val="21"/>
              </w:rPr>
            </w:pPr>
            <w:r>
              <w:rPr>
                <w:rFonts w:hint="eastAsia" w:ascii="仿宋" w:hAnsi="仿宋" w:eastAsia="仿宋" w:cs="仿宋"/>
                <w:b/>
                <w:sz w:val="21"/>
                <w:szCs w:val="21"/>
              </w:rPr>
              <w:t>F2＝6</w:t>
            </w:r>
            <w:r>
              <w:rPr>
                <w:rFonts w:hint="eastAsia" w:ascii="仿宋" w:hAnsi="仿宋" w:eastAsia="仿宋" w:cs="仿宋"/>
                <w:b/>
                <w:sz w:val="21"/>
                <w:szCs w:val="21"/>
                <w:lang w:val="en-US" w:eastAsia="zh-CN"/>
              </w:rPr>
              <w:t>5</w:t>
            </w:r>
            <w:r>
              <w:rPr>
                <w:rFonts w:hint="eastAsia" w:ascii="仿宋" w:hAnsi="仿宋" w:eastAsia="仿宋" w:cs="仿宋"/>
                <w:b/>
                <w:sz w:val="21"/>
                <w:szCs w:val="21"/>
              </w:rPr>
              <w:t>分</w:t>
            </w:r>
          </w:p>
        </w:tc>
      </w:tr>
    </w:tbl>
    <w:p w14:paraId="0777E3D6">
      <w:pPr>
        <w:spacing w:line="360" w:lineRule="auto"/>
        <w:jc w:val="center"/>
        <w:rPr>
          <w:rFonts w:hint="eastAsia" w:ascii="仿宋" w:hAnsi="仿宋" w:eastAsia="仿宋" w:cs="仿宋"/>
          <w:sz w:val="21"/>
          <w:szCs w:val="21"/>
        </w:rPr>
      </w:pPr>
      <w:r>
        <w:rPr>
          <w:rFonts w:hint="eastAsia" w:ascii="仿宋" w:hAnsi="仿宋" w:eastAsia="仿宋" w:cs="仿宋"/>
          <w:sz w:val="21"/>
          <w:szCs w:val="21"/>
        </w:rPr>
        <w:br w:type="page"/>
      </w:r>
    </w:p>
    <w:tbl>
      <w:tblPr>
        <w:tblStyle w:val="26"/>
        <w:tblW w:w="1006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52"/>
        <w:gridCol w:w="1175"/>
        <w:gridCol w:w="1235"/>
        <w:gridCol w:w="6704"/>
      </w:tblGrid>
      <w:tr w14:paraId="35C9591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52" w:type="dxa"/>
            <w:vMerge w:val="restart"/>
            <w:vAlign w:val="center"/>
          </w:tcPr>
          <w:p w14:paraId="1D6C3075">
            <w:pPr>
              <w:pStyle w:val="2"/>
              <w:rPr>
                <w:rFonts w:hint="eastAsia" w:ascii="仿宋" w:hAnsi="仿宋" w:eastAsia="仿宋" w:cs="仿宋"/>
              </w:rPr>
            </w:pPr>
          </w:p>
        </w:tc>
        <w:tc>
          <w:tcPr>
            <w:tcW w:w="2410" w:type="dxa"/>
            <w:gridSpan w:val="2"/>
            <w:vAlign w:val="center"/>
          </w:tcPr>
          <w:p w14:paraId="5A8BB652">
            <w:pPr>
              <w:spacing w:line="360" w:lineRule="auto"/>
              <w:ind w:firstLine="17" w:firstLineChars="8"/>
              <w:jc w:val="both"/>
              <w:rPr>
                <w:rFonts w:hint="eastAsia" w:ascii="仿宋" w:hAnsi="仿宋" w:eastAsia="仿宋" w:cs="仿宋"/>
                <w:b/>
                <w:bCs/>
                <w:sz w:val="21"/>
                <w:szCs w:val="21"/>
              </w:rPr>
            </w:pPr>
            <w:r>
              <w:rPr>
                <w:rFonts w:hint="eastAsia" w:ascii="仿宋" w:hAnsi="仿宋" w:eastAsia="仿宋" w:cs="仿宋"/>
                <w:b/>
                <w:bCs/>
                <w:sz w:val="21"/>
                <w:szCs w:val="21"/>
              </w:rPr>
              <w:t>供餐服务方案（</w:t>
            </w:r>
            <w:r>
              <w:rPr>
                <w:rFonts w:hint="eastAsia" w:ascii="仿宋" w:hAnsi="仿宋" w:eastAsia="仿宋" w:cs="仿宋"/>
                <w:b/>
                <w:bCs/>
                <w:sz w:val="21"/>
                <w:szCs w:val="21"/>
                <w:lang w:val="en-US" w:eastAsia="zh-CN"/>
              </w:rPr>
              <w:t>20</w:t>
            </w:r>
            <w:r>
              <w:rPr>
                <w:rFonts w:hint="eastAsia" w:ascii="仿宋" w:hAnsi="仿宋" w:eastAsia="仿宋" w:cs="仿宋"/>
                <w:b/>
                <w:bCs/>
                <w:sz w:val="21"/>
                <w:szCs w:val="21"/>
              </w:rPr>
              <w:t>分）</w:t>
            </w:r>
          </w:p>
        </w:tc>
        <w:tc>
          <w:tcPr>
            <w:tcW w:w="6704" w:type="dxa"/>
            <w:tcBorders>
              <w:bottom w:val="single" w:color="auto" w:sz="4" w:space="0"/>
            </w:tcBorders>
            <w:vAlign w:val="center"/>
          </w:tcPr>
          <w:p w14:paraId="3CDE3C02">
            <w:pPr>
              <w:spacing w:line="360" w:lineRule="auto"/>
              <w:ind w:firstLine="17" w:firstLineChars="8"/>
              <w:jc w:val="both"/>
              <w:rPr>
                <w:rFonts w:hint="eastAsia" w:ascii="仿宋" w:hAnsi="仿宋" w:eastAsia="仿宋" w:cs="仿宋"/>
                <w:b/>
                <w:bCs/>
                <w:sz w:val="21"/>
                <w:szCs w:val="21"/>
              </w:rPr>
            </w:pPr>
            <w:r>
              <w:rPr>
                <w:rFonts w:hint="eastAsia" w:ascii="仿宋" w:hAnsi="仿宋" w:eastAsia="仿宋" w:cs="仿宋"/>
                <w:b/>
                <w:bCs/>
                <w:sz w:val="21"/>
                <w:szCs w:val="21"/>
              </w:rPr>
              <w:t>1、供餐服务方案（菜品制作方案、工作质量标准要求、人员配置方案、突发事件应急预案、管理等实质性内容）合理可行，针对性强，对项目要求、工作内容等方面的认识和理解到位，得</w:t>
            </w:r>
            <w:r>
              <w:rPr>
                <w:rFonts w:hint="eastAsia" w:ascii="仿宋" w:hAnsi="仿宋" w:eastAsia="仿宋" w:cs="仿宋"/>
                <w:b/>
                <w:bCs/>
                <w:sz w:val="21"/>
                <w:szCs w:val="21"/>
                <w:lang w:val="en-US" w:eastAsia="zh-CN"/>
              </w:rPr>
              <w:t>20</w:t>
            </w:r>
            <w:r>
              <w:rPr>
                <w:rFonts w:hint="eastAsia" w:ascii="仿宋" w:hAnsi="仿宋" w:eastAsia="仿宋" w:cs="仿宋"/>
                <w:b/>
                <w:bCs/>
                <w:sz w:val="21"/>
                <w:szCs w:val="21"/>
              </w:rPr>
              <w:t>分；</w:t>
            </w:r>
          </w:p>
          <w:p w14:paraId="34B0F8DC">
            <w:pPr>
              <w:spacing w:line="360" w:lineRule="auto"/>
              <w:ind w:firstLine="17" w:firstLineChars="8"/>
              <w:jc w:val="both"/>
              <w:rPr>
                <w:rFonts w:hint="eastAsia" w:ascii="仿宋" w:hAnsi="仿宋" w:eastAsia="仿宋" w:cs="仿宋"/>
                <w:b/>
                <w:bCs/>
                <w:sz w:val="21"/>
                <w:szCs w:val="21"/>
              </w:rPr>
            </w:pPr>
            <w:r>
              <w:rPr>
                <w:rFonts w:hint="eastAsia" w:ascii="仿宋" w:hAnsi="仿宋" w:eastAsia="仿宋" w:cs="仿宋"/>
                <w:b/>
                <w:bCs/>
                <w:sz w:val="21"/>
                <w:szCs w:val="21"/>
              </w:rPr>
              <w:t>2、供餐服务方案基本合理，针对性合理，对项目要求、工作内容等方面的认识和理解基本到位，得</w:t>
            </w:r>
            <w:r>
              <w:rPr>
                <w:rFonts w:hint="eastAsia" w:ascii="仿宋" w:hAnsi="仿宋" w:eastAsia="仿宋" w:cs="仿宋"/>
                <w:b/>
                <w:bCs/>
                <w:sz w:val="21"/>
                <w:szCs w:val="21"/>
                <w:lang w:val="en-US" w:eastAsia="zh-CN"/>
              </w:rPr>
              <w:t>15</w:t>
            </w:r>
            <w:r>
              <w:rPr>
                <w:rFonts w:hint="eastAsia" w:ascii="仿宋" w:hAnsi="仿宋" w:eastAsia="仿宋" w:cs="仿宋"/>
                <w:b/>
                <w:bCs/>
                <w:sz w:val="21"/>
                <w:szCs w:val="21"/>
              </w:rPr>
              <w:t>分；</w:t>
            </w:r>
          </w:p>
          <w:p w14:paraId="0447EB7D">
            <w:pPr>
              <w:spacing w:line="360" w:lineRule="auto"/>
              <w:ind w:firstLine="17" w:firstLineChars="8"/>
              <w:jc w:val="both"/>
              <w:rPr>
                <w:rFonts w:hint="eastAsia" w:ascii="仿宋" w:hAnsi="仿宋" w:eastAsia="仿宋" w:cs="仿宋"/>
                <w:b/>
                <w:bCs/>
                <w:sz w:val="21"/>
                <w:szCs w:val="21"/>
              </w:rPr>
            </w:pPr>
            <w:r>
              <w:rPr>
                <w:rFonts w:hint="eastAsia" w:ascii="仿宋" w:hAnsi="仿宋" w:eastAsia="仿宋" w:cs="仿宋"/>
                <w:b/>
                <w:bCs/>
                <w:sz w:val="21"/>
                <w:szCs w:val="21"/>
              </w:rPr>
              <w:t>3、供餐服务方案一般，针对性一般，对项目要求、工作内容等方面的认识和理解一般，得</w:t>
            </w:r>
            <w:r>
              <w:rPr>
                <w:rFonts w:hint="eastAsia" w:ascii="仿宋" w:hAnsi="仿宋" w:eastAsia="仿宋" w:cs="仿宋"/>
                <w:b/>
                <w:bCs/>
                <w:sz w:val="21"/>
                <w:szCs w:val="21"/>
                <w:lang w:val="en-US" w:eastAsia="zh-CN"/>
              </w:rPr>
              <w:t>10</w:t>
            </w:r>
            <w:r>
              <w:rPr>
                <w:rFonts w:hint="eastAsia" w:ascii="仿宋" w:hAnsi="仿宋" w:eastAsia="仿宋" w:cs="仿宋"/>
                <w:b/>
                <w:bCs/>
                <w:sz w:val="21"/>
                <w:szCs w:val="21"/>
              </w:rPr>
              <w:t>分。</w:t>
            </w:r>
          </w:p>
          <w:p w14:paraId="5621CC89">
            <w:pPr>
              <w:spacing w:line="360" w:lineRule="auto"/>
              <w:ind w:firstLine="17" w:firstLineChars="8"/>
              <w:jc w:val="both"/>
              <w:rPr>
                <w:rFonts w:hint="eastAsia" w:ascii="仿宋" w:hAnsi="仿宋" w:eastAsia="仿宋" w:cs="仿宋"/>
                <w:b/>
                <w:bCs/>
                <w:sz w:val="21"/>
                <w:szCs w:val="21"/>
              </w:rPr>
            </w:pPr>
            <w:r>
              <w:rPr>
                <w:rFonts w:hint="eastAsia" w:ascii="仿宋" w:hAnsi="仿宋" w:eastAsia="仿宋" w:cs="仿宋"/>
                <w:b/>
                <w:bCs/>
                <w:sz w:val="21"/>
                <w:szCs w:val="21"/>
              </w:rPr>
              <w:t>4、供餐服务方案较差，没有针对性，对项目要求、工作内容等方面的认识和理解较差，得</w:t>
            </w:r>
            <w:r>
              <w:rPr>
                <w:rFonts w:hint="eastAsia" w:ascii="仿宋" w:hAnsi="仿宋" w:eastAsia="仿宋" w:cs="仿宋"/>
                <w:b/>
                <w:bCs/>
                <w:sz w:val="21"/>
                <w:szCs w:val="21"/>
                <w:lang w:val="en-US" w:eastAsia="zh-CN"/>
              </w:rPr>
              <w:t>5</w:t>
            </w:r>
            <w:r>
              <w:rPr>
                <w:rFonts w:hint="eastAsia" w:ascii="仿宋" w:hAnsi="仿宋" w:eastAsia="仿宋" w:cs="仿宋"/>
                <w:b/>
                <w:bCs/>
                <w:sz w:val="21"/>
                <w:szCs w:val="21"/>
              </w:rPr>
              <w:t>分。</w:t>
            </w:r>
          </w:p>
          <w:p w14:paraId="69B09176">
            <w:pPr>
              <w:spacing w:line="360" w:lineRule="auto"/>
              <w:ind w:firstLine="17" w:firstLineChars="8"/>
              <w:jc w:val="both"/>
              <w:rPr>
                <w:rFonts w:hint="eastAsia" w:ascii="仿宋" w:hAnsi="仿宋" w:eastAsia="仿宋" w:cs="仿宋"/>
                <w:b/>
                <w:bCs/>
                <w:sz w:val="21"/>
                <w:szCs w:val="21"/>
              </w:rPr>
            </w:pPr>
            <w:r>
              <w:rPr>
                <w:rFonts w:hint="eastAsia" w:ascii="仿宋" w:hAnsi="仿宋" w:eastAsia="仿宋" w:cs="仿宋"/>
                <w:b/>
                <w:bCs/>
                <w:sz w:val="21"/>
                <w:szCs w:val="21"/>
              </w:rPr>
              <w:t>5、未提供的不得分。</w:t>
            </w:r>
          </w:p>
        </w:tc>
      </w:tr>
      <w:tr w14:paraId="57BC72E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52" w:type="dxa"/>
            <w:vMerge w:val="continue"/>
            <w:vAlign w:val="center"/>
          </w:tcPr>
          <w:p w14:paraId="086AF563">
            <w:pPr>
              <w:pStyle w:val="2"/>
              <w:rPr>
                <w:rFonts w:hint="eastAsia" w:ascii="仿宋" w:hAnsi="仿宋" w:eastAsia="仿宋" w:cs="仿宋"/>
              </w:rPr>
            </w:pPr>
          </w:p>
        </w:tc>
        <w:tc>
          <w:tcPr>
            <w:tcW w:w="2410" w:type="dxa"/>
            <w:gridSpan w:val="2"/>
            <w:vAlign w:val="center"/>
          </w:tcPr>
          <w:p w14:paraId="0A549562">
            <w:pPr>
              <w:autoSpaceDE w:val="0"/>
              <w:autoSpaceDN w:val="0"/>
              <w:adjustRightInd w:val="0"/>
              <w:snapToGrid w:val="0"/>
              <w:spacing w:line="240" w:lineRule="auto"/>
              <w:jc w:val="center"/>
              <w:rPr>
                <w:rFonts w:hint="eastAsia" w:ascii="仿宋" w:hAnsi="仿宋" w:eastAsia="仿宋" w:cs="仿宋"/>
                <w:b/>
                <w:bCs/>
                <w:sz w:val="21"/>
                <w:szCs w:val="21"/>
              </w:rPr>
            </w:pPr>
            <w:r>
              <w:rPr>
                <w:rFonts w:hint="eastAsia" w:ascii="仿宋" w:hAnsi="仿宋" w:eastAsia="仿宋" w:cs="仿宋"/>
                <w:b/>
                <w:bCs/>
                <w:sz w:val="21"/>
                <w:szCs w:val="21"/>
              </w:rPr>
              <w:t>食材采购、供货方案（30分）</w:t>
            </w:r>
          </w:p>
        </w:tc>
        <w:tc>
          <w:tcPr>
            <w:tcW w:w="6704" w:type="dxa"/>
            <w:tcBorders>
              <w:bottom w:val="single" w:color="auto" w:sz="4" w:space="0"/>
            </w:tcBorders>
            <w:vAlign w:val="center"/>
          </w:tcPr>
          <w:p w14:paraId="69F38FD7">
            <w:pPr>
              <w:spacing w:line="360" w:lineRule="auto"/>
              <w:ind w:firstLine="17" w:firstLineChars="8"/>
              <w:jc w:val="both"/>
              <w:rPr>
                <w:rFonts w:hint="eastAsia" w:ascii="仿宋" w:hAnsi="仿宋" w:eastAsia="仿宋" w:cs="仿宋"/>
                <w:b/>
                <w:bCs/>
                <w:sz w:val="21"/>
                <w:szCs w:val="21"/>
                <w:highlight w:val="none"/>
              </w:rPr>
            </w:pPr>
            <w:r>
              <w:rPr>
                <w:rFonts w:hint="eastAsia" w:ascii="仿宋" w:hAnsi="仿宋" w:eastAsia="仿宋" w:cs="仿宋"/>
                <w:b/>
                <w:bCs/>
                <w:sz w:val="21"/>
                <w:szCs w:val="21"/>
              </w:rPr>
              <w:t>根据对本项目采购需求的理解，食材采购、供货方案中包括但不限于：食材采购方案、供货方案、应急预案、食品安全卫生管理方案及公共卫生防控方案等内容进行评</w:t>
            </w:r>
            <w:r>
              <w:rPr>
                <w:rFonts w:hint="eastAsia" w:ascii="仿宋" w:hAnsi="仿宋" w:eastAsia="仿宋" w:cs="仿宋"/>
                <w:b/>
                <w:bCs/>
                <w:sz w:val="21"/>
                <w:szCs w:val="21"/>
                <w:highlight w:val="none"/>
              </w:rPr>
              <w:t>审。</w:t>
            </w:r>
          </w:p>
          <w:p w14:paraId="3FE210A2">
            <w:pPr>
              <w:spacing w:line="360" w:lineRule="auto"/>
              <w:ind w:firstLine="17" w:firstLineChars="8"/>
              <w:jc w:val="both"/>
              <w:rPr>
                <w:rFonts w:hint="eastAsia" w:ascii="仿宋" w:hAnsi="仿宋" w:eastAsia="仿宋" w:cs="仿宋"/>
                <w:b/>
                <w:bCs/>
                <w:sz w:val="21"/>
                <w:szCs w:val="21"/>
              </w:rPr>
            </w:pPr>
            <w:r>
              <w:rPr>
                <w:rFonts w:hint="eastAsia" w:ascii="仿宋" w:hAnsi="仿宋" w:eastAsia="仿宋" w:cs="仿宋"/>
                <w:b/>
                <w:bCs/>
                <w:sz w:val="21"/>
                <w:szCs w:val="21"/>
                <w:highlight w:val="none"/>
              </w:rPr>
              <w:t>第一个档次：食品材料有明确的货源，有</w:t>
            </w:r>
            <w:r>
              <w:rPr>
                <w:rFonts w:hint="eastAsia" w:ascii="仿宋" w:hAnsi="仿宋" w:eastAsia="仿宋" w:cs="仿宋"/>
                <w:b/>
                <w:bCs/>
                <w:sz w:val="21"/>
                <w:szCs w:val="21"/>
              </w:rPr>
              <w:t>稳定进货渠道；满足绿色食品企业要求并能提供相关证明材料；供货方案明晰、渠道合理，实施计划完善具体，载明了明确的服务步骤；针对本项目应急预案合理且具有针对性和可行性，内容完整、规范、具体，具有能满足本项目应急供货需求的仓储场地、冷库，服务响应时间快；公共卫生防控方案内容完整详细，针对人员管理、车辆消毒、食品包装消毒的措施内容丰富的得30分。</w:t>
            </w:r>
          </w:p>
          <w:p w14:paraId="5EA4F569">
            <w:pPr>
              <w:spacing w:line="360" w:lineRule="auto"/>
              <w:ind w:firstLine="17" w:firstLineChars="8"/>
              <w:jc w:val="both"/>
              <w:rPr>
                <w:rFonts w:hint="eastAsia" w:ascii="仿宋" w:hAnsi="仿宋" w:eastAsia="仿宋" w:cs="仿宋"/>
              </w:rPr>
            </w:pPr>
            <w:r>
              <w:rPr>
                <w:rFonts w:hint="eastAsia" w:ascii="仿宋" w:hAnsi="仿宋" w:eastAsia="仿宋" w:cs="仿宋"/>
                <w:b/>
                <w:bCs/>
                <w:sz w:val="21"/>
                <w:szCs w:val="21"/>
              </w:rPr>
              <w:t>第二个档次：食品材料有明确的货源，有稳定进货渠道；满足绿色食品企业要求并能提供相关证明材料；供货方案一般，载明了服务步骤；针对本项目应急预案合理且具有针对性和可行性一般，基本满足本项目应急供货需求的仓储场地、冷库，服务响应时间快；公共卫生防控方案内容完整详细，针对人员管理、车辆消毒、食品包装消毒的措施内容一般的得25分。</w:t>
            </w:r>
          </w:p>
          <w:p w14:paraId="79679FD2">
            <w:pPr>
              <w:spacing w:line="360" w:lineRule="auto"/>
              <w:ind w:firstLine="17" w:firstLineChars="8"/>
              <w:jc w:val="both"/>
              <w:rPr>
                <w:rFonts w:hint="eastAsia" w:ascii="仿宋" w:hAnsi="仿宋" w:eastAsia="仿宋" w:cs="仿宋"/>
                <w:b/>
                <w:bCs/>
                <w:sz w:val="21"/>
                <w:szCs w:val="21"/>
              </w:rPr>
            </w:pPr>
            <w:r>
              <w:rPr>
                <w:rFonts w:hint="eastAsia" w:ascii="仿宋" w:hAnsi="仿宋" w:eastAsia="仿宋" w:cs="仿宋"/>
                <w:b/>
                <w:bCs/>
                <w:sz w:val="21"/>
                <w:szCs w:val="21"/>
              </w:rPr>
              <w:t>第三个档次：食品材料进货渠道单一，能提供相关证明材料；供货方案模糊，实施计划较具体，载明了服务步骤但不清晰。针对本项目应急预案针对性和可行性一般，仓储场地、冷库无法满足本项目应急供货需求，服务响应时间慢；公共卫生防控方案内容不完整，针对措施内容有但欠缺的得20分。</w:t>
            </w:r>
          </w:p>
          <w:p w14:paraId="176B43F6">
            <w:pPr>
              <w:spacing w:line="360" w:lineRule="auto"/>
              <w:ind w:firstLine="17" w:firstLineChars="8"/>
              <w:jc w:val="both"/>
              <w:rPr>
                <w:rFonts w:hint="eastAsia" w:ascii="仿宋" w:hAnsi="仿宋" w:eastAsia="仿宋" w:cs="仿宋"/>
              </w:rPr>
            </w:pPr>
            <w:r>
              <w:rPr>
                <w:rFonts w:hint="eastAsia" w:ascii="仿宋" w:hAnsi="仿宋" w:eastAsia="仿宋" w:cs="仿宋"/>
                <w:b/>
                <w:bCs/>
                <w:sz w:val="21"/>
                <w:szCs w:val="21"/>
              </w:rPr>
              <w:t>第四个档次：食品材料进货渠道单一，能提供相关证明材料；供货方案模糊，实施计划较差，载明了服务步骤但不清晰。针对本项目应急预案针对性和可行性差，仓储场地、冷库无法满足本项目应急供货需求，服务响应时间慢；公共卫生防控方案内容不完整，无针对措施内容的得15分。</w:t>
            </w:r>
          </w:p>
          <w:p w14:paraId="091AF3D6">
            <w:pPr>
              <w:spacing w:line="360" w:lineRule="auto"/>
              <w:ind w:firstLine="17" w:firstLineChars="8"/>
              <w:jc w:val="both"/>
              <w:rPr>
                <w:rFonts w:hint="eastAsia" w:ascii="仿宋" w:hAnsi="仿宋" w:eastAsia="仿宋" w:cs="仿宋"/>
                <w:b/>
                <w:bCs/>
                <w:sz w:val="21"/>
                <w:szCs w:val="21"/>
              </w:rPr>
            </w:pPr>
            <w:r>
              <w:rPr>
                <w:rFonts w:hint="eastAsia" w:ascii="仿宋" w:hAnsi="仿宋" w:eastAsia="仿宋" w:cs="仿宋"/>
                <w:b/>
                <w:bCs/>
                <w:sz w:val="21"/>
                <w:szCs w:val="21"/>
              </w:rPr>
              <w:t>第五个档次：食品材料无法保证明确的货源和进货渠道，供货方案有重大瑕疵，实施计划、服务步骤不明。应急预案无可行性；服务响应时间不满足要求，公共卫生防控方案内容不完整，无针对措施内容得10分。</w:t>
            </w:r>
          </w:p>
          <w:p w14:paraId="6A090672">
            <w:pPr>
              <w:spacing w:line="360" w:lineRule="auto"/>
              <w:ind w:firstLine="17" w:firstLineChars="8"/>
              <w:jc w:val="both"/>
              <w:rPr>
                <w:rFonts w:hint="eastAsia" w:ascii="仿宋" w:hAnsi="仿宋" w:eastAsia="仿宋" w:cs="仿宋"/>
                <w:b/>
                <w:bCs/>
                <w:sz w:val="21"/>
                <w:szCs w:val="21"/>
              </w:rPr>
            </w:pPr>
            <w:r>
              <w:rPr>
                <w:rFonts w:hint="eastAsia" w:ascii="仿宋" w:hAnsi="仿宋" w:eastAsia="仿宋" w:cs="仿宋"/>
                <w:b/>
                <w:bCs/>
                <w:sz w:val="21"/>
                <w:szCs w:val="21"/>
              </w:rPr>
              <w:t>第六个档次：无食品材料货源和进货渠道说明，无供货方案，无公共卫生防控方案的不得分。</w:t>
            </w:r>
          </w:p>
          <w:p w14:paraId="77493BF8">
            <w:pPr>
              <w:spacing w:line="360" w:lineRule="auto"/>
              <w:ind w:firstLine="17" w:firstLineChars="8"/>
              <w:jc w:val="both"/>
              <w:rPr>
                <w:rFonts w:hint="eastAsia" w:ascii="仿宋" w:hAnsi="仿宋" w:eastAsia="仿宋" w:cs="仿宋"/>
                <w:b/>
                <w:bCs/>
                <w:sz w:val="21"/>
                <w:szCs w:val="21"/>
              </w:rPr>
            </w:pPr>
            <w:r>
              <w:rPr>
                <w:rFonts w:hint="eastAsia" w:ascii="仿宋" w:hAnsi="仿宋" w:eastAsia="仿宋" w:cs="仿宋"/>
                <w:b/>
                <w:bCs/>
                <w:sz w:val="21"/>
                <w:szCs w:val="21"/>
              </w:rPr>
              <w:t>注：（1）</w:t>
            </w:r>
            <w:r>
              <w:rPr>
                <w:rFonts w:hint="eastAsia" w:ascii="仿宋" w:hAnsi="仿宋" w:eastAsia="仿宋" w:cs="仿宋"/>
                <w:b/>
                <w:bCs/>
                <w:sz w:val="21"/>
                <w:szCs w:val="21"/>
                <w:lang w:eastAsia="zh-CN"/>
              </w:rPr>
              <w:t>供应商</w:t>
            </w:r>
            <w:r>
              <w:rPr>
                <w:rFonts w:hint="eastAsia" w:ascii="仿宋" w:hAnsi="仿宋" w:eastAsia="仿宋" w:cs="仿宋"/>
                <w:b/>
                <w:bCs/>
                <w:sz w:val="21"/>
                <w:szCs w:val="21"/>
              </w:rPr>
              <w:t>采购的大米、面条、包装食用油（菜籽油）为非转基因产品，其中：大米：应符合《中华人民共和国国家标准》GB/T 1354标准；油：应符合《中华人民共和国国家标准》GB/T 1536-2021、GB2762-2022标准，必须为包装食用油，菜籽油的密度按0.92 Kg/L计算；面条：应符合《中华人民共和国国家标准》GB/T 40636-2021标准；必须有合法有效的企业生产许可标准（即SC认证）并提供检测报告。</w:t>
            </w:r>
          </w:p>
          <w:p w14:paraId="4F8EA343">
            <w:pPr>
              <w:spacing w:line="360" w:lineRule="auto"/>
              <w:ind w:firstLine="17" w:firstLineChars="8"/>
              <w:jc w:val="both"/>
              <w:rPr>
                <w:rFonts w:hint="eastAsia" w:ascii="仿宋" w:hAnsi="仿宋" w:eastAsia="仿宋" w:cs="仿宋"/>
                <w:b/>
                <w:bCs/>
                <w:sz w:val="21"/>
                <w:szCs w:val="21"/>
                <w:highlight w:val="none"/>
              </w:rPr>
            </w:pPr>
            <w:r>
              <w:rPr>
                <w:rFonts w:hint="eastAsia" w:ascii="仿宋" w:hAnsi="仿宋" w:eastAsia="仿宋" w:cs="仿宋"/>
                <w:b/>
                <w:bCs/>
                <w:sz w:val="21"/>
                <w:szCs w:val="21"/>
              </w:rPr>
              <w:t>（2）</w:t>
            </w:r>
            <w:r>
              <w:rPr>
                <w:rFonts w:hint="eastAsia" w:ascii="仿宋" w:hAnsi="仿宋" w:eastAsia="仿宋" w:cs="仿宋"/>
                <w:b/>
                <w:bCs/>
                <w:sz w:val="21"/>
                <w:szCs w:val="21"/>
                <w:lang w:eastAsia="zh-CN"/>
              </w:rPr>
              <w:t>供应商</w:t>
            </w:r>
            <w:r>
              <w:rPr>
                <w:rFonts w:hint="eastAsia" w:ascii="仿宋" w:hAnsi="仿宋" w:eastAsia="仿宋" w:cs="仿宋"/>
                <w:b/>
                <w:bCs/>
                <w:sz w:val="21"/>
                <w:szCs w:val="21"/>
              </w:rPr>
              <w:t>采购的肉类（猪肉、牛肉、</w:t>
            </w:r>
            <w:r>
              <w:rPr>
                <w:rFonts w:hint="eastAsia" w:ascii="仿宋" w:hAnsi="仿宋" w:eastAsia="仿宋" w:cs="仿宋"/>
                <w:b/>
                <w:bCs/>
                <w:sz w:val="21"/>
                <w:szCs w:val="21"/>
                <w:highlight w:val="none"/>
              </w:rPr>
              <w:t>鸡肉等需为当日屠杀的新鲜肉)必须为经卫生防疫部门检测合格的产品,符合食品卫生生产标准,符合食品卫生安全要求，质量合格。采购的肉类为新鲜、非冷冻产品、在供货地市辖区内定点屠宰,提供生猪定点屠宰许可证，每批次有屠宰场肉品品质检验合格证或动物检疫合格证明，符合国家及采购方提出的有关质量标准及安全标准。</w:t>
            </w:r>
          </w:p>
          <w:p w14:paraId="2E1A1915">
            <w:pPr>
              <w:spacing w:line="360" w:lineRule="auto"/>
              <w:ind w:firstLine="17" w:firstLineChars="8"/>
              <w:jc w:val="both"/>
              <w:rPr>
                <w:rFonts w:hint="eastAsia" w:ascii="仿宋" w:hAnsi="仿宋" w:eastAsia="仿宋" w:cs="仿宋"/>
                <w:b/>
                <w:bCs/>
                <w:sz w:val="21"/>
                <w:szCs w:val="21"/>
              </w:rPr>
            </w:pPr>
            <w:r>
              <w:rPr>
                <w:rFonts w:hint="eastAsia" w:ascii="仿宋" w:hAnsi="仿宋" w:eastAsia="仿宋" w:cs="仿宋"/>
                <w:b/>
                <w:bCs/>
                <w:sz w:val="21"/>
                <w:szCs w:val="21"/>
                <w:highlight w:val="none"/>
              </w:rPr>
              <w:t>（3）</w:t>
            </w:r>
            <w:r>
              <w:rPr>
                <w:rFonts w:hint="eastAsia" w:ascii="仿宋" w:hAnsi="仿宋" w:eastAsia="仿宋" w:cs="仿宋"/>
                <w:b/>
                <w:bCs/>
                <w:sz w:val="21"/>
                <w:szCs w:val="21"/>
                <w:lang w:eastAsia="zh-CN"/>
              </w:rPr>
              <w:t>供应商</w:t>
            </w:r>
            <w:r>
              <w:rPr>
                <w:rFonts w:hint="eastAsia" w:ascii="仿宋" w:hAnsi="仿宋" w:eastAsia="仿宋" w:cs="仿宋"/>
                <w:b/>
                <w:bCs/>
                <w:sz w:val="21"/>
                <w:szCs w:val="21"/>
                <w:highlight w:val="none"/>
              </w:rPr>
              <w:t>采购的蔬菜水果需为当日新鲜产品，无烂叶，外观无损坏，需提供所有供应蔬菜水果的农残检测报告及云南省</w:t>
            </w:r>
            <w:r>
              <w:rPr>
                <w:rFonts w:hint="eastAsia" w:ascii="仿宋" w:hAnsi="仿宋" w:eastAsia="仿宋" w:cs="仿宋"/>
                <w:b/>
                <w:bCs/>
                <w:sz w:val="21"/>
                <w:szCs w:val="21"/>
              </w:rPr>
              <w:t>食用农产品承诺达标合格证（生产主体），符合食品卫生安全要求，质量合格。</w:t>
            </w:r>
          </w:p>
          <w:p w14:paraId="3A410901">
            <w:pPr>
              <w:spacing w:line="360" w:lineRule="auto"/>
              <w:ind w:firstLine="17" w:firstLineChars="8"/>
              <w:jc w:val="both"/>
              <w:rPr>
                <w:rFonts w:hint="eastAsia" w:ascii="仿宋" w:hAnsi="仿宋" w:eastAsia="仿宋" w:cs="仿宋"/>
                <w:b/>
                <w:bCs/>
                <w:sz w:val="21"/>
                <w:szCs w:val="21"/>
              </w:rPr>
            </w:pPr>
            <w:r>
              <w:rPr>
                <w:rFonts w:hint="eastAsia" w:ascii="仿宋" w:hAnsi="仿宋" w:eastAsia="仿宋" w:cs="仿宋"/>
                <w:b/>
                <w:bCs/>
                <w:sz w:val="21"/>
                <w:szCs w:val="21"/>
              </w:rPr>
              <w:t>（4）</w:t>
            </w:r>
            <w:r>
              <w:rPr>
                <w:rFonts w:hint="eastAsia" w:ascii="仿宋" w:hAnsi="仿宋" w:eastAsia="仿宋" w:cs="仿宋"/>
                <w:b/>
                <w:bCs/>
                <w:sz w:val="21"/>
                <w:szCs w:val="21"/>
                <w:lang w:eastAsia="zh-CN"/>
              </w:rPr>
              <w:t>供应商</w:t>
            </w:r>
            <w:r>
              <w:rPr>
                <w:rFonts w:hint="eastAsia" w:ascii="仿宋" w:hAnsi="仿宋" w:eastAsia="仿宋" w:cs="仿宋"/>
                <w:b/>
                <w:bCs/>
                <w:sz w:val="21"/>
                <w:szCs w:val="21"/>
              </w:rPr>
              <w:t>采购的调料、干货、禽蛋类符合国家及采购方提出的有关质量标准及安全标准的产品，调料类商品需提供检验报告。鲜禽蛋类（指鸡蛋）具备养殖场《动物防疫条件合格证》。</w:t>
            </w:r>
          </w:p>
          <w:p w14:paraId="6C03450D">
            <w:pPr>
              <w:spacing w:line="360" w:lineRule="auto"/>
              <w:ind w:firstLine="17" w:firstLineChars="8"/>
              <w:jc w:val="both"/>
              <w:rPr>
                <w:rFonts w:hint="eastAsia" w:ascii="仿宋" w:hAnsi="仿宋" w:eastAsia="仿宋" w:cs="仿宋"/>
                <w:b/>
                <w:bCs/>
                <w:sz w:val="21"/>
                <w:szCs w:val="21"/>
              </w:rPr>
            </w:pPr>
            <w:r>
              <w:rPr>
                <w:rFonts w:hint="eastAsia" w:ascii="仿宋" w:hAnsi="仿宋" w:eastAsia="仿宋" w:cs="仿宋"/>
                <w:b/>
                <w:bCs/>
                <w:sz w:val="21"/>
                <w:szCs w:val="21"/>
              </w:rPr>
              <w:t>（5）</w:t>
            </w:r>
            <w:r>
              <w:rPr>
                <w:rFonts w:hint="eastAsia" w:ascii="仿宋" w:hAnsi="仿宋" w:eastAsia="仿宋" w:cs="仿宋"/>
                <w:b/>
                <w:bCs/>
                <w:sz w:val="21"/>
                <w:szCs w:val="21"/>
                <w:lang w:eastAsia="zh-CN"/>
              </w:rPr>
              <w:t>供应商</w:t>
            </w:r>
            <w:r>
              <w:rPr>
                <w:rFonts w:hint="eastAsia" w:ascii="仿宋" w:hAnsi="仿宋" w:eastAsia="仿宋" w:cs="仿宋"/>
                <w:b/>
                <w:bCs/>
                <w:sz w:val="21"/>
                <w:szCs w:val="21"/>
              </w:rPr>
              <w:t>采购的鲜粮制品类：需提供第三方检验报告及每日出厂批次检验报告，所提供的米线必须是袋装米线且为当天生产，具备厂家的《食品生产许可证》。</w:t>
            </w:r>
          </w:p>
          <w:p w14:paraId="547CEDD2">
            <w:pPr>
              <w:spacing w:line="360" w:lineRule="auto"/>
              <w:ind w:firstLine="17" w:firstLineChars="8"/>
              <w:jc w:val="both"/>
              <w:rPr>
                <w:rFonts w:hint="eastAsia" w:ascii="仿宋" w:hAnsi="仿宋" w:eastAsia="仿宋" w:cs="仿宋"/>
                <w:b/>
                <w:bCs/>
                <w:sz w:val="21"/>
                <w:szCs w:val="21"/>
              </w:rPr>
            </w:pPr>
            <w:r>
              <w:rPr>
                <w:rFonts w:hint="eastAsia" w:ascii="仿宋" w:hAnsi="仿宋" w:eastAsia="仿宋" w:cs="仿宋"/>
                <w:b/>
                <w:bCs/>
                <w:sz w:val="21"/>
                <w:szCs w:val="21"/>
              </w:rPr>
              <w:t>（6）所有产品提供产品有效期内的检验报告、原料采购合同、供货方营业执照等工商登记信息证明材料、货源场地实景照片、供货方负责人身份证复印件、联系方式等证明材料。自有仓储场地、冷库的需提供产权证明复印件，租赁的需提供有效的租赁合同复印件，以及仓储场地、冷库整体外观、内部的彩色照片，否则不予认可</w:t>
            </w:r>
            <w:r>
              <w:rPr>
                <w:rFonts w:hint="eastAsia" w:ascii="仿宋" w:hAnsi="仿宋" w:eastAsia="仿宋" w:cs="仿宋"/>
                <w:b/>
                <w:bCs/>
                <w:sz w:val="21"/>
                <w:szCs w:val="21"/>
                <w:highlight w:val="none"/>
              </w:rPr>
              <w:t>。（保质期不超过</w:t>
            </w:r>
            <w:r>
              <w:rPr>
                <w:rFonts w:hint="eastAsia" w:ascii="仿宋" w:hAnsi="仿宋" w:eastAsia="仿宋" w:cs="仿宋"/>
                <w:b/>
                <w:bCs/>
                <w:sz w:val="21"/>
                <w:szCs w:val="21"/>
                <w:highlight w:val="none"/>
                <w:lang w:val="en-US" w:eastAsia="zh-CN"/>
              </w:rPr>
              <w:t>1/3</w:t>
            </w:r>
            <w:r>
              <w:rPr>
                <w:rFonts w:hint="eastAsia" w:ascii="仿宋" w:hAnsi="仿宋" w:eastAsia="仿宋" w:cs="仿宋"/>
                <w:b/>
                <w:bCs/>
                <w:sz w:val="21"/>
                <w:szCs w:val="21"/>
              </w:rPr>
              <w:t>）</w:t>
            </w:r>
          </w:p>
        </w:tc>
      </w:tr>
      <w:tr w14:paraId="0FF33DA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52" w:type="dxa"/>
            <w:vMerge w:val="continue"/>
            <w:vAlign w:val="center"/>
          </w:tcPr>
          <w:p w14:paraId="73919535">
            <w:pPr>
              <w:pStyle w:val="2"/>
              <w:rPr>
                <w:rFonts w:hint="eastAsia" w:ascii="仿宋" w:hAnsi="仿宋" w:eastAsia="仿宋" w:cs="仿宋"/>
              </w:rPr>
            </w:pPr>
          </w:p>
        </w:tc>
        <w:tc>
          <w:tcPr>
            <w:tcW w:w="2410" w:type="dxa"/>
            <w:gridSpan w:val="2"/>
            <w:vAlign w:val="center"/>
          </w:tcPr>
          <w:p w14:paraId="33160B6A">
            <w:pPr>
              <w:adjustRightInd w:val="0"/>
              <w:snapToGrid w:val="0"/>
              <w:spacing w:line="240" w:lineRule="auto"/>
              <w:jc w:val="center"/>
              <w:rPr>
                <w:rFonts w:hint="eastAsia" w:ascii="仿宋" w:hAnsi="仿宋" w:eastAsia="仿宋" w:cs="仿宋"/>
                <w:b/>
                <w:bCs/>
                <w:sz w:val="21"/>
                <w:szCs w:val="21"/>
              </w:rPr>
            </w:pPr>
            <w:r>
              <w:rPr>
                <w:rFonts w:hint="eastAsia" w:ascii="仿宋" w:hAnsi="仿宋" w:eastAsia="仿宋" w:cs="仿宋"/>
                <w:b/>
                <w:bCs/>
                <w:sz w:val="21"/>
                <w:szCs w:val="21"/>
              </w:rPr>
              <w:t>食品质量承诺及质量控制措施（5分）</w:t>
            </w:r>
          </w:p>
        </w:tc>
        <w:tc>
          <w:tcPr>
            <w:tcW w:w="6704" w:type="dxa"/>
            <w:tcBorders>
              <w:bottom w:val="single" w:color="auto" w:sz="4" w:space="0"/>
            </w:tcBorders>
            <w:vAlign w:val="center"/>
          </w:tcPr>
          <w:p w14:paraId="6FC0B068">
            <w:pPr>
              <w:pStyle w:val="9"/>
              <w:rPr>
                <w:rFonts w:hint="eastAsia" w:ascii="仿宋" w:hAnsi="仿宋" w:eastAsia="仿宋" w:cs="仿宋"/>
                <w:b/>
                <w:bCs/>
                <w:sz w:val="21"/>
                <w:szCs w:val="21"/>
              </w:rPr>
            </w:pPr>
            <w:r>
              <w:rPr>
                <w:rFonts w:hint="eastAsia" w:ascii="仿宋" w:hAnsi="仿宋" w:eastAsia="仿宋" w:cs="仿宋"/>
                <w:b/>
                <w:bCs/>
                <w:sz w:val="21"/>
                <w:szCs w:val="21"/>
              </w:rPr>
              <w:t>1、针对本项目实际情况及制定</w:t>
            </w:r>
            <w:r>
              <w:rPr>
                <w:rFonts w:hint="eastAsia" w:ascii="仿宋" w:hAnsi="仿宋" w:eastAsia="仿宋" w:cs="仿宋"/>
                <w:b/>
                <w:bCs/>
                <w:sz w:val="21"/>
                <w:szCs w:val="21"/>
                <w:highlight w:val="none"/>
              </w:rPr>
              <w:t>的食品质量承诺及质量控制措施内容详尽、完整，重点突出，针对性强，具备有效期内的质量管理体系认</w:t>
            </w:r>
            <w:r>
              <w:rPr>
                <w:rFonts w:hint="eastAsia" w:ascii="仿宋" w:hAnsi="仿宋" w:eastAsia="仿宋" w:cs="仿宋"/>
                <w:b/>
                <w:bCs/>
                <w:sz w:val="21"/>
                <w:szCs w:val="21"/>
              </w:rPr>
              <w:t>证、环境管理体系认证、危害分析与关健控制点体系认证、食品安全管理体系认证、职业健康安全管理体系认证得5分；</w:t>
            </w:r>
          </w:p>
          <w:p w14:paraId="4E3C69E3">
            <w:pPr>
              <w:pStyle w:val="9"/>
              <w:rPr>
                <w:rFonts w:hint="eastAsia" w:ascii="仿宋" w:hAnsi="仿宋" w:eastAsia="仿宋" w:cs="仿宋"/>
                <w:b/>
                <w:bCs/>
                <w:sz w:val="21"/>
                <w:szCs w:val="21"/>
              </w:rPr>
            </w:pPr>
            <w:r>
              <w:rPr>
                <w:rFonts w:hint="eastAsia" w:ascii="仿宋" w:hAnsi="仿宋" w:eastAsia="仿宋" w:cs="仿宋"/>
                <w:b/>
                <w:bCs/>
                <w:sz w:val="21"/>
                <w:szCs w:val="21"/>
              </w:rPr>
              <w:t>2、针对本项目实际情况及制定的食品质量承诺及质量控制措施内容较完整，针对性一般，具备有效期内的质量管理体系认证、环境管理体系认证、食品安全管理体系认证得3分；</w:t>
            </w:r>
          </w:p>
          <w:p w14:paraId="7EB6F6B6">
            <w:pPr>
              <w:pStyle w:val="9"/>
              <w:rPr>
                <w:rFonts w:hint="eastAsia" w:ascii="仿宋" w:hAnsi="仿宋" w:eastAsia="仿宋" w:cs="仿宋"/>
                <w:b/>
                <w:bCs/>
                <w:sz w:val="21"/>
                <w:szCs w:val="21"/>
              </w:rPr>
            </w:pPr>
            <w:r>
              <w:rPr>
                <w:rFonts w:hint="eastAsia" w:ascii="仿宋" w:hAnsi="仿宋" w:eastAsia="仿宋" w:cs="仿宋"/>
                <w:b/>
                <w:bCs/>
                <w:sz w:val="21"/>
                <w:szCs w:val="21"/>
              </w:rPr>
              <w:t>3、针对本项目实际情况及制定的食品质量承诺及质量控制措施内容缺失不完整，基本无针对性，具备有效期内的质量管理体系认证、食品安全管理体系认证得1分；</w:t>
            </w:r>
          </w:p>
          <w:p w14:paraId="4C23AEBC">
            <w:pPr>
              <w:pStyle w:val="9"/>
              <w:rPr>
                <w:rFonts w:hint="eastAsia" w:ascii="仿宋" w:hAnsi="仿宋" w:eastAsia="仿宋" w:cs="仿宋"/>
                <w:b/>
                <w:bCs/>
                <w:sz w:val="21"/>
                <w:szCs w:val="21"/>
              </w:rPr>
            </w:pPr>
            <w:r>
              <w:rPr>
                <w:rFonts w:hint="eastAsia" w:ascii="仿宋" w:hAnsi="仿宋" w:eastAsia="仿宋" w:cs="仿宋"/>
                <w:b/>
                <w:bCs/>
                <w:sz w:val="21"/>
                <w:szCs w:val="21"/>
              </w:rPr>
              <w:t>4、未提供食品质量承诺及质量控制措施的得0分。</w:t>
            </w:r>
          </w:p>
        </w:tc>
      </w:tr>
      <w:tr w14:paraId="7F7C009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52" w:type="dxa"/>
            <w:vMerge w:val="continue"/>
            <w:vAlign w:val="center"/>
          </w:tcPr>
          <w:p w14:paraId="019059CE">
            <w:pPr>
              <w:spacing w:line="360" w:lineRule="auto"/>
              <w:jc w:val="center"/>
              <w:rPr>
                <w:rFonts w:hint="eastAsia" w:ascii="仿宋" w:hAnsi="仿宋" w:eastAsia="仿宋" w:cs="仿宋"/>
                <w:sz w:val="21"/>
                <w:szCs w:val="21"/>
              </w:rPr>
            </w:pPr>
          </w:p>
        </w:tc>
        <w:tc>
          <w:tcPr>
            <w:tcW w:w="2410" w:type="dxa"/>
            <w:gridSpan w:val="2"/>
            <w:shd w:val="clear" w:color="auto" w:fill="auto"/>
            <w:vAlign w:val="center"/>
          </w:tcPr>
          <w:p w14:paraId="19D1E12C">
            <w:pPr>
              <w:autoSpaceDE w:val="0"/>
              <w:autoSpaceDN w:val="0"/>
              <w:adjustRightInd w:val="0"/>
              <w:snapToGrid w:val="0"/>
              <w:spacing w:line="240" w:lineRule="auto"/>
              <w:jc w:val="center"/>
              <w:rPr>
                <w:rFonts w:hint="eastAsia" w:ascii="仿宋" w:hAnsi="仿宋" w:eastAsia="仿宋" w:cs="仿宋"/>
                <w:b/>
                <w:bCs/>
                <w:sz w:val="21"/>
                <w:szCs w:val="21"/>
              </w:rPr>
            </w:pPr>
            <w:r>
              <w:rPr>
                <w:rFonts w:hint="eastAsia" w:ascii="仿宋" w:hAnsi="仿宋" w:eastAsia="仿宋" w:cs="仿宋"/>
                <w:b/>
                <w:bCs/>
                <w:sz w:val="21"/>
                <w:szCs w:val="21"/>
              </w:rPr>
              <w:t>送餐物流配送方案及承诺（5分）</w:t>
            </w:r>
          </w:p>
        </w:tc>
        <w:tc>
          <w:tcPr>
            <w:tcW w:w="6704" w:type="dxa"/>
            <w:tcBorders>
              <w:bottom w:val="single" w:color="auto" w:sz="4" w:space="0"/>
            </w:tcBorders>
            <w:shd w:val="clear" w:color="auto" w:fill="auto"/>
            <w:vAlign w:val="center"/>
          </w:tcPr>
          <w:p w14:paraId="23B80458">
            <w:pPr>
              <w:pStyle w:val="73"/>
              <w:widowControl/>
              <w:snapToGrid w:val="0"/>
              <w:spacing w:line="240" w:lineRule="auto"/>
              <w:rPr>
                <w:rFonts w:hint="eastAsia" w:ascii="仿宋" w:hAnsi="仿宋" w:eastAsia="仿宋" w:cs="仿宋"/>
                <w:b/>
                <w:bCs/>
                <w:sz w:val="21"/>
                <w:szCs w:val="21"/>
              </w:rPr>
            </w:pPr>
            <w:r>
              <w:rPr>
                <w:rFonts w:hint="eastAsia" w:ascii="仿宋" w:hAnsi="仿宋" w:eastAsia="仿宋" w:cs="仿宋"/>
                <w:b/>
                <w:bCs/>
                <w:sz w:val="21"/>
                <w:szCs w:val="21"/>
              </w:rPr>
              <w:t>1、投标人送餐物流配送能力好，</w:t>
            </w:r>
            <w:r>
              <w:rPr>
                <w:rFonts w:hint="eastAsia" w:ascii="仿宋" w:hAnsi="仿宋" w:eastAsia="仿宋" w:cs="仿宋"/>
                <w:b/>
                <w:bCs/>
                <w:sz w:val="21"/>
                <w:szCs w:val="21"/>
                <w:lang w:val="en-US"/>
              </w:rPr>
              <w:t>配送车辆充足，</w:t>
            </w:r>
            <w:r>
              <w:rPr>
                <w:rFonts w:hint="eastAsia" w:ascii="仿宋" w:hAnsi="仿宋" w:eastAsia="仿宋" w:cs="仿宋"/>
                <w:b/>
                <w:bCs/>
                <w:sz w:val="21"/>
                <w:szCs w:val="21"/>
              </w:rPr>
              <w:t>配备专人服务、跟踪本项目，服务内容具体、齐全、科学、完整，完全满足项目服务要求，有具体的违约承诺的得</w:t>
            </w:r>
            <w:r>
              <w:rPr>
                <w:rFonts w:hint="eastAsia" w:ascii="仿宋" w:hAnsi="仿宋" w:eastAsia="仿宋" w:cs="仿宋"/>
                <w:b/>
                <w:bCs/>
                <w:sz w:val="21"/>
                <w:szCs w:val="21"/>
                <w:lang w:val="en-US"/>
              </w:rPr>
              <w:t>5</w:t>
            </w:r>
            <w:r>
              <w:rPr>
                <w:rFonts w:hint="eastAsia" w:ascii="仿宋" w:hAnsi="仿宋" w:eastAsia="仿宋" w:cs="仿宋"/>
                <w:b/>
                <w:bCs/>
                <w:sz w:val="21"/>
                <w:szCs w:val="21"/>
              </w:rPr>
              <w:t>分</w:t>
            </w:r>
          </w:p>
          <w:p w14:paraId="658B5B27">
            <w:pPr>
              <w:pStyle w:val="73"/>
              <w:widowControl/>
              <w:snapToGrid w:val="0"/>
              <w:spacing w:line="240" w:lineRule="auto"/>
              <w:rPr>
                <w:rFonts w:hint="eastAsia" w:ascii="仿宋" w:hAnsi="仿宋" w:eastAsia="仿宋" w:cs="仿宋"/>
                <w:b/>
                <w:bCs/>
                <w:sz w:val="21"/>
                <w:szCs w:val="21"/>
              </w:rPr>
            </w:pPr>
            <w:r>
              <w:rPr>
                <w:rFonts w:hint="eastAsia" w:ascii="仿宋" w:hAnsi="仿宋" w:eastAsia="仿宋" w:cs="仿宋"/>
                <w:b/>
                <w:bCs/>
                <w:sz w:val="21"/>
                <w:szCs w:val="21"/>
              </w:rPr>
              <w:t>2、投标人送餐物流配送能力</w:t>
            </w:r>
            <w:r>
              <w:rPr>
                <w:rFonts w:hint="eastAsia" w:ascii="仿宋" w:hAnsi="仿宋" w:eastAsia="仿宋" w:cs="仿宋"/>
                <w:b/>
                <w:bCs/>
                <w:sz w:val="21"/>
                <w:szCs w:val="21"/>
                <w:lang w:val="en-US"/>
              </w:rPr>
              <w:t>一般</w:t>
            </w:r>
            <w:r>
              <w:rPr>
                <w:rFonts w:hint="eastAsia" w:ascii="仿宋" w:hAnsi="仿宋" w:eastAsia="仿宋" w:cs="仿宋"/>
                <w:b/>
                <w:bCs/>
                <w:sz w:val="21"/>
                <w:szCs w:val="21"/>
              </w:rPr>
              <w:t>，</w:t>
            </w:r>
            <w:r>
              <w:rPr>
                <w:rFonts w:hint="eastAsia" w:ascii="仿宋" w:hAnsi="仿宋" w:eastAsia="仿宋" w:cs="仿宋"/>
                <w:b/>
                <w:bCs/>
                <w:sz w:val="21"/>
                <w:szCs w:val="21"/>
                <w:lang w:val="en-US"/>
              </w:rPr>
              <w:t>配送车辆一般，</w:t>
            </w:r>
            <w:r>
              <w:rPr>
                <w:rFonts w:hint="eastAsia" w:ascii="仿宋" w:hAnsi="仿宋" w:eastAsia="仿宋" w:cs="仿宋"/>
                <w:b/>
                <w:bCs/>
                <w:sz w:val="21"/>
                <w:szCs w:val="21"/>
              </w:rPr>
              <w:t>满足项目服务要求，有具体的违约承诺的得</w:t>
            </w:r>
            <w:r>
              <w:rPr>
                <w:rFonts w:hint="eastAsia" w:ascii="仿宋" w:hAnsi="仿宋" w:eastAsia="仿宋" w:cs="仿宋"/>
                <w:b/>
                <w:bCs/>
                <w:sz w:val="21"/>
                <w:szCs w:val="21"/>
                <w:lang w:val="en-US"/>
              </w:rPr>
              <w:t>3</w:t>
            </w:r>
            <w:r>
              <w:rPr>
                <w:rFonts w:hint="eastAsia" w:ascii="仿宋" w:hAnsi="仿宋" w:eastAsia="仿宋" w:cs="仿宋"/>
                <w:b/>
                <w:bCs/>
                <w:sz w:val="21"/>
                <w:szCs w:val="21"/>
              </w:rPr>
              <w:t>分；</w:t>
            </w:r>
          </w:p>
          <w:p w14:paraId="2E34CBB0">
            <w:pPr>
              <w:pStyle w:val="73"/>
              <w:widowControl/>
              <w:snapToGrid w:val="0"/>
              <w:spacing w:line="240" w:lineRule="auto"/>
              <w:rPr>
                <w:rFonts w:hint="eastAsia" w:ascii="仿宋" w:hAnsi="仿宋" w:eastAsia="仿宋" w:cs="仿宋"/>
                <w:b/>
                <w:bCs/>
                <w:sz w:val="21"/>
                <w:szCs w:val="21"/>
              </w:rPr>
            </w:pPr>
            <w:r>
              <w:rPr>
                <w:rFonts w:hint="eastAsia" w:ascii="仿宋" w:hAnsi="仿宋" w:eastAsia="仿宋" w:cs="仿宋"/>
                <w:b/>
                <w:bCs/>
                <w:sz w:val="21"/>
                <w:szCs w:val="21"/>
              </w:rPr>
              <w:t>3、投标人送餐物流配送能力</w:t>
            </w:r>
            <w:r>
              <w:rPr>
                <w:rFonts w:hint="eastAsia" w:ascii="仿宋" w:hAnsi="仿宋" w:eastAsia="仿宋" w:cs="仿宋"/>
                <w:b/>
                <w:bCs/>
                <w:sz w:val="21"/>
                <w:szCs w:val="21"/>
                <w:lang w:val="en-US"/>
              </w:rPr>
              <w:t>一般</w:t>
            </w:r>
            <w:r>
              <w:rPr>
                <w:rFonts w:hint="eastAsia" w:ascii="仿宋" w:hAnsi="仿宋" w:eastAsia="仿宋" w:cs="仿宋"/>
                <w:b/>
                <w:bCs/>
                <w:sz w:val="21"/>
                <w:szCs w:val="21"/>
              </w:rPr>
              <w:t>，</w:t>
            </w:r>
            <w:r>
              <w:rPr>
                <w:rFonts w:hint="eastAsia" w:ascii="仿宋" w:hAnsi="仿宋" w:eastAsia="仿宋" w:cs="仿宋"/>
                <w:b/>
                <w:bCs/>
                <w:sz w:val="21"/>
                <w:szCs w:val="21"/>
                <w:lang w:val="en-US"/>
              </w:rPr>
              <w:t>配送车辆一般，</w:t>
            </w:r>
            <w:r>
              <w:rPr>
                <w:rFonts w:hint="eastAsia" w:ascii="仿宋" w:hAnsi="仿宋" w:eastAsia="仿宋" w:cs="仿宋"/>
                <w:b/>
                <w:bCs/>
                <w:sz w:val="21"/>
                <w:szCs w:val="21"/>
              </w:rPr>
              <w:t>基本满足项目服务要求，违约承诺不具体的得</w:t>
            </w:r>
            <w:r>
              <w:rPr>
                <w:rFonts w:hint="eastAsia" w:ascii="仿宋" w:hAnsi="仿宋" w:eastAsia="仿宋" w:cs="仿宋"/>
                <w:b/>
                <w:bCs/>
                <w:szCs w:val="24"/>
                <w:lang w:val="en-US"/>
              </w:rPr>
              <w:t>2</w:t>
            </w:r>
            <w:r>
              <w:rPr>
                <w:rFonts w:hint="eastAsia" w:ascii="仿宋" w:hAnsi="仿宋" w:eastAsia="仿宋" w:cs="仿宋"/>
                <w:b/>
                <w:bCs/>
                <w:sz w:val="21"/>
                <w:szCs w:val="21"/>
              </w:rPr>
              <w:t>分。</w:t>
            </w:r>
          </w:p>
          <w:p w14:paraId="3A76D8EF">
            <w:pPr>
              <w:pStyle w:val="73"/>
              <w:widowControl/>
              <w:snapToGrid w:val="0"/>
              <w:spacing w:line="240" w:lineRule="auto"/>
              <w:rPr>
                <w:rFonts w:hint="eastAsia" w:ascii="仿宋" w:hAnsi="仿宋" w:eastAsia="仿宋" w:cs="仿宋"/>
                <w:b/>
                <w:bCs/>
                <w:sz w:val="21"/>
                <w:szCs w:val="21"/>
              </w:rPr>
            </w:pPr>
            <w:r>
              <w:rPr>
                <w:rFonts w:hint="eastAsia" w:ascii="仿宋" w:hAnsi="仿宋" w:eastAsia="仿宋" w:cs="仿宋"/>
                <w:b/>
                <w:bCs/>
                <w:sz w:val="21"/>
                <w:szCs w:val="21"/>
                <w:lang w:val="en-US"/>
              </w:rPr>
              <w:t>4、</w:t>
            </w:r>
            <w:r>
              <w:rPr>
                <w:rFonts w:hint="eastAsia" w:ascii="仿宋" w:hAnsi="仿宋" w:eastAsia="仿宋" w:cs="仿宋"/>
                <w:b/>
                <w:bCs/>
                <w:sz w:val="21"/>
                <w:szCs w:val="21"/>
              </w:rPr>
              <w:t>投标人送餐物流配送能力</w:t>
            </w:r>
            <w:r>
              <w:rPr>
                <w:rFonts w:hint="eastAsia" w:ascii="仿宋" w:hAnsi="仿宋" w:eastAsia="仿宋" w:cs="仿宋"/>
                <w:b/>
                <w:bCs/>
                <w:sz w:val="21"/>
                <w:szCs w:val="21"/>
                <w:lang w:val="en-US"/>
              </w:rPr>
              <w:t>差</w:t>
            </w:r>
            <w:r>
              <w:rPr>
                <w:rFonts w:hint="eastAsia" w:ascii="仿宋" w:hAnsi="仿宋" w:eastAsia="仿宋" w:cs="仿宋"/>
                <w:b/>
                <w:bCs/>
                <w:sz w:val="21"/>
                <w:szCs w:val="21"/>
              </w:rPr>
              <w:t>，</w:t>
            </w:r>
            <w:r>
              <w:rPr>
                <w:rFonts w:hint="eastAsia" w:ascii="仿宋" w:hAnsi="仿宋" w:eastAsia="仿宋" w:cs="仿宋"/>
                <w:b/>
                <w:bCs/>
                <w:sz w:val="21"/>
                <w:szCs w:val="21"/>
                <w:lang w:val="en-US"/>
              </w:rPr>
              <w:t>不能</w:t>
            </w:r>
            <w:r>
              <w:rPr>
                <w:rFonts w:hint="eastAsia" w:ascii="仿宋" w:hAnsi="仿宋" w:eastAsia="仿宋" w:cs="仿宋"/>
                <w:b/>
                <w:bCs/>
                <w:sz w:val="21"/>
                <w:szCs w:val="21"/>
              </w:rPr>
              <w:t>满足项目服务要求，违约承诺</w:t>
            </w:r>
            <w:r>
              <w:rPr>
                <w:rFonts w:hint="eastAsia" w:ascii="仿宋" w:hAnsi="仿宋" w:eastAsia="仿宋" w:cs="仿宋"/>
                <w:b/>
                <w:bCs/>
                <w:sz w:val="21"/>
                <w:szCs w:val="21"/>
                <w:lang w:val="en-US"/>
              </w:rPr>
              <w:t>差</w:t>
            </w:r>
            <w:r>
              <w:rPr>
                <w:rFonts w:hint="eastAsia" w:ascii="仿宋" w:hAnsi="仿宋" w:eastAsia="仿宋" w:cs="仿宋"/>
                <w:b/>
                <w:bCs/>
                <w:sz w:val="21"/>
                <w:szCs w:val="21"/>
              </w:rPr>
              <w:t>的得</w:t>
            </w:r>
            <w:r>
              <w:rPr>
                <w:rFonts w:hint="eastAsia" w:ascii="仿宋" w:hAnsi="仿宋" w:eastAsia="仿宋" w:cs="仿宋"/>
                <w:b/>
                <w:bCs/>
                <w:szCs w:val="24"/>
                <w:lang w:val="en-US"/>
              </w:rPr>
              <w:t>1</w:t>
            </w:r>
            <w:r>
              <w:rPr>
                <w:rFonts w:hint="eastAsia" w:ascii="仿宋" w:hAnsi="仿宋" w:eastAsia="仿宋" w:cs="仿宋"/>
                <w:b/>
                <w:bCs/>
                <w:sz w:val="21"/>
                <w:szCs w:val="21"/>
              </w:rPr>
              <w:t>分。</w:t>
            </w:r>
          </w:p>
          <w:p w14:paraId="7C6D12ED">
            <w:pPr>
              <w:pStyle w:val="73"/>
              <w:widowControl/>
              <w:snapToGrid w:val="0"/>
              <w:spacing w:line="240" w:lineRule="auto"/>
              <w:rPr>
                <w:rFonts w:hint="eastAsia" w:ascii="仿宋" w:hAnsi="仿宋" w:eastAsia="仿宋" w:cs="仿宋"/>
                <w:b/>
                <w:bCs/>
                <w:sz w:val="21"/>
                <w:szCs w:val="21"/>
                <w:lang w:val="en-US"/>
              </w:rPr>
            </w:pPr>
            <w:r>
              <w:rPr>
                <w:rFonts w:hint="eastAsia" w:ascii="仿宋" w:hAnsi="仿宋" w:eastAsia="仿宋" w:cs="仿宋"/>
                <w:b/>
                <w:bCs/>
                <w:sz w:val="21"/>
                <w:szCs w:val="21"/>
                <w:lang w:val="en-US"/>
              </w:rPr>
              <w:t>5、未提供的不得分。</w:t>
            </w:r>
          </w:p>
        </w:tc>
      </w:tr>
      <w:tr w14:paraId="4196B6E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116" w:hRule="atLeast"/>
          <w:jc w:val="center"/>
        </w:trPr>
        <w:tc>
          <w:tcPr>
            <w:tcW w:w="952" w:type="dxa"/>
            <w:vMerge w:val="continue"/>
            <w:vAlign w:val="center"/>
          </w:tcPr>
          <w:p w14:paraId="532F694F">
            <w:pPr>
              <w:spacing w:line="360" w:lineRule="auto"/>
              <w:jc w:val="center"/>
              <w:rPr>
                <w:rFonts w:hint="eastAsia" w:ascii="仿宋" w:hAnsi="仿宋" w:eastAsia="仿宋" w:cs="仿宋"/>
                <w:sz w:val="21"/>
                <w:szCs w:val="21"/>
              </w:rPr>
            </w:pPr>
          </w:p>
        </w:tc>
        <w:tc>
          <w:tcPr>
            <w:tcW w:w="2410" w:type="dxa"/>
            <w:gridSpan w:val="2"/>
            <w:shd w:val="clear" w:color="auto" w:fill="auto"/>
            <w:vAlign w:val="center"/>
          </w:tcPr>
          <w:p w14:paraId="5CE7EE6A">
            <w:pPr>
              <w:autoSpaceDE w:val="0"/>
              <w:autoSpaceDN w:val="0"/>
              <w:adjustRightInd w:val="0"/>
              <w:snapToGrid w:val="0"/>
              <w:spacing w:line="240" w:lineRule="auto"/>
              <w:jc w:val="center"/>
              <w:rPr>
                <w:rFonts w:hint="eastAsia" w:ascii="仿宋" w:hAnsi="仿宋" w:eastAsia="仿宋" w:cs="仿宋"/>
                <w:b/>
                <w:bCs/>
                <w:sz w:val="21"/>
                <w:szCs w:val="21"/>
              </w:rPr>
            </w:pPr>
            <w:r>
              <w:rPr>
                <w:rFonts w:hint="eastAsia" w:ascii="仿宋" w:hAnsi="仿宋" w:eastAsia="仿宋" w:cs="仿宋"/>
                <w:b/>
                <w:bCs/>
                <w:sz w:val="21"/>
                <w:szCs w:val="21"/>
              </w:rPr>
              <w:t>供餐响应时间承诺评审评分（满分5分）</w:t>
            </w:r>
          </w:p>
        </w:tc>
        <w:tc>
          <w:tcPr>
            <w:tcW w:w="6704" w:type="dxa"/>
            <w:tcBorders>
              <w:bottom w:val="single" w:color="auto" w:sz="4" w:space="0"/>
            </w:tcBorders>
            <w:shd w:val="clear" w:color="auto" w:fill="auto"/>
            <w:vAlign w:val="center"/>
          </w:tcPr>
          <w:p w14:paraId="48B235DE">
            <w:pPr>
              <w:pStyle w:val="73"/>
              <w:widowControl/>
              <w:snapToGrid w:val="0"/>
              <w:spacing w:line="240" w:lineRule="auto"/>
              <w:rPr>
                <w:rFonts w:hint="eastAsia" w:ascii="仿宋" w:hAnsi="仿宋" w:eastAsia="仿宋" w:cs="仿宋"/>
                <w:b/>
                <w:bCs/>
                <w:sz w:val="21"/>
                <w:szCs w:val="21"/>
              </w:rPr>
            </w:pPr>
            <w:r>
              <w:rPr>
                <w:rFonts w:hint="eastAsia" w:ascii="仿宋" w:hAnsi="仿宋" w:eastAsia="仿宋" w:cs="仿宋"/>
                <w:b/>
                <w:bCs/>
                <w:sz w:val="21"/>
                <w:szCs w:val="21"/>
              </w:rPr>
              <w:t>投标人对供餐响应时间自行承诺：</w:t>
            </w:r>
          </w:p>
          <w:p w14:paraId="77C96BEC">
            <w:pPr>
              <w:pStyle w:val="73"/>
              <w:widowControl/>
              <w:snapToGrid w:val="0"/>
              <w:spacing w:line="240" w:lineRule="auto"/>
              <w:rPr>
                <w:rFonts w:hint="eastAsia" w:ascii="仿宋" w:hAnsi="仿宋" w:eastAsia="仿宋" w:cs="仿宋"/>
                <w:b/>
                <w:bCs/>
                <w:sz w:val="21"/>
                <w:szCs w:val="21"/>
              </w:rPr>
            </w:pPr>
            <w:r>
              <w:rPr>
                <w:rFonts w:hint="eastAsia" w:ascii="仿宋" w:hAnsi="仿宋" w:eastAsia="仿宋" w:cs="仿宋"/>
                <w:b/>
                <w:bCs/>
                <w:sz w:val="21"/>
                <w:szCs w:val="21"/>
              </w:rPr>
              <w:t>1、从企业出发送到学校的时间不超过</w:t>
            </w:r>
            <w:r>
              <w:rPr>
                <w:rFonts w:hint="eastAsia" w:ascii="仿宋" w:hAnsi="仿宋" w:eastAsia="仿宋" w:cs="仿宋"/>
                <w:b/>
                <w:bCs/>
                <w:sz w:val="21"/>
                <w:szCs w:val="21"/>
                <w:lang w:val="en-US"/>
              </w:rPr>
              <w:t>2</w:t>
            </w:r>
            <w:r>
              <w:rPr>
                <w:rFonts w:hint="eastAsia" w:ascii="仿宋" w:hAnsi="仿宋" w:eastAsia="仿宋" w:cs="仿宋"/>
                <w:b/>
                <w:bCs/>
                <w:sz w:val="21"/>
                <w:szCs w:val="21"/>
              </w:rPr>
              <w:t>0分钟（含</w:t>
            </w:r>
            <w:r>
              <w:rPr>
                <w:rFonts w:hint="eastAsia" w:ascii="仿宋" w:hAnsi="仿宋" w:eastAsia="仿宋" w:cs="仿宋"/>
                <w:b/>
                <w:bCs/>
                <w:sz w:val="21"/>
                <w:szCs w:val="21"/>
                <w:lang w:val="en-US"/>
              </w:rPr>
              <w:t>2</w:t>
            </w:r>
            <w:r>
              <w:rPr>
                <w:rFonts w:hint="eastAsia" w:ascii="仿宋" w:hAnsi="仿宋" w:eastAsia="仿宋" w:cs="仿宋"/>
                <w:b/>
                <w:bCs/>
                <w:sz w:val="21"/>
                <w:szCs w:val="21"/>
              </w:rPr>
              <w:t>0分钟）的得5分；</w:t>
            </w:r>
          </w:p>
          <w:p w14:paraId="053E3A9E">
            <w:pPr>
              <w:pStyle w:val="73"/>
              <w:widowControl/>
              <w:snapToGrid w:val="0"/>
              <w:spacing w:line="240" w:lineRule="auto"/>
              <w:rPr>
                <w:rFonts w:hint="eastAsia" w:ascii="仿宋" w:hAnsi="仿宋" w:eastAsia="仿宋" w:cs="仿宋"/>
                <w:b/>
                <w:bCs/>
                <w:sz w:val="21"/>
                <w:szCs w:val="21"/>
              </w:rPr>
            </w:pPr>
            <w:r>
              <w:rPr>
                <w:rFonts w:hint="eastAsia" w:ascii="仿宋" w:hAnsi="仿宋" w:eastAsia="仿宋" w:cs="仿宋"/>
                <w:b/>
                <w:bCs/>
                <w:sz w:val="21"/>
                <w:szCs w:val="21"/>
              </w:rPr>
              <w:t>2、从企业出发送到学校的时间不超过</w:t>
            </w:r>
            <w:r>
              <w:rPr>
                <w:rFonts w:hint="eastAsia" w:ascii="仿宋" w:hAnsi="仿宋" w:eastAsia="仿宋" w:cs="仿宋"/>
                <w:b/>
                <w:bCs/>
                <w:sz w:val="21"/>
                <w:szCs w:val="21"/>
                <w:lang w:val="en-US"/>
              </w:rPr>
              <w:t>2</w:t>
            </w:r>
            <w:r>
              <w:rPr>
                <w:rFonts w:hint="eastAsia" w:ascii="仿宋" w:hAnsi="仿宋" w:eastAsia="仿宋" w:cs="仿宋"/>
                <w:b/>
                <w:bCs/>
                <w:sz w:val="21"/>
                <w:szCs w:val="21"/>
              </w:rPr>
              <w:t>1～</w:t>
            </w:r>
            <w:r>
              <w:rPr>
                <w:rFonts w:hint="eastAsia" w:ascii="仿宋" w:hAnsi="仿宋" w:eastAsia="仿宋" w:cs="仿宋"/>
                <w:b/>
                <w:bCs/>
                <w:sz w:val="21"/>
                <w:szCs w:val="21"/>
                <w:lang w:val="en-US"/>
              </w:rPr>
              <w:t>3</w:t>
            </w:r>
            <w:r>
              <w:rPr>
                <w:rFonts w:hint="eastAsia" w:ascii="仿宋" w:hAnsi="仿宋" w:eastAsia="仿宋" w:cs="仿宋"/>
                <w:b/>
                <w:bCs/>
                <w:sz w:val="21"/>
                <w:szCs w:val="21"/>
              </w:rPr>
              <w:t>0分钟（含）的得4分；</w:t>
            </w:r>
          </w:p>
          <w:p w14:paraId="3F5B78DE">
            <w:pPr>
              <w:pStyle w:val="73"/>
              <w:widowControl/>
              <w:snapToGrid w:val="0"/>
              <w:spacing w:line="240" w:lineRule="auto"/>
              <w:rPr>
                <w:rFonts w:hint="eastAsia" w:ascii="仿宋" w:hAnsi="仿宋" w:eastAsia="仿宋" w:cs="仿宋"/>
                <w:b/>
                <w:bCs/>
                <w:sz w:val="21"/>
                <w:szCs w:val="21"/>
              </w:rPr>
            </w:pPr>
            <w:r>
              <w:rPr>
                <w:rFonts w:hint="eastAsia" w:ascii="仿宋" w:hAnsi="仿宋" w:eastAsia="仿宋" w:cs="仿宋"/>
                <w:b/>
                <w:bCs/>
                <w:sz w:val="21"/>
                <w:szCs w:val="21"/>
              </w:rPr>
              <w:t>3、从企业出发送到学校的时间不超过</w:t>
            </w:r>
            <w:r>
              <w:rPr>
                <w:rFonts w:hint="eastAsia" w:ascii="仿宋" w:hAnsi="仿宋" w:eastAsia="仿宋" w:cs="仿宋"/>
                <w:b/>
                <w:bCs/>
                <w:sz w:val="21"/>
                <w:szCs w:val="21"/>
                <w:lang w:val="en-US"/>
              </w:rPr>
              <w:t>3</w:t>
            </w:r>
            <w:r>
              <w:rPr>
                <w:rFonts w:hint="eastAsia" w:ascii="仿宋" w:hAnsi="仿宋" w:eastAsia="仿宋" w:cs="仿宋"/>
                <w:b/>
                <w:bCs/>
                <w:sz w:val="21"/>
                <w:szCs w:val="21"/>
              </w:rPr>
              <w:t>1～</w:t>
            </w:r>
            <w:r>
              <w:rPr>
                <w:rFonts w:hint="eastAsia" w:ascii="仿宋" w:hAnsi="仿宋" w:eastAsia="仿宋" w:cs="仿宋"/>
                <w:b/>
                <w:bCs/>
                <w:sz w:val="21"/>
                <w:szCs w:val="21"/>
                <w:lang w:val="en-US"/>
              </w:rPr>
              <w:t>4</w:t>
            </w:r>
            <w:r>
              <w:rPr>
                <w:rFonts w:hint="eastAsia" w:ascii="仿宋" w:hAnsi="仿宋" w:eastAsia="仿宋" w:cs="仿宋"/>
                <w:b/>
                <w:bCs/>
                <w:sz w:val="21"/>
                <w:szCs w:val="21"/>
              </w:rPr>
              <w:t>0分钟（含）的得3分；</w:t>
            </w:r>
          </w:p>
          <w:p w14:paraId="3338C2B4">
            <w:pPr>
              <w:pStyle w:val="73"/>
              <w:widowControl/>
              <w:snapToGrid w:val="0"/>
              <w:spacing w:line="240" w:lineRule="auto"/>
              <w:rPr>
                <w:rFonts w:hint="eastAsia" w:ascii="仿宋" w:hAnsi="仿宋" w:eastAsia="仿宋" w:cs="仿宋"/>
                <w:b/>
                <w:bCs/>
                <w:sz w:val="21"/>
                <w:szCs w:val="21"/>
              </w:rPr>
            </w:pPr>
            <w:r>
              <w:rPr>
                <w:rFonts w:hint="eastAsia" w:ascii="仿宋" w:hAnsi="仿宋" w:eastAsia="仿宋" w:cs="仿宋"/>
                <w:b/>
                <w:bCs/>
                <w:sz w:val="21"/>
                <w:szCs w:val="21"/>
                <w:lang w:val="en-US"/>
              </w:rPr>
              <w:t>4</w:t>
            </w:r>
            <w:r>
              <w:rPr>
                <w:rFonts w:hint="eastAsia" w:ascii="仿宋" w:hAnsi="仿宋" w:eastAsia="仿宋" w:cs="仿宋"/>
                <w:b/>
                <w:bCs/>
                <w:sz w:val="21"/>
                <w:szCs w:val="21"/>
              </w:rPr>
              <w:t>、从企业出发送到学校的时间超过</w:t>
            </w:r>
            <w:r>
              <w:rPr>
                <w:rFonts w:hint="eastAsia" w:ascii="仿宋" w:hAnsi="仿宋" w:eastAsia="仿宋" w:cs="仿宋"/>
                <w:b/>
                <w:bCs/>
                <w:sz w:val="21"/>
                <w:szCs w:val="21"/>
                <w:lang w:val="en-US"/>
              </w:rPr>
              <w:t>4</w:t>
            </w:r>
            <w:r>
              <w:rPr>
                <w:rFonts w:hint="eastAsia" w:ascii="仿宋" w:hAnsi="仿宋" w:eastAsia="仿宋" w:cs="仿宋"/>
                <w:b/>
                <w:bCs/>
                <w:sz w:val="21"/>
                <w:szCs w:val="21"/>
              </w:rPr>
              <w:t>0分钟以上的得1分；</w:t>
            </w:r>
          </w:p>
          <w:p w14:paraId="23923601">
            <w:pPr>
              <w:pStyle w:val="73"/>
              <w:widowControl/>
              <w:snapToGrid w:val="0"/>
              <w:spacing w:line="240" w:lineRule="auto"/>
              <w:rPr>
                <w:rFonts w:hint="eastAsia" w:ascii="仿宋" w:hAnsi="仿宋" w:eastAsia="仿宋" w:cs="仿宋"/>
                <w:b/>
                <w:bCs/>
                <w:sz w:val="21"/>
                <w:szCs w:val="21"/>
              </w:rPr>
            </w:pPr>
            <w:r>
              <w:rPr>
                <w:rFonts w:hint="eastAsia" w:ascii="仿宋" w:hAnsi="仿宋" w:eastAsia="仿宋" w:cs="仿宋"/>
                <w:b/>
                <w:bCs/>
                <w:sz w:val="21"/>
                <w:szCs w:val="21"/>
                <w:lang w:val="en-US"/>
              </w:rPr>
              <w:t>5</w:t>
            </w:r>
            <w:r>
              <w:rPr>
                <w:rFonts w:hint="eastAsia" w:ascii="仿宋" w:hAnsi="仿宋" w:eastAsia="仿宋" w:cs="仿宋"/>
                <w:b/>
                <w:bCs/>
                <w:sz w:val="21"/>
                <w:szCs w:val="21"/>
              </w:rPr>
              <w:t>、未有此承诺的该项不得分。</w:t>
            </w:r>
          </w:p>
          <w:p w14:paraId="3B2E8A32">
            <w:pPr>
              <w:pStyle w:val="73"/>
              <w:widowControl/>
              <w:snapToGrid w:val="0"/>
              <w:spacing w:line="240" w:lineRule="auto"/>
              <w:rPr>
                <w:rFonts w:hint="eastAsia" w:ascii="仿宋" w:hAnsi="仿宋" w:eastAsia="仿宋" w:cs="仿宋"/>
                <w:b/>
                <w:bCs/>
                <w:sz w:val="21"/>
                <w:szCs w:val="21"/>
              </w:rPr>
            </w:pPr>
            <w:r>
              <w:rPr>
                <w:rFonts w:hint="eastAsia" w:ascii="仿宋" w:hAnsi="仿宋" w:eastAsia="仿宋" w:cs="仿宋"/>
                <w:b/>
                <w:bCs/>
                <w:sz w:val="21"/>
                <w:szCs w:val="21"/>
              </w:rPr>
              <w:t>注：1、须提供供餐</w:t>
            </w:r>
            <w:r>
              <w:rPr>
                <w:rFonts w:hint="eastAsia" w:ascii="仿宋" w:hAnsi="仿宋" w:eastAsia="仿宋" w:cs="仿宋"/>
                <w:b/>
                <w:bCs/>
                <w:sz w:val="21"/>
                <w:szCs w:val="21"/>
                <w:lang w:val="en-US"/>
              </w:rPr>
              <w:t>中央厨房</w:t>
            </w:r>
            <w:r>
              <w:rPr>
                <w:rFonts w:hint="eastAsia" w:ascii="仿宋" w:hAnsi="仿宋" w:eastAsia="仿宋" w:cs="仿宋"/>
                <w:b/>
                <w:bCs/>
                <w:sz w:val="21"/>
                <w:szCs w:val="21"/>
              </w:rPr>
              <w:t>场地租赁合同（或产权证明）复印件及供餐</w:t>
            </w:r>
            <w:r>
              <w:rPr>
                <w:rFonts w:hint="eastAsia" w:ascii="仿宋" w:hAnsi="仿宋" w:eastAsia="仿宋" w:cs="仿宋"/>
                <w:b/>
                <w:bCs/>
                <w:sz w:val="21"/>
                <w:szCs w:val="21"/>
                <w:lang w:val="en-US"/>
              </w:rPr>
              <w:t>中央厨房</w:t>
            </w:r>
            <w:r>
              <w:rPr>
                <w:rFonts w:hint="eastAsia" w:ascii="仿宋" w:hAnsi="仿宋" w:eastAsia="仿宋" w:cs="仿宋"/>
                <w:b/>
                <w:bCs/>
                <w:sz w:val="21"/>
                <w:szCs w:val="21"/>
              </w:rPr>
              <w:t>（发车地点）到学校送餐</w:t>
            </w:r>
            <w:r>
              <w:rPr>
                <w:rFonts w:hint="eastAsia" w:ascii="仿宋" w:hAnsi="仿宋" w:eastAsia="仿宋" w:cs="仿宋"/>
                <w:b/>
                <w:bCs/>
                <w:sz w:val="21"/>
                <w:szCs w:val="21"/>
                <w:lang w:val="en-US"/>
              </w:rPr>
              <w:t>地点</w:t>
            </w:r>
            <w:r>
              <w:rPr>
                <w:rFonts w:hint="eastAsia" w:ascii="仿宋" w:hAnsi="仿宋" w:eastAsia="仿宋" w:cs="仿宋"/>
                <w:b/>
                <w:bCs/>
                <w:sz w:val="21"/>
                <w:szCs w:val="21"/>
              </w:rPr>
              <w:t>的地理位置线路图截图。（投标企业为学校供餐的实际</w:t>
            </w:r>
            <w:r>
              <w:rPr>
                <w:rFonts w:hint="eastAsia" w:ascii="仿宋" w:hAnsi="仿宋" w:eastAsia="仿宋" w:cs="仿宋"/>
                <w:b/>
                <w:bCs/>
                <w:sz w:val="21"/>
                <w:szCs w:val="21"/>
                <w:lang w:val="en-US"/>
              </w:rPr>
              <w:t>中央厨房</w:t>
            </w:r>
            <w:r>
              <w:rPr>
                <w:rFonts w:hint="eastAsia" w:ascii="仿宋" w:hAnsi="仿宋" w:eastAsia="仿宋" w:cs="仿宋"/>
                <w:b/>
                <w:bCs/>
                <w:sz w:val="21"/>
                <w:szCs w:val="21"/>
              </w:rPr>
              <w:t>地址、地图显示地址、食品经营许可证显示地址三者须保持一致。）</w:t>
            </w:r>
          </w:p>
          <w:p w14:paraId="03788519">
            <w:pPr>
              <w:pStyle w:val="73"/>
              <w:widowControl/>
              <w:snapToGrid w:val="0"/>
              <w:spacing w:line="240" w:lineRule="auto"/>
              <w:rPr>
                <w:rFonts w:hint="eastAsia" w:ascii="仿宋" w:hAnsi="仿宋" w:eastAsia="仿宋" w:cs="仿宋"/>
                <w:b/>
                <w:bCs/>
                <w:sz w:val="21"/>
                <w:szCs w:val="21"/>
                <w:lang w:val="en-US"/>
              </w:rPr>
            </w:pPr>
            <w:r>
              <w:rPr>
                <w:rFonts w:hint="eastAsia" w:ascii="仿宋" w:hAnsi="仿宋" w:eastAsia="仿宋" w:cs="仿宋"/>
                <w:b/>
                <w:bCs/>
                <w:sz w:val="21"/>
                <w:szCs w:val="21"/>
              </w:rPr>
              <w:t>2、必须注明第三方地图软件截图应为工作日，且发车时间为10:</w:t>
            </w:r>
            <w:r>
              <w:rPr>
                <w:rFonts w:hint="eastAsia" w:ascii="仿宋" w:hAnsi="仿宋" w:eastAsia="仿宋" w:cs="仿宋"/>
                <w:b/>
                <w:bCs/>
                <w:sz w:val="21"/>
                <w:szCs w:val="21"/>
                <w:lang w:val="en-US" w:eastAsia="zh-CN"/>
              </w:rPr>
              <w:t>30</w:t>
            </w:r>
            <w:r>
              <w:rPr>
                <w:rFonts w:hint="eastAsia" w:ascii="仿宋" w:hAnsi="仿宋" w:eastAsia="仿宋" w:cs="仿宋"/>
                <w:b/>
                <w:bCs/>
                <w:sz w:val="21"/>
                <w:szCs w:val="21"/>
              </w:rPr>
              <w:t>-11:</w:t>
            </w:r>
            <w:r>
              <w:rPr>
                <w:rFonts w:hint="eastAsia" w:ascii="仿宋" w:hAnsi="仿宋" w:eastAsia="仿宋" w:cs="仿宋"/>
                <w:b/>
                <w:bCs/>
                <w:sz w:val="21"/>
                <w:szCs w:val="21"/>
                <w:lang w:val="en-US" w:eastAsia="zh-CN"/>
              </w:rPr>
              <w:t>3</w:t>
            </w:r>
            <w:r>
              <w:rPr>
                <w:rFonts w:hint="eastAsia" w:ascii="仿宋" w:hAnsi="仿宋" w:eastAsia="仿宋" w:cs="仿宋"/>
                <w:b/>
                <w:bCs/>
                <w:sz w:val="21"/>
                <w:szCs w:val="21"/>
              </w:rPr>
              <w:t>0（提供的时间节点日期应为投标文件提交前3个工作日之内），其他时间段不予认可。</w:t>
            </w:r>
          </w:p>
        </w:tc>
      </w:tr>
      <w:tr w14:paraId="3C3BD93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52" w:type="dxa"/>
            <w:vMerge w:val="restart"/>
            <w:vAlign w:val="center"/>
          </w:tcPr>
          <w:p w14:paraId="4DF34C7A">
            <w:pPr>
              <w:spacing w:line="360" w:lineRule="auto"/>
              <w:jc w:val="center"/>
              <w:rPr>
                <w:rFonts w:hint="eastAsia" w:ascii="仿宋" w:hAnsi="仿宋" w:eastAsia="仿宋" w:cs="仿宋"/>
                <w:sz w:val="21"/>
                <w:szCs w:val="21"/>
              </w:rPr>
            </w:pPr>
          </w:p>
        </w:tc>
        <w:tc>
          <w:tcPr>
            <w:tcW w:w="1175" w:type="dxa"/>
            <w:vAlign w:val="center"/>
          </w:tcPr>
          <w:p w14:paraId="09C9C3A2">
            <w:pPr>
              <w:snapToGrid w:val="0"/>
              <w:spacing w:line="360" w:lineRule="auto"/>
              <w:jc w:val="center"/>
              <w:rPr>
                <w:rFonts w:hint="eastAsia" w:ascii="仿宋" w:hAnsi="仿宋" w:eastAsia="仿宋" w:cs="仿宋"/>
                <w:b/>
                <w:bCs/>
                <w:sz w:val="21"/>
                <w:szCs w:val="21"/>
              </w:rPr>
            </w:pPr>
            <w:r>
              <w:rPr>
                <w:rFonts w:hint="eastAsia" w:ascii="仿宋" w:hAnsi="仿宋" w:eastAsia="仿宋" w:cs="仿宋"/>
                <w:b/>
                <w:sz w:val="21"/>
                <w:szCs w:val="21"/>
              </w:rPr>
              <w:t>2.5</w:t>
            </w:r>
          </w:p>
        </w:tc>
        <w:tc>
          <w:tcPr>
            <w:tcW w:w="1235" w:type="dxa"/>
            <w:vAlign w:val="center"/>
          </w:tcPr>
          <w:p w14:paraId="1C62D321">
            <w:pPr>
              <w:snapToGrid w:val="0"/>
              <w:spacing w:line="360" w:lineRule="auto"/>
              <w:jc w:val="center"/>
              <w:rPr>
                <w:rFonts w:hint="eastAsia" w:ascii="仿宋" w:hAnsi="仿宋" w:eastAsia="仿宋" w:cs="仿宋"/>
                <w:b/>
                <w:bCs/>
                <w:sz w:val="21"/>
                <w:szCs w:val="21"/>
              </w:rPr>
            </w:pPr>
            <w:r>
              <w:rPr>
                <w:rFonts w:hint="eastAsia" w:ascii="仿宋" w:hAnsi="仿宋" w:eastAsia="仿宋" w:cs="仿宋"/>
                <w:b/>
                <w:sz w:val="21"/>
                <w:szCs w:val="21"/>
              </w:rPr>
              <w:t>商务部分评审</w:t>
            </w:r>
          </w:p>
        </w:tc>
        <w:tc>
          <w:tcPr>
            <w:tcW w:w="6704" w:type="dxa"/>
            <w:vAlign w:val="center"/>
          </w:tcPr>
          <w:p w14:paraId="164A5216">
            <w:pPr>
              <w:snapToGrid w:val="0"/>
              <w:spacing w:line="360" w:lineRule="auto"/>
              <w:jc w:val="center"/>
              <w:rPr>
                <w:rFonts w:hint="eastAsia" w:ascii="仿宋" w:hAnsi="仿宋" w:eastAsia="仿宋" w:cs="仿宋"/>
                <w:sz w:val="21"/>
                <w:szCs w:val="21"/>
              </w:rPr>
            </w:pPr>
            <w:r>
              <w:rPr>
                <w:rFonts w:hint="eastAsia" w:ascii="仿宋" w:hAnsi="仿宋" w:eastAsia="仿宋" w:cs="仿宋"/>
                <w:b/>
                <w:sz w:val="21"/>
                <w:szCs w:val="21"/>
              </w:rPr>
              <w:t>F3＝</w:t>
            </w:r>
            <w:r>
              <w:rPr>
                <w:rFonts w:hint="eastAsia" w:ascii="仿宋" w:hAnsi="仿宋" w:eastAsia="仿宋" w:cs="仿宋"/>
                <w:b/>
                <w:sz w:val="21"/>
                <w:szCs w:val="21"/>
                <w:lang w:val="en-US" w:eastAsia="zh-CN"/>
              </w:rPr>
              <w:t>5</w:t>
            </w:r>
            <w:r>
              <w:rPr>
                <w:rFonts w:hint="eastAsia" w:ascii="仿宋" w:hAnsi="仿宋" w:eastAsia="仿宋" w:cs="仿宋"/>
                <w:b/>
                <w:sz w:val="21"/>
                <w:szCs w:val="21"/>
              </w:rPr>
              <w:t>分</w:t>
            </w:r>
          </w:p>
        </w:tc>
      </w:tr>
      <w:tr w14:paraId="541C7B7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52" w:type="dxa"/>
            <w:vMerge w:val="continue"/>
            <w:vAlign w:val="center"/>
          </w:tcPr>
          <w:p w14:paraId="5F08771B">
            <w:pPr>
              <w:spacing w:line="360" w:lineRule="auto"/>
              <w:jc w:val="center"/>
              <w:rPr>
                <w:rFonts w:hint="eastAsia" w:ascii="仿宋" w:hAnsi="仿宋" w:eastAsia="仿宋" w:cs="仿宋"/>
                <w:sz w:val="21"/>
                <w:szCs w:val="21"/>
              </w:rPr>
            </w:pPr>
          </w:p>
        </w:tc>
        <w:tc>
          <w:tcPr>
            <w:tcW w:w="2410" w:type="dxa"/>
            <w:gridSpan w:val="2"/>
            <w:vAlign w:val="center"/>
          </w:tcPr>
          <w:p w14:paraId="62CE3121">
            <w:pPr>
              <w:autoSpaceDE w:val="0"/>
              <w:autoSpaceDN w:val="0"/>
              <w:adjustRightInd w:val="0"/>
              <w:spacing w:line="420" w:lineRule="exact"/>
              <w:jc w:val="center"/>
              <w:rPr>
                <w:rFonts w:hint="eastAsia" w:ascii="仿宋" w:hAnsi="仿宋" w:eastAsia="仿宋" w:cs="仿宋"/>
                <w:b/>
                <w:bCs/>
                <w:sz w:val="21"/>
                <w:szCs w:val="21"/>
              </w:rPr>
            </w:pPr>
            <w:r>
              <w:rPr>
                <w:rFonts w:hint="eastAsia" w:ascii="仿宋" w:hAnsi="仿宋" w:eastAsia="仿宋" w:cs="仿宋"/>
                <w:b/>
                <w:bCs/>
                <w:sz w:val="21"/>
                <w:szCs w:val="21"/>
              </w:rPr>
              <w:t>企业业绩评审评</w:t>
            </w:r>
            <w:r>
              <w:rPr>
                <w:rFonts w:hint="eastAsia" w:ascii="仿宋" w:hAnsi="仿宋" w:eastAsia="仿宋" w:cs="仿宋"/>
                <w:b/>
                <w:bCs/>
                <w:sz w:val="21"/>
                <w:szCs w:val="21"/>
                <w:highlight w:val="none"/>
              </w:rPr>
              <w:t>分（满分</w:t>
            </w:r>
            <w:r>
              <w:rPr>
                <w:rFonts w:hint="eastAsia" w:ascii="仿宋" w:hAnsi="仿宋" w:eastAsia="仿宋" w:cs="仿宋"/>
                <w:b/>
                <w:bCs/>
                <w:sz w:val="21"/>
                <w:szCs w:val="21"/>
                <w:highlight w:val="none"/>
                <w:lang w:val="en-US" w:eastAsia="zh-CN"/>
              </w:rPr>
              <w:t>5</w:t>
            </w:r>
            <w:r>
              <w:rPr>
                <w:rFonts w:hint="eastAsia" w:ascii="仿宋" w:hAnsi="仿宋" w:eastAsia="仿宋" w:cs="仿宋"/>
                <w:b/>
                <w:bCs/>
                <w:sz w:val="21"/>
                <w:szCs w:val="21"/>
                <w:highlight w:val="none"/>
              </w:rPr>
              <w:t>分）</w:t>
            </w:r>
          </w:p>
        </w:tc>
        <w:tc>
          <w:tcPr>
            <w:tcW w:w="6704" w:type="dxa"/>
            <w:tcBorders>
              <w:bottom w:val="single" w:color="auto" w:sz="4" w:space="0"/>
            </w:tcBorders>
            <w:vAlign w:val="center"/>
          </w:tcPr>
          <w:p w14:paraId="1B3FB587">
            <w:pPr>
              <w:spacing w:line="360" w:lineRule="auto"/>
              <w:rPr>
                <w:rFonts w:hint="eastAsia" w:ascii="仿宋" w:hAnsi="仿宋" w:eastAsia="仿宋" w:cs="仿宋"/>
                <w:b/>
                <w:bCs/>
                <w:sz w:val="21"/>
                <w:szCs w:val="21"/>
              </w:rPr>
            </w:pPr>
            <w:r>
              <w:rPr>
                <w:rFonts w:hint="eastAsia" w:ascii="仿宋" w:hAnsi="仿宋" w:eastAsia="仿宋" w:cs="仿宋"/>
                <w:b/>
                <w:bCs/>
                <w:sz w:val="21"/>
                <w:szCs w:val="21"/>
              </w:rPr>
              <w:t>根据供应商2019年1月1日至本项目投标文件提交截止时间前已完成或正在实施的类似供餐服务案例进行评价打分，每提供一个类似业绩得</w:t>
            </w:r>
            <w:r>
              <w:rPr>
                <w:rFonts w:hint="eastAsia" w:ascii="仿宋" w:hAnsi="仿宋" w:eastAsia="仿宋" w:cs="仿宋"/>
                <w:b/>
                <w:bCs/>
                <w:sz w:val="21"/>
                <w:szCs w:val="21"/>
                <w:lang w:val="en-US" w:eastAsia="zh-CN"/>
              </w:rPr>
              <w:t>2.5</w:t>
            </w:r>
            <w:r>
              <w:rPr>
                <w:rFonts w:hint="eastAsia" w:ascii="仿宋" w:hAnsi="仿宋" w:eastAsia="仿宋" w:cs="仿宋"/>
                <w:b/>
                <w:bCs/>
                <w:sz w:val="21"/>
                <w:szCs w:val="21"/>
              </w:rPr>
              <w:t>分，满分</w:t>
            </w:r>
            <w:r>
              <w:rPr>
                <w:rFonts w:hint="eastAsia" w:ascii="仿宋" w:hAnsi="仿宋" w:eastAsia="仿宋" w:cs="仿宋"/>
                <w:b/>
                <w:bCs/>
                <w:sz w:val="21"/>
                <w:szCs w:val="21"/>
                <w:lang w:val="en-US" w:eastAsia="zh-CN"/>
              </w:rPr>
              <w:t>5</w:t>
            </w:r>
            <w:r>
              <w:rPr>
                <w:rFonts w:hint="eastAsia" w:ascii="仿宋" w:hAnsi="仿宋" w:eastAsia="仿宋" w:cs="仿宋"/>
                <w:b/>
                <w:bCs/>
                <w:sz w:val="21"/>
                <w:szCs w:val="21"/>
              </w:rPr>
              <w:t>分。</w:t>
            </w:r>
          </w:p>
          <w:p w14:paraId="7623BD27">
            <w:pPr>
              <w:spacing w:line="360" w:lineRule="auto"/>
              <w:rPr>
                <w:rFonts w:hint="eastAsia" w:ascii="仿宋" w:hAnsi="仿宋" w:eastAsia="仿宋" w:cs="仿宋"/>
                <w:b/>
                <w:bCs/>
                <w:sz w:val="21"/>
                <w:szCs w:val="21"/>
              </w:rPr>
            </w:pPr>
            <w:r>
              <w:rPr>
                <w:rFonts w:hint="eastAsia" w:ascii="仿宋" w:hAnsi="仿宋" w:eastAsia="仿宋" w:cs="仿宋"/>
                <w:b/>
                <w:bCs/>
                <w:sz w:val="21"/>
                <w:szCs w:val="21"/>
              </w:rPr>
              <w:t>注：投标文件中须提供业绩列表及相对应的业绩证明材料。业绩证明材料应为中标通知书或合同协议书；无证明材料或未按要求提供证明材料或证明材料无法体现内容的，不予认可。</w:t>
            </w:r>
          </w:p>
        </w:tc>
      </w:tr>
    </w:tbl>
    <w:p w14:paraId="63B8D566">
      <w:pPr>
        <w:tabs>
          <w:tab w:val="left" w:pos="5040"/>
        </w:tabs>
        <w:snapToGrid w:val="0"/>
        <w:spacing w:after="0" w:line="360" w:lineRule="auto"/>
        <w:ind w:right="74" w:rightChars="37"/>
        <w:textAlignment w:val="center"/>
        <w:rPr>
          <w:rFonts w:hint="eastAsia" w:ascii="仿宋" w:hAnsi="仿宋" w:eastAsia="仿宋" w:cs="仿宋"/>
          <w:kern w:val="2"/>
          <w:sz w:val="21"/>
          <w:szCs w:val="21"/>
        </w:rPr>
      </w:pPr>
    </w:p>
    <w:p w14:paraId="44DF961A">
      <w:pPr>
        <w:pStyle w:val="3"/>
        <w:wordWrap w:val="0"/>
        <w:spacing w:before="200" w:after="200" w:line="360" w:lineRule="auto"/>
        <w:jc w:val="center"/>
        <w:rPr>
          <w:rFonts w:hint="eastAsia" w:ascii="仿宋" w:hAnsi="仿宋" w:eastAsia="仿宋" w:cs="仿宋"/>
        </w:rPr>
      </w:pPr>
      <w:bookmarkStart w:id="141" w:name="_Toc24066"/>
      <w:r>
        <w:rPr>
          <w:rFonts w:hint="eastAsia" w:ascii="仿宋" w:hAnsi="仿宋" w:eastAsia="仿宋" w:cs="仿宋"/>
        </w:rPr>
        <w:t>二、评标方法</w:t>
      </w:r>
      <w:bookmarkEnd w:id="135"/>
      <w:bookmarkEnd w:id="136"/>
      <w:bookmarkEnd w:id="137"/>
      <w:bookmarkEnd w:id="138"/>
      <w:bookmarkEnd w:id="139"/>
      <w:bookmarkEnd w:id="140"/>
      <w:bookmarkEnd w:id="141"/>
    </w:p>
    <w:p w14:paraId="508E3A70">
      <w:pPr>
        <w:wordWrap w:val="0"/>
        <w:spacing w:after="0" w:line="360" w:lineRule="auto"/>
        <w:ind w:firstLine="405" w:firstLineChars="192"/>
        <w:rPr>
          <w:rFonts w:hint="eastAsia" w:ascii="仿宋" w:hAnsi="仿宋" w:eastAsia="仿宋" w:cs="仿宋"/>
          <w:b/>
          <w:sz w:val="21"/>
          <w:szCs w:val="21"/>
        </w:rPr>
      </w:pPr>
      <w:bookmarkStart w:id="142" w:name="_Toc248767825"/>
      <w:r>
        <w:rPr>
          <w:rFonts w:hint="eastAsia" w:ascii="仿宋" w:hAnsi="仿宋" w:eastAsia="仿宋" w:cs="仿宋"/>
          <w:b/>
          <w:sz w:val="21"/>
          <w:szCs w:val="21"/>
        </w:rPr>
        <w:t>2.1评标依据</w:t>
      </w:r>
    </w:p>
    <w:p w14:paraId="7B64B01A">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2.1.1根据《中华人民共和国政府采购法》、《政府采购货物和服务招投标管理办法》、《政府采购货物和服务招标投标管理办法》（财政部令〔2017〕第87号）等法律、法规。</w:t>
      </w:r>
    </w:p>
    <w:p w14:paraId="60C4D858">
      <w:pPr>
        <w:wordWrap w:val="0"/>
        <w:spacing w:after="0" w:line="360" w:lineRule="auto"/>
        <w:ind w:firstLine="422" w:firstLineChars="200"/>
        <w:rPr>
          <w:rFonts w:hint="eastAsia" w:ascii="仿宋" w:hAnsi="仿宋" w:eastAsia="仿宋" w:cs="仿宋"/>
          <w:b/>
          <w:bCs/>
          <w:sz w:val="21"/>
          <w:szCs w:val="21"/>
        </w:rPr>
      </w:pPr>
      <w:r>
        <w:rPr>
          <w:rFonts w:hint="eastAsia" w:ascii="仿宋" w:hAnsi="仿宋" w:eastAsia="仿宋" w:cs="仿宋"/>
          <w:b/>
          <w:bCs/>
          <w:sz w:val="21"/>
          <w:szCs w:val="21"/>
        </w:rPr>
        <w:t>2.1.2同品牌产品不同投标人的处理方式</w:t>
      </w:r>
    </w:p>
    <w:p w14:paraId="7AAC8E64">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48DF9E25">
      <w:pPr>
        <w:wordWrap w:val="0"/>
        <w:spacing w:after="0" w:line="360" w:lineRule="auto"/>
        <w:ind w:firstLine="422" w:firstLineChars="200"/>
        <w:rPr>
          <w:rFonts w:hint="eastAsia" w:ascii="仿宋" w:hAnsi="仿宋" w:eastAsia="仿宋" w:cs="仿宋"/>
          <w:b/>
          <w:bCs/>
          <w:sz w:val="21"/>
          <w:szCs w:val="21"/>
        </w:rPr>
      </w:pPr>
      <w:r>
        <w:rPr>
          <w:rFonts w:hint="eastAsia" w:ascii="仿宋" w:hAnsi="仿宋" w:eastAsia="仿宋" w:cs="仿宋"/>
          <w:b/>
          <w:bCs/>
          <w:sz w:val="21"/>
          <w:szCs w:val="21"/>
        </w:rPr>
        <w:t>2.1.3节能产品及环境标志产品认定</w:t>
      </w:r>
    </w:p>
    <w:p w14:paraId="45C2C92F">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节能产品是指列入财政部和国家发改委公布的最新一期(若在采购活动开始之后发布了最新清单的，投标人提供最新一期或上一期均可)《节能产品政府采购清单》中的产品，需对应到“节能清单”中所列的型号/系列。政府强制采购节能产品是指“节能清单”中“*”标注类别的产品。</w:t>
      </w:r>
    </w:p>
    <w:p w14:paraId="5CACDE73">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（2）环境标志产品是指列入财政部、环境保护部公布的最新一期(若在采购活动开始之后发布了最新清单的，投标人提供最新一期或上一期均可)“环境标志产品政府采购清单”中的产品。</w:t>
      </w:r>
    </w:p>
    <w:p w14:paraId="6EDEBB77">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（3）投标时，投标人在投标文件中提供产品在“节能清单”或“环境标志产品政府采购清单”中的单页扫描件一份，并在扫描件上标注出所投产品及型号。“节能清单”可通过 中 国 政 府 采 购 网 (http ： //www.ccgp.gov.cn/) 、 国 家 发 展 改 革 委 网 站 (http ：//hzs.ndrc.gov.cn/)查阅、下载：“环境标志产品政府采购清单”可以通过中国政府采购网(http：//ccgp.gov.cn/)、国家环境保护部网(http：//www.sepa.gov.cn/)查阅、下载。</w:t>
      </w:r>
    </w:p>
    <w:p w14:paraId="71CAAE54">
      <w:pPr>
        <w:pStyle w:val="10"/>
        <w:rPr>
          <w:rFonts w:hint="eastAsia" w:ascii="仿宋" w:hAnsi="仿宋" w:eastAsia="仿宋" w:cs="仿宋"/>
        </w:rPr>
      </w:pPr>
    </w:p>
    <w:p w14:paraId="078EAE27">
      <w:pPr>
        <w:wordWrap w:val="0"/>
        <w:spacing w:after="0" w:line="360" w:lineRule="auto"/>
        <w:ind w:firstLine="422" w:firstLineChars="200"/>
        <w:rPr>
          <w:rFonts w:hint="eastAsia" w:ascii="仿宋" w:hAnsi="仿宋" w:eastAsia="仿宋" w:cs="仿宋"/>
          <w:b/>
          <w:sz w:val="21"/>
          <w:szCs w:val="21"/>
        </w:rPr>
      </w:pPr>
      <w:r>
        <w:rPr>
          <w:rFonts w:hint="eastAsia" w:ascii="仿宋" w:hAnsi="仿宋" w:eastAsia="仿宋" w:cs="仿宋"/>
          <w:b/>
          <w:sz w:val="21"/>
          <w:szCs w:val="21"/>
        </w:rPr>
        <w:t>2.2采购人或者采购代理机构职责</w:t>
      </w:r>
    </w:p>
    <w:p w14:paraId="07BBB55C">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采购人或者采购代理机构负责组织评标工作，并履行下列职责：</w:t>
      </w:r>
    </w:p>
    <w:p w14:paraId="47293DD3">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（1）核对评审专家身份和采购人代表授权函，对评审专家在政府采购活动中的职责履行情况予以记录，并及时将有关违法违规行为向财政部门报告；</w:t>
      </w:r>
    </w:p>
    <w:p w14:paraId="1435925C">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（2）宣布评标纪律；</w:t>
      </w:r>
    </w:p>
    <w:p w14:paraId="663C8A91">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（3）公布投标人名单，告知评审专家应当回避的情形；</w:t>
      </w:r>
    </w:p>
    <w:p w14:paraId="3B9CD0E4">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（4）组织评标委员会推选评标组长，采购人代表不得担任组长；</w:t>
      </w:r>
    </w:p>
    <w:p w14:paraId="0A068A1B">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（5）在评标期间采取必要的通讯管理措施，保证评标活动不受外界干扰；</w:t>
      </w:r>
    </w:p>
    <w:p w14:paraId="37ECE807">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（6）根据评标委员会的要求介绍政府采购相关政策法规、招标文件；</w:t>
      </w:r>
    </w:p>
    <w:p w14:paraId="168E338E">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（7）维护评标秩序，监督评标委员会依照招标文件规定的评标程序、方法和标准进行独立评审，及时制止和纠正采购人代表、评审专家的倾向性言论或者违法违规行为；</w:t>
      </w:r>
    </w:p>
    <w:p w14:paraId="685C8E59">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（8）核对评标结果，有《政府采购货物和服务招标投标管理办法》（财政部令〔2017〕第 87号）第六十四条规定情形的，要求评标委员会复核或者书面说明理由，评标委员会拒绝的，应予记录并向本级财政部门报告；</w:t>
      </w:r>
    </w:p>
    <w:p w14:paraId="41CDDC46">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（9）评审工作完成后，按照规定向评审专家支付劳务报酬和异地评审差旅费，不得向评审专家以外的其他人员支付评审劳务报酬；</w:t>
      </w:r>
    </w:p>
    <w:p w14:paraId="11885182">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（10）处理与评标有关的其他事项。</w:t>
      </w:r>
    </w:p>
    <w:p w14:paraId="35ABA72B">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采购人可以在评标前说明项目背景和采购需求，说明内容不得含有歧视性、倾向性意见，不得超出招标文件所述范围。说明应当提交书面材料，并随招标文件一并存档。</w:t>
      </w:r>
    </w:p>
    <w:p w14:paraId="1538E647">
      <w:pPr>
        <w:wordWrap w:val="0"/>
        <w:spacing w:after="0" w:line="360" w:lineRule="auto"/>
        <w:ind w:firstLine="405" w:firstLineChars="192"/>
        <w:rPr>
          <w:rFonts w:hint="eastAsia" w:ascii="仿宋" w:hAnsi="仿宋" w:eastAsia="仿宋" w:cs="仿宋"/>
          <w:b/>
          <w:sz w:val="21"/>
          <w:szCs w:val="21"/>
        </w:rPr>
      </w:pPr>
      <w:r>
        <w:rPr>
          <w:rFonts w:hint="eastAsia" w:ascii="仿宋" w:hAnsi="仿宋" w:eastAsia="仿宋" w:cs="仿宋"/>
          <w:b/>
          <w:sz w:val="21"/>
          <w:szCs w:val="21"/>
        </w:rPr>
        <w:t>2.3评标委员会职责</w:t>
      </w:r>
    </w:p>
    <w:p w14:paraId="42E6FA79">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评标委员会负责具体评标事务，并独立履行下列职责：</w:t>
      </w:r>
    </w:p>
    <w:p w14:paraId="3223D524">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（1）审查、评价投标文件是否符合招标文件的商务、技术等实质性要求；</w:t>
      </w:r>
    </w:p>
    <w:p w14:paraId="23B4901C">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（2）要求投标人对投标文件有关事项作出澄清或者说明；</w:t>
      </w:r>
    </w:p>
    <w:p w14:paraId="61094754">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（3）对投标文件进行比较和评价；</w:t>
      </w:r>
    </w:p>
    <w:p w14:paraId="3C025475">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（4）确定中标候选人名单，以及根据采购人委托直接确定中标人；</w:t>
      </w:r>
    </w:p>
    <w:p w14:paraId="406ED868">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（5）向采购人、采购代理机构或者有关部门报告评标中发现的违法行为。</w:t>
      </w:r>
    </w:p>
    <w:p w14:paraId="7770E7B1">
      <w:pPr>
        <w:wordWrap w:val="0"/>
        <w:spacing w:after="0" w:line="360" w:lineRule="auto"/>
        <w:ind w:firstLine="405" w:firstLineChars="192"/>
        <w:rPr>
          <w:rFonts w:hint="eastAsia" w:ascii="仿宋" w:hAnsi="仿宋" w:eastAsia="仿宋" w:cs="仿宋"/>
          <w:b/>
          <w:sz w:val="21"/>
          <w:szCs w:val="21"/>
        </w:rPr>
      </w:pPr>
      <w:r>
        <w:rPr>
          <w:rFonts w:hint="eastAsia" w:ascii="仿宋" w:hAnsi="仿宋" w:eastAsia="仿宋" w:cs="仿宋"/>
          <w:b/>
          <w:sz w:val="21"/>
          <w:szCs w:val="21"/>
        </w:rPr>
        <w:t>2.4评标纪律</w:t>
      </w:r>
    </w:p>
    <w:p w14:paraId="4175704E">
      <w:pPr>
        <w:wordWrap w:val="0"/>
        <w:spacing w:after="0" w:line="360" w:lineRule="auto"/>
        <w:ind w:firstLine="403" w:firstLineChars="192"/>
        <w:rPr>
          <w:rFonts w:hint="eastAsia" w:ascii="仿宋" w:hAnsi="仿宋" w:eastAsia="仿宋" w:cs="仿宋"/>
          <w:sz w:val="21"/>
          <w:szCs w:val="21"/>
        </w:rPr>
      </w:pPr>
      <w:r>
        <w:rPr>
          <w:rFonts w:hint="eastAsia" w:ascii="仿宋" w:hAnsi="仿宋" w:eastAsia="仿宋" w:cs="仿宋"/>
          <w:sz w:val="21"/>
          <w:szCs w:val="21"/>
        </w:rPr>
        <w:t>（1）对评标内容和评标过程要严格保密，不得向投标人或与该过程无关的其它人员泄露。</w:t>
      </w:r>
    </w:p>
    <w:p w14:paraId="516235AE">
      <w:pPr>
        <w:wordWrap w:val="0"/>
        <w:spacing w:after="0" w:line="360" w:lineRule="auto"/>
        <w:ind w:firstLine="403" w:firstLineChars="192"/>
        <w:rPr>
          <w:rFonts w:hint="eastAsia" w:ascii="仿宋" w:hAnsi="仿宋" w:eastAsia="仿宋" w:cs="仿宋"/>
          <w:sz w:val="21"/>
          <w:szCs w:val="21"/>
        </w:rPr>
      </w:pPr>
      <w:r>
        <w:rPr>
          <w:rFonts w:hint="eastAsia" w:ascii="仿宋" w:hAnsi="仿宋" w:eastAsia="仿宋" w:cs="仿宋"/>
          <w:sz w:val="21"/>
          <w:szCs w:val="21"/>
        </w:rPr>
        <w:t>（2）评标期间的一切资料，包括评标意见、评标记录和评标结论，一律不得向外传和泄露。</w:t>
      </w:r>
    </w:p>
    <w:p w14:paraId="3FB229C8">
      <w:pPr>
        <w:wordWrap w:val="0"/>
        <w:spacing w:after="0" w:line="360" w:lineRule="auto"/>
        <w:ind w:firstLine="403" w:firstLineChars="192"/>
        <w:rPr>
          <w:rFonts w:hint="eastAsia" w:ascii="仿宋" w:hAnsi="仿宋" w:eastAsia="仿宋" w:cs="仿宋"/>
          <w:sz w:val="21"/>
          <w:szCs w:val="21"/>
        </w:rPr>
      </w:pPr>
      <w:r>
        <w:rPr>
          <w:rFonts w:hint="eastAsia" w:ascii="仿宋" w:hAnsi="仿宋" w:eastAsia="仿宋" w:cs="仿宋"/>
          <w:sz w:val="21"/>
          <w:szCs w:val="21"/>
        </w:rPr>
        <w:t>（3）任何属于投标文件审查、澄清、评价和比较的资料，不得向投标人或与该过程无关的其它人员泄露。</w:t>
      </w:r>
    </w:p>
    <w:p w14:paraId="30F9A1C4">
      <w:pPr>
        <w:wordWrap w:val="0"/>
        <w:spacing w:after="0" w:line="360" w:lineRule="auto"/>
        <w:ind w:firstLine="403" w:firstLineChars="192"/>
        <w:rPr>
          <w:rFonts w:hint="eastAsia" w:ascii="仿宋" w:hAnsi="仿宋" w:eastAsia="仿宋" w:cs="仿宋"/>
          <w:sz w:val="21"/>
          <w:szCs w:val="21"/>
        </w:rPr>
      </w:pPr>
      <w:r>
        <w:rPr>
          <w:rFonts w:hint="eastAsia" w:ascii="仿宋" w:hAnsi="仿宋" w:eastAsia="仿宋" w:cs="仿宋"/>
          <w:sz w:val="21"/>
          <w:szCs w:val="21"/>
        </w:rPr>
        <w:t>（4）所有资料（包括招标文件、投标文件、评标表格及各种文字记录）在评标结束后均应分别整理、存档备查，任何人不得复制和保留。</w:t>
      </w:r>
    </w:p>
    <w:p w14:paraId="73BFBA4F">
      <w:pPr>
        <w:wordWrap w:val="0"/>
        <w:spacing w:after="0" w:line="360" w:lineRule="auto"/>
        <w:ind w:firstLine="403" w:firstLineChars="192"/>
        <w:rPr>
          <w:rFonts w:hint="eastAsia" w:ascii="仿宋" w:hAnsi="仿宋" w:eastAsia="仿宋" w:cs="仿宋"/>
          <w:sz w:val="21"/>
          <w:szCs w:val="21"/>
        </w:rPr>
      </w:pPr>
      <w:r>
        <w:rPr>
          <w:rFonts w:hint="eastAsia" w:ascii="仿宋" w:hAnsi="仿宋" w:eastAsia="仿宋" w:cs="仿宋"/>
          <w:sz w:val="21"/>
          <w:szCs w:val="21"/>
        </w:rPr>
        <w:t>（5）评标期间，未经允许评标委员会以外的任何单位或部门不得参加评标和采访评标工作。</w:t>
      </w:r>
    </w:p>
    <w:p w14:paraId="1D5B6E4C">
      <w:pPr>
        <w:wordWrap w:val="0"/>
        <w:spacing w:after="0" w:line="360" w:lineRule="auto"/>
        <w:ind w:firstLine="403" w:firstLineChars="192"/>
        <w:rPr>
          <w:rFonts w:hint="eastAsia" w:ascii="仿宋" w:hAnsi="仿宋" w:eastAsia="仿宋" w:cs="仿宋"/>
          <w:sz w:val="21"/>
          <w:szCs w:val="21"/>
        </w:rPr>
      </w:pPr>
      <w:r>
        <w:rPr>
          <w:rFonts w:hint="eastAsia" w:ascii="仿宋" w:hAnsi="仿宋" w:eastAsia="仿宋" w:cs="仿宋"/>
          <w:sz w:val="21"/>
          <w:szCs w:val="21"/>
        </w:rPr>
        <w:t>（6）评标期间，评标人员不得外出，确需外出时应事先请假。</w:t>
      </w:r>
    </w:p>
    <w:p w14:paraId="57A32E5A">
      <w:pPr>
        <w:wordWrap w:val="0"/>
        <w:spacing w:after="0" w:line="360" w:lineRule="auto"/>
        <w:ind w:firstLine="403" w:firstLineChars="192"/>
        <w:rPr>
          <w:rFonts w:hint="eastAsia" w:ascii="仿宋" w:hAnsi="仿宋" w:eastAsia="仿宋" w:cs="仿宋"/>
          <w:sz w:val="21"/>
          <w:szCs w:val="21"/>
        </w:rPr>
      </w:pPr>
      <w:r>
        <w:rPr>
          <w:rFonts w:hint="eastAsia" w:ascii="仿宋" w:hAnsi="仿宋" w:eastAsia="仿宋" w:cs="仿宋"/>
          <w:sz w:val="21"/>
          <w:szCs w:val="21"/>
        </w:rPr>
        <w:t>（7）评标期间，所有与会人员均不得私自以任何方式和投标人进行联系，需询问、澄清的问题由评委会统一组织办理。</w:t>
      </w:r>
    </w:p>
    <w:p w14:paraId="2A361D3F">
      <w:pPr>
        <w:wordWrap w:val="0"/>
        <w:spacing w:after="0" w:line="360" w:lineRule="auto"/>
        <w:ind w:firstLine="403" w:firstLineChars="192"/>
        <w:rPr>
          <w:rFonts w:hint="eastAsia" w:ascii="仿宋" w:hAnsi="仿宋" w:eastAsia="仿宋" w:cs="仿宋"/>
          <w:sz w:val="21"/>
          <w:szCs w:val="21"/>
        </w:rPr>
      </w:pPr>
      <w:r>
        <w:rPr>
          <w:rFonts w:hint="eastAsia" w:ascii="仿宋" w:hAnsi="仿宋" w:eastAsia="仿宋" w:cs="仿宋"/>
          <w:sz w:val="21"/>
          <w:szCs w:val="21"/>
        </w:rPr>
        <w:t>（8）评标结束后，与会人员不得向外界透露评标人员的评标意见，如因此造成的后果由责任者承担。</w:t>
      </w:r>
    </w:p>
    <w:p w14:paraId="790CB899">
      <w:pPr>
        <w:wordWrap w:val="0"/>
        <w:spacing w:after="0" w:line="360" w:lineRule="auto"/>
        <w:ind w:firstLine="405" w:firstLineChars="192"/>
        <w:rPr>
          <w:rFonts w:hint="eastAsia" w:ascii="仿宋" w:hAnsi="仿宋" w:eastAsia="仿宋" w:cs="仿宋"/>
          <w:b/>
          <w:sz w:val="21"/>
          <w:szCs w:val="21"/>
        </w:rPr>
      </w:pPr>
      <w:r>
        <w:rPr>
          <w:rFonts w:hint="eastAsia" w:ascii="仿宋" w:hAnsi="仿宋" w:eastAsia="仿宋" w:cs="仿宋"/>
          <w:b/>
          <w:sz w:val="21"/>
          <w:szCs w:val="21"/>
        </w:rPr>
        <w:t>2.5评标原则</w:t>
      </w:r>
    </w:p>
    <w:p w14:paraId="7812C70E">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评标将遵循下列原则：</w:t>
      </w:r>
    </w:p>
    <w:p w14:paraId="036B5F7F">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（1）坚持公平、公正、科学、择优的原则，本着实事求是的精神，不带有任何主观意愿和偏见，认真负责地做好评标工作，公平、公正地对待每一个投标人。</w:t>
      </w:r>
    </w:p>
    <w:p w14:paraId="493B44E8">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（2）全面分析，综合评审。</w:t>
      </w:r>
    </w:p>
    <w:p w14:paraId="01CF53D9">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（3）评标只对投标人的投标文件进行评审，投标文件以外的资料、信息不应作为评标的依据。</w:t>
      </w:r>
    </w:p>
    <w:p w14:paraId="09D05DF6">
      <w:pPr>
        <w:pStyle w:val="3"/>
        <w:wordWrap w:val="0"/>
        <w:spacing w:before="200" w:after="200" w:line="360" w:lineRule="auto"/>
        <w:jc w:val="center"/>
        <w:rPr>
          <w:rFonts w:hint="eastAsia" w:ascii="仿宋" w:hAnsi="仿宋" w:eastAsia="仿宋" w:cs="仿宋"/>
        </w:rPr>
      </w:pPr>
      <w:bookmarkStart w:id="143" w:name="_Toc260907985"/>
      <w:bookmarkStart w:id="144" w:name="_Toc259188729"/>
      <w:bookmarkStart w:id="145" w:name="_Toc13407768"/>
      <w:bookmarkStart w:id="146" w:name="_Toc503259470"/>
      <w:bookmarkStart w:id="147" w:name="_Toc481712047"/>
      <w:bookmarkStart w:id="148" w:name="_Toc260908201"/>
      <w:bookmarkStart w:id="149" w:name="_Toc32591"/>
      <w:bookmarkStart w:id="150" w:name="_Toc270090086"/>
      <w:r>
        <w:rPr>
          <w:rFonts w:hint="eastAsia" w:ascii="仿宋" w:hAnsi="仿宋" w:eastAsia="仿宋" w:cs="仿宋"/>
        </w:rPr>
        <w:t>三、评标程序</w:t>
      </w:r>
      <w:bookmarkEnd w:id="142"/>
      <w:bookmarkEnd w:id="143"/>
      <w:bookmarkEnd w:id="144"/>
      <w:bookmarkEnd w:id="145"/>
      <w:bookmarkEnd w:id="146"/>
      <w:bookmarkEnd w:id="147"/>
      <w:bookmarkEnd w:id="148"/>
      <w:bookmarkEnd w:id="149"/>
      <w:bookmarkEnd w:id="150"/>
    </w:p>
    <w:p w14:paraId="19B16DB4">
      <w:pPr>
        <w:wordWrap w:val="0"/>
        <w:spacing w:after="0"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本次招标所采用的评标方法为《政府采购货物和服务招标投标管理办法》（财政部令〔2017〕第87号）第五十五条规定的“综合评分法”，即：投标文件满足招标文件全部实质性要求，且按照评审因素的量化指标评审得分最高的投标人为中标候选人的评标方法。评标只对通过资格审查的投标文件进行评审。评标按：符合性审查→投标报价评审→技术评审→商务评审→得分汇总→评标报告编写的程序进行。</w:t>
      </w:r>
    </w:p>
    <w:p w14:paraId="46CA59DD">
      <w:pPr>
        <w:pStyle w:val="5"/>
        <w:wordWrap w:val="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3.1符合性审查</w:t>
      </w:r>
    </w:p>
    <w:p w14:paraId="5BE648D0">
      <w:pPr>
        <w:wordWrap w:val="0"/>
        <w:spacing w:after="0" w:line="360" w:lineRule="auto"/>
        <w:ind w:firstLine="403" w:firstLineChars="192"/>
        <w:rPr>
          <w:rFonts w:hint="eastAsia" w:ascii="仿宋" w:hAnsi="仿宋" w:eastAsia="仿宋" w:cs="仿宋"/>
          <w:sz w:val="21"/>
          <w:szCs w:val="21"/>
        </w:rPr>
      </w:pPr>
      <w:r>
        <w:rPr>
          <w:rFonts w:hint="eastAsia" w:ascii="仿宋" w:hAnsi="仿宋" w:eastAsia="仿宋" w:cs="仿宋"/>
          <w:sz w:val="21"/>
          <w:szCs w:val="21"/>
        </w:rPr>
        <w:t>依据招标文件规定，评标委员会对符合资格审查的投标人的投标文件从有效性、完整性及对招标文件实质性响应等方面进行审查，详见“评标办法前附表”。</w:t>
      </w:r>
    </w:p>
    <w:p w14:paraId="2C844DB2">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符合性评审中“其他投标无效情形”如下：</w:t>
      </w:r>
    </w:p>
    <w:p w14:paraId="6AA58259">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一、投标人没有按规定网上递交电子投标文件的。</w:t>
      </w:r>
    </w:p>
    <w:p w14:paraId="6A86849E">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二、未按照招标文件的规定提交投标保证金的。</w:t>
      </w:r>
    </w:p>
    <w:p w14:paraId="459A9E01">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三、投标文件未按招标文件要求签署、盖章的。</w:t>
      </w:r>
    </w:p>
    <w:p w14:paraId="57AC68D3">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四、不具备招标文件中规定的资格要求的。</w:t>
      </w:r>
    </w:p>
    <w:p w14:paraId="0C3E460A">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五、报价超过招标文件中规定的预算金额或者最高限价的。</w:t>
      </w:r>
    </w:p>
    <w:p w14:paraId="4C11A9E0">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六、投标文件含有采购人不能接受的附加条件的。</w:t>
      </w:r>
    </w:p>
    <w:p w14:paraId="5CAED1B6">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七、法律、法规和招标文件规定的其他无效情形。</w:t>
      </w:r>
    </w:p>
    <w:p w14:paraId="39B01D11">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八、有弄虚作假或有其他违法行为的。</w:t>
      </w:r>
    </w:p>
    <w:p w14:paraId="3457E8DF">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九、不按评标委员会要求澄清、说明或补正的。</w:t>
      </w:r>
    </w:p>
    <w:p w14:paraId="2B8D88BB">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十、按招标文件要求提交投标保证金有瑕疵的。</w:t>
      </w:r>
    </w:p>
    <w:p w14:paraId="6FC33FFA">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十一、未按规定格式填写，内容不全或者关键内容字迹模糊，无法辨认的。</w:t>
      </w:r>
    </w:p>
    <w:p w14:paraId="307A560D">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十二、投标人名称或组织结构与资格审查不一致的。</w:t>
      </w:r>
    </w:p>
    <w:p w14:paraId="604410DB">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十三、投标人提交的投标文件电子版格式不符合第二章“投标人须知前附表”3.5.1项规定的或开标现场无法读取导入的。</w:t>
      </w:r>
    </w:p>
    <w:p w14:paraId="2E477D1F">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十四、投标人在投标文件上电子签名的人员与其他投标人在投标文件上的电子签名人员为同一人的。</w:t>
      </w:r>
    </w:p>
    <w:p w14:paraId="0797E6C1">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十五、符合本章节3.2中“报价过低情形澄清”情况的。</w:t>
      </w:r>
    </w:p>
    <w:p w14:paraId="697C4171">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十六、联合体各方再以自己名义单独或参加其他联合体在同一标包中投标的。</w:t>
      </w:r>
    </w:p>
    <w:p w14:paraId="5EE78941">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十七、有下列情形之一的，经评标委员会集体表决后认定，视作串通投标处理，并提请有关监管部门依法予以处罚：</w:t>
      </w:r>
    </w:p>
    <w:p w14:paraId="73897075">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（1）不同投标人的投标文件内容存在非正常一致的；</w:t>
      </w:r>
    </w:p>
    <w:p w14:paraId="7AAC1D47">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（2）不同投标人的投标文件两处以上错漏一致的；</w:t>
      </w:r>
    </w:p>
    <w:p w14:paraId="37EC38D6">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（3）不同投标人的投标报价或者报价组成异常接近或者呈规律性变化的；</w:t>
      </w:r>
    </w:p>
    <w:p w14:paraId="7C4D2FF2">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（4）不同投标人的投标文件由同一企业或者同一个人编制的；</w:t>
      </w:r>
    </w:p>
    <w:p w14:paraId="38355EAF">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（5）不同投标人的投标文件载明的项目管理班子成员出现同一人的；</w:t>
      </w:r>
    </w:p>
    <w:p w14:paraId="727E3E81">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（6）不同投标人的投标文件相互混装的；</w:t>
      </w:r>
    </w:p>
    <w:p w14:paraId="7030E062">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（7）不同投标人的投标文件由同一台电脑编制或者同一台附属设备打印的；</w:t>
      </w:r>
    </w:p>
    <w:p w14:paraId="1E1D03D1">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（8）不同投标人委托同一人投标的；</w:t>
      </w:r>
    </w:p>
    <w:p w14:paraId="5A283846">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（9）不同投标人使用同一个人或者同一个企业资金交纳投标保证金；</w:t>
      </w:r>
    </w:p>
    <w:p w14:paraId="5403BCFB">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（10）不同投标人委托同一人或者注册在同一家企业的人员为其提供投标咨询、商务报价、技术咨询（招标工程本身要求采用专有技术的除外）等服务；</w:t>
      </w:r>
    </w:p>
    <w:p w14:paraId="2E75C413">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（11）评标委员会认定的其他串通投标情形。</w:t>
      </w:r>
    </w:p>
    <w:p w14:paraId="76EFCD0A">
      <w:pPr>
        <w:pStyle w:val="5"/>
        <w:wordWrap w:val="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3.2投标报价部分评审</w:t>
      </w:r>
    </w:p>
    <w:p w14:paraId="6899E50D">
      <w:pPr>
        <w:wordWrap w:val="0"/>
        <w:spacing w:after="0" w:line="360" w:lineRule="auto"/>
        <w:ind w:firstLine="403" w:firstLineChars="192"/>
        <w:rPr>
          <w:rFonts w:hint="eastAsia" w:ascii="仿宋" w:hAnsi="仿宋" w:eastAsia="仿宋" w:cs="仿宋"/>
          <w:sz w:val="21"/>
          <w:szCs w:val="21"/>
        </w:rPr>
      </w:pPr>
      <w:r>
        <w:rPr>
          <w:rFonts w:hint="eastAsia" w:ascii="仿宋" w:hAnsi="仿宋" w:eastAsia="仿宋" w:cs="仿宋"/>
          <w:sz w:val="21"/>
          <w:szCs w:val="21"/>
        </w:rPr>
        <w:t>详见“评标办法前附表”。</w:t>
      </w:r>
    </w:p>
    <w:p w14:paraId="72F51DA1">
      <w:pPr>
        <w:wordWrap w:val="0"/>
        <w:spacing w:after="0" w:line="360" w:lineRule="auto"/>
        <w:ind w:firstLine="403" w:firstLineChars="192"/>
        <w:rPr>
          <w:rFonts w:hint="eastAsia" w:ascii="仿宋" w:hAnsi="仿宋" w:eastAsia="仿宋" w:cs="仿宋"/>
          <w:sz w:val="21"/>
          <w:szCs w:val="21"/>
        </w:rPr>
      </w:pPr>
      <w:r>
        <w:rPr>
          <w:rFonts w:hint="eastAsia" w:ascii="仿宋" w:hAnsi="仿宋" w:eastAsia="仿宋" w:cs="仿宋"/>
          <w:sz w:val="21"/>
          <w:szCs w:val="21"/>
        </w:rPr>
        <w:t>1.投标文件内容澄清</w:t>
      </w:r>
    </w:p>
    <w:p w14:paraId="407E97A2">
      <w:pPr>
        <w:wordWrap w:val="0"/>
        <w:spacing w:after="0" w:line="360" w:lineRule="auto"/>
        <w:ind w:firstLine="403" w:firstLineChars="192"/>
        <w:rPr>
          <w:rFonts w:hint="eastAsia" w:ascii="仿宋" w:hAnsi="仿宋" w:eastAsia="仿宋" w:cs="仿宋"/>
          <w:sz w:val="21"/>
          <w:szCs w:val="21"/>
        </w:rPr>
      </w:pPr>
      <w:r>
        <w:rPr>
          <w:rFonts w:hint="eastAsia" w:ascii="仿宋" w:hAnsi="仿宋" w:eastAsia="仿宋" w:cs="仿宋"/>
          <w:sz w:val="21"/>
          <w:szCs w:val="21"/>
        </w:rPr>
        <w:t>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538BFC4A">
      <w:pPr>
        <w:wordWrap w:val="0"/>
        <w:spacing w:after="0" w:line="360" w:lineRule="auto"/>
        <w:ind w:firstLine="403" w:firstLineChars="192"/>
        <w:rPr>
          <w:rFonts w:hint="eastAsia" w:ascii="仿宋" w:hAnsi="仿宋" w:eastAsia="仿宋" w:cs="仿宋"/>
          <w:sz w:val="21"/>
          <w:szCs w:val="21"/>
        </w:rPr>
      </w:pPr>
      <w:r>
        <w:rPr>
          <w:rFonts w:hint="eastAsia" w:ascii="仿宋" w:hAnsi="仿宋" w:eastAsia="仿宋" w:cs="仿宋"/>
          <w:sz w:val="21"/>
          <w:szCs w:val="21"/>
        </w:rPr>
        <w:t>2.报价不一致情形澄清</w:t>
      </w:r>
    </w:p>
    <w:p w14:paraId="3C5A85F0">
      <w:pPr>
        <w:wordWrap w:val="0"/>
        <w:spacing w:after="0" w:line="360" w:lineRule="auto"/>
        <w:ind w:firstLine="403" w:firstLineChars="192"/>
        <w:rPr>
          <w:rFonts w:hint="eastAsia" w:ascii="仿宋" w:hAnsi="仿宋" w:eastAsia="仿宋" w:cs="仿宋"/>
          <w:sz w:val="21"/>
          <w:szCs w:val="21"/>
        </w:rPr>
      </w:pPr>
      <w:r>
        <w:rPr>
          <w:rFonts w:hint="eastAsia" w:ascii="仿宋" w:hAnsi="仿宋" w:eastAsia="仿宋" w:cs="仿宋"/>
          <w:sz w:val="21"/>
          <w:szCs w:val="21"/>
        </w:rPr>
        <w:t>投标文件报价出现前后不一致的，除招标文件另有规定外，按照下列规定修正：</w:t>
      </w:r>
    </w:p>
    <w:p w14:paraId="77D126F8">
      <w:pPr>
        <w:wordWrap w:val="0"/>
        <w:spacing w:after="0" w:line="360" w:lineRule="auto"/>
        <w:ind w:firstLine="403" w:firstLineChars="192"/>
        <w:rPr>
          <w:rFonts w:hint="eastAsia" w:ascii="仿宋" w:hAnsi="仿宋" w:eastAsia="仿宋" w:cs="仿宋"/>
          <w:sz w:val="21"/>
          <w:szCs w:val="21"/>
        </w:rPr>
      </w:pPr>
      <w:r>
        <w:rPr>
          <w:rFonts w:hint="eastAsia" w:ascii="仿宋" w:hAnsi="仿宋" w:eastAsia="仿宋" w:cs="仿宋"/>
          <w:sz w:val="21"/>
          <w:szCs w:val="21"/>
        </w:rPr>
        <w:t>（1）投标文件中《开标一览表》内容与投标文件中相应内容不一致的，以《开标一览表》为准；</w:t>
      </w:r>
    </w:p>
    <w:p w14:paraId="2DD0EFAE">
      <w:pPr>
        <w:wordWrap w:val="0"/>
        <w:spacing w:after="0" w:line="360" w:lineRule="auto"/>
        <w:ind w:firstLine="403" w:firstLineChars="192"/>
        <w:rPr>
          <w:rFonts w:hint="eastAsia" w:ascii="仿宋" w:hAnsi="仿宋" w:eastAsia="仿宋" w:cs="仿宋"/>
          <w:sz w:val="21"/>
          <w:szCs w:val="21"/>
        </w:rPr>
      </w:pPr>
      <w:r>
        <w:rPr>
          <w:rFonts w:hint="eastAsia" w:ascii="仿宋" w:hAnsi="仿宋" w:eastAsia="仿宋" w:cs="仿宋"/>
          <w:sz w:val="21"/>
          <w:szCs w:val="21"/>
        </w:rPr>
        <w:t>（2）大写金额和小写金额不一致的，以大写金额为准；</w:t>
      </w:r>
    </w:p>
    <w:p w14:paraId="4387BC27">
      <w:pPr>
        <w:wordWrap w:val="0"/>
        <w:spacing w:after="0" w:line="360" w:lineRule="auto"/>
        <w:ind w:firstLine="403" w:firstLineChars="192"/>
        <w:rPr>
          <w:rFonts w:hint="eastAsia" w:ascii="仿宋" w:hAnsi="仿宋" w:eastAsia="仿宋" w:cs="仿宋"/>
          <w:sz w:val="21"/>
          <w:szCs w:val="21"/>
        </w:rPr>
      </w:pPr>
      <w:r>
        <w:rPr>
          <w:rFonts w:hint="eastAsia" w:ascii="仿宋" w:hAnsi="仿宋" w:eastAsia="仿宋" w:cs="仿宋"/>
          <w:sz w:val="21"/>
          <w:szCs w:val="21"/>
        </w:rPr>
        <w:t>（3）单价金额小数点或者百分比有明显错位的，以开标一览表的总价为准，并修改单价；</w:t>
      </w:r>
    </w:p>
    <w:p w14:paraId="494A0B1F">
      <w:pPr>
        <w:wordWrap w:val="0"/>
        <w:spacing w:after="0" w:line="360" w:lineRule="auto"/>
        <w:ind w:firstLine="403" w:firstLineChars="192"/>
        <w:rPr>
          <w:rFonts w:hint="eastAsia" w:ascii="仿宋" w:hAnsi="仿宋" w:eastAsia="仿宋" w:cs="仿宋"/>
          <w:sz w:val="21"/>
          <w:szCs w:val="21"/>
        </w:rPr>
      </w:pPr>
      <w:r>
        <w:rPr>
          <w:rFonts w:hint="eastAsia" w:ascii="仿宋" w:hAnsi="仿宋" w:eastAsia="仿宋" w:cs="仿宋"/>
          <w:sz w:val="21"/>
          <w:szCs w:val="21"/>
        </w:rPr>
        <w:t>（4）总价金额与按单价汇总金额不一致的，以单价金额计算结果为准。</w:t>
      </w:r>
    </w:p>
    <w:p w14:paraId="38996DC4">
      <w:pPr>
        <w:wordWrap w:val="0"/>
        <w:spacing w:after="0" w:line="360" w:lineRule="auto"/>
        <w:ind w:firstLine="403" w:firstLineChars="192"/>
        <w:rPr>
          <w:rFonts w:hint="eastAsia" w:ascii="仿宋" w:hAnsi="仿宋" w:eastAsia="仿宋" w:cs="仿宋"/>
          <w:sz w:val="21"/>
          <w:szCs w:val="21"/>
        </w:rPr>
      </w:pPr>
      <w:r>
        <w:rPr>
          <w:rFonts w:hint="eastAsia" w:ascii="仿宋" w:hAnsi="仿宋" w:eastAsia="仿宋" w:cs="仿宋"/>
          <w:sz w:val="21"/>
          <w:szCs w:val="21"/>
        </w:rPr>
        <w:t>（5）同时出现两种以上不一致的，按照前款规定的顺序修正。修正后的报价经投标人确认后产生约束力，投标人不确认的，其投标无效。</w:t>
      </w:r>
    </w:p>
    <w:p w14:paraId="7114D94F">
      <w:pPr>
        <w:wordWrap w:val="0"/>
        <w:spacing w:after="0" w:line="360" w:lineRule="auto"/>
        <w:ind w:firstLine="403" w:firstLineChars="192"/>
        <w:rPr>
          <w:rFonts w:hint="eastAsia" w:ascii="仿宋" w:hAnsi="仿宋" w:eastAsia="仿宋" w:cs="仿宋"/>
          <w:sz w:val="21"/>
          <w:szCs w:val="21"/>
        </w:rPr>
      </w:pPr>
      <w:r>
        <w:rPr>
          <w:rFonts w:hint="eastAsia" w:ascii="仿宋" w:hAnsi="仿宋" w:eastAsia="仿宋" w:cs="仿宋"/>
          <w:sz w:val="21"/>
          <w:szCs w:val="21"/>
        </w:rPr>
        <w:t>3.报价过低情形澄清</w:t>
      </w:r>
    </w:p>
    <w:p w14:paraId="47E19520">
      <w:pPr>
        <w:wordWrap w:val="0"/>
        <w:spacing w:after="0" w:line="360" w:lineRule="auto"/>
        <w:ind w:firstLine="403" w:firstLineChars="192"/>
        <w:rPr>
          <w:rFonts w:hint="eastAsia" w:ascii="仿宋" w:hAnsi="仿宋" w:eastAsia="仿宋" w:cs="仿宋"/>
          <w:sz w:val="21"/>
          <w:szCs w:val="21"/>
        </w:rPr>
      </w:pPr>
      <w:r>
        <w:rPr>
          <w:rFonts w:hint="eastAsia" w:ascii="仿宋" w:hAnsi="仿宋" w:eastAsia="仿宋" w:cs="仿宋"/>
          <w:sz w:val="21"/>
          <w:szCs w:val="21"/>
        </w:rPr>
        <w:t>评标委员会认为投标人的报价（总价或单价）明显低于其他通过符合性审查投标人的报价（总价或单价），有可能影响产品质量或者不能诚信履约的，应当要求其在评标现场合理的时间内提供书面说明，必要时提交相关证明材料；投标人不能证明其报价合理性的，评标委员会应当将其作为无效投标处理。</w:t>
      </w:r>
    </w:p>
    <w:p w14:paraId="3422B5FB">
      <w:pPr>
        <w:pStyle w:val="5"/>
        <w:wordWrap w:val="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3.3技术及商务部分评审</w:t>
      </w:r>
    </w:p>
    <w:p w14:paraId="32AC315B">
      <w:pPr>
        <w:wordWrap w:val="0"/>
        <w:spacing w:after="0" w:line="360" w:lineRule="auto"/>
        <w:ind w:firstLine="403" w:firstLineChars="192"/>
        <w:rPr>
          <w:rFonts w:hint="eastAsia" w:ascii="仿宋" w:hAnsi="仿宋" w:eastAsia="仿宋" w:cs="仿宋"/>
          <w:sz w:val="21"/>
          <w:szCs w:val="21"/>
        </w:rPr>
      </w:pPr>
      <w:r>
        <w:rPr>
          <w:rFonts w:hint="eastAsia" w:ascii="仿宋" w:hAnsi="仿宋" w:eastAsia="仿宋" w:cs="仿宋"/>
          <w:sz w:val="21"/>
          <w:szCs w:val="21"/>
        </w:rPr>
        <w:t>详见“评标办法前附表”。</w:t>
      </w:r>
    </w:p>
    <w:p w14:paraId="12EE3B5D">
      <w:pPr>
        <w:wordWrap w:val="0"/>
        <w:spacing w:after="0" w:line="360" w:lineRule="auto"/>
        <w:ind w:firstLine="308" w:firstLineChars="147"/>
        <w:rPr>
          <w:rFonts w:hint="eastAsia" w:ascii="仿宋" w:hAnsi="仿宋" w:eastAsia="仿宋" w:cs="仿宋"/>
          <w:sz w:val="21"/>
          <w:szCs w:val="21"/>
        </w:rPr>
      </w:pPr>
      <w:r>
        <w:rPr>
          <w:rFonts w:hint="eastAsia" w:ascii="仿宋" w:hAnsi="仿宋" w:eastAsia="仿宋" w:cs="仿宋"/>
          <w:sz w:val="21"/>
          <w:szCs w:val="21"/>
        </w:rPr>
        <w:t>（1）评标委员会技术组评委应首先对各投标人投标书进行评审，并按招标文件规定分值评分。</w:t>
      </w:r>
    </w:p>
    <w:p w14:paraId="58682751">
      <w:pPr>
        <w:wordWrap w:val="0"/>
        <w:spacing w:after="0" w:line="360" w:lineRule="auto"/>
        <w:ind w:firstLine="308" w:firstLineChars="147"/>
        <w:rPr>
          <w:rFonts w:hint="eastAsia" w:ascii="仿宋" w:hAnsi="仿宋" w:eastAsia="仿宋" w:cs="仿宋"/>
          <w:sz w:val="21"/>
          <w:szCs w:val="21"/>
        </w:rPr>
      </w:pPr>
      <w:r>
        <w:rPr>
          <w:rFonts w:hint="eastAsia" w:ascii="仿宋" w:hAnsi="仿宋" w:eastAsia="仿宋" w:cs="仿宋"/>
          <w:sz w:val="21"/>
          <w:szCs w:val="21"/>
        </w:rPr>
        <w:t>（2）统计分数原则：计算算术平均分值为投标人的技术部分得分（保留小数点后两位）。</w:t>
      </w:r>
    </w:p>
    <w:p w14:paraId="2EB921AC">
      <w:pPr>
        <w:pStyle w:val="3"/>
        <w:wordWrap w:val="0"/>
        <w:spacing w:before="200" w:after="200" w:line="360" w:lineRule="auto"/>
        <w:jc w:val="center"/>
        <w:rPr>
          <w:rFonts w:hint="eastAsia" w:ascii="仿宋" w:hAnsi="仿宋" w:eastAsia="仿宋" w:cs="仿宋"/>
        </w:rPr>
      </w:pPr>
      <w:bookmarkStart w:id="151" w:name="_Toc481712048"/>
      <w:bookmarkStart w:id="152" w:name="_Toc260908202"/>
      <w:bookmarkStart w:id="153" w:name="_Toc260907986"/>
      <w:bookmarkStart w:id="154" w:name="_Toc270090087"/>
      <w:bookmarkStart w:id="155" w:name="_Toc259188730"/>
      <w:bookmarkStart w:id="156" w:name="_Toc248767826"/>
      <w:bookmarkStart w:id="157" w:name="_Toc13407769"/>
      <w:bookmarkStart w:id="158" w:name="_Toc10064"/>
      <w:r>
        <w:rPr>
          <w:rFonts w:hint="eastAsia" w:ascii="仿宋" w:hAnsi="仿宋" w:eastAsia="仿宋" w:cs="仿宋"/>
        </w:rPr>
        <w:t>四、</w:t>
      </w:r>
      <w:bookmarkEnd w:id="151"/>
      <w:bookmarkEnd w:id="152"/>
      <w:bookmarkEnd w:id="153"/>
      <w:bookmarkEnd w:id="154"/>
      <w:bookmarkEnd w:id="155"/>
      <w:bookmarkEnd w:id="156"/>
      <w:r>
        <w:rPr>
          <w:rFonts w:hint="eastAsia" w:ascii="仿宋" w:hAnsi="仿宋" w:eastAsia="仿宋" w:cs="仿宋"/>
        </w:rPr>
        <w:t>汇总评标结果</w:t>
      </w:r>
      <w:bookmarkEnd w:id="157"/>
      <w:bookmarkEnd w:id="158"/>
    </w:p>
    <w:p w14:paraId="0F4D95C2">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1.各项评分因素得分乘以相对应的权重系数后的总和即为投标人最后得分。</w:t>
      </w:r>
    </w:p>
    <w:p w14:paraId="2E76F7E3">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2.经评标委员会认定评分畸高、畸低的，评标委员会应当当场修改评标结果，并在评标报告中记载。</w:t>
      </w:r>
    </w:p>
    <w:p w14:paraId="25109316">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07E781BF">
      <w:pPr>
        <w:pStyle w:val="3"/>
        <w:wordWrap w:val="0"/>
        <w:spacing w:before="200" w:after="200" w:line="360" w:lineRule="auto"/>
        <w:jc w:val="center"/>
        <w:rPr>
          <w:rFonts w:hint="eastAsia" w:ascii="仿宋" w:hAnsi="仿宋" w:eastAsia="仿宋" w:cs="仿宋"/>
        </w:rPr>
      </w:pPr>
      <w:bookmarkStart w:id="159" w:name="_Toc13407770"/>
      <w:bookmarkStart w:id="160" w:name="_Toc27903"/>
      <w:r>
        <w:rPr>
          <w:rFonts w:hint="eastAsia" w:ascii="仿宋" w:hAnsi="仿宋" w:eastAsia="仿宋" w:cs="仿宋"/>
        </w:rPr>
        <w:t>五、推荐中标候选人</w:t>
      </w:r>
      <w:bookmarkEnd w:id="159"/>
      <w:bookmarkEnd w:id="160"/>
    </w:p>
    <w:p w14:paraId="57692C31">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8D1294A">
      <w:pPr>
        <w:pStyle w:val="3"/>
        <w:wordWrap w:val="0"/>
        <w:spacing w:before="200" w:after="200" w:line="360" w:lineRule="auto"/>
        <w:jc w:val="center"/>
        <w:rPr>
          <w:rFonts w:hint="eastAsia" w:ascii="仿宋" w:hAnsi="仿宋" w:eastAsia="仿宋" w:cs="仿宋"/>
        </w:rPr>
      </w:pPr>
      <w:bookmarkStart w:id="161" w:name="_Toc32394"/>
      <w:bookmarkStart w:id="162" w:name="_Toc13407771"/>
      <w:r>
        <w:rPr>
          <w:rFonts w:hint="eastAsia" w:ascii="仿宋" w:hAnsi="仿宋" w:eastAsia="仿宋" w:cs="仿宋"/>
        </w:rPr>
        <w:t>六、特殊情况的处置程序</w:t>
      </w:r>
      <w:bookmarkEnd w:id="161"/>
      <w:bookmarkEnd w:id="162"/>
    </w:p>
    <w:p w14:paraId="0B2A05C1">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6.1关于评标活动暂停</w:t>
      </w:r>
    </w:p>
    <w:p w14:paraId="662B78FB">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评标委员会应当执行连续评标的原则，按评标办法中规定的程序、内容、方法、标准完成全部评标工作。只有发生不可抗力导致评标工作无法继续时，评标活动方可暂停。</w:t>
      </w:r>
    </w:p>
    <w:p w14:paraId="2CCD140B">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发生评标暂停情况时，评标委员会应当封存全部投标文件和评标记录，待不可抗力的影响结束且具备继续评标的条件时，由原评标委员会继续评标。</w:t>
      </w:r>
    </w:p>
    <w:p w14:paraId="5286C230">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6.2关于评标中途更换评委</w:t>
      </w:r>
    </w:p>
    <w:p w14:paraId="16D47D43">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除非发生下列情况之一，评标委员会成员不得在评标中途更换：</w:t>
      </w:r>
    </w:p>
    <w:p w14:paraId="70D6344D">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（1）因不可抗拒的客观原因，不能到场或需在评标中途退出评标活动。</w:t>
      </w:r>
    </w:p>
    <w:p w14:paraId="64A15A51">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（2）根据法律法规规定，某个或某几个评标委员会成员需要回避。</w:t>
      </w:r>
    </w:p>
    <w:p w14:paraId="1D12C871">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退出评标的评标委员会成员，其已完成的评标行为无效。由采购人根据本招标文件规定的评标委员会成员生产方式另行确定替代者进行评标。</w:t>
      </w:r>
    </w:p>
    <w:p w14:paraId="74A069EB">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6.3记名投票</w:t>
      </w:r>
    </w:p>
    <w:p w14:paraId="490C5887">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在任何评标环节中，需评标委员会就某项定性的评审结论做出表决的，由评标委员会全体成员按照少数服从多数的原则，以记名投票方式表决。</w:t>
      </w:r>
    </w:p>
    <w:p w14:paraId="79AD0C21">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6.4补充条款</w:t>
      </w:r>
    </w:p>
    <w:p w14:paraId="7EB74D10">
      <w:pPr>
        <w:wordWrap w:val="0"/>
        <w:spacing w:after="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评标中若遇特殊问题，由评标委员会根据有关法律、法规、规定研究决定。</w:t>
      </w:r>
    </w:p>
    <w:p w14:paraId="59146169">
      <w:pPr>
        <w:pStyle w:val="2"/>
        <w:spacing w:before="200" w:after="200" w:line="360" w:lineRule="auto"/>
        <w:jc w:val="center"/>
        <w:rPr>
          <w:rFonts w:hint="eastAsia" w:ascii="仿宋" w:hAnsi="仿宋" w:eastAsia="仿宋" w:cs="仿宋"/>
          <w:b w:val="0"/>
          <w:sz w:val="36"/>
        </w:rPr>
      </w:pPr>
      <w:bookmarkStart w:id="163" w:name="_Toc229583209"/>
      <w:bookmarkStart w:id="164" w:name="_Toc260907989"/>
      <w:bookmarkStart w:id="165" w:name="_Toc260908205"/>
      <w:r>
        <w:rPr>
          <w:rFonts w:hint="eastAsia" w:ascii="仿宋" w:hAnsi="仿宋" w:eastAsia="仿宋" w:cs="仿宋"/>
          <w:b w:val="0"/>
          <w:sz w:val="36"/>
        </w:rPr>
        <w:br w:type="page"/>
      </w:r>
      <w:bookmarkStart w:id="166" w:name="_Toc3861"/>
      <w:r>
        <w:rPr>
          <w:rFonts w:hint="eastAsia" w:ascii="仿宋" w:hAnsi="仿宋" w:eastAsia="仿宋" w:cs="仿宋"/>
          <w:b w:val="0"/>
          <w:sz w:val="36"/>
        </w:rPr>
        <w:t>第五章 合同</w:t>
      </w:r>
      <w:bookmarkEnd w:id="163"/>
      <w:r>
        <w:rPr>
          <w:rFonts w:hint="eastAsia" w:ascii="仿宋" w:hAnsi="仿宋" w:eastAsia="仿宋" w:cs="仿宋"/>
          <w:b w:val="0"/>
          <w:sz w:val="36"/>
        </w:rPr>
        <w:t>条款及格式</w:t>
      </w:r>
      <w:bookmarkEnd w:id="164"/>
      <w:bookmarkEnd w:id="165"/>
      <w:bookmarkEnd w:id="166"/>
    </w:p>
    <w:p w14:paraId="7DE9EA0F">
      <w:pPr>
        <w:spacing w:line="360" w:lineRule="auto"/>
        <w:jc w:val="center"/>
        <w:rPr>
          <w:rFonts w:hint="eastAsia" w:ascii="仿宋" w:hAnsi="仿宋" w:eastAsia="仿宋" w:cs="仿宋"/>
          <w:szCs w:val="21"/>
        </w:rPr>
      </w:pPr>
      <w:r>
        <w:rPr>
          <w:rFonts w:hint="eastAsia" w:ascii="仿宋" w:hAnsi="仿宋" w:eastAsia="仿宋" w:cs="仿宋"/>
          <w:sz w:val="21"/>
        </w:rPr>
        <w:t>（合同以实际签订为准）</w:t>
      </w:r>
      <w:bookmarkStart w:id="167" w:name="_Toc289347933"/>
    </w:p>
    <w:bookmarkEnd w:id="167"/>
    <w:p w14:paraId="11C53764">
      <w:pPr>
        <w:tabs>
          <w:tab w:val="left" w:pos="1245"/>
          <w:tab w:val="left" w:pos="4080"/>
          <w:tab w:val="left" w:pos="4495"/>
          <w:tab w:val="left" w:pos="7110"/>
          <w:tab w:val="left" w:pos="7745"/>
        </w:tabs>
        <w:ind w:right="-204" w:rightChars="-102"/>
        <w:rPr>
          <w:rFonts w:hint="eastAsia" w:ascii="仿宋" w:hAnsi="仿宋" w:eastAsia="仿宋" w:cs="仿宋"/>
          <w:sz w:val="24"/>
        </w:rPr>
      </w:pPr>
      <w:bookmarkStart w:id="168" w:name="_Toc260908253"/>
      <w:bookmarkStart w:id="169" w:name="_Toc224363907"/>
      <w:bookmarkStart w:id="170" w:name="_Toc229583225"/>
      <w:bookmarkStart w:id="171" w:name="_Toc260908037"/>
      <w:r>
        <w:rPr>
          <w:rFonts w:hint="eastAsia" w:ascii="仿宋" w:hAnsi="仿宋" w:eastAsia="仿宋" w:cs="仿宋"/>
          <w:sz w:val="24"/>
        </w:rPr>
        <w:t xml:space="preserve">合同编号：          </w:t>
      </w:r>
      <w:r>
        <w:rPr>
          <w:rFonts w:hint="eastAsia" w:ascii="仿宋" w:hAnsi="仿宋" w:eastAsia="仿宋" w:cs="仿宋"/>
          <w:sz w:val="24"/>
        </w:rPr>
        <w:tab/>
      </w:r>
      <w:r>
        <w:rPr>
          <w:rFonts w:hint="eastAsia" w:ascii="仿宋" w:hAnsi="仿宋" w:eastAsia="仿宋" w:cs="仿宋"/>
          <w:sz w:val="24"/>
        </w:rPr>
        <w:t>合同自编号：</w:t>
      </w:r>
      <w:r>
        <w:rPr>
          <w:rFonts w:hint="eastAsia" w:ascii="仿宋" w:hAnsi="仿宋" w:eastAsia="仿宋" w:cs="仿宋"/>
          <w:sz w:val="24"/>
        </w:rPr>
        <w:tab/>
      </w:r>
      <w:bookmarkStart w:id="237" w:name="_GoBack"/>
      <w:bookmarkEnd w:id="237"/>
      <w:r>
        <w:rPr>
          <w:rFonts w:hint="eastAsia" w:ascii="仿宋" w:hAnsi="仿宋" w:eastAsia="仿宋" w:cs="仿宋"/>
          <w:sz w:val="24"/>
        </w:rPr>
        <w:t>项目编号：</w:t>
      </w:r>
    </w:p>
    <w:p w14:paraId="55EAA735">
      <w:pPr>
        <w:spacing w:after="240"/>
        <w:rPr>
          <w:rFonts w:hint="eastAsia" w:ascii="仿宋" w:hAnsi="仿宋" w:eastAsia="仿宋" w:cs="仿宋"/>
          <w:sz w:val="24"/>
        </w:rPr>
      </w:pPr>
    </w:p>
    <w:p w14:paraId="261D78B8">
      <w:pPr>
        <w:spacing w:after="240"/>
        <w:rPr>
          <w:rFonts w:hint="eastAsia" w:ascii="仿宋" w:hAnsi="仿宋" w:eastAsia="仿宋" w:cs="仿宋"/>
          <w:sz w:val="15"/>
          <w:szCs w:val="15"/>
        </w:rPr>
      </w:pPr>
      <w:r>
        <w:rPr>
          <w:rFonts w:hint="eastAsia" w:ascii="仿宋" w:hAnsi="仿宋" w:eastAsia="仿宋" w:cs="仿宋"/>
          <w:sz w:val="24"/>
        </w:rPr>
        <w:t>●本合同须加盖甲乙双方骑缝章有效</w:t>
      </w:r>
    </w:p>
    <w:p w14:paraId="53ACE3DD">
      <w:pPr>
        <w:spacing w:after="10"/>
        <w:jc w:val="center"/>
        <w:rPr>
          <w:rFonts w:hint="eastAsia" w:ascii="仿宋" w:hAnsi="仿宋" w:eastAsia="仿宋" w:cs="仿宋"/>
          <w:b/>
          <w:sz w:val="44"/>
          <w:szCs w:val="44"/>
        </w:rPr>
      </w:pPr>
      <w:r>
        <w:rPr>
          <w:rFonts w:hint="eastAsia" w:ascii="仿宋" w:hAnsi="仿宋" w:eastAsia="仿宋" w:cs="仿宋"/>
          <w:b/>
          <w:sz w:val="44"/>
          <w:szCs w:val="44"/>
        </w:rPr>
        <w:t>云南省政府采购</w:t>
      </w:r>
    </w:p>
    <w:p w14:paraId="2AAE77E4">
      <w:pPr>
        <w:spacing w:after="10"/>
        <w:jc w:val="center"/>
        <w:rPr>
          <w:rFonts w:hint="eastAsia" w:ascii="仿宋" w:hAnsi="仿宋" w:eastAsia="仿宋" w:cs="仿宋"/>
          <w:b/>
          <w:sz w:val="24"/>
        </w:rPr>
      </w:pPr>
      <w:r>
        <w:rPr>
          <w:rFonts w:hint="eastAsia" w:ascii="仿宋" w:hAnsi="仿宋" w:eastAsia="仿宋" w:cs="仿宋"/>
          <w:b/>
          <w:sz w:val="24"/>
        </w:rPr>
        <w:t>（委托采购）</w:t>
      </w:r>
    </w:p>
    <w:p w14:paraId="023A412B">
      <w:pPr>
        <w:pStyle w:val="10"/>
        <w:rPr>
          <w:rFonts w:hint="eastAsia" w:ascii="仿宋" w:hAnsi="仿宋" w:eastAsia="仿宋" w:cs="仿宋"/>
        </w:rPr>
      </w:pPr>
    </w:p>
    <w:p w14:paraId="0FE2D236">
      <w:pPr>
        <w:pStyle w:val="10"/>
        <w:rPr>
          <w:rFonts w:hint="eastAsia" w:ascii="仿宋" w:hAnsi="仿宋" w:eastAsia="仿宋" w:cs="仿宋"/>
        </w:rPr>
      </w:pPr>
    </w:p>
    <w:p w14:paraId="0BA70EF4">
      <w:pPr>
        <w:spacing w:after="240"/>
        <w:rPr>
          <w:rFonts w:hint="eastAsia" w:ascii="仿宋" w:hAnsi="仿宋" w:eastAsia="仿宋" w:cs="仿宋"/>
          <w:b/>
          <w:sz w:val="15"/>
          <w:szCs w:val="15"/>
        </w:rPr>
      </w:pPr>
    </w:p>
    <w:p w14:paraId="22F56D00">
      <w:pPr>
        <w:spacing w:after="240"/>
        <w:jc w:val="center"/>
        <w:rPr>
          <w:rFonts w:hint="eastAsia" w:ascii="仿宋" w:hAnsi="仿宋" w:eastAsia="仿宋" w:cs="仿宋"/>
          <w:b/>
          <w:sz w:val="56"/>
          <w:szCs w:val="44"/>
        </w:rPr>
      </w:pPr>
      <w:r>
        <w:rPr>
          <w:rFonts w:hint="eastAsia" w:ascii="仿宋" w:hAnsi="仿宋" w:eastAsia="仿宋" w:cs="仿宋"/>
          <w:b/>
          <w:sz w:val="56"/>
          <w:szCs w:val="44"/>
        </w:rPr>
        <w:t>合</w:t>
      </w:r>
    </w:p>
    <w:p w14:paraId="3C6361FB">
      <w:pPr>
        <w:spacing w:after="240"/>
        <w:jc w:val="center"/>
        <w:rPr>
          <w:rFonts w:hint="eastAsia" w:ascii="仿宋" w:hAnsi="仿宋" w:eastAsia="仿宋" w:cs="仿宋"/>
          <w:b/>
          <w:sz w:val="56"/>
          <w:szCs w:val="44"/>
        </w:rPr>
      </w:pPr>
      <w:r>
        <w:rPr>
          <w:rFonts w:hint="eastAsia" w:ascii="仿宋" w:hAnsi="仿宋" w:eastAsia="仿宋" w:cs="仿宋"/>
          <w:b/>
          <w:sz w:val="56"/>
          <w:szCs w:val="44"/>
        </w:rPr>
        <w:t>同</w:t>
      </w:r>
    </w:p>
    <w:p w14:paraId="4BB2B0E0">
      <w:pPr>
        <w:spacing w:after="240"/>
        <w:jc w:val="center"/>
        <w:rPr>
          <w:rFonts w:hint="eastAsia" w:ascii="仿宋" w:hAnsi="仿宋" w:eastAsia="仿宋" w:cs="仿宋"/>
          <w:b/>
          <w:sz w:val="56"/>
          <w:szCs w:val="44"/>
        </w:rPr>
      </w:pPr>
      <w:r>
        <w:rPr>
          <w:rFonts w:hint="eastAsia" w:ascii="仿宋" w:hAnsi="仿宋" w:eastAsia="仿宋" w:cs="仿宋"/>
          <w:b/>
          <w:sz w:val="56"/>
          <w:szCs w:val="44"/>
        </w:rPr>
        <w:t>书</w:t>
      </w:r>
    </w:p>
    <w:p w14:paraId="21386149">
      <w:pPr>
        <w:pStyle w:val="10"/>
        <w:rPr>
          <w:rFonts w:hint="eastAsia" w:ascii="仿宋" w:hAnsi="仿宋" w:eastAsia="仿宋" w:cs="仿宋"/>
        </w:rPr>
      </w:pPr>
    </w:p>
    <w:p w14:paraId="0AF8F42E">
      <w:pPr>
        <w:spacing w:after="240"/>
        <w:jc w:val="center"/>
        <w:rPr>
          <w:rFonts w:hint="eastAsia" w:ascii="仿宋" w:hAnsi="仿宋" w:eastAsia="仿宋" w:cs="仿宋"/>
          <w:sz w:val="15"/>
          <w:szCs w:val="15"/>
        </w:rPr>
      </w:pPr>
    </w:p>
    <w:p w14:paraId="0BBC4734">
      <w:pPr>
        <w:spacing w:after="240"/>
        <w:jc w:val="center"/>
        <w:rPr>
          <w:rFonts w:hint="eastAsia" w:ascii="仿宋" w:hAnsi="仿宋" w:eastAsia="仿宋" w:cs="仿宋"/>
          <w:sz w:val="15"/>
          <w:szCs w:val="15"/>
        </w:rPr>
      </w:pPr>
    </w:p>
    <w:p w14:paraId="51045C19">
      <w:pPr>
        <w:spacing w:after="240"/>
        <w:jc w:val="center"/>
        <w:rPr>
          <w:rFonts w:hint="eastAsia" w:ascii="仿宋" w:hAnsi="仿宋" w:eastAsia="仿宋" w:cs="仿宋"/>
          <w:sz w:val="15"/>
          <w:szCs w:val="15"/>
        </w:rPr>
      </w:pPr>
    </w:p>
    <w:p w14:paraId="2F4E0C7D">
      <w:pPr>
        <w:spacing w:after="240"/>
        <w:ind w:firstLine="2951" w:firstLineChars="1050"/>
        <w:rPr>
          <w:rFonts w:hint="eastAsia" w:ascii="仿宋" w:hAnsi="仿宋" w:eastAsia="仿宋" w:cs="仿宋"/>
          <w:b/>
          <w:bCs/>
          <w:sz w:val="28"/>
          <w:szCs w:val="28"/>
        </w:rPr>
      </w:pPr>
      <w:r>
        <w:rPr>
          <w:rFonts w:hint="eastAsia" w:ascii="仿宋" w:hAnsi="仿宋" w:eastAsia="仿宋" w:cs="仿宋"/>
          <w:b/>
          <w:bCs/>
          <w:sz w:val="28"/>
          <w:szCs w:val="28"/>
        </w:rPr>
        <w:t>签订地点：</w:t>
      </w:r>
    </w:p>
    <w:p w14:paraId="6041F658">
      <w:pPr>
        <w:tabs>
          <w:tab w:val="left" w:pos="1245"/>
          <w:tab w:val="left" w:pos="4080"/>
          <w:tab w:val="left" w:pos="4495"/>
          <w:tab w:val="left" w:pos="7110"/>
          <w:tab w:val="left" w:pos="7745"/>
        </w:tabs>
        <w:ind w:right="-204" w:rightChars="-102"/>
        <w:jc w:val="center"/>
        <w:rPr>
          <w:rFonts w:hint="eastAsia" w:ascii="仿宋" w:hAnsi="仿宋" w:eastAsia="仿宋" w:cs="仿宋"/>
          <w:b/>
          <w:sz w:val="28"/>
          <w:szCs w:val="28"/>
          <w:lang w:val="zh-CN"/>
        </w:rPr>
      </w:pPr>
      <w:r>
        <w:rPr>
          <w:rFonts w:hint="eastAsia" w:ascii="仿宋" w:hAnsi="仿宋" w:eastAsia="仿宋" w:cs="仿宋"/>
          <w:b/>
          <w:bCs/>
          <w:sz w:val="28"/>
          <w:szCs w:val="28"/>
        </w:rPr>
        <w:t xml:space="preserve">云南省财政厅　制 </w:t>
      </w:r>
    </w:p>
    <w:p w14:paraId="5D946D20">
      <w:pPr>
        <w:rPr>
          <w:rFonts w:hint="eastAsia" w:ascii="仿宋" w:hAnsi="仿宋" w:eastAsia="仿宋" w:cs="仿宋"/>
          <w:sz w:val="24"/>
        </w:rPr>
      </w:pPr>
      <w:r>
        <w:rPr>
          <w:rFonts w:hint="eastAsia" w:ascii="仿宋" w:hAnsi="仿宋" w:eastAsia="仿宋" w:cs="仿宋"/>
          <w:sz w:val="24"/>
        </w:rPr>
        <w:br w:type="page"/>
      </w:r>
    </w:p>
    <w:p w14:paraId="222B58B1">
      <w:pPr>
        <w:autoSpaceDE w:val="0"/>
        <w:autoSpaceDN w:val="0"/>
        <w:adjustRightInd w:val="0"/>
        <w:spacing w:after="0" w:line="360" w:lineRule="auto"/>
        <w:rPr>
          <w:rFonts w:hint="eastAsia" w:ascii="仿宋" w:hAnsi="仿宋" w:eastAsia="仿宋" w:cs="仿宋"/>
          <w:lang w:val="zh-CN"/>
        </w:rPr>
      </w:pPr>
      <w:r>
        <w:rPr>
          <w:rFonts w:hint="eastAsia" w:ascii="仿宋" w:hAnsi="仿宋" w:eastAsia="仿宋" w:cs="仿宋"/>
          <w:lang w:val="zh-CN"/>
        </w:rPr>
        <w:t>甲方（采购人）名      称：</w:t>
      </w:r>
    </w:p>
    <w:p w14:paraId="73F63FA3">
      <w:pPr>
        <w:autoSpaceDE w:val="0"/>
        <w:autoSpaceDN w:val="0"/>
        <w:adjustRightInd w:val="0"/>
        <w:spacing w:after="0" w:line="360" w:lineRule="auto"/>
        <w:ind w:firstLine="1400" w:firstLineChars="700"/>
        <w:rPr>
          <w:rFonts w:hint="eastAsia" w:ascii="仿宋" w:hAnsi="仿宋" w:eastAsia="仿宋" w:cs="仿宋"/>
          <w:lang w:val="zh-CN"/>
        </w:rPr>
      </w:pPr>
      <w:r>
        <w:rPr>
          <w:rFonts w:hint="eastAsia" w:ascii="仿宋" w:hAnsi="仿宋" w:eastAsia="仿宋" w:cs="仿宋"/>
          <w:lang w:val="zh-CN"/>
        </w:rPr>
        <w:t>地      址：</w:t>
      </w:r>
    </w:p>
    <w:p w14:paraId="48F4390A">
      <w:pPr>
        <w:autoSpaceDE w:val="0"/>
        <w:autoSpaceDN w:val="0"/>
        <w:adjustRightInd w:val="0"/>
        <w:spacing w:after="0" w:line="360" w:lineRule="auto"/>
        <w:ind w:firstLine="1400" w:firstLineChars="700"/>
        <w:rPr>
          <w:rFonts w:hint="eastAsia" w:ascii="仿宋" w:hAnsi="仿宋" w:eastAsia="仿宋" w:cs="仿宋"/>
          <w:lang w:val="zh-CN"/>
        </w:rPr>
      </w:pPr>
      <w:r>
        <w:rPr>
          <w:rFonts w:hint="eastAsia" w:ascii="仿宋" w:hAnsi="仿宋" w:eastAsia="仿宋" w:cs="仿宋"/>
          <w:lang w:val="zh-CN"/>
        </w:rPr>
        <w:t>邮      编：</w:t>
      </w:r>
    </w:p>
    <w:p w14:paraId="5C3D12F7">
      <w:pPr>
        <w:autoSpaceDE w:val="0"/>
        <w:autoSpaceDN w:val="0"/>
        <w:adjustRightInd w:val="0"/>
        <w:spacing w:after="0" w:line="360" w:lineRule="auto"/>
        <w:ind w:firstLine="1400" w:firstLineChars="700"/>
        <w:rPr>
          <w:rFonts w:hint="eastAsia" w:ascii="仿宋" w:hAnsi="仿宋" w:eastAsia="仿宋" w:cs="仿宋"/>
          <w:lang w:val="zh-CN"/>
        </w:rPr>
      </w:pPr>
      <w:r>
        <w:rPr>
          <w:rFonts w:hint="eastAsia" w:ascii="仿宋" w:hAnsi="仿宋" w:eastAsia="仿宋" w:cs="仿宋"/>
          <w:lang w:val="zh-CN"/>
        </w:rPr>
        <w:t>法定代表人：</w:t>
      </w:r>
    </w:p>
    <w:p w14:paraId="2E0D81DF">
      <w:pPr>
        <w:autoSpaceDE w:val="0"/>
        <w:autoSpaceDN w:val="0"/>
        <w:adjustRightInd w:val="0"/>
        <w:spacing w:after="0" w:line="360" w:lineRule="auto"/>
        <w:ind w:firstLine="1400" w:firstLineChars="700"/>
        <w:rPr>
          <w:rFonts w:hint="eastAsia" w:ascii="仿宋" w:hAnsi="仿宋" w:eastAsia="仿宋" w:cs="仿宋"/>
          <w:lang w:val="zh-CN"/>
        </w:rPr>
      </w:pPr>
      <w:r>
        <w:rPr>
          <w:rFonts w:hint="eastAsia" w:ascii="仿宋" w:hAnsi="仿宋" w:eastAsia="仿宋" w:cs="仿宋"/>
          <w:lang w:val="zh-CN"/>
        </w:rPr>
        <w:t>委托代理人：</w:t>
      </w:r>
    </w:p>
    <w:p w14:paraId="573C1051">
      <w:pPr>
        <w:autoSpaceDE w:val="0"/>
        <w:autoSpaceDN w:val="0"/>
        <w:adjustRightInd w:val="0"/>
        <w:spacing w:after="0" w:line="360" w:lineRule="auto"/>
        <w:ind w:firstLine="600" w:firstLineChars="300"/>
        <w:rPr>
          <w:rFonts w:hint="eastAsia" w:ascii="仿宋" w:hAnsi="仿宋" w:eastAsia="仿宋" w:cs="仿宋"/>
          <w:lang w:val="zh-CN"/>
        </w:rPr>
      </w:pPr>
      <w:r>
        <w:rPr>
          <w:rFonts w:hint="eastAsia" w:ascii="仿宋" w:hAnsi="仿宋" w:eastAsia="仿宋" w:cs="仿宋"/>
          <w:lang w:val="zh-CN"/>
        </w:rPr>
        <w:t>项目（技术）负责人：</w:t>
      </w:r>
    </w:p>
    <w:p w14:paraId="364AD821">
      <w:pPr>
        <w:autoSpaceDE w:val="0"/>
        <w:autoSpaceDN w:val="0"/>
        <w:adjustRightInd w:val="0"/>
        <w:spacing w:after="0" w:line="360" w:lineRule="auto"/>
        <w:ind w:firstLine="1400" w:firstLineChars="700"/>
        <w:rPr>
          <w:rFonts w:hint="eastAsia" w:ascii="仿宋" w:hAnsi="仿宋" w:eastAsia="仿宋" w:cs="仿宋"/>
          <w:lang w:val="zh-CN"/>
        </w:rPr>
      </w:pPr>
      <w:r>
        <w:rPr>
          <w:rFonts w:hint="eastAsia" w:ascii="仿宋" w:hAnsi="仿宋" w:eastAsia="仿宋" w:cs="仿宋"/>
          <w:lang w:val="zh-CN"/>
        </w:rPr>
        <w:t>电　　　话：</w:t>
      </w:r>
    </w:p>
    <w:p w14:paraId="7052489F">
      <w:pPr>
        <w:autoSpaceDE w:val="0"/>
        <w:autoSpaceDN w:val="0"/>
        <w:adjustRightInd w:val="0"/>
        <w:spacing w:after="0" w:line="360" w:lineRule="auto"/>
        <w:ind w:firstLine="1400" w:firstLineChars="700"/>
        <w:rPr>
          <w:rFonts w:hint="eastAsia" w:ascii="仿宋" w:hAnsi="仿宋" w:eastAsia="仿宋" w:cs="仿宋"/>
          <w:lang w:val="zh-CN"/>
        </w:rPr>
      </w:pPr>
      <w:r>
        <w:rPr>
          <w:rFonts w:hint="eastAsia" w:ascii="仿宋" w:hAnsi="仿宋" w:eastAsia="仿宋" w:cs="仿宋"/>
          <w:lang w:val="zh-CN"/>
        </w:rPr>
        <w:t>开户  银行：</w:t>
      </w:r>
    </w:p>
    <w:p w14:paraId="1FB8E56A">
      <w:pPr>
        <w:autoSpaceDE w:val="0"/>
        <w:autoSpaceDN w:val="0"/>
        <w:adjustRightInd w:val="0"/>
        <w:spacing w:after="0" w:line="360" w:lineRule="auto"/>
        <w:ind w:firstLine="1400" w:firstLineChars="700"/>
        <w:rPr>
          <w:rFonts w:hint="eastAsia" w:ascii="仿宋" w:hAnsi="仿宋" w:eastAsia="仿宋" w:cs="仿宋"/>
          <w:lang w:val="zh-CN"/>
        </w:rPr>
      </w:pPr>
      <w:r>
        <w:rPr>
          <w:rFonts w:hint="eastAsia" w:ascii="仿宋" w:hAnsi="仿宋" w:eastAsia="仿宋" w:cs="仿宋"/>
          <w:lang w:val="zh-CN"/>
        </w:rPr>
        <w:t>账      号：</w:t>
      </w:r>
    </w:p>
    <w:p w14:paraId="1345CB7B">
      <w:pPr>
        <w:autoSpaceDE w:val="0"/>
        <w:autoSpaceDN w:val="0"/>
        <w:adjustRightInd w:val="0"/>
        <w:spacing w:after="0" w:line="360" w:lineRule="auto"/>
        <w:ind w:firstLine="1600" w:firstLineChars="800"/>
        <w:rPr>
          <w:rFonts w:hint="eastAsia" w:ascii="仿宋" w:hAnsi="仿宋" w:eastAsia="仿宋" w:cs="仿宋"/>
          <w:b/>
          <w:lang w:val="zh-CN"/>
        </w:rPr>
      </w:pPr>
      <w:r>
        <w:rPr>
          <w:rFonts w:hint="eastAsia" w:ascii="仿宋" w:hAnsi="仿宋" w:eastAsia="仿宋" w:cs="仿宋"/>
          <w:lang w:val="zh-CN"/>
        </w:rPr>
        <w:t>签订日期：    年  月  日</w:t>
      </w:r>
    </w:p>
    <w:p w14:paraId="779BFB75">
      <w:pPr>
        <w:autoSpaceDE w:val="0"/>
        <w:autoSpaceDN w:val="0"/>
        <w:adjustRightInd w:val="0"/>
        <w:spacing w:after="0" w:line="360" w:lineRule="auto"/>
        <w:rPr>
          <w:rFonts w:hint="eastAsia" w:ascii="仿宋" w:hAnsi="仿宋" w:eastAsia="仿宋" w:cs="仿宋"/>
          <w:b/>
        </w:rPr>
      </w:pPr>
    </w:p>
    <w:p w14:paraId="360AA62D">
      <w:pPr>
        <w:autoSpaceDE w:val="0"/>
        <w:autoSpaceDN w:val="0"/>
        <w:adjustRightInd w:val="0"/>
        <w:spacing w:after="0" w:line="360" w:lineRule="auto"/>
        <w:rPr>
          <w:rFonts w:hint="eastAsia" w:ascii="仿宋" w:hAnsi="仿宋" w:eastAsia="仿宋" w:cs="仿宋"/>
          <w:lang w:val="zh-CN"/>
        </w:rPr>
      </w:pPr>
      <w:r>
        <w:rPr>
          <w:rFonts w:hint="eastAsia" w:ascii="仿宋" w:hAnsi="仿宋" w:eastAsia="仿宋" w:cs="仿宋"/>
          <w:lang w:val="zh-CN"/>
        </w:rPr>
        <w:t>乙方（供应商）名      称：</w:t>
      </w:r>
    </w:p>
    <w:p w14:paraId="5195CAC3">
      <w:pPr>
        <w:autoSpaceDE w:val="0"/>
        <w:autoSpaceDN w:val="0"/>
        <w:adjustRightInd w:val="0"/>
        <w:spacing w:after="0" w:line="360" w:lineRule="auto"/>
        <w:ind w:firstLine="1400" w:firstLineChars="700"/>
        <w:rPr>
          <w:rFonts w:hint="eastAsia" w:ascii="仿宋" w:hAnsi="仿宋" w:eastAsia="仿宋" w:cs="仿宋"/>
          <w:lang w:val="zh-CN"/>
        </w:rPr>
      </w:pPr>
      <w:r>
        <w:rPr>
          <w:rFonts w:hint="eastAsia" w:ascii="仿宋" w:hAnsi="仿宋" w:eastAsia="仿宋" w:cs="仿宋"/>
          <w:lang w:val="zh-CN"/>
        </w:rPr>
        <w:t>地      址：</w:t>
      </w:r>
    </w:p>
    <w:p w14:paraId="7A908070">
      <w:pPr>
        <w:autoSpaceDE w:val="0"/>
        <w:autoSpaceDN w:val="0"/>
        <w:adjustRightInd w:val="0"/>
        <w:spacing w:after="0" w:line="360" w:lineRule="auto"/>
        <w:ind w:firstLine="1400" w:firstLineChars="700"/>
        <w:rPr>
          <w:rFonts w:hint="eastAsia" w:ascii="仿宋" w:hAnsi="仿宋" w:eastAsia="仿宋" w:cs="仿宋"/>
          <w:lang w:val="zh-CN"/>
        </w:rPr>
      </w:pPr>
      <w:r>
        <w:rPr>
          <w:rFonts w:hint="eastAsia" w:ascii="仿宋" w:hAnsi="仿宋" w:eastAsia="仿宋" w:cs="仿宋"/>
          <w:lang w:val="zh-CN"/>
        </w:rPr>
        <w:t>邮      编：</w:t>
      </w:r>
    </w:p>
    <w:p w14:paraId="149C5495">
      <w:pPr>
        <w:autoSpaceDE w:val="0"/>
        <w:autoSpaceDN w:val="0"/>
        <w:adjustRightInd w:val="0"/>
        <w:spacing w:after="0" w:line="360" w:lineRule="auto"/>
        <w:ind w:firstLine="1400" w:firstLineChars="700"/>
        <w:rPr>
          <w:rFonts w:hint="eastAsia" w:ascii="仿宋" w:hAnsi="仿宋" w:eastAsia="仿宋" w:cs="仿宋"/>
          <w:lang w:val="zh-CN"/>
        </w:rPr>
      </w:pPr>
      <w:r>
        <w:rPr>
          <w:rFonts w:hint="eastAsia" w:ascii="仿宋" w:hAnsi="仿宋" w:eastAsia="仿宋" w:cs="仿宋"/>
          <w:lang w:val="zh-CN"/>
        </w:rPr>
        <w:t>法定代表人：</w:t>
      </w:r>
    </w:p>
    <w:p w14:paraId="4C659066">
      <w:pPr>
        <w:autoSpaceDE w:val="0"/>
        <w:autoSpaceDN w:val="0"/>
        <w:adjustRightInd w:val="0"/>
        <w:spacing w:after="0" w:line="360" w:lineRule="auto"/>
        <w:ind w:firstLine="1400" w:firstLineChars="700"/>
        <w:rPr>
          <w:rFonts w:hint="eastAsia" w:ascii="仿宋" w:hAnsi="仿宋" w:eastAsia="仿宋" w:cs="仿宋"/>
          <w:lang w:val="zh-CN"/>
        </w:rPr>
      </w:pPr>
      <w:r>
        <w:rPr>
          <w:rFonts w:hint="eastAsia" w:ascii="仿宋" w:hAnsi="仿宋" w:eastAsia="仿宋" w:cs="仿宋"/>
          <w:lang w:val="zh-CN"/>
        </w:rPr>
        <w:t>委托代理人：</w:t>
      </w:r>
    </w:p>
    <w:p w14:paraId="6F6182B3">
      <w:pPr>
        <w:autoSpaceDE w:val="0"/>
        <w:autoSpaceDN w:val="0"/>
        <w:adjustRightInd w:val="0"/>
        <w:spacing w:after="0" w:line="360" w:lineRule="auto"/>
        <w:ind w:firstLine="1400" w:firstLineChars="700"/>
        <w:rPr>
          <w:rFonts w:hint="eastAsia" w:ascii="仿宋" w:hAnsi="仿宋" w:eastAsia="仿宋" w:cs="仿宋"/>
          <w:lang w:val="zh-CN"/>
        </w:rPr>
      </w:pPr>
      <w:r>
        <w:rPr>
          <w:rFonts w:hint="eastAsia" w:ascii="仿宋" w:hAnsi="仿宋" w:eastAsia="仿宋" w:cs="仿宋"/>
          <w:lang w:val="zh-CN"/>
        </w:rPr>
        <w:t>电      话：</w:t>
      </w:r>
    </w:p>
    <w:p w14:paraId="0AE01194">
      <w:pPr>
        <w:autoSpaceDE w:val="0"/>
        <w:autoSpaceDN w:val="0"/>
        <w:adjustRightInd w:val="0"/>
        <w:spacing w:after="0" w:line="360" w:lineRule="auto"/>
        <w:ind w:firstLine="1400" w:firstLineChars="700"/>
        <w:rPr>
          <w:rFonts w:hint="eastAsia" w:ascii="仿宋" w:hAnsi="仿宋" w:eastAsia="仿宋" w:cs="仿宋"/>
          <w:lang w:val="zh-CN"/>
        </w:rPr>
      </w:pPr>
      <w:r>
        <w:rPr>
          <w:rFonts w:hint="eastAsia" w:ascii="仿宋" w:hAnsi="仿宋" w:eastAsia="仿宋" w:cs="仿宋"/>
          <w:lang w:val="zh-CN"/>
        </w:rPr>
        <w:t>开户  银行：</w:t>
      </w:r>
    </w:p>
    <w:p w14:paraId="510F1AAE">
      <w:pPr>
        <w:autoSpaceDE w:val="0"/>
        <w:autoSpaceDN w:val="0"/>
        <w:adjustRightInd w:val="0"/>
        <w:spacing w:after="0" w:line="360" w:lineRule="auto"/>
        <w:ind w:firstLine="1400" w:firstLineChars="700"/>
        <w:rPr>
          <w:rFonts w:hint="eastAsia" w:ascii="仿宋" w:hAnsi="仿宋" w:eastAsia="仿宋" w:cs="仿宋"/>
          <w:lang w:val="zh-CN"/>
        </w:rPr>
      </w:pPr>
      <w:r>
        <w:rPr>
          <w:rFonts w:hint="eastAsia" w:ascii="仿宋" w:hAnsi="仿宋" w:eastAsia="仿宋" w:cs="仿宋"/>
          <w:lang w:val="zh-CN"/>
        </w:rPr>
        <w:t>账      号：</w:t>
      </w:r>
    </w:p>
    <w:p w14:paraId="4B7F5CBA">
      <w:pPr>
        <w:autoSpaceDE w:val="0"/>
        <w:autoSpaceDN w:val="0"/>
        <w:adjustRightInd w:val="0"/>
        <w:spacing w:after="0" w:line="360" w:lineRule="auto"/>
        <w:ind w:firstLine="1600" w:firstLineChars="800"/>
        <w:rPr>
          <w:rFonts w:hint="eastAsia" w:ascii="仿宋" w:hAnsi="仿宋" w:eastAsia="仿宋" w:cs="仿宋"/>
          <w:b/>
          <w:lang w:val="zh-CN"/>
        </w:rPr>
      </w:pPr>
      <w:r>
        <w:rPr>
          <w:rFonts w:hint="eastAsia" w:ascii="仿宋" w:hAnsi="仿宋" w:eastAsia="仿宋" w:cs="仿宋"/>
          <w:lang w:val="zh-CN"/>
        </w:rPr>
        <w:t>签订日期：    年  月  日</w:t>
      </w:r>
    </w:p>
    <w:p w14:paraId="70152B67">
      <w:pPr>
        <w:autoSpaceDE w:val="0"/>
        <w:autoSpaceDN w:val="0"/>
        <w:adjustRightInd w:val="0"/>
        <w:spacing w:after="0" w:line="360" w:lineRule="auto"/>
        <w:rPr>
          <w:rFonts w:hint="eastAsia" w:ascii="仿宋" w:hAnsi="仿宋" w:eastAsia="仿宋" w:cs="仿宋"/>
          <w:lang w:val="zh-CN"/>
        </w:rPr>
      </w:pPr>
    </w:p>
    <w:p w14:paraId="772EF478">
      <w:pPr>
        <w:autoSpaceDE w:val="0"/>
        <w:autoSpaceDN w:val="0"/>
        <w:adjustRightInd w:val="0"/>
        <w:spacing w:after="0" w:line="360" w:lineRule="auto"/>
        <w:rPr>
          <w:rFonts w:hint="eastAsia" w:ascii="仿宋" w:hAnsi="仿宋" w:eastAsia="仿宋" w:cs="仿宋"/>
          <w:lang w:val="zh-CN"/>
        </w:rPr>
      </w:pPr>
      <w:r>
        <w:rPr>
          <w:rFonts w:hint="eastAsia" w:ascii="仿宋" w:hAnsi="仿宋" w:eastAsia="仿宋" w:cs="仿宋"/>
        </w:rPr>
        <w:t>丙</w:t>
      </w:r>
      <w:r>
        <w:rPr>
          <w:rFonts w:hint="eastAsia" w:ascii="仿宋" w:hAnsi="仿宋" w:eastAsia="仿宋" w:cs="仿宋"/>
          <w:lang w:val="zh-CN"/>
        </w:rPr>
        <w:t>方（</w:t>
      </w:r>
      <w:r>
        <w:rPr>
          <w:rFonts w:hint="eastAsia" w:ascii="仿宋" w:hAnsi="仿宋" w:eastAsia="仿宋" w:cs="仿宋"/>
        </w:rPr>
        <w:t>鉴证方</w:t>
      </w:r>
      <w:r>
        <w:rPr>
          <w:rFonts w:hint="eastAsia" w:ascii="仿宋" w:hAnsi="仿宋" w:eastAsia="仿宋" w:cs="仿宋"/>
          <w:lang w:val="zh-CN"/>
        </w:rPr>
        <w:t>）名      称：</w:t>
      </w:r>
    </w:p>
    <w:p w14:paraId="5F6588B7">
      <w:pPr>
        <w:autoSpaceDE w:val="0"/>
        <w:autoSpaceDN w:val="0"/>
        <w:adjustRightInd w:val="0"/>
        <w:spacing w:after="0" w:line="360" w:lineRule="auto"/>
        <w:ind w:firstLine="1400" w:firstLineChars="700"/>
        <w:rPr>
          <w:rFonts w:hint="eastAsia" w:ascii="仿宋" w:hAnsi="仿宋" w:eastAsia="仿宋" w:cs="仿宋"/>
          <w:lang w:val="zh-CN"/>
        </w:rPr>
      </w:pPr>
      <w:r>
        <w:rPr>
          <w:rFonts w:hint="eastAsia" w:ascii="仿宋" w:hAnsi="仿宋" w:eastAsia="仿宋" w:cs="仿宋"/>
          <w:lang w:val="zh-CN"/>
        </w:rPr>
        <w:t>地      址：</w:t>
      </w:r>
    </w:p>
    <w:p w14:paraId="553ACEB0">
      <w:pPr>
        <w:autoSpaceDE w:val="0"/>
        <w:autoSpaceDN w:val="0"/>
        <w:adjustRightInd w:val="0"/>
        <w:spacing w:after="0" w:line="360" w:lineRule="auto"/>
        <w:ind w:firstLine="1400" w:firstLineChars="700"/>
        <w:rPr>
          <w:rFonts w:hint="eastAsia" w:ascii="仿宋" w:hAnsi="仿宋" w:eastAsia="仿宋" w:cs="仿宋"/>
          <w:lang w:val="zh-CN"/>
        </w:rPr>
      </w:pPr>
      <w:r>
        <w:rPr>
          <w:rFonts w:hint="eastAsia" w:ascii="仿宋" w:hAnsi="仿宋" w:eastAsia="仿宋" w:cs="仿宋"/>
          <w:lang w:val="zh-CN"/>
        </w:rPr>
        <w:t>邮      编：</w:t>
      </w:r>
    </w:p>
    <w:p w14:paraId="4C181997">
      <w:pPr>
        <w:autoSpaceDE w:val="0"/>
        <w:autoSpaceDN w:val="0"/>
        <w:adjustRightInd w:val="0"/>
        <w:spacing w:after="0" w:line="360" w:lineRule="auto"/>
        <w:ind w:firstLine="1400" w:firstLineChars="700"/>
        <w:rPr>
          <w:rFonts w:hint="eastAsia" w:ascii="仿宋" w:hAnsi="仿宋" w:eastAsia="仿宋" w:cs="仿宋"/>
          <w:lang w:val="zh-CN"/>
        </w:rPr>
      </w:pPr>
      <w:r>
        <w:rPr>
          <w:rFonts w:hint="eastAsia" w:ascii="仿宋" w:hAnsi="仿宋" w:eastAsia="仿宋" w:cs="仿宋"/>
          <w:lang w:val="zh-CN"/>
        </w:rPr>
        <w:t>法定代表人：</w:t>
      </w:r>
    </w:p>
    <w:p w14:paraId="539AA606">
      <w:pPr>
        <w:autoSpaceDE w:val="0"/>
        <w:autoSpaceDN w:val="0"/>
        <w:adjustRightInd w:val="0"/>
        <w:spacing w:after="0" w:line="360" w:lineRule="auto"/>
        <w:ind w:firstLine="1400" w:firstLineChars="700"/>
        <w:rPr>
          <w:rFonts w:hint="eastAsia" w:ascii="仿宋" w:hAnsi="仿宋" w:eastAsia="仿宋" w:cs="仿宋"/>
          <w:lang w:val="zh-CN"/>
        </w:rPr>
      </w:pPr>
      <w:r>
        <w:rPr>
          <w:rFonts w:hint="eastAsia" w:ascii="仿宋" w:hAnsi="仿宋" w:eastAsia="仿宋" w:cs="仿宋"/>
          <w:lang w:val="zh-CN"/>
        </w:rPr>
        <w:t>委托代理人：</w:t>
      </w:r>
    </w:p>
    <w:p w14:paraId="6EE00ACB">
      <w:pPr>
        <w:autoSpaceDE w:val="0"/>
        <w:autoSpaceDN w:val="0"/>
        <w:adjustRightInd w:val="0"/>
        <w:spacing w:after="0" w:line="360" w:lineRule="auto"/>
        <w:ind w:firstLine="1400" w:firstLineChars="700"/>
        <w:rPr>
          <w:rFonts w:hint="eastAsia" w:ascii="仿宋" w:hAnsi="仿宋" w:eastAsia="仿宋" w:cs="仿宋"/>
          <w:lang w:val="zh-CN"/>
        </w:rPr>
      </w:pPr>
      <w:r>
        <w:rPr>
          <w:rFonts w:hint="eastAsia" w:ascii="仿宋" w:hAnsi="仿宋" w:eastAsia="仿宋" w:cs="仿宋"/>
          <w:lang w:val="zh-CN"/>
        </w:rPr>
        <w:t>电      话：</w:t>
      </w:r>
    </w:p>
    <w:p w14:paraId="240B0D0D">
      <w:pPr>
        <w:autoSpaceDE w:val="0"/>
        <w:autoSpaceDN w:val="0"/>
        <w:adjustRightInd w:val="0"/>
        <w:spacing w:after="0" w:line="360" w:lineRule="auto"/>
        <w:ind w:firstLine="1400" w:firstLineChars="700"/>
        <w:rPr>
          <w:rFonts w:hint="eastAsia" w:ascii="仿宋" w:hAnsi="仿宋" w:eastAsia="仿宋" w:cs="仿宋"/>
          <w:lang w:val="zh-CN"/>
        </w:rPr>
      </w:pPr>
      <w:r>
        <w:rPr>
          <w:rFonts w:hint="eastAsia" w:ascii="仿宋" w:hAnsi="仿宋" w:eastAsia="仿宋" w:cs="仿宋"/>
          <w:lang w:val="zh-CN"/>
        </w:rPr>
        <w:t>开户  银行：</w:t>
      </w:r>
    </w:p>
    <w:p w14:paraId="57007693">
      <w:pPr>
        <w:autoSpaceDE w:val="0"/>
        <w:autoSpaceDN w:val="0"/>
        <w:adjustRightInd w:val="0"/>
        <w:spacing w:after="0" w:line="360" w:lineRule="auto"/>
        <w:ind w:firstLine="1400" w:firstLineChars="700"/>
        <w:rPr>
          <w:rFonts w:hint="eastAsia" w:ascii="仿宋" w:hAnsi="仿宋" w:eastAsia="仿宋" w:cs="仿宋"/>
          <w:lang w:val="zh-CN"/>
        </w:rPr>
      </w:pPr>
      <w:r>
        <w:rPr>
          <w:rFonts w:hint="eastAsia" w:ascii="仿宋" w:hAnsi="仿宋" w:eastAsia="仿宋" w:cs="仿宋"/>
          <w:lang w:val="zh-CN"/>
        </w:rPr>
        <w:t>账      号：</w:t>
      </w:r>
    </w:p>
    <w:p w14:paraId="47D1D0D9">
      <w:pPr>
        <w:pStyle w:val="10"/>
        <w:ind w:firstLine="1600" w:firstLineChars="800"/>
        <w:rPr>
          <w:rFonts w:hint="eastAsia" w:ascii="仿宋" w:hAnsi="仿宋" w:eastAsia="仿宋" w:cs="仿宋"/>
          <w:lang w:val="zh-CN"/>
        </w:rPr>
      </w:pPr>
      <w:r>
        <w:rPr>
          <w:rFonts w:hint="eastAsia" w:ascii="仿宋" w:hAnsi="仿宋" w:eastAsia="仿宋" w:cs="仿宋"/>
          <w:lang w:val="zh-CN"/>
        </w:rPr>
        <w:t>签订日期：    年  月  日</w:t>
      </w:r>
    </w:p>
    <w:p w14:paraId="574600CD">
      <w:pPr>
        <w:rPr>
          <w:rFonts w:hint="eastAsia" w:ascii="仿宋" w:hAnsi="仿宋" w:eastAsia="仿宋" w:cs="仿宋"/>
          <w:lang w:val="zh-CN"/>
        </w:rPr>
      </w:pPr>
      <w:r>
        <w:rPr>
          <w:rFonts w:hint="eastAsia" w:ascii="仿宋" w:hAnsi="仿宋" w:eastAsia="仿宋" w:cs="仿宋"/>
          <w:lang w:val="zh-CN"/>
        </w:rPr>
        <w:br w:type="page"/>
      </w:r>
    </w:p>
    <w:p w14:paraId="3399AEDC">
      <w:pPr>
        <w:pStyle w:val="11"/>
        <w:ind w:left="1000"/>
        <w:rPr>
          <w:rFonts w:hint="eastAsia" w:ascii="仿宋" w:hAnsi="仿宋" w:eastAsia="仿宋" w:cs="仿宋"/>
        </w:rPr>
      </w:pPr>
    </w:p>
    <w:p w14:paraId="29D60776">
      <w:pPr>
        <w:spacing w:line="360" w:lineRule="auto"/>
        <w:rPr>
          <w:rFonts w:hint="eastAsia" w:ascii="仿宋" w:hAnsi="仿宋" w:eastAsia="仿宋" w:cs="仿宋"/>
          <w:b/>
          <w:bCs/>
          <w:sz w:val="21"/>
          <w:szCs w:val="21"/>
        </w:rPr>
      </w:pPr>
      <w:r>
        <w:rPr>
          <w:rFonts w:hint="eastAsia" w:ascii="仿宋" w:hAnsi="仿宋" w:eastAsia="仿宋" w:cs="仿宋"/>
          <w:b/>
          <w:sz w:val="21"/>
          <w:szCs w:val="21"/>
        </w:rPr>
        <w:t>项目名称：富民县永定小学校外供餐企业采购项目</w:t>
      </w:r>
    </w:p>
    <w:p w14:paraId="12E91608">
      <w:pPr>
        <w:spacing w:line="360" w:lineRule="auto"/>
        <w:rPr>
          <w:rFonts w:hint="eastAsia" w:ascii="仿宋" w:hAnsi="仿宋" w:eastAsia="仿宋" w:cs="仿宋"/>
          <w:b/>
          <w:sz w:val="21"/>
          <w:szCs w:val="21"/>
        </w:rPr>
      </w:pPr>
      <w:r>
        <w:rPr>
          <w:rFonts w:hint="eastAsia" w:ascii="仿宋" w:hAnsi="仿宋" w:eastAsia="仿宋" w:cs="仿宋"/>
          <w:b/>
          <w:sz w:val="21"/>
          <w:szCs w:val="21"/>
        </w:rPr>
        <w:t>甲方：富民县教育体育局</w:t>
      </w:r>
    </w:p>
    <w:p w14:paraId="12FEF46B">
      <w:pPr>
        <w:spacing w:line="360" w:lineRule="auto"/>
        <w:rPr>
          <w:rFonts w:hint="eastAsia" w:ascii="仿宋" w:hAnsi="仿宋" w:eastAsia="仿宋" w:cs="仿宋"/>
          <w:b/>
          <w:sz w:val="21"/>
          <w:szCs w:val="21"/>
        </w:rPr>
      </w:pPr>
      <w:r>
        <w:rPr>
          <w:rFonts w:hint="eastAsia" w:ascii="仿宋" w:hAnsi="仿宋" w:eastAsia="仿宋" w:cs="仿宋"/>
          <w:b/>
          <w:sz w:val="21"/>
          <w:szCs w:val="21"/>
        </w:rPr>
        <w:t xml:space="preserve">乙方： </w:t>
      </w:r>
    </w:p>
    <w:p w14:paraId="59F37999">
      <w:pPr>
        <w:spacing w:line="360" w:lineRule="exact"/>
        <w:rPr>
          <w:rFonts w:hint="eastAsia" w:ascii="仿宋" w:hAnsi="仿宋" w:eastAsia="仿宋" w:cs="仿宋"/>
          <w:sz w:val="21"/>
          <w:szCs w:val="21"/>
        </w:rPr>
      </w:pPr>
    </w:p>
    <w:p w14:paraId="6C8CBC6B">
      <w:pPr>
        <w:spacing w:line="360" w:lineRule="auto"/>
        <w:ind w:firstLine="443" w:firstLineChars="211"/>
        <w:rPr>
          <w:rFonts w:hint="eastAsia" w:ascii="仿宋" w:hAnsi="仿宋" w:eastAsia="仿宋" w:cs="仿宋"/>
          <w:sz w:val="21"/>
          <w:szCs w:val="21"/>
        </w:rPr>
      </w:pPr>
      <w:r>
        <w:rPr>
          <w:rFonts w:hint="eastAsia" w:ascii="仿宋" w:hAnsi="仿宋" w:eastAsia="仿宋" w:cs="仿宋"/>
          <w:sz w:val="21"/>
          <w:szCs w:val="21"/>
        </w:rPr>
        <w:t>甲、乙双方根据</w:t>
      </w:r>
      <w:r>
        <w:rPr>
          <w:rFonts w:hint="eastAsia" w:ascii="仿宋" w:hAnsi="仿宋" w:eastAsia="仿宋" w:cs="仿宋"/>
          <w:sz w:val="21"/>
          <w:szCs w:val="21"/>
          <w:u w:val="single"/>
        </w:rPr>
        <w:t xml:space="preserve">               </w:t>
      </w:r>
      <w:r>
        <w:rPr>
          <w:rFonts w:hint="eastAsia" w:ascii="仿宋" w:hAnsi="仿宋" w:eastAsia="仿宋" w:cs="仿宋"/>
          <w:sz w:val="21"/>
          <w:szCs w:val="21"/>
        </w:rPr>
        <w:t>代理的“             ”（招标编号：    ）公开招标的中标结果，选定乙方作为富民县永定小学校外供餐企业采购项目（</w:t>
      </w:r>
      <w:r>
        <w:rPr>
          <w:rFonts w:hint="eastAsia" w:ascii="仿宋" w:hAnsi="仿宋" w:eastAsia="仿宋" w:cs="仿宋"/>
          <w:sz w:val="21"/>
          <w:szCs w:val="21"/>
          <w:u w:val="single"/>
        </w:rPr>
        <w:t xml:space="preserve">       </w:t>
      </w:r>
      <w:r>
        <w:rPr>
          <w:rFonts w:hint="eastAsia" w:ascii="仿宋" w:hAnsi="仿宋" w:eastAsia="仿宋" w:cs="仿宋"/>
          <w:sz w:val="21"/>
          <w:szCs w:val="21"/>
        </w:rPr>
        <w:t>）的供货商，并经双方协商达成一致，签订以下合同内容：</w:t>
      </w:r>
    </w:p>
    <w:p w14:paraId="6E254CE7">
      <w:pPr>
        <w:spacing w:line="360" w:lineRule="auto"/>
        <w:ind w:firstLine="422" w:firstLineChars="200"/>
        <w:rPr>
          <w:rFonts w:hint="eastAsia" w:ascii="仿宋" w:hAnsi="仿宋" w:eastAsia="仿宋" w:cs="仿宋"/>
          <w:b/>
          <w:sz w:val="21"/>
          <w:szCs w:val="21"/>
        </w:rPr>
      </w:pPr>
      <w:r>
        <w:rPr>
          <w:rFonts w:hint="eastAsia" w:ascii="仿宋" w:hAnsi="仿宋" w:eastAsia="仿宋" w:cs="仿宋"/>
          <w:b/>
          <w:sz w:val="21"/>
          <w:szCs w:val="21"/>
        </w:rPr>
        <w:t>一、供货要求及合同价格：</w:t>
      </w:r>
    </w:p>
    <w:p w14:paraId="280439D3">
      <w:pPr>
        <w:tabs>
          <w:tab w:val="left" w:pos="8820"/>
        </w:tabs>
        <w:autoSpaceDE w:val="0"/>
        <w:autoSpaceDN w:val="0"/>
        <w:adjustRightInd w:val="0"/>
        <w:spacing w:line="360" w:lineRule="auto"/>
        <w:ind w:firstLine="424" w:firstLineChars="202"/>
        <w:rPr>
          <w:rFonts w:hint="eastAsia" w:ascii="仿宋" w:hAnsi="仿宋" w:eastAsia="仿宋" w:cs="仿宋"/>
          <w:sz w:val="21"/>
          <w:szCs w:val="21"/>
        </w:rPr>
      </w:pPr>
      <w:r>
        <w:rPr>
          <w:rFonts w:hint="eastAsia" w:ascii="仿宋" w:hAnsi="仿宋" w:eastAsia="仿宋" w:cs="仿宋"/>
          <w:sz w:val="21"/>
          <w:szCs w:val="21"/>
        </w:rPr>
        <w:t>1、供货要求：                                                                。</w:t>
      </w:r>
    </w:p>
    <w:p w14:paraId="452B0987">
      <w:pPr>
        <w:autoSpaceDE w:val="0"/>
        <w:autoSpaceDN w:val="0"/>
        <w:adjustRightInd w:val="0"/>
        <w:spacing w:line="360" w:lineRule="auto"/>
        <w:ind w:firstLine="443" w:firstLineChars="211"/>
        <w:rPr>
          <w:rFonts w:hint="eastAsia" w:ascii="仿宋" w:hAnsi="仿宋" w:eastAsia="仿宋" w:cs="仿宋"/>
          <w:sz w:val="21"/>
          <w:szCs w:val="21"/>
        </w:rPr>
      </w:pPr>
      <w:r>
        <w:rPr>
          <w:rFonts w:hint="eastAsia" w:ascii="仿宋" w:hAnsi="仿宋" w:eastAsia="仿宋" w:cs="仿宋"/>
          <w:sz w:val="21"/>
          <w:szCs w:val="21"/>
        </w:rPr>
        <w:t>2、合同价格：                  ，该价格包含产品的运输、装卸、搬运等所有费用。</w:t>
      </w:r>
    </w:p>
    <w:p w14:paraId="1F194A86">
      <w:pPr>
        <w:spacing w:line="360" w:lineRule="auto"/>
        <w:ind w:firstLine="422" w:firstLineChars="200"/>
        <w:rPr>
          <w:rFonts w:hint="eastAsia" w:ascii="仿宋" w:hAnsi="仿宋" w:eastAsia="仿宋" w:cs="仿宋"/>
          <w:sz w:val="21"/>
          <w:szCs w:val="21"/>
        </w:rPr>
      </w:pPr>
      <w:r>
        <w:rPr>
          <w:rFonts w:hint="eastAsia" w:ascii="仿宋" w:hAnsi="仿宋" w:eastAsia="仿宋" w:cs="仿宋"/>
          <w:b/>
          <w:sz w:val="21"/>
          <w:szCs w:val="21"/>
        </w:rPr>
        <w:t>二、合同期限</w:t>
      </w:r>
    </w:p>
    <w:p w14:paraId="284CBF49">
      <w:pPr>
        <w:pStyle w:val="19"/>
        <w:spacing w:line="360" w:lineRule="auto"/>
        <w:ind w:left="0" w:leftChars="0" w:firstLine="420" w:firstLineChars="200"/>
        <w:rPr>
          <w:rFonts w:hint="eastAsia" w:ascii="仿宋" w:hAnsi="仿宋" w:eastAsia="仿宋" w:cs="仿宋"/>
          <w:sz w:val="21"/>
          <w:szCs w:val="21"/>
        </w:rPr>
      </w:pPr>
      <w:r>
        <w:rPr>
          <w:rFonts w:hint="eastAsia" w:ascii="仿宋" w:hAnsi="仿宋" w:eastAsia="仿宋" w:cs="仿宋"/>
          <w:sz w:val="21"/>
          <w:szCs w:val="21"/>
        </w:rPr>
        <w:t>合同期限：本合同期限为</w:t>
      </w:r>
      <w:r>
        <w:rPr>
          <w:rFonts w:hint="eastAsia" w:ascii="仿宋" w:hAnsi="仿宋" w:eastAsia="仿宋" w:cs="仿宋"/>
          <w:sz w:val="21"/>
          <w:szCs w:val="21"/>
          <w:u w:val="single"/>
        </w:rPr>
        <w:t xml:space="preserve">    </w:t>
      </w:r>
      <w:r>
        <w:rPr>
          <w:rFonts w:hint="eastAsia" w:ascii="仿宋" w:hAnsi="仿宋" w:eastAsia="仿宋" w:cs="仿宋"/>
          <w:sz w:val="21"/>
          <w:szCs w:val="21"/>
        </w:rPr>
        <w:t>年（   年  月  日——     年   月   日）。</w:t>
      </w:r>
    </w:p>
    <w:p w14:paraId="23532DBC">
      <w:pPr>
        <w:spacing w:line="360" w:lineRule="auto"/>
        <w:ind w:firstLine="422" w:firstLineChars="200"/>
        <w:rPr>
          <w:rFonts w:hint="eastAsia" w:ascii="仿宋" w:hAnsi="仿宋" w:eastAsia="仿宋" w:cs="仿宋"/>
          <w:b/>
          <w:sz w:val="21"/>
          <w:szCs w:val="21"/>
        </w:rPr>
      </w:pPr>
      <w:r>
        <w:rPr>
          <w:rFonts w:hint="eastAsia" w:ascii="仿宋" w:hAnsi="仿宋" w:eastAsia="仿宋" w:cs="仿宋"/>
          <w:b/>
          <w:sz w:val="21"/>
          <w:szCs w:val="21"/>
        </w:rPr>
        <w:t>三、甲乙双方的权利和义务：</w:t>
      </w:r>
    </w:p>
    <w:p w14:paraId="490E5372">
      <w:pPr>
        <w:adjustRightInd w:val="0"/>
        <w:snapToGrid w:val="0"/>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（一）甲方的权利和义务：</w:t>
      </w:r>
    </w:p>
    <w:p w14:paraId="45A42790">
      <w:pPr>
        <w:adjustRightInd w:val="0"/>
        <w:snapToGrid w:val="0"/>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1、在乙方中标食品种类及承诺价格优惠率范围内，甲方有权决定每批次食品（原料）采购金额、种类及数量；</w:t>
      </w:r>
    </w:p>
    <w:p w14:paraId="458E8F69">
      <w:pPr>
        <w:adjustRightInd w:val="0"/>
        <w:snapToGrid w:val="0"/>
        <w:spacing w:line="360" w:lineRule="auto"/>
        <w:ind w:firstLine="426"/>
        <w:rPr>
          <w:rFonts w:hint="eastAsia" w:ascii="仿宋" w:hAnsi="仿宋" w:eastAsia="仿宋" w:cs="仿宋"/>
          <w:sz w:val="21"/>
          <w:szCs w:val="21"/>
        </w:rPr>
      </w:pPr>
      <w:r>
        <w:rPr>
          <w:rFonts w:hint="eastAsia" w:ascii="仿宋" w:hAnsi="仿宋" w:eastAsia="仿宋" w:cs="仿宋"/>
          <w:sz w:val="21"/>
          <w:szCs w:val="21"/>
        </w:rPr>
        <w:t>2、合同签订后，甲方所购同一类别食品应从乙方中标食品种类范围内选购；</w:t>
      </w:r>
    </w:p>
    <w:p w14:paraId="09208FA8">
      <w:pPr>
        <w:adjustRightInd w:val="0"/>
        <w:snapToGrid w:val="0"/>
        <w:spacing w:line="360" w:lineRule="auto"/>
        <w:ind w:firstLine="426"/>
        <w:rPr>
          <w:rFonts w:hint="eastAsia" w:ascii="仿宋" w:hAnsi="仿宋" w:eastAsia="仿宋" w:cs="仿宋"/>
          <w:sz w:val="21"/>
          <w:szCs w:val="21"/>
        </w:rPr>
      </w:pPr>
      <w:r>
        <w:rPr>
          <w:rFonts w:hint="eastAsia" w:ascii="仿宋" w:hAnsi="仿宋" w:eastAsia="仿宋" w:cs="仿宋"/>
          <w:sz w:val="21"/>
          <w:szCs w:val="21"/>
        </w:rPr>
        <w:t>3、不得要求乙方开具超出实际供应产品金额的发票；</w:t>
      </w:r>
    </w:p>
    <w:p w14:paraId="4133D1B5">
      <w:pPr>
        <w:adjustRightInd w:val="0"/>
        <w:snapToGrid w:val="0"/>
        <w:spacing w:line="360" w:lineRule="auto"/>
        <w:ind w:firstLine="426"/>
        <w:rPr>
          <w:rFonts w:hint="eastAsia" w:ascii="仿宋" w:hAnsi="仿宋" w:eastAsia="仿宋" w:cs="仿宋"/>
          <w:sz w:val="21"/>
          <w:szCs w:val="21"/>
        </w:rPr>
      </w:pPr>
      <w:r>
        <w:rPr>
          <w:rFonts w:hint="eastAsia" w:ascii="仿宋" w:hAnsi="仿宋" w:eastAsia="仿宋" w:cs="仿宋"/>
          <w:sz w:val="21"/>
          <w:szCs w:val="21"/>
        </w:rPr>
        <w:t>4、不得向乙方索要“好处”、“回扣”；</w:t>
      </w:r>
    </w:p>
    <w:p w14:paraId="7C00F700">
      <w:pPr>
        <w:adjustRightInd w:val="0"/>
        <w:snapToGrid w:val="0"/>
        <w:spacing w:line="360" w:lineRule="auto"/>
        <w:ind w:firstLine="426"/>
        <w:rPr>
          <w:rFonts w:hint="eastAsia" w:ascii="仿宋" w:hAnsi="仿宋" w:eastAsia="仿宋" w:cs="仿宋"/>
          <w:sz w:val="21"/>
          <w:szCs w:val="21"/>
        </w:rPr>
      </w:pPr>
      <w:r>
        <w:rPr>
          <w:rFonts w:hint="eastAsia" w:ascii="仿宋" w:hAnsi="仿宋" w:eastAsia="仿宋" w:cs="仿宋"/>
          <w:sz w:val="21"/>
          <w:szCs w:val="21"/>
        </w:rPr>
        <w:t>5、不得违反本合同的有关约定。</w:t>
      </w:r>
    </w:p>
    <w:p w14:paraId="4C10AA91">
      <w:pPr>
        <w:adjustRightInd w:val="0"/>
        <w:snapToGrid w:val="0"/>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（二）乙方的权利和义务</w:t>
      </w:r>
    </w:p>
    <w:p w14:paraId="366C6859">
      <w:pPr>
        <w:adjustRightInd w:val="0"/>
        <w:snapToGrid w:val="0"/>
        <w:spacing w:line="360" w:lineRule="auto"/>
        <w:ind w:firstLine="426"/>
        <w:rPr>
          <w:rFonts w:hint="eastAsia" w:ascii="仿宋" w:hAnsi="仿宋" w:eastAsia="仿宋" w:cs="仿宋"/>
          <w:sz w:val="21"/>
          <w:szCs w:val="21"/>
        </w:rPr>
      </w:pPr>
      <w:r>
        <w:rPr>
          <w:rFonts w:hint="eastAsia" w:ascii="仿宋" w:hAnsi="仿宋" w:eastAsia="仿宋" w:cs="仿宋"/>
          <w:sz w:val="21"/>
          <w:szCs w:val="21"/>
        </w:rPr>
        <w:t>1、严格执行招投标文件及投标所承诺的一切事项和条款；</w:t>
      </w:r>
    </w:p>
    <w:p w14:paraId="77EBF8D8">
      <w:pPr>
        <w:adjustRightInd w:val="0"/>
        <w:snapToGrid w:val="0"/>
        <w:spacing w:line="360" w:lineRule="auto"/>
        <w:ind w:firstLine="426"/>
        <w:rPr>
          <w:rFonts w:hint="eastAsia" w:ascii="仿宋" w:hAnsi="仿宋" w:eastAsia="仿宋" w:cs="仿宋"/>
          <w:sz w:val="21"/>
          <w:szCs w:val="21"/>
        </w:rPr>
      </w:pPr>
      <w:r>
        <w:rPr>
          <w:rFonts w:hint="eastAsia" w:ascii="仿宋" w:hAnsi="仿宋" w:eastAsia="仿宋" w:cs="仿宋"/>
          <w:sz w:val="21"/>
          <w:szCs w:val="21"/>
        </w:rPr>
        <w:t>2、不得违反国家规定的质量标准，以次充好，以不合格产品充合格产品；</w:t>
      </w:r>
    </w:p>
    <w:p w14:paraId="32B6607E">
      <w:pPr>
        <w:adjustRightInd w:val="0"/>
        <w:snapToGrid w:val="0"/>
        <w:spacing w:line="360" w:lineRule="auto"/>
        <w:ind w:firstLine="426"/>
        <w:rPr>
          <w:rFonts w:hint="eastAsia" w:ascii="仿宋" w:hAnsi="仿宋" w:eastAsia="仿宋" w:cs="仿宋"/>
          <w:sz w:val="21"/>
          <w:szCs w:val="21"/>
        </w:rPr>
      </w:pPr>
      <w:r>
        <w:rPr>
          <w:rFonts w:hint="eastAsia" w:ascii="仿宋" w:hAnsi="仿宋" w:eastAsia="仿宋" w:cs="仿宋"/>
          <w:sz w:val="21"/>
          <w:szCs w:val="21"/>
        </w:rPr>
        <w:t xml:space="preserve">3、不得为采购人开具超出实际金额的税务发票； </w:t>
      </w:r>
    </w:p>
    <w:p w14:paraId="19A09C84">
      <w:pPr>
        <w:adjustRightInd w:val="0"/>
        <w:snapToGrid w:val="0"/>
        <w:spacing w:line="360" w:lineRule="auto"/>
        <w:ind w:firstLine="426"/>
        <w:rPr>
          <w:rFonts w:hint="eastAsia" w:ascii="仿宋" w:hAnsi="仿宋" w:eastAsia="仿宋" w:cs="仿宋"/>
          <w:sz w:val="21"/>
          <w:szCs w:val="21"/>
        </w:rPr>
      </w:pPr>
      <w:r>
        <w:rPr>
          <w:rFonts w:hint="eastAsia" w:ascii="仿宋" w:hAnsi="仿宋" w:eastAsia="仿宋" w:cs="仿宋"/>
          <w:sz w:val="21"/>
          <w:szCs w:val="21"/>
        </w:rPr>
        <w:t>4、不得拒绝接受食品安全监管部门或甲方的监督检查；</w:t>
      </w:r>
    </w:p>
    <w:p w14:paraId="41A12628">
      <w:pPr>
        <w:adjustRightInd w:val="0"/>
        <w:snapToGrid w:val="0"/>
        <w:spacing w:line="360" w:lineRule="auto"/>
        <w:ind w:firstLine="426"/>
        <w:rPr>
          <w:rFonts w:hint="eastAsia" w:ascii="仿宋" w:hAnsi="仿宋" w:eastAsia="仿宋" w:cs="仿宋"/>
          <w:sz w:val="21"/>
          <w:szCs w:val="21"/>
        </w:rPr>
      </w:pPr>
      <w:r>
        <w:rPr>
          <w:rFonts w:hint="eastAsia" w:ascii="仿宋" w:hAnsi="仿宋" w:eastAsia="仿宋" w:cs="仿宋"/>
          <w:sz w:val="21"/>
          <w:szCs w:val="21"/>
        </w:rPr>
        <w:t>5、不得向甲方搭配中标范围以外的其他食品（原料）。</w:t>
      </w:r>
    </w:p>
    <w:p w14:paraId="5E419AD4">
      <w:pPr>
        <w:adjustRightInd w:val="0"/>
        <w:snapToGrid w:val="0"/>
        <w:spacing w:line="360" w:lineRule="auto"/>
        <w:ind w:firstLine="426"/>
        <w:rPr>
          <w:rFonts w:hint="eastAsia" w:ascii="仿宋" w:hAnsi="仿宋" w:eastAsia="仿宋" w:cs="仿宋"/>
          <w:sz w:val="21"/>
          <w:szCs w:val="21"/>
        </w:rPr>
      </w:pPr>
      <w:r>
        <w:rPr>
          <w:rFonts w:hint="eastAsia" w:ascii="仿宋" w:hAnsi="仿宋" w:eastAsia="仿宋" w:cs="仿宋"/>
          <w:sz w:val="21"/>
          <w:szCs w:val="21"/>
        </w:rPr>
        <w:t>6、不得违反本合同的有关约定。</w:t>
      </w:r>
    </w:p>
    <w:p w14:paraId="15DDB01A">
      <w:pPr>
        <w:spacing w:line="360" w:lineRule="auto"/>
        <w:ind w:firstLine="422" w:firstLineChars="200"/>
        <w:rPr>
          <w:rFonts w:hint="eastAsia" w:ascii="仿宋" w:hAnsi="仿宋" w:eastAsia="仿宋" w:cs="仿宋"/>
          <w:b/>
          <w:sz w:val="21"/>
          <w:szCs w:val="21"/>
        </w:rPr>
      </w:pPr>
      <w:r>
        <w:rPr>
          <w:rFonts w:hint="eastAsia" w:ascii="仿宋" w:hAnsi="仿宋" w:eastAsia="仿宋" w:cs="仿宋"/>
          <w:b/>
          <w:sz w:val="21"/>
          <w:szCs w:val="21"/>
        </w:rPr>
        <w:t>四、质量保证：</w:t>
      </w:r>
    </w:p>
    <w:p w14:paraId="74B99D4C">
      <w:pPr>
        <w:autoSpaceDE w:val="0"/>
        <w:autoSpaceDN w:val="0"/>
        <w:adjustRightInd w:val="0"/>
        <w:spacing w:line="360" w:lineRule="auto"/>
        <w:ind w:firstLine="424" w:firstLineChars="202"/>
        <w:rPr>
          <w:rFonts w:hint="eastAsia" w:ascii="仿宋" w:hAnsi="仿宋" w:eastAsia="仿宋" w:cs="仿宋"/>
          <w:sz w:val="21"/>
          <w:szCs w:val="21"/>
        </w:rPr>
      </w:pPr>
      <w:r>
        <w:rPr>
          <w:rFonts w:hint="eastAsia" w:ascii="仿宋" w:hAnsi="仿宋" w:eastAsia="仿宋" w:cs="仿宋"/>
          <w:sz w:val="21"/>
          <w:szCs w:val="21"/>
        </w:rPr>
        <w:t>1．乙方应保证食品（原料）是卫生、安全的，完全符合相关部门的食品（原料）管理规范及合同约定的质量、规格和性能的要求。乙方所供的食品（原料）必须符合国家质量检测一等品标准（属进口商品还应具备有关进口手续），因产品质量不合格给甲方或第三人造成的一切损失（包括直接和间接损失）由乙方承担。</w:t>
      </w:r>
    </w:p>
    <w:p w14:paraId="0FD4743C">
      <w:pPr>
        <w:autoSpaceDE w:val="0"/>
        <w:autoSpaceDN w:val="0"/>
        <w:adjustRightInd w:val="0"/>
        <w:spacing w:line="360" w:lineRule="auto"/>
        <w:ind w:firstLine="424" w:firstLineChars="202"/>
        <w:rPr>
          <w:rFonts w:hint="eastAsia" w:ascii="仿宋" w:hAnsi="仿宋" w:eastAsia="仿宋" w:cs="仿宋"/>
          <w:sz w:val="21"/>
          <w:szCs w:val="21"/>
        </w:rPr>
      </w:pPr>
      <w:r>
        <w:rPr>
          <w:rFonts w:hint="eastAsia" w:ascii="仿宋" w:hAnsi="仿宋" w:eastAsia="仿宋" w:cs="仿宋"/>
          <w:sz w:val="21"/>
          <w:szCs w:val="21"/>
        </w:rPr>
        <w:t>2．食品（原料）送达指定交货地点后，将由甲方和乙方进行集中验货，若发现不合格的，甲方可拒绝收货，且乙方必须在当日内予以更换，属于验货当日不可能发现的问题，甲方在保质期内发现均可以向乙方提出，乙方应在2日内更换，未予以更换的，甲方可以在应付款项中直接扣除。</w:t>
      </w:r>
    </w:p>
    <w:p w14:paraId="647BCC94">
      <w:pPr>
        <w:autoSpaceDE w:val="0"/>
        <w:autoSpaceDN w:val="0"/>
        <w:adjustRightInd w:val="0"/>
        <w:spacing w:line="360" w:lineRule="auto"/>
        <w:ind w:firstLine="424" w:firstLineChars="202"/>
        <w:rPr>
          <w:rFonts w:hint="eastAsia" w:ascii="仿宋" w:hAnsi="仿宋" w:eastAsia="仿宋" w:cs="仿宋"/>
          <w:sz w:val="21"/>
          <w:szCs w:val="21"/>
        </w:rPr>
      </w:pPr>
      <w:r>
        <w:rPr>
          <w:rFonts w:hint="eastAsia" w:ascii="仿宋" w:hAnsi="仿宋" w:eastAsia="仿宋" w:cs="仿宋"/>
          <w:sz w:val="21"/>
          <w:szCs w:val="21"/>
        </w:rPr>
        <w:t>3．在食品（原料）最终验收后的质量保证期内，乙方应对由于生产、运输、储存或者包装的缺陷而发生的任何质量问题负责，费用由乙方承担。</w:t>
      </w:r>
    </w:p>
    <w:p w14:paraId="7C643F1A">
      <w:pPr>
        <w:autoSpaceDE w:val="0"/>
        <w:autoSpaceDN w:val="0"/>
        <w:adjustRightInd w:val="0"/>
        <w:spacing w:line="360" w:lineRule="auto"/>
        <w:ind w:firstLine="426"/>
        <w:rPr>
          <w:rFonts w:hint="eastAsia" w:ascii="仿宋" w:hAnsi="仿宋" w:eastAsia="仿宋" w:cs="仿宋"/>
          <w:sz w:val="21"/>
          <w:szCs w:val="21"/>
        </w:rPr>
      </w:pPr>
      <w:r>
        <w:rPr>
          <w:rFonts w:hint="eastAsia" w:ascii="仿宋" w:hAnsi="仿宋" w:eastAsia="仿宋" w:cs="仿宋"/>
          <w:sz w:val="21"/>
          <w:szCs w:val="21"/>
        </w:rPr>
        <w:t>4．乙方应保护食品（原料）最终用户在使用产品时，不受第三方提出侵犯其专利权、商标权和工业设计权、其他知识产权等的起诉。</w:t>
      </w:r>
    </w:p>
    <w:p w14:paraId="2CD5B385">
      <w:pPr>
        <w:spacing w:line="360" w:lineRule="auto"/>
        <w:ind w:firstLine="422" w:firstLineChars="200"/>
        <w:rPr>
          <w:rFonts w:hint="eastAsia" w:ascii="仿宋" w:hAnsi="仿宋" w:eastAsia="仿宋" w:cs="仿宋"/>
          <w:b/>
          <w:sz w:val="21"/>
          <w:szCs w:val="21"/>
        </w:rPr>
      </w:pPr>
      <w:r>
        <w:rPr>
          <w:rFonts w:hint="eastAsia" w:ascii="仿宋" w:hAnsi="仿宋" w:eastAsia="仿宋" w:cs="仿宋"/>
          <w:b/>
          <w:sz w:val="21"/>
          <w:szCs w:val="21"/>
        </w:rPr>
        <w:t>五、售后服务：</w:t>
      </w:r>
    </w:p>
    <w:p w14:paraId="1D54BE86">
      <w:pPr>
        <w:spacing w:line="360" w:lineRule="auto"/>
        <w:ind w:firstLine="420" w:firstLineChars="200"/>
        <w:rPr>
          <w:rFonts w:hint="eastAsia" w:ascii="仿宋" w:hAnsi="仿宋" w:eastAsia="仿宋" w:cs="仿宋"/>
          <w:sz w:val="21"/>
          <w:szCs w:val="21"/>
          <w:u w:val="single"/>
        </w:rPr>
      </w:pPr>
      <w:r>
        <w:rPr>
          <w:rFonts w:hint="eastAsia" w:ascii="仿宋" w:hAnsi="仿宋" w:eastAsia="仿宋" w:cs="仿宋"/>
          <w:sz w:val="21"/>
          <w:szCs w:val="21"/>
        </w:rPr>
        <w:t>以</w:t>
      </w:r>
      <w:r>
        <w:rPr>
          <w:rFonts w:hint="eastAsia" w:ascii="仿宋" w:hAnsi="仿宋" w:eastAsia="仿宋" w:cs="仿宋"/>
          <w:b/>
          <w:bCs/>
          <w:sz w:val="21"/>
          <w:szCs w:val="21"/>
        </w:rPr>
        <w:t>乙方</w:t>
      </w:r>
      <w:r>
        <w:rPr>
          <w:rFonts w:hint="eastAsia" w:ascii="仿宋" w:hAnsi="仿宋" w:eastAsia="仿宋" w:cs="仿宋"/>
          <w:sz w:val="21"/>
          <w:szCs w:val="21"/>
        </w:rPr>
        <w:t>投标文件及延期申请的承诺为准，并阐述如下：</w:t>
      </w:r>
      <w:r>
        <w:rPr>
          <w:rFonts w:hint="eastAsia" w:ascii="仿宋" w:hAnsi="仿宋" w:eastAsia="仿宋" w:cs="仿宋"/>
          <w:sz w:val="21"/>
          <w:szCs w:val="21"/>
          <w:u w:val="single"/>
        </w:rPr>
        <w:t xml:space="preserve">                                                         </w:t>
      </w:r>
    </w:p>
    <w:p w14:paraId="571DDFEA">
      <w:pPr>
        <w:spacing w:line="360" w:lineRule="auto"/>
        <w:rPr>
          <w:rFonts w:hint="eastAsia" w:ascii="仿宋" w:hAnsi="仿宋" w:eastAsia="仿宋" w:cs="仿宋"/>
          <w:sz w:val="21"/>
          <w:szCs w:val="21"/>
        </w:rPr>
      </w:pPr>
      <w:r>
        <w:rPr>
          <w:rFonts w:hint="eastAsia" w:ascii="仿宋" w:hAnsi="仿宋" w:eastAsia="仿宋" w:cs="仿宋"/>
          <w:sz w:val="21"/>
          <w:szCs w:val="21"/>
          <w:u w:val="single"/>
        </w:rPr>
        <w:t xml:space="preserve">                                                                                                                                          </w:t>
      </w:r>
      <w:r>
        <w:rPr>
          <w:rFonts w:hint="eastAsia" w:ascii="仿宋" w:hAnsi="仿宋" w:eastAsia="仿宋" w:cs="仿宋"/>
          <w:sz w:val="21"/>
          <w:szCs w:val="21"/>
        </w:rPr>
        <w:t>。如在具体采购过程中有变动，经甲乙双方谈判决定后以书面方式确认。</w:t>
      </w:r>
    </w:p>
    <w:p w14:paraId="3023E78E">
      <w:pPr>
        <w:spacing w:line="360" w:lineRule="auto"/>
        <w:ind w:firstLine="422" w:firstLineChars="200"/>
        <w:rPr>
          <w:rFonts w:hint="eastAsia" w:ascii="仿宋" w:hAnsi="仿宋" w:eastAsia="仿宋" w:cs="仿宋"/>
          <w:b/>
          <w:sz w:val="21"/>
          <w:szCs w:val="21"/>
        </w:rPr>
      </w:pPr>
      <w:r>
        <w:rPr>
          <w:rFonts w:hint="eastAsia" w:ascii="仿宋" w:hAnsi="仿宋" w:eastAsia="仿宋" w:cs="仿宋"/>
          <w:b/>
          <w:sz w:val="21"/>
          <w:szCs w:val="21"/>
        </w:rPr>
        <w:t>六、乙方责任：</w:t>
      </w:r>
    </w:p>
    <w:p w14:paraId="6C76FA5D">
      <w:pPr>
        <w:autoSpaceDE w:val="0"/>
        <w:autoSpaceDN w:val="0"/>
        <w:adjustRightInd w:val="0"/>
        <w:spacing w:line="360" w:lineRule="auto"/>
        <w:ind w:firstLine="424" w:firstLineChars="202"/>
        <w:rPr>
          <w:rFonts w:hint="eastAsia" w:ascii="仿宋" w:hAnsi="仿宋" w:eastAsia="仿宋" w:cs="仿宋"/>
          <w:sz w:val="21"/>
          <w:szCs w:val="21"/>
        </w:rPr>
      </w:pPr>
      <w:r>
        <w:rPr>
          <w:rFonts w:hint="eastAsia" w:ascii="仿宋" w:hAnsi="仿宋" w:eastAsia="仿宋" w:cs="仿宋"/>
          <w:sz w:val="21"/>
          <w:szCs w:val="21"/>
        </w:rPr>
        <w:t>1．乙方送货到指定地点并负责在交货地点进行搬运、食物储存指导等服务。</w:t>
      </w:r>
    </w:p>
    <w:p w14:paraId="2B6FC270">
      <w:pPr>
        <w:adjustRightInd w:val="0"/>
        <w:snapToGrid w:val="0"/>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2．乙方主动接受食品安全监管部门的质量检查和处罚标准，因乙方所供食品（原料）引发的安全事故及纠纷均由乙方承担所有责任，甲方免责；</w:t>
      </w:r>
    </w:p>
    <w:p w14:paraId="798317E1">
      <w:pPr>
        <w:autoSpaceDE w:val="0"/>
        <w:autoSpaceDN w:val="0"/>
        <w:adjustRightInd w:val="0"/>
        <w:spacing w:line="360" w:lineRule="auto"/>
        <w:ind w:firstLine="426"/>
        <w:rPr>
          <w:rFonts w:hint="eastAsia" w:ascii="仿宋" w:hAnsi="仿宋" w:eastAsia="仿宋" w:cs="仿宋"/>
          <w:sz w:val="21"/>
          <w:szCs w:val="21"/>
        </w:rPr>
      </w:pPr>
      <w:r>
        <w:rPr>
          <w:rFonts w:hint="eastAsia" w:ascii="仿宋" w:hAnsi="仿宋" w:eastAsia="仿宋" w:cs="仿宋"/>
          <w:sz w:val="21"/>
          <w:szCs w:val="21"/>
        </w:rPr>
        <w:t>3．乙方应向甲方提供每个批次食品（原料）生产企业食品生产许可证、营业执照、组织机构代码证、销售（代理）许可文书原件扫描件、每一批次质检报告、每一批次检验检疫证等合法证明文件。</w:t>
      </w:r>
    </w:p>
    <w:p w14:paraId="353800BC">
      <w:pPr>
        <w:autoSpaceDE w:val="0"/>
        <w:autoSpaceDN w:val="0"/>
        <w:adjustRightInd w:val="0"/>
        <w:spacing w:line="360" w:lineRule="auto"/>
        <w:ind w:firstLine="426"/>
        <w:rPr>
          <w:rFonts w:hint="eastAsia" w:ascii="仿宋" w:hAnsi="仿宋" w:eastAsia="仿宋" w:cs="仿宋"/>
          <w:sz w:val="21"/>
          <w:szCs w:val="21"/>
        </w:rPr>
      </w:pPr>
      <w:r>
        <w:rPr>
          <w:rFonts w:hint="eastAsia" w:ascii="仿宋" w:hAnsi="仿宋" w:eastAsia="仿宋" w:cs="仿宋"/>
          <w:sz w:val="21"/>
          <w:szCs w:val="21"/>
        </w:rPr>
        <w:t>4．乙方必须履行投标书的所有承诺。</w:t>
      </w:r>
    </w:p>
    <w:p w14:paraId="4080F8A6">
      <w:pPr>
        <w:spacing w:line="360" w:lineRule="auto"/>
        <w:ind w:firstLine="422" w:firstLineChars="200"/>
        <w:rPr>
          <w:rFonts w:hint="eastAsia" w:ascii="仿宋" w:hAnsi="仿宋" w:eastAsia="仿宋" w:cs="仿宋"/>
          <w:b/>
          <w:sz w:val="21"/>
          <w:szCs w:val="21"/>
        </w:rPr>
      </w:pPr>
      <w:r>
        <w:rPr>
          <w:rFonts w:hint="eastAsia" w:ascii="仿宋" w:hAnsi="仿宋" w:eastAsia="仿宋" w:cs="仿宋"/>
          <w:b/>
          <w:sz w:val="21"/>
          <w:szCs w:val="21"/>
        </w:rPr>
        <w:t>七、甲方在所购食品存储、加工、售卖过程中发生质量安全问题，乙方应提供及时有效的技术支持及后续保障。</w:t>
      </w:r>
    </w:p>
    <w:p w14:paraId="2ECFD5AB">
      <w:pPr>
        <w:spacing w:line="360" w:lineRule="auto"/>
        <w:ind w:firstLine="480"/>
        <w:rPr>
          <w:rFonts w:hint="eastAsia" w:ascii="仿宋" w:hAnsi="仿宋" w:eastAsia="仿宋" w:cs="仿宋"/>
          <w:sz w:val="21"/>
          <w:szCs w:val="21"/>
        </w:rPr>
      </w:pPr>
      <w:r>
        <w:rPr>
          <w:rFonts w:hint="eastAsia" w:ascii="仿宋" w:hAnsi="仿宋" w:eastAsia="仿宋" w:cs="仿宋"/>
          <w:sz w:val="21"/>
          <w:szCs w:val="21"/>
        </w:rPr>
        <w:t>乙方技术支持电话：</w:t>
      </w:r>
      <w:r>
        <w:rPr>
          <w:rFonts w:hint="eastAsia" w:ascii="仿宋" w:hAnsi="仿宋" w:eastAsia="仿宋" w:cs="仿宋"/>
          <w:sz w:val="21"/>
          <w:szCs w:val="21"/>
          <w:u w:val="single"/>
        </w:rPr>
        <w:tab/>
      </w:r>
      <w:r>
        <w:rPr>
          <w:rFonts w:hint="eastAsia" w:ascii="仿宋" w:hAnsi="仿宋" w:eastAsia="仿宋" w:cs="仿宋"/>
          <w:sz w:val="21"/>
          <w:szCs w:val="21"/>
          <w:u w:val="single"/>
        </w:rPr>
        <w:t xml:space="preserve">            </w:t>
      </w:r>
      <w:r>
        <w:rPr>
          <w:rFonts w:hint="eastAsia" w:ascii="仿宋" w:hAnsi="仿宋" w:eastAsia="仿宋" w:cs="仿宋"/>
          <w:sz w:val="21"/>
          <w:szCs w:val="21"/>
        </w:rPr>
        <w:t>，联系人：</w:t>
      </w:r>
      <w:r>
        <w:rPr>
          <w:rFonts w:hint="eastAsia" w:ascii="仿宋" w:hAnsi="仿宋" w:eastAsia="仿宋" w:cs="仿宋"/>
          <w:sz w:val="21"/>
          <w:szCs w:val="21"/>
          <w:u w:val="single"/>
        </w:rPr>
        <w:tab/>
      </w:r>
      <w:r>
        <w:rPr>
          <w:rFonts w:hint="eastAsia" w:ascii="仿宋" w:hAnsi="仿宋" w:eastAsia="仿宋" w:cs="仿宋"/>
          <w:sz w:val="21"/>
          <w:szCs w:val="21"/>
          <w:u w:val="single"/>
        </w:rPr>
        <w:t xml:space="preserve">           </w:t>
      </w:r>
      <w:r>
        <w:rPr>
          <w:rFonts w:hint="eastAsia" w:ascii="仿宋" w:hAnsi="仿宋" w:eastAsia="仿宋" w:cs="仿宋"/>
          <w:sz w:val="21"/>
          <w:szCs w:val="21"/>
        </w:rPr>
        <w:t>。</w:t>
      </w:r>
    </w:p>
    <w:p w14:paraId="7644C108">
      <w:pPr>
        <w:spacing w:line="360" w:lineRule="auto"/>
        <w:ind w:firstLine="422" w:firstLineChars="200"/>
        <w:rPr>
          <w:rFonts w:hint="eastAsia" w:ascii="仿宋" w:hAnsi="仿宋" w:eastAsia="仿宋" w:cs="仿宋"/>
          <w:b/>
          <w:sz w:val="21"/>
          <w:szCs w:val="21"/>
        </w:rPr>
      </w:pPr>
      <w:r>
        <w:rPr>
          <w:rFonts w:hint="eastAsia" w:ascii="仿宋" w:hAnsi="仿宋" w:eastAsia="仿宋" w:cs="仿宋"/>
          <w:b/>
          <w:sz w:val="21"/>
          <w:szCs w:val="21"/>
        </w:rPr>
        <w:t>八、供货时间（即食品（原料）送达甲方指定地点并按规定搬运放置后）为每次约定送货后</w:t>
      </w:r>
      <w:r>
        <w:rPr>
          <w:rFonts w:hint="eastAsia" w:ascii="仿宋" w:hAnsi="仿宋" w:eastAsia="仿宋" w:cs="仿宋"/>
          <w:b/>
          <w:sz w:val="21"/>
          <w:szCs w:val="21"/>
          <w:u w:val="single"/>
        </w:rPr>
        <w:t xml:space="preserve">      </w:t>
      </w:r>
      <w:r>
        <w:rPr>
          <w:rFonts w:hint="eastAsia" w:ascii="仿宋" w:hAnsi="仿宋" w:eastAsia="仿宋" w:cs="仿宋"/>
          <w:b/>
          <w:sz w:val="21"/>
          <w:szCs w:val="21"/>
        </w:rPr>
        <w:t>日内。</w:t>
      </w:r>
    </w:p>
    <w:p w14:paraId="46AE4DC9">
      <w:pPr>
        <w:spacing w:line="360" w:lineRule="auto"/>
        <w:ind w:firstLine="480"/>
        <w:rPr>
          <w:rFonts w:hint="eastAsia" w:ascii="仿宋" w:hAnsi="仿宋" w:eastAsia="仿宋" w:cs="仿宋"/>
          <w:sz w:val="21"/>
          <w:szCs w:val="21"/>
        </w:rPr>
      </w:pPr>
      <w:r>
        <w:rPr>
          <w:rFonts w:hint="eastAsia" w:ascii="仿宋" w:hAnsi="仿宋" w:eastAsia="仿宋" w:cs="仿宋"/>
          <w:sz w:val="21"/>
          <w:szCs w:val="21"/>
        </w:rPr>
        <w:t>交验地点和方式：合同签订后，乙方负责将食品（原料）送到甲方指定的地点（按每次学校购置地点为准），由甲乙双方共同初验，并由乙方搬运放置。</w:t>
      </w:r>
    </w:p>
    <w:p w14:paraId="27EAF7DB">
      <w:pPr>
        <w:spacing w:line="360" w:lineRule="auto"/>
        <w:rPr>
          <w:rFonts w:hint="eastAsia" w:ascii="仿宋" w:hAnsi="仿宋" w:eastAsia="仿宋" w:cs="仿宋"/>
          <w:b/>
          <w:sz w:val="21"/>
          <w:szCs w:val="21"/>
        </w:rPr>
      </w:pPr>
      <w:r>
        <w:rPr>
          <w:rFonts w:hint="eastAsia" w:ascii="仿宋" w:hAnsi="仿宋" w:eastAsia="仿宋" w:cs="仿宋"/>
          <w:b/>
          <w:sz w:val="21"/>
          <w:szCs w:val="21"/>
        </w:rPr>
        <w:t xml:space="preserve">   九、货物验收：</w:t>
      </w:r>
    </w:p>
    <w:p w14:paraId="7C334C3F">
      <w:pPr>
        <w:autoSpaceDE w:val="0"/>
        <w:autoSpaceDN w:val="0"/>
        <w:adjustRightInd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    1．在发货前，乙方应对货物的质量、规格、性能、数量等进行准确全面的检验。</w:t>
      </w:r>
    </w:p>
    <w:p w14:paraId="5700F5DC">
      <w:pPr>
        <w:autoSpaceDE w:val="0"/>
        <w:autoSpaceDN w:val="0"/>
        <w:adjustRightInd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    2．乙方应承担交货前的一切费用和风险。</w:t>
      </w:r>
    </w:p>
    <w:p w14:paraId="5AE4E531">
      <w:pPr>
        <w:autoSpaceDE w:val="0"/>
        <w:autoSpaceDN w:val="0"/>
        <w:adjustRightInd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    3．交货时，将由乙方与甲方一起对货物进行集中验收。</w:t>
      </w:r>
    </w:p>
    <w:p w14:paraId="1A3974B3">
      <w:pPr>
        <w:autoSpaceDE w:val="0"/>
        <w:autoSpaceDN w:val="0"/>
        <w:adjustRightInd w:val="0"/>
        <w:spacing w:line="360" w:lineRule="auto"/>
        <w:ind w:firstLine="426"/>
        <w:rPr>
          <w:rFonts w:hint="eastAsia" w:ascii="仿宋" w:hAnsi="仿宋" w:eastAsia="仿宋" w:cs="仿宋"/>
          <w:sz w:val="21"/>
          <w:szCs w:val="21"/>
        </w:rPr>
      </w:pPr>
      <w:r>
        <w:rPr>
          <w:rFonts w:hint="eastAsia" w:ascii="仿宋" w:hAnsi="仿宋" w:eastAsia="仿宋" w:cs="仿宋"/>
          <w:sz w:val="21"/>
          <w:szCs w:val="21"/>
        </w:rPr>
        <w:t>4．食品（原料）验收合格后，乙方应提供统一的由收货方签字、盖章的验收合格书、合同书、以及发票，经确认后由甲方按约定价格结算价款。</w:t>
      </w:r>
    </w:p>
    <w:p w14:paraId="293EC016">
      <w:pPr>
        <w:spacing w:line="360" w:lineRule="auto"/>
        <w:rPr>
          <w:rFonts w:hint="eastAsia" w:ascii="仿宋" w:hAnsi="仿宋" w:eastAsia="仿宋" w:cs="仿宋"/>
          <w:b/>
          <w:sz w:val="21"/>
          <w:szCs w:val="21"/>
        </w:rPr>
      </w:pPr>
      <w:r>
        <w:rPr>
          <w:rFonts w:hint="eastAsia" w:ascii="仿宋" w:hAnsi="仿宋" w:eastAsia="仿宋" w:cs="仿宋"/>
          <w:b/>
          <w:sz w:val="21"/>
          <w:szCs w:val="21"/>
        </w:rPr>
        <w:t xml:space="preserve">   十、资金支付：</w:t>
      </w:r>
    </w:p>
    <w:p w14:paraId="675BC34A">
      <w:pPr>
        <w:autoSpaceDE w:val="0"/>
        <w:autoSpaceDN w:val="0"/>
        <w:adjustRightInd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    乙方应根据双方签订的合同规定的时间交货。按合同规定方式和比例付款：</w:t>
      </w:r>
    </w:p>
    <w:p w14:paraId="465FC9AB">
      <w:pPr>
        <w:autoSpaceDE w:val="0"/>
        <w:autoSpaceDN w:val="0"/>
        <w:adjustRightInd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    （一）、食品（原料）按合同规定日期交货后，经甲方根据合同要求对货物进行验收，确认数量无误和质量合格后，支付合同总价的100%，甲方向乙方付款时间周期为：（半月、一月）一结，时间自交货后乙方提供符合条件的发票之日起计算。</w:t>
      </w:r>
    </w:p>
    <w:p w14:paraId="63C89284">
      <w:pPr>
        <w:autoSpaceDE w:val="0"/>
        <w:autoSpaceDN w:val="0"/>
        <w:adjustRightInd w:val="0"/>
        <w:spacing w:line="360" w:lineRule="auto"/>
        <w:ind w:firstLine="426"/>
        <w:rPr>
          <w:rFonts w:hint="eastAsia" w:ascii="仿宋" w:hAnsi="仿宋" w:eastAsia="仿宋" w:cs="仿宋"/>
          <w:sz w:val="21"/>
          <w:szCs w:val="21"/>
        </w:rPr>
      </w:pPr>
      <w:r>
        <w:rPr>
          <w:rFonts w:hint="eastAsia" w:ascii="仿宋" w:hAnsi="仿宋" w:eastAsia="仿宋" w:cs="仿宋"/>
          <w:sz w:val="21"/>
          <w:szCs w:val="21"/>
        </w:rPr>
        <w:t>（二）、乙方按照投标人技术文件承诺售后服务内容履约，售后服务情况由甲方填制《售后服务反馈表》（签字盖章）反馈至富民县教育体育局，合同期满后由教育局综合情况后，兑现乙方提交的履约保证金。</w:t>
      </w:r>
    </w:p>
    <w:p w14:paraId="20A9B34A">
      <w:pPr>
        <w:autoSpaceDE w:val="0"/>
        <w:autoSpaceDN w:val="0"/>
        <w:adjustRightInd w:val="0"/>
        <w:spacing w:line="360" w:lineRule="auto"/>
        <w:ind w:firstLine="426"/>
        <w:rPr>
          <w:rFonts w:hint="eastAsia" w:ascii="仿宋" w:hAnsi="仿宋" w:eastAsia="仿宋" w:cs="仿宋"/>
          <w:sz w:val="21"/>
          <w:szCs w:val="21"/>
        </w:rPr>
      </w:pPr>
      <w:r>
        <w:rPr>
          <w:rFonts w:hint="eastAsia" w:ascii="仿宋" w:hAnsi="仿宋" w:eastAsia="仿宋" w:cs="仿宋"/>
          <w:sz w:val="21"/>
          <w:szCs w:val="21"/>
        </w:rPr>
        <w:t>（三）履约保证金：</w:t>
      </w:r>
    </w:p>
    <w:p w14:paraId="294FCF7D">
      <w:pPr>
        <w:autoSpaceDE w:val="0"/>
        <w:autoSpaceDN w:val="0"/>
        <w:adjustRightInd w:val="0"/>
        <w:spacing w:line="360" w:lineRule="auto"/>
        <w:ind w:firstLine="426"/>
        <w:rPr>
          <w:rFonts w:hint="eastAsia" w:ascii="仿宋" w:hAnsi="仿宋" w:eastAsia="仿宋" w:cs="仿宋"/>
          <w:sz w:val="21"/>
          <w:szCs w:val="21"/>
        </w:rPr>
      </w:pPr>
      <w:r>
        <w:rPr>
          <w:rFonts w:hint="eastAsia" w:ascii="仿宋" w:hAnsi="仿宋" w:eastAsia="仿宋" w:cs="仿宋"/>
          <w:sz w:val="21"/>
          <w:szCs w:val="21"/>
        </w:rPr>
        <w:t>1.履约保证金的形式：以支票、汇票、本票、保函等非现金形式提交，也可以选择开展试点（“昆明市政府采购金融业务一站式服务平台（简称金融服务平台））的履约保证保险。</w:t>
      </w:r>
    </w:p>
    <w:p w14:paraId="75D7AB53">
      <w:pPr>
        <w:autoSpaceDE w:val="0"/>
        <w:autoSpaceDN w:val="0"/>
        <w:adjustRightInd w:val="0"/>
        <w:spacing w:line="360" w:lineRule="auto"/>
        <w:ind w:firstLine="426"/>
        <w:rPr>
          <w:rFonts w:hint="eastAsia" w:ascii="仿宋" w:hAnsi="仿宋" w:eastAsia="仿宋" w:cs="仿宋"/>
          <w:sz w:val="21"/>
          <w:szCs w:val="21"/>
        </w:rPr>
      </w:pPr>
      <w:r>
        <w:rPr>
          <w:rFonts w:hint="eastAsia" w:ascii="仿宋" w:hAnsi="仿宋" w:eastAsia="仿宋" w:cs="仿宋"/>
          <w:sz w:val="21"/>
          <w:szCs w:val="21"/>
        </w:rPr>
        <w:t>2.履约保证金金额：合同金额的2%。</w:t>
      </w:r>
    </w:p>
    <w:p w14:paraId="6DD482D7">
      <w:pPr>
        <w:spacing w:line="360" w:lineRule="auto"/>
        <w:rPr>
          <w:rFonts w:hint="eastAsia" w:ascii="仿宋" w:hAnsi="仿宋" w:eastAsia="仿宋" w:cs="仿宋"/>
          <w:b/>
          <w:sz w:val="21"/>
          <w:szCs w:val="21"/>
        </w:rPr>
      </w:pPr>
      <w:r>
        <w:rPr>
          <w:rFonts w:hint="eastAsia" w:ascii="仿宋" w:hAnsi="仿宋" w:eastAsia="仿宋" w:cs="仿宋"/>
          <w:sz w:val="21"/>
          <w:szCs w:val="21"/>
        </w:rPr>
        <w:t xml:space="preserve"> </w:t>
      </w:r>
      <w:r>
        <w:rPr>
          <w:rFonts w:hint="eastAsia" w:ascii="仿宋" w:hAnsi="仿宋" w:eastAsia="仿宋" w:cs="仿宋"/>
          <w:b/>
          <w:sz w:val="21"/>
          <w:szCs w:val="21"/>
        </w:rPr>
        <w:t xml:space="preserve">  十一、违约责任：</w:t>
      </w:r>
    </w:p>
    <w:p w14:paraId="0CAC5D55">
      <w:pPr>
        <w:autoSpaceDE w:val="0"/>
        <w:autoSpaceDN w:val="0"/>
        <w:adjustRightInd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    除发生不可抗力事实外，乙方不能按期提供食品（原料），或与要求标准不相符合的，甲方有权拒收，乙方无权申请返还履约保证金，乙方给甲方造成的损失超过履约保证金的，乙方还应对超过部分予以赔偿。</w:t>
      </w:r>
    </w:p>
    <w:p w14:paraId="4B8536A8">
      <w:pPr>
        <w:autoSpaceDE w:val="0"/>
        <w:autoSpaceDN w:val="0"/>
        <w:adjustRightInd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    由于甲方原因未按合同约定时间支付货款的，按逾期支付日期向乙方每日偿付欠款总额万分之五的违约金；乙方逾期履行合同的，向甲方每日偿付合同总额万分之五的违约金。</w:t>
      </w:r>
    </w:p>
    <w:p w14:paraId="508EAE63">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甲方在每次发出采购信息后，乙方必须在规定时间内书面形式向采购方报价，如特殊原因不报价的，需在报价时间内以书面形式写明情况。如既未按时报价，又无书面情况说明的，甲方将有权取消合同期限内乙方投标人的资格，并有权要求甲方上级部门依约扣除保证金总额的5%，甲方有权从同一食品类别的其他资质投标人中选择供货。</w:t>
      </w:r>
    </w:p>
    <w:p w14:paraId="0CC4E043">
      <w:pPr>
        <w:pStyle w:val="77"/>
        <w:adjustRightInd w:val="0"/>
        <w:snapToGrid w:val="0"/>
        <w:spacing w:line="360" w:lineRule="auto"/>
        <w:ind w:firstLine="539"/>
        <w:jc w:val="both"/>
        <w:rPr>
          <w:rFonts w:hint="eastAsia" w:ascii="仿宋" w:hAnsi="仿宋" w:eastAsia="仿宋" w:cs="仿宋"/>
          <w:sz w:val="21"/>
          <w:szCs w:val="21"/>
          <w:lang w:val="en-US" w:eastAsia="zh-CN" w:bidi="en-US"/>
        </w:rPr>
      </w:pPr>
      <w:r>
        <w:rPr>
          <w:rFonts w:hint="eastAsia" w:ascii="仿宋" w:hAnsi="仿宋" w:eastAsia="仿宋" w:cs="仿宋"/>
          <w:sz w:val="21"/>
          <w:szCs w:val="21"/>
          <w:lang w:val="en-US" w:eastAsia="zh-CN" w:bidi="en-US"/>
        </w:rPr>
        <w:t>中标单位存在提高价格、质量下降、以次充好、服务质量不达标等问题，招标人视投标人违约情况可要求中标单位赔偿损失。中标单位在供应的货物中存在下列情形的，招标人可直接单方终止合同，中标单位还需承担由此造成的经济责任和法律责任；</w:t>
      </w:r>
    </w:p>
    <w:p w14:paraId="77DC2B13">
      <w:pPr>
        <w:pStyle w:val="77"/>
        <w:adjustRightInd w:val="0"/>
        <w:snapToGrid w:val="0"/>
        <w:spacing w:line="360" w:lineRule="auto"/>
        <w:ind w:firstLine="539"/>
        <w:jc w:val="both"/>
        <w:rPr>
          <w:rFonts w:hint="eastAsia" w:ascii="仿宋" w:hAnsi="仿宋" w:eastAsia="仿宋" w:cs="仿宋"/>
          <w:sz w:val="21"/>
          <w:szCs w:val="21"/>
          <w:lang w:val="en-US" w:eastAsia="zh-CN" w:bidi="en-US"/>
        </w:rPr>
      </w:pPr>
      <w:r>
        <w:rPr>
          <w:rFonts w:hint="eastAsia" w:ascii="仿宋" w:hAnsi="仿宋" w:eastAsia="仿宋" w:cs="仿宋"/>
          <w:sz w:val="21"/>
          <w:szCs w:val="21"/>
          <w:lang w:val="en-US" w:eastAsia="zh-CN" w:bidi="en-US"/>
        </w:rPr>
        <w:t>(1)腐败变质、油脂酸败、霉变、生虫、污秽不洁、混有异物或者其他感官性状异常，对人体健康有害的；.</w:t>
      </w:r>
    </w:p>
    <w:p w14:paraId="546D75B5">
      <w:pPr>
        <w:pStyle w:val="77"/>
        <w:adjustRightInd w:val="0"/>
        <w:snapToGrid w:val="0"/>
        <w:spacing w:line="360" w:lineRule="auto"/>
        <w:ind w:firstLine="539"/>
        <w:jc w:val="both"/>
        <w:rPr>
          <w:rFonts w:hint="eastAsia" w:ascii="仿宋" w:hAnsi="仿宋" w:eastAsia="仿宋" w:cs="仿宋"/>
          <w:sz w:val="21"/>
          <w:szCs w:val="21"/>
          <w:lang w:val="en-US" w:eastAsia="zh-CN" w:bidi="en-US"/>
        </w:rPr>
      </w:pPr>
      <w:r>
        <w:rPr>
          <w:rFonts w:hint="eastAsia" w:ascii="仿宋" w:hAnsi="仿宋" w:eastAsia="仿宋" w:cs="仿宋"/>
          <w:sz w:val="21"/>
          <w:szCs w:val="21"/>
          <w:lang w:val="en-US" w:eastAsia="zh-CN" w:bidi="en-US"/>
        </w:rPr>
        <w:t>(2)含有毒、有害物质或者被有害物质污染,对人体健康有害的；</w:t>
      </w:r>
    </w:p>
    <w:p w14:paraId="064979B3">
      <w:pPr>
        <w:pStyle w:val="77"/>
        <w:adjustRightInd w:val="0"/>
        <w:snapToGrid w:val="0"/>
        <w:spacing w:line="360" w:lineRule="auto"/>
        <w:ind w:firstLine="539"/>
        <w:jc w:val="both"/>
        <w:rPr>
          <w:rFonts w:hint="eastAsia" w:ascii="仿宋" w:hAnsi="仿宋" w:eastAsia="仿宋" w:cs="仿宋"/>
          <w:sz w:val="21"/>
          <w:szCs w:val="21"/>
          <w:lang w:val="en-US" w:eastAsia="zh-CN" w:bidi="en-US"/>
        </w:rPr>
      </w:pPr>
      <w:r>
        <w:rPr>
          <w:rFonts w:hint="eastAsia" w:ascii="仿宋" w:hAnsi="仿宋" w:eastAsia="仿宋" w:cs="仿宋"/>
          <w:sz w:val="21"/>
          <w:szCs w:val="21"/>
          <w:lang w:val="en-US" w:eastAsia="zh-CN" w:bidi="en-US"/>
        </w:rPr>
        <w:t>(3)含有致病性寄生虫、微生物或者微生物含量超过国家限定标准的。</w:t>
      </w:r>
    </w:p>
    <w:p w14:paraId="4BCE6C71">
      <w:pPr>
        <w:pStyle w:val="77"/>
        <w:adjustRightInd w:val="0"/>
        <w:snapToGrid w:val="0"/>
        <w:spacing w:line="360" w:lineRule="auto"/>
        <w:ind w:firstLine="539"/>
        <w:jc w:val="both"/>
        <w:rPr>
          <w:rFonts w:hint="eastAsia" w:ascii="仿宋" w:hAnsi="仿宋" w:eastAsia="仿宋" w:cs="仿宋"/>
          <w:sz w:val="21"/>
          <w:szCs w:val="21"/>
          <w:lang w:val="en-US" w:eastAsia="zh-CN" w:bidi="en-US"/>
        </w:rPr>
      </w:pPr>
      <w:r>
        <w:rPr>
          <w:rFonts w:hint="eastAsia" w:ascii="仿宋" w:hAnsi="仿宋" w:eastAsia="仿宋" w:cs="仿宋"/>
          <w:sz w:val="21"/>
          <w:szCs w:val="21"/>
          <w:lang w:val="en-US" w:eastAsia="zh-CN" w:bidi="en-US"/>
        </w:rPr>
        <w:t>(4)掺假、掺杂、伪造，影响营养、卫生的；</w:t>
      </w:r>
    </w:p>
    <w:p w14:paraId="49230F88">
      <w:pPr>
        <w:pStyle w:val="77"/>
        <w:adjustRightInd w:val="0"/>
        <w:snapToGrid w:val="0"/>
        <w:spacing w:line="360" w:lineRule="auto"/>
        <w:ind w:firstLine="539"/>
        <w:jc w:val="both"/>
        <w:rPr>
          <w:rFonts w:hint="eastAsia" w:ascii="仿宋" w:hAnsi="仿宋" w:eastAsia="仿宋" w:cs="仿宋"/>
          <w:sz w:val="21"/>
          <w:szCs w:val="21"/>
          <w:lang w:val="en-US" w:eastAsia="zh-CN" w:bidi="en-US"/>
        </w:rPr>
      </w:pPr>
      <w:r>
        <w:rPr>
          <w:rFonts w:hint="eastAsia" w:ascii="仿宋" w:hAnsi="仿宋" w:eastAsia="仿宋" w:cs="仿宋"/>
          <w:sz w:val="21"/>
          <w:szCs w:val="21"/>
          <w:lang w:val="en-US" w:eastAsia="zh-CN" w:bidi="en-US"/>
        </w:rPr>
        <w:t>(5)用非食品原料加工的,加入非食品用化学物质或者将非食品当作食品的；</w:t>
      </w:r>
    </w:p>
    <w:p w14:paraId="61179E22">
      <w:pPr>
        <w:pStyle w:val="77"/>
        <w:adjustRightInd w:val="0"/>
        <w:snapToGrid w:val="0"/>
        <w:spacing w:line="360" w:lineRule="auto"/>
        <w:ind w:firstLine="539"/>
        <w:jc w:val="both"/>
        <w:rPr>
          <w:rFonts w:hint="eastAsia" w:ascii="仿宋" w:hAnsi="仿宋" w:eastAsia="仿宋" w:cs="仿宋"/>
          <w:sz w:val="21"/>
          <w:szCs w:val="21"/>
          <w:lang w:val="en-US" w:eastAsia="zh-CN" w:bidi="en-US"/>
        </w:rPr>
      </w:pPr>
      <w:r>
        <w:rPr>
          <w:rFonts w:hint="eastAsia" w:ascii="仿宋" w:hAnsi="仿宋" w:eastAsia="仿宋" w:cs="仿宋"/>
          <w:sz w:val="21"/>
          <w:szCs w:val="21"/>
          <w:lang w:val="en-US" w:eastAsia="zh-CN" w:bidi="en-US"/>
        </w:rPr>
        <w:t>(6)超过保质期限的。</w:t>
      </w:r>
    </w:p>
    <w:p w14:paraId="621A745D">
      <w:pPr>
        <w:pStyle w:val="10"/>
        <w:rPr>
          <w:rFonts w:hint="eastAsia" w:ascii="仿宋" w:hAnsi="仿宋" w:eastAsia="仿宋" w:cs="仿宋"/>
        </w:rPr>
      </w:pPr>
      <w:r>
        <w:rPr>
          <w:rFonts w:hint="eastAsia" w:ascii="仿宋" w:hAnsi="仿宋" w:eastAsia="仿宋" w:cs="仿宋"/>
          <w:sz w:val="21"/>
          <w:szCs w:val="21"/>
          <w:lang w:bidi="en-US"/>
        </w:rPr>
        <w:t>中标单位在合同有效期内被国家、行业管理部门通报批评并取消经营资格，或无正当理由中断向招标人供货的、招标人将终止合同。</w:t>
      </w:r>
    </w:p>
    <w:p w14:paraId="2BEEF0D9">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本合同其他条款约定违约责任的，按该约定执行。</w:t>
      </w:r>
    </w:p>
    <w:p w14:paraId="089A7F3D">
      <w:pPr>
        <w:spacing w:line="360" w:lineRule="auto"/>
        <w:rPr>
          <w:rFonts w:hint="eastAsia" w:ascii="仿宋" w:hAnsi="仿宋" w:eastAsia="仿宋" w:cs="仿宋"/>
          <w:b/>
          <w:sz w:val="21"/>
          <w:szCs w:val="21"/>
        </w:rPr>
      </w:pPr>
      <w:r>
        <w:rPr>
          <w:rFonts w:hint="eastAsia" w:ascii="仿宋" w:hAnsi="仿宋" w:eastAsia="仿宋" w:cs="仿宋"/>
          <w:b/>
          <w:sz w:val="21"/>
          <w:szCs w:val="21"/>
        </w:rPr>
        <w:t xml:space="preserve">    十二、争议解决：</w:t>
      </w:r>
    </w:p>
    <w:p w14:paraId="2A1008CD">
      <w:pPr>
        <w:autoSpaceDE w:val="0"/>
        <w:autoSpaceDN w:val="0"/>
        <w:adjustRightInd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    甲乙双方在履行合同过程中发生纠纷，应及时向区教育局或有关部门反映，以便有关部门进行协调或处理；本合同发生争议产生的诉讼，由甲方所在地人民法院管辖。</w:t>
      </w:r>
    </w:p>
    <w:p w14:paraId="442E5872">
      <w:pPr>
        <w:spacing w:line="360" w:lineRule="auto"/>
        <w:rPr>
          <w:rFonts w:hint="eastAsia" w:ascii="仿宋" w:hAnsi="仿宋" w:eastAsia="仿宋" w:cs="仿宋"/>
          <w:b/>
          <w:sz w:val="21"/>
          <w:szCs w:val="21"/>
        </w:rPr>
      </w:pPr>
      <w:r>
        <w:rPr>
          <w:rFonts w:hint="eastAsia" w:ascii="仿宋" w:hAnsi="仿宋" w:eastAsia="仿宋" w:cs="仿宋"/>
          <w:b/>
          <w:sz w:val="21"/>
          <w:szCs w:val="21"/>
        </w:rPr>
        <w:t xml:space="preserve">   十三、合同生效及其他： </w:t>
      </w:r>
    </w:p>
    <w:p w14:paraId="4103DB31">
      <w:pPr>
        <w:autoSpaceDE w:val="0"/>
        <w:autoSpaceDN w:val="0"/>
        <w:adjustRightInd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    1．合同一式三份，甲方执一份，乙方执一份，交富民县教育体育局备案一份。</w:t>
      </w:r>
    </w:p>
    <w:p w14:paraId="4BFCAF1B">
      <w:pPr>
        <w:autoSpaceDE w:val="0"/>
        <w:autoSpaceDN w:val="0"/>
        <w:adjustRightInd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    2、招投标文件和经双方签字的书面合同附件，与本合同具备同等法律效力。</w:t>
      </w:r>
    </w:p>
    <w:p w14:paraId="37D68383">
      <w:pPr>
        <w:autoSpaceDE w:val="0"/>
        <w:autoSpaceDN w:val="0"/>
        <w:adjustRightInd w:val="0"/>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3、本合同其他事宜，按合同法有关规定处理。</w:t>
      </w:r>
    </w:p>
    <w:p w14:paraId="3B80173A">
      <w:pPr>
        <w:autoSpaceDE w:val="0"/>
        <w:autoSpaceDN w:val="0"/>
        <w:adjustRightInd w:val="0"/>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4、本合同自签订之日起生效。</w:t>
      </w:r>
    </w:p>
    <w:p w14:paraId="3C07CF5B">
      <w:pPr>
        <w:spacing w:line="360" w:lineRule="auto"/>
        <w:rPr>
          <w:rFonts w:hint="eastAsia" w:ascii="仿宋" w:hAnsi="仿宋" w:eastAsia="仿宋" w:cs="仿宋"/>
          <w:sz w:val="21"/>
          <w:szCs w:val="21"/>
        </w:rPr>
      </w:pPr>
      <w:r>
        <w:rPr>
          <w:rFonts w:hint="eastAsia" w:ascii="仿宋" w:hAnsi="仿宋" w:eastAsia="仿宋" w:cs="仿宋"/>
          <w:b/>
          <w:sz w:val="21"/>
          <w:szCs w:val="21"/>
        </w:rPr>
        <w:t xml:space="preserve">   十四、本合同不可分割之部分：</w:t>
      </w:r>
    </w:p>
    <w:p w14:paraId="12AAB43F">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1、招标文件；</w:t>
      </w:r>
    </w:p>
    <w:p w14:paraId="39D194BA">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2、中标人（乙方）的投标文件及其澄清文件；</w:t>
      </w:r>
    </w:p>
    <w:p w14:paraId="3843741E">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3、云南雄辉招标有限公司为本项目发出的《中标（成交）通知书》；</w:t>
      </w:r>
    </w:p>
    <w:p w14:paraId="0ECA86DB">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4、签订的《</w:t>
      </w:r>
      <w:r>
        <w:rPr>
          <w:rFonts w:hint="eastAsia" w:ascii="仿宋" w:hAnsi="仿宋" w:eastAsia="仿宋" w:cs="仿宋"/>
          <w:bCs/>
          <w:sz w:val="21"/>
          <w:szCs w:val="21"/>
        </w:rPr>
        <w:t>富民县永定小学校外供餐企业采购项目项目</w:t>
      </w:r>
      <w:r>
        <w:rPr>
          <w:rFonts w:hint="eastAsia" w:ascii="仿宋" w:hAnsi="仿宋" w:eastAsia="仿宋" w:cs="仿宋"/>
          <w:sz w:val="21"/>
          <w:szCs w:val="21"/>
        </w:rPr>
        <w:t>合同书》</w:t>
      </w:r>
    </w:p>
    <w:p w14:paraId="0AA43EE0">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5、合同书附件。</w:t>
      </w:r>
    </w:p>
    <w:p w14:paraId="5A0CDD82">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本合同自盖章之日起生效。</w:t>
      </w:r>
    </w:p>
    <w:p w14:paraId="3A9A9EAA">
      <w:pPr>
        <w:spacing w:line="360" w:lineRule="auto"/>
        <w:rPr>
          <w:rFonts w:hint="eastAsia" w:ascii="仿宋" w:hAnsi="仿宋" w:eastAsia="仿宋" w:cs="仿宋"/>
          <w:sz w:val="21"/>
          <w:szCs w:val="21"/>
        </w:rPr>
      </w:pPr>
    </w:p>
    <w:p w14:paraId="58C5C2D0">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 xml:space="preserve">甲方（盖章）： </w:t>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 xml:space="preserve">             乙方（盖章）：                               </w:t>
      </w:r>
    </w:p>
    <w:p w14:paraId="35CF8459">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地址：</w:t>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 xml:space="preserve">     地址：</w:t>
      </w:r>
    </w:p>
    <w:p w14:paraId="75151B8D">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邮政编码 ：                          邮政编码：</w:t>
      </w:r>
    </w:p>
    <w:p w14:paraId="45CEEC87">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法定代表人：                         法定代表人：</w:t>
      </w:r>
    </w:p>
    <w:p w14:paraId="2E54DE12">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委托代理人：                         委托代理人：</w:t>
      </w:r>
    </w:p>
    <w:p w14:paraId="08D82904">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电话：</w:t>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 xml:space="preserve"> 电话：</w:t>
      </w:r>
    </w:p>
    <w:p w14:paraId="67AA3513">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开户银行：                           开户银行：</w:t>
      </w:r>
    </w:p>
    <w:p w14:paraId="07C303B4">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 xml:space="preserve">账号：                               账号： </w:t>
      </w:r>
    </w:p>
    <w:p w14:paraId="5F71D626">
      <w:pPr>
        <w:pStyle w:val="10"/>
        <w:rPr>
          <w:rFonts w:hint="eastAsia" w:ascii="仿宋" w:hAnsi="仿宋" w:eastAsia="仿宋" w:cs="仿宋"/>
        </w:rPr>
      </w:pPr>
    </w:p>
    <w:p w14:paraId="2D314DC4">
      <w:pPr>
        <w:pStyle w:val="10"/>
        <w:rPr>
          <w:rFonts w:hint="eastAsia" w:ascii="仿宋" w:hAnsi="仿宋" w:eastAsia="仿宋" w:cs="仿宋"/>
        </w:rPr>
      </w:pPr>
    </w:p>
    <w:p w14:paraId="57812980">
      <w:pPr>
        <w:pStyle w:val="10"/>
        <w:rPr>
          <w:rFonts w:hint="eastAsia" w:ascii="仿宋" w:hAnsi="仿宋" w:eastAsia="仿宋" w:cs="仿宋"/>
        </w:rPr>
      </w:pPr>
    </w:p>
    <w:p w14:paraId="1121F06A">
      <w:pPr>
        <w:pStyle w:val="10"/>
        <w:rPr>
          <w:rFonts w:hint="eastAsia" w:ascii="仿宋" w:hAnsi="仿宋" w:eastAsia="仿宋" w:cs="仿宋"/>
        </w:rPr>
      </w:pPr>
    </w:p>
    <w:p w14:paraId="5E10CEF9">
      <w:pPr>
        <w:pStyle w:val="10"/>
        <w:rPr>
          <w:rFonts w:hint="eastAsia" w:ascii="仿宋" w:hAnsi="仿宋" w:eastAsia="仿宋" w:cs="仿宋"/>
        </w:rPr>
      </w:pPr>
    </w:p>
    <w:p w14:paraId="45E116B3">
      <w:pPr>
        <w:pStyle w:val="10"/>
        <w:rPr>
          <w:rFonts w:hint="eastAsia" w:ascii="仿宋" w:hAnsi="仿宋" w:eastAsia="仿宋" w:cs="仿宋"/>
        </w:rPr>
      </w:pPr>
    </w:p>
    <w:p w14:paraId="6730AE9C">
      <w:pPr>
        <w:pStyle w:val="10"/>
        <w:rPr>
          <w:rFonts w:hint="eastAsia" w:ascii="仿宋" w:hAnsi="仿宋" w:eastAsia="仿宋" w:cs="仿宋"/>
        </w:rPr>
      </w:pPr>
    </w:p>
    <w:p w14:paraId="51A791DA">
      <w:pPr>
        <w:pStyle w:val="10"/>
        <w:rPr>
          <w:rFonts w:hint="eastAsia" w:ascii="仿宋" w:hAnsi="仿宋" w:eastAsia="仿宋" w:cs="仿宋"/>
        </w:rPr>
      </w:pPr>
    </w:p>
    <w:p w14:paraId="249349B7">
      <w:pPr>
        <w:pStyle w:val="10"/>
        <w:rPr>
          <w:rFonts w:hint="eastAsia" w:ascii="仿宋" w:hAnsi="仿宋" w:eastAsia="仿宋" w:cs="仿宋"/>
        </w:rPr>
      </w:pPr>
    </w:p>
    <w:p w14:paraId="417FAC13">
      <w:pPr>
        <w:pStyle w:val="2"/>
        <w:spacing w:before="200" w:after="200" w:line="360" w:lineRule="auto"/>
        <w:jc w:val="center"/>
        <w:rPr>
          <w:rFonts w:hint="eastAsia" w:ascii="仿宋" w:hAnsi="仿宋" w:eastAsia="仿宋" w:cs="仿宋"/>
          <w:b w:val="0"/>
          <w:sz w:val="36"/>
        </w:rPr>
      </w:pPr>
      <w:r>
        <w:rPr>
          <w:rFonts w:hint="eastAsia" w:ascii="仿宋" w:hAnsi="仿宋" w:eastAsia="仿宋" w:cs="仿宋"/>
          <w:b w:val="0"/>
          <w:sz w:val="36"/>
        </w:rPr>
        <w:br w:type="page"/>
      </w:r>
      <w:bookmarkStart w:id="172" w:name="_Toc1824"/>
      <w:bookmarkStart w:id="173" w:name="_Hlk169860178"/>
      <w:r>
        <w:rPr>
          <w:rFonts w:hint="eastAsia" w:ascii="仿宋" w:hAnsi="仿宋" w:eastAsia="仿宋" w:cs="仿宋"/>
          <w:b w:val="0"/>
          <w:sz w:val="36"/>
        </w:rPr>
        <w:t>第六章 采购需求</w:t>
      </w:r>
      <w:bookmarkEnd w:id="172"/>
      <w:bookmarkEnd w:id="173"/>
    </w:p>
    <w:p w14:paraId="59F93063">
      <w:pPr>
        <w:adjustRightInd w:val="0"/>
        <w:snapToGrid w:val="0"/>
        <w:spacing w:line="360" w:lineRule="auto"/>
        <w:rPr>
          <w:rFonts w:hint="eastAsia" w:ascii="仿宋" w:hAnsi="仿宋" w:eastAsia="仿宋" w:cs="仿宋"/>
          <w:sz w:val="21"/>
          <w:szCs w:val="21"/>
        </w:rPr>
      </w:pPr>
      <w:r>
        <w:rPr>
          <w:rFonts w:hint="eastAsia" w:ascii="仿宋" w:hAnsi="仿宋" w:eastAsia="仿宋" w:cs="仿宋"/>
          <w:sz w:val="21"/>
          <w:szCs w:val="21"/>
        </w:rPr>
        <w:t>一、项目名称：</w:t>
      </w:r>
      <w:r>
        <w:rPr>
          <w:rFonts w:hint="eastAsia" w:ascii="仿宋" w:hAnsi="仿宋" w:eastAsia="仿宋" w:cs="仿宋"/>
          <w:sz w:val="21"/>
          <w:szCs w:val="21"/>
          <w:lang w:eastAsia="zh-CN"/>
        </w:rPr>
        <w:t>富民县永定小学校外供餐企业采购项目</w:t>
      </w:r>
      <w:r>
        <w:rPr>
          <w:rFonts w:hint="eastAsia" w:ascii="仿宋" w:hAnsi="仿宋" w:eastAsia="仿宋" w:cs="仿宋"/>
          <w:sz w:val="21"/>
          <w:szCs w:val="21"/>
        </w:rPr>
        <w:t>；</w:t>
      </w:r>
    </w:p>
    <w:p w14:paraId="47C23DDA">
      <w:pPr>
        <w:adjustRightInd w:val="0"/>
        <w:snapToGrid w:val="0"/>
        <w:spacing w:line="360" w:lineRule="auto"/>
        <w:rPr>
          <w:rFonts w:hint="eastAsia" w:ascii="仿宋" w:hAnsi="仿宋" w:eastAsia="仿宋" w:cs="仿宋"/>
          <w:sz w:val="21"/>
          <w:szCs w:val="21"/>
          <w:highlight w:val="none"/>
        </w:rPr>
      </w:pPr>
      <w:r>
        <w:rPr>
          <w:rFonts w:hint="eastAsia" w:ascii="仿宋" w:hAnsi="仿宋" w:eastAsia="仿宋" w:cs="仿宋"/>
          <w:sz w:val="21"/>
          <w:szCs w:val="21"/>
        </w:rPr>
        <w:t>二、项目内容：为富民县永定小学全校学生提供午餐供餐</w:t>
      </w:r>
      <w:r>
        <w:rPr>
          <w:rFonts w:hint="eastAsia" w:ascii="仿宋" w:hAnsi="仿宋" w:eastAsia="仿宋" w:cs="仿宋"/>
          <w:sz w:val="21"/>
          <w:szCs w:val="21"/>
          <w:highlight w:val="none"/>
        </w:rPr>
        <w:t>服务（人数大约</w:t>
      </w:r>
      <w:r>
        <w:rPr>
          <w:rFonts w:hint="eastAsia" w:ascii="仿宋" w:hAnsi="仿宋" w:eastAsia="仿宋" w:cs="仿宋"/>
          <w:sz w:val="21"/>
          <w:szCs w:val="21"/>
          <w:highlight w:val="none"/>
          <w:lang w:val="en-US" w:eastAsia="zh-CN"/>
        </w:rPr>
        <w:t>2154</w:t>
      </w:r>
      <w:r>
        <w:rPr>
          <w:rFonts w:hint="eastAsia" w:ascii="仿宋" w:hAnsi="仿宋" w:eastAsia="仿宋" w:cs="仿宋"/>
          <w:sz w:val="21"/>
          <w:szCs w:val="21"/>
          <w:highlight w:val="none"/>
        </w:rPr>
        <w:t>人）；</w:t>
      </w:r>
    </w:p>
    <w:p w14:paraId="01CB9FA7">
      <w:pPr>
        <w:adjustRightInd w:val="0"/>
        <w:snapToGrid w:val="0"/>
        <w:spacing w:line="360" w:lineRule="auto"/>
        <w:rPr>
          <w:rFonts w:hint="eastAsia" w:ascii="仿宋" w:hAnsi="仿宋" w:eastAsia="仿宋" w:cs="仿宋"/>
          <w:sz w:val="21"/>
          <w:szCs w:val="21"/>
        </w:rPr>
      </w:pPr>
      <w:r>
        <w:rPr>
          <w:rFonts w:hint="eastAsia" w:ascii="仿宋" w:hAnsi="仿宋" w:eastAsia="仿宋" w:cs="仿宋"/>
          <w:sz w:val="21"/>
          <w:szCs w:val="21"/>
        </w:rPr>
        <w:t>三、项目地点：富民县永定小学</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环城西路校区、黎阳校区</w:t>
      </w:r>
      <w:r>
        <w:rPr>
          <w:rFonts w:hint="eastAsia" w:ascii="仿宋" w:hAnsi="仿宋" w:eastAsia="仿宋" w:cs="仿宋"/>
          <w:sz w:val="21"/>
          <w:szCs w:val="21"/>
          <w:lang w:eastAsia="zh-CN"/>
        </w:rPr>
        <w:t>）</w:t>
      </w:r>
      <w:r>
        <w:rPr>
          <w:rFonts w:hint="eastAsia" w:ascii="仿宋" w:hAnsi="仿宋" w:eastAsia="仿宋" w:cs="仿宋"/>
          <w:sz w:val="21"/>
          <w:szCs w:val="21"/>
        </w:rPr>
        <w:t>；</w:t>
      </w:r>
    </w:p>
    <w:p w14:paraId="7BB879C5">
      <w:pPr>
        <w:adjustRightInd w:val="0"/>
        <w:snapToGrid w:val="0"/>
        <w:spacing w:line="360" w:lineRule="auto"/>
        <w:rPr>
          <w:rFonts w:hint="eastAsia" w:ascii="仿宋" w:hAnsi="仿宋" w:eastAsia="仿宋" w:cs="仿宋"/>
          <w:sz w:val="21"/>
          <w:szCs w:val="21"/>
        </w:rPr>
      </w:pPr>
      <w:r>
        <w:rPr>
          <w:rFonts w:hint="eastAsia" w:ascii="仿宋" w:hAnsi="仿宋" w:eastAsia="仿宋" w:cs="仿宋"/>
          <w:sz w:val="21"/>
          <w:szCs w:val="21"/>
        </w:rPr>
        <w:t>四、服务期限：</w:t>
      </w:r>
      <w:r>
        <w:rPr>
          <w:rFonts w:hint="eastAsia" w:ascii="仿宋" w:hAnsi="仿宋" w:eastAsia="仿宋" w:cs="仿宋"/>
          <w:sz w:val="21"/>
          <w:szCs w:val="21"/>
          <w:highlight w:val="none"/>
          <w:lang w:val="en-US" w:eastAsia="zh-CN"/>
        </w:rPr>
        <w:t>自签定合同之日起至2025年7月31日止</w:t>
      </w:r>
      <w:r>
        <w:rPr>
          <w:rFonts w:hint="eastAsia" w:ascii="仿宋" w:hAnsi="仿宋" w:eastAsia="仿宋" w:cs="仿宋"/>
          <w:sz w:val="21"/>
          <w:szCs w:val="21"/>
        </w:rPr>
        <w:t>，在服务期间如果出现食品质量或食品安全事故，招标人有权单方面终止服务合同；</w:t>
      </w:r>
    </w:p>
    <w:p w14:paraId="6F246BEF">
      <w:pPr>
        <w:adjustRightInd w:val="0"/>
        <w:snapToGrid w:val="0"/>
        <w:spacing w:line="360" w:lineRule="auto"/>
        <w:rPr>
          <w:rFonts w:hint="eastAsia" w:ascii="仿宋" w:hAnsi="仿宋" w:eastAsia="仿宋" w:cs="仿宋"/>
          <w:sz w:val="21"/>
          <w:szCs w:val="21"/>
        </w:rPr>
      </w:pPr>
      <w:r>
        <w:rPr>
          <w:rFonts w:hint="eastAsia" w:ascii="仿宋" w:hAnsi="仿宋" w:eastAsia="仿宋" w:cs="仿宋"/>
          <w:sz w:val="21"/>
          <w:szCs w:val="21"/>
        </w:rPr>
        <w:t>五、服务时间：在学生正常上课期间供餐，供餐时间为每天上午11点</w:t>
      </w:r>
      <w:r>
        <w:rPr>
          <w:rFonts w:hint="eastAsia" w:ascii="仿宋" w:hAnsi="仿宋" w:eastAsia="仿宋" w:cs="仿宋"/>
          <w:sz w:val="21"/>
          <w:szCs w:val="21"/>
          <w:lang w:val="en-US" w:eastAsia="zh-CN"/>
        </w:rPr>
        <w:t>2</w:t>
      </w:r>
      <w:r>
        <w:rPr>
          <w:rFonts w:hint="eastAsia" w:ascii="仿宋" w:hAnsi="仿宋" w:eastAsia="仿宋" w:cs="仿宋"/>
          <w:sz w:val="21"/>
          <w:szCs w:val="21"/>
        </w:rPr>
        <w:t>0分</w:t>
      </w:r>
      <w:r>
        <w:rPr>
          <w:rFonts w:hint="eastAsia" w:ascii="仿宋" w:hAnsi="仿宋" w:eastAsia="仿宋" w:cs="仿宋"/>
          <w:sz w:val="21"/>
          <w:szCs w:val="21"/>
          <w:lang w:eastAsia="zh-CN"/>
        </w:rPr>
        <w:t>至</w:t>
      </w:r>
      <w:r>
        <w:rPr>
          <w:rFonts w:hint="eastAsia" w:ascii="仿宋" w:hAnsi="仿宋" w:eastAsia="仿宋" w:cs="仿宋"/>
          <w:sz w:val="21"/>
          <w:szCs w:val="21"/>
          <w:lang w:val="en-US" w:eastAsia="zh-CN"/>
        </w:rPr>
        <w:t>11点40分</w:t>
      </w:r>
      <w:r>
        <w:rPr>
          <w:rFonts w:hint="eastAsia" w:ascii="仿宋" w:hAnsi="仿宋" w:eastAsia="仿宋" w:cs="仿宋"/>
          <w:sz w:val="21"/>
          <w:szCs w:val="21"/>
        </w:rPr>
        <w:t>送达学校；</w:t>
      </w:r>
    </w:p>
    <w:p w14:paraId="634D99D9">
      <w:pPr>
        <w:adjustRightInd w:val="0"/>
        <w:snapToGrid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六、餐标及要求：</w:t>
      </w:r>
    </w:p>
    <w:p w14:paraId="3313F492">
      <w:pPr>
        <w:adjustRightInd w:val="0"/>
        <w:snapToGrid w:val="0"/>
        <w:spacing w:line="360" w:lineRule="auto"/>
        <w:rPr>
          <w:rFonts w:hint="default" w:ascii="仿宋" w:hAnsi="仿宋" w:eastAsia="仿宋" w:cs="仿宋"/>
          <w:sz w:val="21"/>
          <w:szCs w:val="21"/>
          <w:highlight w:val="yellow"/>
          <w:lang w:val="en-US" w:eastAsia="zh-CN"/>
        </w:rPr>
      </w:pPr>
      <w:r>
        <w:rPr>
          <w:rFonts w:hint="eastAsia" w:ascii="仿宋" w:hAnsi="仿宋" w:eastAsia="仿宋" w:cs="仿宋"/>
          <w:sz w:val="21"/>
          <w:szCs w:val="21"/>
          <w:highlight w:val="none"/>
        </w:rPr>
        <w:t>1、餐费标准：供应商须提供</w:t>
      </w: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套配餐方案，标准为</w:t>
      </w:r>
      <w:r>
        <w:rPr>
          <w:rFonts w:hint="eastAsia" w:ascii="仿宋" w:hAnsi="仿宋" w:eastAsia="仿宋" w:cs="仿宋"/>
          <w:sz w:val="21"/>
          <w:szCs w:val="21"/>
          <w:highlight w:val="none"/>
          <w:lang w:val="en-US" w:eastAsia="zh-CN"/>
        </w:rPr>
        <w:t>10</w:t>
      </w:r>
      <w:r>
        <w:rPr>
          <w:rFonts w:hint="eastAsia" w:ascii="仿宋" w:hAnsi="仿宋" w:eastAsia="仿宋" w:cs="仿宋"/>
          <w:sz w:val="21"/>
          <w:szCs w:val="21"/>
          <w:highlight w:val="none"/>
        </w:rPr>
        <w:t>元/套，不低于两荤两素一汤一主食</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en-US" w:eastAsia="zh-CN"/>
        </w:rPr>
        <w:t>每周荤菜中须提供以牛肉及鸡丁为主要食材的主荤菜各一次</w:t>
      </w:r>
      <w:r>
        <w:rPr>
          <w:rFonts w:hint="eastAsia" w:ascii="仿宋" w:hAnsi="仿宋" w:eastAsia="仿宋" w:cs="仿宋"/>
          <w:sz w:val="21"/>
          <w:szCs w:val="21"/>
          <w:highlight w:val="none"/>
          <w:lang w:eastAsia="zh-CN"/>
        </w:rPr>
        <w:t>）</w:t>
      </w:r>
    </w:p>
    <w:p w14:paraId="1F9A5D9B">
      <w:pPr>
        <w:adjustRightInd w:val="0"/>
        <w:snapToGrid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2、餐配比标准：壹主荤+壹串荤+贰素菜+壹汤+米饭（数量满足师生需求）；</w:t>
      </w:r>
    </w:p>
    <w:p w14:paraId="0005D19D">
      <w:pPr>
        <w:adjustRightInd w:val="0"/>
        <w:snapToGrid w:val="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3、每餐标准：</w:t>
      </w:r>
      <w:r>
        <w:rPr>
          <w:rFonts w:hint="eastAsia" w:ascii="仿宋" w:hAnsi="仿宋" w:eastAsia="仿宋" w:cs="仿宋"/>
          <w:sz w:val="21"/>
          <w:szCs w:val="21"/>
          <w:highlight w:val="none"/>
          <w:lang w:eastAsia="zh-CN"/>
        </w:rPr>
        <w:t>（以熟食为准）</w:t>
      </w:r>
    </w:p>
    <w:p w14:paraId="7A472064">
      <w:pPr>
        <w:adjustRightInd w:val="0"/>
        <w:snapToGrid w:val="0"/>
        <w:spacing w:line="360" w:lineRule="auto"/>
        <w:rPr>
          <w:rFonts w:hint="eastAsia" w:ascii="仿宋" w:hAnsi="仿宋" w:eastAsia="仿宋" w:cs="仿宋"/>
          <w:sz w:val="21"/>
          <w:szCs w:val="21"/>
        </w:rPr>
      </w:pPr>
      <w:r>
        <w:rPr>
          <w:rFonts w:hint="eastAsia" w:ascii="仿宋" w:hAnsi="仿宋" w:eastAsia="仿宋" w:cs="仿宋"/>
          <w:sz w:val="21"/>
          <w:szCs w:val="21"/>
        </w:rPr>
        <w:t>主荤：8:2  100g</w:t>
      </w:r>
    </w:p>
    <w:p w14:paraId="15B28A8D">
      <w:pPr>
        <w:adjustRightInd w:val="0"/>
        <w:snapToGrid w:val="0"/>
        <w:spacing w:line="360" w:lineRule="auto"/>
        <w:rPr>
          <w:rFonts w:hint="eastAsia" w:ascii="仿宋" w:hAnsi="仿宋" w:eastAsia="仿宋" w:cs="仿宋"/>
          <w:sz w:val="21"/>
          <w:szCs w:val="21"/>
        </w:rPr>
      </w:pPr>
      <w:r>
        <w:rPr>
          <w:rFonts w:hint="eastAsia" w:ascii="仿宋" w:hAnsi="仿宋" w:eastAsia="仿宋" w:cs="仿宋"/>
          <w:sz w:val="21"/>
          <w:szCs w:val="21"/>
        </w:rPr>
        <w:t>串荤：4:6  100g</w:t>
      </w:r>
    </w:p>
    <w:p w14:paraId="7D7A0BF9">
      <w:pPr>
        <w:adjustRightInd w:val="0"/>
        <w:snapToGrid w:val="0"/>
        <w:spacing w:line="360" w:lineRule="auto"/>
        <w:rPr>
          <w:rFonts w:hint="eastAsia" w:ascii="仿宋" w:hAnsi="仿宋" w:eastAsia="仿宋" w:cs="仿宋"/>
          <w:sz w:val="21"/>
          <w:szCs w:val="21"/>
        </w:rPr>
      </w:pPr>
      <w:r>
        <w:rPr>
          <w:rFonts w:hint="eastAsia" w:ascii="仿宋" w:hAnsi="仿宋" w:eastAsia="仿宋" w:cs="仿宋"/>
          <w:sz w:val="21"/>
          <w:szCs w:val="21"/>
        </w:rPr>
        <w:t>素菜：不低于120g*2</w:t>
      </w:r>
    </w:p>
    <w:p w14:paraId="4E2A5DF8">
      <w:pPr>
        <w:adjustRightInd w:val="0"/>
        <w:snapToGrid w:val="0"/>
        <w:spacing w:line="360" w:lineRule="auto"/>
        <w:rPr>
          <w:rFonts w:hint="eastAsia" w:ascii="仿宋" w:hAnsi="仿宋" w:eastAsia="仿宋" w:cs="仿宋"/>
          <w:sz w:val="21"/>
          <w:szCs w:val="21"/>
        </w:rPr>
      </w:pPr>
      <w:r>
        <w:rPr>
          <w:rFonts w:hint="eastAsia" w:ascii="仿宋" w:hAnsi="仿宋" w:eastAsia="仿宋" w:cs="仿宋"/>
          <w:sz w:val="21"/>
          <w:szCs w:val="21"/>
        </w:rPr>
        <w:t>米饭(或主食)；不低于200g</w:t>
      </w:r>
    </w:p>
    <w:p w14:paraId="4A63DF84">
      <w:pPr>
        <w:adjustRightInd w:val="0"/>
        <w:snapToGrid w:val="0"/>
        <w:spacing w:line="360" w:lineRule="auto"/>
        <w:rPr>
          <w:rFonts w:hint="eastAsia" w:ascii="仿宋" w:hAnsi="仿宋" w:eastAsia="仿宋" w:cs="仿宋"/>
          <w:sz w:val="21"/>
          <w:szCs w:val="21"/>
        </w:rPr>
      </w:pPr>
      <w:r>
        <w:rPr>
          <w:rFonts w:hint="eastAsia" w:ascii="仿宋" w:hAnsi="仿宋" w:eastAsia="仿宋" w:cs="仿宋"/>
          <w:sz w:val="21"/>
          <w:szCs w:val="21"/>
        </w:rPr>
        <w:t>汤：固体物质≥5%；</w:t>
      </w:r>
    </w:p>
    <w:p w14:paraId="52047C69">
      <w:pPr>
        <w:adjustRightInd w:val="0"/>
        <w:snapToGrid w:val="0"/>
        <w:spacing w:line="360" w:lineRule="auto"/>
        <w:rPr>
          <w:rFonts w:hint="eastAsia" w:ascii="仿宋" w:hAnsi="仿宋" w:eastAsia="仿宋" w:cs="仿宋"/>
          <w:sz w:val="21"/>
          <w:szCs w:val="21"/>
        </w:rPr>
      </w:pPr>
      <w:r>
        <w:rPr>
          <w:rFonts w:hint="eastAsia" w:ascii="仿宋" w:hAnsi="仿宋" w:eastAsia="仿宋" w:cs="仿宋"/>
          <w:sz w:val="21"/>
          <w:szCs w:val="21"/>
        </w:rPr>
        <w:t>七、食品质量要求：</w:t>
      </w:r>
    </w:p>
    <w:p w14:paraId="1125A6A2">
      <w:pPr>
        <w:adjustRightInd w:val="0"/>
        <w:snapToGrid w:val="0"/>
        <w:spacing w:line="360" w:lineRule="auto"/>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eastAsia="zh-CN"/>
        </w:rPr>
        <w:t>供应商</w:t>
      </w:r>
      <w:r>
        <w:rPr>
          <w:rFonts w:hint="eastAsia" w:ascii="仿宋" w:hAnsi="仿宋" w:eastAsia="仿宋" w:cs="仿宋"/>
          <w:sz w:val="21"/>
          <w:szCs w:val="21"/>
        </w:rPr>
        <w:t>采购的蔬菜水果需为当日新鲜应季产品，无烂叶，外观无损坏，需提供所有供应蔬菜水果的农残检测报告及云南省食用农产品承诺达标合格证（生产主体），符合食品卫生安全要求，质量合格。</w:t>
      </w:r>
    </w:p>
    <w:p w14:paraId="6C764A33">
      <w:pPr>
        <w:adjustRightInd w:val="0"/>
        <w:snapToGrid w:val="0"/>
        <w:spacing w:line="360" w:lineRule="auto"/>
        <w:rPr>
          <w:rFonts w:hint="eastAsia" w:ascii="仿宋" w:hAnsi="仿宋" w:eastAsia="仿宋" w:cs="仿宋"/>
          <w:sz w:val="21"/>
          <w:szCs w:val="21"/>
        </w:rPr>
      </w:pPr>
      <w:r>
        <w:rPr>
          <w:rFonts w:hint="eastAsia" w:ascii="仿宋" w:hAnsi="仿宋" w:eastAsia="仿宋" w:cs="仿宋"/>
          <w:sz w:val="21"/>
          <w:szCs w:val="21"/>
        </w:rPr>
        <w:t>2、</w:t>
      </w:r>
      <w:r>
        <w:rPr>
          <w:rFonts w:hint="eastAsia" w:ascii="仿宋" w:hAnsi="仿宋" w:eastAsia="仿宋" w:cs="仿宋"/>
          <w:sz w:val="21"/>
          <w:szCs w:val="21"/>
          <w:lang w:eastAsia="zh-CN"/>
        </w:rPr>
        <w:t>供应商</w:t>
      </w:r>
      <w:r>
        <w:rPr>
          <w:rFonts w:hint="eastAsia" w:ascii="仿宋" w:hAnsi="仿宋" w:eastAsia="仿宋" w:cs="仿宋"/>
          <w:sz w:val="21"/>
          <w:szCs w:val="21"/>
        </w:rPr>
        <w:t>采购的大米为非转基因产品，应为符合《中华人民共和国国家标准》GB/T 1354标准的优质稻米。必须有合法有效的企业生产许可标准（即SC认证）并提供检测报告。</w:t>
      </w:r>
    </w:p>
    <w:p w14:paraId="11096CF5">
      <w:pPr>
        <w:adjustRightInd w:val="0"/>
        <w:snapToGrid w:val="0"/>
        <w:spacing w:line="360" w:lineRule="auto"/>
        <w:rPr>
          <w:rFonts w:hint="eastAsia" w:ascii="仿宋" w:hAnsi="仿宋" w:eastAsia="仿宋" w:cs="仿宋"/>
          <w:sz w:val="21"/>
          <w:szCs w:val="21"/>
        </w:rPr>
      </w:pPr>
      <w:r>
        <w:rPr>
          <w:rFonts w:hint="eastAsia" w:ascii="仿宋" w:hAnsi="仿宋" w:eastAsia="仿宋" w:cs="仿宋"/>
          <w:sz w:val="21"/>
          <w:szCs w:val="21"/>
        </w:rPr>
        <w:t>3、确保食品在运输途中不变质、不变冷，卫生安全，营养美味。</w:t>
      </w:r>
    </w:p>
    <w:p w14:paraId="31A5B22B">
      <w:pPr>
        <w:adjustRightInd w:val="0"/>
        <w:snapToGrid w:val="0"/>
        <w:spacing w:line="360" w:lineRule="auto"/>
        <w:rPr>
          <w:rFonts w:hint="eastAsia" w:ascii="仿宋" w:hAnsi="仿宋" w:eastAsia="仿宋" w:cs="仿宋"/>
          <w:sz w:val="21"/>
          <w:szCs w:val="21"/>
          <w:lang w:eastAsia="zh-CN"/>
        </w:rPr>
      </w:pPr>
      <w:r>
        <w:rPr>
          <w:rFonts w:hint="eastAsia" w:ascii="仿宋" w:hAnsi="仿宋" w:eastAsia="仿宋" w:cs="仿宋"/>
          <w:sz w:val="21"/>
          <w:szCs w:val="21"/>
        </w:rPr>
        <w:t>4、中餐加工所需所有原材料货物采购来源地清楚明确可查，具有相关可追溯资料。</w:t>
      </w:r>
      <w:r>
        <w:rPr>
          <w:rFonts w:hint="eastAsia" w:ascii="仿宋" w:hAnsi="仿宋" w:eastAsia="仿宋" w:cs="仿宋"/>
          <w:sz w:val="21"/>
          <w:szCs w:val="21"/>
          <w:lang w:eastAsia="zh-CN"/>
        </w:rPr>
        <w:t>（以供采购人核查）</w:t>
      </w:r>
    </w:p>
    <w:p w14:paraId="3CB0FA2E">
      <w:pPr>
        <w:adjustRightInd w:val="0"/>
        <w:snapToGrid w:val="0"/>
        <w:spacing w:line="360" w:lineRule="auto"/>
        <w:rPr>
          <w:rFonts w:hint="eastAsia" w:ascii="仿宋" w:hAnsi="仿宋" w:eastAsia="仿宋" w:cs="仿宋"/>
          <w:sz w:val="21"/>
          <w:szCs w:val="21"/>
        </w:rPr>
      </w:pPr>
      <w:r>
        <w:rPr>
          <w:rFonts w:hint="eastAsia" w:ascii="仿宋" w:hAnsi="仿宋" w:eastAsia="仿宋" w:cs="仿宋"/>
          <w:sz w:val="21"/>
          <w:szCs w:val="21"/>
        </w:rPr>
        <w:t>5、在原材料采购中，要保证从正规渠道购进，并经过有关食品检验检疫部门的正规检验合格，必须严格执行国家及省市区各有关部门制定的相关法规。其中，米、面、油、肉制品必须实行定点采购，并提供采购点的营业执照、经营许可证、检验检疫合格证等，各种证件复印件报学校备案。蔬菜类材料必须从正规市场购入并符合国家有关食品安全方面的规定。各种主食材料、辅料、调味品及卫生消毒用品、消耗品等必须从正规厂商或商场购入，指定品牌和采购渠道，并提供产品的品牌和采购点的营业执照、经营许可证、检验检疫合格证等材料，保证质量、杜绝使用三无产品、假冒产品、过期产品。</w:t>
      </w:r>
    </w:p>
    <w:p w14:paraId="6C7A9964">
      <w:pPr>
        <w:adjustRightInd w:val="0"/>
        <w:snapToGrid w:val="0"/>
        <w:spacing w:line="360" w:lineRule="auto"/>
        <w:rPr>
          <w:rFonts w:hint="eastAsia" w:ascii="仿宋" w:hAnsi="仿宋" w:eastAsia="仿宋" w:cs="仿宋"/>
          <w:sz w:val="21"/>
          <w:szCs w:val="21"/>
        </w:rPr>
      </w:pPr>
      <w:r>
        <w:rPr>
          <w:rFonts w:hint="eastAsia" w:ascii="仿宋" w:hAnsi="仿宋" w:eastAsia="仿宋" w:cs="仿宋"/>
          <w:sz w:val="21"/>
          <w:szCs w:val="21"/>
        </w:rPr>
        <w:t>6、膳食品种要全面多样，每周制定食谱、菜谱并公示，同时按食谱、菜谱供餐。</w:t>
      </w:r>
    </w:p>
    <w:p w14:paraId="365B73A3">
      <w:pPr>
        <w:adjustRightInd w:val="0"/>
        <w:snapToGrid w:val="0"/>
        <w:spacing w:line="360" w:lineRule="auto"/>
        <w:rPr>
          <w:rFonts w:hint="eastAsia" w:ascii="仿宋" w:hAnsi="仿宋" w:eastAsia="仿宋" w:cs="仿宋"/>
          <w:sz w:val="21"/>
          <w:szCs w:val="21"/>
        </w:rPr>
      </w:pPr>
      <w:r>
        <w:rPr>
          <w:rFonts w:hint="eastAsia" w:ascii="仿宋" w:hAnsi="仿宋" w:eastAsia="仿宋" w:cs="仿宋"/>
          <w:sz w:val="21"/>
          <w:szCs w:val="21"/>
        </w:rPr>
        <w:t>7、禁止制售冷荤凉菜、四季豆、卷心菜、小食品等高风险食品。</w:t>
      </w:r>
    </w:p>
    <w:p w14:paraId="6D6FF3AD">
      <w:pPr>
        <w:adjustRightInd w:val="0"/>
        <w:snapToGrid w:val="0"/>
        <w:spacing w:line="360" w:lineRule="auto"/>
        <w:rPr>
          <w:rFonts w:hint="eastAsia" w:ascii="仿宋" w:hAnsi="仿宋" w:eastAsia="仿宋" w:cs="仿宋"/>
          <w:sz w:val="21"/>
          <w:szCs w:val="21"/>
        </w:rPr>
      </w:pPr>
      <w:r>
        <w:rPr>
          <w:rFonts w:hint="eastAsia" w:ascii="仿宋" w:hAnsi="仿宋" w:eastAsia="仿宋" w:cs="仿宋"/>
          <w:sz w:val="21"/>
          <w:szCs w:val="21"/>
        </w:rPr>
        <w:t>8、所有食材使用必须新鲜，无过期变质现象。</w:t>
      </w:r>
    </w:p>
    <w:p w14:paraId="7AE42E47">
      <w:pPr>
        <w:adjustRightInd w:val="0"/>
        <w:snapToGrid w:val="0"/>
        <w:spacing w:line="360" w:lineRule="auto"/>
        <w:rPr>
          <w:rFonts w:hint="eastAsia" w:ascii="仿宋" w:hAnsi="仿宋" w:eastAsia="仿宋" w:cs="仿宋"/>
          <w:sz w:val="21"/>
          <w:szCs w:val="21"/>
        </w:rPr>
      </w:pPr>
      <w:r>
        <w:rPr>
          <w:rFonts w:hint="eastAsia" w:ascii="仿宋" w:hAnsi="仿宋" w:eastAsia="仿宋" w:cs="仿宋"/>
          <w:sz w:val="21"/>
          <w:szCs w:val="21"/>
        </w:rPr>
        <w:t>9、禁止使用冷冻肉</w:t>
      </w:r>
      <w:r>
        <w:rPr>
          <w:rFonts w:hint="eastAsia" w:ascii="仿宋" w:hAnsi="仿宋" w:eastAsia="仿宋" w:cs="仿宋"/>
          <w:sz w:val="21"/>
          <w:szCs w:val="21"/>
          <w:lang w:eastAsia="zh-CN"/>
        </w:rPr>
        <w:t>及深加工食品</w:t>
      </w:r>
      <w:r>
        <w:rPr>
          <w:rFonts w:hint="eastAsia" w:ascii="仿宋" w:hAnsi="仿宋" w:eastAsia="仿宋" w:cs="仿宋"/>
          <w:sz w:val="21"/>
          <w:szCs w:val="21"/>
        </w:rPr>
        <w:t>。</w:t>
      </w:r>
    </w:p>
    <w:p w14:paraId="1ED05281">
      <w:pPr>
        <w:adjustRightInd w:val="0"/>
        <w:snapToGrid w:val="0"/>
        <w:spacing w:line="360" w:lineRule="auto"/>
        <w:rPr>
          <w:rFonts w:hint="eastAsia" w:ascii="仿宋" w:hAnsi="仿宋" w:eastAsia="仿宋" w:cs="仿宋"/>
          <w:sz w:val="21"/>
          <w:szCs w:val="21"/>
        </w:rPr>
      </w:pPr>
      <w:r>
        <w:rPr>
          <w:rFonts w:hint="eastAsia" w:ascii="仿宋" w:hAnsi="仿宋" w:eastAsia="仿宋" w:cs="仿宋"/>
          <w:sz w:val="21"/>
          <w:szCs w:val="21"/>
        </w:rPr>
        <w:t>10、饭菜供餐时保持温度。</w:t>
      </w:r>
    </w:p>
    <w:p w14:paraId="38F9EA51">
      <w:pPr>
        <w:adjustRightInd w:val="0"/>
        <w:snapToGrid w:val="0"/>
        <w:spacing w:line="360" w:lineRule="auto"/>
        <w:rPr>
          <w:rFonts w:hint="eastAsia" w:ascii="仿宋" w:hAnsi="仿宋" w:eastAsia="仿宋" w:cs="仿宋"/>
          <w:sz w:val="21"/>
          <w:szCs w:val="21"/>
        </w:rPr>
      </w:pPr>
      <w:r>
        <w:rPr>
          <w:rFonts w:hint="eastAsia" w:ascii="仿宋" w:hAnsi="仿宋" w:eastAsia="仿宋" w:cs="仿宋"/>
          <w:sz w:val="21"/>
          <w:szCs w:val="21"/>
        </w:rPr>
        <w:t>11、所供餐食保证质量，口味符合当地大众习惯。</w:t>
      </w:r>
    </w:p>
    <w:p w14:paraId="669EFBE4">
      <w:pPr>
        <w:adjustRightInd w:val="0"/>
        <w:snapToGrid w:val="0"/>
        <w:spacing w:line="360" w:lineRule="auto"/>
        <w:rPr>
          <w:rFonts w:hint="eastAsia" w:ascii="仿宋" w:hAnsi="仿宋" w:eastAsia="仿宋" w:cs="仿宋"/>
          <w:sz w:val="21"/>
          <w:szCs w:val="21"/>
        </w:rPr>
      </w:pPr>
      <w:r>
        <w:rPr>
          <w:rFonts w:hint="eastAsia" w:ascii="仿宋" w:hAnsi="仿宋" w:eastAsia="仿宋" w:cs="仿宋"/>
          <w:sz w:val="21"/>
          <w:szCs w:val="21"/>
        </w:rPr>
        <w:t>八、服务质量：</w:t>
      </w:r>
    </w:p>
    <w:p w14:paraId="7C324B31">
      <w:pPr>
        <w:adjustRightInd w:val="0"/>
        <w:snapToGrid w:val="0"/>
        <w:spacing w:line="360" w:lineRule="auto"/>
        <w:rPr>
          <w:rFonts w:hint="eastAsia" w:ascii="仿宋" w:hAnsi="仿宋" w:eastAsia="仿宋" w:cs="仿宋"/>
          <w:sz w:val="21"/>
          <w:szCs w:val="21"/>
        </w:rPr>
      </w:pPr>
      <w:r>
        <w:rPr>
          <w:rFonts w:hint="eastAsia" w:ascii="仿宋" w:hAnsi="仿宋" w:eastAsia="仿宋" w:cs="仿宋"/>
          <w:sz w:val="21"/>
          <w:szCs w:val="21"/>
        </w:rPr>
        <w:t>1、投标人必须按质、按量、准时向学校送餐。</w:t>
      </w:r>
    </w:p>
    <w:p w14:paraId="307B9030">
      <w:pPr>
        <w:adjustRightInd w:val="0"/>
        <w:snapToGrid w:val="0"/>
        <w:spacing w:line="360" w:lineRule="auto"/>
        <w:rPr>
          <w:rFonts w:hint="eastAsia" w:ascii="仿宋" w:hAnsi="仿宋" w:eastAsia="仿宋" w:cs="仿宋"/>
          <w:sz w:val="21"/>
          <w:szCs w:val="21"/>
        </w:rPr>
      </w:pPr>
      <w:r>
        <w:rPr>
          <w:rFonts w:hint="eastAsia" w:ascii="仿宋" w:hAnsi="仿宋" w:eastAsia="仿宋" w:cs="仿宋"/>
          <w:sz w:val="21"/>
          <w:szCs w:val="21"/>
        </w:rPr>
        <w:t>2、膳食品种要全面多样，每周制定食谱、菜谱并公示，同时按食谱、菜谱配送餐。</w:t>
      </w:r>
    </w:p>
    <w:p w14:paraId="0F573ECF">
      <w:pPr>
        <w:adjustRightInd w:val="0"/>
        <w:snapToGrid w:val="0"/>
        <w:spacing w:line="360" w:lineRule="auto"/>
        <w:rPr>
          <w:rFonts w:hint="eastAsia" w:ascii="仿宋" w:hAnsi="仿宋" w:eastAsia="仿宋" w:cs="仿宋"/>
          <w:sz w:val="21"/>
          <w:szCs w:val="21"/>
        </w:rPr>
      </w:pPr>
      <w:r>
        <w:rPr>
          <w:rFonts w:hint="eastAsia" w:ascii="仿宋" w:hAnsi="仿宋" w:eastAsia="仿宋" w:cs="仿宋"/>
          <w:sz w:val="21"/>
          <w:szCs w:val="21"/>
        </w:rPr>
        <w:t>3、禁止使用冷冻肉及各类食品添加剂。</w:t>
      </w:r>
    </w:p>
    <w:p w14:paraId="2111359C">
      <w:pPr>
        <w:adjustRightInd w:val="0"/>
        <w:snapToGrid w:val="0"/>
        <w:spacing w:line="360" w:lineRule="auto"/>
        <w:rPr>
          <w:rFonts w:hint="eastAsia" w:ascii="仿宋" w:hAnsi="仿宋" w:eastAsia="仿宋" w:cs="仿宋"/>
          <w:sz w:val="21"/>
          <w:szCs w:val="21"/>
        </w:rPr>
      </w:pPr>
      <w:r>
        <w:rPr>
          <w:rFonts w:hint="eastAsia" w:ascii="仿宋" w:hAnsi="仿宋" w:eastAsia="仿宋" w:cs="仿宋"/>
          <w:sz w:val="21"/>
          <w:szCs w:val="21"/>
        </w:rPr>
        <w:t>4、投标人保证所提供的蔬菜水果需为当日新鲜应季产品，无烂叶，外观无损坏，需提供所有供应蔬菜水果的农残检测报告及云南省食用农产品承诺达标合格证（生产主体），符合食品卫生安全要求，质量合格，品种应提供多样化；肉类必须经动物检疫和定点屠宰；提供的肉食属于无病害肉食。因投标人提供蔬菜、肉食和其他商品质量问题造成一切法律责任由投标人承担。</w:t>
      </w:r>
    </w:p>
    <w:p w14:paraId="2C42742B">
      <w:pPr>
        <w:adjustRightInd w:val="0"/>
        <w:snapToGrid w:val="0"/>
        <w:spacing w:line="360" w:lineRule="auto"/>
        <w:rPr>
          <w:rFonts w:hint="eastAsia" w:ascii="仿宋" w:hAnsi="仿宋" w:eastAsia="仿宋" w:cs="仿宋"/>
          <w:sz w:val="21"/>
          <w:szCs w:val="21"/>
        </w:rPr>
      </w:pPr>
      <w:r>
        <w:rPr>
          <w:rFonts w:hint="eastAsia" w:ascii="仿宋" w:hAnsi="仿宋" w:eastAsia="仿宋" w:cs="仿宋"/>
          <w:sz w:val="21"/>
          <w:szCs w:val="21"/>
        </w:rPr>
        <w:t>5、大米、食用油须为知名厂家生产的品牌并保证是当年或当期，米质纯，无杂质；有SC食品质量安全生产许可证等。大米、食用油须为非转基因。</w:t>
      </w:r>
    </w:p>
    <w:p w14:paraId="0C6F6EF0">
      <w:pPr>
        <w:adjustRightInd w:val="0"/>
        <w:snapToGrid w:val="0"/>
        <w:spacing w:line="360" w:lineRule="auto"/>
        <w:rPr>
          <w:rFonts w:hint="eastAsia" w:ascii="仿宋" w:hAnsi="仿宋" w:eastAsia="仿宋" w:cs="仿宋"/>
          <w:sz w:val="21"/>
          <w:szCs w:val="21"/>
        </w:rPr>
      </w:pPr>
      <w:r>
        <w:rPr>
          <w:rFonts w:hint="eastAsia" w:ascii="仿宋" w:hAnsi="仿宋" w:eastAsia="仿宋" w:cs="仿宋"/>
          <w:sz w:val="21"/>
          <w:szCs w:val="21"/>
        </w:rPr>
        <w:t>6、符合国家食品安全相关法律法规及行业相关标准、规范。供应的食材须严格执行《中华人民共和国食品安全法》、《学生营养餐生产企业卫生规范》、《餐饮服务食品安全操作指南》、《学生餐营养指南》（国家卫计委发布，标准编号：WS/T554-2017）、《学校食品安全与营养健康管理规定》（学校食品安全与营养健康管理规定教育部、国家市场监督管理总局、国家卫生健康委员会令第45号）《农村义务教育学生营养改善计划实施办法》（教财（2022）2号）等法律法规相关规定和标准，并确保配送到学校的食品安全、营养、健康。</w:t>
      </w:r>
    </w:p>
    <w:p w14:paraId="3CA50F82">
      <w:pPr>
        <w:adjustRightInd w:val="0"/>
        <w:snapToGrid w:val="0"/>
        <w:spacing w:line="360"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九、校外供餐基本条件要求：</w:t>
      </w:r>
    </w:p>
    <w:p w14:paraId="2B89519C">
      <w:pPr>
        <w:adjustRightInd w:val="0"/>
        <w:snapToGrid w:val="0"/>
        <w:spacing w:line="360"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（一）校外供餐的基本要求：</w:t>
      </w:r>
    </w:p>
    <w:p w14:paraId="55102E69">
      <w:pPr>
        <w:adjustRightInd w:val="0"/>
        <w:snapToGrid w:val="0"/>
        <w:spacing w:line="360"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　　投标人必须在取得食品经营许可证后方可为学生供餐，应在规定地点显著位置悬挂或摆放许可证。应全面推行明厨亮灶，设施设备配备应当符合《食品经营许可管理办法》《食品安全国家标准 餐饮服务通用卫生规范》（GB31654-2021）和《学校食品安全与营养健康管理规定》等相关要求。校外供餐的基本条件如下：</w:t>
      </w:r>
    </w:p>
    <w:p w14:paraId="497D9D10">
      <w:pPr>
        <w:adjustRightInd w:val="0"/>
        <w:snapToGrid w:val="0"/>
        <w:spacing w:line="360"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1. 具有与所经营、制作供应的食品品种、数量、供餐人数相适应的食品原料处理和食品烹饪、贮存等场所，实行明厨亮灶，保持该场所环境整洁，并与有毒、有害场所以及其他污染源保持规定的距离；</w:t>
      </w:r>
    </w:p>
    <w:p w14:paraId="6874C8F4">
      <w:pPr>
        <w:adjustRightInd w:val="0"/>
        <w:snapToGrid w:val="0"/>
        <w:spacing w:line="360"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2. 具有与所经营、制作供应的食品品种、数量、供餐人数相适应的设施设备，有相应的消毒、更衣、盥洗、采光、照明、通风、防腐、防尘、防蝇、防鼠、防虫、清洁以及处理废水、存放垃圾和废弃物的设施设备；</w:t>
      </w:r>
    </w:p>
    <w:p w14:paraId="767FB453">
      <w:pPr>
        <w:adjustRightInd w:val="0"/>
        <w:snapToGrid w:val="0"/>
        <w:spacing w:line="360"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3. 具有合理的设备布局和工艺流程，防止待加工食品与直接入口食品、原料与成品或者半成品交叉污染，避免食品接触有毒物、不洁物；</w:t>
      </w:r>
    </w:p>
    <w:p w14:paraId="055FA947">
      <w:pPr>
        <w:adjustRightInd w:val="0"/>
        <w:snapToGrid w:val="0"/>
        <w:spacing w:line="360"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4. 具有经食品安全培训、符合相关条件的食品安全管理人员，以及与本单位实际相适应的食品安全规章制度。</w:t>
      </w:r>
    </w:p>
    <w:p w14:paraId="1633AFAF">
      <w:pPr>
        <w:adjustRightInd w:val="0"/>
        <w:snapToGrid w:val="0"/>
        <w:spacing w:line="360"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（二）供餐企业（单位）的基本条件。</w:t>
      </w:r>
    </w:p>
    <w:p w14:paraId="544F5B1F">
      <w:pPr>
        <w:adjustRightInd w:val="0"/>
        <w:snapToGrid w:val="0"/>
        <w:spacing w:line="360"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1. 具备国家有关法律法规规定的相关条件；</w:t>
      </w:r>
    </w:p>
    <w:p w14:paraId="4A43B21E">
      <w:pPr>
        <w:adjustRightInd w:val="0"/>
        <w:snapToGrid w:val="0"/>
        <w:spacing w:line="360"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2. 取得食品经营许可和集体用餐配送资质；实行“互联网+明厨亮灶”，具备独立的餐食加工场地、符合条件的食品处理区域及设施设备。配备封闭式食品专用运输车辆，一般应安装车辆行驶轨迹监控、装卸视频监控等设备；</w:t>
      </w:r>
    </w:p>
    <w:p w14:paraId="68CE6A89">
      <w:pPr>
        <w:adjustRightInd w:val="0"/>
        <w:snapToGrid w:val="0"/>
        <w:spacing w:line="360"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3. 配备食品安全管理人员和至少1名具备资质的营养师。建立食品卫生、安全管理制度，投保食品安全责任险；</w:t>
      </w:r>
    </w:p>
    <w:p w14:paraId="6893AE01">
      <w:pPr>
        <w:adjustRightInd w:val="0"/>
        <w:snapToGrid w:val="0"/>
        <w:spacing w:line="360"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4. 建立食品加工全过程实时视频监控系统，并将相关视频信号接入属地教育部门和服务学校，配备的监控系统视频要保存30天以上；</w:t>
      </w:r>
    </w:p>
    <w:p w14:paraId="6C1139C5">
      <w:pPr>
        <w:adjustRightInd w:val="0"/>
        <w:snapToGrid w:val="0"/>
        <w:spacing w:line="360"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5. 参与学校供餐项目政府采购活动前3年内未发生过食品安全事故，在经营活动中没有重大违法情况；</w:t>
      </w:r>
    </w:p>
    <w:p w14:paraId="3BB98C1C">
      <w:pPr>
        <w:adjustRightInd w:val="0"/>
        <w:snapToGrid w:val="0"/>
        <w:spacing w:line="360" w:lineRule="auto"/>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6. </w:t>
      </w:r>
      <w:r>
        <w:rPr>
          <w:rFonts w:hint="eastAsia" w:ascii="仿宋" w:hAnsi="仿宋" w:eastAsia="仿宋" w:cs="仿宋"/>
          <w:sz w:val="21"/>
          <w:szCs w:val="21"/>
          <w:lang w:eastAsia="zh-CN"/>
        </w:rPr>
        <w:t>加工操作间应当符合下列要求：最小使用面积不得少于8平方米；墙壁应有1.5米以上的瓷砖或其他防水、防潮、可清洗的材料制成的墙裙；地面应由防水、防滑、无毒、易清洗的材料建造，具有一定坡度，易于清洗与排水；配备有足够的照明、通风、排烟装置和有效的防尘、防鼠、防虫措施，污水排放和存放废弃物的设施设备符合卫生要求；食品加工区天花板保持干净整洁，无霉斑、无尘土；配备食品经营许可证所要求的其他设施设备；</w:t>
      </w:r>
    </w:p>
    <w:p w14:paraId="4F268B8F">
      <w:pPr>
        <w:adjustRightInd w:val="0"/>
        <w:snapToGrid w:val="0"/>
        <w:spacing w:line="36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7. 供餐企业优先采购可溯源的食材，建立稳定的食材采购渠道。建立健全原材料采购配送、食材验收、入库出库、贮存保管、加工烹饪、餐食分发、学生就餐等全过程实时视频监控系统，视频要保存30天以上。严格实行食堂操作间、储存间封闭管理，非食堂管理人员、操作人员未经允许和登记严禁进入。</w:t>
      </w:r>
    </w:p>
    <w:p w14:paraId="24255146">
      <w:pPr>
        <w:adjustRightInd w:val="0"/>
        <w:snapToGrid w:val="0"/>
        <w:spacing w:line="36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8. 合理设置食品贮存场所。食品贮存场所应根据贮存条件分别设置，加强温湿度监测，做到通风换气、分区分架分类、离墙离地10厘米以上存放，防尘防鼠防虫设施完好，不同区域应有明显标识。散装食品应盛装于容器内，在贮存位置标明食品的名称、生产日期、保质期、供货商及联系方式等内容。盛装食品的容器应符合安全要求。食品贮存场所内不得存放有毒、有害物品及其他任何私人用品。</w:t>
      </w:r>
    </w:p>
    <w:p w14:paraId="6A92271E">
      <w:pPr>
        <w:adjustRightInd w:val="0"/>
        <w:snapToGrid w:val="0"/>
        <w:spacing w:line="36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9. 建立健全出入库管理制度。食堂物品的入库、出库必须由专人负责，签字确认。规模较大的学校，应由两个以上人员签字验收。入库、出库要严格核对数量、检验质量，出库食品先进先出，杜绝质次、变质、过期食品的入库与出库。</w:t>
      </w:r>
    </w:p>
    <w:p w14:paraId="75112C27">
      <w:pPr>
        <w:numPr>
          <w:ilvl w:val="0"/>
          <w:numId w:val="0"/>
        </w:numPr>
        <w:adjustRightInd w:val="0"/>
        <w:snapToGrid w:val="0"/>
        <w:spacing w:line="36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10. 建立健全库存盘点制度。食堂物品入库、验收、保管、出库应手续齐全，物、据、账、表相符，日清月结。盘点后相关人员均须在盘存单上签字。食堂应根据日常消耗确定合理库存。变质和过期的食品应按规定及时清理销毁，并办理监销手续。</w:t>
      </w:r>
    </w:p>
    <w:p w14:paraId="173952EF">
      <w:pPr>
        <w:numPr>
          <w:ilvl w:val="0"/>
          <w:numId w:val="0"/>
        </w:numPr>
        <w:adjustRightInd w:val="0"/>
        <w:snapToGrid w:val="0"/>
        <w:spacing w:line="36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十、食品加工管理要求：</w:t>
      </w:r>
    </w:p>
    <w:p w14:paraId="1781D6DE">
      <w:pPr>
        <w:numPr>
          <w:ilvl w:val="0"/>
          <w:numId w:val="0"/>
        </w:numPr>
        <w:adjustRightInd w:val="0"/>
        <w:snapToGrid w:val="0"/>
        <w:spacing w:line="36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食品加工过程应严格执行《食品安全国家标准 餐饮服务通用卫生规范》（GB31654—2021）《餐饮服务食品安全操作规范》等规定。</w:t>
      </w:r>
    </w:p>
    <w:p w14:paraId="1FB0A08C">
      <w:pPr>
        <w:numPr>
          <w:ilvl w:val="0"/>
          <w:numId w:val="0"/>
        </w:numPr>
        <w:adjustRightInd w:val="0"/>
        <w:snapToGrid w:val="0"/>
        <w:spacing w:line="36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 必须采用新鲜安全的原料制作食品，不得加工或使用腐败变质和感官性状异常的食品及原料。不得制售冷荤类食品、生食类食品、裱花蛋糕，不得加工制作四季豆、鲜黄花菜、野生蘑菇、发芽土豆等高风险食品。</w:t>
      </w:r>
    </w:p>
    <w:p w14:paraId="1AACC14F">
      <w:pPr>
        <w:numPr>
          <w:ilvl w:val="0"/>
          <w:numId w:val="0"/>
        </w:numPr>
        <w:adjustRightInd w:val="0"/>
        <w:snapToGrid w:val="0"/>
        <w:spacing w:line="36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 需要熟制烹饪的食品应烧熟煮透，其烹饪时食品中心温度应达到70℃以上。烹饪后的熟制品、半成品与食品原料应分开存放，防止交叉污染。食品不得接触有毒物、不洁物。</w:t>
      </w:r>
    </w:p>
    <w:p w14:paraId="60D8DFE5">
      <w:pPr>
        <w:numPr>
          <w:ilvl w:val="0"/>
          <w:numId w:val="0"/>
        </w:numPr>
        <w:adjustRightInd w:val="0"/>
        <w:snapToGrid w:val="0"/>
        <w:spacing w:line="36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 建立食品留样制度。每餐次的食品成品必须留样，并按品种分别盛放于清洗消毒后的专用密闭容器内，在专用冷藏设备中冷藏存放48小时以上，并落实双人双锁管理。每个品种留样量应满足检验需要，不得少于125g，并记录留样食品名称、留样时间（月、日、时）、留样人员等信息。</w:t>
      </w:r>
    </w:p>
    <w:p w14:paraId="6A93E963">
      <w:pPr>
        <w:numPr>
          <w:ilvl w:val="0"/>
          <w:numId w:val="0"/>
        </w:numPr>
        <w:adjustRightInd w:val="0"/>
        <w:snapToGrid w:val="0"/>
        <w:spacing w:line="36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 严格按照规定使用食品添加剂。严禁超范围、超剂量使用食品添加剂，不得采购、贮存、使用亚硝酸盐。严禁使用非食用物质加工制作食品。食品添加剂应专人专柜（位）保管，按照有关规定做到标识清晰、计量使用、专册记录。</w:t>
      </w:r>
    </w:p>
    <w:p w14:paraId="5A967A9B">
      <w:pPr>
        <w:numPr>
          <w:ilvl w:val="0"/>
          <w:numId w:val="0"/>
        </w:numPr>
        <w:adjustRightInd w:val="0"/>
        <w:snapToGrid w:val="0"/>
        <w:spacing w:line="360" w:lineRule="auto"/>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5. 严格规范餐用具清洗与消毒。加工结束后应及时清理加工场所，做到地面无污物、残渣；按照要求对食品容器、餐用具进行清洗消毒，并存放在专用保洁设施内备用。提倡采用热力方法进行消毒。采用化学方法消毒的必须冲洗干净。不得使用未经清洗和消毒的餐用具。餐用具清洗与消毒应由专人做好记录。</w:t>
      </w:r>
    </w:p>
    <w:p w14:paraId="3FA15F82">
      <w:pPr>
        <w:numPr>
          <w:ilvl w:val="0"/>
          <w:numId w:val="2"/>
        </w:numPr>
        <w:adjustRightInd w:val="0"/>
        <w:snapToGrid w:val="0"/>
        <w:spacing w:line="36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供餐配送管理要求：</w:t>
      </w:r>
    </w:p>
    <w:p w14:paraId="4EFB5AFA">
      <w:pPr>
        <w:numPr>
          <w:ilvl w:val="0"/>
          <w:numId w:val="3"/>
        </w:numPr>
        <w:adjustRightInd w:val="0"/>
        <w:snapToGrid w:val="0"/>
        <w:spacing w:line="36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送餐车辆及工用具必须保持清洁卫生。每次运输食品前应进行清洗消毒并做好记录，在运输装卸过程中也应注意保持清洁，运输后进行清洗，防止食品在运输过程中受到污染。</w:t>
      </w:r>
    </w:p>
    <w:p w14:paraId="61D9B022">
      <w:pPr>
        <w:numPr>
          <w:ilvl w:val="0"/>
          <w:numId w:val="3"/>
        </w:numPr>
        <w:adjustRightInd w:val="0"/>
        <w:snapToGrid w:val="0"/>
        <w:spacing w:line="360" w:lineRule="auto"/>
        <w:ind w:left="0" w:leftChars="0" w:firstLine="0" w:firstLineChars="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运送集体用餐的容器和车辆应安装食品保温和冷藏设备，确保食品不得在8℃—60℃的温度条件下贮存和运输，从烧熟至食用的间隔时间（食用时限）应符合以下要求：</w:t>
      </w:r>
    </w:p>
    <w:p w14:paraId="68572FB4">
      <w:pPr>
        <w:numPr>
          <w:ilvl w:val="0"/>
          <w:numId w:val="0"/>
        </w:numPr>
        <w:adjustRightInd w:val="0"/>
        <w:snapToGrid w:val="0"/>
        <w:spacing w:line="36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2.1 烧熟后2小时，食品的中心温度保持在60℃以上（热藏）的，其食用时限为烧熟后4小时；</w:t>
      </w:r>
    </w:p>
    <w:p w14:paraId="3DA265F7">
      <w:pPr>
        <w:numPr>
          <w:ilvl w:val="0"/>
          <w:numId w:val="0"/>
        </w:numPr>
        <w:adjustRightInd w:val="0"/>
        <w:snapToGrid w:val="0"/>
        <w:spacing w:line="36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2.2 需要冷藏的熟制半成品或成品，应按有关食品安全操作规范在熟制后立即冷却，将食品的中心温度降至8℃并冷藏保存，其食用时限为烧熟后24小时。供餐前应对食品进行再加热，且加热时食品中心温度应达到70℃以上。</w:t>
      </w:r>
    </w:p>
    <w:p w14:paraId="411BF234">
      <w:pPr>
        <w:numPr>
          <w:ilvl w:val="0"/>
          <w:numId w:val="0"/>
        </w:numPr>
        <w:adjustRightInd w:val="0"/>
        <w:snapToGrid w:val="0"/>
        <w:spacing w:line="36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 盛装、分送集体用餐的容器应有封装标识，并在表面注明加工单位、加工制作时间和食用时限，必要时标注保存条件、食用方法和营养标识等信息。</w:t>
      </w:r>
    </w:p>
    <w:p w14:paraId="3BDF3CE7">
      <w:pPr>
        <w:numPr>
          <w:ilvl w:val="0"/>
          <w:numId w:val="0"/>
        </w:numPr>
        <w:adjustRightInd w:val="0"/>
        <w:snapToGrid w:val="0"/>
        <w:spacing w:line="36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 学校安排专门人员负责供餐企业配送食品的查验接收工作。应重点检查配送食品包装是否完整，感官性状是否异常，食品的温度和配送时间是否符合食品安全要求等，并做好食品留样。</w:t>
      </w:r>
    </w:p>
    <w:p w14:paraId="2CC56C90">
      <w:pPr>
        <w:numPr>
          <w:ilvl w:val="0"/>
          <w:numId w:val="0"/>
        </w:numPr>
        <w:adjustRightInd w:val="0"/>
        <w:snapToGrid w:val="0"/>
        <w:spacing w:line="36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十二、食堂从业人员管理要求：</w:t>
      </w:r>
    </w:p>
    <w:p w14:paraId="67DF226D">
      <w:pPr>
        <w:numPr>
          <w:ilvl w:val="0"/>
          <w:numId w:val="0"/>
        </w:numPr>
        <w:adjustRightInd w:val="0"/>
        <w:snapToGrid w:val="0"/>
        <w:spacing w:line="36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 从业人员每学期开学前必须进行健康检查，取得健康证明后方可上岗，必要时应进行临时健康检查。从业人员健康证明应在显著位置进行统一公示。患有国家卫生健康委规定的有碍食品安全疾病的人员，不得从事接触直接入口食品的工作。不得聘用有不良思想倾向及行为、精神异常或偏激等现象的人员。</w:t>
      </w:r>
    </w:p>
    <w:p w14:paraId="03820E71">
      <w:pPr>
        <w:numPr>
          <w:ilvl w:val="0"/>
          <w:numId w:val="0"/>
        </w:numPr>
        <w:adjustRightInd w:val="0"/>
        <w:snapToGrid w:val="0"/>
        <w:spacing w:line="36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 从业人员应落实有关培训学时要求，定期参加有关部门和单位组织的食品安全知识、营养配餐、消防知识、职业道德和法制教育培训，增强食品安全意识，提高食品安全操作技能。鼓励从业人员通过自主培训学习提高营养配餐能力。</w:t>
      </w:r>
    </w:p>
    <w:p w14:paraId="00BD25F5">
      <w:pPr>
        <w:numPr>
          <w:ilvl w:val="0"/>
          <w:numId w:val="0"/>
        </w:numPr>
        <w:adjustRightInd w:val="0"/>
        <w:snapToGrid w:val="0"/>
        <w:spacing w:line="36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 实行每日晨检制度。食堂管理人员应在每天早晨各项饭菜烹饪活动开始前，对每名从业人员的健康状况进行检查，并将检查情况记录在案。发现有发热、腹泻、皮肤伤口或感染、咽部炎症等有碍食品安全病症的，应立即离开工作岗位，待查明原因并将有碍食品安全的病症治愈后，方可重新上岗。</w:t>
      </w:r>
    </w:p>
    <w:p w14:paraId="7B8A635E">
      <w:pPr>
        <w:numPr>
          <w:ilvl w:val="0"/>
          <w:numId w:val="0"/>
        </w:numPr>
        <w:adjustRightInd w:val="0"/>
        <w:snapToGrid w:val="0"/>
        <w:spacing w:line="360" w:lineRule="auto"/>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4. 从业人员应养成良好的个人卫生习惯。工作前、处理食品原料后、便后用肥皂（或洗手液）及流动清水洗手消毒；接触直接入口食品前，应洗手消毒并佩戴一次性食品手套；穿戴清洁的工作衣帽，并把头发置于帽内；不得留长指甲、涂指甲油、戴戒指加工食品；不得在食品加工和销售场所内吸烟。</w:t>
      </w:r>
    </w:p>
    <w:p w14:paraId="29FFB472">
      <w:pPr>
        <w:rPr>
          <w:rFonts w:hint="eastAsia" w:ascii="仿宋" w:hAnsi="仿宋" w:eastAsia="仿宋" w:cs="仿宋"/>
          <w:b/>
          <w:sz w:val="21"/>
          <w:szCs w:val="21"/>
        </w:rPr>
      </w:pPr>
      <w:r>
        <w:rPr>
          <w:rFonts w:hint="eastAsia" w:ascii="仿宋" w:hAnsi="仿宋" w:eastAsia="仿宋" w:cs="仿宋"/>
          <w:b/>
          <w:sz w:val="21"/>
          <w:szCs w:val="21"/>
        </w:rPr>
        <w:br w:type="page"/>
      </w:r>
    </w:p>
    <w:p w14:paraId="51BA4949">
      <w:pPr>
        <w:pStyle w:val="2"/>
        <w:wordWrap w:val="0"/>
        <w:spacing w:before="200" w:after="200" w:line="360" w:lineRule="auto"/>
        <w:jc w:val="center"/>
        <w:rPr>
          <w:rFonts w:hint="eastAsia" w:ascii="仿宋" w:hAnsi="仿宋" w:eastAsia="仿宋" w:cs="仿宋"/>
          <w:sz w:val="21"/>
          <w:szCs w:val="21"/>
          <w:u w:val="single"/>
        </w:rPr>
      </w:pPr>
      <w:bookmarkStart w:id="174" w:name="_Toc30319"/>
      <w:r>
        <w:rPr>
          <w:rFonts w:hint="eastAsia" w:ascii="仿宋" w:hAnsi="仿宋" w:eastAsia="仿宋" w:cs="仿宋"/>
          <w:b w:val="0"/>
          <w:sz w:val="36"/>
        </w:rPr>
        <w:t>第七章投标文件格式</w:t>
      </w:r>
      <w:bookmarkEnd w:id="168"/>
      <w:bookmarkEnd w:id="169"/>
      <w:bookmarkEnd w:id="170"/>
      <w:bookmarkEnd w:id="171"/>
      <w:bookmarkEnd w:id="174"/>
    </w:p>
    <w:p w14:paraId="729A677C">
      <w:pPr>
        <w:rPr>
          <w:rFonts w:hint="eastAsia" w:ascii="仿宋" w:hAnsi="仿宋" w:eastAsia="仿宋" w:cs="仿宋"/>
        </w:rPr>
      </w:pPr>
    </w:p>
    <w:p w14:paraId="2880E474">
      <w:pPr>
        <w:pStyle w:val="3"/>
        <w:jc w:val="center"/>
        <w:rPr>
          <w:rFonts w:hint="eastAsia" w:ascii="仿宋" w:hAnsi="仿宋" w:eastAsia="仿宋" w:cs="仿宋"/>
        </w:rPr>
      </w:pPr>
      <w:bookmarkStart w:id="175" w:name="_Toc25824"/>
      <w:bookmarkStart w:id="176" w:name="_Toc15043"/>
      <w:r>
        <w:rPr>
          <w:rFonts w:hint="eastAsia" w:ascii="仿宋" w:hAnsi="仿宋" w:eastAsia="仿宋" w:cs="仿宋"/>
        </w:rPr>
        <w:t>一、投标文件资格审查部分格式</w:t>
      </w:r>
      <w:bookmarkEnd w:id="175"/>
      <w:bookmarkEnd w:id="176"/>
    </w:p>
    <w:p w14:paraId="73C8F8E6">
      <w:pPr>
        <w:pStyle w:val="3"/>
        <w:jc w:val="center"/>
        <w:rPr>
          <w:rFonts w:hint="eastAsia" w:ascii="仿宋" w:hAnsi="仿宋" w:eastAsia="仿宋" w:cs="仿宋"/>
        </w:rPr>
      </w:pPr>
      <w:bookmarkStart w:id="177" w:name="_Toc5049"/>
      <w:bookmarkStart w:id="178" w:name="_Toc451856213"/>
      <w:bookmarkStart w:id="179" w:name="_Toc520749005"/>
      <w:bookmarkStart w:id="180" w:name="_Toc23652"/>
      <w:r>
        <w:rPr>
          <w:rFonts w:hint="eastAsia" w:ascii="仿宋" w:hAnsi="仿宋" w:eastAsia="仿宋" w:cs="仿宋"/>
        </w:rPr>
        <w:t>（一）投标函</w:t>
      </w:r>
      <w:bookmarkEnd w:id="177"/>
      <w:bookmarkEnd w:id="178"/>
      <w:bookmarkEnd w:id="179"/>
      <w:bookmarkEnd w:id="180"/>
    </w:p>
    <w:p w14:paraId="000189B1">
      <w:pPr>
        <w:spacing w:line="360" w:lineRule="auto"/>
        <w:rPr>
          <w:rFonts w:hint="eastAsia" w:ascii="仿宋" w:hAnsi="仿宋" w:eastAsia="仿宋" w:cs="仿宋"/>
          <w:sz w:val="21"/>
          <w:szCs w:val="21"/>
        </w:rPr>
      </w:pPr>
      <w:r>
        <w:rPr>
          <w:rFonts w:hint="eastAsia" w:ascii="仿宋" w:hAnsi="仿宋" w:eastAsia="仿宋" w:cs="仿宋"/>
          <w:sz w:val="21"/>
          <w:szCs w:val="21"/>
        </w:rPr>
        <w:t>致：（采购人名称）</w:t>
      </w:r>
    </w:p>
    <w:p w14:paraId="560C01C6">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1、根据你方招标项目编号为</w:t>
      </w:r>
      <w:r>
        <w:rPr>
          <w:rFonts w:hint="eastAsia" w:ascii="仿宋" w:hAnsi="仿宋" w:eastAsia="仿宋" w:cs="仿宋"/>
          <w:sz w:val="21"/>
          <w:szCs w:val="21"/>
          <w:u w:val="single"/>
        </w:rPr>
        <w:t xml:space="preserve">  {项目编号}  </w:t>
      </w:r>
      <w:r>
        <w:rPr>
          <w:rFonts w:hint="eastAsia" w:ascii="仿宋" w:hAnsi="仿宋" w:eastAsia="仿宋" w:cs="仿宋"/>
          <w:sz w:val="21"/>
          <w:szCs w:val="21"/>
        </w:rPr>
        <w:t>的</w:t>
      </w:r>
      <w:r>
        <w:rPr>
          <w:rFonts w:hint="eastAsia" w:ascii="仿宋" w:hAnsi="仿宋" w:eastAsia="仿宋" w:cs="仿宋"/>
          <w:sz w:val="21"/>
          <w:szCs w:val="21"/>
          <w:u w:val="single"/>
        </w:rPr>
        <w:t xml:space="preserve">  {项目名称}      标包</w:t>
      </w:r>
      <w:r>
        <w:rPr>
          <w:rFonts w:hint="eastAsia" w:ascii="仿宋" w:hAnsi="仿宋" w:eastAsia="仿宋" w:cs="仿宋"/>
          <w:sz w:val="21"/>
          <w:szCs w:val="21"/>
        </w:rPr>
        <w:t>招标文件，遵照《中华人民共和国政府采购法》等有关规定，经研究上述招标文件的投标须知、合同条款、服务标准及其他有关文件资料后，我方愿以“投标报价（唱标）一览表”中的报价，并按招标文件的规定、合同条款的要求和我方投标文件的承诺履行合同责任和义务，保证按合同约定完成本项目工作。</w:t>
      </w:r>
    </w:p>
    <w:p w14:paraId="25ACE4CC">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2、我方承诺我们的投标报价不低于我们自身的成本。</w:t>
      </w:r>
    </w:p>
    <w:p w14:paraId="74D21B9B">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3、我方已详细审核全部招标文件，包括修改文件（如有时）及有关附件。</w:t>
      </w:r>
    </w:p>
    <w:p w14:paraId="3B79FDAC">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4、一旦我方中标，我方保证按合同条款的规定的时间开始实施本项目，并保证按合同条款的规定完成项目的完整移交。</w:t>
      </w:r>
    </w:p>
    <w:p w14:paraId="52058CC5">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5、一旦我方中标，我方保证：。</w:t>
      </w:r>
    </w:p>
    <w:p w14:paraId="39F640E0">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6、我方同意本投标文件自投标截止之日起有效期为个日历天。</w:t>
      </w:r>
    </w:p>
    <w:p w14:paraId="3723AD03">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7、我方完全理解并接受贵方不一定接受最低价的投标或收到的所有投标。</w:t>
      </w:r>
    </w:p>
    <w:p w14:paraId="6EB12B8C">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在签署协议书之前，你方的中标通知书连同本投标函，包括投标函附录，对双方具有约束力。</w:t>
      </w:r>
    </w:p>
    <w:p w14:paraId="1DE08370">
      <w:pPr>
        <w:spacing w:line="360" w:lineRule="auto"/>
        <w:ind w:firstLine="420" w:firstLineChars="200"/>
        <w:rPr>
          <w:rFonts w:hint="eastAsia" w:ascii="仿宋" w:hAnsi="仿宋" w:eastAsia="仿宋" w:cs="仿宋"/>
          <w:sz w:val="21"/>
          <w:szCs w:val="21"/>
        </w:rPr>
      </w:pPr>
    </w:p>
    <w:p w14:paraId="491F109E">
      <w:pPr>
        <w:spacing w:line="360" w:lineRule="auto"/>
        <w:ind w:firstLine="945" w:firstLineChars="450"/>
        <w:rPr>
          <w:rFonts w:hint="eastAsia" w:ascii="仿宋" w:hAnsi="仿宋" w:eastAsia="仿宋" w:cs="仿宋"/>
          <w:sz w:val="21"/>
          <w:szCs w:val="21"/>
          <w:u w:val="single"/>
        </w:rPr>
      </w:pPr>
      <w:r>
        <w:rPr>
          <w:rFonts w:hint="eastAsia" w:ascii="仿宋" w:hAnsi="仿宋" w:eastAsia="仿宋" w:cs="仿宋"/>
          <w:sz w:val="21"/>
          <w:szCs w:val="21"/>
        </w:rPr>
        <w:t>投标人：</w:t>
      </w:r>
      <w:r>
        <w:rPr>
          <w:rFonts w:hint="eastAsia" w:ascii="仿宋" w:hAnsi="仿宋" w:eastAsia="仿宋" w:cs="仿宋"/>
          <w:sz w:val="21"/>
          <w:szCs w:val="21"/>
          <w:u w:val="single"/>
        </w:rPr>
        <w:t>（电子签章）</w:t>
      </w:r>
    </w:p>
    <w:p w14:paraId="47CD4854">
      <w:pPr>
        <w:spacing w:line="360" w:lineRule="auto"/>
        <w:ind w:firstLine="945" w:firstLineChars="450"/>
        <w:rPr>
          <w:rFonts w:hint="eastAsia" w:ascii="仿宋" w:hAnsi="仿宋" w:eastAsia="仿宋" w:cs="仿宋"/>
          <w:sz w:val="21"/>
          <w:szCs w:val="21"/>
          <w:u w:val="single"/>
        </w:rPr>
      </w:pPr>
      <w:r>
        <w:rPr>
          <w:rFonts w:hint="eastAsia" w:ascii="仿宋" w:hAnsi="仿宋" w:eastAsia="仿宋" w:cs="仿宋"/>
          <w:sz w:val="21"/>
          <w:szCs w:val="21"/>
        </w:rPr>
        <w:t>单位地址：</w:t>
      </w:r>
      <w:r>
        <w:rPr>
          <w:rFonts w:hint="eastAsia" w:ascii="仿宋" w:hAnsi="仿宋" w:eastAsia="仿宋" w:cs="仿宋"/>
          <w:sz w:val="21"/>
          <w:szCs w:val="21"/>
          <w:u w:val="single"/>
        </w:rPr>
        <w:tab/>
      </w:r>
      <w:r>
        <w:rPr>
          <w:rFonts w:hint="eastAsia" w:ascii="仿宋" w:hAnsi="仿宋" w:eastAsia="仿宋" w:cs="仿宋"/>
          <w:sz w:val="21"/>
          <w:szCs w:val="21"/>
          <w:u w:val="single"/>
        </w:rPr>
        <w:tab/>
      </w:r>
      <w:r>
        <w:rPr>
          <w:rFonts w:hint="eastAsia" w:ascii="仿宋" w:hAnsi="仿宋" w:eastAsia="仿宋" w:cs="仿宋"/>
          <w:sz w:val="21"/>
          <w:szCs w:val="21"/>
          <w:u w:val="single"/>
        </w:rPr>
        <w:tab/>
      </w:r>
      <w:r>
        <w:rPr>
          <w:rFonts w:hint="eastAsia" w:ascii="仿宋" w:hAnsi="仿宋" w:eastAsia="仿宋" w:cs="仿宋"/>
          <w:sz w:val="21"/>
          <w:szCs w:val="21"/>
          <w:u w:val="single"/>
        </w:rPr>
        <w:tab/>
      </w:r>
      <w:r>
        <w:rPr>
          <w:rFonts w:hint="eastAsia" w:ascii="仿宋" w:hAnsi="仿宋" w:eastAsia="仿宋" w:cs="仿宋"/>
          <w:sz w:val="21"/>
          <w:szCs w:val="21"/>
          <w:u w:val="single"/>
        </w:rPr>
        <w:tab/>
      </w:r>
      <w:r>
        <w:rPr>
          <w:rFonts w:hint="eastAsia" w:ascii="仿宋" w:hAnsi="仿宋" w:eastAsia="仿宋" w:cs="仿宋"/>
          <w:sz w:val="21"/>
          <w:szCs w:val="21"/>
          <w:u w:val="single"/>
        </w:rPr>
        <w:tab/>
      </w:r>
      <w:r>
        <w:rPr>
          <w:rFonts w:hint="eastAsia" w:ascii="仿宋" w:hAnsi="仿宋" w:eastAsia="仿宋" w:cs="仿宋"/>
          <w:sz w:val="21"/>
          <w:szCs w:val="21"/>
          <w:u w:val="single"/>
        </w:rPr>
        <w:tab/>
      </w:r>
      <w:r>
        <w:rPr>
          <w:rFonts w:hint="eastAsia" w:ascii="仿宋" w:hAnsi="仿宋" w:eastAsia="仿宋" w:cs="仿宋"/>
          <w:sz w:val="21"/>
          <w:szCs w:val="21"/>
          <w:u w:val="single"/>
        </w:rPr>
        <w:tab/>
      </w:r>
    </w:p>
    <w:p w14:paraId="295C8A92">
      <w:pPr>
        <w:spacing w:line="360" w:lineRule="auto"/>
        <w:ind w:firstLine="945" w:firstLineChars="450"/>
        <w:rPr>
          <w:rFonts w:hint="eastAsia" w:ascii="仿宋" w:hAnsi="仿宋" w:eastAsia="仿宋" w:cs="仿宋"/>
          <w:sz w:val="21"/>
          <w:szCs w:val="21"/>
          <w:u w:val="single"/>
        </w:rPr>
      </w:pPr>
      <w:r>
        <w:rPr>
          <w:rFonts w:hint="eastAsia" w:ascii="仿宋" w:hAnsi="仿宋" w:eastAsia="仿宋" w:cs="仿宋"/>
          <w:sz w:val="21"/>
          <w:szCs w:val="21"/>
        </w:rPr>
        <w:t>法定代表人或其委托代理人：</w:t>
      </w:r>
      <w:r>
        <w:rPr>
          <w:rFonts w:hint="eastAsia" w:ascii="仿宋" w:hAnsi="仿宋" w:eastAsia="仿宋" w:cs="仿宋"/>
          <w:sz w:val="21"/>
          <w:szCs w:val="21"/>
          <w:u w:val="single"/>
        </w:rPr>
        <w:t>（签字或签章）</w:t>
      </w:r>
    </w:p>
    <w:p w14:paraId="5E3CC486">
      <w:pPr>
        <w:spacing w:line="360" w:lineRule="auto"/>
        <w:ind w:firstLine="945" w:firstLineChars="450"/>
        <w:rPr>
          <w:rFonts w:hint="eastAsia" w:ascii="仿宋" w:hAnsi="仿宋" w:eastAsia="仿宋" w:cs="仿宋"/>
          <w:sz w:val="21"/>
          <w:szCs w:val="21"/>
        </w:rPr>
      </w:pPr>
      <w:r>
        <w:rPr>
          <w:rFonts w:hint="eastAsia" w:ascii="仿宋" w:hAnsi="仿宋" w:eastAsia="仿宋" w:cs="仿宋"/>
          <w:sz w:val="21"/>
          <w:szCs w:val="21"/>
        </w:rPr>
        <w:t>邮政编码：</w:t>
      </w:r>
      <w:r>
        <w:rPr>
          <w:rFonts w:hint="eastAsia" w:ascii="仿宋" w:hAnsi="仿宋" w:eastAsia="仿宋" w:cs="仿宋"/>
          <w:sz w:val="21"/>
          <w:szCs w:val="21"/>
          <w:u w:val="single"/>
        </w:rPr>
        <w:tab/>
      </w:r>
      <w:r>
        <w:rPr>
          <w:rFonts w:hint="eastAsia" w:ascii="仿宋" w:hAnsi="仿宋" w:eastAsia="仿宋" w:cs="仿宋"/>
          <w:sz w:val="21"/>
          <w:szCs w:val="21"/>
          <w:u w:val="single"/>
        </w:rPr>
        <w:tab/>
      </w:r>
      <w:r>
        <w:rPr>
          <w:rFonts w:hint="eastAsia" w:ascii="仿宋" w:hAnsi="仿宋" w:eastAsia="仿宋" w:cs="仿宋"/>
          <w:sz w:val="21"/>
          <w:szCs w:val="21"/>
        </w:rPr>
        <w:t>电话：</w:t>
      </w:r>
      <w:r>
        <w:rPr>
          <w:rFonts w:hint="eastAsia" w:ascii="仿宋" w:hAnsi="仿宋" w:eastAsia="仿宋" w:cs="仿宋"/>
          <w:sz w:val="21"/>
          <w:szCs w:val="21"/>
          <w:u w:val="single"/>
        </w:rPr>
        <w:tab/>
      </w:r>
      <w:r>
        <w:rPr>
          <w:rFonts w:hint="eastAsia" w:ascii="仿宋" w:hAnsi="仿宋" w:eastAsia="仿宋" w:cs="仿宋"/>
          <w:sz w:val="21"/>
          <w:szCs w:val="21"/>
          <w:u w:val="single"/>
        </w:rPr>
        <w:tab/>
      </w:r>
      <w:r>
        <w:rPr>
          <w:rFonts w:hint="eastAsia" w:ascii="仿宋" w:hAnsi="仿宋" w:eastAsia="仿宋" w:cs="仿宋"/>
          <w:sz w:val="21"/>
          <w:szCs w:val="21"/>
        </w:rPr>
        <w:t>传真：</w:t>
      </w:r>
      <w:r>
        <w:rPr>
          <w:rFonts w:hint="eastAsia" w:ascii="仿宋" w:hAnsi="仿宋" w:eastAsia="仿宋" w:cs="仿宋"/>
          <w:sz w:val="21"/>
          <w:szCs w:val="21"/>
          <w:u w:val="single"/>
        </w:rPr>
        <w:tab/>
      </w:r>
      <w:r>
        <w:rPr>
          <w:rFonts w:hint="eastAsia" w:ascii="仿宋" w:hAnsi="仿宋" w:eastAsia="仿宋" w:cs="仿宋"/>
          <w:sz w:val="21"/>
          <w:szCs w:val="21"/>
          <w:u w:val="single"/>
        </w:rPr>
        <w:tab/>
      </w:r>
    </w:p>
    <w:p w14:paraId="5C4C3F71">
      <w:pPr>
        <w:spacing w:line="360" w:lineRule="auto"/>
        <w:ind w:firstLine="945" w:firstLineChars="450"/>
        <w:rPr>
          <w:rFonts w:hint="eastAsia" w:ascii="仿宋" w:hAnsi="仿宋" w:eastAsia="仿宋" w:cs="仿宋"/>
          <w:sz w:val="21"/>
          <w:szCs w:val="21"/>
        </w:rPr>
      </w:pPr>
      <w:r>
        <w:rPr>
          <w:rFonts w:hint="eastAsia" w:ascii="仿宋" w:hAnsi="仿宋" w:eastAsia="仿宋" w:cs="仿宋"/>
          <w:sz w:val="21"/>
          <w:szCs w:val="21"/>
        </w:rPr>
        <w:t>开户银行名称：</w:t>
      </w:r>
      <w:r>
        <w:rPr>
          <w:rFonts w:hint="eastAsia" w:ascii="仿宋" w:hAnsi="仿宋" w:eastAsia="仿宋" w:cs="仿宋"/>
          <w:sz w:val="21"/>
          <w:szCs w:val="21"/>
          <w:u w:val="single"/>
        </w:rPr>
        <w:tab/>
      </w:r>
      <w:r>
        <w:rPr>
          <w:rFonts w:hint="eastAsia" w:ascii="仿宋" w:hAnsi="仿宋" w:eastAsia="仿宋" w:cs="仿宋"/>
          <w:sz w:val="21"/>
          <w:szCs w:val="21"/>
          <w:u w:val="single"/>
        </w:rPr>
        <w:tab/>
      </w:r>
      <w:r>
        <w:rPr>
          <w:rFonts w:hint="eastAsia" w:ascii="仿宋" w:hAnsi="仿宋" w:eastAsia="仿宋" w:cs="仿宋"/>
          <w:sz w:val="21"/>
          <w:szCs w:val="21"/>
          <w:u w:val="single"/>
        </w:rPr>
        <w:tab/>
      </w:r>
      <w:r>
        <w:rPr>
          <w:rFonts w:hint="eastAsia" w:ascii="仿宋" w:hAnsi="仿宋" w:eastAsia="仿宋" w:cs="仿宋"/>
          <w:sz w:val="21"/>
          <w:szCs w:val="21"/>
          <w:u w:val="single"/>
        </w:rPr>
        <w:tab/>
      </w:r>
      <w:r>
        <w:rPr>
          <w:rFonts w:hint="eastAsia" w:ascii="仿宋" w:hAnsi="仿宋" w:eastAsia="仿宋" w:cs="仿宋"/>
          <w:sz w:val="21"/>
          <w:szCs w:val="21"/>
          <w:u w:val="single"/>
        </w:rPr>
        <w:tab/>
      </w:r>
      <w:r>
        <w:rPr>
          <w:rFonts w:hint="eastAsia" w:ascii="仿宋" w:hAnsi="仿宋" w:eastAsia="仿宋" w:cs="仿宋"/>
          <w:sz w:val="21"/>
          <w:szCs w:val="21"/>
          <w:u w:val="single"/>
        </w:rPr>
        <w:tab/>
      </w:r>
      <w:r>
        <w:rPr>
          <w:rFonts w:hint="eastAsia" w:ascii="仿宋" w:hAnsi="仿宋" w:eastAsia="仿宋" w:cs="仿宋"/>
          <w:sz w:val="21"/>
          <w:szCs w:val="21"/>
          <w:u w:val="single"/>
        </w:rPr>
        <w:tab/>
      </w:r>
    </w:p>
    <w:p w14:paraId="742AA811">
      <w:pPr>
        <w:spacing w:line="360" w:lineRule="auto"/>
        <w:ind w:firstLine="945" w:firstLineChars="450"/>
        <w:rPr>
          <w:rFonts w:hint="eastAsia" w:ascii="仿宋" w:hAnsi="仿宋" w:eastAsia="仿宋" w:cs="仿宋"/>
          <w:sz w:val="21"/>
          <w:szCs w:val="21"/>
        </w:rPr>
      </w:pPr>
      <w:r>
        <w:rPr>
          <w:rFonts w:hint="eastAsia" w:ascii="仿宋" w:hAnsi="仿宋" w:eastAsia="仿宋" w:cs="仿宋"/>
          <w:sz w:val="21"/>
          <w:szCs w:val="21"/>
        </w:rPr>
        <w:t>开户银行账号：</w:t>
      </w:r>
      <w:r>
        <w:rPr>
          <w:rFonts w:hint="eastAsia" w:ascii="仿宋" w:hAnsi="仿宋" w:eastAsia="仿宋" w:cs="仿宋"/>
          <w:sz w:val="21"/>
          <w:szCs w:val="21"/>
          <w:u w:val="single"/>
        </w:rPr>
        <w:tab/>
      </w:r>
      <w:r>
        <w:rPr>
          <w:rFonts w:hint="eastAsia" w:ascii="仿宋" w:hAnsi="仿宋" w:eastAsia="仿宋" w:cs="仿宋"/>
          <w:sz w:val="21"/>
          <w:szCs w:val="21"/>
          <w:u w:val="single"/>
        </w:rPr>
        <w:tab/>
      </w:r>
      <w:r>
        <w:rPr>
          <w:rFonts w:hint="eastAsia" w:ascii="仿宋" w:hAnsi="仿宋" w:eastAsia="仿宋" w:cs="仿宋"/>
          <w:sz w:val="21"/>
          <w:szCs w:val="21"/>
          <w:u w:val="single"/>
        </w:rPr>
        <w:tab/>
      </w:r>
      <w:r>
        <w:rPr>
          <w:rFonts w:hint="eastAsia" w:ascii="仿宋" w:hAnsi="仿宋" w:eastAsia="仿宋" w:cs="仿宋"/>
          <w:sz w:val="21"/>
          <w:szCs w:val="21"/>
          <w:u w:val="single"/>
        </w:rPr>
        <w:tab/>
      </w:r>
      <w:r>
        <w:rPr>
          <w:rFonts w:hint="eastAsia" w:ascii="仿宋" w:hAnsi="仿宋" w:eastAsia="仿宋" w:cs="仿宋"/>
          <w:sz w:val="21"/>
          <w:szCs w:val="21"/>
          <w:u w:val="single"/>
        </w:rPr>
        <w:tab/>
      </w:r>
      <w:r>
        <w:rPr>
          <w:rFonts w:hint="eastAsia" w:ascii="仿宋" w:hAnsi="仿宋" w:eastAsia="仿宋" w:cs="仿宋"/>
          <w:sz w:val="21"/>
          <w:szCs w:val="21"/>
          <w:u w:val="single"/>
        </w:rPr>
        <w:tab/>
      </w:r>
      <w:r>
        <w:rPr>
          <w:rFonts w:hint="eastAsia" w:ascii="仿宋" w:hAnsi="仿宋" w:eastAsia="仿宋" w:cs="仿宋"/>
          <w:sz w:val="21"/>
          <w:szCs w:val="21"/>
          <w:u w:val="single"/>
        </w:rPr>
        <w:tab/>
      </w:r>
    </w:p>
    <w:p w14:paraId="237E8219">
      <w:pPr>
        <w:spacing w:line="360" w:lineRule="auto"/>
        <w:ind w:firstLine="945" w:firstLineChars="450"/>
        <w:rPr>
          <w:rFonts w:hint="eastAsia" w:ascii="仿宋" w:hAnsi="仿宋" w:eastAsia="仿宋" w:cs="仿宋"/>
          <w:sz w:val="21"/>
          <w:szCs w:val="21"/>
        </w:rPr>
      </w:pPr>
      <w:r>
        <w:rPr>
          <w:rFonts w:hint="eastAsia" w:ascii="仿宋" w:hAnsi="仿宋" w:eastAsia="仿宋" w:cs="仿宋"/>
          <w:sz w:val="21"/>
          <w:szCs w:val="21"/>
        </w:rPr>
        <w:t>开户银行地址：</w:t>
      </w:r>
      <w:r>
        <w:rPr>
          <w:rFonts w:hint="eastAsia" w:ascii="仿宋" w:hAnsi="仿宋" w:eastAsia="仿宋" w:cs="仿宋"/>
          <w:sz w:val="21"/>
          <w:szCs w:val="21"/>
          <w:u w:val="single"/>
        </w:rPr>
        <w:tab/>
      </w:r>
      <w:r>
        <w:rPr>
          <w:rFonts w:hint="eastAsia" w:ascii="仿宋" w:hAnsi="仿宋" w:eastAsia="仿宋" w:cs="仿宋"/>
          <w:sz w:val="21"/>
          <w:szCs w:val="21"/>
          <w:u w:val="single"/>
        </w:rPr>
        <w:tab/>
      </w:r>
      <w:r>
        <w:rPr>
          <w:rFonts w:hint="eastAsia" w:ascii="仿宋" w:hAnsi="仿宋" w:eastAsia="仿宋" w:cs="仿宋"/>
          <w:sz w:val="21"/>
          <w:szCs w:val="21"/>
          <w:u w:val="single"/>
        </w:rPr>
        <w:tab/>
      </w:r>
      <w:r>
        <w:rPr>
          <w:rFonts w:hint="eastAsia" w:ascii="仿宋" w:hAnsi="仿宋" w:eastAsia="仿宋" w:cs="仿宋"/>
          <w:sz w:val="21"/>
          <w:szCs w:val="21"/>
          <w:u w:val="single"/>
        </w:rPr>
        <w:tab/>
      </w:r>
      <w:r>
        <w:rPr>
          <w:rFonts w:hint="eastAsia" w:ascii="仿宋" w:hAnsi="仿宋" w:eastAsia="仿宋" w:cs="仿宋"/>
          <w:sz w:val="21"/>
          <w:szCs w:val="21"/>
          <w:u w:val="single"/>
        </w:rPr>
        <w:tab/>
      </w:r>
      <w:r>
        <w:rPr>
          <w:rFonts w:hint="eastAsia" w:ascii="仿宋" w:hAnsi="仿宋" w:eastAsia="仿宋" w:cs="仿宋"/>
          <w:sz w:val="21"/>
          <w:szCs w:val="21"/>
          <w:u w:val="single"/>
        </w:rPr>
        <w:tab/>
      </w:r>
      <w:r>
        <w:rPr>
          <w:rFonts w:hint="eastAsia" w:ascii="仿宋" w:hAnsi="仿宋" w:eastAsia="仿宋" w:cs="仿宋"/>
          <w:sz w:val="21"/>
          <w:szCs w:val="21"/>
          <w:u w:val="single"/>
        </w:rPr>
        <w:tab/>
      </w:r>
    </w:p>
    <w:p w14:paraId="4751BE8A">
      <w:pPr>
        <w:spacing w:line="360" w:lineRule="auto"/>
        <w:ind w:firstLine="945" w:firstLineChars="450"/>
        <w:rPr>
          <w:rFonts w:hint="eastAsia" w:ascii="仿宋" w:hAnsi="仿宋" w:eastAsia="仿宋" w:cs="仿宋"/>
          <w:sz w:val="21"/>
          <w:szCs w:val="21"/>
        </w:rPr>
      </w:pPr>
      <w:r>
        <w:rPr>
          <w:rFonts w:hint="eastAsia" w:ascii="仿宋" w:hAnsi="仿宋" w:eastAsia="仿宋" w:cs="仿宋"/>
          <w:sz w:val="21"/>
          <w:szCs w:val="21"/>
        </w:rPr>
        <w:t>开户银行电话：</w:t>
      </w:r>
      <w:r>
        <w:rPr>
          <w:rFonts w:hint="eastAsia" w:ascii="仿宋" w:hAnsi="仿宋" w:eastAsia="仿宋" w:cs="仿宋"/>
          <w:sz w:val="21"/>
          <w:szCs w:val="21"/>
          <w:u w:val="single"/>
        </w:rPr>
        <w:tab/>
      </w:r>
      <w:r>
        <w:rPr>
          <w:rFonts w:hint="eastAsia" w:ascii="仿宋" w:hAnsi="仿宋" w:eastAsia="仿宋" w:cs="仿宋"/>
          <w:sz w:val="21"/>
          <w:szCs w:val="21"/>
          <w:u w:val="single"/>
        </w:rPr>
        <w:tab/>
      </w:r>
      <w:r>
        <w:rPr>
          <w:rFonts w:hint="eastAsia" w:ascii="仿宋" w:hAnsi="仿宋" w:eastAsia="仿宋" w:cs="仿宋"/>
          <w:sz w:val="21"/>
          <w:szCs w:val="21"/>
          <w:u w:val="single"/>
        </w:rPr>
        <w:tab/>
      </w:r>
      <w:r>
        <w:rPr>
          <w:rFonts w:hint="eastAsia" w:ascii="仿宋" w:hAnsi="仿宋" w:eastAsia="仿宋" w:cs="仿宋"/>
          <w:sz w:val="21"/>
          <w:szCs w:val="21"/>
          <w:u w:val="single"/>
        </w:rPr>
        <w:tab/>
      </w:r>
      <w:r>
        <w:rPr>
          <w:rFonts w:hint="eastAsia" w:ascii="仿宋" w:hAnsi="仿宋" w:eastAsia="仿宋" w:cs="仿宋"/>
          <w:sz w:val="21"/>
          <w:szCs w:val="21"/>
          <w:u w:val="single"/>
        </w:rPr>
        <w:tab/>
      </w:r>
      <w:r>
        <w:rPr>
          <w:rFonts w:hint="eastAsia" w:ascii="仿宋" w:hAnsi="仿宋" w:eastAsia="仿宋" w:cs="仿宋"/>
          <w:sz w:val="21"/>
          <w:szCs w:val="21"/>
          <w:u w:val="single"/>
        </w:rPr>
        <w:tab/>
      </w:r>
      <w:r>
        <w:rPr>
          <w:rFonts w:hint="eastAsia" w:ascii="仿宋" w:hAnsi="仿宋" w:eastAsia="仿宋" w:cs="仿宋"/>
          <w:sz w:val="21"/>
          <w:szCs w:val="21"/>
          <w:u w:val="single"/>
        </w:rPr>
        <w:tab/>
      </w:r>
    </w:p>
    <w:p w14:paraId="26079C96">
      <w:pPr>
        <w:wordWrap w:val="0"/>
        <w:spacing w:line="360" w:lineRule="auto"/>
        <w:ind w:firstLine="945" w:firstLineChars="450"/>
        <w:jc w:val="right"/>
        <w:rPr>
          <w:rFonts w:hint="eastAsia" w:ascii="仿宋" w:hAnsi="仿宋" w:eastAsia="仿宋" w:cs="仿宋"/>
        </w:rPr>
      </w:pPr>
      <w:r>
        <w:rPr>
          <w:rFonts w:hint="eastAsia" w:ascii="仿宋" w:hAnsi="仿宋" w:eastAsia="仿宋" w:cs="仿宋"/>
          <w:sz w:val="21"/>
          <w:szCs w:val="21"/>
        </w:rPr>
        <w:t>日期：年月日</w:t>
      </w:r>
    </w:p>
    <w:p w14:paraId="0D0EE1EA">
      <w:pPr>
        <w:spacing w:line="360" w:lineRule="auto"/>
        <w:rPr>
          <w:rFonts w:hint="eastAsia" w:ascii="仿宋" w:hAnsi="仿宋" w:eastAsia="仿宋" w:cs="仿宋"/>
          <w:sz w:val="21"/>
          <w:szCs w:val="21"/>
        </w:rPr>
      </w:pPr>
    </w:p>
    <w:p w14:paraId="0EFD830F">
      <w:pPr>
        <w:pStyle w:val="3"/>
        <w:jc w:val="center"/>
        <w:rPr>
          <w:rFonts w:hint="eastAsia" w:ascii="仿宋" w:hAnsi="仿宋" w:eastAsia="仿宋" w:cs="仿宋"/>
        </w:rPr>
      </w:pPr>
      <w:bookmarkStart w:id="181" w:name="_Toc520749006"/>
      <w:bookmarkStart w:id="182" w:name="_Toc25444"/>
      <w:r>
        <w:rPr>
          <w:rFonts w:hint="eastAsia" w:ascii="仿宋" w:hAnsi="仿宋" w:eastAsia="仿宋" w:cs="仿宋"/>
        </w:rPr>
        <w:br w:type="page"/>
      </w:r>
      <w:bookmarkStart w:id="183" w:name="_Toc1407"/>
      <w:r>
        <w:rPr>
          <w:rFonts w:hint="eastAsia" w:ascii="仿宋" w:hAnsi="仿宋" w:eastAsia="仿宋" w:cs="仿宋"/>
        </w:rPr>
        <w:t>（二）投标人一般情况表</w:t>
      </w:r>
      <w:bookmarkEnd w:id="181"/>
      <w:bookmarkEnd w:id="182"/>
      <w:bookmarkEnd w:id="183"/>
    </w:p>
    <w:tbl>
      <w:tblPr>
        <w:tblStyle w:val="26"/>
        <w:tblW w:w="917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79"/>
        <w:gridCol w:w="3859"/>
        <w:gridCol w:w="4738"/>
      </w:tblGrid>
      <w:tr w14:paraId="7CC037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2E99A101">
            <w:pPr>
              <w:jc w:val="center"/>
              <w:rPr>
                <w:rFonts w:hint="eastAsia" w:ascii="仿宋" w:hAnsi="仿宋" w:eastAsia="仿宋" w:cs="仿宋"/>
                <w:sz w:val="21"/>
                <w:szCs w:val="21"/>
              </w:rPr>
            </w:pPr>
            <w:r>
              <w:rPr>
                <w:rFonts w:hint="eastAsia" w:ascii="仿宋" w:hAnsi="仿宋" w:eastAsia="仿宋" w:cs="仿宋"/>
                <w:sz w:val="21"/>
                <w:szCs w:val="21"/>
              </w:rPr>
              <w:t>1</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56C272F0">
            <w:pPr>
              <w:ind w:firstLine="100"/>
              <w:rPr>
                <w:rFonts w:hint="eastAsia" w:ascii="仿宋" w:hAnsi="仿宋" w:eastAsia="仿宋" w:cs="仿宋"/>
                <w:sz w:val="21"/>
                <w:szCs w:val="21"/>
              </w:rPr>
            </w:pPr>
            <w:r>
              <w:rPr>
                <w:rFonts w:hint="eastAsia" w:ascii="仿宋" w:hAnsi="仿宋" w:eastAsia="仿宋" w:cs="仿宋"/>
                <w:sz w:val="21"/>
                <w:szCs w:val="21"/>
              </w:rPr>
              <w:t>企业名称：</w:t>
            </w:r>
          </w:p>
        </w:tc>
      </w:tr>
      <w:tr w14:paraId="49E930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751593AE">
            <w:pPr>
              <w:jc w:val="center"/>
              <w:rPr>
                <w:rFonts w:hint="eastAsia" w:ascii="仿宋" w:hAnsi="仿宋" w:eastAsia="仿宋" w:cs="仿宋"/>
                <w:sz w:val="21"/>
                <w:szCs w:val="21"/>
              </w:rPr>
            </w:pPr>
            <w:r>
              <w:rPr>
                <w:rFonts w:hint="eastAsia" w:ascii="仿宋" w:hAnsi="仿宋" w:eastAsia="仿宋" w:cs="仿宋"/>
                <w:sz w:val="21"/>
                <w:szCs w:val="21"/>
              </w:rPr>
              <w:t>2</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57CF61D6">
            <w:pPr>
              <w:ind w:firstLine="100"/>
              <w:rPr>
                <w:rFonts w:hint="eastAsia" w:ascii="仿宋" w:hAnsi="仿宋" w:eastAsia="仿宋" w:cs="仿宋"/>
                <w:sz w:val="21"/>
                <w:szCs w:val="21"/>
              </w:rPr>
            </w:pPr>
            <w:r>
              <w:rPr>
                <w:rFonts w:hint="eastAsia" w:ascii="仿宋" w:hAnsi="仿宋" w:eastAsia="仿宋" w:cs="仿宋"/>
                <w:sz w:val="21"/>
                <w:szCs w:val="21"/>
              </w:rPr>
              <w:t>总部地址：</w:t>
            </w:r>
          </w:p>
        </w:tc>
      </w:tr>
      <w:tr w14:paraId="427044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11FD1FD6">
            <w:pPr>
              <w:jc w:val="center"/>
              <w:rPr>
                <w:rFonts w:hint="eastAsia" w:ascii="仿宋" w:hAnsi="仿宋" w:eastAsia="仿宋" w:cs="仿宋"/>
                <w:sz w:val="21"/>
                <w:szCs w:val="21"/>
              </w:rPr>
            </w:pPr>
            <w:r>
              <w:rPr>
                <w:rFonts w:hint="eastAsia" w:ascii="仿宋" w:hAnsi="仿宋" w:eastAsia="仿宋" w:cs="仿宋"/>
                <w:sz w:val="21"/>
                <w:szCs w:val="21"/>
              </w:rPr>
              <w:t>3</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36BB170E">
            <w:pPr>
              <w:ind w:firstLine="100"/>
              <w:rPr>
                <w:rFonts w:hint="eastAsia" w:ascii="仿宋" w:hAnsi="仿宋" w:eastAsia="仿宋" w:cs="仿宋"/>
                <w:sz w:val="21"/>
                <w:szCs w:val="21"/>
              </w:rPr>
            </w:pPr>
            <w:r>
              <w:rPr>
                <w:rFonts w:hint="eastAsia" w:ascii="仿宋" w:hAnsi="仿宋" w:eastAsia="仿宋" w:cs="仿宋"/>
                <w:sz w:val="21"/>
                <w:szCs w:val="21"/>
              </w:rPr>
              <w:t>当地代表处地址：</w:t>
            </w:r>
          </w:p>
        </w:tc>
      </w:tr>
      <w:tr w14:paraId="2FB370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67FD3F31">
            <w:pPr>
              <w:jc w:val="center"/>
              <w:rPr>
                <w:rFonts w:hint="eastAsia" w:ascii="仿宋" w:hAnsi="仿宋" w:eastAsia="仿宋" w:cs="仿宋"/>
                <w:sz w:val="21"/>
                <w:szCs w:val="21"/>
              </w:rPr>
            </w:pPr>
            <w:r>
              <w:rPr>
                <w:rFonts w:hint="eastAsia" w:ascii="仿宋" w:hAnsi="仿宋" w:eastAsia="仿宋" w:cs="仿宋"/>
                <w:sz w:val="21"/>
                <w:szCs w:val="21"/>
              </w:rPr>
              <w:t>4</w:t>
            </w:r>
          </w:p>
        </w:tc>
        <w:tc>
          <w:tcPr>
            <w:tcW w:w="3859" w:type="dxa"/>
            <w:tcBorders>
              <w:top w:val="single" w:color="auto" w:sz="6" w:space="0"/>
              <w:left w:val="single" w:color="auto" w:sz="6" w:space="0"/>
              <w:bottom w:val="single" w:color="auto" w:sz="6" w:space="0"/>
              <w:right w:val="single" w:color="auto" w:sz="6" w:space="0"/>
            </w:tcBorders>
            <w:vAlign w:val="center"/>
          </w:tcPr>
          <w:p w14:paraId="796E2CD7">
            <w:pPr>
              <w:ind w:firstLine="100"/>
              <w:rPr>
                <w:rFonts w:hint="eastAsia" w:ascii="仿宋" w:hAnsi="仿宋" w:eastAsia="仿宋" w:cs="仿宋"/>
                <w:sz w:val="21"/>
                <w:szCs w:val="21"/>
              </w:rPr>
            </w:pPr>
            <w:r>
              <w:rPr>
                <w:rFonts w:hint="eastAsia" w:ascii="仿宋" w:hAnsi="仿宋" w:eastAsia="仿宋" w:cs="仿宋"/>
                <w:sz w:val="21"/>
                <w:szCs w:val="21"/>
              </w:rPr>
              <w:t>电话：</w:t>
            </w:r>
          </w:p>
        </w:tc>
        <w:tc>
          <w:tcPr>
            <w:tcW w:w="4738" w:type="dxa"/>
            <w:tcBorders>
              <w:top w:val="single" w:color="auto" w:sz="6" w:space="0"/>
              <w:left w:val="single" w:color="auto" w:sz="6" w:space="0"/>
              <w:bottom w:val="single" w:color="auto" w:sz="6" w:space="0"/>
              <w:right w:val="single" w:color="auto" w:sz="6" w:space="0"/>
            </w:tcBorders>
            <w:vAlign w:val="center"/>
          </w:tcPr>
          <w:p w14:paraId="12BB1F7B">
            <w:pPr>
              <w:ind w:firstLine="100"/>
              <w:rPr>
                <w:rFonts w:hint="eastAsia" w:ascii="仿宋" w:hAnsi="仿宋" w:eastAsia="仿宋" w:cs="仿宋"/>
                <w:sz w:val="21"/>
                <w:szCs w:val="21"/>
              </w:rPr>
            </w:pPr>
            <w:r>
              <w:rPr>
                <w:rFonts w:hint="eastAsia" w:ascii="仿宋" w:hAnsi="仿宋" w:eastAsia="仿宋" w:cs="仿宋"/>
                <w:sz w:val="21"/>
                <w:szCs w:val="21"/>
              </w:rPr>
              <w:t>联系人：</w:t>
            </w:r>
          </w:p>
        </w:tc>
      </w:tr>
      <w:tr w14:paraId="335B9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11EBD42C">
            <w:pPr>
              <w:jc w:val="center"/>
              <w:rPr>
                <w:rFonts w:hint="eastAsia" w:ascii="仿宋" w:hAnsi="仿宋" w:eastAsia="仿宋" w:cs="仿宋"/>
                <w:sz w:val="21"/>
                <w:szCs w:val="21"/>
              </w:rPr>
            </w:pPr>
            <w:r>
              <w:rPr>
                <w:rFonts w:hint="eastAsia" w:ascii="仿宋" w:hAnsi="仿宋" w:eastAsia="仿宋" w:cs="仿宋"/>
                <w:sz w:val="21"/>
                <w:szCs w:val="21"/>
              </w:rPr>
              <w:t>5</w:t>
            </w:r>
          </w:p>
        </w:tc>
        <w:tc>
          <w:tcPr>
            <w:tcW w:w="3859" w:type="dxa"/>
            <w:tcBorders>
              <w:top w:val="single" w:color="auto" w:sz="6" w:space="0"/>
              <w:left w:val="single" w:color="auto" w:sz="6" w:space="0"/>
              <w:bottom w:val="single" w:color="auto" w:sz="6" w:space="0"/>
              <w:right w:val="single" w:color="auto" w:sz="6" w:space="0"/>
            </w:tcBorders>
            <w:vAlign w:val="center"/>
          </w:tcPr>
          <w:p w14:paraId="1F374AAB">
            <w:pPr>
              <w:ind w:firstLine="100"/>
              <w:rPr>
                <w:rFonts w:hint="eastAsia" w:ascii="仿宋" w:hAnsi="仿宋" w:eastAsia="仿宋" w:cs="仿宋"/>
                <w:sz w:val="21"/>
                <w:szCs w:val="21"/>
              </w:rPr>
            </w:pPr>
            <w:r>
              <w:rPr>
                <w:rFonts w:hint="eastAsia" w:ascii="仿宋" w:hAnsi="仿宋" w:eastAsia="仿宋" w:cs="仿宋"/>
                <w:sz w:val="21"/>
                <w:szCs w:val="21"/>
              </w:rPr>
              <w:t>传真：</w:t>
            </w:r>
          </w:p>
        </w:tc>
        <w:tc>
          <w:tcPr>
            <w:tcW w:w="4738" w:type="dxa"/>
            <w:tcBorders>
              <w:top w:val="single" w:color="auto" w:sz="6" w:space="0"/>
              <w:left w:val="single" w:color="auto" w:sz="6" w:space="0"/>
              <w:bottom w:val="single" w:color="auto" w:sz="6" w:space="0"/>
              <w:right w:val="single" w:color="auto" w:sz="6" w:space="0"/>
            </w:tcBorders>
            <w:vAlign w:val="center"/>
          </w:tcPr>
          <w:p w14:paraId="27383BD1">
            <w:pPr>
              <w:ind w:firstLine="100"/>
              <w:rPr>
                <w:rFonts w:hint="eastAsia" w:ascii="仿宋" w:hAnsi="仿宋" w:eastAsia="仿宋" w:cs="仿宋"/>
                <w:sz w:val="21"/>
                <w:szCs w:val="21"/>
              </w:rPr>
            </w:pPr>
            <w:r>
              <w:rPr>
                <w:rFonts w:hint="eastAsia" w:ascii="仿宋" w:hAnsi="仿宋" w:eastAsia="仿宋" w:cs="仿宋"/>
                <w:sz w:val="21"/>
                <w:szCs w:val="21"/>
              </w:rPr>
              <w:t>电子邮箱：</w:t>
            </w:r>
          </w:p>
        </w:tc>
      </w:tr>
      <w:tr w14:paraId="33E7A1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5B83EBED">
            <w:pPr>
              <w:jc w:val="center"/>
              <w:rPr>
                <w:rFonts w:hint="eastAsia" w:ascii="仿宋" w:hAnsi="仿宋" w:eastAsia="仿宋" w:cs="仿宋"/>
                <w:sz w:val="21"/>
                <w:szCs w:val="21"/>
              </w:rPr>
            </w:pPr>
            <w:r>
              <w:rPr>
                <w:rFonts w:hint="eastAsia" w:ascii="仿宋" w:hAnsi="仿宋" w:eastAsia="仿宋" w:cs="仿宋"/>
                <w:sz w:val="21"/>
                <w:szCs w:val="21"/>
              </w:rPr>
              <w:t>6</w:t>
            </w:r>
          </w:p>
        </w:tc>
        <w:tc>
          <w:tcPr>
            <w:tcW w:w="3859" w:type="dxa"/>
            <w:tcBorders>
              <w:top w:val="single" w:color="auto" w:sz="6" w:space="0"/>
              <w:left w:val="single" w:color="auto" w:sz="6" w:space="0"/>
              <w:bottom w:val="single" w:color="auto" w:sz="6" w:space="0"/>
              <w:right w:val="single" w:color="auto" w:sz="6" w:space="0"/>
            </w:tcBorders>
            <w:vAlign w:val="center"/>
          </w:tcPr>
          <w:p w14:paraId="6EFED06A">
            <w:pPr>
              <w:ind w:firstLine="100"/>
              <w:rPr>
                <w:rFonts w:hint="eastAsia" w:ascii="仿宋" w:hAnsi="仿宋" w:eastAsia="仿宋" w:cs="仿宋"/>
                <w:sz w:val="21"/>
                <w:szCs w:val="21"/>
              </w:rPr>
            </w:pPr>
            <w:r>
              <w:rPr>
                <w:rFonts w:hint="eastAsia" w:ascii="仿宋" w:hAnsi="仿宋" w:eastAsia="仿宋" w:cs="仿宋"/>
                <w:sz w:val="21"/>
                <w:szCs w:val="21"/>
              </w:rPr>
              <w:t>注册地：</w:t>
            </w:r>
          </w:p>
        </w:tc>
        <w:tc>
          <w:tcPr>
            <w:tcW w:w="4738" w:type="dxa"/>
            <w:tcBorders>
              <w:top w:val="single" w:color="auto" w:sz="6" w:space="0"/>
              <w:left w:val="single" w:color="auto" w:sz="6" w:space="0"/>
              <w:bottom w:val="single" w:color="auto" w:sz="6" w:space="0"/>
              <w:right w:val="single" w:color="auto" w:sz="6" w:space="0"/>
            </w:tcBorders>
            <w:vAlign w:val="center"/>
          </w:tcPr>
          <w:p w14:paraId="408E733C">
            <w:pPr>
              <w:ind w:firstLine="100"/>
              <w:rPr>
                <w:rFonts w:hint="eastAsia" w:ascii="仿宋" w:hAnsi="仿宋" w:eastAsia="仿宋" w:cs="仿宋"/>
                <w:sz w:val="21"/>
                <w:szCs w:val="21"/>
              </w:rPr>
            </w:pPr>
            <w:r>
              <w:rPr>
                <w:rFonts w:hint="eastAsia" w:ascii="仿宋" w:hAnsi="仿宋" w:eastAsia="仿宋" w:cs="仿宋"/>
                <w:sz w:val="21"/>
                <w:szCs w:val="21"/>
              </w:rPr>
              <w:t>注册年份：</w:t>
            </w:r>
          </w:p>
        </w:tc>
      </w:tr>
      <w:tr w14:paraId="1B85B3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5819A0BF">
            <w:pPr>
              <w:jc w:val="center"/>
              <w:rPr>
                <w:rFonts w:hint="eastAsia" w:ascii="仿宋" w:hAnsi="仿宋" w:eastAsia="仿宋" w:cs="仿宋"/>
                <w:sz w:val="21"/>
                <w:szCs w:val="21"/>
              </w:rPr>
            </w:pPr>
            <w:r>
              <w:rPr>
                <w:rFonts w:hint="eastAsia" w:ascii="仿宋" w:hAnsi="仿宋" w:eastAsia="仿宋" w:cs="仿宋"/>
                <w:sz w:val="21"/>
                <w:szCs w:val="21"/>
              </w:rPr>
              <w:t>7</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6A38AE5A">
            <w:pPr>
              <w:ind w:firstLine="100"/>
              <w:rPr>
                <w:rFonts w:hint="eastAsia" w:ascii="仿宋" w:hAnsi="仿宋" w:eastAsia="仿宋" w:cs="仿宋"/>
                <w:sz w:val="21"/>
                <w:szCs w:val="21"/>
              </w:rPr>
            </w:pPr>
            <w:r>
              <w:rPr>
                <w:rFonts w:hint="eastAsia" w:ascii="仿宋" w:hAnsi="仿宋" w:eastAsia="仿宋" w:cs="仿宋"/>
                <w:sz w:val="21"/>
                <w:szCs w:val="21"/>
              </w:rPr>
              <w:t>统一社会信用代码：</w:t>
            </w:r>
          </w:p>
        </w:tc>
      </w:tr>
      <w:tr w14:paraId="3C75B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401"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733B5294">
            <w:pPr>
              <w:spacing w:line="360" w:lineRule="auto"/>
              <w:jc w:val="center"/>
              <w:rPr>
                <w:rFonts w:hint="eastAsia" w:ascii="仿宋" w:hAnsi="仿宋" w:eastAsia="仿宋" w:cs="仿宋"/>
                <w:sz w:val="21"/>
                <w:szCs w:val="21"/>
              </w:rPr>
            </w:pPr>
            <w:r>
              <w:rPr>
                <w:rFonts w:hint="eastAsia" w:ascii="仿宋" w:hAnsi="仿宋" w:eastAsia="仿宋" w:cs="仿宋"/>
                <w:sz w:val="21"/>
                <w:szCs w:val="21"/>
              </w:rPr>
              <w:t>8</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45DBE2EA">
            <w:pPr>
              <w:spacing w:line="360" w:lineRule="auto"/>
              <w:ind w:firstLine="100"/>
              <w:rPr>
                <w:rFonts w:hint="eastAsia" w:ascii="仿宋" w:hAnsi="仿宋" w:eastAsia="仿宋" w:cs="仿宋"/>
                <w:sz w:val="21"/>
                <w:szCs w:val="21"/>
              </w:rPr>
            </w:pPr>
            <w:r>
              <w:rPr>
                <w:rFonts w:hint="eastAsia" w:ascii="仿宋" w:hAnsi="仿宋" w:eastAsia="仿宋" w:cs="仿宋"/>
                <w:sz w:val="21"/>
                <w:szCs w:val="21"/>
              </w:rPr>
              <w:t>主营范围：</w:t>
            </w:r>
          </w:p>
          <w:p w14:paraId="1F9CFB42">
            <w:pPr>
              <w:spacing w:line="360" w:lineRule="auto"/>
              <w:ind w:firstLine="100"/>
              <w:rPr>
                <w:rFonts w:hint="eastAsia" w:ascii="仿宋" w:hAnsi="仿宋" w:eastAsia="仿宋" w:cs="仿宋"/>
                <w:sz w:val="21"/>
                <w:szCs w:val="21"/>
                <w:u w:val="single"/>
              </w:rPr>
            </w:pPr>
            <w:r>
              <w:rPr>
                <w:rFonts w:hint="eastAsia" w:ascii="仿宋" w:hAnsi="仿宋" w:eastAsia="仿宋" w:cs="仿宋"/>
                <w:sz w:val="21"/>
                <w:szCs w:val="21"/>
              </w:rPr>
              <w:t>1、</w:t>
            </w:r>
            <w:r>
              <w:rPr>
                <w:rFonts w:hint="eastAsia" w:ascii="仿宋" w:hAnsi="仿宋" w:eastAsia="仿宋" w:cs="仿宋"/>
                <w:sz w:val="21"/>
                <w:szCs w:val="21"/>
                <w:u w:val="single"/>
              </w:rPr>
              <w:tab/>
            </w:r>
            <w:r>
              <w:rPr>
                <w:rFonts w:hint="eastAsia" w:ascii="仿宋" w:hAnsi="仿宋" w:eastAsia="仿宋" w:cs="仿宋"/>
                <w:sz w:val="21"/>
                <w:szCs w:val="21"/>
                <w:u w:val="single"/>
              </w:rPr>
              <w:tab/>
            </w:r>
          </w:p>
          <w:p w14:paraId="645FDB0E">
            <w:pPr>
              <w:spacing w:line="360" w:lineRule="auto"/>
              <w:ind w:firstLine="100"/>
              <w:rPr>
                <w:rFonts w:hint="eastAsia" w:ascii="仿宋" w:hAnsi="仿宋" w:eastAsia="仿宋" w:cs="仿宋"/>
                <w:sz w:val="21"/>
                <w:szCs w:val="21"/>
              </w:rPr>
            </w:pPr>
            <w:r>
              <w:rPr>
                <w:rFonts w:hint="eastAsia" w:ascii="仿宋" w:hAnsi="仿宋" w:eastAsia="仿宋" w:cs="仿宋"/>
                <w:sz w:val="21"/>
                <w:szCs w:val="21"/>
              </w:rPr>
              <w:t>2、</w:t>
            </w:r>
            <w:r>
              <w:rPr>
                <w:rFonts w:hint="eastAsia" w:ascii="仿宋" w:hAnsi="仿宋" w:eastAsia="仿宋" w:cs="仿宋"/>
                <w:sz w:val="21"/>
                <w:szCs w:val="21"/>
                <w:u w:val="single"/>
              </w:rPr>
              <w:tab/>
            </w:r>
            <w:r>
              <w:rPr>
                <w:rFonts w:hint="eastAsia" w:ascii="仿宋" w:hAnsi="仿宋" w:eastAsia="仿宋" w:cs="仿宋"/>
                <w:sz w:val="21"/>
                <w:szCs w:val="21"/>
                <w:u w:val="single"/>
              </w:rPr>
              <w:tab/>
            </w:r>
          </w:p>
          <w:p w14:paraId="4C639E3F">
            <w:pPr>
              <w:spacing w:line="360" w:lineRule="auto"/>
              <w:ind w:firstLine="100"/>
              <w:rPr>
                <w:rFonts w:hint="eastAsia" w:ascii="仿宋" w:hAnsi="仿宋" w:eastAsia="仿宋" w:cs="仿宋"/>
                <w:sz w:val="21"/>
                <w:szCs w:val="21"/>
              </w:rPr>
            </w:pPr>
            <w:r>
              <w:rPr>
                <w:rFonts w:hint="eastAsia" w:ascii="仿宋" w:hAnsi="仿宋" w:eastAsia="仿宋" w:cs="仿宋"/>
                <w:sz w:val="21"/>
                <w:szCs w:val="21"/>
              </w:rPr>
              <w:t>3、</w:t>
            </w:r>
            <w:r>
              <w:rPr>
                <w:rFonts w:hint="eastAsia" w:ascii="仿宋" w:hAnsi="仿宋" w:eastAsia="仿宋" w:cs="仿宋"/>
                <w:sz w:val="21"/>
                <w:szCs w:val="21"/>
                <w:u w:val="single"/>
              </w:rPr>
              <w:tab/>
            </w:r>
            <w:r>
              <w:rPr>
                <w:rFonts w:hint="eastAsia" w:ascii="仿宋" w:hAnsi="仿宋" w:eastAsia="仿宋" w:cs="仿宋"/>
                <w:sz w:val="21"/>
                <w:szCs w:val="21"/>
                <w:u w:val="single"/>
              </w:rPr>
              <w:tab/>
            </w:r>
          </w:p>
          <w:p w14:paraId="24BAC1E3">
            <w:pPr>
              <w:spacing w:line="360" w:lineRule="auto"/>
              <w:ind w:firstLine="100"/>
              <w:rPr>
                <w:rFonts w:hint="eastAsia" w:ascii="仿宋" w:hAnsi="仿宋" w:eastAsia="仿宋" w:cs="仿宋"/>
                <w:sz w:val="21"/>
                <w:szCs w:val="21"/>
              </w:rPr>
            </w:pPr>
            <w:r>
              <w:rPr>
                <w:rFonts w:hint="eastAsia" w:ascii="仿宋" w:hAnsi="仿宋" w:eastAsia="仿宋" w:cs="仿宋"/>
                <w:sz w:val="21"/>
                <w:szCs w:val="21"/>
              </w:rPr>
              <w:t>4、</w:t>
            </w:r>
            <w:r>
              <w:rPr>
                <w:rFonts w:hint="eastAsia" w:ascii="仿宋" w:hAnsi="仿宋" w:eastAsia="仿宋" w:cs="仿宋"/>
                <w:sz w:val="21"/>
                <w:szCs w:val="21"/>
                <w:u w:val="single"/>
              </w:rPr>
              <w:tab/>
            </w:r>
            <w:r>
              <w:rPr>
                <w:rFonts w:hint="eastAsia" w:ascii="仿宋" w:hAnsi="仿宋" w:eastAsia="仿宋" w:cs="仿宋"/>
                <w:sz w:val="21"/>
                <w:szCs w:val="21"/>
                <w:u w:val="single"/>
              </w:rPr>
              <w:tab/>
            </w:r>
          </w:p>
          <w:p w14:paraId="2BACE3A1">
            <w:pPr>
              <w:spacing w:line="360" w:lineRule="auto"/>
              <w:ind w:firstLine="100"/>
              <w:rPr>
                <w:rFonts w:hint="eastAsia" w:ascii="仿宋" w:hAnsi="仿宋" w:eastAsia="仿宋" w:cs="仿宋"/>
                <w:sz w:val="21"/>
                <w:szCs w:val="21"/>
              </w:rPr>
            </w:pPr>
            <w:r>
              <w:rPr>
                <w:rFonts w:hint="eastAsia" w:ascii="仿宋" w:hAnsi="仿宋" w:eastAsia="仿宋" w:cs="仿宋"/>
                <w:sz w:val="21"/>
                <w:szCs w:val="21"/>
              </w:rPr>
              <w:t>…</w:t>
            </w:r>
          </w:p>
          <w:p w14:paraId="22A559E0">
            <w:pPr>
              <w:spacing w:line="360" w:lineRule="auto"/>
              <w:ind w:firstLine="100"/>
              <w:rPr>
                <w:rFonts w:hint="eastAsia" w:ascii="仿宋" w:hAnsi="仿宋" w:eastAsia="仿宋" w:cs="仿宋"/>
                <w:sz w:val="21"/>
                <w:szCs w:val="21"/>
              </w:rPr>
            </w:pPr>
            <w:r>
              <w:rPr>
                <w:rFonts w:hint="eastAsia" w:ascii="仿宋" w:hAnsi="仿宋" w:eastAsia="仿宋" w:cs="仿宋"/>
                <w:sz w:val="21"/>
                <w:szCs w:val="21"/>
              </w:rPr>
              <w:t>…</w:t>
            </w:r>
          </w:p>
        </w:tc>
      </w:tr>
      <w:tr w14:paraId="13D74D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80"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0BFA140E">
            <w:pPr>
              <w:jc w:val="center"/>
              <w:rPr>
                <w:rFonts w:hint="eastAsia" w:ascii="仿宋" w:hAnsi="仿宋" w:eastAsia="仿宋" w:cs="仿宋"/>
                <w:sz w:val="21"/>
                <w:szCs w:val="21"/>
              </w:rPr>
            </w:pPr>
            <w:r>
              <w:rPr>
                <w:rFonts w:hint="eastAsia" w:ascii="仿宋" w:hAnsi="仿宋" w:eastAsia="仿宋" w:cs="仿宋"/>
                <w:sz w:val="21"/>
                <w:szCs w:val="21"/>
              </w:rPr>
              <w:t>9</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13E002C7">
            <w:pPr>
              <w:spacing w:line="360" w:lineRule="auto"/>
              <w:ind w:firstLine="100"/>
              <w:rPr>
                <w:rFonts w:hint="eastAsia" w:ascii="仿宋" w:hAnsi="仿宋" w:eastAsia="仿宋" w:cs="仿宋"/>
                <w:sz w:val="21"/>
                <w:szCs w:val="21"/>
              </w:rPr>
            </w:pPr>
            <w:r>
              <w:rPr>
                <w:rFonts w:hint="eastAsia" w:ascii="仿宋" w:hAnsi="仿宋" w:eastAsia="仿宋" w:cs="仿宋"/>
                <w:sz w:val="21"/>
                <w:szCs w:val="21"/>
              </w:rPr>
              <w:t>其他需要说明的情况</w:t>
            </w:r>
          </w:p>
        </w:tc>
      </w:tr>
    </w:tbl>
    <w:p w14:paraId="45CFC20E">
      <w:pPr>
        <w:pStyle w:val="3"/>
        <w:jc w:val="center"/>
        <w:rPr>
          <w:rFonts w:hint="eastAsia" w:ascii="仿宋" w:hAnsi="仿宋" w:eastAsia="仿宋" w:cs="仿宋"/>
        </w:rPr>
      </w:pPr>
      <w:r>
        <w:rPr>
          <w:rFonts w:hint="eastAsia" w:ascii="仿宋" w:hAnsi="仿宋" w:eastAsia="仿宋" w:cs="仿宋"/>
        </w:rPr>
        <w:br w:type="page"/>
      </w:r>
      <w:bookmarkStart w:id="184" w:name="_Toc520749007"/>
      <w:bookmarkStart w:id="185" w:name="_Toc24745"/>
      <w:bookmarkStart w:id="186" w:name="_Toc4777"/>
      <w:r>
        <w:rPr>
          <w:rFonts w:hint="eastAsia" w:ascii="仿宋" w:hAnsi="仿宋" w:eastAsia="仿宋" w:cs="仿宋"/>
        </w:rPr>
        <w:t>（三）</w:t>
      </w:r>
      <w:bookmarkEnd w:id="184"/>
      <w:bookmarkEnd w:id="185"/>
      <w:r>
        <w:rPr>
          <w:rFonts w:hint="eastAsia" w:ascii="仿宋" w:hAnsi="仿宋" w:eastAsia="仿宋" w:cs="仿宋"/>
        </w:rPr>
        <w:t>政府采购二十二条要求</w:t>
      </w:r>
      <w:bookmarkEnd w:id="186"/>
    </w:p>
    <w:p w14:paraId="4E54691A">
      <w:pPr>
        <w:spacing w:line="360" w:lineRule="auto"/>
        <w:ind w:firstLine="540" w:firstLineChars="225"/>
        <w:jc w:val="center"/>
        <w:rPr>
          <w:rFonts w:hint="eastAsia" w:ascii="仿宋" w:hAnsi="仿宋" w:eastAsia="仿宋" w:cs="仿宋"/>
          <w:sz w:val="24"/>
          <w:szCs w:val="24"/>
        </w:rPr>
      </w:pPr>
      <w:r>
        <w:rPr>
          <w:rFonts w:hint="eastAsia" w:ascii="仿宋" w:hAnsi="仿宋" w:eastAsia="仿宋" w:cs="仿宋"/>
          <w:sz w:val="24"/>
          <w:szCs w:val="24"/>
        </w:rPr>
        <w:t>按第三章资格审查要求提供相应材料。</w:t>
      </w:r>
      <w:bookmarkStart w:id="187" w:name="_Toc520749014"/>
    </w:p>
    <w:p w14:paraId="1750F85E">
      <w:pPr>
        <w:pStyle w:val="3"/>
        <w:jc w:val="center"/>
        <w:rPr>
          <w:rFonts w:hint="eastAsia" w:ascii="仿宋" w:hAnsi="仿宋" w:eastAsia="仿宋" w:cs="仿宋"/>
        </w:rPr>
      </w:pPr>
      <w:bookmarkStart w:id="188" w:name="_Toc27497"/>
      <w:r>
        <w:rPr>
          <w:rFonts w:hint="eastAsia" w:ascii="仿宋" w:hAnsi="仿宋" w:eastAsia="仿宋" w:cs="仿宋"/>
        </w:rPr>
        <w:t>（四）</w:t>
      </w:r>
      <w:bookmarkEnd w:id="187"/>
      <w:bookmarkStart w:id="189" w:name="_Toc17222"/>
      <w:bookmarkStart w:id="190" w:name="_Toc520749017"/>
      <w:r>
        <w:rPr>
          <w:rFonts w:hint="eastAsia" w:ascii="仿宋" w:hAnsi="仿宋" w:eastAsia="仿宋" w:cs="仿宋"/>
        </w:rPr>
        <w:t>特定资格要求</w:t>
      </w:r>
      <w:bookmarkEnd w:id="188"/>
    </w:p>
    <w:p w14:paraId="1854F389">
      <w:pPr>
        <w:spacing w:line="360" w:lineRule="auto"/>
        <w:ind w:firstLine="540" w:firstLineChars="225"/>
        <w:jc w:val="center"/>
        <w:rPr>
          <w:rFonts w:hint="eastAsia" w:ascii="仿宋" w:hAnsi="仿宋" w:eastAsia="仿宋" w:cs="仿宋"/>
          <w:sz w:val="24"/>
          <w:szCs w:val="24"/>
        </w:rPr>
      </w:pPr>
      <w:r>
        <w:rPr>
          <w:rFonts w:hint="eastAsia" w:ascii="仿宋" w:hAnsi="仿宋" w:eastAsia="仿宋" w:cs="仿宋"/>
          <w:sz w:val="24"/>
          <w:szCs w:val="24"/>
        </w:rPr>
        <w:t>按第三章资格审查要求提供相应材料。</w:t>
      </w:r>
    </w:p>
    <w:p w14:paraId="0E0F89E4">
      <w:pPr>
        <w:pStyle w:val="3"/>
        <w:jc w:val="center"/>
        <w:rPr>
          <w:rFonts w:hint="eastAsia" w:ascii="仿宋" w:hAnsi="仿宋" w:eastAsia="仿宋" w:cs="仿宋"/>
          <w:sz w:val="24"/>
          <w:szCs w:val="24"/>
        </w:rPr>
      </w:pPr>
      <w:bookmarkStart w:id="191" w:name="_Toc21338"/>
      <w:r>
        <w:rPr>
          <w:rFonts w:hint="eastAsia" w:ascii="仿宋" w:hAnsi="仿宋" w:eastAsia="仿宋" w:cs="仿宋"/>
        </w:rPr>
        <w:t>（五）投标人不得存在以下情形</w:t>
      </w:r>
      <w:bookmarkEnd w:id="191"/>
    </w:p>
    <w:p w14:paraId="0529AF5F">
      <w:pPr>
        <w:spacing w:line="360" w:lineRule="auto"/>
        <w:ind w:firstLine="540" w:firstLineChars="225"/>
        <w:jc w:val="center"/>
        <w:rPr>
          <w:rFonts w:hint="eastAsia" w:ascii="仿宋" w:hAnsi="仿宋" w:eastAsia="仿宋" w:cs="仿宋"/>
          <w:sz w:val="24"/>
          <w:szCs w:val="24"/>
        </w:rPr>
      </w:pPr>
      <w:r>
        <w:rPr>
          <w:rFonts w:hint="eastAsia" w:ascii="仿宋" w:hAnsi="仿宋" w:eastAsia="仿宋" w:cs="仿宋"/>
          <w:sz w:val="24"/>
          <w:szCs w:val="24"/>
        </w:rPr>
        <w:t>按第三章资格审查要求提供相应材料。</w:t>
      </w:r>
    </w:p>
    <w:p w14:paraId="2B398430">
      <w:pPr>
        <w:spacing w:line="360" w:lineRule="auto"/>
        <w:ind w:firstLine="723" w:firstLineChars="225"/>
        <w:jc w:val="center"/>
        <w:rPr>
          <w:rFonts w:hint="eastAsia" w:ascii="仿宋" w:hAnsi="仿宋" w:eastAsia="仿宋" w:cs="仿宋"/>
          <w:b/>
          <w:bCs/>
          <w:sz w:val="32"/>
          <w:szCs w:val="32"/>
        </w:rPr>
      </w:pPr>
      <w:r>
        <w:rPr>
          <w:rFonts w:hint="eastAsia" w:ascii="仿宋" w:hAnsi="仿宋" w:eastAsia="仿宋" w:cs="仿宋"/>
          <w:b/>
          <w:bCs/>
          <w:sz w:val="32"/>
          <w:szCs w:val="32"/>
        </w:rPr>
        <w:t>（六）其他承诺书</w:t>
      </w:r>
    </w:p>
    <w:p w14:paraId="5890F383">
      <w:pPr>
        <w:spacing w:line="360" w:lineRule="auto"/>
        <w:ind w:firstLine="450" w:firstLineChars="225"/>
        <w:jc w:val="center"/>
        <w:rPr>
          <w:rFonts w:hint="eastAsia" w:ascii="仿宋" w:hAnsi="仿宋" w:eastAsia="仿宋" w:cs="仿宋"/>
          <w:b/>
          <w:bCs/>
          <w:sz w:val="32"/>
          <w:szCs w:val="32"/>
        </w:rPr>
      </w:pPr>
      <w:r>
        <w:rPr>
          <w:rFonts w:hint="eastAsia" w:ascii="仿宋" w:hAnsi="仿宋" w:eastAsia="仿宋" w:cs="仿宋"/>
          <w:bCs/>
          <w:szCs w:val="21"/>
        </w:rPr>
        <w:t>招标文件里要求的承诺书</w:t>
      </w:r>
      <w:r>
        <w:rPr>
          <w:rFonts w:hint="eastAsia" w:ascii="仿宋" w:hAnsi="仿宋" w:eastAsia="仿宋" w:cs="仿宋"/>
          <w:bCs/>
          <w:szCs w:val="21"/>
          <w:lang w:val="zh-CN"/>
        </w:rPr>
        <w:t>，格式自拟</w:t>
      </w:r>
    </w:p>
    <w:bookmarkEnd w:id="189"/>
    <w:bookmarkEnd w:id="190"/>
    <w:p w14:paraId="4BDACCC5">
      <w:pPr>
        <w:pStyle w:val="3"/>
        <w:jc w:val="center"/>
        <w:rPr>
          <w:rFonts w:hint="eastAsia" w:ascii="仿宋" w:hAnsi="仿宋" w:eastAsia="仿宋" w:cs="仿宋"/>
          <w:sz w:val="44"/>
          <w:szCs w:val="44"/>
        </w:rPr>
      </w:pPr>
      <w:bookmarkStart w:id="192" w:name="_Toc520749018"/>
      <w:bookmarkStart w:id="193" w:name="_Toc301184106"/>
      <w:bookmarkStart w:id="194" w:name="_Toc295344195"/>
      <w:r>
        <w:rPr>
          <w:rFonts w:hint="eastAsia" w:ascii="仿宋" w:hAnsi="仿宋" w:eastAsia="仿宋" w:cs="仿宋"/>
        </w:rPr>
        <w:br w:type="page"/>
      </w:r>
      <w:bookmarkStart w:id="195" w:name="_Toc29505"/>
      <w:bookmarkStart w:id="196" w:name="_Toc11304"/>
      <w:r>
        <w:rPr>
          <w:rFonts w:hint="eastAsia" w:ascii="仿宋" w:hAnsi="仿宋" w:eastAsia="仿宋" w:cs="仿宋"/>
        </w:rPr>
        <w:t>（六）</w:t>
      </w:r>
      <w:bookmarkEnd w:id="192"/>
      <w:bookmarkEnd w:id="193"/>
      <w:bookmarkEnd w:id="194"/>
      <w:bookmarkEnd w:id="195"/>
      <w:r>
        <w:rPr>
          <w:rFonts w:hint="eastAsia" w:ascii="仿宋" w:hAnsi="仿宋" w:eastAsia="仿宋" w:cs="仿宋"/>
        </w:rPr>
        <w:t>投标人承诺书</w:t>
      </w:r>
      <w:bookmarkEnd w:id="196"/>
    </w:p>
    <w:p w14:paraId="23EE75CA">
      <w:pPr>
        <w:widowControl w:val="0"/>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本企业参与</w:t>
      </w:r>
      <w:r>
        <w:rPr>
          <w:rFonts w:hint="eastAsia" w:ascii="仿宋" w:hAnsi="仿宋" w:eastAsia="仿宋" w:cs="仿宋"/>
          <w:sz w:val="21"/>
          <w:szCs w:val="21"/>
          <w:u w:val="single"/>
        </w:rPr>
        <w:t xml:space="preserve">                     </w:t>
      </w:r>
      <w:r>
        <w:rPr>
          <w:rFonts w:hint="eastAsia" w:ascii="仿宋" w:hAnsi="仿宋" w:eastAsia="仿宋" w:cs="仿宋"/>
          <w:sz w:val="21"/>
          <w:szCs w:val="21"/>
        </w:rPr>
        <w:t>项目的投标，现作如下承诺：</w:t>
      </w:r>
    </w:p>
    <w:p w14:paraId="0E298028">
      <w:pPr>
        <w:widowControl w:val="0"/>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1、我公司参与此次投标活动所提交的所有资料都是合法、真实、有效的。</w:t>
      </w:r>
    </w:p>
    <w:p w14:paraId="692633BA">
      <w:pPr>
        <w:widowControl w:val="0"/>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2、不与其他投标人串通投标、围标，依法、依规公平竞争，不损害招标人或其他投标人的合法权益。</w:t>
      </w:r>
    </w:p>
    <w:p w14:paraId="799B656C">
      <w:pPr>
        <w:widowControl w:val="0"/>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3、不转让、出租、出借资质证书、人员岗位证书，不以法律、法规禁止的方式投标。</w:t>
      </w:r>
    </w:p>
    <w:p w14:paraId="598ECDEE">
      <w:pPr>
        <w:widowControl w:val="0"/>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4、不与招标人或招标代理机构串通投标，不损害国家利益、社会公共利益或其他当事人的合法权益。</w:t>
      </w:r>
    </w:p>
    <w:p w14:paraId="567EFA4D">
      <w:pPr>
        <w:widowControl w:val="0"/>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5、不向招标人、评标委员会成员、监督人员行贿。</w:t>
      </w:r>
    </w:p>
    <w:p w14:paraId="605549D1">
      <w:pPr>
        <w:widowControl w:val="0"/>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6、不扰乱公共资源交易正常秩序。</w:t>
      </w:r>
    </w:p>
    <w:p w14:paraId="42FDBBB4">
      <w:pPr>
        <w:widowControl w:val="0"/>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7、不进行虚假恶意投诉。</w:t>
      </w:r>
    </w:p>
    <w:p w14:paraId="1B16CDFF">
      <w:pPr>
        <w:widowControl w:val="0"/>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8、因违反法律、法规或相关规定被查处的，不干预案件查处。</w:t>
      </w:r>
    </w:p>
    <w:p w14:paraId="54E96ECD">
      <w:pPr>
        <w:widowControl w:val="0"/>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如违反以上承诺，涉嫌违纪违法、犯罪的，由纪检监察机关、行政监管部门、公安机关依法调查处理。违法、违规或不良行为事实成立的，本投标人承担相关责任。给招标人造成损失的，依法承担赔偿责任。</w:t>
      </w:r>
    </w:p>
    <w:p w14:paraId="1A4C8D09">
      <w:pPr>
        <w:spacing w:line="360" w:lineRule="auto"/>
        <w:ind w:firstLine="441" w:firstLineChars="210"/>
        <w:rPr>
          <w:rFonts w:hint="eastAsia" w:ascii="仿宋" w:hAnsi="仿宋" w:eastAsia="仿宋" w:cs="仿宋"/>
          <w:sz w:val="21"/>
          <w:szCs w:val="21"/>
        </w:rPr>
      </w:pPr>
    </w:p>
    <w:p w14:paraId="05CB4E97">
      <w:pPr>
        <w:spacing w:line="360" w:lineRule="auto"/>
        <w:ind w:firstLine="441" w:firstLineChars="210"/>
        <w:rPr>
          <w:rFonts w:hint="eastAsia" w:ascii="仿宋" w:hAnsi="仿宋" w:eastAsia="仿宋" w:cs="仿宋"/>
          <w:sz w:val="21"/>
          <w:szCs w:val="21"/>
        </w:rPr>
      </w:pPr>
    </w:p>
    <w:p w14:paraId="6392B2CC">
      <w:pPr>
        <w:spacing w:line="360" w:lineRule="auto"/>
        <w:ind w:firstLine="441" w:firstLineChars="210"/>
        <w:rPr>
          <w:rFonts w:hint="eastAsia" w:ascii="仿宋" w:hAnsi="仿宋" w:eastAsia="仿宋" w:cs="仿宋"/>
          <w:sz w:val="21"/>
          <w:szCs w:val="21"/>
        </w:rPr>
      </w:pPr>
      <w:r>
        <w:rPr>
          <w:rFonts w:hint="eastAsia" w:ascii="仿宋" w:hAnsi="仿宋" w:eastAsia="仿宋" w:cs="仿宋"/>
          <w:sz w:val="21"/>
          <w:szCs w:val="21"/>
        </w:rPr>
        <w:t>投标人：</w:t>
      </w:r>
      <w:r>
        <w:rPr>
          <w:rFonts w:hint="eastAsia" w:ascii="仿宋" w:hAnsi="仿宋" w:eastAsia="仿宋" w:cs="仿宋"/>
          <w:sz w:val="21"/>
          <w:szCs w:val="21"/>
          <w:u w:val="single"/>
        </w:rPr>
        <w:t>（电子签章）</w:t>
      </w:r>
    </w:p>
    <w:p w14:paraId="0DE221F1">
      <w:pPr>
        <w:spacing w:line="360" w:lineRule="auto"/>
        <w:ind w:firstLine="441" w:firstLineChars="210"/>
        <w:rPr>
          <w:rFonts w:hint="eastAsia" w:ascii="仿宋" w:hAnsi="仿宋" w:eastAsia="仿宋" w:cs="仿宋"/>
          <w:sz w:val="21"/>
          <w:szCs w:val="21"/>
        </w:rPr>
      </w:pPr>
      <w:r>
        <w:rPr>
          <w:rFonts w:hint="eastAsia" w:ascii="仿宋" w:hAnsi="仿宋" w:eastAsia="仿宋" w:cs="仿宋"/>
          <w:sz w:val="21"/>
          <w:szCs w:val="21"/>
        </w:rPr>
        <w:t>法定代表人或其委托代理人：</w:t>
      </w:r>
      <w:r>
        <w:rPr>
          <w:rFonts w:hint="eastAsia" w:ascii="仿宋" w:hAnsi="仿宋" w:eastAsia="仿宋" w:cs="仿宋"/>
          <w:sz w:val="21"/>
          <w:szCs w:val="21"/>
          <w:u w:val="single"/>
        </w:rPr>
        <w:t>（签字或签章）</w:t>
      </w:r>
    </w:p>
    <w:p w14:paraId="373CC842">
      <w:pPr>
        <w:spacing w:line="360" w:lineRule="auto"/>
        <w:ind w:firstLine="441" w:firstLineChars="210"/>
        <w:rPr>
          <w:rFonts w:hint="eastAsia" w:ascii="仿宋" w:hAnsi="仿宋" w:eastAsia="仿宋" w:cs="仿宋"/>
          <w:b/>
          <w:sz w:val="21"/>
          <w:szCs w:val="21"/>
        </w:rPr>
      </w:pPr>
      <w:r>
        <w:rPr>
          <w:rFonts w:hint="eastAsia" w:ascii="仿宋" w:hAnsi="仿宋" w:eastAsia="仿宋" w:cs="仿宋"/>
          <w:sz w:val="21"/>
          <w:szCs w:val="21"/>
        </w:rPr>
        <w:t>日期：年月日</w:t>
      </w:r>
    </w:p>
    <w:p w14:paraId="31DB5E2D">
      <w:pPr>
        <w:spacing w:line="360" w:lineRule="auto"/>
        <w:ind w:firstLine="472" w:firstLineChars="225"/>
        <w:rPr>
          <w:rFonts w:hint="eastAsia" w:ascii="仿宋" w:hAnsi="仿宋" w:eastAsia="仿宋" w:cs="仿宋"/>
          <w:sz w:val="21"/>
          <w:szCs w:val="21"/>
        </w:rPr>
      </w:pPr>
    </w:p>
    <w:p w14:paraId="47B8A1CA">
      <w:pPr>
        <w:widowControl w:val="0"/>
        <w:spacing w:line="360" w:lineRule="auto"/>
        <w:rPr>
          <w:rFonts w:hint="eastAsia" w:ascii="仿宋" w:hAnsi="仿宋" w:eastAsia="仿宋" w:cs="仿宋"/>
          <w:sz w:val="21"/>
          <w:szCs w:val="22"/>
        </w:rPr>
      </w:pPr>
    </w:p>
    <w:p w14:paraId="11239A21">
      <w:pPr>
        <w:pStyle w:val="61"/>
        <w:spacing w:before="0" w:line="360" w:lineRule="auto"/>
        <w:jc w:val="center"/>
        <w:rPr>
          <w:rFonts w:hint="eastAsia" w:ascii="仿宋" w:hAnsi="仿宋" w:eastAsia="仿宋" w:cs="仿宋"/>
          <w:b/>
        </w:rPr>
      </w:pPr>
      <w:bookmarkStart w:id="197" w:name="_Toc152042580"/>
      <w:bookmarkStart w:id="198" w:name="_Toc144974860"/>
      <w:bookmarkStart w:id="199" w:name="_Toc152045791"/>
      <w:bookmarkStart w:id="200" w:name="_Toc179632811"/>
      <w:bookmarkStart w:id="201" w:name="_Toc31310"/>
      <w:bookmarkStart w:id="202" w:name="_Toc28162"/>
      <w:bookmarkStart w:id="203" w:name="_Toc520749019"/>
      <w:r>
        <w:rPr>
          <w:rFonts w:hint="eastAsia" w:ascii="仿宋" w:hAnsi="仿宋" w:eastAsia="仿宋" w:cs="仿宋"/>
          <w:b/>
        </w:rPr>
        <w:t>（七）法定代表人身份证明</w:t>
      </w:r>
      <w:bookmarkEnd w:id="197"/>
      <w:bookmarkEnd w:id="198"/>
      <w:bookmarkEnd w:id="199"/>
      <w:bookmarkEnd w:id="200"/>
      <w:r>
        <w:rPr>
          <w:rFonts w:hint="eastAsia" w:ascii="仿宋" w:hAnsi="仿宋" w:eastAsia="仿宋" w:cs="仿宋"/>
          <w:b/>
        </w:rPr>
        <w:t>书</w:t>
      </w:r>
      <w:bookmarkEnd w:id="201"/>
    </w:p>
    <w:p w14:paraId="1DDC8C01">
      <w:pPr>
        <w:spacing w:line="440" w:lineRule="exact"/>
        <w:rPr>
          <w:rFonts w:hint="eastAsia" w:ascii="仿宋" w:hAnsi="仿宋" w:eastAsia="仿宋" w:cs="仿宋"/>
        </w:rPr>
      </w:pPr>
    </w:p>
    <w:p w14:paraId="30F3B5B1">
      <w:pPr>
        <w:spacing w:line="440" w:lineRule="exact"/>
        <w:rPr>
          <w:rFonts w:hint="eastAsia" w:ascii="仿宋" w:hAnsi="仿宋" w:eastAsia="仿宋" w:cs="仿宋"/>
          <w:szCs w:val="21"/>
        </w:rPr>
      </w:pPr>
    </w:p>
    <w:p w14:paraId="108E0B0A">
      <w:pPr>
        <w:spacing w:line="440" w:lineRule="exact"/>
        <w:rPr>
          <w:rFonts w:hint="eastAsia" w:ascii="仿宋" w:hAnsi="仿宋" w:eastAsia="仿宋" w:cs="仿宋"/>
          <w:sz w:val="24"/>
        </w:rPr>
      </w:pPr>
      <w:r>
        <w:rPr>
          <w:rFonts w:hint="eastAsia" w:ascii="仿宋" w:hAnsi="仿宋" w:eastAsia="仿宋" w:cs="仿宋"/>
          <w:sz w:val="24"/>
        </w:rPr>
        <w:t>单位名称：</w:t>
      </w:r>
      <w:r>
        <w:rPr>
          <w:rFonts w:hint="eastAsia" w:ascii="仿宋" w:hAnsi="仿宋" w:eastAsia="仿宋" w:cs="仿宋"/>
          <w:sz w:val="24"/>
          <w:u w:val="single"/>
        </w:rPr>
        <w:t xml:space="preserve">                            </w:t>
      </w:r>
      <w:r>
        <w:rPr>
          <w:rFonts w:hint="eastAsia" w:ascii="仿宋" w:hAnsi="仿宋" w:eastAsia="仿宋" w:cs="仿宋"/>
          <w:sz w:val="24"/>
        </w:rPr>
        <w:t xml:space="preserve"> </w:t>
      </w:r>
    </w:p>
    <w:p w14:paraId="344A39E7">
      <w:pPr>
        <w:spacing w:line="440" w:lineRule="exact"/>
        <w:rPr>
          <w:rFonts w:hint="eastAsia" w:ascii="仿宋" w:hAnsi="仿宋" w:eastAsia="仿宋" w:cs="仿宋"/>
          <w:sz w:val="24"/>
        </w:rPr>
      </w:pPr>
      <w:r>
        <w:rPr>
          <w:rFonts w:hint="eastAsia" w:ascii="仿宋" w:hAnsi="仿宋" w:eastAsia="仿宋" w:cs="仿宋"/>
          <w:sz w:val="24"/>
        </w:rPr>
        <w:t>单位性质：</w:t>
      </w:r>
      <w:r>
        <w:rPr>
          <w:rFonts w:hint="eastAsia" w:ascii="仿宋" w:hAnsi="仿宋" w:eastAsia="仿宋" w:cs="仿宋"/>
          <w:sz w:val="24"/>
          <w:u w:val="single"/>
        </w:rPr>
        <w:t xml:space="preserve">                               </w:t>
      </w:r>
      <w:r>
        <w:rPr>
          <w:rFonts w:hint="eastAsia" w:ascii="仿宋" w:hAnsi="仿宋" w:eastAsia="仿宋" w:cs="仿宋"/>
          <w:sz w:val="24"/>
        </w:rPr>
        <w:t xml:space="preserve"> </w:t>
      </w:r>
    </w:p>
    <w:p w14:paraId="1E9C2065">
      <w:pPr>
        <w:spacing w:line="440" w:lineRule="exact"/>
        <w:rPr>
          <w:rFonts w:hint="eastAsia" w:ascii="仿宋" w:hAnsi="仿宋" w:eastAsia="仿宋" w:cs="仿宋"/>
          <w:sz w:val="24"/>
        </w:rPr>
      </w:pPr>
      <w:r>
        <w:rPr>
          <w:rFonts w:hint="eastAsia" w:ascii="仿宋" w:hAnsi="仿宋" w:eastAsia="仿宋" w:cs="仿宋"/>
          <w:sz w:val="24"/>
        </w:rPr>
        <w:t>地址：</w:t>
      </w:r>
      <w:r>
        <w:rPr>
          <w:rFonts w:hint="eastAsia" w:ascii="仿宋" w:hAnsi="仿宋" w:eastAsia="仿宋" w:cs="仿宋"/>
          <w:sz w:val="24"/>
          <w:u w:val="single"/>
        </w:rPr>
        <w:t xml:space="preserve">                                   </w:t>
      </w:r>
    </w:p>
    <w:p w14:paraId="6693957C">
      <w:pPr>
        <w:spacing w:line="440" w:lineRule="exact"/>
        <w:rPr>
          <w:rFonts w:hint="eastAsia" w:ascii="仿宋" w:hAnsi="仿宋" w:eastAsia="仿宋" w:cs="仿宋"/>
          <w:sz w:val="24"/>
        </w:rPr>
      </w:pPr>
      <w:r>
        <w:rPr>
          <w:rFonts w:hint="eastAsia" w:ascii="仿宋" w:hAnsi="仿宋" w:eastAsia="仿宋" w:cs="仿宋"/>
          <w:sz w:val="24"/>
        </w:rPr>
        <w:t>成立时间：</w:t>
      </w:r>
      <w:r>
        <w:rPr>
          <w:rFonts w:hint="eastAsia" w:ascii="仿宋" w:hAnsi="仿宋" w:eastAsia="仿宋" w:cs="仿宋"/>
          <w:sz w:val="24"/>
          <w:u w:val="single"/>
        </w:rPr>
        <w:t xml:space="preserve">         </w:t>
      </w:r>
      <w:r>
        <w:rPr>
          <w:rFonts w:hint="eastAsia" w:ascii="仿宋" w:hAnsi="仿宋" w:eastAsia="仿宋" w:cs="仿宋"/>
          <w:sz w:val="24"/>
        </w:rPr>
        <w:t xml:space="preserve"> 年</w:t>
      </w:r>
      <w:r>
        <w:rPr>
          <w:rFonts w:hint="eastAsia" w:ascii="仿宋" w:hAnsi="仿宋" w:eastAsia="仿宋" w:cs="仿宋"/>
          <w:sz w:val="24"/>
          <w:u w:val="single"/>
        </w:rPr>
        <w:t xml:space="preserve">       </w:t>
      </w:r>
      <w:r>
        <w:rPr>
          <w:rFonts w:hint="eastAsia" w:ascii="仿宋" w:hAnsi="仿宋" w:eastAsia="仿宋" w:cs="仿宋"/>
          <w:sz w:val="24"/>
        </w:rPr>
        <w:t xml:space="preserve"> 月</w:t>
      </w:r>
      <w:r>
        <w:rPr>
          <w:rFonts w:hint="eastAsia" w:ascii="仿宋" w:hAnsi="仿宋" w:eastAsia="仿宋" w:cs="仿宋"/>
          <w:sz w:val="24"/>
          <w:u w:val="single"/>
        </w:rPr>
        <w:t xml:space="preserve">       </w:t>
      </w:r>
      <w:r>
        <w:rPr>
          <w:rFonts w:hint="eastAsia" w:ascii="仿宋" w:hAnsi="仿宋" w:eastAsia="仿宋" w:cs="仿宋"/>
          <w:sz w:val="24"/>
        </w:rPr>
        <w:t xml:space="preserve"> 日</w:t>
      </w:r>
    </w:p>
    <w:p w14:paraId="46DAAB3C">
      <w:pPr>
        <w:spacing w:line="440" w:lineRule="exact"/>
        <w:rPr>
          <w:rFonts w:hint="eastAsia" w:ascii="仿宋" w:hAnsi="仿宋" w:eastAsia="仿宋" w:cs="仿宋"/>
          <w:sz w:val="24"/>
        </w:rPr>
      </w:pPr>
      <w:r>
        <w:rPr>
          <w:rFonts w:hint="eastAsia" w:ascii="仿宋" w:hAnsi="仿宋" w:eastAsia="仿宋" w:cs="仿宋"/>
          <w:sz w:val="24"/>
        </w:rPr>
        <w:t>经营期限：</w:t>
      </w:r>
      <w:r>
        <w:rPr>
          <w:rFonts w:hint="eastAsia" w:ascii="仿宋" w:hAnsi="仿宋" w:eastAsia="仿宋" w:cs="仿宋"/>
          <w:sz w:val="24"/>
          <w:u w:val="single"/>
        </w:rPr>
        <w:t xml:space="preserve">                               </w:t>
      </w:r>
    </w:p>
    <w:p w14:paraId="4DE7F9EF">
      <w:pPr>
        <w:spacing w:line="440" w:lineRule="exact"/>
        <w:rPr>
          <w:rFonts w:hint="eastAsia" w:ascii="仿宋" w:hAnsi="仿宋" w:eastAsia="仿宋" w:cs="仿宋"/>
          <w:sz w:val="24"/>
        </w:rPr>
      </w:pPr>
      <w:r>
        <w:rPr>
          <w:rFonts w:hint="eastAsia" w:ascii="仿宋" w:hAnsi="仿宋" w:eastAsia="仿宋" w:cs="仿宋"/>
          <w:sz w:val="24"/>
        </w:rPr>
        <w:t>姓名：</w:t>
      </w:r>
      <w:r>
        <w:rPr>
          <w:rFonts w:hint="eastAsia" w:ascii="仿宋" w:hAnsi="仿宋" w:eastAsia="仿宋" w:cs="仿宋"/>
          <w:sz w:val="24"/>
          <w:u w:val="single"/>
        </w:rPr>
        <w:t xml:space="preserve">        </w:t>
      </w:r>
      <w:r>
        <w:rPr>
          <w:rFonts w:hint="eastAsia" w:ascii="仿宋" w:hAnsi="仿宋" w:eastAsia="仿宋" w:cs="仿宋"/>
          <w:sz w:val="24"/>
        </w:rPr>
        <w:t xml:space="preserve"> 性别：</w:t>
      </w:r>
      <w:r>
        <w:rPr>
          <w:rFonts w:hint="eastAsia" w:ascii="仿宋" w:hAnsi="仿宋" w:eastAsia="仿宋" w:cs="仿宋"/>
          <w:sz w:val="24"/>
          <w:u w:val="single"/>
        </w:rPr>
        <w:t xml:space="preserve">         </w:t>
      </w:r>
      <w:r>
        <w:rPr>
          <w:rFonts w:hint="eastAsia" w:ascii="仿宋" w:hAnsi="仿宋" w:eastAsia="仿宋" w:cs="仿宋"/>
          <w:sz w:val="24"/>
        </w:rPr>
        <w:t xml:space="preserve"> 年龄：</w:t>
      </w:r>
      <w:r>
        <w:rPr>
          <w:rFonts w:hint="eastAsia" w:ascii="仿宋" w:hAnsi="仿宋" w:eastAsia="仿宋" w:cs="仿宋"/>
          <w:sz w:val="24"/>
          <w:u w:val="single"/>
        </w:rPr>
        <w:t xml:space="preserve">        </w:t>
      </w:r>
      <w:r>
        <w:rPr>
          <w:rFonts w:hint="eastAsia" w:ascii="仿宋" w:hAnsi="仿宋" w:eastAsia="仿宋" w:cs="仿宋"/>
          <w:sz w:val="24"/>
        </w:rPr>
        <w:t>职务：</w:t>
      </w:r>
      <w:r>
        <w:rPr>
          <w:rFonts w:hint="eastAsia" w:ascii="仿宋" w:hAnsi="仿宋" w:eastAsia="仿宋" w:cs="仿宋"/>
          <w:sz w:val="24"/>
          <w:u w:val="single"/>
        </w:rPr>
        <w:t xml:space="preserve">        </w:t>
      </w:r>
    </w:p>
    <w:p w14:paraId="576C1732">
      <w:pPr>
        <w:spacing w:line="440" w:lineRule="exact"/>
        <w:rPr>
          <w:rFonts w:hint="eastAsia" w:ascii="仿宋" w:hAnsi="仿宋" w:eastAsia="仿宋" w:cs="仿宋"/>
          <w:sz w:val="24"/>
        </w:rPr>
      </w:pPr>
      <w:r>
        <w:rPr>
          <w:rFonts w:hint="eastAsia" w:ascii="仿宋" w:hAnsi="仿宋" w:eastAsia="仿宋" w:cs="仿宋"/>
          <w:sz w:val="24"/>
        </w:rPr>
        <w:t>系</w:t>
      </w:r>
      <w:r>
        <w:rPr>
          <w:rFonts w:hint="eastAsia" w:ascii="仿宋" w:hAnsi="仿宋" w:eastAsia="仿宋" w:cs="仿宋"/>
          <w:sz w:val="24"/>
          <w:u w:val="single"/>
        </w:rPr>
        <w:t xml:space="preserve">                             </w:t>
      </w:r>
      <w:r>
        <w:rPr>
          <w:rFonts w:hint="eastAsia" w:ascii="仿宋" w:hAnsi="仿宋" w:eastAsia="仿宋" w:cs="仿宋"/>
          <w:sz w:val="24"/>
        </w:rPr>
        <w:t xml:space="preserve"> （投标人名称）的法定代表人。</w:t>
      </w:r>
    </w:p>
    <w:p w14:paraId="68C2BD0B">
      <w:pPr>
        <w:spacing w:line="440" w:lineRule="exact"/>
        <w:ind w:firstLine="480" w:firstLineChars="200"/>
        <w:rPr>
          <w:rFonts w:hint="eastAsia" w:ascii="仿宋" w:hAnsi="仿宋" w:eastAsia="仿宋" w:cs="仿宋"/>
          <w:sz w:val="24"/>
        </w:rPr>
      </w:pPr>
      <w:r>
        <w:rPr>
          <w:rFonts w:hint="eastAsia" w:ascii="仿宋" w:hAnsi="仿宋" w:eastAsia="仿宋" w:cs="仿宋"/>
          <w:sz w:val="24"/>
        </w:rPr>
        <w:t>特此证明。</w:t>
      </w:r>
    </w:p>
    <w:p w14:paraId="11DB2DB5">
      <w:pPr>
        <w:spacing w:line="440" w:lineRule="exact"/>
        <w:rPr>
          <w:rFonts w:hint="eastAsia" w:ascii="仿宋" w:hAnsi="仿宋" w:eastAsia="仿宋" w:cs="仿宋"/>
          <w:sz w:val="24"/>
        </w:rPr>
      </w:pPr>
    </w:p>
    <w:p w14:paraId="20754303">
      <w:pPr>
        <w:spacing w:line="440" w:lineRule="exact"/>
        <w:rPr>
          <w:rFonts w:hint="eastAsia" w:ascii="仿宋" w:hAnsi="仿宋" w:eastAsia="仿宋" w:cs="仿宋"/>
          <w:sz w:val="24"/>
        </w:rPr>
      </w:pPr>
      <w:r>
        <w:rPr>
          <w:rFonts w:hint="eastAsia" w:ascii="仿宋" w:hAnsi="仿宋" w:eastAsia="仿宋" w:cs="仿宋"/>
          <w:sz w:val="24"/>
        </w:rPr>
        <w:t>附：法定代表人身份证扫描件。</w:t>
      </w:r>
    </w:p>
    <w:p w14:paraId="4D987DCA">
      <w:pPr>
        <w:spacing w:line="440" w:lineRule="exact"/>
        <w:rPr>
          <w:rFonts w:hint="eastAsia" w:ascii="仿宋" w:hAnsi="仿宋" w:eastAsia="仿宋" w:cs="仿宋"/>
          <w:sz w:val="24"/>
        </w:rPr>
      </w:pPr>
    </w:p>
    <w:p w14:paraId="6E1E94F5">
      <w:pPr>
        <w:spacing w:line="440" w:lineRule="exact"/>
        <w:rPr>
          <w:rFonts w:hint="eastAsia" w:ascii="仿宋" w:hAnsi="仿宋" w:eastAsia="仿宋" w:cs="仿宋"/>
          <w:sz w:val="24"/>
        </w:rPr>
      </w:pPr>
    </w:p>
    <w:p w14:paraId="26456E65">
      <w:pPr>
        <w:spacing w:line="440" w:lineRule="exact"/>
        <w:rPr>
          <w:rFonts w:hint="eastAsia" w:ascii="仿宋" w:hAnsi="仿宋" w:eastAsia="仿宋" w:cs="仿宋"/>
          <w:sz w:val="24"/>
        </w:rPr>
      </w:pPr>
      <w:r>
        <w:rPr>
          <w:rFonts w:hint="eastAsia" w:ascii="仿宋" w:hAnsi="仿宋" w:eastAsia="仿宋" w:cs="仿宋"/>
          <w:sz w:val="24"/>
        </w:rPr>
        <w:t xml:space="preserve">                          投标人：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50A8E80A">
      <w:pPr>
        <w:spacing w:line="440" w:lineRule="exact"/>
        <w:rPr>
          <w:rFonts w:hint="eastAsia" w:ascii="仿宋" w:hAnsi="仿宋" w:eastAsia="仿宋" w:cs="仿宋"/>
          <w:szCs w:val="21"/>
        </w:rPr>
      </w:pPr>
      <w:r>
        <w:rPr>
          <w:rFonts w:hint="eastAsia" w:ascii="仿宋" w:hAnsi="仿宋" w:eastAsia="仿宋" w:cs="仿宋"/>
          <w:sz w:val="24"/>
        </w:rPr>
        <w:t xml:space="preserve">                                   </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r>
        <w:rPr>
          <w:rFonts w:hint="eastAsia" w:ascii="仿宋" w:hAnsi="仿宋" w:eastAsia="仿宋" w:cs="仿宋"/>
          <w:szCs w:val="21"/>
        </w:rPr>
        <w:t xml:space="preserve">           </w:t>
      </w:r>
    </w:p>
    <w:p w14:paraId="7ADAAF2E">
      <w:pPr>
        <w:spacing w:line="440" w:lineRule="exact"/>
        <w:jc w:val="center"/>
        <w:rPr>
          <w:rFonts w:hint="eastAsia" w:ascii="仿宋" w:hAnsi="仿宋" w:eastAsia="仿宋" w:cs="仿宋"/>
        </w:rPr>
      </w:pPr>
      <w:r>
        <w:rPr>
          <w:rFonts w:hint="eastAsia" w:ascii="仿宋" w:hAnsi="仿宋" w:eastAsia="仿宋" w:cs="仿宋"/>
        </w:rPr>
        <w:br w:type="page"/>
      </w:r>
    </w:p>
    <w:p w14:paraId="327F78F7">
      <w:pPr>
        <w:pStyle w:val="61"/>
        <w:spacing w:before="0" w:line="360" w:lineRule="auto"/>
        <w:jc w:val="center"/>
        <w:rPr>
          <w:rFonts w:hint="eastAsia" w:ascii="仿宋" w:hAnsi="仿宋" w:eastAsia="仿宋" w:cs="仿宋"/>
          <w:b/>
        </w:rPr>
      </w:pPr>
      <w:bookmarkStart w:id="204" w:name="_Toc9947"/>
      <w:bookmarkStart w:id="205" w:name="_Toc179632812"/>
      <w:bookmarkStart w:id="206" w:name="_Toc144974861"/>
      <w:bookmarkStart w:id="207" w:name="_Toc152045792"/>
      <w:bookmarkStart w:id="208" w:name="_Toc152042581"/>
      <w:r>
        <w:rPr>
          <w:rFonts w:hint="eastAsia" w:ascii="仿宋" w:hAnsi="仿宋" w:eastAsia="仿宋" w:cs="仿宋"/>
          <w:b/>
        </w:rPr>
        <w:t>（八）授权委托书</w:t>
      </w:r>
      <w:bookmarkEnd w:id="204"/>
      <w:bookmarkEnd w:id="205"/>
      <w:bookmarkEnd w:id="206"/>
      <w:bookmarkEnd w:id="207"/>
      <w:bookmarkEnd w:id="208"/>
    </w:p>
    <w:p w14:paraId="5F505BF1">
      <w:pPr>
        <w:spacing w:line="440" w:lineRule="exact"/>
        <w:rPr>
          <w:rFonts w:hint="eastAsia" w:ascii="仿宋" w:hAnsi="仿宋" w:eastAsia="仿宋" w:cs="仿宋"/>
          <w:szCs w:val="21"/>
        </w:rPr>
      </w:pPr>
    </w:p>
    <w:p w14:paraId="28E41FF1">
      <w:pPr>
        <w:topLinePunct/>
        <w:spacing w:line="440" w:lineRule="exact"/>
        <w:ind w:firstLine="480" w:firstLineChars="200"/>
        <w:rPr>
          <w:rFonts w:hint="eastAsia" w:ascii="仿宋" w:hAnsi="仿宋" w:eastAsia="仿宋" w:cs="仿宋"/>
          <w:sz w:val="24"/>
          <w:u w:val="single"/>
        </w:rPr>
      </w:pPr>
      <w:r>
        <w:rPr>
          <w:rFonts w:hint="eastAsia" w:ascii="仿宋" w:hAnsi="仿宋" w:eastAsia="仿宋" w:cs="仿宋"/>
          <w:sz w:val="24"/>
        </w:rPr>
        <w:t>本人</w:t>
      </w:r>
      <w:r>
        <w:rPr>
          <w:rFonts w:hint="eastAsia" w:ascii="仿宋" w:hAnsi="仿宋" w:eastAsia="仿宋" w:cs="仿宋"/>
          <w:sz w:val="24"/>
          <w:u w:val="single"/>
        </w:rPr>
        <w:t xml:space="preserve">       </w:t>
      </w:r>
      <w:r>
        <w:rPr>
          <w:rFonts w:hint="eastAsia" w:ascii="仿宋" w:hAnsi="仿宋" w:eastAsia="仿宋" w:cs="仿宋"/>
          <w:sz w:val="24"/>
        </w:rPr>
        <w:t>（姓名）系</w:t>
      </w:r>
      <w:r>
        <w:rPr>
          <w:rFonts w:hint="eastAsia" w:ascii="仿宋" w:hAnsi="仿宋" w:eastAsia="仿宋" w:cs="仿宋"/>
          <w:sz w:val="24"/>
          <w:u w:val="single"/>
        </w:rPr>
        <w:t xml:space="preserve">        </w:t>
      </w:r>
      <w:r>
        <w:rPr>
          <w:rFonts w:hint="eastAsia" w:ascii="仿宋" w:hAnsi="仿宋" w:eastAsia="仿宋" w:cs="仿宋"/>
          <w:sz w:val="24"/>
        </w:rPr>
        <w:t>（投标人名称）的法定代表人，现委托</w:t>
      </w:r>
      <w:r>
        <w:rPr>
          <w:rFonts w:hint="eastAsia" w:ascii="仿宋" w:hAnsi="仿宋" w:eastAsia="仿宋" w:cs="仿宋"/>
          <w:sz w:val="24"/>
          <w:u w:val="single"/>
        </w:rPr>
        <w:t xml:space="preserve">        </w:t>
      </w:r>
      <w:r>
        <w:rPr>
          <w:rFonts w:hint="eastAsia" w:ascii="仿宋" w:hAnsi="仿宋" w:eastAsia="仿宋" w:cs="仿宋"/>
          <w:sz w:val="24"/>
        </w:rPr>
        <w:t>（姓名）为我方代理人。代理人根据授权，以我方名义签署、澄清、说明、补正、递交、撤回、修改</w:t>
      </w:r>
      <w:r>
        <w:rPr>
          <w:rFonts w:hint="eastAsia" w:ascii="仿宋" w:hAnsi="仿宋" w:eastAsia="仿宋" w:cs="仿宋"/>
          <w:sz w:val="24"/>
          <w:u w:val="single"/>
        </w:rPr>
        <w:t xml:space="preserve">           </w:t>
      </w:r>
      <w:r>
        <w:rPr>
          <w:rFonts w:hint="eastAsia" w:ascii="仿宋" w:hAnsi="仿宋" w:eastAsia="仿宋" w:cs="仿宋"/>
          <w:sz w:val="24"/>
        </w:rPr>
        <w:t>（项目名称）</w:t>
      </w:r>
      <w:r>
        <w:rPr>
          <w:rFonts w:hint="eastAsia" w:ascii="仿宋" w:hAnsi="仿宋" w:eastAsia="仿宋" w:cs="仿宋"/>
          <w:sz w:val="24"/>
          <w:u w:val="single"/>
        </w:rPr>
        <w:t xml:space="preserve">   标包</w:t>
      </w:r>
      <w:r>
        <w:rPr>
          <w:rFonts w:hint="eastAsia" w:ascii="仿宋" w:hAnsi="仿宋" w:eastAsia="仿宋" w:cs="仿宋"/>
          <w:sz w:val="24"/>
        </w:rPr>
        <w:t>投标文件、签订合同和处理有关事宜，其法律后果由我方承担。</w:t>
      </w:r>
    </w:p>
    <w:p w14:paraId="52AA2FE6">
      <w:pPr>
        <w:spacing w:line="440" w:lineRule="exact"/>
        <w:rPr>
          <w:rFonts w:hint="eastAsia" w:ascii="仿宋" w:hAnsi="仿宋" w:eastAsia="仿宋" w:cs="仿宋"/>
          <w:sz w:val="24"/>
        </w:rPr>
      </w:pPr>
      <w:r>
        <w:rPr>
          <w:rFonts w:hint="eastAsia" w:ascii="仿宋" w:hAnsi="仿宋" w:eastAsia="仿宋" w:cs="仿宋"/>
          <w:sz w:val="24"/>
        </w:rPr>
        <w:t xml:space="preserve">    委托期限：</w:t>
      </w:r>
      <w:r>
        <w:rPr>
          <w:rFonts w:hint="eastAsia" w:ascii="仿宋" w:hAnsi="仿宋" w:eastAsia="仿宋" w:cs="仿宋"/>
          <w:sz w:val="24"/>
          <w:u w:val="single"/>
        </w:rPr>
        <w:t xml:space="preserve">             </w:t>
      </w:r>
      <w:r>
        <w:rPr>
          <w:rFonts w:hint="eastAsia" w:ascii="仿宋" w:hAnsi="仿宋" w:eastAsia="仿宋" w:cs="仿宋"/>
          <w:sz w:val="24"/>
        </w:rPr>
        <w:t>。</w:t>
      </w:r>
    </w:p>
    <w:p w14:paraId="65FC721B">
      <w:pPr>
        <w:spacing w:line="440" w:lineRule="exact"/>
        <w:ind w:firstLine="480" w:firstLineChars="200"/>
        <w:rPr>
          <w:rFonts w:hint="eastAsia" w:ascii="仿宋" w:hAnsi="仿宋" w:eastAsia="仿宋" w:cs="仿宋"/>
          <w:sz w:val="24"/>
        </w:rPr>
      </w:pPr>
      <w:r>
        <w:rPr>
          <w:rFonts w:hint="eastAsia" w:ascii="仿宋" w:hAnsi="仿宋" w:eastAsia="仿宋" w:cs="仿宋"/>
          <w:sz w:val="24"/>
        </w:rPr>
        <w:t>代理人无转委托权。</w:t>
      </w:r>
    </w:p>
    <w:p w14:paraId="20B250B3">
      <w:pPr>
        <w:spacing w:line="440" w:lineRule="exact"/>
        <w:ind w:firstLine="480" w:firstLineChars="200"/>
        <w:rPr>
          <w:rFonts w:hint="eastAsia" w:ascii="仿宋" w:hAnsi="仿宋" w:eastAsia="仿宋" w:cs="仿宋"/>
          <w:sz w:val="24"/>
        </w:rPr>
      </w:pPr>
      <w:r>
        <w:rPr>
          <w:rFonts w:hint="eastAsia" w:ascii="仿宋" w:hAnsi="仿宋" w:eastAsia="仿宋" w:cs="仿宋"/>
          <w:sz w:val="24"/>
        </w:rPr>
        <w:t>附：委托代理人身份证扫描件。</w:t>
      </w:r>
    </w:p>
    <w:p w14:paraId="73CEA32A">
      <w:pPr>
        <w:spacing w:line="440" w:lineRule="exact"/>
        <w:rPr>
          <w:rFonts w:hint="eastAsia" w:ascii="仿宋" w:hAnsi="仿宋" w:eastAsia="仿宋" w:cs="仿宋"/>
          <w:sz w:val="24"/>
        </w:rPr>
      </w:pPr>
    </w:p>
    <w:p w14:paraId="59566EAE">
      <w:pPr>
        <w:spacing w:line="440" w:lineRule="exact"/>
        <w:rPr>
          <w:rFonts w:hint="eastAsia" w:ascii="仿宋" w:hAnsi="仿宋" w:eastAsia="仿宋" w:cs="仿宋"/>
          <w:sz w:val="24"/>
        </w:rPr>
      </w:pPr>
    </w:p>
    <w:p w14:paraId="63E0DCC1">
      <w:pPr>
        <w:spacing w:line="440" w:lineRule="exact"/>
        <w:rPr>
          <w:rFonts w:hint="eastAsia"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4481C642">
      <w:pPr>
        <w:spacing w:line="440" w:lineRule="exact"/>
        <w:rPr>
          <w:rFonts w:hint="eastAsia" w:ascii="仿宋" w:hAnsi="仿宋" w:eastAsia="仿宋" w:cs="仿宋"/>
          <w:sz w:val="24"/>
        </w:rPr>
      </w:pPr>
      <w:r>
        <w:rPr>
          <w:rFonts w:hint="eastAsia" w:ascii="仿宋" w:hAnsi="仿宋" w:eastAsia="仿宋" w:cs="仿宋"/>
          <w:sz w:val="24"/>
        </w:rPr>
        <w:t>法定代表人：</w:t>
      </w:r>
      <w:r>
        <w:rPr>
          <w:rFonts w:hint="eastAsia" w:ascii="仿宋" w:hAnsi="仿宋" w:eastAsia="仿宋" w:cs="仿宋"/>
          <w:sz w:val="24"/>
          <w:u w:val="single"/>
        </w:rPr>
        <w:t xml:space="preserve">                               </w:t>
      </w:r>
      <w:r>
        <w:rPr>
          <w:rFonts w:hint="eastAsia" w:ascii="仿宋" w:hAnsi="仿宋" w:eastAsia="仿宋" w:cs="仿宋"/>
          <w:sz w:val="24"/>
        </w:rPr>
        <w:t>（签字或签章）</w:t>
      </w:r>
    </w:p>
    <w:p w14:paraId="419FAC44">
      <w:pPr>
        <w:spacing w:line="440" w:lineRule="exact"/>
        <w:rPr>
          <w:rFonts w:hint="eastAsia" w:ascii="仿宋" w:hAnsi="仿宋" w:eastAsia="仿宋" w:cs="仿宋"/>
          <w:sz w:val="24"/>
        </w:rPr>
      </w:pPr>
      <w:r>
        <w:rPr>
          <w:rFonts w:hint="eastAsia" w:ascii="仿宋" w:hAnsi="仿宋" w:eastAsia="仿宋" w:cs="仿宋"/>
          <w:sz w:val="24"/>
        </w:rPr>
        <w:t>身份证号码：</w:t>
      </w:r>
      <w:r>
        <w:rPr>
          <w:rFonts w:hint="eastAsia" w:ascii="仿宋" w:hAnsi="仿宋" w:eastAsia="仿宋" w:cs="仿宋"/>
          <w:sz w:val="24"/>
          <w:u w:val="single"/>
        </w:rPr>
        <w:t xml:space="preserve">                                     </w:t>
      </w:r>
    </w:p>
    <w:p w14:paraId="25A081D3">
      <w:pPr>
        <w:spacing w:line="440" w:lineRule="exact"/>
        <w:rPr>
          <w:rFonts w:hint="eastAsia" w:ascii="仿宋" w:hAnsi="仿宋" w:eastAsia="仿宋" w:cs="仿宋"/>
          <w:sz w:val="24"/>
        </w:rPr>
      </w:pPr>
      <w:r>
        <w:rPr>
          <w:rFonts w:hint="eastAsia" w:ascii="仿宋" w:hAnsi="仿宋" w:eastAsia="仿宋" w:cs="仿宋"/>
          <w:sz w:val="24"/>
        </w:rPr>
        <w:t>委托代理人：</w:t>
      </w:r>
      <w:r>
        <w:rPr>
          <w:rFonts w:hint="eastAsia" w:ascii="仿宋" w:hAnsi="仿宋" w:eastAsia="仿宋" w:cs="仿宋"/>
          <w:sz w:val="24"/>
          <w:u w:val="single"/>
        </w:rPr>
        <w:t xml:space="preserve">                                   </w:t>
      </w:r>
    </w:p>
    <w:p w14:paraId="19A13C51">
      <w:pPr>
        <w:spacing w:line="440" w:lineRule="exact"/>
        <w:rPr>
          <w:rFonts w:hint="eastAsia" w:ascii="仿宋" w:hAnsi="仿宋" w:eastAsia="仿宋" w:cs="仿宋"/>
          <w:sz w:val="24"/>
        </w:rPr>
      </w:pPr>
      <w:r>
        <w:rPr>
          <w:rFonts w:hint="eastAsia" w:ascii="仿宋" w:hAnsi="仿宋" w:eastAsia="仿宋" w:cs="仿宋"/>
          <w:sz w:val="24"/>
        </w:rPr>
        <w:t>身份证号码：</w:t>
      </w:r>
      <w:r>
        <w:rPr>
          <w:rFonts w:hint="eastAsia" w:ascii="仿宋" w:hAnsi="仿宋" w:eastAsia="仿宋" w:cs="仿宋"/>
          <w:sz w:val="24"/>
          <w:u w:val="single"/>
        </w:rPr>
        <w:t xml:space="preserve">                                      </w:t>
      </w:r>
    </w:p>
    <w:p w14:paraId="5993BFE6">
      <w:pPr>
        <w:spacing w:line="440" w:lineRule="exact"/>
        <w:rPr>
          <w:rFonts w:hint="eastAsia" w:ascii="仿宋" w:hAnsi="仿宋" w:eastAsia="仿宋" w:cs="仿宋"/>
          <w:szCs w:val="21"/>
        </w:rPr>
      </w:pPr>
    </w:p>
    <w:p w14:paraId="1435B78B">
      <w:pPr>
        <w:spacing w:line="440" w:lineRule="exact"/>
        <w:rPr>
          <w:rFonts w:hint="eastAsia" w:ascii="仿宋" w:hAnsi="仿宋" w:eastAsia="仿宋" w:cs="仿宋"/>
          <w:szCs w:val="21"/>
        </w:rPr>
      </w:pPr>
    </w:p>
    <w:p w14:paraId="6BCF12EE">
      <w:pPr>
        <w:spacing w:line="440" w:lineRule="exact"/>
        <w:ind w:firstLine="2200" w:firstLineChars="1100"/>
        <w:rPr>
          <w:rFonts w:hint="eastAsia" w:ascii="仿宋" w:hAnsi="仿宋" w:eastAsia="仿宋" w:cs="仿宋"/>
          <w:szCs w:val="21"/>
        </w:rPr>
      </w:pP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bookmarkEnd w:id="202"/>
    <w:bookmarkEnd w:id="203"/>
    <w:p w14:paraId="02162096">
      <w:pPr>
        <w:spacing w:line="360" w:lineRule="auto"/>
        <w:rPr>
          <w:rFonts w:hint="eastAsia" w:ascii="仿宋" w:hAnsi="仿宋" w:eastAsia="仿宋" w:cs="仿宋"/>
        </w:rPr>
      </w:pPr>
      <w:bookmarkStart w:id="209" w:name="_Toc324500176"/>
      <w:r>
        <w:rPr>
          <w:rFonts w:hint="eastAsia" w:ascii="仿宋" w:hAnsi="仿宋" w:eastAsia="仿宋" w:cs="仿宋"/>
        </w:rPr>
        <w:br w:type="page"/>
      </w:r>
      <w:bookmarkStart w:id="210" w:name="_Toc520749020"/>
      <w:bookmarkStart w:id="211" w:name="_Toc7537"/>
    </w:p>
    <w:p w14:paraId="25ECD22A">
      <w:pPr>
        <w:spacing w:line="360" w:lineRule="auto"/>
        <w:rPr>
          <w:rFonts w:hint="eastAsia" w:ascii="仿宋" w:hAnsi="仿宋" w:eastAsia="仿宋" w:cs="仿宋"/>
        </w:rPr>
      </w:pPr>
    </w:p>
    <w:p w14:paraId="09476D88">
      <w:pPr>
        <w:pStyle w:val="3"/>
        <w:jc w:val="center"/>
        <w:rPr>
          <w:rFonts w:hint="eastAsia" w:ascii="仿宋" w:hAnsi="仿宋" w:eastAsia="仿宋" w:cs="仿宋"/>
        </w:rPr>
      </w:pPr>
      <w:bookmarkStart w:id="212" w:name="_Toc14887"/>
      <w:r>
        <w:rPr>
          <w:rFonts w:hint="eastAsia" w:ascii="仿宋" w:hAnsi="仿宋" w:eastAsia="仿宋" w:cs="仿宋"/>
        </w:rPr>
        <w:t>二、投标文件报价部分格式</w:t>
      </w:r>
      <w:bookmarkEnd w:id="209"/>
      <w:bookmarkEnd w:id="210"/>
      <w:bookmarkEnd w:id="211"/>
      <w:bookmarkEnd w:id="212"/>
    </w:p>
    <w:p w14:paraId="14419D7A">
      <w:pPr>
        <w:pStyle w:val="3"/>
        <w:jc w:val="center"/>
        <w:rPr>
          <w:rFonts w:hint="eastAsia" w:ascii="仿宋" w:hAnsi="仿宋" w:eastAsia="仿宋" w:cs="仿宋"/>
        </w:rPr>
      </w:pPr>
      <w:bookmarkStart w:id="213" w:name="_Toc15261"/>
      <w:bookmarkStart w:id="214" w:name="_Toc520749021"/>
      <w:bookmarkStart w:id="215" w:name="_Toc23447"/>
      <w:bookmarkStart w:id="216" w:name="_Toc302769444"/>
      <w:r>
        <w:rPr>
          <w:rFonts w:hint="eastAsia" w:ascii="仿宋" w:hAnsi="仿宋" w:eastAsia="仿宋" w:cs="仿宋"/>
        </w:rPr>
        <w:t>（一）投标报价说明</w:t>
      </w:r>
      <w:bookmarkEnd w:id="213"/>
      <w:bookmarkEnd w:id="214"/>
      <w:bookmarkEnd w:id="215"/>
    </w:p>
    <w:p w14:paraId="34430519">
      <w:pPr>
        <w:spacing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1.本采购报价依据投标须知的有关条款进行编制。</w:t>
      </w:r>
    </w:p>
    <w:p w14:paraId="0A275744">
      <w:pPr>
        <w:spacing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2.本报价的币种为</w:t>
      </w:r>
      <w:r>
        <w:rPr>
          <w:rFonts w:hint="eastAsia" w:ascii="仿宋" w:hAnsi="仿宋" w:eastAsia="仿宋" w:cs="仿宋"/>
          <w:sz w:val="21"/>
          <w:szCs w:val="21"/>
          <w:u w:val="single"/>
        </w:rPr>
        <w:t xml:space="preserve">  人民币  </w:t>
      </w:r>
      <w:r>
        <w:rPr>
          <w:rFonts w:hint="eastAsia" w:ascii="仿宋" w:hAnsi="仿宋" w:eastAsia="仿宋" w:cs="仿宋"/>
          <w:sz w:val="21"/>
          <w:szCs w:val="21"/>
        </w:rPr>
        <w:t>。</w:t>
      </w:r>
    </w:p>
    <w:p w14:paraId="224B949C">
      <w:pPr>
        <w:spacing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3.投标人应将投标报价需要说明的事项，用文字书写与投标报价表一并报送。</w:t>
      </w:r>
    </w:p>
    <w:p w14:paraId="4890F465">
      <w:pPr>
        <w:spacing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4.投标报价格式中所有要求签字、盖章的地方，必须由规定的人员签字、盖章。</w:t>
      </w:r>
    </w:p>
    <w:p w14:paraId="7BFCAAB8">
      <w:pPr>
        <w:spacing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5.投标报价格式中的任何内容不得随意删除或涂改。</w:t>
      </w:r>
    </w:p>
    <w:p w14:paraId="272E417E">
      <w:pPr>
        <w:spacing w:line="360" w:lineRule="auto"/>
        <w:ind w:firstLine="472" w:firstLineChars="225"/>
        <w:rPr>
          <w:rFonts w:hint="eastAsia" w:ascii="仿宋" w:hAnsi="仿宋" w:eastAsia="仿宋" w:cs="仿宋"/>
          <w:sz w:val="24"/>
        </w:rPr>
      </w:pPr>
      <w:r>
        <w:rPr>
          <w:rFonts w:hint="eastAsia" w:ascii="仿宋" w:hAnsi="仿宋" w:eastAsia="仿宋" w:cs="仿宋"/>
          <w:sz w:val="21"/>
          <w:szCs w:val="21"/>
        </w:rPr>
        <w:t>6.投标报价格式中列明的所有需要填报的单价和合价，投标人均应填报，未填报的单价和合价，视为此项费用已包括在投标报价的其他单价和合价中。</w:t>
      </w:r>
    </w:p>
    <w:p w14:paraId="349340F0">
      <w:pPr>
        <w:spacing w:line="360" w:lineRule="auto"/>
        <w:ind w:firstLine="472" w:firstLineChars="225"/>
        <w:rPr>
          <w:rFonts w:hint="eastAsia" w:ascii="仿宋" w:hAnsi="仿宋" w:eastAsia="仿宋" w:cs="仿宋"/>
          <w:sz w:val="21"/>
          <w:szCs w:val="21"/>
        </w:rPr>
      </w:pPr>
      <w:r>
        <w:rPr>
          <w:rFonts w:hint="eastAsia" w:ascii="仿宋" w:hAnsi="仿宋" w:eastAsia="仿宋" w:cs="仿宋"/>
          <w:sz w:val="21"/>
          <w:szCs w:val="21"/>
        </w:rPr>
        <w:t>7.报价表中按单价计算的结果与总价不一致时，以单价为准修正总价，但单价金额小数点有明显错误的除外。</w:t>
      </w:r>
    </w:p>
    <w:p w14:paraId="102EF994">
      <w:pPr>
        <w:spacing w:line="360" w:lineRule="auto"/>
        <w:rPr>
          <w:rFonts w:hint="eastAsia" w:ascii="仿宋" w:hAnsi="仿宋" w:eastAsia="仿宋" w:cs="仿宋"/>
        </w:rPr>
      </w:pPr>
    </w:p>
    <w:p w14:paraId="752953B1">
      <w:pPr>
        <w:pStyle w:val="3"/>
        <w:jc w:val="center"/>
        <w:rPr>
          <w:rFonts w:hint="eastAsia" w:ascii="仿宋" w:hAnsi="仿宋" w:eastAsia="仿宋" w:cs="仿宋"/>
        </w:rPr>
      </w:pPr>
      <w:bookmarkStart w:id="217" w:name="_Toc520749022"/>
      <w:bookmarkStart w:id="218" w:name="_Toc22682"/>
      <w:r>
        <w:rPr>
          <w:rFonts w:hint="eastAsia" w:ascii="仿宋" w:hAnsi="仿宋" w:eastAsia="仿宋" w:cs="仿宋"/>
        </w:rPr>
        <w:br w:type="page"/>
      </w:r>
      <w:bookmarkEnd w:id="217"/>
      <w:bookmarkEnd w:id="218"/>
      <w:bookmarkStart w:id="219" w:name="_Toc12986"/>
      <w:r>
        <w:rPr>
          <w:rFonts w:hint="eastAsia" w:ascii="仿宋" w:hAnsi="仿宋" w:eastAsia="仿宋" w:cs="仿宋"/>
        </w:rPr>
        <w:t>（二）投标报价 （唱标）一览表</w:t>
      </w:r>
      <w:bookmarkEnd w:id="219"/>
    </w:p>
    <w:p w14:paraId="4D7C9E98">
      <w:pPr>
        <w:rPr>
          <w:rFonts w:hint="eastAsia" w:ascii="仿宋" w:hAnsi="仿宋" w:eastAsia="仿宋" w:cs="仿宋"/>
          <w:sz w:val="28"/>
          <w:szCs w:val="28"/>
        </w:rPr>
      </w:pPr>
      <w:r>
        <w:rPr>
          <w:rFonts w:hint="eastAsia" w:ascii="仿宋" w:hAnsi="仿宋" w:eastAsia="仿宋" w:cs="仿宋"/>
          <w:szCs w:val="21"/>
        </w:rPr>
        <w:t>项目名称：</w:t>
      </w:r>
      <w:r>
        <w:rPr>
          <w:rFonts w:hint="eastAsia" w:ascii="仿宋" w:hAnsi="仿宋" w:eastAsia="仿宋" w:cs="仿宋"/>
          <w:u w:val="single"/>
        </w:rPr>
        <w:t>___________</w:t>
      </w:r>
      <w:r>
        <w:rPr>
          <w:rFonts w:hint="eastAsia" w:ascii="仿宋" w:hAnsi="仿宋" w:eastAsia="仿宋" w:cs="仿宋"/>
          <w:szCs w:val="21"/>
        </w:rPr>
        <w:t>（项目名称）</w:t>
      </w:r>
    </w:p>
    <w:tbl>
      <w:tblPr>
        <w:tblStyle w:val="26"/>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9"/>
        <w:gridCol w:w="1134"/>
        <w:gridCol w:w="6343"/>
        <w:gridCol w:w="2235"/>
      </w:tblGrid>
      <w:tr w14:paraId="10662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599" w:type="dxa"/>
            <w:vAlign w:val="center"/>
          </w:tcPr>
          <w:p w14:paraId="40DCF945">
            <w:pPr>
              <w:ind w:left="-40" w:leftChars="-91" w:right="-166" w:rightChars="-83" w:hanging="142"/>
              <w:jc w:val="center"/>
              <w:rPr>
                <w:rFonts w:hint="eastAsia" w:ascii="仿宋" w:hAnsi="仿宋" w:eastAsia="仿宋" w:cs="仿宋"/>
                <w:sz w:val="21"/>
                <w:szCs w:val="21"/>
              </w:rPr>
            </w:pPr>
            <w:r>
              <w:rPr>
                <w:rFonts w:hint="eastAsia" w:ascii="仿宋" w:hAnsi="仿宋" w:eastAsia="仿宋" w:cs="仿宋"/>
                <w:sz w:val="21"/>
                <w:szCs w:val="21"/>
              </w:rPr>
              <w:t>序号</w:t>
            </w:r>
          </w:p>
        </w:tc>
        <w:tc>
          <w:tcPr>
            <w:tcW w:w="1134" w:type="dxa"/>
            <w:vAlign w:val="center"/>
          </w:tcPr>
          <w:p w14:paraId="7853B3EA">
            <w:pPr>
              <w:jc w:val="center"/>
              <w:rPr>
                <w:rFonts w:hint="eastAsia" w:ascii="仿宋" w:hAnsi="仿宋" w:eastAsia="仿宋" w:cs="仿宋"/>
                <w:sz w:val="21"/>
                <w:szCs w:val="21"/>
              </w:rPr>
            </w:pPr>
            <w:r>
              <w:rPr>
                <w:rFonts w:hint="eastAsia" w:ascii="仿宋" w:hAnsi="仿宋" w:eastAsia="仿宋" w:cs="仿宋"/>
                <w:sz w:val="21"/>
                <w:szCs w:val="21"/>
              </w:rPr>
              <w:t>项  目</w:t>
            </w:r>
          </w:p>
        </w:tc>
        <w:tc>
          <w:tcPr>
            <w:tcW w:w="6343" w:type="dxa"/>
            <w:vAlign w:val="center"/>
          </w:tcPr>
          <w:p w14:paraId="3E2A0EC5">
            <w:pPr>
              <w:jc w:val="center"/>
              <w:rPr>
                <w:rFonts w:hint="eastAsia" w:ascii="仿宋" w:hAnsi="仿宋" w:eastAsia="仿宋" w:cs="仿宋"/>
                <w:sz w:val="21"/>
                <w:szCs w:val="21"/>
              </w:rPr>
            </w:pPr>
            <w:r>
              <w:rPr>
                <w:rFonts w:hint="eastAsia" w:ascii="仿宋" w:hAnsi="仿宋" w:eastAsia="仿宋" w:cs="仿宋"/>
                <w:sz w:val="21"/>
                <w:szCs w:val="21"/>
              </w:rPr>
              <w:t>内      容</w:t>
            </w:r>
          </w:p>
        </w:tc>
        <w:tc>
          <w:tcPr>
            <w:tcW w:w="2235" w:type="dxa"/>
            <w:vAlign w:val="center"/>
          </w:tcPr>
          <w:p w14:paraId="6E8571A8">
            <w:pPr>
              <w:jc w:val="center"/>
              <w:rPr>
                <w:rFonts w:hint="eastAsia" w:ascii="仿宋" w:hAnsi="仿宋" w:eastAsia="仿宋" w:cs="仿宋"/>
                <w:sz w:val="21"/>
                <w:szCs w:val="21"/>
              </w:rPr>
            </w:pPr>
            <w:r>
              <w:rPr>
                <w:rFonts w:hint="eastAsia" w:ascii="仿宋" w:hAnsi="仿宋" w:eastAsia="仿宋" w:cs="仿宋"/>
                <w:sz w:val="21"/>
                <w:szCs w:val="21"/>
              </w:rPr>
              <w:t>备注</w:t>
            </w:r>
          </w:p>
        </w:tc>
      </w:tr>
      <w:tr w14:paraId="320C7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4" w:hRule="atLeast"/>
          <w:jc w:val="center"/>
        </w:trPr>
        <w:tc>
          <w:tcPr>
            <w:tcW w:w="599" w:type="dxa"/>
            <w:vAlign w:val="center"/>
          </w:tcPr>
          <w:p w14:paraId="3B22D4FF">
            <w:pPr>
              <w:jc w:val="center"/>
              <w:rPr>
                <w:rFonts w:hint="eastAsia" w:ascii="仿宋" w:hAnsi="仿宋" w:eastAsia="仿宋" w:cs="仿宋"/>
                <w:bCs/>
                <w:sz w:val="21"/>
                <w:szCs w:val="21"/>
              </w:rPr>
            </w:pPr>
            <w:r>
              <w:rPr>
                <w:rFonts w:hint="eastAsia" w:ascii="仿宋" w:hAnsi="仿宋" w:eastAsia="仿宋" w:cs="仿宋"/>
                <w:bCs/>
                <w:sz w:val="21"/>
                <w:szCs w:val="21"/>
              </w:rPr>
              <w:t>1</w:t>
            </w:r>
          </w:p>
        </w:tc>
        <w:tc>
          <w:tcPr>
            <w:tcW w:w="1134" w:type="dxa"/>
            <w:vAlign w:val="center"/>
          </w:tcPr>
          <w:p w14:paraId="42521C7E">
            <w:pPr>
              <w:jc w:val="center"/>
              <w:rPr>
                <w:rFonts w:hint="eastAsia" w:ascii="仿宋" w:hAnsi="仿宋" w:eastAsia="仿宋" w:cs="仿宋"/>
                <w:b/>
                <w:sz w:val="21"/>
                <w:szCs w:val="21"/>
              </w:rPr>
            </w:pPr>
            <w:r>
              <w:rPr>
                <w:rFonts w:hint="eastAsia" w:ascii="仿宋" w:hAnsi="仿宋" w:eastAsia="仿宋" w:cs="仿宋"/>
                <w:sz w:val="21"/>
                <w:szCs w:val="21"/>
              </w:rPr>
              <w:t>投标报价</w:t>
            </w:r>
          </w:p>
        </w:tc>
        <w:tc>
          <w:tcPr>
            <w:tcW w:w="6343" w:type="dxa"/>
            <w:vAlign w:val="center"/>
          </w:tcPr>
          <w:p w14:paraId="631BF027">
            <w:pPr>
              <w:ind w:firstLine="2730" w:firstLineChars="1300"/>
              <w:rPr>
                <w:rFonts w:hint="eastAsia" w:ascii="仿宋" w:hAnsi="仿宋" w:eastAsia="仿宋" w:cs="仿宋"/>
                <w:sz w:val="21"/>
                <w:szCs w:val="21"/>
              </w:rPr>
            </w:pPr>
          </w:p>
        </w:tc>
        <w:tc>
          <w:tcPr>
            <w:tcW w:w="2235" w:type="dxa"/>
          </w:tcPr>
          <w:p w14:paraId="3B3A77AE">
            <w:pPr>
              <w:jc w:val="both"/>
              <w:rPr>
                <w:rFonts w:hint="eastAsia" w:ascii="仿宋" w:hAnsi="仿宋" w:eastAsia="仿宋" w:cs="仿宋"/>
                <w:sz w:val="21"/>
                <w:szCs w:val="21"/>
              </w:rPr>
            </w:pPr>
          </w:p>
          <w:p w14:paraId="4D0E20C8">
            <w:pPr>
              <w:jc w:val="center"/>
              <w:rPr>
                <w:rFonts w:hint="eastAsia" w:ascii="仿宋" w:hAnsi="仿宋" w:eastAsia="仿宋" w:cs="仿宋"/>
                <w:sz w:val="21"/>
                <w:szCs w:val="21"/>
                <w:u w:val="single"/>
              </w:rPr>
            </w:pPr>
            <w:r>
              <w:rPr>
                <w:rFonts w:hint="eastAsia" w:ascii="仿宋" w:hAnsi="仿宋" w:eastAsia="仿宋" w:cs="仿宋"/>
                <w:sz w:val="21"/>
                <w:szCs w:val="21"/>
              </w:rPr>
              <w:t>投标报价采用固定餐费标准单价报价</w:t>
            </w:r>
          </w:p>
        </w:tc>
      </w:tr>
      <w:tr w14:paraId="147E7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jc w:val="center"/>
        </w:trPr>
        <w:tc>
          <w:tcPr>
            <w:tcW w:w="599" w:type="dxa"/>
            <w:vAlign w:val="center"/>
          </w:tcPr>
          <w:p w14:paraId="4E798C83">
            <w:pPr>
              <w:jc w:val="center"/>
              <w:rPr>
                <w:rFonts w:hint="eastAsia" w:ascii="仿宋" w:hAnsi="仿宋" w:eastAsia="仿宋" w:cs="仿宋"/>
                <w:bCs/>
                <w:sz w:val="21"/>
                <w:szCs w:val="21"/>
              </w:rPr>
            </w:pPr>
            <w:r>
              <w:rPr>
                <w:rFonts w:hint="eastAsia" w:ascii="仿宋" w:hAnsi="仿宋" w:eastAsia="仿宋" w:cs="仿宋"/>
                <w:bCs/>
                <w:sz w:val="21"/>
                <w:szCs w:val="21"/>
              </w:rPr>
              <w:t>2</w:t>
            </w:r>
          </w:p>
        </w:tc>
        <w:tc>
          <w:tcPr>
            <w:tcW w:w="1134" w:type="dxa"/>
            <w:vAlign w:val="center"/>
          </w:tcPr>
          <w:p w14:paraId="28105A34">
            <w:pPr>
              <w:jc w:val="center"/>
              <w:rPr>
                <w:rFonts w:hint="eastAsia" w:ascii="仿宋" w:hAnsi="仿宋" w:eastAsia="仿宋" w:cs="仿宋"/>
                <w:b/>
                <w:sz w:val="21"/>
                <w:szCs w:val="21"/>
              </w:rPr>
            </w:pPr>
            <w:r>
              <w:rPr>
                <w:rFonts w:hint="eastAsia" w:ascii="仿宋" w:hAnsi="仿宋" w:eastAsia="仿宋" w:cs="仿宋"/>
                <w:sz w:val="21"/>
                <w:szCs w:val="21"/>
              </w:rPr>
              <w:t>合同履行期限</w:t>
            </w:r>
          </w:p>
        </w:tc>
        <w:tc>
          <w:tcPr>
            <w:tcW w:w="6343" w:type="dxa"/>
            <w:vAlign w:val="center"/>
          </w:tcPr>
          <w:p w14:paraId="166143DA">
            <w:pPr>
              <w:jc w:val="center"/>
              <w:rPr>
                <w:rFonts w:hint="eastAsia" w:ascii="仿宋" w:hAnsi="仿宋" w:eastAsia="仿宋" w:cs="仿宋"/>
                <w:sz w:val="21"/>
                <w:szCs w:val="21"/>
              </w:rPr>
            </w:pPr>
          </w:p>
        </w:tc>
        <w:tc>
          <w:tcPr>
            <w:tcW w:w="2235" w:type="dxa"/>
          </w:tcPr>
          <w:p w14:paraId="2C74B632">
            <w:pPr>
              <w:jc w:val="center"/>
              <w:rPr>
                <w:rFonts w:hint="eastAsia" w:ascii="仿宋" w:hAnsi="仿宋" w:eastAsia="仿宋" w:cs="仿宋"/>
                <w:sz w:val="21"/>
                <w:szCs w:val="21"/>
                <w:u w:val="single"/>
              </w:rPr>
            </w:pPr>
          </w:p>
        </w:tc>
      </w:tr>
      <w:tr w14:paraId="26C1C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4" w:hRule="atLeast"/>
          <w:jc w:val="center"/>
        </w:trPr>
        <w:tc>
          <w:tcPr>
            <w:tcW w:w="599" w:type="dxa"/>
            <w:vAlign w:val="center"/>
          </w:tcPr>
          <w:p w14:paraId="52D81228">
            <w:pPr>
              <w:jc w:val="center"/>
              <w:rPr>
                <w:rFonts w:hint="eastAsia" w:ascii="仿宋" w:hAnsi="仿宋" w:eastAsia="仿宋" w:cs="仿宋"/>
                <w:bCs/>
                <w:sz w:val="21"/>
                <w:szCs w:val="21"/>
              </w:rPr>
            </w:pPr>
            <w:r>
              <w:rPr>
                <w:rFonts w:hint="eastAsia" w:ascii="仿宋" w:hAnsi="仿宋" w:eastAsia="仿宋" w:cs="仿宋"/>
                <w:bCs/>
                <w:sz w:val="21"/>
                <w:szCs w:val="21"/>
              </w:rPr>
              <w:t>3</w:t>
            </w:r>
          </w:p>
        </w:tc>
        <w:tc>
          <w:tcPr>
            <w:tcW w:w="1134" w:type="dxa"/>
            <w:vAlign w:val="center"/>
          </w:tcPr>
          <w:p w14:paraId="463D5961">
            <w:pPr>
              <w:jc w:val="center"/>
              <w:rPr>
                <w:rFonts w:hint="eastAsia" w:ascii="仿宋" w:hAnsi="仿宋" w:eastAsia="仿宋" w:cs="仿宋"/>
                <w:b/>
                <w:sz w:val="21"/>
                <w:szCs w:val="21"/>
              </w:rPr>
            </w:pPr>
            <w:r>
              <w:rPr>
                <w:rFonts w:hint="eastAsia" w:ascii="仿宋" w:hAnsi="仿宋" w:eastAsia="仿宋" w:cs="仿宋"/>
                <w:sz w:val="21"/>
                <w:szCs w:val="21"/>
              </w:rPr>
              <w:t>质量标准承诺</w:t>
            </w:r>
          </w:p>
        </w:tc>
        <w:tc>
          <w:tcPr>
            <w:tcW w:w="6343" w:type="dxa"/>
            <w:vAlign w:val="center"/>
          </w:tcPr>
          <w:p w14:paraId="3A9AB7B4">
            <w:pPr>
              <w:jc w:val="center"/>
              <w:rPr>
                <w:rFonts w:hint="eastAsia" w:ascii="仿宋" w:hAnsi="仿宋" w:eastAsia="仿宋" w:cs="仿宋"/>
                <w:sz w:val="21"/>
                <w:szCs w:val="21"/>
              </w:rPr>
            </w:pPr>
          </w:p>
        </w:tc>
        <w:tc>
          <w:tcPr>
            <w:tcW w:w="2235" w:type="dxa"/>
          </w:tcPr>
          <w:p w14:paraId="5C864995">
            <w:pPr>
              <w:jc w:val="center"/>
              <w:rPr>
                <w:rFonts w:hint="eastAsia" w:ascii="仿宋" w:hAnsi="仿宋" w:eastAsia="仿宋" w:cs="仿宋"/>
                <w:sz w:val="21"/>
                <w:szCs w:val="21"/>
                <w:u w:val="single"/>
              </w:rPr>
            </w:pPr>
          </w:p>
        </w:tc>
      </w:tr>
      <w:tr w14:paraId="0AADE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599" w:type="dxa"/>
            <w:tcBorders>
              <w:bottom w:val="single" w:color="auto" w:sz="4" w:space="0"/>
            </w:tcBorders>
            <w:vAlign w:val="center"/>
          </w:tcPr>
          <w:p w14:paraId="7300E2F9">
            <w:pPr>
              <w:jc w:val="center"/>
              <w:rPr>
                <w:rFonts w:hint="eastAsia" w:ascii="仿宋" w:hAnsi="仿宋" w:eastAsia="仿宋" w:cs="仿宋"/>
                <w:bCs/>
                <w:sz w:val="21"/>
                <w:szCs w:val="21"/>
              </w:rPr>
            </w:pPr>
            <w:r>
              <w:rPr>
                <w:rFonts w:hint="eastAsia" w:ascii="仿宋" w:hAnsi="仿宋" w:eastAsia="仿宋" w:cs="仿宋"/>
                <w:bCs/>
                <w:sz w:val="21"/>
                <w:szCs w:val="21"/>
              </w:rPr>
              <w:t>4</w:t>
            </w:r>
          </w:p>
        </w:tc>
        <w:tc>
          <w:tcPr>
            <w:tcW w:w="1134" w:type="dxa"/>
            <w:tcBorders>
              <w:bottom w:val="single" w:color="auto" w:sz="4" w:space="0"/>
            </w:tcBorders>
            <w:vAlign w:val="center"/>
          </w:tcPr>
          <w:p w14:paraId="04106E2F">
            <w:pPr>
              <w:jc w:val="center"/>
              <w:rPr>
                <w:rFonts w:hint="eastAsia" w:ascii="仿宋" w:hAnsi="仿宋" w:eastAsia="仿宋" w:cs="仿宋"/>
                <w:sz w:val="21"/>
                <w:szCs w:val="21"/>
              </w:rPr>
            </w:pPr>
            <w:r>
              <w:rPr>
                <w:rFonts w:hint="eastAsia" w:ascii="仿宋" w:hAnsi="仿宋" w:eastAsia="仿宋" w:cs="仿宋"/>
                <w:sz w:val="21"/>
                <w:szCs w:val="21"/>
              </w:rPr>
              <w:t>说   明</w:t>
            </w:r>
          </w:p>
        </w:tc>
        <w:tc>
          <w:tcPr>
            <w:tcW w:w="6343" w:type="dxa"/>
            <w:tcBorders>
              <w:bottom w:val="single" w:color="auto" w:sz="4" w:space="0"/>
            </w:tcBorders>
            <w:vAlign w:val="center"/>
          </w:tcPr>
          <w:p w14:paraId="055FC124">
            <w:pPr>
              <w:rPr>
                <w:rFonts w:hint="eastAsia" w:ascii="仿宋" w:hAnsi="仿宋" w:eastAsia="仿宋" w:cs="仿宋"/>
                <w:sz w:val="21"/>
                <w:szCs w:val="21"/>
              </w:rPr>
            </w:pPr>
          </w:p>
        </w:tc>
        <w:tc>
          <w:tcPr>
            <w:tcW w:w="2235" w:type="dxa"/>
            <w:tcBorders>
              <w:bottom w:val="single" w:color="auto" w:sz="4" w:space="0"/>
            </w:tcBorders>
          </w:tcPr>
          <w:p w14:paraId="4581412B">
            <w:pPr>
              <w:rPr>
                <w:rFonts w:hint="eastAsia" w:ascii="仿宋" w:hAnsi="仿宋" w:eastAsia="仿宋" w:cs="仿宋"/>
                <w:sz w:val="21"/>
                <w:szCs w:val="21"/>
              </w:rPr>
            </w:pPr>
          </w:p>
        </w:tc>
      </w:tr>
    </w:tbl>
    <w:p w14:paraId="4C658C6B">
      <w:pPr>
        <w:spacing w:line="480" w:lineRule="auto"/>
        <w:rPr>
          <w:rFonts w:hint="eastAsia" w:ascii="仿宋" w:hAnsi="仿宋" w:eastAsia="仿宋" w:cs="仿宋"/>
          <w:bCs/>
          <w:szCs w:val="21"/>
        </w:rPr>
      </w:pPr>
      <w:r>
        <w:rPr>
          <w:rFonts w:hint="eastAsia" w:ascii="仿宋" w:hAnsi="仿宋" w:eastAsia="仿宋" w:cs="仿宋"/>
          <w:szCs w:val="21"/>
        </w:rPr>
        <w:t>投标人</w:t>
      </w:r>
      <w:r>
        <w:rPr>
          <w:rFonts w:hint="eastAsia" w:ascii="仿宋" w:hAnsi="仿宋" w:eastAsia="仿宋" w:cs="仿宋"/>
          <w:bCs/>
          <w:szCs w:val="21"/>
        </w:rPr>
        <w:t>：</w:t>
      </w:r>
      <w:r>
        <w:rPr>
          <w:rFonts w:hint="eastAsia" w:ascii="仿宋" w:hAnsi="仿宋" w:eastAsia="仿宋" w:cs="仿宋"/>
          <w:bCs/>
          <w:szCs w:val="21"/>
          <w:u w:val="single"/>
        </w:rPr>
        <w:t xml:space="preserve">  （电子签章）         </w:t>
      </w:r>
    </w:p>
    <w:p w14:paraId="6EC8C6CD">
      <w:pPr>
        <w:spacing w:line="480" w:lineRule="auto"/>
        <w:rPr>
          <w:rFonts w:hint="eastAsia" w:ascii="仿宋" w:hAnsi="仿宋" w:eastAsia="仿宋" w:cs="仿宋"/>
          <w:bCs/>
          <w:szCs w:val="21"/>
        </w:rPr>
      </w:pPr>
      <w:r>
        <w:rPr>
          <w:rFonts w:hint="eastAsia" w:ascii="仿宋" w:hAnsi="仿宋" w:eastAsia="仿宋" w:cs="仿宋"/>
          <w:szCs w:val="21"/>
        </w:rPr>
        <w:t>投标人</w:t>
      </w:r>
      <w:r>
        <w:rPr>
          <w:rFonts w:hint="eastAsia" w:ascii="仿宋" w:hAnsi="仿宋" w:eastAsia="仿宋" w:cs="仿宋"/>
          <w:bCs/>
          <w:szCs w:val="21"/>
        </w:rPr>
        <w:t>法定代表人（</w:t>
      </w:r>
      <w:r>
        <w:rPr>
          <w:rFonts w:hint="eastAsia" w:ascii="仿宋" w:hAnsi="仿宋" w:eastAsia="仿宋" w:cs="仿宋"/>
          <w:szCs w:val="21"/>
        </w:rPr>
        <w:t>电子签名</w:t>
      </w:r>
      <w:r>
        <w:rPr>
          <w:rFonts w:hint="eastAsia" w:ascii="仿宋" w:hAnsi="仿宋" w:eastAsia="仿宋" w:cs="仿宋"/>
          <w:bCs/>
          <w:szCs w:val="21"/>
        </w:rPr>
        <w:t>）：</w:t>
      </w:r>
      <w:r>
        <w:rPr>
          <w:rFonts w:hint="eastAsia" w:ascii="仿宋" w:hAnsi="仿宋" w:eastAsia="仿宋" w:cs="仿宋"/>
          <w:bCs/>
          <w:szCs w:val="21"/>
          <w:u w:val="single"/>
        </w:rPr>
        <w:t xml:space="preserve">              </w:t>
      </w:r>
    </w:p>
    <w:p w14:paraId="277F8FD3">
      <w:pPr>
        <w:spacing w:line="480" w:lineRule="auto"/>
        <w:rPr>
          <w:rFonts w:hint="eastAsia" w:ascii="仿宋" w:hAnsi="仿宋" w:eastAsia="仿宋" w:cs="仿宋"/>
          <w:bCs/>
          <w:szCs w:val="21"/>
        </w:rPr>
      </w:pPr>
      <w:r>
        <w:rPr>
          <w:rFonts w:hint="eastAsia" w:ascii="仿宋" w:hAnsi="仿宋" w:eastAsia="仿宋" w:cs="仿宋"/>
          <w:szCs w:val="21"/>
        </w:rPr>
        <w:t>填表时间：</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63BD541D">
      <w:pPr>
        <w:pStyle w:val="3"/>
        <w:jc w:val="center"/>
        <w:rPr>
          <w:rFonts w:hint="eastAsia" w:ascii="仿宋" w:hAnsi="仿宋" w:eastAsia="仿宋" w:cs="仿宋"/>
        </w:rPr>
      </w:pPr>
      <w:bookmarkStart w:id="220" w:name="_Toc527481946"/>
      <w:bookmarkStart w:id="221" w:name="_Toc517646399"/>
      <w:bookmarkStart w:id="222" w:name="_Toc25682"/>
      <w:bookmarkStart w:id="223" w:name="_Toc530392268"/>
      <w:r>
        <w:rPr>
          <w:rFonts w:hint="eastAsia" w:ascii="仿宋" w:hAnsi="仿宋" w:eastAsia="仿宋" w:cs="仿宋"/>
          <w:sz w:val="24"/>
        </w:rPr>
        <w:br w:type="page"/>
      </w:r>
      <w:bookmarkStart w:id="224" w:name="_Toc21164"/>
      <w:r>
        <w:rPr>
          <w:rFonts w:hint="eastAsia" w:ascii="仿宋" w:hAnsi="仿宋" w:eastAsia="仿宋" w:cs="仿宋"/>
        </w:rPr>
        <w:t>（三）中小企业声明函</w:t>
      </w:r>
      <w:bookmarkEnd w:id="224"/>
    </w:p>
    <w:p w14:paraId="7150BACB">
      <w:pPr>
        <w:spacing w:line="480" w:lineRule="auto"/>
        <w:ind w:firstLine="400" w:firstLineChars="200"/>
        <w:rPr>
          <w:rFonts w:hint="eastAsia" w:ascii="仿宋" w:hAnsi="仿宋" w:eastAsia="仿宋" w:cs="仿宋"/>
          <w:szCs w:val="21"/>
        </w:rPr>
      </w:pPr>
      <w:bookmarkStart w:id="225" w:name="_Toc530392269"/>
      <w:bookmarkStart w:id="226" w:name="_Toc32143"/>
      <w:r>
        <w:rPr>
          <w:rFonts w:hint="eastAsia" w:ascii="仿宋" w:hAnsi="仿宋" w:eastAsia="仿宋" w:cs="仿宋"/>
          <w:szCs w:val="21"/>
        </w:rPr>
        <w:t>中小企业声明函（货物） 本公司（联合体）郑重声明，根据《政府采购促进中小 企业发展管理办法》（财库﹝2020﹞46 号）的规定，本公司 （联合体）参加</w:t>
      </w:r>
      <w:r>
        <w:rPr>
          <w:rFonts w:hint="eastAsia" w:ascii="仿宋" w:hAnsi="仿宋" w:eastAsia="仿宋" w:cs="仿宋"/>
          <w:szCs w:val="21"/>
          <w:u w:val="single"/>
        </w:rPr>
        <w:t>（单位名称）</w:t>
      </w:r>
      <w:r>
        <w:rPr>
          <w:rFonts w:hint="eastAsia" w:ascii="仿宋" w:hAnsi="仿宋" w:eastAsia="仿宋" w:cs="仿宋"/>
          <w:szCs w:val="21"/>
        </w:rPr>
        <w:t>的</w:t>
      </w:r>
      <w:r>
        <w:rPr>
          <w:rFonts w:hint="eastAsia" w:ascii="仿宋" w:hAnsi="仿宋" w:eastAsia="仿宋" w:cs="仿宋"/>
          <w:szCs w:val="21"/>
          <w:u w:val="single"/>
        </w:rPr>
        <w:t>（项目名称）</w:t>
      </w:r>
      <w:r>
        <w:rPr>
          <w:rFonts w:hint="eastAsia" w:ascii="仿宋" w:hAnsi="仿宋" w:eastAsia="仿宋" w:cs="仿宋"/>
          <w:szCs w:val="21"/>
        </w:rPr>
        <w:t>采购活动，提 供的货物全部由符合政策要求的中小企业制造。相关企业 （含联合体中的中小企业、签订分包意向协议的中小企业） 的具体情况如下：</w:t>
      </w:r>
    </w:p>
    <w:p w14:paraId="411AEAEB">
      <w:pPr>
        <w:pStyle w:val="21"/>
        <w:numPr>
          <w:ilvl w:val="0"/>
          <w:numId w:val="4"/>
        </w:numPr>
        <w:spacing w:before="0" w:beforeAutospacing="0" w:after="0" w:afterAutospacing="0" w:line="360" w:lineRule="auto"/>
        <w:ind w:left="0" w:firstLine="420" w:firstLineChars="200"/>
        <w:contextualSpacing/>
        <w:rPr>
          <w:rFonts w:hint="eastAsia" w:ascii="仿宋" w:hAnsi="仿宋" w:eastAsia="仿宋" w:cs="仿宋"/>
          <w:sz w:val="21"/>
          <w:szCs w:val="21"/>
        </w:rPr>
      </w:pPr>
      <w:r>
        <w:rPr>
          <w:rFonts w:hint="eastAsia" w:ascii="仿宋" w:hAnsi="仿宋" w:eastAsia="仿宋" w:cs="仿宋"/>
          <w:sz w:val="21"/>
          <w:szCs w:val="21"/>
          <w:u w:val="single"/>
        </w:rPr>
        <w:t xml:space="preserve">（标的名称） </w:t>
      </w:r>
      <w:r>
        <w:rPr>
          <w:rFonts w:hint="eastAsia" w:ascii="仿宋" w:hAnsi="仿宋" w:eastAsia="仿宋" w:cs="仿宋"/>
          <w:sz w:val="21"/>
          <w:szCs w:val="21"/>
        </w:rPr>
        <w:t>，属于</w:t>
      </w:r>
      <w:r>
        <w:rPr>
          <w:rFonts w:hint="eastAsia" w:ascii="仿宋" w:hAnsi="仿宋" w:eastAsia="仿宋" w:cs="仿宋"/>
          <w:sz w:val="21"/>
          <w:szCs w:val="21"/>
          <w:u w:val="single"/>
        </w:rPr>
        <w:t>（采购文件中明确的所属行业）</w:t>
      </w:r>
      <w:r>
        <w:rPr>
          <w:rFonts w:hint="eastAsia" w:ascii="仿宋" w:hAnsi="仿宋" w:eastAsia="仿宋" w:cs="仿宋"/>
          <w:sz w:val="21"/>
          <w:szCs w:val="21"/>
        </w:rPr>
        <w:t>行业；制造商为</w:t>
      </w:r>
      <w:r>
        <w:rPr>
          <w:rFonts w:hint="eastAsia" w:ascii="仿宋" w:hAnsi="仿宋" w:eastAsia="仿宋" w:cs="仿宋"/>
          <w:sz w:val="21"/>
          <w:szCs w:val="21"/>
          <w:u w:val="single"/>
        </w:rPr>
        <w:t>（企业名称）</w:t>
      </w:r>
      <w:r>
        <w:rPr>
          <w:rFonts w:hint="eastAsia" w:ascii="仿宋" w:hAnsi="仿宋" w:eastAsia="仿宋" w:cs="仿宋"/>
          <w:sz w:val="21"/>
          <w:szCs w:val="21"/>
        </w:rPr>
        <w:t>，从业人员</w:t>
      </w:r>
      <w:r>
        <w:rPr>
          <w:rFonts w:hint="eastAsia" w:ascii="仿宋" w:hAnsi="仿宋" w:eastAsia="仿宋" w:cs="仿宋"/>
          <w:sz w:val="21"/>
          <w:szCs w:val="21"/>
          <w:u w:val="single"/>
        </w:rPr>
        <w:t xml:space="preserve">      </w:t>
      </w:r>
      <w:r>
        <w:rPr>
          <w:rFonts w:hint="eastAsia" w:ascii="仿宋" w:hAnsi="仿宋" w:eastAsia="仿宋" w:cs="仿宋"/>
          <w:sz w:val="21"/>
          <w:szCs w:val="21"/>
        </w:rPr>
        <w:t>人，营业收入为</w:t>
      </w:r>
      <w:r>
        <w:rPr>
          <w:rFonts w:hint="eastAsia" w:ascii="仿宋" w:hAnsi="仿宋" w:eastAsia="仿宋" w:cs="仿宋"/>
          <w:sz w:val="21"/>
          <w:szCs w:val="21"/>
          <w:u w:val="single"/>
        </w:rPr>
        <w:t xml:space="preserve">       </w:t>
      </w:r>
      <w:r>
        <w:rPr>
          <w:rFonts w:hint="eastAsia" w:ascii="仿宋" w:hAnsi="仿宋" w:eastAsia="仿宋" w:cs="仿宋"/>
          <w:sz w:val="21"/>
          <w:szCs w:val="21"/>
        </w:rPr>
        <w:t>万元，资产总额为</w:t>
      </w:r>
      <w:r>
        <w:rPr>
          <w:rFonts w:hint="eastAsia" w:ascii="仿宋" w:hAnsi="仿宋" w:eastAsia="仿宋" w:cs="仿宋"/>
          <w:sz w:val="21"/>
          <w:szCs w:val="21"/>
          <w:u w:val="single"/>
        </w:rPr>
        <w:t xml:space="preserve">        </w:t>
      </w:r>
      <w:r>
        <w:rPr>
          <w:rFonts w:hint="eastAsia" w:ascii="仿宋" w:hAnsi="仿宋" w:eastAsia="仿宋" w:cs="仿宋"/>
          <w:sz w:val="21"/>
          <w:szCs w:val="21"/>
        </w:rPr>
        <w:t>万元，属于</w:t>
      </w:r>
      <w:r>
        <w:rPr>
          <w:rFonts w:hint="eastAsia" w:ascii="仿宋" w:hAnsi="仿宋" w:eastAsia="仿宋" w:cs="仿宋"/>
          <w:sz w:val="21"/>
          <w:szCs w:val="21"/>
          <w:u w:val="single"/>
        </w:rPr>
        <w:t>（中型企业、小型企业、微型企业）</w:t>
      </w:r>
      <w:r>
        <w:rPr>
          <w:rFonts w:hint="eastAsia" w:ascii="仿宋" w:hAnsi="仿宋" w:eastAsia="仿宋" w:cs="仿宋"/>
          <w:sz w:val="21"/>
          <w:szCs w:val="21"/>
        </w:rPr>
        <w:t>；</w:t>
      </w:r>
    </w:p>
    <w:p w14:paraId="40B305E0">
      <w:pPr>
        <w:pStyle w:val="21"/>
        <w:numPr>
          <w:ilvl w:val="0"/>
          <w:numId w:val="4"/>
        </w:numPr>
        <w:spacing w:before="0" w:beforeAutospacing="0" w:after="0" w:afterAutospacing="0" w:line="360" w:lineRule="auto"/>
        <w:ind w:left="0" w:firstLine="420" w:firstLineChars="200"/>
        <w:contextualSpacing/>
        <w:rPr>
          <w:rFonts w:hint="eastAsia" w:ascii="仿宋" w:hAnsi="仿宋" w:eastAsia="仿宋" w:cs="仿宋"/>
          <w:sz w:val="21"/>
          <w:szCs w:val="21"/>
        </w:rPr>
      </w:pPr>
      <w:r>
        <w:rPr>
          <w:rFonts w:hint="eastAsia" w:ascii="仿宋" w:hAnsi="仿宋" w:eastAsia="仿宋" w:cs="仿宋"/>
          <w:sz w:val="21"/>
          <w:szCs w:val="21"/>
          <w:u w:val="single"/>
        </w:rPr>
        <w:t xml:space="preserve">（标的名称） </w:t>
      </w:r>
      <w:r>
        <w:rPr>
          <w:rFonts w:hint="eastAsia" w:ascii="仿宋" w:hAnsi="仿宋" w:eastAsia="仿宋" w:cs="仿宋"/>
          <w:sz w:val="21"/>
          <w:szCs w:val="21"/>
        </w:rPr>
        <w:t>，属于</w:t>
      </w:r>
      <w:r>
        <w:rPr>
          <w:rFonts w:hint="eastAsia" w:ascii="仿宋" w:hAnsi="仿宋" w:eastAsia="仿宋" w:cs="仿宋"/>
          <w:sz w:val="21"/>
          <w:szCs w:val="21"/>
          <w:u w:val="single"/>
        </w:rPr>
        <w:t>（采购文件中明确的所属行业）</w:t>
      </w:r>
      <w:r>
        <w:rPr>
          <w:rFonts w:hint="eastAsia" w:ascii="仿宋" w:hAnsi="仿宋" w:eastAsia="仿宋" w:cs="仿宋"/>
          <w:sz w:val="21"/>
          <w:szCs w:val="21"/>
        </w:rPr>
        <w:t>行业；制造商为</w:t>
      </w:r>
      <w:r>
        <w:rPr>
          <w:rFonts w:hint="eastAsia" w:ascii="仿宋" w:hAnsi="仿宋" w:eastAsia="仿宋" w:cs="仿宋"/>
          <w:sz w:val="21"/>
          <w:szCs w:val="21"/>
          <w:u w:val="single"/>
        </w:rPr>
        <w:t>（企业名称）</w:t>
      </w:r>
      <w:r>
        <w:rPr>
          <w:rFonts w:hint="eastAsia" w:ascii="仿宋" w:hAnsi="仿宋" w:eastAsia="仿宋" w:cs="仿宋"/>
          <w:sz w:val="21"/>
          <w:szCs w:val="21"/>
        </w:rPr>
        <w:t>，从业人员</w:t>
      </w:r>
      <w:r>
        <w:rPr>
          <w:rFonts w:hint="eastAsia" w:ascii="仿宋" w:hAnsi="仿宋" w:eastAsia="仿宋" w:cs="仿宋"/>
          <w:sz w:val="21"/>
          <w:szCs w:val="21"/>
          <w:u w:val="single"/>
        </w:rPr>
        <w:t xml:space="preserve">      </w:t>
      </w:r>
      <w:r>
        <w:rPr>
          <w:rFonts w:hint="eastAsia" w:ascii="仿宋" w:hAnsi="仿宋" w:eastAsia="仿宋" w:cs="仿宋"/>
          <w:sz w:val="21"/>
          <w:szCs w:val="21"/>
        </w:rPr>
        <w:t>人，营业收入为</w:t>
      </w:r>
      <w:r>
        <w:rPr>
          <w:rFonts w:hint="eastAsia" w:ascii="仿宋" w:hAnsi="仿宋" w:eastAsia="仿宋" w:cs="仿宋"/>
          <w:sz w:val="21"/>
          <w:szCs w:val="21"/>
          <w:u w:val="single"/>
        </w:rPr>
        <w:t xml:space="preserve">       </w:t>
      </w:r>
      <w:r>
        <w:rPr>
          <w:rFonts w:hint="eastAsia" w:ascii="仿宋" w:hAnsi="仿宋" w:eastAsia="仿宋" w:cs="仿宋"/>
          <w:sz w:val="21"/>
          <w:szCs w:val="21"/>
        </w:rPr>
        <w:t>万元，资产总额为</w:t>
      </w:r>
      <w:r>
        <w:rPr>
          <w:rFonts w:hint="eastAsia" w:ascii="仿宋" w:hAnsi="仿宋" w:eastAsia="仿宋" w:cs="仿宋"/>
          <w:sz w:val="21"/>
          <w:szCs w:val="21"/>
          <w:u w:val="single"/>
        </w:rPr>
        <w:t xml:space="preserve">        </w:t>
      </w:r>
      <w:r>
        <w:rPr>
          <w:rFonts w:hint="eastAsia" w:ascii="仿宋" w:hAnsi="仿宋" w:eastAsia="仿宋" w:cs="仿宋"/>
          <w:sz w:val="21"/>
          <w:szCs w:val="21"/>
        </w:rPr>
        <w:t>万元，属于</w:t>
      </w:r>
      <w:r>
        <w:rPr>
          <w:rFonts w:hint="eastAsia" w:ascii="仿宋" w:hAnsi="仿宋" w:eastAsia="仿宋" w:cs="仿宋"/>
          <w:sz w:val="21"/>
          <w:szCs w:val="21"/>
          <w:u w:val="single"/>
        </w:rPr>
        <w:t>（中型企业、小型企业、微型企业）</w:t>
      </w:r>
      <w:r>
        <w:rPr>
          <w:rFonts w:hint="eastAsia" w:ascii="仿宋" w:hAnsi="仿宋" w:eastAsia="仿宋" w:cs="仿宋"/>
          <w:sz w:val="21"/>
          <w:szCs w:val="21"/>
        </w:rPr>
        <w:t>；</w:t>
      </w:r>
    </w:p>
    <w:p w14:paraId="2EF5274F">
      <w:pPr>
        <w:pStyle w:val="21"/>
        <w:spacing w:before="0" w:beforeAutospacing="0" w:after="0" w:afterAutospacing="0" w:line="360" w:lineRule="auto"/>
        <w:ind w:firstLine="420" w:firstLineChars="200"/>
        <w:contextualSpacing/>
        <w:rPr>
          <w:rFonts w:hint="eastAsia" w:ascii="仿宋" w:hAnsi="仿宋" w:eastAsia="仿宋" w:cs="仿宋"/>
          <w:sz w:val="21"/>
          <w:szCs w:val="21"/>
        </w:rPr>
      </w:pPr>
      <w:r>
        <w:rPr>
          <w:rFonts w:hint="eastAsia" w:ascii="仿宋" w:hAnsi="仿宋" w:eastAsia="仿宋" w:cs="仿宋"/>
          <w:sz w:val="21"/>
          <w:szCs w:val="21"/>
        </w:rPr>
        <w:t>……</w:t>
      </w:r>
    </w:p>
    <w:p w14:paraId="0DF1DFBD">
      <w:pPr>
        <w:pStyle w:val="21"/>
        <w:spacing w:before="0" w:beforeAutospacing="0" w:after="0" w:afterAutospacing="0" w:line="360" w:lineRule="auto"/>
        <w:ind w:firstLine="420" w:firstLineChars="200"/>
        <w:contextualSpacing/>
        <w:rPr>
          <w:rFonts w:hint="eastAsia" w:ascii="仿宋" w:hAnsi="仿宋" w:eastAsia="仿宋" w:cs="仿宋"/>
          <w:sz w:val="21"/>
          <w:szCs w:val="21"/>
        </w:rPr>
      </w:pPr>
      <w:r>
        <w:rPr>
          <w:rFonts w:hint="eastAsia" w:ascii="仿宋" w:hAnsi="仿宋" w:eastAsia="仿宋" w:cs="仿宋"/>
          <w:sz w:val="21"/>
          <w:szCs w:val="21"/>
        </w:rPr>
        <w:t>以上企业，不属于大企业的分支机构，不存在控股股东为大企业的情形，也不存在与大企业的负责人为同一人的情形。</w:t>
      </w:r>
    </w:p>
    <w:p w14:paraId="13210791">
      <w:pPr>
        <w:pStyle w:val="21"/>
        <w:spacing w:before="0" w:beforeAutospacing="0" w:after="0" w:afterAutospacing="0" w:line="360" w:lineRule="auto"/>
        <w:ind w:firstLine="420" w:firstLineChars="200"/>
        <w:contextualSpacing/>
        <w:rPr>
          <w:rFonts w:hint="eastAsia" w:ascii="仿宋" w:hAnsi="仿宋" w:eastAsia="仿宋" w:cs="仿宋"/>
          <w:sz w:val="21"/>
          <w:szCs w:val="21"/>
        </w:rPr>
      </w:pPr>
      <w:r>
        <w:rPr>
          <w:rFonts w:hint="eastAsia" w:ascii="仿宋" w:hAnsi="仿宋" w:eastAsia="仿宋" w:cs="仿宋"/>
          <w:sz w:val="21"/>
          <w:szCs w:val="21"/>
        </w:rPr>
        <w:t>本企业对上述声明内容的真实性负责。如有虚假，将依法承担相应责任。　　</w:t>
      </w:r>
    </w:p>
    <w:p w14:paraId="752BF819">
      <w:pPr>
        <w:spacing w:line="480" w:lineRule="auto"/>
        <w:jc w:val="center"/>
        <w:rPr>
          <w:rFonts w:hint="eastAsia" w:ascii="仿宋" w:hAnsi="仿宋" w:eastAsia="仿宋" w:cs="仿宋"/>
          <w:szCs w:val="21"/>
        </w:rPr>
      </w:pPr>
      <w:r>
        <w:rPr>
          <w:rFonts w:hint="eastAsia" w:ascii="仿宋" w:hAnsi="仿宋" w:eastAsia="仿宋" w:cs="仿宋"/>
          <w:szCs w:val="21"/>
        </w:rPr>
        <w:t xml:space="preserve"> 企业名称（盖章）： </w:t>
      </w:r>
    </w:p>
    <w:p w14:paraId="32D9E0A7">
      <w:pPr>
        <w:spacing w:line="480" w:lineRule="auto"/>
        <w:ind w:firstLine="4400" w:firstLineChars="2200"/>
        <w:rPr>
          <w:rFonts w:hint="eastAsia" w:ascii="仿宋" w:hAnsi="仿宋" w:eastAsia="仿宋" w:cs="仿宋"/>
          <w:szCs w:val="21"/>
        </w:rPr>
      </w:pPr>
      <w:r>
        <w:rPr>
          <w:rFonts w:hint="eastAsia" w:ascii="仿宋" w:hAnsi="仿宋" w:eastAsia="仿宋" w:cs="仿宋"/>
          <w:szCs w:val="21"/>
        </w:rPr>
        <w:t>日 期：</w:t>
      </w:r>
    </w:p>
    <w:p w14:paraId="6B8C2D06">
      <w:pPr>
        <w:snapToGrid w:val="0"/>
        <w:spacing w:line="360" w:lineRule="auto"/>
        <w:ind w:firstLine="400" w:firstLineChars="200"/>
        <w:rPr>
          <w:rFonts w:hint="eastAsia" w:ascii="仿宋" w:hAnsi="仿宋" w:eastAsia="仿宋" w:cs="仿宋"/>
        </w:rPr>
      </w:pPr>
      <w:r>
        <w:rPr>
          <w:rFonts w:hint="eastAsia" w:ascii="仿宋" w:hAnsi="仿宋" w:eastAsia="仿宋" w:cs="仿宋"/>
        </w:rPr>
        <w:t>注：①本项目所采购标的所属行业为：批发业。</w:t>
      </w:r>
    </w:p>
    <w:p w14:paraId="7BA82E85">
      <w:pPr>
        <w:snapToGrid w:val="0"/>
        <w:spacing w:line="360" w:lineRule="auto"/>
        <w:ind w:firstLine="400" w:firstLineChars="200"/>
        <w:rPr>
          <w:rFonts w:hint="eastAsia" w:ascii="仿宋" w:hAnsi="仿宋" w:eastAsia="仿宋" w:cs="仿宋"/>
        </w:rPr>
      </w:pPr>
      <w:r>
        <w:rPr>
          <w:rFonts w:hint="eastAsia" w:ascii="仿宋" w:hAnsi="仿宋" w:eastAsia="仿宋" w:cs="仿宋"/>
        </w:rPr>
        <w:t>②从业人员、营业收入、资产总额填报上一年度数据，无上一年度数据的新成立企业可不填报。</w:t>
      </w:r>
    </w:p>
    <w:p w14:paraId="7E0DA185">
      <w:pPr>
        <w:snapToGrid w:val="0"/>
        <w:spacing w:line="360" w:lineRule="auto"/>
        <w:ind w:firstLine="400" w:firstLineChars="200"/>
        <w:rPr>
          <w:rFonts w:hint="eastAsia" w:ascii="仿宋" w:hAnsi="仿宋" w:eastAsia="仿宋" w:cs="仿宋"/>
        </w:rPr>
      </w:pPr>
      <w:r>
        <w:rPr>
          <w:rFonts w:hint="eastAsia" w:ascii="仿宋" w:hAnsi="仿宋" w:eastAsia="仿宋" w:cs="仿宋"/>
        </w:rPr>
        <w:t>③采购代理机构在随中标、成交结果同时公告其《中小企业声明函》，接受社会监督。投标人提供的《中小企业声明函》与事实不符的，按照《中国人民共和国政府采购法》等国家有规定追究相应责任。</w:t>
      </w:r>
    </w:p>
    <w:p w14:paraId="6BFA593C">
      <w:pPr>
        <w:pStyle w:val="3"/>
        <w:jc w:val="center"/>
        <w:rPr>
          <w:rStyle w:val="37"/>
          <w:rFonts w:hint="eastAsia" w:ascii="仿宋" w:hAnsi="仿宋" w:eastAsia="仿宋" w:cs="仿宋"/>
          <w:b/>
          <w:bCs/>
        </w:rPr>
      </w:pPr>
      <w:r>
        <w:rPr>
          <w:rFonts w:hint="eastAsia" w:ascii="仿宋" w:hAnsi="仿宋" w:eastAsia="仿宋" w:cs="仿宋"/>
          <w:sz w:val="28"/>
          <w:szCs w:val="28"/>
        </w:rPr>
        <w:br w:type="page"/>
      </w:r>
      <w:bookmarkStart w:id="227" w:name="_Toc15287"/>
      <w:r>
        <w:rPr>
          <w:rFonts w:hint="eastAsia" w:ascii="仿宋" w:hAnsi="仿宋" w:eastAsia="仿宋" w:cs="仿宋"/>
        </w:rPr>
        <w:t>（四）残疾人福利性单位声明函</w:t>
      </w:r>
      <w:bookmarkEnd w:id="225"/>
      <w:bookmarkEnd w:id="226"/>
      <w:r>
        <w:rPr>
          <w:rFonts w:hint="eastAsia" w:ascii="仿宋" w:hAnsi="仿宋" w:eastAsia="仿宋" w:cs="仿宋"/>
        </w:rPr>
        <w:t>（如有）</w:t>
      </w:r>
      <w:bookmarkEnd w:id="227"/>
    </w:p>
    <w:p w14:paraId="7E3E3E9D">
      <w:pPr>
        <w:pStyle w:val="21"/>
        <w:shd w:val="clear" w:color="auto" w:fill="FFFFFF"/>
        <w:spacing w:beforeAutospacing="0" w:afterAutospacing="0" w:line="360" w:lineRule="auto"/>
        <w:jc w:val="both"/>
        <w:rPr>
          <w:rFonts w:hint="eastAsia" w:ascii="仿宋" w:hAnsi="仿宋" w:eastAsia="仿宋" w:cs="仿宋"/>
          <w:szCs w:val="24"/>
          <w:shd w:val="clear" w:color="auto" w:fill="FFFFFF"/>
        </w:rPr>
      </w:pPr>
    </w:p>
    <w:p w14:paraId="34F51BED">
      <w:pPr>
        <w:pStyle w:val="21"/>
        <w:shd w:val="clear" w:color="auto" w:fill="FFFFFF"/>
        <w:spacing w:beforeAutospacing="0" w:afterAutospacing="0" w:line="360" w:lineRule="auto"/>
        <w:jc w:val="both"/>
        <w:rPr>
          <w:rFonts w:hint="eastAsia" w:ascii="仿宋" w:hAnsi="仿宋" w:eastAsia="仿宋" w:cs="仿宋"/>
          <w:sz w:val="21"/>
          <w:szCs w:val="21"/>
        </w:rPr>
      </w:pPr>
      <w:r>
        <w:rPr>
          <w:rFonts w:hint="eastAsia" w:ascii="仿宋" w:hAnsi="仿宋" w:eastAsia="仿宋" w:cs="仿宋"/>
          <w:sz w:val="21"/>
          <w:szCs w:val="21"/>
          <w:shd w:val="clear" w:color="auto" w:fill="FFFFFF"/>
        </w:rPr>
        <w:t>本单位郑重声明，根据《财政部民政部中国残疾人联合会关于促进残疾人就业政府采购政策的通知》（财库〔2017〕 141号）的规定，本单位为符合条件的残疾人福利性单位，且本单位参加______单位的______项目采购活动由本单位承担工程/提供服务，或者提供其他残疾人福利性单位制造的货物（不包括使用非残疾人福利性单位注册商标的货物）。</w:t>
      </w:r>
    </w:p>
    <w:p w14:paraId="3A3D158F">
      <w:pPr>
        <w:pStyle w:val="21"/>
        <w:shd w:val="clear" w:color="auto" w:fill="FFFFFF"/>
        <w:spacing w:beforeAutospacing="0" w:afterAutospacing="0" w:line="360" w:lineRule="auto"/>
        <w:jc w:val="both"/>
        <w:rPr>
          <w:rFonts w:hint="eastAsia" w:ascii="仿宋" w:hAnsi="仿宋" w:eastAsia="仿宋" w:cs="仿宋"/>
          <w:sz w:val="21"/>
          <w:szCs w:val="21"/>
        </w:rPr>
      </w:pPr>
      <w:r>
        <w:rPr>
          <w:rFonts w:hint="eastAsia" w:ascii="仿宋" w:hAnsi="仿宋" w:eastAsia="仿宋" w:cs="仿宋"/>
          <w:sz w:val="21"/>
          <w:szCs w:val="21"/>
          <w:shd w:val="clear" w:color="auto" w:fill="FFFFFF"/>
        </w:rPr>
        <w:t>本单位对上述声明的真实性负责。如有虚假，将依法承担相应责任。</w:t>
      </w:r>
    </w:p>
    <w:p w14:paraId="5470ED35">
      <w:pPr>
        <w:pStyle w:val="21"/>
        <w:shd w:val="clear" w:color="auto" w:fill="FFFFFF"/>
        <w:spacing w:beforeAutospacing="0" w:afterAutospacing="0" w:line="360" w:lineRule="auto"/>
        <w:jc w:val="both"/>
        <w:rPr>
          <w:rFonts w:hint="eastAsia" w:ascii="仿宋" w:hAnsi="仿宋" w:eastAsia="仿宋" w:cs="仿宋"/>
          <w:sz w:val="21"/>
          <w:szCs w:val="21"/>
          <w:shd w:val="clear" w:color="auto" w:fill="FFFFFF"/>
        </w:rPr>
      </w:pPr>
    </w:p>
    <w:p w14:paraId="0B48F76E">
      <w:pPr>
        <w:pStyle w:val="21"/>
        <w:shd w:val="clear" w:color="auto" w:fill="FFFFFF"/>
        <w:spacing w:beforeAutospacing="0" w:afterAutospacing="0" w:line="360" w:lineRule="auto"/>
        <w:jc w:val="both"/>
        <w:rPr>
          <w:rFonts w:hint="eastAsia" w:ascii="仿宋" w:hAnsi="仿宋" w:eastAsia="仿宋" w:cs="仿宋"/>
          <w:sz w:val="21"/>
          <w:szCs w:val="21"/>
          <w:shd w:val="clear" w:color="auto" w:fill="FFFFFF"/>
        </w:rPr>
      </w:pPr>
    </w:p>
    <w:p w14:paraId="0948DD07">
      <w:pPr>
        <w:spacing w:line="360" w:lineRule="auto"/>
        <w:ind w:firstLine="441" w:firstLineChars="210"/>
        <w:rPr>
          <w:rFonts w:hint="eastAsia" w:ascii="仿宋" w:hAnsi="仿宋" w:eastAsia="仿宋" w:cs="仿宋"/>
          <w:sz w:val="21"/>
          <w:szCs w:val="21"/>
        </w:rPr>
      </w:pPr>
      <w:r>
        <w:rPr>
          <w:rFonts w:hint="eastAsia" w:ascii="仿宋" w:hAnsi="仿宋" w:eastAsia="仿宋" w:cs="仿宋"/>
          <w:sz w:val="21"/>
          <w:szCs w:val="21"/>
        </w:rPr>
        <w:t>投标人：</w:t>
      </w:r>
      <w:r>
        <w:rPr>
          <w:rFonts w:hint="eastAsia" w:ascii="仿宋" w:hAnsi="仿宋" w:eastAsia="仿宋" w:cs="仿宋"/>
          <w:sz w:val="21"/>
          <w:szCs w:val="21"/>
          <w:u w:val="single"/>
        </w:rPr>
        <w:t>（电子签章）</w:t>
      </w:r>
    </w:p>
    <w:p w14:paraId="4B541382">
      <w:pPr>
        <w:spacing w:line="360" w:lineRule="auto"/>
        <w:ind w:firstLine="441" w:firstLineChars="210"/>
        <w:rPr>
          <w:rFonts w:hint="eastAsia" w:ascii="仿宋" w:hAnsi="仿宋" w:eastAsia="仿宋" w:cs="仿宋"/>
          <w:sz w:val="21"/>
          <w:szCs w:val="21"/>
        </w:rPr>
      </w:pPr>
      <w:r>
        <w:rPr>
          <w:rFonts w:hint="eastAsia" w:ascii="仿宋" w:hAnsi="仿宋" w:eastAsia="仿宋" w:cs="仿宋"/>
          <w:sz w:val="21"/>
          <w:szCs w:val="21"/>
        </w:rPr>
        <w:t>法定代表人或其委托代理人：</w:t>
      </w:r>
      <w:r>
        <w:rPr>
          <w:rFonts w:hint="eastAsia" w:ascii="仿宋" w:hAnsi="仿宋" w:eastAsia="仿宋" w:cs="仿宋"/>
          <w:sz w:val="21"/>
          <w:szCs w:val="21"/>
          <w:u w:val="single"/>
        </w:rPr>
        <w:t>（签字或签章）</w:t>
      </w:r>
    </w:p>
    <w:p w14:paraId="737D4461">
      <w:pPr>
        <w:tabs>
          <w:tab w:val="left" w:pos="4860"/>
        </w:tabs>
        <w:spacing w:line="360" w:lineRule="auto"/>
        <w:ind w:right="1560" w:firstLine="420" w:firstLineChars="200"/>
        <w:rPr>
          <w:rFonts w:hint="eastAsia" w:ascii="仿宋" w:hAnsi="仿宋" w:eastAsia="仿宋" w:cs="仿宋"/>
          <w:szCs w:val="21"/>
        </w:rPr>
      </w:pPr>
      <w:r>
        <w:rPr>
          <w:rFonts w:hint="eastAsia" w:ascii="仿宋" w:hAnsi="仿宋" w:eastAsia="仿宋" w:cs="仿宋"/>
          <w:sz w:val="21"/>
          <w:szCs w:val="21"/>
        </w:rPr>
        <w:t>日期：年月日</w:t>
      </w:r>
    </w:p>
    <w:p w14:paraId="27B53B7F">
      <w:pPr>
        <w:tabs>
          <w:tab w:val="left" w:pos="4860"/>
        </w:tabs>
        <w:spacing w:line="360" w:lineRule="auto"/>
        <w:ind w:right="1560" w:firstLine="424" w:firstLineChars="200"/>
        <w:rPr>
          <w:rFonts w:hint="eastAsia" w:ascii="仿宋" w:hAnsi="仿宋" w:eastAsia="仿宋" w:cs="仿宋"/>
          <w:spacing w:val="6"/>
          <w:szCs w:val="21"/>
        </w:rPr>
      </w:pPr>
    </w:p>
    <w:p w14:paraId="6EB82D28">
      <w:pPr>
        <w:tabs>
          <w:tab w:val="left" w:pos="4860"/>
        </w:tabs>
        <w:spacing w:line="360" w:lineRule="auto"/>
        <w:ind w:right="1560" w:firstLine="424" w:firstLineChars="200"/>
        <w:rPr>
          <w:rFonts w:hint="eastAsia" w:ascii="仿宋" w:hAnsi="仿宋" w:eastAsia="仿宋" w:cs="仿宋"/>
          <w:spacing w:val="6"/>
          <w:szCs w:val="21"/>
        </w:rPr>
      </w:pPr>
    </w:p>
    <w:p w14:paraId="2AA95650">
      <w:pPr>
        <w:pStyle w:val="3"/>
        <w:jc w:val="center"/>
        <w:rPr>
          <w:rFonts w:hint="eastAsia" w:ascii="仿宋" w:hAnsi="仿宋" w:eastAsia="仿宋" w:cs="仿宋"/>
          <w:b w:val="0"/>
          <w:bCs w:val="0"/>
          <w:kern w:val="2"/>
          <w:szCs w:val="28"/>
        </w:rPr>
      </w:pPr>
      <w:bookmarkStart w:id="228" w:name="_Toc530392270"/>
      <w:r>
        <w:rPr>
          <w:rFonts w:hint="eastAsia" w:ascii="仿宋" w:hAnsi="仿宋" w:eastAsia="仿宋" w:cs="仿宋"/>
        </w:rPr>
        <w:br w:type="page"/>
      </w:r>
      <w:bookmarkStart w:id="229" w:name="_Toc3930"/>
      <w:bookmarkStart w:id="230" w:name="_Toc15132"/>
      <w:r>
        <w:rPr>
          <w:rFonts w:hint="eastAsia" w:ascii="仿宋" w:hAnsi="仿宋" w:eastAsia="仿宋" w:cs="仿宋"/>
        </w:rPr>
        <w:t>（五）监狱企业证明材料</w:t>
      </w:r>
      <w:bookmarkEnd w:id="228"/>
      <w:bookmarkEnd w:id="229"/>
      <w:r>
        <w:rPr>
          <w:rFonts w:hint="eastAsia" w:ascii="仿宋" w:hAnsi="仿宋" w:eastAsia="仿宋" w:cs="仿宋"/>
        </w:rPr>
        <w:t>（如有）</w:t>
      </w:r>
      <w:bookmarkEnd w:id="230"/>
    </w:p>
    <w:p w14:paraId="3D60FB6D">
      <w:pPr>
        <w:tabs>
          <w:tab w:val="left" w:pos="4860"/>
        </w:tabs>
        <w:spacing w:line="360" w:lineRule="auto"/>
        <w:ind w:right="-246"/>
        <w:jc w:val="center"/>
        <w:rPr>
          <w:rFonts w:hint="eastAsia" w:ascii="仿宋" w:hAnsi="仿宋" w:eastAsia="仿宋" w:cs="仿宋"/>
          <w:sz w:val="30"/>
          <w:szCs w:val="30"/>
        </w:rPr>
      </w:pPr>
      <w:r>
        <w:rPr>
          <w:rFonts w:hint="eastAsia" w:ascii="仿宋" w:hAnsi="仿宋" w:eastAsia="仿宋" w:cs="仿宋"/>
          <w:sz w:val="21"/>
          <w:szCs w:val="21"/>
          <w:shd w:val="clear" w:color="auto" w:fill="FFFFFF"/>
        </w:rPr>
        <w:t>附监狱企业证明材料扫描件</w:t>
      </w:r>
    </w:p>
    <w:p w14:paraId="4C9A5F8F">
      <w:pPr>
        <w:rPr>
          <w:rFonts w:hint="eastAsia" w:ascii="仿宋" w:hAnsi="仿宋" w:eastAsia="仿宋" w:cs="仿宋"/>
        </w:rPr>
      </w:pPr>
    </w:p>
    <w:bookmarkEnd w:id="216"/>
    <w:bookmarkEnd w:id="220"/>
    <w:bookmarkEnd w:id="221"/>
    <w:bookmarkEnd w:id="222"/>
    <w:bookmarkEnd w:id="223"/>
    <w:p w14:paraId="5950DE6B">
      <w:pPr>
        <w:rPr>
          <w:rFonts w:hint="eastAsia" w:ascii="仿宋" w:hAnsi="仿宋" w:eastAsia="仿宋" w:cs="仿宋"/>
          <w:sz w:val="30"/>
          <w:szCs w:val="30"/>
        </w:rPr>
      </w:pPr>
      <w:bookmarkStart w:id="231" w:name="_Toc18788"/>
      <w:bookmarkStart w:id="232" w:name="_Toc324500177"/>
      <w:bookmarkStart w:id="233" w:name="_Toc520749024"/>
      <w:r>
        <w:rPr>
          <w:rFonts w:hint="eastAsia" w:ascii="仿宋" w:hAnsi="仿宋" w:eastAsia="仿宋" w:cs="仿宋"/>
          <w:sz w:val="30"/>
          <w:szCs w:val="30"/>
        </w:rPr>
        <w:br w:type="page"/>
      </w:r>
    </w:p>
    <w:p w14:paraId="0E71972D">
      <w:pPr>
        <w:pStyle w:val="3"/>
        <w:jc w:val="center"/>
        <w:rPr>
          <w:rFonts w:hint="eastAsia" w:ascii="仿宋" w:hAnsi="仿宋" w:eastAsia="仿宋" w:cs="仿宋"/>
        </w:rPr>
      </w:pPr>
      <w:bookmarkStart w:id="234" w:name="_Toc3533"/>
      <w:r>
        <w:rPr>
          <w:rFonts w:hint="eastAsia" w:ascii="仿宋" w:hAnsi="仿宋" w:eastAsia="仿宋" w:cs="仿宋"/>
        </w:rPr>
        <w:t>三、投标文件技术部分</w:t>
      </w:r>
      <w:bookmarkEnd w:id="231"/>
      <w:r>
        <w:rPr>
          <w:rFonts w:hint="eastAsia" w:ascii="仿宋" w:hAnsi="仿宋" w:eastAsia="仿宋" w:cs="仿宋"/>
        </w:rPr>
        <w:t>格式</w:t>
      </w:r>
      <w:bookmarkEnd w:id="232"/>
      <w:bookmarkEnd w:id="233"/>
      <w:bookmarkEnd w:id="234"/>
    </w:p>
    <w:p w14:paraId="36C146D4">
      <w:pPr>
        <w:autoSpaceDE w:val="0"/>
        <w:autoSpaceDN w:val="0"/>
        <w:adjustRightInd w:val="0"/>
        <w:spacing w:line="360" w:lineRule="auto"/>
        <w:jc w:val="center"/>
        <w:rPr>
          <w:rFonts w:hint="eastAsia" w:ascii="仿宋" w:hAnsi="仿宋" w:eastAsia="仿宋" w:cs="仿宋"/>
          <w:b/>
          <w:bCs/>
          <w:sz w:val="32"/>
          <w:szCs w:val="32"/>
          <w:lang w:val="zh-CN"/>
        </w:rPr>
      </w:pPr>
      <w:r>
        <w:rPr>
          <w:rFonts w:hint="eastAsia" w:ascii="仿宋" w:hAnsi="仿宋" w:eastAsia="仿宋" w:cs="仿宋"/>
          <w:b/>
          <w:bCs/>
          <w:sz w:val="32"/>
          <w:szCs w:val="32"/>
          <w:lang w:val="zh-CN"/>
        </w:rPr>
        <w:t>（一）</w:t>
      </w:r>
      <w:r>
        <w:rPr>
          <w:rFonts w:hint="eastAsia" w:ascii="仿宋" w:hAnsi="仿宋" w:eastAsia="仿宋" w:cs="仿宋"/>
          <w:b/>
          <w:bCs/>
          <w:sz w:val="32"/>
          <w:szCs w:val="32"/>
        </w:rPr>
        <w:t>配餐方案</w:t>
      </w:r>
    </w:p>
    <w:p w14:paraId="2FC716AC">
      <w:pPr>
        <w:autoSpaceDE w:val="0"/>
        <w:autoSpaceDN w:val="0"/>
        <w:adjustRightInd w:val="0"/>
        <w:spacing w:line="360" w:lineRule="auto"/>
        <w:jc w:val="center"/>
        <w:rPr>
          <w:rFonts w:hint="eastAsia" w:ascii="仿宋" w:hAnsi="仿宋" w:eastAsia="仿宋" w:cs="仿宋"/>
          <w:b/>
          <w:bCs/>
          <w:sz w:val="28"/>
          <w:szCs w:val="28"/>
          <w:lang w:val="zh-CN"/>
        </w:rPr>
      </w:pPr>
      <w:r>
        <w:rPr>
          <w:rFonts w:hint="eastAsia" w:ascii="仿宋" w:hAnsi="仿宋" w:eastAsia="仿宋" w:cs="仿宋"/>
          <w:bCs/>
          <w:szCs w:val="21"/>
        </w:rPr>
        <w:t>（根据本项目实际情况结合评标办法自行编写，格式自拟）</w:t>
      </w:r>
    </w:p>
    <w:p w14:paraId="03BD8E4B">
      <w:pPr>
        <w:pStyle w:val="78"/>
        <w:spacing w:line="360" w:lineRule="auto"/>
        <w:rPr>
          <w:rFonts w:hint="eastAsia" w:ascii="仿宋" w:hAnsi="仿宋" w:eastAsia="仿宋" w:cs="仿宋"/>
          <w:szCs w:val="21"/>
        </w:rPr>
      </w:pPr>
      <w:r>
        <w:rPr>
          <w:rFonts w:hint="eastAsia" w:ascii="仿宋" w:hAnsi="仿宋" w:eastAsia="仿宋" w:cs="仿宋"/>
          <w:szCs w:val="21"/>
        </w:rPr>
        <w:t>第一方案</w:t>
      </w:r>
    </w:p>
    <w:p w14:paraId="1A088381">
      <w:pPr>
        <w:pStyle w:val="78"/>
        <w:spacing w:line="360" w:lineRule="auto"/>
        <w:rPr>
          <w:rFonts w:hint="eastAsia" w:ascii="仿宋" w:hAnsi="仿宋" w:eastAsia="仿宋" w:cs="仿宋"/>
          <w:szCs w:val="21"/>
        </w:rPr>
      </w:pPr>
      <w:r>
        <w:rPr>
          <w:rFonts w:hint="eastAsia" w:ascii="仿宋" w:hAnsi="仿宋" w:eastAsia="仿宋" w:cs="仿宋"/>
          <w:szCs w:val="21"/>
        </w:rPr>
        <w:t>单价：1</w:t>
      </w:r>
      <w:r>
        <w:rPr>
          <w:rFonts w:hint="eastAsia" w:ascii="仿宋" w:hAnsi="仿宋" w:eastAsia="仿宋" w:cs="仿宋"/>
          <w:szCs w:val="21"/>
          <w:lang w:val="en-US" w:eastAsia="zh-CN"/>
        </w:rPr>
        <w:t>0</w:t>
      </w:r>
      <w:r>
        <w:rPr>
          <w:rFonts w:hint="eastAsia" w:ascii="仿宋" w:hAnsi="仿宋" w:eastAsia="仿宋" w:cs="仿宋"/>
          <w:szCs w:val="21"/>
        </w:rPr>
        <w:t>元/人/餐</w:t>
      </w:r>
    </w:p>
    <w:p w14:paraId="53A99E70">
      <w:pPr>
        <w:pStyle w:val="78"/>
        <w:spacing w:line="360" w:lineRule="auto"/>
        <w:rPr>
          <w:rFonts w:hint="eastAsia" w:ascii="仿宋" w:hAnsi="仿宋" w:eastAsia="仿宋" w:cs="仿宋"/>
          <w:szCs w:val="21"/>
        </w:rPr>
      </w:pPr>
      <w:r>
        <w:rPr>
          <w:rFonts w:hint="eastAsia" w:ascii="仿宋" w:hAnsi="仿宋" w:eastAsia="仿宋" w:cs="仿宋"/>
          <w:szCs w:val="21"/>
        </w:rPr>
        <w:t>配餐方案：</w:t>
      </w:r>
    </w:p>
    <w:p w14:paraId="2D301FD5">
      <w:pPr>
        <w:pStyle w:val="78"/>
        <w:spacing w:line="360" w:lineRule="auto"/>
        <w:rPr>
          <w:rFonts w:hint="eastAsia" w:ascii="仿宋" w:hAnsi="仿宋" w:eastAsia="仿宋" w:cs="仿宋"/>
          <w:szCs w:val="21"/>
        </w:rPr>
      </w:pPr>
    </w:p>
    <w:p w14:paraId="493C4217">
      <w:pPr>
        <w:pStyle w:val="78"/>
        <w:spacing w:line="360" w:lineRule="auto"/>
        <w:rPr>
          <w:rFonts w:hint="eastAsia" w:ascii="仿宋" w:hAnsi="仿宋" w:eastAsia="仿宋" w:cs="仿宋"/>
          <w:szCs w:val="21"/>
        </w:rPr>
      </w:pPr>
    </w:p>
    <w:p w14:paraId="27C036E9">
      <w:pPr>
        <w:pStyle w:val="78"/>
        <w:spacing w:line="360" w:lineRule="auto"/>
        <w:rPr>
          <w:rFonts w:hint="eastAsia" w:ascii="仿宋" w:hAnsi="仿宋" w:eastAsia="仿宋" w:cs="仿宋"/>
          <w:szCs w:val="21"/>
        </w:rPr>
      </w:pPr>
    </w:p>
    <w:p w14:paraId="14075839">
      <w:pPr>
        <w:pStyle w:val="78"/>
        <w:spacing w:line="360" w:lineRule="auto"/>
        <w:rPr>
          <w:rFonts w:hint="eastAsia" w:ascii="仿宋" w:hAnsi="仿宋" w:eastAsia="仿宋" w:cs="仿宋"/>
          <w:szCs w:val="21"/>
        </w:rPr>
      </w:pPr>
    </w:p>
    <w:p w14:paraId="78D0326F">
      <w:pPr>
        <w:pStyle w:val="78"/>
        <w:spacing w:line="360" w:lineRule="auto"/>
        <w:rPr>
          <w:rFonts w:hint="eastAsia" w:ascii="仿宋" w:hAnsi="仿宋" w:eastAsia="仿宋" w:cs="仿宋"/>
          <w:szCs w:val="21"/>
          <w:u w:val="single"/>
        </w:rPr>
      </w:pPr>
      <w:r>
        <w:rPr>
          <w:rFonts w:hint="eastAsia" w:ascii="仿宋" w:hAnsi="仿宋" w:eastAsia="仿宋" w:cs="仿宋"/>
          <w:szCs w:val="21"/>
        </w:rPr>
        <w:t>投标人（盖章）：</w:t>
      </w:r>
    </w:p>
    <w:p w14:paraId="662BC136">
      <w:pPr>
        <w:pStyle w:val="78"/>
        <w:spacing w:line="360" w:lineRule="auto"/>
        <w:rPr>
          <w:rFonts w:hint="eastAsia" w:ascii="仿宋" w:hAnsi="仿宋" w:eastAsia="仿宋" w:cs="仿宋"/>
          <w:szCs w:val="21"/>
          <w:u w:val="single"/>
        </w:rPr>
      </w:pPr>
      <w:r>
        <w:rPr>
          <w:rFonts w:hint="eastAsia" w:ascii="仿宋" w:hAnsi="仿宋" w:eastAsia="仿宋" w:cs="仿宋"/>
          <w:szCs w:val="21"/>
        </w:rPr>
        <w:t>法定代表人或授权委托人（签字或盖章）：</w:t>
      </w:r>
    </w:p>
    <w:p w14:paraId="37A01C3E">
      <w:pPr>
        <w:autoSpaceDE w:val="0"/>
        <w:autoSpaceDN w:val="0"/>
        <w:adjustRightInd w:val="0"/>
        <w:spacing w:line="360" w:lineRule="auto"/>
        <w:rPr>
          <w:rFonts w:hint="eastAsia" w:ascii="仿宋" w:hAnsi="仿宋" w:eastAsia="仿宋" w:cs="仿宋"/>
          <w:b/>
          <w:bCs/>
          <w:sz w:val="28"/>
          <w:szCs w:val="28"/>
          <w:lang w:val="zh-CN"/>
        </w:rPr>
      </w:pP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14685862">
      <w:pPr>
        <w:autoSpaceDE w:val="0"/>
        <w:autoSpaceDN w:val="0"/>
        <w:adjustRightInd w:val="0"/>
        <w:spacing w:line="360" w:lineRule="auto"/>
        <w:jc w:val="center"/>
        <w:rPr>
          <w:rFonts w:hint="eastAsia" w:ascii="仿宋" w:hAnsi="仿宋" w:eastAsia="仿宋" w:cs="仿宋"/>
          <w:b/>
          <w:bCs/>
          <w:sz w:val="28"/>
          <w:szCs w:val="28"/>
          <w:lang w:val="zh-CN"/>
        </w:rPr>
      </w:pPr>
    </w:p>
    <w:p w14:paraId="021363A0">
      <w:pPr>
        <w:autoSpaceDE w:val="0"/>
        <w:autoSpaceDN w:val="0"/>
        <w:adjustRightInd w:val="0"/>
        <w:spacing w:line="360" w:lineRule="auto"/>
        <w:jc w:val="center"/>
        <w:rPr>
          <w:rFonts w:hint="eastAsia" w:ascii="仿宋" w:hAnsi="仿宋" w:eastAsia="仿宋" w:cs="仿宋"/>
          <w:b/>
          <w:bCs/>
          <w:sz w:val="32"/>
          <w:szCs w:val="32"/>
          <w:lang w:val="zh-CN"/>
        </w:rPr>
      </w:pPr>
      <w:r>
        <w:rPr>
          <w:rFonts w:hint="eastAsia" w:ascii="仿宋" w:hAnsi="仿宋" w:eastAsia="仿宋" w:cs="仿宋"/>
          <w:b/>
          <w:bCs/>
          <w:sz w:val="28"/>
          <w:szCs w:val="28"/>
          <w:lang w:val="zh-CN"/>
        </w:rPr>
        <w:br w:type="page"/>
      </w:r>
      <w:r>
        <w:rPr>
          <w:rFonts w:hint="eastAsia" w:ascii="仿宋" w:hAnsi="仿宋" w:eastAsia="仿宋" w:cs="仿宋"/>
          <w:b/>
          <w:bCs/>
          <w:sz w:val="32"/>
          <w:szCs w:val="32"/>
          <w:lang w:val="zh-CN"/>
        </w:rPr>
        <w:t>（二）</w:t>
      </w:r>
      <w:r>
        <w:rPr>
          <w:rFonts w:hint="eastAsia" w:ascii="仿宋" w:hAnsi="仿宋" w:eastAsia="仿宋" w:cs="仿宋"/>
          <w:b/>
          <w:bCs/>
          <w:sz w:val="32"/>
          <w:szCs w:val="32"/>
        </w:rPr>
        <w:t>项目其他技术部分</w:t>
      </w:r>
    </w:p>
    <w:p w14:paraId="3CE19132">
      <w:pPr>
        <w:autoSpaceDE w:val="0"/>
        <w:autoSpaceDN w:val="0"/>
        <w:adjustRightInd w:val="0"/>
        <w:spacing w:line="360" w:lineRule="auto"/>
        <w:jc w:val="center"/>
        <w:rPr>
          <w:rFonts w:hint="eastAsia" w:ascii="仿宋" w:hAnsi="仿宋" w:eastAsia="仿宋" w:cs="仿宋"/>
          <w:b/>
          <w:bCs/>
          <w:sz w:val="28"/>
          <w:szCs w:val="28"/>
          <w:lang w:val="zh-CN"/>
        </w:rPr>
      </w:pPr>
      <w:r>
        <w:rPr>
          <w:rFonts w:hint="eastAsia" w:ascii="仿宋" w:hAnsi="仿宋" w:eastAsia="仿宋" w:cs="仿宋"/>
          <w:b/>
          <w:bCs/>
          <w:sz w:val="28"/>
          <w:szCs w:val="28"/>
          <w:lang w:val="zh-CN"/>
        </w:rPr>
        <w:t>1、</w:t>
      </w:r>
      <w:r>
        <w:rPr>
          <w:rFonts w:hint="eastAsia" w:ascii="仿宋" w:hAnsi="仿宋" w:eastAsia="仿宋" w:cs="仿宋"/>
          <w:b/>
          <w:bCs/>
          <w:sz w:val="28"/>
          <w:szCs w:val="28"/>
        </w:rPr>
        <w:t>项目服务方案</w:t>
      </w:r>
    </w:p>
    <w:p w14:paraId="348BFB1E">
      <w:pPr>
        <w:autoSpaceDE w:val="0"/>
        <w:autoSpaceDN w:val="0"/>
        <w:adjustRightInd w:val="0"/>
        <w:spacing w:line="360" w:lineRule="auto"/>
        <w:jc w:val="center"/>
        <w:rPr>
          <w:rFonts w:hint="eastAsia" w:ascii="仿宋" w:hAnsi="仿宋" w:eastAsia="仿宋" w:cs="仿宋"/>
        </w:rPr>
      </w:pPr>
      <w:r>
        <w:rPr>
          <w:rFonts w:hint="eastAsia" w:ascii="仿宋" w:hAnsi="仿宋" w:eastAsia="仿宋" w:cs="仿宋"/>
        </w:rPr>
        <w:t>投标人自行编写。</w:t>
      </w:r>
    </w:p>
    <w:p w14:paraId="792D711B">
      <w:pPr>
        <w:autoSpaceDE w:val="0"/>
        <w:autoSpaceDN w:val="0"/>
        <w:adjustRightInd w:val="0"/>
        <w:spacing w:line="360" w:lineRule="auto"/>
        <w:jc w:val="center"/>
        <w:rPr>
          <w:rFonts w:hint="eastAsia" w:ascii="仿宋" w:hAnsi="仿宋" w:eastAsia="仿宋" w:cs="仿宋"/>
          <w:lang w:val="zh-CN"/>
        </w:rPr>
      </w:pPr>
    </w:p>
    <w:p w14:paraId="5F591663">
      <w:pPr>
        <w:autoSpaceDE w:val="0"/>
        <w:autoSpaceDN w:val="0"/>
        <w:adjustRightInd w:val="0"/>
        <w:spacing w:line="360" w:lineRule="auto"/>
        <w:jc w:val="center"/>
        <w:rPr>
          <w:rFonts w:hint="eastAsia" w:ascii="仿宋" w:hAnsi="仿宋" w:eastAsia="仿宋" w:cs="仿宋"/>
          <w:b/>
          <w:bCs/>
          <w:sz w:val="28"/>
          <w:szCs w:val="28"/>
        </w:rPr>
      </w:pPr>
      <w:r>
        <w:rPr>
          <w:rFonts w:hint="eastAsia" w:ascii="仿宋" w:hAnsi="仿宋" w:eastAsia="仿宋" w:cs="仿宋"/>
          <w:b/>
          <w:bCs/>
          <w:sz w:val="28"/>
          <w:szCs w:val="28"/>
          <w:lang w:val="zh-CN"/>
        </w:rPr>
        <w:t>2、</w:t>
      </w:r>
      <w:r>
        <w:rPr>
          <w:rFonts w:hint="eastAsia" w:ascii="仿宋" w:hAnsi="仿宋" w:eastAsia="仿宋" w:cs="仿宋"/>
          <w:b/>
          <w:bCs/>
          <w:sz w:val="28"/>
          <w:szCs w:val="28"/>
        </w:rPr>
        <w:t>食品采购、加工制作方案</w:t>
      </w:r>
    </w:p>
    <w:p w14:paraId="77BCBE49">
      <w:pPr>
        <w:autoSpaceDE w:val="0"/>
        <w:autoSpaceDN w:val="0"/>
        <w:adjustRightInd w:val="0"/>
        <w:spacing w:line="360" w:lineRule="auto"/>
        <w:jc w:val="center"/>
        <w:rPr>
          <w:rFonts w:hint="eastAsia" w:ascii="仿宋" w:hAnsi="仿宋" w:eastAsia="仿宋" w:cs="仿宋"/>
        </w:rPr>
      </w:pPr>
      <w:r>
        <w:rPr>
          <w:rFonts w:hint="eastAsia" w:ascii="仿宋" w:hAnsi="仿宋" w:eastAsia="仿宋" w:cs="仿宋"/>
        </w:rPr>
        <w:t>投标人自行编写。</w:t>
      </w:r>
    </w:p>
    <w:p w14:paraId="1EDCED0F">
      <w:pPr>
        <w:autoSpaceDE w:val="0"/>
        <w:autoSpaceDN w:val="0"/>
        <w:adjustRightInd w:val="0"/>
        <w:spacing w:line="360" w:lineRule="auto"/>
        <w:jc w:val="center"/>
        <w:rPr>
          <w:rFonts w:hint="eastAsia" w:ascii="仿宋" w:hAnsi="仿宋" w:eastAsia="仿宋" w:cs="仿宋"/>
        </w:rPr>
      </w:pPr>
    </w:p>
    <w:p w14:paraId="1C7F19B7">
      <w:pPr>
        <w:autoSpaceDE w:val="0"/>
        <w:autoSpaceDN w:val="0"/>
        <w:adjustRightInd w:val="0"/>
        <w:spacing w:line="360" w:lineRule="auto"/>
        <w:jc w:val="center"/>
        <w:rPr>
          <w:rFonts w:hint="eastAsia" w:ascii="仿宋" w:hAnsi="仿宋" w:eastAsia="仿宋" w:cs="仿宋"/>
          <w:b/>
          <w:bCs/>
          <w:sz w:val="28"/>
          <w:szCs w:val="28"/>
        </w:rPr>
      </w:pPr>
      <w:r>
        <w:rPr>
          <w:rFonts w:hint="eastAsia" w:ascii="仿宋" w:hAnsi="仿宋" w:eastAsia="仿宋" w:cs="仿宋"/>
          <w:b/>
          <w:bCs/>
          <w:sz w:val="28"/>
          <w:szCs w:val="28"/>
          <w:lang w:val="zh-CN"/>
        </w:rPr>
        <w:tab/>
      </w:r>
      <w:r>
        <w:rPr>
          <w:rFonts w:hint="eastAsia" w:ascii="仿宋" w:hAnsi="仿宋" w:eastAsia="仿宋" w:cs="仿宋"/>
          <w:b/>
          <w:bCs/>
          <w:sz w:val="28"/>
          <w:szCs w:val="28"/>
          <w:lang w:val="zh-CN"/>
        </w:rPr>
        <w:t>3、</w:t>
      </w:r>
      <w:r>
        <w:rPr>
          <w:rFonts w:hint="eastAsia" w:ascii="仿宋" w:hAnsi="仿宋" w:eastAsia="仿宋" w:cs="仿宋"/>
          <w:b/>
          <w:bCs/>
          <w:sz w:val="28"/>
          <w:szCs w:val="28"/>
        </w:rPr>
        <w:t>食品安全质量保证体系、措施及承诺</w:t>
      </w:r>
    </w:p>
    <w:p w14:paraId="530A3CF9">
      <w:pPr>
        <w:autoSpaceDE w:val="0"/>
        <w:autoSpaceDN w:val="0"/>
        <w:adjustRightInd w:val="0"/>
        <w:spacing w:line="360" w:lineRule="auto"/>
        <w:jc w:val="center"/>
        <w:rPr>
          <w:rFonts w:hint="eastAsia" w:ascii="仿宋" w:hAnsi="仿宋" w:eastAsia="仿宋" w:cs="仿宋"/>
          <w:bCs/>
          <w:sz w:val="28"/>
          <w:szCs w:val="28"/>
        </w:rPr>
      </w:pPr>
      <w:r>
        <w:rPr>
          <w:rFonts w:hint="eastAsia" w:ascii="仿宋" w:hAnsi="仿宋" w:eastAsia="仿宋" w:cs="仿宋"/>
        </w:rPr>
        <w:t>投标人自行编写。</w:t>
      </w:r>
    </w:p>
    <w:p w14:paraId="4AD1FED6">
      <w:pPr>
        <w:autoSpaceDE w:val="0"/>
        <w:autoSpaceDN w:val="0"/>
        <w:adjustRightInd w:val="0"/>
        <w:spacing w:line="360" w:lineRule="auto"/>
        <w:rPr>
          <w:rFonts w:hint="eastAsia" w:ascii="仿宋" w:hAnsi="仿宋" w:eastAsia="仿宋" w:cs="仿宋"/>
          <w:szCs w:val="21"/>
        </w:rPr>
      </w:pPr>
    </w:p>
    <w:p w14:paraId="752A4489">
      <w:pPr>
        <w:autoSpaceDE w:val="0"/>
        <w:autoSpaceDN w:val="0"/>
        <w:adjustRightInd w:val="0"/>
        <w:spacing w:line="360" w:lineRule="auto"/>
        <w:jc w:val="center"/>
        <w:rPr>
          <w:rFonts w:hint="eastAsia" w:ascii="仿宋" w:hAnsi="仿宋" w:eastAsia="仿宋" w:cs="仿宋"/>
          <w:bCs/>
          <w:szCs w:val="21"/>
        </w:rPr>
      </w:pPr>
      <w:r>
        <w:rPr>
          <w:rFonts w:hint="eastAsia" w:ascii="仿宋" w:hAnsi="仿宋" w:eastAsia="仿宋" w:cs="仿宋"/>
          <w:b/>
          <w:bCs/>
          <w:sz w:val="28"/>
          <w:szCs w:val="28"/>
          <w:lang w:val="zh-CN"/>
        </w:rPr>
        <w:t>4、</w:t>
      </w:r>
      <w:r>
        <w:rPr>
          <w:rFonts w:hint="eastAsia" w:ascii="仿宋" w:hAnsi="仿宋" w:eastAsia="仿宋" w:cs="仿宋"/>
          <w:b/>
          <w:bCs/>
          <w:sz w:val="28"/>
          <w:szCs w:val="28"/>
        </w:rPr>
        <w:t>食品安全突发事件应急处理方案</w:t>
      </w:r>
    </w:p>
    <w:p w14:paraId="71943214">
      <w:pPr>
        <w:autoSpaceDE w:val="0"/>
        <w:autoSpaceDN w:val="0"/>
        <w:adjustRightInd w:val="0"/>
        <w:spacing w:line="360" w:lineRule="auto"/>
        <w:jc w:val="center"/>
        <w:rPr>
          <w:rFonts w:hint="eastAsia" w:ascii="仿宋" w:hAnsi="仿宋" w:eastAsia="仿宋" w:cs="仿宋"/>
          <w:bCs/>
          <w:sz w:val="28"/>
          <w:szCs w:val="28"/>
        </w:rPr>
      </w:pPr>
      <w:r>
        <w:rPr>
          <w:rFonts w:hint="eastAsia" w:ascii="仿宋" w:hAnsi="仿宋" w:eastAsia="仿宋" w:cs="仿宋"/>
        </w:rPr>
        <w:t>投标人自行编写。</w:t>
      </w:r>
    </w:p>
    <w:p w14:paraId="5D522246">
      <w:pPr>
        <w:autoSpaceDE w:val="0"/>
        <w:autoSpaceDN w:val="0"/>
        <w:adjustRightInd w:val="0"/>
        <w:spacing w:line="360" w:lineRule="auto"/>
        <w:rPr>
          <w:rFonts w:hint="eastAsia" w:ascii="仿宋" w:hAnsi="仿宋" w:eastAsia="仿宋" w:cs="仿宋"/>
          <w:szCs w:val="21"/>
        </w:rPr>
      </w:pPr>
    </w:p>
    <w:p w14:paraId="32F9BEC2">
      <w:pPr>
        <w:autoSpaceDE w:val="0"/>
        <w:autoSpaceDN w:val="0"/>
        <w:adjustRightInd w:val="0"/>
        <w:spacing w:line="360" w:lineRule="auto"/>
        <w:jc w:val="center"/>
        <w:rPr>
          <w:rFonts w:hint="eastAsia" w:ascii="仿宋" w:hAnsi="仿宋" w:eastAsia="仿宋" w:cs="仿宋"/>
          <w:b/>
          <w:bCs/>
          <w:sz w:val="28"/>
          <w:szCs w:val="28"/>
        </w:rPr>
      </w:pPr>
      <w:r>
        <w:rPr>
          <w:rFonts w:hint="eastAsia" w:ascii="仿宋" w:hAnsi="仿宋" w:eastAsia="仿宋" w:cs="仿宋"/>
          <w:b/>
          <w:bCs/>
          <w:sz w:val="28"/>
          <w:szCs w:val="28"/>
          <w:lang w:val="zh-CN"/>
        </w:rPr>
        <w:t>5、</w:t>
      </w:r>
      <w:r>
        <w:rPr>
          <w:rFonts w:hint="eastAsia" w:ascii="仿宋" w:hAnsi="仿宋" w:eastAsia="仿宋" w:cs="仿宋"/>
          <w:b/>
          <w:bCs/>
          <w:sz w:val="28"/>
          <w:szCs w:val="28"/>
        </w:rPr>
        <w:t>送餐日常运营规划及物流配送方案及承诺</w:t>
      </w:r>
    </w:p>
    <w:p w14:paraId="3217DE76">
      <w:pPr>
        <w:autoSpaceDE w:val="0"/>
        <w:autoSpaceDN w:val="0"/>
        <w:adjustRightInd w:val="0"/>
        <w:spacing w:line="360" w:lineRule="auto"/>
        <w:jc w:val="center"/>
        <w:rPr>
          <w:rFonts w:hint="eastAsia" w:ascii="仿宋" w:hAnsi="仿宋" w:eastAsia="仿宋" w:cs="仿宋"/>
          <w:bCs/>
          <w:sz w:val="28"/>
          <w:szCs w:val="28"/>
        </w:rPr>
      </w:pPr>
      <w:r>
        <w:rPr>
          <w:rFonts w:hint="eastAsia" w:ascii="仿宋" w:hAnsi="仿宋" w:eastAsia="仿宋" w:cs="仿宋"/>
        </w:rPr>
        <w:t>投标人自行编写。</w:t>
      </w:r>
    </w:p>
    <w:p w14:paraId="58BE215E">
      <w:pPr>
        <w:jc w:val="center"/>
        <w:rPr>
          <w:rFonts w:hint="eastAsia" w:ascii="仿宋" w:hAnsi="仿宋" w:eastAsia="仿宋" w:cs="仿宋"/>
        </w:rPr>
      </w:pPr>
    </w:p>
    <w:p w14:paraId="1112FE73">
      <w:pPr>
        <w:rPr>
          <w:rFonts w:hint="eastAsia" w:ascii="仿宋" w:hAnsi="仿宋" w:eastAsia="仿宋" w:cs="仿宋"/>
          <w:kern w:val="2"/>
          <w:sz w:val="21"/>
          <w:szCs w:val="22"/>
        </w:rPr>
      </w:pPr>
      <w:r>
        <w:rPr>
          <w:rFonts w:hint="eastAsia" w:ascii="仿宋" w:hAnsi="仿宋" w:eastAsia="仿宋" w:cs="仿宋"/>
          <w:kern w:val="2"/>
          <w:sz w:val="21"/>
          <w:szCs w:val="22"/>
        </w:rPr>
        <w:br w:type="page"/>
      </w:r>
    </w:p>
    <w:p w14:paraId="20B83974">
      <w:pPr>
        <w:pStyle w:val="32"/>
        <w:jc w:val="left"/>
        <w:rPr>
          <w:rFonts w:hint="eastAsia" w:ascii="仿宋" w:hAnsi="仿宋" w:eastAsia="仿宋" w:cs="仿宋"/>
          <w:kern w:val="2"/>
          <w:sz w:val="21"/>
          <w:szCs w:val="22"/>
        </w:rPr>
      </w:pPr>
    </w:p>
    <w:p w14:paraId="5680C90B">
      <w:pPr>
        <w:pStyle w:val="3"/>
        <w:ind w:left="2800"/>
        <w:jc w:val="both"/>
        <w:rPr>
          <w:rFonts w:hint="eastAsia" w:ascii="仿宋" w:hAnsi="仿宋" w:eastAsia="仿宋" w:cs="仿宋"/>
          <w:sz w:val="30"/>
          <w:szCs w:val="30"/>
        </w:rPr>
      </w:pPr>
      <w:bookmarkStart w:id="235" w:name="_Toc25035"/>
      <w:r>
        <w:rPr>
          <w:rFonts w:hint="eastAsia" w:ascii="仿宋" w:hAnsi="仿宋" w:eastAsia="仿宋" w:cs="仿宋"/>
          <w:sz w:val="30"/>
          <w:szCs w:val="30"/>
        </w:rPr>
        <w:t>四、投标文件商务部分格式</w:t>
      </w:r>
      <w:bookmarkEnd w:id="235"/>
    </w:p>
    <w:p w14:paraId="25AD83CA">
      <w:pPr>
        <w:pStyle w:val="3"/>
        <w:jc w:val="center"/>
        <w:rPr>
          <w:rFonts w:hint="eastAsia" w:ascii="仿宋" w:hAnsi="仿宋" w:eastAsia="仿宋" w:cs="仿宋"/>
        </w:rPr>
      </w:pPr>
      <w:bookmarkStart w:id="236" w:name="_Toc1426"/>
      <w:r>
        <w:rPr>
          <w:rFonts w:hint="eastAsia" w:ascii="仿宋" w:hAnsi="仿宋" w:eastAsia="仿宋" w:cs="仿宋"/>
        </w:rPr>
        <w:t>（一）类似业绩</w:t>
      </w:r>
      <w:bookmarkEnd w:id="236"/>
    </w:p>
    <w:p w14:paraId="0CA5993A">
      <w:pPr>
        <w:jc w:val="center"/>
        <w:rPr>
          <w:rFonts w:hint="eastAsia" w:ascii="仿宋" w:hAnsi="仿宋" w:eastAsia="仿宋" w:cs="仿宋"/>
        </w:rPr>
      </w:pPr>
      <w:r>
        <w:rPr>
          <w:rFonts w:hint="eastAsia" w:ascii="仿宋" w:hAnsi="仿宋" w:eastAsia="仿宋" w:cs="仿宋"/>
        </w:rPr>
        <w:t>投标人自行编写。</w:t>
      </w:r>
    </w:p>
    <w:p w14:paraId="47F40C6E">
      <w:pPr>
        <w:pStyle w:val="32"/>
        <w:rPr>
          <w:rFonts w:hint="eastAsia" w:ascii="仿宋" w:hAnsi="仿宋" w:eastAsia="仿宋" w:cs="仿宋"/>
        </w:rPr>
      </w:pPr>
    </w:p>
    <w:p w14:paraId="788DA0F0">
      <w:pPr>
        <w:tabs>
          <w:tab w:val="left" w:pos="2572"/>
        </w:tabs>
        <w:rPr>
          <w:rFonts w:hint="eastAsia" w:ascii="仿宋" w:hAnsi="仿宋" w:eastAsia="仿宋" w:cs="仿宋"/>
        </w:rPr>
      </w:pPr>
    </w:p>
    <w:sectPr>
      <w:footerReference r:id="rId11" w:type="first"/>
      <w:footerReference r:id="rId10" w:type="default"/>
      <w:pgSz w:w="11907" w:h="16840"/>
      <w:pgMar w:top="1474" w:right="1247" w:bottom="1247" w:left="1474" w:header="851" w:footer="851" w:gutter="0"/>
      <w:pgNumType w:start="1"/>
      <w:cols w:space="720" w:num="1"/>
      <w:titlePg/>
      <w:docGrid w:linePitch="28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MingLiU">
    <w:altName w:val="PMingLiU-ExtB"/>
    <w:panose1 w:val="02020509000000000000"/>
    <w:charset w:val="88"/>
    <w:family w:val="modern"/>
    <w:pitch w:val="default"/>
    <w:sig w:usb0="00000000" w:usb1="00000000" w:usb2="00000016" w:usb3="00000000" w:csb0="00100001" w:csb1="00000000"/>
  </w:font>
  <w:font w:name="PMingLiU">
    <w:altName w:val="PMingLiU-ExtB"/>
    <w:panose1 w:val="02020500000000000000"/>
    <w:charset w:val="88"/>
    <w:family w:val="roman"/>
    <w:pitch w:val="default"/>
    <w:sig w:usb0="00000000" w:usb1="00000000" w:usb2="00000016" w:usb3="00000000" w:csb0="00100001"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68B84">
    <w:pPr>
      <w:pStyle w:val="15"/>
      <w:spacing w:line="360" w:lineRule="auto"/>
      <w:jc w:val="center"/>
    </w:pPr>
    <w:r>
      <mc:AlternateContent>
        <mc:Choice Requires="wps">
          <w:drawing>
            <wp:anchor distT="0" distB="0" distL="114300" distR="114300" simplePos="0" relativeHeight="251659264" behindDoc="0" locked="0" layoutInCell="1" allowOverlap="1">
              <wp:simplePos x="0" y="0"/>
              <wp:positionH relativeFrom="column">
                <wp:posOffset>9525</wp:posOffset>
              </wp:positionH>
              <wp:positionV relativeFrom="paragraph">
                <wp:posOffset>149225</wp:posOffset>
              </wp:positionV>
              <wp:extent cx="5908040"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5908040"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0.75pt;margin-top:11.75pt;height:0pt;width:465.2pt;z-index:251659264;mso-width-relative:page;mso-height-relative:page;" filled="f" stroked="t" coordsize="21600,21600" o:gfxdata="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mqeXA1AAAAAcBAAAPAAAAAAAAAAEAIAAAACIAAABkcnMv&#10;ZG93bnJldi54bWxQSwECFAAUAAAACACHTuJA/7inLs4BAACGAwAADgAAAAAAAAABACAAAAAjAQAA&#10;ZHJzL2Uyb0RvYy54bWxQSwUGAAAAAAYABgBZAQAAYwUAAAAA&#10;">
              <v:fill on="f" focussize="0,0"/>
              <v:stroke color="#000000" joinstyle="round"/>
              <v:imagedata o:title=""/>
              <o:lock v:ext="edit" aspectratio="f"/>
            </v:line>
          </w:pict>
        </mc:Fallback>
      </mc:AlternateContent>
    </w:r>
  </w:p>
  <w:p w14:paraId="3B73267D">
    <w:pPr>
      <w:pStyle w:val="15"/>
      <w:ind w:right="-58" w:firstLine="420"/>
      <w:jc w:val="right"/>
      <w:rPr>
        <w:rFonts w:hint="eastAsia" w:ascii="黑体" w:hAnsi="黑体" w:eastAsia="黑体"/>
        <w:color w:val="1F4E79"/>
        <w:sz w:val="21"/>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23B178">
    <w:pPr>
      <w:pStyle w:val="15"/>
      <w:ind w:right="-200" w:firstLine="420"/>
      <w:jc w:val="right"/>
      <w:rPr>
        <w:rFonts w:hint="eastAsia" w:ascii="黑体" w:hAnsi="黑体" w:eastAsia="黑体"/>
        <w:color w:val="1F4E79"/>
        <w:sz w:val="21"/>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917C1">
    <w:pPr>
      <w:pStyle w:val="15"/>
      <w:spacing w:line="360" w:lineRule="auto"/>
      <w:jc w:val="center"/>
    </w:pPr>
    <w:r>
      <mc:AlternateContent>
        <mc:Choice Requires="wps">
          <w:drawing>
            <wp:anchor distT="0" distB="0" distL="114300" distR="114300" simplePos="0" relativeHeight="251663360" behindDoc="0" locked="0" layoutInCell="1" allowOverlap="1">
              <wp:simplePos x="0" y="0"/>
              <wp:positionH relativeFrom="column">
                <wp:posOffset>9525</wp:posOffset>
              </wp:positionH>
              <wp:positionV relativeFrom="paragraph">
                <wp:posOffset>149225</wp:posOffset>
              </wp:positionV>
              <wp:extent cx="5908040" cy="0"/>
              <wp:effectExtent l="0" t="5080" r="0" b="4445"/>
              <wp:wrapNone/>
              <wp:docPr id="11" name="直接连接符 11"/>
              <wp:cNvGraphicFramePr/>
              <a:graphic xmlns:a="http://schemas.openxmlformats.org/drawingml/2006/main">
                <a:graphicData uri="http://schemas.microsoft.com/office/word/2010/wordprocessingShape">
                  <wps:wsp>
                    <wps:cNvCnPr/>
                    <wps:spPr bwMode="auto">
                      <a:xfrm>
                        <a:off x="0" y="0"/>
                        <a:ext cx="5908040"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0.75pt;margin-top:11.75pt;height:0pt;width:465.2pt;z-index:251663360;mso-width-relative:page;mso-height-relative:page;" filled="f" stroked="t" coordsize="21600,21600" o:gfxdata="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nlwNQAAAAHAQAADwAAAAAAAAABACAAAAAiAAAAZHJz&#10;L2Rvd25yZXYueG1sUEsBAhQAFAAAAAgAh07iQPT5LnzPAQAAiAMAAA4AAAAAAAAAAQAgAAAAIwEA&#10;AGRycy9lMm9Eb2MueG1sUEsFBgAAAAAGAAYAWQEAAGQFAAAAAA==&#10;">
              <v:fill on="f" focussize="0,0"/>
              <v:stroke color="#000000" joinstyle="round"/>
              <v:imagedata o:title=""/>
              <o:lock v:ext="edit" aspectratio="f"/>
            </v:line>
          </w:pict>
        </mc:Fallback>
      </mc:AlternateContent>
    </w:r>
  </w:p>
  <w:p w14:paraId="60F122F9">
    <w:pPr>
      <w:pStyle w:val="15"/>
      <w:ind w:right="-58" w:firstLine="420"/>
      <w:jc w:val="right"/>
      <w:rPr>
        <w:rFonts w:hint="eastAsia" w:ascii="黑体" w:hAnsi="黑体" w:eastAsia="黑体"/>
        <w:color w:val="1F4E79"/>
        <w:sz w:val="21"/>
        <w:szCs w:val="2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4BB7F">
    <w:pPr>
      <w:pStyle w:val="15"/>
      <w:spacing w:line="360" w:lineRule="auto"/>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D9AC93">
                          <w:pPr>
                            <w:pStyle w:val="15"/>
                            <w:spacing w:line="360" w:lineRule="auto"/>
                            <w:jc w:val="center"/>
                          </w:pPr>
                          <w:r>
                            <w:t>-</w:t>
                          </w:r>
                          <w:r>
                            <w:fldChar w:fldCharType="begin"/>
                          </w:r>
                          <w:r>
                            <w:rPr>
                              <w:rStyle w:val="29"/>
                            </w:rPr>
                            <w:instrText xml:space="preserve"> PAGE </w:instrText>
                          </w:r>
                          <w:r>
                            <w:fldChar w:fldCharType="separate"/>
                          </w:r>
                          <w:r>
                            <w:rPr>
                              <w:rStyle w:val="29"/>
                            </w:rPr>
                            <w:t>4</w:t>
                          </w:r>
                          <w:r>
                            <w:fldChar w:fldCharType="end"/>
                          </w:r>
                          <w: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AD9AC93">
                    <w:pPr>
                      <w:pStyle w:val="15"/>
                      <w:spacing w:line="360" w:lineRule="auto"/>
                      <w:jc w:val="center"/>
                    </w:pPr>
                    <w:r>
                      <w:t>-</w:t>
                    </w:r>
                    <w:r>
                      <w:fldChar w:fldCharType="begin"/>
                    </w:r>
                    <w:r>
                      <w:rPr>
                        <w:rStyle w:val="29"/>
                      </w:rPr>
                      <w:instrText xml:space="preserve"> PAGE </w:instrText>
                    </w:r>
                    <w:r>
                      <w:fldChar w:fldCharType="separate"/>
                    </w:r>
                    <w:r>
                      <w:rPr>
                        <w:rStyle w:val="29"/>
                      </w:rPr>
                      <w:t>4</w:t>
                    </w:r>
                    <w:r>
                      <w:fldChar w:fldCharType="end"/>
                    </w:r>
                    <w:r>
                      <w:t>-</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9525</wp:posOffset>
              </wp:positionH>
              <wp:positionV relativeFrom="paragraph">
                <wp:posOffset>149225</wp:posOffset>
              </wp:positionV>
              <wp:extent cx="5908040" cy="0"/>
              <wp:effectExtent l="0" t="5080" r="0" b="4445"/>
              <wp:wrapNone/>
              <wp:docPr id="3" name="直接连接符 3"/>
              <wp:cNvGraphicFramePr/>
              <a:graphic xmlns:a="http://schemas.openxmlformats.org/drawingml/2006/main">
                <a:graphicData uri="http://schemas.microsoft.com/office/word/2010/wordprocessingShape">
                  <wps:wsp>
                    <wps:cNvCnPr/>
                    <wps:spPr bwMode="auto">
                      <a:xfrm>
                        <a:off x="0" y="0"/>
                        <a:ext cx="5908040"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0.75pt;margin-top:11.75pt;height:0pt;width:465.2pt;z-index:251660288;mso-width-relative:page;mso-height-relative:page;" filled="f" stroked="t" coordsize="21600,21600" o:gfxdata="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nlwNQAAAAHAQAADwAAAAAAAAABACAAAAAiAAAAZHJz&#10;L2Rvd25yZXYueG1sUEsBAhQAFAAAAAgAh07iQA3uq4/PAQAAhgMAAA4AAAAAAAAAAQAgAAAAIwEA&#10;AGRycy9lMm9Eb2MueG1sUEsFBgAAAAAGAAYAWQEAAGQFAAAAAA==&#10;">
              <v:fill on="f" focussize="0,0"/>
              <v:stroke color="#000000" joinstyle="round"/>
              <v:imagedata o:title=""/>
              <o:lock v:ext="edit" aspectratio="f"/>
            </v:line>
          </w:pict>
        </mc:Fallback>
      </mc:AlternateContent>
    </w:r>
  </w:p>
  <w:p w14:paraId="0EC9F5D8">
    <w:pPr>
      <w:pStyle w:val="15"/>
      <w:ind w:right="-58" w:firstLine="420"/>
      <w:jc w:val="right"/>
      <w:rPr>
        <w:rFonts w:hint="eastAsia" w:ascii="黑体" w:hAnsi="黑体" w:eastAsia="黑体"/>
        <w:color w:val="1F4E79"/>
        <w:sz w:val="21"/>
        <w:szCs w:val="24"/>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E953E">
    <w:pPr>
      <w:pStyle w:val="15"/>
      <w:ind w:right="-200" w:firstLine="420"/>
      <w:jc w:val="right"/>
      <w:rPr>
        <w:rFonts w:hint="eastAsia" w:ascii="黑体" w:hAnsi="黑体" w:eastAsia="黑体"/>
        <w:color w:val="1F4E79"/>
        <w:sz w:val="21"/>
        <w:szCs w:val="24"/>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B779F2">
                          <w:pPr>
                            <w:pStyle w:val="15"/>
                          </w:pPr>
                          <w:r>
                            <w:fldChar w:fldCharType="begin"/>
                          </w:r>
                          <w:r>
                            <w:instrText xml:space="preserve"> PAGE  \* MERGEFORMAT </w:instrText>
                          </w:r>
                          <w:r>
                            <w:fldChar w:fldCharType="separate"/>
                          </w:r>
                          <w:r>
                            <w:t>- 0 -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74B779F2">
                    <w:pPr>
                      <w:pStyle w:val="15"/>
                    </w:pPr>
                    <w:r>
                      <w:fldChar w:fldCharType="begin"/>
                    </w:r>
                    <w:r>
                      <w:instrText xml:space="preserve"> PAGE  \* MERGEFORMAT </w:instrText>
                    </w:r>
                    <w:r>
                      <w:fldChar w:fldCharType="separate"/>
                    </w:r>
                    <w:r>
                      <w:t>- 0 -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61648">
    <w:pPr>
      <w:pStyle w:val="16"/>
      <w:jc w:val="left"/>
      <w:rPr>
        <w:rFonts w:hint="eastAsia" w:ascii="宋体" w:hAnsi="宋体"/>
      </w:rPr>
    </w:pPr>
    <w:r>
      <w:rPr>
        <w:rFonts w:hint="eastAsia" w:ascii="宋体" w:hAnsi="宋体"/>
        <w:color w:val="1F4E79"/>
        <w:kern w:val="2"/>
      </w:rPr>
      <w:t xml:space="preserve">                                                                                           </w:t>
    </w:r>
    <w:r>
      <w:rPr>
        <w:rFonts w:hint="eastAsia" w:ascii="仿宋" w:hAnsi="仿宋" w:eastAsia="仿宋" w:cs="仿宋"/>
        <w:color w:val="1F4E79"/>
        <w:kern w:val="2"/>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B9AF4">
    <w:pPr>
      <w:pStyle w:val="16"/>
      <w:jc w:val="left"/>
      <w:rPr>
        <w:rFonts w:hint="eastAsia" w:ascii="宋体" w:hAnsi="宋体"/>
      </w:rPr>
    </w:pPr>
    <w:r>
      <w:rPr>
        <w:rFonts w:hint="eastAsia" w:ascii="宋体" w:hAnsi="宋体"/>
        <w:color w:val="1F4E79"/>
        <w:kern w:val="2"/>
      </w:rPr>
      <w:t xml:space="preserve">                                                                                          招标文件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02D4C6"/>
    <w:multiLevelType w:val="singleLevel"/>
    <w:tmpl w:val="D402D4C6"/>
    <w:lvl w:ilvl="0" w:tentative="0">
      <w:start w:val="1"/>
      <w:numFmt w:val="decimal"/>
      <w:suff w:val="nothing"/>
      <w:lvlText w:val="%1、"/>
      <w:lvlJc w:val="left"/>
    </w:lvl>
  </w:abstractNum>
  <w:abstractNum w:abstractNumId="1">
    <w:nsid w:val="0CA958F3"/>
    <w:multiLevelType w:val="singleLevel"/>
    <w:tmpl w:val="0CA958F3"/>
    <w:lvl w:ilvl="0" w:tentative="0">
      <w:start w:val="1"/>
      <w:numFmt w:val="decimal"/>
      <w:suff w:val="space"/>
      <w:lvlText w:val="%1."/>
      <w:lvlJc w:val="left"/>
    </w:lvl>
  </w:abstractNum>
  <w:abstractNum w:abstractNumId="2">
    <w:nsid w:val="2CC02466"/>
    <w:multiLevelType w:val="singleLevel"/>
    <w:tmpl w:val="2CC02466"/>
    <w:lvl w:ilvl="0" w:tentative="0">
      <w:start w:val="11"/>
      <w:numFmt w:val="chineseCounting"/>
      <w:suff w:val="nothing"/>
      <w:lvlText w:val="%1、"/>
      <w:lvlJc w:val="left"/>
      <w:rPr>
        <w:rFonts w:hint="eastAsia"/>
      </w:rPr>
    </w:lvl>
  </w:abstractNum>
  <w:abstractNum w:abstractNumId="3">
    <w:nsid w:val="66006475"/>
    <w:multiLevelType w:val="multilevel"/>
    <w:tmpl w:val="66006475"/>
    <w:lvl w:ilvl="0" w:tentative="0">
      <w:start w:val="1"/>
      <w:numFmt w:val="decimal"/>
      <w:lvlText w:val="%1、"/>
      <w:lvlJc w:val="left"/>
      <w:pPr>
        <w:ind w:left="780" w:hanging="360"/>
      </w:pPr>
      <w:rPr>
        <w:rFonts w:ascii="宋体" w:hAnsi="宋体" w:eastAsia="宋体" w:cs="宋体"/>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E5NWYxYTc5NTRhNmZjZTRkZDE5MWM5NjA5YWM4M2IifQ=="/>
  </w:docVars>
  <w:rsids>
    <w:rsidRoot w:val="5EA67FB5"/>
    <w:rsid w:val="000031CA"/>
    <w:rsid w:val="00005020"/>
    <w:rsid w:val="00013DE6"/>
    <w:rsid w:val="00020158"/>
    <w:rsid w:val="00024BC0"/>
    <w:rsid w:val="000258D2"/>
    <w:rsid w:val="00041872"/>
    <w:rsid w:val="00052411"/>
    <w:rsid w:val="0005357F"/>
    <w:rsid w:val="000672BA"/>
    <w:rsid w:val="000766DF"/>
    <w:rsid w:val="00083054"/>
    <w:rsid w:val="000836BE"/>
    <w:rsid w:val="000975CD"/>
    <w:rsid w:val="000B2CDE"/>
    <w:rsid w:val="000B345C"/>
    <w:rsid w:val="000D5483"/>
    <w:rsid w:val="000D54FA"/>
    <w:rsid w:val="00116040"/>
    <w:rsid w:val="00133852"/>
    <w:rsid w:val="00134B50"/>
    <w:rsid w:val="0014122F"/>
    <w:rsid w:val="001430FF"/>
    <w:rsid w:val="001619CF"/>
    <w:rsid w:val="001629A9"/>
    <w:rsid w:val="00165CFF"/>
    <w:rsid w:val="001747B4"/>
    <w:rsid w:val="00182D8F"/>
    <w:rsid w:val="001A644A"/>
    <w:rsid w:val="001B1918"/>
    <w:rsid w:val="001C11DF"/>
    <w:rsid w:val="001C43E7"/>
    <w:rsid w:val="001C59EF"/>
    <w:rsid w:val="001E244B"/>
    <w:rsid w:val="001F326C"/>
    <w:rsid w:val="001F606E"/>
    <w:rsid w:val="00211138"/>
    <w:rsid w:val="00211580"/>
    <w:rsid w:val="0024468E"/>
    <w:rsid w:val="00256751"/>
    <w:rsid w:val="00280051"/>
    <w:rsid w:val="00284EF0"/>
    <w:rsid w:val="00284FED"/>
    <w:rsid w:val="002872DE"/>
    <w:rsid w:val="002A1EFD"/>
    <w:rsid w:val="002A28A6"/>
    <w:rsid w:val="002B32CE"/>
    <w:rsid w:val="002B4377"/>
    <w:rsid w:val="002F1C8B"/>
    <w:rsid w:val="002F1CB7"/>
    <w:rsid w:val="002F39F8"/>
    <w:rsid w:val="00306329"/>
    <w:rsid w:val="003077F4"/>
    <w:rsid w:val="00323393"/>
    <w:rsid w:val="003244B0"/>
    <w:rsid w:val="00340508"/>
    <w:rsid w:val="003557C5"/>
    <w:rsid w:val="0036448A"/>
    <w:rsid w:val="003648D2"/>
    <w:rsid w:val="003664BD"/>
    <w:rsid w:val="003A52C6"/>
    <w:rsid w:val="003B371A"/>
    <w:rsid w:val="003C4CA6"/>
    <w:rsid w:val="003D4987"/>
    <w:rsid w:val="003F5E8B"/>
    <w:rsid w:val="00405739"/>
    <w:rsid w:val="004127C7"/>
    <w:rsid w:val="004217E0"/>
    <w:rsid w:val="00430AF2"/>
    <w:rsid w:val="00445260"/>
    <w:rsid w:val="00447788"/>
    <w:rsid w:val="0045426F"/>
    <w:rsid w:val="0046282A"/>
    <w:rsid w:val="00463329"/>
    <w:rsid w:val="00464798"/>
    <w:rsid w:val="0046690F"/>
    <w:rsid w:val="004714D2"/>
    <w:rsid w:val="004733CE"/>
    <w:rsid w:val="00476D66"/>
    <w:rsid w:val="00477C2E"/>
    <w:rsid w:val="0048429F"/>
    <w:rsid w:val="00493162"/>
    <w:rsid w:val="00495134"/>
    <w:rsid w:val="004C195D"/>
    <w:rsid w:val="004D1909"/>
    <w:rsid w:val="00502010"/>
    <w:rsid w:val="0050501A"/>
    <w:rsid w:val="00506A49"/>
    <w:rsid w:val="00510829"/>
    <w:rsid w:val="0052769D"/>
    <w:rsid w:val="00530FA9"/>
    <w:rsid w:val="00532E10"/>
    <w:rsid w:val="00547D8D"/>
    <w:rsid w:val="00574485"/>
    <w:rsid w:val="00581256"/>
    <w:rsid w:val="00591DCF"/>
    <w:rsid w:val="00595F3C"/>
    <w:rsid w:val="00596C75"/>
    <w:rsid w:val="005A2B4B"/>
    <w:rsid w:val="005A42B0"/>
    <w:rsid w:val="005A773B"/>
    <w:rsid w:val="005B350A"/>
    <w:rsid w:val="005C10C1"/>
    <w:rsid w:val="005D0DD0"/>
    <w:rsid w:val="005D2C8F"/>
    <w:rsid w:val="005E34E0"/>
    <w:rsid w:val="005F0D55"/>
    <w:rsid w:val="00612207"/>
    <w:rsid w:val="006143D0"/>
    <w:rsid w:val="00624306"/>
    <w:rsid w:val="00625D66"/>
    <w:rsid w:val="00665704"/>
    <w:rsid w:val="00692E75"/>
    <w:rsid w:val="006A5DA2"/>
    <w:rsid w:val="006B4283"/>
    <w:rsid w:val="006B5BEB"/>
    <w:rsid w:val="006C7ED6"/>
    <w:rsid w:val="006D6EDA"/>
    <w:rsid w:val="007003ED"/>
    <w:rsid w:val="007016D2"/>
    <w:rsid w:val="00701F3B"/>
    <w:rsid w:val="0072277B"/>
    <w:rsid w:val="0072570E"/>
    <w:rsid w:val="00751E1E"/>
    <w:rsid w:val="00755C09"/>
    <w:rsid w:val="0075647F"/>
    <w:rsid w:val="0078313F"/>
    <w:rsid w:val="00783447"/>
    <w:rsid w:val="00796A14"/>
    <w:rsid w:val="007B3BD6"/>
    <w:rsid w:val="007C2EE4"/>
    <w:rsid w:val="007D12E1"/>
    <w:rsid w:val="007E5103"/>
    <w:rsid w:val="007E7BB9"/>
    <w:rsid w:val="007F3B1F"/>
    <w:rsid w:val="00801AFA"/>
    <w:rsid w:val="00802D1D"/>
    <w:rsid w:val="008051AD"/>
    <w:rsid w:val="00806027"/>
    <w:rsid w:val="0080604B"/>
    <w:rsid w:val="00831C6D"/>
    <w:rsid w:val="008429F5"/>
    <w:rsid w:val="00843800"/>
    <w:rsid w:val="00853E18"/>
    <w:rsid w:val="0086633E"/>
    <w:rsid w:val="00880DB9"/>
    <w:rsid w:val="00882DF2"/>
    <w:rsid w:val="0088711F"/>
    <w:rsid w:val="00887C5B"/>
    <w:rsid w:val="008B4CC1"/>
    <w:rsid w:val="008B79AD"/>
    <w:rsid w:val="008C40F1"/>
    <w:rsid w:val="008C7733"/>
    <w:rsid w:val="008D15F1"/>
    <w:rsid w:val="00906EBA"/>
    <w:rsid w:val="00922F62"/>
    <w:rsid w:val="009250D7"/>
    <w:rsid w:val="00926822"/>
    <w:rsid w:val="0095597B"/>
    <w:rsid w:val="009569D3"/>
    <w:rsid w:val="00972CF5"/>
    <w:rsid w:val="00986A87"/>
    <w:rsid w:val="00997842"/>
    <w:rsid w:val="009A696D"/>
    <w:rsid w:val="009A6AD6"/>
    <w:rsid w:val="009D5DB2"/>
    <w:rsid w:val="009E198B"/>
    <w:rsid w:val="009E5EDE"/>
    <w:rsid w:val="00A0657A"/>
    <w:rsid w:val="00A12596"/>
    <w:rsid w:val="00A213BF"/>
    <w:rsid w:val="00A22E3F"/>
    <w:rsid w:val="00A27B28"/>
    <w:rsid w:val="00A51698"/>
    <w:rsid w:val="00A5173E"/>
    <w:rsid w:val="00A57FC9"/>
    <w:rsid w:val="00A6218C"/>
    <w:rsid w:val="00A66BAD"/>
    <w:rsid w:val="00A70C1A"/>
    <w:rsid w:val="00A73D22"/>
    <w:rsid w:val="00A946D4"/>
    <w:rsid w:val="00A95ED0"/>
    <w:rsid w:val="00AB11E4"/>
    <w:rsid w:val="00AB30AF"/>
    <w:rsid w:val="00AB62E0"/>
    <w:rsid w:val="00AD7EC0"/>
    <w:rsid w:val="00AF4817"/>
    <w:rsid w:val="00B06FE2"/>
    <w:rsid w:val="00B15C9D"/>
    <w:rsid w:val="00B26274"/>
    <w:rsid w:val="00B27B6F"/>
    <w:rsid w:val="00B314DB"/>
    <w:rsid w:val="00B44CF4"/>
    <w:rsid w:val="00B44FAA"/>
    <w:rsid w:val="00B50B40"/>
    <w:rsid w:val="00B74A7E"/>
    <w:rsid w:val="00B74B31"/>
    <w:rsid w:val="00B91D90"/>
    <w:rsid w:val="00BA5212"/>
    <w:rsid w:val="00BA5215"/>
    <w:rsid w:val="00BA6547"/>
    <w:rsid w:val="00BA795E"/>
    <w:rsid w:val="00BC45B1"/>
    <w:rsid w:val="00BE0206"/>
    <w:rsid w:val="00BE62A4"/>
    <w:rsid w:val="00BF77F6"/>
    <w:rsid w:val="00C43594"/>
    <w:rsid w:val="00C442E6"/>
    <w:rsid w:val="00C5697C"/>
    <w:rsid w:val="00C7099B"/>
    <w:rsid w:val="00C73481"/>
    <w:rsid w:val="00C74D4B"/>
    <w:rsid w:val="00C82086"/>
    <w:rsid w:val="00C94EB7"/>
    <w:rsid w:val="00CA0207"/>
    <w:rsid w:val="00CA7C12"/>
    <w:rsid w:val="00CB0BD0"/>
    <w:rsid w:val="00CB1997"/>
    <w:rsid w:val="00CC4864"/>
    <w:rsid w:val="00CD109A"/>
    <w:rsid w:val="00CD7615"/>
    <w:rsid w:val="00CE0589"/>
    <w:rsid w:val="00CE6612"/>
    <w:rsid w:val="00CF158F"/>
    <w:rsid w:val="00D06A45"/>
    <w:rsid w:val="00D21916"/>
    <w:rsid w:val="00D222CE"/>
    <w:rsid w:val="00D306E5"/>
    <w:rsid w:val="00D318BD"/>
    <w:rsid w:val="00D41372"/>
    <w:rsid w:val="00D50732"/>
    <w:rsid w:val="00D50C94"/>
    <w:rsid w:val="00D7390C"/>
    <w:rsid w:val="00D73A46"/>
    <w:rsid w:val="00D76DA4"/>
    <w:rsid w:val="00DA0B30"/>
    <w:rsid w:val="00DA1313"/>
    <w:rsid w:val="00DC62F4"/>
    <w:rsid w:val="00DD2C65"/>
    <w:rsid w:val="00DE4217"/>
    <w:rsid w:val="00E02715"/>
    <w:rsid w:val="00E1254C"/>
    <w:rsid w:val="00E140D9"/>
    <w:rsid w:val="00E16C1A"/>
    <w:rsid w:val="00E20391"/>
    <w:rsid w:val="00E32EF8"/>
    <w:rsid w:val="00E41AB1"/>
    <w:rsid w:val="00E50D50"/>
    <w:rsid w:val="00E6532E"/>
    <w:rsid w:val="00E817D7"/>
    <w:rsid w:val="00E81FE3"/>
    <w:rsid w:val="00E87241"/>
    <w:rsid w:val="00E94040"/>
    <w:rsid w:val="00E95DDA"/>
    <w:rsid w:val="00EA3FA3"/>
    <w:rsid w:val="00EC409F"/>
    <w:rsid w:val="00ED73A9"/>
    <w:rsid w:val="00EE052F"/>
    <w:rsid w:val="00EE3FE1"/>
    <w:rsid w:val="00F24A00"/>
    <w:rsid w:val="00F43AB2"/>
    <w:rsid w:val="00F46F91"/>
    <w:rsid w:val="00F52552"/>
    <w:rsid w:val="00F61B29"/>
    <w:rsid w:val="00F66373"/>
    <w:rsid w:val="00F70D70"/>
    <w:rsid w:val="00F93220"/>
    <w:rsid w:val="00FA56A9"/>
    <w:rsid w:val="00FA6C05"/>
    <w:rsid w:val="00FB30E1"/>
    <w:rsid w:val="00FB53C9"/>
    <w:rsid w:val="00FC0801"/>
    <w:rsid w:val="00FE1D83"/>
    <w:rsid w:val="00FF26D5"/>
    <w:rsid w:val="00FF3524"/>
    <w:rsid w:val="012C57B2"/>
    <w:rsid w:val="01567C26"/>
    <w:rsid w:val="023314DA"/>
    <w:rsid w:val="02F5601F"/>
    <w:rsid w:val="03CE5F43"/>
    <w:rsid w:val="03DA17B5"/>
    <w:rsid w:val="04096F7B"/>
    <w:rsid w:val="04315549"/>
    <w:rsid w:val="04DE27BE"/>
    <w:rsid w:val="04FB776C"/>
    <w:rsid w:val="0511189C"/>
    <w:rsid w:val="05AA653C"/>
    <w:rsid w:val="05FD48BE"/>
    <w:rsid w:val="06456265"/>
    <w:rsid w:val="06695AAF"/>
    <w:rsid w:val="06953BE7"/>
    <w:rsid w:val="06BE2A9A"/>
    <w:rsid w:val="082C4FE6"/>
    <w:rsid w:val="086F21A0"/>
    <w:rsid w:val="08B65FD7"/>
    <w:rsid w:val="08DB4446"/>
    <w:rsid w:val="09645A6D"/>
    <w:rsid w:val="09A9225E"/>
    <w:rsid w:val="0A110938"/>
    <w:rsid w:val="0AEA2F37"/>
    <w:rsid w:val="0AEE0C79"/>
    <w:rsid w:val="0B6C2016"/>
    <w:rsid w:val="0C6C6971"/>
    <w:rsid w:val="0C8252F9"/>
    <w:rsid w:val="0CCF0636"/>
    <w:rsid w:val="0D350DE1"/>
    <w:rsid w:val="0E0367E9"/>
    <w:rsid w:val="0E2214F1"/>
    <w:rsid w:val="0E8A2825"/>
    <w:rsid w:val="0F0D7BE2"/>
    <w:rsid w:val="0F4E5984"/>
    <w:rsid w:val="0FC803F4"/>
    <w:rsid w:val="0FF22FB9"/>
    <w:rsid w:val="0FFB788F"/>
    <w:rsid w:val="102F5FF2"/>
    <w:rsid w:val="10FE629D"/>
    <w:rsid w:val="114D003C"/>
    <w:rsid w:val="118F336A"/>
    <w:rsid w:val="130B435A"/>
    <w:rsid w:val="132F4724"/>
    <w:rsid w:val="13525B1D"/>
    <w:rsid w:val="13BE0B98"/>
    <w:rsid w:val="13DC3CE9"/>
    <w:rsid w:val="14990D3A"/>
    <w:rsid w:val="15281DCB"/>
    <w:rsid w:val="152B5552"/>
    <w:rsid w:val="1593637A"/>
    <w:rsid w:val="15BD1974"/>
    <w:rsid w:val="168C02C1"/>
    <w:rsid w:val="16BC1C2B"/>
    <w:rsid w:val="176F3A0D"/>
    <w:rsid w:val="18153CE9"/>
    <w:rsid w:val="188765A8"/>
    <w:rsid w:val="19667061"/>
    <w:rsid w:val="198033E4"/>
    <w:rsid w:val="1A594F39"/>
    <w:rsid w:val="1B0342CC"/>
    <w:rsid w:val="1B2E16CE"/>
    <w:rsid w:val="1B825628"/>
    <w:rsid w:val="1BAF6202"/>
    <w:rsid w:val="1C1825D2"/>
    <w:rsid w:val="1C836FFF"/>
    <w:rsid w:val="1CAC70AA"/>
    <w:rsid w:val="1DE42E5E"/>
    <w:rsid w:val="1DE76912"/>
    <w:rsid w:val="1E5D6F6E"/>
    <w:rsid w:val="1EB852CD"/>
    <w:rsid w:val="1EF53F2C"/>
    <w:rsid w:val="1F436A7A"/>
    <w:rsid w:val="1F4A57FD"/>
    <w:rsid w:val="1F502E6E"/>
    <w:rsid w:val="1F78690B"/>
    <w:rsid w:val="1F933745"/>
    <w:rsid w:val="200C5749"/>
    <w:rsid w:val="215204B8"/>
    <w:rsid w:val="215B0293"/>
    <w:rsid w:val="21B50DD9"/>
    <w:rsid w:val="235356C5"/>
    <w:rsid w:val="23A16EA8"/>
    <w:rsid w:val="24022FCB"/>
    <w:rsid w:val="24A361D8"/>
    <w:rsid w:val="24B4327F"/>
    <w:rsid w:val="24D12353"/>
    <w:rsid w:val="251422D6"/>
    <w:rsid w:val="25ED0053"/>
    <w:rsid w:val="261D2218"/>
    <w:rsid w:val="26401D76"/>
    <w:rsid w:val="264D39A1"/>
    <w:rsid w:val="27337FAE"/>
    <w:rsid w:val="27595274"/>
    <w:rsid w:val="28097C20"/>
    <w:rsid w:val="288503DE"/>
    <w:rsid w:val="28D97B12"/>
    <w:rsid w:val="293E7C9D"/>
    <w:rsid w:val="295E4DC4"/>
    <w:rsid w:val="29B6112E"/>
    <w:rsid w:val="2B022DAD"/>
    <w:rsid w:val="2B073BDC"/>
    <w:rsid w:val="2B07400C"/>
    <w:rsid w:val="2BCE7FDF"/>
    <w:rsid w:val="2C5F50DB"/>
    <w:rsid w:val="2C6A20E8"/>
    <w:rsid w:val="2C951393"/>
    <w:rsid w:val="2CA55809"/>
    <w:rsid w:val="2D7E62EB"/>
    <w:rsid w:val="2DBF3283"/>
    <w:rsid w:val="2DBF69B2"/>
    <w:rsid w:val="2DE5449D"/>
    <w:rsid w:val="2E1C3774"/>
    <w:rsid w:val="2ED02632"/>
    <w:rsid w:val="2F511653"/>
    <w:rsid w:val="2F92147C"/>
    <w:rsid w:val="2FCC5FF9"/>
    <w:rsid w:val="31373EF0"/>
    <w:rsid w:val="32C70531"/>
    <w:rsid w:val="33AB50A9"/>
    <w:rsid w:val="33E236DD"/>
    <w:rsid w:val="348E47AF"/>
    <w:rsid w:val="34D359DB"/>
    <w:rsid w:val="35130791"/>
    <w:rsid w:val="359B6FAC"/>
    <w:rsid w:val="35B66BD9"/>
    <w:rsid w:val="36142229"/>
    <w:rsid w:val="36715491"/>
    <w:rsid w:val="36EA5A89"/>
    <w:rsid w:val="37393E66"/>
    <w:rsid w:val="37A455BD"/>
    <w:rsid w:val="37C30C14"/>
    <w:rsid w:val="385C3B92"/>
    <w:rsid w:val="388114A1"/>
    <w:rsid w:val="398E6FFF"/>
    <w:rsid w:val="39C3314D"/>
    <w:rsid w:val="39D4246E"/>
    <w:rsid w:val="3A2C5713"/>
    <w:rsid w:val="3AC727C9"/>
    <w:rsid w:val="3C3B39CF"/>
    <w:rsid w:val="3DA366EE"/>
    <w:rsid w:val="3E8479DC"/>
    <w:rsid w:val="3EA72CCE"/>
    <w:rsid w:val="3EFA36D6"/>
    <w:rsid w:val="3F601120"/>
    <w:rsid w:val="3F8229C0"/>
    <w:rsid w:val="40073668"/>
    <w:rsid w:val="403A57EB"/>
    <w:rsid w:val="42372452"/>
    <w:rsid w:val="42C64B99"/>
    <w:rsid w:val="431667E0"/>
    <w:rsid w:val="435C0F2F"/>
    <w:rsid w:val="43EA3E8F"/>
    <w:rsid w:val="441163CB"/>
    <w:rsid w:val="448462F4"/>
    <w:rsid w:val="4578042E"/>
    <w:rsid w:val="461C13BE"/>
    <w:rsid w:val="461E7602"/>
    <w:rsid w:val="465A0995"/>
    <w:rsid w:val="46CA44E4"/>
    <w:rsid w:val="47AF0338"/>
    <w:rsid w:val="48256D81"/>
    <w:rsid w:val="48307906"/>
    <w:rsid w:val="496B0F8B"/>
    <w:rsid w:val="4A5D192D"/>
    <w:rsid w:val="4AFC5ABF"/>
    <w:rsid w:val="4B3A2B43"/>
    <w:rsid w:val="4B665F3F"/>
    <w:rsid w:val="4B8244EA"/>
    <w:rsid w:val="4BB34BC4"/>
    <w:rsid w:val="4BEE2F20"/>
    <w:rsid w:val="4E465C3F"/>
    <w:rsid w:val="4EB11FDF"/>
    <w:rsid w:val="50417CC8"/>
    <w:rsid w:val="507F4814"/>
    <w:rsid w:val="5271763D"/>
    <w:rsid w:val="538D7DE7"/>
    <w:rsid w:val="53D9371F"/>
    <w:rsid w:val="541A61FD"/>
    <w:rsid w:val="54332825"/>
    <w:rsid w:val="543B1764"/>
    <w:rsid w:val="54686973"/>
    <w:rsid w:val="58F55DC4"/>
    <w:rsid w:val="594D673F"/>
    <w:rsid w:val="5980475F"/>
    <w:rsid w:val="5A5B2AD6"/>
    <w:rsid w:val="5A893238"/>
    <w:rsid w:val="5AE71F28"/>
    <w:rsid w:val="5B7A511B"/>
    <w:rsid w:val="5B87687D"/>
    <w:rsid w:val="5C2515ED"/>
    <w:rsid w:val="5C2855D3"/>
    <w:rsid w:val="5DC41BB0"/>
    <w:rsid w:val="5DF919EB"/>
    <w:rsid w:val="5E83729E"/>
    <w:rsid w:val="5E895B67"/>
    <w:rsid w:val="5EA67FB5"/>
    <w:rsid w:val="5ED61133"/>
    <w:rsid w:val="5F1F3F1B"/>
    <w:rsid w:val="60182677"/>
    <w:rsid w:val="60EA3CA2"/>
    <w:rsid w:val="60FD6695"/>
    <w:rsid w:val="61147FE3"/>
    <w:rsid w:val="61EF3D39"/>
    <w:rsid w:val="626132A5"/>
    <w:rsid w:val="62FA29ED"/>
    <w:rsid w:val="63223DE8"/>
    <w:rsid w:val="63464323"/>
    <w:rsid w:val="635C2014"/>
    <w:rsid w:val="64107554"/>
    <w:rsid w:val="643030AD"/>
    <w:rsid w:val="64983C98"/>
    <w:rsid w:val="650B601A"/>
    <w:rsid w:val="650D51D3"/>
    <w:rsid w:val="657053A1"/>
    <w:rsid w:val="659E309A"/>
    <w:rsid w:val="65AF6DA2"/>
    <w:rsid w:val="65B601B3"/>
    <w:rsid w:val="65F00167"/>
    <w:rsid w:val="65F72586"/>
    <w:rsid w:val="669670BB"/>
    <w:rsid w:val="66DE4873"/>
    <w:rsid w:val="67A90A4B"/>
    <w:rsid w:val="67FF0F45"/>
    <w:rsid w:val="684C582C"/>
    <w:rsid w:val="696C5726"/>
    <w:rsid w:val="698E0D2D"/>
    <w:rsid w:val="6B6F5ECF"/>
    <w:rsid w:val="6BD71031"/>
    <w:rsid w:val="6D6313D2"/>
    <w:rsid w:val="6DC56517"/>
    <w:rsid w:val="6EB76C30"/>
    <w:rsid w:val="6EEF1D13"/>
    <w:rsid w:val="6F3A0AB4"/>
    <w:rsid w:val="6F4B4A6F"/>
    <w:rsid w:val="6FE56C72"/>
    <w:rsid w:val="6FF406E0"/>
    <w:rsid w:val="700F0CC3"/>
    <w:rsid w:val="702363B8"/>
    <w:rsid w:val="703B6CD7"/>
    <w:rsid w:val="70717342"/>
    <w:rsid w:val="70AA10AE"/>
    <w:rsid w:val="711517D9"/>
    <w:rsid w:val="712B3CF7"/>
    <w:rsid w:val="71F54391"/>
    <w:rsid w:val="721B7F02"/>
    <w:rsid w:val="727B6255"/>
    <w:rsid w:val="735760D9"/>
    <w:rsid w:val="762D3121"/>
    <w:rsid w:val="76465F91"/>
    <w:rsid w:val="76550B0D"/>
    <w:rsid w:val="77D03E6C"/>
    <w:rsid w:val="77EB7A4D"/>
    <w:rsid w:val="78654665"/>
    <w:rsid w:val="798C63B0"/>
    <w:rsid w:val="7B1623FF"/>
    <w:rsid w:val="7B803CF3"/>
    <w:rsid w:val="7C1B3289"/>
    <w:rsid w:val="7C1C5598"/>
    <w:rsid w:val="7D9A72EE"/>
    <w:rsid w:val="7E2842BB"/>
    <w:rsid w:val="7E295458"/>
    <w:rsid w:val="7E69379E"/>
    <w:rsid w:val="7EC155F9"/>
    <w:rsid w:val="7EEA4DF9"/>
    <w:rsid w:val="7EF559E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uiPriority="0" w:name="toc 3"/>
    <w:lsdException w:uiPriority="0" w:name="toc 4"/>
    <w:lsdException w:qFormat="1" w:unhideWhenUsed="0" w:uiPriority="0" w:semiHidden="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qFormat="1" w:uiPriority="99" w:semiHidden="0" w:name="toa heading"/>
    <w:lsdException w:qFormat="1"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iPriority="99"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imes New Roman" w:hAnsi="Times New Roman" w:eastAsia="宋体" w:cs="Times New Roman"/>
      <w:lang w:val="en-US" w:eastAsia="zh-CN" w:bidi="ar-SA"/>
    </w:rPr>
  </w:style>
  <w:style w:type="paragraph" w:styleId="2">
    <w:name w:val="heading 1"/>
    <w:basedOn w:val="1"/>
    <w:next w:val="1"/>
    <w:link w:val="33"/>
    <w:qFormat/>
    <w:uiPriority w:val="0"/>
    <w:pPr>
      <w:keepNext/>
      <w:keepLines/>
      <w:spacing w:before="340" w:after="330" w:line="576" w:lineRule="auto"/>
      <w:outlineLvl w:val="0"/>
    </w:pPr>
    <w:rPr>
      <w:b/>
      <w:bCs/>
      <w:kern w:val="44"/>
      <w:sz w:val="44"/>
      <w:szCs w:val="44"/>
    </w:rPr>
  </w:style>
  <w:style w:type="paragraph" w:styleId="3">
    <w:name w:val="heading 2"/>
    <w:basedOn w:val="1"/>
    <w:next w:val="1"/>
    <w:link w:val="62"/>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5" w:lineRule="auto"/>
      <w:outlineLvl w:val="2"/>
    </w:pPr>
    <w:rPr>
      <w:b/>
      <w:bCs/>
      <w:sz w:val="32"/>
      <w:szCs w:val="32"/>
    </w:rPr>
  </w:style>
  <w:style w:type="paragraph" w:styleId="5">
    <w:name w:val="heading 4"/>
    <w:basedOn w:val="1"/>
    <w:next w:val="1"/>
    <w:link w:val="63"/>
    <w:qFormat/>
    <w:uiPriority w:val="0"/>
    <w:pPr>
      <w:keepNext/>
      <w:keepLines/>
      <w:spacing w:before="280" w:after="290" w:line="374" w:lineRule="auto"/>
      <w:outlineLvl w:val="3"/>
    </w:pPr>
    <w:rPr>
      <w:rFonts w:ascii="Arial" w:hAnsi="Arial" w:eastAsia="黑体"/>
      <w:b/>
      <w:bCs/>
      <w:sz w:val="28"/>
      <w:szCs w:val="28"/>
    </w:rPr>
  </w:style>
  <w:style w:type="character" w:default="1" w:styleId="27">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style>
  <w:style w:type="paragraph" w:styleId="7">
    <w:name w:val="Document Map"/>
    <w:basedOn w:val="1"/>
    <w:link w:val="64"/>
    <w:qFormat/>
    <w:uiPriority w:val="0"/>
    <w:pPr>
      <w:shd w:val="clear" w:color="auto" w:fill="000080"/>
    </w:pPr>
  </w:style>
  <w:style w:type="paragraph" w:styleId="8">
    <w:name w:val="toa heading"/>
    <w:basedOn w:val="1"/>
    <w:next w:val="1"/>
    <w:unhideWhenUsed/>
    <w:qFormat/>
    <w:uiPriority w:val="99"/>
    <w:pPr>
      <w:spacing w:before="120"/>
    </w:pPr>
    <w:rPr>
      <w:rFonts w:ascii="Arial" w:hAnsi="Arial"/>
      <w:sz w:val="24"/>
    </w:rPr>
  </w:style>
  <w:style w:type="paragraph" w:styleId="9">
    <w:name w:val="annotation text"/>
    <w:basedOn w:val="1"/>
    <w:link w:val="70"/>
    <w:unhideWhenUsed/>
    <w:qFormat/>
    <w:uiPriority w:val="0"/>
  </w:style>
  <w:style w:type="paragraph" w:styleId="10">
    <w:name w:val="Body Text"/>
    <w:basedOn w:val="1"/>
    <w:next w:val="11"/>
    <w:link w:val="66"/>
    <w:qFormat/>
    <w:uiPriority w:val="0"/>
    <w:pPr>
      <w:spacing w:after="120"/>
    </w:pPr>
  </w:style>
  <w:style w:type="paragraph" w:styleId="11">
    <w:name w:val="toc 5"/>
    <w:basedOn w:val="1"/>
    <w:next w:val="1"/>
    <w:qFormat/>
    <w:uiPriority w:val="0"/>
    <w:pPr>
      <w:widowControl w:val="0"/>
      <w:tabs>
        <w:tab w:val="right" w:leader="dot" w:pos="8296"/>
      </w:tabs>
      <w:ind w:left="1050" w:leftChars="500"/>
      <w:jc w:val="both"/>
    </w:pPr>
    <w:rPr>
      <w:rFonts w:ascii="Calibri" w:hAnsi="Calibri"/>
      <w:kern w:val="2"/>
      <w:sz w:val="21"/>
      <w:szCs w:val="22"/>
    </w:rPr>
  </w:style>
  <w:style w:type="paragraph" w:styleId="12">
    <w:name w:val="Body Text Indent"/>
    <w:basedOn w:val="1"/>
    <w:link w:val="67"/>
    <w:qFormat/>
    <w:uiPriority w:val="0"/>
    <w:pPr>
      <w:spacing w:after="120"/>
      <w:ind w:left="420" w:leftChars="200"/>
    </w:pPr>
  </w:style>
  <w:style w:type="paragraph" w:styleId="13">
    <w:name w:val="Plain Text"/>
    <w:basedOn w:val="1"/>
    <w:next w:val="1"/>
    <w:link w:val="42"/>
    <w:qFormat/>
    <w:uiPriority w:val="0"/>
    <w:pPr>
      <w:widowControl w:val="0"/>
      <w:jc w:val="both"/>
    </w:pPr>
    <w:rPr>
      <w:rFonts w:ascii="宋体" w:hAnsi="Courier New" w:cs="Courier New"/>
      <w:kern w:val="2"/>
      <w:sz w:val="21"/>
      <w:szCs w:val="21"/>
    </w:rPr>
  </w:style>
  <w:style w:type="paragraph" w:styleId="14">
    <w:name w:val="Balloon Text"/>
    <w:basedOn w:val="1"/>
    <w:link w:val="38"/>
    <w:qFormat/>
    <w:uiPriority w:val="0"/>
    <w:pPr>
      <w:spacing w:after="0" w:line="240" w:lineRule="auto"/>
    </w:pPr>
    <w:rPr>
      <w:sz w:val="18"/>
      <w:szCs w:val="18"/>
    </w:rPr>
  </w:style>
  <w:style w:type="paragraph" w:styleId="15">
    <w:name w:val="footer"/>
    <w:basedOn w:val="1"/>
    <w:link w:val="44"/>
    <w:qFormat/>
    <w:uiPriority w:val="0"/>
    <w:pPr>
      <w:tabs>
        <w:tab w:val="center" w:pos="4153"/>
        <w:tab w:val="right" w:pos="8306"/>
      </w:tabs>
      <w:snapToGrid w:val="0"/>
    </w:pPr>
    <w:rPr>
      <w:sz w:val="18"/>
      <w:szCs w:val="18"/>
    </w:rPr>
  </w:style>
  <w:style w:type="paragraph" w:styleId="16">
    <w:name w:val="header"/>
    <w:basedOn w:val="1"/>
    <w:link w:val="43"/>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pPr>
      <w:spacing w:before="120" w:after="120"/>
    </w:pPr>
    <w:rPr>
      <w:b/>
      <w:bCs/>
      <w:caps/>
    </w:rPr>
  </w:style>
  <w:style w:type="paragraph" w:styleId="18">
    <w:name w:val="List"/>
    <w:basedOn w:val="1"/>
    <w:qFormat/>
    <w:uiPriority w:val="0"/>
    <w:pPr>
      <w:ind w:left="200" w:hanging="200" w:hangingChars="200"/>
    </w:pPr>
    <w:rPr>
      <w:sz w:val="28"/>
    </w:rPr>
  </w:style>
  <w:style w:type="paragraph" w:styleId="19">
    <w:name w:val="Body Text Indent 3"/>
    <w:basedOn w:val="1"/>
    <w:qFormat/>
    <w:uiPriority w:val="0"/>
    <w:pPr>
      <w:spacing w:after="120"/>
      <w:ind w:left="420" w:leftChars="200"/>
    </w:pPr>
    <w:rPr>
      <w:sz w:val="16"/>
      <w:szCs w:val="16"/>
    </w:rPr>
  </w:style>
  <w:style w:type="paragraph" w:styleId="20">
    <w:name w:val="toc 2"/>
    <w:basedOn w:val="1"/>
    <w:next w:val="1"/>
    <w:qFormat/>
    <w:uiPriority w:val="39"/>
    <w:pPr>
      <w:snapToGrid w:val="0"/>
      <w:ind w:left="198"/>
    </w:pPr>
    <w:rPr>
      <w:smallCaps/>
    </w:rPr>
  </w:style>
  <w:style w:type="paragraph" w:styleId="21">
    <w:name w:val="Normal (Web)"/>
    <w:basedOn w:val="1"/>
    <w:qFormat/>
    <w:uiPriority w:val="99"/>
    <w:pPr>
      <w:spacing w:before="100" w:beforeAutospacing="1" w:after="100" w:afterAutospacing="1"/>
    </w:pPr>
    <w:rPr>
      <w:rFonts w:ascii="宋体" w:hAnsi="宋体"/>
      <w:sz w:val="24"/>
    </w:rPr>
  </w:style>
  <w:style w:type="paragraph" w:styleId="22">
    <w:name w:val="Title"/>
    <w:basedOn w:val="1"/>
    <w:next w:val="1"/>
    <w:link w:val="47"/>
    <w:qFormat/>
    <w:uiPriority w:val="10"/>
    <w:pPr>
      <w:spacing w:before="240" w:after="60"/>
      <w:jc w:val="center"/>
      <w:outlineLvl w:val="0"/>
    </w:pPr>
    <w:rPr>
      <w:rFonts w:ascii="等线 Light" w:hAnsi="等线 Light" w:eastAsia="等线 Light"/>
      <w:b/>
      <w:bCs/>
      <w:sz w:val="32"/>
      <w:szCs w:val="32"/>
    </w:rPr>
  </w:style>
  <w:style w:type="paragraph" w:styleId="23">
    <w:name w:val="annotation subject"/>
    <w:basedOn w:val="9"/>
    <w:next w:val="9"/>
    <w:link w:val="71"/>
    <w:semiHidden/>
    <w:unhideWhenUsed/>
    <w:qFormat/>
    <w:uiPriority w:val="0"/>
    <w:rPr>
      <w:b/>
      <w:bCs/>
    </w:rPr>
  </w:style>
  <w:style w:type="paragraph" w:styleId="24">
    <w:name w:val="Body Text First Indent"/>
    <w:basedOn w:val="10"/>
    <w:next w:val="18"/>
    <w:link w:val="68"/>
    <w:unhideWhenUsed/>
    <w:qFormat/>
    <w:uiPriority w:val="99"/>
    <w:pPr>
      <w:ind w:firstLine="420" w:firstLineChars="100"/>
    </w:pPr>
  </w:style>
  <w:style w:type="paragraph" w:styleId="25">
    <w:name w:val="Body Text First Indent 2"/>
    <w:basedOn w:val="12"/>
    <w:link w:val="69"/>
    <w:qFormat/>
    <w:uiPriority w:val="0"/>
    <w:pPr>
      <w:widowControl w:val="0"/>
      <w:ind w:firstLine="420" w:firstLineChars="200"/>
      <w:jc w:val="both"/>
    </w:pPr>
    <w:rPr>
      <w:kern w:val="2"/>
      <w:sz w:val="21"/>
      <w:szCs w:val="24"/>
    </w:rPr>
  </w:style>
  <w:style w:type="character" w:styleId="28">
    <w:name w:val="Strong"/>
    <w:basedOn w:val="27"/>
    <w:qFormat/>
    <w:uiPriority w:val="0"/>
    <w:rPr>
      <w:b/>
    </w:rPr>
  </w:style>
  <w:style w:type="character" w:styleId="29">
    <w:name w:val="page number"/>
    <w:qFormat/>
    <w:uiPriority w:val="0"/>
  </w:style>
  <w:style w:type="character" w:styleId="30">
    <w:name w:val="Hyperlink"/>
    <w:qFormat/>
    <w:uiPriority w:val="99"/>
    <w:rPr>
      <w:color w:val="0000FF"/>
      <w:u w:val="single"/>
    </w:rPr>
  </w:style>
  <w:style w:type="character" w:styleId="31">
    <w:name w:val="annotation reference"/>
    <w:qFormat/>
    <w:uiPriority w:val="0"/>
    <w:rPr>
      <w:sz w:val="21"/>
      <w:szCs w:val="21"/>
    </w:rPr>
  </w:style>
  <w:style w:type="paragraph" w:customStyle="1" w:styleId="32">
    <w:name w:val="Normal_0"/>
    <w:qFormat/>
    <w:uiPriority w:val="0"/>
    <w:pPr>
      <w:widowControl w:val="0"/>
      <w:jc w:val="both"/>
    </w:pPr>
    <w:rPr>
      <w:rFonts w:ascii="Times New Roman" w:hAnsi="Times New Roman" w:eastAsia="宋体" w:cs="Times New Roman"/>
      <w:lang w:val="en-US" w:eastAsia="zh-CN" w:bidi="ar-SA"/>
    </w:rPr>
  </w:style>
  <w:style w:type="character" w:customStyle="1" w:styleId="33">
    <w:name w:val="标题 1 字符"/>
    <w:link w:val="2"/>
    <w:qFormat/>
    <w:uiPriority w:val="0"/>
    <w:rPr>
      <w:b/>
      <w:bCs/>
      <w:kern w:val="44"/>
      <w:sz w:val="44"/>
      <w:szCs w:val="44"/>
    </w:rPr>
  </w:style>
  <w:style w:type="paragraph" w:customStyle="1" w:styleId="34">
    <w:name w:val="CMIE-0"/>
    <w:qFormat/>
    <w:uiPriority w:val="0"/>
    <w:pPr>
      <w:widowControl w:val="0"/>
      <w:spacing w:line="360" w:lineRule="auto"/>
      <w:ind w:firstLine="200" w:firstLineChars="200"/>
      <w:jc w:val="both"/>
    </w:pPr>
    <w:rPr>
      <w:rFonts w:ascii="Calibri" w:hAnsi="Calibri" w:eastAsia="宋体" w:cs="Times New Roman"/>
      <w:kern w:val="2"/>
      <w:sz w:val="24"/>
      <w:szCs w:val="24"/>
      <w:lang w:val="en-US" w:eastAsia="zh-CN" w:bidi="ar-SA"/>
    </w:rPr>
  </w:style>
  <w:style w:type="paragraph" w:customStyle="1" w:styleId="35">
    <w:name w:val="CMIE-B"/>
    <w:next w:val="34"/>
    <w:qFormat/>
    <w:uiPriority w:val="0"/>
    <w:pPr>
      <w:spacing w:beforeLines="100" w:afterLines="100" w:line="360" w:lineRule="auto"/>
      <w:ind w:left="62" w:firstLine="420"/>
      <w:jc w:val="center"/>
      <w:outlineLvl w:val="1"/>
    </w:pPr>
    <w:rPr>
      <w:rFonts w:ascii="Calibri" w:hAnsi="Calibri" w:eastAsia="宋体" w:cs="Times New Roman"/>
      <w:b/>
      <w:kern w:val="2"/>
      <w:sz w:val="32"/>
      <w:szCs w:val="32"/>
      <w:lang w:val="en-US" w:eastAsia="zh-CN" w:bidi="ar-SA"/>
    </w:rPr>
  </w:style>
  <w:style w:type="paragraph" w:customStyle="1" w:styleId="36">
    <w:name w:val="CMIE-TB"/>
    <w:qFormat/>
    <w:uiPriority w:val="0"/>
    <w:pPr>
      <w:spacing w:line="360" w:lineRule="auto"/>
      <w:jc w:val="center"/>
    </w:pPr>
    <w:rPr>
      <w:rFonts w:ascii="Calibri" w:hAnsi="Calibri" w:eastAsia="宋体" w:cs="Times New Roman"/>
      <w:kern w:val="2"/>
      <w:sz w:val="21"/>
      <w:szCs w:val="24"/>
      <w:lang w:val="en-US" w:eastAsia="zh-CN" w:bidi="ar-SA"/>
    </w:rPr>
  </w:style>
  <w:style w:type="character" w:customStyle="1" w:styleId="37">
    <w:name w:val="标题 3 字符"/>
    <w:qFormat/>
    <w:uiPriority w:val="0"/>
    <w:rPr>
      <w:b/>
      <w:bCs/>
      <w:sz w:val="32"/>
      <w:szCs w:val="32"/>
    </w:rPr>
  </w:style>
  <w:style w:type="character" w:customStyle="1" w:styleId="38">
    <w:name w:val="批注框文本 字符"/>
    <w:basedOn w:val="27"/>
    <w:link w:val="14"/>
    <w:qFormat/>
    <w:uiPriority w:val="0"/>
    <w:rPr>
      <w:sz w:val="18"/>
      <w:szCs w:val="18"/>
    </w:rPr>
  </w:style>
  <w:style w:type="paragraph" w:customStyle="1" w:styleId="39">
    <w:name w:val="修订1"/>
    <w:hidden/>
    <w:semiHidden/>
    <w:qFormat/>
    <w:uiPriority w:val="99"/>
    <w:rPr>
      <w:rFonts w:ascii="Times New Roman" w:hAnsi="Times New Roman" w:eastAsia="宋体" w:cs="Times New Roman"/>
      <w:lang w:val="en-US" w:eastAsia="zh-CN" w:bidi="ar-SA"/>
    </w:rPr>
  </w:style>
  <w:style w:type="paragraph" w:customStyle="1" w:styleId="40">
    <w:name w:val="无间隔1"/>
    <w:link w:val="41"/>
    <w:qFormat/>
    <w:uiPriority w:val="1"/>
    <w:pPr>
      <w:widowControl w:val="0"/>
      <w:spacing w:line="360" w:lineRule="auto"/>
      <w:ind w:firstLine="200" w:firstLineChars="200"/>
      <w:jc w:val="both"/>
    </w:pPr>
    <w:rPr>
      <w:rFonts w:ascii="Times New Roman" w:hAnsi="Times New Roman" w:eastAsia="宋体" w:cstheme="minorBidi"/>
      <w:kern w:val="2"/>
      <w:sz w:val="24"/>
      <w:szCs w:val="22"/>
      <w:lang w:val="en-US" w:eastAsia="zh-CN" w:bidi="ar-SA"/>
    </w:rPr>
  </w:style>
  <w:style w:type="character" w:customStyle="1" w:styleId="41">
    <w:name w:val="无间隔 字符"/>
    <w:basedOn w:val="27"/>
    <w:link w:val="40"/>
    <w:qFormat/>
    <w:uiPriority w:val="1"/>
    <w:rPr>
      <w:rFonts w:cstheme="minorBidi"/>
      <w:kern w:val="2"/>
      <w:sz w:val="24"/>
      <w:szCs w:val="22"/>
    </w:rPr>
  </w:style>
  <w:style w:type="character" w:customStyle="1" w:styleId="42">
    <w:name w:val="纯文本 字符"/>
    <w:link w:val="13"/>
    <w:qFormat/>
    <w:locked/>
    <w:uiPriority w:val="0"/>
    <w:rPr>
      <w:rFonts w:ascii="宋体" w:hAnsi="Courier New" w:cs="Courier New"/>
      <w:kern w:val="2"/>
      <w:sz w:val="21"/>
      <w:szCs w:val="21"/>
    </w:rPr>
  </w:style>
  <w:style w:type="character" w:customStyle="1" w:styleId="43">
    <w:name w:val="页眉 字符"/>
    <w:link w:val="16"/>
    <w:qFormat/>
    <w:locked/>
    <w:uiPriority w:val="0"/>
    <w:rPr>
      <w:sz w:val="18"/>
      <w:szCs w:val="18"/>
    </w:rPr>
  </w:style>
  <w:style w:type="character" w:customStyle="1" w:styleId="44">
    <w:name w:val="页脚 字符"/>
    <w:link w:val="15"/>
    <w:qFormat/>
    <w:locked/>
    <w:uiPriority w:val="0"/>
    <w:rPr>
      <w:sz w:val="18"/>
      <w:szCs w:val="18"/>
    </w:rPr>
  </w:style>
  <w:style w:type="paragraph" w:customStyle="1" w:styleId="45">
    <w:name w:val="列表段落1"/>
    <w:basedOn w:val="1"/>
    <w:qFormat/>
    <w:uiPriority w:val="99"/>
    <w:pPr>
      <w:ind w:firstLine="420" w:firstLineChars="200"/>
    </w:pPr>
  </w:style>
  <w:style w:type="paragraph" w:customStyle="1" w:styleId="46">
    <w:name w:val="标题1"/>
    <w:basedOn w:val="1"/>
    <w:next w:val="1"/>
    <w:qFormat/>
    <w:uiPriority w:val="10"/>
    <w:pPr>
      <w:widowControl w:val="0"/>
      <w:spacing w:before="240" w:after="60" w:line="240" w:lineRule="auto"/>
      <w:jc w:val="center"/>
      <w:outlineLvl w:val="0"/>
    </w:pPr>
    <w:rPr>
      <w:rFonts w:ascii="等线 Light" w:hAnsi="等线 Light" w:eastAsia="等线 Light"/>
      <w:b/>
      <w:bCs/>
      <w:kern w:val="2"/>
      <w:sz w:val="32"/>
      <w:szCs w:val="32"/>
    </w:rPr>
  </w:style>
  <w:style w:type="character" w:customStyle="1" w:styleId="47">
    <w:name w:val="标题 字符"/>
    <w:basedOn w:val="27"/>
    <w:link w:val="22"/>
    <w:qFormat/>
    <w:uiPriority w:val="10"/>
    <w:rPr>
      <w:rFonts w:ascii="等线 Light" w:hAnsi="等线 Light" w:eastAsia="等线 Light" w:cs="Times New Roman"/>
      <w:b/>
      <w:bCs/>
      <w:sz w:val="32"/>
      <w:szCs w:val="32"/>
    </w:rPr>
  </w:style>
  <w:style w:type="character" w:customStyle="1" w:styleId="48">
    <w:name w:val="标题 字符1"/>
    <w:basedOn w:val="27"/>
    <w:qFormat/>
    <w:uiPriority w:val="0"/>
    <w:rPr>
      <w:rFonts w:asciiTheme="majorHAnsi" w:hAnsiTheme="majorHAnsi" w:eastAsiaTheme="majorEastAsia" w:cstheme="majorBidi"/>
      <w:b/>
      <w:bCs/>
      <w:sz w:val="32"/>
      <w:szCs w:val="32"/>
    </w:rPr>
  </w:style>
  <w:style w:type="paragraph" w:customStyle="1" w:styleId="49">
    <w:name w:val="p2"/>
    <w:basedOn w:val="1"/>
    <w:qFormat/>
    <w:uiPriority w:val="0"/>
    <w:pPr>
      <w:spacing w:after="0" w:line="30" w:lineRule="atLeast"/>
      <w:ind w:firstLine="420"/>
    </w:pPr>
    <w:rPr>
      <w:rFonts w:hint="eastAsia" w:ascii="宋体" w:hAnsi="宋体"/>
      <w:sz w:val="21"/>
      <w:szCs w:val="21"/>
    </w:rPr>
  </w:style>
  <w:style w:type="character" w:customStyle="1" w:styleId="50">
    <w:name w:val="underlinespan"/>
    <w:basedOn w:val="27"/>
    <w:qFormat/>
    <w:uiPriority w:val="0"/>
  </w:style>
  <w:style w:type="paragraph" w:customStyle="1" w:styleId="51">
    <w:name w:val="p1"/>
    <w:basedOn w:val="1"/>
    <w:qFormat/>
    <w:uiPriority w:val="0"/>
    <w:pPr>
      <w:spacing w:after="0" w:line="30" w:lineRule="atLeast"/>
      <w:jc w:val="center"/>
    </w:pPr>
    <w:rPr>
      <w:rFonts w:hint="eastAsia" w:ascii="宋体" w:hAnsi="宋体"/>
      <w:sz w:val="28"/>
      <w:szCs w:val="28"/>
    </w:rPr>
  </w:style>
  <w:style w:type="table" w:customStyle="1" w:styleId="52">
    <w:name w:val="Table Normal"/>
    <w:unhideWhenUsed/>
    <w:qFormat/>
    <w:uiPriority w:val="0"/>
    <w:tblPr>
      <w:tblCellMar>
        <w:top w:w="0" w:type="dxa"/>
        <w:left w:w="0" w:type="dxa"/>
        <w:bottom w:w="0" w:type="dxa"/>
        <w:right w:w="0" w:type="dxa"/>
      </w:tblCellMar>
    </w:tblPr>
  </w:style>
  <w:style w:type="character" w:customStyle="1" w:styleId="53">
    <w:name w:val="正文文本 (7)_"/>
    <w:link w:val="54"/>
    <w:qFormat/>
    <w:uiPriority w:val="99"/>
    <w:rPr>
      <w:rFonts w:ascii="MingLiU" w:hAnsi="Times New Roman" w:eastAsia="MingLiU" w:cs="Times New Roman"/>
      <w:sz w:val="34"/>
      <w:szCs w:val="34"/>
    </w:rPr>
  </w:style>
  <w:style w:type="paragraph" w:customStyle="1" w:styleId="54">
    <w:name w:val="正文文本 (7)"/>
    <w:basedOn w:val="1"/>
    <w:link w:val="53"/>
    <w:qFormat/>
    <w:uiPriority w:val="99"/>
    <w:pPr>
      <w:widowControl w:val="0"/>
      <w:shd w:val="clear" w:color="auto" w:fill="FFFFFF"/>
      <w:spacing w:after="900" w:line="240" w:lineRule="atLeast"/>
      <w:jc w:val="center"/>
    </w:pPr>
    <w:rPr>
      <w:rFonts w:ascii="MingLiU" w:eastAsia="MingLiU"/>
      <w:sz w:val="34"/>
      <w:szCs w:val="34"/>
    </w:rPr>
  </w:style>
  <w:style w:type="character" w:customStyle="1" w:styleId="55">
    <w:name w:val="font71"/>
    <w:qFormat/>
    <w:uiPriority w:val="0"/>
    <w:rPr>
      <w:rFonts w:hint="eastAsia" w:ascii="宋体" w:hAnsi="宋体" w:eastAsia="宋体" w:cs="宋体"/>
      <w:b/>
      <w:color w:val="000000"/>
      <w:sz w:val="18"/>
      <w:szCs w:val="18"/>
      <w:u w:val="none"/>
    </w:rPr>
  </w:style>
  <w:style w:type="character" w:customStyle="1" w:styleId="56">
    <w:name w:val="font41"/>
    <w:qFormat/>
    <w:uiPriority w:val="0"/>
    <w:rPr>
      <w:rFonts w:hint="default" w:ascii="Arial" w:hAnsi="Arial" w:cs="Arial"/>
      <w:b/>
      <w:color w:val="000000"/>
      <w:sz w:val="18"/>
      <w:szCs w:val="18"/>
      <w:u w:val="none"/>
    </w:rPr>
  </w:style>
  <w:style w:type="character" w:customStyle="1" w:styleId="57">
    <w:name w:val="font61"/>
    <w:qFormat/>
    <w:uiPriority w:val="0"/>
    <w:rPr>
      <w:rFonts w:hint="eastAsia" w:ascii="宋体" w:hAnsi="宋体" w:eastAsia="宋体" w:cs="宋体"/>
      <w:color w:val="000000"/>
      <w:sz w:val="18"/>
      <w:szCs w:val="18"/>
      <w:u w:val="none"/>
    </w:rPr>
  </w:style>
  <w:style w:type="paragraph" w:customStyle="1" w:styleId="58">
    <w:name w:val="Body text|2"/>
    <w:basedOn w:val="1"/>
    <w:qFormat/>
    <w:uiPriority w:val="0"/>
    <w:pPr>
      <w:shd w:val="clear" w:color="auto" w:fill="FFFFFF"/>
      <w:spacing w:line="80" w:lineRule="exact"/>
      <w:jc w:val="center"/>
    </w:pPr>
    <w:rPr>
      <w:rFonts w:ascii="PMingLiU" w:hAnsi="PMingLiU" w:eastAsia="PMingLiU" w:cs="PMingLiU"/>
      <w:sz w:val="8"/>
      <w:szCs w:val="8"/>
    </w:rPr>
  </w:style>
  <w:style w:type="paragraph" w:customStyle="1" w:styleId="59">
    <w:name w:val="正文文本样式"/>
    <w:basedOn w:val="1"/>
    <w:qFormat/>
    <w:uiPriority w:val="0"/>
    <w:pPr>
      <w:spacing w:line="360" w:lineRule="auto"/>
      <w:ind w:firstLine="482"/>
    </w:pPr>
    <w:rPr>
      <w:rFonts w:cs="宋体"/>
      <w:sz w:val="24"/>
    </w:rPr>
  </w:style>
  <w:style w:type="paragraph" w:customStyle="1" w:styleId="60">
    <w:name w:val="节标题"/>
    <w:basedOn w:val="1"/>
    <w:next w:val="1"/>
    <w:qFormat/>
    <w:uiPriority w:val="0"/>
    <w:pPr>
      <w:spacing w:line="289" w:lineRule="atLeast"/>
      <w:jc w:val="center"/>
      <w:textAlignment w:val="baseline"/>
    </w:pPr>
    <w:rPr>
      <w:color w:val="000000"/>
      <w:sz w:val="28"/>
      <w:u w:color="000000"/>
    </w:rPr>
  </w:style>
  <w:style w:type="paragraph" w:customStyle="1" w:styleId="61">
    <w:name w:val="样式 标题 2 + Times New Roman 四号 非加粗 段前: 5 磅 段后: 0 磅 行距: 固定值 20..."/>
    <w:basedOn w:val="3"/>
    <w:qFormat/>
    <w:uiPriority w:val="0"/>
    <w:pPr>
      <w:spacing w:before="100"/>
    </w:pPr>
    <w:rPr>
      <w:rFonts w:ascii="Times New Roman" w:hAnsi="Times New Roman" w:cs="宋体"/>
      <w:b w:val="0"/>
      <w:sz w:val="28"/>
    </w:rPr>
  </w:style>
  <w:style w:type="character" w:customStyle="1" w:styleId="62">
    <w:name w:val="标题 2 字符"/>
    <w:basedOn w:val="27"/>
    <w:link w:val="3"/>
    <w:qFormat/>
    <w:uiPriority w:val="0"/>
    <w:rPr>
      <w:rFonts w:ascii="Arial" w:hAnsi="Arial" w:eastAsia="黑体"/>
      <w:b/>
      <w:bCs/>
      <w:sz w:val="32"/>
      <w:szCs w:val="32"/>
    </w:rPr>
  </w:style>
  <w:style w:type="character" w:customStyle="1" w:styleId="63">
    <w:name w:val="标题 4 字符"/>
    <w:basedOn w:val="27"/>
    <w:link w:val="5"/>
    <w:qFormat/>
    <w:uiPriority w:val="0"/>
    <w:rPr>
      <w:rFonts w:ascii="Arial" w:hAnsi="Arial" w:eastAsia="黑体"/>
      <w:b/>
      <w:bCs/>
      <w:sz w:val="28"/>
      <w:szCs w:val="28"/>
    </w:rPr>
  </w:style>
  <w:style w:type="character" w:customStyle="1" w:styleId="64">
    <w:name w:val="文档结构图 字符"/>
    <w:basedOn w:val="27"/>
    <w:link w:val="7"/>
    <w:qFormat/>
    <w:uiPriority w:val="0"/>
    <w:rPr>
      <w:shd w:val="clear" w:color="auto" w:fill="000080"/>
    </w:rPr>
  </w:style>
  <w:style w:type="character" w:customStyle="1" w:styleId="65">
    <w:name w:val="批注文字 字符"/>
    <w:basedOn w:val="27"/>
    <w:qFormat/>
    <w:uiPriority w:val="0"/>
    <w:rPr>
      <w:rFonts w:ascii="Times New Roman" w:hAnsi="Times New Roman" w:eastAsia="宋体" w:cs="Times New Roman"/>
      <w:kern w:val="0"/>
      <w:sz w:val="20"/>
      <w:szCs w:val="20"/>
    </w:rPr>
  </w:style>
  <w:style w:type="character" w:customStyle="1" w:styleId="66">
    <w:name w:val="正文文本 字符"/>
    <w:basedOn w:val="27"/>
    <w:link w:val="10"/>
    <w:qFormat/>
    <w:uiPriority w:val="0"/>
  </w:style>
  <w:style w:type="character" w:customStyle="1" w:styleId="67">
    <w:name w:val="正文文本缩进 字符"/>
    <w:basedOn w:val="27"/>
    <w:link w:val="12"/>
    <w:qFormat/>
    <w:uiPriority w:val="0"/>
  </w:style>
  <w:style w:type="character" w:customStyle="1" w:styleId="68">
    <w:name w:val="正文文本首行缩进 字符"/>
    <w:basedOn w:val="66"/>
    <w:link w:val="24"/>
    <w:qFormat/>
    <w:uiPriority w:val="99"/>
  </w:style>
  <w:style w:type="character" w:customStyle="1" w:styleId="69">
    <w:name w:val="正文文本首行缩进 2 字符"/>
    <w:basedOn w:val="67"/>
    <w:link w:val="25"/>
    <w:qFormat/>
    <w:uiPriority w:val="0"/>
    <w:rPr>
      <w:kern w:val="2"/>
      <w:sz w:val="21"/>
      <w:szCs w:val="24"/>
    </w:rPr>
  </w:style>
  <w:style w:type="character" w:customStyle="1" w:styleId="70">
    <w:name w:val="批注文字 字符1"/>
    <w:basedOn w:val="27"/>
    <w:link w:val="9"/>
    <w:qFormat/>
    <w:uiPriority w:val="0"/>
  </w:style>
  <w:style w:type="character" w:customStyle="1" w:styleId="71">
    <w:name w:val="批注主题 字符"/>
    <w:basedOn w:val="70"/>
    <w:link w:val="23"/>
    <w:semiHidden/>
    <w:qFormat/>
    <w:uiPriority w:val="0"/>
    <w:rPr>
      <w:b/>
      <w:bCs/>
    </w:rPr>
  </w:style>
  <w:style w:type="paragraph" w:customStyle="1" w:styleId="72">
    <w:name w:val="修订2"/>
    <w:hidden/>
    <w:semiHidden/>
    <w:qFormat/>
    <w:uiPriority w:val="99"/>
    <w:rPr>
      <w:rFonts w:ascii="Times New Roman" w:hAnsi="Times New Roman" w:eastAsia="宋体" w:cs="Times New Roman"/>
      <w:lang w:val="en-US" w:eastAsia="zh-CN" w:bidi="ar-SA"/>
    </w:rPr>
  </w:style>
  <w:style w:type="paragraph" w:customStyle="1" w:styleId="73">
    <w:name w:val="Char6 Char Char Char"/>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74">
    <w:name w:val="正文文本 (7)1"/>
    <w:basedOn w:val="1"/>
    <w:qFormat/>
    <w:uiPriority w:val="99"/>
    <w:pPr>
      <w:widowControl w:val="0"/>
      <w:shd w:val="clear" w:color="auto" w:fill="FFFFFF"/>
      <w:spacing w:before="420" w:line="480" w:lineRule="exact"/>
      <w:jc w:val="distribute"/>
    </w:pPr>
    <w:rPr>
      <w:rFonts w:ascii="宋体" w:hAnsi="宋体" w:cs="宋体"/>
    </w:rPr>
  </w:style>
  <w:style w:type="paragraph" w:customStyle="1" w:styleId="75">
    <w:name w:val="修订3"/>
    <w:hidden/>
    <w:unhideWhenUsed/>
    <w:qFormat/>
    <w:uiPriority w:val="99"/>
    <w:rPr>
      <w:rFonts w:ascii="Times New Roman" w:hAnsi="Times New Roman" w:eastAsia="宋体" w:cs="Times New Roman"/>
      <w:lang w:val="en-US" w:eastAsia="zh-CN" w:bidi="ar-SA"/>
    </w:rPr>
  </w:style>
  <w:style w:type="paragraph" w:customStyle="1" w:styleId="76">
    <w:name w:val="Other|1"/>
    <w:basedOn w:val="1"/>
    <w:qFormat/>
    <w:uiPriority w:val="0"/>
    <w:pPr>
      <w:spacing w:line="480" w:lineRule="auto"/>
      <w:ind w:firstLine="400"/>
    </w:pPr>
    <w:rPr>
      <w:rFonts w:ascii="宋体" w:hAnsi="宋体" w:cs="宋体"/>
      <w:sz w:val="22"/>
      <w:lang w:val="zh-TW" w:eastAsia="zh-TW" w:bidi="zh-TW"/>
    </w:rPr>
  </w:style>
  <w:style w:type="paragraph" w:customStyle="1" w:styleId="77">
    <w:name w:val="Body text|1"/>
    <w:basedOn w:val="1"/>
    <w:qFormat/>
    <w:uiPriority w:val="0"/>
    <w:pPr>
      <w:spacing w:line="480" w:lineRule="auto"/>
      <w:ind w:firstLine="400"/>
    </w:pPr>
    <w:rPr>
      <w:rFonts w:ascii="宋体" w:hAnsi="宋体" w:cs="宋体"/>
      <w:sz w:val="22"/>
      <w:lang w:val="zh-TW" w:eastAsia="zh-TW" w:bidi="zh-TW"/>
    </w:rPr>
  </w:style>
  <w:style w:type="paragraph" w:customStyle="1" w:styleId="78">
    <w:name w:val="正文_3"/>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6B019E3-A181-4EAB-8CE5-00F4B6EE89FD}">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65</Pages>
  <Words>22069</Words>
  <Characters>23740</Characters>
  <Lines>278</Lines>
  <Paragraphs>78</Paragraphs>
  <TotalTime>59</TotalTime>
  <ScaleCrop>false</ScaleCrop>
  <LinksUpToDate>false</LinksUpToDate>
  <CharactersWithSpaces>23944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2024-07-17T05:21:00Z</dcterms:created>
  <dc:creator>王晓丹</dc:creator>
  <cp:lastModifiedBy>苦中作樂</cp:lastModifiedBy>
  <cp:lastPrinted>2022-09-05T07:27:00Z</cp:lastPrinted>
  <dcterms:modified xsi:type="dcterms:W3CDTF">2024-11-05T05:44:58Z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03C853EDE4B94A1E85FDA6758C909B4E_13</vt:lpwstr>
  </property>
</Properties>
</file>