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版本号：招标代理【2026】-ZBDL003320260430004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实验室维修改造项目EPC总承包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招标代理【2026】-ZBDL0033</w:t>
      </w:r>
      <w:r>
        <w:br/>
      </w:r>
      <w:r>
        <w:br/>
      </w:r>
      <w:r>
        <w:br/>
      </w:r>
    </w:p>
    <w:p>
      <w:pPr>
        <w:pStyle w:val="null3"/>
        <w:jc w:val="center"/>
        <w:outlineLvl w:val="2"/>
      </w:pPr>
      <w:r>
        <w:rPr>
          <w:rFonts w:ascii="仿宋_GB2312" w:hAnsi="仿宋_GB2312" w:cs="仿宋_GB2312" w:eastAsia="仿宋_GB2312"/>
          <w:sz w:val="28"/>
          <w:b/>
        </w:rPr>
        <w:t>陕西省医疗器械质量检验院</w:t>
      </w:r>
    </w:p>
    <w:p>
      <w:pPr>
        <w:pStyle w:val="null3"/>
        <w:jc w:val="center"/>
        <w:outlineLvl w:val="2"/>
      </w:pPr>
      <w:r>
        <w:rPr>
          <w:rFonts w:ascii="仿宋_GB2312" w:hAnsi="仿宋_GB2312" w:cs="仿宋_GB2312" w:eastAsia="仿宋_GB2312"/>
          <w:sz w:val="28"/>
          <w:b/>
        </w:rPr>
        <w:t>西安天合建设项目管理有限公司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西安天合建设项目管理有限公司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陕西省医疗器械质量检验院</w:t>
      </w:r>
      <w:r>
        <w:rPr>
          <w:rFonts w:ascii="仿宋_GB2312" w:hAnsi="仿宋_GB2312" w:cs="仿宋_GB2312" w:eastAsia="仿宋_GB2312"/>
        </w:rPr>
        <w:t>委托，拟对</w:t>
      </w:r>
      <w:r>
        <w:rPr>
          <w:rFonts w:ascii="仿宋_GB2312" w:hAnsi="仿宋_GB2312" w:cs="仿宋_GB2312" w:eastAsia="仿宋_GB2312"/>
        </w:rPr>
        <w:t>实验室维修改造项目EPC总承包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招标代理【2026】-ZBDL0033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实验室维修改造项目EPC总承包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施工目标：为加强实验室规范化管理，提高检验检测数据可靠性和可溯源性，对实验室进行改造维修。以符合GLP相关要求、空气质量、湿度达标。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1、投标主体资格：提供合格有效的法人或其他组织的营业执照等证明文件，自然人参与的提供其身份证。</w:t>
      </w:r>
    </w:p>
    <w:p>
      <w:pPr>
        <w:pStyle w:val="null3"/>
      </w:pPr>
      <w:r>
        <w:rPr>
          <w:rFonts w:ascii="仿宋_GB2312" w:hAnsi="仿宋_GB2312" w:cs="仿宋_GB2312" w:eastAsia="仿宋_GB2312"/>
        </w:rPr>
        <w:t>2、社会保障资金缴纳证明：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3、税收缴纳证明：提供2026年01月至今已缴纳的至少一个月的纳税证明或完税证明；依法免税的单位应提供相关证明材料。（以税收所属时期为准）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4、财务状况证明：提供经会计师事务所审计的2024年或2025年财务审计报告（报告须带有二维码可验证），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5、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6、授权委托书：非法定代表人参加投标的，须提供法定代表人授权委托书及被授权人身份证；法定代表人参加投标时,须提供法定代表人身份证。</w:t>
      </w:r>
    </w:p>
    <w:p>
      <w:pPr>
        <w:pStyle w:val="null3"/>
      </w:pPr>
      <w:r>
        <w:rPr>
          <w:rFonts w:ascii="仿宋_GB2312" w:hAnsi="仿宋_GB2312" w:cs="仿宋_GB2312" w:eastAsia="仿宋_GB2312"/>
        </w:rPr>
        <w:t>7、企业资质：施工资质要求：具备建筑工程施工总承包三级(含三级)及以上资质或建筑机电安装工程专业承包资质三级(含三级)及以上，及建筑装饰装修工程专业承包资质二级(含二级)及以上，同时具有合格有效的安全生产许可证；设计资质要求：应具有建设行政主管部门颁发的工程设计综合甲级资质或建筑行业工程设计乙级资质或建筑行业（建筑工程）专业设计乙级资质或建筑装饰工程设计专项乙级资质。</w:t>
      </w:r>
    </w:p>
    <w:p>
      <w:pPr>
        <w:pStyle w:val="null3"/>
      </w:pPr>
      <w:r>
        <w:rPr>
          <w:rFonts w:ascii="仿宋_GB2312" w:hAnsi="仿宋_GB2312" w:cs="仿宋_GB2312" w:eastAsia="仿宋_GB2312"/>
        </w:rPr>
        <w:t>8、项目经理：项目负责人具有机电工程专业二级及以上建造师注册证书，同时具有“三类人员”有效B类证书，在本单位注册，且无在建工程。</w:t>
      </w:r>
    </w:p>
    <w:p>
      <w:pPr>
        <w:pStyle w:val="null3"/>
      </w:pPr>
      <w:r>
        <w:rPr>
          <w:rFonts w:ascii="仿宋_GB2312" w:hAnsi="仿宋_GB2312" w:cs="仿宋_GB2312" w:eastAsia="仿宋_GB2312"/>
        </w:rPr>
        <w:t>9、联合体说明：本项目接受联合体参与投标。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陕西省医疗器械质量检验院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陕西省西咸新区沣西新城丰耘路1620号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02933585310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西安天合建设项目管理有限公司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陕西省西安市未央区西安经济技术开发区凤城七路长和国际B座23层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13186111334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 代理服务费缴纳账户： 户 名：西安天合建设项目管理有限公司 开户行：中行北大街支行 账 号：1024 0871 5800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陕西省医疗器械质量检验院</w:t>
      </w:r>
      <w:r>
        <w:rPr>
          <w:rFonts w:ascii="仿宋_GB2312" w:hAnsi="仿宋_GB2312" w:cs="仿宋_GB2312" w:eastAsia="仿宋_GB2312"/>
        </w:rPr>
        <w:t>和</w:t>
      </w:r>
      <w:r>
        <w:rPr>
          <w:rFonts w:ascii="仿宋_GB2312" w:hAnsi="仿宋_GB2312" w:cs="仿宋_GB2312" w:eastAsia="仿宋_GB2312"/>
        </w:rPr>
        <w:t>西安天合建设项目管理有限公司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陕西省医疗器械质量检验院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西安天合建设项目管理有限公司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陕西省医疗器械质量检验院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西安天合建设项目管理有限公司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联系人：夏天</w:t>
      </w:r>
    </w:p>
    <w:p>
      <w:pPr>
        <w:pStyle w:val="null3"/>
      </w:pPr>
      <w:r>
        <w:rPr>
          <w:rFonts w:ascii="仿宋_GB2312" w:hAnsi="仿宋_GB2312" w:cs="仿宋_GB2312" w:eastAsia="仿宋_GB2312"/>
        </w:rPr>
        <w:t>联系电话：13186111334</w:t>
      </w:r>
    </w:p>
    <w:p>
      <w:pPr>
        <w:pStyle w:val="null3"/>
      </w:pPr>
      <w:r>
        <w:rPr>
          <w:rFonts w:ascii="仿宋_GB2312" w:hAnsi="仿宋_GB2312" w:cs="仿宋_GB2312" w:eastAsia="仿宋_GB2312"/>
        </w:rPr>
        <w:t>地址：西安经济技术开发区凤城七路长和国际B座23层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施工目标：为加强实验室规范化管理，提高检验检测数据可靠性和可溯源性，对实验室进行改造维修。以符合GLP相关要求、空气质量、湿度达标。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955,000.00</w:t>
      </w:r>
    </w:p>
    <w:p>
      <w:pPr>
        <w:pStyle w:val="null3"/>
      </w:pPr>
      <w:r>
        <w:rPr>
          <w:rFonts w:ascii="仿宋_GB2312" w:hAnsi="仿宋_GB2312" w:cs="仿宋_GB2312" w:eastAsia="仿宋_GB2312"/>
        </w:rPr>
        <w:t>采购包最高限价（元）: 955,000.00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实验室维修改造项目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空调系统改造</w:t>
            </w:r>
          </w:p>
          <w:p>
            <w:pPr>
              <w:pStyle w:val="null3"/>
              <w:ind w:firstLine="400"/>
              <w:jc w:val="both"/>
            </w:pPr>
            <w:r>
              <w:rPr>
                <w:rFonts w:ascii="仿宋_GB2312" w:hAnsi="仿宋_GB2312" w:cs="仿宋_GB2312" w:eastAsia="仿宋_GB2312"/>
                <w:sz w:val="20"/>
              </w:rPr>
              <w:t>1. 检查更换新的上位机组及配套系统（包括温度探头、湿度探头等），实现温湿度恒温恒湿控制。</w:t>
            </w:r>
          </w:p>
          <w:p>
            <w:pPr>
              <w:pStyle w:val="null3"/>
              <w:ind w:firstLine="400"/>
              <w:jc w:val="both"/>
            </w:pPr>
            <w:r>
              <w:rPr>
                <w:rFonts w:ascii="仿宋_GB2312" w:hAnsi="仿宋_GB2312" w:cs="仿宋_GB2312" w:eastAsia="仿宋_GB2312"/>
                <w:sz w:val="20"/>
              </w:rPr>
              <w:t>2. 空调系统改造后环境要求，主要参数如下，其他参数按《GB/T 14925-2023 实验动物 环境及设施》，确保空气质量符合要求。</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区域</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要求</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湿度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洁净度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7级</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氨浓度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整个饲养区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 mg/m3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换气次数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可调节，</w:t>
                  </w:r>
                  <w:r>
                    <w:rPr>
                      <w:rFonts w:ascii="仿宋_GB2312" w:hAnsi="仿宋_GB2312" w:cs="仿宋_GB2312" w:eastAsia="仿宋_GB2312"/>
                      <w:sz w:val="20"/>
                    </w:rPr>
                    <w:t>9-12次或18-20次。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3.通过设计改造，一楼二楼整体升级排风系统，改造排风口，每个饲养室要求对角回风，更换或新加排风口，材质要求易清洁（消毒）、耐腐蚀（耐氨气腐蚀、耐强酸强碱）、不产尘，质量不低于铝合金；全面检查更换/新加排风管道，要求易耐腐蚀（耐氨气腐蚀、耐强酸强碱），材质PP/玻璃钢。</w:t>
            </w:r>
          </w:p>
          <w:p>
            <w:pPr>
              <w:pStyle w:val="null3"/>
              <w:ind w:firstLine="400"/>
              <w:jc w:val="both"/>
            </w:pPr>
            <w:r>
              <w:rPr>
                <w:rFonts w:ascii="仿宋_GB2312" w:hAnsi="仿宋_GB2312" w:cs="仿宋_GB2312" w:eastAsia="仿宋_GB2312"/>
                <w:sz w:val="20"/>
              </w:rPr>
              <w:t>特别强调排风改造后，二楼普区和一楼普区不能有异味。</w:t>
            </w:r>
          </w:p>
          <w:p>
            <w:pPr>
              <w:pStyle w:val="null3"/>
              <w:ind w:firstLine="400"/>
              <w:jc w:val="both"/>
            </w:pPr>
            <w:r>
              <w:rPr>
                <w:rFonts w:ascii="仿宋_GB2312" w:hAnsi="仿宋_GB2312" w:cs="仿宋_GB2312" w:eastAsia="仿宋_GB2312"/>
                <w:sz w:val="20"/>
              </w:rPr>
              <w:t>4.SPF区污染走廊排风改造，增加排风口和送风口，达到送排风覆盖无死角，具体位置见二楼图纸。</w:t>
            </w:r>
          </w:p>
          <w:p>
            <w:pPr>
              <w:pStyle w:val="null3"/>
              <w:ind w:firstLine="400"/>
              <w:jc w:val="both"/>
            </w:pPr>
            <w:r>
              <w:rPr>
                <w:rFonts w:ascii="仿宋_GB2312" w:hAnsi="仿宋_GB2312" w:cs="仿宋_GB2312" w:eastAsia="仿宋_GB2312"/>
                <w:sz w:val="20"/>
              </w:rPr>
              <w:t>5.增加或调整SPF区四间饲养室前室改造后的送风及排风，具体位置见二楼图纸。</w:t>
            </w:r>
          </w:p>
          <w:p>
            <w:pPr>
              <w:pStyle w:val="null3"/>
              <w:ind w:firstLine="400"/>
              <w:jc w:val="both"/>
            </w:pPr>
            <w:r>
              <w:rPr>
                <w:rFonts w:ascii="仿宋_GB2312" w:hAnsi="仿宋_GB2312" w:cs="仿宋_GB2312" w:eastAsia="仿宋_GB2312"/>
                <w:sz w:val="20"/>
              </w:rPr>
              <w:t>6.改造二楼洗涤消毒间的送排风系统，要求洗消室无异味，独立排风。</w:t>
            </w:r>
          </w:p>
          <w:p>
            <w:pPr>
              <w:pStyle w:val="null3"/>
              <w:ind w:firstLine="400"/>
              <w:jc w:val="both"/>
            </w:pPr>
            <w:r>
              <w:rPr>
                <w:rFonts w:ascii="仿宋_GB2312" w:hAnsi="仿宋_GB2312" w:cs="仿宋_GB2312" w:eastAsia="仿宋_GB2312"/>
                <w:sz w:val="20"/>
              </w:rPr>
              <w:t>7.一楼和二楼饲养室、实验室、洗消间，相对于通道负压（不小于10 Pa）。</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装修及水电改造</w:t>
            </w:r>
          </w:p>
          <w:p>
            <w:pPr>
              <w:pStyle w:val="null3"/>
              <w:ind w:firstLine="400"/>
              <w:jc w:val="both"/>
            </w:pPr>
            <w:r>
              <w:rPr>
                <w:rFonts w:ascii="仿宋_GB2312" w:hAnsi="仿宋_GB2312" w:cs="仿宋_GB2312" w:eastAsia="仿宋_GB2312"/>
                <w:sz w:val="20"/>
              </w:rPr>
              <w:t>1.二楼SPF区更衣室、二楼普区清洗消毒间重新布局，把二楼普区洗消间的传递窗挪到走廊合适的位置，在原位置安排清洁后笼具暂存处，通过设计改造使流程更加合理。</w:t>
            </w:r>
          </w:p>
          <w:p>
            <w:pPr>
              <w:pStyle w:val="null3"/>
              <w:ind w:firstLine="400"/>
              <w:jc w:val="both"/>
            </w:pPr>
            <w:r>
              <w:rPr>
                <w:rFonts w:ascii="仿宋_GB2312" w:hAnsi="仿宋_GB2312" w:cs="仿宋_GB2312" w:eastAsia="仿宋_GB2312"/>
                <w:sz w:val="20"/>
              </w:rPr>
              <w:t>2.二楼SPF区4个饲养室增加隔墙和门，分隔出前室，并增加或调整饲养灯、工作灯位置。</w:t>
            </w:r>
          </w:p>
          <w:p>
            <w:pPr>
              <w:pStyle w:val="null3"/>
              <w:ind w:firstLine="400"/>
              <w:jc w:val="both"/>
            </w:pPr>
            <w:r>
              <w:rPr>
                <w:rFonts w:ascii="仿宋_GB2312" w:hAnsi="仿宋_GB2312" w:cs="仿宋_GB2312" w:eastAsia="仿宋_GB2312"/>
                <w:sz w:val="20"/>
              </w:rPr>
              <w:t>3.一楼普区暂养室3、暂养室4、动物接收室、检疫隔离间四间饲养室的两侧地沟只留地漏（要求尺寸稍大，用不锈钢全覆盖，并做防臭地漏），增加自动冲水系统；一楼普区暂养室1和暂养室2的地沟用不锈钢全覆盖，并做防臭地漏，增加自动冲水系统。</w:t>
            </w:r>
          </w:p>
          <w:p>
            <w:pPr>
              <w:pStyle w:val="null3"/>
              <w:ind w:firstLine="400"/>
              <w:jc w:val="both"/>
            </w:pPr>
            <w:r>
              <w:rPr>
                <w:rFonts w:ascii="仿宋_GB2312" w:hAnsi="仿宋_GB2312" w:cs="仿宋_GB2312" w:eastAsia="仿宋_GB2312"/>
                <w:sz w:val="20"/>
              </w:rPr>
              <w:t>4.更换部分损坏的灯具；在二楼SPF区的4个饲养室、1个实验室、1个洁净走廊和1个污染走廊、一更、二更、风淋缓冲间分别增加单联双控开关及其他零星维修；普区及SPF区一更外一键白灯全关全开，一楼二楼饲养室内根据监控设备的定位增加插座。</w:t>
            </w:r>
          </w:p>
          <w:p>
            <w:pPr>
              <w:pStyle w:val="null3"/>
              <w:ind w:firstLine="400"/>
              <w:jc w:val="both"/>
            </w:pPr>
            <w:r>
              <w:rPr>
                <w:rFonts w:ascii="仿宋_GB2312" w:hAnsi="仿宋_GB2312" w:cs="仿宋_GB2312" w:eastAsia="仿宋_GB2312"/>
                <w:sz w:val="20"/>
              </w:rPr>
              <w:t>5.一楼二楼饲养室安装摄像头共14个（不包括摄像头的购买），需要墙内走电线或改电线，具体位置见一楼二楼平面图。</w:t>
            </w:r>
          </w:p>
          <w:p>
            <w:pPr>
              <w:pStyle w:val="null3"/>
              <w:ind w:firstLine="400"/>
              <w:jc w:val="both"/>
            </w:pPr>
            <w:r>
              <w:rPr>
                <w:rFonts w:ascii="仿宋_GB2312" w:hAnsi="仿宋_GB2312" w:cs="仿宋_GB2312" w:eastAsia="仿宋_GB2312"/>
                <w:sz w:val="20"/>
              </w:rPr>
              <w:t>6.一楼猪饲养室内的自来水管分出3个用于自动饮水装置，狗饲养室的自来水分压到各笼具内，自动饮水。</w:t>
            </w:r>
          </w:p>
          <w:p>
            <w:pPr>
              <w:pStyle w:val="null3"/>
              <w:ind w:firstLine="400"/>
              <w:jc w:val="both"/>
            </w:pPr>
            <w:r>
              <w:rPr>
                <w:rFonts w:ascii="仿宋_GB2312" w:hAnsi="仿宋_GB2312" w:cs="仿宋_GB2312" w:eastAsia="仿宋_GB2312"/>
                <w:sz w:val="20"/>
              </w:rPr>
              <w:t>7.洗消间加地漏2-3个；普区检疫室加1个地漏。</w:t>
            </w:r>
          </w:p>
          <w:p>
            <w:pPr>
              <w:pStyle w:val="null3"/>
              <w:ind w:firstLine="400"/>
              <w:jc w:val="both"/>
            </w:pPr>
            <w:r>
              <w:rPr>
                <w:rFonts w:ascii="仿宋_GB2312" w:hAnsi="仿宋_GB2312" w:cs="仿宋_GB2312" w:eastAsia="仿宋_GB2312"/>
                <w:sz w:val="20"/>
              </w:rPr>
              <w:t>8.1楼2楼饲养室墙面地面接缝进行处理，使其平整，1楼和2楼普区接缝处防水加强处理，防水要求不低于目前质量。</w:t>
            </w:r>
          </w:p>
          <w:p>
            <w:pPr>
              <w:pStyle w:val="null3"/>
              <w:ind w:firstLine="400"/>
              <w:jc w:val="both"/>
            </w:pPr>
            <w:r>
              <w:rPr>
                <w:rFonts w:ascii="仿宋_GB2312" w:hAnsi="仿宋_GB2312" w:cs="仿宋_GB2312" w:eastAsia="仿宋_GB2312"/>
                <w:sz w:val="20"/>
              </w:rPr>
              <w:t>9.二楼普区兔子饲养区的墙面和地面换新处理，豚鼠饲养区地面换新处理，一楼普区地面换新处理，材质不低于目前使用材质质量，颜色统一。</w:t>
            </w:r>
          </w:p>
          <w:p>
            <w:pPr>
              <w:pStyle w:val="null3"/>
              <w:ind w:firstLine="400"/>
              <w:jc w:val="both"/>
            </w:pPr>
            <w:r>
              <w:rPr>
                <w:rFonts w:ascii="仿宋_GB2312" w:hAnsi="仿宋_GB2312" w:cs="仿宋_GB2312" w:eastAsia="仿宋_GB2312"/>
                <w:sz w:val="20"/>
              </w:rPr>
              <w:t>10.SPF洁具间配电柜要隔离到洁净区域外或完全防尘处理。</w:t>
            </w:r>
          </w:p>
          <w:p>
            <w:pPr>
              <w:pStyle w:val="null3"/>
              <w:ind w:firstLine="400"/>
              <w:jc w:val="both"/>
            </w:pPr>
            <w:r>
              <w:rPr>
                <w:rFonts w:ascii="仿宋_GB2312" w:hAnsi="仿宋_GB2312" w:cs="仿宋_GB2312" w:eastAsia="仿宋_GB2312"/>
                <w:sz w:val="20"/>
              </w:rPr>
              <w:t>11.1楼普区解剖室加装取材台通风管道。</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环境监测</w:t>
            </w:r>
          </w:p>
          <w:p>
            <w:pPr>
              <w:pStyle w:val="null3"/>
              <w:ind w:firstLine="400"/>
              <w:jc w:val="both"/>
            </w:pPr>
            <w:r>
              <w:rPr>
                <w:rFonts w:ascii="仿宋_GB2312" w:hAnsi="仿宋_GB2312" w:cs="仿宋_GB2312" w:eastAsia="仿宋_GB2312"/>
                <w:sz w:val="20"/>
              </w:rPr>
              <w:t>1.安装环境监测设备，实时监测各饲养室压差、温湿度、氨气浓度，并在饲养室门口装显示器（实时显示温湿度、压力、氨气浓度），实时观察环境情况，数据可采集上传到中心监控室，具备声光报警系统。</w:t>
            </w:r>
          </w:p>
          <w:p>
            <w:pPr>
              <w:pStyle w:val="null3"/>
              <w:ind w:firstLine="400"/>
              <w:jc w:val="both"/>
            </w:pPr>
            <w:r>
              <w:rPr>
                <w:rFonts w:ascii="仿宋_GB2312" w:hAnsi="仿宋_GB2312" w:cs="仿宋_GB2312" w:eastAsia="仿宋_GB2312"/>
                <w:sz w:val="20"/>
              </w:rPr>
              <w:t>2.对应设备要求</w:t>
            </w:r>
          </w:p>
          <w:p>
            <w:pPr>
              <w:pStyle w:val="null3"/>
              <w:ind w:firstLine="400"/>
              <w:jc w:val="both"/>
            </w:pPr>
            <w:r>
              <w:rPr>
                <w:rFonts w:ascii="仿宋_GB2312" w:hAnsi="仿宋_GB2312" w:cs="仿宋_GB2312" w:eastAsia="仿宋_GB2312"/>
                <w:sz w:val="20"/>
              </w:rPr>
              <w:t>温湿度计：共</w:t>
            </w:r>
            <w:r>
              <w:rPr>
                <w:rFonts w:ascii="仿宋_GB2312" w:hAnsi="仿宋_GB2312" w:cs="仿宋_GB2312" w:eastAsia="仿宋_GB2312"/>
                <w:sz w:val="20"/>
              </w:rPr>
              <w:t>16个，温度范围：0-50℃；精度0.1%；要有数据传输接口；</w:t>
            </w:r>
          </w:p>
          <w:p>
            <w:pPr>
              <w:pStyle w:val="null3"/>
              <w:ind w:firstLine="400"/>
              <w:jc w:val="both"/>
            </w:pPr>
            <w:r>
              <w:rPr>
                <w:rFonts w:ascii="仿宋_GB2312" w:hAnsi="仿宋_GB2312" w:cs="仿宋_GB2312" w:eastAsia="仿宋_GB2312"/>
                <w:sz w:val="20"/>
              </w:rPr>
              <w:t>氨气浓度监测计：共</w:t>
            </w:r>
            <w:r>
              <w:rPr>
                <w:rFonts w:ascii="仿宋_GB2312" w:hAnsi="仿宋_GB2312" w:cs="仿宋_GB2312" w:eastAsia="仿宋_GB2312"/>
                <w:sz w:val="20"/>
              </w:rPr>
              <w:t>16个，量程 0-30 mg/m3，精度:0.1%；要有</w:t>
            </w:r>
            <w:r>
              <w:rPr>
                <w:rFonts w:ascii="仿宋_GB2312" w:hAnsi="仿宋_GB2312" w:cs="仿宋_GB2312" w:eastAsia="仿宋_GB2312"/>
                <w:sz w:val="20"/>
              </w:rPr>
              <w:t>数据传输</w:t>
            </w:r>
            <w:r>
              <w:rPr>
                <w:rFonts w:ascii="仿宋_GB2312" w:hAnsi="仿宋_GB2312" w:cs="仿宋_GB2312" w:eastAsia="仿宋_GB2312"/>
                <w:sz w:val="20"/>
              </w:rPr>
              <w:t>接口；</w:t>
            </w:r>
          </w:p>
          <w:p>
            <w:pPr>
              <w:pStyle w:val="null3"/>
              <w:ind w:firstLine="400"/>
              <w:jc w:val="both"/>
            </w:pPr>
            <w:r>
              <w:rPr>
                <w:rFonts w:ascii="仿宋_GB2312" w:hAnsi="仿宋_GB2312" w:cs="仿宋_GB2312" w:eastAsia="仿宋_GB2312"/>
                <w:sz w:val="20"/>
              </w:rPr>
              <w:t>压差表：共</w:t>
            </w:r>
            <w:r>
              <w:rPr>
                <w:rFonts w:ascii="仿宋_GB2312" w:hAnsi="仿宋_GB2312" w:cs="仿宋_GB2312" w:eastAsia="仿宋_GB2312"/>
                <w:sz w:val="20"/>
              </w:rPr>
              <w:t>38个，量程0-50Pa; 精度0.1 Pa; 要有数据传输接口。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技术标准</w:t>
            </w:r>
          </w:p>
          <w:p>
            <w:pPr>
              <w:pStyle w:val="null3"/>
              <w:jc w:val="left"/>
            </w:pPr>
            <w:r>
              <w:rPr>
                <w:rFonts w:ascii="仿宋_GB2312" w:hAnsi="仿宋_GB2312" w:cs="仿宋_GB2312" w:eastAsia="仿宋_GB2312"/>
                <w:sz w:val="21"/>
              </w:rPr>
              <w:t>1.本工程的施工过程和成果必须符合国家有关工程建设标准强制性条文和国家或有关部门关于工程设计、材料设备采购、施工方面现行的标准、规范、规程、定额、办法、示例，以及陕西省关于工程施工方面的文件、规定，同时满足中华人民共和国住建部发布的《工程建设标准强制性条文》的规定，改造后达到及符合国家房屋安全性使用标准。</w:t>
            </w:r>
          </w:p>
          <w:p>
            <w:pPr>
              <w:pStyle w:val="null3"/>
              <w:jc w:val="left"/>
            </w:pPr>
            <w:r>
              <w:rPr>
                <w:rFonts w:ascii="仿宋_GB2312" w:hAnsi="仿宋_GB2312" w:cs="仿宋_GB2312" w:eastAsia="仿宋_GB2312"/>
                <w:sz w:val="21"/>
              </w:rPr>
              <w:t>2.本工程涉及的规范以及其他技术标准、发包人实际需求。</w:t>
            </w:r>
          </w:p>
          <w:p>
            <w:pPr>
              <w:pStyle w:val="null3"/>
              <w:jc w:val="left"/>
            </w:pPr>
            <w:r>
              <w:rPr>
                <w:rFonts w:ascii="仿宋_GB2312" w:hAnsi="仿宋_GB2312" w:cs="仿宋_GB2312" w:eastAsia="仿宋_GB2312"/>
                <w:sz w:val="21"/>
              </w:rPr>
              <w:t>3.供应商在工程设计、材料设备采购、施工过程中使用或参考上述标准、规范以外的技术部分准、规范时，应征得业主或业主指定代表人的同意。</w:t>
            </w:r>
          </w:p>
          <w:p>
            <w:pPr>
              <w:pStyle w:val="null3"/>
              <w:jc w:val="left"/>
            </w:pPr>
            <w:r>
              <w:rPr>
                <w:rFonts w:ascii="仿宋_GB2312" w:hAnsi="仿宋_GB2312" w:cs="仿宋_GB2312" w:eastAsia="仿宋_GB2312"/>
                <w:sz w:val="21"/>
              </w:rPr>
              <w:t>4.在EPC过程中，如果国家或有关部门颁布了新的技术部分标准或规范，则供应商应采用新的标准或规范进行。</w:t>
            </w:r>
          </w:p>
          <w:p>
            <w:pPr>
              <w:pStyle w:val="null3"/>
              <w:jc w:val="left"/>
            </w:pPr>
            <w:r>
              <w:rPr>
                <w:rFonts w:ascii="仿宋_GB2312" w:hAnsi="仿宋_GB2312" w:cs="仿宋_GB2312" w:eastAsia="仿宋_GB2312"/>
                <w:sz w:val="21"/>
              </w:rPr>
              <w:t>5. 采购人提供工程的初步设计方案和相关技术要求或文件，是采购人现有的能被投标人利用的资料，采购人对投标人做出的任何推论、理解均不负责任。</w:t>
            </w:r>
          </w:p>
          <w:p>
            <w:pPr>
              <w:pStyle w:val="null3"/>
            </w:pPr>
            <w:r>
              <w:rPr>
                <w:rFonts w:ascii="仿宋_GB2312" w:hAnsi="仿宋_GB2312" w:cs="仿宋_GB2312" w:eastAsia="仿宋_GB2312"/>
                <w:sz w:val="21"/>
              </w:rPr>
              <w:t>6.供应商应先到工地踏勘以充分了解工地位置、进出场道路、拆迁干扰、储存空间、运输能力、装卸限制、行车干扰及任何其它足以影响承包价格的情况，了解设计要求、施工规范、标准以及施工现场实际等情况，并应考虑现有人、材、机市场水平和供应、投标风险、不利的施工因素等，任何因忽视或误解工地情况而导致的索赔或工期延长申请将不获批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满足设计及施工要求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满足设计及施工要求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一、招标范围 1.动物实验室设施及电路改造：动物饲养室、实验室、洗消间的3台屋面排风机设施改造，包括：通风系统、室内灯光布线、地漏、缓冲、前室、墙面地面、开关等。以及一层普区设施改造、二层SPF区设施改造、二层普区、二层洗消间、电器改造等； 2.一楼、二楼空调上位机改造内容主要包含：5台空调机组增加新风预热段、20个数显压差变送器、27个温湿度传感器、27个氨气探测器、5套空调自控系统、1套上位机系统、电气配管、电源线、信号线等，要包含系统调试。 二、图纸要求 供应商须向采购人提供整体布局图、给排水系统设计、气体配送设计、装饰装修设计等设计方案及图纸。 三、供应商针对本项目的施工，必须达到国家及行业现行技术规范标准，符合国家及行业验收合格标准。 四、改造前平面图及空调参数（详见附件）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合同签订之日起30个日历日完成交付验收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陕西省医疗器械质量检验院动物实验楼</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工程质量：符合国家现行有关施工质量验收规范“合格”要求。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保修期满支付剩余合同额</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线下提交投标文件地点：西安经济技术开发区凤城七路长和国际B座23层 ；联系电话：029-68867592邮箱：450994188@qq.com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4、《国务院办公厅关于建立政府强制采购节能产品制度的通知》（国发办〔2007〕51号）；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12、其他需要落实的政府采购政策；</w:t>
            </w:r>
          </w:p>
        </w:tc>
        <w:tc>
          <w:tcPr>
            <w:tcW w:type="dxa" w:w="1661"/>
          </w:tcPr>
          <w:p>
            <w:pPr>
              <w:pStyle w:val="null3"/>
            </w:pPr>
            <w:r>
              <w:rPr>
                <w:rFonts w:ascii="仿宋_GB2312" w:hAnsi="仿宋_GB2312" w:cs="仿宋_GB2312" w:eastAsia="仿宋_GB2312"/>
              </w:rPr>
              <w:t>中小企业声明函 响应函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报告须带有二维码可验证），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非法定代表人参加投标的，须提供法定代表人授权委托书及被授权人身份证；法定代表人参加投标时,须提供法定代表人身份证。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施工资质要求：具备建筑工程施工总承包三级(含三级)及以上资质或建筑机电安装工程专业承包资质三级(含三级)及以上，及建筑装饰装修工程专业承包资质二级(含二级)及以上，同时具有合格有效的安全生产许可证；设计资质要求：应具有建设行政主管部门颁发的工程设计综合甲级资质或建筑行业工程设计乙级资质或建筑行业（建筑工程）专业设计乙级资质或建筑装饰工程设计专项乙级资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项目负责人具有机电工程专业二级及以上建造师注册证书，同时具有“三类人员”有效B类证书，在本单位注册，且无在建工程。</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联合体说明</w:t>
            </w:r>
          </w:p>
        </w:tc>
        <w:tc>
          <w:tcPr>
            <w:tcW w:type="dxa" w:w="3322"/>
          </w:tcPr>
          <w:p>
            <w:pPr>
              <w:pStyle w:val="null3"/>
            </w:pPr>
            <w:r>
              <w:rPr>
                <w:rFonts w:ascii="仿宋_GB2312" w:hAnsi="仿宋_GB2312" w:cs="仿宋_GB2312" w:eastAsia="仿宋_GB2312"/>
              </w:rPr>
              <w:t>本项目接受联合体参与投标。</w:t>
            </w:r>
          </w:p>
        </w:tc>
        <w:tc>
          <w:tcPr>
            <w:tcW w:type="dxa" w:w="1661"/>
          </w:tcPr>
          <w:p>
            <w:pPr>
              <w:pStyle w:val="null3"/>
            </w:pPr>
            <w:r>
              <w:rPr>
                <w:rFonts w:ascii="仿宋_GB2312" w:hAnsi="仿宋_GB2312" w:cs="仿宋_GB2312" w:eastAsia="仿宋_GB2312"/>
              </w:rPr>
              <w:t>供应商应提交的相关资格证明材料 联合体协议书.docx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响应文件签字、盖章、装订是否满足竞争性磋商文件要求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联合体协议书.docx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未与磋商文件商务要求条款不一致或未增加了采购人难以接受的条款</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①对本项目解读及设计构思；②结合本项目特点，提出设计构想及布置说明； ③设计质量及保证措施；④设计进度安排及保障措施；对应以下标准进行评审： 1、完整性：内容详细全面，对本项目了解透彻； 2、针对性：方案能够紧扣项目实际情况，内容科学合理可实施性强。 每完全满足一项评审标准得1分，存在瑕疵的每项扣0.5分。本项最高计满分8分；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工程施工管理方案</w:t>
            </w:r>
          </w:p>
        </w:tc>
        <w:tc>
          <w:tcPr>
            <w:tcW w:type="dxa" w:w="2492"/>
          </w:tcPr>
          <w:p>
            <w:pPr>
              <w:pStyle w:val="null3"/>
            </w:pPr>
            <w:r>
              <w:rPr>
                <w:rFonts w:ascii="仿宋_GB2312" w:hAnsi="仿宋_GB2312" w:cs="仿宋_GB2312" w:eastAsia="仿宋_GB2312"/>
              </w:rPr>
              <w:t>根据供应商提供的①施工部署；②进度计划；③技术难点、应对措施；④施工流程图或工艺流程。对应以下标准进行评审。 1、完整性：内容详细全面，对本项目了解透彻； 2、可实施性：切合本项目实际情况，方案全面、清晰、合理； 3、针对性：方案能够紧扣项目实际情况，内容科学合理。 每完全满足一项评审标准得1分，存在瑕疵的每项扣1分。本项最高计满分12分；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供应商提供针对本项目实际需求编制的工程质量的技术组织措施含①质量目标及质量管理措施；②质量管理体系完善度（体系需包含质量责任、人员培训、资源配置、质量检查、应急处理等环节）；对应以下标准进行评审： 1、完整性：内容详细全面，对本项目了解透彻； 2、可实施性：切合本项目实际情况，方案全面、清晰、合理； 3、针对性：方案能够紧扣项目实际情况，内容科学合理。 每完全满足一项评审标准得1分，存在瑕疵的每项扣0.5分。本项最高计满分6分；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供应商提供针对本项目实际需求编制的安全文明施工的技术组织措施含①安全目标及文明施工措施（措施包含场地整洁、噪音控制、扬尘治理；②安全体系健全度（体系包含安全管理制度、人员培训、应急预案；）。 对应以下标准进行评审： 1、完整性：内容详细全面，对本项目了解透彻； 2、可实施性：切合本项目实际情况，方案全面、清晰、合理； 每完全满足一项评审标准得1分，存在瑕疵的每项扣0.5分。本项最高计满分4分；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拟投入的施工机械配备和材料</w:t>
            </w:r>
          </w:p>
        </w:tc>
        <w:tc>
          <w:tcPr>
            <w:tcW w:type="dxa" w:w="2492"/>
          </w:tcPr>
          <w:p>
            <w:pPr>
              <w:pStyle w:val="null3"/>
            </w:pPr>
            <w:r>
              <w:rPr>
                <w:rFonts w:ascii="仿宋_GB2312" w:hAnsi="仿宋_GB2312" w:cs="仿宋_GB2312" w:eastAsia="仿宋_GB2312"/>
              </w:rPr>
              <w:t>根据供应商投入的施工机械配备和材料投入计划：①施工机械配备（1分）；②材料投入计划（4分）（主要材料（至少包含文件中列明的4类材料信息（名称、品牌、型号规格、制造厂家、单价、检测报告等））； 1、齐全程度：齐全详细，贴合项目需求； 2、实用性：质量有保障、使用率高、安全性能强； 每完全满足一项评审标准得0.5分，不满足不计分。本项最高计满分5分；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1.保修期内服务措施（3分）：提供保修服务工作方案、回访计划及质量保修措施、保修团队人员名单及联系方式，每缺一项扣1分，每项有缺陷扣0.5分，扣完为止。 2.保修承诺（2分）：质保期每延长1年得1分，最高2分；未延长此项不得分。 以上内容缺项或未提供得0分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拟派往本项目主要人员配备</w:t>
            </w:r>
          </w:p>
        </w:tc>
        <w:tc>
          <w:tcPr>
            <w:tcW w:type="dxa" w:w="2492"/>
          </w:tcPr>
          <w:p>
            <w:pPr>
              <w:pStyle w:val="null3"/>
            </w:pPr>
            <w:r>
              <w:rPr>
                <w:rFonts w:ascii="仿宋_GB2312" w:hAnsi="仿宋_GB2312" w:cs="仿宋_GB2312" w:eastAsia="仿宋_GB2312"/>
              </w:rPr>
              <w:t>1.施工要求：本项目所配备施工人员专业齐全，满足施工要求计1分；专业总人数不少于6人且合理，计1分，否则不计分。本项满分2分。 2.设计要求（2分）：本项目设计人员配备专业齐全，满足设计要求计1分；具有相关执业或中级及以上职称证书计1分，否则不计分。本项满分2分 3.项目经理： 具备同类项目经验（附合同中项目经理署名页）得1分；具备高级工程师职称得1分（需提供职称证书、执业证书等）。本项满分2分。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设备技术指标功能及产品来源渠道证明</w:t>
            </w:r>
          </w:p>
        </w:tc>
        <w:tc>
          <w:tcPr>
            <w:tcW w:type="dxa" w:w="2492"/>
          </w:tcPr>
          <w:p>
            <w:pPr>
              <w:pStyle w:val="null3"/>
            </w:pPr>
            <w:r>
              <w:rPr>
                <w:rFonts w:ascii="仿宋_GB2312" w:hAnsi="仿宋_GB2312" w:cs="仿宋_GB2312" w:eastAsia="仿宋_GB2312"/>
              </w:rPr>
              <w:t>供应商对本次工程中包含的设备技术指标、产品配置以及产品来源渠道证明材料的响应情况进行评审。评审依据为生产厂家出具的、相应的功能证明材料（包括但不限于测试报告、官网和功能截图等）及响应产品技术参数偏离表等： 技术指标及功能配置，完全响应招标文件要求，满足采购需求、技术参数没有负偏离，计基本分16分；参数负偏离每项扣2分，扣完为止；如出现技术参数复制情况，由专家视其情况给予1-5分的扣分。 产品来源渠道证明：提供精密空调合法来源渠道证明资料（不限于产品授权、销售协议、代理协议等）提供计2分，否则不计分。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绿色建材</w:t>
            </w:r>
          </w:p>
        </w:tc>
        <w:tc>
          <w:tcPr>
            <w:tcW w:type="dxa" w:w="2492"/>
          </w:tcPr>
          <w:p>
            <w:pPr>
              <w:pStyle w:val="null3"/>
            </w:pPr>
            <w:r>
              <w:rPr>
                <w:rFonts w:ascii="仿宋_GB2312" w:hAnsi="仿宋_GB2312" w:cs="仿宋_GB2312" w:eastAsia="仿宋_GB2312"/>
              </w:rPr>
              <w:t>供应商所使用的建筑材料中每有一项为绿色建材产品的得0.5分。本项最高得1分（以经国家确定的认证机构出具的、处于有效期内的绿色建材产品认证证书等证明性材料为准。）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根据投标人提供的2023年1月1日至今承接的同类型业绩进行评审，每个业绩需包含合同及验收单或验收报告，提供1份完整业绩计1分，本项最高计5分。 （以合同签订时间为准）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2、有效最低报价为基准价得30分。 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联合体协议书.docx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详见附件：联合体协议书.docx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