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845C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center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7"/>
          <w:szCs w:val="27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7"/>
          <w:szCs w:val="27"/>
          <w:bdr w:val="none" w:color="auto" w:sz="0" w:space="0"/>
          <w:shd w:val="clear" w:fill="FFFFFF"/>
        </w:rPr>
        <w:t>采购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需求</w:t>
      </w:r>
      <w:bookmarkStart w:id="0" w:name="_GoBack"/>
      <w:bookmarkEnd w:id="0"/>
    </w:p>
    <w:p w14:paraId="2517CE7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p w14:paraId="63BD22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采购包预算金额（元）: 560,000.00</w:t>
      </w:r>
    </w:p>
    <w:p w14:paraId="4915405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采购包最高限价（元）: 560,000.00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4"/>
        <w:gridCol w:w="743"/>
        <w:gridCol w:w="728"/>
        <w:gridCol w:w="1132"/>
        <w:gridCol w:w="1134"/>
        <w:gridCol w:w="728"/>
        <w:gridCol w:w="728"/>
        <w:gridCol w:w="728"/>
        <w:gridCol w:w="728"/>
        <w:gridCol w:w="656"/>
        <w:gridCol w:w="657"/>
      </w:tblGrid>
      <w:tr w14:paraId="578197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133E3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0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4011A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20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B54C1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20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FFDD1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(计量单位)</w:t>
            </w:r>
          </w:p>
        </w:tc>
        <w:tc>
          <w:tcPr>
            <w:tcW w:w="20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BA400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20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3227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  <w:tc>
          <w:tcPr>
            <w:tcW w:w="20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0B0F0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是否涉及核心产品</w:t>
            </w:r>
          </w:p>
        </w:tc>
        <w:tc>
          <w:tcPr>
            <w:tcW w:w="20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9C881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是否涉及采购进口产品</w:t>
            </w:r>
          </w:p>
        </w:tc>
        <w:tc>
          <w:tcPr>
            <w:tcW w:w="20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7A0804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是否涉及强制采购节能产品</w:t>
            </w:r>
          </w:p>
        </w:tc>
        <w:tc>
          <w:tcPr>
            <w:tcW w:w="15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78DF9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是否涉及优先采购节能产品</w:t>
            </w:r>
          </w:p>
        </w:tc>
        <w:tc>
          <w:tcPr>
            <w:tcW w:w="16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1775D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是否涉及优先采购环境标志产品</w:t>
            </w:r>
          </w:p>
        </w:tc>
      </w:tr>
      <w:tr w14:paraId="7273CF0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B5964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81AC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A02030502 越野车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11C68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执勤执法越野车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2A0D5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1.00（辆）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98AF2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560,000.00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9E8DF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D8C02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2384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CBB8D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40BCA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8ABAF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</w:tbl>
    <w:p w14:paraId="54B7701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是否适用本国产品标准：是</w:t>
      </w:r>
    </w:p>
    <w:p w14:paraId="0CDAF4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报价要求</w:t>
      </w:r>
    </w:p>
    <w:p w14:paraId="1C3BE55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0"/>
        <w:gridCol w:w="1608"/>
        <w:gridCol w:w="1521"/>
        <w:gridCol w:w="1354"/>
        <w:gridCol w:w="1185"/>
        <w:gridCol w:w="1778"/>
      </w:tblGrid>
      <w:tr w14:paraId="5E9BFF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1E93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42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C304D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报价内容</w:t>
            </w:r>
          </w:p>
        </w:tc>
        <w:tc>
          <w:tcPr>
            <w:tcW w:w="28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59A29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数量（计量单位）</w:t>
            </w:r>
          </w:p>
        </w:tc>
        <w:tc>
          <w:tcPr>
            <w:tcW w:w="34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E46E0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最高限价</w:t>
            </w:r>
          </w:p>
        </w:tc>
        <w:tc>
          <w:tcPr>
            <w:tcW w:w="28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10211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价款形式</w:t>
            </w:r>
          </w:p>
        </w:tc>
        <w:tc>
          <w:tcPr>
            <w:tcW w:w="48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07852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报价说明</w:t>
            </w:r>
          </w:p>
        </w:tc>
      </w:tr>
      <w:tr w14:paraId="566E8E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2E026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5723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执勤执法越野车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64ED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1.00（辆）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5C197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560,000.00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FB1CF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总价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1A506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无</w:t>
            </w:r>
          </w:p>
        </w:tc>
      </w:tr>
    </w:tbl>
    <w:p w14:paraId="1C298C9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★注：投标人响应产品应当明确品牌和规格型号并指向唯一产品，不能指向唯一产品的，应通过报价表唯一产品说明栏补充说明。</w:t>
      </w:r>
    </w:p>
    <w:p w14:paraId="7AF33D8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本项目涉及核心产品：</w:t>
      </w:r>
    </w:p>
    <w:p w14:paraId="7B11C1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2"/>
        <w:gridCol w:w="2501"/>
        <w:gridCol w:w="2501"/>
        <w:gridCol w:w="2502"/>
      </w:tblGrid>
      <w:tr w14:paraId="598772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3B455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3E883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550A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62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94032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4F2D364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A0AF3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E12CC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A02030502 越野车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F3DB0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执勤执法越野车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242FE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执勤执法越野车</w:t>
            </w:r>
          </w:p>
        </w:tc>
      </w:tr>
    </w:tbl>
    <w:p w14:paraId="5E41AB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注：涉及核心产品的，具体评审规定见第五章。</w:t>
      </w:r>
    </w:p>
    <w:p w14:paraId="5AA585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本项目涉及采购进口产品：</w:t>
      </w:r>
    </w:p>
    <w:p w14:paraId="0EEC44B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2"/>
        <w:gridCol w:w="2501"/>
        <w:gridCol w:w="2501"/>
        <w:gridCol w:w="2502"/>
      </w:tblGrid>
      <w:tr w14:paraId="17D9A16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A40C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5D48E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5A888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62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3345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5076B3B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1DCEC1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313761D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★注：不涉及采购进口产品时，投标人不得提供进口产品进行响应；涉及采购进口产品时，如国产产品满足采购需求，也可提供国产产品进行响应。</w:t>
      </w:r>
    </w:p>
    <w:p w14:paraId="3AAB2B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本项目涉及强制采购节能产品：</w:t>
      </w:r>
    </w:p>
    <w:p w14:paraId="00BFFE0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2"/>
        <w:gridCol w:w="2501"/>
        <w:gridCol w:w="2501"/>
        <w:gridCol w:w="2502"/>
      </w:tblGrid>
      <w:tr w14:paraId="76F54A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6C58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686F4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C82FB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62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B4182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2B21E89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646B3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14B986D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★注：响应产品属于《节能产品政府采购品目清单》中政府强制采购的产品，投标人应当提供由国家确定的认证机构出具的、处于有效期之内的节能产品认证证书的原件扫描件或“全国认证认可信息公共服务平台”（http://cx.cnca.cn）的认证信息截图，否则作无效投标处理。具体要求详见第五章符合性审查表。</w:t>
      </w:r>
    </w:p>
    <w:p w14:paraId="5C7D901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本项目涉及优先采购节能产品：</w:t>
      </w:r>
    </w:p>
    <w:p w14:paraId="0A4930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2"/>
        <w:gridCol w:w="2501"/>
        <w:gridCol w:w="2501"/>
        <w:gridCol w:w="2502"/>
      </w:tblGrid>
      <w:tr w14:paraId="363134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2948D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D8542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5F5AA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62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6D229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2C1AD12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D486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45324E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注：响应产品属于《节能产品政府采购品目清单》中优先采购的产品，投标人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 w14:paraId="68B07C8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本项目涉及优先采购环境标志产品：</w:t>
      </w:r>
    </w:p>
    <w:p w14:paraId="59BD85C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2"/>
        <w:gridCol w:w="2501"/>
        <w:gridCol w:w="2501"/>
        <w:gridCol w:w="2502"/>
      </w:tblGrid>
      <w:tr w14:paraId="643132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969BD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26D0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6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4AF7A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62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D021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6F605B6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97980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61F5AE7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注：响应产品属于《环境标志产品政府采购品目清单》中的产品，投标人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 w14:paraId="4986D6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7"/>
          <w:szCs w:val="27"/>
          <w:bdr w:val="none" w:color="auto" w:sz="0" w:space="0"/>
          <w:shd w:val="clear" w:fill="FFFFFF"/>
        </w:rPr>
        <w:t>3.2.技术要求</w:t>
      </w:r>
    </w:p>
    <w:p w14:paraId="2CCE95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p w14:paraId="6E636B8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标的名称：执勤执法越野车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4"/>
        <w:gridCol w:w="642"/>
        <w:gridCol w:w="1022"/>
        <w:gridCol w:w="6308"/>
      </w:tblGrid>
      <w:tr w14:paraId="0038B5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DE66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BC706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7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06035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技术要求名称</w:t>
            </w:r>
          </w:p>
        </w:tc>
        <w:tc>
          <w:tcPr>
            <w:tcW w:w="14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F7C7C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技术参数与性能指标</w:t>
            </w:r>
          </w:p>
        </w:tc>
      </w:tr>
      <w:tr w14:paraId="24D4E0B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22616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1E6766">
            <w:pPr>
              <w:jc w:val="center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DEA36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38B0B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★1、能源类型：油电混合或汽油或汽油+48V轻混系统；</w:t>
            </w:r>
          </w:p>
          <w:p w14:paraId="5CF672B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★2、环保标准：国六；</w:t>
            </w:r>
          </w:p>
          <w:p w14:paraId="19770589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★3、车身结构：≥5座SUV；</w:t>
            </w:r>
          </w:p>
          <w:p w14:paraId="222E6E2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4、车辆颜色：白色；</w:t>
            </w:r>
          </w:p>
          <w:p w14:paraId="69B614C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5、发动机排量（mL）：≥2390；</w:t>
            </w:r>
          </w:p>
          <w:p w14:paraId="2C1AB37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6、发动机功率(kW)：≥200；</w:t>
            </w:r>
          </w:p>
          <w:p w14:paraId="6EE76D2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7、最大扭矩（N.m）：≥430；</w:t>
            </w:r>
          </w:p>
          <w:p w14:paraId="00BEC70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8、长×宽×高(mm)：≥4925×1980×1755；</w:t>
            </w:r>
          </w:p>
          <w:p w14:paraId="79AA7ED8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9、轴距(mm)：≥2850；</w:t>
            </w:r>
          </w:p>
          <w:p w14:paraId="463D666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10、变速箱：≥8挡手自一体；</w:t>
            </w:r>
          </w:p>
          <w:p w14:paraId="170B853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11、驱动形式：前置四驱；</w:t>
            </w:r>
          </w:p>
          <w:p w14:paraId="7AF1E41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12、整备质量（kg）：≥2250；</w:t>
            </w:r>
          </w:p>
          <w:p w14:paraId="59F40E6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13、油箱容积(L)：≥65；</w:t>
            </w:r>
          </w:p>
          <w:p w14:paraId="301DB40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▲14、车侧脚踏板：固定；</w:t>
            </w:r>
          </w:p>
          <w:p w14:paraId="495EA76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▲15、LED前雾灯，大灯具有清洗装置；</w:t>
            </w:r>
          </w:p>
          <w:p w14:paraId="417BCFD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▲16、车体结构：非承载式或承载式；</w:t>
            </w:r>
          </w:p>
          <w:p w14:paraId="30E0001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▲17、具备中央差速锁；</w:t>
            </w:r>
          </w:p>
          <w:p w14:paraId="5C61783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▲18、辅助驾驶功能：前后方碰撞预警、主动刹车；</w:t>
            </w:r>
          </w:p>
          <w:p w14:paraId="74EF612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▲19、操控配置：具有360度全景影像、全速自适应巡航、低速四驱等；</w:t>
            </w:r>
          </w:p>
          <w:p w14:paraId="4FFCFAC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▲20、中控彩色触控式液晶屏：≥12.3英寸；</w:t>
            </w:r>
          </w:p>
          <w:p w14:paraId="3561B76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▲21、超声波雷达：≥8个；</w:t>
            </w:r>
          </w:p>
          <w:p w14:paraId="1E2A29A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▲22、可调悬架功能：软硬调节；</w:t>
            </w:r>
          </w:p>
          <w:p w14:paraId="1EF535B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▲23、接近角/离去角（°）：≥30/20；</w:t>
            </w:r>
          </w:p>
          <w:p w14:paraId="4434563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24、应急处理装备一套，具备以下功能：(1)具备紧急照明功能，应急信号处理功能；(2)具备闪灯警报和SOS信号报警功能；(3)具备紧急救援信号对接功能；(4)具备有源、无源、太阳能供电功能；(5)具备紧急状态下给移动通信设备充电功能。（以上功能需投标人提供具有 CMA 或 CNAS 标志的产品检测报告证明，盖投标人公章）</w:t>
            </w:r>
          </w:p>
          <w:p w14:paraId="14D43F8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★25、外观要求：按《2004式警车汽车类外观制式涂装规范》(GA524-2004)标准涂装并加装LED长排警灯和警报器，警灯符合《GB13954-2009 警车、消防车、救护车、工程救险车标志灯具》相关要求。</w:t>
            </w:r>
          </w:p>
          <w:p w14:paraId="1ECE1259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▲26、警灯线束：改装线束采用汽车用薄壁绝缘低压电线，电线为镀锡铜线，提供具有 CMA 或 CNAS 标志的检测报告复印件，检测报告包含高温压力测试，测试条件为 100°、4h、1KV、1min 情况下符合检验标准。</w:t>
            </w:r>
          </w:p>
        </w:tc>
      </w:tr>
      <w:tr w14:paraId="7FAADE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F8156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C44B4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AD661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DD2642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u w:val="single"/>
                <w:bdr w:val="none" w:color="auto" w:sz="0" w:space="0"/>
              </w:rPr>
              <w:t>（1）国家或行业主管部门对项目的技术标准、质量标准和资格资质条件等有强制性规定的，必须符合其要求，有最新标准的按照最新标准执行。（单独提供承诺函原件进行电子签章）</w:t>
            </w:r>
          </w:p>
          <w:p w14:paraId="1F3A1CF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2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u w:val="single"/>
                <w:bdr w:val="none" w:color="auto" w:sz="0" w:space="0"/>
              </w:rPr>
              <w:t>（2）本项目清单中若有涉及CCC认证国家强制性要求的，须在响应文件中承诺交货时提供相关产品的CCC认证证书或相关证明材料。（单独提供承诺函原件进行电子</w:t>
            </w:r>
            <w:r>
              <w:rPr>
                <w:rFonts w:ascii="仿宋_GB2312" w:eastAsia="仿宋_GB2312" w:cs="仿宋_GB2312"/>
                <w:color w:val="auto"/>
                <w:sz w:val="24"/>
                <w:szCs w:val="24"/>
                <w:u w:val="single"/>
                <w:bdr w:val="none" w:color="auto" w:sz="0" w:space="0"/>
              </w:rPr>
              <w:t>签章）。</w:t>
            </w:r>
          </w:p>
        </w:tc>
      </w:tr>
    </w:tbl>
    <w:p w14:paraId="7C5FB5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7"/>
          <w:szCs w:val="27"/>
          <w:bdr w:val="none" w:color="auto" w:sz="0" w:space="0"/>
          <w:shd w:val="clear" w:fill="FFFFFF"/>
        </w:rPr>
        <w:t>3.3.服务要求</w:t>
      </w:r>
    </w:p>
    <w:p w14:paraId="613F4B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3.3.1.服务内容要求</w:t>
      </w:r>
    </w:p>
    <w:p w14:paraId="00B2C8C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7"/>
        <w:gridCol w:w="823"/>
        <w:gridCol w:w="1625"/>
        <w:gridCol w:w="5421"/>
      </w:tblGrid>
      <w:tr w14:paraId="622A9A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5774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4168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7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7C846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服务要求名称</w:t>
            </w:r>
          </w:p>
        </w:tc>
        <w:tc>
          <w:tcPr>
            <w:tcW w:w="14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47BB7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服务要求内容</w:t>
            </w:r>
          </w:p>
        </w:tc>
      </w:tr>
      <w:tr w14:paraId="7F056E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70438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无</w:t>
            </w:r>
          </w:p>
        </w:tc>
      </w:tr>
    </w:tbl>
    <w:p w14:paraId="2283D03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3.3.2.商务要求</w:t>
      </w:r>
    </w:p>
    <w:p w14:paraId="5CF6CE9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855"/>
        <w:gridCol w:w="2137"/>
        <w:gridCol w:w="4700"/>
      </w:tblGrid>
      <w:tr w14:paraId="3EA189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CF4BB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4B455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12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3E081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商务要求名称</w:t>
            </w:r>
          </w:p>
        </w:tc>
        <w:tc>
          <w:tcPr>
            <w:tcW w:w="27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E5E26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商务要求内容</w:t>
            </w:r>
          </w:p>
        </w:tc>
      </w:tr>
      <w:tr w14:paraId="646FCE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CAC7A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A5A6D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B1534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交货时间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5E9FE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中标通知书发出后两日内签订政府采购合同，合同签订后15日内交货。</w:t>
            </w:r>
          </w:p>
        </w:tc>
      </w:tr>
      <w:tr w14:paraId="719EF3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3B4F1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A653D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D2635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交货地点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F534D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成都</w:t>
            </w:r>
          </w:p>
        </w:tc>
      </w:tr>
      <w:tr w14:paraId="1070F0E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72AAF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43341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7B267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支付方式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9FA88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一次付清</w:t>
            </w:r>
          </w:p>
        </w:tc>
      </w:tr>
      <w:tr w14:paraId="7A34CE1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053A9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64833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D9DA5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付款进度安排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8CF173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  <w:bdr w:val="none" w:color="auto" w:sz="0" w:space="0"/>
              </w:rPr>
              <w:t>1付款条件：车辆验收合格，达到该付款条件起3个工作日内，支付合同总金额的100.00%</w:t>
            </w:r>
          </w:p>
        </w:tc>
      </w:tr>
      <w:tr w14:paraId="241F921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2858A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9F1D7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41ECB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验收、交付标准和方法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F65DE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(1)符合国家、行业标准、四川省地方标准规定的验收标准。（2）验收时如发现所交付的货物有短装、次品、损坏或其它不符合标准及合同规定之情形者，采购人应做出详尽的现场记录，或由采购人与成交人双方签署备忘录，此现场记录或备忘录可用作补充、缺失和更换损坏部件的有效证据，由此产生的时间延误与有关费用由成交人承担；(3)供应商应将所提供货物的装箱清单、配件、随机工具、用户使用手册、原厂保修卡等资料交付给采购人：成交人不能完整交付货物及本款规定的单证和工具的，必须负责补齐，否则视为未按合同约定交货；(4)其他未尽事宜应严格按照《财政部关于进一步加强政府采购需求和履约验收管理的指导意见》（财库（2016)205号）、《政府采购需求管理办法》(财库（2021)22号）的要求进行验收。</w:t>
            </w:r>
          </w:p>
        </w:tc>
      </w:tr>
      <w:tr w14:paraId="6AC5C0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A9AED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27F3E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AFC5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包装方式及运输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551C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  <w:tr w14:paraId="101E09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7B858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454AF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F4AA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质量保修范围和保修期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0C9CE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质保期：按国家“三包”政策执行，车辆整车质保期≧3年或10万公里。2.采购人遇到使用及技术问题，电话咨询不能解决的，中标人应在24小时内到达现场（远郊区48小时内到达现场）进行处理，确保产品正常工作。在质保期外，为设备提供终身维修服务或升级技术支持，提供设备、零部件的更换、维修只收取成本费用，不收取人工技术费用。</w:t>
            </w:r>
          </w:p>
        </w:tc>
      </w:tr>
      <w:tr w14:paraId="359281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879C7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61BA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C1DB5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违约责任与解决争议的方法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7EE4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如因成交供应商工作人员在履行职务过程中的疏忽、失职、过错等故意或者过失原因给采购人造成损失或侵害，包括但不限于采购人本身的财产损失、由此而导致的采购人对任何第三方的法律责任等，成交供应商对此均应承担全部的赔偿责任。2.因货物的质量问题发生争议，由质量技术监督部门或其指定的质量鉴定机构进行质量鉴定。货物符合标准的，鉴定费由甲方承担；货物不符合质量标准的，鉴定费由乙方承担。3.合同履行期间，若双方发生争议，可协商或由有关部门调解解决，协商或调解不成的，由当事人依法向法院提起诉讼维护其合法权益。</w:t>
            </w:r>
          </w:p>
        </w:tc>
      </w:tr>
    </w:tbl>
    <w:p w14:paraId="71808525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59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2026-08-14T03:11:23Z</dcterms:created>
  <dc:creator>Dell</dc:creator>
  <cp:lastModifiedBy>小fan</cp:lastModifiedBy>
  <dcterms:modified xsi:type="dcterms:W3CDTF">2026-08-14T03:11:42Z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eyJoZGlkIjoiN2IxMzMwOTQ1MjRiOTI4NjRhYjg4YTc3NjQ1Y2E5NGEiLCJ1c2VySWQiOiI0OTEzMjE2MTIifQ==</vt:lpwstr>
  </property>
  <property fmtid="{D5CDD505-2E9C-101B-9397-08002B2CF9AE}" pid="4" name="ICV">
    <vt:lpwstr>00FF2CB3FDA341B1896219CF708A0AD2_12</vt:lpwstr>
  </property>
</Properties>
</file>