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E23FF06">
      <w:pPr>
        <w:pStyle w:val="3"/>
        <w:numPr>
          <w:numId w:val="0"/>
        </w:numPr>
        <w:spacing w:line="240" w:lineRule="auto"/>
        <w:ind w:left="0" w:leftChars="0" w:firstLine="0" w:firstLineChars="0"/>
        <w:rPr>
          <w:rFonts w:ascii="Times New Roman" w:hAnsi="Times New Roman"/>
          <w:color w:val="auto"/>
        </w:rPr>
      </w:pPr>
      <w:bookmarkStart w:id="21" w:name="_GoBack"/>
      <w:bookmarkEnd w:id="21"/>
      <w:bookmarkStart w:id="0" w:name="_Toc31082"/>
      <w:bookmarkStart w:id="1" w:name="_Toc17002"/>
      <w:bookmarkStart w:id="2" w:name="_Toc11416"/>
      <w:bookmarkStart w:id="3" w:name="_Toc18042"/>
      <w:bookmarkStart w:id="4" w:name="_Toc9827"/>
      <w:r>
        <w:rPr>
          <w:rFonts w:ascii="Times New Roman" w:hAnsi="Times New Roman"/>
          <w:color w:val="auto"/>
        </w:rPr>
        <w:t>一、采购清单</w:t>
      </w:r>
      <w:bookmarkEnd w:id="0"/>
      <w:bookmarkEnd w:id="1"/>
      <w:bookmarkEnd w:id="2"/>
      <w:bookmarkEnd w:id="3"/>
      <w:bookmarkEnd w:id="4"/>
    </w:p>
    <w:tbl>
      <w:tblPr>
        <w:tblStyle w:val="11"/>
        <w:tblW w:w="9835" w:type="dxa"/>
        <w:tblInd w:w="-36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12"/>
        <w:gridCol w:w="1451"/>
        <w:gridCol w:w="643"/>
        <w:gridCol w:w="655"/>
        <w:gridCol w:w="938"/>
        <w:gridCol w:w="818"/>
        <w:gridCol w:w="775"/>
        <w:gridCol w:w="622"/>
        <w:gridCol w:w="730"/>
        <w:gridCol w:w="895"/>
        <w:gridCol w:w="709"/>
        <w:gridCol w:w="887"/>
      </w:tblGrid>
      <w:tr w14:paraId="093DB8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6" w:hRule="atLeast"/>
        </w:trPr>
        <w:tc>
          <w:tcPr>
            <w:tcW w:w="712" w:type="dxa"/>
            <w:vAlign w:val="center"/>
          </w:tcPr>
          <w:p w14:paraId="2A89BECB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bCs/>
                <w:color w:val="auto"/>
                <w:szCs w:val="21"/>
              </w:rPr>
            </w:pPr>
            <w:bookmarkStart w:id="5" w:name="_Toc25163"/>
            <w:bookmarkStart w:id="6" w:name="_Toc7326"/>
            <w:r>
              <w:rPr>
                <w:rFonts w:hint="eastAsia" w:ascii="宋体" w:hAnsi="宋体" w:cs="宋体"/>
                <w:b/>
                <w:bCs/>
                <w:color w:val="auto"/>
                <w:kern w:val="0"/>
                <w:szCs w:val="21"/>
                <w:lang w:bidi="ar"/>
              </w:rPr>
              <w:t>序号</w:t>
            </w:r>
          </w:p>
        </w:tc>
        <w:tc>
          <w:tcPr>
            <w:tcW w:w="1451" w:type="dxa"/>
            <w:vAlign w:val="center"/>
          </w:tcPr>
          <w:p w14:paraId="0BC30BFB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bCs/>
                <w:color w:val="auto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kern w:val="0"/>
                <w:szCs w:val="21"/>
                <w:lang w:bidi="ar"/>
              </w:rPr>
              <w:t>★货物（标的）名称</w:t>
            </w:r>
          </w:p>
        </w:tc>
        <w:tc>
          <w:tcPr>
            <w:tcW w:w="643" w:type="dxa"/>
            <w:vAlign w:val="center"/>
          </w:tcPr>
          <w:p w14:paraId="7B819F99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bCs/>
                <w:color w:val="auto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kern w:val="0"/>
                <w:szCs w:val="21"/>
                <w:lang w:bidi="ar"/>
              </w:rPr>
              <w:t>★</w:t>
            </w:r>
            <w:r>
              <w:rPr>
                <w:rFonts w:hint="eastAsia" w:ascii="宋体" w:hAnsi="宋体" w:cs="宋体"/>
                <w:b/>
                <w:bCs/>
                <w:color w:val="auto"/>
                <w:szCs w:val="21"/>
              </w:rPr>
              <w:t>数量</w:t>
            </w:r>
          </w:p>
        </w:tc>
        <w:tc>
          <w:tcPr>
            <w:tcW w:w="655" w:type="dxa"/>
            <w:vAlign w:val="center"/>
          </w:tcPr>
          <w:p w14:paraId="02C3D488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bCs/>
                <w:color w:val="auto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kern w:val="0"/>
                <w:szCs w:val="21"/>
                <w:lang w:bidi="ar"/>
              </w:rPr>
              <w:t>★单位</w:t>
            </w:r>
          </w:p>
        </w:tc>
        <w:tc>
          <w:tcPr>
            <w:tcW w:w="938" w:type="dxa"/>
            <w:vAlign w:val="center"/>
          </w:tcPr>
          <w:p w14:paraId="02D4DB05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bCs/>
                <w:color w:val="auto"/>
                <w:kern w:val="0"/>
                <w:szCs w:val="21"/>
                <w:lang w:bidi="ar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kern w:val="0"/>
                <w:szCs w:val="21"/>
                <w:lang w:bidi="ar"/>
              </w:rPr>
              <w:t>★单价最高限价（万元）</w:t>
            </w:r>
          </w:p>
        </w:tc>
        <w:tc>
          <w:tcPr>
            <w:tcW w:w="818" w:type="dxa"/>
            <w:vAlign w:val="center"/>
          </w:tcPr>
          <w:p w14:paraId="363EDB3D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bCs/>
                <w:color w:val="auto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kern w:val="0"/>
                <w:szCs w:val="21"/>
                <w:lang w:bidi="ar"/>
              </w:rPr>
              <w:t>是否允许进口</w:t>
            </w:r>
          </w:p>
        </w:tc>
        <w:tc>
          <w:tcPr>
            <w:tcW w:w="775" w:type="dxa"/>
            <w:vAlign w:val="center"/>
          </w:tcPr>
          <w:p w14:paraId="620D074C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bCs/>
                <w:color w:val="auto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kern w:val="0"/>
                <w:szCs w:val="21"/>
                <w:lang w:bidi="ar"/>
              </w:rPr>
              <w:t>是否核心产品</w:t>
            </w:r>
          </w:p>
        </w:tc>
        <w:tc>
          <w:tcPr>
            <w:tcW w:w="622" w:type="dxa"/>
            <w:vAlign w:val="center"/>
          </w:tcPr>
          <w:p w14:paraId="6D677E0D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bCs/>
                <w:color w:val="auto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kern w:val="0"/>
                <w:szCs w:val="21"/>
                <w:lang w:bidi="ar"/>
              </w:rPr>
              <w:t>所属行业</w:t>
            </w:r>
          </w:p>
        </w:tc>
        <w:tc>
          <w:tcPr>
            <w:tcW w:w="730" w:type="dxa"/>
            <w:vAlign w:val="center"/>
          </w:tcPr>
          <w:p w14:paraId="4482DBD1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bCs/>
                <w:color w:val="auto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kern w:val="0"/>
                <w:szCs w:val="21"/>
                <w:lang w:bidi="ar"/>
              </w:rPr>
              <w:t>是否强制节能产品</w:t>
            </w:r>
          </w:p>
        </w:tc>
        <w:tc>
          <w:tcPr>
            <w:tcW w:w="895" w:type="dxa"/>
            <w:vAlign w:val="center"/>
          </w:tcPr>
          <w:p w14:paraId="6D1E48D4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bCs/>
                <w:color w:val="auto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kern w:val="0"/>
                <w:szCs w:val="21"/>
                <w:lang w:bidi="ar"/>
              </w:rPr>
              <w:t>是否属于网络安全专用产品</w:t>
            </w:r>
          </w:p>
        </w:tc>
        <w:tc>
          <w:tcPr>
            <w:tcW w:w="709" w:type="dxa"/>
            <w:vAlign w:val="center"/>
          </w:tcPr>
          <w:p w14:paraId="3E7718DA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bCs/>
                <w:color w:val="auto"/>
                <w:kern w:val="0"/>
                <w:szCs w:val="21"/>
                <w:lang w:bidi="ar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kern w:val="0"/>
                <w:szCs w:val="21"/>
                <w:lang w:bidi="ar"/>
              </w:rPr>
              <w:t>是否优先采购节能产品</w:t>
            </w:r>
          </w:p>
        </w:tc>
        <w:tc>
          <w:tcPr>
            <w:tcW w:w="887" w:type="dxa"/>
            <w:vAlign w:val="center"/>
          </w:tcPr>
          <w:p w14:paraId="5F239AE5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bCs/>
                <w:color w:val="auto"/>
                <w:kern w:val="0"/>
                <w:szCs w:val="21"/>
                <w:lang w:bidi="ar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kern w:val="0"/>
                <w:szCs w:val="21"/>
                <w:lang w:bidi="ar"/>
              </w:rPr>
              <w:t>是否优先采购环境标志产品</w:t>
            </w:r>
          </w:p>
        </w:tc>
      </w:tr>
      <w:tr w14:paraId="3F0011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4" w:hRule="atLeast"/>
        </w:trPr>
        <w:tc>
          <w:tcPr>
            <w:tcW w:w="712" w:type="dxa"/>
            <w:vAlign w:val="center"/>
          </w:tcPr>
          <w:p w14:paraId="431F0062">
            <w:pPr>
              <w:widowControl/>
              <w:jc w:val="center"/>
              <w:textAlignment w:val="center"/>
              <w:rPr>
                <w:color w:val="auto"/>
                <w:szCs w:val="21"/>
              </w:rPr>
            </w:pPr>
            <w:r>
              <w:rPr>
                <w:rFonts w:hint="eastAsia"/>
                <w:color w:val="auto"/>
                <w:szCs w:val="21"/>
              </w:rPr>
              <w:t>1</w:t>
            </w:r>
          </w:p>
        </w:tc>
        <w:tc>
          <w:tcPr>
            <w:tcW w:w="1451" w:type="dxa"/>
            <w:vAlign w:val="center"/>
          </w:tcPr>
          <w:p w14:paraId="562A4671">
            <w:pPr>
              <w:widowControl/>
              <w:jc w:val="center"/>
              <w:textAlignment w:val="center"/>
              <w:rPr>
                <w:color w:val="auto"/>
                <w:kern w:val="0"/>
                <w:szCs w:val="21"/>
                <w:lang w:bidi="ar"/>
              </w:rPr>
            </w:pPr>
            <w:r>
              <w:rPr>
                <w:rFonts w:hint="eastAsia" w:ascii="宋体" w:hAnsi="宋体" w:cs="宋体"/>
                <w:color w:val="auto"/>
                <w:szCs w:val="21"/>
              </w:rPr>
              <w:t>高精度多靶磁控溅射系统</w:t>
            </w:r>
          </w:p>
        </w:tc>
        <w:tc>
          <w:tcPr>
            <w:tcW w:w="643" w:type="dxa"/>
            <w:vAlign w:val="center"/>
          </w:tcPr>
          <w:p w14:paraId="50622910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="宋体" w:hAnsi="宋体" w:cs="宋体"/>
                <w:color w:val="auto"/>
                <w:sz w:val="22"/>
                <w:szCs w:val="22"/>
                <w:lang w:val="en-US" w:eastAsia="zh-CN"/>
              </w:rPr>
              <w:t>1</w:t>
            </w:r>
          </w:p>
        </w:tc>
        <w:tc>
          <w:tcPr>
            <w:tcW w:w="655" w:type="dxa"/>
            <w:noWrap/>
            <w:vAlign w:val="center"/>
          </w:tcPr>
          <w:p w14:paraId="742153E5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="宋体" w:hAnsi="宋体" w:cs="宋体"/>
                <w:color w:val="auto"/>
                <w:szCs w:val="21"/>
                <w:lang w:val="en-US" w:eastAsia="zh-CN"/>
              </w:rPr>
              <w:t>套</w:t>
            </w:r>
          </w:p>
        </w:tc>
        <w:tc>
          <w:tcPr>
            <w:tcW w:w="938" w:type="dxa"/>
            <w:vAlign w:val="center"/>
          </w:tcPr>
          <w:p w14:paraId="73C5A87E"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Cs w:val="21"/>
                <w:lang w:val="en-US" w:eastAsia="zh-CN" w:bidi="ar"/>
              </w:rPr>
              <w:t>250</w:t>
            </w:r>
          </w:p>
        </w:tc>
        <w:tc>
          <w:tcPr>
            <w:tcW w:w="818" w:type="dxa"/>
            <w:vAlign w:val="center"/>
          </w:tcPr>
          <w:p w14:paraId="64EC440E">
            <w:pPr>
              <w:widowControl/>
              <w:jc w:val="center"/>
              <w:textAlignment w:val="center"/>
              <w:rPr>
                <w:rFonts w:ascii="宋体" w:hAnsi="宋体" w:cs="宋体"/>
                <w:color w:val="auto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Cs w:val="21"/>
                <w:lang w:val="en-US" w:eastAsia="zh-CN"/>
              </w:rPr>
              <w:t>否</w:t>
            </w:r>
          </w:p>
        </w:tc>
        <w:tc>
          <w:tcPr>
            <w:tcW w:w="775" w:type="dxa"/>
            <w:vAlign w:val="center"/>
          </w:tcPr>
          <w:p w14:paraId="4734962F">
            <w:pPr>
              <w:widowControl/>
              <w:jc w:val="center"/>
              <w:textAlignment w:val="center"/>
              <w:rPr>
                <w:rFonts w:ascii="宋体" w:hAnsi="宋体" w:cs="宋体"/>
                <w:color w:val="auto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Cs w:val="21"/>
                <w:lang w:eastAsia="zh-CN"/>
              </w:rPr>
              <w:t>是</w:t>
            </w:r>
          </w:p>
        </w:tc>
        <w:tc>
          <w:tcPr>
            <w:tcW w:w="622" w:type="dxa"/>
            <w:vAlign w:val="center"/>
          </w:tcPr>
          <w:p w14:paraId="67916805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Cs w:val="21"/>
                <w:lang w:eastAsia="zh-CN"/>
              </w:rPr>
            </w:pPr>
            <w:r>
              <w:rPr>
                <w:rFonts w:hint="eastAsia" w:ascii="宋体" w:hAnsi="宋体" w:cs="宋体"/>
                <w:color w:val="auto"/>
                <w:szCs w:val="21"/>
                <w:lang w:val="en-US" w:eastAsia="zh-CN"/>
              </w:rPr>
              <w:t>工业</w:t>
            </w:r>
          </w:p>
        </w:tc>
        <w:tc>
          <w:tcPr>
            <w:tcW w:w="730" w:type="dxa"/>
            <w:vAlign w:val="center"/>
          </w:tcPr>
          <w:p w14:paraId="71D0DDA1">
            <w:pPr>
              <w:widowControl/>
              <w:jc w:val="center"/>
              <w:textAlignment w:val="center"/>
              <w:rPr>
                <w:rFonts w:ascii="宋体" w:hAnsi="宋体" w:cs="宋体"/>
                <w:color w:val="auto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Cs w:val="21"/>
                <w:lang w:val="en-US" w:eastAsia="zh-CN"/>
              </w:rPr>
              <w:t>否</w:t>
            </w:r>
          </w:p>
        </w:tc>
        <w:tc>
          <w:tcPr>
            <w:tcW w:w="895" w:type="dxa"/>
            <w:vAlign w:val="center"/>
          </w:tcPr>
          <w:p w14:paraId="5887F1D2">
            <w:pPr>
              <w:widowControl/>
              <w:jc w:val="center"/>
              <w:textAlignment w:val="center"/>
              <w:rPr>
                <w:rFonts w:ascii="宋体" w:hAnsi="宋体" w:cs="宋体"/>
                <w:color w:val="auto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Cs w:val="21"/>
                <w:lang w:val="en-US" w:eastAsia="zh-CN"/>
              </w:rPr>
              <w:t>否</w:t>
            </w:r>
          </w:p>
        </w:tc>
        <w:tc>
          <w:tcPr>
            <w:tcW w:w="709" w:type="dxa"/>
            <w:vAlign w:val="center"/>
          </w:tcPr>
          <w:p w14:paraId="1C0C57A4">
            <w:pPr>
              <w:widowControl/>
              <w:jc w:val="center"/>
              <w:textAlignment w:val="center"/>
              <w:rPr>
                <w:rFonts w:ascii="宋体" w:hAnsi="宋体" w:cs="宋体"/>
                <w:color w:val="auto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Cs w:val="21"/>
                <w:lang w:val="en-US" w:eastAsia="zh-CN"/>
              </w:rPr>
              <w:t>否</w:t>
            </w:r>
          </w:p>
        </w:tc>
        <w:tc>
          <w:tcPr>
            <w:tcW w:w="887" w:type="dxa"/>
            <w:vAlign w:val="center"/>
          </w:tcPr>
          <w:p w14:paraId="46A9D9BE">
            <w:pPr>
              <w:widowControl/>
              <w:jc w:val="center"/>
              <w:textAlignment w:val="center"/>
              <w:rPr>
                <w:rFonts w:ascii="宋体" w:hAnsi="宋体" w:cs="宋体"/>
                <w:color w:val="auto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Cs w:val="21"/>
                <w:lang w:val="en-US" w:eastAsia="zh-CN"/>
              </w:rPr>
              <w:t>否</w:t>
            </w:r>
          </w:p>
        </w:tc>
      </w:tr>
    </w:tbl>
    <w:p w14:paraId="689FB770">
      <w:pPr>
        <w:pStyle w:val="9"/>
        <w:rPr>
          <w:rFonts w:ascii="Times New Roman" w:hAnsi="Times New Roman"/>
          <w:b/>
          <w:bCs/>
          <w:color w:val="auto"/>
          <w:sz w:val="22"/>
          <w:szCs w:val="22"/>
        </w:rPr>
      </w:pPr>
      <w:r>
        <w:rPr>
          <w:rFonts w:hint="eastAsia" w:ascii="Times New Roman" w:hAnsi="Times New Roman"/>
          <w:b/>
          <w:bCs/>
          <w:color w:val="auto"/>
          <w:sz w:val="22"/>
          <w:szCs w:val="22"/>
        </w:rPr>
        <w:t>注：投标报价超过单价最高限价的做无效投标处理。</w:t>
      </w:r>
    </w:p>
    <w:p w14:paraId="360275B4">
      <w:pPr>
        <w:pStyle w:val="3"/>
        <w:numPr>
          <w:numId w:val="0"/>
        </w:numPr>
        <w:ind w:left="0" w:leftChars="0" w:firstLine="0" w:firstLineChars="0"/>
        <w:rPr>
          <w:rFonts w:ascii="Times New Roman" w:hAnsi="Times New Roman"/>
          <w:color w:val="auto"/>
        </w:rPr>
      </w:pPr>
      <w:bookmarkStart w:id="7" w:name="_Toc9906"/>
      <w:bookmarkStart w:id="8" w:name="_Toc26494"/>
      <w:bookmarkStart w:id="9" w:name="_Toc28072"/>
      <w:bookmarkStart w:id="10" w:name="_Hlk139711488"/>
      <w:r>
        <w:rPr>
          <w:rFonts w:ascii="Times New Roman" w:hAnsi="Times New Roman"/>
          <w:color w:val="auto"/>
        </w:rPr>
        <w:t>二、</w:t>
      </w:r>
      <w:bookmarkEnd w:id="5"/>
      <w:bookmarkEnd w:id="6"/>
      <w:bookmarkStart w:id="11" w:name="_Toc28904"/>
      <w:r>
        <w:rPr>
          <w:rFonts w:ascii="Times New Roman" w:hAnsi="Times New Roman"/>
          <w:color w:val="auto"/>
        </w:rPr>
        <w:t>技术需求</w:t>
      </w:r>
      <w:bookmarkEnd w:id="7"/>
      <w:bookmarkEnd w:id="8"/>
      <w:bookmarkEnd w:id="9"/>
    </w:p>
    <w:bookmarkEnd w:id="10"/>
    <w:bookmarkEnd w:id="11"/>
    <w:tbl>
      <w:tblPr>
        <w:tblStyle w:val="11"/>
        <w:tblW w:w="9139" w:type="dxa"/>
        <w:tblInd w:w="-35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18"/>
        <w:gridCol w:w="2105"/>
        <w:gridCol w:w="6116"/>
      </w:tblGrid>
      <w:tr w14:paraId="475B49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2" w:hRule="atLeast"/>
        </w:trPr>
        <w:tc>
          <w:tcPr>
            <w:tcW w:w="918" w:type="dxa"/>
            <w:vAlign w:val="center"/>
          </w:tcPr>
          <w:p w14:paraId="6966BF65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bCs/>
                <w:color w:val="auto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kern w:val="0"/>
                <w:szCs w:val="21"/>
                <w:lang w:bidi="ar"/>
              </w:rPr>
              <w:t>序号</w:t>
            </w:r>
          </w:p>
        </w:tc>
        <w:tc>
          <w:tcPr>
            <w:tcW w:w="2105" w:type="dxa"/>
            <w:vAlign w:val="center"/>
          </w:tcPr>
          <w:p w14:paraId="2B4B4FEE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bCs/>
                <w:color w:val="auto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kern w:val="0"/>
                <w:szCs w:val="21"/>
                <w:lang w:bidi="ar"/>
              </w:rPr>
              <w:t>货物（标的）名称</w:t>
            </w:r>
          </w:p>
        </w:tc>
        <w:tc>
          <w:tcPr>
            <w:tcW w:w="6116" w:type="dxa"/>
            <w:vAlign w:val="center"/>
          </w:tcPr>
          <w:p w14:paraId="079E4DEF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bCs/>
                <w:color w:val="auto"/>
                <w:kern w:val="0"/>
                <w:szCs w:val="21"/>
                <w:lang w:bidi="ar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kern w:val="0"/>
                <w:szCs w:val="21"/>
                <w:lang w:bidi="ar"/>
              </w:rPr>
              <w:t>技术参数要求</w:t>
            </w:r>
          </w:p>
        </w:tc>
      </w:tr>
      <w:tr w14:paraId="1EFE84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918" w:type="dxa"/>
            <w:vAlign w:val="center"/>
          </w:tcPr>
          <w:p w14:paraId="393B4169">
            <w:pPr>
              <w:widowControl/>
              <w:jc w:val="center"/>
              <w:textAlignment w:val="center"/>
              <w:rPr>
                <w:color w:val="auto"/>
                <w:szCs w:val="21"/>
              </w:rPr>
            </w:pPr>
            <w:r>
              <w:rPr>
                <w:color w:val="auto"/>
                <w:kern w:val="0"/>
                <w:szCs w:val="21"/>
                <w:lang w:bidi="ar"/>
              </w:rPr>
              <w:t>1</w:t>
            </w:r>
          </w:p>
        </w:tc>
        <w:tc>
          <w:tcPr>
            <w:tcW w:w="2105" w:type="dxa"/>
            <w:vAlign w:val="center"/>
          </w:tcPr>
          <w:p w14:paraId="74BEDAFD">
            <w:pPr>
              <w:widowControl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Cs w:val="21"/>
              </w:rPr>
              <w:t>高精度多靶磁控溅射系统</w:t>
            </w:r>
          </w:p>
        </w:tc>
        <w:tc>
          <w:tcPr>
            <w:tcW w:w="6116" w:type="dxa"/>
            <w:vAlign w:val="center"/>
          </w:tcPr>
          <w:p w14:paraId="6ABD5D39">
            <w:pPr>
              <w:widowControl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color w:val="auto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Cs w:val="21"/>
              </w:rPr>
              <w:t>技术指标要求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szCs w:val="21"/>
                <w:lang w:eastAsia="zh-CN"/>
              </w:rPr>
              <w:t>：</w:t>
            </w:r>
          </w:p>
          <w:p w14:paraId="2309C335">
            <w:pPr>
              <w:tabs>
                <w:tab w:val="left" w:pos="420"/>
              </w:tabs>
              <w:adjustRightInd w:val="0"/>
              <w:snapToGrid w:val="0"/>
              <w:spacing w:line="360" w:lineRule="auto"/>
              <w:rPr>
                <w:rFonts w:hint="eastAsia" w:ascii="宋体" w:hAnsi="宋体" w:eastAsia="宋体" w:cs="宋体"/>
                <w:b/>
                <w:bCs/>
                <w:color w:val="auto"/>
                <w:szCs w:val="21"/>
                <w:lang w:eastAsia="zh-CN"/>
                <w14:ligatures w14:val="standardContextual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Cs w:val="21"/>
                <w14:ligatures w14:val="standardContextual"/>
              </w:rPr>
              <w:t>1.溅射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szCs w:val="21"/>
                <w:lang w:val="en-US" w:eastAsia="zh-CN"/>
                <w14:ligatures w14:val="standardContextual"/>
              </w:rPr>
              <w:t>室</w:t>
            </w:r>
          </w:p>
          <w:p w14:paraId="6CB97925">
            <w:pPr>
              <w:adjustRightInd w:val="0"/>
              <w:snapToGrid w:val="0"/>
              <w:spacing w:line="360" w:lineRule="auto"/>
              <w:rPr>
                <w:rFonts w:hint="eastAsia" w:ascii="宋体" w:hAnsi="宋体" w:eastAsia="宋体" w:cs="宋体"/>
                <w:color w:val="auto"/>
                <w:szCs w:val="21"/>
                <w14:ligatures w14:val="standardContextual"/>
              </w:rPr>
            </w:pPr>
            <w:r>
              <w:rPr>
                <w:rFonts w:hint="eastAsia" w:ascii="宋体" w:hAnsi="宋体" w:eastAsia="宋体" w:cs="宋体"/>
                <w:color w:val="auto"/>
                <w:szCs w:val="21"/>
                <w14:ligatures w14:val="standardContextual"/>
              </w:rPr>
              <w:t>1.1腔体材质为不锈钢，符合超高真空要求的不同尺寸法兰口，适合4英寸及以下晶圆传输，内表面抛光，腔体上盖采用双胶圈密封方式，方便开盖更换靶材，开盖方式气缸顶升；</w:t>
            </w:r>
          </w:p>
          <w:p w14:paraId="28457DFF">
            <w:pPr>
              <w:tabs>
                <w:tab w:val="left" w:pos="420"/>
              </w:tabs>
              <w:adjustRightInd w:val="0"/>
              <w:snapToGrid w:val="0"/>
              <w:spacing w:line="360" w:lineRule="auto"/>
              <w:rPr>
                <w:rFonts w:hint="eastAsia" w:ascii="宋体" w:hAnsi="宋体" w:eastAsia="宋体" w:cs="宋体"/>
                <w:color w:val="auto"/>
                <w:szCs w:val="21"/>
                <w14:ligatures w14:val="standardContextual"/>
              </w:rPr>
            </w:pPr>
            <w:r>
              <w:rPr>
                <w:rFonts w:hint="eastAsia" w:ascii="宋体" w:hAnsi="宋体" w:eastAsia="宋体" w:cs="宋体"/>
                <w:color w:val="auto"/>
                <w:szCs w:val="21"/>
                <w14:ligatures w14:val="standardContextual"/>
              </w:rPr>
              <w:t>★1.2真空腔体极限真空：优于</w:t>
            </w:r>
            <w:r>
              <w:rPr>
                <w:rFonts w:hint="eastAsia" w:ascii="宋体" w:hAnsi="宋体" w:eastAsia="宋体" w:cs="宋体"/>
                <w:color w:val="auto"/>
                <w:szCs w:val="21"/>
                <w:lang w:val="en-US" w:eastAsia="zh-CN"/>
                <w14:ligatures w14:val="standardContextual"/>
              </w:rPr>
              <w:t>5</w:t>
            </w:r>
            <w:r>
              <w:rPr>
                <w:rFonts w:hint="eastAsia" w:ascii="宋体" w:hAnsi="宋体" w:eastAsia="宋体" w:cs="宋体"/>
                <w:color w:val="auto"/>
                <w:szCs w:val="21"/>
                <w14:ligatures w14:val="standardContextual"/>
              </w:rPr>
              <w:t>×10</w:t>
            </w:r>
            <w:r>
              <w:rPr>
                <w:rFonts w:hint="eastAsia" w:ascii="宋体" w:hAnsi="宋体" w:eastAsia="宋体" w:cs="宋体"/>
                <w:color w:val="auto"/>
                <w:szCs w:val="21"/>
                <w:vertAlign w:val="superscript"/>
                <w14:ligatures w14:val="standardContextual"/>
              </w:rPr>
              <w:t>-</w:t>
            </w:r>
            <w:r>
              <w:rPr>
                <w:rFonts w:hint="eastAsia" w:ascii="宋体" w:hAnsi="宋体" w:eastAsia="宋体" w:cs="宋体"/>
                <w:color w:val="auto"/>
                <w:szCs w:val="21"/>
                <w:vertAlign w:val="superscript"/>
                <w:lang w:val="en-US" w:eastAsia="zh-CN"/>
                <w14:ligatures w14:val="standardContextual"/>
              </w:rPr>
              <w:t>8</w:t>
            </w:r>
            <w:r>
              <w:rPr>
                <w:rFonts w:hint="eastAsia" w:ascii="宋体" w:hAnsi="宋体" w:eastAsia="宋体" w:cs="宋体"/>
                <w:color w:val="auto"/>
                <w:szCs w:val="21"/>
                <w14:ligatures w14:val="standardContextual"/>
              </w:rPr>
              <w:t>mbar（烘烤后）；</w:t>
            </w:r>
          </w:p>
          <w:p w14:paraId="6E9252A9">
            <w:pPr>
              <w:tabs>
                <w:tab w:val="left" w:pos="420"/>
              </w:tabs>
              <w:adjustRightInd w:val="0"/>
              <w:snapToGrid w:val="0"/>
              <w:spacing w:line="360" w:lineRule="auto"/>
              <w:rPr>
                <w:rFonts w:hint="eastAsia" w:ascii="宋体" w:hAnsi="宋体" w:eastAsia="宋体" w:cs="宋体"/>
                <w:color w:val="auto"/>
                <w:szCs w:val="21"/>
                <w14:ligatures w14:val="standardContextual"/>
              </w:rPr>
            </w:pPr>
            <w:r>
              <w:rPr>
                <w:rFonts w:hint="eastAsia" w:ascii="宋体" w:hAnsi="宋体" w:eastAsia="宋体" w:cs="宋体"/>
                <w:color w:val="auto"/>
                <w:szCs w:val="21"/>
                <w14:ligatures w14:val="standardContextual"/>
              </w:rPr>
              <w:t>★1.3镀膜均匀性：在直径100mm硅片上镀制薄膜，薄膜沉积不均匀性不超过±</w:t>
            </w:r>
            <w:r>
              <w:rPr>
                <w:rFonts w:hint="eastAsia" w:ascii="宋体" w:hAnsi="宋体" w:eastAsia="宋体" w:cs="宋体"/>
                <w:color w:val="auto"/>
                <w:szCs w:val="21"/>
                <w:lang w:val="en-US" w:eastAsia="zh-CN"/>
                <w14:ligatures w14:val="standardContextual"/>
              </w:rPr>
              <w:t>3</w:t>
            </w:r>
            <w:r>
              <w:rPr>
                <w:rFonts w:hint="eastAsia" w:ascii="宋体" w:hAnsi="宋体" w:eastAsia="宋体" w:cs="宋体"/>
                <w:color w:val="auto"/>
                <w:szCs w:val="21"/>
                <w14:ligatures w14:val="standardContextual"/>
              </w:rPr>
              <w:t>%。</w:t>
            </w:r>
          </w:p>
          <w:p w14:paraId="58545015">
            <w:pPr>
              <w:tabs>
                <w:tab w:val="left" w:pos="420"/>
              </w:tabs>
              <w:adjustRightInd w:val="0"/>
              <w:snapToGrid w:val="0"/>
              <w:spacing w:line="360" w:lineRule="auto"/>
              <w:rPr>
                <w:rFonts w:hint="eastAsia" w:ascii="宋体" w:hAnsi="宋体" w:eastAsia="宋体" w:cs="宋体"/>
                <w:color w:val="auto"/>
                <w:szCs w:val="21"/>
                <w14:ligatures w14:val="standardContextual"/>
              </w:rPr>
            </w:pPr>
          </w:p>
          <w:p w14:paraId="40D2FB26">
            <w:pPr>
              <w:tabs>
                <w:tab w:val="left" w:pos="420"/>
              </w:tabs>
              <w:adjustRightInd w:val="0"/>
              <w:snapToGrid w:val="0"/>
              <w:spacing w:line="360" w:lineRule="auto"/>
              <w:rPr>
                <w:rFonts w:hint="eastAsia" w:ascii="宋体" w:hAnsi="宋体" w:eastAsia="宋体" w:cs="宋体"/>
                <w:b/>
                <w:bCs/>
                <w:color w:val="auto"/>
                <w:szCs w:val="21"/>
                <w14:ligatures w14:val="standardContextual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Cs w:val="21"/>
                <w14:ligatures w14:val="standardContextual"/>
              </w:rPr>
              <w:t>2.真空阀门</w:t>
            </w:r>
          </w:p>
          <w:p w14:paraId="19CF7E3B">
            <w:pPr>
              <w:tabs>
                <w:tab w:val="left" w:pos="420"/>
              </w:tabs>
              <w:adjustRightInd w:val="0"/>
              <w:snapToGrid w:val="0"/>
              <w:spacing w:line="360" w:lineRule="auto"/>
              <w:rPr>
                <w:rFonts w:hint="eastAsia" w:ascii="宋体" w:hAnsi="宋体" w:eastAsia="宋体" w:cs="宋体"/>
                <w:color w:val="auto"/>
                <w:szCs w:val="21"/>
                <w14:ligatures w14:val="standardContextual"/>
              </w:rPr>
            </w:pPr>
            <w:r>
              <w:rPr>
                <w:rFonts w:hint="eastAsia" w:ascii="宋体" w:hAnsi="宋体" w:eastAsia="宋体" w:cs="宋体"/>
                <w:color w:val="auto"/>
                <w:szCs w:val="21"/>
                <w14:ligatures w14:val="standardContextual"/>
              </w:rPr>
              <w:t>★2.1高真空控制闸阀位于泵组和腔体之间，</w:t>
            </w:r>
            <w:r>
              <w:rPr>
                <w:rFonts w:hint="eastAsia" w:ascii="宋体" w:hAnsi="宋体" w:eastAsia="宋体" w:cs="宋体"/>
                <w:color w:val="auto"/>
                <w:szCs w:val="21"/>
                <w:lang w:val="en-US" w:eastAsia="zh-CN"/>
                <w14:ligatures w14:val="standardContextual"/>
              </w:rPr>
              <w:t>可以实现压力控制，金属密封</w:t>
            </w:r>
            <w:r>
              <w:rPr>
                <w:rFonts w:hint="eastAsia" w:ascii="宋体" w:hAnsi="宋体" w:eastAsia="宋体" w:cs="宋体"/>
                <w:color w:val="auto"/>
                <w:szCs w:val="21"/>
                <w14:ligatures w14:val="standardContextual"/>
              </w:rPr>
              <w:t>；</w:t>
            </w:r>
          </w:p>
          <w:p w14:paraId="54ABC759">
            <w:pPr>
              <w:tabs>
                <w:tab w:val="left" w:pos="420"/>
              </w:tabs>
              <w:adjustRightInd w:val="0"/>
              <w:snapToGrid w:val="0"/>
              <w:spacing w:line="360" w:lineRule="auto"/>
              <w:rPr>
                <w:rFonts w:hint="eastAsia" w:ascii="宋体" w:hAnsi="宋体" w:eastAsia="宋体" w:cs="宋体"/>
                <w:color w:val="auto"/>
                <w:szCs w:val="21"/>
                <w:lang w:eastAsia="zh-CN"/>
                <w14:ligatures w14:val="standardContextual"/>
              </w:rPr>
            </w:pPr>
            <w:r>
              <w:rPr>
                <w:rFonts w:hint="eastAsia" w:ascii="宋体" w:hAnsi="宋体" w:eastAsia="宋体" w:cs="宋体"/>
                <w:color w:val="auto"/>
                <w:szCs w:val="21"/>
                <w14:ligatures w14:val="standardContextual"/>
              </w:rPr>
              <w:t>2.2超高真空气动闸板阀位于进样室和主腔室之间，实现进样室与溅射室的隔离，尺寸CF150</w:t>
            </w:r>
            <w:r>
              <w:rPr>
                <w:rFonts w:hint="eastAsia" w:ascii="宋体" w:hAnsi="宋体" w:eastAsia="宋体" w:cs="宋体"/>
                <w:color w:val="auto"/>
                <w:szCs w:val="21"/>
                <w:lang w:eastAsia="zh-CN"/>
                <w14:ligatures w14:val="standardContextual"/>
              </w:rPr>
              <w:t>。</w:t>
            </w:r>
          </w:p>
          <w:p w14:paraId="1F61639E">
            <w:pPr>
              <w:tabs>
                <w:tab w:val="left" w:pos="420"/>
              </w:tabs>
              <w:adjustRightInd w:val="0"/>
              <w:snapToGrid w:val="0"/>
              <w:spacing w:line="360" w:lineRule="auto"/>
              <w:rPr>
                <w:rFonts w:hint="eastAsia" w:ascii="宋体" w:hAnsi="宋体" w:eastAsia="宋体" w:cs="宋体"/>
                <w:color w:val="auto"/>
                <w:szCs w:val="21"/>
                <w:lang w:eastAsia="zh-CN"/>
                <w14:ligatures w14:val="standardContextual"/>
              </w:rPr>
            </w:pPr>
          </w:p>
          <w:p w14:paraId="54E8D583">
            <w:pPr>
              <w:tabs>
                <w:tab w:val="left" w:pos="420"/>
              </w:tabs>
              <w:adjustRightInd w:val="0"/>
              <w:snapToGrid w:val="0"/>
              <w:spacing w:line="360" w:lineRule="auto"/>
              <w:rPr>
                <w:rFonts w:hint="eastAsia" w:ascii="宋体" w:hAnsi="宋体" w:eastAsia="宋体" w:cs="宋体"/>
                <w:b/>
                <w:bCs/>
                <w:color w:val="auto"/>
                <w:szCs w:val="21"/>
                <w14:ligatures w14:val="standardContextual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Cs w:val="21"/>
                <w14:ligatures w14:val="standardContextual"/>
              </w:rPr>
              <w:t>3.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szCs w:val="21"/>
                <w:lang w:val="en-US" w:eastAsia="zh-CN"/>
                <w14:ligatures w14:val="standardContextual"/>
              </w:rPr>
              <w:t>真空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szCs w:val="21"/>
                <w14:ligatures w14:val="standardContextual"/>
              </w:rPr>
              <w:t>泵组</w:t>
            </w:r>
          </w:p>
          <w:p w14:paraId="2BC28398">
            <w:pPr>
              <w:tabs>
                <w:tab w:val="left" w:pos="420"/>
              </w:tabs>
              <w:adjustRightInd w:val="0"/>
              <w:snapToGrid w:val="0"/>
              <w:spacing w:line="360" w:lineRule="auto"/>
              <w:rPr>
                <w:rFonts w:hint="eastAsia" w:ascii="宋体" w:hAnsi="宋体" w:eastAsia="宋体" w:cs="宋体"/>
                <w:color w:val="auto"/>
                <w:szCs w:val="21"/>
                <w14:ligatures w14:val="standardContextual"/>
              </w:rPr>
            </w:pPr>
            <w:r>
              <w:rPr>
                <w:rFonts w:hint="eastAsia" w:ascii="宋体" w:hAnsi="宋体" w:eastAsia="宋体" w:cs="宋体"/>
                <w:color w:val="auto"/>
                <w:szCs w:val="21"/>
                <w14:ligatures w14:val="standardContextual"/>
              </w:rPr>
              <w:t>3.1溅射</w:t>
            </w:r>
            <w:r>
              <w:rPr>
                <w:rFonts w:hint="eastAsia" w:ascii="宋体" w:hAnsi="宋体" w:eastAsia="宋体" w:cs="宋体"/>
                <w:color w:val="auto"/>
                <w:szCs w:val="21"/>
                <w:lang w:val="en-US" w:eastAsia="zh-CN"/>
                <w14:ligatures w14:val="standardContextual"/>
              </w:rPr>
              <w:t>室</w:t>
            </w:r>
            <w:r>
              <w:rPr>
                <w:rFonts w:hint="eastAsia" w:ascii="宋体" w:hAnsi="宋体" w:eastAsia="宋体" w:cs="宋体"/>
                <w:color w:val="auto"/>
                <w:szCs w:val="21"/>
                <w14:ligatures w14:val="standardContextual"/>
              </w:rPr>
              <w:t>分子泵：</w:t>
            </w:r>
            <w:r>
              <w:rPr>
                <w:rFonts w:hint="eastAsia" w:ascii="宋体" w:hAnsi="宋体" w:eastAsia="宋体" w:cs="宋体"/>
                <w:color w:val="auto"/>
                <w:szCs w:val="21"/>
                <w:lang w:val="en-US" w:eastAsia="zh-CN"/>
                <w14:ligatures w14:val="standardContextual"/>
              </w:rPr>
              <w:t>对N</w:t>
            </w:r>
            <w:r>
              <w:rPr>
                <w:rFonts w:hint="eastAsia" w:ascii="宋体" w:hAnsi="宋体" w:eastAsia="宋体" w:cs="宋体"/>
                <w:color w:val="auto"/>
                <w:szCs w:val="21"/>
                <w:vertAlign w:val="subscript"/>
                <w:lang w:val="en-US" w:eastAsia="zh-CN"/>
                <w14:ligatures w14:val="standardContextual"/>
              </w:rPr>
              <w:t>2</w:t>
            </w:r>
            <w:r>
              <w:rPr>
                <w:rFonts w:hint="eastAsia" w:ascii="宋体" w:hAnsi="宋体" w:eastAsia="宋体" w:cs="宋体"/>
                <w:color w:val="auto"/>
                <w:szCs w:val="21"/>
                <w:lang w:val="en-US" w:eastAsia="zh-CN"/>
                <w14:ligatures w14:val="standardContextual"/>
              </w:rPr>
              <w:t>抽速不小于720L/s</w:t>
            </w:r>
            <w:r>
              <w:rPr>
                <w:rFonts w:hint="eastAsia" w:ascii="宋体" w:hAnsi="宋体" w:eastAsia="宋体" w:cs="宋体"/>
                <w:color w:val="auto"/>
                <w:szCs w:val="21"/>
                <w14:ligatures w14:val="standardContextual"/>
              </w:rPr>
              <w:t>；</w:t>
            </w:r>
          </w:p>
          <w:p w14:paraId="65B191A5">
            <w:pPr>
              <w:tabs>
                <w:tab w:val="left" w:pos="420"/>
              </w:tabs>
              <w:adjustRightInd w:val="0"/>
              <w:snapToGrid w:val="0"/>
              <w:spacing w:line="360" w:lineRule="auto"/>
              <w:rPr>
                <w:rFonts w:hint="eastAsia" w:ascii="宋体" w:hAnsi="宋体" w:eastAsia="宋体" w:cs="宋体"/>
                <w:color w:val="auto"/>
                <w:szCs w:val="21"/>
                <w14:ligatures w14:val="standardContextual"/>
              </w:rPr>
            </w:pPr>
            <w:r>
              <w:rPr>
                <w:rFonts w:hint="eastAsia" w:ascii="宋体" w:hAnsi="宋体" w:eastAsia="宋体" w:cs="宋体"/>
                <w:color w:val="auto"/>
                <w:szCs w:val="21"/>
                <w14:ligatures w14:val="standardContextual"/>
              </w:rPr>
              <w:t>3.2溅射</w:t>
            </w:r>
            <w:r>
              <w:rPr>
                <w:rFonts w:hint="eastAsia" w:ascii="宋体" w:hAnsi="宋体" w:eastAsia="宋体" w:cs="宋体"/>
                <w:color w:val="auto"/>
                <w:szCs w:val="21"/>
                <w:lang w:val="en-US" w:eastAsia="zh-CN"/>
                <w14:ligatures w14:val="standardContextual"/>
              </w:rPr>
              <w:t>室</w:t>
            </w:r>
            <w:r>
              <w:rPr>
                <w:rFonts w:hint="eastAsia" w:ascii="宋体" w:hAnsi="宋体" w:eastAsia="宋体" w:cs="宋体"/>
                <w:color w:val="auto"/>
                <w:szCs w:val="21"/>
                <w14:ligatures w14:val="standardContextual"/>
              </w:rPr>
              <w:t>干式涡旋泵：峰值抽速不小于</w:t>
            </w:r>
            <w:r>
              <w:rPr>
                <w:rFonts w:hint="eastAsia" w:ascii="宋体" w:hAnsi="宋体" w:eastAsia="宋体" w:cs="宋体"/>
                <w:color w:val="auto"/>
                <w:szCs w:val="21"/>
                <w:lang w:val="en-US" w:eastAsia="zh-CN"/>
                <w14:ligatures w14:val="standardContextual"/>
              </w:rPr>
              <w:t>14.5</w:t>
            </w:r>
            <w:r>
              <w:rPr>
                <w:rFonts w:hint="eastAsia" w:ascii="宋体" w:hAnsi="宋体" w:eastAsia="宋体" w:cs="宋体"/>
                <w:color w:val="auto"/>
                <w:szCs w:val="21"/>
                <w14:ligatures w14:val="standardContextual"/>
              </w:rPr>
              <w:t>m</w:t>
            </w:r>
            <w:r>
              <w:rPr>
                <w:rFonts w:hint="eastAsia" w:ascii="宋体" w:hAnsi="宋体" w:eastAsia="宋体" w:cs="宋体"/>
                <w:color w:val="auto"/>
                <w:szCs w:val="21"/>
                <w:vertAlign w:val="superscript"/>
                <w14:ligatures w14:val="standardContextual"/>
              </w:rPr>
              <w:t>3</w:t>
            </w:r>
            <w:r>
              <w:rPr>
                <w:rFonts w:hint="eastAsia" w:ascii="宋体" w:hAnsi="宋体" w:eastAsia="宋体" w:cs="宋体"/>
                <w:color w:val="auto"/>
                <w:szCs w:val="21"/>
                <w14:ligatures w14:val="standardContextual"/>
              </w:rPr>
              <w:t>/h，额定转速不小于1800rpm。</w:t>
            </w:r>
          </w:p>
          <w:p w14:paraId="27F7BB77">
            <w:pPr>
              <w:tabs>
                <w:tab w:val="left" w:pos="420"/>
              </w:tabs>
              <w:adjustRightInd w:val="0"/>
              <w:snapToGrid w:val="0"/>
              <w:spacing w:line="360" w:lineRule="auto"/>
              <w:rPr>
                <w:rFonts w:hint="eastAsia" w:ascii="宋体" w:hAnsi="宋体" w:eastAsia="宋体" w:cs="宋体"/>
                <w:color w:val="auto"/>
                <w:szCs w:val="21"/>
                <w14:ligatures w14:val="standardContextual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Cs w:val="21"/>
                <w14:ligatures w14:val="standardContextual"/>
              </w:rPr>
              <w:t>4.真空测量系统</w:t>
            </w:r>
          </w:p>
          <w:p w14:paraId="6B39B1A6">
            <w:pPr>
              <w:tabs>
                <w:tab w:val="left" w:pos="420"/>
              </w:tabs>
              <w:adjustRightInd w:val="0"/>
              <w:snapToGrid w:val="0"/>
              <w:spacing w:line="360" w:lineRule="auto"/>
              <w:rPr>
                <w:rFonts w:hint="eastAsia" w:ascii="宋体" w:hAnsi="宋体" w:eastAsia="宋体" w:cs="宋体"/>
                <w:color w:val="auto"/>
                <w:szCs w:val="21"/>
                <w14:ligatures w14:val="standardContextual"/>
              </w:rPr>
            </w:pPr>
            <w:r>
              <w:rPr>
                <w:rFonts w:hint="eastAsia" w:ascii="宋体" w:hAnsi="宋体" w:eastAsia="宋体" w:cs="宋体"/>
                <w:color w:val="auto"/>
                <w:szCs w:val="21"/>
                <w14:ligatures w14:val="standardContextual"/>
              </w:rPr>
              <w:t>配备全量程复合真空计，量程5×10</w:t>
            </w:r>
            <w:r>
              <w:rPr>
                <w:rFonts w:hint="eastAsia" w:ascii="宋体" w:hAnsi="宋体" w:eastAsia="宋体" w:cs="宋体"/>
                <w:color w:val="auto"/>
                <w:szCs w:val="21"/>
                <w:vertAlign w:val="superscript"/>
                <w14:ligatures w14:val="standardContextual"/>
              </w:rPr>
              <w:t>-10</w:t>
            </w:r>
            <w:r>
              <w:rPr>
                <w:rFonts w:hint="eastAsia" w:ascii="宋体" w:hAnsi="宋体" w:eastAsia="宋体" w:cs="宋体"/>
                <w:color w:val="auto"/>
                <w:szCs w:val="21"/>
                <w14:ligatures w14:val="standardContextual"/>
              </w:rPr>
              <w:t>mbar至1×10</w:t>
            </w:r>
            <w:r>
              <w:rPr>
                <w:rFonts w:hint="eastAsia" w:ascii="宋体" w:hAnsi="宋体" w:eastAsia="宋体" w:cs="宋体"/>
                <w:color w:val="auto"/>
                <w:szCs w:val="21"/>
                <w:vertAlign w:val="superscript"/>
                <w14:ligatures w14:val="standardContextual"/>
              </w:rPr>
              <w:t>3</w:t>
            </w:r>
            <w:r>
              <w:rPr>
                <w:rFonts w:hint="eastAsia" w:ascii="宋体" w:hAnsi="宋体" w:eastAsia="宋体" w:cs="宋体"/>
                <w:color w:val="auto"/>
                <w:szCs w:val="21"/>
                <w14:ligatures w14:val="standardContextual"/>
              </w:rPr>
              <w:t>mbar；电容薄膜真空计，量程1×10</w:t>
            </w:r>
            <w:r>
              <w:rPr>
                <w:rFonts w:hint="eastAsia" w:ascii="宋体" w:hAnsi="宋体" w:eastAsia="宋体" w:cs="宋体"/>
                <w:color w:val="auto"/>
                <w:szCs w:val="21"/>
                <w:vertAlign w:val="superscript"/>
                <w14:ligatures w14:val="standardContextual"/>
              </w:rPr>
              <w:t>-4</w:t>
            </w:r>
            <w:r>
              <w:rPr>
                <w:rFonts w:hint="eastAsia" w:ascii="宋体" w:hAnsi="宋体" w:eastAsia="宋体" w:cs="宋体"/>
                <w:color w:val="auto"/>
                <w:szCs w:val="21"/>
                <w14:ligatures w14:val="standardContextual"/>
              </w:rPr>
              <w:t>mbar至1.1×10</w:t>
            </w:r>
            <w:r>
              <w:rPr>
                <w:rFonts w:hint="eastAsia" w:ascii="宋体" w:hAnsi="宋体" w:eastAsia="宋体" w:cs="宋体"/>
                <w:color w:val="auto"/>
                <w:szCs w:val="21"/>
                <w:vertAlign w:val="superscript"/>
                <w14:ligatures w14:val="standardContextual"/>
              </w:rPr>
              <w:t>-1</w:t>
            </w:r>
            <w:r>
              <w:rPr>
                <w:rFonts w:hint="eastAsia" w:ascii="宋体" w:hAnsi="宋体" w:eastAsia="宋体" w:cs="宋体"/>
                <w:color w:val="auto"/>
                <w:szCs w:val="21"/>
                <w14:ligatures w14:val="standardContextual"/>
              </w:rPr>
              <w:t>mbar。</w:t>
            </w:r>
          </w:p>
          <w:p w14:paraId="318B3EBA">
            <w:pPr>
              <w:tabs>
                <w:tab w:val="left" w:pos="420"/>
              </w:tabs>
              <w:adjustRightInd w:val="0"/>
              <w:snapToGrid w:val="0"/>
              <w:spacing w:line="360" w:lineRule="auto"/>
              <w:rPr>
                <w:rFonts w:hint="eastAsia" w:ascii="宋体" w:hAnsi="宋体" w:eastAsia="宋体" w:cs="宋体"/>
                <w:color w:val="auto"/>
                <w:szCs w:val="21"/>
                <w14:ligatures w14:val="standardContextual"/>
              </w:rPr>
            </w:pPr>
          </w:p>
          <w:p w14:paraId="4707EE0D">
            <w:pPr>
              <w:tabs>
                <w:tab w:val="left" w:pos="420"/>
              </w:tabs>
              <w:adjustRightInd w:val="0"/>
              <w:snapToGrid w:val="0"/>
              <w:spacing w:line="360" w:lineRule="auto"/>
              <w:rPr>
                <w:rFonts w:hint="eastAsia" w:ascii="宋体" w:hAnsi="宋体" w:eastAsia="宋体" w:cs="宋体"/>
                <w:b/>
                <w:bCs/>
                <w:color w:val="auto"/>
                <w:szCs w:val="21"/>
                <w14:ligatures w14:val="standardContextual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Cs w:val="21"/>
                <w14:ligatures w14:val="standardContextual"/>
              </w:rPr>
              <w:t>5.样品台</w:t>
            </w:r>
          </w:p>
          <w:p w14:paraId="57360549">
            <w:pPr>
              <w:tabs>
                <w:tab w:val="left" w:pos="420"/>
              </w:tabs>
              <w:adjustRightInd w:val="0"/>
              <w:snapToGrid w:val="0"/>
              <w:spacing w:line="360" w:lineRule="auto"/>
              <w:rPr>
                <w:rFonts w:hint="eastAsia" w:ascii="宋体" w:hAnsi="宋体" w:eastAsia="宋体" w:cs="宋体"/>
                <w:color w:val="auto"/>
                <w:szCs w:val="21"/>
                <w:lang w:eastAsia="zh-CN"/>
                <w14:ligatures w14:val="standardContextual"/>
              </w:rPr>
            </w:pPr>
            <w:r>
              <w:rPr>
                <w:rFonts w:hint="eastAsia" w:ascii="宋体" w:hAnsi="宋体" w:eastAsia="宋体" w:cs="宋体"/>
                <w:color w:val="auto"/>
                <w:szCs w:val="21"/>
                <w14:ligatures w14:val="standardContextual"/>
              </w:rPr>
              <w:t>★5.1</w:t>
            </w:r>
            <w:r>
              <w:rPr>
                <w:rFonts w:hint="eastAsia" w:ascii="宋体" w:hAnsi="宋体" w:cs="宋体"/>
                <w:color w:val="auto"/>
                <w:szCs w:val="21"/>
                <w:lang w:val="en-US" w:eastAsia="zh-CN"/>
                <w14:ligatures w14:val="standardContextual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auto"/>
                <w:szCs w:val="21"/>
                <w14:ligatures w14:val="standardContextual"/>
              </w:rPr>
              <w:t xml:space="preserve"> 4inch样品台，辐射式加热盘，最高加热温度800℃，300℃-</w:t>
            </w:r>
            <w:r>
              <w:rPr>
                <w:rFonts w:hint="eastAsia" w:ascii="宋体" w:hAnsi="宋体" w:eastAsia="宋体" w:cs="宋体"/>
                <w:color w:val="auto"/>
                <w:szCs w:val="21"/>
                <w:lang w:val="en-US" w:eastAsia="zh-CN"/>
                <w14:ligatures w14:val="standardContextual"/>
              </w:rPr>
              <w:t>8</w:t>
            </w:r>
            <w:r>
              <w:rPr>
                <w:rFonts w:hint="eastAsia" w:ascii="宋体" w:hAnsi="宋体" w:eastAsia="宋体" w:cs="宋体"/>
                <w:color w:val="auto"/>
                <w:szCs w:val="21"/>
                <w14:ligatures w14:val="standardContextual"/>
              </w:rPr>
              <w:t>00℃控温精度±1℃</w:t>
            </w:r>
            <w:r>
              <w:rPr>
                <w:rFonts w:hint="eastAsia" w:ascii="宋体" w:hAnsi="宋体" w:eastAsia="宋体" w:cs="宋体"/>
                <w:color w:val="auto"/>
                <w:szCs w:val="21"/>
                <w:lang w:eastAsia="zh-CN"/>
                <w14:ligatures w14:val="standardContextual"/>
              </w:rPr>
              <w:t>；</w:t>
            </w:r>
          </w:p>
          <w:p w14:paraId="21BD24D2">
            <w:pPr>
              <w:tabs>
                <w:tab w:val="left" w:pos="420"/>
              </w:tabs>
              <w:adjustRightInd w:val="0"/>
              <w:snapToGrid w:val="0"/>
              <w:spacing w:line="360" w:lineRule="auto"/>
              <w:rPr>
                <w:rFonts w:hint="eastAsia" w:ascii="宋体" w:hAnsi="宋体" w:eastAsia="宋体" w:cs="宋体"/>
                <w:color w:val="auto"/>
                <w:szCs w:val="21"/>
                <w14:ligatures w14:val="standardContextual"/>
              </w:rPr>
            </w:pPr>
            <w:r>
              <w:rPr>
                <w:rFonts w:hint="eastAsia" w:ascii="宋体" w:hAnsi="宋体" w:eastAsia="宋体" w:cs="宋体"/>
                <w:color w:val="auto"/>
                <w:szCs w:val="21"/>
                <w:lang w:val="en-US" w:eastAsia="zh-CN"/>
                <w14:ligatures w14:val="standardContextual"/>
              </w:rPr>
              <w:t>5.2</w:t>
            </w:r>
            <w:r>
              <w:rPr>
                <w:rFonts w:hint="eastAsia" w:ascii="宋体" w:hAnsi="宋体" w:cs="宋体"/>
                <w:color w:val="auto"/>
                <w:szCs w:val="21"/>
                <w:lang w:val="en-US" w:eastAsia="zh-CN"/>
                <w14:ligatures w14:val="standardContextual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auto"/>
                <w:szCs w:val="21"/>
                <w14:ligatures w14:val="standardContextual"/>
              </w:rPr>
              <w:t>配备Z-R旋转升降模块</w:t>
            </w:r>
            <w:r>
              <w:rPr>
                <w:rFonts w:hint="eastAsia" w:ascii="宋体" w:hAnsi="宋体" w:eastAsia="宋体" w:cs="宋体"/>
                <w:color w:val="auto"/>
                <w:szCs w:val="21"/>
                <w:lang w:eastAsia="zh-CN"/>
                <w14:ligatures w14:val="standardContextual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szCs w:val="21"/>
                <w:lang w:val="en-US" w:eastAsia="zh-CN"/>
                <w14:ligatures w14:val="standardContextual"/>
              </w:rPr>
              <w:t>升降行程0</w:t>
            </w:r>
            <w:r>
              <w:rPr>
                <w:rFonts w:hint="eastAsia" w:ascii="宋体" w:hAnsi="宋体" w:cs="宋体"/>
                <w:color w:val="auto"/>
                <w:szCs w:val="21"/>
                <w:lang w:val="en-US" w:eastAsia="zh-CN"/>
                <w14:ligatures w14:val="standardContextual"/>
              </w:rPr>
              <w:t>—</w:t>
            </w:r>
            <w:r>
              <w:rPr>
                <w:rFonts w:hint="eastAsia" w:ascii="宋体" w:hAnsi="宋体" w:eastAsia="宋体" w:cs="宋体"/>
                <w:color w:val="auto"/>
                <w:szCs w:val="21"/>
                <w:lang w:val="en-US" w:eastAsia="zh-CN"/>
                <w14:ligatures w14:val="standardContextual"/>
              </w:rPr>
              <w:t>100mm</w:t>
            </w:r>
            <w:r>
              <w:rPr>
                <w:rFonts w:hint="eastAsia" w:ascii="宋体" w:hAnsi="宋体" w:eastAsia="宋体" w:cs="宋体"/>
                <w:color w:val="auto"/>
                <w:szCs w:val="21"/>
                <w14:ligatures w14:val="standardContextual"/>
              </w:rPr>
              <w:t>，可以实现</w:t>
            </w:r>
            <w:r>
              <w:rPr>
                <w:rFonts w:hint="eastAsia" w:ascii="宋体" w:hAnsi="宋体" w:eastAsia="宋体" w:cs="宋体"/>
                <w:color w:val="auto"/>
                <w:szCs w:val="21"/>
                <w:lang w:val="en-US" w:eastAsia="zh-CN"/>
                <w14:ligatures w14:val="standardContextual"/>
              </w:rPr>
              <w:t>4inch及以下</w:t>
            </w:r>
            <w:r>
              <w:rPr>
                <w:rFonts w:hint="eastAsia" w:ascii="宋体" w:hAnsi="宋体" w:eastAsia="宋体" w:cs="宋体"/>
                <w:color w:val="auto"/>
                <w:szCs w:val="21"/>
                <w14:ligatures w14:val="standardContextual"/>
              </w:rPr>
              <w:t>样品的抓取与旋转，旋转速率</w:t>
            </w:r>
            <w:r>
              <w:rPr>
                <w:rFonts w:hint="eastAsia" w:ascii="宋体" w:hAnsi="宋体" w:eastAsia="宋体" w:cs="宋体"/>
                <w:color w:val="auto"/>
                <w:szCs w:val="21"/>
                <w:lang w:val="en-US" w:eastAsia="zh-CN"/>
                <w14:ligatures w14:val="standardContextual"/>
              </w:rPr>
              <w:t>0-20rpm</w:t>
            </w:r>
            <w:r>
              <w:rPr>
                <w:rFonts w:hint="eastAsia" w:ascii="宋体" w:hAnsi="宋体" w:eastAsia="宋体" w:cs="宋体"/>
                <w:color w:val="auto"/>
                <w:szCs w:val="21"/>
                <w14:ligatures w14:val="standardContextual"/>
              </w:rPr>
              <w:t>可调；</w:t>
            </w:r>
          </w:p>
          <w:p w14:paraId="64ED2609">
            <w:pPr>
              <w:pStyle w:val="16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ind w:leftChars="0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-SA"/>
                <w14:ligatures w14:val="standardContextual"/>
              </w:rPr>
            </w:pPr>
            <w:r>
              <w:rPr>
                <w:rFonts w:hint="eastAsia" w:ascii="宋体" w:hAnsi="宋体" w:eastAsia="宋体" w:cs="宋体"/>
                <w:color w:val="auto"/>
                <w:szCs w:val="21"/>
                <w:lang w:val="en-US" w:eastAsia="zh-CN"/>
                <w14:ligatures w14:val="standardContextual"/>
              </w:rPr>
              <w:t>5</w:t>
            </w: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-SA"/>
                <w14:ligatures w14:val="standardContextual"/>
              </w:rPr>
              <w:t>.3</w:t>
            </w:r>
            <w:r>
              <w:rPr>
                <w:rFonts w:hint="eastAsia" w:ascii="宋体" w:hAnsi="宋体" w:cs="宋体"/>
                <w:color w:val="auto"/>
                <w:kern w:val="2"/>
                <w:sz w:val="21"/>
                <w:szCs w:val="21"/>
                <w:lang w:val="en-US" w:eastAsia="zh-CN" w:bidi="ar-SA"/>
                <w14:ligatures w14:val="standardContextual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-SA"/>
                <w14:ligatures w14:val="standardContextual"/>
              </w:rPr>
              <w:t>配备马达，实现360度可调速度的旋转，配合倾斜溅射改善均匀性；</w:t>
            </w:r>
          </w:p>
          <w:p w14:paraId="2951657D">
            <w:pPr>
              <w:pStyle w:val="16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ind w:leftChars="0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-SA"/>
                <w14:ligatures w14:val="standardContextual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-SA"/>
                <w14:ligatures w14:val="standardContextual"/>
              </w:rPr>
              <w:t>5.4</w:t>
            </w:r>
            <w:r>
              <w:rPr>
                <w:rFonts w:hint="eastAsia" w:ascii="宋体" w:hAnsi="宋体" w:cs="宋体"/>
                <w:color w:val="auto"/>
                <w:kern w:val="2"/>
                <w:sz w:val="21"/>
                <w:szCs w:val="21"/>
                <w:lang w:val="en-US" w:eastAsia="zh-CN" w:bidi="ar-SA"/>
                <w14:ligatures w14:val="standardContextual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-SA"/>
                <w14:ligatures w14:val="standardContextual"/>
              </w:rPr>
              <w:t>配备等离子体预清洗真空馈入装置，实现对样品的原位清洗，改善样品的致密性；</w:t>
            </w:r>
          </w:p>
          <w:p w14:paraId="45249DCD">
            <w:pPr>
              <w:pStyle w:val="16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ind w:leftChars="0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-SA"/>
                <w14:ligatures w14:val="standardContextual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-SA"/>
                <w14:ligatures w14:val="standardContextual"/>
              </w:rPr>
              <w:t>5.5</w:t>
            </w:r>
            <w:r>
              <w:rPr>
                <w:rFonts w:hint="eastAsia" w:ascii="宋体" w:hAnsi="宋体" w:cs="宋体"/>
                <w:color w:val="auto"/>
                <w:kern w:val="2"/>
                <w:sz w:val="21"/>
                <w:szCs w:val="21"/>
                <w:lang w:val="en-US" w:eastAsia="zh-CN" w:bidi="ar-SA"/>
                <w14:ligatures w14:val="standardContextual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-SA"/>
                <w14:ligatures w14:val="standardContextual"/>
              </w:rPr>
              <w:t>PC端控制软件，实现对样品台的自动化控制</w:t>
            </w:r>
            <w:r>
              <w:rPr>
                <w:rFonts w:hint="eastAsia" w:ascii="宋体" w:hAnsi="宋体" w:cs="宋体"/>
                <w:color w:val="auto"/>
                <w:kern w:val="2"/>
                <w:sz w:val="21"/>
                <w:szCs w:val="21"/>
                <w:lang w:val="en-US" w:eastAsia="zh-CN" w:bidi="ar-SA"/>
                <w14:ligatures w14:val="standardContextual"/>
              </w:rPr>
              <w:t>。</w:t>
            </w:r>
          </w:p>
          <w:p w14:paraId="44C2222A">
            <w:pPr>
              <w:tabs>
                <w:tab w:val="left" w:pos="420"/>
              </w:tabs>
              <w:adjustRightInd w:val="0"/>
              <w:snapToGrid w:val="0"/>
              <w:spacing w:line="360" w:lineRule="auto"/>
              <w:rPr>
                <w:rFonts w:hint="eastAsia" w:ascii="宋体" w:hAnsi="宋体" w:eastAsia="宋体" w:cs="宋体"/>
                <w:color w:val="auto"/>
                <w:szCs w:val="21"/>
                <w14:ligatures w14:val="standardContextual"/>
              </w:rPr>
            </w:pPr>
          </w:p>
          <w:p w14:paraId="35E09EDE">
            <w:pPr>
              <w:tabs>
                <w:tab w:val="left" w:pos="420"/>
              </w:tabs>
              <w:adjustRightInd w:val="0"/>
              <w:snapToGrid w:val="0"/>
              <w:spacing w:line="360" w:lineRule="auto"/>
              <w:rPr>
                <w:rFonts w:hint="eastAsia" w:ascii="宋体" w:hAnsi="宋体" w:eastAsia="宋体" w:cs="宋体"/>
                <w:b/>
                <w:bCs/>
                <w:color w:val="auto"/>
                <w:szCs w:val="21"/>
                <w14:ligatures w14:val="standardContextual"/>
              </w:rPr>
            </w:pPr>
            <w:r>
              <w:rPr>
                <w:rFonts w:hint="eastAsia" w:ascii="宋体" w:hAnsi="宋体" w:eastAsia="宋体" w:cs="宋体"/>
                <w:color w:val="auto"/>
                <w:szCs w:val="21"/>
                <w14:ligatures w14:val="standardContextual"/>
              </w:rPr>
              <w:t>★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szCs w:val="21"/>
                <w14:ligatures w14:val="standardContextual"/>
              </w:rPr>
              <w:t>6.阴极</w:t>
            </w:r>
          </w:p>
          <w:p w14:paraId="21CA0B26">
            <w:pPr>
              <w:tabs>
                <w:tab w:val="left" w:pos="420"/>
              </w:tabs>
              <w:adjustRightInd w:val="0"/>
              <w:snapToGrid w:val="0"/>
              <w:spacing w:line="360" w:lineRule="auto"/>
              <w:rPr>
                <w:rFonts w:hint="eastAsia" w:ascii="宋体" w:hAnsi="宋体" w:eastAsia="宋体" w:cs="宋体"/>
                <w:color w:val="auto"/>
                <w:szCs w:val="21"/>
                <w:lang w:eastAsia="zh-CN"/>
                <w14:ligatures w14:val="standardContextual"/>
              </w:rPr>
            </w:pPr>
            <w:r>
              <w:rPr>
                <w:rFonts w:hint="eastAsia"/>
                <w:color w:val="auto"/>
                <w:lang w:val="en-US" w:eastAsia="zh-CN"/>
              </w:rPr>
              <w:t>6</w:t>
            </w:r>
            <w:r>
              <w:rPr>
                <w:rFonts w:hint="eastAsia" w:ascii="宋体" w:hAnsi="宋体" w:eastAsia="宋体" w:cs="宋体"/>
                <w:color w:val="auto"/>
                <w:szCs w:val="21"/>
                <w14:ligatures w14:val="standardContextual"/>
              </w:rPr>
              <w:t>.1</w:t>
            </w:r>
            <w:r>
              <w:rPr>
                <w:rFonts w:hint="eastAsia" w:ascii="宋体" w:hAnsi="宋体" w:cs="宋体"/>
                <w:color w:val="auto"/>
                <w:szCs w:val="21"/>
                <w:lang w:val="en-US" w:eastAsia="zh-CN"/>
                <w14:ligatures w14:val="standardContextual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auto"/>
                <w:szCs w:val="21"/>
                <w14:ligatures w14:val="standardContextual"/>
              </w:rPr>
              <w:t>2inch圆形阴极，数量不少于</w:t>
            </w:r>
            <w:r>
              <w:rPr>
                <w:rFonts w:hint="eastAsia" w:ascii="宋体" w:hAnsi="宋体" w:eastAsia="宋体" w:cs="宋体"/>
                <w:color w:val="auto"/>
                <w:szCs w:val="21"/>
                <w:lang w:val="en-US" w:eastAsia="zh-CN"/>
                <w14:ligatures w14:val="standardContextual"/>
              </w:rPr>
              <w:t>5</w:t>
            </w:r>
            <w:r>
              <w:rPr>
                <w:rFonts w:hint="eastAsia" w:ascii="宋体" w:hAnsi="宋体" w:eastAsia="宋体" w:cs="宋体"/>
                <w:color w:val="auto"/>
                <w:szCs w:val="21"/>
                <w14:ligatures w14:val="standardContextual"/>
              </w:rPr>
              <w:t>个，普通磁场设计不少于</w:t>
            </w:r>
            <w:r>
              <w:rPr>
                <w:rFonts w:hint="eastAsia" w:ascii="宋体" w:hAnsi="宋体" w:eastAsia="宋体" w:cs="宋体"/>
                <w:color w:val="auto"/>
                <w:szCs w:val="21"/>
                <w:lang w:val="en-US" w:eastAsia="zh-CN"/>
                <w14:ligatures w14:val="standardContextual"/>
              </w:rPr>
              <w:t>3</w:t>
            </w:r>
            <w:r>
              <w:rPr>
                <w:rFonts w:hint="eastAsia" w:ascii="宋体" w:hAnsi="宋体" w:eastAsia="宋体" w:cs="宋体"/>
                <w:color w:val="auto"/>
                <w:szCs w:val="21"/>
                <w14:ligatures w14:val="standardContextual"/>
              </w:rPr>
              <w:t>个，强磁场设计不少于2个</w:t>
            </w:r>
            <w:r>
              <w:rPr>
                <w:rFonts w:hint="eastAsia" w:ascii="宋体" w:hAnsi="宋体" w:eastAsia="宋体" w:cs="宋体"/>
                <w:color w:val="auto"/>
                <w:szCs w:val="21"/>
                <w:lang w:eastAsia="zh-CN"/>
                <w14:ligatures w14:val="standardContextual"/>
              </w:rPr>
              <w:t>；</w:t>
            </w:r>
            <w:r>
              <w:rPr>
                <w:rFonts w:hint="eastAsia" w:ascii="宋体" w:hAnsi="宋体" w:eastAsia="宋体" w:cs="宋体"/>
                <w:color w:val="auto"/>
                <w:szCs w:val="21"/>
                <w14:ligatures w14:val="standardContextual"/>
              </w:rPr>
              <w:t>靶面进气，单独气路设计</w:t>
            </w:r>
            <w:r>
              <w:rPr>
                <w:rFonts w:hint="eastAsia" w:ascii="宋体" w:hAnsi="宋体" w:eastAsia="宋体" w:cs="宋体"/>
                <w:color w:val="auto"/>
                <w:szCs w:val="21"/>
                <w:lang w:eastAsia="zh-CN"/>
                <w14:ligatures w14:val="standardContextual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szCs w:val="21"/>
                <w:lang w:val="en-US" w:eastAsia="zh-CN"/>
                <w14:ligatures w14:val="standardContextual"/>
              </w:rPr>
              <w:t>独立水冷，</w:t>
            </w:r>
            <w:r>
              <w:rPr>
                <w:rFonts w:hint="eastAsia" w:ascii="宋体" w:hAnsi="宋体" w:eastAsia="宋体" w:cs="宋体"/>
                <w:color w:val="auto"/>
                <w:szCs w:val="21"/>
                <w14:ligatures w14:val="standardContextual"/>
              </w:rPr>
              <w:t>带烟囱和挡板</w:t>
            </w:r>
            <w:r>
              <w:rPr>
                <w:rFonts w:hint="eastAsia" w:ascii="宋体" w:hAnsi="宋体" w:eastAsia="宋体" w:cs="宋体"/>
                <w:color w:val="auto"/>
                <w:szCs w:val="21"/>
                <w:lang w:eastAsia="zh-CN"/>
                <w14:ligatures w14:val="standardContextual"/>
              </w:rPr>
              <w:t>。</w:t>
            </w:r>
          </w:p>
          <w:p w14:paraId="1F2F439D">
            <w:pPr>
              <w:tabs>
                <w:tab w:val="left" w:pos="420"/>
              </w:tabs>
              <w:adjustRightInd w:val="0"/>
              <w:snapToGrid w:val="0"/>
              <w:spacing w:line="360" w:lineRule="auto"/>
              <w:rPr>
                <w:rFonts w:hint="eastAsia" w:ascii="宋体" w:hAnsi="宋体" w:eastAsia="宋体" w:cs="宋体"/>
                <w:color w:val="auto"/>
                <w:szCs w:val="21"/>
                <w:lang w:eastAsia="zh-CN"/>
                <w14:ligatures w14:val="standardContextual"/>
              </w:rPr>
            </w:pPr>
          </w:p>
          <w:p w14:paraId="6D9F30FC">
            <w:pPr>
              <w:tabs>
                <w:tab w:val="left" w:pos="420"/>
              </w:tabs>
              <w:adjustRightInd w:val="0"/>
              <w:snapToGrid w:val="0"/>
              <w:spacing w:line="360" w:lineRule="auto"/>
              <w:rPr>
                <w:rFonts w:hint="eastAsia" w:ascii="宋体" w:hAnsi="宋体" w:eastAsia="宋体" w:cs="宋体"/>
                <w:b/>
                <w:bCs/>
                <w:color w:val="auto"/>
                <w:szCs w:val="21"/>
                <w14:ligatures w14:val="standardContextual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Cs w:val="21"/>
                <w14:ligatures w14:val="standardContextual"/>
              </w:rPr>
              <w:t>7.电源</w:t>
            </w:r>
          </w:p>
          <w:p w14:paraId="6E664F3C">
            <w:pPr>
              <w:tabs>
                <w:tab w:val="left" w:pos="420"/>
              </w:tabs>
              <w:adjustRightInd w:val="0"/>
              <w:snapToGrid w:val="0"/>
              <w:spacing w:line="360" w:lineRule="auto"/>
              <w:rPr>
                <w:rFonts w:hint="eastAsia" w:ascii="宋体" w:hAnsi="宋体" w:eastAsia="宋体" w:cs="宋体"/>
                <w:color w:val="auto"/>
                <w:szCs w:val="21"/>
                <w14:ligatures w14:val="standardContextual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▲</w:t>
            </w:r>
            <w:r>
              <w:rPr>
                <w:rFonts w:hint="eastAsia" w:ascii="宋体" w:hAnsi="宋体" w:eastAsia="宋体" w:cs="宋体"/>
                <w:color w:val="auto"/>
                <w:szCs w:val="21"/>
                <w14:ligatures w14:val="standardContextual"/>
              </w:rPr>
              <w:t>7.1</w:t>
            </w:r>
            <w:r>
              <w:rPr>
                <w:rFonts w:hint="eastAsia" w:ascii="宋体" w:hAnsi="宋体" w:cs="宋体"/>
                <w:color w:val="auto"/>
                <w:szCs w:val="21"/>
                <w:lang w:val="en-US" w:eastAsia="zh-CN"/>
                <w14:ligatures w14:val="standardContextual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auto"/>
                <w:szCs w:val="21"/>
                <w14:ligatures w14:val="standardContextual"/>
              </w:rPr>
              <w:t>直流电源：最大功率不小于500W，800V电压，或同等性能及以上，输出精度：±电压、电流和功率标称值的1%，数量不少于</w:t>
            </w:r>
            <w:r>
              <w:rPr>
                <w:rFonts w:hint="eastAsia" w:ascii="宋体" w:hAnsi="宋体" w:eastAsia="宋体" w:cs="宋体"/>
                <w:color w:val="auto"/>
                <w:szCs w:val="21"/>
                <w:lang w:val="en-US" w:eastAsia="zh-CN"/>
                <w14:ligatures w14:val="standardContextual"/>
              </w:rPr>
              <w:t>2</w:t>
            </w:r>
            <w:r>
              <w:rPr>
                <w:rFonts w:hint="eastAsia" w:ascii="宋体" w:hAnsi="宋体" w:eastAsia="宋体" w:cs="宋体"/>
                <w:color w:val="auto"/>
                <w:szCs w:val="21"/>
                <w14:ligatures w14:val="standardContextual"/>
              </w:rPr>
              <w:t>个；</w:t>
            </w:r>
          </w:p>
          <w:p w14:paraId="02C2FA7B">
            <w:pPr>
              <w:tabs>
                <w:tab w:val="left" w:pos="420"/>
              </w:tabs>
              <w:adjustRightInd w:val="0"/>
              <w:snapToGrid w:val="0"/>
              <w:spacing w:line="360" w:lineRule="auto"/>
              <w:rPr>
                <w:rFonts w:hint="eastAsia" w:ascii="宋体" w:hAnsi="宋体" w:eastAsia="宋体" w:cs="宋体"/>
                <w:color w:val="auto"/>
                <w:szCs w:val="21"/>
                <w14:ligatures w14:val="standardContextual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▲</w:t>
            </w:r>
            <w:r>
              <w:rPr>
                <w:rFonts w:hint="eastAsia" w:ascii="宋体" w:hAnsi="宋体" w:eastAsia="宋体" w:cs="宋体"/>
                <w:color w:val="auto"/>
                <w:szCs w:val="21"/>
                <w14:ligatures w14:val="standardContextual"/>
              </w:rPr>
              <w:t>7.2</w:t>
            </w:r>
            <w:r>
              <w:rPr>
                <w:rFonts w:hint="eastAsia" w:ascii="宋体" w:hAnsi="宋体" w:cs="宋体"/>
                <w:color w:val="auto"/>
                <w:szCs w:val="21"/>
                <w:lang w:val="en-US" w:eastAsia="zh-CN"/>
                <w14:ligatures w14:val="standardContextual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auto"/>
                <w:szCs w:val="21"/>
                <w14:ligatures w14:val="standardContextual"/>
              </w:rPr>
              <w:t>射频电源：最大功率不小于300W，13.56MHz射频发生器，最大反射功率：20%，含切换器，数量不少于</w:t>
            </w:r>
            <w:r>
              <w:rPr>
                <w:rFonts w:hint="eastAsia" w:ascii="宋体" w:hAnsi="宋体" w:eastAsia="宋体" w:cs="宋体"/>
                <w:color w:val="auto"/>
                <w:szCs w:val="21"/>
                <w:lang w:val="en-US" w:eastAsia="zh-CN"/>
                <w14:ligatures w14:val="standardContextual"/>
              </w:rPr>
              <w:t>2</w:t>
            </w:r>
            <w:r>
              <w:rPr>
                <w:rFonts w:hint="eastAsia" w:ascii="宋体" w:hAnsi="宋体" w:eastAsia="宋体" w:cs="宋体"/>
                <w:color w:val="auto"/>
                <w:szCs w:val="21"/>
                <w14:ligatures w14:val="standardContextual"/>
              </w:rPr>
              <w:t>个。</w:t>
            </w:r>
          </w:p>
          <w:p w14:paraId="702B4128">
            <w:pPr>
              <w:tabs>
                <w:tab w:val="left" w:pos="420"/>
              </w:tabs>
              <w:adjustRightInd w:val="0"/>
              <w:snapToGrid w:val="0"/>
              <w:spacing w:line="360" w:lineRule="auto"/>
              <w:rPr>
                <w:rFonts w:hint="eastAsia" w:ascii="宋体" w:hAnsi="宋体" w:eastAsia="宋体" w:cs="宋体"/>
                <w:b/>
                <w:bCs/>
                <w:color w:val="auto"/>
                <w:szCs w:val="21"/>
                <w14:ligatures w14:val="standardContextual"/>
              </w:rPr>
            </w:pPr>
          </w:p>
          <w:p w14:paraId="25D1EC7B">
            <w:pPr>
              <w:tabs>
                <w:tab w:val="left" w:pos="420"/>
              </w:tabs>
              <w:adjustRightInd w:val="0"/>
              <w:snapToGrid w:val="0"/>
              <w:spacing w:line="360" w:lineRule="auto"/>
              <w:rPr>
                <w:rFonts w:hint="eastAsia" w:ascii="宋体" w:hAnsi="宋体" w:eastAsia="宋体" w:cs="宋体"/>
                <w:b/>
                <w:bCs/>
                <w:color w:val="auto"/>
                <w:szCs w:val="21"/>
                <w14:ligatures w14:val="standardContextual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Cs w:val="21"/>
                <w14:ligatures w14:val="standardContextual"/>
              </w:rPr>
              <w:t>8.进样室</w:t>
            </w:r>
          </w:p>
          <w:p w14:paraId="68D6E085">
            <w:pPr>
              <w:tabs>
                <w:tab w:val="left" w:pos="420"/>
              </w:tabs>
              <w:adjustRightInd w:val="0"/>
              <w:snapToGrid w:val="0"/>
              <w:spacing w:line="360" w:lineRule="auto"/>
              <w:rPr>
                <w:rFonts w:hint="eastAsia" w:ascii="宋体" w:hAnsi="宋体" w:eastAsia="宋体" w:cs="宋体"/>
                <w:color w:val="auto"/>
                <w:szCs w:val="21"/>
                <w14:ligatures w14:val="standardContextual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▲</w:t>
            </w:r>
            <w:r>
              <w:rPr>
                <w:rFonts w:hint="eastAsia" w:ascii="宋体" w:hAnsi="宋体" w:eastAsia="宋体" w:cs="宋体"/>
                <w:color w:val="auto"/>
                <w:szCs w:val="21"/>
                <w14:ligatures w14:val="standardContextual"/>
              </w:rPr>
              <w:t>8.1</w:t>
            </w:r>
            <w:r>
              <w:rPr>
                <w:rFonts w:hint="eastAsia" w:ascii="宋体" w:hAnsi="宋体" w:cs="宋体"/>
                <w:color w:val="auto"/>
                <w:szCs w:val="21"/>
                <w:lang w:val="en-US" w:eastAsia="zh-CN"/>
                <w14:ligatures w14:val="standardContextual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auto"/>
                <w:szCs w:val="21"/>
                <w14:ligatures w14:val="standardContextual"/>
              </w:rPr>
              <w:t>可以放置6个4inch样品托实现传样，配备样品托升降模块cassette</w:t>
            </w:r>
            <w:r>
              <w:rPr>
                <w:rFonts w:hint="eastAsia" w:ascii="宋体" w:hAnsi="宋体" w:eastAsia="宋体" w:cs="宋体"/>
                <w:color w:val="auto"/>
                <w:szCs w:val="21"/>
                <w:lang w:eastAsia="zh-CN"/>
                <w14:ligatures w14:val="standardContextual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szCs w:val="21"/>
                <w14:ligatures w14:val="standardContextual"/>
              </w:rPr>
              <w:t>行程100mm，实现6个位置样品的自动定位；</w:t>
            </w:r>
          </w:p>
          <w:p w14:paraId="5EB7AE5E">
            <w:pPr>
              <w:tabs>
                <w:tab w:val="left" w:pos="420"/>
              </w:tabs>
              <w:adjustRightInd w:val="0"/>
              <w:snapToGrid w:val="0"/>
              <w:spacing w:line="360" w:lineRule="auto"/>
              <w:rPr>
                <w:rFonts w:hint="eastAsia" w:ascii="宋体" w:hAnsi="宋体" w:eastAsia="宋体" w:cs="宋体"/>
                <w:color w:val="auto"/>
                <w:szCs w:val="21"/>
                <w:lang w:eastAsia="zh-CN"/>
                <w14:ligatures w14:val="standardContextual"/>
              </w:rPr>
            </w:pPr>
            <w:r>
              <w:rPr>
                <w:rFonts w:hint="eastAsia" w:ascii="宋体" w:hAnsi="宋体" w:eastAsia="宋体" w:cs="宋体"/>
                <w:color w:val="auto"/>
                <w:szCs w:val="21"/>
                <w:lang w:val="en-US" w:eastAsia="zh-CN"/>
                <w14:ligatures w14:val="standardContextual"/>
              </w:rPr>
              <w:t>8.2</w:t>
            </w:r>
            <w:r>
              <w:rPr>
                <w:rFonts w:hint="eastAsia" w:ascii="宋体" w:hAnsi="宋体" w:eastAsia="宋体" w:cs="宋体"/>
                <w:color w:val="auto"/>
                <w:szCs w:val="21"/>
                <w14:ligatures w14:val="standardContextual"/>
              </w:rPr>
              <w:t>高真空腔体，进样室配置快开门，实现试验样品的取放</w:t>
            </w:r>
            <w:r>
              <w:rPr>
                <w:rFonts w:hint="eastAsia" w:ascii="宋体" w:hAnsi="宋体" w:eastAsia="宋体" w:cs="宋体"/>
                <w:color w:val="auto"/>
                <w:szCs w:val="21"/>
                <w:lang w:eastAsia="zh-CN"/>
                <w14:ligatures w14:val="standardContextual"/>
              </w:rPr>
              <w:t>；</w:t>
            </w:r>
          </w:p>
          <w:p w14:paraId="7AA15879">
            <w:pPr>
              <w:tabs>
                <w:tab w:val="left" w:pos="420"/>
              </w:tabs>
              <w:adjustRightInd w:val="0"/>
              <w:snapToGrid w:val="0"/>
              <w:spacing w:line="360" w:lineRule="auto"/>
              <w:rPr>
                <w:rFonts w:hint="eastAsia" w:ascii="宋体" w:hAnsi="宋体" w:eastAsia="宋体" w:cs="宋体"/>
                <w:color w:val="auto"/>
                <w:szCs w:val="21"/>
                <w14:ligatures w14:val="standardContextual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▲</w:t>
            </w:r>
            <w:r>
              <w:rPr>
                <w:rFonts w:hint="eastAsia" w:ascii="宋体" w:hAnsi="宋体" w:eastAsia="宋体" w:cs="宋体"/>
                <w:color w:val="auto"/>
                <w:szCs w:val="21"/>
                <w14:ligatures w14:val="standardContextual"/>
              </w:rPr>
              <w:t>8.</w:t>
            </w:r>
            <w:r>
              <w:rPr>
                <w:rFonts w:hint="eastAsia" w:ascii="宋体" w:hAnsi="宋体" w:eastAsia="宋体" w:cs="宋体"/>
                <w:color w:val="auto"/>
                <w:szCs w:val="21"/>
                <w:lang w:val="en-US" w:eastAsia="zh-CN"/>
                <w14:ligatures w14:val="standardContextual"/>
              </w:rPr>
              <w:t>3</w:t>
            </w:r>
            <w:r>
              <w:rPr>
                <w:rFonts w:hint="eastAsia" w:ascii="宋体" w:hAnsi="宋体" w:cs="宋体"/>
                <w:color w:val="auto"/>
                <w:szCs w:val="21"/>
                <w:lang w:val="en-US" w:eastAsia="zh-CN"/>
                <w14:ligatures w14:val="standardContextual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auto"/>
                <w:szCs w:val="21"/>
                <w14:ligatures w14:val="standardContextual"/>
              </w:rPr>
              <w:t>极限真空优于1×10</w:t>
            </w:r>
            <w:r>
              <w:rPr>
                <w:rFonts w:hint="eastAsia" w:ascii="宋体" w:hAnsi="宋体" w:eastAsia="宋体" w:cs="宋体"/>
                <w:color w:val="auto"/>
                <w:szCs w:val="21"/>
                <w:vertAlign w:val="superscript"/>
                <w14:ligatures w14:val="standardContextual"/>
              </w:rPr>
              <w:t>-7</w:t>
            </w:r>
            <w:r>
              <w:rPr>
                <w:rFonts w:hint="eastAsia" w:ascii="宋体" w:hAnsi="宋体" w:eastAsia="宋体" w:cs="宋体"/>
                <w:color w:val="auto"/>
                <w:szCs w:val="21"/>
                <w14:ligatures w14:val="standardContextual"/>
              </w:rPr>
              <w:t>mbar，到达10</w:t>
            </w:r>
            <w:r>
              <w:rPr>
                <w:rFonts w:hint="eastAsia" w:ascii="宋体" w:hAnsi="宋体" w:eastAsia="宋体" w:cs="宋体"/>
                <w:color w:val="auto"/>
                <w:szCs w:val="21"/>
                <w:vertAlign w:val="superscript"/>
                <w14:ligatures w14:val="standardContextual"/>
              </w:rPr>
              <w:t>-6</w:t>
            </w:r>
            <w:r>
              <w:rPr>
                <w:rFonts w:hint="eastAsia" w:ascii="宋体" w:hAnsi="宋体" w:eastAsia="宋体" w:cs="宋体"/>
                <w:color w:val="auto"/>
                <w:szCs w:val="21"/>
                <w14:ligatures w14:val="standardContextual"/>
              </w:rPr>
              <w:t>mbar时间短于1h，快速实现样品的装载与传输；</w:t>
            </w:r>
          </w:p>
          <w:p w14:paraId="68480A81">
            <w:pPr>
              <w:tabs>
                <w:tab w:val="left" w:pos="420"/>
              </w:tabs>
              <w:adjustRightInd w:val="0"/>
              <w:snapToGrid w:val="0"/>
              <w:spacing w:line="360" w:lineRule="auto"/>
              <w:rPr>
                <w:rFonts w:hint="eastAsia" w:ascii="宋体" w:hAnsi="宋体" w:eastAsia="宋体" w:cs="宋体"/>
                <w:color w:val="auto"/>
                <w:szCs w:val="21"/>
                <w14:ligatures w14:val="standardContextual"/>
              </w:rPr>
            </w:pPr>
            <w:r>
              <w:rPr>
                <w:rFonts w:hint="eastAsia" w:ascii="宋体" w:hAnsi="宋体" w:eastAsia="宋体" w:cs="宋体"/>
                <w:color w:val="auto"/>
                <w:szCs w:val="21"/>
                <w14:ligatures w14:val="standardContextual"/>
              </w:rPr>
              <w:t>8.</w:t>
            </w:r>
            <w:r>
              <w:rPr>
                <w:rFonts w:hint="eastAsia" w:ascii="宋体" w:hAnsi="宋体" w:eastAsia="宋体" w:cs="宋体"/>
                <w:color w:val="auto"/>
                <w:szCs w:val="21"/>
                <w:lang w:val="en-US" w:eastAsia="zh-CN"/>
                <w14:ligatures w14:val="standardContextual"/>
              </w:rPr>
              <w:t>4</w:t>
            </w:r>
            <w:r>
              <w:rPr>
                <w:rFonts w:hint="eastAsia" w:ascii="宋体" w:hAnsi="宋体" w:cs="宋体"/>
                <w:color w:val="auto"/>
                <w:szCs w:val="21"/>
                <w:lang w:val="en-US" w:eastAsia="zh-CN"/>
                <w14:ligatures w14:val="standardContextual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auto"/>
                <w:szCs w:val="21"/>
                <w14:ligatures w14:val="standardContextual"/>
              </w:rPr>
              <w:t>分子泵：</w:t>
            </w:r>
            <w:r>
              <w:rPr>
                <w:rFonts w:hint="eastAsia" w:ascii="宋体" w:hAnsi="宋体" w:eastAsia="宋体" w:cs="宋体"/>
                <w:color w:val="auto"/>
                <w:szCs w:val="21"/>
                <w:lang w:val="en-US" w:eastAsia="zh-CN"/>
                <w14:ligatures w14:val="standardContextual"/>
              </w:rPr>
              <w:t>对N</w:t>
            </w:r>
            <w:r>
              <w:rPr>
                <w:rFonts w:hint="eastAsia" w:ascii="宋体" w:hAnsi="宋体" w:eastAsia="宋体" w:cs="宋体"/>
                <w:color w:val="auto"/>
                <w:szCs w:val="21"/>
                <w:vertAlign w:val="subscript"/>
                <w:lang w:val="en-US" w:eastAsia="zh-CN"/>
                <w14:ligatures w14:val="standardContextual"/>
              </w:rPr>
              <w:t>2</w:t>
            </w:r>
            <w:r>
              <w:rPr>
                <w:rFonts w:hint="eastAsia" w:ascii="宋体" w:hAnsi="宋体" w:eastAsia="宋体" w:cs="宋体"/>
                <w:color w:val="auto"/>
                <w:szCs w:val="21"/>
                <w14:ligatures w14:val="standardContextual"/>
              </w:rPr>
              <w:t>抽速</w:t>
            </w:r>
            <w:r>
              <w:rPr>
                <w:rFonts w:hint="eastAsia" w:ascii="宋体" w:hAnsi="宋体" w:eastAsia="宋体" w:cs="宋体"/>
                <w:color w:val="auto"/>
                <w:szCs w:val="21"/>
                <w:lang w:val="en-US" w:eastAsia="zh-CN"/>
                <w14:ligatures w14:val="standardContextual"/>
              </w:rPr>
              <w:t>不小于225</w:t>
            </w:r>
            <w:r>
              <w:rPr>
                <w:rFonts w:hint="eastAsia" w:ascii="宋体" w:hAnsi="宋体" w:eastAsia="宋体" w:cs="宋体"/>
                <w:color w:val="auto"/>
                <w:szCs w:val="21"/>
                <w14:ligatures w14:val="standardContextual"/>
              </w:rPr>
              <w:t>L/s；干式涡旋泵：峰值抽速不小于10m</w:t>
            </w:r>
            <w:r>
              <w:rPr>
                <w:rFonts w:hint="eastAsia" w:ascii="宋体" w:hAnsi="宋体" w:eastAsia="宋体" w:cs="宋体"/>
                <w:color w:val="auto"/>
                <w:szCs w:val="21"/>
                <w:vertAlign w:val="superscript"/>
                <w14:ligatures w14:val="standardContextual"/>
              </w:rPr>
              <w:t>3</w:t>
            </w:r>
            <w:r>
              <w:rPr>
                <w:rFonts w:hint="eastAsia" w:ascii="宋体" w:hAnsi="宋体" w:eastAsia="宋体" w:cs="宋体"/>
                <w:color w:val="auto"/>
                <w:szCs w:val="21"/>
                <w14:ligatures w14:val="standardContextual"/>
              </w:rPr>
              <w:t>/h；</w:t>
            </w:r>
          </w:p>
          <w:p w14:paraId="03D2FD7C">
            <w:pPr>
              <w:tabs>
                <w:tab w:val="left" w:pos="420"/>
              </w:tabs>
              <w:adjustRightInd w:val="0"/>
              <w:snapToGrid w:val="0"/>
              <w:spacing w:line="360" w:lineRule="auto"/>
              <w:rPr>
                <w:rFonts w:hint="eastAsia" w:ascii="宋体" w:hAnsi="宋体" w:eastAsia="宋体" w:cs="宋体"/>
                <w:color w:val="auto"/>
                <w:szCs w:val="21"/>
                <w14:ligatures w14:val="standardContextual"/>
              </w:rPr>
            </w:pPr>
            <w:r>
              <w:rPr>
                <w:rFonts w:hint="eastAsia" w:ascii="宋体" w:hAnsi="宋体" w:eastAsia="宋体" w:cs="宋体"/>
                <w:color w:val="auto"/>
                <w:szCs w:val="21"/>
                <w14:ligatures w14:val="standardContextual"/>
              </w:rPr>
              <w:t>8.</w:t>
            </w:r>
            <w:r>
              <w:rPr>
                <w:rFonts w:hint="eastAsia" w:ascii="宋体" w:hAnsi="宋体" w:eastAsia="宋体" w:cs="宋体"/>
                <w:color w:val="auto"/>
                <w:szCs w:val="21"/>
                <w:lang w:val="en-US" w:eastAsia="zh-CN"/>
                <w14:ligatures w14:val="standardContextual"/>
              </w:rPr>
              <w:t>5</w:t>
            </w:r>
            <w:r>
              <w:rPr>
                <w:rFonts w:hint="eastAsia" w:ascii="宋体" w:hAnsi="宋体" w:cs="宋体"/>
                <w:color w:val="auto"/>
                <w:szCs w:val="21"/>
                <w:lang w:val="en-US" w:eastAsia="zh-CN"/>
                <w14:ligatures w14:val="standardContextual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auto"/>
                <w:szCs w:val="21"/>
                <w14:ligatures w14:val="standardContextual"/>
              </w:rPr>
              <w:t>配备全量程复合真空计，测量范围：</w:t>
            </w:r>
            <w:r>
              <w:rPr>
                <w:rFonts w:hint="eastAsia" w:ascii="宋体" w:hAnsi="宋体" w:eastAsia="宋体" w:cs="宋体"/>
                <w:color w:val="auto"/>
                <w:szCs w:val="21"/>
                <w:lang w:val="en-US" w:eastAsia="zh-CN"/>
                <w14:ligatures w14:val="standardContextual"/>
              </w:rPr>
              <w:t>1</w:t>
            </w:r>
            <w:r>
              <w:rPr>
                <w:rFonts w:hint="eastAsia" w:ascii="宋体" w:hAnsi="宋体" w:eastAsia="宋体" w:cs="宋体"/>
                <w:color w:val="auto"/>
                <w:szCs w:val="21"/>
                <w14:ligatures w14:val="standardContextual"/>
              </w:rPr>
              <w:t>×10</w:t>
            </w:r>
            <w:r>
              <w:rPr>
                <w:rFonts w:hint="eastAsia" w:ascii="宋体" w:hAnsi="宋体" w:eastAsia="宋体" w:cs="宋体"/>
                <w:color w:val="auto"/>
                <w:szCs w:val="21"/>
                <w:vertAlign w:val="superscript"/>
                <w14:ligatures w14:val="standardContextual"/>
              </w:rPr>
              <w:t>-9</w:t>
            </w:r>
            <w:r>
              <w:rPr>
                <w:rFonts w:hint="eastAsia" w:ascii="宋体" w:hAnsi="宋体" w:cs="宋体"/>
                <w:color w:val="auto"/>
                <w:szCs w:val="21"/>
                <w:lang w:eastAsia="zh-CN"/>
                <w14:ligatures w14:val="standardContextual"/>
              </w:rPr>
              <w:t>—</w:t>
            </w:r>
            <w:r>
              <w:rPr>
                <w:rFonts w:hint="eastAsia" w:ascii="宋体" w:hAnsi="宋体" w:cs="宋体"/>
                <w:color w:val="auto"/>
                <w:szCs w:val="21"/>
                <w:lang w:val="en-US" w:eastAsia="zh-CN"/>
                <w14:ligatures w14:val="standardContextual"/>
              </w:rPr>
              <w:t>1</w:t>
            </w:r>
            <w:r>
              <w:rPr>
                <w:rFonts w:hint="eastAsia" w:ascii="宋体" w:hAnsi="宋体" w:eastAsia="宋体" w:cs="宋体"/>
                <w:color w:val="auto"/>
                <w:szCs w:val="21"/>
                <w14:ligatures w14:val="standardContextual"/>
              </w:rPr>
              <w:t>×10</w:t>
            </w:r>
            <w:r>
              <w:rPr>
                <w:rFonts w:hint="eastAsia" w:ascii="宋体" w:hAnsi="宋体" w:cs="宋体"/>
                <w:color w:val="auto"/>
                <w:szCs w:val="21"/>
                <w:vertAlign w:val="superscript"/>
                <w:lang w:val="en-US" w:eastAsia="zh-CN"/>
                <w14:ligatures w14:val="standardContextual"/>
              </w:rPr>
              <w:t>3</w:t>
            </w:r>
            <w:r>
              <w:rPr>
                <w:rFonts w:hint="eastAsia" w:ascii="宋体" w:hAnsi="宋体" w:eastAsia="宋体" w:cs="宋体"/>
                <w:color w:val="auto"/>
                <w:szCs w:val="21"/>
                <w14:ligatures w14:val="standardContextual"/>
              </w:rPr>
              <w:t>mbar。</w:t>
            </w:r>
          </w:p>
          <w:p w14:paraId="19029100">
            <w:pPr>
              <w:tabs>
                <w:tab w:val="left" w:pos="420"/>
              </w:tabs>
              <w:adjustRightInd w:val="0"/>
              <w:snapToGrid w:val="0"/>
              <w:spacing w:line="360" w:lineRule="auto"/>
              <w:rPr>
                <w:rFonts w:hint="eastAsia" w:ascii="宋体" w:hAnsi="宋体" w:eastAsia="宋体" w:cs="宋体"/>
                <w:color w:val="auto"/>
                <w:szCs w:val="21"/>
                <w14:ligatures w14:val="standardContextual"/>
              </w:rPr>
            </w:pPr>
          </w:p>
          <w:p w14:paraId="27401DFC">
            <w:pPr>
              <w:tabs>
                <w:tab w:val="left" w:pos="420"/>
              </w:tabs>
              <w:adjustRightInd w:val="0"/>
              <w:snapToGrid w:val="0"/>
              <w:spacing w:line="360" w:lineRule="auto"/>
              <w:rPr>
                <w:rFonts w:hint="eastAsia" w:ascii="宋体" w:hAnsi="宋体" w:eastAsia="宋体" w:cs="宋体"/>
                <w:b/>
                <w:bCs/>
                <w:color w:val="auto"/>
                <w:szCs w:val="21"/>
                <w14:ligatures w14:val="standardContextual"/>
              </w:rPr>
            </w:pPr>
            <w:r>
              <w:rPr>
                <w:rFonts w:hint="eastAsia" w:ascii="宋体" w:hAnsi="宋体" w:eastAsia="宋体" w:cs="宋体"/>
                <w:color w:val="auto"/>
                <w:szCs w:val="21"/>
                <w14:ligatures w14:val="standardContextual"/>
              </w:rPr>
              <w:t>★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szCs w:val="21"/>
                <w14:ligatures w14:val="standardContextual"/>
              </w:rPr>
              <w:t>9.气路系统</w:t>
            </w:r>
          </w:p>
          <w:p w14:paraId="1CD27C18">
            <w:pPr>
              <w:tabs>
                <w:tab w:val="left" w:pos="420"/>
              </w:tabs>
              <w:adjustRightInd w:val="0"/>
              <w:snapToGrid w:val="0"/>
              <w:spacing w:line="360" w:lineRule="auto"/>
              <w:rPr>
                <w:rFonts w:hint="eastAsia" w:ascii="宋体" w:hAnsi="宋体" w:eastAsia="宋体" w:cs="宋体"/>
                <w:color w:val="auto"/>
                <w:szCs w:val="21"/>
                <w14:ligatures w14:val="standardContextual"/>
              </w:rPr>
            </w:pPr>
            <w:r>
              <w:rPr>
                <w:rFonts w:hint="eastAsia" w:ascii="宋体" w:hAnsi="宋体" w:cs="宋体"/>
                <w:color w:val="auto"/>
                <w:szCs w:val="21"/>
                <w:lang w:val="en-US" w:eastAsia="zh-CN"/>
                <w14:ligatures w14:val="standardContextual"/>
              </w:rPr>
              <w:t>9</w:t>
            </w:r>
            <w:r>
              <w:rPr>
                <w:rFonts w:hint="eastAsia" w:ascii="宋体" w:hAnsi="宋体" w:eastAsia="宋体" w:cs="宋体"/>
                <w:color w:val="auto"/>
                <w:szCs w:val="21"/>
                <w14:ligatures w14:val="standardContextual"/>
              </w:rPr>
              <w:t>.1</w:t>
            </w:r>
            <w:r>
              <w:rPr>
                <w:rFonts w:hint="eastAsia" w:ascii="宋体" w:hAnsi="宋体" w:cs="宋体"/>
                <w:color w:val="auto"/>
                <w:szCs w:val="21"/>
                <w:lang w:val="en-US" w:eastAsia="zh-CN"/>
                <w14:ligatures w14:val="standardContextual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auto"/>
                <w:szCs w:val="21"/>
                <w14:ligatures w14:val="standardContextual"/>
              </w:rPr>
              <w:t>采用三路MFC（Ar、N</w:t>
            </w:r>
            <w:r>
              <w:rPr>
                <w:rFonts w:hint="eastAsia" w:ascii="宋体" w:hAnsi="宋体" w:eastAsia="宋体" w:cs="宋体"/>
                <w:color w:val="auto"/>
                <w:szCs w:val="21"/>
                <w:vertAlign w:val="subscript"/>
                <w14:ligatures w14:val="standardContextual"/>
              </w:rPr>
              <w:t>2</w:t>
            </w:r>
            <w:r>
              <w:rPr>
                <w:rFonts w:hint="eastAsia" w:ascii="宋体" w:hAnsi="宋体" w:eastAsia="宋体" w:cs="宋体"/>
                <w:color w:val="auto"/>
                <w:szCs w:val="21"/>
                <w14:ligatures w14:val="standardContextual"/>
              </w:rPr>
              <w:t>、O</w:t>
            </w:r>
            <w:r>
              <w:rPr>
                <w:rFonts w:hint="eastAsia" w:ascii="宋体" w:hAnsi="宋体" w:eastAsia="宋体" w:cs="宋体"/>
                <w:color w:val="auto"/>
                <w:szCs w:val="21"/>
                <w:vertAlign w:val="subscript"/>
                <w14:ligatures w14:val="standardContextual"/>
              </w:rPr>
              <w:t>2</w:t>
            </w:r>
            <w:r>
              <w:rPr>
                <w:rFonts w:hint="eastAsia" w:ascii="宋体" w:hAnsi="宋体" w:eastAsia="宋体" w:cs="宋体"/>
                <w:color w:val="auto"/>
                <w:szCs w:val="21"/>
                <w14:ligatures w14:val="standardContextual"/>
              </w:rPr>
              <w:t>）实现进气，配混气装置，支持反应溅射。</w:t>
            </w:r>
          </w:p>
          <w:p w14:paraId="25E9C103">
            <w:pPr>
              <w:tabs>
                <w:tab w:val="left" w:pos="420"/>
              </w:tabs>
              <w:adjustRightInd w:val="0"/>
              <w:snapToGrid w:val="0"/>
              <w:spacing w:line="360" w:lineRule="auto"/>
              <w:rPr>
                <w:rFonts w:hint="eastAsia" w:ascii="宋体" w:hAnsi="宋体" w:eastAsia="宋体" w:cs="宋体"/>
                <w:b/>
                <w:bCs/>
                <w:color w:val="auto"/>
                <w:szCs w:val="21"/>
                <w14:ligatures w14:val="standardContextual"/>
              </w:rPr>
            </w:pPr>
          </w:p>
          <w:p w14:paraId="6B3B8861">
            <w:pPr>
              <w:tabs>
                <w:tab w:val="left" w:pos="420"/>
              </w:tabs>
              <w:adjustRightInd w:val="0"/>
              <w:snapToGrid w:val="0"/>
              <w:spacing w:line="360" w:lineRule="auto"/>
              <w:rPr>
                <w:rFonts w:hint="eastAsia" w:ascii="宋体" w:hAnsi="宋体" w:eastAsia="宋体" w:cs="宋体"/>
                <w:b/>
                <w:bCs/>
                <w:color w:val="auto"/>
                <w:szCs w:val="21"/>
                <w14:ligatures w14:val="standardContextual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Cs w:val="21"/>
                <w14:ligatures w14:val="standardContextual"/>
              </w:rPr>
              <w:t>10.控制系统</w:t>
            </w:r>
          </w:p>
          <w:p w14:paraId="220469DA">
            <w:pPr>
              <w:tabs>
                <w:tab w:val="left" w:pos="420"/>
              </w:tabs>
              <w:adjustRightInd w:val="0"/>
              <w:snapToGrid w:val="0"/>
              <w:spacing w:line="360" w:lineRule="auto"/>
              <w:rPr>
                <w:rFonts w:hint="eastAsia" w:ascii="宋体" w:hAnsi="宋体" w:eastAsia="宋体" w:cs="宋体"/>
                <w:color w:val="auto"/>
                <w:szCs w:val="21"/>
                <w:highlight w:val="none"/>
                <w:lang w:eastAsia="zh-CN"/>
                <w14:ligatures w14:val="standardContextual"/>
              </w:rPr>
            </w:pPr>
            <w:r>
              <w:rPr>
                <w:rFonts w:hint="eastAsia" w:ascii="宋体" w:hAnsi="宋体" w:eastAsia="宋体" w:cs="宋体"/>
                <w:color w:val="auto"/>
                <w:szCs w:val="21"/>
                <w14:ligatures w14:val="standardContextual"/>
              </w:rPr>
              <w:t>★</w:t>
            </w:r>
            <w:r>
              <w:rPr>
                <w:rFonts w:hint="eastAsia" w:ascii="宋体" w:hAnsi="宋体" w:cs="宋体"/>
                <w:color w:val="auto"/>
                <w:szCs w:val="21"/>
                <w:lang w:val="en-US" w:eastAsia="zh-CN"/>
                <w14:ligatures w14:val="standardContextual"/>
              </w:rPr>
              <w:t>10</w:t>
            </w:r>
            <w:r>
              <w:rPr>
                <w:rFonts w:hint="eastAsia" w:ascii="宋体" w:hAnsi="宋体" w:eastAsia="宋体" w:cs="宋体"/>
                <w:color w:val="auto"/>
                <w:szCs w:val="21"/>
                <w14:ligatures w14:val="standardContextual"/>
              </w:rPr>
              <w:t>.1（1）控制软件集成多种设备的控制功能，可执行手动和全自动工艺流程；（2）配备PLC与PC通信，自动控制泵组启停，实现</w:t>
            </w:r>
            <w:r>
              <w:rPr>
                <w:rFonts w:hint="eastAsia" w:ascii="宋体" w:hAnsi="宋体" w:eastAsia="宋体" w:cs="宋体"/>
                <w:color w:val="auto"/>
                <w:szCs w:val="21"/>
                <w:highlight w:val="none"/>
                <w14:ligatures w14:val="standardContextual"/>
              </w:rPr>
              <w:t>硬件互锁，保证系统稳定运行；（3）可以实现系统报警状态监控，可实现真空互锁，用户管理，工艺菜单管理，电源保护，交叉互锁功能</w:t>
            </w:r>
            <w:r>
              <w:rPr>
                <w:rFonts w:hint="eastAsia" w:ascii="宋体" w:hAnsi="宋体" w:eastAsia="宋体" w:cs="宋体"/>
                <w:color w:val="auto"/>
                <w:szCs w:val="21"/>
                <w:highlight w:val="none"/>
                <w:lang w:eastAsia="zh-CN"/>
                <w14:ligatures w14:val="standardContextual"/>
              </w:rPr>
              <w:t>；</w:t>
            </w:r>
          </w:p>
          <w:p w14:paraId="43E4A6EA">
            <w:pPr>
              <w:numPr>
                <w:ilvl w:val="0"/>
                <w:numId w:val="0"/>
              </w:numPr>
              <w:tabs>
                <w:tab w:val="left" w:pos="420"/>
              </w:tabs>
              <w:adjustRightInd w:val="0"/>
              <w:snapToGrid w:val="0"/>
              <w:spacing w:line="360" w:lineRule="auto"/>
              <w:rPr>
                <w:rFonts w:hint="eastAsia" w:ascii="宋体" w:hAnsi="宋体" w:cs="宋体"/>
                <w:b/>
                <w:bCs/>
                <w:color w:val="auto"/>
                <w:szCs w:val="21"/>
                <w:highlight w:val="none"/>
                <w:lang w:val="en-US" w:eastAsia="zh-CN"/>
                <w14:ligatures w14:val="standardContextual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  <w14:ligatures w14:val="standardContextual"/>
              </w:rPr>
              <w:t>11.</w:t>
            </w:r>
            <w:r>
              <w:rPr>
                <w:rFonts w:hint="eastAsia" w:ascii="宋体" w:hAnsi="宋体" w:cs="宋体"/>
                <w:b/>
                <w:bCs/>
                <w:color w:val="auto"/>
                <w:szCs w:val="21"/>
                <w:highlight w:val="none"/>
                <w:lang w:val="en-US" w:eastAsia="zh-CN"/>
                <w14:ligatures w14:val="standardContextual"/>
              </w:rPr>
              <w:t>工艺要求</w:t>
            </w:r>
          </w:p>
          <w:p w14:paraId="3ABCCBAC">
            <w:pPr>
              <w:tabs>
                <w:tab w:val="left" w:pos="420"/>
              </w:tabs>
              <w:adjustRightInd w:val="0"/>
              <w:snapToGrid w:val="0"/>
              <w:spacing w:line="360" w:lineRule="auto"/>
              <w:rPr>
                <w:rFonts w:hint="eastAsia" w:ascii="宋体" w:hAnsi="宋体" w:eastAsia="宋体" w:cs="宋体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▲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  <w:lang w:val="en-US" w:eastAsia="zh-CN"/>
                <w14:ligatures w14:val="standardContextual"/>
              </w:rPr>
              <w:t xml:space="preserve">11.1 </w:t>
            </w:r>
            <w:r>
              <w:rPr>
                <w:rFonts w:hint="eastAsia" w:ascii="宋体" w:hAnsi="宋体" w:eastAsia="宋体" w:cs="宋体"/>
                <w:color w:val="auto"/>
                <w:szCs w:val="21"/>
                <w:highlight w:val="none"/>
                <w14:ligatures w14:val="standardContextual"/>
              </w:rPr>
              <w:t>在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  <w:lang w:val="en-US" w:eastAsia="zh-CN"/>
                <w14:ligatures w14:val="standardContextual"/>
              </w:rPr>
              <w:t>4</w:t>
            </w:r>
            <w:r>
              <w:rPr>
                <w:rFonts w:hint="eastAsia" w:ascii="宋体" w:hAnsi="宋体" w:eastAsia="宋体" w:cs="宋体"/>
                <w:color w:val="auto"/>
                <w:szCs w:val="21"/>
                <w:highlight w:val="none"/>
                <w14:ligatures w14:val="standardContextual"/>
              </w:rPr>
              <w:t>英寸硅或蓝宝石衬底上，沉积</w:t>
            </w:r>
            <w:bookmarkStart w:id="12" w:name="OLE_LINK44"/>
            <w:bookmarkStart w:id="13" w:name="OLE_LINK43"/>
            <w:r>
              <w:rPr>
                <w:rFonts w:hint="eastAsia" w:ascii="宋体" w:hAnsi="宋体" w:cs="宋体"/>
                <w:color w:val="auto"/>
                <w:szCs w:val="21"/>
                <w:highlight w:val="none"/>
                <w:lang w:val="en-US" w:eastAsia="zh-CN"/>
                <w14:ligatures w14:val="standardContextual"/>
              </w:rPr>
              <w:t>高熵材料（含元素Al、Cr、Fe、Co、Ni、Cu、O）</w:t>
            </w:r>
            <w:r>
              <w:rPr>
                <w:rFonts w:hint="eastAsia" w:ascii="宋体" w:hAnsi="宋体" w:eastAsia="宋体" w:cs="宋体"/>
                <w:color w:val="auto"/>
                <w:szCs w:val="21"/>
                <w:highlight w:val="none"/>
                <w14:ligatures w14:val="standardContextual"/>
              </w:rPr>
              <w:t>薄膜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  <w:lang w:val="en-US" w:eastAsia="zh-CN"/>
                <w14:ligatures w14:val="standardContextual"/>
              </w:rPr>
              <w:t>150-200nm厚度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  <w:lang w:eastAsia="zh-CN"/>
                <w14:ligatures w14:val="standardContextual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szCs w:val="21"/>
                <w:highlight w:val="none"/>
                <w14:ligatures w14:val="standardContextual"/>
              </w:rPr>
              <w:t>薄膜沉积不均匀性不超过±</w:t>
            </w:r>
            <w:r>
              <w:rPr>
                <w:rFonts w:hint="eastAsia" w:ascii="宋体" w:hAnsi="宋体" w:eastAsia="宋体" w:cs="宋体"/>
                <w:color w:val="auto"/>
                <w:szCs w:val="21"/>
                <w:highlight w:val="none"/>
                <w:lang w:val="en-US" w:eastAsia="zh-CN"/>
                <w14:ligatures w14:val="standardContextual"/>
              </w:rPr>
              <w:t>3</w:t>
            </w:r>
            <w:r>
              <w:rPr>
                <w:rFonts w:hint="eastAsia" w:ascii="宋体" w:hAnsi="宋体" w:eastAsia="宋体" w:cs="宋体"/>
                <w:color w:val="auto"/>
                <w:szCs w:val="21"/>
                <w:highlight w:val="none"/>
                <w14:ligatures w14:val="standardContextual"/>
              </w:rPr>
              <w:t>%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  <w:lang w:eastAsia="zh-CN"/>
                <w14:ligatures w14:val="standardContextual"/>
              </w:rPr>
              <w:t>。</w:t>
            </w:r>
            <w:bookmarkEnd w:id="12"/>
            <w:bookmarkEnd w:id="13"/>
          </w:p>
        </w:tc>
      </w:tr>
    </w:tbl>
    <w:p w14:paraId="7232A6E7">
      <w:pPr>
        <w:pStyle w:val="3"/>
        <w:numPr>
          <w:numId w:val="0"/>
        </w:numPr>
        <w:ind w:left="0" w:leftChars="0" w:firstLine="0" w:firstLineChars="0"/>
        <w:rPr>
          <w:color w:val="auto"/>
        </w:rPr>
      </w:pPr>
      <w:bookmarkStart w:id="14" w:name="_Toc7826"/>
      <w:bookmarkStart w:id="15" w:name="_Toc14724"/>
      <w:bookmarkStart w:id="16" w:name="_Toc13069"/>
      <w:r>
        <w:rPr>
          <w:rFonts w:ascii="Times New Roman" w:hAnsi="Times New Roman"/>
          <w:color w:val="auto"/>
        </w:rPr>
        <w:t>三、商务要求（实质性要求）</w:t>
      </w:r>
      <w:bookmarkEnd w:id="14"/>
      <w:bookmarkEnd w:id="15"/>
      <w:bookmarkEnd w:id="16"/>
      <w:bookmarkStart w:id="17" w:name="_Toc135824239"/>
      <w:bookmarkStart w:id="18" w:name="_Toc15482"/>
    </w:p>
    <w:p w14:paraId="1F83E247">
      <w:pPr>
        <w:spacing w:line="360" w:lineRule="auto"/>
        <w:ind w:firstLine="480" w:firstLineChars="200"/>
        <w:rPr>
          <w:rFonts w:ascii="宋体" w:hAnsi="宋体"/>
          <w:color w:val="auto"/>
          <w:sz w:val="24"/>
        </w:rPr>
      </w:pPr>
      <w:r>
        <w:rPr>
          <w:rFonts w:hint="eastAsia" w:ascii="宋体" w:hAnsi="宋体"/>
          <w:color w:val="auto"/>
          <w:sz w:val="24"/>
        </w:rPr>
        <w:t>1、交货时间：</w:t>
      </w:r>
      <w:r>
        <w:rPr>
          <w:rFonts w:hint="eastAsia" w:ascii="宋体" w:hAnsi="宋体"/>
          <w:color w:val="auto"/>
          <w:sz w:val="24"/>
          <w:lang w:val="en-US" w:eastAsia="zh-CN"/>
        </w:rPr>
        <w:t>合同签订后</w:t>
      </w:r>
      <w:r>
        <w:rPr>
          <w:rFonts w:hint="eastAsia" w:ascii="宋体" w:hAnsi="宋体" w:eastAsia="宋体" w:cs="宋体"/>
          <w:color w:val="auto"/>
          <w:sz w:val="24"/>
          <w:lang w:val="en-US" w:eastAsia="zh-CN"/>
        </w:rPr>
        <w:t>180</w:t>
      </w:r>
      <w:r>
        <w:rPr>
          <w:rFonts w:hint="eastAsia" w:ascii="宋体" w:hAnsi="宋体"/>
          <w:color w:val="auto"/>
          <w:sz w:val="24"/>
          <w:lang w:val="en-US" w:eastAsia="zh-CN"/>
        </w:rPr>
        <w:t>日内交货并安装调试完成</w:t>
      </w:r>
      <w:r>
        <w:rPr>
          <w:rFonts w:hint="eastAsia" w:ascii="宋体" w:hAnsi="宋体"/>
          <w:color w:val="auto"/>
          <w:sz w:val="24"/>
        </w:rPr>
        <w:t>。</w:t>
      </w:r>
    </w:p>
    <w:p w14:paraId="177B2E93">
      <w:pPr>
        <w:spacing w:line="360" w:lineRule="auto"/>
        <w:ind w:firstLine="480" w:firstLineChars="200"/>
        <w:rPr>
          <w:rFonts w:ascii="宋体" w:hAnsi="宋体"/>
          <w:color w:val="auto"/>
          <w:sz w:val="24"/>
        </w:rPr>
      </w:pPr>
      <w:r>
        <w:rPr>
          <w:rFonts w:hint="eastAsia" w:ascii="宋体" w:hAnsi="宋体"/>
          <w:color w:val="auto"/>
          <w:sz w:val="24"/>
        </w:rPr>
        <w:t>2、交货地点：电子科技大学指定地点。由供应商负责办理运输和装卸等，费用由供应商负责，由采购人组织验收，检验不合格或不符合质量要求，供应商除无条件退货、返工外，还应承担采购人的一切损失。</w:t>
      </w:r>
    </w:p>
    <w:p w14:paraId="16E5737F">
      <w:pPr>
        <w:spacing w:line="360" w:lineRule="auto"/>
        <w:ind w:firstLine="480" w:firstLineChars="200"/>
        <w:rPr>
          <w:rFonts w:hint="eastAsia" w:ascii="宋体" w:hAnsi="宋体" w:cs="宋体"/>
          <w:color w:val="auto"/>
          <w:sz w:val="24"/>
          <w:highlight w:val="none"/>
        </w:rPr>
      </w:pPr>
      <w:r>
        <w:rPr>
          <w:rFonts w:hint="eastAsia" w:ascii="宋体" w:hAnsi="宋体"/>
          <w:color w:val="auto"/>
          <w:sz w:val="24"/>
          <w:highlight w:val="none"/>
        </w:rPr>
        <w:t>3、付款方式：</w:t>
      </w:r>
      <w:r>
        <w:rPr>
          <w:rFonts w:hint="eastAsia" w:ascii="宋体" w:hAnsi="宋体" w:cs="宋体"/>
          <w:color w:val="auto"/>
          <w:sz w:val="24"/>
          <w:highlight w:val="none"/>
        </w:rPr>
        <w:t>合同签订后预付合同价款的</w:t>
      </w:r>
      <w:r>
        <w:rPr>
          <w:rFonts w:hint="eastAsia" w:ascii="宋体" w:hAnsi="宋体" w:cs="宋体"/>
          <w:color w:val="auto"/>
          <w:sz w:val="24"/>
          <w:highlight w:val="none"/>
          <w:lang w:val="en-US" w:eastAsia="zh-CN"/>
        </w:rPr>
        <w:t>4</w:t>
      </w:r>
      <w:r>
        <w:rPr>
          <w:rFonts w:hint="eastAsia" w:ascii="宋体" w:hAnsi="宋体" w:cs="宋体"/>
          <w:color w:val="auto"/>
          <w:sz w:val="24"/>
          <w:highlight w:val="none"/>
        </w:rPr>
        <w:t>0%，整体安装完成验收合格</w:t>
      </w:r>
      <w:r>
        <w:rPr>
          <w:rFonts w:hint="eastAsia" w:ascii="宋体" w:hAnsi="宋体" w:cs="宋体"/>
          <w:color w:val="auto"/>
          <w:sz w:val="24"/>
          <w:highlight w:val="none"/>
          <w:lang w:val="en-US" w:eastAsia="zh-CN"/>
        </w:rPr>
        <w:t>并走完学校的建账流程</w:t>
      </w:r>
      <w:r>
        <w:rPr>
          <w:rFonts w:hint="eastAsia" w:ascii="宋体" w:hAnsi="宋体" w:cs="宋体"/>
          <w:color w:val="auto"/>
          <w:sz w:val="24"/>
          <w:highlight w:val="none"/>
        </w:rPr>
        <w:t>后中标商开具全额增值税专用发票，凭发票和</w:t>
      </w:r>
      <w:r>
        <w:rPr>
          <w:rFonts w:hint="eastAsia" w:ascii="宋体" w:hAnsi="宋体" w:cs="宋体"/>
          <w:color w:val="auto"/>
          <w:sz w:val="24"/>
          <w:highlight w:val="none"/>
          <w:lang w:val="en-US" w:eastAsia="zh-CN"/>
        </w:rPr>
        <w:t>建账</w:t>
      </w:r>
      <w:r>
        <w:rPr>
          <w:rFonts w:hint="eastAsia" w:ascii="宋体" w:hAnsi="宋体" w:cs="宋体"/>
          <w:color w:val="auto"/>
          <w:sz w:val="24"/>
          <w:highlight w:val="none"/>
        </w:rPr>
        <w:t>单支付合同价款的</w:t>
      </w:r>
      <w:r>
        <w:rPr>
          <w:rFonts w:hint="eastAsia" w:ascii="宋体" w:hAnsi="宋体" w:cs="宋体"/>
          <w:color w:val="auto"/>
          <w:sz w:val="24"/>
          <w:highlight w:val="none"/>
          <w:lang w:val="en-US" w:eastAsia="zh-CN"/>
        </w:rPr>
        <w:t>60</w:t>
      </w:r>
      <w:r>
        <w:rPr>
          <w:rFonts w:hint="eastAsia" w:ascii="宋体" w:hAnsi="宋体" w:cs="宋体"/>
          <w:color w:val="auto"/>
          <w:sz w:val="24"/>
          <w:highlight w:val="none"/>
        </w:rPr>
        <w:t>%</w:t>
      </w:r>
      <w:r>
        <w:rPr>
          <w:rFonts w:hint="eastAsia" w:ascii="宋体" w:hAnsi="宋体" w:cs="宋体"/>
          <w:color w:val="auto"/>
          <w:sz w:val="24"/>
          <w:highlight w:val="none"/>
          <w:lang w:eastAsia="zh-CN"/>
        </w:rPr>
        <w:t>。</w:t>
      </w:r>
    </w:p>
    <w:p w14:paraId="6D860660">
      <w:pPr>
        <w:spacing w:line="360" w:lineRule="auto"/>
        <w:ind w:firstLine="480" w:firstLineChars="200"/>
        <w:rPr>
          <w:rFonts w:ascii="宋体" w:hAnsi="宋体"/>
          <w:color w:val="auto"/>
          <w:sz w:val="24"/>
        </w:rPr>
      </w:pPr>
      <w:r>
        <w:rPr>
          <w:rFonts w:ascii="宋体" w:hAnsi="宋体"/>
          <w:color w:val="auto"/>
          <w:sz w:val="24"/>
        </w:rPr>
        <w:t>4</w:t>
      </w:r>
      <w:r>
        <w:rPr>
          <w:rFonts w:hint="eastAsia" w:ascii="宋体" w:hAnsi="宋体"/>
          <w:color w:val="auto"/>
          <w:sz w:val="24"/>
        </w:rPr>
        <w:t>、质保期：货到验收合格之日开始计算</w:t>
      </w:r>
      <w:r>
        <w:rPr>
          <w:rFonts w:hint="eastAsia" w:ascii="宋体" w:hAnsi="宋体"/>
          <w:color w:val="auto"/>
          <w:sz w:val="24"/>
          <w:lang w:val="en-US" w:eastAsia="zh-CN"/>
        </w:rPr>
        <w:t>不低于</w:t>
      </w:r>
      <w:r>
        <w:rPr>
          <w:rFonts w:hint="eastAsia" w:ascii="宋体" w:hAnsi="宋体" w:eastAsia="宋体" w:cs="宋体"/>
          <w:color w:val="auto"/>
          <w:sz w:val="24"/>
          <w:lang w:val="en-US" w:eastAsia="zh-CN"/>
        </w:rPr>
        <w:t>1</w:t>
      </w:r>
      <w:r>
        <w:rPr>
          <w:rFonts w:hint="eastAsia" w:ascii="宋体" w:hAnsi="宋体"/>
          <w:color w:val="auto"/>
          <w:sz w:val="24"/>
        </w:rPr>
        <w:t>年。</w:t>
      </w:r>
    </w:p>
    <w:p w14:paraId="191EAD58">
      <w:pPr>
        <w:spacing w:line="360" w:lineRule="auto"/>
        <w:ind w:firstLine="480" w:firstLineChars="200"/>
        <w:rPr>
          <w:rFonts w:ascii="宋体" w:hAnsi="宋体"/>
          <w:color w:val="auto"/>
          <w:sz w:val="24"/>
        </w:rPr>
      </w:pPr>
      <w:r>
        <w:rPr>
          <w:rFonts w:ascii="宋体" w:hAnsi="宋体"/>
          <w:color w:val="auto"/>
          <w:sz w:val="24"/>
        </w:rPr>
        <w:t>5</w:t>
      </w:r>
      <w:r>
        <w:rPr>
          <w:rFonts w:hint="eastAsia" w:ascii="宋体" w:hAnsi="宋体"/>
          <w:color w:val="auto"/>
          <w:sz w:val="24"/>
        </w:rPr>
        <w:t>、维修、培训以及售后服务</w:t>
      </w:r>
    </w:p>
    <w:p w14:paraId="751249E2">
      <w:pPr>
        <w:spacing w:line="360" w:lineRule="auto"/>
        <w:ind w:firstLine="480" w:firstLineChars="200"/>
        <w:rPr>
          <w:rFonts w:ascii="宋体" w:hAnsi="宋体"/>
          <w:color w:val="auto"/>
          <w:sz w:val="24"/>
        </w:rPr>
      </w:pPr>
      <w:r>
        <w:rPr>
          <w:rFonts w:hint="eastAsia" w:ascii="宋体" w:hAnsi="宋体"/>
          <w:color w:val="auto"/>
          <w:sz w:val="24"/>
        </w:rPr>
        <w:t>1）资料：</w:t>
      </w:r>
      <w:r>
        <w:rPr>
          <w:rFonts w:hint="eastAsia" w:ascii="宋体" w:hAnsi="宋体"/>
          <w:color w:val="auto"/>
          <w:sz w:val="24"/>
          <w:lang w:val="en-US" w:eastAsia="zh-CN"/>
        </w:rPr>
        <w:t>无条件</w:t>
      </w:r>
      <w:r>
        <w:rPr>
          <w:rFonts w:hint="eastAsia" w:ascii="宋体" w:hAnsi="宋体"/>
          <w:color w:val="auto"/>
          <w:sz w:val="24"/>
        </w:rPr>
        <w:t>提供全套、完整的技术资料，包括详细的说明书、操作手册和仪器维护等有关资料及质量认证书。</w:t>
      </w:r>
    </w:p>
    <w:p w14:paraId="1A6030B6">
      <w:pPr>
        <w:spacing w:line="360" w:lineRule="auto"/>
        <w:ind w:firstLine="480" w:firstLineChars="200"/>
        <w:rPr>
          <w:rFonts w:ascii="宋体" w:hAnsi="宋体"/>
          <w:color w:val="auto"/>
          <w:sz w:val="24"/>
        </w:rPr>
      </w:pPr>
      <w:r>
        <w:rPr>
          <w:rFonts w:hint="eastAsia" w:ascii="宋体" w:hAnsi="宋体"/>
          <w:color w:val="auto"/>
          <w:sz w:val="24"/>
        </w:rPr>
        <w:t>2）提供相关应用技术资料。</w:t>
      </w:r>
    </w:p>
    <w:p w14:paraId="775AB12C">
      <w:pPr>
        <w:spacing w:line="360" w:lineRule="auto"/>
        <w:ind w:firstLine="480" w:firstLineChars="200"/>
        <w:rPr>
          <w:rFonts w:ascii="宋体" w:hAnsi="宋体"/>
          <w:color w:val="auto"/>
          <w:sz w:val="24"/>
        </w:rPr>
      </w:pPr>
      <w:r>
        <w:rPr>
          <w:rFonts w:ascii="宋体" w:hAnsi="宋体"/>
          <w:color w:val="auto"/>
          <w:sz w:val="24"/>
        </w:rPr>
        <w:t>3</w:t>
      </w:r>
      <w:r>
        <w:rPr>
          <w:rFonts w:hint="eastAsia" w:ascii="宋体" w:hAnsi="宋体"/>
          <w:color w:val="auto"/>
          <w:sz w:val="24"/>
        </w:rPr>
        <w:t>）整套产品要求质保期内提供功能性完善和技术维护。质保期满后，出现产品故障时，供应商仍需做好售后服务，及时处理解决，费用由双方共同协商。</w:t>
      </w:r>
    </w:p>
    <w:p w14:paraId="7FD75CE0">
      <w:pPr>
        <w:spacing w:line="360" w:lineRule="auto"/>
        <w:ind w:firstLine="480" w:firstLineChars="200"/>
        <w:rPr>
          <w:rFonts w:ascii="宋体" w:hAnsi="宋体" w:eastAsia="宋体" w:cs="Times New Roman"/>
          <w:color w:val="auto"/>
          <w:sz w:val="24"/>
        </w:rPr>
      </w:pPr>
      <w:r>
        <w:rPr>
          <w:rFonts w:hint="eastAsia" w:ascii="宋体" w:hAnsi="宋体" w:eastAsia="宋体" w:cs="Times New Roman"/>
          <w:color w:val="auto"/>
          <w:sz w:val="24"/>
          <w:lang w:val="en-US" w:eastAsia="zh-CN"/>
        </w:rPr>
        <w:t>6、</w:t>
      </w:r>
      <w:r>
        <w:rPr>
          <w:rFonts w:hint="eastAsia" w:ascii="宋体" w:hAnsi="宋体" w:eastAsia="宋体" w:cs="Times New Roman"/>
          <w:color w:val="auto"/>
          <w:sz w:val="24"/>
        </w:rPr>
        <w:t>验收要求：按照《财政部关于进一步加强政府采购需求和履约验收管理的指导意见》(财库〔2016〕205号) 相关要求进行验收。</w:t>
      </w:r>
    </w:p>
    <w:p w14:paraId="7611DCB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atLeast"/>
        <w:ind w:firstLine="420" w:firstLineChars="200"/>
        <w:textAlignment w:val="auto"/>
        <w:rPr>
          <w:color w:val="auto"/>
        </w:rPr>
      </w:pPr>
    </w:p>
    <w:bookmarkEnd w:id="17"/>
    <w:bookmarkEnd w:id="18"/>
    <w:p w14:paraId="0B302049">
      <w:pPr>
        <w:pStyle w:val="3"/>
        <w:numPr>
          <w:numId w:val="0"/>
        </w:numPr>
        <w:ind w:left="0" w:leftChars="0" w:firstLine="0" w:firstLineChars="0"/>
        <w:rPr>
          <w:color w:val="auto"/>
        </w:rPr>
      </w:pPr>
      <w:bookmarkStart w:id="19" w:name="_Toc29479"/>
      <w:bookmarkStart w:id="20" w:name="_Toc21411"/>
      <w:r>
        <w:rPr>
          <w:rFonts w:hint="eastAsia"/>
          <w:color w:val="auto"/>
        </w:rPr>
        <w:t>四、</w:t>
      </w:r>
      <w:bookmarkEnd w:id="19"/>
      <w:r>
        <w:rPr>
          <w:rFonts w:hint="eastAsia"/>
          <w:color w:val="auto"/>
        </w:rPr>
        <w:t>其他要求</w:t>
      </w:r>
      <w:bookmarkEnd w:id="20"/>
    </w:p>
    <w:p w14:paraId="5BD9837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ascii="宋体" w:hAnsi="宋体"/>
          <w:color w:val="auto"/>
          <w:sz w:val="24"/>
        </w:rPr>
      </w:pPr>
      <w:r>
        <w:rPr>
          <w:rFonts w:hint="eastAsia" w:ascii="宋体" w:hAnsi="宋体"/>
          <w:color w:val="auto"/>
          <w:sz w:val="24"/>
        </w:rPr>
        <w:t>供应商针对本项目提供售后服务方案：（1）售后服务人员安排（包含具体售后管理人员及执行人员配置、岗位职责、人员协作机制、人员管理制度）；（2）售后服务体系（包括售后机具配置、售后服务电话、售后服务机构设置、售后服务响应时间）；（3）质量保证措施（包括源头质量把控、过程质量管控、质量责任划分，快速的退换货机制，有具体的保修内容、服务质量管理制度，权责清晰，流程可追溯）。</w:t>
      </w:r>
    </w:p>
    <w:p w14:paraId="3CF47162">
      <w:pPr>
        <w:ind w:firstLine="482" w:firstLineChars="200"/>
        <w:rPr>
          <w:b/>
          <w:bCs/>
          <w:color w:val="auto"/>
          <w:sz w:val="24"/>
        </w:rPr>
      </w:pPr>
    </w:p>
    <w:p w14:paraId="07D07416">
      <w:pPr>
        <w:ind w:firstLine="482" w:firstLineChars="200"/>
        <w:rPr>
          <w:rFonts w:ascii="宋体" w:cs="宋体"/>
          <w:color w:val="auto"/>
          <w:kern w:val="0"/>
          <w:sz w:val="24"/>
          <w:lang w:bidi="ar"/>
        </w:rPr>
      </w:pPr>
      <w:r>
        <w:rPr>
          <w:b/>
          <w:bCs/>
          <w:color w:val="auto"/>
          <w:sz w:val="24"/>
        </w:rPr>
        <w:t>注：本章标注</w:t>
      </w:r>
      <w:r>
        <w:rPr>
          <w:rFonts w:ascii="Segoe UI Symbol" w:hAnsi="Segoe UI Symbol" w:cs="Segoe UI Symbol"/>
          <w:b/>
          <w:bCs/>
          <w:color w:val="auto"/>
          <w:sz w:val="24"/>
        </w:rPr>
        <w:t>★</w:t>
      </w:r>
      <w:r>
        <w:rPr>
          <w:b/>
          <w:bCs/>
          <w:color w:val="auto"/>
          <w:sz w:val="24"/>
        </w:rPr>
        <w:t>项为实质性要求，不满足做无效</w:t>
      </w:r>
      <w:r>
        <w:rPr>
          <w:rFonts w:hint="eastAsia"/>
          <w:b/>
          <w:bCs/>
          <w:color w:val="auto"/>
          <w:sz w:val="24"/>
        </w:rPr>
        <w:t>投标</w:t>
      </w:r>
      <w:r>
        <w:rPr>
          <w:b/>
          <w:bCs/>
          <w:color w:val="auto"/>
          <w:sz w:val="24"/>
        </w:rPr>
        <w:t>处理。</w:t>
      </w:r>
    </w:p>
    <w:p w14:paraId="56E40073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Segoe UI Symbol">
    <w:panose1 w:val="020B0502040204020203"/>
    <w:charset w:val="00"/>
    <w:family w:val="swiss"/>
    <w:pitch w:val="default"/>
    <w:sig w:usb0="800001E3" w:usb1="1200FFEF" w:usb2="00040000" w:usb3="04000000" w:csb0="00000001" w:csb1="4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0457625"/>
    <w:multiLevelType w:val="multilevel"/>
    <w:tmpl w:val="E0457625"/>
    <w:lvl w:ilvl="0" w:tentative="0">
      <w:start w:val="1"/>
      <w:numFmt w:val="decimal"/>
      <w:pStyle w:val="2"/>
      <w:lvlText w:val="第%1章"/>
      <w:lvlJc w:val="left"/>
      <w:pPr>
        <w:ind w:left="283" w:hanging="425"/>
      </w:pPr>
      <w:rPr>
        <w:rFonts w:hint="default" w:ascii="Times New Roman" w:hAnsi="Times New Roman" w:eastAsia="宋体"/>
        <w:b/>
        <w:i w:val="0"/>
        <w:sz w:val="32"/>
        <w:szCs w:val="32"/>
      </w:rPr>
    </w:lvl>
    <w:lvl w:ilvl="1" w:tentative="0">
      <w:start w:val="1"/>
      <w:numFmt w:val="decimal"/>
      <w:pStyle w:val="3"/>
      <w:suff w:val="nothing"/>
      <w:lvlText w:val="%1.%2"/>
      <w:lvlJc w:val="left"/>
      <w:pPr>
        <w:ind w:left="3120" w:hanging="567"/>
      </w:pPr>
      <w:rPr>
        <w:rFonts w:hint="default" w:ascii="Times New Roman" w:hAnsi="Times New Roman" w:eastAsia="宋体" w:cs="Times New Roman"/>
        <w:b/>
        <w:i w:val="0"/>
        <w:color w:val="auto"/>
        <w:sz w:val="28"/>
        <w:szCs w:val="28"/>
      </w:rPr>
    </w:lvl>
    <w:lvl w:ilvl="2" w:tentative="0">
      <w:start w:val="1"/>
      <w:numFmt w:val="decimal"/>
      <w:pStyle w:val="4"/>
      <w:lvlText w:val="%3."/>
      <w:lvlJc w:val="left"/>
      <w:pPr>
        <w:ind w:left="567" w:hanging="567"/>
      </w:pPr>
      <w:rPr>
        <w:rFonts w:hint="default"/>
        <w:b/>
        <w:i w:val="0"/>
        <w:sz w:val="28"/>
      </w:rPr>
    </w:lvl>
    <w:lvl w:ilvl="3" w:tentative="0">
      <w:start w:val="1"/>
      <w:numFmt w:val="decimal"/>
      <w:pStyle w:val="5"/>
      <w:suff w:val="nothing"/>
      <w:lvlText w:val="%1.%2.%3.%4"/>
      <w:lvlJc w:val="left"/>
      <w:pPr>
        <w:ind w:left="992" w:hanging="708"/>
      </w:pPr>
      <w:rPr>
        <w:rFonts w:hint="default" w:ascii="Times New Roman" w:hAnsi="Times New Roman" w:eastAsia="宋体" w:cs="Times New Roman"/>
        <w:b/>
        <w:i w:val="0"/>
        <w:sz w:val="28"/>
      </w:rPr>
    </w:lvl>
    <w:lvl w:ilvl="4" w:tentative="0">
      <w:start w:val="1"/>
      <w:numFmt w:val="decimal"/>
      <w:lvlText w:val="%1.%2.%3.%4.%5"/>
      <w:lvlJc w:val="left"/>
      <w:pPr>
        <w:ind w:left="2409" w:hanging="850"/>
      </w:pPr>
      <w:rPr>
        <w:rFonts w:hint="default" w:ascii="Times New Roman" w:hAnsi="Times New Roman" w:cs="Times New Roman"/>
      </w:rPr>
    </w:lvl>
    <w:lvl w:ilvl="5" w:tentative="0">
      <w:start w:val="1"/>
      <w:numFmt w:val="decimal"/>
      <w:lvlText w:val="%1.%2.%3.%4.%5.%6"/>
      <w:lvlJc w:val="left"/>
      <w:pPr>
        <w:ind w:left="3118" w:hanging="1134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ind w:left="3685" w:hanging="127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ind w:left="4252" w:hanging="1418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ind w:left="4960" w:hanging="1700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3D84426"/>
    <w:rsid w:val="04567FE0"/>
    <w:rsid w:val="06492071"/>
    <w:rsid w:val="07480C4F"/>
    <w:rsid w:val="09A97078"/>
    <w:rsid w:val="0E0B7DF3"/>
    <w:rsid w:val="11303DCA"/>
    <w:rsid w:val="134947B2"/>
    <w:rsid w:val="13D6435F"/>
    <w:rsid w:val="143F0CD1"/>
    <w:rsid w:val="14FD7F49"/>
    <w:rsid w:val="154B7240"/>
    <w:rsid w:val="18021570"/>
    <w:rsid w:val="1C693F2F"/>
    <w:rsid w:val="1D3C29E9"/>
    <w:rsid w:val="1DF50727"/>
    <w:rsid w:val="1EA71F66"/>
    <w:rsid w:val="209220FC"/>
    <w:rsid w:val="217A4021"/>
    <w:rsid w:val="22475901"/>
    <w:rsid w:val="25091EF2"/>
    <w:rsid w:val="25676571"/>
    <w:rsid w:val="25AD78E2"/>
    <w:rsid w:val="25C862A3"/>
    <w:rsid w:val="273E78D2"/>
    <w:rsid w:val="2BAE478C"/>
    <w:rsid w:val="2F0769C1"/>
    <w:rsid w:val="2FE97ECD"/>
    <w:rsid w:val="32B4282C"/>
    <w:rsid w:val="3522139B"/>
    <w:rsid w:val="376A09C5"/>
    <w:rsid w:val="387E35D3"/>
    <w:rsid w:val="3AA74F46"/>
    <w:rsid w:val="3C781D8C"/>
    <w:rsid w:val="4019429A"/>
    <w:rsid w:val="40A91BEC"/>
    <w:rsid w:val="448A21CD"/>
    <w:rsid w:val="47470C6B"/>
    <w:rsid w:val="47F54DF5"/>
    <w:rsid w:val="48FD3449"/>
    <w:rsid w:val="4CAF2CC8"/>
    <w:rsid w:val="51F81A27"/>
    <w:rsid w:val="51F83758"/>
    <w:rsid w:val="59391098"/>
    <w:rsid w:val="5A855597"/>
    <w:rsid w:val="5B5F4900"/>
    <w:rsid w:val="6070318E"/>
    <w:rsid w:val="611F1334"/>
    <w:rsid w:val="62367843"/>
    <w:rsid w:val="67254250"/>
    <w:rsid w:val="67270B89"/>
    <w:rsid w:val="6B0013D1"/>
    <w:rsid w:val="70F22F3A"/>
    <w:rsid w:val="72451E67"/>
    <w:rsid w:val="7A720BC9"/>
    <w:rsid w:val="7C642A40"/>
    <w:rsid w:val="7D9B10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4"/>
    <w:qFormat/>
    <w:uiPriority w:val="0"/>
    <w:pPr>
      <w:keepNext/>
      <w:keepLines/>
      <w:numPr>
        <w:ilvl w:val="0"/>
        <w:numId w:val="1"/>
      </w:numPr>
      <w:spacing w:before="340" w:after="330" w:line="360" w:lineRule="auto"/>
      <w:ind w:left="283" w:hanging="425"/>
      <w:jc w:val="center"/>
      <w:outlineLvl w:val="0"/>
    </w:pPr>
    <w:rPr>
      <w:rFonts w:eastAsia="宋体" w:cs="Times New Roman"/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15"/>
    <w:semiHidden/>
    <w:unhideWhenUsed/>
    <w:qFormat/>
    <w:uiPriority w:val="0"/>
    <w:pPr>
      <w:keepNext/>
      <w:keepLines/>
      <w:numPr>
        <w:ilvl w:val="1"/>
        <w:numId w:val="1"/>
      </w:numPr>
      <w:spacing w:before="260" w:after="260" w:line="360" w:lineRule="auto"/>
      <w:ind w:left="0" w:firstLine="0"/>
      <w:jc w:val="left"/>
      <w:outlineLvl w:val="1"/>
    </w:pPr>
    <w:rPr>
      <w:rFonts w:ascii="宋体" w:hAnsi="宋体" w:eastAsia="宋体" w:cs="Times New Roman"/>
      <w:b/>
      <w:bCs/>
      <w:sz w:val="28"/>
      <w:szCs w:val="28"/>
    </w:rPr>
  </w:style>
  <w:style w:type="paragraph" w:styleId="4">
    <w:name w:val="heading 3"/>
    <w:basedOn w:val="1"/>
    <w:next w:val="1"/>
    <w:link w:val="13"/>
    <w:semiHidden/>
    <w:unhideWhenUsed/>
    <w:qFormat/>
    <w:uiPriority w:val="0"/>
    <w:pPr>
      <w:keepNext/>
      <w:keepLines/>
      <w:numPr>
        <w:ilvl w:val="2"/>
        <w:numId w:val="1"/>
      </w:numPr>
      <w:spacing w:before="260" w:after="260" w:line="416" w:lineRule="auto"/>
      <w:ind w:left="567" w:hanging="567"/>
      <w:outlineLvl w:val="2"/>
    </w:pPr>
    <w:rPr>
      <w:rFonts w:ascii="Times New Roman" w:hAnsi="Times New Roman" w:eastAsia="宋体"/>
      <w:b/>
      <w:sz w:val="28"/>
    </w:rPr>
  </w:style>
  <w:style w:type="paragraph" w:styleId="5">
    <w:name w:val="heading 4"/>
    <w:basedOn w:val="1"/>
    <w:next w:val="1"/>
    <w:semiHidden/>
    <w:unhideWhenUsed/>
    <w:qFormat/>
    <w:uiPriority w:val="0"/>
    <w:pPr>
      <w:keepNext/>
      <w:keepLines/>
      <w:numPr>
        <w:ilvl w:val="3"/>
        <w:numId w:val="1"/>
      </w:numPr>
      <w:spacing w:before="280" w:beforeLines="0" w:beforeAutospacing="0" w:after="290" w:afterLines="0" w:afterAutospacing="0" w:line="372" w:lineRule="auto"/>
      <w:ind w:left="992" w:hanging="708" w:firstLineChars="0"/>
      <w:outlineLvl w:val="3"/>
    </w:pPr>
    <w:rPr>
      <w:rFonts w:ascii="Arial" w:hAnsi="Arial" w:eastAsia="黑体" w:cs="Times New Roman"/>
      <w:b/>
      <w:sz w:val="28"/>
      <w:szCs w:val="24"/>
    </w:rPr>
  </w:style>
  <w:style w:type="paragraph" w:styleId="6">
    <w:name w:val="heading 5"/>
    <w:basedOn w:val="1"/>
    <w:next w:val="1"/>
    <w:semiHidden/>
    <w:unhideWhenUsed/>
    <w:qFormat/>
    <w:uiPriority w:val="0"/>
    <w:pPr>
      <w:keepNext/>
      <w:keepLines/>
      <w:spacing w:before="280" w:beforeLines="0" w:beforeAutospacing="0" w:after="290" w:afterLines="0" w:afterAutospacing="0" w:line="372" w:lineRule="auto"/>
      <w:outlineLvl w:val="4"/>
    </w:pPr>
    <w:rPr>
      <w:rFonts w:eastAsia="宋体" w:cs="Times New Roman"/>
      <w:b/>
      <w:sz w:val="24"/>
    </w:rPr>
  </w:style>
  <w:style w:type="character" w:default="1" w:styleId="12">
    <w:name w:val="Default Paragraph Font"/>
    <w:semiHidden/>
    <w:unhideWhenUsed/>
    <w:qFormat/>
    <w:uiPriority w:val="1"/>
  </w:style>
  <w:style w:type="table" w:default="1" w:styleId="11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7">
    <w:name w:val="Normal Indent"/>
    <w:basedOn w:val="1"/>
    <w:qFormat/>
    <w:uiPriority w:val="0"/>
    <w:pPr>
      <w:ind w:firstLine="420" w:firstLineChars="200"/>
    </w:pPr>
  </w:style>
  <w:style w:type="paragraph" w:styleId="8">
    <w:name w:val="Body Text"/>
    <w:basedOn w:val="1"/>
    <w:qFormat/>
    <w:uiPriority w:val="0"/>
    <w:pPr>
      <w:spacing w:after="120" w:afterLines="0" w:afterAutospacing="0"/>
    </w:pPr>
  </w:style>
  <w:style w:type="paragraph" w:styleId="9">
    <w:name w:val="Plain Text"/>
    <w:basedOn w:val="1"/>
    <w:next w:val="7"/>
    <w:qFormat/>
    <w:uiPriority w:val="0"/>
    <w:rPr>
      <w:rFonts w:ascii="宋体" w:hAnsi="Courier New"/>
    </w:rPr>
  </w:style>
  <w:style w:type="paragraph" w:styleId="10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rFonts w:eastAsia="宋体" w:cs="Times New Roman"/>
      <w:kern w:val="0"/>
      <w:lang w:bidi="ar"/>
    </w:rPr>
  </w:style>
  <w:style w:type="character" w:customStyle="1" w:styleId="13">
    <w:name w:val="标题 3 Char"/>
    <w:link w:val="4"/>
    <w:qFormat/>
    <w:uiPriority w:val="0"/>
    <w:rPr>
      <w:rFonts w:ascii="Times New Roman" w:hAnsi="Times New Roman" w:eastAsia="宋体" w:cs="宋体"/>
      <w:b/>
      <w:kern w:val="2"/>
      <w:sz w:val="30"/>
      <w:szCs w:val="22"/>
      <w:lang w:val="en-US" w:eastAsia="zh-CN" w:bidi="ar-SA"/>
    </w:rPr>
  </w:style>
  <w:style w:type="character" w:customStyle="1" w:styleId="14">
    <w:name w:val="标题 1 Char1"/>
    <w:link w:val="2"/>
    <w:qFormat/>
    <w:uiPriority w:val="0"/>
    <w:rPr>
      <w:rFonts w:eastAsia="宋体" w:cs="Times New Roman"/>
      <w:b/>
      <w:bCs/>
      <w:kern w:val="44"/>
      <w:sz w:val="44"/>
      <w:szCs w:val="44"/>
    </w:rPr>
  </w:style>
  <w:style w:type="character" w:customStyle="1" w:styleId="15">
    <w:name w:val="标题 2 字符"/>
    <w:link w:val="3"/>
    <w:qFormat/>
    <w:uiPriority w:val="9"/>
    <w:rPr>
      <w:rFonts w:ascii="宋体" w:hAnsi="宋体" w:eastAsia="宋体" w:cs="Times New Roman"/>
      <w:b/>
      <w:kern w:val="2"/>
      <w:sz w:val="32"/>
    </w:rPr>
  </w:style>
  <w:style w:type="paragraph" w:styleId="16">
    <w:name w:val="List Paragraph"/>
    <w:basedOn w:val="1"/>
    <w:qFormat/>
    <w:uiPriority w:val="34"/>
    <w:pPr>
      <w:ind w:firstLine="420" w:firstLineChars="200"/>
    </w:pPr>
    <w:rPr>
      <w:rFonts w:ascii="Calibri" w:hAnsi="Calibri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2024-04-29T01:50:00Z</dcterms:created>
  <dc:creator>dell</dc:creator>
  <cp:lastModifiedBy>苏苏苏</cp:lastModifiedBy>
  <dcterms:modified xsi:type="dcterms:W3CDTF">2026-05-14T07:37:24Z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2281D93FB3ED46848737B0BB21D8186C_12</vt:lpwstr>
  </property>
  <property fmtid="{D5CDD505-2E9C-101B-9397-08002B2CF9AE}" pid="4" name="KSOTemplateDocerSaveRecord">
    <vt:lpwstr>eyJoZGlkIjoiYjMwMzUxNjE2NzFlZjQ2NzgyMTZlYTJiNzIwYzk4NzYiLCJ1c2VySWQiOiI3ODUyMzM3MTUifQ==</vt:lpwstr>
  </property>
</Properties>
</file>