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622B55">
      <w:pPr>
        <w:spacing w:line="360" w:lineRule="auto"/>
        <w:jc w:val="center"/>
        <w:outlineLvl w:val="0"/>
        <w:rPr>
          <w:b/>
        </w:rPr>
      </w:pPr>
      <w:bookmarkStart w:id="0" w:name="_GoBack"/>
      <w:bookmarkEnd w:id="0"/>
      <w:r>
        <w:rPr>
          <w:rFonts w:hint="eastAsia" w:ascii="宋体" w:hAnsi="宋体"/>
          <w:b/>
          <w:bCs/>
          <w:kern w:val="0"/>
          <w:sz w:val="36"/>
          <w:szCs w:val="36"/>
        </w:rPr>
        <w:t>项目需求</w:t>
      </w:r>
    </w:p>
    <w:p w14:paraId="58A5B24E">
      <w:pPr>
        <w:pStyle w:val="2"/>
        <w:spacing w:line="360" w:lineRule="auto"/>
        <w:rPr>
          <w:b/>
        </w:rPr>
      </w:pPr>
    </w:p>
    <w:p w14:paraId="2A0C9706">
      <w:pPr>
        <w:autoSpaceDE w:val="0"/>
        <w:autoSpaceDN w:val="0"/>
        <w:adjustRightInd w:val="0"/>
        <w:snapToGrid w:val="0"/>
        <w:ind w:right="893"/>
        <w:jc w:val="center"/>
        <w:textAlignment w:val="bottom"/>
        <w:rPr>
          <w:b/>
          <w:sz w:val="32"/>
          <w:szCs w:val="32"/>
        </w:rPr>
      </w:pPr>
    </w:p>
    <w:p w14:paraId="4DBFA48A">
      <w:pPr>
        <w:numPr>
          <w:ilvl w:val="2"/>
          <w:numId w:val="1"/>
        </w:numPr>
        <w:adjustRightInd w:val="0"/>
        <w:snapToGrid w:val="0"/>
        <w:jc w:val="left"/>
        <w:outlineLvl w:val="1"/>
        <w:rPr>
          <w:rFonts w:ascii="宋体" w:hAnsi="宋体"/>
          <w:b/>
          <w:sz w:val="30"/>
          <w:szCs w:val="30"/>
        </w:rPr>
      </w:pPr>
      <w:r>
        <w:rPr>
          <w:rFonts w:hint="eastAsia" w:ascii="宋体" w:hAnsi="宋体"/>
          <w:b/>
          <w:sz w:val="30"/>
          <w:szCs w:val="30"/>
        </w:rPr>
        <w:t>货物需求一览表</w:t>
      </w:r>
    </w:p>
    <w:p w14:paraId="0389D251">
      <w:pPr>
        <w:adjustRightInd w:val="0"/>
        <w:snapToGrid w:val="0"/>
        <w:jc w:val="center"/>
        <w:rPr>
          <w:rFonts w:ascii="宋体" w:hAnsi="宋体"/>
          <w:b/>
          <w:sz w:val="30"/>
          <w:szCs w:val="30"/>
        </w:rPr>
      </w:pPr>
    </w:p>
    <w:tbl>
      <w:tblPr>
        <w:tblStyle w:val="8"/>
        <w:tblW w:w="96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62"/>
        <w:gridCol w:w="2640"/>
        <w:gridCol w:w="635"/>
        <w:gridCol w:w="1540"/>
        <w:gridCol w:w="1545"/>
        <w:gridCol w:w="2520"/>
      </w:tblGrid>
      <w:tr w14:paraId="3EF03E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762" w:type="dxa"/>
            <w:vAlign w:val="center"/>
          </w:tcPr>
          <w:p w14:paraId="74982F4D">
            <w:pPr>
              <w:jc w:val="center"/>
              <w:rPr>
                <w:rFonts w:ascii="宋体" w:hAnsi="Bookman Old Style"/>
                <w:sz w:val="24"/>
              </w:rPr>
            </w:pPr>
            <w:r>
              <w:rPr>
                <w:rFonts w:hint="eastAsia" w:ascii="宋体" w:hAnsi="Bookman Old Style"/>
                <w:sz w:val="24"/>
              </w:rPr>
              <w:t>包号</w:t>
            </w:r>
          </w:p>
        </w:tc>
        <w:tc>
          <w:tcPr>
            <w:tcW w:w="2640" w:type="dxa"/>
            <w:vAlign w:val="center"/>
          </w:tcPr>
          <w:p w14:paraId="0D5B8BF2">
            <w:pPr>
              <w:jc w:val="center"/>
              <w:rPr>
                <w:rFonts w:ascii="宋体" w:hAnsi="Bookman Old Style"/>
                <w:sz w:val="24"/>
              </w:rPr>
            </w:pPr>
            <w:r>
              <w:rPr>
                <w:rFonts w:hint="eastAsia" w:ascii="宋体" w:hAnsi="Bookman Old Style"/>
                <w:sz w:val="24"/>
              </w:rPr>
              <w:t>货物名称</w:t>
            </w:r>
          </w:p>
        </w:tc>
        <w:tc>
          <w:tcPr>
            <w:tcW w:w="635" w:type="dxa"/>
            <w:vAlign w:val="center"/>
          </w:tcPr>
          <w:p w14:paraId="0C1476D8">
            <w:pPr>
              <w:jc w:val="center"/>
              <w:rPr>
                <w:rFonts w:ascii="宋体" w:hAnsi="Bookman Old Style"/>
                <w:sz w:val="24"/>
              </w:rPr>
            </w:pPr>
            <w:r>
              <w:rPr>
                <w:rFonts w:hint="eastAsia" w:ascii="宋体" w:hAnsi="Bookman Old Style"/>
                <w:sz w:val="24"/>
              </w:rPr>
              <w:t>数量</w:t>
            </w:r>
          </w:p>
        </w:tc>
        <w:tc>
          <w:tcPr>
            <w:tcW w:w="1540" w:type="dxa"/>
            <w:vAlign w:val="center"/>
          </w:tcPr>
          <w:p w14:paraId="081FEB3A">
            <w:pPr>
              <w:jc w:val="center"/>
              <w:rPr>
                <w:rFonts w:ascii="宋体" w:hAnsi="Bookman Old Style"/>
                <w:sz w:val="24"/>
              </w:rPr>
            </w:pPr>
            <w:r>
              <w:rPr>
                <w:rFonts w:hint="eastAsia" w:ascii="宋体" w:hAnsi="Bookman Old Style"/>
                <w:sz w:val="24"/>
              </w:rPr>
              <w:t>交货期</w:t>
            </w:r>
          </w:p>
        </w:tc>
        <w:tc>
          <w:tcPr>
            <w:tcW w:w="1545" w:type="dxa"/>
            <w:vAlign w:val="center"/>
          </w:tcPr>
          <w:p w14:paraId="4B8FD0BC">
            <w:pPr>
              <w:jc w:val="center"/>
              <w:rPr>
                <w:rFonts w:ascii="宋体" w:hAnsi="Bookman Old Style"/>
                <w:sz w:val="24"/>
              </w:rPr>
            </w:pPr>
            <w:r>
              <w:rPr>
                <w:rFonts w:hint="eastAsia" w:ascii="宋体" w:hAnsi="Bookman Old Style"/>
                <w:sz w:val="24"/>
              </w:rPr>
              <w:t>指定到货港</w:t>
            </w:r>
          </w:p>
        </w:tc>
        <w:tc>
          <w:tcPr>
            <w:tcW w:w="2520" w:type="dxa"/>
            <w:vAlign w:val="center"/>
          </w:tcPr>
          <w:p w14:paraId="67478CC5">
            <w:pPr>
              <w:jc w:val="center"/>
              <w:rPr>
                <w:rFonts w:ascii="宋体" w:hAnsi="Bookman Old Style"/>
                <w:sz w:val="24"/>
                <w:shd w:val="pct10" w:color="auto" w:fill="FFFFFF"/>
              </w:rPr>
            </w:pPr>
            <w:r>
              <w:rPr>
                <w:rFonts w:hint="eastAsia" w:ascii="宋体" w:hAnsi="Bookman Old Style"/>
                <w:sz w:val="24"/>
              </w:rPr>
              <w:t>项目现场（交货地点）</w:t>
            </w:r>
          </w:p>
        </w:tc>
      </w:tr>
      <w:tr w14:paraId="528C83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762" w:type="dxa"/>
            <w:vAlign w:val="center"/>
          </w:tcPr>
          <w:p w14:paraId="219C9106">
            <w:pPr>
              <w:jc w:val="center"/>
              <w:rPr>
                <w:rFonts w:ascii="宋体"/>
                <w:sz w:val="24"/>
              </w:rPr>
            </w:pPr>
            <w:r>
              <w:rPr>
                <w:rFonts w:ascii="宋体"/>
                <w:sz w:val="24"/>
              </w:rPr>
              <w:t>1</w:t>
            </w:r>
          </w:p>
        </w:tc>
        <w:tc>
          <w:tcPr>
            <w:tcW w:w="2640" w:type="dxa"/>
            <w:vAlign w:val="center"/>
          </w:tcPr>
          <w:p w14:paraId="0E7458F1">
            <w:pPr>
              <w:jc w:val="center"/>
              <w:rPr>
                <w:rFonts w:ascii="Bookman Old Style" w:hAnsi="Bookman Old Style"/>
                <w:sz w:val="24"/>
              </w:rPr>
            </w:pPr>
            <w:r>
              <w:rPr>
                <w:rFonts w:hint="eastAsia" w:ascii="宋体" w:hAnsi="宋体"/>
                <w:sz w:val="24"/>
              </w:rPr>
              <w:t>高分辨空间成像质谱仪</w:t>
            </w:r>
          </w:p>
        </w:tc>
        <w:tc>
          <w:tcPr>
            <w:tcW w:w="635" w:type="dxa"/>
            <w:vAlign w:val="center"/>
          </w:tcPr>
          <w:p w14:paraId="2084CD26">
            <w:pPr>
              <w:jc w:val="center"/>
              <w:rPr>
                <w:rFonts w:ascii="宋体" w:hAnsi="Bookman Old Style"/>
                <w:sz w:val="24"/>
              </w:rPr>
            </w:pPr>
            <w:r>
              <w:rPr>
                <w:rFonts w:ascii="宋体" w:hAnsi="Bookman Old Style"/>
                <w:sz w:val="24"/>
              </w:rPr>
              <w:t>1</w:t>
            </w:r>
          </w:p>
        </w:tc>
        <w:tc>
          <w:tcPr>
            <w:tcW w:w="1540" w:type="dxa"/>
            <w:vAlign w:val="center"/>
          </w:tcPr>
          <w:p w14:paraId="5A68579B">
            <w:pPr>
              <w:jc w:val="center"/>
              <w:rPr>
                <w:rFonts w:ascii="宋体" w:hAnsi="Bookman Old Style"/>
                <w:sz w:val="24"/>
              </w:rPr>
            </w:pPr>
            <w:r>
              <w:rPr>
                <w:rFonts w:hint="eastAsia" w:ascii="宋体" w:hAnsi="Bookman Old Style"/>
                <w:sz w:val="24"/>
              </w:rPr>
              <w:t>合同签订后的6个月内交货。</w:t>
            </w:r>
          </w:p>
        </w:tc>
        <w:tc>
          <w:tcPr>
            <w:tcW w:w="1545" w:type="dxa"/>
            <w:vAlign w:val="center"/>
          </w:tcPr>
          <w:p w14:paraId="36DA4E5B">
            <w:pPr>
              <w:jc w:val="center"/>
              <w:rPr>
                <w:sz w:val="24"/>
              </w:rPr>
            </w:pPr>
            <w:r>
              <w:rPr>
                <w:rFonts w:hint="eastAsia"/>
                <w:sz w:val="24"/>
              </w:rPr>
              <w:t>三亚</w:t>
            </w:r>
          </w:p>
        </w:tc>
        <w:tc>
          <w:tcPr>
            <w:tcW w:w="2520" w:type="dxa"/>
            <w:vAlign w:val="center"/>
          </w:tcPr>
          <w:p w14:paraId="6FFCDBE3">
            <w:pPr>
              <w:jc w:val="center"/>
              <w:rPr>
                <w:rFonts w:ascii="宋体" w:hAnsi="Bookman Old Style"/>
                <w:sz w:val="24"/>
              </w:rPr>
            </w:pPr>
            <w:r>
              <w:rPr>
                <w:rFonts w:hint="eastAsia" w:ascii="宋体" w:hAnsi="Bookman Old Style"/>
                <w:sz w:val="24"/>
              </w:rPr>
              <w:t>三亚市崖州区崖州湾科技城深海装备产业园C</w:t>
            </w:r>
            <w:r>
              <w:rPr>
                <w:rFonts w:ascii="宋体" w:hAnsi="Bookman Old Style"/>
                <w:sz w:val="24"/>
              </w:rPr>
              <w:t xml:space="preserve"> </w:t>
            </w:r>
            <w:r>
              <w:rPr>
                <w:rFonts w:hint="eastAsia" w:ascii="宋体" w:hAnsi="Bookman Old Style"/>
                <w:sz w:val="24"/>
              </w:rPr>
              <w:t>栋</w:t>
            </w:r>
          </w:p>
        </w:tc>
      </w:tr>
    </w:tbl>
    <w:p w14:paraId="21A9BE36">
      <w:pPr>
        <w:jc w:val="center"/>
        <w:rPr>
          <w:rFonts w:ascii="宋体" w:hAnsi="Bookman Old Style"/>
          <w:sz w:val="24"/>
          <w:szCs w:val="22"/>
        </w:rPr>
      </w:pPr>
    </w:p>
    <w:p w14:paraId="01E6B135">
      <w:pPr>
        <w:spacing w:line="360" w:lineRule="auto"/>
        <w:rPr>
          <w:sz w:val="24"/>
        </w:rPr>
      </w:pPr>
      <w:r>
        <w:rPr>
          <w:rFonts w:hint="eastAsia"/>
          <w:sz w:val="24"/>
        </w:rPr>
        <w:t>注：</w:t>
      </w:r>
    </w:p>
    <w:p w14:paraId="5F880EEE">
      <w:pPr>
        <w:numPr>
          <w:ilvl w:val="0"/>
          <w:numId w:val="2"/>
        </w:numPr>
        <w:spacing w:line="360" w:lineRule="auto"/>
        <w:rPr>
          <w:rFonts w:ascii="Bookman Old Style" w:hAnsi="Bookman Old Style"/>
          <w:sz w:val="24"/>
        </w:rPr>
      </w:pPr>
      <w:r>
        <w:rPr>
          <w:rFonts w:hint="eastAsia"/>
          <w:sz w:val="24"/>
        </w:rPr>
        <w:t>投标人须对上述投标内容中完整的一包或几包进行投标，</w:t>
      </w:r>
      <w:r>
        <w:rPr>
          <w:rFonts w:hint="eastAsia" w:ascii="Bookman Old Style" w:hAnsi="Bookman Old Style"/>
          <w:sz w:val="24"/>
        </w:rPr>
        <w:t>不完整的投标将视为非响应性投标予以拒绝。</w:t>
      </w:r>
    </w:p>
    <w:p w14:paraId="76C940EE">
      <w:pPr>
        <w:spacing w:line="360" w:lineRule="auto"/>
        <w:rPr>
          <w:rFonts w:ascii="宋体" w:hAnsi="宋体"/>
          <w:b/>
          <w:sz w:val="30"/>
          <w:szCs w:val="30"/>
        </w:rPr>
      </w:pPr>
      <w:r>
        <w:rPr>
          <w:rFonts w:ascii="宋体" w:hAnsi="Bookman Old Style"/>
          <w:sz w:val="24"/>
        </w:rPr>
        <w:br w:type="page"/>
      </w:r>
    </w:p>
    <w:p w14:paraId="06444AF4">
      <w:pPr>
        <w:spacing w:line="360" w:lineRule="auto"/>
        <w:ind w:left="600" w:hanging="600"/>
        <w:outlineLvl w:val="1"/>
        <w:rPr>
          <w:rFonts w:ascii="宋体" w:hAnsi="宋体"/>
          <w:b/>
          <w:sz w:val="30"/>
          <w:szCs w:val="30"/>
        </w:rPr>
      </w:pPr>
      <w:r>
        <w:rPr>
          <w:rFonts w:hint="eastAsia" w:ascii="宋体" w:hAnsi="宋体"/>
          <w:b/>
          <w:sz w:val="30"/>
          <w:szCs w:val="30"/>
        </w:rPr>
        <w:t>二、总</w:t>
      </w:r>
      <w:r>
        <w:rPr>
          <w:rFonts w:ascii="宋体" w:hAnsi="宋体"/>
          <w:b/>
          <w:sz w:val="30"/>
          <w:szCs w:val="30"/>
        </w:rPr>
        <w:t xml:space="preserve">  </w:t>
      </w:r>
      <w:r>
        <w:rPr>
          <w:rFonts w:hint="eastAsia" w:ascii="宋体" w:hAnsi="宋体"/>
          <w:b/>
          <w:sz w:val="30"/>
          <w:szCs w:val="30"/>
        </w:rPr>
        <w:t>则</w:t>
      </w:r>
    </w:p>
    <w:p w14:paraId="54532B3D">
      <w:pPr>
        <w:spacing w:before="156" w:beforeLines="50" w:after="156" w:afterLines="50" w:line="360" w:lineRule="auto"/>
        <w:ind w:left="601" w:hanging="601"/>
        <w:rPr>
          <w:rFonts w:ascii="宋体" w:hAnsi="宋体" w:cs="宋体"/>
          <w:b/>
          <w:color w:val="000000"/>
          <w:sz w:val="28"/>
        </w:rPr>
      </w:pPr>
      <w:r>
        <w:rPr>
          <w:rFonts w:hint="eastAsia" w:ascii="宋体" w:hAnsi="宋体" w:cs="宋体"/>
          <w:b/>
          <w:color w:val="000000"/>
          <w:sz w:val="28"/>
        </w:rPr>
        <w:t>1、投标要求</w:t>
      </w:r>
    </w:p>
    <w:p w14:paraId="6709C792">
      <w:pPr>
        <w:spacing w:line="360" w:lineRule="auto"/>
        <w:ind w:left="554" w:hanging="554" w:hangingChars="231"/>
        <w:rPr>
          <w:rFonts w:ascii="宋体" w:hAnsi="宋体" w:cs="宋体"/>
          <w:color w:val="000000"/>
          <w:sz w:val="24"/>
        </w:rPr>
      </w:pPr>
      <w:r>
        <w:rPr>
          <w:rFonts w:hint="eastAsia" w:ascii="宋体" w:hAnsi="宋体" w:cs="宋体"/>
          <w:color w:val="000000"/>
          <w:sz w:val="24"/>
        </w:rPr>
        <w:t>1.1  投标人在准备投标书时，务必在所提供的商品的技术规格文件中，标明型号、商标名称、目录号。</w:t>
      </w:r>
    </w:p>
    <w:p w14:paraId="6E695192">
      <w:pPr>
        <w:spacing w:line="360" w:lineRule="auto"/>
        <w:ind w:left="554" w:hanging="554" w:hangingChars="231"/>
        <w:rPr>
          <w:rFonts w:ascii="宋体" w:hAnsi="宋体" w:cs="宋体"/>
          <w:color w:val="000000"/>
          <w:sz w:val="24"/>
        </w:rPr>
      </w:pPr>
      <w:r>
        <w:rPr>
          <w:rFonts w:hint="eastAsia" w:ascii="宋体" w:hAnsi="宋体" w:cs="宋体"/>
          <w:color w:val="000000"/>
          <w:sz w:val="24"/>
        </w:rPr>
        <w:t>1.2  投标人提供的货物的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4F051E3A">
      <w:pPr>
        <w:spacing w:line="360" w:lineRule="auto"/>
        <w:ind w:left="554" w:hanging="554" w:hangingChars="231"/>
        <w:rPr>
          <w:rFonts w:ascii="宋体" w:hAnsi="宋体" w:cs="宋体"/>
          <w:color w:val="000000"/>
          <w:sz w:val="24"/>
        </w:rPr>
      </w:pPr>
      <w:r>
        <w:rPr>
          <w:rFonts w:hint="eastAsia" w:ascii="宋体" w:hAnsi="宋体" w:cs="宋体"/>
          <w:color w:val="000000"/>
          <w:sz w:val="24"/>
        </w:rPr>
        <w:t xml:space="preserve">1.3  </w:t>
      </w:r>
      <w:r>
        <w:rPr>
          <w:rFonts w:hint="eastAsia" w:ascii="宋体" w:hAnsi="宋体" w:cs="宋体"/>
          <w:b/>
          <w:bCs/>
          <w:color w:val="000000"/>
          <w:sz w:val="24"/>
        </w:rPr>
        <w:t>投标人提供的所有货物或系统均要求为全新，符合国家质量检测标准和招标文件的要求。</w:t>
      </w:r>
      <w:r>
        <w:rPr>
          <w:rFonts w:hint="eastAsia" w:ascii="宋体" w:hAnsi="宋体" w:cs="宋体"/>
          <w:color w:val="000000"/>
          <w:sz w:val="24"/>
        </w:rPr>
        <w:t>投标人提供的产品样本，必须是“原件”而非复印件，图表、简图、电路图以及印刷电路板图等都应清晰易读。买方有权不付任何附加费用复制这些资料以供参考。</w:t>
      </w:r>
    </w:p>
    <w:p w14:paraId="139F9313">
      <w:pPr>
        <w:spacing w:before="156" w:beforeLines="50" w:after="156" w:afterLines="50" w:line="360" w:lineRule="auto"/>
        <w:ind w:left="601" w:hanging="601"/>
        <w:rPr>
          <w:rFonts w:ascii="宋体" w:hAnsi="宋体" w:cs="宋体"/>
          <w:b/>
          <w:color w:val="000000"/>
          <w:sz w:val="28"/>
        </w:rPr>
      </w:pPr>
      <w:r>
        <w:rPr>
          <w:rFonts w:hint="eastAsia" w:ascii="宋体" w:hAnsi="宋体" w:cs="宋体"/>
          <w:b/>
          <w:color w:val="000000"/>
          <w:sz w:val="28"/>
        </w:rPr>
        <w:t>2、评标标准</w:t>
      </w:r>
    </w:p>
    <w:p w14:paraId="4A329529">
      <w:pPr>
        <w:spacing w:line="360" w:lineRule="auto"/>
        <w:ind w:left="554" w:hanging="554" w:hangingChars="231"/>
        <w:rPr>
          <w:rFonts w:ascii="宋体" w:hAnsi="宋体" w:cs="宋体"/>
          <w:color w:val="000000"/>
          <w:sz w:val="24"/>
        </w:rPr>
      </w:pPr>
      <w:r>
        <w:rPr>
          <w:rFonts w:hint="eastAsia" w:ascii="宋体" w:hAnsi="宋体" w:cs="宋体"/>
          <w:color w:val="000000"/>
          <w:sz w:val="24"/>
        </w:rPr>
        <w:t>2.1  除招标文件中指定的附件和专用工具外，投标人应提供仪器设备的正常运行和常规保养所需的全套标准附件、专用工具和消耗品。投标人在投标书中需列出这些附件和工具的数量和单价的清单，这些附件和工具的报价的总值需计入投标价中。</w:t>
      </w:r>
    </w:p>
    <w:p w14:paraId="60977F34">
      <w:pPr>
        <w:spacing w:line="360" w:lineRule="auto"/>
        <w:ind w:left="554" w:hanging="554" w:hangingChars="231"/>
        <w:rPr>
          <w:rFonts w:ascii="宋体" w:hAnsi="宋体" w:cs="宋体"/>
          <w:color w:val="000000"/>
          <w:sz w:val="24"/>
        </w:rPr>
      </w:pPr>
      <w:r>
        <w:rPr>
          <w:rFonts w:hint="eastAsia" w:ascii="宋体" w:hAnsi="宋体" w:cs="宋体"/>
          <w:color w:val="000000"/>
          <w:sz w:val="24"/>
        </w:rPr>
        <w:t>2.2  对于标书技术规范中已列出的作为查询选件的附件、零配件、专用工具和消耗品，投标书中应列明其数量、单价、总价供买方参考。投标人也可推荐买方没有要求的附件或专用工具作为选件，并列明其数量、单价、总价供买方参考。选件价格不计入评标价中。选件一旦为用户接受，其费用将加入合同价中。</w:t>
      </w:r>
    </w:p>
    <w:p w14:paraId="6AC10021">
      <w:pPr>
        <w:spacing w:line="360" w:lineRule="auto"/>
        <w:ind w:left="554" w:hanging="554" w:hangingChars="231"/>
        <w:rPr>
          <w:rFonts w:ascii="宋体" w:hAnsi="宋体" w:cs="宋体"/>
          <w:color w:val="000000"/>
          <w:sz w:val="24"/>
        </w:rPr>
      </w:pPr>
      <w:r>
        <w:rPr>
          <w:rFonts w:hint="eastAsia" w:ascii="宋体" w:hAnsi="宋体" w:cs="宋体"/>
          <w:color w:val="000000"/>
          <w:sz w:val="24"/>
        </w:rPr>
        <w:t>2.3  为便于用户进行接收仪器的准备工作，卖方应在合同生效后</w:t>
      </w:r>
      <w:r>
        <w:rPr>
          <w:rFonts w:hint="eastAsia" w:ascii="宋体" w:hAnsi="宋体" w:cs="宋体"/>
          <w:b/>
          <w:color w:val="000000"/>
          <w:sz w:val="24"/>
        </w:rPr>
        <w:t>60</w:t>
      </w:r>
      <w:r>
        <w:rPr>
          <w:rFonts w:hint="eastAsia" w:ascii="宋体" w:hAnsi="宋体" w:cs="宋体"/>
          <w:color w:val="000000"/>
          <w:sz w:val="24"/>
        </w:rPr>
        <w:t>天内向用户提供一套完整的使用说明书、操作手册、维修及安装说明等文件。另一套完整上述资料应在交货时随货包装提供给用户，这些费用应计入投标价中。</w:t>
      </w:r>
    </w:p>
    <w:p w14:paraId="7C5B3ED7">
      <w:pPr>
        <w:spacing w:line="360" w:lineRule="auto"/>
        <w:ind w:left="554" w:hanging="554" w:hangingChars="231"/>
        <w:rPr>
          <w:rFonts w:ascii="宋体" w:hAnsi="宋体" w:cs="宋体"/>
          <w:color w:val="000000"/>
          <w:sz w:val="24"/>
        </w:rPr>
      </w:pPr>
      <w:r>
        <w:rPr>
          <w:rFonts w:hint="eastAsia" w:ascii="宋体" w:hAnsi="宋体" w:cs="宋体"/>
          <w:color w:val="000000"/>
          <w:sz w:val="24"/>
        </w:rPr>
        <w:t>2.4  关于设备的安装调试，如果有必要的安装准备条件，卖方应在合同生效后一个月内向买方提出详细的要求或计划。安装调试的费用应计入投标价中，并应单独列出，供评标使用。</w:t>
      </w:r>
    </w:p>
    <w:p w14:paraId="13A5DEB9">
      <w:pPr>
        <w:spacing w:line="360" w:lineRule="auto"/>
        <w:ind w:left="554" w:hanging="554" w:hangingChars="231"/>
        <w:rPr>
          <w:rFonts w:ascii="宋体" w:hAnsi="宋体" w:cs="宋体"/>
          <w:color w:val="000000"/>
          <w:sz w:val="24"/>
        </w:rPr>
      </w:pPr>
      <w:r>
        <w:rPr>
          <w:rFonts w:hint="eastAsia" w:ascii="宋体" w:hAnsi="宋体" w:cs="宋体"/>
          <w:color w:val="000000"/>
          <w:sz w:val="24"/>
        </w:rPr>
        <w:t>2.5  制造厂家或其国内代理提供的培训指的是涉及货物的基本原理、操作使用和保养维修等有关内容的培训。培训教员的培训费、旅费、食宿费等费用和培训场地费及培训资料费均应由卖方支付。</w:t>
      </w:r>
    </w:p>
    <w:p w14:paraId="1350B12F">
      <w:pPr>
        <w:spacing w:line="360" w:lineRule="auto"/>
        <w:ind w:left="554" w:hanging="554" w:hangingChars="231"/>
        <w:rPr>
          <w:rFonts w:ascii="宋体" w:hAnsi="宋体" w:cs="宋体"/>
          <w:color w:val="000000"/>
          <w:sz w:val="24"/>
        </w:rPr>
      </w:pPr>
      <w:r>
        <w:rPr>
          <w:rFonts w:hint="eastAsia" w:ascii="宋体" w:hAnsi="宋体" w:cs="宋体"/>
          <w:color w:val="000000"/>
          <w:sz w:val="24"/>
        </w:rPr>
        <w:t>2.6  在评标过程中，买方有权向投标人索取任何与评标有关的资料，投标人务必在接到此类要求后，在规定时间内予以答复。对于无答复的投标人，买方有权拒绝其投标。</w:t>
      </w:r>
    </w:p>
    <w:p w14:paraId="696ECFBC">
      <w:pPr>
        <w:spacing w:before="156" w:beforeLines="50" w:after="156" w:afterLines="50" w:line="360" w:lineRule="auto"/>
        <w:ind w:left="601" w:hanging="601"/>
        <w:rPr>
          <w:rFonts w:ascii="宋体" w:hAnsi="宋体" w:cs="宋体"/>
          <w:b/>
          <w:color w:val="000000"/>
          <w:sz w:val="28"/>
        </w:rPr>
      </w:pPr>
      <w:r>
        <w:rPr>
          <w:rFonts w:hint="eastAsia" w:ascii="宋体" w:hAnsi="宋体" w:cs="宋体"/>
          <w:b/>
          <w:color w:val="000000"/>
          <w:sz w:val="28"/>
        </w:rPr>
        <w:t>3、工作条件</w:t>
      </w:r>
    </w:p>
    <w:p w14:paraId="1041D88B">
      <w:pPr>
        <w:spacing w:after="312" w:afterLines="100" w:line="360" w:lineRule="auto"/>
        <w:rPr>
          <w:rFonts w:ascii="宋体" w:hAnsi="宋体" w:cs="宋体"/>
          <w:color w:val="000000"/>
          <w:sz w:val="24"/>
        </w:rPr>
      </w:pPr>
      <w:r>
        <w:rPr>
          <w:rFonts w:hint="eastAsia" w:ascii="宋体" w:hAnsi="宋体" w:cs="宋体"/>
          <w:color w:val="000000"/>
          <w:sz w:val="24"/>
        </w:rPr>
        <w:t xml:space="preserve">除非在技术规格中另有说明，所有仪器、设备和系统都应符合下列要求： </w:t>
      </w:r>
    </w:p>
    <w:p w14:paraId="27306243">
      <w:pPr>
        <w:spacing w:line="360" w:lineRule="auto"/>
        <w:ind w:left="554" w:hanging="554" w:hangingChars="231"/>
        <w:rPr>
          <w:rFonts w:ascii="宋体" w:hAnsi="宋体" w:cs="宋体"/>
          <w:color w:val="000000"/>
          <w:sz w:val="24"/>
        </w:rPr>
      </w:pPr>
      <w:r>
        <w:rPr>
          <w:rFonts w:hint="eastAsia" w:ascii="宋体" w:hAnsi="宋体" w:cs="宋体"/>
          <w:color w:val="000000"/>
          <w:sz w:val="24"/>
        </w:rPr>
        <w:t>3.1  适于在气温为摄氏-</w:t>
      </w:r>
      <w:r>
        <w:rPr>
          <w:rFonts w:ascii="宋体" w:hAnsi="宋体" w:cs="宋体"/>
          <w:color w:val="000000"/>
          <w:sz w:val="24"/>
        </w:rPr>
        <w:t>4</w:t>
      </w:r>
      <w:r>
        <w:rPr>
          <w:rFonts w:hint="eastAsia" w:ascii="宋体" w:hAnsi="宋体" w:cs="宋体"/>
          <w:color w:val="000000"/>
          <w:sz w:val="24"/>
        </w:rPr>
        <w:t>0℃～＋50℃和相对湿度为90％的环境条件下运输和贮存。</w:t>
      </w:r>
    </w:p>
    <w:p w14:paraId="0D19A9B1">
      <w:pPr>
        <w:spacing w:line="360" w:lineRule="auto"/>
        <w:ind w:left="554" w:hanging="554" w:hangingChars="231"/>
        <w:rPr>
          <w:rFonts w:ascii="宋体" w:hAnsi="宋体" w:cs="宋体"/>
          <w:color w:val="000000"/>
          <w:sz w:val="24"/>
        </w:rPr>
      </w:pPr>
      <w:r>
        <w:rPr>
          <w:rFonts w:hint="eastAsia" w:ascii="宋体" w:hAnsi="宋体" w:cs="宋体"/>
          <w:color w:val="000000"/>
          <w:sz w:val="24"/>
        </w:rPr>
        <w:t>3.2  适于在电源220V（</w:t>
      </w:r>
      <w:r>
        <w:rPr>
          <w:rFonts w:hint="eastAsia" w:ascii="宋体" w:hAnsi="宋体" w:cs="宋体"/>
          <w:color w:val="000000"/>
          <w:sz w:val="24"/>
        </w:rPr>
        <w:sym w:font="Symbol" w:char="F0B1"/>
      </w:r>
      <w:r>
        <w:rPr>
          <w:rFonts w:hint="eastAsia" w:ascii="宋体" w:hAnsi="宋体" w:cs="宋体"/>
          <w:color w:val="000000"/>
          <w:sz w:val="24"/>
        </w:rPr>
        <w:t>10％）/50Hz、气温摄氏+15℃～＋30℃和相对湿度小于80％的环境条件下运行。能够连续正常工作。</w:t>
      </w:r>
    </w:p>
    <w:p w14:paraId="58A97123">
      <w:pPr>
        <w:spacing w:line="360" w:lineRule="auto"/>
        <w:ind w:left="554" w:hanging="554" w:hangingChars="231"/>
        <w:rPr>
          <w:rFonts w:ascii="宋体" w:hAnsi="宋体" w:cs="宋体"/>
          <w:color w:val="000000"/>
          <w:sz w:val="24"/>
        </w:rPr>
      </w:pPr>
      <w:r>
        <w:rPr>
          <w:rFonts w:hint="eastAsia" w:ascii="宋体" w:hAnsi="宋体" w:cs="宋体"/>
          <w:color w:val="000000"/>
          <w:sz w:val="24"/>
        </w:rPr>
        <w:t>3.3  配置符合中国有关标准要求的插头，如果没有这样的插头，则需提供适当的转换插座。</w:t>
      </w:r>
    </w:p>
    <w:p w14:paraId="1B80FC6F">
      <w:pPr>
        <w:spacing w:line="360" w:lineRule="auto"/>
        <w:ind w:left="554" w:hanging="554" w:hangingChars="231"/>
        <w:rPr>
          <w:rFonts w:ascii="宋体" w:hAnsi="宋体" w:cs="宋体"/>
          <w:color w:val="000000"/>
          <w:sz w:val="24"/>
        </w:rPr>
      </w:pPr>
      <w:r>
        <w:rPr>
          <w:rFonts w:hint="eastAsia" w:ascii="宋体" w:hAnsi="宋体" w:cs="宋体"/>
          <w:color w:val="000000"/>
          <w:sz w:val="24"/>
        </w:rPr>
        <w:t>3.4  如产品达不到上述要求，投标人应注明其偏差。如仪器设备需要特殊工作条件（如水、电源、磁场强度、温度、湿度、动强度等）投标人应在投标书中加以说明。</w:t>
      </w:r>
    </w:p>
    <w:p w14:paraId="66FF415A">
      <w:pPr>
        <w:rPr>
          <w:rFonts w:ascii="宋体" w:hAnsi="宋体" w:cs="宋体"/>
          <w:b/>
          <w:bCs/>
          <w:color w:val="000000"/>
          <w:kern w:val="44"/>
          <w:sz w:val="24"/>
        </w:rPr>
      </w:pPr>
    </w:p>
    <w:p w14:paraId="74AD79C0">
      <w:pPr>
        <w:spacing w:before="156" w:beforeLines="50" w:after="156" w:afterLines="50" w:line="360" w:lineRule="auto"/>
        <w:ind w:left="601" w:hanging="601"/>
        <w:rPr>
          <w:rFonts w:ascii="宋体" w:hAnsi="宋体" w:cs="宋体"/>
          <w:b/>
          <w:color w:val="000000"/>
          <w:sz w:val="28"/>
        </w:rPr>
      </w:pPr>
      <w:r>
        <w:rPr>
          <w:rFonts w:hint="eastAsia" w:ascii="宋体" w:hAnsi="宋体" w:cs="宋体"/>
          <w:b/>
          <w:color w:val="000000"/>
          <w:sz w:val="28"/>
        </w:rPr>
        <w:t>4、验收标准</w:t>
      </w:r>
    </w:p>
    <w:p w14:paraId="7277B2A7">
      <w:pPr>
        <w:spacing w:after="312" w:afterLines="100" w:line="360" w:lineRule="auto"/>
        <w:rPr>
          <w:rFonts w:ascii="宋体" w:hAnsi="宋体" w:cs="宋体"/>
          <w:color w:val="000000"/>
          <w:sz w:val="24"/>
        </w:rPr>
      </w:pPr>
      <w:r>
        <w:rPr>
          <w:rFonts w:hint="eastAsia" w:ascii="宋体" w:hAnsi="宋体" w:cs="宋体"/>
          <w:color w:val="000000"/>
          <w:sz w:val="24"/>
        </w:rPr>
        <w:t xml:space="preserve">除非在技术规格中另有说明，所有仪器、设备和系统按下列要求进行验收： </w:t>
      </w:r>
    </w:p>
    <w:p w14:paraId="7A9E8986">
      <w:pPr>
        <w:spacing w:line="360" w:lineRule="auto"/>
        <w:ind w:left="554" w:hanging="554" w:hangingChars="231"/>
        <w:rPr>
          <w:rFonts w:ascii="宋体" w:hAnsi="宋体" w:cs="宋体"/>
          <w:color w:val="000000"/>
          <w:sz w:val="24"/>
        </w:rPr>
      </w:pPr>
      <w:r>
        <w:rPr>
          <w:rFonts w:hint="eastAsia" w:ascii="宋体" w:hAnsi="宋体" w:cs="宋体"/>
          <w:color w:val="000000"/>
          <w:sz w:val="24"/>
        </w:rPr>
        <w:t>4.1  仪器设备运抵安装现场后，买方将与卖方共同开箱验收, 如卖方届时未派人到场, 则验收结果应以买方的验收报告为最终验收结果。验收时发现短缺、破损, 买方有权要求卖方负责更换。</w:t>
      </w:r>
    </w:p>
    <w:p w14:paraId="38AF4194">
      <w:pPr>
        <w:spacing w:line="360" w:lineRule="auto"/>
        <w:ind w:left="554" w:hanging="554" w:hangingChars="231"/>
        <w:rPr>
          <w:rFonts w:ascii="宋体" w:hAnsi="宋体" w:cs="宋体"/>
          <w:color w:val="000000"/>
          <w:sz w:val="24"/>
        </w:rPr>
      </w:pPr>
      <w:r>
        <w:rPr>
          <w:rFonts w:hint="eastAsia" w:ascii="宋体" w:hAnsi="宋体" w:cs="宋体"/>
          <w:color w:val="000000"/>
          <w:sz w:val="24"/>
        </w:rPr>
        <w:t>4.2  验收标准以中标人提供的投标文件中所列的指标为准（该指标应不低于招标文件所要求的指标）。任何虚假指标响应一经发现即作废标，卖方必须承担由此给买方带来的一切经济损失和其它相关责任。</w:t>
      </w:r>
    </w:p>
    <w:p w14:paraId="4825443E">
      <w:pPr>
        <w:spacing w:line="360" w:lineRule="auto"/>
        <w:ind w:left="554" w:hanging="554" w:hangingChars="231"/>
        <w:rPr>
          <w:rFonts w:ascii="宋体" w:hAnsi="宋体" w:cs="宋体"/>
          <w:color w:val="000000"/>
          <w:sz w:val="24"/>
        </w:rPr>
      </w:pPr>
      <w:r>
        <w:rPr>
          <w:rFonts w:hint="eastAsia" w:ascii="宋体" w:hAnsi="宋体" w:cs="宋体"/>
          <w:color w:val="000000"/>
          <w:sz w:val="24"/>
        </w:rPr>
        <w:t>4.3  验收由采购人、中标人及相关人员依国家有关标准、合同及有关附件要求进行，验收完毕由买方及卖方在验收报告上签名。</w:t>
      </w:r>
    </w:p>
    <w:p w14:paraId="228ACDAC">
      <w:pPr>
        <w:pStyle w:val="5"/>
        <w:spacing w:line="360" w:lineRule="auto"/>
        <w:ind w:left="416" w:hanging="410" w:hangingChars="170"/>
        <w:rPr>
          <w:rFonts w:hAnsi="宋体" w:cs="宋体"/>
          <w:b/>
          <w:color w:val="000000"/>
          <w:sz w:val="24"/>
          <w:szCs w:val="24"/>
        </w:rPr>
      </w:pPr>
    </w:p>
    <w:p w14:paraId="0F4A2E31">
      <w:pPr>
        <w:spacing w:before="156" w:beforeLines="50" w:after="156" w:afterLines="50" w:line="360" w:lineRule="auto"/>
        <w:ind w:left="601" w:hanging="601"/>
        <w:rPr>
          <w:rFonts w:ascii="宋体" w:hAnsi="宋体" w:cs="宋体"/>
          <w:b/>
          <w:color w:val="000000"/>
          <w:sz w:val="28"/>
        </w:rPr>
      </w:pPr>
      <w:r>
        <w:rPr>
          <w:rFonts w:hint="eastAsia" w:ascii="宋体" w:hAnsi="宋体" w:cs="宋体"/>
          <w:b/>
          <w:color w:val="000000"/>
          <w:sz w:val="28"/>
        </w:rPr>
        <w:t>5、本技术规格书中标注“</w:t>
      </w:r>
      <w:r>
        <w:rPr>
          <w:rFonts w:hint="eastAsia" w:ascii="宋体" w:hAnsi="宋体" w:cs="宋体"/>
          <w:color w:val="000000"/>
          <w:szCs w:val="21"/>
        </w:rPr>
        <w:t>★</w:t>
      </w:r>
      <w:r>
        <w:rPr>
          <w:rFonts w:hint="eastAsia" w:ascii="宋体" w:hAnsi="宋体" w:cs="宋体"/>
          <w:b/>
          <w:color w:val="000000"/>
          <w:sz w:val="28"/>
        </w:rPr>
        <w:t>”号的为关键技术参数，对这些关键技术参数的任何负偏离将导致废标。</w:t>
      </w:r>
    </w:p>
    <w:p w14:paraId="6D36B4F8">
      <w:pPr>
        <w:spacing w:before="156" w:beforeLines="50" w:after="156" w:afterLines="50" w:line="360" w:lineRule="auto"/>
        <w:ind w:left="601" w:hanging="601"/>
        <w:rPr>
          <w:rFonts w:ascii="宋体" w:hAnsi="宋体" w:cs="宋体"/>
          <w:b/>
          <w:color w:val="000000"/>
          <w:sz w:val="28"/>
        </w:rPr>
      </w:pPr>
    </w:p>
    <w:p w14:paraId="2DCF8601">
      <w:pPr>
        <w:spacing w:before="156" w:beforeLines="50" w:after="156" w:afterLines="50" w:line="360" w:lineRule="auto"/>
        <w:ind w:left="601" w:hanging="601"/>
        <w:rPr>
          <w:rFonts w:ascii="宋体" w:hAnsi="宋体" w:cs="宋体"/>
          <w:b/>
          <w:color w:val="000000"/>
          <w:sz w:val="28"/>
        </w:rPr>
      </w:pPr>
      <w:r>
        <w:rPr>
          <w:rFonts w:hint="eastAsia" w:ascii="宋体" w:hAnsi="宋体" w:cs="宋体"/>
          <w:b/>
          <w:color w:val="000000"/>
          <w:sz w:val="28"/>
        </w:rPr>
        <w:t>6、如在具体技术规格中有本总则不一致之处，以具体技术规格中的要求为准。</w:t>
      </w:r>
    </w:p>
    <w:p w14:paraId="1B4A9EC6">
      <w:pPr>
        <w:spacing w:after="156" w:afterLines="50"/>
        <w:ind w:left="601" w:hanging="601"/>
        <w:outlineLvl w:val="1"/>
        <w:rPr>
          <w:rFonts w:cs="宋体"/>
          <w:b/>
          <w:color w:val="000000"/>
          <w:sz w:val="28"/>
        </w:rPr>
      </w:pPr>
      <w:r>
        <w:rPr>
          <w:rFonts w:hint="eastAsia" w:ascii="宋体" w:hAnsi="宋体" w:cs="宋体"/>
          <w:b/>
          <w:color w:val="000000"/>
          <w:sz w:val="28"/>
        </w:rPr>
        <w:br w:type="page"/>
      </w:r>
      <w:r>
        <w:rPr>
          <w:rFonts w:hint="eastAsia" w:ascii="宋体" w:hAnsi="宋体" w:cs="宋体"/>
          <w:b/>
          <w:color w:val="000000"/>
          <w:sz w:val="28"/>
        </w:rPr>
        <w:t>三、具体技术规格</w:t>
      </w:r>
    </w:p>
    <w:p w14:paraId="4D174F19">
      <w:pPr>
        <w:pStyle w:val="7"/>
        <w:ind w:firstLine="0" w:firstLineChars="0"/>
      </w:pPr>
    </w:p>
    <w:p w14:paraId="7F3F54D5">
      <w:pPr>
        <w:spacing w:line="360" w:lineRule="auto"/>
        <w:jc w:val="center"/>
        <w:rPr>
          <w:rFonts w:ascii="宋体" w:hAnsi="宋体" w:cs="宋体"/>
          <w:b/>
          <w:sz w:val="24"/>
        </w:rPr>
      </w:pPr>
      <w:r>
        <w:rPr>
          <w:rFonts w:hint="eastAsia" w:ascii="宋体" w:hAnsi="宋体" w:cs="宋体"/>
          <w:b/>
          <w:sz w:val="24"/>
        </w:rPr>
        <w:t>第1包  高分辨空间成像质谱仪</w:t>
      </w:r>
    </w:p>
    <w:p w14:paraId="69B76AAA">
      <w:pPr>
        <w:widowControl/>
        <w:snapToGrid w:val="0"/>
        <w:spacing w:line="360" w:lineRule="auto"/>
        <w:jc w:val="center"/>
        <w:rPr>
          <w:rFonts w:ascii="宋体" w:hAnsi="宋体" w:cs="宋体"/>
          <w:b/>
          <w:color w:val="000000" w:themeColor="text1"/>
          <w:sz w:val="24"/>
          <w14:textFill>
            <w14:solidFill>
              <w14:schemeClr w14:val="tx1"/>
            </w14:solidFill>
          </w14:textFill>
        </w:rPr>
      </w:pPr>
    </w:p>
    <w:p w14:paraId="3C83E841">
      <w:pPr>
        <w:pStyle w:val="6"/>
        <w:numPr>
          <w:ilvl w:val="0"/>
          <w:numId w:val="3"/>
        </w:numPr>
        <w:spacing w:line="360" w:lineRule="auto"/>
        <w:ind w:right="708" w:rightChars="337" w:hanging="905"/>
        <w:jc w:val="both"/>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招标项目信息</w:t>
      </w:r>
    </w:p>
    <w:tbl>
      <w:tblPr>
        <w:tblStyle w:val="8"/>
        <w:tblW w:w="94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550"/>
        <w:gridCol w:w="681"/>
        <w:gridCol w:w="1091"/>
        <w:gridCol w:w="1651"/>
        <w:gridCol w:w="1238"/>
        <w:gridCol w:w="1260"/>
        <w:gridCol w:w="1260"/>
      </w:tblGrid>
      <w:tr w14:paraId="253FB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trPr>
        <w:tc>
          <w:tcPr>
            <w:tcW w:w="675" w:type="dxa"/>
            <w:vAlign w:val="center"/>
          </w:tcPr>
          <w:p w14:paraId="2B71E00E">
            <w:pPr>
              <w:widowControl/>
              <w:snapToGrid w:val="0"/>
              <w:spacing w:before="156" w:beforeLines="50" w:line="360" w:lineRule="auto"/>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序号</w:t>
            </w:r>
          </w:p>
        </w:tc>
        <w:tc>
          <w:tcPr>
            <w:tcW w:w="1550" w:type="dxa"/>
            <w:noWrap/>
            <w:vAlign w:val="center"/>
          </w:tcPr>
          <w:p w14:paraId="4AAD35C7">
            <w:pPr>
              <w:widowControl/>
              <w:snapToGrid w:val="0"/>
              <w:spacing w:before="156" w:beforeLines="50" w:line="360" w:lineRule="auto"/>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设备名称</w:t>
            </w:r>
          </w:p>
        </w:tc>
        <w:tc>
          <w:tcPr>
            <w:tcW w:w="681" w:type="dxa"/>
            <w:vAlign w:val="center"/>
          </w:tcPr>
          <w:p w14:paraId="71F4F213">
            <w:pPr>
              <w:widowControl/>
              <w:snapToGrid w:val="0"/>
              <w:spacing w:before="156" w:beforeLines="50" w:line="360" w:lineRule="auto"/>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数量</w:t>
            </w:r>
          </w:p>
        </w:tc>
        <w:tc>
          <w:tcPr>
            <w:tcW w:w="1091" w:type="dxa"/>
            <w:noWrap/>
            <w:vAlign w:val="center"/>
          </w:tcPr>
          <w:p w14:paraId="5CF7BA7D">
            <w:pPr>
              <w:widowControl/>
              <w:snapToGrid w:val="0"/>
              <w:spacing w:before="156" w:beforeLines="50" w:line="360" w:lineRule="auto"/>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单位</w:t>
            </w:r>
          </w:p>
        </w:tc>
        <w:tc>
          <w:tcPr>
            <w:tcW w:w="1651" w:type="dxa"/>
            <w:vAlign w:val="center"/>
          </w:tcPr>
          <w:p w14:paraId="26BA235B">
            <w:pPr>
              <w:widowControl/>
              <w:snapToGrid w:val="0"/>
              <w:spacing w:before="156" w:beforeLines="50" w:line="360" w:lineRule="auto"/>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是否接受进口设备参与投标</w:t>
            </w:r>
          </w:p>
        </w:tc>
        <w:tc>
          <w:tcPr>
            <w:tcW w:w="1238" w:type="dxa"/>
            <w:vAlign w:val="center"/>
          </w:tcPr>
          <w:p w14:paraId="4DEB1AA5">
            <w:pPr>
              <w:widowControl/>
              <w:snapToGrid w:val="0"/>
              <w:spacing w:before="156" w:beforeLines="50" w:line="360" w:lineRule="auto"/>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预算金额</w:t>
            </w:r>
          </w:p>
          <w:p w14:paraId="4F6A1BCF">
            <w:pPr>
              <w:widowControl/>
              <w:snapToGrid w:val="0"/>
              <w:spacing w:before="156" w:beforeLines="50" w:line="360" w:lineRule="auto"/>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（万元）</w:t>
            </w:r>
          </w:p>
        </w:tc>
        <w:tc>
          <w:tcPr>
            <w:tcW w:w="1260" w:type="dxa"/>
            <w:vAlign w:val="center"/>
          </w:tcPr>
          <w:p w14:paraId="34B9B54F">
            <w:pPr>
              <w:widowControl/>
              <w:snapToGrid w:val="0"/>
              <w:spacing w:before="156" w:beforeLines="50" w:line="360" w:lineRule="auto"/>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最高限价（万元）</w:t>
            </w:r>
          </w:p>
        </w:tc>
        <w:tc>
          <w:tcPr>
            <w:tcW w:w="1260" w:type="dxa"/>
            <w:vAlign w:val="center"/>
          </w:tcPr>
          <w:p w14:paraId="536D5AC2">
            <w:pPr>
              <w:widowControl/>
              <w:snapToGrid w:val="0"/>
              <w:spacing w:before="156" w:beforeLines="50" w:line="360" w:lineRule="auto"/>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本项目所属行业</w:t>
            </w:r>
          </w:p>
        </w:tc>
      </w:tr>
      <w:tr w14:paraId="7A432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75" w:type="dxa"/>
            <w:vAlign w:val="center"/>
          </w:tcPr>
          <w:p w14:paraId="17EDD577">
            <w:pPr>
              <w:widowControl/>
              <w:snapToGrid w:val="0"/>
              <w:spacing w:before="156" w:beforeLines="50" w:line="360" w:lineRule="auto"/>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一</w:t>
            </w:r>
          </w:p>
        </w:tc>
        <w:tc>
          <w:tcPr>
            <w:tcW w:w="1550" w:type="dxa"/>
            <w:vAlign w:val="center"/>
          </w:tcPr>
          <w:p w14:paraId="1A2305A8">
            <w:pPr>
              <w:widowControl/>
              <w:spacing w:line="360" w:lineRule="auto"/>
              <w:jc w:val="left"/>
              <w:rPr>
                <w:rFonts w:ascii="宋体" w:hAnsi="宋体" w:cs="宋体"/>
                <w:color w:val="000000" w:themeColor="text1"/>
                <w:kern w:val="0"/>
                <w:sz w:val="24"/>
                <w14:textFill>
                  <w14:solidFill>
                    <w14:schemeClr w14:val="tx1"/>
                  </w14:solidFill>
                </w14:textFill>
              </w:rPr>
            </w:pPr>
            <w:r>
              <w:rPr>
                <w:rFonts w:hint="eastAsia" w:ascii="宋体" w:hAnsi="宋体" w:cs="宋体"/>
                <w:sz w:val="24"/>
              </w:rPr>
              <w:t>高分辨空间成像质谱仪</w:t>
            </w:r>
          </w:p>
        </w:tc>
        <w:tc>
          <w:tcPr>
            <w:tcW w:w="681" w:type="dxa"/>
            <w:vAlign w:val="center"/>
          </w:tcPr>
          <w:p w14:paraId="4C9CC630">
            <w:pPr>
              <w:widowControl/>
              <w:snapToGrid w:val="0"/>
              <w:spacing w:before="156" w:beforeLines="50" w:line="360" w:lineRule="auto"/>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w:t>
            </w:r>
          </w:p>
        </w:tc>
        <w:tc>
          <w:tcPr>
            <w:tcW w:w="1091" w:type="dxa"/>
            <w:vAlign w:val="center"/>
          </w:tcPr>
          <w:p w14:paraId="356BF635">
            <w:pPr>
              <w:widowControl/>
              <w:snapToGrid w:val="0"/>
              <w:spacing w:before="156" w:beforeLines="50" w:line="360" w:lineRule="auto"/>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套</w:t>
            </w:r>
          </w:p>
        </w:tc>
        <w:tc>
          <w:tcPr>
            <w:tcW w:w="1651" w:type="dxa"/>
            <w:vAlign w:val="center"/>
          </w:tcPr>
          <w:p w14:paraId="09D10FC5">
            <w:pPr>
              <w:widowControl/>
              <w:snapToGrid w:val="0"/>
              <w:spacing w:before="156" w:beforeLines="50" w:line="360" w:lineRule="auto"/>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是</w:t>
            </w:r>
          </w:p>
        </w:tc>
        <w:tc>
          <w:tcPr>
            <w:tcW w:w="1238" w:type="dxa"/>
            <w:vAlign w:val="center"/>
          </w:tcPr>
          <w:p w14:paraId="3456BB1B">
            <w:pPr>
              <w:widowControl/>
              <w:snapToGrid w:val="0"/>
              <w:spacing w:before="156" w:beforeLines="50" w:line="360" w:lineRule="auto"/>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840</w:t>
            </w:r>
          </w:p>
        </w:tc>
        <w:tc>
          <w:tcPr>
            <w:tcW w:w="1260" w:type="dxa"/>
            <w:vAlign w:val="center"/>
          </w:tcPr>
          <w:p w14:paraId="7E54B9AC">
            <w:pPr>
              <w:widowControl/>
              <w:snapToGrid w:val="0"/>
              <w:spacing w:before="156" w:beforeLines="50" w:line="360" w:lineRule="auto"/>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840</w:t>
            </w:r>
          </w:p>
        </w:tc>
        <w:tc>
          <w:tcPr>
            <w:tcW w:w="1260" w:type="dxa"/>
            <w:vAlign w:val="center"/>
          </w:tcPr>
          <w:p w14:paraId="1363E489">
            <w:pPr>
              <w:widowControl/>
              <w:snapToGrid w:val="0"/>
              <w:spacing w:before="156" w:beforeLines="50" w:line="360" w:lineRule="auto"/>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工业</w:t>
            </w:r>
          </w:p>
        </w:tc>
      </w:tr>
    </w:tbl>
    <w:p w14:paraId="7D7E0996">
      <w:pPr>
        <w:pStyle w:val="6"/>
        <w:numPr>
          <w:ilvl w:val="0"/>
          <w:numId w:val="3"/>
        </w:numPr>
        <w:spacing w:line="360" w:lineRule="auto"/>
        <w:ind w:right="708" w:rightChars="337" w:hanging="905"/>
        <w:jc w:val="both"/>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技术部分</w:t>
      </w:r>
    </w:p>
    <w:p w14:paraId="6742AB50">
      <w:pPr>
        <w:widowControl/>
        <w:snapToGrid w:val="0"/>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1、</w:t>
      </w:r>
      <w:r>
        <w:rPr>
          <w:rFonts w:hint="eastAsia" w:ascii="宋体" w:hAnsi="宋体" w:cs="宋体"/>
          <w:color w:val="000000" w:themeColor="text1"/>
          <w:kern w:val="0"/>
          <w:sz w:val="24"/>
          <w:lang w:val="zh-CN"/>
          <w14:textFill>
            <w14:solidFill>
              <w14:schemeClr w14:val="tx1"/>
            </w14:solidFill>
          </w14:textFill>
        </w:rPr>
        <w:t>★</w:t>
      </w:r>
      <w:r>
        <w:rPr>
          <w:rFonts w:hint="eastAsia" w:ascii="宋体" w:hAnsi="宋体" w:cs="宋体"/>
          <w:b/>
          <w:color w:val="000000" w:themeColor="text1"/>
          <w:sz w:val="24"/>
          <w14:textFill>
            <w14:solidFill>
              <w14:schemeClr w14:val="tx1"/>
            </w14:solidFill>
          </w14:textFill>
        </w:rPr>
        <w:t>配置清单及零配件（包括专用工具）：</w:t>
      </w:r>
    </w:p>
    <w:tbl>
      <w:tblPr>
        <w:tblStyle w:val="8"/>
        <w:tblW w:w="91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8"/>
        <w:gridCol w:w="4409"/>
        <w:gridCol w:w="1810"/>
        <w:gridCol w:w="1570"/>
      </w:tblGrid>
      <w:tr w14:paraId="6FB7A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5C53C767">
            <w:pPr>
              <w:widowControl/>
              <w:snapToGrid w:val="0"/>
              <w:spacing w:before="211" w:beforeLines="50" w:line="360" w:lineRule="auto"/>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序号</w:t>
            </w:r>
          </w:p>
        </w:tc>
        <w:tc>
          <w:tcPr>
            <w:tcW w:w="4409" w:type="dxa"/>
          </w:tcPr>
          <w:p w14:paraId="1515947C">
            <w:pPr>
              <w:widowControl/>
              <w:snapToGrid w:val="0"/>
              <w:spacing w:before="211" w:beforeLines="50" w:line="360" w:lineRule="auto"/>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名称</w:t>
            </w:r>
          </w:p>
        </w:tc>
        <w:tc>
          <w:tcPr>
            <w:tcW w:w="1810" w:type="dxa"/>
          </w:tcPr>
          <w:p w14:paraId="77EE1942">
            <w:pPr>
              <w:widowControl/>
              <w:snapToGrid w:val="0"/>
              <w:spacing w:before="211" w:beforeLines="50" w:line="360" w:lineRule="auto"/>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数量</w:t>
            </w:r>
          </w:p>
        </w:tc>
        <w:tc>
          <w:tcPr>
            <w:tcW w:w="1570" w:type="dxa"/>
          </w:tcPr>
          <w:p w14:paraId="044BEC5F">
            <w:pPr>
              <w:widowControl/>
              <w:snapToGrid w:val="0"/>
              <w:spacing w:before="211" w:beforeLines="50" w:line="360" w:lineRule="auto"/>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单位</w:t>
            </w:r>
          </w:p>
        </w:tc>
      </w:tr>
      <w:tr w14:paraId="2C9C6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72BB6CAF">
            <w:pPr>
              <w:widowControl/>
              <w:snapToGrid w:val="0"/>
              <w:spacing w:before="211" w:beforeLines="50" w:line="360" w:lineRule="auto"/>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1</w:t>
            </w:r>
          </w:p>
        </w:tc>
        <w:tc>
          <w:tcPr>
            <w:tcW w:w="4409" w:type="dxa"/>
          </w:tcPr>
          <w:p w14:paraId="1B4576FA">
            <w:pPr>
              <w:widowControl/>
              <w:snapToGrid w:val="0"/>
              <w:spacing w:before="211" w:beforeLines="50" w:line="360" w:lineRule="auto"/>
              <w:jc w:val="center"/>
              <w:rPr>
                <w:rFonts w:hint="eastAsia" w:ascii="宋体" w:hAnsi="宋体" w:eastAsia="宋体" w:cs="宋体"/>
                <w:b/>
                <w:bCs/>
                <w:color w:val="000000" w:themeColor="text1"/>
                <w:sz w:val="24"/>
                <w:lang w:eastAsia="zh-CN"/>
                <w14:textFill>
                  <w14:solidFill>
                    <w14:schemeClr w14:val="tx1"/>
                  </w14:solidFill>
                </w14:textFill>
              </w:rPr>
            </w:pPr>
            <w:r>
              <w:rPr>
                <w:rFonts w:hint="eastAsia"/>
                <w:b/>
                <w:bCs/>
                <w:sz w:val="24"/>
              </w:rPr>
              <w:t>离子淌度飞行时间质谱仪</w:t>
            </w:r>
            <w:r>
              <w:rPr>
                <w:rFonts w:hint="eastAsia"/>
                <w:b/>
                <w:bCs/>
                <w:sz w:val="24"/>
                <w:lang w:eastAsia="zh-CN"/>
              </w:rPr>
              <w:t>（</w:t>
            </w:r>
            <w:r>
              <w:rPr>
                <w:rFonts w:hint="eastAsia"/>
                <w:b/>
                <w:bCs/>
                <w:sz w:val="24"/>
                <w:lang w:val="en-US" w:eastAsia="zh-CN"/>
              </w:rPr>
              <w:t>核心产品</w:t>
            </w:r>
            <w:r>
              <w:rPr>
                <w:rFonts w:hint="eastAsia"/>
                <w:b/>
                <w:bCs/>
                <w:sz w:val="24"/>
                <w:lang w:eastAsia="zh-CN"/>
              </w:rPr>
              <w:t>）</w:t>
            </w:r>
          </w:p>
        </w:tc>
        <w:tc>
          <w:tcPr>
            <w:tcW w:w="1810" w:type="dxa"/>
          </w:tcPr>
          <w:p w14:paraId="52F222F8">
            <w:pPr>
              <w:widowControl/>
              <w:snapToGrid w:val="0"/>
              <w:spacing w:before="211" w:beforeLines="50" w:line="360" w:lineRule="auto"/>
              <w:jc w:val="center"/>
              <w:rPr>
                <w:rFonts w:ascii="宋体" w:hAnsi="宋体" w:cs="宋体"/>
                <w:b/>
                <w:color w:val="000000" w:themeColor="text1"/>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w:t>
            </w:r>
          </w:p>
        </w:tc>
        <w:tc>
          <w:tcPr>
            <w:tcW w:w="1570" w:type="dxa"/>
          </w:tcPr>
          <w:p w14:paraId="2E346F3E">
            <w:pPr>
              <w:widowControl/>
              <w:snapToGrid w:val="0"/>
              <w:spacing w:before="211" w:beforeLines="50" w:line="360" w:lineRule="auto"/>
              <w:jc w:val="center"/>
              <w:rPr>
                <w:rFonts w:ascii="宋体" w:hAnsi="宋体" w:cs="宋体"/>
                <w:b/>
                <w:color w:val="000000" w:themeColor="text1"/>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台</w:t>
            </w:r>
          </w:p>
        </w:tc>
      </w:tr>
      <w:tr w14:paraId="35B5A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20B29295">
            <w:pPr>
              <w:widowControl/>
              <w:snapToGrid w:val="0"/>
              <w:spacing w:before="211" w:beforeLines="50" w:line="360" w:lineRule="auto"/>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2</w:t>
            </w:r>
          </w:p>
        </w:tc>
        <w:tc>
          <w:tcPr>
            <w:tcW w:w="4409" w:type="dxa"/>
          </w:tcPr>
          <w:p w14:paraId="7DAE2CA6">
            <w:pPr>
              <w:widowControl/>
              <w:snapToGrid w:val="0"/>
              <w:spacing w:before="211" w:beforeLines="50" w:line="360" w:lineRule="auto"/>
              <w:jc w:val="center"/>
              <w:rPr>
                <w:rFonts w:ascii="宋体" w:hAnsi="宋体" w:cs="宋体"/>
                <w:b/>
                <w:bCs/>
                <w:color w:val="000000" w:themeColor="text1"/>
                <w:kern w:val="0"/>
                <w:sz w:val="24"/>
                <w14:textFill>
                  <w14:solidFill>
                    <w14:schemeClr w14:val="tx1"/>
                  </w14:solidFill>
                </w14:textFill>
              </w:rPr>
            </w:pPr>
            <w:r>
              <w:rPr>
                <w:rFonts w:hint="eastAsia"/>
                <w:b/>
                <w:bCs/>
                <w:sz w:val="24"/>
              </w:rPr>
              <w:t>ESI离子源</w:t>
            </w:r>
            <w:r>
              <w:rPr>
                <w:rFonts w:hint="eastAsia"/>
                <w:b/>
                <w:bCs/>
                <w:sz w:val="24"/>
                <w:lang w:eastAsia="zh-CN"/>
              </w:rPr>
              <w:t>（</w:t>
            </w:r>
            <w:r>
              <w:rPr>
                <w:rFonts w:hint="eastAsia"/>
                <w:b/>
                <w:bCs/>
                <w:sz w:val="24"/>
                <w:lang w:val="en-US" w:eastAsia="zh-CN"/>
              </w:rPr>
              <w:t>核心产品</w:t>
            </w:r>
            <w:r>
              <w:rPr>
                <w:rFonts w:hint="eastAsia"/>
                <w:b/>
                <w:bCs/>
                <w:sz w:val="24"/>
                <w:lang w:eastAsia="zh-CN"/>
              </w:rPr>
              <w:t>）</w:t>
            </w:r>
          </w:p>
        </w:tc>
        <w:tc>
          <w:tcPr>
            <w:tcW w:w="1810" w:type="dxa"/>
          </w:tcPr>
          <w:p w14:paraId="1DF3EA4C">
            <w:pPr>
              <w:widowControl/>
              <w:snapToGrid w:val="0"/>
              <w:spacing w:before="211" w:beforeLines="50" w:line="360" w:lineRule="auto"/>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w:t>
            </w:r>
          </w:p>
        </w:tc>
        <w:tc>
          <w:tcPr>
            <w:tcW w:w="1570" w:type="dxa"/>
          </w:tcPr>
          <w:p w14:paraId="3170212E">
            <w:pPr>
              <w:widowControl/>
              <w:snapToGrid w:val="0"/>
              <w:spacing w:before="211" w:beforeLines="50" w:line="360" w:lineRule="auto"/>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个</w:t>
            </w:r>
          </w:p>
        </w:tc>
      </w:tr>
      <w:tr w14:paraId="22644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610E5681">
            <w:pPr>
              <w:widowControl/>
              <w:snapToGrid w:val="0"/>
              <w:spacing w:before="211" w:beforeLines="50" w:line="360" w:lineRule="auto"/>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3</w:t>
            </w:r>
          </w:p>
        </w:tc>
        <w:tc>
          <w:tcPr>
            <w:tcW w:w="4409" w:type="dxa"/>
          </w:tcPr>
          <w:p w14:paraId="7E198F3E">
            <w:pPr>
              <w:widowControl/>
              <w:snapToGrid w:val="0"/>
              <w:spacing w:before="211" w:beforeLines="50" w:line="360" w:lineRule="auto"/>
              <w:jc w:val="center"/>
              <w:rPr>
                <w:rFonts w:ascii="宋体" w:hAnsi="宋体" w:cs="宋体"/>
                <w:b/>
                <w:bCs/>
                <w:color w:val="000000" w:themeColor="text1"/>
                <w:kern w:val="0"/>
                <w:sz w:val="24"/>
                <w14:textFill>
                  <w14:solidFill>
                    <w14:schemeClr w14:val="tx1"/>
                  </w14:solidFill>
                </w14:textFill>
              </w:rPr>
            </w:pPr>
            <w:r>
              <w:rPr>
                <w:rFonts w:hint="eastAsia"/>
                <w:b/>
                <w:bCs/>
                <w:sz w:val="24"/>
              </w:rPr>
              <w:t>MALDI离子源</w:t>
            </w:r>
            <w:r>
              <w:rPr>
                <w:rFonts w:hint="eastAsia"/>
                <w:b/>
                <w:bCs/>
                <w:sz w:val="24"/>
                <w:lang w:eastAsia="zh-CN"/>
              </w:rPr>
              <w:t>（</w:t>
            </w:r>
            <w:r>
              <w:rPr>
                <w:rFonts w:hint="eastAsia"/>
                <w:b/>
                <w:bCs/>
                <w:sz w:val="24"/>
                <w:lang w:val="en-US" w:eastAsia="zh-CN"/>
              </w:rPr>
              <w:t>核心产品</w:t>
            </w:r>
            <w:r>
              <w:rPr>
                <w:rFonts w:hint="eastAsia"/>
                <w:b/>
                <w:bCs/>
                <w:sz w:val="24"/>
                <w:lang w:eastAsia="zh-CN"/>
              </w:rPr>
              <w:t>）</w:t>
            </w:r>
          </w:p>
        </w:tc>
        <w:tc>
          <w:tcPr>
            <w:tcW w:w="1810" w:type="dxa"/>
          </w:tcPr>
          <w:p w14:paraId="35992B72">
            <w:pPr>
              <w:widowControl/>
              <w:snapToGrid w:val="0"/>
              <w:spacing w:before="211" w:beforeLines="50" w:line="360" w:lineRule="auto"/>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w:t>
            </w:r>
          </w:p>
        </w:tc>
        <w:tc>
          <w:tcPr>
            <w:tcW w:w="1570" w:type="dxa"/>
          </w:tcPr>
          <w:p w14:paraId="502479DF">
            <w:pPr>
              <w:widowControl/>
              <w:snapToGrid w:val="0"/>
              <w:spacing w:before="211" w:beforeLines="50" w:line="360" w:lineRule="auto"/>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个</w:t>
            </w:r>
          </w:p>
        </w:tc>
      </w:tr>
      <w:tr w14:paraId="5C242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2B69DF93">
            <w:pPr>
              <w:widowControl/>
              <w:snapToGrid w:val="0"/>
              <w:spacing w:before="211" w:beforeLines="50" w:line="360" w:lineRule="auto"/>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4</w:t>
            </w:r>
          </w:p>
        </w:tc>
        <w:tc>
          <w:tcPr>
            <w:tcW w:w="4409" w:type="dxa"/>
          </w:tcPr>
          <w:p w14:paraId="17B2DA34">
            <w:pPr>
              <w:widowControl/>
              <w:snapToGrid w:val="0"/>
              <w:spacing w:before="211" w:beforeLines="50" w:line="360" w:lineRule="auto"/>
              <w:jc w:val="center"/>
              <w:rPr>
                <w:rFonts w:ascii="宋体" w:hAnsi="宋体" w:cs="宋体"/>
                <w:b/>
                <w:bCs/>
                <w:color w:val="000000" w:themeColor="text1"/>
                <w:kern w:val="0"/>
                <w:sz w:val="24"/>
                <w14:textFill>
                  <w14:solidFill>
                    <w14:schemeClr w14:val="tx1"/>
                  </w14:solidFill>
                </w14:textFill>
              </w:rPr>
            </w:pPr>
            <w:r>
              <w:rPr>
                <w:rFonts w:hint="eastAsia"/>
                <w:b/>
                <w:bCs/>
                <w:sz w:val="24"/>
              </w:rPr>
              <w:t>MALDI-2离子源</w:t>
            </w:r>
            <w:r>
              <w:rPr>
                <w:rFonts w:hint="eastAsia"/>
                <w:b/>
                <w:bCs/>
                <w:sz w:val="24"/>
                <w:lang w:eastAsia="zh-CN"/>
              </w:rPr>
              <w:t>（</w:t>
            </w:r>
            <w:r>
              <w:rPr>
                <w:rFonts w:hint="eastAsia"/>
                <w:b/>
                <w:bCs/>
                <w:sz w:val="24"/>
                <w:lang w:val="en-US" w:eastAsia="zh-CN"/>
              </w:rPr>
              <w:t>核心产品</w:t>
            </w:r>
            <w:r>
              <w:rPr>
                <w:rFonts w:hint="eastAsia"/>
                <w:b/>
                <w:bCs/>
                <w:sz w:val="24"/>
                <w:lang w:eastAsia="zh-CN"/>
              </w:rPr>
              <w:t>）</w:t>
            </w:r>
          </w:p>
        </w:tc>
        <w:tc>
          <w:tcPr>
            <w:tcW w:w="1810" w:type="dxa"/>
          </w:tcPr>
          <w:p w14:paraId="4369C186">
            <w:pPr>
              <w:widowControl/>
              <w:snapToGrid w:val="0"/>
              <w:spacing w:before="211" w:beforeLines="50" w:line="360" w:lineRule="auto"/>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w:t>
            </w:r>
          </w:p>
        </w:tc>
        <w:tc>
          <w:tcPr>
            <w:tcW w:w="1570" w:type="dxa"/>
          </w:tcPr>
          <w:p w14:paraId="4B321A34">
            <w:pPr>
              <w:widowControl/>
              <w:snapToGrid w:val="0"/>
              <w:spacing w:before="211" w:beforeLines="50" w:line="360" w:lineRule="auto"/>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个</w:t>
            </w:r>
          </w:p>
        </w:tc>
      </w:tr>
      <w:tr w14:paraId="1A5FC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0FE8A68C">
            <w:pPr>
              <w:widowControl/>
              <w:snapToGrid w:val="0"/>
              <w:spacing w:before="211" w:beforeLines="50" w:line="360" w:lineRule="auto"/>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5</w:t>
            </w:r>
          </w:p>
        </w:tc>
        <w:tc>
          <w:tcPr>
            <w:tcW w:w="4409" w:type="dxa"/>
          </w:tcPr>
          <w:p w14:paraId="6B49FB82">
            <w:pPr>
              <w:widowControl/>
              <w:snapToGrid w:val="0"/>
              <w:spacing w:before="211" w:beforeLines="50" w:line="360" w:lineRule="auto"/>
              <w:jc w:val="center"/>
              <w:rPr>
                <w:sz w:val="24"/>
              </w:rPr>
            </w:pPr>
            <w:r>
              <w:rPr>
                <w:rFonts w:hint="eastAsia" w:ascii="宋体" w:hAnsi="宋体" w:cs="宋体"/>
                <w:color w:val="000000" w:themeColor="text1"/>
                <w:kern w:val="0"/>
                <w:sz w:val="24"/>
                <w14:textFill>
                  <w14:solidFill>
                    <w14:schemeClr w14:val="tx1"/>
                  </w14:solidFill>
                </w14:textFill>
              </w:rPr>
              <w:t>仪器控制软件</w:t>
            </w:r>
          </w:p>
        </w:tc>
        <w:tc>
          <w:tcPr>
            <w:tcW w:w="1810" w:type="dxa"/>
          </w:tcPr>
          <w:p w14:paraId="1042A257">
            <w:pPr>
              <w:widowControl/>
              <w:snapToGrid w:val="0"/>
              <w:spacing w:before="211" w:beforeLines="50" w:line="360" w:lineRule="auto"/>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w:t>
            </w:r>
          </w:p>
        </w:tc>
        <w:tc>
          <w:tcPr>
            <w:tcW w:w="1570" w:type="dxa"/>
          </w:tcPr>
          <w:p w14:paraId="675A9DAC">
            <w:pPr>
              <w:widowControl/>
              <w:snapToGrid w:val="0"/>
              <w:spacing w:before="211" w:beforeLines="50" w:line="360" w:lineRule="auto"/>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套</w:t>
            </w:r>
          </w:p>
        </w:tc>
      </w:tr>
      <w:tr w14:paraId="41DEF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1B7E36A6">
            <w:pPr>
              <w:widowControl/>
              <w:snapToGrid w:val="0"/>
              <w:spacing w:before="211" w:beforeLines="50" w:line="360" w:lineRule="auto"/>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6</w:t>
            </w:r>
          </w:p>
        </w:tc>
        <w:tc>
          <w:tcPr>
            <w:tcW w:w="4409" w:type="dxa"/>
          </w:tcPr>
          <w:p w14:paraId="540339CC">
            <w:pPr>
              <w:widowControl/>
              <w:snapToGrid w:val="0"/>
              <w:spacing w:before="211" w:beforeLines="50" w:line="360" w:lineRule="auto"/>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工作站电脑</w:t>
            </w:r>
          </w:p>
        </w:tc>
        <w:tc>
          <w:tcPr>
            <w:tcW w:w="1810" w:type="dxa"/>
          </w:tcPr>
          <w:p w14:paraId="1ACD297E">
            <w:pPr>
              <w:widowControl/>
              <w:snapToGrid w:val="0"/>
              <w:spacing w:before="211" w:beforeLines="50" w:line="360" w:lineRule="auto"/>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w:t>
            </w:r>
          </w:p>
        </w:tc>
        <w:tc>
          <w:tcPr>
            <w:tcW w:w="1570" w:type="dxa"/>
          </w:tcPr>
          <w:p w14:paraId="4BBD8D35">
            <w:pPr>
              <w:widowControl/>
              <w:snapToGrid w:val="0"/>
              <w:spacing w:before="211" w:beforeLines="50" w:line="360" w:lineRule="auto"/>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台</w:t>
            </w:r>
          </w:p>
        </w:tc>
      </w:tr>
      <w:tr w14:paraId="389F7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48B9A99E">
            <w:pPr>
              <w:widowControl/>
              <w:snapToGrid w:val="0"/>
              <w:spacing w:before="211" w:beforeLines="50" w:line="360" w:lineRule="auto"/>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7</w:t>
            </w:r>
          </w:p>
        </w:tc>
        <w:tc>
          <w:tcPr>
            <w:tcW w:w="4409" w:type="dxa"/>
          </w:tcPr>
          <w:p w14:paraId="15ACEB0B">
            <w:pPr>
              <w:widowControl/>
              <w:snapToGrid w:val="0"/>
              <w:spacing w:before="211" w:beforeLines="50" w:line="360" w:lineRule="auto"/>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384靶板</w:t>
            </w:r>
          </w:p>
        </w:tc>
        <w:tc>
          <w:tcPr>
            <w:tcW w:w="1810" w:type="dxa"/>
          </w:tcPr>
          <w:p w14:paraId="25C1B3E7">
            <w:pPr>
              <w:widowControl/>
              <w:snapToGrid w:val="0"/>
              <w:spacing w:before="211" w:beforeLines="50" w:line="360" w:lineRule="auto"/>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2</w:t>
            </w:r>
          </w:p>
        </w:tc>
        <w:tc>
          <w:tcPr>
            <w:tcW w:w="1570" w:type="dxa"/>
          </w:tcPr>
          <w:p w14:paraId="131F7385">
            <w:pPr>
              <w:widowControl/>
              <w:snapToGrid w:val="0"/>
              <w:spacing w:before="211" w:beforeLines="50" w:line="360" w:lineRule="auto"/>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块</w:t>
            </w:r>
          </w:p>
        </w:tc>
      </w:tr>
      <w:tr w14:paraId="62016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758851F7">
            <w:pPr>
              <w:widowControl/>
              <w:snapToGrid w:val="0"/>
              <w:spacing w:before="211" w:beforeLines="50" w:line="360" w:lineRule="auto"/>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8</w:t>
            </w:r>
          </w:p>
        </w:tc>
        <w:tc>
          <w:tcPr>
            <w:tcW w:w="4409" w:type="dxa"/>
          </w:tcPr>
          <w:p w14:paraId="09BD689F">
            <w:pPr>
              <w:widowControl/>
              <w:snapToGrid w:val="0"/>
              <w:spacing w:before="211" w:beforeLines="50" w:line="360" w:lineRule="auto"/>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MALDI基质</w:t>
            </w:r>
          </w:p>
        </w:tc>
        <w:tc>
          <w:tcPr>
            <w:tcW w:w="1810" w:type="dxa"/>
          </w:tcPr>
          <w:p w14:paraId="426340DA">
            <w:pPr>
              <w:widowControl/>
              <w:snapToGrid w:val="0"/>
              <w:spacing w:before="211" w:beforeLines="50" w:line="360" w:lineRule="auto"/>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4</w:t>
            </w:r>
          </w:p>
        </w:tc>
        <w:tc>
          <w:tcPr>
            <w:tcW w:w="1570" w:type="dxa"/>
          </w:tcPr>
          <w:p w14:paraId="74BBC1A9">
            <w:pPr>
              <w:widowControl/>
              <w:snapToGrid w:val="0"/>
              <w:spacing w:before="211" w:beforeLines="50" w:line="360" w:lineRule="auto"/>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盒</w:t>
            </w:r>
          </w:p>
        </w:tc>
      </w:tr>
      <w:tr w14:paraId="6A8B7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656E8DA2">
            <w:pPr>
              <w:widowControl/>
              <w:snapToGrid w:val="0"/>
              <w:spacing w:before="211" w:beforeLines="50" w:line="360" w:lineRule="auto"/>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9</w:t>
            </w:r>
          </w:p>
        </w:tc>
        <w:tc>
          <w:tcPr>
            <w:tcW w:w="4409" w:type="dxa"/>
          </w:tcPr>
          <w:p w14:paraId="5D3C7BEE">
            <w:pPr>
              <w:widowControl/>
              <w:snapToGrid w:val="0"/>
              <w:spacing w:before="211" w:beforeLines="50" w:line="360" w:lineRule="auto"/>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混合标准品</w:t>
            </w:r>
          </w:p>
        </w:tc>
        <w:tc>
          <w:tcPr>
            <w:tcW w:w="1810" w:type="dxa"/>
          </w:tcPr>
          <w:p w14:paraId="746B51DE">
            <w:pPr>
              <w:widowControl/>
              <w:snapToGrid w:val="0"/>
              <w:spacing w:before="211" w:beforeLines="50" w:line="360" w:lineRule="auto"/>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3</w:t>
            </w:r>
          </w:p>
        </w:tc>
        <w:tc>
          <w:tcPr>
            <w:tcW w:w="1570" w:type="dxa"/>
          </w:tcPr>
          <w:p w14:paraId="5430ADE1">
            <w:pPr>
              <w:widowControl/>
              <w:snapToGrid w:val="0"/>
              <w:spacing w:before="211" w:beforeLines="50" w:line="360" w:lineRule="auto"/>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盒</w:t>
            </w:r>
          </w:p>
        </w:tc>
      </w:tr>
      <w:tr w14:paraId="4601C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4D45E4C6">
            <w:pPr>
              <w:widowControl/>
              <w:snapToGrid w:val="0"/>
              <w:spacing w:before="211" w:beforeLines="50" w:line="360" w:lineRule="auto"/>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10</w:t>
            </w:r>
          </w:p>
        </w:tc>
        <w:tc>
          <w:tcPr>
            <w:tcW w:w="4409" w:type="dxa"/>
          </w:tcPr>
          <w:p w14:paraId="0D665C9F">
            <w:pPr>
              <w:widowControl/>
              <w:snapToGrid w:val="0"/>
              <w:spacing w:before="211" w:beforeLines="50" w:line="360" w:lineRule="auto"/>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装机标准品</w:t>
            </w:r>
          </w:p>
        </w:tc>
        <w:tc>
          <w:tcPr>
            <w:tcW w:w="1810" w:type="dxa"/>
          </w:tcPr>
          <w:p w14:paraId="2AFBE753">
            <w:pPr>
              <w:widowControl/>
              <w:snapToGrid w:val="0"/>
              <w:spacing w:before="211" w:beforeLines="50" w:line="360" w:lineRule="auto"/>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w:t>
            </w:r>
          </w:p>
        </w:tc>
        <w:tc>
          <w:tcPr>
            <w:tcW w:w="1570" w:type="dxa"/>
          </w:tcPr>
          <w:p w14:paraId="1CE63166">
            <w:pPr>
              <w:widowControl/>
              <w:snapToGrid w:val="0"/>
              <w:spacing w:before="211" w:beforeLines="50" w:line="360" w:lineRule="auto"/>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套</w:t>
            </w:r>
          </w:p>
        </w:tc>
      </w:tr>
      <w:tr w14:paraId="25E90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28F429CC">
            <w:pPr>
              <w:widowControl/>
              <w:snapToGrid w:val="0"/>
              <w:spacing w:before="211" w:beforeLines="50" w:line="360" w:lineRule="auto"/>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11</w:t>
            </w:r>
          </w:p>
        </w:tc>
        <w:tc>
          <w:tcPr>
            <w:tcW w:w="4409" w:type="dxa"/>
          </w:tcPr>
          <w:p w14:paraId="39F437EC">
            <w:pPr>
              <w:widowControl/>
              <w:snapToGrid w:val="0"/>
              <w:spacing w:before="211" w:beforeLines="50" w:line="360" w:lineRule="auto"/>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打印机</w:t>
            </w:r>
          </w:p>
        </w:tc>
        <w:tc>
          <w:tcPr>
            <w:tcW w:w="1810" w:type="dxa"/>
          </w:tcPr>
          <w:p w14:paraId="69123724">
            <w:pPr>
              <w:widowControl/>
              <w:snapToGrid w:val="0"/>
              <w:spacing w:before="211" w:beforeLines="50" w:line="360" w:lineRule="auto"/>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w:t>
            </w:r>
          </w:p>
        </w:tc>
        <w:tc>
          <w:tcPr>
            <w:tcW w:w="1570" w:type="dxa"/>
          </w:tcPr>
          <w:p w14:paraId="7ADA5B2F">
            <w:pPr>
              <w:widowControl/>
              <w:snapToGrid w:val="0"/>
              <w:spacing w:before="211" w:beforeLines="50" w:line="360" w:lineRule="auto"/>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台</w:t>
            </w:r>
          </w:p>
        </w:tc>
      </w:tr>
      <w:tr w14:paraId="7B8F2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4923C85D">
            <w:pPr>
              <w:widowControl/>
              <w:snapToGrid w:val="0"/>
              <w:spacing w:before="211" w:beforeLines="50" w:line="360" w:lineRule="auto"/>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12</w:t>
            </w:r>
          </w:p>
        </w:tc>
        <w:tc>
          <w:tcPr>
            <w:tcW w:w="4409" w:type="dxa"/>
          </w:tcPr>
          <w:p w14:paraId="7CCA627C">
            <w:pPr>
              <w:widowControl/>
              <w:snapToGrid w:val="0"/>
              <w:spacing w:before="211" w:beforeLines="50" w:line="360" w:lineRule="auto"/>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不间断电源</w:t>
            </w:r>
          </w:p>
        </w:tc>
        <w:tc>
          <w:tcPr>
            <w:tcW w:w="1810" w:type="dxa"/>
          </w:tcPr>
          <w:p w14:paraId="7B3132EB">
            <w:pPr>
              <w:widowControl/>
              <w:snapToGrid w:val="0"/>
              <w:spacing w:before="211" w:beforeLines="50" w:line="360" w:lineRule="auto"/>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w:t>
            </w:r>
          </w:p>
        </w:tc>
        <w:tc>
          <w:tcPr>
            <w:tcW w:w="1570" w:type="dxa"/>
          </w:tcPr>
          <w:p w14:paraId="297B5596">
            <w:pPr>
              <w:widowControl/>
              <w:snapToGrid w:val="0"/>
              <w:spacing w:before="211" w:beforeLines="50" w:line="360" w:lineRule="auto"/>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台</w:t>
            </w:r>
          </w:p>
        </w:tc>
      </w:tr>
      <w:tr w14:paraId="2E9CF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2FECCC98">
            <w:pPr>
              <w:widowControl/>
              <w:snapToGrid w:val="0"/>
              <w:spacing w:before="211" w:beforeLines="50" w:line="360" w:lineRule="auto"/>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13</w:t>
            </w:r>
          </w:p>
        </w:tc>
        <w:tc>
          <w:tcPr>
            <w:tcW w:w="4409" w:type="dxa"/>
          </w:tcPr>
          <w:p w14:paraId="2A71AF46">
            <w:pPr>
              <w:widowControl/>
              <w:snapToGrid w:val="0"/>
              <w:spacing w:before="211" w:beforeLines="50" w:line="360" w:lineRule="auto"/>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基质喷雾仪</w:t>
            </w:r>
          </w:p>
        </w:tc>
        <w:tc>
          <w:tcPr>
            <w:tcW w:w="1810" w:type="dxa"/>
          </w:tcPr>
          <w:p w14:paraId="665DD1EA">
            <w:pPr>
              <w:widowControl/>
              <w:snapToGrid w:val="0"/>
              <w:spacing w:before="211" w:beforeLines="50" w:line="360" w:lineRule="auto"/>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w:t>
            </w:r>
          </w:p>
        </w:tc>
        <w:tc>
          <w:tcPr>
            <w:tcW w:w="1570" w:type="dxa"/>
          </w:tcPr>
          <w:p w14:paraId="384AF4C5">
            <w:pPr>
              <w:widowControl/>
              <w:snapToGrid w:val="0"/>
              <w:spacing w:before="211" w:beforeLines="50" w:line="360" w:lineRule="auto"/>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台</w:t>
            </w:r>
          </w:p>
        </w:tc>
      </w:tr>
    </w:tbl>
    <w:p w14:paraId="114F1E8E">
      <w:pPr>
        <w:widowControl/>
        <w:snapToGrid w:val="0"/>
        <w:spacing w:before="468" w:beforeLines="150" w:line="360" w:lineRule="auto"/>
        <w:ind w:firstLine="42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技术要求及参数：</w:t>
      </w:r>
    </w:p>
    <w:p w14:paraId="2353E110">
      <w:pPr>
        <w:widowControl/>
        <w:snapToGrid w:val="0"/>
        <w:spacing w:line="360" w:lineRule="auto"/>
        <w:ind w:firstLine="42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详细见：技术性能指标表。</w:t>
      </w:r>
    </w:p>
    <w:p w14:paraId="63EDF47C">
      <w:pPr>
        <w:widowControl/>
        <w:snapToGrid w:val="0"/>
        <w:spacing w:line="360" w:lineRule="auto"/>
        <w:ind w:firstLine="42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加“</w:t>
      </w:r>
      <w:r>
        <w:rPr>
          <w:rFonts w:hint="eastAsia" w:ascii="宋体" w:hAnsi="宋体" w:cs="宋体"/>
          <w:color w:val="000000" w:themeColor="text1"/>
          <w:kern w:val="0"/>
          <w:sz w:val="24"/>
          <w:lang w:val="zh-CN"/>
          <w14:textFill>
            <w14:solidFill>
              <w14:schemeClr w14:val="tx1"/>
            </w14:solidFill>
          </w14:textFill>
        </w:rPr>
        <w:t>★</w:t>
      </w:r>
      <w:r>
        <w:rPr>
          <w:rFonts w:hint="eastAsia" w:ascii="宋体" w:hAnsi="宋体" w:cs="宋体"/>
          <w:bCs/>
          <w:color w:val="000000" w:themeColor="text1"/>
          <w:sz w:val="24"/>
          <w14:textFill>
            <w14:solidFill>
              <w14:schemeClr w14:val="tx1"/>
            </w14:solidFill>
          </w14:textFill>
        </w:rPr>
        <w:t>”条款为必须满足的条款，不得偏离。</w:t>
      </w:r>
    </w:p>
    <w:p w14:paraId="3AC91270">
      <w:pPr>
        <w:widowControl/>
        <w:snapToGrid w:val="0"/>
        <w:spacing w:before="156" w:beforeLines="50" w:after="156" w:afterLines="50"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2、技术性能指标表</w:t>
      </w:r>
    </w:p>
    <w:tbl>
      <w:tblPr>
        <w:tblStyle w:val="8"/>
        <w:tblW w:w="95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608"/>
        <w:gridCol w:w="1051"/>
        <w:gridCol w:w="749"/>
        <w:gridCol w:w="7130"/>
      </w:tblGrid>
      <w:tr w14:paraId="7B93F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40" w:hRule="atLeast"/>
          <w:jc w:val="center"/>
        </w:trPr>
        <w:tc>
          <w:tcPr>
            <w:tcW w:w="608" w:type="dxa"/>
            <w:vAlign w:val="center"/>
          </w:tcPr>
          <w:p w14:paraId="2042542F">
            <w:pPr>
              <w:widowControl/>
              <w:spacing w:line="360" w:lineRule="auto"/>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编号</w:t>
            </w:r>
          </w:p>
        </w:tc>
        <w:tc>
          <w:tcPr>
            <w:tcW w:w="1051" w:type="dxa"/>
            <w:vAlign w:val="center"/>
          </w:tcPr>
          <w:p w14:paraId="2BA45F8C">
            <w:pPr>
              <w:widowControl/>
              <w:spacing w:line="360" w:lineRule="auto"/>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招标技术指标名称</w:t>
            </w:r>
          </w:p>
        </w:tc>
        <w:tc>
          <w:tcPr>
            <w:tcW w:w="7879" w:type="dxa"/>
            <w:gridSpan w:val="2"/>
            <w:vAlign w:val="center"/>
          </w:tcPr>
          <w:p w14:paraId="5BF25AD8">
            <w:pPr>
              <w:widowControl/>
              <w:spacing w:line="360" w:lineRule="auto"/>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招标技术指标值</w:t>
            </w:r>
          </w:p>
        </w:tc>
      </w:tr>
      <w:tr w14:paraId="64B84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Align w:val="center"/>
          </w:tcPr>
          <w:p w14:paraId="76F4EED2">
            <w:pPr>
              <w:widowControl/>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w:t>
            </w:r>
          </w:p>
        </w:tc>
        <w:tc>
          <w:tcPr>
            <w:tcW w:w="1051" w:type="dxa"/>
            <w:vAlign w:val="center"/>
          </w:tcPr>
          <w:p w14:paraId="2D7AF2B0">
            <w:pPr>
              <w:widowControl/>
              <w:spacing w:line="360" w:lineRule="auto"/>
              <w:ind w:firstLine="120" w:firstLineChars="5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应用范围和要求</w:t>
            </w:r>
          </w:p>
          <w:p w14:paraId="60BD2247"/>
        </w:tc>
        <w:tc>
          <w:tcPr>
            <w:tcW w:w="7879" w:type="dxa"/>
            <w:gridSpan w:val="2"/>
            <w:vAlign w:val="center"/>
          </w:tcPr>
          <w:p w14:paraId="78721D54">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 xml:space="preserve">化合物分子式确认和未知物分子式推断，有机化合物的定性定量，目标化合物和未知物的筛选、定量、确证; </w:t>
            </w:r>
          </w:p>
          <w:p w14:paraId="12F8DA06">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带CCS值的淌度分离，可进行同分异构分离；</w:t>
            </w:r>
          </w:p>
          <w:p w14:paraId="52D8DD8D">
            <w:pPr>
              <w:spacing w:line="360" w:lineRule="auto"/>
              <w:rPr>
                <w:rFonts w:ascii="Calibri" w:hAnsi="Calibri"/>
                <w:sz w:val="24"/>
              </w:rPr>
            </w:pPr>
            <w:r>
              <w:rPr>
                <w:rFonts w:hint="eastAsia" w:ascii="宋体" w:hAnsi="宋体" w:cs="宋体"/>
                <w:color w:val="000000" w:themeColor="text1"/>
                <w:sz w:val="24"/>
                <w14:textFill>
                  <w14:solidFill>
                    <w14:schemeClr w14:val="tx1"/>
                  </w14:solidFill>
                </w14:textFill>
              </w:rPr>
              <w:t>3</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生物组织质谱成像：生物体系空间多组学分析；组织学和病理学鉴定；组织微阵列分子图像库建立；脑神经功能和疾病研究；药物代谢组织分布研究；临床药物药效和毒理研究</w:t>
            </w:r>
          </w:p>
        </w:tc>
      </w:tr>
      <w:tr w14:paraId="7D1B4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Merge w:val="restart"/>
            <w:vAlign w:val="center"/>
          </w:tcPr>
          <w:p w14:paraId="0CE1226F">
            <w:pPr>
              <w:widowControl/>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w:t>
            </w:r>
          </w:p>
          <w:p w14:paraId="33F2C1C9">
            <w:pPr>
              <w:widowControl/>
              <w:spacing w:line="360" w:lineRule="auto"/>
              <w:jc w:val="center"/>
              <w:rPr>
                <w:rFonts w:ascii="宋体" w:hAnsi="宋体" w:cs="宋体"/>
                <w:color w:val="000000" w:themeColor="text1"/>
                <w:sz w:val="24"/>
                <w14:textFill>
                  <w14:solidFill>
                    <w14:schemeClr w14:val="tx1"/>
                  </w14:solidFill>
                </w14:textFill>
              </w:rPr>
            </w:pPr>
          </w:p>
          <w:p w14:paraId="0300FE1C">
            <w:pPr>
              <w:widowControl/>
              <w:spacing w:line="360" w:lineRule="auto"/>
              <w:jc w:val="center"/>
              <w:rPr>
                <w:rFonts w:ascii="宋体" w:hAnsi="宋体" w:cs="宋体"/>
                <w:color w:val="000000" w:themeColor="text1"/>
                <w:sz w:val="24"/>
                <w14:textFill>
                  <w14:solidFill>
                    <w14:schemeClr w14:val="tx1"/>
                  </w14:solidFill>
                </w14:textFill>
              </w:rPr>
            </w:pPr>
          </w:p>
        </w:tc>
        <w:tc>
          <w:tcPr>
            <w:tcW w:w="1051" w:type="dxa"/>
            <w:vMerge w:val="restart"/>
            <w:vAlign w:val="center"/>
          </w:tcPr>
          <w:p w14:paraId="58213397">
            <w:pPr>
              <w:widowControl/>
              <w:spacing w:line="360" w:lineRule="auto"/>
              <w:ind w:firstLine="120" w:firstLineChars="5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性能指标</w:t>
            </w:r>
          </w:p>
        </w:tc>
        <w:tc>
          <w:tcPr>
            <w:tcW w:w="7879" w:type="dxa"/>
            <w:gridSpan w:val="2"/>
            <w:vAlign w:val="center"/>
          </w:tcPr>
          <w:p w14:paraId="0CC50346">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MALDI离子源</w:t>
            </w:r>
          </w:p>
        </w:tc>
      </w:tr>
      <w:tr w14:paraId="248D2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Merge w:val="continue"/>
            <w:vAlign w:val="center"/>
          </w:tcPr>
          <w:p w14:paraId="1BCA73A3">
            <w:pPr>
              <w:widowControl/>
              <w:spacing w:line="360" w:lineRule="auto"/>
              <w:jc w:val="center"/>
              <w:rPr>
                <w:rFonts w:ascii="宋体" w:hAnsi="宋体" w:cs="宋体"/>
                <w:color w:val="000000" w:themeColor="text1"/>
                <w:sz w:val="24"/>
                <w14:textFill>
                  <w14:solidFill>
                    <w14:schemeClr w14:val="tx1"/>
                  </w14:solidFill>
                </w14:textFill>
              </w:rPr>
            </w:pPr>
          </w:p>
        </w:tc>
        <w:tc>
          <w:tcPr>
            <w:tcW w:w="1051" w:type="dxa"/>
            <w:vMerge w:val="continue"/>
            <w:vAlign w:val="center"/>
          </w:tcPr>
          <w:p w14:paraId="40C2E4D8">
            <w:pPr>
              <w:widowControl/>
              <w:spacing w:line="360" w:lineRule="auto"/>
              <w:ind w:firstLine="120" w:firstLineChars="50"/>
              <w:rPr>
                <w:rFonts w:ascii="宋体" w:hAnsi="宋体" w:cs="宋体"/>
                <w:color w:val="000000" w:themeColor="text1"/>
                <w:sz w:val="24"/>
                <w14:textFill>
                  <w14:solidFill>
                    <w14:schemeClr w14:val="tx1"/>
                  </w14:solidFill>
                </w14:textFill>
              </w:rPr>
            </w:pPr>
          </w:p>
        </w:tc>
        <w:tc>
          <w:tcPr>
            <w:tcW w:w="749" w:type="dxa"/>
            <w:vAlign w:val="center"/>
          </w:tcPr>
          <w:p w14:paraId="0FD207E4">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w:t>
            </w:r>
          </w:p>
        </w:tc>
        <w:tc>
          <w:tcPr>
            <w:tcW w:w="7130" w:type="dxa"/>
            <w:vAlign w:val="center"/>
          </w:tcPr>
          <w:p w14:paraId="07856C01">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质谱仪包括ESI/MALDI 双离子源；</w:t>
            </w:r>
          </w:p>
        </w:tc>
      </w:tr>
      <w:tr w14:paraId="79DAB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7" w:hRule="atLeast"/>
          <w:jc w:val="center"/>
        </w:trPr>
        <w:tc>
          <w:tcPr>
            <w:tcW w:w="608" w:type="dxa"/>
            <w:vMerge w:val="continue"/>
            <w:vAlign w:val="center"/>
          </w:tcPr>
          <w:p w14:paraId="556BB52E">
            <w:pPr>
              <w:widowControl/>
              <w:spacing w:line="360" w:lineRule="auto"/>
              <w:jc w:val="center"/>
              <w:rPr>
                <w:rFonts w:ascii="宋体" w:hAnsi="宋体" w:cs="宋体"/>
                <w:color w:val="000000" w:themeColor="text1"/>
                <w:sz w:val="24"/>
                <w14:textFill>
                  <w14:solidFill>
                    <w14:schemeClr w14:val="tx1"/>
                  </w14:solidFill>
                </w14:textFill>
              </w:rPr>
            </w:pPr>
          </w:p>
        </w:tc>
        <w:tc>
          <w:tcPr>
            <w:tcW w:w="1051" w:type="dxa"/>
            <w:vMerge w:val="continue"/>
            <w:vAlign w:val="center"/>
          </w:tcPr>
          <w:p w14:paraId="2012816D">
            <w:pPr>
              <w:widowControl/>
              <w:spacing w:line="360" w:lineRule="auto"/>
              <w:ind w:firstLine="120" w:firstLineChars="50"/>
              <w:rPr>
                <w:rFonts w:ascii="宋体" w:hAnsi="宋体" w:cs="宋体"/>
                <w:color w:val="000000" w:themeColor="text1"/>
                <w:sz w:val="24"/>
                <w14:textFill>
                  <w14:solidFill>
                    <w14:schemeClr w14:val="tx1"/>
                  </w14:solidFill>
                </w14:textFill>
              </w:rPr>
            </w:pPr>
          </w:p>
        </w:tc>
        <w:tc>
          <w:tcPr>
            <w:tcW w:w="749" w:type="dxa"/>
            <w:vAlign w:val="center"/>
          </w:tcPr>
          <w:p w14:paraId="00FBF2AA">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w:t>
            </w:r>
          </w:p>
        </w:tc>
        <w:tc>
          <w:tcPr>
            <w:tcW w:w="7130" w:type="dxa"/>
            <w:vAlign w:val="center"/>
          </w:tcPr>
          <w:p w14:paraId="5C9922D9">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ESI和MALDI可通过软件全自动切换，切换时间不超过1分钟，无需拆卸硬件</w:t>
            </w:r>
          </w:p>
        </w:tc>
      </w:tr>
      <w:tr w14:paraId="7AD06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39" w:hRule="atLeast"/>
          <w:jc w:val="center"/>
        </w:trPr>
        <w:tc>
          <w:tcPr>
            <w:tcW w:w="608" w:type="dxa"/>
            <w:vMerge w:val="continue"/>
            <w:vAlign w:val="center"/>
          </w:tcPr>
          <w:p w14:paraId="56953F80">
            <w:pPr>
              <w:widowControl/>
              <w:spacing w:line="360" w:lineRule="auto"/>
              <w:jc w:val="center"/>
              <w:rPr>
                <w:rFonts w:ascii="宋体" w:hAnsi="宋体" w:cs="宋体"/>
                <w:color w:val="000000" w:themeColor="text1"/>
                <w:sz w:val="24"/>
                <w14:textFill>
                  <w14:solidFill>
                    <w14:schemeClr w14:val="tx1"/>
                  </w14:solidFill>
                </w14:textFill>
              </w:rPr>
            </w:pPr>
          </w:p>
        </w:tc>
        <w:tc>
          <w:tcPr>
            <w:tcW w:w="1051" w:type="dxa"/>
            <w:vMerge w:val="continue"/>
            <w:vAlign w:val="center"/>
          </w:tcPr>
          <w:p w14:paraId="36B1EB7D">
            <w:pPr>
              <w:widowControl/>
              <w:spacing w:line="360" w:lineRule="auto"/>
              <w:ind w:firstLine="120" w:firstLineChars="50"/>
              <w:rPr>
                <w:rFonts w:ascii="宋体" w:hAnsi="宋体" w:cs="宋体"/>
                <w:color w:val="000000" w:themeColor="text1"/>
                <w:sz w:val="24"/>
                <w14:textFill>
                  <w14:solidFill>
                    <w14:schemeClr w14:val="tx1"/>
                  </w14:solidFill>
                </w14:textFill>
              </w:rPr>
            </w:pPr>
          </w:p>
        </w:tc>
        <w:tc>
          <w:tcPr>
            <w:tcW w:w="749" w:type="dxa"/>
            <w:vAlign w:val="center"/>
          </w:tcPr>
          <w:p w14:paraId="62A3FA04">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w:t>
            </w:r>
          </w:p>
        </w:tc>
        <w:tc>
          <w:tcPr>
            <w:tcW w:w="7130" w:type="dxa"/>
            <w:vAlign w:val="center"/>
          </w:tcPr>
          <w:p w14:paraId="47BB62F7">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ESI和MALDI都可以在正、负模式检测使用 </w:t>
            </w:r>
          </w:p>
        </w:tc>
      </w:tr>
      <w:tr w14:paraId="00C64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8" w:hRule="atLeast"/>
          <w:jc w:val="center"/>
        </w:trPr>
        <w:tc>
          <w:tcPr>
            <w:tcW w:w="608" w:type="dxa"/>
            <w:vMerge w:val="continue"/>
            <w:vAlign w:val="center"/>
          </w:tcPr>
          <w:p w14:paraId="28E72077">
            <w:pPr>
              <w:widowControl/>
              <w:spacing w:line="360" w:lineRule="auto"/>
              <w:jc w:val="center"/>
              <w:rPr>
                <w:rFonts w:ascii="宋体" w:hAnsi="宋体" w:cs="宋体"/>
                <w:color w:val="000000" w:themeColor="text1"/>
                <w:sz w:val="24"/>
                <w14:textFill>
                  <w14:solidFill>
                    <w14:schemeClr w14:val="tx1"/>
                  </w14:solidFill>
                </w14:textFill>
              </w:rPr>
            </w:pPr>
          </w:p>
        </w:tc>
        <w:tc>
          <w:tcPr>
            <w:tcW w:w="1051" w:type="dxa"/>
            <w:vMerge w:val="continue"/>
            <w:vAlign w:val="center"/>
          </w:tcPr>
          <w:p w14:paraId="45D53E6F">
            <w:pPr>
              <w:widowControl/>
              <w:spacing w:line="360" w:lineRule="auto"/>
              <w:ind w:firstLine="120" w:firstLineChars="50"/>
              <w:rPr>
                <w:rFonts w:ascii="宋体" w:hAnsi="宋体" w:cs="宋体"/>
                <w:color w:val="000000" w:themeColor="text1"/>
                <w:sz w:val="24"/>
                <w14:textFill>
                  <w14:solidFill>
                    <w14:schemeClr w14:val="tx1"/>
                  </w14:solidFill>
                </w14:textFill>
              </w:rPr>
            </w:pPr>
          </w:p>
        </w:tc>
        <w:tc>
          <w:tcPr>
            <w:tcW w:w="749" w:type="dxa"/>
            <w:vAlign w:val="center"/>
          </w:tcPr>
          <w:p w14:paraId="20C913EC">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w:t>
            </w:r>
          </w:p>
        </w:tc>
        <w:tc>
          <w:tcPr>
            <w:tcW w:w="7130" w:type="dxa"/>
            <w:vAlign w:val="center"/>
          </w:tcPr>
          <w:p w14:paraId="5D0E1847">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后电离激光束MALDI-2可通过软件做自动切换，切换时间不超过1分钟，可以根据需求在两种电离方式间做自由选择：MALDI或MALDI-2</w:t>
            </w:r>
          </w:p>
        </w:tc>
      </w:tr>
      <w:tr w14:paraId="46B0B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520F567A">
            <w:pPr>
              <w:widowControl/>
              <w:spacing w:line="360" w:lineRule="auto"/>
              <w:jc w:val="center"/>
              <w:rPr>
                <w:rFonts w:ascii="宋体" w:hAnsi="宋体" w:cs="宋体"/>
                <w:color w:val="000000" w:themeColor="text1"/>
                <w:sz w:val="24"/>
                <w14:textFill>
                  <w14:solidFill>
                    <w14:schemeClr w14:val="tx1"/>
                  </w14:solidFill>
                </w14:textFill>
              </w:rPr>
            </w:pPr>
          </w:p>
        </w:tc>
        <w:tc>
          <w:tcPr>
            <w:tcW w:w="1051" w:type="dxa"/>
            <w:vMerge w:val="continue"/>
            <w:vAlign w:val="center"/>
          </w:tcPr>
          <w:p w14:paraId="31755B71">
            <w:pPr>
              <w:widowControl/>
              <w:spacing w:line="360" w:lineRule="auto"/>
              <w:ind w:firstLine="120" w:firstLineChars="50"/>
              <w:rPr>
                <w:rFonts w:ascii="宋体" w:hAnsi="宋体" w:cs="宋体"/>
                <w:color w:val="000000" w:themeColor="text1"/>
                <w:sz w:val="24"/>
                <w14:textFill>
                  <w14:solidFill>
                    <w14:schemeClr w14:val="tx1"/>
                  </w14:solidFill>
                </w14:textFill>
              </w:rPr>
            </w:pPr>
          </w:p>
        </w:tc>
        <w:tc>
          <w:tcPr>
            <w:tcW w:w="749" w:type="dxa"/>
            <w:vAlign w:val="center"/>
          </w:tcPr>
          <w:p w14:paraId="7E41CA2D">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w:t>
            </w:r>
          </w:p>
        </w:tc>
        <w:tc>
          <w:tcPr>
            <w:tcW w:w="7130" w:type="dxa"/>
            <w:vAlign w:val="center"/>
          </w:tcPr>
          <w:p w14:paraId="3CF60F2B">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MALDI激光源：长寿命固体激光，波长为355nm，10kHz，脉冲能量 ≥ 100 uJ</w:t>
            </w:r>
          </w:p>
        </w:tc>
      </w:tr>
      <w:tr w14:paraId="1D27E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03821DD2">
            <w:pPr>
              <w:widowControl/>
              <w:spacing w:line="360" w:lineRule="auto"/>
              <w:jc w:val="center"/>
              <w:rPr>
                <w:rFonts w:ascii="宋体" w:hAnsi="宋体" w:cs="宋体"/>
                <w:color w:val="000000" w:themeColor="text1"/>
                <w:sz w:val="24"/>
                <w14:textFill>
                  <w14:solidFill>
                    <w14:schemeClr w14:val="tx1"/>
                  </w14:solidFill>
                </w14:textFill>
              </w:rPr>
            </w:pPr>
          </w:p>
        </w:tc>
        <w:tc>
          <w:tcPr>
            <w:tcW w:w="1051" w:type="dxa"/>
            <w:vMerge w:val="continue"/>
            <w:vAlign w:val="center"/>
          </w:tcPr>
          <w:p w14:paraId="31BEC134">
            <w:pPr>
              <w:widowControl/>
              <w:spacing w:line="360" w:lineRule="auto"/>
              <w:ind w:firstLine="120" w:firstLineChars="50"/>
              <w:rPr>
                <w:rFonts w:ascii="宋体" w:hAnsi="宋体" w:cs="宋体"/>
                <w:color w:val="000000" w:themeColor="text1"/>
                <w:sz w:val="24"/>
                <w14:textFill>
                  <w14:solidFill>
                    <w14:schemeClr w14:val="tx1"/>
                  </w14:solidFill>
                </w14:textFill>
              </w:rPr>
            </w:pPr>
          </w:p>
        </w:tc>
        <w:tc>
          <w:tcPr>
            <w:tcW w:w="749" w:type="dxa"/>
            <w:vAlign w:val="center"/>
          </w:tcPr>
          <w:p w14:paraId="7E06BF67">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w:t>
            </w:r>
          </w:p>
        </w:tc>
        <w:tc>
          <w:tcPr>
            <w:tcW w:w="7130" w:type="dxa"/>
            <w:vAlign w:val="center"/>
          </w:tcPr>
          <w:p w14:paraId="63E9D89D">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MALDI-2激光源：长寿命固体激光，波长为266nm，1Kz, 脉冲能量 ≥ 400 uJ</w:t>
            </w:r>
          </w:p>
        </w:tc>
      </w:tr>
      <w:tr w14:paraId="48471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1E8F45D7">
            <w:pPr>
              <w:widowControl/>
              <w:spacing w:line="360" w:lineRule="auto"/>
              <w:jc w:val="center"/>
              <w:rPr>
                <w:rFonts w:ascii="宋体" w:hAnsi="宋体" w:cs="宋体"/>
                <w:color w:val="000000" w:themeColor="text1"/>
                <w:sz w:val="24"/>
                <w14:textFill>
                  <w14:solidFill>
                    <w14:schemeClr w14:val="tx1"/>
                  </w14:solidFill>
                </w14:textFill>
              </w:rPr>
            </w:pPr>
          </w:p>
        </w:tc>
        <w:tc>
          <w:tcPr>
            <w:tcW w:w="1051" w:type="dxa"/>
            <w:vMerge w:val="continue"/>
            <w:vAlign w:val="center"/>
          </w:tcPr>
          <w:p w14:paraId="79770AD0">
            <w:pPr>
              <w:widowControl/>
              <w:spacing w:line="360" w:lineRule="auto"/>
              <w:ind w:firstLine="120" w:firstLineChars="50"/>
              <w:rPr>
                <w:rFonts w:ascii="宋体" w:hAnsi="宋体" w:cs="宋体"/>
                <w:color w:val="000000" w:themeColor="text1"/>
                <w:sz w:val="24"/>
                <w14:textFill>
                  <w14:solidFill>
                    <w14:schemeClr w14:val="tx1"/>
                  </w14:solidFill>
                </w14:textFill>
              </w:rPr>
            </w:pPr>
          </w:p>
        </w:tc>
        <w:tc>
          <w:tcPr>
            <w:tcW w:w="749" w:type="dxa"/>
            <w:vAlign w:val="center"/>
          </w:tcPr>
          <w:p w14:paraId="66E6D93A">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 </w:t>
            </w:r>
          </w:p>
        </w:tc>
        <w:tc>
          <w:tcPr>
            <w:tcW w:w="7130" w:type="dxa"/>
            <w:vAlign w:val="center"/>
          </w:tcPr>
          <w:p w14:paraId="41287617">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质谱仪可进行快速数据采集，成像速度至15 个方形像素/秒</w:t>
            </w:r>
          </w:p>
        </w:tc>
      </w:tr>
      <w:tr w14:paraId="26BFC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6A984F73">
            <w:pPr>
              <w:widowControl/>
              <w:spacing w:line="360" w:lineRule="auto"/>
              <w:jc w:val="center"/>
              <w:rPr>
                <w:rFonts w:ascii="宋体" w:hAnsi="宋体" w:cs="宋体"/>
                <w:color w:val="000000" w:themeColor="text1"/>
                <w:sz w:val="24"/>
                <w14:textFill>
                  <w14:solidFill>
                    <w14:schemeClr w14:val="tx1"/>
                  </w14:solidFill>
                </w14:textFill>
              </w:rPr>
            </w:pPr>
          </w:p>
        </w:tc>
        <w:tc>
          <w:tcPr>
            <w:tcW w:w="1051" w:type="dxa"/>
            <w:vMerge w:val="continue"/>
            <w:vAlign w:val="center"/>
          </w:tcPr>
          <w:p w14:paraId="702CDF2B">
            <w:pPr>
              <w:widowControl/>
              <w:spacing w:line="360" w:lineRule="auto"/>
              <w:ind w:firstLine="120" w:firstLineChars="50"/>
              <w:rPr>
                <w:rFonts w:ascii="宋体" w:hAnsi="宋体" w:cs="宋体"/>
                <w:color w:val="000000" w:themeColor="text1"/>
                <w:sz w:val="24"/>
                <w14:textFill>
                  <w14:solidFill>
                    <w14:schemeClr w14:val="tx1"/>
                  </w14:solidFill>
                </w14:textFill>
              </w:rPr>
            </w:pPr>
          </w:p>
        </w:tc>
        <w:tc>
          <w:tcPr>
            <w:tcW w:w="749" w:type="dxa"/>
            <w:vAlign w:val="center"/>
          </w:tcPr>
          <w:p w14:paraId="047A6026">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 </w:t>
            </w:r>
          </w:p>
        </w:tc>
        <w:tc>
          <w:tcPr>
            <w:tcW w:w="7130" w:type="dxa"/>
            <w:vAlign w:val="center"/>
          </w:tcPr>
          <w:p w14:paraId="65C73817">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质谱成像空间分辨率：5µm</w:t>
            </w:r>
          </w:p>
        </w:tc>
      </w:tr>
      <w:tr w14:paraId="0659F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8" w:hRule="atLeast"/>
          <w:jc w:val="center"/>
        </w:trPr>
        <w:tc>
          <w:tcPr>
            <w:tcW w:w="608" w:type="dxa"/>
            <w:vMerge w:val="continue"/>
            <w:vAlign w:val="center"/>
          </w:tcPr>
          <w:p w14:paraId="25BF4DA6">
            <w:pPr>
              <w:widowControl/>
              <w:spacing w:line="360" w:lineRule="auto"/>
              <w:jc w:val="center"/>
              <w:rPr>
                <w:rFonts w:ascii="宋体" w:hAnsi="宋体" w:cs="宋体"/>
                <w:color w:val="000000" w:themeColor="text1"/>
                <w:sz w:val="24"/>
                <w14:textFill>
                  <w14:solidFill>
                    <w14:schemeClr w14:val="tx1"/>
                  </w14:solidFill>
                </w14:textFill>
              </w:rPr>
            </w:pPr>
          </w:p>
        </w:tc>
        <w:tc>
          <w:tcPr>
            <w:tcW w:w="1051" w:type="dxa"/>
            <w:vMerge w:val="continue"/>
            <w:vAlign w:val="center"/>
          </w:tcPr>
          <w:p w14:paraId="3712B252">
            <w:pPr>
              <w:widowControl/>
              <w:spacing w:line="360" w:lineRule="auto"/>
              <w:ind w:firstLine="120" w:firstLineChars="50"/>
              <w:rPr>
                <w:rFonts w:ascii="宋体" w:hAnsi="宋体" w:cs="宋体"/>
                <w:color w:val="000000" w:themeColor="text1"/>
                <w:sz w:val="24"/>
                <w14:textFill>
                  <w14:solidFill>
                    <w14:schemeClr w14:val="tx1"/>
                  </w14:solidFill>
                </w14:textFill>
              </w:rPr>
            </w:pPr>
          </w:p>
        </w:tc>
        <w:tc>
          <w:tcPr>
            <w:tcW w:w="7879" w:type="dxa"/>
            <w:gridSpan w:val="2"/>
            <w:vAlign w:val="center"/>
          </w:tcPr>
          <w:p w14:paraId="634FC589">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ESI离子源</w:t>
            </w:r>
          </w:p>
        </w:tc>
      </w:tr>
      <w:tr w14:paraId="6994D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8" w:hRule="atLeast"/>
          <w:jc w:val="center"/>
        </w:trPr>
        <w:tc>
          <w:tcPr>
            <w:tcW w:w="608" w:type="dxa"/>
            <w:vMerge w:val="continue"/>
            <w:vAlign w:val="center"/>
          </w:tcPr>
          <w:p w14:paraId="44B73118">
            <w:pPr>
              <w:widowControl/>
              <w:spacing w:line="360" w:lineRule="auto"/>
              <w:jc w:val="center"/>
              <w:rPr>
                <w:rFonts w:ascii="宋体" w:hAnsi="宋体" w:cs="宋体"/>
                <w:color w:val="000000" w:themeColor="text1"/>
                <w:sz w:val="24"/>
                <w14:textFill>
                  <w14:solidFill>
                    <w14:schemeClr w14:val="tx1"/>
                  </w14:solidFill>
                </w14:textFill>
              </w:rPr>
            </w:pPr>
          </w:p>
        </w:tc>
        <w:tc>
          <w:tcPr>
            <w:tcW w:w="1051" w:type="dxa"/>
            <w:vMerge w:val="continue"/>
            <w:vAlign w:val="center"/>
          </w:tcPr>
          <w:p w14:paraId="42E331D9">
            <w:pPr>
              <w:widowControl/>
              <w:spacing w:line="360" w:lineRule="auto"/>
              <w:ind w:firstLine="120" w:firstLineChars="50"/>
              <w:rPr>
                <w:rFonts w:ascii="宋体" w:hAnsi="宋体" w:cs="宋体"/>
                <w:color w:val="000000" w:themeColor="text1"/>
                <w:sz w:val="24"/>
                <w14:textFill>
                  <w14:solidFill>
                    <w14:schemeClr w14:val="tx1"/>
                  </w14:solidFill>
                </w14:textFill>
              </w:rPr>
            </w:pPr>
          </w:p>
        </w:tc>
        <w:tc>
          <w:tcPr>
            <w:tcW w:w="749" w:type="dxa"/>
            <w:vAlign w:val="center"/>
          </w:tcPr>
          <w:p w14:paraId="20FC1A4A">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w:t>
            </w:r>
          </w:p>
        </w:tc>
        <w:tc>
          <w:tcPr>
            <w:tcW w:w="7130" w:type="dxa"/>
            <w:vAlign w:val="center"/>
          </w:tcPr>
          <w:p w14:paraId="0289552A">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离子源采用逆向反吹干燥气体加热</w:t>
            </w:r>
          </w:p>
        </w:tc>
      </w:tr>
      <w:tr w14:paraId="306C2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28" w:hRule="atLeast"/>
          <w:jc w:val="center"/>
        </w:trPr>
        <w:tc>
          <w:tcPr>
            <w:tcW w:w="608" w:type="dxa"/>
            <w:vMerge w:val="continue"/>
            <w:vAlign w:val="center"/>
          </w:tcPr>
          <w:p w14:paraId="0ED3C6EC">
            <w:pPr>
              <w:widowControl/>
              <w:spacing w:line="360" w:lineRule="auto"/>
              <w:jc w:val="center"/>
              <w:rPr>
                <w:rFonts w:ascii="宋体" w:hAnsi="宋体" w:cs="宋体"/>
                <w:color w:val="000000" w:themeColor="text1"/>
                <w:sz w:val="24"/>
                <w14:textFill>
                  <w14:solidFill>
                    <w14:schemeClr w14:val="tx1"/>
                  </w14:solidFill>
                </w14:textFill>
              </w:rPr>
            </w:pPr>
          </w:p>
        </w:tc>
        <w:tc>
          <w:tcPr>
            <w:tcW w:w="1051" w:type="dxa"/>
            <w:vMerge w:val="continue"/>
            <w:vAlign w:val="center"/>
          </w:tcPr>
          <w:p w14:paraId="6D831383">
            <w:pPr>
              <w:widowControl/>
              <w:spacing w:line="360" w:lineRule="auto"/>
              <w:ind w:firstLine="120" w:firstLineChars="50"/>
              <w:rPr>
                <w:rFonts w:ascii="宋体" w:hAnsi="宋体" w:cs="宋体"/>
                <w:color w:val="000000" w:themeColor="text1"/>
                <w:sz w:val="24"/>
                <w14:textFill>
                  <w14:solidFill>
                    <w14:schemeClr w14:val="tx1"/>
                  </w14:solidFill>
                </w14:textFill>
              </w:rPr>
            </w:pPr>
          </w:p>
        </w:tc>
        <w:tc>
          <w:tcPr>
            <w:tcW w:w="749" w:type="dxa"/>
            <w:vAlign w:val="center"/>
          </w:tcPr>
          <w:p w14:paraId="5890893E">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w:t>
            </w:r>
          </w:p>
        </w:tc>
        <w:tc>
          <w:tcPr>
            <w:tcW w:w="7130" w:type="dxa"/>
            <w:vAlign w:val="center"/>
          </w:tcPr>
          <w:p w14:paraId="3BEDE4B8">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离子淌度分析器：具备离子淌度功能，可测定CCS值，离子淌度分辨率≥100，对同分异构体进行分离，提高仪器选择性和分离度</w:t>
            </w:r>
          </w:p>
        </w:tc>
      </w:tr>
      <w:tr w14:paraId="5DF4D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413FCAAC">
            <w:pPr>
              <w:widowControl/>
              <w:spacing w:line="360" w:lineRule="auto"/>
              <w:jc w:val="center"/>
              <w:rPr>
                <w:rFonts w:ascii="宋体" w:hAnsi="宋体" w:cs="宋体"/>
                <w:color w:val="000000" w:themeColor="text1"/>
                <w:sz w:val="24"/>
                <w14:textFill>
                  <w14:solidFill>
                    <w14:schemeClr w14:val="tx1"/>
                  </w14:solidFill>
                </w14:textFill>
              </w:rPr>
            </w:pPr>
          </w:p>
        </w:tc>
        <w:tc>
          <w:tcPr>
            <w:tcW w:w="1051" w:type="dxa"/>
            <w:vMerge w:val="continue"/>
            <w:vAlign w:val="center"/>
          </w:tcPr>
          <w:p w14:paraId="474F05D8">
            <w:pPr>
              <w:widowControl/>
              <w:spacing w:line="360" w:lineRule="auto"/>
              <w:ind w:firstLine="120" w:firstLineChars="50"/>
              <w:rPr>
                <w:rFonts w:ascii="宋体" w:hAnsi="宋体" w:cs="宋体"/>
                <w:color w:val="000000" w:themeColor="text1"/>
                <w:sz w:val="24"/>
                <w14:textFill>
                  <w14:solidFill>
                    <w14:schemeClr w14:val="tx1"/>
                  </w14:solidFill>
                </w14:textFill>
              </w:rPr>
            </w:pPr>
          </w:p>
        </w:tc>
        <w:tc>
          <w:tcPr>
            <w:tcW w:w="749" w:type="dxa"/>
            <w:vAlign w:val="center"/>
          </w:tcPr>
          <w:p w14:paraId="3DA015BF">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w:t>
            </w:r>
          </w:p>
        </w:tc>
        <w:tc>
          <w:tcPr>
            <w:tcW w:w="7130" w:type="dxa"/>
            <w:vAlign w:val="center"/>
          </w:tcPr>
          <w:p w14:paraId="416F17E7">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传输系统：采用玻璃传输毛细管，起到将大气压与真空系统隔离和产生电压差的目的</w:t>
            </w:r>
          </w:p>
        </w:tc>
      </w:tr>
      <w:tr w14:paraId="459A7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152C23CE">
            <w:pPr>
              <w:widowControl/>
              <w:spacing w:line="360" w:lineRule="auto"/>
              <w:jc w:val="center"/>
              <w:rPr>
                <w:rFonts w:ascii="宋体" w:hAnsi="宋体" w:cs="宋体"/>
                <w:color w:val="000000" w:themeColor="text1"/>
                <w:sz w:val="24"/>
                <w14:textFill>
                  <w14:solidFill>
                    <w14:schemeClr w14:val="tx1"/>
                  </w14:solidFill>
                </w14:textFill>
              </w:rPr>
            </w:pPr>
          </w:p>
        </w:tc>
        <w:tc>
          <w:tcPr>
            <w:tcW w:w="1051" w:type="dxa"/>
            <w:vMerge w:val="continue"/>
            <w:vAlign w:val="center"/>
          </w:tcPr>
          <w:p w14:paraId="59665872">
            <w:pPr>
              <w:widowControl/>
              <w:spacing w:line="360" w:lineRule="auto"/>
              <w:ind w:firstLine="120" w:firstLineChars="50"/>
              <w:rPr>
                <w:rFonts w:ascii="宋体" w:hAnsi="宋体" w:cs="宋体"/>
                <w:color w:val="000000" w:themeColor="text1"/>
                <w:sz w:val="24"/>
                <w14:textFill>
                  <w14:solidFill>
                    <w14:schemeClr w14:val="tx1"/>
                  </w14:solidFill>
                </w14:textFill>
              </w:rPr>
            </w:pPr>
          </w:p>
        </w:tc>
        <w:tc>
          <w:tcPr>
            <w:tcW w:w="749" w:type="dxa"/>
            <w:vAlign w:val="center"/>
          </w:tcPr>
          <w:p w14:paraId="465BF99C">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w:t>
            </w:r>
          </w:p>
        </w:tc>
        <w:tc>
          <w:tcPr>
            <w:tcW w:w="7130" w:type="dxa"/>
            <w:vAlign w:val="center"/>
          </w:tcPr>
          <w:p w14:paraId="5183BA99">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质量范围</w:t>
            </w:r>
          </w:p>
        </w:tc>
      </w:tr>
      <w:tr w14:paraId="5B57B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74" w:hRule="atLeast"/>
          <w:jc w:val="center"/>
        </w:trPr>
        <w:tc>
          <w:tcPr>
            <w:tcW w:w="608" w:type="dxa"/>
            <w:vMerge w:val="continue"/>
            <w:vAlign w:val="center"/>
          </w:tcPr>
          <w:p w14:paraId="513F498C">
            <w:pPr>
              <w:widowControl/>
              <w:spacing w:line="360" w:lineRule="auto"/>
              <w:jc w:val="center"/>
              <w:rPr>
                <w:rFonts w:ascii="宋体" w:hAnsi="宋体" w:cs="宋体"/>
                <w:color w:val="000000" w:themeColor="text1"/>
                <w:sz w:val="24"/>
                <w14:textFill>
                  <w14:solidFill>
                    <w14:schemeClr w14:val="tx1"/>
                  </w14:solidFill>
                </w14:textFill>
              </w:rPr>
            </w:pPr>
          </w:p>
        </w:tc>
        <w:tc>
          <w:tcPr>
            <w:tcW w:w="1051" w:type="dxa"/>
            <w:vMerge w:val="continue"/>
            <w:vAlign w:val="center"/>
          </w:tcPr>
          <w:p w14:paraId="03F55F2C">
            <w:pPr>
              <w:widowControl/>
              <w:spacing w:line="360" w:lineRule="auto"/>
              <w:ind w:firstLine="120" w:firstLineChars="50"/>
              <w:rPr>
                <w:rFonts w:ascii="宋体" w:hAnsi="宋体" w:cs="宋体"/>
                <w:color w:val="000000" w:themeColor="text1"/>
                <w:sz w:val="24"/>
                <w14:textFill>
                  <w14:solidFill>
                    <w14:schemeClr w14:val="tx1"/>
                  </w14:solidFill>
                </w14:textFill>
              </w:rPr>
            </w:pPr>
          </w:p>
        </w:tc>
        <w:tc>
          <w:tcPr>
            <w:tcW w:w="749" w:type="dxa"/>
            <w:vAlign w:val="center"/>
          </w:tcPr>
          <w:p w14:paraId="7750D041">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4.1 </w:t>
            </w:r>
          </w:p>
        </w:tc>
        <w:tc>
          <w:tcPr>
            <w:tcW w:w="7130" w:type="dxa"/>
            <w:vAlign w:val="center"/>
          </w:tcPr>
          <w:p w14:paraId="7252536F">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四极杆质量分析器质量范围：20-3000 m/z</w:t>
            </w:r>
          </w:p>
        </w:tc>
      </w:tr>
      <w:tr w14:paraId="552D1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4E7CB896">
            <w:pPr>
              <w:widowControl/>
              <w:spacing w:line="360" w:lineRule="auto"/>
              <w:jc w:val="center"/>
              <w:rPr>
                <w:rFonts w:ascii="宋体" w:hAnsi="宋体" w:cs="宋体"/>
                <w:color w:val="000000" w:themeColor="text1"/>
                <w:sz w:val="24"/>
                <w14:textFill>
                  <w14:solidFill>
                    <w14:schemeClr w14:val="tx1"/>
                  </w14:solidFill>
                </w14:textFill>
              </w:rPr>
            </w:pPr>
          </w:p>
        </w:tc>
        <w:tc>
          <w:tcPr>
            <w:tcW w:w="1051" w:type="dxa"/>
            <w:vMerge w:val="continue"/>
            <w:vAlign w:val="center"/>
          </w:tcPr>
          <w:p w14:paraId="21C23B8B">
            <w:pPr>
              <w:widowControl/>
              <w:spacing w:line="360" w:lineRule="auto"/>
              <w:ind w:firstLine="120" w:firstLineChars="50"/>
              <w:rPr>
                <w:rFonts w:ascii="宋体" w:hAnsi="宋体" w:cs="宋体"/>
                <w:color w:val="000000" w:themeColor="text1"/>
                <w:sz w:val="24"/>
                <w14:textFill>
                  <w14:solidFill>
                    <w14:schemeClr w14:val="tx1"/>
                  </w14:solidFill>
                </w14:textFill>
              </w:rPr>
            </w:pPr>
          </w:p>
        </w:tc>
        <w:tc>
          <w:tcPr>
            <w:tcW w:w="749" w:type="dxa"/>
            <w:vAlign w:val="center"/>
          </w:tcPr>
          <w:p w14:paraId="3373104C">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★4.2</w:t>
            </w:r>
          </w:p>
        </w:tc>
        <w:tc>
          <w:tcPr>
            <w:tcW w:w="7130" w:type="dxa"/>
            <w:vAlign w:val="center"/>
          </w:tcPr>
          <w:p w14:paraId="6045146A">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高分辨质量分析器质量范围：20-20,000 m/z</w:t>
            </w:r>
          </w:p>
        </w:tc>
      </w:tr>
      <w:tr w14:paraId="04C79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3E5B7B00">
            <w:pPr>
              <w:widowControl/>
              <w:spacing w:line="360" w:lineRule="auto"/>
              <w:jc w:val="center"/>
              <w:rPr>
                <w:rFonts w:ascii="宋体" w:hAnsi="宋体" w:cs="宋体"/>
                <w:color w:val="000000" w:themeColor="text1"/>
                <w:sz w:val="24"/>
                <w14:textFill>
                  <w14:solidFill>
                    <w14:schemeClr w14:val="tx1"/>
                  </w14:solidFill>
                </w14:textFill>
              </w:rPr>
            </w:pPr>
          </w:p>
        </w:tc>
        <w:tc>
          <w:tcPr>
            <w:tcW w:w="1051" w:type="dxa"/>
            <w:vMerge w:val="continue"/>
            <w:vAlign w:val="center"/>
          </w:tcPr>
          <w:p w14:paraId="568A79B4">
            <w:pPr>
              <w:widowControl/>
              <w:spacing w:line="360" w:lineRule="auto"/>
              <w:ind w:firstLine="120" w:firstLineChars="50"/>
              <w:rPr>
                <w:rFonts w:ascii="宋体" w:hAnsi="宋体" w:cs="宋体"/>
                <w:color w:val="000000" w:themeColor="text1"/>
                <w:sz w:val="24"/>
                <w14:textFill>
                  <w14:solidFill>
                    <w14:schemeClr w14:val="tx1"/>
                  </w14:solidFill>
                </w14:textFill>
              </w:rPr>
            </w:pPr>
          </w:p>
        </w:tc>
        <w:tc>
          <w:tcPr>
            <w:tcW w:w="749" w:type="dxa"/>
            <w:vAlign w:val="center"/>
          </w:tcPr>
          <w:p w14:paraId="196BCBE7">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w:t>
            </w:r>
          </w:p>
        </w:tc>
        <w:tc>
          <w:tcPr>
            <w:tcW w:w="7130" w:type="dxa"/>
            <w:vAlign w:val="center"/>
          </w:tcPr>
          <w:p w14:paraId="577A2AC4">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飞行管配有水冷恒温温控装置和智能化温度补偿装置，在MS和MS/MS模式下质量准确度具有长时间的超稳定性</w:t>
            </w:r>
          </w:p>
        </w:tc>
      </w:tr>
      <w:tr w14:paraId="2111E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77F296AF">
            <w:pPr>
              <w:widowControl/>
              <w:spacing w:line="360" w:lineRule="auto"/>
              <w:jc w:val="center"/>
              <w:rPr>
                <w:rFonts w:ascii="宋体" w:hAnsi="宋体" w:cs="宋体"/>
                <w:color w:val="000000" w:themeColor="text1"/>
                <w:sz w:val="24"/>
                <w14:textFill>
                  <w14:solidFill>
                    <w14:schemeClr w14:val="tx1"/>
                  </w14:solidFill>
                </w14:textFill>
              </w:rPr>
            </w:pPr>
          </w:p>
        </w:tc>
        <w:tc>
          <w:tcPr>
            <w:tcW w:w="1051" w:type="dxa"/>
            <w:vMerge w:val="continue"/>
            <w:vAlign w:val="center"/>
          </w:tcPr>
          <w:p w14:paraId="308BBCF3">
            <w:pPr>
              <w:widowControl/>
              <w:spacing w:line="360" w:lineRule="auto"/>
              <w:ind w:firstLine="120" w:firstLineChars="50"/>
              <w:rPr>
                <w:rFonts w:ascii="宋体" w:hAnsi="宋体" w:cs="宋体"/>
                <w:color w:val="000000" w:themeColor="text1"/>
                <w:sz w:val="24"/>
                <w14:textFill>
                  <w14:solidFill>
                    <w14:schemeClr w14:val="tx1"/>
                  </w14:solidFill>
                </w14:textFill>
              </w:rPr>
            </w:pPr>
          </w:p>
        </w:tc>
        <w:tc>
          <w:tcPr>
            <w:tcW w:w="749" w:type="dxa"/>
            <w:vAlign w:val="center"/>
          </w:tcPr>
          <w:p w14:paraId="7BDC760A">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 </w:t>
            </w:r>
          </w:p>
        </w:tc>
        <w:tc>
          <w:tcPr>
            <w:tcW w:w="7130" w:type="dxa"/>
            <w:vAlign w:val="center"/>
          </w:tcPr>
          <w:p w14:paraId="53A94D93">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分辨率：在不低于45 Hz扫描速度下，可以保证分辨率 ≥100,000 FSR（1222m/z） </w:t>
            </w:r>
          </w:p>
        </w:tc>
      </w:tr>
      <w:tr w14:paraId="77FEB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4716355D">
            <w:pPr>
              <w:widowControl/>
              <w:spacing w:line="360" w:lineRule="auto"/>
              <w:jc w:val="center"/>
              <w:rPr>
                <w:rFonts w:ascii="宋体" w:hAnsi="宋体" w:cs="宋体"/>
                <w:color w:val="000000" w:themeColor="text1"/>
                <w:sz w:val="24"/>
                <w14:textFill>
                  <w14:solidFill>
                    <w14:schemeClr w14:val="tx1"/>
                  </w14:solidFill>
                </w14:textFill>
              </w:rPr>
            </w:pPr>
          </w:p>
        </w:tc>
        <w:tc>
          <w:tcPr>
            <w:tcW w:w="1051" w:type="dxa"/>
            <w:vMerge w:val="continue"/>
            <w:vAlign w:val="center"/>
          </w:tcPr>
          <w:p w14:paraId="3A0A1890">
            <w:pPr>
              <w:widowControl/>
              <w:spacing w:line="360" w:lineRule="auto"/>
              <w:ind w:firstLine="120" w:firstLineChars="50"/>
              <w:rPr>
                <w:rFonts w:ascii="宋体" w:hAnsi="宋体" w:cs="宋体"/>
                <w:color w:val="000000" w:themeColor="text1"/>
                <w:sz w:val="24"/>
                <w14:textFill>
                  <w14:solidFill>
                    <w14:schemeClr w14:val="tx1"/>
                  </w14:solidFill>
                </w14:textFill>
              </w:rPr>
            </w:pPr>
          </w:p>
        </w:tc>
        <w:tc>
          <w:tcPr>
            <w:tcW w:w="749" w:type="dxa"/>
            <w:vAlign w:val="center"/>
          </w:tcPr>
          <w:p w14:paraId="305D15BE">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 </w:t>
            </w:r>
          </w:p>
        </w:tc>
        <w:tc>
          <w:tcPr>
            <w:tcW w:w="7130" w:type="dxa"/>
            <w:vAlign w:val="center"/>
          </w:tcPr>
          <w:p w14:paraId="7E17F429">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准确度：内标校准：平均误差 ≤ 0.8 ppm；外标校准：平均误差 ≤ 2 ppm</w:t>
            </w:r>
          </w:p>
        </w:tc>
      </w:tr>
      <w:tr w14:paraId="3EBA1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01A9D61C">
            <w:pPr>
              <w:widowControl/>
              <w:spacing w:line="360" w:lineRule="auto"/>
              <w:jc w:val="center"/>
              <w:rPr>
                <w:rFonts w:ascii="宋体" w:hAnsi="宋体" w:cs="宋体"/>
                <w:color w:val="000000" w:themeColor="text1"/>
                <w:sz w:val="24"/>
                <w14:textFill>
                  <w14:solidFill>
                    <w14:schemeClr w14:val="tx1"/>
                  </w14:solidFill>
                </w14:textFill>
              </w:rPr>
            </w:pPr>
          </w:p>
        </w:tc>
        <w:tc>
          <w:tcPr>
            <w:tcW w:w="1051" w:type="dxa"/>
            <w:vMerge w:val="continue"/>
            <w:vAlign w:val="center"/>
          </w:tcPr>
          <w:p w14:paraId="6B87A78B">
            <w:pPr>
              <w:widowControl/>
              <w:spacing w:line="360" w:lineRule="auto"/>
              <w:ind w:firstLine="120" w:firstLineChars="50"/>
              <w:rPr>
                <w:rFonts w:ascii="宋体" w:hAnsi="宋体" w:cs="宋体"/>
                <w:color w:val="000000" w:themeColor="text1"/>
                <w:sz w:val="24"/>
                <w14:textFill>
                  <w14:solidFill>
                    <w14:schemeClr w14:val="tx1"/>
                  </w14:solidFill>
                </w14:textFill>
              </w:rPr>
            </w:pPr>
          </w:p>
        </w:tc>
        <w:tc>
          <w:tcPr>
            <w:tcW w:w="749" w:type="dxa"/>
            <w:vAlign w:val="center"/>
          </w:tcPr>
          <w:p w14:paraId="4E336241">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 </w:t>
            </w:r>
          </w:p>
        </w:tc>
        <w:tc>
          <w:tcPr>
            <w:tcW w:w="7130" w:type="dxa"/>
            <w:vAlign w:val="center"/>
          </w:tcPr>
          <w:p w14:paraId="244D2611">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采样频率： </w:t>
            </w:r>
          </w:p>
        </w:tc>
      </w:tr>
      <w:tr w14:paraId="7C7D0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03B02593">
            <w:pPr>
              <w:widowControl/>
              <w:spacing w:line="360" w:lineRule="auto"/>
              <w:jc w:val="center"/>
              <w:rPr>
                <w:rFonts w:ascii="宋体" w:hAnsi="宋体" w:cs="宋体"/>
                <w:color w:val="000000" w:themeColor="text1"/>
                <w:sz w:val="24"/>
                <w14:textFill>
                  <w14:solidFill>
                    <w14:schemeClr w14:val="tx1"/>
                  </w14:solidFill>
                </w14:textFill>
              </w:rPr>
            </w:pPr>
          </w:p>
        </w:tc>
        <w:tc>
          <w:tcPr>
            <w:tcW w:w="1051" w:type="dxa"/>
            <w:vMerge w:val="continue"/>
            <w:vAlign w:val="center"/>
          </w:tcPr>
          <w:p w14:paraId="179E340C">
            <w:pPr>
              <w:widowControl/>
              <w:spacing w:line="360" w:lineRule="auto"/>
              <w:ind w:firstLine="120" w:firstLineChars="50"/>
              <w:rPr>
                <w:rFonts w:ascii="宋体" w:hAnsi="宋体" w:cs="宋体"/>
                <w:color w:val="000000" w:themeColor="text1"/>
                <w:sz w:val="24"/>
                <w14:textFill>
                  <w14:solidFill>
                    <w14:schemeClr w14:val="tx1"/>
                  </w14:solidFill>
                </w14:textFill>
              </w:rPr>
            </w:pPr>
          </w:p>
        </w:tc>
        <w:tc>
          <w:tcPr>
            <w:tcW w:w="749" w:type="dxa"/>
            <w:vAlign w:val="center"/>
          </w:tcPr>
          <w:p w14:paraId="2B3F7A51">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8.1 </w:t>
            </w:r>
          </w:p>
        </w:tc>
        <w:tc>
          <w:tcPr>
            <w:tcW w:w="7130" w:type="dxa"/>
            <w:vAlign w:val="center"/>
          </w:tcPr>
          <w:p w14:paraId="3D44339E">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正常模式：MS和MS/MS 最高可达50 Hz；</w:t>
            </w:r>
          </w:p>
        </w:tc>
      </w:tr>
      <w:tr w14:paraId="1D510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63395B9C">
            <w:pPr>
              <w:widowControl/>
              <w:spacing w:line="360" w:lineRule="auto"/>
              <w:jc w:val="center"/>
              <w:rPr>
                <w:rFonts w:ascii="宋体" w:hAnsi="宋体" w:cs="宋体"/>
                <w:color w:val="000000" w:themeColor="text1"/>
                <w:sz w:val="24"/>
                <w14:textFill>
                  <w14:solidFill>
                    <w14:schemeClr w14:val="tx1"/>
                  </w14:solidFill>
                </w14:textFill>
              </w:rPr>
            </w:pPr>
          </w:p>
        </w:tc>
        <w:tc>
          <w:tcPr>
            <w:tcW w:w="1051" w:type="dxa"/>
            <w:vMerge w:val="continue"/>
            <w:vAlign w:val="center"/>
          </w:tcPr>
          <w:p w14:paraId="2A7C4D1C">
            <w:pPr>
              <w:widowControl/>
              <w:spacing w:line="360" w:lineRule="auto"/>
              <w:ind w:firstLine="120" w:firstLineChars="50"/>
              <w:rPr>
                <w:rFonts w:ascii="宋体" w:hAnsi="宋体" w:cs="宋体"/>
                <w:color w:val="000000" w:themeColor="text1"/>
                <w:sz w:val="24"/>
                <w14:textFill>
                  <w14:solidFill>
                    <w14:schemeClr w14:val="tx1"/>
                  </w14:solidFill>
                </w14:textFill>
              </w:rPr>
            </w:pPr>
          </w:p>
        </w:tc>
        <w:tc>
          <w:tcPr>
            <w:tcW w:w="749" w:type="dxa"/>
            <w:vAlign w:val="center"/>
          </w:tcPr>
          <w:p w14:paraId="7DA6F20D">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▲8.2 </w:t>
            </w:r>
          </w:p>
        </w:tc>
        <w:tc>
          <w:tcPr>
            <w:tcW w:w="7130" w:type="dxa"/>
            <w:vAlign w:val="center"/>
          </w:tcPr>
          <w:p w14:paraId="08A0D67C">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组学模式：MS/MS ≥ 250 Hz</w:t>
            </w:r>
          </w:p>
        </w:tc>
      </w:tr>
      <w:tr w14:paraId="4997E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496B493B">
            <w:pPr>
              <w:widowControl/>
              <w:spacing w:line="360" w:lineRule="auto"/>
              <w:jc w:val="center"/>
              <w:rPr>
                <w:rFonts w:ascii="宋体" w:hAnsi="宋体" w:cs="宋体"/>
                <w:color w:val="000000" w:themeColor="text1"/>
                <w:sz w:val="24"/>
                <w14:textFill>
                  <w14:solidFill>
                    <w14:schemeClr w14:val="tx1"/>
                  </w14:solidFill>
                </w14:textFill>
              </w:rPr>
            </w:pPr>
          </w:p>
        </w:tc>
        <w:tc>
          <w:tcPr>
            <w:tcW w:w="1051" w:type="dxa"/>
            <w:vMerge w:val="continue"/>
            <w:vAlign w:val="center"/>
          </w:tcPr>
          <w:p w14:paraId="33E52CAF">
            <w:pPr>
              <w:widowControl/>
              <w:spacing w:line="360" w:lineRule="auto"/>
              <w:ind w:firstLine="120" w:firstLineChars="50"/>
              <w:rPr>
                <w:rFonts w:ascii="宋体" w:hAnsi="宋体" w:cs="宋体"/>
                <w:color w:val="000000" w:themeColor="text1"/>
                <w:sz w:val="24"/>
                <w14:textFill>
                  <w14:solidFill>
                    <w14:schemeClr w14:val="tx1"/>
                  </w14:solidFill>
                </w14:textFill>
              </w:rPr>
            </w:pPr>
          </w:p>
        </w:tc>
        <w:tc>
          <w:tcPr>
            <w:tcW w:w="749" w:type="dxa"/>
            <w:vAlign w:val="center"/>
          </w:tcPr>
          <w:p w14:paraId="79EFFDA7">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 </w:t>
            </w:r>
          </w:p>
        </w:tc>
        <w:tc>
          <w:tcPr>
            <w:tcW w:w="7130" w:type="dxa"/>
            <w:vAlign w:val="center"/>
          </w:tcPr>
          <w:p w14:paraId="06E2E5D5">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灵敏度： </w:t>
            </w:r>
          </w:p>
        </w:tc>
      </w:tr>
      <w:tr w14:paraId="69465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62A2F87C">
            <w:pPr>
              <w:widowControl/>
              <w:spacing w:line="360" w:lineRule="auto"/>
              <w:jc w:val="center"/>
              <w:rPr>
                <w:rFonts w:ascii="宋体" w:hAnsi="宋体" w:cs="宋体"/>
                <w:color w:val="000000" w:themeColor="text1"/>
                <w:sz w:val="24"/>
                <w14:textFill>
                  <w14:solidFill>
                    <w14:schemeClr w14:val="tx1"/>
                  </w14:solidFill>
                </w14:textFill>
              </w:rPr>
            </w:pPr>
          </w:p>
        </w:tc>
        <w:tc>
          <w:tcPr>
            <w:tcW w:w="1051" w:type="dxa"/>
            <w:vMerge w:val="continue"/>
            <w:vAlign w:val="center"/>
          </w:tcPr>
          <w:p w14:paraId="212391AE">
            <w:pPr>
              <w:widowControl/>
              <w:spacing w:line="360" w:lineRule="auto"/>
              <w:ind w:firstLine="120" w:firstLineChars="50"/>
              <w:rPr>
                <w:rFonts w:ascii="宋体" w:hAnsi="宋体" w:cs="宋体"/>
                <w:color w:val="000000" w:themeColor="text1"/>
                <w:sz w:val="24"/>
                <w14:textFill>
                  <w14:solidFill>
                    <w14:schemeClr w14:val="tx1"/>
                  </w14:solidFill>
                </w14:textFill>
              </w:rPr>
            </w:pPr>
          </w:p>
        </w:tc>
        <w:tc>
          <w:tcPr>
            <w:tcW w:w="749" w:type="dxa"/>
            <w:vAlign w:val="center"/>
          </w:tcPr>
          <w:p w14:paraId="6C987183">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9.1 </w:t>
            </w:r>
          </w:p>
        </w:tc>
        <w:tc>
          <w:tcPr>
            <w:tcW w:w="7130" w:type="dxa"/>
            <w:vAlign w:val="center"/>
          </w:tcPr>
          <w:p w14:paraId="2F479C5C">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MS：1pg/uL利血平（m/z 609），信噪比&gt;100: 1 RMS。</w:t>
            </w:r>
          </w:p>
        </w:tc>
      </w:tr>
      <w:tr w14:paraId="1DC4A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Merge w:val="continue"/>
            <w:vAlign w:val="center"/>
          </w:tcPr>
          <w:p w14:paraId="49F6C807">
            <w:pPr>
              <w:widowControl/>
              <w:spacing w:line="360" w:lineRule="auto"/>
              <w:jc w:val="center"/>
              <w:rPr>
                <w:rFonts w:ascii="宋体" w:hAnsi="宋体" w:cs="宋体"/>
                <w:color w:val="000000" w:themeColor="text1"/>
                <w:sz w:val="24"/>
                <w14:textFill>
                  <w14:solidFill>
                    <w14:schemeClr w14:val="tx1"/>
                  </w14:solidFill>
                </w14:textFill>
              </w:rPr>
            </w:pPr>
          </w:p>
        </w:tc>
        <w:tc>
          <w:tcPr>
            <w:tcW w:w="1051" w:type="dxa"/>
            <w:vMerge w:val="continue"/>
            <w:vAlign w:val="center"/>
          </w:tcPr>
          <w:p w14:paraId="1B649594">
            <w:pPr>
              <w:widowControl/>
              <w:spacing w:line="360" w:lineRule="auto"/>
              <w:ind w:firstLine="120" w:firstLineChars="50"/>
              <w:rPr>
                <w:rFonts w:ascii="宋体" w:hAnsi="宋体" w:cs="宋体"/>
                <w:color w:val="000000" w:themeColor="text1"/>
                <w:sz w:val="24"/>
                <w14:textFill>
                  <w14:solidFill>
                    <w14:schemeClr w14:val="tx1"/>
                  </w14:solidFill>
                </w14:textFill>
              </w:rPr>
            </w:pPr>
          </w:p>
        </w:tc>
        <w:tc>
          <w:tcPr>
            <w:tcW w:w="749" w:type="dxa"/>
            <w:vAlign w:val="center"/>
          </w:tcPr>
          <w:p w14:paraId="7CCB0ADB">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9.2 </w:t>
            </w:r>
          </w:p>
        </w:tc>
        <w:tc>
          <w:tcPr>
            <w:tcW w:w="7130" w:type="dxa"/>
            <w:vAlign w:val="center"/>
          </w:tcPr>
          <w:p w14:paraId="146C6753">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全扫描MS/MS模式：消耗量为2.5fmol多肽Glu-Fibrinopeptide B时，信噪比≥100:1。</w:t>
            </w:r>
          </w:p>
        </w:tc>
      </w:tr>
      <w:tr w14:paraId="49B96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1C499E01">
            <w:pPr>
              <w:widowControl/>
              <w:spacing w:line="360" w:lineRule="auto"/>
              <w:jc w:val="center"/>
              <w:rPr>
                <w:rFonts w:ascii="宋体" w:hAnsi="宋体" w:cs="宋体"/>
                <w:color w:val="000000" w:themeColor="text1"/>
                <w:sz w:val="24"/>
                <w14:textFill>
                  <w14:solidFill>
                    <w14:schemeClr w14:val="tx1"/>
                  </w14:solidFill>
                </w14:textFill>
              </w:rPr>
            </w:pPr>
          </w:p>
        </w:tc>
        <w:tc>
          <w:tcPr>
            <w:tcW w:w="1051" w:type="dxa"/>
            <w:vMerge w:val="continue"/>
            <w:vAlign w:val="center"/>
          </w:tcPr>
          <w:p w14:paraId="4F3F3EA4">
            <w:pPr>
              <w:widowControl/>
              <w:spacing w:line="360" w:lineRule="auto"/>
              <w:ind w:firstLine="120" w:firstLineChars="50"/>
              <w:rPr>
                <w:rFonts w:ascii="宋体" w:hAnsi="宋体" w:cs="宋体"/>
                <w:color w:val="000000" w:themeColor="text1"/>
                <w:sz w:val="24"/>
                <w14:textFill>
                  <w14:solidFill>
                    <w14:schemeClr w14:val="tx1"/>
                  </w14:solidFill>
                </w14:textFill>
              </w:rPr>
            </w:pPr>
          </w:p>
        </w:tc>
        <w:tc>
          <w:tcPr>
            <w:tcW w:w="749" w:type="dxa"/>
            <w:vAlign w:val="center"/>
          </w:tcPr>
          <w:p w14:paraId="4852EED9">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9.3 </w:t>
            </w:r>
          </w:p>
        </w:tc>
        <w:tc>
          <w:tcPr>
            <w:tcW w:w="7130" w:type="dxa"/>
            <w:vAlign w:val="center"/>
          </w:tcPr>
          <w:p w14:paraId="30A1C96F">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1ng Hela细胞酶解标样，可检出大于2000种蛋白质。</w:t>
            </w:r>
          </w:p>
        </w:tc>
      </w:tr>
    </w:tbl>
    <w:p w14:paraId="3DD4BD57">
      <w:pPr>
        <w:pStyle w:val="6"/>
        <w:numPr>
          <w:ilvl w:val="0"/>
          <w:numId w:val="3"/>
        </w:numPr>
        <w:spacing w:line="360" w:lineRule="auto"/>
        <w:ind w:right="708" w:rightChars="337" w:hanging="905"/>
        <w:jc w:val="both"/>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商务条款</w:t>
      </w:r>
    </w:p>
    <w:p w14:paraId="2570870D">
      <w:pPr>
        <w:numPr>
          <w:ilvl w:val="0"/>
          <w:numId w:val="4"/>
        </w:numPr>
        <w:autoSpaceDE w:val="0"/>
        <w:autoSpaceDN w:val="0"/>
        <w:adjustRightInd w:val="0"/>
        <w:spacing w:line="360" w:lineRule="auto"/>
        <w:rPr>
          <w:rFonts w:ascii="宋体" w:hAnsi="宋体" w:cs="宋体"/>
          <w:color w:val="000000" w:themeColor="text1"/>
          <w:kern w:val="0"/>
          <w:sz w:val="24"/>
          <w:lang w:val="zh-CN"/>
          <w14:textFill>
            <w14:solidFill>
              <w14:schemeClr w14:val="tx1"/>
            </w14:solidFill>
          </w14:textFill>
        </w:rPr>
      </w:pPr>
      <w:r>
        <w:rPr>
          <w:rFonts w:hint="eastAsia" w:ascii="宋体" w:hAnsi="宋体" w:cs="宋体"/>
          <w:b/>
          <w:bCs/>
          <w:color w:val="000000" w:themeColor="text1"/>
          <w:kern w:val="0"/>
          <w:sz w:val="24"/>
          <w:lang w:val="zh-CN"/>
          <w14:textFill>
            <w14:solidFill>
              <w14:schemeClr w14:val="tx1"/>
            </w14:solidFill>
          </w14:textFill>
        </w:rPr>
        <w:t>★交货地点：</w:t>
      </w:r>
      <w:r>
        <w:rPr>
          <w:rFonts w:hint="eastAsia" w:ascii="宋体" w:hAnsi="宋体" w:cs="宋体"/>
          <w:sz w:val="24"/>
        </w:rPr>
        <w:t>三亚市崖州区崖州湾科技城深海装备产业园C 栋</w:t>
      </w:r>
    </w:p>
    <w:p w14:paraId="68F9CC65">
      <w:pPr>
        <w:numPr>
          <w:ilvl w:val="0"/>
          <w:numId w:val="4"/>
        </w:numPr>
        <w:tabs>
          <w:tab w:val="left" w:pos="420"/>
        </w:tabs>
        <w:autoSpaceDE w:val="0"/>
        <w:autoSpaceDN w:val="0"/>
        <w:adjustRightInd w:val="0"/>
        <w:spacing w:line="360" w:lineRule="auto"/>
        <w:rPr>
          <w:rFonts w:ascii="宋体" w:hAnsi="宋体" w:cs="宋体"/>
          <w:b/>
          <w:bCs/>
          <w:color w:val="000000" w:themeColor="text1"/>
          <w:kern w:val="0"/>
          <w:sz w:val="24"/>
          <w:lang w:val="zh-CN"/>
          <w14:textFill>
            <w14:solidFill>
              <w14:schemeClr w14:val="tx1"/>
            </w14:solidFill>
          </w14:textFill>
        </w:rPr>
      </w:pPr>
      <w:r>
        <w:rPr>
          <w:rFonts w:hint="eastAsia" w:ascii="宋体" w:hAnsi="宋体" w:cs="宋体"/>
          <w:b/>
          <w:bCs/>
          <w:color w:val="000000" w:themeColor="text1"/>
          <w:kern w:val="0"/>
          <w:sz w:val="24"/>
          <w:lang w:val="zh-CN"/>
          <w14:textFill>
            <w14:solidFill>
              <w14:schemeClr w14:val="tx1"/>
            </w14:solidFill>
          </w14:textFill>
        </w:rPr>
        <w:t>★交货期：</w:t>
      </w:r>
      <w:r>
        <w:rPr>
          <w:rFonts w:hint="eastAsia" w:ascii="宋体" w:hAnsi="宋体" w:cs="宋体"/>
          <w:color w:val="000000" w:themeColor="text1"/>
          <w:kern w:val="0"/>
          <w:sz w:val="24"/>
          <w:lang w:val="de-DE"/>
          <w14:textFill>
            <w14:solidFill>
              <w14:schemeClr w14:val="tx1"/>
            </w14:solidFill>
          </w14:textFill>
        </w:rPr>
        <w:t>合同签订后的</w:t>
      </w:r>
      <w:r>
        <w:rPr>
          <w:rFonts w:hint="eastAsia" w:ascii="宋体" w:hAnsi="宋体" w:cs="宋体"/>
          <w:color w:val="000000" w:themeColor="text1"/>
          <w:kern w:val="0"/>
          <w:sz w:val="24"/>
          <w14:textFill>
            <w14:solidFill>
              <w14:schemeClr w14:val="tx1"/>
            </w14:solidFill>
          </w14:textFill>
        </w:rPr>
        <w:t>6个月</w:t>
      </w:r>
      <w:r>
        <w:rPr>
          <w:rFonts w:hint="eastAsia" w:ascii="宋体" w:hAnsi="宋体" w:cs="宋体"/>
          <w:color w:val="000000" w:themeColor="text1"/>
          <w:kern w:val="0"/>
          <w:sz w:val="24"/>
          <w:lang w:val="de-DE"/>
          <w14:textFill>
            <w14:solidFill>
              <w14:schemeClr w14:val="tx1"/>
            </w14:solidFill>
          </w14:textFill>
        </w:rPr>
        <w:t>内</w:t>
      </w:r>
      <w:r>
        <w:rPr>
          <w:rFonts w:hint="eastAsia" w:ascii="宋体" w:hAnsi="宋体" w:cs="宋体"/>
          <w:color w:val="000000" w:themeColor="text1"/>
          <w:kern w:val="0"/>
          <w:sz w:val="24"/>
          <w:lang w:val="zh-CN"/>
          <w14:textFill>
            <w14:solidFill>
              <w14:schemeClr w14:val="tx1"/>
            </w14:solidFill>
          </w14:textFill>
        </w:rPr>
        <w:t>交货。</w:t>
      </w:r>
    </w:p>
    <w:p w14:paraId="52233441">
      <w:pPr>
        <w:numPr>
          <w:ilvl w:val="0"/>
          <w:numId w:val="4"/>
        </w:numPr>
        <w:tabs>
          <w:tab w:val="left" w:pos="420"/>
        </w:tabs>
        <w:autoSpaceDE w:val="0"/>
        <w:autoSpaceDN w:val="0"/>
        <w:adjustRightInd w:val="0"/>
        <w:spacing w:line="360" w:lineRule="auto"/>
        <w:rPr>
          <w:rFonts w:ascii="宋体" w:hAnsi="宋体" w:cs="宋体"/>
          <w:color w:val="000000" w:themeColor="text1"/>
          <w:sz w:val="24"/>
          <w:lang w:val="zh-CN"/>
          <w14:textFill>
            <w14:solidFill>
              <w14:schemeClr w14:val="tx1"/>
            </w14:solidFill>
          </w14:textFill>
        </w:rPr>
      </w:pPr>
      <w:r>
        <w:rPr>
          <w:rFonts w:hint="eastAsia" w:ascii="宋体" w:hAnsi="宋体" w:cs="宋体"/>
          <w:b/>
          <w:bCs/>
          <w:color w:val="000000" w:themeColor="text1"/>
          <w:kern w:val="0"/>
          <w:sz w:val="24"/>
          <w:lang w:val="zh-CN"/>
          <w14:textFill>
            <w14:solidFill>
              <w14:schemeClr w14:val="tx1"/>
            </w14:solidFill>
          </w14:textFill>
        </w:rPr>
        <w:t>★报价方式及要求：</w:t>
      </w:r>
    </w:p>
    <w:p w14:paraId="35D4CC4E">
      <w:pPr>
        <w:numPr>
          <w:ilvl w:val="0"/>
          <w:numId w:val="5"/>
        </w:numPr>
        <w:tabs>
          <w:tab w:val="left" w:pos="420"/>
          <w:tab w:val="clear" w:pos="312"/>
        </w:tabs>
        <w:autoSpaceDE w:val="0"/>
        <w:autoSpaceDN w:val="0"/>
        <w:adjustRightInd w:val="0"/>
        <w:spacing w:line="360" w:lineRule="auto"/>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本项目允许采购进口产品，不拒绝投标人选用国产产品参与投标（进口产品是指通过中国海关报关验放进入中国境内且产自关境外的产品。）</w:t>
      </w:r>
      <w:r>
        <w:rPr>
          <w:rFonts w:hint="eastAsia" w:ascii="宋体" w:hAnsi="宋体" w:cs="FangSong_GB2312"/>
          <w:sz w:val="24"/>
        </w:rPr>
        <w:t>进口产品与服务报CIP指定交货地点人民币价（不含关税、增值税），外贸代理费、清关杂费等由中标人承担；</w:t>
      </w:r>
      <w:r>
        <w:rPr>
          <w:rFonts w:hint="eastAsia" w:ascii="宋体" w:hAnsi="宋体" w:cs="宋体"/>
          <w:b/>
          <w:bCs/>
          <w:kern w:val="0"/>
          <w:sz w:val="24"/>
        </w:rPr>
        <w:t>根据国务院关税税则委员会关于对原产于境外部分进口商品加征关税的系列公告，中标供应商提供的货物原产地如来自境外，且该货物在公告的商品清单内，加征的关税由中标供应商支付，采购人不负责加征的关税。响应供应商在响应时应充分考虑到上述风险。</w:t>
      </w:r>
    </w:p>
    <w:p w14:paraId="5333A38B">
      <w:pPr>
        <w:numPr>
          <w:ilvl w:val="0"/>
          <w:numId w:val="5"/>
        </w:numPr>
        <w:tabs>
          <w:tab w:val="left" w:pos="420"/>
          <w:tab w:val="clear" w:pos="312"/>
        </w:tabs>
        <w:autoSpaceDE w:val="0"/>
        <w:autoSpaceDN w:val="0"/>
        <w:adjustRightInd w:val="0"/>
        <w:spacing w:line="360" w:lineRule="auto"/>
        <w:rPr>
          <w:rFonts w:ascii="宋体" w:hAnsi="宋体" w:cs="宋体"/>
          <w:color w:val="000000" w:themeColor="text1"/>
          <w:sz w:val="24"/>
          <w:lang w:val="zh-CN"/>
          <w14:textFill>
            <w14:solidFill>
              <w14:schemeClr w14:val="tx1"/>
            </w14:solidFill>
          </w14:textFill>
        </w:rPr>
      </w:pPr>
      <w:r>
        <w:rPr>
          <w:rFonts w:hint="eastAsia" w:ascii="宋体" w:hAnsi="宋体" w:cs="宋体"/>
          <w:sz w:val="24"/>
        </w:rPr>
        <w:t>国产产品与服务报项目现场交货人民币价。</w:t>
      </w:r>
      <w:r>
        <w:rPr>
          <w:rFonts w:hint="eastAsia" w:ascii="宋体" w:hAnsi="宋体" w:cs="宋体"/>
          <w:color w:val="000000" w:themeColor="text1"/>
          <w:sz w:val="24"/>
          <w:lang w:val="zh-CN"/>
          <w14:textFill>
            <w14:solidFill>
              <w14:schemeClr w14:val="tx1"/>
            </w14:solidFill>
          </w14:textFill>
        </w:rPr>
        <w:t>投标价包含仪器设备的价款、包装、税费、运输、装卸、安装、调试、技术指导、培训、咨询、服务、保险、检测、验收合格交付使用之前以及技术和售后服务等其他各项有关费用。</w:t>
      </w:r>
    </w:p>
    <w:p w14:paraId="15B275FC">
      <w:pPr>
        <w:numPr>
          <w:ilvl w:val="0"/>
          <w:numId w:val="5"/>
        </w:numPr>
        <w:tabs>
          <w:tab w:val="left" w:pos="420"/>
          <w:tab w:val="clear" w:pos="312"/>
        </w:tabs>
        <w:autoSpaceDE w:val="0"/>
        <w:autoSpaceDN w:val="0"/>
        <w:adjustRightInd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投标人报价明显低于其他通过符合性审查投标人报价的，有可能影响产品质量或者不能诚信履约的，评标委员会可以要求其在规定的时间内提供书面说明，必要时提交相关证明材料；投标人不能证明其报价合理性的，评标委员会有权将其作为无效投标处理。</w:t>
      </w:r>
    </w:p>
    <w:p w14:paraId="77515441">
      <w:pPr>
        <w:numPr>
          <w:ilvl w:val="0"/>
          <w:numId w:val="5"/>
        </w:numPr>
        <w:tabs>
          <w:tab w:val="left" w:pos="420"/>
          <w:tab w:val="clear" w:pos="312"/>
        </w:tabs>
        <w:autoSpaceDE w:val="0"/>
        <w:autoSpaceDN w:val="0"/>
        <w:adjustRightInd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投标报价不得超过采购预算（如有最高限价则不得超出最高限价）。</w:t>
      </w:r>
    </w:p>
    <w:p w14:paraId="061A3E4C">
      <w:pPr>
        <w:numPr>
          <w:ilvl w:val="0"/>
          <w:numId w:val="4"/>
        </w:numPr>
        <w:tabs>
          <w:tab w:val="left" w:pos="0"/>
        </w:tabs>
        <w:autoSpaceDE w:val="0"/>
        <w:autoSpaceDN w:val="0"/>
        <w:adjustRightInd w:val="0"/>
        <w:spacing w:line="360" w:lineRule="auto"/>
        <w:rPr>
          <w:rFonts w:ascii="宋体" w:hAnsi="宋体" w:cs="宋体"/>
          <w:b/>
          <w:bCs/>
          <w:color w:val="000000" w:themeColor="text1"/>
          <w:kern w:val="0"/>
          <w:sz w:val="24"/>
          <w:lang w:val="zh-CN"/>
          <w14:textFill>
            <w14:solidFill>
              <w14:schemeClr w14:val="tx1"/>
            </w14:solidFill>
          </w14:textFill>
        </w:rPr>
      </w:pPr>
      <w:r>
        <w:rPr>
          <w:rFonts w:hint="eastAsia" w:ascii="宋体" w:hAnsi="宋体" w:cs="宋体"/>
          <w:b/>
          <w:bCs/>
          <w:color w:val="000000" w:themeColor="text1"/>
          <w:kern w:val="0"/>
          <w:sz w:val="24"/>
          <w:lang w:val="zh-CN"/>
          <w14:textFill>
            <w14:solidFill>
              <w14:schemeClr w14:val="tx1"/>
            </w14:solidFill>
          </w14:textFill>
        </w:rPr>
        <w:t>★</w:t>
      </w:r>
      <w:r>
        <w:rPr>
          <w:rFonts w:hint="eastAsia" w:ascii="宋体" w:hAnsi="宋体" w:cs="宋体"/>
          <w:b/>
          <w:bCs/>
          <w:color w:val="000000" w:themeColor="text1"/>
          <w:kern w:val="0"/>
          <w:sz w:val="24"/>
          <w14:textFill>
            <w14:solidFill>
              <w14:schemeClr w14:val="tx1"/>
            </w14:solidFill>
          </w14:textFill>
        </w:rPr>
        <w:t>进</w:t>
      </w:r>
      <w:r>
        <w:rPr>
          <w:rFonts w:hint="eastAsia" w:ascii="宋体" w:hAnsi="宋体" w:cs="宋体"/>
          <w:b/>
          <w:bCs/>
          <w:color w:val="000000" w:themeColor="text1"/>
          <w:kern w:val="0"/>
          <w:sz w:val="24"/>
          <w:lang w:val="zh-CN"/>
          <w14:textFill>
            <w14:solidFill>
              <w14:schemeClr w14:val="tx1"/>
            </w14:solidFill>
          </w14:textFill>
        </w:rPr>
        <w:t>口产品必须提供原厂有效授权</w:t>
      </w:r>
      <w:r>
        <w:rPr>
          <w:rFonts w:hint="eastAsia" w:ascii="宋体" w:hAnsi="宋体" w:cs="宋体"/>
          <w:b/>
          <w:bCs/>
          <w:color w:val="000000" w:themeColor="text1"/>
          <w:kern w:val="0"/>
          <w:sz w:val="24"/>
          <w14:textFill>
            <w14:solidFill>
              <w14:schemeClr w14:val="tx1"/>
            </w14:solidFill>
          </w14:textFill>
        </w:rPr>
        <w:t>书</w:t>
      </w:r>
    </w:p>
    <w:p w14:paraId="37D4A6AD">
      <w:pPr>
        <w:numPr>
          <w:ilvl w:val="0"/>
          <w:numId w:val="4"/>
        </w:numPr>
        <w:tabs>
          <w:tab w:val="left" w:pos="0"/>
        </w:tabs>
        <w:autoSpaceDE w:val="0"/>
        <w:autoSpaceDN w:val="0"/>
        <w:adjustRightInd w:val="0"/>
        <w:spacing w:line="360" w:lineRule="auto"/>
        <w:rPr>
          <w:rFonts w:ascii="宋体" w:hAnsi="宋体" w:cs="宋体"/>
          <w:b/>
          <w:bCs/>
          <w:color w:val="000000" w:themeColor="text1"/>
          <w:kern w:val="0"/>
          <w:sz w:val="24"/>
          <w:lang w:val="zh-CN"/>
          <w14:textFill>
            <w14:solidFill>
              <w14:schemeClr w14:val="tx1"/>
            </w14:solidFill>
          </w14:textFill>
        </w:rPr>
      </w:pPr>
      <w:r>
        <w:rPr>
          <w:rFonts w:hint="eastAsia" w:ascii="宋体" w:hAnsi="宋体" w:cs="宋体"/>
          <w:b/>
          <w:bCs/>
          <w:color w:val="000000" w:themeColor="text1"/>
          <w:kern w:val="0"/>
          <w:sz w:val="24"/>
          <w:lang w:val="zh-CN"/>
          <w14:textFill>
            <w14:solidFill>
              <w14:schemeClr w14:val="tx1"/>
            </w14:solidFill>
          </w14:textFill>
        </w:rPr>
        <w:t>★付款方式：</w:t>
      </w:r>
    </w:p>
    <w:p w14:paraId="61BDC378">
      <w:pPr>
        <w:tabs>
          <w:tab w:val="left" w:pos="0"/>
        </w:tabs>
        <w:autoSpaceDE w:val="0"/>
        <w:autoSpaceDN w:val="0"/>
        <w:adjustRightInd w:val="0"/>
        <w:spacing w:line="360" w:lineRule="auto"/>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对于国产产品，100%凭用户代表签字并加盖单位公章后的验收报告支付；</w:t>
      </w:r>
    </w:p>
    <w:p w14:paraId="4800C1B6">
      <w:pPr>
        <w:tabs>
          <w:tab w:val="left" w:pos="0"/>
        </w:tabs>
        <w:autoSpaceDE w:val="0"/>
        <w:autoSpaceDN w:val="0"/>
        <w:adjustRightInd w:val="0"/>
        <w:spacing w:line="360" w:lineRule="auto"/>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对于进口产品，采用即期不可撤销信用证等国际贸易支付条件支付：</w:t>
      </w:r>
    </w:p>
    <w:p w14:paraId="60144B44">
      <w:pPr>
        <w:tabs>
          <w:tab w:val="left" w:pos="0"/>
        </w:tabs>
        <w:autoSpaceDE w:val="0"/>
        <w:autoSpaceDN w:val="0"/>
        <w:adjustRightInd w:val="0"/>
        <w:spacing w:line="360" w:lineRule="auto"/>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      90%凭合同要求单据支付；</w:t>
      </w:r>
    </w:p>
    <w:p w14:paraId="2F57970F">
      <w:pPr>
        <w:tabs>
          <w:tab w:val="left" w:pos="0"/>
        </w:tabs>
        <w:autoSpaceDE w:val="0"/>
        <w:autoSpaceDN w:val="0"/>
        <w:adjustRightInd w:val="0"/>
        <w:spacing w:line="360" w:lineRule="auto"/>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      10%凭用户代表签字并加盖单位公章后的验收报告支付。</w:t>
      </w:r>
    </w:p>
    <w:p w14:paraId="4E4AF6C3">
      <w:pPr>
        <w:numPr>
          <w:ilvl w:val="0"/>
          <w:numId w:val="4"/>
        </w:numPr>
        <w:tabs>
          <w:tab w:val="left" w:pos="0"/>
        </w:tabs>
        <w:autoSpaceDE w:val="0"/>
        <w:autoSpaceDN w:val="0"/>
        <w:adjustRightInd w:val="0"/>
        <w:spacing w:line="360" w:lineRule="auto"/>
        <w:rPr>
          <w:rFonts w:ascii="宋体" w:hAnsi="宋体" w:cs="宋体"/>
          <w:b/>
          <w:bCs/>
          <w:color w:val="000000" w:themeColor="text1"/>
          <w:kern w:val="0"/>
          <w:sz w:val="24"/>
          <w:lang w:val="zh-CN"/>
          <w14:textFill>
            <w14:solidFill>
              <w14:schemeClr w14:val="tx1"/>
            </w14:solidFill>
          </w14:textFill>
        </w:rPr>
      </w:pPr>
      <w:r>
        <w:rPr>
          <w:rFonts w:hint="eastAsia" w:ascii="宋体" w:hAnsi="宋体" w:cs="宋体"/>
          <w:b/>
          <w:bCs/>
          <w:color w:val="000000" w:themeColor="text1"/>
          <w:kern w:val="0"/>
          <w:sz w:val="24"/>
          <w:lang w:val="zh-CN"/>
          <w14:textFill>
            <w14:solidFill>
              <w14:schemeClr w14:val="tx1"/>
            </w14:solidFill>
          </w14:textFill>
        </w:rPr>
        <w:t>质保</w:t>
      </w:r>
      <w:r>
        <w:rPr>
          <w:rFonts w:hint="eastAsia" w:ascii="宋体" w:hAnsi="宋体" w:cs="宋体"/>
          <w:b/>
          <w:bCs/>
          <w:color w:val="000000" w:themeColor="text1"/>
          <w:kern w:val="0"/>
          <w:sz w:val="24"/>
          <w14:textFill>
            <w14:solidFill>
              <w14:schemeClr w14:val="tx1"/>
            </w14:solidFill>
          </w14:textFill>
        </w:rPr>
        <w:t>及</w:t>
      </w:r>
      <w:r>
        <w:rPr>
          <w:rFonts w:hint="eastAsia" w:ascii="宋体" w:hAnsi="宋体" w:cs="宋体"/>
          <w:b/>
          <w:bCs/>
          <w:color w:val="000000" w:themeColor="text1"/>
          <w:kern w:val="0"/>
          <w:sz w:val="24"/>
          <w:lang w:val="zh-CN"/>
          <w14:textFill>
            <w14:solidFill>
              <w14:schemeClr w14:val="tx1"/>
            </w14:solidFill>
          </w14:textFill>
        </w:rPr>
        <w:t>售后服务</w:t>
      </w:r>
      <w:r>
        <w:rPr>
          <w:rFonts w:hint="eastAsia" w:ascii="宋体" w:hAnsi="宋体" w:cs="宋体"/>
          <w:b/>
          <w:bCs/>
          <w:color w:val="000000" w:themeColor="text1"/>
          <w:kern w:val="0"/>
          <w:sz w:val="24"/>
          <w14:textFill>
            <w14:solidFill>
              <w14:schemeClr w14:val="tx1"/>
            </w14:solidFill>
          </w14:textFill>
        </w:rPr>
        <w:t>要求</w:t>
      </w:r>
      <w:r>
        <w:rPr>
          <w:rFonts w:hint="eastAsia" w:ascii="宋体" w:hAnsi="宋体" w:cs="宋体"/>
          <w:b/>
          <w:bCs/>
          <w:color w:val="000000" w:themeColor="text1"/>
          <w:kern w:val="0"/>
          <w:sz w:val="24"/>
          <w:lang w:val="zh-CN"/>
          <w14:textFill>
            <w14:solidFill>
              <w14:schemeClr w14:val="tx1"/>
            </w14:solidFill>
          </w14:textFill>
        </w:rPr>
        <w:t>：</w:t>
      </w:r>
    </w:p>
    <w:p w14:paraId="2CE9684A">
      <w:pPr>
        <w:widowControl/>
        <w:numPr>
          <w:ilvl w:val="0"/>
          <w:numId w:val="6"/>
        </w:numPr>
        <w:tabs>
          <w:tab w:val="left" w:pos="420"/>
          <w:tab w:val="clear" w:pos="1500"/>
        </w:tabs>
        <w:spacing w:before="156" w:beforeLines="50" w:line="360" w:lineRule="auto"/>
        <w:ind w:left="42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投标人需为本项目配备足够的售后服务力量，具有国内本地化的服务团队。</w:t>
      </w:r>
    </w:p>
    <w:p w14:paraId="1152A35F">
      <w:pPr>
        <w:widowControl/>
        <w:numPr>
          <w:ilvl w:val="0"/>
          <w:numId w:val="6"/>
        </w:numPr>
        <w:tabs>
          <w:tab w:val="left" w:pos="420"/>
          <w:tab w:val="clear" w:pos="1500"/>
        </w:tabs>
        <w:spacing w:before="156" w:beforeLines="50" w:line="360" w:lineRule="auto"/>
        <w:ind w:left="42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投标人售后服务响应时间：电话响应时间要求8小时内，到场响应时间要求2个工作日内（指从接到报障至到达故障现场的时间）。</w:t>
      </w:r>
    </w:p>
    <w:p w14:paraId="2A5227BD">
      <w:pPr>
        <w:widowControl/>
        <w:numPr>
          <w:ilvl w:val="0"/>
          <w:numId w:val="6"/>
        </w:numPr>
        <w:tabs>
          <w:tab w:val="left" w:pos="420"/>
          <w:tab w:val="clear" w:pos="1500"/>
        </w:tabs>
        <w:spacing w:before="156" w:beforeLines="50" w:line="360" w:lineRule="auto"/>
        <w:ind w:left="42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投标人免费提供技术支持热线电话，满足24小时热线服务。</w:t>
      </w:r>
    </w:p>
    <w:p w14:paraId="2CCB484A">
      <w:pPr>
        <w:widowControl/>
        <w:numPr>
          <w:ilvl w:val="0"/>
          <w:numId w:val="6"/>
        </w:numPr>
        <w:tabs>
          <w:tab w:val="left" w:pos="420"/>
          <w:tab w:val="clear" w:pos="1500"/>
        </w:tabs>
        <w:spacing w:before="156" w:beforeLines="50" w:line="360" w:lineRule="auto"/>
        <w:ind w:left="42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投标人免费提供email技术支持，并且在24小时内回复。</w:t>
      </w:r>
    </w:p>
    <w:p w14:paraId="0DA1156E">
      <w:pPr>
        <w:widowControl/>
        <w:numPr>
          <w:ilvl w:val="0"/>
          <w:numId w:val="6"/>
        </w:numPr>
        <w:tabs>
          <w:tab w:val="left" w:pos="420"/>
          <w:tab w:val="clear" w:pos="1500"/>
        </w:tabs>
        <w:spacing w:before="156" w:beforeLines="50" w:line="360" w:lineRule="auto"/>
        <w:ind w:left="420"/>
        <w:jc w:val="left"/>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kern w:val="0"/>
          <w:sz w:val="24"/>
          <w:lang w:val="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投标人提供仪器设备的免费保修期</w:t>
      </w:r>
      <w:r>
        <w:rPr>
          <w:rFonts w:hint="eastAsia" w:ascii="宋体" w:hAnsi="宋体" w:cs="宋体"/>
          <w:color w:val="000000" w:themeColor="text1"/>
          <w:sz w:val="24"/>
          <w:lang w:val="en-US" w:eastAsia="zh-CN"/>
          <w14:textFill>
            <w14:solidFill>
              <w14:schemeClr w14:val="tx1"/>
            </w14:solidFill>
          </w14:textFill>
        </w:rPr>
        <w:t>3</w:t>
      </w:r>
      <w:r>
        <w:rPr>
          <w:rFonts w:hint="eastAsia" w:ascii="宋体" w:hAnsi="宋体" w:cs="宋体"/>
          <w:color w:val="000000" w:themeColor="text1"/>
          <w:sz w:val="24"/>
          <w14:textFill>
            <w14:solidFill>
              <w14:schemeClr w14:val="tx1"/>
            </w14:solidFill>
          </w14:textFill>
        </w:rPr>
        <w:t>年（保修期内免费维修并更换除消耗品以外的零部件，维修人员的路费、食宿等自理）。</w:t>
      </w:r>
    </w:p>
    <w:p w14:paraId="77BFC891">
      <w:pPr>
        <w:widowControl/>
        <w:numPr>
          <w:ilvl w:val="0"/>
          <w:numId w:val="6"/>
        </w:numPr>
        <w:tabs>
          <w:tab w:val="left" w:pos="420"/>
          <w:tab w:val="clear" w:pos="1500"/>
        </w:tabs>
        <w:spacing w:before="156" w:beforeLines="50" w:line="360" w:lineRule="auto"/>
        <w:ind w:left="42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投标人提供该设备的技术使用说明书及外购配件仪器说明书，并指导在使用该设备时的操作注意事项等。</w:t>
      </w:r>
    </w:p>
    <w:p w14:paraId="137E57F1">
      <w:pPr>
        <w:widowControl/>
        <w:numPr>
          <w:ilvl w:val="0"/>
          <w:numId w:val="6"/>
        </w:numPr>
        <w:tabs>
          <w:tab w:val="left" w:pos="420"/>
          <w:tab w:val="clear" w:pos="1500"/>
        </w:tabs>
        <w:spacing w:before="156" w:beforeLines="50" w:line="360" w:lineRule="auto"/>
        <w:ind w:left="420"/>
        <w:jc w:val="left"/>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kern w:val="0"/>
          <w:sz w:val="24"/>
          <w:lang w:val="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投标人提供配套软件三年内免费升级服务。</w:t>
      </w:r>
    </w:p>
    <w:p w14:paraId="7100765D">
      <w:pPr>
        <w:widowControl/>
        <w:numPr>
          <w:ilvl w:val="0"/>
          <w:numId w:val="6"/>
        </w:numPr>
        <w:tabs>
          <w:tab w:val="left" w:pos="420"/>
          <w:tab w:val="clear" w:pos="1500"/>
        </w:tabs>
        <w:spacing w:before="156" w:beforeLines="50" w:line="360" w:lineRule="auto"/>
        <w:ind w:left="420"/>
        <w:jc w:val="left"/>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kern w:val="0"/>
          <w:sz w:val="24"/>
          <w:lang w:val="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投标人提供设备二次搬运（含保险）服务。</w:t>
      </w:r>
    </w:p>
    <w:p w14:paraId="39C9C85E">
      <w:pPr>
        <w:pStyle w:val="7"/>
        <w:spacing w:line="360" w:lineRule="auto"/>
        <w:ind w:firstLine="480"/>
        <w:rPr>
          <w:rFonts w:ascii="宋体" w:hAnsi="宋体" w:cs="宋体"/>
          <w:color w:val="000000" w:themeColor="text1"/>
          <w:sz w:val="24"/>
          <w:lang w:val="zh-CN"/>
          <w14:textFill>
            <w14:solidFill>
              <w14:schemeClr w14:val="tx1"/>
            </w14:solidFill>
          </w14:textFill>
        </w:rPr>
      </w:pPr>
    </w:p>
    <w:p w14:paraId="0D189E49">
      <w:pPr>
        <w:widowControl/>
        <w:numPr>
          <w:ilvl w:val="0"/>
          <w:numId w:val="4"/>
        </w:numPr>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培训要求：</w:t>
      </w:r>
    </w:p>
    <w:p w14:paraId="047D0BB9">
      <w:pPr>
        <w:widowControl/>
        <w:numPr>
          <w:ilvl w:val="0"/>
          <w:numId w:val="7"/>
        </w:numPr>
        <w:tabs>
          <w:tab w:val="clear" w:pos="1500"/>
        </w:tabs>
        <w:spacing w:before="156" w:beforeLines="50" w:line="360" w:lineRule="auto"/>
        <w:ind w:left="42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为保证投标人所提供的仪器设备安全、可靠运行，便于采购人的运行维护，必须对采购人培训合格的维护和管理人员。</w:t>
      </w:r>
    </w:p>
    <w:p w14:paraId="4C376A55">
      <w:pPr>
        <w:widowControl/>
        <w:numPr>
          <w:ilvl w:val="0"/>
          <w:numId w:val="7"/>
        </w:numPr>
        <w:tabs>
          <w:tab w:val="clear" w:pos="1500"/>
        </w:tabs>
        <w:spacing w:before="156" w:beforeLines="50" w:line="360" w:lineRule="auto"/>
        <w:ind w:left="42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投标人负责对采购人提供至少一次现场技术培训，以便工作人员在培训后能熟练地掌握系统的维护工作，并能及时排除大部分的系统障碍。</w:t>
      </w:r>
    </w:p>
    <w:p w14:paraId="04F72C94">
      <w:pPr>
        <w:widowControl/>
        <w:numPr>
          <w:ilvl w:val="0"/>
          <w:numId w:val="7"/>
        </w:numPr>
        <w:tabs>
          <w:tab w:val="clear" w:pos="1500"/>
        </w:tabs>
        <w:spacing w:before="156" w:beforeLines="50" w:line="360" w:lineRule="auto"/>
        <w:ind w:left="42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至少一次厂家工程师到采购人现场免费培训；培训至采购人可以熟练操作为止。</w:t>
      </w:r>
    </w:p>
    <w:p w14:paraId="1975DA3F">
      <w:pPr>
        <w:numPr>
          <w:ilvl w:val="0"/>
          <w:numId w:val="4"/>
        </w:numPr>
        <w:tabs>
          <w:tab w:val="left" w:pos="420"/>
        </w:tabs>
        <w:autoSpaceDE w:val="0"/>
        <w:autoSpaceDN w:val="0"/>
        <w:adjustRightInd w:val="0"/>
        <w:spacing w:line="360" w:lineRule="auto"/>
        <w:rPr>
          <w:rFonts w:ascii="宋体" w:hAnsi="宋体" w:cs="宋体"/>
          <w:b/>
          <w:bCs/>
          <w:color w:val="000000" w:themeColor="text1"/>
          <w:kern w:val="0"/>
          <w:sz w:val="24"/>
          <w:lang w:val="zh-CN"/>
          <w14:textFill>
            <w14:solidFill>
              <w14:schemeClr w14:val="tx1"/>
            </w14:solidFill>
          </w14:textFill>
        </w:rPr>
      </w:pPr>
      <w:r>
        <w:rPr>
          <w:rFonts w:hint="eastAsia" w:ascii="宋体" w:hAnsi="宋体" w:cs="宋体"/>
          <w:b/>
          <w:bCs/>
          <w:color w:val="000000" w:themeColor="text1"/>
          <w:kern w:val="0"/>
          <w:sz w:val="24"/>
          <w:lang w:val="zh-CN"/>
          <w14:textFill>
            <w14:solidFill>
              <w14:schemeClr w14:val="tx1"/>
            </w14:solidFill>
          </w14:textFill>
        </w:rPr>
        <w:t>运输及包装方式的要求</w:t>
      </w:r>
    </w:p>
    <w:p w14:paraId="59426A5E">
      <w:pPr>
        <w:autoSpaceDE w:val="0"/>
        <w:autoSpaceDN w:val="0"/>
        <w:adjustRightInd w:val="0"/>
        <w:spacing w:line="360" w:lineRule="auto"/>
        <w:ind w:firstLine="480" w:firstLineChars="200"/>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设备的包装、运输由投标人负责，应使用崭新坚固的包装（标准包装），适合于空运、或陆运等长途运输方式；适合气候变化；投标人应对任何由于不当包装或防护措施不利而导致的商品损坏、损失、费用增长等后果负责。</w:t>
      </w:r>
    </w:p>
    <w:p w14:paraId="63F77CED">
      <w:pPr>
        <w:numPr>
          <w:ilvl w:val="0"/>
          <w:numId w:val="4"/>
        </w:numPr>
        <w:tabs>
          <w:tab w:val="left" w:pos="420"/>
        </w:tabs>
        <w:autoSpaceDE w:val="0"/>
        <w:autoSpaceDN w:val="0"/>
        <w:adjustRightInd w:val="0"/>
        <w:spacing w:line="360" w:lineRule="auto"/>
        <w:rPr>
          <w:rFonts w:ascii="宋体" w:hAnsi="宋体" w:cs="宋体"/>
          <w:b/>
          <w:bCs/>
          <w:color w:val="000000" w:themeColor="text1"/>
          <w:kern w:val="0"/>
          <w:sz w:val="24"/>
          <w:lang w:val="zh-CN"/>
          <w14:textFill>
            <w14:solidFill>
              <w14:schemeClr w14:val="tx1"/>
            </w14:solidFill>
          </w14:textFill>
        </w:rPr>
      </w:pPr>
      <w:r>
        <w:rPr>
          <w:rFonts w:hint="eastAsia" w:ascii="宋体" w:hAnsi="宋体" w:cs="宋体"/>
          <w:b/>
          <w:bCs/>
          <w:color w:val="000000" w:themeColor="text1"/>
          <w:kern w:val="0"/>
          <w:sz w:val="24"/>
          <w:lang w:val="zh-CN"/>
          <w14:textFill>
            <w14:solidFill>
              <w14:schemeClr w14:val="tx1"/>
            </w14:solidFill>
          </w14:textFill>
        </w:rPr>
        <w:t>安装、调试及验收：</w:t>
      </w:r>
    </w:p>
    <w:p w14:paraId="288075B4">
      <w:pPr>
        <w:pStyle w:val="7"/>
        <w:numPr>
          <w:ilvl w:val="0"/>
          <w:numId w:val="8"/>
        </w:numPr>
        <w:spacing w:line="360" w:lineRule="auto"/>
        <w:ind w:left="845" w:firstLineChars="0"/>
        <w:rPr>
          <w:rFonts w:ascii="宋体" w:hAnsi="宋体" w:cs="宋体"/>
          <w:bCs/>
          <w:color w:val="000000" w:themeColor="text1"/>
          <w:kern w:val="0"/>
          <w:sz w:val="24"/>
          <w:lang w:val="zh-CN"/>
          <w14:textFill>
            <w14:solidFill>
              <w14:schemeClr w14:val="tx1"/>
            </w14:solidFill>
          </w14:textFill>
        </w:rPr>
      </w:pPr>
      <w:r>
        <w:rPr>
          <w:rFonts w:hint="eastAsia" w:ascii="宋体" w:hAnsi="宋体" w:cs="宋体"/>
          <w:bCs/>
          <w:color w:val="000000" w:themeColor="text1"/>
          <w:kern w:val="0"/>
          <w:sz w:val="24"/>
          <w14:textFill>
            <w14:solidFill>
              <w14:schemeClr w14:val="tx1"/>
            </w14:solidFill>
          </w14:textFill>
        </w:rPr>
        <w:t>合同签订后15天内，中标人应</w:t>
      </w:r>
      <w:r>
        <w:rPr>
          <w:rFonts w:hint="eastAsia" w:ascii="宋体" w:hAnsi="宋体" w:cs="宋体"/>
          <w:bCs/>
          <w:color w:val="000000" w:themeColor="text1"/>
          <w:kern w:val="0"/>
          <w:sz w:val="24"/>
          <w:lang w:val="zh-CN"/>
          <w14:textFill>
            <w14:solidFill>
              <w14:schemeClr w14:val="tx1"/>
            </w14:solidFill>
          </w14:textFill>
        </w:rPr>
        <w:t>提供</w:t>
      </w:r>
      <w:r>
        <w:rPr>
          <w:rFonts w:hint="eastAsia" w:ascii="宋体" w:hAnsi="宋体" w:cs="宋体"/>
          <w:color w:val="000000" w:themeColor="text1"/>
          <w:sz w:val="24"/>
          <w14:textFill>
            <w14:solidFill>
              <w14:schemeClr w14:val="tx1"/>
            </w14:solidFill>
          </w14:textFill>
        </w:rPr>
        <w:t>仪器安装前对实验室的具体安装</w:t>
      </w:r>
      <w:r>
        <w:rPr>
          <w:rFonts w:hint="eastAsia" w:ascii="宋体" w:hAnsi="宋体" w:cs="宋体"/>
          <w:bCs/>
          <w:color w:val="000000" w:themeColor="text1"/>
          <w:kern w:val="0"/>
          <w:sz w:val="24"/>
          <w:lang w:val="zh-CN"/>
          <w14:textFill>
            <w14:solidFill>
              <w14:schemeClr w14:val="tx1"/>
            </w14:solidFill>
          </w14:textFill>
        </w:rPr>
        <w:t>条件</w:t>
      </w:r>
      <w:r>
        <w:rPr>
          <w:rFonts w:hint="eastAsia" w:ascii="宋体" w:hAnsi="宋体" w:cs="宋体"/>
          <w:color w:val="000000" w:themeColor="text1"/>
          <w:sz w:val="24"/>
          <w14:textFill>
            <w14:solidFill>
              <w14:schemeClr w14:val="tx1"/>
            </w14:solidFill>
          </w14:textFill>
        </w:rPr>
        <w:t>要求</w:t>
      </w:r>
      <w:r>
        <w:rPr>
          <w:rFonts w:hint="eastAsia" w:ascii="宋体" w:hAnsi="宋体" w:cs="宋体"/>
          <w:bCs/>
          <w:color w:val="000000" w:themeColor="text1"/>
          <w:kern w:val="0"/>
          <w:sz w:val="24"/>
          <w:lang w:val="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除了在技术规格中提出的要求外，在合同生效后60天之内，为使用户作好准备工作，卖方应给最终用户邮寄一套所供产品的全套技术资料，其中包括操作手册（或应用指南）、维修手册等，另一套完整技术资料应随货物包装发运，这些费用应已包括在该品目的基本报价中。</w:t>
      </w:r>
    </w:p>
    <w:p w14:paraId="6330398E">
      <w:pPr>
        <w:pStyle w:val="7"/>
        <w:numPr>
          <w:ilvl w:val="0"/>
          <w:numId w:val="8"/>
        </w:numPr>
        <w:spacing w:line="360" w:lineRule="auto"/>
        <w:ind w:left="845" w:firstLineChars="0"/>
        <w:rPr>
          <w:rFonts w:ascii="宋体" w:hAnsi="宋体" w:cs="宋体"/>
          <w:bCs/>
          <w:color w:val="000000" w:themeColor="text1"/>
          <w:kern w:val="0"/>
          <w:sz w:val="24"/>
          <w:lang w:val="zh-CN"/>
          <w14:textFill>
            <w14:solidFill>
              <w14:schemeClr w14:val="tx1"/>
            </w14:solidFill>
          </w14:textFill>
        </w:rPr>
      </w:pPr>
      <w:r>
        <w:rPr>
          <w:rFonts w:hint="eastAsia" w:ascii="宋体" w:hAnsi="宋体" w:cs="宋体"/>
          <w:bCs/>
          <w:color w:val="000000" w:themeColor="text1"/>
          <w:kern w:val="0"/>
          <w:sz w:val="24"/>
          <w:lang w:val="zh-CN"/>
          <w14:textFill>
            <w14:solidFill>
              <w14:schemeClr w14:val="tx1"/>
            </w14:solidFill>
          </w14:textFill>
        </w:rPr>
        <w:t xml:space="preserve">仪器设备运抵安装现场后，采购人将与中标人共同开箱验收, 如中标人届时不派人来, 则验收结果应以采购人和当地商检人员的验收报告为最终验收结果。验收时发现短缺、破损, 采购人有权要求中标人立即补发和负责更换。 </w:t>
      </w:r>
    </w:p>
    <w:p w14:paraId="4C1CDB25">
      <w:pPr>
        <w:pStyle w:val="7"/>
        <w:numPr>
          <w:ilvl w:val="0"/>
          <w:numId w:val="8"/>
        </w:numPr>
        <w:spacing w:line="360" w:lineRule="auto"/>
        <w:ind w:left="845" w:firstLineChars="0"/>
        <w:rPr>
          <w:rFonts w:ascii="宋体" w:hAnsi="宋体" w:cs="宋体"/>
          <w:bCs/>
          <w:color w:val="000000" w:themeColor="text1"/>
          <w:kern w:val="0"/>
          <w:sz w:val="24"/>
          <w:lang w:val="zh-CN"/>
          <w14:textFill>
            <w14:solidFill>
              <w14:schemeClr w14:val="tx1"/>
            </w14:solidFill>
          </w14:textFill>
        </w:rPr>
      </w:pPr>
      <w:r>
        <w:rPr>
          <w:rFonts w:hint="eastAsia" w:ascii="宋体" w:hAnsi="宋体" w:cs="宋体"/>
          <w:bCs/>
          <w:color w:val="000000" w:themeColor="text1"/>
          <w:kern w:val="0"/>
          <w:sz w:val="24"/>
          <w:lang w:val="zh-CN"/>
          <w14:textFill>
            <w14:solidFill>
              <w14:schemeClr w14:val="tx1"/>
            </w14:solidFill>
          </w14:textFill>
        </w:rPr>
        <w:t xml:space="preserve">中标人应提出仪器设备测试的内容、项目、指标和方法,中标人有责任对采购人的技术人员提出的问题作出解答。测试应进行详细记录, 仪器设备测试结束后, 由中标人技术人员签字后交给采购人验收。 </w:t>
      </w:r>
    </w:p>
    <w:p w14:paraId="0A0FFD20">
      <w:pPr>
        <w:pStyle w:val="7"/>
        <w:numPr>
          <w:ilvl w:val="0"/>
          <w:numId w:val="8"/>
        </w:numPr>
        <w:spacing w:line="360" w:lineRule="auto"/>
        <w:ind w:left="845" w:firstLineChars="0"/>
        <w:rPr>
          <w:rFonts w:ascii="宋体" w:hAnsi="宋体" w:cs="宋体"/>
          <w:color w:val="000000" w:themeColor="text1"/>
          <w:sz w:val="24"/>
          <w:lang w:val="zh-CN"/>
          <w14:textFill>
            <w14:solidFill>
              <w14:schemeClr w14:val="tx1"/>
            </w14:solidFill>
          </w14:textFill>
        </w:rPr>
      </w:pPr>
      <w:r>
        <w:rPr>
          <w:rFonts w:hint="eastAsia" w:ascii="宋体" w:hAnsi="宋体" w:cs="宋体"/>
          <w:bCs/>
          <w:color w:val="000000" w:themeColor="text1"/>
          <w:kern w:val="0"/>
          <w:sz w:val="24"/>
          <w:lang w:val="zh-CN"/>
          <w14:textFill>
            <w14:solidFill>
              <w14:schemeClr w14:val="tx1"/>
            </w14:solidFill>
          </w14:textFill>
        </w:rPr>
        <w:t xml:space="preserve">保修期自最终安装验收合格后开始，保修期内中标人要保修除消耗品以外的所有部件。在保修期内，如果仪器设备发生故障，中标人要调查故障原因并修复直至满足最终验收指标和性能的要求，或者更换整个或部分有缺陷的材料。以上都应是免费的。  </w:t>
      </w:r>
    </w:p>
    <w:p w14:paraId="226E7092">
      <w:pPr>
        <w:numPr>
          <w:ilvl w:val="0"/>
          <w:numId w:val="4"/>
        </w:numPr>
        <w:tabs>
          <w:tab w:val="left" w:pos="420"/>
        </w:tabs>
        <w:autoSpaceDE w:val="0"/>
        <w:autoSpaceDN w:val="0"/>
        <w:adjustRightInd w:val="0"/>
        <w:spacing w:line="360" w:lineRule="auto"/>
        <w:rPr>
          <w:rFonts w:ascii="宋体" w:hAnsi="宋体" w:cs="宋体"/>
          <w:b/>
          <w:bCs/>
          <w:color w:val="000000" w:themeColor="text1"/>
          <w:kern w:val="0"/>
          <w:sz w:val="24"/>
          <w:lang w:val="zh-CN"/>
          <w14:textFill>
            <w14:solidFill>
              <w14:schemeClr w14:val="tx1"/>
            </w14:solidFill>
          </w14:textFill>
        </w:rPr>
      </w:pPr>
      <w:r>
        <w:rPr>
          <w:rFonts w:hint="eastAsia" w:ascii="宋体" w:hAnsi="宋体" w:cs="宋体"/>
          <w:b/>
          <w:bCs/>
          <w:color w:val="000000" w:themeColor="text1"/>
          <w:kern w:val="0"/>
          <w:sz w:val="24"/>
          <w:lang w:val="zh-CN"/>
          <w14:textFill>
            <w14:solidFill>
              <w14:schemeClr w14:val="tx1"/>
            </w14:solidFill>
          </w14:textFill>
        </w:rPr>
        <w:t>质量及知识产权要求</w:t>
      </w:r>
    </w:p>
    <w:p w14:paraId="01E15082">
      <w:pPr>
        <w:numPr>
          <w:ilvl w:val="0"/>
          <w:numId w:val="9"/>
        </w:numPr>
        <w:tabs>
          <w:tab w:val="left" w:pos="426"/>
          <w:tab w:val="left" w:pos="851"/>
        </w:tabs>
        <w:autoSpaceDE w:val="0"/>
        <w:autoSpaceDN w:val="0"/>
        <w:adjustRightInd w:val="0"/>
        <w:spacing w:line="360" w:lineRule="auto"/>
        <w:jc w:val="left"/>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投标人提供完好、全新的原包装产品（包括零配件），随机技术资料齐全。产品符合国家质量检测标准，必须具有生产日期、厂名、厂址、产品合格证等。进口产品须提供海关进货单（复印件备查）。</w:t>
      </w:r>
    </w:p>
    <w:p w14:paraId="3BDA38EF">
      <w:pPr>
        <w:numPr>
          <w:ilvl w:val="0"/>
          <w:numId w:val="9"/>
        </w:numPr>
        <w:tabs>
          <w:tab w:val="left" w:pos="426"/>
          <w:tab w:val="left" w:pos="851"/>
        </w:tabs>
        <w:autoSpaceDE w:val="0"/>
        <w:autoSpaceDN w:val="0"/>
        <w:adjustRightInd w:val="0"/>
        <w:spacing w:line="360" w:lineRule="auto"/>
        <w:jc w:val="left"/>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采购人在中国使用该货物或货物的任何一部分时，免受第三方提出的侵犯其专利权、商标权或工业设计权等知识产权的起诉或司法干预。如果发生上述起诉或干预，则其法律责任均由投标人负责。</w:t>
      </w:r>
    </w:p>
    <w:p w14:paraId="48C50161"/>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FangSong_GB2312">
    <w:altName w:val="仿宋"/>
    <w:panose1 w:val="02010609030101010101"/>
    <w:charset w:val="86"/>
    <w:family w:val="modern"/>
    <w:pitch w:val="default"/>
    <w:sig w:usb0="00000000" w:usb1="00000000" w:usb2="00000010" w:usb3="00000000" w:csb0="00040001" w:csb1="00000000"/>
  </w:font>
  <w:font w:name="Bookman Old Style">
    <w:panose1 w:val="02050604050505020204"/>
    <w:charset w:val="00"/>
    <w:family w:val="roman"/>
    <w:pitch w:val="default"/>
    <w:sig w:usb0="00000287" w:usb1="00000000" w:usb2="00000000" w:usb3="00000000" w:csb0="2000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4986757"/>
    <w:multiLevelType w:val="singleLevel"/>
    <w:tmpl w:val="04986757"/>
    <w:lvl w:ilvl="0" w:tentative="0">
      <w:start w:val="1"/>
      <w:numFmt w:val="decimal"/>
      <w:lvlText w:val="%1)"/>
      <w:lvlJc w:val="left"/>
      <w:pPr>
        <w:ind w:left="425" w:hanging="425"/>
      </w:pPr>
      <w:rPr>
        <w:rFonts w:hint="default"/>
      </w:rPr>
    </w:lvl>
  </w:abstractNum>
  <w:abstractNum w:abstractNumId="1">
    <w:nsid w:val="0635599B"/>
    <w:multiLevelType w:val="singleLevel"/>
    <w:tmpl w:val="0635599B"/>
    <w:lvl w:ilvl="0" w:tentative="0">
      <w:start w:val="1"/>
      <w:numFmt w:val="decimal"/>
      <w:lvlText w:val="%1)"/>
      <w:lvlJc w:val="left"/>
      <w:pPr>
        <w:tabs>
          <w:tab w:val="left" w:pos="312"/>
        </w:tabs>
      </w:pPr>
    </w:lvl>
  </w:abstractNum>
  <w:abstractNum w:abstractNumId="2">
    <w:nsid w:val="58340A20"/>
    <w:multiLevelType w:val="multilevel"/>
    <w:tmpl w:val="58340A20"/>
    <w:lvl w:ilvl="0" w:tentative="0">
      <w:start w:val="1"/>
      <w:numFmt w:val="decimal"/>
      <w:lvlText w:val="%1)"/>
      <w:lvlJc w:val="left"/>
      <w:pPr>
        <w:tabs>
          <w:tab w:val="left" w:pos="1500"/>
        </w:tabs>
        <w:ind w:left="1500" w:hanging="420"/>
      </w:pPr>
    </w:lvl>
    <w:lvl w:ilvl="1" w:tentative="0">
      <w:start w:val="1"/>
      <w:numFmt w:val="decimal"/>
      <w:lvlText w:val="%2."/>
      <w:lvlJc w:val="left"/>
      <w:pPr>
        <w:tabs>
          <w:tab w:val="left" w:pos="1920"/>
        </w:tabs>
        <w:ind w:left="1920" w:hanging="420"/>
      </w:pPr>
    </w:lvl>
    <w:lvl w:ilvl="2" w:tentative="0">
      <w:start w:val="7"/>
      <w:numFmt w:val="decimal"/>
      <w:lvlText w:val="%3、"/>
      <w:lvlJc w:val="left"/>
      <w:pPr>
        <w:tabs>
          <w:tab w:val="left" w:pos="360"/>
        </w:tabs>
        <w:ind w:left="360" w:hanging="360"/>
      </w:pPr>
      <w:rPr>
        <w:rFonts w:hint="default" w:hAnsi="宋体"/>
      </w:rPr>
    </w:lvl>
    <w:lvl w:ilvl="3" w:tentative="0">
      <w:start w:val="1"/>
      <w:numFmt w:val="decimal"/>
      <w:lvlText w:val="%4)"/>
      <w:lvlJc w:val="left"/>
      <w:pPr>
        <w:tabs>
          <w:tab w:val="left" w:pos="2760"/>
        </w:tabs>
        <w:ind w:left="2760" w:hanging="420"/>
      </w:pPr>
    </w:lvl>
    <w:lvl w:ilvl="4" w:tentative="0">
      <w:start w:val="8"/>
      <w:numFmt w:val="decimal"/>
      <w:lvlText w:val="%5"/>
      <w:lvlJc w:val="left"/>
      <w:pPr>
        <w:tabs>
          <w:tab w:val="left" w:pos="3120"/>
        </w:tabs>
        <w:ind w:left="3120" w:hanging="360"/>
      </w:pPr>
      <w:rPr>
        <w:rFonts w:hint="default" w:hAnsi="宋体" w:eastAsia="宋体"/>
      </w:rPr>
    </w:lvl>
    <w:lvl w:ilvl="5" w:tentative="0">
      <w:start w:val="4"/>
      <w:numFmt w:val="japaneseCounting"/>
      <w:lvlText w:val="%6、"/>
      <w:lvlJc w:val="left"/>
      <w:pPr>
        <w:ind w:left="3600" w:hanging="420"/>
      </w:pPr>
      <w:rPr>
        <w:rFonts w:hint="default"/>
      </w:rPr>
    </w:lvl>
    <w:lvl w:ilvl="6" w:tentative="0">
      <w:start w:val="1"/>
      <w:numFmt w:val="decimal"/>
      <w:lvlText w:val="%7."/>
      <w:lvlJc w:val="left"/>
      <w:pPr>
        <w:tabs>
          <w:tab w:val="left" w:pos="4020"/>
        </w:tabs>
        <w:ind w:left="4020" w:hanging="420"/>
      </w:pPr>
    </w:lvl>
    <w:lvl w:ilvl="7" w:tentative="0">
      <w:start w:val="1"/>
      <w:numFmt w:val="lowerLetter"/>
      <w:lvlText w:val="%8)"/>
      <w:lvlJc w:val="left"/>
      <w:pPr>
        <w:tabs>
          <w:tab w:val="left" w:pos="4440"/>
        </w:tabs>
        <w:ind w:left="4440" w:hanging="420"/>
      </w:pPr>
    </w:lvl>
    <w:lvl w:ilvl="8" w:tentative="0">
      <w:start w:val="1"/>
      <w:numFmt w:val="lowerRoman"/>
      <w:lvlText w:val="%9."/>
      <w:lvlJc w:val="right"/>
      <w:pPr>
        <w:tabs>
          <w:tab w:val="left" w:pos="4860"/>
        </w:tabs>
        <w:ind w:left="4860" w:hanging="420"/>
      </w:pPr>
    </w:lvl>
  </w:abstractNum>
  <w:abstractNum w:abstractNumId="3">
    <w:nsid w:val="68F84946"/>
    <w:multiLevelType w:val="multilevel"/>
    <w:tmpl w:val="68F84946"/>
    <w:lvl w:ilvl="0" w:tentative="0">
      <w:start w:val="1"/>
      <w:numFmt w:val="decimal"/>
      <w:lvlText w:val="%1）"/>
      <w:lvlJc w:val="left"/>
      <w:pPr>
        <w:tabs>
          <w:tab w:val="left" w:pos="1896"/>
        </w:tabs>
        <w:ind w:left="1896" w:hanging="396"/>
      </w:pPr>
      <w:rPr>
        <w:rFonts w:hint="eastAsia" w:eastAsia="FangSong_GB2312"/>
        <w:b w:val="0"/>
        <w:i w:val="0"/>
        <w:color w:val="auto"/>
      </w:rPr>
    </w:lvl>
    <w:lvl w:ilvl="1" w:tentative="0">
      <w:start w:val="8"/>
      <w:numFmt w:val="japaneseCounting"/>
      <w:lvlText w:val="第%2章"/>
      <w:lvlJc w:val="left"/>
      <w:pPr>
        <w:tabs>
          <w:tab w:val="left" w:pos="1935"/>
        </w:tabs>
        <w:ind w:left="1935" w:hanging="1515"/>
      </w:pPr>
      <w:rPr>
        <w:rFonts w:hint="default"/>
      </w:rPr>
    </w:lvl>
    <w:lvl w:ilvl="2" w:tentative="0">
      <w:start w:val="1"/>
      <w:numFmt w:val="japaneseCounting"/>
      <w:lvlText w:val="%3、"/>
      <w:lvlJc w:val="left"/>
      <w:pPr>
        <w:tabs>
          <w:tab w:val="left" w:pos="1560"/>
        </w:tabs>
        <w:ind w:left="1560" w:hanging="72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6E2E2083"/>
    <w:multiLevelType w:val="multilevel"/>
    <w:tmpl w:val="6E2E2083"/>
    <w:lvl w:ilvl="0" w:tentative="0">
      <w:start w:val="1"/>
      <w:numFmt w:val="decimal"/>
      <w:lvlText w:val="%1)"/>
      <w:lvlJc w:val="left"/>
      <w:pPr>
        <w:tabs>
          <w:tab w:val="left" w:pos="1500"/>
        </w:tabs>
        <w:ind w:left="1500" w:hanging="420"/>
      </w:pPr>
    </w:lvl>
    <w:lvl w:ilvl="1" w:tentative="0">
      <w:start w:val="1"/>
      <w:numFmt w:val="lowerLetter"/>
      <w:lvlText w:val="%2)"/>
      <w:lvlJc w:val="left"/>
      <w:pPr>
        <w:tabs>
          <w:tab w:val="left" w:pos="1920"/>
        </w:tabs>
        <w:ind w:left="1920" w:hanging="420"/>
      </w:pPr>
    </w:lvl>
    <w:lvl w:ilvl="2" w:tentative="0">
      <w:start w:val="1"/>
      <w:numFmt w:val="lowerRoman"/>
      <w:lvlText w:val="%3."/>
      <w:lvlJc w:val="right"/>
      <w:pPr>
        <w:tabs>
          <w:tab w:val="left" w:pos="2340"/>
        </w:tabs>
        <w:ind w:left="2340" w:hanging="420"/>
      </w:pPr>
    </w:lvl>
    <w:lvl w:ilvl="3" w:tentative="0">
      <w:start w:val="1"/>
      <w:numFmt w:val="decimal"/>
      <w:lvlText w:val="%4."/>
      <w:lvlJc w:val="left"/>
      <w:pPr>
        <w:tabs>
          <w:tab w:val="left" w:pos="2760"/>
        </w:tabs>
        <w:ind w:left="2760" w:hanging="420"/>
      </w:pPr>
    </w:lvl>
    <w:lvl w:ilvl="4" w:tentative="0">
      <w:start w:val="1"/>
      <w:numFmt w:val="lowerLetter"/>
      <w:lvlText w:val="%5)"/>
      <w:lvlJc w:val="left"/>
      <w:pPr>
        <w:tabs>
          <w:tab w:val="left" w:pos="3180"/>
        </w:tabs>
        <w:ind w:left="3180" w:hanging="420"/>
      </w:pPr>
    </w:lvl>
    <w:lvl w:ilvl="5" w:tentative="0">
      <w:start w:val="1"/>
      <w:numFmt w:val="lowerRoman"/>
      <w:lvlText w:val="%6."/>
      <w:lvlJc w:val="right"/>
      <w:pPr>
        <w:tabs>
          <w:tab w:val="left" w:pos="3600"/>
        </w:tabs>
        <w:ind w:left="3600" w:hanging="420"/>
      </w:pPr>
    </w:lvl>
    <w:lvl w:ilvl="6" w:tentative="0">
      <w:start w:val="1"/>
      <w:numFmt w:val="decimal"/>
      <w:lvlText w:val="%7."/>
      <w:lvlJc w:val="left"/>
      <w:pPr>
        <w:tabs>
          <w:tab w:val="left" w:pos="4020"/>
        </w:tabs>
        <w:ind w:left="4020" w:hanging="420"/>
      </w:pPr>
    </w:lvl>
    <w:lvl w:ilvl="7" w:tentative="0">
      <w:start w:val="1"/>
      <w:numFmt w:val="lowerLetter"/>
      <w:lvlText w:val="%8)"/>
      <w:lvlJc w:val="left"/>
      <w:pPr>
        <w:tabs>
          <w:tab w:val="left" w:pos="4440"/>
        </w:tabs>
        <w:ind w:left="4440" w:hanging="420"/>
      </w:pPr>
    </w:lvl>
    <w:lvl w:ilvl="8" w:tentative="0">
      <w:start w:val="1"/>
      <w:numFmt w:val="lowerRoman"/>
      <w:lvlText w:val="%9."/>
      <w:lvlJc w:val="right"/>
      <w:pPr>
        <w:tabs>
          <w:tab w:val="left" w:pos="4860"/>
        </w:tabs>
        <w:ind w:left="4860" w:hanging="420"/>
      </w:pPr>
    </w:lvl>
  </w:abstractNum>
  <w:abstractNum w:abstractNumId="5">
    <w:nsid w:val="70816618"/>
    <w:multiLevelType w:val="multilevel"/>
    <w:tmpl w:val="7081661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77960C54"/>
    <w:multiLevelType w:val="multilevel"/>
    <w:tmpl w:val="77960C54"/>
    <w:lvl w:ilvl="0" w:tentative="0">
      <w:start w:val="1"/>
      <w:numFmt w:val="chineseCounting"/>
      <w:lvlText w:val="%1、"/>
      <w:lvlJc w:val="left"/>
      <w:pPr>
        <w:ind w:left="1047" w:hanging="420"/>
      </w:pPr>
      <w:rPr>
        <w:rFonts w:hint="eastAsia"/>
      </w:rPr>
    </w:lvl>
    <w:lvl w:ilvl="1" w:tentative="0">
      <w:start w:val="1"/>
      <w:numFmt w:val="lowerLetter"/>
      <w:lvlText w:val="%2)"/>
      <w:lvlJc w:val="left"/>
      <w:pPr>
        <w:ind w:left="1467" w:hanging="420"/>
      </w:pPr>
    </w:lvl>
    <w:lvl w:ilvl="2" w:tentative="0">
      <w:start w:val="1"/>
      <w:numFmt w:val="lowerRoman"/>
      <w:lvlText w:val="%3."/>
      <w:lvlJc w:val="right"/>
      <w:pPr>
        <w:ind w:left="1887" w:hanging="420"/>
      </w:pPr>
    </w:lvl>
    <w:lvl w:ilvl="3" w:tentative="0">
      <w:start w:val="1"/>
      <w:numFmt w:val="decimal"/>
      <w:lvlText w:val="%4."/>
      <w:lvlJc w:val="left"/>
      <w:pPr>
        <w:ind w:left="2307" w:hanging="420"/>
      </w:pPr>
    </w:lvl>
    <w:lvl w:ilvl="4" w:tentative="0">
      <w:start w:val="1"/>
      <w:numFmt w:val="lowerLetter"/>
      <w:lvlText w:val="%5)"/>
      <w:lvlJc w:val="left"/>
      <w:pPr>
        <w:ind w:left="2727" w:hanging="420"/>
      </w:pPr>
    </w:lvl>
    <w:lvl w:ilvl="5" w:tentative="0">
      <w:start w:val="1"/>
      <w:numFmt w:val="lowerRoman"/>
      <w:lvlText w:val="%6."/>
      <w:lvlJc w:val="right"/>
      <w:pPr>
        <w:ind w:left="3147" w:hanging="420"/>
      </w:pPr>
    </w:lvl>
    <w:lvl w:ilvl="6" w:tentative="0">
      <w:start w:val="1"/>
      <w:numFmt w:val="decimal"/>
      <w:lvlText w:val="%7."/>
      <w:lvlJc w:val="left"/>
      <w:pPr>
        <w:ind w:left="3567" w:hanging="420"/>
      </w:pPr>
    </w:lvl>
    <w:lvl w:ilvl="7" w:tentative="0">
      <w:start w:val="1"/>
      <w:numFmt w:val="lowerLetter"/>
      <w:lvlText w:val="%8)"/>
      <w:lvlJc w:val="left"/>
      <w:pPr>
        <w:ind w:left="3987" w:hanging="420"/>
      </w:pPr>
    </w:lvl>
    <w:lvl w:ilvl="8" w:tentative="0">
      <w:start w:val="1"/>
      <w:numFmt w:val="lowerRoman"/>
      <w:lvlText w:val="%9."/>
      <w:lvlJc w:val="right"/>
      <w:pPr>
        <w:ind w:left="4407" w:hanging="420"/>
      </w:pPr>
    </w:lvl>
  </w:abstractNum>
  <w:abstractNum w:abstractNumId="7">
    <w:nsid w:val="79AE48BB"/>
    <w:multiLevelType w:val="multilevel"/>
    <w:tmpl w:val="79AE48BB"/>
    <w:lvl w:ilvl="0" w:tentative="0">
      <w:start w:val="1"/>
      <w:numFmt w:val="decimal"/>
      <w:lvlText w:val="%1、"/>
      <w:lvlJc w:val="left"/>
      <w:pPr>
        <w:ind w:left="360" w:hanging="360"/>
      </w:pPr>
      <w:rPr>
        <w:rFonts w:hint="default" w:ascii="宋体" w:hAnsi="宋体" w:cs="宋体"/>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8">
    <w:nsid w:val="7AE1256C"/>
    <w:multiLevelType w:val="singleLevel"/>
    <w:tmpl w:val="7AE1256C"/>
    <w:lvl w:ilvl="0" w:tentative="0">
      <w:start w:val="1"/>
      <w:numFmt w:val="decimal"/>
      <w:lvlText w:val="%1."/>
      <w:lvlJc w:val="left"/>
      <w:pPr>
        <w:ind w:left="425" w:hanging="425"/>
      </w:pPr>
      <w:rPr>
        <w:rFonts w:hint="default"/>
        <w:b/>
        <w:bCs/>
      </w:rPr>
    </w:lvl>
  </w:abstractNum>
  <w:num w:numId="1">
    <w:abstractNumId w:val="3"/>
  </w:num>
  <w:num w:numId="2">
    <w:abstractNumId w:val="7"/>
  </w:num>
  <w:num w:numId="3">
    <w:abstractNumId w:val="6"/>
  </w:num>
  <w:num w:numId="4">
    <w:abstractNumId w:val="8"/>
  </w:num>
  <w:num w:numId="5">
    <w:abstractNumId w:val="1"/>
  </w:num>
  <w:num w:numId="6">
    <w:abstractNumId w:val="2"/>
  </w:num>
  <w:num w:numId="7">
    <w:abstractNumId w:val="4"/>
  </w:num>
  <w:num w:numId="8">
    <w:abstractNumId w:val="0"/>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B712F55"/>
    <w:rsid w:val="2B712F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99"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9">
    <w:name w:val="Default Paragraph Font"/>
    <w:semiHidden/>
    <w:uiPriority w:val="0"/>
  </w:style>
  <w:style w:type="table" w:default="1" w:styleId="8">
    <w:name w:val="Normal Table"/>
    <w:semiHidden/>
    <w:uiPriority w:val="0"/>
    <w:tblPr>
      <w:tblCellMar>
        <w:top w:w="0" w:type="dxa"/>
        <w:left w:w="108" w:type="dxa"/>
        <w:bottom w:w="0" w:type="dxa"/>
        <w:right w:w="108" w:type="dxa"/>
      </w:tblCellMar>
    </w:tblPr>
  </w:style>
  <w:style w:type="paragraph" w:styleId="2">
    <w:name w:val="Body Text"/>
    <w:basedOn w:val="1"/>
    <w:qFormat/>
    <w:uiPriority w:val="99"/>
    <w:pPr>
      <w:tabs>
        <w:tab w:val="left" w:pos="567"/>
      </w:tabs>
      <w:spacing w:before="120" w:line="22" w:lineRule="atLeast"/>
    </w:pPr>
    <w:rPr>
      <w:rFonts w:ascii="宋体" w:hAnsi="宋体"/>
      <w:sz w:val="24"/>
    </w:rPr>
  </w:style>
  <w:style w:type="paragraph" w:styleId="3">
    <w:name w:val="Body Text Indent"/>
    <w:basedOn w:val="1"/>
    <w:next w:val="4"/>
    <w:qFormat/>
    <w:uiPriority w:val="99"/>
    <w:pPr>
      <w:spacing w:after="120"/>
      <w:ind w:left="420" w:leftChars="200"/>
    </w:pPr>
  </w:style>
  <w:style w:type="paragraph" w:styleId="4">
    <w:name w:val="envelope return"/>
    <w:basedOn w:val="1"/>
    <w:qFormat/>
    <w:uiPriority w:val="99"/>
    <w:pPr>
      <w:snapToGrid w:val="0"/>
    </w:pPr>
    <w:rPr>
      <w:rFonts w:ascii="Arial" w:hAnsi="Arial"/>
    </w:rPr>
  </w:style>
  <w:style w:type="paragraph" w:styleId="5">
    <w:name w:val="Plain Text"/>
    <w:basedOn w:val="1"/>
    <w:qFormat/>
    <w:uiPriority w:val="0"/>
    <w:rPr>
      <w:rFonts w:ascii="宋体" w:hAnsi="Courier New"/>
      <w:szCs w:val="20"/>
    </w:rPr>
  </w:style>
  <w:style w:type="paragraph" w:styleId="6">
    <w:name w:val="Title"/>
    <w:basedOn w:val="1"/>
    <w:next w:val="1"/>
    <w:qFormat/>
    <w:uiPriority w:val="0"/>
    <w:pPr>
      <w:jc w:val="center"/>
    </w:pPr>
    <w:rPr>
      <w:sz w:val="30"/>
    </w:rPr>
  </w:style>
  <w:style w:type="paragraph" w:styleId="7">
    <w:name w:val="Body Text First Indent 2"/>
    <w:basedOn w:val="3"/>
    <w:qFormat/>
    <w:uiPriority w:val="99"/>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0</Words>
  <Characters>0</Characters>
  <Lines>0</Lines>
  <Paragraphs>0</Paragraphs>
  <TotalTime>0</TotalTime>
  <ScaleCrop>false</ScaleCrop>
  <LinksUpToDate>false</LinksUpToDate>
  <CharactersWithSpaces>0</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2025-06-06T15:04:00Z</dcterms:created>
  <dc:creator>东方招标</dc:creator>
  <cp:lastModifiedBy>东方招标</cp:lastModifiedBy>
  <dcterms:modified xsi:type="dcterms:W3CDTF">2025-06-06T15:05:55Z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D630F1CCE2044FB8B17EDAC70E9FFA19_11</vt:lpwstr>
  </property>
  <property fmtid="{D5CDD505-2E9C-101B-9397-08002B2CF9AE}" pid="4" name="KSOTemplateDocerSaveRecord">
    <vt:lpwstr>eyJoZGlkIjoiM2M5ZGIyMzIxOTdkOTkyYzNmZGFhY2ZhMTY2YWVmNmUiLCJ1c2VySWQiOiIyMDE2OTM2MTEifQ==</vt:lpwstr>
  </property>
</Properties>
</file>