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EC57969">
      <w:pPr>
        <w:bidi w:val="0"/>
        <w:jc w:val="center"/>
        <w:rPr>
          <w:rFonts w:hint="eastAsia"/>
          <w:lang w:eastAsia="zh-CN"/>
        </w:rPr>
      </w:pPr>
    </w:p>
    <w:p w14:paraId="0F220E9D">
      <w:pPr>
        <w:widowControl/>
        <w:shd w:val="clear" w:color="auto" w:fill="FFFFFF"/>
        <w:adjustRightInd w:val="0"/>
        <w:snapToGrid w:val="0"/>
        <w:jc w:val="center"/>
        <w:outlineLvl w:val="9"/>
        <w:rPr>
          <w:rFonts w:hint="eastAsia" w:ascii="华文中宋" w:hAnsi="华文中宋" w:eastAsia="华文中宋" w:cs="华文中宋"/>
          <w:b/>
          <w:bCs w:val="0"/>
          <w:color w:val="auto"/>
          <w:kern w:val="0"/>
          <w:sz w:val="96"/>
          <w:szCs w:val="96"/>
        </w:rPr>
      </w:pPr>
    </w:p>
    <w:p w14:paraId="249E916A">
      <w:pPr>
        <w:widowControl/>
        <w:shd w:val="clear" w:color="auto" w:fill="FFFFFF"/>
        <w:adjustRightInd w:val="0"/>
        <w:snapToGrid w:val="0"/>
        <w:spacing w:line="360" w:lineRule="auto"/>
        <w:jc w:val="center"/>
        <w:outlineLvl w:val="9"/>
        <w:rPr>
          <w:rFonts w:hint="eastAsia" w:ascii="华文中宋" w:hAnsi="华文中宋" w:eastAsia="华文中宋" w:cs="华文中宋"/>
          <w:b/>
          <w:bCs w:val="0"/>
          <w:color w:val="auto"/>
          <w:kern w:val="0"/>
          <w:sz w:val="96"/>
          <w:szCs w:val="96"/>
        </w:rPr>
      </w:pPr>
      <w:r>
        <w:rPr>
          <w:rFonts w:hint="eastAsia" w:ascii="华文中宋" w:hAnsi="华文中宋" w:eastAsia="华文中宋" w:cs="华文中宋"/>
          <w:b/>
          <w:bCs w:val="0"/>
          <w:color w:val="auto"/>
          <w:kern w:val="0"/>
          <w:sz w:val="96"/>
          <w:szCs w:val="96"/>
        </w:rPr>
        <w:t>竞</w:t>
      </w:r>
      <w:r>
        <w:rPr>
          <w:rFonts w:hint="eastAsia" w:ascii="华文中宋" w:hAnsi="华文中宋" w:eastAsia="华文中宋" w:cs="华文中宋"/>
          <w:b/>
          <w:bCs w:val="0"/>
          <w:color w:val="auto"/>
          <w:kern w:val="0"/>
          <w:sz w:val="96"/>
          <w:szCs w:val="96"/>
          <w:lang w:val="en-US" w:eastAsia="zh-CN"/>
        </w:rPr>
        <w:t xml:space="preserve"> </w:t>
      </w:r>
      <w:r>
        <w:rPr>
          <w:rFonts w:hint="eastAsia" w:ascii="华文中宋" w:hAnsi="华文中宋" w:eastAsia="华文中宋" w:cs="华文中宋"/>
          <w:b/>
          <w:bCs w:val="0"/>
          <w:color w:val="auto"/>
          <w:kern w:val="0"/>
          <w:sz w:val="96"/>
          <w:szCs w:val="96"/>
        </w:rPr>
        <w:t>争</w:t>
      </w:r>
      <w:r>
        <w:rPr>
          <w:rFonts w:hint="eastAsia" w:ascii="华文中宋" w:hAnsi="华文中宋" w:eastAsia="华文中宋" w:cs="华文中宋"/>
          <w:b/>
          <w:bCs w:val="0"/>
          <w:color w:val="auto"/>
          <w:kern w:val="0"/>
          <w:sz w:val="96"/>
          <w:szCs w:val="96"/>
          <w:lang w:val="en-US" w:eastAsia="zh-CN"/>
        </w:rPr>
        <w:t xml:space="preserve"> </w:t>
      </w:r>
      <w:r>
        <w:rPr>
          <w:rFonts w:hint="eastAsia" w:ascii="华文中宋" w:hAnsi="华文中宋" w:eastAsia="华文中宋" w:cs="华文中宋"/>
          <w:b/>
          <w:bCs w:val="0"/>
          <w:color w:val="auto"/>
          <w:kern w:val="0"/>
          <w:sz w:val="96"/>
          <w:szCs w:val="96"/>
        </w:rPr>
        <w:t>性</w:t>
      </w:r>
      <w:r>
        <w:rPr>
          <w:rFonts w:hint="eastAsia" w:ascii="华文中宋" w:hAnsi="华文中宋" w:eastAsia="华文中宋" w:cs="华文中宋"/>
          <w:b/>
          <w:bCs w:val="0"/>
          <w:color w:val="auto"/>
          <w:kern w:val="0"/>
          <w:sz w:val="96"/>
          <w:szCs w:val="96"/>
          <w:lang w:val="en-US" w:eastAsia="zh-CN"/>
        </w:rPr>
        <w:t xml:space="preserve"> </w:t>
      </w:r>
      <w:r>
        <w:rPr>
          <w:rFonts w:hint="eastAsia" w:ascii="华文中宋" w:hAnsi="华文中宋" w:eastAsia="华文中宋" w:cs="华文中宋"/>
          <w:b/>
          <w:bCs w:val="0"/>
          <w:color w:val="auto"/>
          <w:kern w:val="0"/>
          <w:sz w:val="96"/>
          <w:szCs w:val="96"/>
        </w:rPr>
        <w:t>磋</w:t>
      </w:r>
      <w:r>
        <w:rPr>
          <w:rFonts w:hint="eastAsia" w:ascii="华文中宋" w:hAnsi="华文中宋" w:eastAsia="华文中宋" w:cs="华文中宋"/>
          <w:b/>
          <w:bCs w:val="0"/>
          <w:color w:val="auto"/>
          <w:kern w:val="0"/>
          <w:sz w:val="96"/>
          <w:szCs w:val="96"/>
          <w:lang w:val="en-US" w:eastAsia="zh-CN"/>
        </w:rPr>
        <w:t xml:space="preserve"> </w:t>
      </w:r>
      <w:r>
        <w:rPr>
          <w:rFonts w:hint="eastAsia" w:ascii="华文中宋" w:hAnsi="华文中宋" w:eastAsia="华文中宋" w:cs="华文中宋"/>
          <w:b/>
          <w:bCs w:val="0"/>
          <w:color w:val="auto"/>
          <w:kern w:val="0"/>
          <w:sz w:val="96"/>
          <w:szCs w:val="96"/>
        </w:rPr>
        <w:t>商</w:t>
      </w:r>
    </w:p>
    <w:p w14:paraId="44335F9E">
      <w:pPr>
        <w:widowControl/>
        <w:shd w:val="clear" w:color="auto" w:fill="FFFFFF"/>
        <w:adjustRightInd w:val="0"/>
        <w:snapToGrid w:val="0"/>
        <w:spacing w:line="360" w:lineRule="auto"/>
        <w:jc w:val="center"/>
        <w:outlineLvl w:val="9"/>
        <w:rPr>
          <w:rFonts w:hint="eastAsia" w:ascii="方正大标宋简体" w:hAnsi="宋体" w:eastAsia="华文中宋" w:cs="宋体"/>
          <w:b/>
          <w:bCs w:val="0"/>
          <w:color w:val="auto"/>
          <w:kern w:val="0"/>
          <w:sz w:val="144"/>
          <w:szCs w:val="144"/>
          <w:lang w:val="en-US" w:eastAsia="zh-CN"/>
        </w:rPr>
      </w:pPr>
      <w:r>
        <w:rPr>
          <w:rFonts w:hint="eastAsia" w:ascii="华文中宋" w:hAnsi="华文中宋" w:eastAsia="华文中宋" w:cs="华文中宋"/>
          <w:b/>
          <w:bCs w:val="0"/>
          <w:color w:val="auto"/>
          <w:kern w:val="0"/>
          <w:sz w:val="96"/>
          <w:szCs w:val="96"/>
          <w:lang w:eastAsia="zh-CN"/>
        </w:rPr>
        <w:t>采购文件</w:t>
      </w:r>
    </w:p>
    <w:p w14:paraId="4FBD691B">
      <w:pPr>
        <w:bidi w:val="0"/>
      </w:pPr>
    </w:p>
    <w:p w14:paraId="171FA747">
      <w:pPr>
        <w:bidi w:val="0"/>
        <w:rPr>
          <w:rFonts w:hint="eastAsia"/>
        </w:rPr>
      </w:pPr>
    </w:p>
    <w:p w14:paraId="0871439F">
      <w:pPr>
        <w:bidi w:val="0"/>
        <w:rPr>
          <w:rFonts w:hint="eastAsia"/>
        </w:rPr>
      </w:pPr>
    </w:p>
    <w:p w14:paraId="65DED574">
      <w:pPr>
        <w:bidi w:val="0"/>
        <w:rPr>
          <w:rFonts w:hint="eastAsia"/>
        </w:rPr>
      </w:pPr>
    </w:p>
    <w:p w14:paraId="2E76E47E">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2319" w:leftChars="0" w:hanging="2319" w:hangingChars="700"/>
        <w:jc w:val="left"/>
        <w:textAlignment w:val="auto"/>
        <w:outlineLvl w:val="9"/>
        <w:rPr>
          <w:rFonts w:ascii="宋体" w:hAnsi="宋体" w:cs="宋体"/>
          <w:b/>
          <w:bCs/>
          <w:color w:val="auto"/>
          <w:kern w:val="0"/>
          <w:sz w:val="33"/>
          <w:szCs w:val="33"/>
          <w:u w:val="single"/>
        </w:rPr>
      </w:pPr>
      <w:r>
        <w:rPr>
          <w:rFonts w:hint="eastAsia" w:ascii="宋体" w:hAnsi="宋体" w:cs="宋体"/>
          <w:b/>
          <w:bCs/>
          <w:color w:val="auto"/>
          <w:kern w:val="0"/>
          <w:sz w:val="33"/>
          <w:szCs w:val="33"/>
        </w:rPr>
        <w:t>采购项目名称：</w:t>
      </w:r>
      <w:r>
        <w:rPr>
          <w:rFonts w:hint="eastAsia" w:ascii="宋体" w:hAnsi="宋体" w:cs="宋体"/>
          <w:b/>
          <w:bCs/>
          <w:color w:val="auto"/>
          <w:sz w:val="33"/>
          <w:szCs w:val="33"/>
          <w:u w:val="single"/>
          <w:shd w:val="clear" w:color="auto" w:fill="FFFFFF"/>
          <w:lang w:eastAsia="zh-CN"/>
        </w:rPr>
        <w:t>临澧县职业中专学校食堂大宗食材采购供应商选定项目</w:t>
      </w:r>
      <w:r>
        <w:rPr>
          <w:rFonts w:hint="eastAsia" w:ascii="宋体" w:hAnsi="宋体" w:cs="宋体"/>
          <w:b/>
          <w:bCs/>
          <w:color w:val="auto"/>
          <w:kern w:val="0"/>
          <w:sz w:val="33"/>
          <w:szCs w:val="33"/>
          <w:u w:val="single"/>
        </w:rPr>
        <w:t xml:space="preserve">                      </w:t>
      </w:r>
      <w:r>
        <w:rPr>
          <w:rFonts w:hint="eastAsia" w:ascii="宋体" w:hAnsi="宋体" w:cs="宋体"/>
          <w:b/>
          <w:bCs/>
          <w:color w:val="auto"/>
          <w:kern w:val="0"/>
          <w:sz w:val="33"/>
          <w:szCs w:val="33"/>
          <w:u w:val="single"/>
          <w:lang w:val="en-US" w:eastAsia="zh-CN"/>
        </w:rPr>
        <w:t xml:space="preserve">      </w:t>
      </w:r>
      <w:r>
        <w:rPr>
          <w:rFonts w:hint="eastAsia" w:ascii="宋体" w:hAnsi="宋体" w:cs="宋体"/>
          <w:b/>
          <w:bCs/>
          <w:color w:val="auto"/>
          <w:kern w:val="0"/>
          <w:sz w:val="33"/>
          <w:szCs w:val="33"/>
          <w:u w:val="single"/>
        </w:rPr>
        <w:t xml:space="preserve">   </w:t>
      </w:r>
    </w:p>
    <w:p w14:paraId="4B10EC5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1816" w:hanging="2140" w:hangingChars="646"/>
        <w:jc w:val="left"/>
        <w:textAlignment w:val="auto"/>
        <w:outlineLvl w:val="9"/>
        <w:rPr>
          <w:rFonts w:ascii="宋体" w:hAnsi="宋体" w:cs="宋体"/>
          <w:b/>
          <w:bCs/>
          <w:color w:val="auto"/>
          <w:kern w:val="0"/>
          <w:sz w:val="33"/>
          <w:szCs w:val="33"/>
          <w:u w:val="single"/>
        </w:rPr>
      </w:pPr>
      <w:r>
        <w:rPr>
          <w:rFonts w:hint="eastAsia" w:ascii="宋体" w:hAnsi="宋体" w:cs="宋体"/>
          <w:b/>
          <w:bCs/>
          <w:color w:val="auto"/>
          <w:kern w:val="0"/>
          <w:sz w:val="33"/>
          <w:szCs w:val="33"/>
          <w:lang w:eastAsia="zh-CN"/>
        </w:rPr>
        <w:t>采购计划编号</w:t>
      </w:r>
      <w:r>
        <w:rPr>
          <w:rFonts w:hint="eastAsia" w:ascii="宋体" w:hAnsi="宋体" w:cs="宋体"/>
          <w:b/>
          <w:bCs/>
          <w:color w:val="auto"/>
          <w:kern w:val="0"/>
          <w:sz w:val="33"/>
          <w:szCs w:val="33"/>
        </w:rPr>
        <w:t>：</w:t>
      </w:r>
      <w:r>
        <w:rPr>
          <w:rFonts w:hint="eastAsia" w:ascii="宋体" w:hAnsi="宋体" w:cs="宋体"/>
          <w:b/>
          <w:bCs/>
          <w:color w:val="auto"/>
          <w:kern w:val="0"/>
          <w:sz w:val="33"/>
          <w:szCs w:val="33"/>
          <w:u w:val="single"/>
          <w:lang w:eastAsia="zh-CN"/>
        </w:rPr>
        <w:t>CDZYZB2024-C-46</w:t>
      </w:r>
      <w:r>
        <w:rPr>
          <w:rFonts w:hint="eastAsia" w:ascii="宋体" w:hAnsi="宋体" w:cs="宋体"/>
          <w:b/>
          <w:bCs/>
          <w:color w:val="auto"/>
          <w:kern w:val="0"/>
          <w:sz w:val="33"/>
          <w:szCs w:val="33"/>
          <w:u w:val="single"/>
        </w:rPr>
        <w:t xml:space="preserve">                                 </w:t>
      </w:r>
    </w:p>
    <w:p w14:paraId="22DFC85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微软雅黑" w:hAnsi="微软雅黑" w:eastAsia="微软雅黑" w:cs="微软雅黑"/>
          <w:b/>
          <w:bCs/>
          <w:color w:val="auto"/>
          <w:kern w:val="0"/>
          <w:sz w:val="33"/>
          <w:szCs w:val="33"/>
          <w:u w:val="single"/>
        </w:rPr>
      </w:pPr>
      <w:r>
        <w:rPr>
          <w:rFonts w:hint="eastAsia" w:ascii="宋体" w:hAnsi="宋体" w:cs="宋体"/>
          <w:b/>
          <w:bCs/>
          <w:color w:val="auto"/>
          <w:kern w:val="0"/>
          <w:sz w:val="33"/>
          <w:szCs w:val="33"/>
          <w:lang w:eastAsia="zh-CN"/>
        </w:rPr>
        <w:t>采购代理机构</w:t>
      </w:r>
      <w:r>
        <w:rPr>
          <w:rFonts w:hint="eastAsia" w:ascii="宋体" w:hAnsi="宋体" w:cs="宋体"/>
          <w:b/>
          <w:bCs/>
          <w:color w:val="auto"/>
          <w:kern w:val="0"/>
          <w:sz w:val="33"/>
          <w:szCs w:val="33"/>
        </w:rPr>
        <w:t>：</w:t>
      </w:r>
      <w:r>
        <w:rPr>
          <w:rFonts w:hint="eastAsia" w:ascii="宋体" w:hAnsi="宋体" w:cs="宋体"/>
          <w:b/>
          <w:bCs/>
          <w:color w:val="auto"/>
          <w:kern w:val="0"/>
          <w:sz w:val="33"/>
          <w:szCs w:val="33"/>
          <w:u w:val="single"/>
          <w:lang w:eastAsia="zh-CN"/>
        </w:rPr>
        <w:t>常德众益项目管理咨询有限公司</w:t>
      </w:r>
      <w:r>
        <w:rPr>
          <w:rFonts w:hint="eastAsia" w:ascii="宋体" w:hAnsi="宋体" w:cs="宋体"/>
          <w:b/>
          <w:bCs/>
          <w:color w:val="auto"/>
          <w:kern w:val="0"/>
          <w:sz w:val="33"/>
          <w:szCs w:val="33"/>
          <w:u w:val="single"/>
        </w:rPr>
        <w:t xml:space="preserve">                             </w:t>
      </w:r>
    </w:p>
    <w:p w14:paraId="50203D1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b/>
          <w:bCs/>
          <w:color w:val="auto"/>
          <w:kern w:val="0"/>
          <w:sz w:val="32"/>
          <w:szCs w:val="32"/>
        </w:rPr>
      </w:pPr>
      <w:r>
        <w:rPr>
          <w:rFonts w:hint="eastAsia" w:ascii="宋体" w:hAnsi="宋体" w:cs="宋体"/>
          <w:b/>
          <w:bCs/>
          <w:color w:val="auto"/>
          <w:kern w:val="0"/>
          <w:sz w:val="33"/>
          <w:szCs w:val="33"/>
        </w:rPr>
        <w:t>采    购  人：</w:t>
      </w:r>
      <w:r>
        <w:rPr>
          <w:rFonts w:hint="eastAsia" w:ascii="宋体" w:hAnsi="宋体" w:cs="宋体"/>
          <w:b/>
          <w:bCs/>
          <w:color w:val="auto"/>
          <w:kern w:val="0"/>
          <w:sz w:val="33"/>
          <w:szCs w:val="33"/>
          <w:u w:val="single"/>
          <w:lang w:eastAsia="zh-CN"/>
        </w:rPr>
        <w:t>临澧县职业中专学校</w:t>
      </w:r>
      <w:r>
        <w:rPr>
          <w:rFonts w:hint="eastAsia" w:ascii="宋体" w:hAnsi="宋体" w:cs="宋体"/>
          <w:b/>
          <w:bCs/>
          <w:color w:val="auto"/>
          <w:kern w:val="0"/>
          <w:sz w:val="33"/>
          <w:szCs w:val="33"/>
          <w:u w:val="single"/>
        </w:rPr>
        <w:t xml:space="preserve">                </w:t>
      </w:r>
      <w:r>
        <w:rPr>
          <w:rFonts w:hint="eastAsia" w:ascii="宋体" w:hAnsi="宋体" w:cs="宋体"/>
          <w:b/>
          <w:bCs/>
          <w:color w:val="auto"/>
          <w:kern w:val="0"/>
          <w:sz w:val="36"/>
          <w:szCs w:val="36"/>
          <w:u w:val="single"/>
        </w:rPr>
        <w:t xml:space="preserve">       </w:t>
      </w:r>
      <w:r>
        <w:rPr>
          <w:rFonts w:hint="eastAsia" w:ascii="宋体" w:hAnsi="宋体" w:cs="宋体"/>
          <w:b/>
          <w:bCs/>
          <w:color w:val="auto"/>
          <w:kern w:val="0"/>
          <w:sz w:val="32"/>
          <w:szCs w:val="32"/>
          <w:u w:val="single"/>
        </w:rPr>
        <w:t xml:space="preserve">  </w:t>
      </w:r>
      <w:r>
        <w:rPr>
          <w:rFonts w:hint="eastAsia" w:ascii="宋体" w:hAnsi="宋体" w:cs="宋体"/>
          <w:b/>
          <w:bCs/>
          <w:color w:val="auto"/>
          <w:kern w:val="0"/>
          <w:sz w:val="32"/>
          <w:szCs w:val="32"/>
          <w:u w:val="single"/>
          <w:lang w:val="en-US" w:eastAsia="zh-CN"/>
        </w:rPr>
        <w:t xml:space="preserve"> </w:t>
      </w:r>
      <w:r>
        <w:rPr>
          <w:rFonts w:hint="eastAsia" w:ascii="宋体" w:hAnsi="宋体" w:cs="宋体"/>
          <w:b/>
          <w:bCs/>
          <w:color w:val="auto"/>
          <w:kern w:val="0"/>
          <w:sz w:val="32"/>
          <w:szCs w:val="32"/>
          <w:u w:val="single"/>
        </w:rPr>
        <w:t xml:space="preserve">       </w:t>
      </w:r>
    </w:p>
    <w:p w14:paraId="3DC7C243">
      <w:pPr>
        <w:bidi w:val="0"/>
      </w:pPr>
    </w:p>
    <w:p w14:paraId="74769000">
      <w:pPr>
        <w:bidi w:val="0"/>
      </w:pPr>
    </w:p>
    <w:p w14:paraId="04C49264">
      <w:pPr>
        <w:bidi w:val="0"/>
        <w:rPr>
          <w:rFonts w:hint="eastAsia"/>
        </w:rPr>
      </w:pPr>
    </w:p>
    <w:p w14:paraId="58AC80A9">
      <w:pPr>
        <w:widowControl/>
        <w:shd w:val="clear" w:color="auto" w:fill="FFFFFF"/>
        <w:adjustRightInd w:val="0"/>
        <w:snapToGrid w:val="0"/>
        <w:jc w:val="center"/>
        <w:outlineLvl w:val="9"/>
        <w:rPr>
          <w:rFonts w:hint="eastAsia" w:ascii="黑体" w:hAnsi="黑体" w:eastAsia="黑体" w:cs="黑体"/>
          <w:b w:val="0"/>
          <w:bCs w:val="0"/>
          <w:color w:val="auto"/>
          <w:kern w:val="0"/>
          <w:sz w:val="40"/>
          <w:szCs w:val="40"/>
          <w:lang w:val="en-US" w:eastAsia="zh-CN"/>
        </w:rPr>
      </w:pPr>
    </w:p>
    <w:p w14:paraId="3917EF56">
      <w:pPr>
        <w:widowControl/>
        <w:shd w:val="clear" w:color="auto" w:fill="FFFFFF"/>
        <w:adjustRightInd w:val="0"/>
        <w:snapToGrid w:val="0"/>
        <w:jc w:val="center"/>
        <w:outlineLvl w:val="9"/>
        <w:rPr>
          <w:rFonts w:hint="eastAsia" w:ascii="黑体" w:hAnsi="黑体" w:eastAsia="黑体" w:cs="黑体"/>
          <w:b w:val="0"/>
          <w:bCs w:val="0"/>
          <w:color w:val="auto"/>
          <w:kern w:val="0"/>
          <w:sz w:val="40"/>
          <w:szCs w:val="40"/>
          <w:lang w:val="en-US" w:eastAsia="zh-CN"/>
        </w:rPr>
      </w:pPr>
    </w:p>
    <w:p w14:paraId="44E7DD1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2811" w:leftChars="0" w:hanging="2811" w:hangingChars="700"/>
        <w:jc w:val="center"/>
        <w:textAlignment w:val="auto"/>
        <w:outlineLvl w:val="9"/>
        <w:rPr>
          <w:rFonts w:hint="eastAsia" w:ascii="宋体" w:hAnsi="宋体" w:cs="宋体"/>
          <w:b/>
          <w:bCs/>
          <w:color w:val="auto"/>
          <w:kern w:val="0"/>
          <w:sz w:val="40"/>
          <w:szCs w:val="40"/>
        </w:rPr>
      </w:pPr>
      <w:r>
        <w:rPr>
          <w:rFonts w:hint="eastAsia" w:ascii="宋体" w:hAnsi="宋体" w:cs="宋体"/>
          <w:b/>
          <w:bCs/>
          <w:color w:val="auto"/>
          <w:kern w:val="0"/>
          <w:sz w:val="40"/>
          <w:szCs w:val="40"/>
          <w:lang w:val="en-US" w:eastAsia="zh-CN"/>
        </w:rPr>
        <w:t>常德众益项目管理咨询有限公司</w:t>
      </w:r>
    </w:p>
    <w:p w14:paraId="643025B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2811" w:leftChars="0" w:hanging="2811" w:hangingChars="700"/>
        <w:jc w:val="center"/>
        <w:textAlignment w:val="auto"/>
        <w:outlineLvl w:val="9"/>
        <w:rPr>
          <w:rFonts w:hint="eastAsia" w:ascii="黑体" w:hAnsi="黑体" w:eastAsia="黑体" w:cs="黑体"/>
          <w:b w:val="0"/>
          <w:bCs w:val="0"/>
          <w:color w:val="auto"/>
          <w:kern w:val="0"/>
          <w:sz w:val="32"/>
          <w:szCs w:val="32"/>
        </w:rPr>
      </w:pPr>
      <w:r>
        <w:rPr>
          <w:rFonts w:hint="eastAsia" w:ascii="宋体" w:hAnsi="宋体" w:cs="宋体"/>
          <w:b/>
          <w:bCs/>
          <w:color w:val="auto"/>
          <w:kern w:val="0"/>
          <w:sz w:val="40"/>
          <w:szCs w:val="40"/>
          <w:lang w:val="en-US" w:eastAsia="zh-CN"/>
        </w:rPr>
        <w:t>2024</w:t>
      </w:r>
      <w:r>
        <w:rPr>
          <w:rFonts w:hint="eastAsia" w:ascii="宋体" w:hAnsi="宋体" w:cs="宋体"/>
          <w:b/>
          <w:bCs/>
          <w:color w:val="auto"/>
          <w:kern w:val="0"/>
          <w:sz w:val="40"/>
          <w:szCs w:val="40"/>
        </w:rPr>
        <w:t>年</w:t>
      </w:r>
      <w:r>
        <w:rPr>
          <w:rFonts w:hint="eastAsia" w:ascii="宋体" w:hAnsi="宋体" w:cs="宋体"/>
          <w:b/>
          <w:bCs/>
          <w:color w:val="auto"/>
          <w:kern w:val="0"/>
          <w:sz w:val="40"/>
          <w:szCs w:val="40"/>
          <w:lang w:val="en-US" w:eastAsia="zh-CN"/>
        </w:rPr>
        <w:t>8</w:t>
      </w:r>
      <w:r>
        <w:rPr>
          <w:rFonts w:hint="eastAsia" w:ascii="宋体" w:hAnsi="宋体" w:cs="宋体"/>
          <w:b/>
          <w:bCs/>
          <w:color w:val="auto"/>
          <w:kern w:val="0"/>
          <w:sz w:val="40"/>
          <w:szCs w:val="40"/>
        </w:rPr>
        <w:t>月</w:t>
      </w:r>
    </w:p>
    <w:p w14:paraId="37E521F5">
      <w:pPr>
        <w:pStyle w:val="27"/>
        <w:adjustRightInd w:val="0"/>
        <w:snapToGrid w:val="0"/>
        <w:spacing w:line="360" w:lineRule="auto"/>
        <w:ind w:firstLine="420" w:firstLineChars="200"/>
        <w:outlineLvl w:val="9"/>
        <w:rPr>
          <w:color w:val="auto"/>
        </w:rPr>
      </w:pPr>
    </w:p>
    <w:sdt>
      <w:sdtPr>
        <w:rPr>
          <w:rFonts w:ascii="宋体" w:hAnsi="宋体" w:eastAsia="宋体" w:cs="Times New Roman"/>
          <w:b/>
          <w:bCs/>
          <w:kern w:val="2"/>
          <w:sz w:val="36"/>
          <w:szCs w:val="44"/>
          <w:lang w:val="en-US" w:eastAsia="zh-CN" w:bidi="ar-SA"/>
        </w:rPr>
        <w:id w:val="147457114"/>
        <w15:color w:val="DBDBDB"/>
        <w:docPartObj>
          <w:docPartGallery w:val="Table of Contents"/>
          <w:docPartUnique/>
        </w:docPartObj>
      </w:sdtPr>
      <w:sdtEndPr>
        <w:rPr>
          <w:rFonts w:ascii="宋体" w:hAnsi="Courier New" w:eastAsia="宋体" w:cs="Courier New"/>
          <w:b/>
          <w:bCs/>
          <w:color w:val="auto"/>
          <w:kern w:val="2"/>
          <w:sz w:val="21"/>
          <w:szCs w:val="21"/>
          <w:lang w:val="en-US" w:eastAsia="zh-CN" w:bidi="ar-SA"/>
        </w:rPr>
      </w:sdtEndPr>
      <w:sdtContent>
        <w:p w14:paraId="0445E4BA">
          <w:pPr>
            <w:spacing w:before="0" w:beforeLines="0" w:after="0" w:afterLines="0" w:line="240" w:lineRule="auto"/>
            <w:ind w:left="0" w:leftChars="0" w:right="0" w:rightChars="0" w:firstLine="0" w:firstLineChars="0"/>
            <w:jc w:val="center"/>
            <w:rPr>
              <w:rFonts w:ascii="宋体" w:hAnsi="宋体" w:eastAsia="宋体"/>
              <w:b/>
              <w:bCs/>
              <w:sz w:val="36"/>
              <w:szCs w:val="44"/>
            </w:rPr>
          </w:pPr>
          <w:r>
            <w:rPr>
              <w:rFonts w:ascii="宋体" w:hAnsi="宋体" w:eastAsia="宋体"/>
              <w:b/>
              <w:bCs/>
              <w:sz w:val="36"/>
              <w:szCs w:val="44"/>
            </w:rPr>
            <w:t>目</w:t>
          </w:r>
          <w:r>
            <w:rPr>
              <w:rFonts w:hint="eastAsia" w:ascii="宋体" w:hAnsi="宋体" w:eastAsia="宋体"/>
              <w:b/>
              <w:bCs/>
              <w:sz w:val="36"/>
              <w:szCs w:val="44"/>
              <w:lang w:val="en-US" w:eastAsia="zh-CN"/>
            </w:rPr>
            <w:t xml:space="preserve"> </w:t>
          </w:r>
          <w:r>
            <w:rPr>
              <w:rFonts w:ascii="宋体" w:hAnsi="宋体" w:eastAsia="宋体"/>
              <w:b/>
              <w:bCs/>
              <w:sz w:val="36"/>
              <w:szCs w:val="44"/>
            </w:rPr>
            <w:t>录</w:t>
          </w:r>
        </w:p>
        <w:p w14:paraId="37E55A3F">
          <w:pPr>
            <w:pStyle w:val="20"/>
          </w:pPr>
        </w:p>
        <w:p w14:paraId="07782C18">
          <w:pPr>
            <w:pStyle w:val="35"/>
            <w:tabs>
              <w:tab w:val="right" w:leader="dot" w:pos="8730"/>
            </w:tabs>
          </w:pPr>
          <w:r>
            <w:rPr>
              <w:color w:val="auto"/>
            </w:rPr>
            <w:fldChar w:fldCharType="begin"/>
          </w:r>
          <w:r>
            <w:rPr>
              <w:color w:val="auto"/>
            </w:rPr>
            <w:instrText xml:space="preserve">TOC \o "1-3" \h \u </w:instrText>
          </w:r>
          <w:r>
            <w:rPr>
              <w:color w:val="auto"/>
            </w:rPr>
            <w:fldChar w:fldCharType="separate"/>
          </w:r>
          <w:r>
            <w:rPr>
              <w:color w:val="auto"/>
            </w:rPr>
            <w:fldChar w:fldCharType="begin"/>
          </w:r>
          <w:r>
            <w:instrText xml:space="preserve"> HYPERLINK \l _Toc707 </w:instrText>
          </w:r>
          <w:r>
            <w:fldChar w:fldCharType="separate"/>
          </w:r>
          <w:r>
            <w:rPr>
              <w:rFonts w:hint="eastAsia" w:ascii="宋体" w:hAnsi="宋体"/>
              <w:szCs w:val="32"/>
            </w:rPr>
            <w:t>第一章 磋商通知</w:t>
          </w:r>
          <w:r>
            <w:tab/>
          </w:r>
          <w:r>
            <w:fldChar w:fldCharType="begin"/>
          </w:r>
          <w:r>
            <w:instrText xml:space="preserve"> PAGEREF _Toc707 \h </w:instrText>
          </w:r>
          <w:r>
            <w:fldChar w:fldCharType="separate"/>
          </w:r>
          <w:r>
            <w:t>1</w:t>
          </w:r>
          <w:r>
            <w:fldChar w:fldCharType="end"/>
          </w:r>
          <w:r>
            <w:rPr>
              <w:color w:val="auto"/>
            </w:rPr>
            <w:fldChar w:fldCharType="end"/>
          </w:r>
        </w:p>
        <w:p w14:paraId="466C7A5C">
          <w:pPr>
            <w:pStyle w:val="35"/>
            <w:tabs>
              <w:tab w:val="right" w:leader="dot" w:pos="8730"/>
            </w:tabs>
          </w:pPr>
          <w:r>
            <w:rPr>
              <w:color w:val="auto"/>
            </w:rPr>
            <w:fldChar w:fldCharType="begin"/>
          </w:r>
          <w:r>
            <w:instrText xml:space="preserve"> HYPERLINK \l _Toc28770 </w:instrText>
          </w:r>
          <w:r>
            <w:fldChar w:fldCharType="separate"/>
          </w:r>
          <w:r>
            <w:rPr>
              <w:rFonts w:hint="eastAsia" w:hAnsi="宋体"/>
              <w:szCs w:val="32"/>
            </w:rPr>
            <w:t>第二章</w:t>
          </w:r>
          <w:r>
            <w:rPr>
              <w:rFonts w:hAnsi="宋体"/>
              <w:szCs w:val="32"/>
            </w:rPr>
            <w:t xml:space="preserve"> </w:t>
          </w:r>
          <w:r>
            <w:rPr>
              <w:rFonts w:hint="eastAsia" w:hAnsi="宋体"/>
              <w:szCs w:val="32"/>
            </w:rPr>
            <w:t>磋商须知</w:t>
          </w:r>
          <w:r>
            <w:tab/>
          </w:r>
          <w:r>
            <w:fldChar w:fldCharType="begin"/>
          </w:r>
          <w:r>
            <w:instrText xml:space="preserve"> PAGEREF _Toc28770 \h </w:instrText>
          </w:r>
          <w:r>
            <w:fldChar w:fldCharType="separate"/>
          </w:r>
          <w:r>
            <w:t>4</w:t>
          </w:r>
          <w:r>
            <w:fldChar w:fldCharType="end"/>
          </w:r>
          <w:r>
            <w:rPr>
              <w:color w:val="auto"/>
            </w:rPr>
            <w:fldChar w:fldCharType="end"/>
          </w:r>
        </w:p>
        <w:p w14:paraId="7F2175CF">
          <w:pPr>
            <w:pStyle w:val="41"/>
            <w:tabs>
              <w:tab w:val="right" w:leader="dot" w:pos="8730"/>
            </w:tabs>
          </w:pPr>
          <w:r>
            <w:rPr>
              <w:color w:val="auto"/>
            </w:rPr>
            <w:fldChar w:fldCharType="begin"/>
          </w:r>
          <w:r>
            <w:instrText xml:space="preserve"> HYPERLINK \l _Toc20996 </w:instrText>
          </w:r>
          <w:r>
            <w:fldChar w:fldCharType="separate"/>
          </w:r>
          <w:r>
            <w:rPr>
              <w:rFonts w:hint="eastAsia" w:ascii="宋体" w:hAnsi="宋体"/>
              <w:szCs w:val="32"/>
            </w:rPr>
            <w:t>磋商须知正文</w:t>
          </w:r>
          <w:r>
            <w:tab/>
          </w:r>
          <w:r>
            <w:fldChar w:fldCharType="begin"/>
          </w:r>
          <w:r>
            <w:instrText xml:space="preserve"> PAGEREF _Toc20996 \h </w:instrText>
          </w:r>
          <w:r>
            <w:fldChar w:fldCharType="separate"/>
          </w:r>
          <w:r>
            <w:t>8</w:t>
          </w:r>
          <w:r>
            <w:fldChar w:fldCharType="end"/>
          </w:r>
          <w:r>
            <w:rPr>
              <w:color w:val="auto"/>
            </w:rPr>
            <w:fldChar w:fldCharType="end"/>
          </w:r>
        </w:p>
        <w:p w14:paraId="4D217A2E">
          <w:pPr>
            <w:pStyle w:val="35"/>
            <w:tabs>
              <w:tab w:val="right" w:leader="dot" w:pos="8730"/>
            </w:tabs>
          </w:pPr>
          <w:r>
            <w:rPr>
              <w:color w:val="auto"/>
            </w:rPr>
            <w:fldChar w:fldCharType="begin"/>
          </w:r>
          <w:r>
            <w:instrText xml:space="preserve"> HYPERLINK \l _Toc24395 </w:instrText>
          </w:r>
          <w:r>
            <w:fldChar w:fldCharType="separate"/>
          </w:r>
          <w:r>
            <w:rPr>
              <w:rFonts w:hint="eastAsia" w:ascii="宋体" w:hAnsi="宋体"/>
              <w:bCs/>
              <w:szCs w:val="36"/>
            </w:rPr>
            <w:t>第三章 磋商办法</w:t>
          </w:r>
          <w:r>
            <w:tab/>
          </w:r>
          <w:r>
            <w:fldChar w:fldCharType="begin"/>
          </w:r>
          <w:r>
            <w:instrText xml:space="preserve"> PAGEREF _Toc24395 \h </w:instrText>
          </w:r>
          <w:r>
            <w:fldChar w:fldCharType="separate"/>
          </w:r>
          <w:r>
            <w:t>20</w:t>
          </w:r>
          <w:r>
            <w:fldChar w:fldCharType="end"/>
          </w:r>
          <w:r>
            <w:rPr>
              <w:color w:val="auto"/>
            </w:rPr>
            <w:fldChar w:fldCharType="end"/>
          </w:r>
        </w:p>
        <w:p w14:paraId="62848B2D">
          <w:pPr>
            <w:pStyle w:val="41"/>
            <w:tabs>
              <w:tab w:val="right" w:leader="dot" w:pos="8730"/>
            </w:tabs>
          </w:pPr>
          <w:r>
            <w:rPr>
              <w:color w:val="auto"/>
            </w:rPr>
            <w:fldChar w:fldCharType="begin"/>
          </w:r>
          <w:r>
            <w:instrText xml:space="preserve"> HYPERLINK \l _Toc19421 </w:instrText>
          </w:r>
          <w:r>
            <w:fldChar w:fldCharType="separate"/>
          </w:r>
          <w:r>
            <w:rPr>
              <w:rFonts w:hint="eastAsia" w:ascii="宋体" w:hAnsi="宋体" w:cs="宋体"/>
              <w:lang w:val="en-US" w:eastAsia="zh-CN"/>
            </w:rPr>
            <w:t>1、</w:t>
          </w:r>
          <w:r>
            <w:rPr>
              <w:rFonts w:hint="eastAsia" w:ascii="宋体" w:hAnsi="宋体" w:cs="宋体"/>
              <w:lang w:val="zh-CN"/>
            </w:rPr>
            <w:t>资格性检查表</w:t>
          </w:r>
          <w:r>
            <w:tab/>
          </w:r>
          <w:r>
            <w:fldChar w:fldCharType="begin"/>
          </w:r>
          <w:r>
            <w:instrText xml:space="preserve"> PAGEREF _Toc19421 \h </w:instrText>
          </w:r>
          <w:r>
            <w:fldChar w:fldCharType="separate"/>
          </w:r>
          <w:r>
            <w:t>21</w:t>
          </w:r>
          <w:r>
            <w:fldChar w:fldCharType="end"/>
          </w:r>
          <w:r>
            <w:rPr>
              <w:color w:val="auto"/>
            </w:rPr>
            <w:fldChar w:fldCharType="end"/>
          </w:r>
        </w:p>
        <w:p w14:paraId="2D0C9C26">
          <w:pPr>
            <w:pStyle w:val="41"/>
            <w:tabs>
              <w:tab w:val="right" w:leader="dot" w:pos="8730"/>
            </w:tabs>
          </w:pPr>
          <w:r>
            <w:rPr>
              <w:color w:val="auto"/>
            </w:rPr>
            <w:fldChar w:fldCharType="begin"/>
          </w:r>
          <w:r>
            <w:instrText xml:space="preserve"> HYPERLINK \l _Toc2087 </w:instrText>
          </w:r>
          <w:r>
            <w:fldChar w:fldCharType="separate"/>
          </w:r>
          <w:r>
            <w:rPr>
              <w:rFonts w:hint="eastAsia" w:ascii="宋体" w:cs="宋体"/>
              <w:bCs/>
              <w:kern w:val="0"/>
              <w:lang w:val="zh-CN"/>
            </w:rPr>
            <w:t>3、澄清、说明、补正事项纪要表</w:t>
          </w:r>
          <w:r>
            <w:tab/>
          </w:r>
          <w:r>
            <w:fldChar w:fldCharType="begin"/>
          </w:r>
          <w:r>
            <w:instrText xml:space="preserve"> PAGEREF _Toc2087 \h </w:instrText>
          </w:r>
          <w:r>
            <w:fldChar w:fldCharType="separate"/>
          </w:r>
          <w:r>
            <w:t>23</w:t>
          </w:r>
          <w:r>
            <w:fldChar w:fldCharType="end"/>
          </w:r>
          <w:r>
            <w:rPr>
              <w:color w:val="auto"/>
            </w:rPr>
            <w:fldChar w:fldCharType="end"/>
          </w:r>
        </w:p>
        <w:p w14:paraId="689E6BF7">
          <w:pPr>
            <w:pStyle w:val="41"/>
            <w:tabs>
              <w:tab w:val="right" w:leader="dot" w:pos="8730"/>
            </w:tabs>
          </w:pPr>
          <w:r>
            <w:rPr>
              <w:color w:val="auto"/>
            </w:rPr>
            <w:fldChar w:fldCharType="begin"/>
          </w:r>
          <w:r>
            <w:instrText xml:space="preserve"> HYPERLINK \l _Toc20415 </w:instrText>
          </w:r>
          <w:r>
            <w:fldChar w:fldCharType="separate"/>
          </w:r>
          <w:r>
            <w:rPr>
              <w:rFonts w:hint="eastAsia" w:ascii="宋体" w:cs="宋体"/>
              <w:bCs/>
              <w:lang w:val="zh-CN"/>
            </w:rPr>
            <w:t>4、进入详细评审的合格供应商表</w:t>
          </w:r>
          <w:r>
            <w:tab/>
          </w:r>
          <w:r>
            <w:fldChar w:fldCharType="begin"/>
          </w:r>
          <w:r>
            <w:instrText xml:space="preserve"> PAGEREF _Toc20415 \h </w:instrText>
          </w:r>
          <w:r>
            <w:fldChar w:fldCharType="separate"/>
          </w:r>
          <w:r>
            <w:t>24</w:t>
          </w:r>
          <w:r>
            <w:fldChar w:fldCharType="end"/>
          </w:r>
          <w:r>
            <w:rPr>
              <w:color w:val="auto"/>
            </w:rPr>
            <w:fldChar w:fldCharType="end"/>
          </w:r>
        </w:p>
        <w:p w14:paraId="621928C2">
          <w:pPr>
            <w:pStyle w:val="41"/>
            <w:tabs>
              <w:tab w:val="right" w:leader="dot" w:pos="8730"/>
            </w:tabs>
          </w:pPr>
          <w:r>
            <w:rPr>
              <w:color w:val="auto"/>
            </w:rPr>
            <w:fldChar w:fldCharType="begin"/>
          </w:r>
          <w:r>
            <w:instrText xml:space="preserve"> HYPERLINK \l _Toc15426 </w:instrText>
          </w:r>
          <w:r>
            <w:fldChar w:fldCharType="separate"/>
          </w:r>
          <w:r>
            <w:rPr>
              <w:rFonts w:hint="eastAsia" w:ascii="宋体" w:cs="宋体"/>
              <w:bCs/>
              <w:lang w:val="zh-CN"/>
            </w:rPr>
            <w:t>5、不合格供应商表</w:t>
          </w:r>
          <w:r>
            <w:tab/>
          </w:r>
          <w:r>
            <w:fldChar w:fldCharType="begin"/>
          </w:r>
          <w:r>
            <w:instrText xml:space="preserve"> PAGEREF _Toc15426 \h </w:instrText>
          </w:r>
          <w:r>
            <w:fldChar w:fldCharType="separate"/>
          </w:r>
          <w:r>
            <w:t>25</w:t>
          </w:r>
          <w:r>
            <w:fldChar w:fldCharType="end"/>
          </w:r>
          <w:r>
            <w:rPr>
              <w:color w:val="auto"/>
            </w:rPr>
            <w:fldChar w:fldCharType="end"/>
          </w:r>
        </w:p>
        <w:p w14:paraId="0E37626B">
          <w:pPr>
            <w:pStyle w:val="41"/>
            <w:tabs>
              <w:tab w:val="right" w:leader="dot" w:pos="8730"/>
            </w:tabs>
          </w:pPr>
          <w:r>
            <w:rPr>
              <w:color w:val="auto"/>
            </w:rPr>
            <w:fldChar w:fldCharType="begin"/>
          </w:r>
          <w:r>
            <w:instrText xml:space="preserve"> HYPERLINK \l _Toc17091 </w:instrText>
          </w:r>
          <w:r>
            <w:fldChar w:fldCharType="separate"/>
          </w:r>
          <w:r>
            <w:rPr>
              <w:rFonts w:hint="eastAsia" w:ascii="宋体" w:cs="宋体"/>
              <w:bCs/>
              <w:szCs w:val="24"/>
            </w:rPr>
            <w:t>6</w:t>
          </w:r>
          <w:r>
            <w:rPr>
              <w:rFonts w:hint="eastAsia" w:ascii="宋体" w:cs="宋体"/>
              <w:bCs/>
              <w:szCs w:val="24"/>
              <w:lang w:val="zh-CN"/>
            </w:rPr>
            <w:t>、磋商标准（100分）</w:t>
          </w:r>
          <w:r>
            <w:tab/>
          </w:r>
          <w:r>
            <w:fldChar w:fldCharType="begin"/>
          </w:r>
          <w:r>
            <w:instrText xml:space="preserve"> PAGEREF _Toc17091 \h </w:instrText>
          </w:r>
          <w:r>
            <w:fldChar w:fldCharType="separate"/>
          </w:r>
          <w:r>
            <w:t>26</w:t>
          </w:r>
          <w:r>
            <w:fldChar w:fldCharType="end"/>
          </w:r>
          <w:r>
            <w:rPr>
              <w:color w:val="auto"/>
            </w:rPr>
            <w:fldChar w:fldCharType="end"/>
          </w:r>
        </w:p>
        <w:p w14:paraId="633D5976">
          <w:pPr>
            <w:pStyle w:val="41"/>
            <w:tabs>
              <w:tab w:val="right" w:leader="dot" w:pos="8730"/>
            </w:tabs>
          </w:pPr>
          <w:r>
            <w:rPr>
              <w:color w:val="auto"/>
            </w:rPr>
            <w:fldChar w:fldCharType="begin"/>
          </w:r>
          <w:r>
            <w:instrText xml:space="preserve"> HYPERLINK \l _Toc18771 </w:instrText>
          </w:r>
          <w:r>
            <w:fldChar w:fldCharType="separate"/>
          </w:r>
          <w:r>
            <w:rPr>
              <w:rFonts w:hint="eastAsia" w:ascii="宋体" w:hAnsi="宋体"/>
              <w:bCs/>
              <w:szCs w:val="21"/>
            </w:rPr>
            <w:t>7</w:t>
          </w:r>
          <w:r>
            <w:rPr>
              <w:rFonts w:hint="eastAsia" w:ascii="宋体" w:hAnsi="宋体"/>
              <w:bCs/>
              <w:szCs w:val="21"/>
              <w:lang w:eastAsia="zh-CN"/>
            </w:rPr>
            <w:t>、</w:t>
          </w:r>
          <w:r>
            <w:rPr>
              <w:rFonts w:hint="eastAsia" w:ascii="宋体" w:hAnsi="宋体"/>
              <w:bCs/>
              <w:szCs w:val="21"/>
            </w:rPr>
            <w:t>供应商</w:t>
          </w:r>
          <w:r>
            <w:rPr>
              <w:rFonts w:hint="eastAsia"/>
              <w:spacing w:val="26"/>
              <w:szCs w:val="21"/>
            </w:rPr>
            <w:t>得分汇总计算表</w:t>
          </w:r>
          <w:r>
            <w:tab/>
          </w:r>
          <w:r>
            <w:fldChar w:fldCharType="begin"/>
          </w:r>
          <w:r>
            <w:instrText xml:space="preserve"> PAGEREF _Toc18771 \h </w:instrText>
          </w:r>
          <w:r>
            <w:fldChar w:fldCharType="separate"/>
          </w:r>
          <w:r>
            <w:t>27</w:t>
          </w:r>
          <w:r>
            <w:fldChar w:fldCharType="end"/>
          </w:r>
          <w:r>
            <w:rPr>
              <w:color w:val="auto"/>
            </w:rPr>
            <w:fldChar w:fldCharType="end"/>
          </w:r>
        </w:p>
        <w:p w14:paraId="10EEF0D5">
          <w:pPr>
            <w:pStyle w:val="41"/>
            <w:tabs>
              <w:tab w:val="right" w:leader="dot" w:pos="8730"/>
            </w:tabs>
          </w:pPr>
          <w:r>
            <w:rPr>
              <w:color w:val="auto"/>
            </w:rPr>
            <w:fldChar w:fldCharType="begin"/>
          </w:r>
          <w:r>
            <w:instrText xml:space="preserve"> HYPERLINK \l _Toc11483 </w:instrText>
          </w:r>
          <w:r>
            <w:fldChar w:fldCharType="separate"/>
          </w:r>
          <w:r>
            <w:rPr>
              <w:rFonts w:hint="eastAsia" w:ascii="宋体" w:hAnsi="宋体"/>
              <w:bCs/>
            </w:rPr>
            <w:t>8</w:t>
          </w:r>
          <w:r>
            <w:rPr>
              <w:rFonts w:hint="eastAsia" w:ascii="宋体" w:hAnsi="宋体"/>
              <w:bCs/>
              <w:lang w:eastAsia="zh-CN"/>
            </w:rPr>
            <w:t>、</w:t>
          </w:r>
          <w:r>
            <w:rPr>
              <w:rFonts w:hint="eastAsia" w:ascii="宋体" w:hAnsi="宋体"/>
              <w:szCs w:val="21"/>
            </w:rPr>
            <w:t>经评审的供应商排序表</w:t>
          </w:r>
          <w:r>
            <w:tab/>
          </w:r>
          <w:r>
            <w:fldChar w:fldCharType="begin"/>
          </w:r>
          <w:r>
            <w:instrText xml:space="preserve"> PAGEREF _Toc11483 \h </w:instrText>
          </w:r>
          <w:r>
            <w:fldChar w:fldCharType="separate"/>
          </w:r>
          <w:r>
            <w:t>28</w:t>
          </w:r>
          <w:r>
            <w:fldChar w:fldCharType="end"/>
          </w:r>
          <w:r>
            <w:rPr>
              <w:color w:val="auto"/>
            </w:rPr>
            <w:fldChar w:fldCharType="end"/>
          </w:r>
        </w:p>
        <w:p w14:paraId="42745646">
          <w:pPr>
            <w:pStyle w:val="41"/>
            <w:tabs>
              <w:tab w:val="right" w:leader="dot" w:pos="8730"/>
            </w:tabs>
          </w:pPr>
          <w:r>
            <w:rPr>
              <w:color w:val="auto"/>
            </w:rPr>
            <w:fldChar w:fldCharType="begin"/>
          </w:r>
          <w:r>
            <w:instrText xml:space="preserve"> HYPERLINK \l _Toc3148 </w:instrText>
          </w:r>
          <w:r>
            <w:fldChar w:fldCharType="separate"/>
          </w:r>
          <w:r>
            <w:rPr>
              <w:rFonts w:hint="eastAsia" w:ascii="宋体" w:hAnsi="宋体"/>
              <w:szCs w:val="21"/>
            </w:rPr>
            <w:t>9</w:t>
          </w:r>
          <w:r>
            <w:rPr>
              <w:rFonts w:hint="eastAsia" w:ascii="宋体" w:hAnsi="宋体"/>
              <w:szCs w:val="21"/>
              <w:lang w:eastAsia="zh-CN"/>
            </w:rPr>
            <w:t>、</w:t>
          </w:r>
          <w:r>
            <w:rPr>
              <w:rFonts w:hint="eastAsia" w:ascii="宋体" w:hAnsi="宋体"/>
              <w:szCs w:val="21"/>
            </w:rPr>
            <w:t>推荐成交候选供应商名单</w:t>
          </w:r>
          <w:r>
            <w:tab/>
          </w:r>
          <w:r>
            <w:fldChar w:fldCharType="begin"/>
          </w:r>
          <w:r>
            <w:instrText xml:space="preserve"> PAGEREF _Toc3148 \h </w:instrText>
          </w:r>
          <w:r>
            <w:fldChar w:fldCharType="separate"/>
          </w:r>
          <w:r>
            <w:t>29</w:t>
          </w:r>
          <w:r>
            <w:fldChar w:fldCharType="end"/>
          </w:r>
          <w:r>
            <w:rPr>
              <w:color w:val="auto"/>
            </w:rPr>
            <w:fldChar w:fldCharType="end"/>
          </w:r>
        </w:p>
        <w:p w14:paraId="6ED301E5">
          <w:pPr>
            <w:pStyle w:val="35"/>
            <w:tabs>
              <w:tab w:val="right" w:leader="dot" w:pos="8730"/>
            </w:tabs>
          </w:pPr>
          <w:r>
            <w:rPr>
              <w:color w:val="auto"/>
            </w:rPr>
            <w:fldChar w:fldCharType="begin"/>
          </w:r>
          <w:r>
            <w:instrText xml:space="preserve"> HYPERLINK \l _Toc16594 </w:instrText>
          </w:r>
          <w:r>
            <w:fldChar w:fldCharType="separate"/>
          </w:r>
          <w:r>
            <w:rPr>
              <w:rFonts w:hint="eastAsia" w:ascii="宋体" w:hAnsi="宋体"/>
              <w:szCs w:val="32"/>
            </w:rPr>
            <w:t xml:space="preserve">第四章 </w:t>
          </w:r>
          <w:r>
            <w:rPr>
              <w:rFonts w:hint="eastAsia" w:ascii="宋体" w:hAnsi="宋体"/>
              <w:bCs/>
              <w:szCs w:val="32"/>
              <w:lang w:eastAsia="zh-CN"/>
            </w:rPr>
            <w:t>采购合同格式</w:t>
          </w:r>
          <w:r>
            <w:tab/>
          </w:r>
          <w:r>
            <w:fldChar w:fldCharType="begin"/>
          </w:r>
          <w:r>
            <w:instrText xml:space="preserve"> PAGEREF _Toc16594 \h </w:instrText>
          </w:r>
          <w:r>
            <w:fldChar w:fldCharType="separate"/>
          </w:r>
          <w:r>
            <w:t>30</w:t>
          </w:r>
          <w:r>
            <w:fldChar w:fldCharType="end"/>
          </w:r>
          <w:r>
            <w:rPr>
              <w:color w:val="auto"/>
            </w:rPr>
            <w:fldChar w:fldCharType="end"/>
          </w:r>
        </w:p>
        <w:p w14:paraId="0E9885F6">
          <w:pPr>
            <w:pStyle w:val="35"/>
            <w:tabs>
              <w:tab w:val="right" w:leader="dot" w:pos="8730"/>
            </w:tabs>
          </w:pPr>
          <w:r>
            <w:rPr>
              <w:color w:val="auto"/>
            </w:rPr>
            <w:fldChar w:fldCharType="begin"/>
          </w:r>
          <w:r>
            <w:instrText xml:space="preserve"> HYPERLINK \l _Toc6113 </w:instrText>
          </w:r>
          <w:r>
            <w:fldChar w:fldCharType="separate"/>
          </w:r>
          <w:r>
            <w:rPr>
              <w:rFonts w:hint="eastAsia" w:ascii="宋体" w:hAnsi="宋体"/>
              <w:bCs/>
              <w:szCs w:val="32"/>
            </w:rPr>
            <w:t xml:space="preserve">第五章 </w:t>
          </w:r>
          <w:r>
            <w:rPr>
              <w:rFonts w:hint="eastAsia" w:ascii="宋体" w:hAnsi="宋体"/>
              <w:szCs w:val="32"/>
            </w:rPr>
            <w:t>采购需求</w:t>
          </w:r>
          <w:r>
            <w:tab/>
          </w:r>
          <w:r>
            <w:fldChar w:fldCharType="begin"/>
          </w:r>
          <w:r>
            <w:instrText xml:space="preserve"> PAGEREF _Toc6113 \h </w:instrText>
          </w:r>
          <w:r>
            <w:fldChar w:fldCharType="separate"/>
          </w:r>
          <w:r>
            <w:t>32</w:t>
          </w:r>
          <w:r>
            <w:fldChar w:fldCharType="end"/>
          </w:r>
          <w:r>
            <w:rPr>
              <w:color w:val="auto"/>
            </w:rPr>
            <w:fldChar w:fldCharType="end"/>
          </w:r>
        </w:p>
        <w:p w14:paraId="18A53DA1">
          <w:pPr>
            <w:pStyle w:val="35"/>
            <w:tabs>
              <w:tab w:val="right" w:leader="dot" w:pos="8730"/>
            </w:tabs>
          </w:pPr>
          <w:r>
            <w:rPr>
              <w:color w:val="auto"/>
            </w:rPr>
            <w:fldChar w:fldCharType="begin"/>
          </w:r>
          <w:r>
            <w:instrText xml:space="preserve"> HYPERLINK \l _Toc11578 </w:instrText>
          </w:r>
          <w:r>
            <w:fldChar w:fldCharType="separate"/>
          </w:r>
          <w:r>
            <w:rPr>
              <w:rFonts w:hint="eastAsia" w:ascii="宋体" w:hAnsi="宋体"/>
              <w:szCs w:val="48"/>
            </w:rPr>
            <w:t>第六章 响应文件组成</w:t>
          </w:r>
          <w:r>
            <w:tab/>
          </w:r>
          <w:r>
            <w:fldChar w:fldCharType="begin"/>
          </w:r>
          <w:r>
            <w:instrText xml:space="preserve"> PAGEREF _Toc11578 \h </w:instrText>
          </w:r>
          <w:r>
            <w:fldChar w:fldCharType="separate"/>
          </w:r>
          <w:r>
            <w:t>36</w:t>
          </w:r>
          <w:r>
            <w:fldChar w:fldCharType="end"/>
          </w:r>
          <w:r>
            <w:rPr>
              <w:color w:val="auto"/>
            </w:rPr>
            <w:fldChar w:fldCharType="end"/>
          </w:r>
        </w:p>
        <w:p w14:paraId="26619A69">
          <w:pPr>
            <w:pStyle w:val="41"/>
            <w:tabs>
              <w:tab w:val="right" w:leader="dot" w:pos="8730"/>
            </w:tabs>
          </w:pPr>
          <w:r>
            <w:rPr>
              <w:color w:val="auto"/>
            </w:rPr>
            <w:fldChar w:fldCharType="begin"/>
          </w:r>
          <w:r>
            <w:instrText xml:space="preserve"> HYPERLINK \l _Toc29775 </w:instrText>
          </w:r>
          <w:r>
            <w:fldChar w:fldCharType="separate"/>
          </w:r>
          <w:r>
            <w:rPr>
              <w:rFonts w:hint="eastAsia" w:ascii="宋体" w:hAnsi="宋体"/>
              <w:szCs w:val="32"/>
            </w:rPr>
            <w:t>一、磋商响应声明</w:t>
          </w:r>
          <w:r>
            <w:tab/>
          </w:r>
          <w:r>
            <w:fldChar w:fldCharType="begin"/>
          </w:r>
          <w:r>
            <w:instrText xml:space="preserve"> PAGEREF _Toc29775 \h </w:instrText>
          </w:r>
          <w:r>
            <w:fldChar w:fldCharType="separate"/>
          </w:r>
          <w:r>
            <w:t>38</w:t>
          </w:r>
          <w:r>
            <w:fldChar w:fldCharType="end"/>
          </w:r>
          <w:r>
            <w:rPr>
              <w:color w:val="auto"/>
            </w:rPr>
            <w:fldChar w:fldCharType="end"/>
          </w:r>
        </w:p>
        <w:p w14:paraId="73B5662A">
          <w:pPr>
            <w:pStyle w:val="41"/>
            <w:tabs>
              <w:tab w:val="right" w:leader="dot" w:pos="8730"/>
            </w:tabs>
          </w:pPr>
          <w:r>
            <w:rPr>
              <w:color w:val="auto"/>
            </w:rPr>
            <w:fldChar w:fldCharType="begin"/>
          </w:r>
          <w:r>
            <w:instrText xml:space="preserve"> HYPERLINK \l _Toc6078 </w:instrText>
          </w:r>
          <w:r>
            <w:fldChar w:fldCharType="separate"/>
          </w:r>
          <w:r>
            <w:rPr>
              <w:rFonts w:hint="eastAsia" w:ascii="宋体" w:hAnsi="宋体"/>
              <w:szCs w:val="32"/>
            </w:rPr>
            <w:t>二、保证金</w:t>
          </w:r>
          <w:r>
            <w:tab/>
          </w:r>
          <w:r>
            <w:fldChar w:fldCharType="begin"/>
          </w:r>
          <w:r>
            <w:instrText xml:space="preserve"> PAGEREF _Toc6078 \h </w:instrText>
          </w:r>
          <w:r>
            <w:fldChar w:fldCharType="separate"/>
          </w:r>
          <w:r>
            <w:t>43</w:t>
          </w:r>
          <w:r>
            <w:fldChar w:fldCharType="end"/>
          </w:r>
          <w:r>
            <w:rPr>
              <w:color w:val="auto"/>
            </w:rPr>
            <w:fldChar w:fldCharType="end"/>
          </w:r>
        </w:p>
        <w:p w14:paraId="6C5D14D1">
          <w:pPr>
            <w:pStyle w:val="41"/>
            <w:tabs>
              <w:tab w:val="right" w:leader="dot" w:pos="8730"/>
            </w:tabs>
          </w:pPr>
          <w:r>
            <w:rPr>
              <w:color w:val="auto"/>
            </w:rPr>
            <w:fldChar w:fldCharType="begin"/>
          </w:r>
          <w:r>
            <w:instrText xml:space="preserve"> HYPERLINK \l _Toc20022 </w:instrText>
          </w:r>
          <w:r>
            <w:fldChar w:fldCharType="separate"/>
          </w:r>
          <w:r>
            <w:rPr>
              <w:rFonts w:hint="eastAsia" w:ascii="宋体" w:hAnsi="宋体"/>
              <w:szCs w:val="32"/>
            </w:rPr>
            <w:t>三、供应商</w:t>
          </w:r>
          <w:r>
            <w:rPr>
              <w:rFonts w:hint="eastAsia" w:ascii="宋体" w:hAnsi="宋体"/>
              <w:bCs/>
              <w:szCs w:val="32"/>
            </w:rPr>
            <w:t>的资格证明材料</w:t>
          </w:r>
          <w:r>
            <w:tab/>
          </w:r>
          <w:r>
            <w:fldChar w:fldCharType="begin"/>
          </w:r>
          <w:r>
            <w:instrText xml:space="preserve"> PAGEREF _Toc20022 \h </w:instrText>
          </w:r>
          <w:r>
            <w:fldChar w:fldCharType="separate"/>
          </w:r>
          <w:r>
            <w:t>44</w:t>
          </w:r>
          <w:r>
            <w:fldChar w:fldCharType="end"/>
          </w:r>
          <w:r>
            <w:rPr>
              <w:color w:val="auto"/>
            </w:rPr>
            <w:fldChar w:fldCharType="end"/>
          </w:r>
        </w:p>
        <w:p w14:paraId="178B551F">
          <w:pPr>
            <w:pStyle w:val="41"/>
            <w:tabs>
              <w:tab w:val="right" w:leader="dot" w:pos="8730"/>
            </w:tabs>
          </w:pPr>
          <w:r>
            <w:rPr>
              <w:color w:val="auto"/>
            </w:rPr>
            <w:fldChar w:fldCharType="begin"/>
          </w:r>
          <w:r>
            <w:instrText xml:space="preserve"> HYPERLINK \l _Toc6088 </w:instrText>
          </w:r>
          <w:r>
            <w:fldChar w:fldCharType="separate"/>
          </w:r>
          <w:r>
            <w:rPr>
              <w:rFonts w:hint="eastAsia" w:ascii="宋体" w:hAnsi="宋体"/>
              <w:szCs w:val="32"/>
            </w:rPr>
            <w:t>四、商务</w:t>
          </w:r>
          <w:r>
            <w:rPr>
              <w:rFonts w:hint="eastAsia" w:ascii="宋体" w:hAnsi="宋体"/>
              <w:szCs w:val="32"/>
              <w:lang w:eastAsia="zh-CN"/>
            </w:rPr>
            <w:t>技术</w:t>
          </w:r>
          <w:r>
            <w:rPr>
              <w:rFonts w:hint="eastAsia" w:ascii="宋体" w:hAnsi="宋体"/>
              <w:szCs w:val="32"/>
            </w:rPr>
            <w:t>响应</w:t>
          </w:r>
          <w:r>
            <w:rPr>
              <w:rFonts w:hint="eastAsia" w:ascii="宋体" w:hAnsi="宋体"/>
              <w:szCs w:val="32"/>
              <w:lang w:eastAsia="zh-CN"/>
            </w:rPr>
            <w:t>与</w:t>
          </w:r>
          <w:r>
            <w:rPr>
              <w:rFonts w:hint="eastAsia" w:ascii="宋体" w:hAnsi="宋体"/>
              <w:szCs w:val="32"/>
            </w:rPr>
            <w:t>偏离表</w:t>
          </w:r>
          <w:r>
            <w:tab/>
          </w:r>
          <w:r>
            <w:fldChar w:fldCharType="begin"/>
          </w:r>
          <w:r>
            <w:instrText xml:space="preserve"> PAGEREF _Toc6088 \h </w:instrText>
          </w:r>
          <w:r>
            <w:fldChar w:fldCharType="separate"/>
          </w:r>
          <w:r>
            <w:t>48</w:t>
          </w:r>
          <w:r>
            <w:fldChar w:fldCharType="end"/>
          </w:r>
          <w:r>
            <w:rPr>
              <w:color w:val="auto"/>
            </w:rPr>
            <w:fldChar w:fldCharType="end"/>
          </w:r>
        </w:p>
        <w:p w14:paraId="3E1475F4">
          <w:pPr>
            <w:pStyle w:val="41"/>
            <w:tabs>
              <w:tab w:val="right" w:leader="dot" w:pos="8730"/>
            </w:tabs>
          </w:pPr>
          <w:r>
            <w:rPr>
              <w:color w:val="auto"/>
            </w:rPr>
            <w:fldChar w:fldCharType="begin"/>
          </w:r>
          <w:r>
            <w:instrText xml:space="preserve"> HYPERLINK \l _Toc10053 </w:instrText>
          </w:r>
          <w:r>
            <w:fldChar w:fldCharType="separate"/>
          </w:r>
          <w:r>
            <w:rPr>
              <w:rFonts w:hint="eastAsia" w:ascii="宋体" w:hAnsi="宋体"/>
              <w:szCs w:val="32"/>
            </w:rPr>
            <w:t>五、服务方案</w:t>
          </w:r>
          <w:r>
            <w:tab/>
          </w:r>
          <w:r>
            <w:fldChar w:fldCharType="begin"/>
          </w:r>
          <w:r>
            <w:instrText xml:space="preserve"> PAGEREF _Toc10053 \h </w:instrText>
          </w:r>
          <w:r>
            <w:fldChar w:fldCharType="separate"/>
          </w:r>
          <w:r>
            <w:t>49</w:t>
          </w:r>
          <w:r>
            <w:fldChar w:fldCharType="end"/>
          </w:r>
          <w:r>
            <w:rPr>
              <w:color w:val="auto"/>
            </w:rPr>
            <w:fldChar w:fldCharType="end"/>
          </w:r>
        </w:p>
        <w:p w14:paraId="661DFEF2">
          <w:pPr>
            <w:pStyle w:val="41"/>
            <w:tabs>
              <w:tab w:val="right" w:leader="dot" w:pos="8730"/>
            </w:tabs>
          </w:pPr>
          <w:r>
            <w:rPr>
              <w:color w:val="auto"/>
            </w:rPr>
            <w:fldChar w:fldCharType="begin"/>
          </w:r>
          <w:r>
            <w:instrText xml:space="preserve"> HYPERLINK \l _Toc7052 </w:instrText>
          </w:r>
          <w:r>
            <w:fldChar w:fldCharType="separate"/>
          </w:r>
          <w:r>
            <w:rPr>
              <w:rFonts w:hint="eastAsia" w:ascii="宋体" w:hAnsi="宋体"/>
              <w:szCs w:val="32"/>
              <w:lang w:val="en-US" w:eastAsia="zh-CN"/>
            </w:rPr>
            <w:t>六、</w:t>
          </w:r>
          <w:r>
            <w:rPr>
              <w:rFonts w:hint="eastAsia" w:ascii="宋体" w:hAnsi="宋体"/>
              <w:szCs w:val="32"/>
            </w:rPr>
            <w:t>提供政府采购政策产品等证明材料</w:t>
          </w:r>
          <w:r>
            <w:tab/>
          </w:r>
          <w:r>
            <w:fldChar w:fldCharType="begin"/>
          </w:r>
          <w:r>
            <w:instrText xml:space="preserve"> PAGEREF _Toc7052 \h </w:instrText>
          </w:r>
          <w:r>
            <w:fldChar w:fldCharType="separate"/>
          </w:r>
          <w:r>
            <w:t>50</w:t>
          </w:r>
          <w:r>
            <w:fldChar w:fldCharType="end"/>
          </w:r>
          <w:r>
            <w:rPr>
              <w:color w:val="auto"/>
            </w:rPr>
            <w:fldChar w:fldCharType="end"/>
          </w:r>
        </w:p>
        <w:p w14:paraId="68BE739F">
          <w:pPr>
            <w:pStyle w:val="41"/>
            <w:tabs>
              <w:tab w:val="right" w:leader="dot" w:pos="8730"/>
            </w:tabs>
          </w:pPr>
          <w:r>
            <w:rPr>
              <w:color w:val="auto"/>
            </w:rPr>
            <w:fldChar w:fldCharType="begin"/>
          </w:r>
          <w:r>
            <w:instrText xml:space="preserve"> HYPERLINK \l _Toc16126 </w:instrText>
          </w:r>
          <w:r>
            <w:fldChar w:fldCharType="separate"/>
          </w:r>
          <w:r>
            <w:rPr>
              <w:rFonts w:hint="eastAsia" w:ascii="宋体" w:hAnsi="宋体"/>
              <w:bCs/>
              <w:szCs w:val="32"/>
            </w:rPr>
            <w:t>七、</w:t>
          </w:r>
          <w:r>
            <w:rPr>
              <w:rFonts w:hint="eastAsia" w:ascii="宋体" w:hAnsi="宋体"/>
              <w:szCs w:val="32"/>
              <w:lang w:eastAsia="zh-CN"/>
            </w:rPr>
            <w:t>服务响应承诺函</w:t>
          </w:r>
          <w:r>
            <w:tab/>
          </w:r>
          <w:r>
            <w:fldChar w:fldCharType="begin"/>
          </w:r>
          <w:r>
            <w:instrText xml:space="preserve"> PAGEREF _Toc16126 \h </w:instrText>
          </w:r>
          <w:r>
            <w:fldChar w:fldCharType="separate"/>
          </w:r>
          <w:r>
            <w:t>54</w:t>
          </w:r>
          <w:r>
            <w:fldChar w:fldCharType="end"/>
          </w:r>
          <w:r>
            <w:rPr>
              <w:color w:val="auto"/>
            </w:rPr>
            <w:fldChar w:fldCharType="end"/>
          </w:r>
        </w:p>
        <w:p w14:paraId="4FC07967">
          <w:pPr>
            <w:pStyle w:val="41"/>
            <w:tabs>
              <w:tab w:val="right" w:leader="dot" w:pos="8730"/>
            </w:tabs>
          </w:pPr>
          <w:r>
            <w:rPr>
              <w:color w:val="auto"/>
            </w:rPr>
            <w:fldChar w:fldCharType="begin"/>
          </w:r>
          <w:r>
            <w:instrText xml:space="preserve"> HYPERLINK \l _Toc23860 </w:instrText>
          </w:r>
          <w:r>
            <w:fldChar w:fldCharType="separate"/>
          </w:r>
          <w:r>
            <w:rPr>
              <w:rFonts w:hint="eastAsia" w:ascii="宋体" w:hAnsi="宋体"/>
              <w:bCs/>
              <w:szCs w:val="32"/>
              <w:lang w:val="en-US" w:eastAsia="zh-CN"/>
            </w:rPr>
            <w:t>八</w:t>
          </w:r>
          <w:r>
            <w:rPr>
              <w:rFonts w:hint="eastAsia" w:ascii="宋体" w:hAnsi="宋体"/>
              <w:bCs/>
              <w:szCs w:val="32"/>
            </w:rPr>
            <w:t>、</w:t>
          </w:r>
          <w:r>
            <w:rPr>
              <w:rFonts w:hint="eastAsia" w:ascii="宋体" w:hAnsi="宋体"/>
              <w:szCs w:val="32"/>
            </w:rPr>
            <w:t>供应商认为需要提供的其它资料</w:t>
          </w:r>
          <w:r>
            <w:tab/>
          </w:r>
          <w:r>
            <w:fldChar w:fldCharType="begin"/>
          </w:r>
          <w:r>
            <w:instrText xml:space="preserve"> PAGEREF _Toc23860 \h </w:instrText>
          </w:r>
          <w:r>
            <w:fldChar w:fldCharType="separate"/>
          </w:r>
          <w:r>
            <w:t>55</w:t>
          </w:r>
          <w:r>
            <w:fldChar w:fldCharType="end"/>
          </w:r>
          <w:r>
            <w:rPr>
              <w:color w:val="auto"/>
            </w:rPr>
            <w:fldChar w:fldCharType="end"/>
          </w:r>
        </w:p>
        <w:p w14:paraId="411D6A3D">
          <w:pPr>
            <w:pStyle w:val="27"/>
            <w:adjustRightInd w:val="0"/>
            <w:snapToGrid w:val="0"/>
            <w:spacing w:line="360" w:lineRule="auto"/>
            <w:outlineLvl w:val="9"/>
            <w:rPr>
              <w:color w:val="auto"/>
            </w:rPr>
          </w:pPr>
          <w:r>
            <w:rPr>
              <w:color w:val="auto"/>
            </w:rPr>
            <w:fldChar w:fldCharType="end"/>
          </w:r>
        </w:p>
      </w:sdtContent>
    </w:sdt>
    <w:p w14:paraId="77A82BEB">
      <w:pPr>
        <w:pStyle w:val="27"/>
        <w:adjustRightInd w:val="0"/>
        <w:snapToGrid w:val="0"/>
        <w:spacing w:line="360" w:lineRule="auto"/>
        <w:outlineLvl w:val="9"/>
        <w:rPr>
          <w:color w:val="auto"/>
        </w:rPr>
      </w:pPr>
    </w:p>
    <w:p w14:paraId="77F3998C">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4D81947A">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3B07BF9F">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1B4BED7D">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73950171">
      <w:pPr>
        <w:pStyle w:val="20"/>
        <w:outlineLvl w:val="9"/>
        <w:rPr>
          <w:rFonts w:hint="eastAsia"/>
          <w:color w:val="auto"/>
        </w:rPr>
      </w:pPr>
    </w:p>
    <w:p w14:paraId="7FFD45BA">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4B976B44">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0"/>
        <w:rPr>
          <w:rFonts w:hint="eastAsia" w:ascii="宋体" w:hAnsi="宋体"/>
          <w:b/>
          <w:color w:val="auto"/>
          <w:sz w:val="32"/>
          <w:szCs w:val="32"/>
        </w:rPr>
        <w:sectPr>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pPr>
      <w:bookmarkStart w:id="0" w:name="_Toc707"/>
    </w:p>
    <w:p w14:paraId="099A1555">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0"/>
        <w:rPr>
          <w:rFonts w:ascii="宋体" w:hAnsi="宋体"/>
          <w:b/>
          <w:color w:val="auto"/>
          <w:sz w:val="32"/>
          <w:szCs w:val="32"/>
        </w:rPr>
      </w:pPr>
      <w:r>
        <w:rPr>
          <w:rFonts w:hint="eastAsia" w:ascii="宋体" w:hAnsi="宋体"/>
          <w:b/>
          <w:color w:val="auto"/>
          <w:sz w:val="32"/>
          <w:szCs w:val="32"/>
        </w:rPr>
        <w:t>第一章  磋商通知</w:t>
      </w:r>
      <w:bookmarkEnd w:id="0"/>
    </w:p>
    <w:p w14:paraId="6585994A">
      <w:pPr>
        <w:bidi w:val="0"/>
        <w:outlineLvl w:val="9"/>
        <w:rPr>
          <w:color w:val="auto"/>
        </w:rPr>
      </w:pPr>
      <w:r>
        <w:rPr>
          <w:rFonts w:hint="eastAsia"/>
          <w:color w:val="auto"/>
        </w:rPr>
        <w:tab/>
      </w:r>
    </w:p>
    <w:p w14:paraId="3C311372">
      <w:pPr>
        <w:bidi w:val="0"/>
        <w:outlineLvl w:val="9"/>
        <w:rPr>
          <w:rFonts w:hint="eastAsia"/>
          <w:color w:val="auto"/>
        </w:rPr>
      </w:pPr>
    </w:p>
    <w:p w14:paraId="4E21460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ascii="宋体" w:hAnsi="宋体"/>
          <w:color w:val="auto"/>
          <w:sz w:val="24"/>
        </w:rPr>
      </w:pPr>
      <w:r>
        <w:rPr>
          <w:rFonts w:hint="eastAsia" w:ascii="宋体" w:hAnsi="宋体"/>
          <w:color w:val="auto"/>
          <w:sz w:val="24"/>
          <w:shd w:val="clear" w:color="auto" w:fill="FFFFFF"/>
        </w:rPr>
        <w:t>受</w:t>
      </w:r>
      <w:r>
        <w:rPr>
          <w:rFonts w:hint="eastAsia" w:ascii="宋体" w:hAnsi="宋体"/>
          <w:color w:val="auto"/>
          <w:sz w:val="24"/>
          <w:u w:val="single"/>
          <w:shd w:val="clear" w:color="auto" w:fill="FFFFFF"/>
          <w:lang w:val="en-US" w:eastAsia="zh-CN"/>
        </w:rPr>
        <w:t xml:space="preserve"> </w:t>
      </w:r>
      <w:r>
        <w:rPr>
          <w:rFonts w:hint="eastAsia" w:ascii="宋体" w:hAnsi="宋体"/>
          <w:color w:val="auto"/>
          <w:sz w:val="24"/>
          <w:u w:val="single"/>
          <w:lang w:eastAsia="zh-CN"/>
        </w:rPr>
        <w:t>临澧县职业中专学校</w:t>
      </w:r>
      <w:r>
        <w:rPr>
          <w:rFonts w:hint="eastAsia" w:ascii="宋体" w:hAnsi="宋体"/>
          <w:color w:val="auto"/>
          <w:sz w:val="24"/>
          <w:u w:val="single"/>
          <w:lang w:val="en-US" w:eastAsia="zh-CN"/>
        </w:rPr>
        <w:t xml:space="preserve"> </w:t>
      </w:r>
      <w:r>
        <w:rPr>
          <w:rFonts w:hint="eastAsia" w:ascii="宋体" w:hAnsi="宋体"/>
          <w:color w:val="auto"/>
          <w:sz w:val="24"/>
          <w:shd w:val="clear" w:color="auto" w:fill="FFFFFF"/>
        </w:rPr>
        <w:t>的委托，本代理机构对其所需的</w:t>
      </w:r>
      <w:r>
        <w:rPr>
          <w:rFonts w:hint="eastAsia" w:ascii="宋体" w:hAnsi="宋体"/>
          <w:color w:val="auto"/>
          <w:sz w:val="24"/>
          <w:u w:val="single"/>
          <w:shd w:val="clear" w:color="auto" w:fill="FFFFFF"/>
        </w:rPr>
        <w:t xml:space="preserve"> </w:t>
      </w:r>
      <w:r>
        <w:rPr>
          <w:rFonts w:hint="eastAsia" w:ascii="宋体" w:hAnsi="宋体"/>
          <w:color w:val="auto"/>
          <w:sz w:val="24"/>
          <w:u w:val="single"/>
          <w:shd w:val="clear" w:color="auto" w:fill="FFFFFF"/>
          <w:lang w:eastAsia="zh-CN"/>
        </w:rPr>
        <w:t>临澧县职业中专学校食堂大宗食材采购供应商选定项目</w:t>
      </w:r>
      <w:r>
        <w:rPr>
          <w:rFonts w:hint="eastAsia" w:ascii="宋体" w:hAnsi="宋体"/>
          <w:color w:val="auto"/>
          <w:sz w:val="24"/>
          <w:u w:val="single"/>
          <w:shd w:val="clear" w:color="auto" w:fill="FFFFFF"/>
          <w:lang w:val="en-US" w:eastAsia="zh-CN"/>
        </w:rPr>
        <w:t xml:space="preserve"> </w:t>
      </w:r>
      <w:r>
        <w:rPr>
          <w:rFonts w:hint="eastAsia" w:ascii="宋体" w:hAnsi="宋体"/>
          <w:color w:val="auto"/>
          <w:sz w:val="24"/>
          <w:shd w:val="clear" w:color="auto" w:fill="FFFFFF"/>
        </w:rPr>
        <w:t>项目进行</w:t>
      </w:r>
      <w:r>
        <w:rPr>
          <w:rFonts w:hint="eastAsia" w:ascii="宋体" w:hAnsi="宋体"/>
          <w:color w:val="auto"/>
          <w:sz w:val="24"/>
        </w:rPr>
        <w:t>竞争性磋商采购</w:t>
      </w:r>
      <w:r>
        <w:rPr>
          <w:rFonts w:hint="eastAsia" w:ascii="宋体" w:hAnsi="宋体"/>
          <w:color w:val="auto"/>
          <w:sz w:val="24"/>
          <w:shd w:val="clear" w:color="auto" w:fill="FFFFFF"/>
        </w:rPr>
        <w:t>，</w:t>
      </w:r>
      <w:r>
        <w:rPr>
          <w:rFonts w:hint="eastAsia" w:ascii="宋体" w:hAnsi="宋体"/>
          <w:color w:val="auto"/>
          <w:sz w:val="24"/>
        </w:rPr>
        <w:t>现采用发布公告方式，邀请符合资格条件的供应商参与竞争性磋商采购活动。</w:t>
      </w:r>
    </w:p>
    <w:p w14:paraId="6EB6CCC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color w:val="auto"/>
          <w:kern w:val="0"/>
          <w:sz w:val="24"/>
        </w:rPr>
      </w:pPr>
      <w:r>
        <w:rPr>
          <w:rFonts w:hint="eastAsia" w:ascii="宋体" w:hAnsi="宋体" w:cs="宋体"/>
          <w:b/>
          <w:bCs/>
          <w:color w:val="auto"/>
          <w:kern w:val="0"/>
          <w:sz w:val="24"/>
        </w:rPr>
        <w:t>一、项目概况：</w:t>
      </w:r>
    </w:p>
    <w:p w14:paraId="40E80EF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color w:val="auto"/>
          <w:kern w:val="0"/>
          <w:sz w:val="24"/>
        </w:rPr>
      </w:pPr>
      <w:r>
        <w:rPr>
          <w:rFonts w:hint="eastAsia" w:ascii="宋体" w:hAnsi="宋体" w:cs="宋体"/>
          <w:color w:val="auto"/>
          <w:kern w:val="0"/>
          <w:sz w:val="24"/>
        </w:rPr>
        <w:t>1、采购项目名称：</w:t>
      </w:r>
      <w:r>
        <w:rPr>
          <w:rFonts w:hint="eastAsia" w:ascii="宋体" w:hAnsi="宋体" w:cs="宋体"/>
          <w:color w:val="auto"/>
          <w:kern w:val="0"/>
          <w:sz w:val="24"/>
          <w:lang w:eastAsia="zh-CN"/>
        </w:rPr>
        <w:t>临澧县职业中专学校食堂大宗食材采购供应商选定项目</w:t>
      </w:r>
    </w:p>
    <w:p w14:paraId="5055E3A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eastAsia="zh-CN"/>
        </w:rPr>
        <w:t>计划编号</w:t>
      </w:r>
      <w:r>
        <w:rPr>
          <w:rFonts w:hint="eastAsia" w:ascii="宋体" w:hAnsi="宋体" w:cs="宋体"/>
          <w:color w:val="auto"/>
          <w:kern w:val="0"/>
          <w:sz w:val="24"/>
        </w:rPr>
        <w:t>：</w:t>
      </w:r>
      <w:r>
        <w:rPr>
          <w:rFonts w:hint="eastAsia" w:ascii="宋体" w:hAnsi="宋体" w:cs="宋体"/>
          <w:color w:val="auto"/>
          <w:kern w:val="0"/>
          <w:sz w:val="28"/>
          <w:szCs w:val="28"/>
          <w:lang w:eastAsia="zh-CN"/>
        </w:rPr>
        <w:t>CDZYZB</w:t>
      </w:r>
      <w:r>
        <w:rPr>
          <w:rFonts w:hint="eastAsia" w:ascii="宋体" w:hAnsi="宋体" w:cs="宋体"/>
          <w:color w:val="auto"/>
          <w:kern w:val="0"/>
          <w:sz w:val="28"/>
          <w:szCs w:val="28"/>
          <w:lang w:val="en-US" w:eastAsia="zh-CN"/>
        </w:rPr>
        <w:t>2024</w:t>
      </w:r>
      <w:r>
        <w:rPr>
          <w:rFonts w:hint="eastAsia" w:ascii="宋体" w:hAnsi="宋体" w:cs="宋体"/>
          <w:color w:val="auto"/>
          <w:kern w:val="0"/>
          <w:sz w:val="28"/>
          <w:szCs w:val="28"/>
          <w:lang w:eastAsia="zh-CN"/>
        </w:rPr>
        <w:t>-C-46</w:t>
      </w:r>
    </w:p>
    <w:p w14:paraId="0697FA6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color w:val="auto"/>
          <w:kern w:val="0"/>
          <w:sz w:val="24"/>
        </w:rPr>
      </w:pPr>
      <w:r>
        <w:rPr>
          <w:rFonts w:hint="eastAsia" w:ascii="宋体" w:hAnsi="宋体" w:cs="宋体"/>
          <w:color w:val="auto"/>
          <w:kern w:val="0"/>
          <w:sz w:val="24"/>
        </w:rPr>
        <w:t>3、采购项目用途、技术要求、名称及预算:</w:t>
      </w:r>
    </w:p>
    <w:tbl>
      <w:tblPr>
        <w:tblStyle w:val="50"/>
        <w:tblW w:w="4998" w:type="pct"/>
        <w:tblInd w:w="0" w:type="dxa"/>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shd w:val="clear" w:color="auto" w:fill="FFFFFF"/>
        <w:tblLayout w:type="autofit"/>
        <w:tblCellMar>
          <w:top w:w="15" w:type="dxa"/>
          <w:left w:w="15" w:type="dxa"/>
          <w:bottom w:w="15" w:type="dxa"/>
          <w:right w:w="15" w:type="dxa"/>
        </w:tblCellMar>
      </w:tblPr>
      <w:tblGrid>
        <w:gridCol w:w="1273"/>
        <w:gridCol w:w="3801"/>
        <w:gridCol w:w="2350"/>
        <w:gridCol w:w="1542"/>
      </w:tblGrid>
      <w:tr w14:paraId="3872CB1B">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shd w:val="clear" w:color="auto" w:fill="FFFFFF"/>
          <w:tblCellMar>
            <w:top w:w="15" w:type="dxa"/>
            <w:left w:w="15" w:type="dxa"/>
            <w:bottom w:w="15" w:type="dxa"/>
            <w:right w:w="15" w:type="dxa"/>
          </w:tblCellMar>
        </w:tblPrEx>
        <w:trPr>
          <w:trHeight w:val="0" w:hRule="atLeast"/>
        </w:trPr>
        <w:tc>
          <w:tcPr>
            <w:tcW w:w="710" w:type="pct"/>
            <w:tcBorders>
              <w:tl2br w:val="nil"/>
              <w:tr2bl w:val="nil"/>
            </w:tcBorders>
            <w:shd w:val="clear" w:color="auto" w:fill="DEDEDE"/>
            <w:tcMar>
              <w:top w:w="120" w:type="dxa"/>
              <w:left w:w="120" w:type="dxa"/>
              <w:bottom w:w="120" w:type="dxa"/>
              <w:right w:w="120" w:type="dxa"/>
            </w:tcMar>
            <w:vAlign w:val="center"/>
          </w:tcPr>
          <w:p w14:paraId="09DDC4DE">
            <w:pPr>
              <w:widowControl/>
              <w:adjustRightInd w:val="0"/>
              <w:snapToGrid w:val="0"/>
              <w:spacing w:line="240" w:lineRule="auto"/>
              <w:jc w:val="center"/>
              <w:rPr>
                <w:rFonts w:ascii="宋体" w:hAnsi="宋体" w:cs="宋体"/>
                <w:b/>
                <w:color w:val="auto"/>
                <w:sz w:val="24"/>
              </w:rPr>
            </w:pPr>
            <w:r>
              <w:rPr>
                <w:rFonts w:hint="eastAsia" w:ascii="宋体" w:hAnsi="宋体" w:cs="宋体"/>
                <w:b/>
                <w:color w:val="auto"/>
                <w:kern w:val="0"/>
                <w:sz w:val="24"/>
              </w:rPr>
              <w:t>分包号</w:t>
            </w:r>
          </w:p>
        </w:tc>
        <w:tc>
          <w:tcPr>
            <w:tcW w:w="2119" w:type="pct"/>
            <w:tcBorders>
              <w:tl2br w:val="nil"/>
              <w:tr2bl w:val="nil"/>
            </w:tcBorders>
            <w:shd w:val="clear" w:color="auto" w:fill="DEDEDE"/>
            <w:tcMar>
              <w:top w:w="120" w:type="dxa"/>
              <w:left w:w="120" w:type="dxa"/>
              <w:bottom w:w="120" w:type="dxa"/>
              <w:right w:w="120" w:type="dxa"/>
            </w:tcMar>
            <w:vAlign w:val="center"/>
          </w:tcPr>
          <w:p w14:paraId="253B46A5">
            <w:pPr>
              <w:widowControl/>
              <w:adjustRightInd w:val="0"/>
              <w:snapToGrid w:val="0"/>
              <w:spacing w:line="240" w:lineRule="auto"/>
              <w:jc w:val="center"/>
              <w:rPr>
                <w:rFonts w:hint="eastAsia" w:ascii="宋体" w:hAnsi="宋体" w:cs="宋体"/>
                <w:b/>
                <w:color w:val="auto"/>
                <w:kern w:val="0"/>
                <w:sz w:val="24"/>
                <w:lang w:eastAsia="zh-CN"/>
              </w:rPr>
            </w:pPr>
            <w:r>
              <w:rPr>
                <w:rFonts w:hint="eastAsia" w:ascii="宋体" w:hAnsi="宋体" w:cs="宋体"/>
                <w:b/>
                <w:color w:val="auto"/>
                <w:kern w:val="0"/>
                <w:sz w:val="24"/>
              </w:rPr>
              <w:t>包</w:t>
            </w:r>
            <w:r>
              <w:rPr>
                <w:rFonts w:hint="eastAsia" w:ascii="宋体" w:hAnsi="宋体" w:cs="宋体"/>
                <w:b/>
                <w:color w:val="auto"/>
                <w:kern w:val="0"/>
                <w:sz w:val="24"/>
                <w:lang w:val="en-US" w:eastAsia="zh-CN"/>
              </w:rPr>
              <w:t>名称</w:t>
            </w:r>
          </w:p>
        </w:tc>
        <w:tc>
          <w:tcPr>
            <w:tcW w:w="1310" w:type="pct"/>
            <w:tcBorders>
              <w:tl2br w:val="nil"/>
              <w:tr2bl w:val="nil"/>
            </w:tcBorders>
            <w:shd w:val="clear" w:color="auto" w:fill="DEDEDE"/>
            <w:tcMar>
              <w:top w:w="120" w:type="dxa"/>
              <w:left w:w="120" w:type="dxa"/>
              <w:bottom w:w="120" w:type="dxa"/>
              <w:right w:w="120" w:type="dxa"/>
            </w:tcMar>
            <w:vAlign w:val="center"/>
          </w:tcPr>
          <w:p w14:paraId="4147B4C2">
            <w:pPr>
              <w:widowControl/>
              <w:adjustRightInd w:val="0"/>
              <w:snapToGrid w:val="0"/>
              <w:spacing w:line="240" w:lineRule="auto"/>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项目基本情况</w:t>
            </w:r>
          </w:p>
        </w:tc>
        <w:tc>
          <w:tcPr>
            <w:tcW w:w="860" w:type="pct"/>
            <w:tcBorders>
              <w:tl2br w:val="nil"/>
              <w:tr2bl w:val="nil"/>
            </w:tcBorders>
            <w:shd w:val="clear" w:color="auto" w:fill="DEDEDE"/>
            <w:tcMar>
              <w:top w:w="120" w:type="dxa"/>
              <w:left w:w="120" w:type="dxa"/>
              <w:bottom w:w="120" w:type="dxa"/>
              <w:right w:w="120" w:type="dxa"/>
            </w:tcMar>
            <w:vAlign w:val="center"/>
          </w:tcPr>
          <w:p w14:paraId="3B172DC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b/>
                <w:color w:val="auto"/>
                <w:sz w:val="24"/>
                <w:lang w:val="en-US" w:eastAsia="zh-CN"/>
              </w:rPr>
            </w:pPr>
            <w:r>
              <w:rPr>
                <w:rFonts w:hint="eastAsia" w:ascii="宋体" w:hAnsi="宋体" w:cs="宋体"/>
                <w:b/>
                <w:color w:val="auto"/>
                <w:kern w:val="0"/>
                <w:sz w:val="24"/>
                <w:lang w:eastAsia="zh-CN"/>
              </w:rPr>
              <w:t>预算金额</w:t>
            </w:r>
          </w:p>
        </w:tc>
      </w:tr>
      <w:tr w14:paraId="74B4137A">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15" w:type="dxa"/>
            <w:left w:w="15" w:type="dxa"/>
            <w:bottom w:w="15" w:type="dxa"/>
            <w:right w:w="15" w:type="dxa"/>
          </w:tblCellMar>
        </w:tblPrEx>
        <w:trPr>
          <w:cantSplit/>
          <w:trHeight w:val="521" w:hRule="atLeast"/>
        </w:trPr>
        <w:tc>
          <w:tcPr>
            <w:tcW w:w="710" w:type="pct"/>
            <w:tcBorders>
              <w:tl2br w:val="nil"/>
              <w:tr2bl w:val="nil"/>
            </w:tcBorders>
            <w:shd w:val="clear" w:color="auto" w:fill="FFFFFF"/>
            <w:tcMar>
              <w:top w:w="120" w:type="dxa"/>
              <w:left w:w="120" w:type="dxa"/>
              <w:bottom w:w="120" w:type="dxa"/>
              <w:right w:w="120" w:type="dxa"/>
            </w:tcMar>
            <w:vAlign w:val="center"/>
          </w:tcPr>
          <w:p w14:paraId="2A034AA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2119" w:type="pct"/>
            <w:tcBorders>
              <w:tl2br w:val="nil"/>
              <w:tr2bl w:val="nil"/>
            </w:tcBorders>
            <w:shd w:val="clear" w:color="auto" w:fill="FFFFFF"/>
            <w:tcMar>
              <w:top w:w="120" w:type="dxa"/>
              <w:left w:w="120" w:type="dxa"/>
              <w:bottom w:w="120" w:type="dxa"/>
              <w:right w:w="120" w:type="dxa"/>
            </w:tcMar>
            <w:vAlign w:val="center"/>
          </w:tcPr>
          <w:p w14:paraId="56E131F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米面油</w:t>
            </w:r>
          </w:p>
        </w:tc>
        <w:tc>
          <w:tcPr>
            <w:tcW w:w="1310" w:type="pct"/>
            <w:tcBorders>
              <w:tl2br w:val="nil"/>
              <w:tr2bl w:val="nil"/>
            </w:tcBorders>
            <w:shd w:val="clear" w:color="auto" w:fill="FFFFFF"/>
            <w:tcMar>
              <w:top w:w="120" w:type="dxa"/>
              <w:left w:w="120" w:type="dxa"/>
              <w:bottom w:w="120" w:type="dxa"/>
              <w:right w:w="120" w:type="dxa"/>
            </w:tcMar>
            <w:vAlign w:val="center"/>
          </w:tcPr>
          <w:p w14:paraId="0C31993E">
            <w:pPr>
              <w:keepNext w:val="0"/>
              <w:keepLines w:val="0"/>
              <w:pageBreakBefore w:val="0"/>
              <w:widowControl/>
              <w:kinsoku/>
              <w:wordWrap/>
              <w:overflowPunct/>
              <w:topLinePunct w:val="0"/>
              <w:autoSpaceDE/>
              <w:autoSpaceDN/>
              <w:bidi w:val="0"/>
              <w:adjustRightInd w:val="0"/>
              <w:snapToGrid w:val="0"/>
              <w:jc w:val="center"/>
              <w:textAlignment w:val="auto"/>
              <w:rPr>
                <w:rFonts w:ascii="宋体" w:hAnsi="宋体" w:cs="宋体"/>
                <w:color w:val="auto"/>
                <w:sz w:val="24"/>
                <w:szCs w:val="24"/>
              </w:rPr>
            </w:pPr>
            <w:r>
              <w:rPr>
                <w:rFonts w:hint="eastAsia" w:ascii="宋体" w:hAnsi="宋体" w:cs="宋体"/>
                <w:color w:val="auto"/>
                <w:sz w:val="24"/>
                <w:szCs w:val="24"/>
                <w:lang w:val="en-US" w:eastAsia="zh-CN"/>
              </w:rPr>
              <w:t>详见采购需求</w:t>
            </w:r>
          </w:p>
        </w:tc>
        <w:tc>
          <w:tcPr>
            <w:tcW w:w="860" w:type="pct"/>
            <w:tcBorders>
              <w:tl2br w:val="nil"/>
              <w:tr2bl w:val="nil"/>
            </w:tcBorders>
            <w:shd w:val="clear" w:color="auto" w:fill="FFFFFF"/>
            <w:tcMar>
              <w:top w:w="120" w:type="dxa"/>
              <w:left w:w="120" w:type="dxa"/>
              <w:bottom w:w="120" w:type="dxa"/>
              <w:right w:w="120" w:type="dxa"/>
            </w:tcMar>
            <w:vAlign w:val="center"/>
          </w:tcPr>
          <w:p w14:paraId="045BD8B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零预算</w:t>
            </w:r>
          </w:p>
        </w:tc>
      </w:tr>
      <w:tr w14:paraId="79917D71">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15" w:type="dxa"/>
            <w:left w:w="15" w:type="dxa"/>
            <w:bottom w:w="15" w:type="dxa"/>
            <w:right w:w="15" w:type="dxa"/>
          </w:tblCellMar>
        </w:tblPrEx>
        <w:trPr>
          <w:cantSplit/>
          <w:trHeight w:val="521" w:hRule="atLeast"/>
        </w:trPr>
        <w:tc>
          <w:tcPr>
            <w:tcW w:w="710" w:type="pct"/>
            <w:tcBorders>
              <w:tl2br w:val="nil"/>
              <w:tr2bl w:val="nil"/>
            </w:tcBorders>
            <w:shd w:val="clear" w:color="auto" w:fill="FFFFFF"/>
            <w:tcMar>
              <w:top w:w="120" w:type="dxa"/>
              <w:left w:w="120" w:type="dxa"/>
              <w:bottom w:w="120" w:type="dxa"/>
              <w:right w:w="120" w:type="dxa"/>
            </w:tcMar>
            <w:vAlign w:val="center"/>
          </w:tcPr>
          <w:p w14:paraId="2854CC7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2119" w:type="pct"/>
            <w:tcBorders>
              <w:tl2br w:val="nil"/>
              <w:tr2bl w:val="nil"/>
            </w:tcBorders>
            <w:shd w:val="clear" w:color="auto" w:fill="FFFFFF"/>
            <w:tcMar>
              <w:top w:w="120" w:type="dxa"/>
              <w:left w:w="120" w:type="dxa"/>
              <w:bottom w:w="120" w:type="dxa"/>
              <w:right w:w="120" w:type="dxa"/>
            </w:tcMar>
            <w:vAlign w:val="center"/>
          </w:tcPr>
          <w:p w14:paraId="69541E2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肉类</w:t>
            </w:r>
          </w:p>
        </w:tc>
        <w:tc>
          <w:tcPr>
            <w:tcW w:w="1310" w:type="pct"/>
            <w:tcBorders>
              <w:tl2br w:val="nil"/>
              <w:tr2bl w:val="nil"/>
            </w:tcBorders>
            <w:shd w:val="clear" w:color="auto" w:fill="FFFFFF"/>
            <w:tcMar>
              <w:top w:w="120" w:type="dxa"/>
              <w:left w:w="120" w:type="dxa"/>
              <w:bottom w:w="120" w:type="dxa"/>
              <w:right w:w="120" w:type="dxa"/>
            </w:tcMar>
            <w:vAlign w:val="center"/>
          </w:tcPr>
          <w:p w14:paraId="7B94E92E">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详见采购需求</w:t>
            </w:r>
          </w:p>
        </w:tc>
        <w:tc>
          <w:tcPr>
            <w:tcW w:w="860" w:type="pct"/>
            <w:tcBorders>
              <w:tl2br w:val="nil"/>
              <w:tr2bl w:val="nil"/>
            </w:tcBorders>
            <w:shd w:val="clear" w:color="auto" w:fill="FFFFFF"/>
            <w:tcMar>
              <w:top w:w="120" w:type="dxa"/>
              <w:left w:w="120" w:type="dxa"/>
              <w:bottom w:w="120" w:type="dxa"/>
              <w:right w:w="120" w:type="dxa"/>
            </w:tcMar>
            <w:vAlign w:val="center"/>
          </w:tcPr>
          <w:p w14:paraId="7A595A9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零预算</w:t>
            </w:r>
          </w:p>
        </w:tc>
      </w:tr>
      <w:tr w14:paraId="33235042">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15" w:type="dxa"/>
            <w:left w:w="15" w:type="dxa"/>
            <w:bottom w:w="15" w:type="dxa"/>
            <w:right w:w="15" w:type="dxa"/>
          </w:tblCellMar>
        </w:tblPrEx>
        <w:trPr>
          <w:cantSplit/>
          <w:trHeight w:val="521" w:hRule="atLeast"/>
        </w:trPr>
        <w:tc>
          <w:tcPr>
            <w:tcW w:w="710" w:type="pct"/>
            <w:tcBorders>
              <w:tl2br w:val="nil"/>
              <w:tr2bl w:val="nil"/>
            </w:tcBorders>
            <w:shd w:val="clear" w:color="auto" w:fill="FFFFFF"/>
            <w:tcMar>
              <w:top w:w="120" w:type="dxa"/>
              <w:left w:w="120" w:type="dxa"/>
              <w:bottom w:w="120" w:type="dxa"/>
              <w:right w:w="120" w:type="dxa"/>
            </w:tcMar>
            <w:vAlign w:val="center"/>
          </w:tcPr>
          <w:p w14:paraId="6AE988C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w:t>
            </w:r>
          </w:p>
        </w:tc>
        <w:tc>
          <w:tcPr>
            <w:tcW w:w="2119" w:type="pct"/>
            <w:tcBorders>
              <w:tl2br w:val="nil"/>
              <w:tr2bl w:val="nil"/>
            </w:tcBorders>
            <w:shd w:val="clear" w:color="auto" w:fill="FFFFFF"/>
            <w:tcMar>
              <w:top w:w="120" w:type="dxa"/>
              <w:left w:w="120" w:type="dxa"/>
              <w:bottom w:w="120" w:type="dxa"/>
              <w:right w:w="120" w:type="dxa"/>
            </w:tcMar>
            <w:vAlign w:val="center"/>
          </w:tcPr>
          <w:p w14:paraId="65A8534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蔬菜类</w:t>
            </w:r>
          </w:p>
        </w:tc>
        <w:tc>
          <w:tcPr>
            <w:tcW w:w="1310" w:type="pct"/>
            <w:tcBorders>
              <w:tl2br w:val="nil"/>
              <w:tr2bl w:val="nil"/>
            </w:tcBorders>
            <w:shd w:val="clear" w:color="auto" w:fill="FFFFFF"/>
            <w:tcMar>
              <w:top w:w="120" w:type="dxa"/>
              <w:left w:w="120" w:type="dxa"/>
              <w:bottom w:w="120" w:type="dxa"/>
              <w:right w:w="120" w:type="dxa"/>
            </w:tcMar>
            <w:vAlign w:val="center"/>
          </w:tcPr>
          <w:p w14:paraId="338FA595">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详见采购需求</w:t>
            </w:r>
          </w:p>
        </w:tc>
        <w:tc>
          <w:tcPr>
            <w:tcW w:w="860" w:type="pct"/>
            <w:tcBorders>
              <w:tl2br w:val="nil"/>
              <w:tr2bl w:val="nil"/>
            </w:tcBorders>
            <w:shd w:val="clear" w:color="auto" w:fill="FFFFFF"/>
            <w:tcMar>
              <w:top w:w="120" w:type="dxa"/>
              <w:left w:w="120" w:type="dxa"/>
              <w:bottom w:w="120" w:type="dxa"/>
              <w:right w:w="120" w:type="dxa"/>
            </w:tcMar>
            <w:vAlign w:val="center"/>
          </w:tcPr>
          <w:p w14:paraId="1FC1547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零预算</w:t>
            </w:r>
          </w:p>
        </w:tc>
      </w:tr>
      <w:tr w14:paraId="2B9B7DF4">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15" w:type="dxa"/>
            <w:left w:w="15" w:type="dxa"/>
            <w:bottom w:w="15" w:type="dxa"/>
            <w:right w:w="15" w:type="dxa"/>
          </w:tblCellMar>
        </w:tblPrEx>
        <w:trPr>
          <w:cantSplit/>
          <w:trHeight w:val="521" w:hRule="atLeast"/>
        </w:trPr>
        <w:tc>
          <w:tcPr>
            <w:tcW w:w="710" w:type="pct"/>
            <w:tcBorders>
              <w:tl2br w:val="nil"/>
              <w:tr2bl w:val="nil"/>
            </w:tcBorders>
            <w:shd w:val="clear" w:color="auto" w:fill="FFFFFF"/>
            <w:tcMar>
              <w:top w:w="120" w:type="dxa"/>
              <w:left w:w="120" w:type="dxa"/>
              <w:bottom w:w="120" w:type="dxa"/>
              <w:right w:w="120" w:type="dxa"/>
            </w:tcMar>
            <w:vAlign w:val="center"/>
          </w:tcPr>
          <w:p w14:paraId="0C884DE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2119" w:type="pct"/>
            <w:tcBorders>
              <w:tl2br w:val="nil"/>
              <w:tr2bl w:val="nil"/>
            </w:tcBorders>
            <w:shd w:val="clear" w:color="auto" w:fill="FFFFFF"/>
            <w:tcMar>
              <w:top w:w="120" w:type="dxa"/>
              <w:left w:w="120" w:type="dxa"/>
              <w:bottom w:w="120" w:type="dxa"/>
              <w:right w:w="120" w:type="dxa"/>
            </w:tcMar>
            <w:vAlign w:val="center"/>
          </w:tcPr>
          <w:p w14:paraId="1CDBB2B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其他类</w:t>
            </w:r>
          </w:p>
        </w:tc>
        <w:tc>
          <w:tcPr>
            <w:tcW w:w="1310" w:type="pct"/>
            <w:tcBorders>
              <w:tl2br w:val="nil"/>
              <w:tr2bl w:val="nil"/>
            </w:tcBorders>
            <w:shd w:val="clear" w:color="auto" w:fill="FFFFFF"/>
            <w:tcMar>
              <w:top w:w="120" w:type="dxa"/>
              <w:left w:w="120" w:type="dxa"/>
              <w:bottom w:w="120" w:type="dxa"/>
              <w:right w:w="120" w:type="dxa"/>
            </w:tcMar>
            <w:vAlign w:val="center"/>
          </w:tcPr>
          <w:p w14:paraId="2D917338">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详见采购需求</w:t>
            </w:r>
          </w:p>
        </w:tc>
        <w:tc>
          <w:tcPr>
            <w:tcW w:w="860" w:type="pct"/>
            <w:tcBorders>
              <w:tl2br w:val="nil"/>
              <w:tr2bl w:val="nil"/>
            </w:tcBorders>
            <w:shd w:val="clear" w:color="auto" w:fill="FFFFFF"/>
            <w:tcMar>
              <w:top w:w="120" w:type="dxa"/>
              <w:left w:w="120" w:type="dxa"/>
              <w:bottom w:w="120" w:type="dxa"/>
              <w:right w:w="120" w:type="dxa"/>
            </w:tcMar>
            <w:vAlign w:val="center"/>
          </w:tcPr>
          <w:p w14:paraId="39FB569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零预算</w:t>
            </w:r>
          </w:p>
        </w:tc>
      </w:tr>
    </w:tbl>
    <w:p w14:paraId="1959950A">
      <w:pPr>
        <w:keepNext w:val="0"/>
        <w:keepLines w:val="0"/>
        <w:pageBreakBefore w:val="0"/>
        <w:widowControl/>
        <w:shd w:val="clear" w:color="auto" w:fill="FFFFFF"/>
        <w:kinsoku/>
        <w:wordWrap/>
        <w:overflowPunct/>
        <w:topLinePunct w:val="0"/>
        <w:autoSpaceDE/>
        <w:autoSpaceDN/>
        <w:bidi w:val="0"/>
        <w:adjustRightInd w:val="0"/>
        <w:snapToGrid w:val="0"/>
        <w:spacing w:before="157" w:beforeLines="50" w:line="360" w:lineRule="auto"/>
        <w:ind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rPr>
        <w:t>采购项目的主要需求及磋商可能实质性变动内容:</w:t>
      </w:r>
    </w:p>
    <w:tbl>
      <w:tblPr>
        <w:tblStyle w:val="50"/>
        <w:tblW w:w="5070" w:type="pct"/>
        <w:tblInd w:w="-57" w:type="dxa"/>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Layout w:type="autofit"/>
        <w:tblCellMar>
          <w:top w:w="15" w:type="dxa"/>
          <w:left w:w="15" w:type="dxa"/>
          <w:bottom w:w="15" w:type="dxa"/>
          <w:right w:w="15" w:type="dxa"/>
        </w:tblCellMar>
      </w:tblPr>
      <w:tblGrid>
        <w:gridCol w:w="2295"/>
        <w:gridCol w:w="3424"/>
        <w:gridCol w:w="1073"/>
        <w:gridCol w:w="1073"/>
        <w:gridCol w:w="1078"/>
      </w:tblGrid>
      <w:tr w14:paraId="008C126A">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213" w:hRule="atLeast"/>
        </w:trPr>
        <w:tc>
          <w:tcPr>
            <w:tcW w:w="1283" w:type="pct"/>
            <w:vMerge w:val="restart"/>
            <w:shd w:val="clear" w:color="auto" w:fill="E3E3E3"/>
            <w:tcMar>
              <w:top w:w="45" w:type="dxa"/>
              <w:left w:w="45" w:type="dxa"/>
              <w:bottom w:w="45" w:type="dxa"/>
              <w:right w:w="45" w:type="dxa"/>
            </w:tcMar>
            <w:vAlign w:val="center"/>
          </w:tcPr>
          <w:p w14:paraId="2F59FB1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b/>
                <w:bCs/>
                <w:color w:val="auto"/>
                <w:kern w:val="0"/>
                <w:sz w:val="24"/>
              </w:rPr>
            </w:pPr>
            <w:r>
              <w:rPr>
                <w:rFonts w:ascii="宋体" w:hAnsi="宋体" w:cs="宋体"/>
                <w:b/>
                <w:bCs/>
                <w:color w:val="auto"/>
                <w:kern w:val="0"/>
                <w:sz w:val="24"/>
              </w:rPr>
              <w:t>包/品目</w:t>
            </w:r>
          </w:p>
        </w:tc>
        <w:tc>
          <w:tcPr>
            <w:tcW w:w="1913" w:type="pct"/>
            <w:vMerge w:val="restart"/>
            <w:shd w:val="clear" w:color="auto" w:fill="E3E3E3"/>
            <w:tcMar>
              <w:top w:w="45" w:type="dxa"/>
              <w:left w:w="45" w:type="dxa"/>
              <w:bottom w:w="45" w:type="dxa"/>
              <w:right w:w="45" w:type="dxa"/>
            </w:tcMar>
            <w:vAlign w:val="center"/>
          </w:tcPr>
          <w:p w14:paraId="6AFB3F7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b/>
                <w:bCs/>
                <w:color w:val="auto"/>
                <w:kern w:val="0"/>
                <w:sz w:val="24"/>
              </w:rPr>
            </w:pPr>
            <w:r>
              <w:rPr>
                <w:rFonts w:ascii="宋体" w:hAnsi="宋体" w:cs="宋体"/>
                <w:b/>
                <w:bCs/>
                <w:color w:val="auto"/>
                <w:kern w:val="0"/>
                <w:sz w:val="24"/>
              </w:rPr>
              <w:t>标的物名称</w:t>
            </w:r>
          </w:p>
        </w:tc>
        <w:tc>
          <w:tcPr>
            <w:tcW w:w="1802" w:type="pct"/>
            <w:gridSpan w:val="3"/>
            <w:shd w:val="clear" w:color="auto" w:fill="E3E3E3"/>
            <w:tcMar>
              <w:top w:w="45" w:type="dxa"/>
              <w:left w:w="45" w:type="dxa"/>
              <w:bottom w:w="45" w:type="dxa"/>
              <w:right w:w="45" w:type="dxa"/>
            </w:tcMar>
            <w:vAlign w:val="center"/>
          </w:tcPr>
          <w:p w14:paraId="555A986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b/>
                <w:bCs/>
                <w:color w:val="auto"/>
                <w:kern w:val="0"/>
                <w:sz w:val="24"/>
              </w:rPr>
            </w:pPr>
            <w:r>
              <w:rPr>
                <w:rFonts w:ascii="宋体" w:hAnsi="宋体" w:cs="宋体"/>
                <w:b/>
                <w:bCs/>
                <w:color w:val="auto"/>
                <w:kern w:val="0"/>
                <w:sz w:val="24"/>
              </w:rPr>
              <w:t>标的主要需求</w:t>
            </w:r>
          </w:p>
        </w:tc>
      </w:tr>
      <w:tr w14:paraId="043744CC">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228" w:hRule="atLeast"/>
        </w:trPr>
        <w:tc>
          <w:tcPr>
            <w:tcW w:w="1283" w:type="pct"/>
            <w:vMerge w:val="continue"/>
            <w:shd w:val="clear" w:color="auto" w:fill="E3E3E3"/>
            <w:vAlign w:val="center"/>
          </w:tcPr>
          <w:p w14:paraId="38890077">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rPr>
            </w:pPr>
          </w:p>
        </w:tc>
        <w:tc>
          <w:tcPr>
            <w:tcW w:w="1913" w:type="pct"/>
            <w:vMerge w:val="continue"/>
            <w:shd w:val="clear" w:color="auto" w:fill="E3E3E3"/>
            <w:vAlign w:val="center"/>
          </w:tcPr>
          <w:p w14:paraId="3F98F189">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rPr>
            </w:pPr>
          </w:p>
        </w:tc>
        <w:tc>
          <w:tcPr>
            <w:tcW w:w="600" w:type="pct"/>
            <w:shd w:val="clear" w:color="auto" w:fill="E3E3E3"/>
            <w:tcMar>
              <w:top w:w="45" w:type="dxa"/>
              <w:left w:w="45" w:type="dxa"/>
              <w:bottom w:w="45" w:type="dxa"/>
              <w:right w:w="45" w:type="dxa"/>
            </w:tcMar>
            <w:vAlign w:val="center"/>
          </w:tcPr>
          <w:p w14:paraId="08F36C04">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rPr>
            </w:pPr>
            <w:r>
              <w:rPr>
                <w:rFonts w:hint="eastAsia" w:ascii="宋体" w:hAnsi="宋体" w:cs="宋体"/>
                <w:b/>
                <w:bCs/>
                <w:color w:val="auto"/>
                <w:kern w:val="0"/>
                <w:sz w:val="24"/>
              </w:rPr>
              <w:t xml:space="preserve">  </w:t>
            </w:r>
            <w:r>
              <w:rPr>
                <w:rFonts w:ascii="宋体" w:hAnsi="宋体" w:cs="宋体"/>
                <w:b/>
                <w:bCs/>
                <w:color w:val="auto"/>
                <w:kern w:val="0"/>
                <w:sz w:val="24"/>
              </w:rPr>
              <w:t>技术</w:t>
            </w:r>
          </w:p>
        </w:tc>
        <w:tc>
          <w:tcPr>
            <w:tcW w:w="600" w:type="pct"/>
            <w:shd w:val="clear" w:color="auto" w:fill="E3E3E3"/>
            <w:tcMar>
              <w:top w:w="45" w:type="dxa"/>
              <w:left w:w="45" w:type="dxa"/>
              <w:bottom w:w="45" w:type="dxa"/>
              <w:right w:w="45" w:type="dxa"/>
            </w:tcMar>
            <w:vAlign w:val="center"/>
          </w:tcPr>
          <w:p w14:paraId="43A486E1">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rPr>
            </w:pPr>
            <w:r>
              <w:rPr>
                <w:rFonts w:hint="eastAsia" w:ascii="宋体" w:hAnsi="宋体" w:cs="宋体"/>
                <w:b/>
                <w:bCs/>
                <w:color w:val="auto"/>
                <w:kern w:val="0"/>
                <w:sz w:val="24"/>
              </w:rPr>
              <w:t xml:space="preserve">  </w:t>
            </w:r>
            <w:r>
              <w:rPr>
                <w:rFonts w:ascii="宋体" w:hAnsi="宋体" w:cs="宋体"/>
                <w:b/>
                <w:bCs/>
                <w:color w:val="auto"/>
                <w:kern w:val="0"/>
                <w:sz w:val="24"/>
              </w:rPr>
              <w:t>服务</w:t>
            </w:r>
          </w:p>
        </w:tc>
        <w:tc>
          <w:tcPr>
            <w:tcW w:w="602" w:type="pct"/>
            <w:shd w:val="clear" w:color="auto" w:fill="E3E3E3"/>
            <w:tcMar>
              <w:top w:w="45" w:type="dxa"/>
              <w:left w:w="45" w:type="dxa"/>
              <w:bottom w:w="45" w:type="dxa"/>
              <w:right w:w="45" w:type="dxa"/>
            </w:tcMar>
            <w:vAlign w:val="center"/>
          </w:tcPr>
          <w:p w14:paraId="76C2E765">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rPr>
            </w:pPr>
            <w:r>
              <w:rPr>
                <w:rFonts w:ascii="宋体" w:hAnsi="宋体" w:cs="宋体"/>
                <w:b/>
                <w:bCs/>
                <w:color w:val="auto"/>
                <w:kern w:val="0"/>
                <w:sz w:val="24"/>
              </w:rPr>
              <w:t>合同条款</w:t>
            </w:r>
          </w:p>
        </w:tc>
      </w:tr>
      <w:tr w14:paraId="44CD839D">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626" w:hRule="atLeast"/>
        </w:trPr>
        <w:tc>
          <w:tcPr>
            <w:tcW w:w="1283" w:type="pct"/>
            <w:tcMar>
              <w:top w:w="45" w:type="dxa"/>
              <w:left w:w="45" w:type="dxa"/>
              <w:bottom w:w="45" w:type="dxa"/>
              <w:right w:w="45" w:type="dxa"/>
            </w:tcMar>
            <w:vAlign w:val="center"/>
          </w:tcPr>
          <w:p w14:paraId="6E1CC8A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hint="eastAsia" w:ascii="宋体" w:hAnsi="宋体" w:cs="宋体"/>
                <w:color w:val="auto"/>
                <w:sz w:val="24"/>
                <w:szCs w:val="24"/>
                <w:lang w:val="en-US" w:eastAsia="zh-CN"/>
              </w:rPr>
              <w:t>1</w:t>
            </w:r>
          </w:p>
        </w:tc>
        <w:tc>
          <w:tcPr>
            <w:tcW w:w="1913" w:type="pct"/>
            <w:tcMar>
              <w:top w:w="45" w:type="dxa"/>
              <w:left w:w="45" w:type="dxa"/>
              <w:bottom w:w="45" w:type="dxa"/>
              <w:right w:w="45" w:type="dxa"/>
            </w:tcMar>
            <w:vAlign w:val="center"/>
          </w:tcPr>
          <w:p w14:paraId="2E66282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hint="eastAsia" w:ascii="宋体" w:hAnsi="宋体" w:cs="宋体"/>
                <w:color w:val="auto"/>
                <w:sz w:val="24"/>
                <w:szCs w:val="24"/>
                <w:lang w:val="en-US" w:eastAsia="zh-CN"/>
              </w:rPr>
              <w:t>米面油</w:t>
            </w:r>
          </w:p>
        </w:tc>
        <w:tc>
          <w:tcPr>
            <w:tcW w:w="1802" w:type="pct"/>
            <w:gridSpan w:val="3"/>
            <w:tcMar>
              <w:top w:w="45" w:type="dxa"/>
              <w:left w:w="45" w:type="dxa"/>
              <w:bottom w:w="45" w:type="dxa"/>
              <w:right w:w="45" w:type="dxa"/>
            </w:tcMar>
            <w:vAlign w:val="center"/>
          </w:tcPr>
          <w:p w14:paraId="1A0A010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hint="eastAsia" w:ascii="宋体" w:hAnsi="宋体" w:cs="宋体"/>
                <w:color w:val="auto"/>
                <w:kern w:val="0"/>
                <w:sz w:val="24"/>
              </w:rPr>
              <w:t>详见磋商文件</w:t>
            </w:r>
          </w:p>
        </w:tc>
      </w:tr>
      <w:tr w14:paraId="3CA9AFF8">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626" w:hRule="atLeast"/>
        </w:trPr>
        <w:tc>
          <w:tcPr>
            <w:tcW w:w="1283" w:type="pct"/>
            <w:tcMar>
              <w:top w:w="45" w:type="dxa"/>
              <w:left w:w="45" w:type="dxa"/>
              <w:bottom w:w="45" w:type="dxa"/>
              <w:right w:w="45" w:type="dxa"/>
            </w:tcMar>
            <w:vAlign w:val="center"/>
          </w:tcPr>
          <w:p w14:paraId="369A5C9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1913" w:type="pct"/>
            <w:tcMar>
              <w:top w:w="45" w:type="dxa"/>
              <w:left w:w="45" w:type="dxa"/>
              <w:bottom w:w="45" w:type="dxa"/>
              <w:right w:w="45" w:type="dxa"/>
            </w:tcMar>
            <w:vAlign w:val="center"/>
          </w:tcPr>
          <w:p w14:paraId="115E016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肉类</w:t>
            </w:r>
          </w:p>
        </w:tc>
        <w:tc>
          <w:tcPr>
            <w:tcW w:w="1802" w:type="pct"/>
            <w:gridSpan w:val="3"/>
            <w:tcMar>
              <w:top w:w="45" w:type="dxa"/>
              <w:left w:w="45" w:type="dxa"/>
              <w:bottom w:w="45" w:type="dxa"/>
              <w:right w:w="45" w:type="dxa"/>
            </w:tcMar>
            <w:vAlign w:val="center"/>
          </w:tcPr>
          <w:p w14:paraId="254B800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kern w:val="0"/>
                <w:sz w:val="24"/>
              </w:rPr>
            </w:pPr>
            <w:r>
              <w:rPr>
                <w:rFonts w:hint="eastAsia" w:ascii="宋体" w:hAnsi="宋体" w:cs="宋体"/>
                <w:color w:val="auto"/>
                <w:kern w:val="0"/>
                <w:sz w:val="24"/>
              </w:rPr>
              <w:t>详见磋商文件</w:t>
            </w:r>
          </w:p>
        </w:tc>
      </w:tr>
      <w:tr w14:paraId="23FD5DDB">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626" w:hRule="atLeast"/>
        </w:trPr>
        <w:tc>
          <w:tcPr>
            <w:tcW w:w="1283" w:type="pct"/>
            <w:tcMar>
              <w:top w:w="45" w:type="dxa"/>
              <w:left w:w="45" w:type="dxa"/>
              <w:bottom w:w="45" w:type="dxa"/>
              <w:right w:w="45" w:type="dxa"/>
            </w:tcMar>
            <w:vAlign w:val="center"/>
          </w:tcPr>
          <w:p w14:paraId="5ECD801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w:t>
            </w:r>
          </w:p>
        </w:tc>
        <w:tc>
          <w:tcPr>
            <w:tcW w:w="1913" w:type="pct"/>
            <w:tcMar>
              <w:top w:w="45" w:type="dxa"/>
              <w:left w:w="45" w:type="dxa"/>
              <w:bottom w:w="45" w:type="dxa"/>
              <w:right w:w="45" w:type="dxa"/>
            </w:tcMar>
            <w:vAlign w:val="center"/>
          </w:tcPr>
          <w:p w14:paraId="3E6D8B0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蔬菜类</w:t>
            </w:r>
          </w:p>
        </w:tc>
        <w:tc>
          <w:tcPr>
            <w:tcW w:w="1802" w:type="pct"/>
            <w:gridSpan w:val="3"/>
            <w:tcMar>
              <w:top w:w="45" w:type="dxa"/>
              <w:left w:w="45" w:type="dxa"/>
              <w:bottom w:w="45" w:type="dxa"/>
              <w:right w:w="45" w:type="dxa"/>
            </w:tcMar>
            <w:vAlign w:val="center"/>
          </w:tcPr>
          <w:p w14:paraId="56C54EE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kern w:val="0"/>
                <w:sz w:val="24"/>
              </w:rPr>
            </w:pPr>
            <w:r>
              <w:rPr>
                <w:rFonts w:hint="eastAsia" w:ascii="宋体" w:hAnsi="宋体" w:cs="宋体"/>
                <w:color w:val="auto"/>
                <w:kern w:val="0"/>
                <w:sz w:val="24"/>
              </w:rPr>
              <w:t>详见磋商文件</w:t>
            </w:r>
          </w:p>
        </w:tc>
      </w:tr>
      <w:tr w14:paraId="7A79352B">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626" w:hRule="atLeast"/>
        </w:trPr>
        <w:tc>
          <w:tcPr>
            <w:tcW w:w="1283" w:type="pct"/>
            <w:tcMar>
              <w:top w:w="45" w:type="dxa"/>
              <w:left w:w="45" w:type="dxa"/>
              <w:bottom w:w="45" w:type="dxa"/>
              <w:right w:w="45" w:type="dxa"/>
            </w:tcMar>
            <w:vAlign w:val="center"/>
          </w:tcPr>
          <w:p w14:paraId="45F69E6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1913" w:type="pct"/>
            <w:tcMar>
              <w:top w:w="45" w:type="dxa"/>
              <w:left w:w="45" w:type="dxa"/>
              <w:bottom w:w="45" w:type="dxa"/>
              <w:right w:w="45" w:type="dxa"/>
            </w:tcMar>
            <w:vAlign w:val="center"/>
          </w:tcPr>
          <w:p w14:paraId="07DA8B7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其他类</w:t>
            </w:r>
          </w:p>
        </w:tc>
        <w:tc>
          <w:tcPr>
            <w:tcW w:w="1802" w:type="pct"/>
            <w:gridSpan w:val="3"/>
            <w:tcMar>
              <w:top w:w="45" w:type="dxa"/>
              <w:left w:w="45" w:type="dxa"/>
              <w:bottom w:w="45" w:type="dxa"/>
              <w:right w:w="45" w:type="dxa"/>
            </w:tcMar>
            <w:vAlign w:val="center"/>
          </w:tcPr>
          <w:p w14:paraId="0FC523C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kern w:val="0"/>
                <w:sz w:val="24"/>
              </w:rPr>
            </w:pPr>
            <w:r>
              <w:rPr>
                <w:rFonts w:hint="eastAsia" w:ascii="宋体" w:hAnsi="宋体" w:cs="宋体"/>
                <w:color w:val="auto"/>
                <w:kern w:val="0"/>
                <w:sz w:val="24"/>
              </w:rPr>
              <w:t>详见磋商文件</w:t>
            </w:r>
          </w:p>
        </w:tc>
      </w:tr>
      <w:tr w14:paraId="79DF2AE0">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551" w:hRule="atLeast"/>
        </w:trPr>
        <w:tc>
          <w:tcPr>
            <w:tcW w:w="3197" w:type="pct"/>
            <w:gridSpan w:val="2"/>
            <w:vAlign w:val="center"/>
          </w:tcPr>
          <w:p w14:paraId="6EFC59B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hint="eastAsia" w:ascii="宋体" w:hAnsi="宋体" w:cs="宋体"/>
                <w:color w:val="auto"/>
                <w:kern w:val="0"/>
                <w:sz w:val="24"/>
              </w:rPr>
              <w:t>竞争性磋商项目可能实质性变动内容</w:t>
            </w:r>
          </w:p>
        </w:tc>
        <w:tc>
          <w:tcPr>
            <w:tcW w:w="600" w:type="pct"/>
            <w:tcMar>
              <w:top w:w="45" w:type="dxa"/>
              <w:left w:w="45" w:type="dxa"/>
              <w:bottom w:w="45" w:type="dxa"/>
              <w:right w:w="45" w:type="dxa"/>
            </w:tcMar>
            <w:vAlign w:val="center"/>
          </w:tcPr>
          <w:p w14:paraId="146EB57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ascii="宋体" w:hAnsi="宋体" w:cs="宋体"/>
                <w:color w:val="auto"/>
                <w:kern w:val="0"/>
                <w:sz w:val="24"/>
              </w:rPr>
              <w:t>否</w:t>
            </w:r>
          </w:p>
        </w:tc>
        <w:tc>
          <w:tcPr>
            <w:tcW w:w="600" w:type="pct"/>
            <w:tcMar>
              <w:top w:w="45" w:type="dxa"/>
              <w:left w:w="45" w:type="dxa"/>
              <w:bottom w:w="45" w:type="dxa"/>
              <w:right w:w="45" w:type="dxa"/>
            </w:tcMar>
            <w:vAlign w:val="center"/>
          </w:tcPr>
          <w:p w14:paraId="072B90E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ascii="宋体" w:hAnsi="宋体" w:cs="宋体"/>
                <w:color w:val="auto"/>
                <w:kern w:val="0"/>
                <w:sz w:val="24"/>
              </w:rPr>
              <w:t>否</w:t>
            </w:r>
          </w:p>
        </w:tc>
        <w:tc>
          <w:tcPr>
            <w:tcW w:w="602" w:type="pct"/>
            <w:tcMar>
              <w:top w:w="45" w:type="dxa"/>
              <w:left w:w="45" w:type="dxa"/>
              <w:bottom w:w="45" w:type="dxa"/>
              <w:right w:w="45" w:type="dxa"/>
            </w:tcMar>
            <w:vAlign w:val="center"/>
          </w:tcPr>
          <w:p w14:paraId="6719A0B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rPr>
            </w:pPr>
            <w:r>
              <w:rPr>
                <w:rFonts w:ascii="宋体" w:hAnsi="宋体" w:cs="宋体"/>
                <w:color w:val="auto"/>
                <w:kern w:val="0"/>
                <w:sz w:val="24"/>
              </w:rPr>
              <w:t>否</w:t>
            </w:r>
          </w:p>
        </w:tc>
      </w:tr>
    </w:tbl>
    <w:p w14:paraId="7CF2DD9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b/>
          <w:bCs/>
          <w:color w:val="auto"/>
          <w:kern w:val="0"/>
          <w:sz w:val="24"/>
        </w:rPr>
        <w:t>二、供应商资质要求：</w:t>
      </w:r>
    </w:p>
    <w:p w14:paraId="4505500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b/>
          <w:bCs/>
          <w:color w:val="auto"/>
          <w:kern w:val="0"/>
          <w:sz w:val="24"/>
        </w:rPr>
        <w:t>2.1供应商基本资质要求：</w:t>
      </w:r>
    </w:p>
    <w:p w14:paraId="18B0C3C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lang w:eastAsia="zh-CN"/>
        </w:rPr>
        <w:t>①</w:t>
      </w:r>
      <w:r>
        <w:rPr>
          <w:rFonts w:hint="eastAsia" w:ascii="宋体" w:hAnsi="宋体" w:cs="宋体"/>
          <w:color w:val="auto"/>
          <w:kern w:val="0"/>
          <w:sz w:val="24"/>
        </w:rPr>
        <w:t>具有独立承担民事责任的能力；</w:t>
      </w:r>
    </w:p>
    <w:p w14:paraId="7D782B7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lang w:eastAsia="zh-CN"/>
        </w:rPr>
        <w:t>②</w:t>
      </w:r>
      <w:r>
        <w:rPr>
          <w:rFonts w:hint="eastAsia" w:ascii="宋体" w:hAnsi="宋体" w:cs="宋体"/>
          <w:color w:val="auto"/>
          <w:kern w:val="0"/>
          <w:sz w:val="24"/>
        </w:rPr>
        <w:t>具有良好的商业信誉和健全的财务会计制度；</w:t>
      </w:r>
    </w:p>
    <w:p w14:paraId="1A632B7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lang w:eastAsia="zh-CN"/>
        </w:rPr>
        <w:t>③</w:t>
      </w:r>
      <w:r>
        <w:rPr>
          <w:rFonts w:hint="eastAsia" w:ascii="宋体" w:hAnsi="宋体" w:cs="宋体"/>
          <w:color w:val="auto"/>
          <w:kern w:val="0"/>
          <w:sz w:val="24"/>
        </w:rPr>
        <w:t>具有履行合同所必需的设备和专业技术能力；</w:t>
      </w:r>
    </w:p>
    <w:p w14:paraId="20EF458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lang w:eastAsia="zh-CN"/>
        </w:rPr>
        <w:t>④</w:t>
      </w:r>
      <w:r>
        <w:rPr>
          <w:rFonts w:hint="eastAsia" w:ascii="宋体" w:hAnsi="宋体" w:cs="宋体"/>
          <w:color w:val="auto"/>
          <w:kern w:val="0"/>
          <w:sz w:val="24"/>
        </w:rPr>
        <w:t>有依法缴纳税收和社会保障资金的良好记录；</w:t>
      </w:r>
    </w:p>
    <w:p w14:paraId="650938D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lang w:eastAsia="zh-CN"/>
        </w:rPr>
        <w:t>⑤</w:t>
      </w:r>
      <w:r>
        <w:rPr>
          <w:rFonts w:hint="eastAsia" w:ascii="宋体" w:hAnsi="宋体" w:cs="宋体"/>
          <w:color w:val="auto"/>
          <w:kern w:val="0"/>
          <w:sz w:val="24"/>
        </w:rPr>
        <w:t>参加采购活动前三年内，在经营活动中没有重大违法记录；</w:t>
      </w:r>
    </w:p>
    <w:p w14:paraId="0500A74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rPr>
      </w:pPr>
      <w:r>
        <w:rPr>
          <w:rFonts w:hint="eastAsia" w:ascii="宋体" w:hAnsi="宋体" w:cs="宋体"/>
          <w:color w:val="auto"/>
          <w:kern w:val="0"/>
          <w:sz w:val="24"/>
          <w:lang w:eastAsia="zh-CN"/>
        </w:rPr>
        <w:t>⑥</w:t>
      </w:r>
      <w:r>
        <w:rPr>
          <w:rFonts w:hint="eastAsia" w:ascii="宋体" w:hAnsi="宋体" w:cs="宋体"/>
          <w:color w:val="auto"/>
          <w:kern w:val="0"/>
          <w:sz w:val="24"/>
        </w:rPr>
        <w:t>法律、行政法规规定的其他条件。</w:t>
      </w:r>
    </w:p>
    <w:p w14:paraId="1C04DF7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lang w:eastAsia="zh-CN"/>
        </w:rPr>
      </w:pPr>
      <w:r>
        <w:rPr>
          <w:rFonts w:hint="eastAsia" w:ascii="宋体" w:hAnsi="宋体" w:cs="宋体"/>
          <w:b/>
          <w:bCs/>
          <w:color w:val="auto"/>
          <w:kern w:val="0"/>
          <w:sz w:val="24"/>
        </w:rPr>
        <w:t>2.2供应商特定资格要求：</w:t>
      </w:r>
      <w:r>
        <w:rPr>
          <w:rFonts w:hint="eastAsia" w:ascii="宋体" w:hAnsi="宋体" w:cs="宋体"/>
          <w:color w:val="auto"/>
          <w:kern w:val="0"/>
          <w:sz w:val="24"/>
          <w:lang w:eastAsia="zh-CN"/>
        </w:rPr>
        <w:t>从事食品生产、食品销售、餐饮服务，应当依法取得许可。但是，销售食用农产品和仅销售预包装食品的，不需要取得许可。需要取得许可或备案的食材，供应商应取得相应品类的许可或备案。</w:t>
      </w:r>
    </w:p>
    <w:p w14:paraId="363B90C2">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ascii="宋体" w:hAnsi="宋体" w:cs="宋体"/>
          <w:kern w:val="0"/>
          <w:sz w:val="24"/>
        </w:rPr>
      </w:pPr>
      <w:r>
        <w:rPr>
          <w:rFonts w:hint="eastAsia" w:ascii="宋体" w:hAnsi="宋体" w:cs="宋体"/>
          <w:b/>
          <w:bCs/>
          <w:sz w:val="24"/>
          <w:szCs w:val="32"/>
        </w:rPr>
        <w:t>2.3落实政府采购政策需满足的资格要求：</w:t>
      </w:r>
      <w:r>
        <w:rPr>
          <w:rFonts w:hint="eastAsia" w:ascii="宋体" w:hAnsi="宋体" w:cs="宋体"/>
          <w:b w:val="0"/>
          <w:bCs w:val="0"/>
          <w:sz w:val="24"/>
          <w:szCs w:val="32"/>
          <w:lang w:val="en-US" w:eastAsia="zh-CN"/>
        </w:rPr>
        <w:t>无</w:t>
      </w:r>
      <w:r>
        <w:rPr>
          <w:rFonts w:hint="eastAsia" w:ascii="宋体" w:hAnsi="宋体" w:cs="宋体"/>
          <w:kern w:val="0"/>
          <w:sz w:val="24"/>
        </w:rPr>
        <w:t>。</w:t>
      </w:r>
    </w:p>
    <w:p w14:paraId="1A16DD66">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ascii="宋体" w:hAnsi="宋体" w:cs="宋体"/>
          <w:b/>
          <w:bCs/>
          <w:color w:val="auto"/>
          <w:kern w:val="0"/>
          <w:sz w:val="24"/>
        </w:rPr>
      </w:pPr>
      <w:r>
        <w:rPr>
          <w:rFonts w:hint="eastAsia" w:ascii="宋体" w:hAnsi="宋体" w:cs="宋体"/>
          <w:b/>
          <w:bCs/>
          <w:kern w:val="0"/>
          <w:sz w:val="24"/>
          <w:lang w:val="en-US" w:eastAsia="zh-CN"/>
        </w:rPr>
        <w:t>2.4</w:t>
      </w:r>
      <w:r>
        <w:rPr>
          <w:rFonts w:hint="eastAsia" w:ascii="宋体" w:hAnsi="宋体" w:cs="宋体"/>
          <w:b/>
          <w:bCs/>
          <w:kern w:val="0"/>
          <w:sz w:val="24"/>
        </w:rPr>
        <w:t>本项目对联合体的要求：</w:t>
      </w:r>
      <w:r>
        <w:rPr>
          <w:rFonts w:hint="eastAsia" w:ascii="宋体" w:hAnsi="宋体" w:cs="宋体"/>
          <w:kern w:val="0"/>
          <w:sz w:val="24"/>
        </w:rPr>
        <w:t>本项目不接受联合体。</w:t>
      </w:r>
    </w:p>
    <w:p w14:paraId="70C39D7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b/>
          <w:bCs/>
          <w:color w:val="auto"/>
          <w:kern w:val="0"/>
          <w:sz w:val="24"/>
        </w:rPr>
      </w:pPr>
      <w:r>
        <w:rPr>
          <w:rFonts w:hint="eastAsia" w:ascii="宋体" w:hAnsi="宋体" w:cs="宋体"/>
          <w:b/>
          <w:bCs/>
          <w:color w:val="auto"/>
          <w:kern w:val="0"/>
          <w:sz w:val="24"/>
        </w:rPr>
        <w:t>三、竞争性磋商文件发售方式、时间及文件售价：</w:t>
      </w:r>
    </w:p>
    <w:p w14:paraId="0DFF5CB0">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60" w:lineRule="auto"/>
        <w:ind w:right="0" w:rightChars="0"/>
        <w:jc w:val="left"/>
        <w:textAlignment w:val="auto"/>
        <w:rPr>
          <w:rFonts w:cs="微软雅黑" w:asciiTheme="minorEastAsia" w:hAnsiTheme="minorEastAsia" w:eastAsiaTheme="minorEastAsia"/>
          <w:kern w:val="0"/>
          <w:sz w:val="24"/>
        </w:rPr>
      </w:pPr>
      <w:r>
        <w:rPr>
          <w:rFonts w:hint="eastAsia" w:asciiTheme="minorEastAsia" w:hAnsiTheme="minorEastAsia" w:eastAsiaTheme="minorEastAsia"/>
          <w:kern w:val="0"/>
          <w:sz w:val="24"/>
        </w:rPr>
        <w:t>3.1</w:t>
      </w:r>
      <w:r>
        <w:rPr>
          <w:rFonts w:hint="eastAsia" w:cs="微软雅黑" w:asciiTheme="minorEastAsia" w:hAnsiTheme="minorEastAsia" w:eastAsiaTheme="minorEastAsia"/>
          <w:kern w:val="0"/>
          <w:sz w:val="24"/>
        </w:rPr>
        <w:t>获取磋商文件时间（法定工作时间）：202</w:t>
      </w:r>
      <w:r>
        <w:rPr>
          <w:rFonts w:hint="eastAsia" w:cs="微软雅黑" w:asciiTheme="minorEastAsia" w:hAnsiTheme="minorEastAsia" w:eastAsiaTheme="minorEastAsia"/>
          <w:kern w:val="0"/>
          <w:sz w:val="24"/>
          <w:lang w:val="en-US" w:eastAsia="zh-CN"/>
        </w:rPr>
        <w:t>4</w:t>
      </w:r>
      <w:r>
        <w:rPr>
          <w:rFonts w:hint="eastAsia" w:cs="微软雅黑" w:asciiTheme="minorEastAsia" w:hAnsiTheme="minorEastAsia" w:eastAsiaTheme="minorEastAsia"/>
          <w:kern w:val="0"/>
          <w:sz w:val="24"/>
        </w:rPr>
        <w:t>年</w:t>
      </w:r>
      <w:r>
        <w:rPr>
          <w:rFonts w:hint="eastAsia" w:cs="微软雅黑" w:asciiTheme="minorEastAsia" w:hAnsiTheme="minorEastAsia" w:eastAsiaTheme="minorEastAsia"/>
          <w:kern w:val="0"/>
          <w:sz w:val="24"/>
          <w:lang w:val="en-US" w:eastAsia="zh-CN"/>
        </w:rPr>
        <w:t>08</w:t>
      </w:r>
      <w:r>
        <w:rPr>
          <w:rFonts w:hint="eastAsia" w:cs="微软雅黑" w:asciiTheme="minorEastAsia" w:hAnsiTheme="minorEastAsia" w:eastAsiaTheme="minorEastAsia"/>
          <w:kern w:val="0"/>
          <w:sz w:val="24"/>
        </w:rPr>
        <w:t>月</w:t>
      </w:r>
      <w:r>
        <w:rPr>
          <w:rFonts w:hint="eastAsia" w:cs="微软雅黑" w:asciiTheme="minorEastAsia" w:hAnsiTheme="minorEastAsia" w:eastAsiaTheme="minorEastAsia"/>
          <w:kern w:val="0"/>
          <w:sz w:val="24"/>
          <w:lang w:val="en-US" w:eastAsia="zh-CN"/>
        </w:rPr>
        <w:t>20</w:t>
      </w:r>
      <w:r>
        <w:rPr>
          <w:rFonts w:hint="eastAsia" w:cs="微软雅黑" w:asciiTheme="minorEastAsia" w:hAnsiTheme="minorEastAsia" w:eastAsiaTheme="minorEastAsia"/>
          <w:kern w:val="0"/>
          <w:sz w:val="24"/>
        </w:rPr>
        <w:t>日至20</w:t>
      </w:r>
      <w:r>
        <w:rPr>
          <w:rFonts w:hint="eastAsia" w:cs="微软雅黑" w:asciiTheme="minorEastAsia" w:hAnsiTheme="minorEastAsia" w:eastAsiaTheme="minorEastAsia"/>
          <w:kern w:val="0"/>
          <w:sz w:val="24"/>
          <w:lang w:val="en-US" w:eastAsia="zh-CN"/>
        </w:rPr>
        <w:t>24</w:t>
      </w:r>
      <w:r>
        <w:rPr>
          <w:rFonts w:hint="eastAsia" w:cs="微软雅黑" w:asciiTheme="minorEastAsia" w:hAnsiTheme="minorEastAsia" w:eastAsiaTheme="minorEastAsia"/>
          <w:kern w:val="0"/>
          <w:sz w:val="24"/>
        </w:rPr>
        <w:t>年</w:t>
      </w:r>
      <w:r>
        <w:rPr>
          <w:rFonts w:hint="eastAsia" w:cs="微软雅黑" w:asciiTheme="minorEastAsia" w:hAnsiTheme="minorEastAsia" w:eastAsiaTheme="minorEastAsia"/>
          <w:kern w:val="0"/>
          <w:sz w:val="24"/>
          <w:lang w:val="en-US" w:eastAsia="zh-CN"/>
        </w:rPr>
        <w:t>08</w:t>
      </w:r>
      <w:r>
        <w:rPr>
          <w:rFonts w:hint="eastAsia" w:cs="微软雅黑" w:asciiTheme="minorEastAsia" w:hAnsiTheme="minorEastAsia" w:eastAsiaTheme="minorEastAsia"/>
          <w:kern w:val="0"/>
          <w:sz w:val="24"/>
        </w:rPr>
        <w:t>月</w:t>
      </w:r>
      <w:r>
        <w:rPr>
          <w:rFonts w:hint="eastAsia" w:cs="微软雅黑" w:asciiTheme="minorEastAsia" w:hAnsiTheme="minorEastAsia" w:eastAsiaTheme="minorEastAsia"/>
          <w:kern w:val="0"/>
          <w:sz w:val="24"/>
          <w:lang w:val="en-US" w:eastAsia="zh-CN"/>
        </w:rPr>
        <w:t>26</w:t>
      </w:r>
      <w:r>
        <w:rPr>
          <w:rFonts w:hint="eastAsia" w:cs="微软雅黑" w:asciiTheme="minorEastAsia" w:hAnsiTheme="minorEastAsia" w:eastAsiaTheme="minorEastAsia"/>
          <w:kern w:val="0"/>
          <w:sz w:val="24"/>
        </w:rPr>
        <w:t>日。</w:t>
      </w:r>
    </w:p>
    <w:p w14:paraId="66421635">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60" w:lineRule="auto"/>
        <w:ind w:right="0" w:rightChars="0" w:firstLine="420" w:firstLineChars="0"/>
        <w:jc w:val="left"/>
        <w:textAlignment w:val="auto"/>
        <w:rPr>
          <w:rFonts w:cs="微软雅黑" w:asciiTheme="minorEastAsia" w:hAnsiTheme="minorEastAsia" w:eastAsiaTheme="minorEastAsia"/>
          <w:kern w:val="0"/>
          <w:sz w:val="24"/>
        </w:rPr>
      </w:pPr>
      <w:r>
        <w:rPr>
          <w:rFonts w:hint="eastAsia" w:cs="微软雅黑" w:asciiTheme="minorEastAsia" w:hAnsiTheme="minorEastAsia" w:eastAsiaTheme="minorEastAsia"/>
          <w:kern w:val="0"/>
          <w:sz w:val="24"/>
        </w:rPr>
        <w:t>3.2获取磋商文件方式：供应商在获取磋商文件时，需递交以下材料：①附法定代表人身份证明的授权委托书和被委托人身份证（法人参与提供法人身份证）；②法人或者其他组织的营业执照等主体资格证明文件，自然人的提供身份证明。③特定资格（如有）要求提供的证件。上述材料提供复印件一套并加盖供应商公章，没有提供或提供不全者不提供磋商文件。</w:t>
      </w:r>
    </w:p>
    <w:p w14:paraId="12EA895F">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60" w:lineRule="auto"/>
        <w:ind w:right="0" w:rightChars="0" w:firstLine="420" w:firstLineChars="0"/>
        <w:jc w:val="left"/>
        <w:textAlignment w:val="auto"/>
        <w:rPr>
          <w:rFonts w:cs="微软雅黑" w:asciiTheme="minorEastAsia" w:hAnsiTheme="minorEastAsia" w:eastAsiaTheme="minorEastAsia"/>
          <w:kern w:val="0"/>
          <w:sz w:val="24"/>
        </w:rPr>
      </w:pPr>
      <w:r>
        <w:rPr>
          <w:rFonts w:hint="eastAsia" w:cs="微软雅黑" w:asciiTheme="minorEastAsia" w:hAnsiTheme="minorEastAsia" w:eastAsiaTheme="minorEastAsia"/>
          <w:kern w:val="0"/>
          <w:sz w:val="24"/>
        </w:rPr>
        <w:t>3.3磋商文件售价：</w:t>
      </w:r>
      <w:r>
        <w:rPr>
          <w:rFonts w:hint="eastAsia" w:cs="微软雅黑" w:asciiTheme="minorEastAsia" w:hAnsiTheme="minorEastAsia" w:eastAsiaTheme="minorEastAsia"/>
          <w:b/>
          <w:bCs/>
          <w:kern w:val="0"/>
          <w:sz w:val="24"/>
          <w:u w:val="single"/>
        </w:rPr>
        <w:t xml:space="preserve"> </w:t>
      </w:r>
      <w:r>
        <w:rPr>
          <w:rFonts w:hint="eastAsia" w:cs="微软雅黑" w:asciiTheme="minorEastAsia" w:hAnsiTheme="minorEastAsia" w:eastAsiaTheme="minorEastAsia"/>
          <w:kern w:val="0"/>
          <w:sz w:val="24"/>
          <w:u w:val="single"/>
        </w:rPr>
        <w:t>400</w:t>
      </w:r>
      <w:r>
        <w:rPr>
          <w:rFonts w:hint="eastAsia" w:cs="微软雅黑" w:asciiTheme="minorEastAsia" w:hAnsiTheme="minorEastAsia" w:eastAsiaTheme="minorEastAsia"/>
          <w:b/>
          <w:bCs/>
          <w:kern w:val="0"/>
          <w:sz w:val="24"/>
          <w:u w:val="single"/>
        </w:rPr>
        <w:t xml:space="preserve"> </w:t>
      </w:r>
      <w:r>
        <w:rPr>
          <w:rFonts w:hint="eastAsia" w:cs="微软雅黑" w:asciiTheme="minorEastAsia" w:hAnsiTheme="minorEastAsia" w:eastAsiaTheme="minorEastAsia"/>
          <w:kern w:val="0"/>
          <w:position w:val="-3"/>
          <w:sz w:val="24"/>
        </w:rPr>
        <w:t>元/套/包</w:t>
      </w:r>
      <w:r>
        <w:rPr>
          <w:rFonts w:hint="eastAsia" w:cs="微软雅黑" w:asciiTheme="minorEastAsia" w:hAnsiTheme="minorEastAsia" w:eastAsiaTheme="minorEastAsia"/>
          <w:spacing w:val="-2"/>
          <w:kern w:val="0"/>
          <w:position w:val="-3"/>
          <w:sz w:val="24"/>
        </w:rPr>
        <w:t>，</w:t>
      </w:r>
      <w:r>
        <w:rPr>
          <w:rFonts w:hint="eastAsia" w:cs="微软雅黑" w:asciiTheme="minorEastAsia" w:hAnsiTheme="minorEastAsia" w:eastAsiaTheme="minorEastAsia"/>
          <w:kern w:val="0"/>
          <w:position w:val="-3"/>
          <w:sz w:val="24"/>
        </w:rPr>
        <w:t>售</w:t>
      </w:r>
      <w:r>
        <w:rPr>
          <w:rFonts w:hint="eastAsia" w:cs="微软雅黑" w:asciiTheme="minorEastAsia" w:hAnsiTheme="minorEastAsia" w:eastAsiaTheme="minorEastAsia"/>
          <w:spacing w:val="-2"/>
          <w:kern w:val="0"/>
          <w:position w:val="-3"/>
          <w:sz w:val="24"/>
        </w:rPr>
        <w:t>后</w:t>
      </w:r>
      <w:r>
        <w:rPr>
          <w:rFonts w:hint="eastAsia" w:cs="微软雅黑" w:asciiTheme="minorEastAsia" w:hAnsiTheme="minorEastAsia" w:eastAsiaTheme="minorEastAsia"/>
          <w:kern w:val="0"/>
          <w:position w:val="-3"/>
          <w:sz w:val="24"/>
        </w:rPr>
        <w:t>不</w:t>
      </w:r>
      <w:r>
        <w:rPr>
          <w:rFonts w:hint="eastAsia" w:cs="微软雅黑" w:asciiTheme="minorEastAsia" w:hAnsiTheme="minorEastAsia" w:eastAsiaTheme="minorEastAsia"/>
          <w:spacing w:val="-2"/>
          <w:kern w:val="0"/>
          <w:position w:val="-3"/>
          <w:sz w:val="24"/>
        </w:rPr>
        <w:t>退</w:t>
      </w:r>
      <w:r>
        <w:rPr>
          <w:rFonts w:hint="eastAsia" w:cs="微软雅黑" w:asciiTheme="minorEastAsia" w:hAnsiTheme="minorEastAsia" w:eastAsiaTheme="minorEastAsia"/>
          <w:kern w:val="0"/>
          <w:position w:val="-3"/>
          <w:sz w:val="24"/>
        </w:rPr>
        <w:t>。</w:t>
      </w:r>
    </w:p>
    <w:p w14:paraId="6957407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cs="微软雅黑" w:asciiTheme="minorEastAsia" w:hAnsiTheme="minorEastAsia" w:eastAsiaTheme="minorEastAsia"/>
          <w:kern w:val="0"/>
          <w:sz w:val="24"/>
        </w:rPr>
      </w:pPr>
      <w:r>
        <w:rPr>
          <w:rFonts w:hint="eastAsia" w:cs="微软雅黑" w:asciiTheme="minorEastAsia" w:hAnsiTheme="minorEastAsia" w:eastAsiaTheme="minorEastAsia"/>
          <w:color w:val="auto"/>
          <w:kern w:val="0"/>
          <w:sz w:val="24"/>
          <w:lang w:val="en-US" w:eastAsia="zh-CN"/>
        </w:rPr>
        <w:t>3.4磋商文件获取地点：常德众益项目管理咨询有限公司</w:t>
      </w:r>
    </w:p>
    <w:p w14:paraId="45F94A7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cs="微软雅黑" w:asciiTheme="minorEastAsia" w:hAnsiTheme="minorEastAsia" w:eastAsiaTheme="minorEastAsia"/>
          <w:kern w:val="0"/>
          <w:sz w:val="24"/>
        </w:rPr>
        <w:t>3.</w:t>
      </w:r>
      <w:r>
        <w:rPr>
          <w:rFonts w:hint="eastAsia" w:cs="微软雅黑" w:asciiTheme="minorEastAsia" w:hAnsiTheme="minorEastAsia" w:eastAsiaTheme="minorEastAsia"/>
          <w:kern w:val="0"/>
          <w:sz w:val="24"/>
          <w:lang w:val="en-US" w:eastAsia="zh-CN"/>
        </w:rPr>
        <w:t>5</w:t>
      </w:r>
      <w:r>
        <w:rPr>
          <w:rFonts w:hint="eastAsia" w:cs="微软雅黑" w:asciiTheme="minorEastAsia" w:hAnsiTheme="minorEastAsia" w:eastAsiaTheme="minorEastAsia"/>
          <w:kern w:val="0"/>
          <w:sz w:val="24"/>
        </w:rPr>
        <w:t>澄清更正采用“网上澄清更正”方式。采购人或采购代理机构对磋商文件的澄清更正均会在</w:t>
      </w:r>
      <w:r>
        <w:rPr>
          <w:rFonts w:hint="eastAsia" w:cs="微软雅黑" w:asciiTheme="minorEastAsia" w:hAnsiTheme="minorEastAsia" w:eastAsiaTheme="minorEastAsia"/>
          <w:kern w:val="0"/>
          <w:sz w:val="24"/>
          <w:lang w:eastAsia="zh-CN"/>
        </w:rPr>
        <w:t>指定公告媒体上</w:t>
      </w:r>
      <w:r>
        <w:rPr>
          <w:rFonts w:hint="eastAsia" w:cs="微软雅黑" w:asciiTheme="minorEastAsia" w:hAnsiTheme="minorEastAsia" w:eastAsiaTheme="minorEastAsia"/>
          <w:kern w:val="0"/>
          <w:sz w:val="24"/>
        </w:rPr>
        <w:t>发布，请供应商自行获取。其获取的澄清更正内容与书面澄清更正具有同等法律效力。</w:t>
      </w:r>
    </w:p>
    <w:p w14:paraId="18F536D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b/>
          <w:bCs/>
          <w:color w:val="auto"/>
          <w:kern w:val="0"/>
          <w:sz w:val="24"/>
        </w:rPr>
        <w:t>四、递交响应文件的截止时间和地点：</w:t>
      </w:r>
    </w:p>
    <w:p w14:paraId="438E6966">
      <w:pPr>
        <w:keepNext w:val="0"/>
        <w:keepLines w:val="0"/>
        <w:pageBreakBefore w:val="0"/>
        <w:shd w:val="clear" w:color="auto" w:fill="FFFFFF"/>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color w:val="auto"/>
          <w:kern w:val="0"/>
          <w:sz w:val="24"/>
          <w:lang w:eastAsia="zh-CN"/>
        </w:rPr>
      </w:pPr>
      <w:r>
        <w:rPr>
          <w:rFonts w:hint="eastAsia" w:ascii="宋体" w:hAnsi="宋体" w:cs="宋体"/>
          <w:color w:val="auto"/>
          <w:kern w:val="0"/>
          <w:sz w:val="24"/>
        </w:rPr>
        <w:t>4.1竞争性磋商截止、开标时间：</w:t>
      </w:r>
      <w:r>
        <w:rPr>
          <w:rFonts w:hint="eastAsia" w:ascii="宋体" w:hAnsi="宋体" w:cs="仿宋_GB2312"/>
          <w:b/>
          <w:bCs/>
          <w:color w:val="FF0000"/>
          <w:kern w:val="0"/>
          <w:sz w:val="24"/>
          <w:lang w:eastAsia="zh-CN"/>
        </w:rPr>
        <w:t>2024年08月30日08时30分（北京时间）</w:t>
      </w:r>
    </w:p>
    <w:p w14:paraId="5CDB460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color w:val="auto"/>
          <w:kern w:val="0"/>
          <w:sz w:val="24"/>
        </w:rPr>
        <w:t>4.2 竞争性磋商地点：</w:t>
      </w:r>
      <w:r>
        <w:rPr>
          <w:rFonts w:hint="eastAsia" w:ascii="宋体" w:hAnsi="宋体" w:cs="宋体"/>
          <w:color w:val="auto"/>
          <w:kern w:val="0"/>
          <w:sz w:val="24"/>
          <w:lang w:eastAsia="zh-CN"/>
        </w:rPr>
        <w:t>常德众益项目管理咨询有限公司开标室</w:t>
      </w:r>
    </w:p>
    <w:p w14:paraId="7FB363A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color w:val="auto"/>
          <w:kern w:val="0"/>
          <w:sz w:val="24"/>
        </w:rPr>
        <w:t>4.3 响应文件送至</w:t>
      </w:r>
      <w:r>
        <w:rPr>
          <w:rFonts w:hint="eastAsia" w:ascii="宋体" w:hAnsi="宋体" w:cs="宋体"/>
          <w:color w:val="auto"/>
          <w:kern w:val="0"/>
          <w:sz w:val="24"/>
          <w:lang w:eastAsia="zh-CN"/>
        </w:rPr>
        <w:t>常德众益项目管理咨询有限公司开标室</w:t>
      </w:r>
      <w:r>
        <w:rPr>
          <w:rFonts w:hint="eastAsia" w:ascii="宋体" w:hAnsi="宋体" w:cs="宋体"/>
          <w:color w:val="auto"/>
          <w:kern w:val="0"/>
          <w:sz w:val="24"/>
        </w:rPr>
        <w:t>。逾期送达或者不按磋商文件要求密封或者不按磋商文件的要求提供保证金的的响应文件，采购代理机构将拒绝接收。</w:t>
      </w:r>
    </w:p>
    <w:p w14:paraId="053621A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default" w:ascii="宋体" w:hAnsi="宋体" w:eastAsia="宋体" w:cs="宋体"/>
          <w:color w:val="auto"/>
          <w:kern w:val="0"/>
          <w:sz w:val="24"/>
          <w:lang w:val="en-US" w:eastAsia="zh-CN"/>
        </w:rPr>
      </w:pPr>
      <w:r>
        <w:rPr>
          <w:rFonts w:hint="eastAsia" w:ascii="宋体" w:hAnsi="宋体" w:cs="宋体"/>
          <w:b/>
          <w:bCs/>
          <w:color w:val="auto"/>
          <w:kern w:val="0"/>
          <w:sz w:val="24"/>
        </w:rPr>
        <w:t>五、</w:t>
      </w:r>
      <w:r>
        <w:rPr>
          <w:rFonts w:hint="eastAsia" w:ascii="宋体" w:hAnsi="宋体" w:cs="宋体"/>
          <w:b/>
          <w:bCs/>
          <w:color w:val="auto"/>
          <w:kern w:val="0"/>
          <w:sz w:val="24"/>
          <w:lang w:eastAsia="zh-CN"/>
        </w:rPr>
        <w:t>投标</w:t>
      </w:r>
      <w:r>
        <w:rPr>
          <w:rFonts w:hint="eastAsia" w:ascii="宋体" w:hAnsi="宋体" w:cs="宋体"/>
          <w:b/>
          <w:bCs/>
          <w:color w:val="auto"/>
          <w:kern w:val="0"/>
          <w:sz w:val="24"/>
        </w:rPr>
        <w:t>保证金数额及缴纳方式：</w:t>
      </w:r>
      <w:r>
        <w:rPr>
          <w:rFonts w:hint="eastAsia" w:ascii="宋体" w:hAnsi="宋体" w:cs="宋体"/>
          <w:b/>
          <w:bCs/>
          <w:color w:val="auto"/>
          <w:kern w:val="0"/>
          <w:sz w:val="24"/>
          <w:lang w:val="en-US" w:eastAsia="zh-CN"/>
        </w:rPr>
        <w:t>详见磋商须知。</w:t>
      </w:r>
    </w:p>
    <w:p w14:paraId="65D4A67A">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b/>
          <w:sz w:val="24"/>
        </w:rPr>
        <w:t>六、公告期限</w:t>
      </w:r>
      <w:r>
        <w:rPr>
          <w:rFonts w:hint="eastAsia" w:asciiTheme="minorEastAsia" w:hAnsiTheme="minorEastAsia" w:eastAsiaTheme="minorEastAsia"/>
          <w:sz w:val="24"/>
        </w:rPr>
        <w:t>：</w:t>
      </w:r>
    </w:p>
    <w:p w14:paraId="1EE8D2DC">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sz w:val="24"/>
        </w:rPr>
        <w:t>6.1公告期限从本磋商公告发布之日起3个工作日。</w:t>
      </w:r>
    </w:p>
    <w:p w14:paraId="7175BB1A">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sz w:val="24"/>
        </w:rPr>
        <w:t>6.2</w:t>
      </w:r>
      <w:r>
        <w:rPr>
          <w:rFonts w:hint="eastAsia" w:asciiTheme="minorEastAsia" w:hAnsiTheme="minorEastAsia" w:eastAsiaTheme="minorEastAsia"/>
          <w:sz w:val="24"/>
          <w:lang w:eastAsia="zh-CN"/>
        </w:rPr>
        <w:t>本</w:t>
      </w:r>
      <w:r>
        <w:rPr>
          <w:rFonts w:hint="eastAsia" w:asciiTheme="minorEastAsia" w:hAnsiTheme="minorEastAsia" w:eastAsiaTheme="minorEastAsia"/>
          <w:sz w:val="24"/>
        </w:rPr>
        <w:t>公告内容</w:t>
      </w:r>
      <w:r>
        <w:rPr>
          <w:rFonts w:hint="eastAsia" w:asciiTheme="minorEastAsia" w:hAnsiTheme="minorEastAsia" w:eastAsiaTheme="minorEastAsia"/>
          <w:sz w:val="24"/>
          <w:lang w:eastAsia="zh-CN"/>
        </w:rPr>
        <w:t>指定在中国政府采购网（www.ccg.gov.cn）网上发布，</w:t>
      </w:r>
      <w:r>
        <w:rPr>
          <w:rFonts w:hint="eastAsia" w:asciiTheme="minorEastAsia" w:hAnsiTheme="minorEastAsia" w:eastAsiaTheme="minorEastAsia"/>
          <w:sz w:val="24"/>
        </w:rPr>
        <w:t>其他媒体发布的公告以指定媒体发布的公告为准；公告期限自指定媒体最先发布公告之日起算。</w:t>
      </w:r>
    </w:p>
    <w:p w14:paraId="29385217">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b/>
          <w:sz w:val="24"/>
        </w:rPr>
        <w:t>七、疑问及质疑</w:t>
      </w:r>
      <w:r>
        <w:rPr>
          <w:rFonts w:hint="eastAsia" w:asciiTheme="minorEastAsia" w:hAnsiTheme="minorEastAsia" w:eastAsiaTheme="minorEastAsia"/>
          <w:sz w:val="24"/>
        </w:rPr>
        <w:t>：</w:t>
      </w:r>
    </w:p>
    <w:p w14:paraId="2D0BA4AE">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sz w:val="24"/>
        </w:rPr>
        <w:t>7.1供应商对采购活动事项如有疑问的，可以向采购人、采购代理机构提出书面询问。采购人、采购代理机构将在3个工作日内作出答复。</w:t>
      </w:r>
    </w:p>
    <w:p w14:paraId="292B1153">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ascii="宋体" w:hAnsi="宋体" w:cs="宋体"/>
          <w:b/>
          <w:bCs/>
          <w:kern w:val="0"/>
          <w:sz w:val="24"/>
        </w:rPr>
      </w:pPr>
      <w:r>
        <w:rPr>
          <w:rFonts w:hint="eastAsia" w:asciiTheme="minorEastAsia" w:hAnsiTheme="minorEastAsia" w:eastAsiaTheme="minorEastAsia"/>
          <w:sz w:val="24"/>
        </w:rPr>
        <w:t>7.2潜在供应商认为磋商文件或磋商公告使自己的合法权益受到损害的，可以在知道或者应知其权益受到损害之日起7个工作日内，按《湖南省财政厅关于印发＜政府采购质疑答复和投诉处理操作规程＞的通知》(湘财购〔2019〕20号)规定，以书面形式向采购人、采购代理机构提出质疑。</w:t>
      </w:r>
    </w:p>
    <w:p w14:paraId="426C10E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b/>
          <w:bCs/>
          <w:kern w:val="0"/>
          <w:sz w:val="24"/>
        </w:rPr>
        <w:t>八、与本次采购相关联系方式：</w:t>
      </w:r>
    </w:p>
    <w:p w14:paraId="2FD83AE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lang w:eastAsia="zh-CN"/>
        </w:rPr>
      </w:pPr>
      <w:r>
        <w:rPr>
          <w:rFonts w:hint="eastAsia" w:ascii="宋体" w:hAnsi="宋体" w:cs="宋体"/>
          <w:b/>
          <w:bCs/>
          <w:color w:val="auto"/>
          <w:kern w:val="0"/>
          <w:sz w:val="24"/>
        </w:rPr>
        <w:t>采 购 人：</w:t>
      </w:r>
      <w:r>
        <w:rPr>
          <w:rFonts w:hint="eastAsia" w:ascii="宋体" w:hAnsi="宋体" w:cs="宋体"/>
          <w:color w:val="auto"/>
          <w:kern w:val="0"/>
          <w:sz w:val="24"/>
          <w:lang w:eastAsia="zh-CN"/>
        </w:rPr>
        <w:t>临澧县职业中专学校</w:t>
      </w:r>
    </w:p>
    <w:p w14:paraId="67CB189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default" w:ascii="宋体" w:hAnsi="宋体" w:eastAsia="宋体" w:cs="宋体"/>
          <w:color w:val="auto"/>
          <w:kern w:val="0"/>
          <w:sz w:val="24"/>
          <w:lang w:val="en-US" w:eastAsia="zh-CN"/>
        </w:rPr>
      </w:pPr>
      <w:r>
        <w:rPr>
          <w:rFonts w:hint="eastAsia" w:ascii="宋体" w:hAnsi="宋体" w:cs="宋体"/>
          <w:color w:val="auto"/>
          <w:kern w:val="0"/>
          <w:sz w:val="24"/>
        </w:rPr>
        <w:t>联 系 人：</w:t>
      </w:r>
      <w:r>
        <w:rPr>
          <w:rFonts w:hint="eastAsia" w:ascii="宋体" w:hAnsi="宋体" w:cs="宋体"/>
          <w:color w:val="auto"/>
          <w:kern w:val="0"/>
          <w:sz w:val="24"/>
          <w:lang w:val="en-US" w:eastAsia="zh-CN"/>
        </w:rPr>
        <w:t>颜校长</w:t>
      </w:r>
      <w:r>
        <w:rPr>
          <w:rFonts w:hint="eastAsia" w:ascii="宋体" w:hAnsi="宋体" w:cs="宋体"/>
          <w:color w:val="auto"/>
          <w:kern w:val="0"/>
          <w:sz w:val="24"/>
        </w:rPr>
        <w:t xml:space="preserve">  </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电话：</w:t>
      </w:r>
      <w:r>
        <w:rPr>
          <w:rFonts w:hint="eastAsia" w:ascii="宋体" w:hAnsi="宋体" w:cs="宋体"/>
          <w:color w:val="auto"/>
          <w:kern w:val="0"/>
          <w:sz w:val="24"/>
          <w:lang w:val="en-US" w:eastAsia="zh-CN"/>
        </w:rPr>
        <w:t>13974213131</w:t>
      </w:r>
    </w:p>
    <w:p w14:paraId="4AC2C88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color w:val="auto"/>
          <w:kern w:val="0"/>
          <w:sz w:val="24"/>
        </w:rPr>
        <w:t>地   址：</w:t>
      </w:r>
      <w:r>
        <w:rPr>
          <w:rFonts w:hint="eastAsia" w:ascii="宋体" w:hAnsi="宋体" w:cs="宋体"/>
          <w:color w:val="auto"/>
          <w:kern w:val="0"/>
          <w:sz w:val="24"/>
          <w:lang w:eastAsia="zh-CN"/>
        </w:rPr>
        <w:t>临澧县安福街道九姊社区居委会</w:t>
      </w:r>
      <w:r>
        <w:rPr>
          <w:rFonts w:hint="eastAsia" w:ascii="宋体" w:hAnsi="宋体" w:cs="宋体"/>
          <w:color w:val="auto"/>
          <w:kern w:val="0"/>
          <w:sz w:val="24"/>
        </w:rPr>
        <w:t>              </w:t>
      </w:r>
    </w:p>
    <w:p w14:paraId="2FD458B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lang w:eastAsia="zh-CN"/>
        </w:rPr>
      </w:pPr>
      <w:r>
        <w:rPr>
          <w:rFonts w:hint="eastAsia" w:ascii="宋体" w:hAnsi="宋体" w:cs="宋体"/>
          <w:b/>
          <w:color w:val="auto"/>
          <w:kern w:val="0"/>
          <w:sz w:val="24"/>
        </w:rPr>
        <w:t>采购代理机构：</w:t>
      </w:r>
      <w:r>
        <w:rPr>
          <w:rFonts w:hint="eastAsia" w:ascii="宋体" w:hAnsi="宋体" w:cs="宋体"/>
          <w:color w:val="auto"/>
          <w:kern w:val="0"/>
          <w:sz w:val="24"/>
          <w:lang w:eastAsia="zh-CN"/>
        </w:rPr>
        <w:t>常德众益项目管理咨询有限公司</w:t>
      </w:r>
    </w:p>
    <w:p w14:paraId="1D8481F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 xml:space="preserve">联 系 人：王先强        </w:t>
      </w:r>
      <w:r>
        <w:rPr>
          <w:rFonts w:hint="eastAsia" w:ascii="宋体" w:hAnsi="宋体" w:cs="宋体"/>
          <w:color w:val="auto"/>
          <w:kern w:val="0"/>
          <w:sz w:val="24"/>
          <w:lang w:val="en-US" w:eastAsia="zh-CN"/>
        </w:rPr>
        <w:t xml:space="preserve">       </w:t>
      </w:r>
      <w:r>
        <w:rPr>
          <w:rFonts w:hint="eastAsia" w:ascii="宋体" w:hAnsi="宋体" w:cs="宋体"/>
          <w:color w:val="auto"/>
          <w:kern w:val="0"/>
          <w:sz w:val="24"/>
          <w:lang w:eastAsia="zh-CN"/>
        </w:rPr>
        <w:t>电话：0736-7232568</w:t>
      </w:r>
    </w:p>
    <w:p w14:paraId="17646D8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地址</w:t>
      </w:r>
      <w:r>
        <w:rPr>
          <w:rFonts w:hint="eastAsia" w:ascii="宋体" w:hAnsi="宋体" w:cs="宋体"/>
          <w:color w:val="auto"/>
          <w:kern w:val="0"/>
          <w:sz w:val="24"/>
        </w:rPr>
        <w:t>：</w:t>
      </w:r>
      <w:r>
        <w:rPr>
          <w:rFonts w:hint="eastAsia" w:ascii="宋体" w:hAnsi="宋体" w:cs="宋体"/>
          <w:color w:val="auto"/>
          <w:kern w:val="0"/>
          <w:sz w:val="24"/>
          <w:lang w:eastAsia="zh-CN"/>
        </w:rPr>
        <w:t>常德市武陵区上川四季酒店六楼</w:t>
      </w:r>
    </w:p>
    <w:p w14:paraId="3B104F21">
      <w:pPr>
        <w:jc w:val="center"/>
        <w:outlineLvl w:val="0"/>
        <w:rPr>
          <w:rFonts w:hAnsi="宋体"/>
          <w:b/>
          <w:color w:val="auto"/>
          <w:sz w:val="32"/>
          <w:szCs w:val="32"/>
        </w:rPr>
      </w:pPr>
      <w:r>
        <w:rPr>
          <w:rFonts w:hAnsi="宋体"/>
          <w:b/>
          <w:color w:val="auto"/>
          <w:sz w:val="32"/>
          <w:szCs w:val="32"/>
        </w:rPr>
        <w:br w:type="page"/>
      </w:r>
      <w:bookmarkStart w:id="1" w:name="_Toc28770"/>
      <w:r>
        <w:rPr>
          <w:rFonts w:hint="eastAsia" w:hAnsi="宋体"/>
          <w:b/>
          <w:color w:val="auto"/>
          <w:sz w:val="32"/>
          <w:szCs w:val="32"/>
        </w:rPr>
        <w:t>第二章</w:t>
      </w:r>
      <w:r>
        <w:rPr>
          <w:rFonts w:hAnsi="宋体"/>
          <w:b/>
          <w:color w:val="auto"/>
          <w:sz w:val="32"/>
          <w:szCs w:val="32"/>
        </w:rPr>
        <w:t xml:space="preserve"> </w:t>
      </w:r>
      <w:r>
        <w:rPr>
          <w:rFonts w:hint="eastAsia" w:hAnsi="宋体"/>
          <w:b/>
          <w:color w:val="auto"/>
          <w:sz w:val="32"/>
          <w:szCs w:val="32"/>
        </w:rPr>
        <w:t>磋商须知</w:t>
      </w:r>
      <w:bookmarkEnd w:id="1"/>
    </w:p>
    <w:p w14:paraId="0E1BF3B8">
      <w:pPr>
        <w:pStyle w:val="27"/>
        <w:outlineLvl w:val="9"/>
        <w:rPr>
          <w:rFonts w:hAnsi="宋体"/>
          <w:b/>
          <w:color w:val="auto"/>
          <w:sz w:val="24"/>
          <w:szCs w:val="24"/>
        </w:rPr>
      </w:pPr>
    </w:p>
    <w:p w14:paraId="2B352EC7">
      <w:pPr>
        <w:pStyle w:val="27"/>
        <w:jc w:val="center"/>
        <w:outlineLvl w:val="9"/>
        <w:rPr>
          <w:rFonts w:hAnsi="宋体"/>
          <w:b/>
          <w:color w:val="auto"/>
          <w:sz w:val="24"/>
          <w:szCs w:val="24"/>
        </w:rPr>
      </w:pPr>
      <w:r>
        <w:rPr>
          <w:rFonts w:hint="eastAsia" w:hAnsi="宋体"/>
          <w:b/>
          <w:color w:val="auto"/>
          <w:sz w:val="24"/>
          <w:szCs w:val="24"/>
        </w:rPr>
        <w:t>磋商须知前附表</w:t>
      </w:r>
    </w:p>
    <w:tbl>
      <w:tblPr>
        <w:tblStyle w:val="50"/>
        <w:tblW w:w="909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34"/>
        <w:gridCol w:w="2121"/>
        <w:gridCol w:w="5035"/>
      </w:tblGrid>
      <w:tr w14:paraId="64462B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blHeader/>
          <w:jc w:val="center"/>
        </w:trPr>
        <w:tc>
          <w:tcPr>
            <w:tcW w:w="1934" w:type="dxa"/>
            <w:tcBorders>
              <w:top w:val="double" w:color="auto" w:sz="4" w:space="0"/>
              <w:left w:val="double" w:color="auto" w:sz="4" w:space="0"/>
              <w:bottom w:val="single" w:color="auto" w:sz="6" w:space="0"/>
              <w:right w:val="single" w:color="auto" w:sz="6" w:space="0"/>
            </w:tcBorders>
            <w:vAlign w:val="center"/>
          </w:tcPr>
          <w:p w14:paraId="51A4DC8A">
            <w:pPr>
              <w:adjustRightInd w:val="0"/>
              <w:snapToGrid w:val="0"/>
              <w:jc w:val="center"/>
              <w:rPr>
                <w:rFonts w:ascii="宋体" w:hAnsi="宋体"/>
                <w:b/>
                <w:szCs w:val="21"/>
              </w:rPr>
            </w:pPr>
            <w:r>
              <w:rPr>
                <w:rFonts w:hint="eastAsia" w:ascii="宋体" w:hAnsi="宋体"/>
                <w:b/>
                <w:szCs w:val="21"/>
              </w:rPr>
              <w:t>条款号</w:t>
            </w:r>
          </w:p>
        </w:tc>
        <w:tc>
          <w:tcPr>
            <w:tcW w:w="2121" w:type="dxa"/>
            <w:tcBorders>
              <w:top w:val="double" w:color="auto" w:sz="4" w:space="0"/>
              <w:left w:val="single" w:color="auto" w:sz="6" w:space="0"/>
              <w:bottom w:val="single" w:color="auto" w:sz="6" w:space="0"/>
              <w:right w:val="single" w:color="auto" w:sz="6" w:space="0"/>
            </w:tcBorders>
            <w:vAlign w:val="center"/>
          </w:tcPr>
          <w:p w14:paraId="570FDB4F">
            <w:pPr>
              <w:adjustRightInd w:val="0"/>
              <w:snapToGrid w:val="0"/>
              <w:jc w:val="center"/>
              <w:rPr>
                <w:rFonts w:ascii="宋体" w:hAnsi="宋体"/>
                <w:b/>
                <w:szCs w:val="21"/>
              </w:rPr>
            </w:pPr>
            <w:r>
              <w:rPr>
                <w:rFonts w:hint="eastAsia" w:ascii="宋体" w:hAnsi="宋体"/>
                <w:b/>
                <w:szCs w:val="21"/>
              </w:rPr>
              <w:t>条款名称</w:t>
            </w:r>
          </w:p>
        </w:tc>
        <w:tc>
          <w:tcPr>
            <w:tcW w:w="5035" w:type="dxa"/>
            <w:tcBorders>
              <w:top w:val="double" w:color="auto" w:sz="4" w:space="0"/>
              <w:left w:val="single" w:color="auto" w:sz="6" w:space="0"/>
              <w:bottom w:val="single" w:color="auto" w:sz="6" w:space="0"/>
              <w:right w:val="double" w:color="auto" w:sz="4" w:space="0"/>
            </w:tcBorders>
            <w:vAlign w:val="center"/>
          </w:tcPr>
          <w:p w14:paraId="04066457">
            <w:pPr>
              <w:adjustRightInd w:val="0"/>
              <w:snapToGrid w:val="0"/>
              <w:jc w:val="center"/>
              <w:rPr>
                <w:rFonts w:ascii="宋体" w:hAnsi="宋体"/>
                <w:b/>
                <w:szCs w:val="21"/>
              </w:rPr>
            </w:pPr>
            <w:r>
              <w:rPr>
                <w:rFonts w:hint="eastAsia" w:ascii="宋体" w:hAnsi="宋体"/>
                <w:b/>
                <w:szCs w:val="21"/>
              </w:rPr>
              <w:t>编列内容规定</w:t>
            </w:r>
          </w:p>
        </w:tc>
      </w:tr>
      <w:tr w14:paraId="5CFF90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3F7BCEBC">
            <w:pPr>
              <w:adjustRightInd w:val="0"/>
              <w:snapToGrid w:val="0"/>
              <w:rPr>
                <w:rFonts w:ascii="宋体" w:hAnsi="宋体"/>
                <w:szCs w:val="21"/>
              </w:rPr>
            </w:pPr>
            <w:r>
              <w:rPr>
                <w:rFonts w:hint="eastAsia" w:ascii="宋体" w:hAnsi="宋体"/>
                <w:b/>
                <w:szCs w:val="21"/>
              </w:rPr>
              <w:t>一、说明</w:t>
            </w:r>
          </w:p>
        </w:tc>
      </w:tr>
      <w:tr w14:paraId="1627D5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7F797522">
            <w:pPr>
              <w:adjustRightInd w:val="0"/>
              <w:snapToGrid w:val="0"/>
              <w:jc w:val="center"/>
              <w:rPr>
                <w:rFonts w:ascii="宋体" w:hAnsi="宋体"/>
                <w:szCs w:val="21"/>
              </w:rPr>
            </w:pPr>
            <w:r>
              <w:rPr>
                <w:rFonts w:hint="eastAsia" w:ascii="宋体" w:hAnsi="宋体"/>
                <w:szCs w:val="21"/>
              </w:rPr>
              <w:t>第二章第1.1款</w:t>
            </w:r>
          </w:p>
        </w:tc>
        <w:tc>
          <w:tcPr>
            <w:tcW w:w="2121" w:type="dxa"/>
            <w:tcBorders>
              <w:top w:val="single" w:color="auto" w:sz="6" w:space="0"/>
              <w:left w:val="single" w:color="auto" w:sz="6" w:space="0"/>
              <w:bottom w:val="single" w:color="auto" w:sz="6" w:space="0"/>
              <w:right w:val="single" w:color="auto" w:sz="6" w:space="0"/>
            </w:tcBorders>
            <w:vAlign w:val="center"/>
          </w:tcPr>
          <w:p w14:paraId="684CD7AD">
            <w:pPr>
              <w:adjustRightInd w:val="0"/>
              <w:snapToGrid w:val="0"/>
              <w:jc w:val="center"/>
              <w:rPr>
                <w:rFonts w:ascii="宋体" w:hAnsi="宋体"/>
                <w:szCs w:val="21"/>
              </w:rPr>
            </w:pPr>
            <w:r>
              <w:rPr>
                <w:rFonts w:hint="eastAsia" w:ascii="宋体" w:hAnsi="宋体"/>
                <w:szCs w:val="21"/>
              </w:rPr>
              <w:t>采购项目</w:t>
            </w:r>
          </w:p>
        </w:tc>
        <w:tc>
          <w:tcPr>
            <w:tcW w:w="5035" w:type="dxa"/>
            <w:tcBorders>
              <w:top w:val="single" w:color="auto" w:sz="6" w:space="0"/>
              <w:left w:val="single" w:color="auto" w:sz="6" w:space="0"/>
              <w:bottom w:val="single" w:color="auto" w:sz="6" w:space="0"/>
              <w:right w:val="double" w:color="auto" w:sz="4" w:space="0"/>
            </w:tcBorders>
            <w:vAlign w:val="center"/>
          </w:tcPr>
          <w:p w14:paraId="335F1BF5">
            <w:pPr>
              <w:adjustRightInd w:val="0"/>
              <w:snapToGrid w:val="0"/>
              <w:rPr>
                <w:rFonts w:ascii="宋体" w:hAnsi="宋体"/>
                <w:szCs w:val="21"/>
              </w:rPr>
            </w:pPr>
            <w:r>
              <w:rPr>
                <w:rFonts w:hint="eastAsia" w:ascii="宋体" w:hAnsi="宋体"/>
                <w:bCs/>
                <w:iCs/>
                <w:szCs w:val="21"/>
                <w:lang w:eastAsia="zh-CN"/>
              </w:rPr>
              <w:t>临澧县职业中专学校食堂大宗食材采购供应商选定项目</w:t>
            </w:r>
          </w:p>
        </w:tc>
      </w:tr>
      <w:tr w14:paraId="347C1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24EF70C2">
            <w:pPr>
              <w:adjustRightInd w:val="0"/>
              <w:snapToGrid w:val="0"/>
              <w:jc w:val="center"/>
              <w:rPr>
                <w:rFonts w:ascii="宋体" w:hAnsi="宋体"/>
                <w:szCs w:val="21"/>
              </w:rPr>
            </w:pPr>
            <w:r>
              <w:rPr>
                <w:rFonts w:hint="eastAsia" w:ascii="宋体" w:hAnsi="宋体"/>
                <w:szCs w:val="21"/>
              </w:rPr>
              <w:t>第二章第2.1款</w:t>
            </w:r>
          </w:p>
        </w:tc>
        <w:tc>
          <w:tcPr>
            <w:tcW w:w="2121" w:type="dxa"/>
            <w:tcBorders>
              <w:top w:val="single" w:color="auto" w:sz="6" w:space="0"/>
              <w:left w:val="single" w:color="auto" w:sz="6" w:space="0"/>
              <w:bottom w:val="single" w:color="auto" w:sz="6" w:space="0"/>
              <w:right w:val="single" w:color="auto" w:sz="6" w:space="0"/>
            </w:tcBorders>
            <w:vAlign w:val="center"/>
          </w:tcPr>
          <w:p w14:paraId="286DAFC5">
            <w:pPr>
              <w:adjustRightInd w:val="0"/>
              <w:snapToGrid w:val="0"/>
              <w:jc w:val="center"/>
              <w:rPr>
                <w:rFonts w:ascii="宋体" w:hAnsi="宋体"/>
                <w:szCs w:val="21"/>
              </w:rPr>
            </w:pPr>
            <w:r>
              <w:rPr>
                <w:rFonts w:hint="eastAsia" w:ascii="宋体" w:hAnsi="宋体"/>
                <w:szCs w:val="21"/>
              </w:rPr>
              <w:t>采购人</w:t>
            </w:r>
          </w:p>
        </w:tc>
        <w:tc>
          <w:tcPr>
            <w:tcW w:w="5035" w:type="dxa"/>
            <w:tcBorders>
              <w:top w:val="single" w:color="auto" w:sz="6" w:space="0"/>
              <w:left w:val="single" w:color="auto" w:sz="6" w:space="0"/>
              <w:bottom w:val="single" w:color="auto" w:sz="6" w:space="0"/>
              <w:right w:val="double" w:color="auto" w:sz="4" w:space="0"/>
            </w:tcBorders>
            <w:vAlign w:val="center"/>
          </w:tcPr>
          <w:p w14:paraId="044A1386">
            <w:pPr>
              <w:adjustRightInd w:val="0"/>
              <w:snapToGrid w:val="0"/>
              <w:rPr>
                <w:rFonts w:hint="eastAsia" w:ascii="宋体" w:hAnsi="宋体" w:eastAsia="宋体"/>
                <w:szCs w:val="21"/>
                <w:lang w:eastAsia="zh-CN"/>
              </w:rPr>
            </w:pPr>
            <w:r>
              <w:rPr>
                <w:rFonts w:hint="eastAsia" w:ascii="宋体" w:hAnsi="宋体"/>
                <w:bCs/>
                <w:iCs/>
                <w:szCs w:val="21"/>
                <w:lang w:eastAsia="zh-CN"/>
              </w:rPr>
              <w:t>临澧县职业中专学校</w:t>
            </w:r>
          </w:p>
        </w:tc>
      </w:tr>
      <w:tr w14:paraId="571530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2C1DD1A0">
            <w:pPr>
              <w:adjustRightInd w:val="0"/>
              <w:snapToGrid w:val="0"/>
              <w:jc w:val="center"/>
              <w:rPr>
                <w:rFonts w:ascii="宋体" w:hAnsi="宋体"/>
                <w:szCs w:val="21"/>
              </w:rPr>
            </w:pPr>
            <w:r>
              <w:rPr>
                <w:rFonts w:hint="eastAsia" w:ascii="宋体" w:hAnsi="宋体"/>
                <w:szCs w:val="21"/>
              </w:rPr>
              <w:t>第二章第2.2款</w:t>
            </w:r>
          </w:p>
        </w:tc>
        <w:tc>
          <w:tcPr>
            <w:tcW w:w="2121" w:type="dxa"/>
            <w:tcBorders>
              <w:top w:val="single" w:color="auto" w:sz="6" w:space="0"/>
              <w:left w:val="single" w:color="auto" w:sz="6" w:space="0"/>
              <w:bottom w:val="single" w:color="auto" w:sz="6" w:space="0"/>
              <w:right w:val="single" w:color="auto" w:sz="6" w:space="0"/>
            </w:tcBorders>
            <w:vAlign w:val="center"/>
          </w:tcPr>
          <w:p w14:paraId="70CAE47C">
            <w:pPr>
              <w:adjustRightInd w:val="0"/>
              <w:snapToGrid w:val="0"/>
              <w:jc w:val="center"/>
              <w:rPr>
                <w:rFonts w:ascii="宋体" w:hAnsi="宋体"/>
                <w:szCs w:val="21"/>
              </w:rPr>
            </w:pPr>
            <w:r>
              <w:rPr>
                <w:rFonts w:hint="eastAsia" w:ascii="宋体" w:hAnsi="宋体"/>
                <w:szCs w:val="21"/>
              </w:rPr>
              <w:t>采购代理机构</w:t>
            </w:r>
          </w:p>
        </w:tc>
        <w:tc>
          <w:tcPr>
            <w:tcW w:w="5035" w:type="dxa"/>
            <w:tcBorders>
              <w:top w:val="single" w:color="auto" w:sz="6" w:space="0"/>
              <w:left w:val="single" w:color="auto" w:sz="6" w:space="0"/>
              <w:bottom w:val="single" w:color="auto" w:sz="6" w:space="0"/>
              <w:right w:val="double" w:color="auto" w:sz="4" w:space="0"/>
            </w:tcBorders>
            <w:vAlign w:val="center"/>
          </w:tcPr>
          <w:p w14:paraId="29A41DF5">
            <w:pPr>
              <w:adjustRightInd w:val="0"/>
              <w:snapToGrid w:val="0"/>
              <w:rPr>
                <w:rFonts w:hint="eastAsia" w:ascii="宋体" w:hAnsi="宋体" w:eastAsia="宋体"/>
                <w:szCs w:val="21"/>
                <w:lang w:eastAsia="zh-CN"/>
              </w:rPr>
            </w:pPr>
            <w:r>
              <w:rPr>
                <w:rFonts w:hint="eastAsia" w:ascii="宋体" w:hAnsi="宋体"/>
                <w:szCs w:val="21"/>
                <w:lang w:eastAsia="zh-CN"/>
              </w:rPr>
              <w:t>常德众益项目管理咨询有限公司</w:t>
            </w:r>
          </w:p>
        </w:tc>
      </w:tr>
      <w:tr w14:paraId="304DF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934" w:type="dxa"/>
            <w:vMerge w:val="restart"/>
            <w:tcBorders>
              <w:top w:val="single" w:color="auto" w:sz="6" w:space="0"/>
              <w:left w:val="double" w:color="auto" w:sz="4" w:space="0"/>
              <w:bottom w:val="single" w:color="auto" w:sz="6" w:space="0"/>
              <w:right w:val="single" w:color="auto" w:sz="6" w:space="0"/>
            </w:tcBorders>
            <w:vAlign w:val="center"/>
          </w:tcPr>
          <w:p w14:paraId="2BA8E35A">
            <w:pPr>
              <w:adjustRightInd w:val="0"/>
              <w:snapToGrid w:val="0"/>
              <w:jc w:val="center"/>
              <w:rPr>
                <w:rFonts w:ascii="宋体" w:hAnsi="宋体"/>
                <w:szCs w:val="21"/>
              </w:rPr>
            </w:pPr>
            <w:r>
              <w:rPr>
                <w:rFonts w:hint="eastAsia" w:ascii="宋体" w:hAnsi="宋体"/>
                <w:szCs w:val="21"/>
              </w:rPr>
              <w:t>第二章第2.3款</w:t>
            </w:r>
          </w:p>
        </w:tc>
        <w:tc>
          <w:tcPr>
            <w:tcW w:w="2121" w:type="dxa"/>
            <w:tcBorders>
              <w:top w:val="single" w:color="auto" w:sz="6" w:space="0"/>
              <w:left w:val="single" w:color="auto" w:sz="6" w:space="0"/>
              <w:bottom w:val="single" w:color="auto" w:sz="6" w:space="0"/>
              <w:right w:val="single" w:color="auto" w:sz="6" w:space="0"/>
            </w:tcBorders>
            <w:vAlign w:val="center"/>
          </w:tcPr>
          <w:p w14:paraId="3A04613F">
            <w:pPr>
              <w:adjustRightInd w:val="0"/>
              <w:snapToGrid w:val="0"/>
              <w:jc w:val="center"/>
              <w:rPr>
                <w:rFonts w:ascii="宋体" w:hAnsi="宋体"/>
                <w:bCs/>
                <w:szCs w:val="21"/>
              </w:rPr>
            </w:pPr>
            <w:r>
              <w:rPr>
                <w:rFonts w:hint="eastAsia" w:ascii="宋体" w:hAnsi="宋体" w:cs="宋体"/>
                <w:kern w:val="0"/>
                <w:szCs w:val="21"/>
              </w:rPr>
              <w:t>供应商的</w:t>
            </w:r>
            <w:r>
              <w:rPr>
                <w:rFonts w:hint="eastAsia" w:ascii="宋体" w:hAnsi="宋体"/>
                <w:szCs w:val="21"/>
              </w:rPr>
              <w:t>邀请方式</w:t>
            </w:r>
          </w:p>
        </w:tc>
        <w:tc>
          <w:tcPr>
            <w:tcW w:w="5035" w:type="dxa"/>
            <w:tcBorders>
              <w:top w:val="single" w:color="auto" w:sz="6" w:space="0"/>
              <w:left w:val="single" w:color="auto" w:sz="6" w:space="0"/>
              <w:bottom w:val="single" w:color="auto" w:sz="6" w:space="0"/>
              <w:right w:val="double" w:color="auto" w:sz="4" w:space="0"/>
            </w:tcBorders>
            <w:vAlign w:val="center"/>
          </w:tcPr>
          <w:p w14:paraId="276422D2">
            <w:pPr>
              <w:adjustRightInd w:val="0"/>
              <w:snapToGrid w:val="0"/>
              <w:rPr>
                <w:rFonts w:ascii="宋体" w:hAnsi="宋体"/>
                <w:szCs w:val="21"/>
              </w:rPr>
            </w:pPr>
            <w:r>
              <w:rPr>
                <w:rFonts w:hint="eastAsia" w:ascii="宋体" w:hAnsi="宋体"/>
                <w:iCs/>
                <w:szCs w:val="21"/>
              </w:rPr>
              <w:t>发布邀请公告</w:t>
            </w:r>
          </w:p>
        </w:tc>
      </w:tr>
      <w:tr w14:paraId="687627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4"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5720EFF9">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2CC22245">
            <w:pPr>
              <w:adjustRightInd w:val="0"/>
              <w:snapToGrid w:val="0"/>
              <w:jc w:val="center"/>
              <w:rPr>
                <w:rFonts w:ascii="宋体" w:hAnsi="宋体"/>
                <w:szCs w:val="21"/>
              </w:rPr>
            </w:pPr>
            <w:r>
              <w:rPr>
                <w:rFonts w:hint="eastAsia" w:ascii="宋体" w:hAnsi="宋体"/>
                <w:szCs w:val="21"/>
              </w:rPr>
              <w:t>磋商文件获取方式</w:t>
            </w:r>
          </w:p>
        </w:tc>
        <w:tc>
          <w:tcPr>
            <w:tcW w:w="5035" w:type="dxa"/>
            <w:tcBorders>
              <w:top w:val="single" w:color="auto" w:sz="6" w:space="0"/>
              <w:left w:val="single" w:color="auto" w:sz="6" w:space="0"/>
              <w:bottom w:val="single" w:color="auto" w:sz="6" w:space="0"/>
              <w:right w:val="double" w:color="auto" w:sz="4" w:space="0"/>
            </w:tcBorders>
            <w:vAlign w:val="center"/>
          </w:tcPr>
          <w:p w14:paraId="2B721897">
            <w:pPr>
              <w:adjustRightInd w:val="0"/>
              <w:snapToGrid w:val="0"/>
              <w:jc w:val="left"/>
              <w:rPr>
                <w:rFonts w:ascii="宋体" w:hAnsi="宋体"/>
                <w:szCs w:val="21"/>
              </w:rPr>
            </w:pPr>
            <w:r>
              <w:rPr>
                <w:rFonts w:hint="eastAsia" w:ascii="宋体" w:hAnsi="宋体"/>
                <w:szCs w:val="21"/>
              </w:rPr>
              <w:t>获取时间、方式及要求：详见磋商公告。</w:t>
            </w:r>
          </w:p>
        </w:tc>
      </w:tr>
      <w:tr w14:paraId="52E6B2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10"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0D5B0F5">
            <w:pPr>
              <w:adjustRightInd w:val="0"/>
              <w:snapToGrid w:val="0"/>
              <w:jc w:val="center"/>
              <w:rPr>
                <w:rFonts w:ascii="宋体" w:hAnsi="宋体"/>
                <w:szCs w:val="21"/>
              </w:rPr>
            </w:pPr>
            <w:r>
              <w:rPr>
                <w:rFonts w:hint="eastAsia" w:ascii="宋体" w:hAnsi="宋体"/>
                <w:szCs w:val="21"/>
              </w:rPr>
              <w:t>第二章第3.1款</w:t>
            </w:r>
          </w:p>
        </w:tc>
        <w:tc>
          <w:tcPr>
            <w:tcW w:w="2121" w:type="dxa"/>
            <w:tcBorders>
              <w:top w:val="single" w:color="auto" w:sz="6" w:space="0"/>
              <w:left w:val="single" w:color="auto" w:sz="6" w:space="0"/>
              <w:bottom w:val="single" w:color="auto" w:sz="6" w:space="0"/>
              <w:right w:val="single" w:color="auto" w:sz="6" w:space="0"/>
            </w:tcBorders>
            <w:vAlign w:val="center"/>
          </w:tcPr>
          <w:p w14:paraId="79A450EF">
            <w:pPr>
              <w:adjustRightInd w:val="0"/>
              <w:snapToGrid w:val="0"/>
              <w:jc w:val="center"/>
              <w:rPr>
                <w:rFonts w:ascii="宋体" w:hAnsi="宋体"/>
                <w:szCs w:val="21"/>
              </w:rPr>
            </w:pPr>
            <w:r>
              <w:rPr>
                <w:rFonts w:hint="eastAsia" w:ascii="宋体" w:hAnsi="宋体"/>
                <w:bCs/>
                <w:szCs w:val="21"/>
              </w:rPr>
              <w:t>供应商</w:t>
            </w:r>
            <w:r>
              <w:rPr>
                <w:rFonts w:hint="eastAsia" w:ascii="宋体" w:hAnsi="宋体"/>
                <w:szCs w:val="21"/>
              </w:rPr>
              <w:t>资格条件</w:t>
            </w:r>
          </w:p>
        </w:tc>
        <w:tc>
          <w:tcPr>
            <w:tcW w:w="5035" w:type="dxa"/>
            <w:tcBorders>
              <w:top w:val="single" w:color="auto" w:sz="6" w:space="0"/>
              <w:left w:val="single" w:color="auto" w:sz="6" w:space="0"/>
              <w:bottom w:val="single" w:color="auto" w:sz="6" w:space="0"/>
              <w:right w:val="double" w:color="auto" w:sz="4" w:space="0"/>
            </w:tcBorders>
            <w:vAlign w:val="center"/>
          </w:tcPr>
          <w:p w14:paraId="48FCDC12">
            <w:pPr>
              <w:adjustRightInd w:val="0"/>
              <w:snapToGrid w:val="0"/>
              <w:rPr>
                <w:rFonts w:hint="eastAsia" w:ascii="宋体" w:hAnsi="宋体" w:eastAsia="宋体" w:cs="宋体"/>
                <w:sz w:val="21"/>
                <w:szCs w:val="21"/>
              </w:rPr>
            </w:pPr>
            <w:r>
              <w:rPr>
                <w:rFonts w:hint="eastAsia" w:ascii="宋体" w:hAnsi="宋体" w:eastAsia="宋体" w:cs="宋体"/>
                <w:sz w:val="21"/>
                <w:szCs w:val="21"/>
                <w:lang w:val="en-US" w:eastAsia="zh-CN"/>
              </w:rPr>
              <w:t>1、供应商</w:t>
            </w:r>
            <w:r>
              <w:rPr>
                <w:rFonts w:hint="eastAsia" w:ascii="宋体" w:hAnsi="宋体" w:eastAsia="宋体" w:cs="宋体"/>
                <w:sz w:val="21"/>
                <w:szCs w:val="21"/>
              </w:rPr>
              <w:t xml:space="preserve">基本资格条件： </w:t>
            </w:r>
          </w:p>
          <w:p w14:paraId="5E0432B9">
            <w:pPr>
              <w:adjustRightInd w:val="0"/>
              <w:snapToGrid w:val="0"/>
              <w:rPr>
                <w:rFonts w:hint="eastAsia" w:ascii="宋体" w:hAnsi="宋体" w:eastAsia="宋体" w:cs="宋体"/>
                <w:sz w:val="21"/>
                <w:szCs w:val="21"/>
              </w:rPr>
            </w:pPr>
            <w:r>
              <w:rPr>
                <w:rFonts w:hint="eastAsia" w:ascii="宋体" w:hAnsi="宋体" w:eastAsia="宋体" w:cs="宋体"/>
                <w:sz w:val="21"/>
                <w:szCs w:val="21"/>
              </w:rPr>
              <w:t>①具有独立承担民事责任的能力；</w:t>
            </w:r>
          </w:p>
          <w:p w14:paraId="2FD2E957">
            <w:pPr>
              <w:adjustRightInd w:val="0"/>
              <w:snapToGrid w:val="0"/>
              <w:rPr>
                <w:rFonts w:hint="eastAsia" w:ascii="宋体" w:hAnsi="宋体" w:eastAsia="宋体" w:cs="宋体"/>
                <w:sz w:val="21"/>
                <w:szCs w:val="21"/>
              </w:rPr>
            </w:pPr>
            <w:r>
              <w:rPr>
                <w:rFonts w:hint="eastAsia" w:ascii="宋体" w:hAnsi="宋体" w:eastAsia="宋体" w:cs="宋体"/>
                <w:sz w:val="21"/>
                <w:szCs w:val="21"/>
              </w:rPr>
              <w:t>②具有良好的商业信誉和健全的财务会计制度；</w:t>
            </w:r>
          </w:p>
          <w:p w14:paraId="0DB78B79">
            <w:pPr>
              <w:adjustRightInd w:val="0"/>
              <w:snapToGrid w:val="0"/>
              <w:rPr>
                <w:rFonts w:hint="eastAsia" w:ascii="宋体" w:hAnsi="宋体" w:eastAsia="宋体" w:cs="宋体"/>
                <w:sz w:val="21"/>
                <w:szCs w:val="21"/>
              </w:rPr>
            </w:pPr>
            <w:r>
              <w:rPr>
                <w:rFonts w:hint="eastAsia" w:ascii="宋体" w:hAnsi="宋体" w:eastAsia="宋体" w:cs="宋体"/>
                <w:sz w:val="21"/>
                <w:szCs w:val="21"/>
              </w:rPr>
              <w:t>③具有履行合同所必需的设备和专业技术能力；</w:t>
            </w:r>
          </w:p>
          <w:p w14:paraId="6C542B9E">
            <w:pPr>
              <w:adjustRightInd w:val="0"/>
              <w:snapToGrid w:val="0"/>
              <w:rPr>
                <w:rFonts w:hint="eastAsia" w:ascii="宋体" w:hAnsi="宋体" w:eastAsia="宋体" w:cs="宋体"/>
                <w:sz w:val="21"/>
                <w:szCs w:val="21"/>
              </w:rPr>
            </w:pPr>
            <w:r>
              <w:rPr>
                <w:rFonts w:hint="eastAsia" w:ascii="宋体" w:hAnsi="宋体" w:eastAsia="宋体" w:cs="宋体"/>
                <w:sz w:val="21"/>
                <w:szCs w:val="21"/>
              </w:rPr>
              <w:t>④有依法缴纳税收和社会保障资金的良好记录；</w:t>
            </w:r>
          </w:p>
          <w:p w14:paraId="4F25266A">
            <w:pPr>
              <w:adjustRightInd w:val="0"/>
              <w:snapToGrid w:val="0"/>
              <w:rPr>
                <w:rFonts w:hint="eastAsia" w:ascii="宋体" w:hAnsi="宋体" w:eastAsia="宋体" w:cs="宋体"/>
                <w:sz w:val="21"/>
                <w:szCs w:val="21"/>
              </w:rPr>
            </w:pPr>
            <w:r>
              <w:rPr>
                <w:rFonts w:hint="eastAsia" w:ascii="宋体" w:hAnsi="宋体" w:eastAsia="宋体" w:cs="宋体"/>
                <w:sz w:val="21"/>
                <w:szCs w:val="21"/>
              </w:rPr>
              <w:t>⑤参加采购活动前三年内，在经营活动中没有重大违法记录；</w:t>
            </w:r>
          </w:p>
          <w:p w14:paraId="350C34E7">
            <w:pPr>
              <w:adjustRightInd w:val="0"/>
              <w:snapToGrid w:val="0"/>
              <w:rPr>
                <w:rFonts w:hint="eastAsia" w:ascii="宋体" w:hAnsi="宋体" w:eastAsia="宋体" w:cs="宋体"/>
                <w:sz w:val="21"/>
                <w:szCs w:val="21"/>
              </w:rPr>
            </w:pPr>
            <w:r>
              <w:rPr>
                <w:rFonts w:hint="eastAsia" w:ascii="宋体" w:hAnsi="宋体" w:eastAsia="宋体" w:cs="宋体"/>
                <w:sz w:val="21"/>
                <w:szCs w:val="21"/>
              </w:rPr>
              <w:t>⑥法律、行政法规规定的其他条件。</w:t>
            </w:r>
          </w:p>
          <w:p w14:paraId="02D9532B">
            <w:pPr>
              <w:adjustRightInd w:val="0"/>
              <w:snapToGrid w:val="0"/>
              <w:rPr>
                <w:rFonts w:hint="eastAsia" w:ascii="宋体" w:hAnsi="宋体" w:eastAsia="宋体" w:cs="宋体"/>
                <w:sz w:val="21"/>
                <w:szCs w:val="21"/>
                <w:u w:val="none"/>
              </w:rPr>
            </w:pPr>
            <w:r>
              <w:rPr>
                <w:rFonts w:hint="eastAsia" w:ascii="宋体" w:hAnsi="宋体" w:eastAsia="宋体" w:cs="宋体"/>
                <w:sz w:val="21"/>
                <w:szCs w:val="21"/>
                <w:lang w:val="en-US" w:eastAsia="zh-CN"/>
              </w:rPr>
              <w:t>2、供应商</w:t>
            </w:r>
            <w:r>
              <w:rPr>
                <w:rFonts w:hint="eastAsia" w:ascii="宋体" w:hAnsi="宋体" w:eastAsia="宋体" w:cs="宋体"/>
                <w:sz w:val="21"/>
                <w:szCs w:val="21"/>
              </w:rPr>
              <w:t>特定资格条件：</w:t>
            </w:r>
            <w:r>
              <w:rPr>
                <w:rFonts w:hint="eastAsia" w:ascii="宋体" w:hAnsi="宋体" w:cs="宋体"/>
                <w:color w:val="auto"/>
                <w:kern w:val="0"/>
                <w:sz w:val="21"/>
                <w:szCs w:val="21"/>
                <w:u w:val="none"/>
                <w:lang w:eastAsia="zh-CN"/>
              </w:rPr>
              <w:t>从事食品生产、食品销售、餐饮服务，应当依法取得许可。但是，销售食用农产品和仅销售预包装食品的，不需要取得许可。需要取得许可或备案的食材，供应商应取得相应品类的许可或备案。</w:t>
            </w:r>
          </w:p>
          <w:p w14:paraId="588B1039">
            <w:pPr>
              <w:adjustRightInd w:val="0"/>
              <w:snapToGrid w:val="0"/>
              <w:rPr>
                <w:rFonts w:ascii="宋体" w:hAnsi="宋体"/>
                <w:b/>
                <w:szCs w:val="21"/>
              </w:rPr>
            </w:pPr>
            <w:r>
              <w:rPr>
                <w:rFonts w:hint="eastAsia" w:ascii="宋体" w:hAnsi="宋体" w:eastAsia="宋体" w:cs="宋体"/>
                <w:sz w:val="21"/>
                <w:szCs w:val="21"/>
                <w:u w:val="none"/>
                <w:lang w:val="en-US" w:eastAsia="zh-CN"/>
              </w:rPr>
              <w:t>3、落实政府采购政策需满足的资格要求：</w:t>
            </w:r>
            <w:r>
              <w:rPr>
                <w:rFonts w:hint="eastAsia" w:ascii="宋体" w:hAnsi="宋体" w:cs="宋体"/>
                <w:sz w:val="21"/>
                <w:szCs w:val="21"/>
                <w:u w:val="none"/>
                <w:lang w:val="en-US" w:eastAsia="zh-CN"/>
              </w:rPr>
              <w:t>无</w:t>
            </w:r>
            <w:r>
              <w:rPr>
                <w:rFonts w:hint="eastAsia" w:ascii="宋体" w:hAnsi="宋体" w:eastAsia="宋体" w:cs="宋体"/>
                <w:sz w:val="21"/>
                <w:szCs w:val="21"/>
                <w:u w:val="none"/>
                <w:lang w:val="en-US" w:eastAsia="zh-CN"/>
              </w:rPr>
              <w:t>。</w:t>
            </w:r>
          </w:p>
        </w:tc>
      </w:tr>
      <w:tr w14:paraId="30247B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38314EBA">
            <w:pPr>
              <w:adjustRightInd w:val="0"/>
              <w:snapToGrid w:val="0"/>
              <w:jc w:val="center"/>
              <w:rPr>
                <w:rFonts w:ascii="宋体" w:hAnsi="宋体"/>
                <w:szCs w:val="21"/>
              </w:rPr>
            </w:pPr>
            <w:r>
              <w:rPr>
                <w:rFonts w:hint="eastAsia" w:ascii="宋体" w:hAnsi="宋体"/>
                <w:szCs w:val="21"/>
              </w:rPr>
              <w:t>第二章第6.1款</w:t>
            </w:r>
          </w:p>
        </w:tc>
        <w:tc>
          <w:tcPr>
            <w:tcW w:w="2121" w:type="dxa"/>
            <w:tcBorders>
              <w:top w:val="single" w:color="auto" w:sz="6" w:space="0"/>
              <w:left w:val="single" w:color="auto" w:sz="6" w:space="0"/>
              <w:bottom w:val="single" w:color="auto" w:sz="6" w:space="0"/>
              <w:right w:val="single" w:color="auto" w:sz="6" w:space="0"/>
            </w:tcBorders>
            <w:vAlign w:val="center"/>
          </w:tcPr>
          <w:p w14:paraId="130EFB32">
            <w:pPr>
              <w:adjustRightInd w:val="0"/>
              <w:snapToGrid w:val="0"/>
              <w:jc w:val="center"/>
              <w:rPr>
                <w:rFonts w:ascii="宋体" w:hAnsi="宋体"/>
                <w:szCs w:val="21"/>
              </w:rPr>
            </w:pPr>
            <w:r>
              <w:rPr>
                <w:rFonts w:hint="eastAsia" w:ascii="宋体" w:hAnsi="宋体"/>
                <w:szCs w:val="21"/>
              </w:rPr>
              <w:t>联合体形式</w:t>
            </w:r>
          </w:p>
        </w:tc>
        <w:tc>
          <w:tcPr>
            <w:tcW w:w="5035" w:type="dxa"/>
            <w:tcBorders>
              <w:top w:val="single" w:color="auto" w:sz="6" w:space="0"/>
              <w:left w:val="single" w:color="auto" w:sz="6" w:space="0"/>
              <w:bottom w:val="single" w:color="auto" w:sz="6" w:space="0"/>
              <w:right w:val="double" w:color="auto" w:sz="4" w:space="0"/>
            </w:tcBorders>
            <w:vAlign w:val="center"/>
          </w:tcPr>
          <w:p w14:paraId="3E6A2426">
            <w:pPr>
              <w:adjustRightInd w:val="0"/>
              <w:snapToGrid w:val="0"/>
              <w:rPr>
                <w:rFonts w:ascii="宋体" w:hAnsi="宋体"/>
                <w:szCs w:val="21"/>
              </w:rPr>
            </w:pPr>
            <w:r>
              <w:rPr>
                <w:rFonts w:hint="eastAsia" w:ascii="宋体" w:hAnsi="宋体"/>
                <w:szCs w:val="21"/>
              </w:rPr>
              <w:t>本采购项目不接受联合体</w:t>
            </w:r>
          </w:p>
        </w:tc>
      </w:tr>
      <w:tr w14:paraId="4E94F1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911410A">
            <w:pPr>
              <w:adjustRightInd w:val="0"/>
              <w:snapToGrid w:val="0"/>
              <w:jc w:val="center"/>
              <w:rPr>
                <w:rFonts w:ascii="宋体" w:hAnsi="宋体"/>
                <w:szCs w:val="21"/>
              </w:rPr>
            </w:pPr>
            <w:r>
              <w:rPr>
                <w:rFonts w:hint="eastAsia" w:ascii="宋体" w:hAnsi="宋体"/>
                <w:szCs w:val="21"/>
              </w:rPr>
              <w:t>第二章第6.2款</w:t>
            </w:r>
          </w:p>
        </w:tc>
        <w:tc>
          <w:tcPr>
            <w:tcW w:w="2121" w:type="dxa"/>
            <w:tcBorders>
              <w:top w:val="single" w:color="auto" w:sz="6" w:space="0"/>
              <w:left w:val="single" w:color="auto" w:sz="6" w:space="0"/>
              <w:bottom w:val="single" w:color="auto" w:sz="6" w:space="0"/>
              <w:right w:val="single" w:color="auto" w:sz="6" w:space="0"/>
            </w:tcBorders>
            <w:vAlign w:val="center"/>
          </w:tcPr>
          <w:p w14:paraId="0E364268">
            <w:pPr>
              <w:jc w:val="center"/>
              <w:rPr>
                <w:rFonts w:ascii="宋体" w:hAnsi="宋体"/>
                <w:szCs w:val="21"/>
              </w:rPr>
            </w:pPr>
            <w:r>
              <w:rPr>
                <w:rFonts w:hint="eastAsia" w:ascii="宋体" w:hAnsi="宋体"/>
                <w:szCs w:val="21"/>
              </w:rPr>
              <w:t>对联合体各方的要求</w:t>
            </w:r>
          </w:p>
        </w:tc>
        <w:tc>
          <w:tcPr>
            <w:tcW w:w="5035" w:type="dxa"/>
            <w:tcBorders>
              <w:top w:val="single" w:color="auto" w:sz="6" w:space="0"/>
              <w:left w:val="single" w:color="auto" w:sz="6" w:space="0"/>
              <w:bottom w:val="single" w:color="auto" w:sz="6" w:space="0"/>
              <w:right w:val="double" w:color="auto" w:sz="4" w:space="0"/>
            </w:tcBorders>
            <w:vAlign w:val="center"/>
          </w:tcPr>
          <w:p w14:paraId="3128E9D5">
            <w:pPr>
              <w:adjustRightInd w:val="0"/>
              <w:snapToGrid w:val="0"/>
              <w:rPr>
                <w:rFonts w:ascii="宋体" w:hAnsi="宋体"/>
                <w:szCs w:val="21"/>
              </w:rPr>
            </w:pPr>
            <w:r>
              <w:rPr>
                <w:rFonts w:hint="eastAsia" w:ascii="宋体" w:hAnsi="宋体"/>
                <w:szCs w:val="21"/>
              </w:rPr>
              <w:t>本采购项目不接受联合体</w:t>
            </w:r>
          </w:p>
        </w:tc>
      </w:tr>
      <w:tr w14:paraId="0C8896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2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B23892C">
            <w:pPr>
              <w:adjustRightInd w:val="0"/>
              <w:snapToGrid w:val="0"/>
              <w:jc w:val="center"/>
              <w:rPr>
                <w:rFonts w:ascii="宋体" w:hAnsi="宋体"/>
                <w:szCs w:val="21"/>
              </w:rPr>
            </w:pPr>
            <w:r>
              <w:rPr>
                <w:rFonts w:hint="eastAsia" w:ascii="宋体" w:hAnsi="宋体"/>
                <w:szCs w:val="21"/>
              </w:rPr>
              <w:t>第二章第7.1款</w:t>
            </w:r>
          </w:p>
        </w:tc>
        <w:tc>
          <w:tcPr>
            <w:tcW w:w="2121" w:type="dxa"/>
            <w:tcBorders>
              <w:top w:val="single" w:color="auto" w:sz="6" w:space="0"/>
              <w:left w:val="single" w:color="auto" w:sz="6" w:space="0"/>
              <w:bottom w:val="single" w:color="auto" w:sz="6" w:space="0"/>
              <w:right w:val="single" w:color="auto" w:sz="6" w:space="0"/>
            </w:tcBorders>
            <w:vAlign w:val="center"/>
          </w:tcPr>
          <w:p w14:paraId="060BE952">
            <w:pPr>
              <w:adjustRightInd w:val="0"/>
              <w:snapToGrid w:val="0"/>
              <w:jc w:val="center"/>
              <w:rPr>
                <w:rFonts w:ascii="宋体" w:hAnsi="宋体"/>
                <w:szCs w:val="21"/>
              </w:rPr>
            </w:pPr>
            <w:r>
              <w:rPr>
                <w:rFonts w:hint="eastAsia" w:ascii="宋体" w:hAnsi="宋体"/>
                <w:szCs w:val="21"/>
              </w:rPr>
              <w:t>现场勘察</w:t>
            </w:r>
          </w:p>
        </w:tc>
        <w:tc>
          <w:tcPr>
            <w:tcW w:w="5035" w:type="dxa"/>
            <w:tcBorders>
              <w:top w:val="single" w:color="auto" w:sz="6" w:space="0"/>
              <w:left w:val="single" w:color="auto" w:sz="6" w:space="0"/>
              <w:bottom w:val="single" w:color="auto" w:sz="6" w:space="0"/>
              <w:right w:val="double" w:color="auto" w:sz="4" w:space="0"/>
            </w:tcBorders>
            <w:vAlign w:val="center"/>
          </w:tcPr>
          <w:p w14:paraId="5D23968E">
            <w:pPr>
              <w:adjustRightInd w:val="0"/>
              <w:snapToGrid w:val="0"/>
              <w:rPr>
                <w:rFonts w:ascii="宋体" w:hAnsi="宋体"/>
                <w:szCs w:val="21"/>
              </w:rPr>
            </w:pPr>
            <w:r>
              <w:rPr>
                <w:rFonts w:hint="eastAsia" w:ascii="宋体" w:hAnsi="宋体"/>
                <w:szCs w:val="21"/>
              </w:rPr>
              <w:t>本次招标不组织统一踏勘现场活动，供应商应根据项目的实际情况自行组织踏勘现场，供应商因没有踏勘现场而给自身带来的损失，供应商自行负责。</w:t>
            </w:r>
          </w:p>
        </w:tc>
      </w:tr>
      <w:tr w14:paraId="1D08C5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7F3F49DC">
            <w:pPr>
              <w:rPr>
                <w:rFonts w:ascii="宋体" w:hAnsi="宋体"/>
                <w:szCs w:val="21"/>
              </w:rPr>
            </w:pPr>
            <w:r>
              <w:rPr>
                <w:rFonts w:hint="eastAsia" w:ascii="宋体" w:hAnsi="宋体"/>
                <w:szCs w:val="21"/>
              </w:rPr>
              <w:t>第二章第8.1款</w:t>
            </w:r>
          </w:p>
        </w:tc>
        <w:tc>
          <w:tcPr>
            <w:tcW w:w="2121" w:type="dxa"/>
            <w:tcBorders>
              <w:top w:val="single" w:color="auto" w:sz="6" w:space="0"/>
              <w:left w:val="single" w:color="auto" w:sz="6" w:space="0"/>
              <w:bottom w:val="single" w:color="auto" w:sz="6" w:space="0"/>
              <w:right w:val="single" w:color="auto" w:sz="6" w:space="0"/>
            </w:tcBorders>
            <w:vAlign w:val="center"/>
          </w:tcPr>
          <w:p w14:paraId="77C683F3">
            <w:pPr>
              <w:jc w:val="center"/>
              <w:rPr>
                <w:rFonts w:ascii="宋体" w:hAnsi="宋体"/>
                <w:szCs w:val="21"/>
              </w:rPr>
            </w:pPr>
            <w:r>
              <w:rPr>
                <w:rFonts w:hint="eastAsia" w:ascii="宋体" w:hAnsi="宋体"/>
                <w:szCs w:val="21"/>
              </w:rPr>
              <w:t>采购进口产品</w:t>
            </w:r>
          </w:p>
        </w:tc>
        <w:tc>
          <w:tcPr>
            <w:tcW w:w="5035" w:type="dxa"/>
            <w:tcBorders>
              <w:top w:val="single" w:color="auto" w:sz="6" w:space="0"/>
              <w:left w:val="single" w:color="auto" w:sz="6" w:space="0"/>
              <w:bottom w:val="single" w:color="auto" w:sz="6" w:space="0"/>
              <w:right w:val="double" w:color="auto" w:sz="4" w:space="0"/>
            </w:tcBorders>
            <w:vAlign w:val="center"/>
          </w:tcPr>
          <w:p w14:paraId="0B9AAAAC">
            <w:pPr>
              <w:rPr>
                <w:rFonts w:ascii="宋体" w:hAnsi="宋体"/>
                <w:szCs w:val="21"/>
              </w:rPr>
            </w:pPr>
            <w:r>
              <w:rPr>
                <w:rFonts w:hint="eastAsia" w:ascii="宋体" w:hAnsi="宋体"/>
                <w:szCs w:val="21"/>
              </w:rPr>
              <w:t>拒绝</w:t>
            </w:r>
          </w:p>
        </w:tc>
      </w:tr>
      <w:tr w14:paraId="1EBF23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59" w:hRule="atLeast"/>
          <w:jc w:val="center"/>
        </w:trPr>
        <w:tc>
          <w:tcPr>
            <w:tcW w:w="1934" w:type="dxa"/>
            <w:vMerge w:val="restart"/>
            <w:tcBorders>
              <w:top w:val="single" w:color="auto" w:sz="6" w:space="0"/>
              <w:left w:val="double" w:color="auto" w:sz="4" w:space="0"/>
              <w:bottom w:val="single" w:color="auto" w:sz="6" w:space="0"/>
              <w:right w:val="single" w:color="auto" w:sz="6" w:space="0"/>
            </w:tcBorders>
            <w:vAlign w:val="center"/>
          </w:tcPr>
          <w:p w14:paraId="5389DFE4">
            <w:pPr>
              <w:rPr>
                <w:rFonts w:ascii="宋体" w:hAnsi="宋体"/>
                <w:szCs w:val="21"/>
              </w:rPr>
            </w:pPr>
            <w:r>
              <w:rPr>
                <w:rFonts w:hint="eastAsia" w:ascii="宋体" w:hAnsi="宋体"/>
                <w:szCs w:val="21"/>
              </w:rPr>
              <w:t>第二章第9.1款</w:t>
            </w:r>
          </w:p>
        </w:tc>
        <w:tc>
          <w:tcPr>
            <w:tcW w:w="2121" w:type="dxa"/>
            <w:tcBorders>
              <w:top w:val="single" w:color="auto" w:sz="6" w:space="0"/>
              <w:left w:val="single" w:color="auto" w:sz="6" w:space="0"/>
              <w:bottom w:val="single" w:color="auto" w:sz="6" w:space="0"/>
              <w:right w:val="single" w:color="auto" w:sz="6" w:space="0"/>
            </w:tcBorders>
            <w:vAlign w:val="center"/>
          </w:tcPr>
          <w:p w14:paraId="19954E1D">
            <w:pPr>
              <w:adjustRightInd w:val="0"/>
              <w:snapToGrid w:val="0"/>
              <w:spacing w:beforeLines="50"/>
              <w:jc w:val="center"/>
              <w:rPr>
                <w:rFonts w:ascii="宋体" w:hAnsi="宋体"/>
                <w:szCs w:val="21"/>
              </w:rPr>
            </w:pPr>
            <w:r>
              <w:rPr>
                <w:rFonts w:hint="eastAsia" w:ascii="宋体" w:hAnsi="宋体"/>
                <w:color w:val="auto"/>
                <w:szCs w:val="21"/>
              </w:rPr>
              <w:t>政府采购强制采购节能产品</w:t>
            </w:r>
          </w:p>
        </w:tc>
        <w:tc>
          <w:tcPr>
            <w:tcW w:w="5035" w:type="dxa"/>
            <w:tcBorders>
              <w:top w:val="single" w:color="auto" w:sz="6" w:space="0"/>
              <w:left w:val="single" w:color="auto" w:sz="6" w:space="0"/>
              <w:bottom w:val="single" w:color="auto" w:sz="6" w:space="0"/>
              <w:right w:val="double" w:color="auto" w:sz="4" w:space="0"/>
            </w:tcBorders>
            <w:vAlign w:val="center"/>
          </w:tcPr>
          <w:p w14:paraId="5465B99E">
            <w:pPr>
              <w:adjustRightInd w:val="0"/>
              <w:snapToGrid w:val="0"/>
              <w:spacing w:beforeLines="50"/>
              <w:rPr>
                <w:rFonts w:ascii="宋体" w:hAnsi="宋体"/>
                <w:color w:val="auto"/>
                <w:szCs w:val="21"/>
              </w:rPr>
            </w:pPr>
            <w:r>
              <w:rPr>
                <w:rFonts w:hint="eastAsia" w:ascii="宋体" w:hAnsi="宋体"/>
                <w:color w:val="auto"/>
                <w:szCs w:val="21"/>
              </w:rPr>
              <w:t>■ 否</w:t>
            </w:r>
          </w:p>
          <w:p w14:paraId="573DF245">
            <w:pPr>
              <w:adjustRightInd w:val="0"/>
              <w:snapToGrid w:val="0"/>
              <w:spacing w:beforeLines="50"/>
              <w:rPr>
                <w:rFonts w:ascii="宋体" w:hAnsi="宋体"/>
                <w:szCs w:val="21"/>
              </w:rPr>
            </w:pPr>
            <w:r>
              <w:rPr>
                <w:rFonts w:hint="eastAsia" w:ascii="宋体" w:hAnsi="宋体"/>
                <w:color w:val="auto"/>
                <w:szCs w:val="21"/>
              </w:rPr>
              <w:t>□ 是，采购《节能产品政府采购品目清单》(第</w:t>
            </w:r>
            <w:r>
              <w:rPr>
                <w:rFonts w:hint="eastAsia" w:ascii="宋体" w:hAnsi="宋体"/>
                <w:color w:val="auto"/>
                <w:szCs w:val="21"/>
                <w:u w:val="single"/>
              </w:rPr>
              <w:t xml:space="preserve"> 最新 </w:t>
            </w:r>
            <w:r>
              <w:rPr>
                <w:rFonts w:hint="eastAsia" w:ascii="宋体" w:hAnsi="宋体"/>
                <w:color w:val="auto"/>
                <w:szCs w:val="21"/>
              </w:rPr>
              <w:t>期) 内的产品（应同时在招标公告中注明）。</w:t>
            </w:r>
          </w:p>
        </w:tc>
      </w:tr>
      <w:tr w14:paraId="2D67AD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408A81BB">
            <w:pPr>
              <w:widowControl/>
              <w:jc w:val="left"/>
              <w:rPr>
                <w:rFonts w:ascii="宋体" w:hAnsi="宋体"/>
                <w:szCs w:val="21"/>
              </w:rPr>
            </w:pPr>
          </w:p>
        </w:tc>
        <w:tc>
          <w:tcPr>
            <w:tcW w:w="2121" w:type="dxa"/>
            <w:tcBorders>
              <w:top w:val="single" w:color="auto" w:sz="6" w:space="0"/>
              <w:left w:val="single" w:color="auto" w:sz="6" w:space="0"/>
              <w:bottom w:val="single" w:color="auto" w:sz="4" w:space="0"/>
              <w:right w:val="single" w:color="auto" w:sz="6" w:space="0"/>
            </w:tcBorders>
            <w:vAlign w:val="center"/>
          </w:tcPr>
          <w:p w14:paraId="5C5F83BA">
            <w:pPr>
              <w:adjustRightInd w:val="0"/>
              <w:snapToGrid w:val="0"/>
              <w:jc w:val="center"/>
              <w:rPr>
                <w:rFonts w:ascii="宋体" w:hAnsi="宋体"/>
                <w:szCs w:val="21"/>
              </w:rPr>
            </w:pPr>
            <w:r>
              <w:rPr>
                <w:rFonts w:hint="eastAsia" w:ascii="宋体" w:hAnsi="宋体"/>
                <w:color w:val="auto"/>
                <w:szCs w:val="21"/>
              </w:rPr>
              <w:t>政府采购优先采购非标记★符号的节能产品</w:t>
            </w:r>
          </w:p>
        </w:tc>
        <w:tc>
          <w:tcPr>
            <w:tcW w:w="5035" w:type="dxa"/>
            <w:tcBorders>
              <w:top w:val="single" w:color="auto" w:sz="6" w:space="0"/>
              <w:left w:val="single" w:color="auto" w:sz="6" w:space="0"/>
              <w:bottom w:val="single" w:color="auto" w:sz="4" w:space="0"/>
              <w:right w:val="double" w:color="auto" w:sz="4" w:space="0"/>
            </w:tcBorders>
            <w:vAlign w:val="center"/>
          </w:tcPr>
          <w:p w14:paraId="17262BE2">
            <w:pPr>
              <w:adjustRightInd w:val="0"/>
              <w:snapToGrid w:val="0"/>
              <w:spacing w:beforeLines="50"/>
              <w:rPr>
                <w:rFonts w:ascii="宋体" w:hAnsi="宋体"/>
                <w:color w:val="auto"/>
                <w:szCs w:val="21"/>
              </w:rPr>
            </w:pPr>
            <w:r>
              <w:rPr>
                <w:rFonts w:hint="eastAsia" w:ascii="宋体" w:hAnsi="宋体"/>
                <w:color w:val="auto"/>
                <w:szCs w:val="21"/>
              </w:rPr>
              <w:t>■ 是，采购产品为《节能产品政府采购品目清单》(第</w:t>
            </w:r>
            <w:r>
              <w:rPr>
                <w:rFonts w:hint="eastAsia" w:ascii="宋体" w:hAnsi="宋体"/>
                <w:color w:val="auto"/>
                <w:szCs w:val="21"/>
                <w:u w:val="single"/>
              </w:rPr>
              <w:t xml:space="preserve"> 最新 </w:t>
            </w:r>
            <w:r>
              <w:rPr>
                <w:rFonts w:hint="eastAsia" w:ascii="宋体" w:hAnsi="宋体"/>
                <w:color w:val="auto"/>
                <w:szCs w:val="21"/>
              </w:rPr>
              <w:t>期)内非标记★符号的：</w:t>
            </w:r>
          </w:p>
          <w:p w14:paraId="184787C5">
            <w:pPr>
              <w:adjustRightInd w:val="0"/>
              <w:snapToGrid w:val="0"/>
              <w:spacing w:beforeLines="50"/>
              <w:rPr>
                <w:rFonts w:ascii="宋体" w:hAnsi="宋体"/>
                <w:color w:val="auto"/>
                <w:szCs w:val="21"/>
              </w:rPr>
            </w:pPr>
            <w:r>
              <w:rPr>
                <w:rFonts w:hint="eastAsia" w:ascii="宋体" w:hAnsi="宋体"/>
                <w:color w:val="auto"/>
                <w:szCs w:val="21"/>
              </w:rPr>
              <w:t>(1)采用最低评标价法时，应给予</w:t>
            </w:r>
            <w:r>
              <w:rPr>
                <w:rFonts w:hint="eastAsia" w:ascii="宋体" w:hAnsi="宋体"/>
                <w:color w:val="auto"/>
                <w:szCs w:val="21"/>
                <w:lang w:eastAsia="zh-CN"/>
              </w:rPr>
              <w:t>相应政策比例</w:t>
            </w:r>
            <w:r>
              <w:rPr>
                <w:rFonts w:hint="eastAsia" w:ascii="宋体" w:hAnsi="宋体"/>
                <w:color w:val="auto"/>
                <w:szCs w:val="21"/>
              </w:rPr>
              <w:t>的价格扣除。本项目具体扣除比例为</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w:t>
            </w:r>
          </w:p>
          <w:p w14:paraId="0CEB0E60">
            <w:pPr>
              <w:adjustRightInd w:val="0"/>
              <w:snapToGrid w:val="0"/>
              <w:spacing w:beforeLines="50"/>
              <w:rPr>
                <w:rFonts w:ascii="宋体" w:hAnsi="宋体"/>
                <w:szCs w:val="21"/>
                <w:highlight w:val="yellow"/>
              </w:rPr>
            </w:pPr>
            <w:r>
              <w:rPr>
                <w:rFonts w:hint="eastAsia" w:ascii="宋体" w:hAnsi="宋体"/>
                <w:color w:val="auto"/>
                <w:szCs w:val="21"/>
              </w:rPr>
              <w:t>(2)采用综合评分法时，对于技术和价格分，应分别给予总分值</w:t>
            </w:r>
            <w:r>
              <w:rPr>
                <w:rFonts w:hint="eastAsia" w:ascii="宋体" w:hAnsi="宋体"/>
                <w:color w:val="auto"/>
                <w:szCs w:val="21"/>
                <w:lang w:eastAsia="zh-CN"/>
              </w:rPr>
              <w:t>相应政策比例</w:t>
            </w:r>
            <w:r>
              <w:rPr>
                <w:rFonts w:hint="eastAsia" w:ascii="宋体" w:hAnsi="宋体"/>
                <w:color w:val="auto"/>
                <w:szCs w:val="21"/>
              </w:rPr>
              <w:t>的加分。本项目具体加分比例分别为 ：技术</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%、价格</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w:t>
            </w:r>
          </w:p>
        </w:tc>
      </w:tr>
      <w:tr w14:paraId="7380BF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4E7140EF">
            <w:pPr>
              <w:widowControl/>
              <w:jc w:val="left"/>
              <w:rPr>
                <w:rFonts w:ascii="宋体" w:hAnsi="宋体"/>
                <w:szCs w:val="21"/>
              </w:rPr>
            </w:pPr>
          </w:p>
        </w:tc>
        <w:tc>
          <w:tcPr>
            <w:tcW w:w="2121" w:type="dxa"/>
            <w:vMerge w:val="restart"/>
            <w:tcBorders>
              <w:top w:val="single" w:color="auto" w:sz="6" w:space="0"/>
              <w:left w:val="single" w:color="auto" w:sz="6" w:space="0"/>
              <w:right w:val="single" w:color="auto" w:sz="6" w:space="0"/>
            </w:tcBorders>
            <w:vAlign w:val="center"/>
          </w:tcPr>
          <w:p w14:paraId="702EA354">
            <w:pPr>
              <w:adjustRightInd w:val="0"/>
              <w:snapToGrid w:val="0"/>
              <w:spacing w:beforeLines="50"/>
              <w:jc w:val="center"/>
              <w:rPr>
                <w:rFonts w:ascii="宋体" w:hAnsi="宋体"/>
                <w:szCs w:val="21"/>
              </w:rPr>
            </w:pPr>
            <w:r>
              <w:rPr>
                <w:rFonts w:hint="eastAsia" w:ascii="宋体" w:hAnsi="宋体"/>
                <w:color w:val="auto"/>
                <w:szCs w:val="21"/>
              </w:rPr>
              <w:t>政府采购优先采购环境标志产品</w:t>
            </w:r>
          </w:p>
        </w:tc>
        <w:tc>
          <w:tcPr>
            <w:tcW w:w="5035" w:type="dxa"/>
            <w:tcBorders>
              <w:top w:val="single" w:color="auto" w:sz="6" w:space="0"/>
              <w:left w:val="single" w:color="auto" w:sz="6" w:space="0"/>
              <w:bottom w:val="single" w:color="auto" w:sz="4" w:space="0"/>
              <w:right w:val="double" w:color="auto" w:sz="4" w:space="0"/>
            </w:tcBorders>
            <w:vAlign w:val="center"/>
          </w:tcPr>
          <w:p w14:paraId="43A4E1F1">
            <w:pPr>
              <w:adjustRightInd w:val="0"/>
              <w:snapToGrid w:val="0"/>
              <w:rPr>
                <w:rFonts w:ascii="宋体" w:hAnsi="宋体"/>
                <w:color w:val="auto"/>
                <w:szCs w:val="21"/>
              </w:rPr>
            </w:pPr>
            <w:r>
              <w:rPr>
                <w:rFonts w:hint="eastAsia" w:ascii="宋体" w:hAnsi="宋体"/>
                <w:color w:val="auto"/>
                <w:szCs w:val="21"/>
              </w:rPr>
              <w:t>□ 否</w:t>
            </w:r>
          </w:p>
          <w:p w14:paraId="58503020">
            <w:pPr>
              <w:adjustRightInd w:val="0"/>
              <w:snapToGrid w:val="0"/>
              <w:spacing w:beforeLines="50"/>
              <w:rPr>
                <w:rFonts w:ascii="宋体" w:hAnsi="宋体"/>
                <w:color w:val="auto"/>
                <w:szCs w:val="21"/>
              </w:rPr>
            </w:pPr>
            <w:r>
              <w:rPr>
                <w:rFonts w:hint="eastAsia" w:ascii="宋体" w:hAnsi="宋体"/>
                <w:color w:val="auto"/>
                <w:szCs w:val="21"/>
              </w:rPr>
              <w:t>■ 是，采购产品为《环境标志产品政府采购品目清单》(第</w:t>
            </w:r>
            <w:r>
              <w:rPr>
                <w:rFonts w:hint="eastAsia" w:ascii="宋体" w:hAnsi="宋体"/>
                <w:color w:val="auto"/>
                <w:szCs w:val="21"/>
                <w:u w:val="single"/>
              </w:rPr>
              <w:t xml:space="preserve"> 最新 </w:t>
            </w:r>
            <w:r>
              <w:rPr>
                <w:rFonts w:hint="eastAsia" w:ascii="宋体" w:hAnsi="宋体"/>
                <w:color w:val="auto"/>
                <w:szCs w:val="21"/>
              </w:rPr>
              <w:t>期)内的：</w:t>
            </w:r>
          </w:p>
          <w:p w14:paraId="05DA1235">
            <w:pPr>
              <w:adjustRightInd w:val="0"/>
              <w:snapToGrid w:val="0"/>
              <w:spacing w:beforeLines="50"/>
              <w:rPr>
                <w:rFonts w:ascii="宋体" w:hAnsi="宋体"/>
                <w:color w:val="auto"/>
                <w:szCs w:val="21"/>
              </w:rPr>
            </w:pPr>
            <w:r>
              <w:rPr>
                <w:rFonts w:hint="eastAsia" w:ascii="宋体" w:hAnsi="宋体"/>
                <w:color w:val="auto"/>
                <w:szCs w:val="21"/>
              </w:rPr>
              <w:t>(1)采用最低评标价法时，应给予</w:t>
            </w:r>
            <w:r>
              <w:rPr>
                <w:rFonts w:hint="eastAsia" w:ascii="宋体" w:hAnsi="宋体"/>
                <w:color w:val="auto"/>
                <w:szCs w:val="21"/>
                <w:lang w:eastAsia="zh-CN"/>
              </w:rPr>
              <w:t>相应政策比例</w:t>
            </w:r>
            <w:r>
              <w:rPr>
                <w:rFonts w:hint="eastAsia" w:ascii="宋体" w:hAnsi="宋体"/>
                <w:color w:val="auto"/>
                <w:szCs w:val="21"/>
              </w:rPr>
              <w:t xml:space="preserve">的价格扣除。本项目具体扣除比例为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 xml:space="preserve"> ％；</w:t>
            </w:r>
          </w:p>
          <w:p w14:paraId="503E9460">
            <w:pPr>
              <w:adjustRightInd w:val="0"/>
              <w:snapToGrid w:val="0"/>
              <w:spacing w:beforeLines="50"/>
              <w:rPr>
                <w:rFonts w:hint="eastAsia" w:ascii="宋体" w:hAnsi="宋体"/>
                <w:color w:val="auto"/>
                <w:szCs w:val="21"/>
              </w:rPr>
            </w:pPr>
            <w:r>
              <w:rPr>
                <w:rFonts w:hint="eastAsia" w:ascii="宋体" w:hAnsi="宋体"/>
                <w:color w:val="auto"/>
                <w:szCs w:val="21"/>
              </w:rPr>
              <w:t>(2)采用综合评分法时，对于技术和价格分，应分别给予总分值</w:t>
            </w:r>
            <w:r>
              <w:rPr>
                <w:rFonts w:hint="eastAsia" w:ascii="宋体" w:hAnsi="宋体"/>
                <w:color w:val="auto"/>
                <w:szCs w:val="21"/>
                <w:lang w:eastAsia="zh-CN"/>
              </w:rPr>
              <w:t>相应政策比例</w:t>
            </w:r>
            <w:r>
              <w:rPr>
                <w:rFonts w:hint="eastAsia" w:ascii="宋体" w:hAnsi="宋体"/>
                <w:color w:val="auto"/>
                <w:szCs w:val="21"/>
              </w:rPr>
              <w:t>的加分。本项目具体加分比例分别为 ：技术</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%、价格</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w:t>
            </w:r>
          </w:p>
          <w:p w14:paraId="52C0CB51">
            <w:pPr>
              <w:adjustRightInd w:val="0"/>
              <w:snapToGrid w:val="0"/>
              <w:rPr>
                <w:rFonts w:hint="default" w:ascii="宋体" w:hAnsi="宋体" w:eastAsia="宋体"/>
                <w:szCs w:val="21"/>
                <w:lang w:val="en-US" w:eastAsia="zh-CN"/>
              </w:rPr>
            </w:pPr>
            <w:r>
              <w:rPr>
                <w:rFonts w:hint="eastAsia" w:ascii="宋体" w:hAnsi="宋体"/>
                <w:szCs w:val="21"/>
                <w:lang w:val="en-US" w:eastAsia="zh-CN"/>
              </w:rPr>
              <w:t>/</w:t>
            </w:r>
          </w:p>
        </w:tc>
      </w:tr>
      <w:tr w14:paraId="7FDDD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0227E8C4">
            <w:pPr>
              <w:widowControl/>
              <w:jc w:val="left"/>
              <w:rPr>
                <w:rFonts w:ascii="宋体" w:hAnsi="宋体"/>
                <w:szCs w:val="21"/>
              </w:rPr>
            </w:pPr>
          </w:p>
        </w:tc>
        <w:tc>
          <w:tcPr>
            <w:tcW w:w="2121" w:type="dxa"/>
            <w:vMerge w:val="restart"/>
            <w:tcBorders>
              <w:top w:val="single" w:color="auto" w:sz="4" w:space="0"/>
              <w:left w:val="single" w:color="auto" w:sz="6" w:space="0"/>
              <w:right w:val="single" w:color="auto" w:sz="6" w:space="0"/>
            </w:tcBorders>
            <w:vAlign w:val="center"/>
          </w:tcPr>
          <w:p w14:paraId="508EC25C">
            <w:pPr>
              <w:adjustRightInd w:val="0"/>
              <w:snapToGrid w:val="0"/>
              <w:spacing w:beforeLines="50"/>
              <w:jc w:val="center"/>
              <w:rPr>
                <w:rFonts w:ascii="宋体" w:hAnsi="宋体"/>
                <w:szCs w:val="21"/>
              </w:rPr>
            </w:pPr>
            <w:r>
              <w:rPr>
                <w:rFonts w:hint="eastAsia" w:ascii="宋体" w:hAnsi="宋体"/>
                <w:szCs w:val="21"/>
              </w:rPr>
              <w:t>政府采购</w:t>
            </w:r>
            <w:r>
              <w:rPr>
                <w:rFonts w:hint="eastAsia" w:ascii="宋体" w:hAnsi="宋体" w:cs="宋体"/>
                <w:bCs/>
                <w:kern w:val="0"/>
                <w:szCs w:val="21"/>
              </w:rPr>
              <w:t>支持</w:t>
            </w:r>
            <w:r>
              <w:rPr>
                <w:rFonts w:hint="eastAsia" w:ascii="宋体" w:hAnsi="宋体"/>
                <w:szCs w:val="21"/>
              </w:rPr>
              <w:t>中小企业发展</w:t>
            </w:r>
          </w:p>
        </w:tc>
        <w:tc>
          <w:tcPr>
            <w:tcW w:w="5035" w:type="dxa"/>
            <w:tcBorders>
              <w:top w:val="single" w:color="auto" w:sz="4" w:space="0"/>
              <w:left w:val="single" w:color="auto" w:sz="6" w:space="0"/>
              <w:bottom w:val="single" w:color="auto" w:sz="4" w:space="0"/>
              <w:right w:val="double" w:color="auto" w:sz="4" w:space="0"/>
            </w:tcBorders>
            <w:vAlign w:val="center"/>
          </w:tcPr>
          <w:p w14:paraId="030106FC">
            <w:pPr>
              <w:adjustRightInd w:val="0"/>
              <w:snapToGrid w:val="0"/>
              <w:rPr>
                <w:rFonts w:hint="eastAsia" w:ascii="宋体" w:hAnsi="宋体" w:eastAsia="宋体"/>
                <w:szCs w:val="21"/>
                <w:lang w:eastAsia="zh-CN"/>
              </w:rPr>
            </w:pPr>
            <w:r>
              <w:rPr>
                <w:rFonts w:hint="eastAsia" w:ascii="宋体" w:hAnsi="宋体" w:eastAsia="宋体"/>
                <w:szCs w:val="21"/>
                <w:lang w:eastAsia="zh-CN"/>
              </w:rPr>
              <w:t>本项目中小企业划分标准所属行业：</w:t>
            </w:r>
            <w:r>
              <w:rPr>
                <w:rFonts w:hint="eastAsia" w:ascii="宋体" w:hAnsi="宋体"/>
                <w:szCs w:val="21"/>
                <w:lang w:val="en-US" w:eastAsia="zh-CN"/>
              </w:rPr>
              <w:t>租赁和商务服务</w:t>
            </w:r>
            <w:r>
              <w:rPr>
                <w:rFonts w:hint="eastAsia" w:ascii="宋体" w:hAnsi="宋体" w:eastAsia="宋体"/>
                <w:szCs w:val="21"/>
                <w:lang w:eastAsia="zh-CN"/>
              </w:rPr>
              <w:t>业</w:t>
            </w:r>
          </w:p>
        </w:tc>
      </w:tr>
      <w:tr w14:paraId="4EBD1E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27328FC9">
            <w:pPr>
              <w:widowControl/>
              <w:jc w:val="left"/>
              <w:rPr>
                <w:rFonts w:ascii="宋体" w:hAnsi="宋体"/>
                <w:szCs w:val="21"/>
              </w:rPr>
            </w:pPr>
          </w:p>
        </w:tc>
        <w:tc>
          <w:tcPr>
            <w:tcW w:w="2121" w:type="dxa"/>
            <w:vMerge w:val="continue"/>
            <w:tcBorders>
              <w:left w:val="single" w:color="auto" w:sz="6" w:space="0"/>
              <w:right w:val="single" w:color="auto" w:sz="6" w:space="0"/>
            </w:tcBorders>
            <w:vAlign w:val="center"/>
          </w:tcPr>
          <w:p w14:paraId="7DBC1E23">
            <w:pPr>
              <w:adjustRightInd w:val="0"/>
              <w:snapToGrid w:val="0"/>
              <w:spacing w:beforeLines="50"/>
              <w:jc w:val="center"/>
              <w:rPr>
                <w:rFonts w:hint="eastAsia" w:ascii="宋体" w:hAnsi="宋体"/>
                <w:szCs w:val="21"/>
              </w:rPr>
            </w:pPr>
          </w:p>
        </w:tc>
        <w:tc>
          <w:tcPr>
            <w:tcW w:w="5035" w:type="dxa"/>
            <w:tcBorders>
              <w:top w:val="single" w:color="auto" w:sz="4" w:space="0"/>
              <w:left w:val="single" w:color="auto" w:sz="6" w:space="0"/>
              <w:bottom w:val="single" w:color="auto" w:sz="4" w:space="0"/>
              <w:right w:val="double" w:color="auto" w:sz="4" w:space="0"/>
            </w:tcBorders>
            <w:vAlign w:val="center"/>
          </w:tcPr>
          <w:p w14:paraId="202C760E">
            <w:pPr>
              <w:adjustRightInd w:val="0"/>
              <w:snapToGrid w:val="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 xml:space="preserve"> </w:t>
            </w:r>
            <w:r>
              <w:rPr>
                <w:rFonts w:hint="eastAsia" w:asciiTheme="minorEastAsia" w:hAnsiTheme="minorEastAsia" w:eastAsiaTheme="minorEastAsia" w:cstheme="minorEastAsia"/>
                <w:color w:val="auto"/>
                <w:szCs w:val="21"/>
              </w:rPr>
              <w:t>是否预留采购份额</w:t>
            </w:r>
            <w:r>
              <w:rPr>
                <w:rFonts w:hint="eastAsia" w:asciiTheme="minorEastAsia" w:hAnsiTheme="minorEastAsia" w:eastAsiaTheme="minorEastAsia" w:cstheme="minorEastAsia"/>
                <w:color w:val="auto"/>
                <w:szCs w:val="21"/>
                <w:lang w:eastAsia="zh-CN"/>
              </w:rPr>
              <w:t>：否</w:t>
            </w:r>
          </w:p>
        </w:tc>
      </w:tr>
      <w:tr w14:paraId="193121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4"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4A391E31">
            <w:pPr>
              <w:widowControl/>
              <w:jc w:val="left"/>
              <w:rPr>
                <w:rFonts w:ascii="宋体" w:hAnsi="宋体"/>
                <w:szCs w:val="21"/>
              </w:rPr>
            </w:pPr>
          </w:p>
        </w:tc>
        <w:tc>
          <w:tcPr>
            <w:tcW w:w="2121" w:type="dxa"/>
            <w:vMerge w:val="continue"/>
            <w:tcBorders>
              <w:left w:val="single" w:color="auto" w:sz="6" w:space="0"/>
              <w:right w:val="single" w:color="auto" w:sz="6" w:space="0"/>
            </w:tcBorders>
            <w:vAlign w:val="center"/>
          </w:tcPr>
          <w:p w14:paraId="31AEB29B">
            <w:pPr>
              <w:adjustRightInd w:val="0"/>
              <w:snapToGrid w:val="0"/>
              <w:spacing w:beforeLines="50"/>
              <w:jc w:val="center"/>
              <w:rPr>
                <w:rFonts w:hint="eastAsia" w:ascii="宋体" w:hAnsi="宋体"/>
                <w:szCs w:val="21"/>
              </w:rPr>
            </w:pPr>
          </w:p>
        </w:tc>
        <w:tc>
          <w:tcPr>
            <w:tcW w:w="5035" w:type="dxa"/>
            <w:tcBorders>
              <w:top w:val="single" w:color="auto" w:sz="4" w:space="0"/>
              <w:left w:val="single" w:color="auto" w:sz="6" w:space="0"/>
              <w:bottom w:val="single" w:color="auto" w:sz="4" w:space="0"/>
              <w:right w:val="double" w:color="auto" w:sz="4" w:space="0"/>
            </w:tcBorders>
            <w:vAlign w:val="center"/>
          </w:tcPr>
          <w:p w14:paraId="1A64391C">
            <w:pPr>
              <w:adjustRightInd w:val="0"/>
              <w:snapToGrid w:val="0"/>
              <w:rPr>
                <w:rFonts w:hint="eastAsia" w:ascii="宋体" w:hAnsi="宋体"/>
                <w:color w:val="auto"/>
                <w:szCs w:val="21"/>
              </w:rPr>
            </w:pPr>
            <w:r>
              <w:rPr>
                <w:rFonts w:hint="eastAsia" w:ascii="宋体" w:hAnsi="宋体"/>
                <w:color w:val="auto"/>
                <w:szCs w:val="21"/>
                <w:lang w:eastAsia="zh-CN"/>
              </w:rPr>
              <w:t>□</w:t>
            </w:r>
            <w:r>
              <w:rPr>
                <w:rFonts w:hint="eastAsia" w:ascii="宋体" w:hAnsi="宋体"/>
                <w:color w:val="auto"/>
                <w:szCs w:val="21"/>
              </w:rPr>
              <w:t xml:space="preserve"> 专门面向中小企业采购：</w:t>
            </w:r>
            <w:r>
              <w:rPr>
                <w:rFonts w:hint="eastAsia" w:ascii="宋体" w:hAnsi="宋体"/>
                <w:color w:val="auto"/>
                <w:szCs w:val="21"/>
                <w:lang w:val="en-US" w:eastAsia="zh-CN"/>
              </w:rPr>
              <w:t>不</w:t>
            </w:r>
            <w:r>
              <w:rPr>
                <w:rFonts w:hint="eastAsia" w:asciiTheme="minorEastAsia" w:hAnsiTheme="minorEastAsia" w:eastAsiaTheme="minorEastAsia" w:cstheme="minorEastAsia"/>
                <w:color w:val="auto"/>
                <w:szCs w:val="21"/>
              </w:rPr>
              <w:t>专门面向中小企业采购</w:t>
            </w:r>
            <w:r>
              <w:rPr>
                <w:rFonts w:hint="eastAsia" w:asciiTheme="minorEastAsia" w:hAnsiTheme="minorEastAsia" w:eastAsiaTheme="minorEastAsia" w:cstheme="minorEastAsia"/>
                <w:color w:val="auto"/>
                <w:szCs w:val="21"/>
                <w:lang w:val="en-US" w:eastAsia="zh-CN"/>
              </w:rPr>
              <w:t>的项目或包。</w:t>
            </w:r>
          </w:p>
        </w:tc>
      </w:tr>
      <w:tr w14:paraId="75ACF1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92"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2A3585FE">
            <w:pPr>
              <w:widowControl/>
              <w:jc w:val="left"/>
              <w:rPr>
                <w:rFonts w:ascii="宋体" w:hAnsi="宋体"/>
                <w:szCs w:val="21"/>
              </w:rPr>
            </w:pPr>
          </w:p>
        </w:tc>
        <w:tc>
          <w:tcPr>
            <w:tcW w:w="2121" w:type="dxa"/>
            <w:vMerge w:val="continue"/>
            <w:tcBorders>
              <w:left w:val="single" w:color="auto" w:sz="6" w:space="0"/>
              <w:bottom w:val="single" w:color="auto" w:sz="4" w:space="0"/>
              <w:right w:val="single" w:color="auto" w:sz="6" w:space="0"/>
            </w:tcBorders>
            <w:vAlign w:val="center"/>
          </w:tcPr>
          <w:p w14:paraId="20C9823A">
            <w:pPr>
              <w:adjustRightInd w:val="0"/>
              <w:snapToGrid w:val="0"/>
              <w:spacing w:beforeLines="50"/>
              <w:jc w:val="center"/>
              <w:rPr>
                <w:rFonts w:ascii="宋体" w:hAnsi="宋体"/>
                <w:szCs w:val="21"/>
              </w:rPr>
            </w:pPr>
          </w:p>
        </w:tc>
        <w:tc>
          <w:tcPr>
            <w:tcW w:w="5035" w:type="dxa"/>
            <w:tcBorders>
              <w:top w:val="single" w:color="auto" w:sz="4" w:space="0"/>
              <w:left w:val="single" w:color="auto" w:sz="6" w:space="0"/>
              <w:bottom w:val="single" w:color="auto" w:sz="4" w:space="0"/>
              <w:right w:val="double" w:color="auto" w:sz="4" w:space="0"/>
            </w:tcBorders>
            <w:vAlign w:val="center"/>
          </w:tcPr>
          <w:p w14:paraId="0BBD76B6">
            <w:pPr>
              <w:adjustRightInd w:val="0"/>
              <w:snapToGrid w:val="0"/>
              <w:rPr>
                <w:rFonts w:ascii="宋体" w:hAnsi="宋体"/>
                <w:color w:val="auto"/>
                <w:szCs w:val="21"/>
              </w:rPr>
            </w:pPr>
            <w:r>
              <w:rPr>
                <w:rFonts w:hint="eastAsia" w:ascii="宋体" w:hAnsi="宋体"/>
                <w:color w:val="auto"/>
                <w:szCs w:val="21"/>
              </w:rPr>
              <w:t>■ 非专门面向中小企业采购：</w:t>
            </w:r>
          </w:p>
          <w:p w14:paraId="1716CDAF">
            <w:pPr>
              <w:adjustRightInd w:val="0"/>
              <w:snapToGrid w:val="0"/>
              <w:rPr>
                <w:rFonts w:ascii="宋体" w:hAnsi="宋体"/>
                <w:szCs w:val="21"/>
              </w:rPr>
            </w:pPr>
            <w:r>
              <w:rPr>
                <w:rFonts w:hint="eastAsia" w:ascii="宋体" w:hAnsi="宋体"/>
                <w:color w:val="auto"/>
                <w:szCs w:val="21"/>
              </w:rPr>
              <w:t>1、对小型和微型企业产品的价格给予</w:t>
            </w:r>
            <w:r>
              <w:rPr>
                <w:rFonts w:hint="eastAsia" w:ascii="宋体" w:hAnsi="宋体"/>
                <w:color w:val="auto"/>
                <w:szCs w:val="21"/>
                <w:lang w:eastAsia="zh-CN"/>
              </w:rPr>
              <w:t>相应政策比例</w:t>
            </w:r>
            <w:r>
              <w:rPr>
                <w:rFonts w:hint="eastAsia" w:ascii="宋体" w:hAnsi="宋体"/>
                <w:color w:val="auto"/>
                <w:szCs w:val="21"/>
              </w:rPr>
              <w:t xml:space="preserve">的扣除，用扣除后的价格参与评审，本项目具体扣除比例为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10</w:t>
            </w:r>
            <w:r>
              <w:rPr>
                <w:rFonts w:hint="eastAsia" w:ascii="宋体" w:hAnsi="宋体"/>
                <w:color w:val="auto"/>
                <w:szCs w:val="21"/>
                <w:u w:val="single"/>
              </w:rPr>
              <w:t xml:space="preserve">  </w:t>
            </w:r>
            <w:r>
              <w:rPr>
                <w:rFonts w:hint="eastAsia" w:ascii="宋体" w:hAnsi="宋体"/>
                <w:color w:val="auto"/>
                <w:szCs w:val="21"/>
              </w:rPr>
              <w:t>％。</w:t>
            </w:r>
          </w:p>
        </w:tc>
      </w:tr>
      <w:tr w14:paraId="2B1E64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83"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3804DD1E">
            <w:pPr>
              <w:widowControl/>
              <w:jc w:val="left"/>
              <w:rPr>
                <w:rFonts w:ascii="宋体" w:hAnsi="宋体"/>
                <w:szCs w:val="21"/>
              </w:rPr>
            </w:pPr>
          </w:p>
        </w:tc>
        <w:tc>
          <w:tcPr>
            <w:tcW w:w="2121" w:type="dxa"/>
            <w:tcBorders>
              <w:top w:val="single" w:color="auto" w:sz="4" w:space="0"/>
              <w:left w:val="single" w:color="auto" w:sz="6" w:space="0"/>
              <w:bottom w:val="single" w:color="auto" w:sz="6" w:space="0"/>
              <w:right w:val="single" w:color="auto" w:sz="6" w:space="0"/>
            </w:tcBorders>
            <w:vAlign w:val="center"/>
          </w:tcPr>
          <w:p w14:paraId="334F19BD">
            <w:pPr>
              <w:adjustRightInd w:val="0"/>
              <w:snapToGrid w:val="0"/>
              <w:spacing w:beforeLines="50"/>
              <w:jc w:val="center"/>
              <w:rPr>
                <w:rFonts w:ascii="宋体" w:hAnsi="宋体"/>
                <w:szCs w:val="21"/>
              </w:rPr>
            </w:pPr>
            <w:r>
              <w:rPr>
                <w:rFonts w:hint="eastAsia" w:ascii="宋体" w:hAnsi="宋体"/>
                <w:color w:val="auto"/>
                <w:szCs w:val="21"/>
              </w:rPr>
              <w:t>政府采购</w:t>
            </w:r>
            <w:r>
              <w:rPr>
                <w:rFonts w:hint="eastAsia" w:ascii="宋体" w:hAnsi="宋体" w:cs="宋体"/>
                <w:bCs/>
                <w:color w:val="auto"/>
                <w:kern w:val="0"/>
                <w:szCs w:val="21"/>
              </w:rPr>
              <w:t>支持</w:t>
            </w:r>
            <w:r>
              <w:rPr>
                <w:rFonts w:hint="eastAsia" w:ascii="宋体" w:hAnsi="宋体"/>
                <w:color w:val="auto"/>
                <w:szCs w:val="21"/>
              </w:rPr>
              <w:t>残疾人福利性单位发展</w:t>
            </w:r>
          </w:p>
        </w:tc>
        <w:tc>
          <w:tcPr>
            <w:tcW w:w="5035" w:type="dxa"/>
            <w:tcBorders>
              <w:top w:val="single" w:color="auto" w:sz="4" w:space="0"/>
              <w:left w:val="single" w:color="auto" w:sz="6" w:space="0"/>
              <w:bottom w:val="single" w:color="auto" w:sz="6" w:space="0"/>
              <w:right w:val="double" w:color="auto" w:sz="4" w:space="0"/>
            </w:tcBorders>
            <w:vAlign w:val="center"/>
          </w:tcPr>
          <w:p w14:paraId="450813B1">
            <w:pPr>
              <w:adjustRightInd w:val="0"/>
              <w:snapToGrid w:val="0"/>
              <w:rPr>
                <w:rFonts w:ascii="宋体" w:hAnsi="宋体"/>
                <w:color w:val="auto"/>
                <w:szCs w:val="21"/>
              </w:rPr>
            </w:pPr>
            <w:r>
              <w:rPr>
                <w:rFonts w:hint="eastAsia" w:ascii="宋体" w:hAnsi="宋体"/>
                <w:color w:val="auto"/>
                <w:szCs w:val="21"/>
              </w:rPr>
              <w:t>1、对残疾人福利性单位产品的价格给予</w:t>
            </w:r>
            <w:r>
              <w:rPr>
                <w:rFonts w:hint="eastAsia" w:ascii="宋体" w:hAnsi="宋体"/>
                <w:color w:val="auto"/>
                <w:szCs w:val="21"/>
                <w:lang w:eastAsia="zh-CN"/>
              </w:rPr>
              <w:t>相应政策比例</w:t>
            </w:r>
            <w:r>
              <w:rPr>
                <w:rFonts w:hint="eastAsia" w:ascii="宋体" w:hAnsi="宋体"/>
                <w:color w:val="auto"/>
                <w:szCs w:val="21"/>
              </w:rPr>
              <w:t xml:space="preserve">的扣除，用扣除后的价格参与评审，本项目具体扣除比例为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10</w:t>
            </w:r>
            <w:r>
              <w:rPr>
                <w:rFonts w:hint="eastAsia" w:ascii="宋体" w:hAnsi="宋体"/>
                <w:color w:val="auto"/>
                <w:szCs w:val="21"/>
                <w:u w:val="single"/>
              </w:rPr>
              <w:t xml:space="preserve">  </w:t>
            </w:r>
            <w:r>
              <w:rPr>
                <w:rFonts w:hint="eastAsia" w:ascii="宋体" w:hAnsi="宋体"/>
                <w:color w:val="auto"/>
                <w:szCs w:val="21"/>
              </w:rPr>
              <w:t>％。</w:t>
            </w:r>
          </w:p>
          <w:p w14:paraId="7CF48288">
            <w:pPr>
              <w:adjustRightInd w:val="0"/>
              <w:snapToGrid w:val="0"/>
              <w:spacing w:beforeLines="50"/>
              <w:rPr>
                <w:rFonts w:ascii="宋体" w:hAnsi="宋体"/>
                <w:szCs w:val="21"/>
              </w:rPr>
            </w:pPr>
            <w:r>
              <w:rPr>
                <w:rFonts w:hint="eastAsia" w:ascii="宋体" w:hAnsi="宋体"/>
                <w:color w:val="auto"/>
                <w:szCs w:val="21"/>
              </w:rPr>
              <w:t>2、残疾人福利性单位视同小型、微型企业，不重复享受优惠政策。</w:t>
            </w:r>
          </w:p>
        </w:tc>
      </w:tr>
      <w:tr w14:paraId="3DE6DB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43"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783F9F95">
            <w:pPr>
              <w:widowControl/>
              <w:jc w:val="left"/>
              <w:rPr>
                <w:rFonts w:ascii="宋体" w:hAnsi="宋体"/>
                <w:szCs w:val="21"/>
              </w:rPr>
            </w:pPr>
          </w:p>
        </w:tc>
        <w:tc>
          <w:tcPr>
            <w:tcW w:w="2121" w:type="dxa"/>
            <w:tcBorders>
              <w:top w:val="single" w:color="auto" w:sz="4" w:space="0"/>
              <w:left w:val="single" w:color="auto" w:sz="6" w:space="0"/>
              <w:bottom w:val="single" w:color="auto" w:sz="6" w:space="0"/>
              <w:right w:val="single" w:color="auto" w:sz="6" w:space="0"/>
            </w:tcBorders>
            <w:vAlign w:val="center"/>
          </w:tcPr>
          <w:p w14:paraId="2438C5D7">
            <w:pPr>
              <w:adjustRightInd w:val="0"/>
              <w:snapToGrid w:val="0"/>
              <w:spacing w:beforeLines="50"/>
              <w:jc w:val="center"/>
              <w:rPr>
                <w:rFonts w:ascii="宋体" w:hAnsi="宋体"/>
                <w:szCs w:val="21"/>
              </w:rPr>
            </w:pPr>
            <w:r>
              <w:rPr>
                <w:rFonts w:hint="eastAsia" w:ascii="宋体" w:hAnsi="宋体"/>
                <w:color w:val="auto"/>
                <w:szCs w:val="21"/>
              </w:rPr>
              <w:t>政府采购支持监狱企业发展</w:t>
            </w:r>
          </w:p>
        </w:tc>
        <w:tc>
          <w:tcPr>
            <w:tcW w:w="5035" w:type="dxa"/>
            <w:tcBorders>
              <w:top w:val="single" w:color="auto" w:sz="4" w:space="0"/>
              <w:left w:val="single" w:color="auto" w:sz="6" w:space="0"/>
              <w:bottom w:val="single" w:color="auto" w:sz="6" w:space="0"/>
              <w:right w:val="double" w:color="auto" w:sz="4" w:space="0"/>
            </w:tcBorders>
            <w:vAlign w:val="center"/>
          </w:tcPr>
          <w:p w14:paraId="75E21002">
            <w:pPr>
              <w:adjustRightInd w:val="0"/>
              <w:snapToGrid w:val="0"/>
              <w:rPr>
                <w:rFonts w:ascii="宋体" w:hAnsi="宋体"/>
                <w:color w:val="auto"/>
                <w:szCs w:val="21"/>
              </w:rPr>
            </w:pPr>
            <w:r>
              <w:rPr>
                <w:rFonts w:hint="eastAsia" w:ascii="宋体" w:hAnsi="宋体"/>
                <w:color w:val="auto"/>
                <w:szCs w:val="21"/>
              </w:rPr>
              <w:t>1、对监狱企业产品的价格给予</w:t>
            </w:r>
            <w:r>
              <w:rPr>
                <w:rFonts w:hint="eastAsia" w:ascii="宋体" w:hAnsi="宋体"/>
                <w:color w:val="auto"/>
                <w:szCs w:val="21"/>
                <w:lang w:eastAsia="zh-CN"/>
              </w:rPr>
              <w:t>相应政策比例</w:t>
            </w:r>
            <w:r>
              <w:rPr>
                <w:rFonts w:hint="eastAsia" w:ascii="宋体" w:hAnsi="宋体"/>
                <w:color w:val="auto"/>
                <w:szCs w:val="21"/>
              </w:rPr>
              <w:t xml:space="preserve">的扣除，用扣除后的价格参与评审，本项目具体扣除比例为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10</w:t>
            </w:r>
            <w:r>
              <w:rPr>
                <w:rFonts w:hint="eastAsia" w:ascii="宋体" w:hAnsi="宋体"/>
                <w:color w:val="auto"/>
                <w:szCs w:val="21"/>
                <w:u w:val="single"/>
              </w:rPr>
              <w:t xml:space="preserve">  </w:t>
            </w:r>
            <w:r>
              <w:rPr>
                <w:rFonts w:hint="eastAsia" w:ascii="宋体" w:hAnsi="宋体"/>
                <w:color w:val="auto"/>
                <w:szCs w:val="21"/>
              </w:rPr>
              <w:t>％。</w:t>
            </w:r>
          </w:p>
          <w:p w14:paraId="795F138F">
            <w:pPr>
              <w:adjustRightInd w:val="0"/>
              <w:snapToGrid w:val="0"/>
              <w:spacing w:beforeLines="50"/>
              <w:rPr>
                <w:rFonts w:ascii="宋体" w:hAnsi="宋体"/>
                <w:szCs w:val="21"/>
              </w:rPr>
            </w:pPr>
            <w:r>
              <w:rPr>
                <w:rFonts w:hint="eastAsia" w:ascii="宋体" w:hAnsi="宋体"/>
                <w:color w:val="auto"/>
                <w:szCs w:val="21"/>
              </w:rPr>
              <w:t>2、监狱企业视同小型、微型企业，不重复享受优惠政策。</w:t>
            </w:r>
          </w:p>
        </w:tc>
      </w:tr>
      <w:tr w14:paraId="35ADF1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9"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1F8E59C4">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5D6B46D6">
            <w:pPr>
              <w:jc w:val="center"/>
              <w:rPr>
                <w:rFonts w:ascii="宋体" w:hAnsi="宋体"/>
                <w:szCs w:val="21"/>
              </w:rPr>
            </w:pPr>
            <w:r>
              <w:rPr>
                <w:rFonts w:hint="eastAsia" w:ascii="宋体" w:hAnsi="宋体" w:cs="宋体"/>
                <w:bCs/>
                <w:kern w:val="0"/>
                <w:szCs w:val="21"/>
              </w:rPr>
              <w:t>政府采购支持中小企业融资</w:t>
            </w:r>
          </w:p>
        </w:tc>
        <w:tc>
          <w:tcPr>
            <w:tcW w:w="5035" w:type="dxa"/>
            <w:tcBorders>
              <w:top w:val="single" w:color="auto" w:sz="6" w:space="0"/>
              <w:left w:val="single" w:color="auto" w:sz="6" w:space="0"/>
              <w:bottom w:val="single" w:color="auto" w:sz="6" w:space="0"/>
              <w:right w:val="double" w:color="auto" w:sz="4" w:space="0"/>
            </w:tcBorders>
            <w:vAlign w:val="center"/>
          </w:tcPr>
          <w:p w14:paraId="2100A06F">
            <w:pPr>
              <w:rPr>
                <w:rFonts w:ascii="宋体" w:hAnsi="宋体"/>
                <w:szCs w:val="21"/>
              </w:rPr>
            </w:pPr>
            <w:r>
              <w:rPr>
                <w:rFonts w:hint="eastAsia" w:ascii="宋体" w:hAnsi="宋体"/>
                <w:szCs w:val="21"/>
              </w:rPr>
              <w:t>有融资需求的，可查询中国湖南政府采购网</w:t>
            </w:r>
            <w:r>
              <w:rPr>
                <w:rFonts w:hint="eastAsia" w:ascii="宋体" w:hAnsi="宋体" w:cs="宋体"/>
                <w:szCs w:val="21"/>
              </w:rPr>
              <w:t>办事指南专栏中相关业务简介。</w:t>
            </w:r>
          </w:p>
        </w:tc>
      </w:tr>
      <w:tr w14:paraId="6FE57E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4"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65F50AEB">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43E682CE">
            <w:pPr>
              <w:jc w:val="center"/>
              <w:rPr>
                <w:rFonts w:ascii="宋体" w:hAnsi="宋体"/>
                <w:szCs w:val="21"/>
              </w:rPr>
            </w:pPr>
            <w:r>
              <w:rPr>
                <w:rFonts w:hint="eastAsia" w:ascii="宋体" w:hAnsi="宋体" w:cs="宋体"/>
                <w:bCs/>
                <w:kern w:val="0"/>
                <w:szCs w:val="21"/>
              </w:rPr>
              <w:t>政府采购信用担保</w:t>
            </w:r>
          </w:p>
        </w:tc>
        <w:tc>
          <w:tcPr>
            <w:tcW w:w="5035" w:type="dxa"/>
            <w:tcBorders>
              <w:top w:val="single" w:color="auto" w:sz="6" w:space="0"/>
              <w:left w:val="single" w:color="auto" w:sz="6" w:space="0"/>
              <w:bottom w:val="single" w:color="auto" w:sz="6" w:space="0"/>
              <w:right w:val="double" w:color="auto" w:sz="4" w:space="0"/>
            </w:tcBorders>
            <w:vAlign w:val="center"/>
          </w:tcPr>
          <w:p w14:paraId="17F33BCA">
            <w:pPr>
              <w:rPr>
                <w:rFonts w:ascii="宋体" w:hAnsi="宋体"/>
                <w:szCs w:val="21"/>
              </w:rPr>
            </w:pPr>
            <w:r>
              <w:rPr>
                <w:rFonts w:hint="eastAsia" w:ascii="宋体" w:hAnsi="宋体"/>
                <w:szCs w:val="21"/>
              </w:rPr>
              <w:t>有担保需求的，可查询中国湖南政府采购网</w:t>
            </w:r>
            <w:r>
              <w:rPr>
                <w:rFonts w:hint="eastAsia" w:ascii="宋体" w:hAnsi="宋体" w:cs="宋体"/>
                <w:szCs w:val="21"/>
              </w:rPr>
              <w:t>办事指南专栏中相关业务简介。</w:t>
            </w:r>
          </w:p>
        </w:tc>
      </w:tr>
      <w:tr w14:paraId="559B20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2E7DF86B">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30EDFDF2">
            <w:pPr>
              <w:jc w:val="center"/>
              <w:rPr>
                <w:rFonts w:ascii="宋体" w:hAnsi="宋体"/>
                <w:szCs w:val="21"/>
              </w:rPr>
            </w:pPr>
            <w:r>
              <w:rPr>
                <w:rFonts w:hint="eastAsia" w:ascii="宋体" w:hAnsi="宋体"/>
                <w:szCs w:val="21"/>
              </w:rPr>
              <w:t>法律、法规、规章和省级以上财政部门规定的其他内容</w:t>
            </w:r>
          </w:p>
        </w:tc>
        <w:tc>
          <w:tcPr>
            <w:tcW w:w="5035" w:type="dxa"/>
            <w:tcBorders>
              <w:top w:val="single" w:color="auto" w:sz="6" w:space="0"/>
              <w:left w:val="single" w:color="auto" w:sz="6" w:space="0"/>
              <w:bottom w:val="single" w:color="auto" w:sz="6" w:space="0"/>
              <w:right w:val="double" w:color="auto" w:sz="4" w:space="0"/>
            </w:tcBorders>
            <w:vAlign w:val="center"/>
          </w:tcPr>
          <w:p w14:paraId="3B8DFFAB">
            <w:pPr>
              <w:rPr>
                <w:rFonts w:ascii="宋体" w:hAnsi="宋体"/>
                <w:szCs w:val="21"/>
              </w:rPr>
            </w:pPr>
            <w:r>
              <w:rPr>
                <w:rFonts w:hint="eastAsia" w:ascii="宋体" w:hAnsi="宋体"/>
                <w:szCs w:val="21"/>
              </w:rPr>
              <w:t>/</w:t>
            </w:r>
          </w:p>
        </w:tc>
      </w:tr>
      <w:tr w14:paraId="32A7B9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05"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7F6BF04">
            <w:pPr>
              <w:widowControl/>
              <w:jc w:val="left"/>
              <w:rPr>
                <w:rFonts w:ascii="宋体" w:hAnsi="宋体"/>
                <w:szCs w:val="21"/>
              </w:rPr>
            </w:pPr>
            <w:r>
              <w:rPr>
                <w:rFonts w:hint="eastAsia" w:ascii="宋体" w:hAnsi="宋体"/>
                <w:szCs w:val="21"/>
              </w:rPr>
              <w:t>第二章第30.5款</w:t>
            </w:r>
          </w:p>
        </w:tc>
        <w:tc>
          <w:tcPr>
            <w:tcW w:w="2121" w:type="dxa"/>
            <w:tcBorders>
              <w:top w:val="single" w:color="auto" w:sz="6" w:space="0"/>
              <w:left w:val="single" w:color="auto" w:sz="6" w:space="0"/>
              <w:bottom w:val="single" w:color="auto" w:sz="6" w:space="0"/>
              <w:right w:val="single" w:color="auto" w:sz="6" w:space="0"/>
            </w:tcBorders>
            <w:vAlign w:val="center"/>
          </w:tcPr>
          <w:p w14:paraId="131E1341">
            <w:pPr>
              <w:jc w:val="center"/>
              <w:rPr>
                <w:rFonts w:ascii="宋体" w:hAnsi="宋体"/>
                <w:szCs w:val="21"/>
              </w:rPr>
            </w:pPr>
            <w:r>
              <w:rPr>
                <w:rFonts w:hint="eastAsia" w:ascii="宋体" w:hAnsi="宋体"/>
                <w:szCs w:val="21"/>
              </w:rPr>
              <w:t>政府采购政策优惠调整</w:t>
            </w:r>
          </w:p>
        </w:tc>
        <w:tc>
          <w:tcPr>
            <w:tcW w:w="5035" w:type="dxa"/>
            <w:tcBorders>
              <w:top w:val="single" w:color="auto" w:sz="6" w:space="0"/>
              <w:left w:val="single" w:color="auto" w:sz="6" w:space="0"/>
              <w:bottom w:val="single" w:color="auto" w:sz="6" w:space="0"/>
              <w:right w:val="double" w:color="auto" w:sz="4" w:space="0"/>
            </w:tcBorders>
            <w:vAlign w:val="center"/>
          </w:tcPr>
          <w:p w14:paraId="64003CE4">
            <w:pPr>
              <w:adjustRightInd w:val="0"/>
              <w:snapToGrid w:val="0"/>
              <w:rPr>
                <w:rFonts w:ascii="宋体" w:hAnsi="宋体"/>
                <w:szCs w:val="21"/>
              </w:rPr>
            </w:pPr>
            <w:r>
              <w:rPr>
                <w:rFonts w:hint="eastAsia" w:ascii="宋体" w:hAnsi="宋体"/>
                <w:szCs w:val="21"/>
              </w:rPr>
              <w:t>1、符合政府采购优先采购政策的，产品只能享受节能产品、环境标志产品等产品优惠中的一项(由供应商在响应文件中选择并填报政策功能编码，评审时进行加分) 。</w:t>
            </w:r>
          </w:p>
          <w:p w14:paraId="3C622345">
            <w:pPr>
              <w:adjustRightInd w:val="0"/>
              <w:snapToGrid w:val="0"/>
              <w:rPr>
                <w:rFonts w:ascii="宋体" w:hAnsi="宋体"/>
                <w:szCs w:val="21"/>
              </w:rPr>
            </w:pPr>
            <w:r>
              <w:rPr>
                <w:rFonts w:hint="eastAsia" w:ascii="宋体" w:hAnsi="宋体"/>
                <w:szCs w:val="21"/>
              </w:rPr>
              <w:t>2、供应商享受支持中小企业发展政策优惠的，可以与同时享受节能产品、环境标志产品等产品优惠中的一项累加。</w:t>
            </w:r>
          </w:p>
          <w:p w14:paraId="20AE86F8">
            <w:pPr>
              <w:adjustRightInd w:val="0"/>
              <w:snapToGrid w:val="0"/>
              <w:rPr>
                <w:rFonts w:ascii="宋体" w:hAnsi="宋体"/>
                <w:szCs w:val="21"/>
              </w:rPr>
            </w:pPr>
            <w:r>
              <w:rPr>
                <w:rFonts w:hint="eastAsia" w:ascii="宋体" w:hAnsi="宋体"/>
                <w:szCs w:val="21"/>
              </w:rPr>
              <w:t>3、残疾人福利性单位、监狱企业视同为小微企业，不重复计算。</w:t>
            </w:r>
          </w:p>
          <w:p w14:paraId="5BE85699">
            <w:pPr>
              <w:adjustRightInd w:val="0"/>
              <w:snapToGrid w:val="0"/>
              <w:rPr>
                <w:rFonts w:ascii="宋体" w:hAnsi="宋体"/>
                <w:szCs w:val="21"/>
              </w:rPr>
            </w:pPr>
            <w:r>
              <w:rPr>
                <w:rFonts w:hint="eastAsia" w:ascii="宋体" w:hAnsi="宋体"/>
                <w:szCs w:val="21"/>
              </w:rPr>
              <w:t>4、同一项目中部分产品属于优先采购政策的，评审时只对该部分产品的报价实行加分。</w:t>
            </w:r>
          </w:p>
        </w:tc>
      </w:tr>
      <w:tr w14:paraId="4013D2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7"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2D08509B">
            <w:pPr>
              <w:adjustRightInd w:val="0"/>
              <w:snapToGrid w:val="0"/>
              <w:rPr>
                <w:rFonts w:ascii="宋体" w:hAnsi="宋体"/>
                <w:b/>
                <w:szCs w:val="21"/>
              </w:rPr>
            </w:pPr>
            <w:r>
              <w:rPr>
                <w:rFonts w:hint="eastAsia" w:ascii="宋体" w:hAnsi="宋体"/>
                <w:b/>
                <w:szCs w:val="21"/>
              </w:rPr>
              <w:t>二、磋商文件</w:t>
            </w:r>
          </w:p>
        </w:tc>
      </w:tr>
      <w:tr w14:paraId="5E1D35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47288C7">
            <w:pPr>
              <w:adjustRightInd w:val="0"/>
              <w:snapToGrid w:val="0"/>
              <w:jc w:val="center"/>
              <w:rPr>
                <w:rFonts w:ascii="宋体" w:hAnsi="宋体"/>
                <w:szCs w:val="21"/>
              </w:rPr>
            </w:pPr>
            <w:r>
              <w:rPr>
                <w:rFonts w:hint="eastAsia" w:ascii="宋体" w:hAnsi="宋体"/>
                <w:szCs w:val="21"/>
              </w:rPr>
              <w:t>第二章第11.3款</w:t>
            </w:r>
          </w:p>
        </w:tc>
        <w:tc>
          <w:tcPr>
            <w:tcW w:w="2121" w:type="dxa"/>
            <w:tcBorders>
              <w:top w:val="single" w:color="auto" w:sz="6" w:space="0"/>
              <w:left w:val="single" w:color="auto" w:sz="6" w:space="0"/>
              <w:bottom w:val="single" w:color="auto" w:sz="6" w:space="0"/>
              <w:right w:val="single" w:color="auto" w:sz="6" w:space="0"/>
            </w:tcBorders>
            <w:vAlign w:val="center"/>
          </w:tcPr>
          <w:p w14:paraId="180459EB">
            <w:pPr>
              <w:adjustRightInd w:val="0"/>
              <w:snapToGrid w:val="0"/>
              <w:jc w:val="center"/>
              <w:rPr>
                <w:rFonts w:ascii="宋体" w:hAnsi="宋体"/>
                <w:szCs w:val="21"/>
              </w:rPr>
            </w:pPr>
            <w:r>
              <w:rPr>
                <w:rFonts w:hint="eastAsia" w:ascii="宋体" w:hAnsi="宋体"/>
                <w:szCs w:val="21"/>
              </w:rPr>
              <w:t>磋商文件的可能实质性变动内容</w:t>
            </w:r>
          </w:p>
        </w:tc>
        <w:tc>
          <w:tcPr>
            <w:tcW w:w="5035" w:type="dxa"/>
            <w:tcBorders>
              <w:top w:val="single" w:color="auto" w:sz="6" w:space="0"/>
              <w:left w:val="single" w:color="auto" w:sz="6" w:space="0"/>
              <w:bottom w:val="single" w:color="auto" w:sz="6" w:space="0"/>
              <w:right w:val="double" w:color="auto" w:sz="4" w:space="0"/>
            </w:tcBorders>
            <w:vAlign w:val="center"/>
          </w:tcPr>
          <w:p w14:paraId="613CE1B8">
            <w:pPr>
              <w:rPr>
                <w:rFonts w:ascii="宋体" w:hAnsi="宋体"/>
                <w:szCs w:val="21"/>
              </w:rPr>
            </w:pPr>
            <w:r>
              <w:rPr>
                <w:rFonts w:hint="eastAsia" w:ascii="宋体" w:hAnsi="宋体"/>
                <w:szCs w:val="21"/>
              </w:rPr>
              <w:t>无</w:t>
            </w:r>
          </w:p>
        </w:tc>
      </w:tr>
      <w:tr w14:paraId="7F34F6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65F25928">
            <w:pPr>
              <w:adjustRightInd w:val="0"/>
              <w:snapToGrid w:val="0"/>
              <w:jc w:val="center"/>
              <w:rPr>
                <w:rFonts w:ascii="宋体" w:hAnsi="宋体"/>
                <w:szCs w:val="21"/>
              </w:rPr>
            </w:pPr>
            <w:r>
              <w:rPr>
                <w:rFonts w:hint="eastAsia" w:ascii="宋体" w:hAnsi="宋体"/>
                <w:szCs w:val="21"/>
              </w:rPr>
              <w:t>第二章第10.3款</w:t>
            </w:r>
          </w:p>
        </w:tc>
        <w:tc>
          <w:tcPr>
            <w:tcW w:w="2121" w:type="dxa"/>
            <w:tcBorders>
              <w:top w:val="single" w:color="auto" w:sz="6" w:space="0"/>
              <w:left w:val="single" w:color="auto" w:sz="6" w:space="0"/>
              <w:bottom w:val="single" w:color="auto" w:sz="6" w:space="0"/>
              <w:right w:val="single" w:color="auto" w:sz="6" w:space="0"/>
            </w:tcBorders>
            <w:vAlign w:val="center"/>
          </w:tcPr>
          <w:p w14:paraId="6121C4C4">
            <w:pPr>
              <w:adjustRightInd w:val="0"/>
              <w:snapToGrid w:val="0"/>
              <w:jc w:val="center"/>
              <w:rPr>
                <w:rFonts w:ascii="宋体" w:hAnsi="宋体"/>
                <w:szCs w:val="21"/>
              </w:rPr>
            </w:pPr>
            <w:r>
              <w:rPr>
                <w:rFonts w:hint="eastAsia" w:ascii="宋体" w:hAnsi="宋体"/>
                <w:szCs w:val="21"/>
              </w:rPr>
              <w:t>最高允许偏离项数</w:t>
            </w:r>
          </w:p>
        </w:tc>
        <w:tc>
          <w:tcPr>
            <w:tcW w:w="5035" w:type="dxa"/>
            <w:tcBorders>
              <w:top w:val="single" w:color="auto" w:sz="6" w:space="0"/>
              <w:left w:val="single" w:color="auto" w:sz="6" w:space="0"/>
              <w:bottom w:val="single" w:color="auto" w:sz="6" w:space="0"/>
              <w:right w:val="double" w:color="auto" w:sz="4" w:space="0"/>
            </w:tcBorders>
          </w:tcPr>
          <w:p w14:paraId="5931814E">
            <w:pPr>
              <w:tabs>
                <w:tab w:val="left" w:pos="0"/>
              </w:tabs>
              <w:adjustRightInd w:val="0"/>
              <w:snapToGrid w:val="0"/>
              <w:rPr>
                <w:rFonts w:ascii="宋体" w:hAnsi="宋体"/>
                <w:b/>
                <w:szCs w:val="21"/>
              </w:rPr>
            </w:pPr>
            <w:r>
              <w:rPr>
                <w:rFonts w:hint="eastAsia" w:ascii="宋体" w:hAnsi="宋体"/>
                <w:szCs w:val="21"/>
              </w:rPr>
              <w:t>一般商务和技术条款（参数），偏离项数之和</w:t>
            </w:r>
            <w:r>
              <w:rPr>
                <w:rFonts w:hint="eastAsia" w:ascii="宋体" w:hAnsi="宋体"/>
                <w:szCs w:val="21"/>
                <w:lang w:val="en-US" w:eastAsia="zh-CN"/>
              </w:rPr>
              <w:t>＞</w:t>
            </w:r>
            <w:r>
              <w:rPr>
                <w:rFonts w:hint="eastAsia" w:ascii="宋体" w:hAnsi="宋体"/>
                <w:szCs w:val="21"/>
                <w:u w:val="single"/>
                <w:lang w:val="en-US" w:eastAsia="zh-CN"/>
              </w:rPr>
              <w:t>10</w:t>
            </w:r>
            <w:r>
              <w:rPr>
                <w:rFonts w:hint="eastAsia" w:ascii="宋体" w:hAnsi="宋体"/>
                <w:szCs w:val="21"/>
              </w:rPr>
              <w:t>项将导致无效响应。</w:t>
            </w:r>
          </w:p>
        </w:tc>
      </w:tr>
      <w:tr w14:paraId="668345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9"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3F60C28F">
            <w:pPr>
              <w:adjustRightInd w:val="0"/>
              <w:snapToGrid w:val="0"/>
              <w:jc w:val="center"/>
              <w:rPr>
                <w:rFonts w:ascii="宋体" w:hAnsi="宋体"/>
                <w:szCs w:val="21"/>
              </w:rPr>
            </w:pPr>
            <w:r>
              <w:rPr>
                <w:rFonts w:hint="eastAsia" w:ascii="宋体" w:hAnsi="宋体"/>
                <w:szCs w:val="21"/>
              </w:rPr>
              <w:t>第二章第12.1款</w:t>
            </w:r>
          </w:p>
        </w:tc>
        <w:tc>
          <w:tcPr>
            <w:tcW w:w="2121" w:type="dxa"/>
            <w:tcBorders>
              <w:top w:val="single" w:color="auto" w:sz="6" w:space="0"/>
              <w:left w:val="single" w:color="auto" w:sz="6" w:space="0"/>
              <w:bottom w:val="single" w:color="auto" w:sz="6" w:space="0"/>
              <w:right w:val="single" w:color="auto" w:sz="4" w:space="0"/>
            </w:tcBorders>
            <w:vAlign w:val="center"/>
          </w:tcPr>
          <w:p w14:paraId="5F6961D3">
            <w:pPr>
              <w:adjustRightInd w:val="0"/>
              <w:snapToGrid w:val="0"/>
              <w:jc w:val="center"/>
              <w:rPr>
                <w:rFonts w:ascii="宋体" w:hAnsi="宋体"/>
                <w:szCs w:val="21"/>
              </w:rPr>
            </w:pPr>
            <w:r>
              <w:rPr>
                <w:rFonts w:hint="eastAsia" w:ascii="宋体" w:hAnsi="宋体"/>
                <w:szCs w:val="21"/>
              </w:rPr>
              <w:t>递交响应文件的截止时间</w:t>
            </w:r>
          </w:p>
        </w:tc>
        <w:tc>
          <w:tcPr>
            <w:tcW w:w="5035" w:type="dxa"/>
            <w:tcBorders>
              <w:top w:val="single" w:color="auto" w:sz="6" w:space="0"/>
              <w:left w:val="single" w:color="auto" w:sz="4" w:space="0"/>
              <w:bottom w:val="single" w:color="auto" w:sz="6" w:space="0"/>
              <w:right w:val="double" w:color="auto" w:sz="4" w:space="0"/>
            </w:tcBorders>
            <w:vAlign w:val="center"/>
          </w:tcPr>
          <w:p w14:paraId="555B0FE7">
            <w:pPr>
              <w:adjustRightInd w:val="0"/>
              <w:snapToGrid w:val="0"/>
              <w:jc w:val="left"/>
              <w:rPr>
                <w:rFonts w:ascii="宋体" w:hAnsi="宋体"/>
                <w:szCs w:val="21"/>
              </w:rPr>
            </w:pPr>
            <w:r>
              <w:rPr>
                <w:rFonts w:hint="eastAsia" w:ascii="宋体" w:hAnsi="宋体" w:cs="仿宋_GB2312"/>
                <w:b/>
                <w:bCs/>
                <w:color w:val="FF0000"/>
                <w:kern w:val="0"/>
                <w:sz w:val="24"/>
                <w:lang w:eastAsia="zh-CN"/>
              </w:rPr>
              <w:t>2024年08月30日08时30分</w:t>
            </w:r>
            <w:r>
              <w:rPr>
                <w:rFonts w:hint="eastAsia" w:ascii="宋体" w:hAnsi="宋体"/>
                <w:b/>
                <w:bCs/>
                <w:color w:val="FF0000"/>
                <w:sz w:val="22"/>
                <w:szCs w:val="22"/>
              </w:rPr>
              <w:t>（北京时间)</w:t>
            </w:r>
          </w:p>
        </w:tc>
      </w:tr>
      <w:tr w14:paraId="2B76B1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32955A35">
            <w:pPr>
              <w:adjustRightInd w:val="0"/>
              <w:snapToGrid w:val="0"/>
              <w:rPr>
                <w:rFonts w:ascii="宋体" w:hAnsi="宋体"/>
                <w:b/>
                <w:szCs w:val="21"/>
              </w:rPr>
            </w:pPr>
            <w:r>
              <w:rPr>
                <w:rFonts w:hint="eastAsia" w:ascii="宋体" w:hAnsi="宋体"/>
                <w:b/>
                <w:szCs w:val="21"/>
              </w:rPr>
              <w:t>三、评标办法</w:t>
            </w:r>
          </w:p>
        </w:tc>
      </w:tr>
      <w:tr w14:paraId="7D2008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5" w:hRule="atLeast"/>
          <w:jc w:val="center"/>
        </w:trPr>
        <w:tc>
          <w:tcPr>
            <w:tcW w:w="1934" w:type="dxa"/>
            <w:tcBorders>
              <w:top w:val="single" w:color="auto" w:sz="6" w:space="0"/>
              <w:left w:val="double" w:color="auto" w:sz="4" w:space="0"/>
              <w:bottom w:val="single" w:color="auto" w:sz="6" w:space="0"/>
              <w:right w:val="single" w:color="auto" w:sz="4" w:space="0"/>
            </w:tcBorders>
            <w:vAlign w:val="center"/>
          </w:tcPr>
          <w:p w14:paraId="167332CA">
            <w:pPr>
              <w:adjustRightInd w:val="0"/>
              <w:snapToGrid w:val="0"/>
              <w:rPr>
                <w:rFonts w:ascii="宋体" w:hAnsi="宋体"/>
                <w:b/>
                <w:szCs w:val="21"/>
              </w:rPr>
            </w:pPr>
            <w:r>
              <w:rPr>
                <w:rFonts w:hint="eastAsia" w:ascii="宋体" w:hAnsi="宋体"/>
                <w:bCs/>
                <w:szCs w:val="21"/>
              </w:rPr>
              <w:t>第二章第30.1款</w:t>
            </w:r>
          </w:p>
        </w:tc>
        <w:tc>
          <w:tcPr>
            <w:tcW w:w="2121" w:type="dxa"/>
            <w:tcBorders>
              <w:top w:val="single" w:color="auto" w:sz="6" w:space="0"/>
              <w:left w:val="single" w:color="auto" w:sz="4" w:space="0"/>
              <w:bottom w:val="single" w:color="auto" w:sz="6" w:space="0"/>
              <w:right w:val="single" w:color="auto" w:sz="4" w:space="0"/>
            </w:tcBorders>
            <w:vAlign w:val="center"/>
          </w:tcPr>
          <w:p w14:paraId="45A188C9">
            <w:pPr>
              <w:adjustRightInd w:val="0"/>
              <w:snapToGrid w:val="0"/>
              <w:jc w:val="center"/>
              <w:rPr>
                <w:rFonts w:ascii="宋体" w:hAnsi="宋体"/>
                <w:b/>
                <w:szCs w:val="21"/>
              </w:rPr>
            </w:pPr>
            <w:r>
              <w:rPr>
                <w:rFonts w:hint="eastAsia" w:ascii="宋体" w:hAnsi="宋体"/>
                <w:bCs/>
                <w:szCs w:val="21"/>
              </w:rPr>
              <w:t>综合评分法</w:t>
            </w:r>
          </w:p>
        </w:tc>
        <w:tc>
          <w:tcPr>
            <w:tcW w:w="5035" w:type="dxa"/>
            <w:tcBorders>
              <w:top w:val="single" w:color="auto" w:sz="6" w:space="0"/>
              <w:left w:val="single" w:color="auto" w:sz="4" w:space="0"/>
              <w:bottom w:val="single" w:color="auto" w:sz="4" w:space="0"/>
              <w:right w:val="double" w:color="auto" w:sz="4" w:space="0"/>
            </w:tcBorders>
            <w:vAlign w:val="center"/>
          </w:tcPr>
          <w:p w14:paraId="3DC82C1C">
            <w:pPr>
              <w:adjustRightInd w:val="0"/>
              <w:snapToGrid w:val="0"/>
              <w:jc w:val="left"/>
              <w:rPr>
                <w:rFonts w:ascii="宋体" w:hAnsi="宋体"/>
                <w:szCs w:val="21"/>
              </w:rPr>
            </w:pPr>
            <w:r>
              <w:rPr>
                <w:rFonts w:hint="eastAsia" w:ascii="宋体" w:hAnsi="宋体"/>
                <w:szCs w:val="21"/>
              </w:rPr>
              <w:t>响应文件满足磋商文件全部实质性要求且按磋商因素的量化指标评审得分由高到低的前3名供应商为成交候选人的评审方法。</w:t>
            </w:r>
          </w:p>
        </w:tc>
      </w:tr>
      <w:tr w14:paraId="18805D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640994C7">
            <w:pPr>
              <w:adjustRightInd w:val="0"/>
              <w:snapToGrid w:val="0"/>
              <w:rPr>
                <w:rFonts w:ascii="宋体" w:hAnsi="宋体"/>
                <w:szCs w:val="21"/>
              </w:rPr>
            </w:pPr>
            <w:r>
              <w:rPr>
                <w:rFonts w:hint="eastAsia" w:ascii="宋体" w:hAnsi="宋体"/>
                <w:b/>
                <w:szCs w:val="21"/>
              </w:rPr>
              <w:t>四、响应文件的编写</w:t>
            </w:r>
          </w:p>
        </w:tc>
      </w:tr>
      <w:tr w14:paraId="4FD8B0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02EF1046">
            <w:pPr>
              <w:adjustRightInd w:val="0"/>
              <w:snapToGrid w:val="0"/>
              <w:jc w:val="center"/>
              <w:rPr>
                <w:rFonts w:ascii="宋体" w:hAnsi="宋体"/>
                <w:szCs w:val="21"/>
              </w:rPr>
            </w:pPr>
            <w:r>
              <w:rPr>
                <w:rFonts w:hint="eastAsia" w:ascii="宋体" w:hAnsi="宋体"/>
                <w:szCs w:val="21"/>
              </w:rPr>
              <w:t>第二章第16.4款</w:t>
            </w:r>
          </w:p>
        </w:tc>
        <w:tc>
          <w:tcPr>
            <w:tcW w:w="2121" w:type="dxa"/>
            <w:tcBorders>
              <w:top w:val="single" w:color="auto" w:sz="6" w:space="0"/>
              <w:left w:val="single" w:color="auto" w:sz="6" w:space="0"/>
              <w:bottom w:val="single" w:color="auto" w:sz="6" w:space="0"/>
              <w:right w:val="single" w:color="auto" w:sz="6" w:space="0"/>
            </w:tcBorders>
            <w:vAlign w:val="center"/>
          </w:tcPr>
          <w:p w14:paraId="236F3651">
            <w:pPr>
              <w:adjustRightInd w:val="0"/>
              <w:snapToGrid w:val="0"/>
              <w:jc w:val="center"/>
              <w:rPr>
                <w:rFonts w:ascii="宋体" w:hAnsi="宋体"/>
                <w:szCs w:val="21"/>
              </w:rPr>
            </w:pPr>
            <w:r>
              <w:rPr>
                <w:rFonts w:hint="eastAsia" w:ascii="宋体" w:hAnsi="宋体"/>
                <w:szCs w:val="21"/>
              </w:rPr>
              <w:t>采购项目预算</w:t>
            </w:r>
          </w:p>
        </w:tc>
        <w:tc>
          <w:tcPr>
            <w:tcW w:w="5035" w:type="dxa"/>
            <w:tcBorders>
              <w:top w:val="single" w:color="auto" w:sz="6" w:space="0"/>
              <w:left w:val="single" w:color="auto" w:sz="6" w:space="0"/>
              <w:bottom w:val="single" w:color="auto" w:sz="6" w:space="0"/>
              <w:right w:val="double" w:color="auto" w:sz="4" w:space="0"/>
            </w:tcBorders>
            <w:vAlign w:val="center"/>
          </w:tcPr>
          <w:p w14:paraId="4A71A0D8">
            <w:pPr>
              <w:adjustRightInd w:val="0"/>
              <w:snapToGrid w:val="0"/>
              <w:jc w:val="left"/>
              <w:rPr>
                <w:rFonts w:hint="eastAsia" w:ascii="宋体" w:hAnsi="宋体" w:eastAsia="宋体"/>
                <w:szCs w:val="21"/>
                <w:lang w:eastAsia="zh-CN"/>
              </w:rPr>
            </w:pPr>
            <w:r>
              <w:rPr>
                <w:rFonts w:hint="eastAsia" w:ascii="宋体" w:hAnsi="宋体"/>
                <w:sz w:val="22"/>
                <w:szCs w:val="22"/>
                <w:lang w:eastAsia="zh-CN"/>
              </w:rPr>
              <w:t>零预算</w:t>
            </w:r>
          </w:p>
        </w:tc>
      </w:tr>
      <w:tr w14:paraId="6BC274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0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12815796">
            <w:pPr>
              <w:adjustRightInd w:val="0"/>
              <w:snapToGrid w:val="0"/>
              <w:jc w:val="center"/>
              <w:rPr>
                <w:rFonts w:ascii="宋体" w:hAnsi="宋体"/>
                <w:szCs w:val="21"/>
              </w:rPr>
            </w:pPr>
            <w:r>
              <w:rPr>
                <w:rFonts w:hint="eastAsia" w:ascii="宋体" w:hAnsi="宋体"/>
                <w:szCs w:val="21"/>
              </w:rPr>
              <w:t>第二章第18.1款</w:t>
            </w:r>
          </w:p>
        </w:tc>
        <w:tc>
          <w:tcPr>
            <w:tcW w:w="2121" w:type="dxa"/>
            <w:tcBorders>
              <w:top w:val="single" w:color="auto" w:sz="6" w:space="0"/>
              <w:left w:val="single" w:color="auto" w:sz="6" w:space="0"/>
              <w:bottom w:val="single" w:color="auto" w:sz="6" w:space="0"/>
              <w:right w:val="single" w:color="auto" w:sz="6" w:space="0"/>
            </w:tcBorders>
            <w:vAlign w:val="center"/>
          </w:tcPr>
          <w:p w14:paraId="2BA232DC">
            <w:pPr>
              <w:adjustRightInd w:val="0"/>
              <w:snapToGrid w:val="0"/>
              <w:ind w:left="-533" w:leftChars="-254" w:firstLine="533" w:firstLineChars="254"/>
              <w:jc w:val="center"/>
              <w:rPr>
                <w:rFonts w:ascii="宋体" w:hAnsi="宋体"/>
                <w:szCs w:val="21"/>
              </w:rPr>
            </w:pPr>
            <w:r>
              <w:rPr>
                <w:rFonts w:hint="eastAsia" w:ascii="宋体" w:hAnsi="宋体"/>
                <w:szCs w:val="21"/>
              </w:rPr>
              <w:t>保证金</w:t>
            </w:r>
          </w:p>
        </w:tc>
        <w:tc>
          <w:tcPr>
            <w:tcW w:w="5035" w:type="dxa"/>
            <w:tcBorders>
              <w:top w:val="single" w:color="auto" w:sz="6" w:space="0"/>
              <w:left w:val="single" w:color="auto" w:sz="6" w:space="0"/>
              <w:bottom w:val="single" w:color="auto" w:sz="6" w:space="0"/>
              <w:right w:val="double" w:color="auto" w:sz="4" w:space="0"/>
            </w:tcBorders>
            <w:vAlign w:val="center"/>
          </w:tcPr>
          <w:p w14:paraId="4B780DC8">
            <w:pPr>
              <w:autoSpaceDE w:val="0"/>
              <w:autoSpaceDN w:val="0"/>
              <w:adjustRightInd w:val="0"/>
              <w:spacing w:line="360" w:lineRule="auto"/>
              <w:rPr>
                <w:rFonts w:hint="default" w:ascii="宋体" w:hAnsi="宋体"/>
                <w:color w:val="auto"/>
                <w:szCs w:val="21"/>
                <w:lang w:val="en-US"/>
              </w:rPr>
            </w:pPr>
            <w:r>
              <w:rPr>
                <w:rFonts w:hint="eastAsia" w:ascii="宋体" w:hAnsi="宋体"/>
                <w:color w:val="auto"/>
                <w:szCs w:val="21"/>
              </w:rPr>
              <w:t xml:space="preserve">■ </w:t>
            </w:r>
            <w:r>
              <w:rPr>
                <w:rFonts w:hint="eastAsia" w:ascii="宋体" w:hAnsi="宋体"/>
                <w:color w:val="auto"/>
                <w:szCs w:val="21"/>
                <w:lang w:val="en-US" w:eastAsia="zh-CN"/>
              </w:rPr>
              <w:t>不</w:t>
            </w:r>
            <w:r>
              <w:rPr>
                <w:rFonts w:hint="eastAsia" w:ascii="宋体" w:hAnsi="宋体"/>
                <w:color w:val="auto"/>
                <w:szCs w:val="21"/>
              </w:rPr>
              <w:t>要求提供，数额为：</w:t>
            </w:r>
            <w:r>
              <w:rPr>
                <w:rFonts w:hint="eastAsia" w:ascii="宋体" w:hAnsi="宋体"/>
                <w:color w:val="auto"/>
                <w:szCs w:val="21"/>
                <w:lang w:val="en-US" w:eastAsia="zh-CN"/>
              </w:rPr>
              <w:t xml:space="preserve">   </w:t>
            </w:r>
          </w:p>
          <w:p w14:paraId="1780DD7E">
            <w:pPr>
              <w:autoSpaceDE w:val="0"/>
              <w:autoSpaceDN w:val="0"/>
              <w:adjustRightInd w:val="0"/>
              <w:spacing w:line="360" w:lineRule="auto"/>
              <w:rPr>
                <w:rFonts w:ascii="宋体" w:hAnsi="宋体"/>
                <w:color w:val="000000"/>
                <w:szCs w:val="21"/>
              </w:rPr>
            </w:pPr>
            <w:r>
              <w:rPr>
                <w:rFonts w:hint="eastAsia" w:ascii="宋体" w:hAnsi="宋体"/>
                <w:color w:val="000000"/>
                <w:szCs w:val="21"/>
              </w:rPr>
              <w:t>投标保证金由投标人帐户于</w:t>
            </w:r>
            <w:r>
              <w:rPr>
                <w:rFonts w:hint="eastAsia" w:ascii="宋体" w:hAnsi="宋体" w:cs="宋体"/>
                <w:color w:val="000000"/>
                <w:kern w:val="0"/>
                <w:szCs w:val="21"/>
              </w:rPr>
              <w:t>投标截止时间</w:t>
            </w:r>
            <w:r>
              <w:rPr>
                <w:rFonts w:hint="eastAsia" w:ascii="宋体" w:hAnsi="宋体"/>
                <w:color w:val="000000"/>
                <w:szCs w:val="21"/>
              </w:rPr>
              <w:t>前汇到常德众益项目管理咨询有限公司投标保证金专用帐户，以到帐时间为准。</w:t>
            </w:r>
            <w:bookmarkStart w:id="52" w:name="_GoBack"/>
            <w:bookmarkEnd w:id="52"/>
          </w:p>
          <w:p w14:paraId="07B9DB90">
            <w:pPr>
              <w:autoSpaceDE w:val="0"/>
              <w:autoSpaceDN w:val="0"/>
              <w:adjustRightInd w:val="0"/>
              <w:spacing w:line="360" w:lineRule="auto"/>
              <w:rPr>
                <w:rFonts w:ascii="宋体" w:hAnsi="宋体"/>
                <w:color w:val="000000"/>
                <w:szCs w:val="21"/>
              </w:rPr>
            </w:pPr>
            <w:r>
              <w:rPr>
                <w:rFonts w:hint="eastAsia" w:ascii="宋体" w:hAnsi="宋体"/>
                <w:color w:val="000000"/>
                <w:szCs w:val="21"/>
              </w:rPr>
              <w:t>（1）、投标人是企业法人的，保证金从公司账户打款；</w:t>
            </w:r>
          </w:p>
          <w:p w14:paraId="68CD3A75">
            <w:pPr>
              <w:autoSpaceDE w:val="0"/>
              <w:autoSpaceDN w:val="0"/>
              <w:adjustRightInd w:val="0"/>
              <w:spacing w:line="360" w:lineRule="auto"/>
              <w:rPr>
                <w:rFonts w:ascii="宋体" w:hAnsi="宋体"/>
                <w:color w:val="000000"/>
                <w:szCs w:val="21"/>
              </w:rPr>
            </w:pPr>
            <w:r>
              <w:rPr>
                <w:rFonts w:hint="eastAsia" w:ascii="宋体" w:hAnsi="宋体"/>
                <w:color w:val="000000"/>
                <w:szCs w:val="21"/>
              </w:rPr>
              <w:t>（2）、投标人是个体工商户的，保证金从经营者账户打款；</w:t>
            </w:r>
          </w:p>
          <w:p w14:paraId="7E5D8B48">
            <w:pPr>
              <w:autoSpaceDE w:val="0"/>
              <w:autoSpaceDN w:val="0"/>
              <w:adjustRightInd w:val="0"/>
              <w:spacing w:line="360" w:lineRule="auto"/>
              <w:rPr>
                <w:rFonts w:ascii="宋体" w:hAnsi="宋体"/>
                <w:color w:val="000000"/>
                <w:szCs w:val="21"/>
              </w:rPr>
            </w:pPr>
            <w:r>
              <w:rPr>
                <w:rFonts w:hint="eastAsia" w:ascii="宋体" w:hAnsi="宋体"/>
                <w:color w:val="000000"/>
                <w:szCs w:val="21"/>
              </w:rPr>
              <w:t>（3）、投标人是自然人的，保证金从本人开户账户打款；</w:t>
            </w:r>
          </w:p>
          <w:p w14:paraId="68CE85FB">
            <w:pPr>
              <w:autoSpaceDE w:val="0"/>
              <w:autoSpaceDN w:val="0"/>
              <w:adjustRightInd w:val="0"/>
              <w:spacing w:line="360" w:lineRule="auto"/>
              <w:rPr>
                <w:rFonts w:ascii="宋体" w:hAnsi="宋体"/>
                <w:color w:val="000000"/>
                <w:szCs w:val="21"/>
              </w:rPr>
            </w:pPr>
            <w:r>
              <w:rPr>
                <w:rFonts w:hint="eastAsia" w:ascii="宋体" w:hAnsi="宋体"/>
                <w:color w:val="000000"/>
                <w:szCs w:val="21"/>
              </w:rPr>
              <w:t>（4）、投标人是其他组织的，保证金从该组织账户打款；</w:t>
            </w:r>
          </w:p>
          <w:p w14:paraId="04F0B212">
            <w:pPr>
              <w:autoSpaceDE w:val="0"/>
              <w:autoSpaceDN w:val="0"/>
              <w:adjustRightInd w:val="0"/>
              <w:spacing w:line="360" w:lineRule="auto"/>
              <w:rPr>
                <w:rFonts w:ascii="宋体" w:hAnsi="宋体"/>
                <w:color w:val="000000"/>
                <w:szCs w:val="21"/>
              </w:rPr>
            </w:pPr>
            <w:r>
              <w:rPr>
                <w:rFonts w:hint="eastAsia" w:ascii="宋体" w:hAnsi="宋体"/>
                <w:color w:val="000000"/>
                <w:szCs w:val="21"/>
              </w:rPr>
              <w:t>（5）、其他说明：①投标保证金的形式：投标人自主选择以转账、支票、汇票、本票、保函等非现金形式缴纳或提交保证金。②保证金应在投标文件有效期内保持有效，未按规定提交投标保证金的，投标无效。③</w:t>
            </w:r>
            <w:r>
              <w:rPr>
                <w:rFonts w:hint="eastAsia" w:ascii="宋体" w:hAnsi="宋体"/>
                <w:color w:val="000000"/>
                <w:kern w:val="0"/>
                <w:szCs w:val="21"/>
              </w:rPr>
              <w:t>各投标人缴纳保证金时，请在银行转账单附言或备注栏处注明项目信息，以便查询。④</w:t>
            </w:r>
            <w:r>
              <w:rPr>
                <w:rFonts w:hint="eastAsia" w:ascii="宋体" w:hAnsi="宋体"/>
                <w:color w:val="000000"/>
                <w:szCs w:val="21"/>
              </w:rPr>
              <w:t>退还时退回到投标人原转出账户，一律不退现金。</w:t>
            </w:r>
          </w:p>
          <w:p w14:paraId="089DFB04">
            <w:pPr>
              <w:widowControl/>
              <w:adjustRightInd w:val="0"/>
              <w:spacing w:line="360" w:lineRule="auto"/>
              <w:ind w:right="-153" w:rightChars="-73"/>
              <w:jc w:val="left"/>
              <w:rPr>
                <w:rFonts w:ascii="宋体" w:hAnsi="宋体" w:cs="MingLiU"/>
                <w:b/>
                <w:bCs/>
                <w:color w:val="000000"/>
                <w:kern w:val="0"/>
                <w:szCs w:val="21"/>
              </w:rPr>
            </w:pPr>
            <w:r>
              <w:rPr>
                <w:rFonts w:hint="eastAsia" w:ascii="宋体" w:hAnsi="宋体" w:cs="MingLiU"/>
                <w:b/>
                <w:bCs/>
                <w:color w:val="000000"/>
                <w:kern w:val="0"/>
                <w:szCs w:val="21"/>
              </w:rPr>
              <w:t xml:space="preserve">投标保证金的账户： </w:t>
            </w:r>
          </w:p>
          <w:p w14:paraId="46ADCB50">
            <w:pPr>
              <w:widowControl/>
              <w:adjustRightInd w:val="0"/>
              <w:spacing w:line="360" w:lineRule="auto"/>
              <w:ind w:right="-153" w:rightChars="-73"/>
              <w:jc w:val="left"/>
              <w:rPr>
                <w:rFonts w:ascii="宋体" w:hAnsi="宋体" w:cs="MingLiU"/>
                <w:b/>
                <w:bCs/>
                <w:color w:val="000000"/>
                <w:kern w:val="0"/>
                <w:szCs w:val="21"/>
              </w:rPr>
            </w:pPr>
            <w:r>
              <w:rPr>
                <w:rFonts w:hint="eastAsia" w:ascii="宋体" w:hAnsi="宋体" w:cs="MingLiU"/>
                <w:b/>
                <w:bCs/>
                <w:color w:val="000000"/>
                <w:kern w:val="0"/>
                <w:szCs w:val="21"/>
              </w:rPr>
              <w:t>开户名称：常德众益项目管理咨询有限公司</w:t>
            </w:r>
          </w:p>
          <w:p w14:paraId="21CE3D87">
            <w:pPr>
              <w:widowControl/>
              <w:adjustRightInd w:val="0"/>
              <w:spacing w:line="360" w:lineRule="auto"/>
              <w:ind w:right="-153" w:rightChars="-73"/>
              <w:jc w:val="left"/>
              <w:rPr>
                <w:rFonts w:ascii="宋体" w:hAnsi="宋体" w:cs="MingLiU"/>
                <w:b/>
                <w:bCs/>
                <w:color w:val="000000"/>
                <w:kern w:val="0"/>
                <w:szCs w:val="21"/>
              </w:rPr>
            </w:pPr>
            <w:r>
              <w:rPr>
                <w:rFonts w:hint="eastAsia" w:ascii="宋体" w:hAnsi="宋体" w:cs="MingLiU"/>
                <w:b/>
                <w:bCs/>
                <w:color w:val="000000"/>
                <w:kern w:val="0"/>
                <w:szCs w:val="21"/>
              </w:rPr>
              <w:t>开户银行：中国建设银行股份有限公司常德市分行营业部</w:t>
            </w:r>
          </w:p>
          <w:p w14:paraId="3A7D9008">
            <w:pPr>
              <w:adjustRightInd w:val="0"/>
              <w:snapToGrid w:val="0"/>
              <w:rPr>
                <w:rFonts w:ascii="宋体" w:hAnsi="宋体"/>
                <w:bCs/>
                <w:snapToGrid w:val="0"/>
                <w:kern w:val="0"/>
              </w:rPr>
            </w:pPr>
            <w:r>
              <w:rPr>
                <w:rFonts w:hint="eastAsia" w:ascii="宋体" w:hAnsi="宋体" w:cs="MingLiU"/>
                <w:b/>
                <w:bCs/>
                <w:color w:val="000000"/>
                <w:kern w:val="0"/>
                <w:szCs w:val="21"/>
              </w:rPr>
              <w:t>银行账号：43050168864300000564</w:t>
            </w:r>
          </w:p>
        </w:tc>
      </w:tr>
      <w:tr w14:paraId="4D6ED3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3"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6180C96A">
            <w:pPr>
              <w:adjustRightInd w:val="0"/>
              <w:snapToGrid w:val="0"/>
              <w:jc w:val="center"/>
              <w:rPr>
                <w:rFonts w:ascii="宋体" w:hAnsi="宋体"/>
                <w:szCs w:val="21"/>
              </w:rPr>
            </w:pPr>
            <w:r>
              <w:rPr>
                <w:rFonts w:hint="eastAsia" w:ascii="宋体" w:hAnsi="宋体"/>
                <w:szCs w:val="21"/>
              </w:rPr>
              <w:t>第二章第19.1款</w:t>
            </w:r>
          </w:p>
        </w:tc>
        <w:tc>
          <w:tcPr>
            <w:tcW w:w="2121" w:type="dxa"/>
            <w:tcBorders>
              <w:top w:val="single" w:color="auto" w:sz="6" w:space="0"/>
              <w:left w:val="single" w:color="auto" w:sz="6" w:space="0"/>
              <w:bottom w:val="single" w:color="auto" w:sz="6" w:space="0"/>
              <w:right w:val="single" w:color="auto" w:sz="6" w:space="0"/>
            </w:tcBorders>
            <w:vAlign w:val="center"/>
          </w:tcPr>
          <w:p w14:paraId="0DC71792">
            <w:pPr>
              <w:adjustRightInd w:val="0"/>
              <w:snapToGrid w:val="0"/>
              <w:rPr>
                <w:rFonts w:ascii="宋体" w:hAnsi="宋体"/>
                <w:bCs/>
                <w:szCs w:val="21"/>
              </w:rPr>
            </w:pPr>
            <w:r>
              <w:rPr>
                <w:rFonts w:hint="eastAsia" w:ascii="宋体" w:hAnsi="宋体"/>
                <w:bCs/>
                <w:szCs w:val="21"/>
              </w:rPr>
              <w:t>响应文件有效期</w:t>
            </w:r>
          </w:p>
        </w:tc>
        <w:tc>
          <w:tcPr>
            <w:tcW w:w="5035" w:type="dxa"/>
            <w:tcBorders>
              <w:top w:val="single" w:color="auto" w:sz="6" w:space="0"/>
              <w:left w:val="single" w:color="auto" w:sz="6" w:space="0"/>
              <w:bottom w:val="single" w:color="auto" w:sz="6" w:space="0"/>
              <w:right w:val="double" w:color="auto" w:sz="4" w:space="0"/>
            </w:tcBorders>
            <w:vAlign w:val="center"/>
          </w:tcPr>
          <w:p w14:paraId="7718589B">
            <w:pPr>
              <w:adjustRightInd w:val="0"/>
              <w:snapToGrid w:val="0"/>
              <w:rPr>
                <w:rFonts w:ascii="宋体" w:hAnsi="宋体"/>
                <w:bCs/>
                <w:szCs w:val="21"/>
              </w:rPr>
            </w:pPr>
            <w:r>
              <w:rPr>
                <w:rFonts w:hint="eastAsia" w:ascii="宋体" w:hAnsi="宋体"/>
                <w:szCs w:val="21"/>
                <w:u w:val="single"/>
              </w:rPr>
              <w:t xml:space="preserve">  60  </w:t>
            </w:r>
            <w:r>
              <w:rPr>
                <w:rFonts w:hint="eastAsia" w:ascii="宋体" w:hAnsi="宋体"/>
                <w:szCs w:val="21"/>
              </w:rPr>
              <w:t>日（日历日）</w:t>
            </w:r>
          </w:p>
        </w:tc>
      </w:tr>
      <w:tr w14:paraId="7BE922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A7F7E66">
            <w:pPr>
              <w:adjustRightInd w:val="0"/>
              <w:snapToGrid w:val="0"/>
              <w:jc w:val="center"/>
              <w:rPr>
                <w:rFonts w:ascii="宋体" w:hAnsi="宋体"/>
                <w:szCs w:val="21"/>
              </w:rPr>
            </w:pPr>
            <w:r>
              <w:rPr>
                <w:rFonts w:hint="eastAsia" w:ascii="宋体" w:hAnsi="宋体"/>
                <w:szCs w:val="21"/>
              </w:rPr>
              <w:t>第二章第20.1款</w:t>
            </w:r>
          </w:p>
        </w:tc>
        <w:tc>
          <w:tcPr>
            <w:tcW w:w="2121" w:type="dxa"/>
            <w:tcBorders>
              <w:top w:val="single" w:color="auto" w:sz="6" w:space="0"/>
              <w:left w:val="single" w:color="auto" w:sz="6" w:space="0"/>
              <w:bottom w:val="single" w:color="auto" w:sz="6" w:space="0"/>
              <w:right w:val="single" w:color="auto" w:sz="6" w:space="0"/>
            </w:tcBorders>
            <w:vAlign w:val="center"/>
          </w:tcPr>
          <w:p w14:paraId="26E65E7F">
            <w:pPr>
              <w:adjustRightInd w:val="0"/>
              <w:snapToGrid w:val="0"/>
              <w:rPr>
                <w:rFonts w:ascii="宋体" w:hAnsi="宋体"/>
                <w:szCs w:val="21"/>
              </w:rPr>
            </w:pPr>
            <w:r>
              <w:rPr>
                <w:rFonts w:hint="eastAsia" w:ascii="宋体" w:hAnsi="宋体"/>
                <w:bCs/>
                <w:szCs w:val="21"/>
              </w:rPr>
              <w:t>响应</w:t>
            </w:r>
            <w:r>
              <w:rPr>
                <w:rFonts w:hint="eastAsia" w:ascii="宋体" w:hAnsi="宋体"/>
                <w:szCs w:val="21"/>
              </w:rPr>
              <w:t>文件份数</w:t>
            </w:r>
          </w:p>
        </w:tc>
        <w:tc>
          <w:tcPr>
            <w:tcW w:w="5035" w:type="dxa"/>
            <w:tcBorders>
              <w:top w:val="single" w:color="auto" w:sz="6" w:space="0"/>
              <w:left w:val="single" w:color="auto" w:sz="6" w:space="0"/>
              <w:bottom w:val="single" w:color="auto" w:sz="6" w:space="0"/>
              <w:right w:val="double" w:color="auto" w:sz="4" w:space="0"/>
            </w:tcBorders>
            <w:vAlign w:val="center"/>
          </w:tcPr>
          <w:p w14:paraId="16B1309A">
            <w:pPr>
              <w:adjustRightInd w:val="0"/>
              <w:snapToGrid w:val="0"/>
              <w:rPr>
                <w:rFonts w:ascii="宋体" w:hAnsi="宋体"/>
                <w:szCs w:val="21"/>
              </w:rPr>
            </w:pPr>
            <w:r>
              <w:rPr>
                <w:rFonts w:hint="eastAsia" w:ascii="宋体" w:hAnsi="宋体"/>
                <w:szCs w:val="21"/>
              </w:rPr>
              <w:t>正本一份；副本贰份；电子文件一份（PDF格式U盘存储，与正本一致）。</w:t>
            </w:r>
          </w:p>
        </w:tc>
      </w:tr>
      <w:tr w14:paraId="6E6056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76485EAE">
            <w:pPr>
              <w:adjustRightInd w:val="0"/>
              <w:snapToGrid w:val="0"/>
              <w:rPr>
                <w:rFonts w:ascii="宋体" w:hAnsi="宋体"/>
                <w:b/>
                <w:bCs/>
                <w:szCs w:val="21"/>
              </w:rPr>
            </w:pPr>
            <w:r>
              <w:rPr>
                <w:rFonts w:hint="eastAsia" w:ascii="宋体" w:hAnsi="宋体"/>
                <w:b/>
                <w:szCs w:val="21"/>
              </w:rPr>
              <w:t>五、响应文件的递交</w:t>
            </w:r>
          </w:p>
        </w:tc>
      </w:tr>
      <w:tr w14:paraId="40C4F8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01"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09EABEE">
            <w:pPr>
              <w:adjustRightInd w:val="0"/>
              <w:snapToGrid w:val="0"/>
              <w:jc w:val="center"/>
              <w:rPr>
                <w:rFonts w:ascii="宋体" w:hAnsi="宋体"/>
                <w:szCs w:val="21"/>
              </w:rPr>
            </w:pPr>
            <w:r>
              <w:rPr>
                <w:rFonts w:hint="eastAsia" w:ascii="宋体" w:hAnsi="宋体"/>
                <w:szCs w:val="21"/>
              </w:rPr>
              <w:t>第二章第21.3款</w:t>
            </w:r>
          </w:p>
        </w:tc>
        <w:tc>
          <w:tcPr>
            <w:tcW w:w="2121" w:type="dxa"/>
            <w:tcBorders>
              <w:top w:val="single" w:color="auto" w:sz="6" w:space="0"/>
              <w:left w:val="single" w:color="auto" w:sz="6" w:space="0"/>
              <w:bottom w:val="single" w:color="auto" w:sz="6" w:space="0"/>
              <w:right w:val="single" w:color="auto" w:sz="6" w:space="0"/>
            </w:tcBorders>
            <w:vAlign w:val="center"/>
          </w:tcPr>
          <w:p w14:paraId="293A5FE1">
            <w:pPr>
              <w:adjustRightInd w:val="0"/>
              <w:snapToGrid w:val="0"/>
              <w:rPr>
                <w:rFonts w:ascii="宋体" w:hAnsi="宋体"/>
                <w:szCs w:val="21"/>
              </w:rPr>
            </w:pPr>
            <w:r>
              <w:rPr>
                <w:rFonts w:hint="eastAsia" w:ascii="宋体" w:hAnsi="宋体"/>
                <w:szCs w:val="21"/>
              </w:rPr>
              <w:t>封套上应载明的信息</w:t>
            </w:r>
          </w:p>
        </w:tc>
        <w:tc>
          <w:tcPr>
            <w:tcW w:w="5035" w:type="dxa"/>
            <w:tcBorders>
              <w:top w:val="single" w:color="auto" w:sz="6" w:space="0"/>
              <w:left w:val="single" w:color="auto" w:sz="6" w:space="0"/>
              <w:bottom w:val="single" w:color="auto" w:sz="6" w:space="0"/>
              <w:right w:val="double" w:color="auto" w:sz="4" w:space="0"/>
            </w:tcBorders>
            <w:vAlign w:val="center"/>
          </w:tcPr>
          <w:p w14:paraId="61760FA6">
            <w:pPr>
              <w:adjustRightInd w:val="0"/>
              <w:snapToGrid w:val="0"/>
              <w:rPr>
                <w:rFonts w:ascii="宋体" w:hAnsi="宋体" w:cs="黑体"/>
                <w:szCs w:val="21"/>
              </w:rPr>
            </w:pPr>
            <w:r>
              <w:rPr>
                <w:rFonts w:hint="eastAsia" w:ascii="宋体" w:hAnsi="宋体"/>
                <w:szCs w:val="21"/>
                <w:lang w:eastAsia="zh-CN"/>
              </w:rPr>
              <w:t>临澧县职业中专学校食堂大宗食材采购供应商选定项目</w:t>
            </w:r>
            <w:r>
              <w:rPr>
                <w:rFonts w:hint="eastAsia" w:ascii="宋体" w:hAnsi="宋体"/>
                <w:szCs w:val="21"/>
              </w:rPr>
              <w:t>响应文件</w:t>
            </w:r>
          </w:p>
          <w:p w14:paraId="054E6DF2">
            <w:pPr>
              <w:adjustRightInd w:val="0"/>
              <w:snapToGrid w:val="0"/>
              <w:rPr>
                <w:rFonts w:ascii="宋体" w:hAnsi="宋体"/>
                <w:szCs w:val="21"/>
                <w:u w:val="single"/>
              </w:rPr>
            </w:pPr>
            <w:r>
              <w:rPr>
                <w:rFonts w:hint="eastAsia" w:ascii="宋体" w:hAnsi="宋体"/>
                <w:szCs w:val="21"/>
              </w:rPr>
              <w:t>采购</w:t>
            </w:r>
            <w:r>
              <w:rPr>
                <w:rFonts w:hint="eastAsia" w:ascii="宋体" w:hAnsi="宋体"/>
                <w:szCs w:val="21"/>
                <w:lang w:eastAsia="zh-CN"/>
              </w:rPr>
              <w:t>计划</w:t>
            </w:r>
            <w:r>
              <w:rPr>
                <w:rFonts w:hint="eastAsia" w:ascii="宋体" w:hAnsi="宋体"/>
                <w:szCs w:val="21"/>
              </w:rPr>
              <w:t xml:space="preserve">编号: </w:t>
            </w:r>
            <w:r>
              <w:rPr>
                <w:rFonts w:hint="eastAsia" w:ascii="宋体" w:hAnsi="宋体"/>
                <w:szCs w:val="21"/>
                <w:u w:val="single"/>
              </w:rPr>
              <w:t xml:space="preserve">                     </w:t>
            </w:r>
          </w:p>
          <w:p w14:paraId="2022168C">
            <w:pPr>
              <w:adjustRightInd w:val="0"/>
              <w:snapToGrid w:val="0"/>
              <w:rPr>
                <w:rFonts w:ascii="宋体" w:hAnsi="宋体"/>
                <w:szCs w:val="21"/>
              </w:rPr>
            </w:pPr>
            <w:r>
              <w:rPr>
                <w:rFonts w:hint="eastAsia" w:ascii="宋体" w:hAnsi="宋体"/>
                <w:szCs w:val="21"/>
              </w:rPr>
              <w:t>在   年   月  日    时   分之前不得启封</w:t>
            </w:r>
          </w:p>
          <w:p w14:paraId="456384BC">
            <w:pPr>
              <w:adjustRightInd w:val="0"/>
              <w:snapToGrid w:val="0"/>
              <w:rPr>
                <w:rFonts w:ascii="宋体" w:hAnsi="宋体"/>
                <w:szCs w:val="21"/>
              </w:rPr>
            </w:pPr>
            <w:r>
              <w:rPr>
                <w:rFonts w:hint="eastAsia" w:ascii="宋体" w:hAnsi="宋体"/>
                <w:szCs w:val="21"/>
              </w:rPr>
              <w:t>供应商名称：</w:t>
            </w:r>
            <w:r>
              <w:rPr>
                <w:rFonts w:hint="eastAsia" w:ascii="宋体" w:hAnsi="宋体"/>
                <w:szCs w:val="21"/>
                <w:u w:val="single"/>
              </w:rPr>
              <w:t xml:space="preserve">             </w:t>
            </w:r>
          </w:p>
        </w:tc>
      </w:tr>
      <w:tr w14:paraId="0E2446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5BEF732">
            <w:pPr>
              <w:adjustRightInd w:val="0"/>
              <w:snapToGrid w:val="0"/>
              <w:jc w:val="center"/>
              <w:rPr>
                <w:rFonts w:ascii="宋体" w:hAnsi="宋体"/>
                <w:szCs w:val="21"/>
              </w:rPr>
            </w:pPr>
            <w:r>
              <w:rPr>
                <w:rFonts w:hint="eastAsia" w:ascii="宋体" w:hAnsi="宋体"/>
                <w:szCs w:val="21"/>
              </w:rPr>
              <w:t>第二章第23.1款</w:t>
            </w:r>
          </w:p>
        </w:tc>
        <w:tc>
          <w:tcPr>
            <w:tcW w:w="2121" w:type="dxa"/>
            <w:tcBorders>
              <w:top w:val="single" w:color="auto" w:sz="6" w:space="0"/>
              <w:left w:val="single" w:color="auto" w:sz="6" w:space="0"/>
              <w:bottom w:val="single" w:color="auto" w:sz="6" w:space="0"/>
              <w:right w:val="single" w:color="auto" w:sz="6" w:space="0"/>
            </w:tcBorders>
            <w:vAlign w:val="center"/>
          </w:tcPr>
          <w:p w14:paraId="4274583C">
            <w:pPr>
              <w:adjustRightInd w:val="0"/>
              <w:snapToGrid w:val="0"/>
              <w:rPr>
                <w:rFonts w:ascii="宋体" w:hAnsi="宋体"/>
                <w:szCs w:val="21"/>
              </w:rPr>
            </w:pPr>
            <w:r>
              <w:rPr>
                <w:rFonts w:hint="eastAsia" w:ascii="宋体" w:hAnsi="宋体"/>
                <w:szCs w:val="21"/>
              </w:rPr>
              <w:t>响应文件的递交地点</w:t>
            </w:r>
          </w:p>
        </w:tc>
        <w:tc>
          <w:tcPr>
            <w:tcW w:w="5035" w:type="dxa"/>
            <w:tcBorders>
              <w:top w:val="single" w:color="auto" w:sz="6" w:space="0"/>
              <w:left w:val="single" w:color="auto" w:sz="6" w:space="0"/>
              <w:bottom w:val="single" w:color="auto" w:sz="6" w:space="0"/>
              <w:right w:val="double" w:color="auto" w:sz="4" w:space="0"/>
            </w:tcBorders>
            <w:vAlign w:val="center"/>
          </w:tcPr>
          <w:p w14:paraId="607BDF0A">
            <w:pPr>
              <w:adjustRightInd w:val="0"/>
              <w:snapToGrid w:val="0"/>
              <w:rPr>
                <w:rFonts w:ascii="宋体" w:hAnsi="宋体"/>
                <w:bCs/>
                <w:szCs w:val="21"/>
              </w:rPr>
            </w:pPr>
            <w:r>
              <w:rPr>
                <w:rFonts w:hint="eastAsia" w:ascii="宋体" w:hAnsi="宋体"/>
                <w:bCs/>
                <w:szCs w:val="21"/>
                <w:lang w:eastAsia="zh-CN"/>
              </w:rPr>
              <w:t>常德众益项目管理咨询有限公司开标室</w:t>
            </w:r>
          </w:p>
        </w:tc>
      </w:tr>
      <w:tr w14:paraId="19CDD2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2B40894E">
            <w:pPr>
              <w:adjustRightInd w:val="0"/>
              <w:snapToGrid w:val="0"/>
              <w:rPr>
                <w:rFonts w:ascii="宋体" w:hAnsi="宋体"/>
                <w:szCs w:val="21"/>
              </w:rPr>
            </w:pPr>
            <w:r>
              <w:rPr>
                <w:rFonts w:hint="eastAsia" w:ascii="宋体" w:hAnsi="宋体"/>
                <w:b/>
                <w:szCs w:val="21"/>
              </w:rPr>
              <w:t>六、成交结果信息公布与供应商质疑</w:t>
            </w:r>
          </w:p>
        </w:tc>
      </w:tr>
      <w:tr w14:paraId="73C4EE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1FDA1351">
            <w:pPr>
              <w:adjustRightInd w:val="0"/>
              <w:snapToGrid w:val="0"/>
              <w:jc w:val="center"/>
              <w:rPr>
                <w:rFonts w:ascii="宋体" w:hAnsi="宋体"/>
                <w:szCs w:val="21"/>
              </w:rPr>
            </w:pPr>
            <w:r>
              <w:rPr>
                <w:rFonts w:hint="eastAsia" w:ascii="宋体" w:hAnsi="宋体"/>
                <w:szCs w:val="21"/>
              </w:rPr>
              <w:t>第二章第37.1款</w:t>
            </w:r>
          </w:p>
        </w:tc>
        <w:tc>
          <w:tcPr>
            <w:tcW w:w="2121" w:type="dxa"/>
            <w:tcBorders>
              <w:top w:val="single" w:color="auto" w:sz="6" w:space="0"/>
              <w:left w:val="single" w:color="auto" w:sz="6" w:space="0"/>
              <w:bottom w:val="single" w:color="auto" w:sz="6" w:space="0"/>
              <w:right w:val="single" w:color="auto" w:sz="6" w:space="0"/>
            </w:tcBorders>
            <w:vAlign w:val="center"/>
          </w:tcPr>
          <w:p w14:paraId="649AB296">
            <w:pPr>
              <w:adjustRightInd w:val="0"/>
              <w:snapToGrid w:val="0"/>
              <w:jc w:val="center"/>
              <w:rPr>
                <w:rFonts w:ascii="宋体" w:hAnsi="宋体"/>
                <w:color w:val="auto"/>
                <w:szCs w:val="21"/>
              </w:rPr>
            </w:pPr>
            <w:r>
              <w:rPr>
                <w:rFonts w:hint="eastAsia" w:ascii="宋体" w:hAnsi="宋体"/>
                <w:color w:val="auto"/>
                <w:szCs w:val="21"/>
              </w:rPr>
              <w:t>指定公告媒体</w:t>
            </w:r>
          </w:p>
        </w:tc>
        <w:tc>
          <w:tcPr>
            <w:tcW w:w="5035" w:type="dxa"/>
            <w:tcBorders>
              <w:top w:val="single" w:color="auto" w:sz="6" w:space="0"/>
              <w:left w:val="single" w:color="auto" w:sz="6" w:space="0"/>
              <w:bottom w:val="single" w:color="auto" w:sz="6" w:space="0"/>
              <w:right w:val="double" w:color="auto" w:sz="4" w:space="0"/>
            </w:tcBorders>
            <w:vAlign w:val="center"/>
          </w:tcPr>
          <w:p w14:paraId="1EBE71EB">
            <w:pPr>
              <w:adjustRightInd w:val="0"/>
              <w:snapToGrid w:val="0"/>
              <w:jc w:val="left"/>
              <w:rPr>
                <w:rFonts w:ascii="宋体" w:hAnsi="宋体" w:cs="黑体"/>
                <w:color w:val="auto"/>
                <w:szCs w:val="21"/>
                <w:u w:val="none"/>
              </w:rPr>
            </w:pPr>
            <w:r>
              <w:rPr>
                <w:rFonts w:hint="eastAsia" w:ascii="宋体" w:hAnsi="宋体" w:cs="黑体"/>
                <w:color w:val="auto"/>
                <w:szCs w:val="21"/>
                <w:u w:val="none"/>
              </w:rPr>
              <w:t>中国政府采购网（www.ccg.gov.cn）</w:t>
            </w:r>
          </w:p>
        </w:tc>
      </w:tr>
      <w:tr w14:paraId="006532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16836C5B">
            <w:pPr>
              <w:adjustRightInd w:val="0"/>
              <w:snapToGrid w:val="0"/>
              <w:jc w:val="center"/>
              <w:rPr>
                <w:rFonts w:ascii="宋体" w:hAnsi="宋体"/>
                <w:color w:val="auto"/>
                <w:szCs w:val="21"/>
              </w:rPr>
            </w:pPr>
            <w:r>
              <w:rPr>
                <w:rFonts w:hint="eastAsia" w:ascii="宋体" w:hAnsi="宋体"/>
                <w:color w:val="auto"/>
                <w:szCs w:val="21"/>
              </w:rPr>
              <w:t>第二章第39.3款</w:t>
            </w:r>
          </w:p>
        </w:tc>
        <w:tc>
          <w:tcPr>
            <w:tcW w:w="2121" w:type="dxa"/>
            <w:tcBorders>
              <w:top w:val="single" w:color="auto" w:sz="6" w:space="0"/>
              <w:left w:val="single" w:color="auto" w:sz="6" w:space="0"/>
              <w:bottom w:val="single" w:color="auto" w:sz="6" w:space="0"/>
              <w:right w:val="single" w:color="auto" w:sz="6" w:space="0"/>
            </w:tcBorders>
            <w:vAlign w:val="center"/>
          </w:tcPr>
          <w:p w14:paraId="7EE2E6B4">
            <w:pPr>
              <w:adjustRightInd w:val="0"/>
              <w:snapToGrid w:val="0"/>
              <w:jc w:val="center"/>
              <w:rPr>
                <w:rFonts w:ascii="宋体" w:hAnsi="宋体"/>
                <w:color w:val="auto"/>
                <w:szCs w:val="21"/>
              </w:rPr>
            </w:pPr>
            <w:r>
              <w:rPr>
                <w:rFonts w:hint="eastAsia" w:ascii="宋体" w:hAnsi="宋体"/>
                <w:color w:val="auto"/>
                <w:szCs w:val="21"/>
              </w:rPr>
              <w:t>履约担保</w:t>
            </w:r>
          </w:p>
        </w:tc>
        <w:tc>
          <w:tcPr>
            <w:tcW w:w="5035" w:type="dxa"/>
            <w:tcBorders>
              <w:top w:val="single" w:color="auto" w:sz="6" w:space="0"/>
              <w:left w:val="single" w:color="auto" w:sz="6" w:space="0"/>
              <w:bottom w:val="single" w:color="auto" w:sz="6" w:space="0"/>
              <w:right w:val="double" w:color="auto" w:sz="4" w:space="0"/>
            </w:tcBorders>
            <w:vAlign w:val="center"/>
          </w:tcPr>
          <w:p w14:paraId="5938DBB1">
            <w:pPr>
              <w:bidi w:val="0"/>
              <w:rPr>
                <w:rFonts w:hint="default" w:ascii="宋体" w:hAnsi="宋体" w:eastAsiaTheme="minorEastAsia"/>
                <w:color w:val="auto"/>
                <w:szCs w:val="21"/>
                <w:lang w:val="en-US" w:eastAsia="zh-CN"/>
              </w:rPr>
            </w:pPr>
            <w:r>
              <w:rPr>
                <w:rFonts w:hint="eastAsia"/>
                <w:color w:val="auto"/>
                <w:lang w:eastAsia="zh-CN"/>
              </w:rPr>
              <w:t>☑</w:t>
            </w:r>
            <w:r>
              <w:rPr>
                <w:rFonts w:hint="eastAsia"/>
                <w:color w:val="auto"/>
              </w:rPr>
              <w:t xml:space="preserve"> </w:t>
            </w:r>
            <w:r>
              <w:rPr>
                <w:rFonts w:hint="eastAsia"/>
                <w:color w:val="auto"/>
                <w:lang w:val="en-US" w:eastAsia="zh-CN"/>
              </w:rPr>
              <w:t>不</w:t>
            </w:r>
            <w:r>
              <w:rPr>
                <w:rFonts w:hint="eastAsia"/>
                <w:color w:val="auto"/>
              </w:rPr>
              <w:t>要求提供</w:t>
            </w:r>
          </w:p>
        </w:tc>
      </w:tr>
      <w:tr w14:paraId="4A359D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7249E659">
            <w:pPr>
              <w:adjustRightInd w:val="0"/>
              <w:snapToGrid w:val="0"/>
              <w:rPr>
                <w:rFonts w:ascii="宋体" w:hAnsi="宋体"/>
                <w:b/>
                <w:color w:val="auto"/>
                <w:szCs w:val="21"/>
              </w:rPr>
            </w:pPr>
            <w:r>
              <w:rPr>
                <w:rFonts w:hint="eastAsia" w:ascii="宋体" w:hAnsi="宋体"/>
                <w:b/>
                <w:color w:val="auto"/>
                <w:szCs w:val="21"/>
              </w:rPr>
              <w:t>七、其他规定</w:t>
            </w:r>
          </w:p>
        </w:tc>
      </w:tr>
      <w:tr w14:paraId="2FD951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26"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31CF8F7B">
            <w:pPr>
              <w:adjustRightInd w:val="0"/>
              <w:snapToGrid w:val="0"/>
              <w:jc w:val="center"/>
              <w:rPr>
                <w:rFonts w:ascii="宋体" w:hAnsi="宋体"/>
                <w:szCs w:val="21"/>
              </w:rPr>
            </w:pPr>
            <w:r>
              <w:rPr>
                <w:rFonts w:hint="eastAsia" w:ascii="宋体" w:hAnsi="宋体"/>
                <w:szCs w:val="21"/>
              </w:rPr>
              <w:t>第二章第41.1款</w:t>
            </w:r>
          </w:p>
        </w:tc>
        <w:tc>
          <w:tcPr>
            <w:tcW w:w="2121" w:type="dxa"/>
            <w:tcBorders>
              <w:top w:val="single" w:color="auto" w:sz="6" w:space="0"/>
              <w:left w:val="single" w:color="auto" w:sz="6" w:space="0"/>
              <w:bottom w:val="single" w:color="auto" w:sz="6" w:space="0"/>
              <w:right w:val="single" w:color="auto" w:sz="6" w:space="0"/>
            </w:tcBorders>
            <w:vAlign w:val="center"/>
          </w:tcPr>
          <w:p w14:paraId="2BE7A32F">
            <w:pPr>
              <w:adjustRightInd w:val="0"/>
              <w:snapToGrid w:val="0"/>
              <w:jc w:val="center"/>
              <w:rPr>
                <w:rFonts w:ascii="宋体" w:hAnsi="宋体" w:cs="宋体"/>
                <w:color w:val="auto"/>
                <w:szCs w:val="21"/>
              </w:rPr>
            </w:pPr>
            <w:r>
              <w:rPr>
                <w:rFonts w:hint="eastAsia" w:ascii="宋体" w:hAnsi="宋体" w:cs="宋体"/>
                <w:color w:val="auto"/>
                <w:szCs w:val="21"/>
              </w:rPr>
              <w:t>采购代理服务费</w:t>
            </w:r>
          </w:p>
        </w:tc>
        <w:tc>
          <w:tcPr>
            <w:tcW w:w="5035" w:type="dxa"/>
            <w:tcBorders>
              <w:top w:val="single" w:color="auto" w:sz="6" w:space="0"/>
              <w:left w:val="single" w:color="auto" w:sz="6" w:space="0"/>
              <w:bottom w:val="single" w:color="auto" w:sz="6" w:space="0"/>
              <w:right w:val="double" w:color="auto" w:sz="4" w:space="0"/>
            </w:tcBorders>
            <w:vAlign w:val="center"/>
          </w:tcPr>
          <w:p w14:paraId="5D8231CA">
            <w:pPr>
              <w:adjustRightInd w:val="0"/>
              <w:snapToGrid w:val="0"/>
              <w:rPr>
                <w:rFonts w:ascii="宋体" w:hAnsi="宋体" w:cs="宋体"/>
                <w:color w:val="auto"/>
                <w:szCs w:val="21"/>
                <w:u w:val="single"/>
              </w:rPr>
            </w:pPr>
            <w:r>
              <w:rPr>
                <w:rFonts w:hint="eastAsia" w:ascii="宋体" w:hAnsi="宋体"/>
                <w:color w:val="FF0000"/>
                <w:szCs w:val="21"/>
              </w:rPr>
              <w:t>根据招标代理机构与招标人的协议，本次招标代理服务费</w:t>
            </w:r>
            <w:r>
              <w:rPr>
                <w:rFonts w:hint="eastAsia" w:ascii="宋体" w:hAnsi="宋体"/>
                <w:color w:val="FF0000"/>
                <w:szCs w:val="21"/>
                <w:lang w:val="en-US" w:eastAsia="zh-CN"/>
              </w:rPr>
              <w:t>和专家评审费</w:t>
            </w:r>
            <w:r>
              <w:rPr>
                <w:rFonts w:hint="eastAsia" w:ascii="宋体" w:hAnsi="宋体"/>
                <w:color w:val="FF0000"/>
                <w:szCs w:val="21"/>
              </w:rPr>
              <w:t>由中标人支付。招标代理服务费</w:t>
            </w:r>
            <w:r>
              <w:rPr>
                <w:rFonts w:hint="eastAsia" w:ascii="宋体" w:hAnsi="宋体"/>
                <w:color w:val="FF0000"/>
                <w:szCs w:val="21"/>
                <w:lang w:val="en-US" w:eastAsia="zh-CN"/>
              </w:rPr>
              <w:t>和专家评审费按包支付。由成交供应商分摊支付；第一包9000元，第二包9000元，第三包4000元，第四包3000元，</w:t>
            </w:r>
            <w:r>
              <w:rPr>
                <w:rFonts w:hint="eastAsia" w:ascii="宋体" w:hAnsi="宋体" w:cs="仿宋_GB2312"/>
                <w:color w:val="FF0000"/>
                <w:szCs w:val="21"/>
                <w:lang w:val="zh-CN"/>
              </w:rPr>
              <w:t>收取方式为转账或现金，在领取中标(成交)通知书时缴纳，否则，由此产生的一切法律后果和责任由中标人承担。</w:t>
            </w:r>
          </w:p>
        </w:tc>
      </w:tr>
      <w:tr w14:paraId="43176C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38C68BAC">
            <w:pPr>
              <w:adjustRightInd w:val="0"/>
              <w:snapToGrid w:val="0"/>
              <w:jc w:val="center"/>
              <w:rPr>
                <w:rFonts w:ascii="宋体" w:hAnsi="宋体"/>
                <w:szCs w:val="21"/>
              </w:rPr>
            </w:pPr>
            <w:r>
              <w:rPr>
                <w:rFonts w:hint="eastAsia" w:ascii="宋体" w:hAnsi="宋体"/>
                <w:szCs w:val="21"/>
              </w:rPr>
              <w:t>第二章第42.1款</w:t>
            </w:r>
          </w:p>
        </w:tc>
        <w:tc>
          <w:tcPr>
            <w:tcW w:w="2121" w:type="dxa"/>
            <w:tcBorders>
              <w:top w:val="single" w:color="auto" w:sz="6" w:space="0"/>
              <w:left w:val="single" w:color="auto" w:sz="6" w:space="0"/>
              <w:bottom w:val="single" w:color="auto" w:sz="6" w:space="0"/>
              <w:right w:val="single" w:color="auto" w:sz="6" w:space="0"/>
            </w:tcBorders>
            <w:vAlign w:val="center"/>
          </w:tcPr>
          <w:p w14:paraId="1608E8C5">
            <w:pPr>
              <w:adjustRightInd w:val="0"/>
              <w:snapToGrid w:val="0"/>
              <w:jc w:val="center"/>
              <w:rPr>
                <w:rFonts w:ascii="宋体" w:hAnsi="宋体" w:cs="宋体"/>
                <w:szCs w:val="21"/>
              </w:rPr>
            </w:pPr>
            <w:r>
              <w:rPr>
                <w:rFonts w:hint="eastAsia" w:ascii="宋体" w:hAnsi="宋体" w:cs="宋体"/>
                <w:szCs w:val="21"/>
              </w:rPr>
              <w:t>样品提供的规定</w:t>
            </w:r>
          </w:p>
        </w:tc>
        <w:tc>
          <w:tcPr>
            <w:tcW w:w="5035" w:type="dxa"/>
            <w:tcBorders>
              <w:top w:val="single" w:color="auto" w:sz="6" w:space="0"/>
              <w:left w:val="single" w:color="auto" w:sz="6" w:space="0"/>
              <w:bottom w:val="single" w:color="auto" w:sz="6" w:space="0"/>
              <w:right w:val="double" w:color="auto" w:sz="4" w:space="0"/>
            </w:tcBorders>
            <w:vAlign w:val="center"/>
          </w:tcPr>
          <w:p w14:paraId="7644DDB2">
            <w:pPr>
              <w:adjustRightInd w:val="0"/>
              <w:snapToGrid w:val="0"/>
              <w:rPr>
                <w:rFonts w:ascii="宋体" w:hAnsi="宋体" w:cs="宋体"/>
                <w:szCs w:val="21"/>
              </w:rPr>
            </w:pPr>
            <w:r>
              <w:rPr>
                <w:rFonts w:hint="eastAsia" w:ascii="宋体" w:hAnsi="宋体" w:cs="宋体"/>
              </w:rPr>
              <w:t>■ 不要求提供</w:t>
            </w:r>
          </w:p>
        </w:tc>
      </w:tr>
      <w:tr w14:paraId="6A1F1D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8"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44B306C">
            <w:pPr>
              <w:adjustRightInd w:val="0"/>
              <w:snapToGrid w:val="0"/>
              <w:jc w:val="center"/>
              <w:rPr>
                <w:rFonts w:ascii="宋体" w:hAnsi="宋体"/>
                <w:szCs w:val="21"/>
              </w:rPr>
            </w:pPr>
            <w:r>
              <w:rPr>
                <w:rFonts w:hint="eastAsia" w:ascii="宋体" w:hAnsi="宋体"/>
                <w:szCs w:val="21"/>
              </w:rPr>
              <w:t>第二章第42.2款</w:t>
            </w:r>
          </w:p>
        </w:tc>
        <w:tc>
          <w:tcPr>
            <w:tcW w:w="2121" w:type="dxa"/>
            <w:tcBorders>
              <w:top w:val="single" w:color="auto" w:sz="6" w:space="0"/>
              <w:left w:val="single" w:color="auto" w:sz="6" w:space="0"/>
              <w:bottom w:val="single" w:color="auto" w:sz="6" w:space="0"/>
              <w:right w:val="single" w:color="auto" w:sz="6" w:space="0"/>
            </w:tcBorders>
            <w:vAlign w:val="center"/>
          </w:tcPr>
          <w:p w14:paraId="44397570">
            <w:pPr>
              <w:jc w:val="center"/>
              <w:rPr>
                <w:rFonts w:ascii="宋体" w:hAnsi="宋体" w:cs="宋体"/>
              </w:rPr>
            </w:pPr>
            <w:r>
              <w:rPr>
                <w:rFonts w:hint="eastAsia" w:ascii="宋体" w:hAnsi="宋体" w:cs="宋体"/>
              </w:rPr>
              <w:t>供应商</w:t>
            </w:r>
          </w:p>
          <w:p w14:paraId="3015B68A">
            <w:pPr>
              <w:jc w:val="center"/>
              <w:rPr>
                <w:rFonts w:ascii="宋体" w:hAnsi="宋体" w:cs="宋体"/>
                <w:szCs w:val="21"/>
              </w:rPr>
            </w:pPr>
            <w:r>
              <w:rPr>
                <w:rFonts w:hint="eastAsia" w:ascii="宋体" w:hAnsi="宋体" w:cs="宋体"/>
              </w:rPr>
              <w:t>信用信息查询</w:t>
            </w:r>
          </w:p>
        </w:tc>
        <w:tc>
          <w:tcPr>
            <w:tcW w:w="5035" w:type="dxa"/>
            <w:tcBorders>
              <w:top w:val="single" w:color="auto" w:sz="6" w:space="0"/>
              <w:left w:val="single" w:color="auto" w:sz="6" w:space="0"/>
              <w:bottom w:val="single" w:color="auto" w:sz="6" w:space="0"/>
              <w:right w:val="double" w:color="auto" w:sz="4" w:space="0"/>
            </w:tcBorders>
            <w:vAlign w:val="center"/>
          </w:tcPr>
          <w:p w14:paraId="30C9C58D">
            <w:pPr>
              <w:rPr>
                <w:rFonts w:ascii="宋体" w:hAnsi="宋体" w:cs="宋体"/>
              </w:rPr>
            </w:pPr>
            <w:r>
              <w:rPr>
                <w:rFonts w:hint="eastAsia" w:ascii="宋体" w:hAnsi="宋体" w:cs="宋体"/>
                <w:szCs w:val="21"/>
                <w:shd w:val="clear" w:color="auto" w:fill="FFFFFF"/>
              </w:rPr>
              <w:t>1、按照《财政部关于在政府采购活动中查询及使用信用记录有关问题的通知》（财库〔2016〕125号）的要求。</w:t>
            </w:r>
            <w:r>
              <w:rPr>
                <w:rFonts w:hint="eastAsia" w:ascii="宋体" w:hAnsi="宋体" w:cs="宋体"/>
              </w:rPr>
              <w:t>采购人、采购代理机构通过信用中国网站（www.creditchina.gov.cn）和中国政府采购网（www.ccgp.gov.cn）查询相关主体信用记录，并采取网页打印方式做好信用信息查询记录和证据留存，信用信息查询记录及相关证据应当与其他磋商文件一并保存。采购人或者采购代理机构应当对供应商信用记录进行甄别，对列入失信被执行人、重大税收违法案件当事人名单、严重违法失信行为记录名单及其他不符合相关法律法规规定条件的供应商，应当拒绝其参与投标活动。</w:t>
            </w:r>
          </w:p>
          <w:p w14:paraId="3C99BCB8">
            <w:pPr>
              <w:rPr>
                <w:rFonts w:ascii="宋体" w:hAnsi="宋体" w:cs="宋体"/>
              </w:rPr>
            </w:pPr>
            <w:r>
              <w:rPr>
                <w:rFonts w:hint="eastAsia" w:ascii="宋体" w:hAnsi="宋体" w:cs="宋体"/>
              </w:rPr>
              <w:t>2、信用信息查询截止时间：投标截止时间。</w:t>
            </w:r>
          </w:p>
          <w:p w14:paraId="7A8A901E">
            <w:pPr>
              <w:adjustRightInd w:val="0"/>
              <w:snapToGrid w:val="0"/>
              <w:spacing w:beforeLines="50"/>
              <w:rPr>
                <w:rFonts w:ascii="宋体" w:hAnsi="宋体" w:cs="宋体"/>
              </w:rPr>
            </w:pPr>
            <w:r>
              <w:rPr>
                <w:rFonts w:hint="eastAsia" w:ascii="宋体" w:hAnsi="宋体" w:cs="宋体"/>
              </w:rPr>
              <w:t>3、供应商需按要求提供信用中国网站（www.creditchina.gov.cn）未被列入失信被执行人和重大税收违法案件当事人名单查询清单和中国政府采购网（www.ccgp.gov.cn）未被列入有效期的政府采购严重违法失信行为记录查询清单。</w:t>
            </w:r>
          </w:p>
        </w:tc>
      </w:tr>
      <w:tr w14:paraId="43B955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34" w:type="dxa"/>
            <w:tcBorders>
              <w:top w:val="single" w:color="auto" w:sz="6" w:space="0"/>
              <w:left w:val="double" w:color="auto" w:sz="4" w:space="0"/>
              <w:right w:val="single" w:color="auto" w:sz="6" w:space="0"/>
            </w:tcBorders>
            <w:vAlign w:val="center"/>
          </w:tcPr>
          <w:p w14:paraId="285E5629">
            <w:pPr>
              <w:adjustRightInd w:val="0"/>
              <w:snapToGrid w:val="0"/>
              <w:jc w:val="center"/>
              <w:rPr>
                <w:rFonts w:ascii="宋体" w:hAnsi="宋体"/>
                <w:szCs w:val="21"/>
              </w:rPr>
            </w:pPr>
            <w:r>
              <w:rPr>
                <w:rFonts w:hint="eastAsia" w:ascii="宋体" w:hAnsi="宋体"/>
                <w:szCs w:val="21"/>
              </w:rPr>
              <w:t>第二章第42.2款</w:t>
            </w:r>
          </w:p>
        </w:tc>
        <w:tc>
          <w:tcPr>
            <w:tcW w:w="2121" w:type="dxa"/>
            <w:tcBorders>
              <w:top w:val="single" w:color="auto" w:sz="6" w:space="0"/>
              <w:left w:val="single" w:color="auto" w:sz="6" w:space="0"/>
              <w:right w:val="single" w:color="auto" w:sz="6" w:space="0"/>
            </w:tcBorders>
            <w:vAlign w:val="center"/>
          </w:tcPr>
          <w:p w14:paraId="2043182A">
            <w:pPr>
              <w:jc w:val="center"/>
              <w:rPr>
                <w:rFonts w:hint="eastAsia" w:ascii="宋体" w:hAnsi="宋体" w:eastAsia="宋体" w:cs="Times New Roman"/>
                <w:kern w:val="2"/>
                <w:sz w:val="21"/>
                <w:szCs w:val="21"/>
                <w:lang w:val="en-US" w:eastAsia="zh-CN" w:bidi="ar-SA"/>
              </w:rPr>
            </w:pPr>
            <w:r>
              <w:rPr>
                <w:rFonts w:hint="eastAsia" w:ascii="宋体" w:hAnsi="宋体"/>
                <w:szCs w:val="21"/>
              </w:rPr>
              <w:t>其他要求</w:t>
            </w:r>
          </w:p>
        </w:tc>
        <w:tc>
          <w:tcPr>
            <w:tcW w:w="5035" w:type="dxa"/>
            <w:tcBorders>
              <w:top w:val="single" w:color="auto" w:sz="6" w:space="0"/>
              <w:left w:val="single" w:color="auto" w:sz="6" w:space="0"/>
              <w:bottom w:val="double" w:color="auto" w:sz="4" w:space="0"/>
              <w:right w:val="double" w:color="auto" w:sz="4" w:space="0"/>
            </w:tcBorders>
            <w:vAlign w:val="center"/>
          </w:tcPr>
          <w:p w14:paraId="43DFAADD">
            <w:pPr>
              <w:adjustRightInd w:val="0"/>
              <w:snapToGrid w:val="0"/>
              <w:spacing w:beforeLines="50"/>
              <w:rPr>
                <w:rFonts w:hint="eastAsia" w:ascii="宋体" w:hAnsi="宋体" w:eastAsia="宋体" w:cs="Times New Roman"/>
                <w:kern w:val="2"/>
                <w:sz w:val="21"/>
                <w:szCs w:val="21"/>
                <w:lang w:val="en-US" w:eastAsia="zh-CN" w:bidi="ar-SA"/>
              </w:rPr>
            </w:pPr>
            <w:r>
              <w:rPr>
                <w:rFonts w:hint="eastAsia" w:ascii="宋体" w:hAnsi="宋体"/>
                <w:szCs w:val="21"/>
              </w:rPr>
              <w:t>按法律、行政法规规定的规范和要求实施。</w:t>
            </w:r>
          </w:p>
        </w:tc>
      </w:tr>
    </w:tbl>
    <w:p w14:paraId="246DAA7B">
      <w:pPr>
        <w:jc w:val="center"/>
        <w:outlineLvl w:val="1"/>
        <w:rPr>
          <w:rFonts w:ascii="宋体" w:hAnsi="宋体"/>
          <w:b/>
          <w:color w:val="auto"/>
          <w:sz w:val="32"/>
          <w:szCs w:val="32"/>
        </w:rPr>
      </w:pPr>
      <w:r>
        <w:rPr>
          <w:rFonts w:hint="eastAsia" w:ascii="宋体" w:hAnsi="宋体"/>
          <w:b/>
          <w:color w:val="auto"/>
          <w:sz w:val="32"/>
          <w:szCs w:val="32"/>
        </w:rPr>
        <w:br w:type="page"/>
      </w:r>
      <w:bookmarkStart w:id="2" w:name="_Toc20996"/>
      <w:r>
        <w:rPr>
          <w:rFonts w:hint="eastAsia" w:ascii="宋体" w:hAnsi="宋体"/>
          <w:b/>
          <w:color w:val="auto"/>
          <w:sz w:val="32"/>
          <w:szCs w:val="32"/>
        </w:rPr>
        <w:t>磋商须知正文</w:t>
      </w:r>
      <w:bookmarkEnd w:id="2"/>
    </w:p>
    <w:p w14:paraId="4C3E463E">
      <w:pPr>
        <w:adjustRightInd w:val="0"/>
        <w:snapToGrid w:val="0"/>
        <w:spacing w:line="360" w:lineRule="auto"/>
        <w:outlineLvl w:val="9"/>
        <w:rPr>
          <w:rFonts w:ascii="宋体" w:hAnsi="宋体"/>
          <w:b/>
          <w:color w:val="auto"/>
          <w:sz w:val="24"/>
        </w:rPr>
      </w:pPr>
      <w:r>
        <w:rPr>
          <w:rFonts w:hint="eastAsia" w:ascii="宋体" w:hAnsi="宋体"/>
          <w:b/>
          <w:color w:val="auto"/>
          <w:sz w:val="24"/>
        </w:rPr>
        <w:t>一、说明</w:t>
      </w:r>
    </w:p>
    <w:p w14:paraId="31CC12E2">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1.适用范围</w:t>
      </w:r>
    </w:p>
    <w:p w14:paraId="5F4324C6">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1.1 本磋商文件仅适用于磋商须知前附表(以下简称</w:t>
      </w:r>
      <w:r>
        <w:rPr>
          <w:rFonts w:hint="eastAsia" w:ascii="宋体" w:hAnsi="宋体"/>
          <w:b/>
          <w:color w:val="auto"/>
          <w:szCs w:val="21"/>
        </w:rPr>
        <w:t>磋商须知前附表)</w:t>
      </w:r>
      <w:r>
        <w:rPr>
          <w:rFonts w:hint="eastAsia" w:ascii="宋体" w:hAnsi="宋体"/>
          <w:color w:val="auto"/>
          <w:szCs w:val="21"/>
        </w:rPr>
        <w:t>中所叙述的采购项目。</w:t>
      </w:r>
    </w:p>
    <w:p w14:paraId="200BEB93">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2.定义</w:t>
      </w:r>
    </w:p>
    <w:p w14:paraId="71F33569">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2.1 “采购人”是指依法进行政府采购的国家机关、事业单位、团体组织。本次政府采购的采购人名称、地址、电话、联系人见</w:t>
      </w:r>
      <w:r>
        <w:rPr>
          <w:rFonts w:hint="eastAsia" w:ascii="宋体" w:hAnsi="宋体"/>
          <w:b/>
          <w:color w:val="auto"/>
          <w:szCs w:val="21"/>
        </w:rPr>
        <w:t>磋商须知前附表</w:t>
      </w:r>
      <w:r>
        <w:rPr>
          <w:rFonts w:hint="eastAsia" w:ascii="宋体" w:hAnsi="宋体"/>
          <w:color w:val="auto"/>
          <w:szCs w:val="21"/>
        </w:rPr>
        <w:t>。</w:t>
      </w:r>
    </w:p>
    <w:p w14:paraId="17754AAC">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2.2 “采购代理机构”是指接受采购人委托，代理采购项目的集中采购机构和其他采购代理机构。本次政府采购的采购代理机构名称、地址、电话、联系人见</w:t>
      </w:r>
      <w:r>
        <w:rPr>
          <w:rFonts w:hint="eastAsia" w:ascii="宋体" w:hAnsi="宋体"/>
          <w:b/>
          <w:color w:val="auto"/>
          <w:szCs w:val="21"/>
        </w:rPr>
        <w:t>磋商须知前附表。</w:t>
      </w:r>
    </w:p>
    <w:p w14:paraId="612FF341">
      <w:pPr>
        <w:adjustRightInd w:val="0"/>
        <w:snapToGrid w:val="0"/>
        <w:spacing w:line="360" w:lineRule="auto"/>
        <w:ind w:firstLine="420" w:firstLineChars="200"/>
        <w:outlineLvl w:val="9"/>
        <w:rPr>
          <w:rFonts w:ascii="宋体" w:hAnsi="宋体" w:cs="宋体"/>
          <w:bCs/>
          <w:color w:val="auto"/>
          <w:kern w:val="36"/>
          <w:szCs w:val="21"/>
        </w:rPr>
      </w:pPr>
      <w:r>
        <w:rPr>
          <w:rFonts w:hint="eastAsia" w:ascii="宋体" w:hAnsi="宋体"/>
          <w:color w:val="auto"/>
          <w:szCs w:val="21"/>
        </w:rPr>
        <w:t>2.3 “供应商”是指响应磋商文件要求、参加竞争性磋商采购的法人、其他组织或者自然人。</w:t>
      </w:r>
    </w:p>
    <w:p w14:paraId="135BD5F0">
      <w:pPr>
        <w:adjustRightInd w:val="0"/>
        <w:snapToGrid w:val="0"/>
        <w:spacing w:line="360" w:lineRule="auto"/>
        <w:ind w:firstLine="420" w:firstLineChars="200"/>
        <w:outlineLvl w:val="9"/>
        <w:rPr>
          <w:rFonts w:ascii="宋体" w:hAnsi="宋体" w:cs="宋体"/>
          <w:color w:val="auto"/>
          <w:kern w:val="0"/>
          <w:szCs w:val="21"/>
        </w:rPr>
      </w:pPr>
      <w:r>
        <w:rPr>
          <w:rFonts w:hint="eastAsia" w:ascii="宋体" w:hAnsi="宋体"/>
          <w:color w:val="auto"/>
          <w:szCs w:val="21"/>
        </w:rPr>
        <w:t>2.4 “磋商小组”是指</w:t>
      </w:r>
      <w:r>
        <w:rPr>
          <w:rFonts w:hint="eastAsia" w:ascii="宋体" w:hAnsi="宋体" w:cs="宋体"/>
          <w:color w:val="auto"/>
          <w:kern w:val="0"/>
          <w:szCs w:val="21"/>
        </w:rPr>
        <w:t>依据《中华人民共和国政府采购法》和财政部</w:t>
      </w:r>
      <w:r>
        <w:rPr>
          <w:rFonts w:hint="eastAsia" w:ascii="宋体" w:hAnsi="宋体" w:cs="宋体"/>
          <w:bCs/>
          <w:color w:val="auto"/>
          <w:kern w:val="36"/>
          <w:szCs w:val="21"/>
        </w:rPr>
        <w:t>《政府采购非招标采购方式管理办法》有关规定组建，依法依规</w:t>
      </w:r>
      <w:r>
        <w:rPr>
          <w:rFonts w:hint="eastAsia" w:ascii="宋体" w:hAnsi="宋体" w:cs="宋体"/>
          <w:color w:val="auto"/>
          <w:kern w:val="0"/>
          <w:szCs w:val="21"/>
        </w:rPr>
        <w:t>履行其职责和义务的机构。</w:t>
      </w:r>
    </w:p>
    <w:p w14:paraId="5EEC7954">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2.5 “货物”是指各种形态和种类的物品，包括原材料、燃料、设备、产品等，详见《政府采购品目分类目录》(</w:t>
      </w:r>
      <w:r>
        <w:rPr>
          <w:rStyle w:val="53"/>
          <w:rFonts w:hint="eastAsia" w:ascii="宋体" w:hAnsi="宋体"/>
          <w:b w:val="0"/>
          <w:color w:val="auto"/>
          <w:lang w:val="en-US" w:eastAsia="zh-CN"/>
        </w:rPr>
        <w:t>2022年版</w:t>
      </w:r>
      <w:r>
        <w:rPr>
          <w:rFonts w:hint="eastAsia" w:ascii="宋体" w:hAnsi="宋体"/>
          <w:color w:val="auto"/>
          <w:szCs w:val="21"/>
        </w:rPr>
        <w:t>)。</w:t>
      </w:r>
    </w:p>
    <w:p w14:paraId="61C37C30">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2.6 “工程”是指建设工程，包括建筑物和构筑物的新建、改建、扩建、装修、拆除、修缮等，详见《政府采购品目分类目录》(</w:t>
      </w:r>
      <w:r>
        <w:rPr>
          <w:rStyle w:val="53"/>
          <w:rFonts w:hint="eastAsia" w:ascii="宋体" w:hAnsi="宋体"/>
          <w:b w:val="0"/>
          <w:color w:val="auto"/>
          <w:lang w:val="en-US" w:eastAsia="zh-CN"/>
        </w:rPr>
        <w:t>2022年版</w:t>
      </w:r>
      <w:r>
        <w:rPr>
          <w:rFonts w:hint="eastAsia" w:ascii="宋体" w:hAnsi="宋体"/>
          <w:color w:val="auto"/>
          <w:szCs w:val="21"/>
        </w:rPr>
        <w:t>)。</w:t>
      </w:r>
    </w:p>
    <w:p w14:paraId="051804A2">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2.7 “服务”是指除货物和工程以外的其他政府采购对象，详见《政府采购品目分类目录》(2022年版)。</w:t>
      </w:r>
    </w:p>
    <w:p w14:paraId="6F645EE4">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2.8 “节能产品”或者“环保产品”是指财政部发布的《</w:t>
      </w:r>
      <w:r>
        <w:rPr>
          <w:rFonts w:hint="eastAsia" w:ascii="宋体" w:hAnsi="宋体"/>
          <w:color w:val="auto"/>
          <w:szCs w:val="21"/>
          <w:lang w:eastAsia="zh-CN"/>
        </w:rPr>
        <w:t>节能产品政府采购品目清单</w:t>
      </w:r>
      <w:r>
        <w:rPr>
          <w:rFonts w:hint="eastAsia" w:ascii="宋体" w:hAnsi="宋体"/>
          <w:color w:val="auto"/>
          <w:szCs w:val="21"/>
        </w:rPr>
        <w:t>》或者《</w:t>
      </w:r>
      <w:r>
        <w:rPr>
          <w:rFonts w:hint="eastAsia" w:ascii="宋体" w:hAnsi="宋体"/>
          <w:color w:val="auto"/>
          <w:szCs w:val="21"/>
          <w:lang w:eastAsia="zh-CN"/>
        </w:rPr>
        <w:t>环境标志产品政府采购品目清单</w:t>
      </w:r>
      <w:r>
        <w:rPr>
          <w:rFonts w:hint="eastAsia" w:ascii="宋体" w:hAnsi="宋体"/>
          <w:color w:val="auto"/>
          <w:szCs w:val="21"/>
        </w:rPr>
        <w:t>》的产品。</w:t>
      </w:r>
    </w:p>
    <w:p w14:paraId="2D23AD47">
      <w:pPr>
        <w:adjustRightInd w:val="0"/>
        <w:snapToGrid w:val="0"/>
        <w:spacing w:line="360" w:lineRule="auto"/>
        <w:ind w:firstLine="420" w:firstLineChars="200"/>
        <w:outlineLvl w:val="9"/>
        <w:rPr>
          <w:rFonts w:ascii="宋体" w:hAnsi="宋体" w:cs="宋体"/>
          <w:color w:val="auto"/>
          <w:kern w:val="0"/>
          <w:szCs w:val="21"/>
        </w:rPr>
      </w:pPr>
      <w:r>
        <w:rPr>
          <w:rFonts w:hint="eastAsia" w:ascii="宋体" w:hAnsi="宋体" w:cs="宋体"/>
          <w:color w:val="auto"/>
          <w:kern w:val="0"/>
          <w:szCs w:val="21"/>
        </w:rPr>
        <w:t>2.9 “进口产品”是指通过中国海关报关验放进入中国境内且产自关境外的产品，详见《关于政府采购进口产品管理有关问题的通知》(财库[2007]119号)。</w:t>
      </w:r>
    </w:p>
    <w:p w14:paraId="3FEF265E">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3.供应商的资格要求</w:t>
      </w:r>
    </w:p>
    <w:p w14:paraId="420CB9FF">
      <w:pPr>
        <w:tabs>
          <w:tab w:val="left" w:pos="726"/>
        </w:tabs>
        <w:adjustRightInd w:val="0"/>
        <w:snapToGrid w:val="0"/>
        <w:spacing w:line="360" w:lineRule="auto"/>
        <w:ind w:firstLine="413" w:firstLineChars="196"/>
        <w:outlineLvl w:val="9"/>
        <w:rPr>
          <w:rFonts w:ascii="宋体" w:hAnsi="宋体"/>
          <w:b/>
          <w:color w:val="auto"/>
          <w:szCs w:val="21"/>
        </w:rPr>
      </w:pPr>
      <w:r>
        <w:rPr>
          <w:rFonts w:hint="eastAsia" w:ascii="宋体" w:hAnsi="宋体"/>
          <w:b/>
          <w:color w:val="auto"/>
          <w:szCs w:val="21"/>
        </w:rPr>
        <w:t xml:space="preserve">3.1供应商基本资质要求： </w:t>
      </w:r>
    </w:p>
    <w:p w14:paraId="12A16521">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3.1.1具有独立承担民事责任的能力；</w:t>
      </w:r>
    </w:p>
    <w:p w14:paraId="55E68A14">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3.1.2具有良好的商业信誉和健全的财务会计制度；</w:t>
      </w:r>
    </w:p>
    <w:p w14:paraId="6C243413">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3.1.3具有履行合同所必需的设备和专业技术能力；</w:t>
      </w:r>
    </w:p>
    <w:p w14:paraId="0140868D">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3.1.4有依法缴纳税收和社会保障资金的良好记录；</w:t>
      </w:r>
    </w:p>
    <w:p w14:paraId="7931A149">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3.1.5参加政府采购活动前三年内，在经营活动中没有重大违法记录；</w:t>
      </w:r>
    </w:p>
    <w:p w14:paraId="5857628F">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3.1.6法律、行政法规规定的其他条件。</w:t>
      </w:r>
    </w:p>
    <w:p w14:paraId="541BCD34">
      <w:pPr>
        <w:adjustRightInd w:val="0"/>
        <w:snapToGrid w:val="0"/>
        <w:spacing w:line="360" w:lineRule="auto"/>
        <w:ind w:firstLine="450"/>
        <w:rPr>
          <w:b/>
          <w:szCs w:val="21"/>
        </w:rPr>
      </w:pPr>
      <w:r>
        <w:rPr>
          <w:rFonts w:hint="eastAsia" w:ascii="宋体" w:hAnsi="宋体"/>
          <w:b/>
          <w:szCs w:val="21"/>
        </w:rPr>
        <w:t>3.2供应商特定资格要求：见磋商须知前附表</w:t>
      </w:r>
      <w:r>
        <w:rPr>
          <w:rFonts w:hint="eastAsia"/>
          <w:b/>
          <w:szCs w:val="21"/>
        </w:rPr>
        <w:t>。</w:t>
      </w:r>
    </w:p>
    <w:p w14:paraId="000B6D0B">
      <w:pPr>
        <w:adjustRightInd w:val="0"/>
        <w:snapToGrid w:val="0"/>
        <w:spacing w:line="360" w:lineRule="auto"/>
        <w:ind w:firstLine="450"/>
        <w:outlineLvl w:val="9"/>
        <w:rPr>
          <w:rFonts w:hint="eastAsia" w:eastAsia="宋体"/>
          <w:color w:val="auto"/>
          <w:szCs w:val="21"/>
          <w:lang w:eastAsia="zh-CN"/>
        </w:rPr>
      </w:pPr>
      <w:r>
        <w:rPr>
          <w:rFonts w:hint="eastAsia" w:ascii="宋体" w:hAnsi="宋体"/>
          <w:b/>
          <w:szCs w:val="21"/>
        </w:rPr>
        <w:t>3.3落实政府采购政策需满足的资格要求：见磋商须知前附表。</w:t>
      </w:r>
    </w:p>
    <w:p w14:paraId="0792C505">
      <w:pPr>
        <w:adjustRightInd w:val="0"/>
        <w:snapToGrid w:val="0"/>
        <w:spacing w:line="360" w:lineRule="auto"/>
        <w:ind w:firstLine="450"/>
        <w:outlineLvl w:val="9"/>
        <w:rPr>
          <w:rFonts w:ascii="宋体" w:hAnsi="宋体"/>
          <w:b/>
          <w:bCs/>
          <w:color w:val="auto"/>
          <w:szCs w:val="21"/>
        </w:rPr>
      </w:pPr>
      <w:r>
        <w:rPr>
          <w:rFonts w:hint="eastAsia" w:ascii="宋体" w:hAnsi="宋体"/>
          <w:b/>
          <w:bCs/>
          <w:color w:val="auto"/>
          <w:szCs w:val="21"/>
        </w:rPr>
        <w:t xml:space="preserve">4.参与竞争性磋商采购活动的费用 </w:t>
      </w:r>
    </w:p>
    <w:p w14:paraId="124117F0">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4.1 无论</w:t>
      </w:r>
      <w:r>
        <w:rPr>
          <w:rFonts w:hint="eastAsia" w:ascii="宋体" w:hAnsi="宋体"/>
          <w:bCs/>
          <w:color w:val="auto"/>
          <w:szCs w:val="21"/>
        </w:rPr>
        <w:t>竞争性磋商采购活动</w:t>
      </w:r>
      <w:r>
        <w:rPr>
          <w:rFonts w:hint="eastAsia" w:ascii="宋体" w:hAnsi="宋体"/>
          <w:color w:val="auto"/>
          <w:szCs w:val="21"/>
        </w:rPr>
        <w:t>的结果如何，供应商应自行承担所有与本次竞争性磋商采购活动有关的全部费用。</w:t>
      </w:r>
    </w:p>
    <w:p w14:paraId="60B0E4D1">
      <w:pPr>
        <w:pStyle w:val="27"/>
        <w:adjustRightInd w:val="0"/>
        <w:snapToGrid w:val="0"/>
        <w:spacing w:line="360" w:lineRule="auto"/>
        <w:outlineLvl w:val="9"/>
        <w:rPr>
          <w:rFonts w:hAnsi="宋体"/>
          <w:b/>
          <w:bCs/>
          <w:color w:val="auto"/>
        </w:rPr>
      </w:pPr>
      <w:r>
        <w:rPr>
          <w:rFonts w:hint="eastAsia" w:hAnsi="宋体"/>
          <w:b/>
          <w:color w:val="auto"/>
        </w:rPr>
        <w:t>5．</w:t>
      </w:r>
      <w:r>
        <w:rPr>
          <w:rFonts w:hint="eastAsia" w:hAnsi="宋体"/>
          <w:b/>
          <w:bCs/>
          <w:color w:val="auto"/>
        </w:rPr>
        <w:t>授权委托</w:t>
      </w:r>
    </w:p>
    <w:p w14:paraId="2DBE03A2">
      <w:pPr>
        <w:pStyle w:val="27"/>
        <w:adjustRightInd w:val="0"/>
        <w:snapToGrid w:val="0"/>
        <w:spacing w:line="360" w:lineRule="auto"/>
        <w:ind w:firstLine="420" w:firstLineChars="200"/>
        <w:outlineLvl w:val="9"/>
        <w:rPr>
          <w:rFonts w:hAnsi="宋体"/>
          <w:color w:val="auto"/>
        </w:rPr>
      </w:pPr>
      <w:r>
        <w:rPr>
          <w:rFonts w:hint="eastAsia" w:hAnsi="宋体"/>
          <w:color w:val="auto"/>
        </w:rPr>
        <w:t>5.1供应商代表为供应商法定代表人的，应持有法定代表人身份证明。供应商代表不是供应商法定代表人的，应持有法定代表人授权书，并附法定代表人身份证明。请供应商的法人代表（或授权代表）凭法人证明（或授权委托书原件）及身份证原件准时参加磋商会议，否则，其投标将被拒绝。</w:t>
      </w:r>
    </w:p>
    <w:p w14:paraId="7C52E63F">
      <w:pPr>
        <w:pStyle w:val="27"/>
        <w:adjustRightInd w:val="0"/>
        <w:snapToGrid w:val="0"/>
        <w:spacing w:line="360" w:lineRule="auto"/>
        <w:outlineLvl w:val="9"/>
        <w:rPr>
          <w:rFonts w:hAnsi="宋体"/>
          <w:b/>
          <w:color w:val="auto"/>
        </w:rPr>
      </w:pPr>
      <w:r>
        <w:rPr>
          <w:rFonts w:hint="eastAsia" w:hAnsi="宋体"/>
          <w:b/>
          <w:color w:val="auto"/>
        </w:rPr>
        <w:t>6．联合体形式</w:t>
      </w:r>
    </w:p>
    <w:p w14:paraId="4ED6D433">
      <w:pPr>
        <w:pStyle w:val="27"/>
        <w:adjustRightInd w:val="0"/>
        <w:snapToGrid w:val="0"/>
        <w:spacing w:line="360" w:lineRule="auto"/>
        <w:ind w:firstLine="420" w:firstLineChars="200"/>
        <w:outlineLvl w:val="9"/>
        <w:rPr>
          <w:rFonts w:hAnsi="宋体"/>
          <w:color w:val="auto"/>
        </w:rPr>
      </w:pPr>
      <w:r>
        <w:rPr>
          <w:rFonts w:hint="eastAsia" w:hAnsi="宋体"/>
          <w:color w:val="auto"/>
        </w:rPr>
        <w:t>6.1除</w:t>
      </w:r>
      <w:r>
        <w:rPr>
          <w:rFonts w:hint="eastAsia" w:hAnsi="宋体"/>
          <w:b/>
          <w:color w:val="auto"/>
        </w:rPr>
        <w:t>磋商须知前附表</w:t>
      </w:r>
      <w:r>
        <w:rPr>
          <w:rFonts w:hint="eastAsia" w:hAnsi="宋体"/>
          <w:color w:val="auto"/>
        </w:rPr>
        <w:t>中另有规定，本次磋商采购活动不接受为联合体形式的供应商。</w:t>
      </w:r>
    </w:p>
    <w:p w14:paraId="1C989C9E">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6.2供应商</w:t>
      </w:r>
      <w:r>
        <w:rPr>
          <w:rFonts w:hint="eastAsia" w:ascii="宋体" w:hAnsi="宋体"/>
          <w:color w:val="auto"/>
        </w:rPr>
        <w:t>为联合体形式的</w:t>
      </w:r>
      <w:r>
        <w:rPr>
          <w:rFonts w:hint="eastAsia" w:ascii="宋体" w:hAnsi="宋体"/>
          <w:color w:val="auto"/>
          <w:szCs w:val="21"/>
        </w:rPr>
        <w:t>，除应符合本章第3条规定外，还应遵守以下规定：</w:t>
      </w:r>
    </w:p>
    <w:p w14:paraId="3C2F2CC5">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（l）联合体各方必须签订联合体协议书，明确联合体牵头人和各方的义务、工作、合同工作量比例；</w:t>
      </w:r>
    </w:p>
    <w:p w14:paraId="6AD67F76">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（2）联合体各方均应当符合本章第3.1</w:t>
      </w:r>
      <w:r>
        <w:rPr>
          <w:rFonts w:hint="eastAsia" w:ascii="宋体" w:hAnsi="宋体" w:cs="宋体"/>
          <w:color w:val="auto"/>
          <w:kern w:val="0"/>
          <w:szCs w:val="21"/>
          <w:lang w:val="zh-CN"/>
        </w:rPr>
        <w:t>款</w:t>
      </w:r>
      <w:r>
        <w:rPr>
          <w:rFonts w:hint="eastAsia" w:ascii="宋体" w:hAnsi="宋体"/>
          <w:color w:val="auto"/>
          <w:szCs w:val="21"/>
        </w:rPr>
        <w:t>规定的供应商基本资格条件；</w:t>
      </w:r>
    </w:p>
    <w:p w14:paraId="2A6DA482">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（3）</w:t>
      </w:r>
      <w:r>
        <w:rPr>
          <w:rFonts w:hint="eastAsia" w:ascii="宋体" w:hAnsi="宋体"/>
          <w:color w:val="auto"/>
        </w:rPr>
        <w:t>除</w:t>
      </w:r>
      <w:r>
        <w:rPr>
          <w:rFonts w:hint="eastAsia" w:ascii="宋体" w:hAnsi="宋体"/>
          <w:b/>
          <w:color w:val="auto"/>
        </w:rPr>
        <w:t>磋商须知前附表</w:t>
      </w:r>
      <w:r>
        <w:rPr>
          <w:rFonts w:hint="eastAsia" w:ascii="宋体" w:hAnsi="宋体"/>
          <w:color w:val="auto"/>
        </w:rPr>
        <w:t>中另有规定，</w:t>
      </w:r>
      <w:r>
        <w:rPr>
          <w:rFonts w:hint="eastAsia" w:ascii="宋体" w:hAnsi="宋体"/>
          <w:color w:val="auto"/>
          <w:szCs w:val="21"/>
        </w:rPr>
        <w:t>联合体各方中至少有一方应当符合本章第3.1</w:t>
      </w:r>
      <w:r>
        <w:rPr>
          <w:rFonts w:hint="eastAsia" w:ascii="宋体" w:hAnsi="宋体" w:cs="宋体"/>
          <w:color w:val="auto"/>
          <w:kern w:val="0"/>
          <w:szCs w:val="21"/>
          <w:lang w:val="zh-CN"/>
        </w:rPr>
        <w:t>款</w:t>
      </w:r>
      <w:r>
        <w:rPr>
          <w:rFonts w:hint="eastAsia" w:ascii="宋体" w:hAnsi="宋体"/>
          <w:color w:val="auto"/>
          <w:szCs w:val="21"/>
        </w:rPr>
        <w:t>规定的供应商特定资格条件；</w:t>
      </w:r>
    </w:p>
    <w:p w14:paraId="2AAB2736">
      <w:pPr>
        <w:adjustRightInd w:val="0"/>
        <w:snapToGrid w:val="0"/>
        <w:spacing w:line="360" w:lineRule="auto"/>
        <w:ind w:firstLine="420" w:firstLineChars="200"/>
        <w:jc w:val="left"/>
        <w:outlineLvl w:val="9"/>
        <w:rPr>
          <w:rFonts w:ascii="宋体" w:hAnsi="宋体" w:cs="宋体"/>
          <w:color w:val="auto"/>
          <w:kern w:val="0"/>
          <w:szCs w:val="21"/>
          <w:lang w:val="zh-CN"/>
        </w:rPr>
      </w:pPr>
      <w:r>
        <w:rPr>
          <w:rFonts w:hint="eastAsia" w:ascii="宋体" w:hAnsi="宋体"/>
          <w:color w:val="auto"/>
          <w:szCs w:val="21"/>
        </w:rPr>
        <w:t>（4）</w:t>
      </w:r>
      <w:r>
        <w:rPr>
          <w:rFonts w:hint="eastAsia" w:ascii="宋体" w:hAnsi="宋体" w:cs="宋体"/>
          <w:color w:val="auto"/>
          <w:kern w:val="0"/>
          <w:szCs w:val="21"/>
          <w:lang w:val="zh-CN"/>
        </w:rPr>
        <w:t>联合体各方不得再单独或与其他供应商组成新的联合体参加同一项目的采购活动。</w:t>
      </w:r>
    </w:p>
    <w:p w14:paraId="15C5703F">
      <w:pPr>
        <w:adjustRightInd w:val="0"/>
        <w:snapToGrid w:val="0"/>
        <w:spacing w:line="360" w:lineRule="auto"/>
        <w:outlineLvl w:val="9"/>
        <w:rPr>
          <w:rFonts w:ascii="宋体" w:hAnsi="宋体"/>
          <w:b/>
          <w:color w:val="auto"/>
          <w:szCs w:val="21"/>
        </w:rPr>
      </w:pPr>
      <w:r>
        <w:rPr>
          <w:rFonts w:hint="eastAsia" w:ascii="宋体" w:hAnsi="宋体"/>
          <w:b/>
          <w:color w:val="auto"/>
          <w:szCs w:val="21"/>
        </w:rPr>
        <w:t>7.现场勘察</w:t>
      </w:r>
    </w:p>
    <w:p w14:paraId="22E0015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7.1供应商应按</w:t>
      </w:r>
      <w:r>
        <w:rPr>
          <w:rFonts w:hint="eastAsia" w:ascii="宋体" w:hAnsi="宋体"/>
          <w:b/>
          <w:color w:val="auto"/>
        </w:rPr>
        <w:t>磋商须知前附表</w:t>
      </w:r>
      <w:r>
        <w:rPr>
          <w:rFonts w:hint="eastAsia" w:ascii="宋体" w:hAnsi="宋体"/>
          <w:color w:val="auto"/>
        </w:rPr>
        <w:t>中规定</w:t>
      </w:r>
      <w:r>
        <w:rPr>
          <w:rFonts w:hint="eastAsia" w:ascii="宋体" w:hAnsi="宋体"/>
          <w:color w:val="auto"/>
          <w:szCs w:val="21"/>
        </w:rPr>
        <w:t>对采购项目现场和周围环境的现场考察。</w:t>
      </w:r>
    </w:p>
    <w:p w14:paraId="47317EA4">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7.2勘察现场的费用由供应商自己承担，勘察期间所发生的人身伤害及财产损失由供应商自己负责。</w:t>
      </w:r>
    </w:p>
    <w:p w14:paraId="7FA23E21">
      <w:pPr>
        <w:adjustRightInd w:val="0"/>
        <w:snapToGrid w:val="0"/>
        <w:spacing w:line="360" w:lineRule="auto"/>
        <w:ind w:firstLine="420" w:firstLineChars="200"/>
        <w:jc w:val="left"/>
        <w:outlineLvl w:val="9"/>
        <w:rPr>
          <w:rFonts w:ascii="宋体" w:hAnsi="宋体"/>
          <w:b/>
          <w:color w:val="auto"/>
          <w:szCs w:val="21"/>
        </w:rPr>
      </w:pPr>
      <w:r>
        <w:rPr>
          <w:rFonts w:hint="eastAsia" w:ascii="宋体" w:hAnsi="宋体"/>
          <w:color w:val="auto"/>
          <w:szCs w:val="21"/>
        </w:rPr>
        <w:t>7.3采购人不对供应商据此而做出的推论、理解和结论负责。一旦成交，供应商不得以任何借口，提出额外补偿，或延长合同期限的要求。</w:t>
      </w:r>
    </w:p>
    <w:p w14:paraId="1D117BEF">
      <w:pPr>
        <w:adjustRightInd w:val="0"/>
        <w:snapToGrid w:val="0"/>
        <w:spacing w:line="360" w:lineRule="auto"/>
        <w:jc w:val="left"/>
        <w:outlineLvl w:val="9"/>
        <w:rPr>
          <w:rFonts w:ascii="宋体" w:hAnsi="宋体"/>
          <w:b/>
          <w:color w:val="auto"/>
          <w:szCs w:val="21"/>
        </w:rPr>
      </w:pPr>
      <w:r>
        <w:rPr>
          <w:rFonts w:hint="eastAsia" w:ascii="宋体" w:hAnsi="宋体"/>
          <w:b/>
          <w:color w:val="auto"/>
          <w:szCs w:val="21"/>
        </w:rPr>
        <w:t>8.采购进口产品</w:t>
      </w:r>
    </w:p>
    <w:p w14:paraId="31E2FBA8">
      <w:pPr>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olor w:val="auto"/>
          <w:szCs w:val="21"/>
        </w:rPr>
        <w:t>8.1除</w:t>
      </w:r>
      <w:r>
        <w:rPr>
          <w:rFonts w:hint="eastAsia" w:ascii="宋体" w:hAnsi="宋体"/>
          <w:b/>
          <w:color w:val="auto"/>
          <w:szCs w:val="21"/>
        </w:rPr>
        <w:t>磋商文件前附表</w:t>
      </w:r>
      <w:r>
        <w:rPr>
          <w:rFonts w:hint="eastAsia" w:ascii="宋体" w:hAnsi="宋体"/>
          <w:color w:val="auto"/>
          <w:szCs w:val="21"/>
        </w:rPr>
        <w:t>另有规定外，本项目</w:t>
      </w:r>
      <w:r>
        <w:rPr>
          <w:rFonts w:hint="eastAsia" w:ascii="宋体" w:hAnsi="宋体" w:cs="宋体"/>
          <w:color w:val="auto"/>
          <w:kern w:val="0"/>
          <w:szCs w:val="21"/>
        </w:rPr>
        <w:t>拒绝进口产品参加</w:t>
      </w:r>
      <w:r>
        <w:rPr>
          <w:rFonts w:hint="eastAsia" w:ascii="宋体" w:hAnsi="宋体"/>
          <w:color w:val="auto"/>
          <w:szCs w:val="21"/>
        </w:rPr>
        <w:t>竞争性磋商采购活动</w:t>
      </w:r>
      <w:r>
        <w:rPr>
          <w:rFonts w:hint="eastAsia" w:ascii="宋体" w:hAnsi="宋体" w:cs="宋体"/>
          <w:color w:val="auto"/>
          <w:kern w:val="0"/>
          <w:szCs w:val="21"/>
        </w:rPr>
        <w:t>。</w:t>
      </w:r>
    </w:p>
    <w:p w14:paraId="3AFFB533">
      <w:pPr>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8.2</w:t>
      </w:r>
      <w:r>
        <w:rPr>
          <w:rFonts w:hint="eastAsia" w:ascii="宋体" w:hAnsi="宋体"/>
          <w:color w:val="auto"/>
          <w:szCs w:val="21"/>
        </w:rPr>
        <w:t>本章第8.1</w:t>
      </w:r>
      <w:r>
        <w:rPr>
          <w:rFonts w:hint="eastAsia" w:ascii="宋体" w:hAnsi="宋体" w:cs="宋体"/>
          <w:color w:val="auto"/>
          <w:kern w:val="0"/>
          <w:szCs w:val="21"/>
          <w:lang w:val="zh-CN"/>
        </w:rPr>
        <w:t>款</w:t>
      </w:r>
      <w:r>
        <w:rPr>
          <w:rFonts w:hint="eastAsia" w:ascii="宋体" w:hAnsi="宋体"/>
          <w:color w:val="auto"/>
          <w:szCs w:val="21"/>
        </w:rPr>
        <w:t>规定</w:t>
      </w:r>
      <w:r>
        <w:rPr>
          <w:rFonts w:hint="eastAsia" w:ascii="宋体" w:hAnsi="宋体" w:cs="宋体"/>
          <w:color w:val="auto"/>
          <w:kern w:val="0"/>
          <w:szCs w:val="21"/>
        </w:rPr>
        <w:t>同意购买进口产品的，</w:t>
      </w:r>
      <w:r>
        <w:rPr>
          <w:rFonts w:hint="eastAsia" w:ascii="宋体" w:hAnsi="宋体"/>
          <w:color w:val="auto"/>
          <w:szCs w:val="21"/>
        </w:rPr>
        <w:t>本项目</w:t>
      </w:r>
      <w:r>
        <w:rPr>
          <w:rFonts w:hint="eastAsia" w:ascii="宋体" w:hAnsi="宋体" w:cs="宋体"/>
          <w:color w:val="auto"/>
          <w:kern w:val="0"/>
          <w:szCs w:val="21"/>
          <w:lang w:val="zh-CN"/>
        </w:rPr>
        <w:t>采购活动</w:t>
      </w:r>
      <w:r>
        <w:rPr>
          <w:rFonts w:hint="eastAsia" w:ascii="宋体" w:hAnsi="宋体" w:cs="宋体"/>
          <w:color w:val="auto"/>
          <w:kern w:val="0"/>
          <w:szCs w:val="21"/>
        </w:rPr>
        <w:t>不限制满足</w:t>
      </w:r>
      <w:r>
        <w:rPr>
          <w:rFonts w:hint="eastAsia" w:ascii="宋体" w:hAnsi="宋体"/>
          <w:color w:val="auto"/>
          <w:szCs w:val="21"/>
        </w:rPr>
        <w:t>磋商文件要求</w:t>
      </w:r>
      <w:r>
        <w:rPr>
          <w:rFonts w:hint="eastAsia" w:ascii="宋体" w:hAnsi="宋体" w:cs="宋体"/>
          <w:color w:val="auto"/>
          <w:kern w:val="0"/>
          <w:szCs w:val="21"/>
        </w:rPr>
        <w:t>的国内产品参与</w:t>
      </w:r>
      <w:r>
        <w:rPr>
          <w:rFonts w:hint="eastAsia" w:ascii="宋体" w:hAnsi="宋体"/>
          <w:color w:val="auto"/>
          <w:szCs w:val="21"/>
        </w:rPr>
        <w:t>竞争性磋商采购活动</w:t>
      </w:r>
      <w:r>
        <w:rPr>
          <w:rFonts w:hint="eastAsia" w:ascii="宋体" w:hAnsi="宋体" w:cs="宋体"/>
          <w:color w:val="auto"/>
          <w:kern w:val="0"/>
          <w:szCs w:val="21"/>
        </w:rPr>
        <w:t>。</w:t>
      </w:r>
    </w:p>
    <w:p w14:paraId="268F6E80">
      <w:pPr>
        <w:adjustRightInd w:val="0"/>
        <w:snapToGrid w:val="0"/>
        <w:spacing w:line="360" w:lineRule="auto"/>
        <w:jc w:val="left"/>
        <w:outlineLvl w:val="9"/>
        <w:rPr>
          <w:rFonts w:ascii="宋体" w:hAnsi="宋体"/>
          <w:b/>
          <w:color w:val="auto"/>
          <w:szCs w:val="21"/>
        </w:rPr>
      </w:pPr>
      <w:r>
        <w:rPr>
          <w:rFonts w:hint="eastAsia" w:ascii="宋体" w:hAnsi="宋体"/>
          <w:b/>
          <w:bCs/>
          <w:color w:val="auto"/>
          <w:szCs w:val="21"/>
        </w:rPr>
        <w:t>9.</w:t>
      </w:r>
      <w:r>
        <w:rPr>
          <w:rFonts w:hint="eastAsia" w:ascii="宋体" w:hAnsi="宋体"/>
          <w:b/>
          <w:color w:val="auto"/>
          <w:szCs w:val="21"/>
        </w:rPr>
        <w:t xml:space="preserve"> 政府采购政策支持</w:t>
      </w:r>
    </w:p>
    <w:p w14:paraId="429967E3">
      <w:pPr>
        <w:pStyle w:val="27"/>
        <w:adjustRightInd w:val="0"/>
        <w:snapToGrid w:val="0"/>
        <w:spacing w:line="360" w:lineRule="auto"/>
        <w:ind w:firstLine="420" w:firstLineChars="200"/>
        <w:outlineLvl w:val="9"/>
        <w:rPr>
          <w:rFonts w:hAnsi="宋体"/>
          <w:color w:val="auto"/>
        </w:rPr>
      </w:pPr>
      <w:r>
        <w:rPr>
          <w:rFonts w:hint="eastAsia" w:hAnsi="宋体"/>
          <w:color w:val="auto"/>
        </w:rPr>
        <w:t>9.1产品符合政府采购强制采购政策的，实行强制采购；符合政府采购优先采购政策的，产品只能享受节能产品、环境标志产品等产品优惠中的一项(由供应商在报价文件中选择并填报政策功能编码，评审时进行</w:t>
      </w:r>
      <w:r>
        <w:rPr>
          <w:rFonts w:hint="eastAsia" w:hAnsi="宋体" w:cs="宋体"/>
          <w:color w:val="auto"/>
          <w:kern w:val="0"/>
        </w:rPr>
        <w:t>价格扣除</w:t>
      </w:r>
      <w:r>
        <w:rPr>
          <w:rFonts w:hint="eastAsia" w:hAnsi="宋体"/>
          <w:color w:val="auto"/>
        </w:rPr>
        <w:t>)；供应商享受</w:t>
      </w:r>
      <w:r>
        <w:rPr>
          <w:rFonts w:hint="eastAsia" w:hAnsi="宋体" w:cs="宋体"/>
          <w:bCs/>
          <w:color w:val="auto"/>
          <w:kern w:val="0"/>
        </w:rPr>
        <w:t>支持</w:t>
      </w:r>
      <w:r>
        <w:rPr>
          <w:rFonts w:hint="eastAsia" w:hAnsi="宋体"/>
          <w:color w:val="auto"/>
        </w:rPr>
        <w:t>中小企业发展政策优惠的，可以与同时享受节能产品、环境标志产品等产品优惠中的一项累加扣除。省级以上财政部门关于政府采购强制采购、优先采购的政策规定可在本章第36.1</w:t>
      </w:r>
      <w:r>
        <w:rPr>
          <w:rFonts w:hint="eastAsia" w:hAnsi="宋体" w:cs="宋体"/>
          <w:color w:val="auto"/>
          <w:kern w:val="0"/>
          <w:lang w:val="zh-CN"/>
        </w:rPr>
        <w:t>款</w:t>
      </w:r>
      <w:r>
        <w:rPr>
          <w:rFonts w:hint="eastAsia" w:hAnsi="宋体"/>
          <w:color w:val="auto"/>
        </w:rPr>
        <w:t>指定的媒体和中国政府采购网(www.ccgp.gov.cn)查询。本项目价格扣除比例见</w:t>
      </w:r>
      <w:r>
        <w:rPr>
          <w:rFonts w:hint="eastAsia" w:hAnsi="宋体"/>
          <w:b/>
          <w:color w:val="auto"/>
        </w:rPr>
        <w:t>磋商须知前附表</w:t>
      </w:r>
      <w:r>
        <w:rPr>
          <w:rFonts w:hint="eastAsia" w:hAnsi="宋体"/>
          <w:color w:val="auto"/>
        </w:rPr>
        <w:t>。</w:t>
      </w:r>
    </w:p>
    <w:p w14:paraId="10A1CA0A">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9.2同一项目中部分产品属于优先采购政策的，评审时只对该部分产品的报价实行价格扣除。</w:t>
      </w:r>
    </w:p>
    <w:p w14:paraId="631610F3">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9.3为</w:t>
      </w:r>
      <w:r>
        <w:rPr>
          <w:rFonts w:hint="eastAsia" w:ascii="宋体" w:hAnsi="宋体" w:cs="宋体"/>
          <w:color w:val="auto"/>
          <w:szCs w:val="21"/>
        </w:rPr>
        <w:t>推进政府采购诚信体系建设，</w:t>
      </w:r>
      <w:r>
        <w:rPr>
          <w:rFonts w:hint="eastAsia" w:ascii="宋体" w:hAnsi="宋体"/>
          <w:color w:val="auto"/>
          <w:szCs w:val="21"/>
        </w:rPr>
        <w:t>供应商在签署相关承诺，提供相关信息前，应认真阅读省级以上财政部门相关政策规定。符合本章第9.1</w:t>
      </w:r>
      <w:r>
        <w:rPr>
          <w:rFonts w:hint="eastAsia" w:ascii="宋体" w:hAnsi="宋体" w:cs="宋体"/>
          <w:color w:val="auto"/>
          <w:kern w:val="0"/>
          <w:szCs w:val="21"/>
          <w:lang w:val="zh-CN"/>
        </w:rPr>
        <w:t>款、</w:t>
      </w:r>
      <w:r>
        <w:rPr>
          <w:rFonts w:hint="eastAsia" w:ascii="宋体" w:hAnsi="宋体"/>
          <w:color w:val="auto"/>
          <w:szCs w:val="21"/>
        </w:rPr>
        <w:t>第9.2</w:t>
      </w:r>
      <w:r>
        <w:rPr>
          <w:rFonts w:hint="eastAsia" w:ascii="宋体" w:hAnsi="宋体" w:cs="宋体"/>
          <w:color w:val="auto"/>
          <w:kern w:val="0"/>
          <w:szCs w:val="21"/>
          <w:lang w:val="zh-CN"/>
        </w:rPr>
        <w:t>款</w:t>
      </w:r>
      <w:r>
        <w:rPr>
          <w:rFonts w:hint="eastAsia" w:ascii="宋体" w:hAnsi="宋体"/>
          <w:color w:val="auto"/>
          <w:szCs w:val="21"/>
        </w:rPr>
        <w:t>规定的，应提供相关证明材料。否则，在评审时不予以扣除。</w:t>
      </w:r>
    </w:p>
    <w:p w14:paraId="7343BB2B">
      <w:pPr>
        <w:pStyle w:val="27"/>
        <w:adjustRightInd w:val="0"/>
        <w:snapToGrid w:val="0"/>
        <w:spacing w:beforeLines="50" w:line="360" w:lineRule="auto"/>
        <w:outlineLvl w:val="9"/>
        <w:rPr>
          <w:rFonts w:hAnsi="宋体"/>
          <w:b/>
          <w:color w:val="auto"/>
        </w:rPr>
      </w:pPr>
      <w:r>
        <w:rPr>
          <w:rFonts w:hint="eastAsia" w:hAnsi="宋体"/>
          <w:b/>
          <w:color w:val="auto"/>
        </w:rPr>
        <w:t>10. 偏离</w:t>
      </w:r>
    </w:p>
    <w:p w14:paraId="2644E627">
      <w:pPr>
        <w:pStyle w:val="45"/>
        <w:adjustRightInd w:val="0"/>
        <w:snapToGrid w:val="0"/>
        <w:spacing w:before="0" w:beforeAutospacing="0" w:after="0" w:afterAutospacing="0" w:line="360" w:lineRule="auto"/>
        <w:ind w:right="97" w:rightChars="46" w:firstLine="420" w:firstLineChars="200"/>
        <w:jc w:val="both"/>
        <w:outlineLvl w:val="9"/>
        <w:rPr>
          <w:color w:val="auto"/>
          <w:sz w:val="21"/>
          <w:szCs w:val="21"/>
        </w:rPr>
      </w:pPr>
      <w:r>
        <w:rPr>
          <w:rFonts w:hint="eastAsia"/>
          <w:bCs/>
          <w:color w:val="auto"/>
          <w:sz w:val="21"/>
          <w:szCs w:val="21"/>
        </w:rPr>
        <w:t>10.1本条所称</w:t>
      </w:r>
      <w:r>
        <w:rPr>
          <w:rFonts w:hint="eastAsia"/>
          <w:color w:val="auto"/>
          <w:sz w:val="21"/>
          <w:szCs w:val="21"/>
        </w:rPr>
        <w:t>偏离为响应</w:t>
      </w:r>
      <w:r>
        <w:rPr>
          <w:rFonts w:hint="eastAsia"/>
          <w:bCs/>
          <w:color w:val="auto"/>
          <w:sz w:val="21"/>
          <w:szCs w:val="21"/>
        </w:rPr>
        <w:t>文件</w:t>
      </w:r>
      <w:r>
        <w:rPr>
          <w:rFonts w:hint="eastAsia"/>
          <w:color w:val="auto"/>
          <w:sz w:val="21"/>
          <w:szCs w:val="21"/>
        </w:rPr>
        <w:t>对</w:t>
      </w:r>
      <w:r>
        <w:rPr>
          <w:rFonts w:hint="eastAsia"/>
          <w:bCs/>
          <w:color w:val="auto"/>
          <w:sz w:val="21"/>
          <w:szCs w:val="21"/>
        </w:rPr>
        <w:t>磋商文件</w:t>
      </w:r>
      <w:r>
        <w:rPr>
          <w:rFonts w:hint="eastAsia"/>
          <w:color w:val="auto"/>
          <w:sz w:val="21"/>
          <w:szCs w:val="21"/>
        </w:rPr>
        <w:t>的偏离，即不满足、或不响应</w:t>
      </w:r>
      <w:r>
        <w:rPr>
          <w:rFonts w:hint="eastAsia"/>
          <w:bCs/>
          <w:color w:val="auto"/>
          <w:sz w:val="21"/>
          <w:szCs w:val="21"/>
        </w:rPr>
        <w:t>磋商文件</w:t>
      </w:r>
      <w:r>
        <w:rPr>
          <w:rFonts w:hint="eastAsia"/>
          <w:color w:val="auto"/>
          <w:sz w:val="21"/>
          <w:szCs w:val="21"/>
        </w:rPr>
        <w:t>的要求。偏离分为对</w:t>
      </w:r>
      <w:r>
        <w:rPr>
          <w:rFonts w:hint="eastAsia"/>
          <w:bCs/>
          <w:color w:val="auto"/>
          <w:sz w:val="21"/>
          <w:szCs w:val="21"/>
        </w:rPr>
        <w:t>磋商文件</w:t>
      </w:r>
      <w:r>
        <w:rPr>
          <w:rFonts w:hint="eastAsia"/>
          <w:color w:val="auto"/>
          <w:sz w:val="21"/>
          <w:szCs w:val="21"/>
        </w:rPr>
        <w:t>的实质性要求条款偏离和对</w:t>
      </w:r>
      <w:r>
        <w:rPr>
          <w:rFonts w:hint="eastAsia"/>
          <w:bCs/>
          <w:color w:val="auto"/>
          <w:sz w:val="21"/>
          <w:szCs w:val="21"/>
        </w:rPr>
        <w:t>磋商文件</w:t>
      </w:r>
      <w:r>
        <w:rPr>
          <w:rFonts w:hint="eastAsia"/>
          <w:color w:val="auto"/>
          <w:sz w:val="21"/>
          <w:szCs w:val="21"/>
        </w:rPr>
        <w:t>的一般商务和技术条款（参数）偏离。</w:t>
      </w:r>
    </w:p>
    <w:p w14:paraId="7DAAD30C">
      <w:pPr>
        <w:tabs>
          <w:tab w:val="left" w:pos="0"/>
        </w:tabs>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10.2</w:t>
      </w:r>
      <w:r>
        <w:rPr>
          <w:rFonts w:hint="eastAsia" w:ascii="宋体" w:hAnsi="宋体"/>
          <w:bCs/>
          <w:color w:val="auto"/>
          <w:szCs w:val="21"/>
        </w:rPr>
        <w:t>除法律、法规和规章规定外，磋商文件</w:t>
      </w:r>
      <w:r>
        <w:rPr>
          <w:rFonts w:hint="eastAsia" w:ascii="宋体" w:hAnsi="宋体"/>
          <w:color w:val="auto"/>
          <w:szCs w:val="21"/>
        </w:rPr>
        <w:t>中用“拒绝”、“不接受”、“无效”、“不得”等文字规定或标注“★”符号的条款为实质性要求条款（即重要条款），对其中任何一条的偏离(即不满足、或不响应)，在评审时将其视为无效响应。未用上述文字规定或符号标注的条款为非实质性要求条款(即一般条款)。</w:t>
      </w:r>
    </w:p>
    <w:p w14:paraId="5CB92D78">
      <w:pPr>
        <w:tabs>
          <w:tab w:val="left" w:pos="0"/>
        </w:tabs>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10.3一般商务和技术条款（参数），偏离项数之和超过</w:t>
      </w:r>
      <w:r>
        <w:rPr>
          <w:rFonts w:hint="eastAsia" w:hAnsi="宋体"/>
          <w:b/>
          <w:color w:val="auto"/>
        </w:rPr>
        <w:t>磋商须知前附表</w:t>
      </w:r>
      <w:r>
        <w:rPr>
          <w:rFonts w:hint="eastAsia" w:hAnsi="宋体"/>
          <w:bCs/>
          <w:color w:val="auto"/>
        </w:rPr>
        <w:t>规定</w:t>
      </w:r>
      <w:r>
        <w:rPr>
          <w:rFonts w:hint="eastAsia" w:ascii="宋体" w:hAnsi="宋体"/>
          <w:color w:val="auto"/>
          <w:szCs w:val="21"/>
        </w:rPr>
        <w:t>将导致无效响应。</w:t>
      </w:r>
    </w:p>
    <w:p w14:paraId="4BF8ABC1">
      <w:pPr>
        <w:adjustRightInd w:val="0"/>
        <w:snapToGrid w:val="0"/>
        <w:spacing w:line="360" w:lineRule="auto"/>
        <w:ind w:left="906" w:hanging="906" w:hangingChars="376"/>
        <w:outlineLvl w:val="9"/>
        <w:rPr>
          <w:rFonts w:ascii="宋体" w:hAnsi="宋体"/>
          <w:b/>
          <w:color w:val="auto"/>
          <w:sz w:val="24"/>
        </w:rPr>
      </w:pPr>
      <w:r>
        <w:rPr>
          <w:rFonts w:hint="eastAsia" w:ascii="宋体" w:hAnsi="宋体"/>
          <w:b/>
          <w:color w:val="auto"/>
          <w:sz w:val="24"/>
        </w:rPr>
        <w:t>二、磋商文件</w:t>
      </w:r>
    </w:p>
    <w:p w14:paraId="7A2212FE">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11．磋商文件的组成</w:t>
      </w:r>
    </w:p>
    <w:p w14:paraId="7BE7EB0A">
      <w:pPr>
        <w:pStyle w:val="27"/>
        <w:adjustRightInd w:val="0"/>
        <w:snapToGrid w:val="0"/>
        <w:spacing w:line="360" w:lineRule="auto"/>
        <w:ind w:firstLine="420" w:firstLineChars="200"/>
        <w:outlineLvl w:val="9"/>
        <w:rPr>
          <w:rFonts w:hAnsi="宋体"/>
          <w:color w:val="auto"/>
        </w:rPr>
      </w:pPr>
      <w:r>
        <w:rPr>
          <w:rFonts w:hint="eastAsia" w:hAnsi="宋体"/>
          <w:color w:val="auto"/>
        </w:rPr>
        <w:t>11.1 磋商文件由下列文件组成：</w:t>
      </w:r>
    </w:p>
    <w:p w14:paraId="33398860">
      <w:pPr>
        <w:pStyle w:val="27"/>
        <w:adjustRightInd w:val="0"/>
        <w:snapToGrid w:val="0"/>
        <w:spacing w:line="360" w:lineRule="auto"/>
        <w:ind w:firstLine="420" w:firstLineChars="200"/>
        <w:outlineLvl w:val="9"/>
        <w:rPr>
          <w:rFonts w:hAnsi="宋体"/>
          <w:color w:val="auto"/>
        </w:rPr>
      </w:pPr>
      <w:r>
        <w:rPr>
          <w:rFonts w:hint="eastAsia" w:hAnsi="宋体"/>
          <w:color w:val="auto"/>
        </w:rPr>
        <w:t>第一章 磋商通知</w:t>
      </w:r>
    </w:p>
    <w:p w14:paraId="646B0D5E">
      <w:pPr>
        <w:pStyle w:val="27"/>
        <w:adjustRightInd w:val="0"/>
        <w:snapToGrid w:val="0"/>
        <w:spacing w:line="360" w:lineRule="auto"/>
        <w:ind w:firstLine="420" w:firstLineChars="200"/>
        <w:outlineLvl w:val="9"/>
        <w:rPr>
          <w:rFonts w:hAnsi="宋体"/>
          <w:color w:val="auto"/>
        </w:rPr>
      </w:pPr>
      <w:r>
        <w:rPr>
          <w:rFonts w:hint="eastAsia" w:hAnsi="宋体"/>
          <w:color w:val="auto"/>
        </w:rPr>
        <w:t>第二章 磋商须知</w:t>
      </w:r>
    </w:p>
    <w:p w14:paraId="542F751C">
      <w:pPr>
        <w:pStyle w:val="27"/>
        <w:adjustRightInd w:val="0"/>
        <w:snapToGrid w:val="0"/>
        <w:spacing w:line="360" w:lineRule="auto"/>
        <w:ind w:firstLine="420" w:firstLineChars="200"/>
        <w:outlineLvl w:val="9"/>
        <w:rPr>
          <w:rFonts w:hAnsi="宋体"/>
          <w:color w:val="auto"/>
        </w:rPr>
      </w:pPr>
      <w:r>
        <w:rPr>
          <w:rFonts w:hint="eastAsia" w:hAnsi="宋体"/>
          <w:color w:val="auto"/>
        </w:rPr>
        <w:t>第三章 磋商办法</w:t>
      </w:r>
    </w:p>
    <w:p w14:paraId="5017946E">
      <w:pPr>
        <w:pStyle w:val="27"/>
        <w:adjustRightInd w:val="0"/>
        <w:snapToGrid w:val="0"/>
        <w:spacing w:line="360" w:lineRule="auto"/>
        <w:ind w:firstLine="420" w:firstLineChars="200"/>
        <w:outlineLvl w:val="9"/>
        <w:rPr>
          <w:rFonts w:hAnsi="宋体"/>
          <w:color w:val="auto"/>
        </w:rPr>
      </w:pPr>
      <w:r>
        <w:rPr>
          <w:rFonts w:hint="eastAsia" w:hAnsi="宋体"/>
          <w:color w:val="auto"/>
        </w:rPr>
        <w:t xml:space="preserve">第四章 </w:t>
      </w:r>
      <w:r>
        <w:rPr>
          <w:rFonts w:hint="eastAsia" w:hAnsi="宋体"/>
          <w:color w:val="auto"/>
          <w:lang w:eastAsia="zh-CN"/>
        </w:rPr>
        <w:t>采购合同格式</w:t>
      </w:r>
      <w:r>
        <w:rPr>
          <w:rFonts w:hint="eastAsia" w:hAnsi="宋体"/>
          <w:color w:val="auto"/>
        </w:rPr>
        <w:t>条款</w:t>
      </w:r>
    </w:p>
    <w:p w14:paraId="4B99240B">
      <w:pPr>
        <w:pStyle w:val="27"/>
        <w:adjustRightInd w:val="0"/>
        <w:snapToGrid w:val="0"/>
        <w:spacing w:line="360" w:lineRule="auto"/>
        <w:ind w:firstLine="420" w:firstLineChars="200"/>
        <w:outlineLvl w:val="9"/>
        <w:rPr>
          <w:rFonts w:hAnsi="宋体"/>
          <w:color w:val="auto"/>
        </w:rPr>
      </w:pPr>
      <w:r>
        <w:rPr>
          <w:rFonts w:hint="eastAsia" w:hAnsi="宋体"/>
          <w:color w:val="auto"/>
        </w:rPr>
        <w:t>第五章 采购需求</w:t>
      </w:r>
    </w:p>
    <w:p w14:paraId="535C6FB6">
      <w:pPr>
        <w:pStyle w:val="27"/>
        <w:adjustRightInd w:val="0"/>
        <w:snapToGrid w:val="0"/>
        <w:spacing w:line="360" w:lineRule="auto"/>
        <w:ind w:firstLine="420" w:firstLineChars="200"/>
        <w:outlineLvl w:val="9"/>
        <w:rPr>
          <w:rFonts w:hAnsi="宋体"/>
          <w:color w:val="auto"/>
        </w:rPr>
      </w:pPr>
      <w:r>
        <w:rPr>
          <w:rFonts w:hint="eastAsia" w:hAnsi="宋体"/>
          <w:color w:val="auto"/>
        </w:rPr>
        <w:t>第六章 响应文件组成</w:t>
      </w:r>
    </w:p>
    <w:p w14:paraId="79668D3B">
      <w:pPr>
        <w:pStyle w:val="27"/>
        <w:adjustRightInd w:val="0"/>
        <w:snapToGrid w:val="0"/>
        <w:spacing w:line="360" w:lineRule="auto"/>
        <w:ind w:firstLine="420" w:firstLineChars="200"/>
        <w:outlineLvl w:val="9"/>
        <w:rPr>
          <w:rFonts w:hAnsi="宋体"/>
          <w:color w:val="auto"/>
        </w:rPr>
      </w:pPr>
      <w:r>
        <w:rPr>
          <w:rFonts w:hint="eastAsia" w:hAnsi="宋体"/>
          <w:color w:val="auto"/>
        </w:rPr>
        <w:t>11.2</w:t>
      </w:r>
      <w:r>
        <w:rPr>
          <w:rFonts w:hint="eastAsia" w:hAnsi="宋体"/>
          <w:bCs/>
          <w:color w:val="auto"/>
        </w:rPr>
        <w:t>本章第12.1</w:t>
      </w:r>
      <w:r>
        <w:rPr>
          <w:rFonts w:hint="eastAsia" w:hAnsi="宋体" w:cs="宋体"/>
          <w:color w:val="auto"/>
          <w:kern w:val="0"/>
          <w:lang w:val="zh-CN"/>
        </w:rPr>
        <w:t>款</w:t>
      </w:r>
      <w:r>
        <w:rPr>
          <w:rFonts w:hint="eastAsia" w:hAnsi="宋体"/>
          <w:bCs/>
          <w:color w:val="auto"/>
        </w:rPr>
        <w:t>规定的</w:t>
      </w:r>
      <w:r>
        <w:rPr>
          <w:rFonts w:hint="eastAsia" w:hAnsi="宋体" w:cs="宋体"/>
          <w:color w:val="auto"/>
          <w:kern w:val="0"/>
        </w:rPr>
        <w:t>提交首次响应文件截止时间前对磋商文件澄清或者修改内容，为磋商文件的组成部分。</w:t>
      </w:r>
    </w:p>
    <w:p w14:paraId="31F65B94">
      <w:pPr>
        <w:pStyle w:val="27"/>
        <w:adjustRightInd w:val="0"/>
        <w:snapToGrid w:val="0"/>
        <w:spacing w:line="360" w:lineRule="auto"/>
        <w:ind w:firstLine="420" w:firstLineChars="200"/>
        <w:outlineLvl w:val="9"/>
        <w:rPr>
          <w:rFonts w:hAnsi="宋体" w:cs="宋体"/>
          <w:color w:val="auto"/>
          <w:kern w:val="0"/>
        </w:rPr>
      </w:pPr>
      <w:r>
        <w:rPr>
          <w:rFonts w:hint="eastAsia" w:hAnsi="宋体"/>
          <w:color w:val="auto"/>
        </w:rPr>
        <w:t>11.3</w:t>
      </w:r>
      <w:r>
        <w:rPr>
          <w:rFonts w:hint="eastAsia" w:hAnsi="宋体" w:cs="宋体"/>
          <w:color w:val="auto"/>
          <w:kern w:val="0"/>
        </w:rPr>
        <w:t>磋商小组根据与供应商磋商情况可能实质性变动的内容，包括采购需求中的技术、服务要求以及合同条款，</w:t>
      </w:r>
      <w:r>
        <w:rPr>
          <w:rFonts w:hint="eastAsia" w:hAnsi="宋体"/>
          <w:color w:val="auto"/>
        </w:rPr>
        <w:t>在</w:t>
      </w:r>
      <w:r>
        <w:rPr>
          <w:rFonts w:hint="eastAsia" w:hAnsi="宋体"/>
          <w:b/>
          <w:color w:val="auto"/>
        </w:rPr>
        <w:t>磋商须知前附表</w:t>
      </w:r>
      <w:r>
        <w:rPr>
          <w:rFonts w:hint="eastAsia" w:hAnsi="宋体"/>
          <w:color w:val="auto"/>
        </w:rPr>
        <w:t>中明确。</w:t>
      </w:r>
    </w:p>
    <w:p w14:paraId="7F0D5E9B">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rPr>
        <w:t>11.4</w:t>
      </w:r>
      <w:r>
        <w:rPr>
          <w:rFonts w:hint="eastAsia" w:ascii="宋体" w:hAnsi="宋体"/>
          <w:color w:val="auto"/>
          <w:szCs w:val="21"/>
        </w:rPr>
        <w:t>供应商应仔细阅读</w:t>
      </w:r>
      <w:r>
        <w:rPr>
          <w:rFonts w:hint="eastAsia" w:ascii="宋体" w:hAnsi="宋体"/>
          <w:bCs/>
          <w:color w:val="auto"/>
          <w:szCs w:val="21"/>
        </w:rPr>
        <w:t>磋商文件</w:t>
      </w:r>
      <w:r>
        <w:rPr>
          <w:rFonts w:hint="eastAsia" w:ascii="宋体" w:hAnsi="宋体"/>
          <w:color w:val="auto"/>
          <w:szCs w:val="21"/>
        </w:rPr>
        <w:t>的全部内容，按照</w:t>
      </w:r>
      <w:r>
        <w:rPr>
          <w:rFonts w:hint="eastAsia" w:ascii="宋体" w:hAnsi="宋体"/>
          <w:bCs/>
          <w:color w:val="auto"/>
          <w:szCs w:val="21"/>
        </w:rPr>
        <w:t>磋商文件</w:t>
      </w:r>
      <w:r>
        <w:rPr>
          <w:rFonts w:hint="eastAsia" w:ascii="宋体" w:hAnsi="宋体"/>
          <w:color w:val="auto"/>
          <w:szCs w:val="21"/>
        </w:rPr>
        <w:t>要求编制响应文件。任何对</w:t>
      </w:r>
      <w:r>
        <w:rPr>
          <w:rFonts w:hint="eastAsia" w:ascii="宋体" w:hAnsi="宋体"/>
          <w:bCs/>
          <w:color w:val="auto"/>
          <w:szCs w:val="21"/>
        </w:rPr>
        <w:t>磋商文件</w:t>
      </w:r>
      <w:r>
        <w:rPr>
          <w:rFonts w:hint="eastAsia" w:ascii="宋体" w:hAnsi="宋体"/>
          <w:color w:val="auto"/>
          <w:szCs w:val="21"/>
        </w:rPr>
        <w:t>的忽略或误解不能作为响应文件存在缺陷或瑕疵的理由，其风险由供应商承担。</w:t>
      </w:r>
    </w:p>
    <w:p w14:paraId="25EB5960">
      <w:pPr>
        <w:pStyle w:val="27"/>
        <w:adjustRightInd w:val="0"/>
        <w:snapToGrid w:val="0"/>
        <w:spacing w:line="360" w:lineRule="auto"/>
        <w:outlineLvl w:val="9"/>
        <w:rPr>
          <w:rFonts w:hAnsi="宋体"/>
          <w:color w:val="auto"/>
        </w:rPr>
      </w:pPr>
      <w:r>
        <w:rPr>
          <w:rFonts w:hint="eastAsia" w:hAnsi="宋体"/>
          <w:b/>
          <w:color w:val="auto"/>
        </w:rPr>
        <w:t>12.递</w:t>
      </w:r>
      <w:r>
        <w:rPr>
          <w:rFonts w:hint="eastAsia" w:hAnsi="宋体" w:cs="宋体"/>
          <w:b/>
          <w:color w:val="auto"/>
          <w:kern w:val="0"/>
        </w:rPr>
        <w:t>交响应文件</w:t>
      </w:r>
      <w:r>
        <w:rPr>
          <w:rFonts w:hint="eastAsia" w:hAnsi="宋体"/>
          <w:b/>
          <w:color w:val="auto"/>
        </w:rPr>
        <w:t>的</w:t>
      </w:r>
      <w:r>
        <w:rPr>
          <w:rFonts w:hint="eastAsia" w:hAnsi="宋体" w:cs="宋体"/>
          <w:b/>
          <w:color w:val="auto"/>
          <w:kern w:val="0"/>
        </w:rPr>
        <w:t>截止</w:t>
      </w:r>
      <w:r>
        <w:rPr>
          <w:rFonts w:hint="eastAsia" w:hAnsi="宋体"/>
          <w:b/>
          <w:color w:val="auto"/>
        </w:rPr>
        <w:t>时间</w:t>
      </w:r>
    </w:p>
    <w:p w14:paraId="63AE1435">
      <w:pPr>
        <w:pStyle w:val="27"/>
        <w:adjustRightInd w:val="0"/>
        <w:snapToGrid w:val="0"/>
        <w:spacing w:line="360" w:lineRule="auto"/>
        <w:ind w:firstLine="420" w:firstLineChars="200"/>
        <w:outlineLvl w:val="9"/>
        <w:rPr>
          <w:rFonts w:hAnsi="宋体"/>
          <w:color w:val="auto"/>
        </w:rPr>
      </w:pPr>
      <w:r>
        <w:rPr>
          <w:rFonts w:hint="eastAsia" w:hAnsi="宋体"/>
          <w:color w:val="auto"/>
        </w:rPr>
        <w:t>12.1</w:t>
      </w:r>
      <w:r>
        <w:rPr>
          <w:rFonts w:hint="eastAsia" w:hAnsi="宋体" w:cs="宋体"/>
          <w:color w:val="auto"/>
          <w:kern w:val="0"/>
        </w:rPr>
        <w:t>供应商递交响应文件截止</w:t>
      </w:r>
      <w:r>
        <w:rPr>
          <w:rFonts w:hint="eastAsia" w:hAnsi="宋体"/>
          <w:color w:val="auto"/>
        </w:rPr>
        <w:t>时间见</w:t>
      </w:r>
      <w:r>
        <w:rPr>
          <w:rFonts w:hint="eastAsia" w:hAnsi="宋体"/>
          <w:b/>
          <w:color w:val="auto"/>
        </w:rPr>
        <w:t>磋商须知前附表</w:t>
      </w:r>
      <w:r>
        <w:rPr>
          <w:rFonts w:hint="eastAsia" w:hAnsi="宋体"/>
          <w:color w:val="auto"/>
        </w:rPr>
        <w:t>。</w:t>
      </w:r>
    </w:p>
    <w:p w14:paraId="02AA00E4">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13.磋商文件的澄清</w:t>
      </w:r>
      <w:r>
        <w:rPr>
          <w:rFonts w:hint="eastAsia" w:ascii="宋体" w:hAnsi="宋体"/>
          <w:b/>
          <w:color w:val="auto"/>
          <w:kern w:val="0"/>
          <w:szCs w:val="21"/>
          <w:lang w:val="zh-CN"/>
        </w:rPr>
        <w:t>或者</w:t>
      </w:r>
      <w:r>
        <w:rPr>
          <w:rFonts w:hint="eastAsia" w:ascii="宋体" w:hAnsi="宋体"/>
          <w:b/>
          <w:bCs/>
          <w:color w:val="auto"/>
          <w:szCs w:val="21"/>
        </w:rPr>
        <w:t>修改</w:t>
      </w:r>
    </w:p>
    <w:p w14:paraId="1BD08299">
      <w:pPr>
        <w:adjustRightInd w:val="0"/>
        <w:snapToGrid w:val="0"/>
        <w:spacing w:line="360" w:lineRule="auto"/>
        <w:ind w:right="-105" w:rightChars="-50" w:firstLine="420" w:firstLineChars="200"/>
        <w:outlineLvl w:val="9"/>
        <w:rPr>
          <w:rFonts w:ascii="宋体" w:hAnsi="宋体" w:cs="宋体"/>
          <w:color w:val="auto"/>
          <w:kern w:val="0"/>
          <w:szCs w:val="21"/>
        </w:rPr>
      </w:pPr>
      <w:r>
        <w:rPr>
          <w:rFonts w:hint="eastAsia" w:ascii="宋体" w:hAnsi="宋体"/>
          <w:color w:val="auto"/>
          <w:szCs w:val="21"/>
        </w:rPr>
        <w:t>13.1在</w:t>
      </w:r>
      <w:r>
        <w:rPr>
          <w:rFonts w:hint="eastAsia" w:ascii="宋体" w:hAnsi="宋体"/>
          <w:bCs/>
          <w:color w:val="auto"/>
          <w:szCs w:val="21"/>
        </w:rPr>
        <w:t>本章第12.1</w:t>
      </w:r>
      <w:r>
        <w:rPr>
          <w:rFonts w:hint="eastAsia" w:ascii="宋体" w:hAnsi="宋体" w:cs="宋体"/>
          <w:color w:val="auto"/>
          <w:kern w:val="0"/>
          <w:szCs w:val="21"/>
          <w:lang w:val="zh-CN"/>
        </w:rPr>
        <w:t>款</w:t>
      </w:r>
      <w:r>
        <w:rPr>
          <w:rFonts w:hint="eastAsia" w:ascii="宋体" w:hAnsi="宋体"/>
          <w:bCs/>
          <w:color w:val="auto"/>
          <w:szCs w:val="21"/>
        </w:rPr>
        <w:t>规定的递</w:t>
      </w:r>
      <w:r>
        <w:rPr>
          <w:rFonts w:hint="eastAsia" w:ascii="宋体" w:hAnsi="宋体" w:cs="宋体"/>
          <w:color w:val="auto"/>
          <w:kern w:val="0"/>
          <w:szCs w:val="21"/>
        </w:rPr>
        <w:t xml:space="preserve">交响应文件截止之日前，采购人、采购代理机构或者磋商小组可以对已发出的磋商文件进行必要的澄清或者修改。 </w:t>
      </w:r>
    </w:p>
    <w:p w14:paraId="1E9880AB">
      <w:pPr>
        <w:autoSpaceDE w:val="0"/>
        <w:autoSpaceDN w:val="0"/>
        <w:adjustRightInd w:val="0"/>
        <w:snapToGrid w:val="0"/>
        <w:spacing w:beforeLines="50" w:line="360" w:lineRule="auto"/>
        <w:ind w:firstLine="420" w:firstLineChars="200"/>
        <w:outlineLvl w:val="9"/>
        <w:rPr>
          <w:rFonts w:ascii="宋体" w:hAnsi="宋体" w:cs="宋体"/>
          <w:color w:val="auto"/>
          <w:kern w:val="0"/>
          <w:szCs w:val="21"/>
        </w:rPr>
      </w:pPr>
      <w:r>
        <w:rPr>
          <w:rFonts w:hint="eastAsia" w:ascii="宋体" w:hAnsi="宋体"/>
          <w:color w:val="auto"/>
          <w:szCs w:val="21"/>
        </w:rPr>
        <w:t>13.2</w:t>
      </w:r>
      <w:r>
        <w:rPr>
          <w:rFonts w:hint="eastAsia" w:ascii="宋体" w:hAnsi="宋体" w:cs="宋体"/>
          <w:color w:val="auto"/>
          <w:kern w:val="0"/>
          <w:szCs w:val="21"/>
        </w:rPr>
        <w:t>澄清或者修改的内容可能影响响应文件编制的，采购人、采购代理机构或者磋商小组应当在</w:t>
      </w:r>
      <w:r>
        <w:rPr>
          <w:rFonts w:hint="eastAsia" w:ascii="宋体" w:hAnsi="宋体"/>
          <w:bCs/>
          <w:color w:val="auto"/>
          <w:szCs w:val="21"/>
        </w:rPr>
        <w:t>本章第12.1</w:t>
      </w:r>
      <w:r>
        <w:rPr>
          <w:rFonts w:hint="eastAsia" w:ascii="宋体" w:hAnsi="宋体" w:cs="宋体"/>
          <w:color w:val="auto"/>
          <w:kern w:val="0"/>
          <w:szCs w:val="21"/>
          <w:lang w:val="zh-CN"/>
        </w:rPr>
        <w:t>款</w:t>
      </w:r>
      <w:r>
        <w:rPr>
          <w:rFonts w:hint="eastAsia" w:ascii="宋体" w:hAnsi="宋体"/>
          <w:bCs/>
          <w:color w:val="auto"/>
          <w:szCs w:val="21"/>
        </w:rPr>
        <w:t>规定的</w:t>
      </w:r>
      <w:r>
        <w:rPr>
          <w:rFonts w:hint="eastAsia" w:ascii="宋体" w:hAnsi="宋体" w:cs="宋体"/>
          <w:color w:val="auto"/>
          <w:kern w:val="0"/>
          <w:szCs w:val="21"/>
        </w:rPr>
        <w:t>提交首次响应文件截止之日3个工作日前，以书面形式通知所有接收磋商文件的供应商，不足3个工作日的，顺延供应商提交响应文件截止时间。</w:t>
      </w:r>
      <w:r>
        <w:rPr>
          <w:rFonts w:hint="eastAsia" w:ascii="ˎ̥" w:hAnsi="ˎ̥"/>
          <w:color w:val="auto"/>
        </w:rPr>
        <w:t>澄清更正采用</w:t>
      </w:r>
      <w:r>
        <w:rPr>
          <w:rFonts w:ascii="ˎ̥" w:hAnsi="ˎ̥"/>
          <w:color w:val="auto"/>
        </w:rPr>
        <w:t>“</w:t>
      </w:r>
      <w:r>
        <w:rPr>
          <w:rFonts w:hint="eastAsia" w:ascii="ˎ̥" w:hAnsi="ˎ̥"/>
          <w:color w:val="auto"/>
        </w:rPr>
        <w:t>网上澄清更正</w:t>
      </w:r>
      <w:r>
        <w:rPr>
          <w:rFonts w:ascii="ˎ̥" w:hAnsi="ˎ̥"/>
          <w:color w:val="auto"/>
          <w:sz w:val="18"/>
          <w:szCs w:val="18"/>
        </w:rPr>
        <w:t> </w:t>
      </w:r>
      <w:r>
        <w:rPr>
          <w:rFonts w:ascii="ˎ̥" w:hAnsi="ˎ̥"/>
          <w:color w:val="auto"/>
        </w:rPr>
        <w:t>”</w:t>
      </w:r>
      <w:r>
        <w:rPr>
          <w:rFonts w:hint="eastAsia" w:ascii="ˎ̥" w:hAnsi="ˎ̥"/>
          <w:color w:val="auto"/>
        </w:rPr>
        <w:t>方式。采购代理机构对磋商文件的澄清更正将在</w:t>
      </w:r>
      <w:r>
        <w:rPr>
          <w:rFonts w:hint="eastAsia" w:ascii="ˎ̥" w:hAnsi="ˎ̥"/>
          <w:b/>
          <w:bCs/>
          <w:color w:val="auto"/>
        </w:rPr>
        <w:t>磋商须知前附表</w:t>
      </w:r>
      <w:r>
        <w:rPr>
          <w:rFonts w:hint="eastAsia" w:ascii="ˎ̥" w:hAnsi="ˎ̥"/>
          <w:b w:val="0"/>
          <w:bCs w:val="0"/>
          <w:color w:val="auto"/>
          <w:lang w:eastAsia="zh-CN"/>
        </w:rPr>
        <w:t>指定的公告媒体</w:t>
      </w:r>
      <w:r>
        <w:rPr>
          <w:rFonts w:hint="eastAsia" w:ascii="ˎ̥" w:hAnsi="ˎ̥"/>
          <w:color w:val="auto"/>
        </w:rPr>
        <w:t>上发布，</w:t>
      </w:r>
      <w:r>
        <w:rPr>
          <w:rFonts w:hint="eastAsia" w:ascii="宋体" w:hAnsi="宋体"/>
          <w:color w:val="auto"/>
        </w:rPr>
        <w:t>请各供应商关注</w:t>
      </w:r>
      <w:r>
        <w:rPr>
          <w:rFonts w:hint="eastAsia" w:ascii="ˎ̥" w:hAnsi="ˎ̥"/>
          <w:b/>
          <w:bCs/>
          <w:color w:val="auto"/>
        </w:rPr>
        <w:t>磋商须知前附表</w:t>
      </w:r>
      <w:r>
        <w:rPr>
          <w:rFonts w:hint="eastAsia" w:ascii="ˎ̥" w:hAnsi="ˎ̥"/>
          <w:b w:val="0"/>
          <w:bCs w:val="0"/>
          <w:color w:val="auto"/>
          <w:lang w:eastAsia="zh-CN"/>
        </w:rPr>
        <w:t>指定的公告媒体</w:t>
      </w:r>
      <w:r>
        <w:rPr>
          <w:rFonts w:hint="eastAsia" w:ascii="宋体" w:hAnsi="宋体"/>
          <w:color w:val="auto"/>
        </w:rPr>
        <w:t>上发布的</w:t>
      </w:r>
      <w:r>
        <w:rPr>
          <w:rFonts w:hint="eastAsia"/>
          <w:color w:val="auto"/>
        </w:rPr>
        <w:t>磋商文件的澄清或修改、递交响应文件截止时间的变更等相关信息，恕不另行通知。</w:t>
      </w:r>
    </w:p>
    <w:p w14:paraId="15B42934">
      <w:pPr>
        <w:adjustRightInd w:val="0"/>
        <w:snapToGrid w:val="0"/>
        <w:spacing w:line="360" w:lineRule="auto"/>
        <w:ind w:left="906" w:hanging="906" w:hangingChars="376"/>
        <w:outlineLvl w:val="9"/>
        <w:rPr>
          <w:rFonts w:ascii="宋体" w:hAnsi="宋体"/>
          <w:b/>
          <w:color w:val="auto"/>
          <w:sz w:val="24"/>
        </w:rPr>
      </w:pPr>
      <w:r>
        <w:rPr>
          <w:rFonts w:hint="eastAsia" w:ascii="宋体" w:hAnsi="宋体"/>
          <w:b/>
          <w:color w:val="auto"/>
          <w:sz w:val="24"/>
        </w:rPr>
        <w:t>三、响应文件</w:t>
      </w:r>
    </w:p>
    <w:p w14:paraId="654F0BF6">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14.一般要求</w:t>
      </w:r>
    </w:p>
    <w:p w14:paraId="046B15B1">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14.1 供应商应仔细阅读磋商文件的所有内容，按磋商文件的要求编制响应文件，并保证所提供的全部资料的真实性，以使其响应文件对磋商文件做出实质性的响应。</w:t>
      </w:r>
    </w:p>
    <w:p w14:paraId="78CA37E5">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 xml:space="preserve">14.2 </w:t>
      </w:r>
      <w:r>
        <w:rPr>
          <w:rFonts w:hint="eastAsia" w:ascii="宋体" w:hAnsi="宋体"/>
          <w:color w:val="auto"/>
          <w:szCs w:val="21"/>
        </w:rPr>
        <w:t>供应商提交的响应文件及供应商与采购人或采购代理机构、磋商小组就有关磋商的所有来往函电均使用中文。供应商可以提交其它语言的资料，但应附中文注释，在有差异时以中文为准。</w:t>
      </w:r>
    </w:p>
    <w:p w14:paraId="7B1209A5">
      <w:pPr>
        <w:pStyle w:val="27"/>
        <w:adjustRightInd w:val="0"/>
        <w:snapToGrid w:val="0"/>
        <w:spacing w:line="360" w:lineRule="auto"/>
        <w:ind w:firstLine="420" w:firstLineChars="200"/>
        <w:outlineLvl w:val="9"/>
        <w:rPr>
          <w:rFonts w:hAnsi="宋体"/>
          <w:color w:val="auto"/>
        </w:rPr>
      </w:pPr>
      <w:r>
        <w:rPr>
          <w:rFonts w:hint="eastAsia" w:hAnsi="宋体"/>
          <w:bCs/>
          <w:color w:val="auto"/>
        </w:rPr>
        <w:t xml:space="preserve">14.3 </w:t>
      </w:r>
      <w:r>
        <w:rPr>
          <w:rFonts w:hint="eastAsia" w:hAnsi="宋体"/>
          <w:color w:val="auto"/>
        </w:rPr>
        <w:t>计量单位应使用我国法定计量单位，未列明时应默认为我国法定计量单位。</w:t>
      </w:r>
    </w:p>
    <w:p w14:paraId="4EB6179E">
      <w:pPr>
        <w:pStyle w:val="27"/>
        <w:adjustRightInd w:val="0"/>
        <w:snapToGrid w:val="0"/>
        <w:spacing w:line="360" w:lineRule="auto"/>
        <w:ind w:firstLine="420" w:firstLineChars="200"/>
        <w:outlineLvl w:val="9"/>
        <w:rPr>
          <w:rFonts w:hAnsi="宋体"/>
          <w:color w:val="auto"/>
        </w:rPr>
      </w:pPr>
      <w:r>
        <w:rPr>
          <w:rFonts w:hint="eastAsia" w:hAnsi="宋体"/>
          <w:color w:val="auto"/>
        </w:rPr>
        <w:t>14.4 响应文件应采用书面形式，电报、传真、电子邮件形式的响应文件概不接受。</w:t>
      </w:r>
    </w:p>
    <w:p w14:paraId="7E195547">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14.5 供应商应按磋商文件中提供的响应文件格式填写。</w:t>
      </w:r>
    </w:p>
    <w:p w14:paraId="685ADC01">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15.</w:t>
      </w:r>
      <w:r>
        <w:rPr>
          <w:rFonts w:hint="eastAsia" w:ascii="宋体" w:hAnsi="宋体"/>
          <w:b/>
          <w:color w:val="auto"/>
          <w:szCs w:val="21"/>
        </w:rPr>
        <w:t>响应文件</w:t>
      </w:r>
      <w:r>
        <w:rPr>
          <w:rFonts w:hint="eastAsia" w:ascii="宋体" w:hAnsi="宋体"/>
          <w:b/>
          <w:bCs/>
          <w:color w:val="auto"/>
          <w:szCs w:val="21"/>
        </w:rPr>
        <w:t>的组成</w:t>
      </w:r>
    </w:p>
    <w:p w14:paraId="4FEFBC8B">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rPr>
        <w:t>15.1 响应文件包括下列内容：</w:t>
      </w:r>
      <w:r>
        <w:rPr>
          <w:rFonts w:hint="eastAsia" w:ascii="宋体" w:hAnsi="宋体"/>
          <w:color w:val="auto"/>
          <w:szCs w:val="21"/>
        </w:rPr>
        <w:t xml:space="preserve"> </w:t>
      </w:r>
    </w:p>
    <w:p w14:paraId="19070231">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一、磋商响应声明</w:t>
      </w:r>
    </w:p>
    <w:p w14:paraId="7F92058A">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二、保证金</w:t>
      </w:r>
    </w:p>
    <w:p w14:paraId="1BFB784B">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三、供应商的资格证明材料</w:t>
      </w:r>
    </w:p>
    <w:p w14:paraId="24A37A48">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四、商务响应与偏离表</w:t>
      </w:r>
    </w:p>
    <w:p w14:paraId="7D557AC0">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五、服务方案</w:t>
      </w:r>
    </w:p>
    <w:p w14:paraId="42369144">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六、</w:t>
      </w:r>
      <w:r>
        <w:rPr>
          <w:rFonts w:hint="eastAsia" w:ascii="宋体" w:hAnsi="宋体" w:cs="Courier New"/>
          <w:color w:val="auto"/>
          <w:szCs w:val="21"/>
          <w:lang w:eastAsia="zh-CN"/>
        </w:rPr>
        <w:t>商务</w:t>
      </w:r>
      <w:r>
        <w:rPr>
          <w:rFonts w:hint="eastAsia" w:ascii="宋体" w:hAnsi="宋体" w:cs="Courier New"/>
          <w:color w:val="auto"/>
          <w:szCs w:val="21"/>
        </w:rPr>
        <w:t>技术响应与偏离表</w:t>
      </w:r>
    </w:p>
    <w:p w14:paraId="0D3BBF48">
      <w:pPr>
        <w:adjustRightInd w:val="0"/>
        <w:snapToGrid w:val="0"/>
        <w:spacing w:line="360" w:lineRule="auto"/>
        <w:ind w:firstLine="630" w:firstLineChars="300"/>
        <w:outlineLvl w:val="9"/>
        <w:rPr>
          <w:rFonts w:hint="eastAsia" w:ascii="宋体" w:hAnsi="宋体" w:eastAsia="宋体" w:cs="Courier New"/>
          <w:color w:val="auto"/>
          <w:szCs w:val="21"/>
          <w:lang w:eastAsia="zh-CN"/>
        </w:rPr>
      </w:pPr>
      <w:r>
        <w:rPr>
          <w:rFonts w:hint="eastAsia" w:ascii="宋体" w:hAnsi="宋体" w:cs="Courier New"/>
          <w:color w:val="auto"/>
          <w:szCs w:val="21"/>
        </w:rPr>
        <w:t>七、</w:t>
      </w:r>
      <w:r>
        <w:rPr>
          <w:rFonts w:hint="eastAsia" w:ascii="宋体" w:hAnsi="宋体" w:cs="Courier New"/>
          <w:color w:val="auto"/>
          <w:szCs w:val="21"/>
          <w:lang w:eastAsia="zh-CN"/>
        </w:rPr>
        <w:t>服务响应承诺函</w:t>
      </w:r>
    </w:p>
    <w:p w14:paraId="3F827167">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八、供应商认为需提供的其它资料</w:t>
      </w:r>
    </w:p>
    <w:p w14:paraId="6DF13787">
      <w:pPr>
        <w:adjustRightInd w:val="0"/>
        <w:snapToGrid w:val="0"/>
        <w:spacing w:line="360" w:lineRule="auto"/>
        <w:ind w:firstLine="420" w:firstLineChars="200"/>
        <w:outlineLvl w:val="9"/>
        <w:rPr>
          <w:rFonts w:ascii="宋体" w:hAnsi="宋体"/>
          <w:color w:val="auto"/>
        </w:rPr>
      </w:pPr>
      <w:r>
        <w:rPr>
          <w:rFonts w:hint="eastAsia" w:ascii="宋体" w:hAnsi="宋体"/>
          <w:color w:val="auto"/>
        </w:rPr>
        <w:t>15.2在磋商过程中，</w:t>
      </w:r>
      <w:r>
        <w:rPr>
          <w:rFonts w:hint="eastAsia" w:ascii="宋体" w:hAnsi="宋体"/>
          <w:color w:val="auto"/>
          <w:szCs w:val="21"/>
        </w:rPr>
        <w:t>供应商</w:t>
      </w:r>
      <w:r>
        <w:rPr>
          <w:rFonts w:hint="eastAsia" w:ascii="宋体" w:hAnsi="宋体"/>
          <w:color w:val="auto"/>
        </w:rPr>
        <w:t>根据</w:t>
      </w:r>
      <w:r>
        <w:rPr>
          <w:rFonts w:hint="eastAsia" w:ascii="宋体" w:hAnsi="宋体" w:cs="宋体"/>
          <w:color w:val="auto"/>
          <w:kern w:val="0"/>
          <w:szCs w:val="21"/>
        </w:rPr>
        <w:t>磋商小组</w:t>
      </w:r>
      <w:r>
        <w:rPr>
          <w:rFonts w:hint="eastAsia" w:ascii="宋体" w:hAnsi="宋体"/>
          <w:bCs/>
          <w:color w:val="auto"/>
          <w:szCs w:val="21"/>
        </w:rPr>
        <w:t>书面形式要求</w:t>
      </w:r>
      <w:r>
        <w:rPr>
          <w:rFonts w:hint="eastAsia" w:ascii="宋体" w:hAnsi="宋体" w:cs="宋体"/>
          <w:color w:val="auto"/>
          <w:kern w:val="0"/>
          <w:szCs w:val="21"/>
        </w:rPr>
        <w:t>提交的</w:t>
      </w:r>
      <w:r>
        <w:rPr>
          <w:rFonts w:hint="eastAsia" w:ascii="宋体" w:hAnsi="宋体"/>
          <w:color w:val="auto"/>
          <w:lang w:eastAsia="zh-CN"/>
        </w:rPr>
        <w:t>材料</w:t>
      </w:r>
      <w:r>
        <w:rPr>
          <w:rFonts w:hint="eastAsia" w:ascii="宋体" w:hAnsi="宋体"/>
          <w:color w:val="auto"/>
        </w:rPr>
        <w:t>(或者</w:t>
      </w:r>
      <w:r>
        <w:rPr>
          <w:rFonts w:hint="eastAsia" w:ascii="宋体" w:hAnsi="宋体"/>
          <w:bCs/>
          <w:color w:val="auto"/>
          <w:szCs w:val="21"/>
        </w:rPr>
        <w:t>重</w:t>
      </w:r>
      <w:r>
        <w:rPr>
          <w:rFonts w:hint="eastAsia" w:ascii="宋体" w:hAnsi="宋体" w:cs="宋体"/>
          <w:color w:val="auto"/>
          <w:kern w:val="0"/>
          <w:szCs w:val="21"/>
        </w:rPr>
        <w:t>新提交的响应文件</w:t>
      </w:r>
      <w:r>
        <w:rPr>
          <w:rFonts w:hint="eastAsia" w:ascii="宋体" w:hAnsi="宋体"/>
          <w:color w:val="auto"/>
        </w:rPr>
        <w:t>)是</w:t>
      </w:r>
      <w:r>
        <w:rPr>
          <w:rFonts w:hint="eastAsia" w:ascii="宋体" w:hAnsi="宋体"/>
          <w:color w:val="auto"/>
          <w:szCs w:val="21"/>
        </w:rPr>
        <w:t>响应文件</w:t>
      </w:r>
      <w:r>
        <w:rPr>
          <w:rFonts w:hint="eastAsia" w:ascii="宋体" w:hAnsi="宋体"/>
          <w:color w:val="auto"/>
        </w:rPr>
        <w:t>的有效组成部分。</w:t>
      </w:r>
    </w:p>
    <w:p w14:paraId="3A7E0E71">
      <w:pPr>
        <w:adjustRightInd w:val="0"/>
        <w:snapToGrid w:val="0"/>
        <w:spacing w:line="360" w:lineRule="auto"/>
        <w:ind w:firstLine="420" w:firstLineChars="200"/>
        <w:outlineLvl w:val="9"/>
        <w:rPr>
          <w:rFonts w:ascii="宋体" w:hAnsi="宋体"/>
          <w:b/>
          <w:color w:val="auto"/>
        </w:rPr>
      </w:pPr>
      <w:r>
        <w:rPr>
          <w:rFonts w:hint="eastAsia" w:ascii="宋体" w:hAnsi="宋体"/>
          <w:color w:val="auto"/>
        </w:rPr>
        <w:t>15.3</w:t>
      </w:r>
      <w:r>
        <w:rPr>
          <w:rFonts w:hint="eastAsia" w:ascii="宋体" w:hAnsi="宋体" w:cs="宋体"/>
          <w:color w:val="auto"/>
          <w:kern w:val="0"/>
          <w:szCs w:val="21"/>
        </w:rPr>
        <w:t>磋商文件规定可能发生实质性变动的，供应商应当在</w:t>
      </w:r>
      <w:r>
        <w:rPr>
          <w:rFonts w:hint="eastAsia" w:ascii="宋体" w:hAnsi="宋体"/>
          <w:color w:val="auto"/>
        </w:rPr>
        <w:t>《技术/商务响应与偏离表》中对应内容注明。</w:t>
      </w:r>
    </w:p>
    <w:p w14:paraId="6C8E9756">
      <w:pPr>
        <w:adjustRightInd w:val="0"/>
        <w:snapToGrid w:val="0"/>
        <w:spacing w:line="360" w:lineRule="auto"/>
        <w:ind w:firstLine="420" w:firstLineChars="200"/>
        <w:outlineLvl w:val="9"/>
        <w:rPr>
          <w:rFonts w:ascii="宋体" w:hAnsi="宋体"/>
          <w:b/>
          <w:bCs/>
          <w:color w:val="auto"/>
          <w:szCs w:val="21"/>
        </w:rPr>
      </w:pPr>
      <w:r>
        <w:rPr>
          <w:rFonts w:hint="eastAsia" w:ascii="宋体" w:hAnsi="宋体"/>
          <w:color w:val="auto"/>
        </w:rPr>
        <w:t>15.4</w:t>
      </w:r>
      <w:r>
        <w:rPr>
          <w:rFonts w:hint="eastAsia" w:ascii="宋体" w:hAnsi="宋体"/>
          <w:color w:val="auto"/>
          <w:szCs w:val="21"/>
        </w:rPr>
        <w:t>根据《中华人民共和国政府采购法》相关规定，供应商无论成交与否，其响应文件不予退还。</w:t>
      </w:r>
    </w:p>
    <w:p w14:paraId="01252827">
      <w:pPr>
        <w:adjustRightInd w:val="0"/>
        <w:snapToGrid w:val="0"/>
        <w:spacing w:line="360" w:lineRule="auto"/>
        <w:outlineLvl w:val="9"/>
        <w:rPr>
          <w:rFonts w:hint="eastAsia" w:ascii="宋体" w:hAnsi="宋体" w:eastAsia="宋体"/>
          <w:b/>
          <w:bCs/>
          <w:color w:val="auto"/>
          <w:szCs w:val="21"/>
          <w:lang w:eastAsia="zh-CN"/>
        </w:rPr>
      </w:pPr>
      <w:r>
        <w:rPr>
          <w:rFonts w:hint="eastAsia" w:ascii="宋体" w:hAnsi="宋体"/>
          <w:b/>
          <w:bCs/>
          <w:color w:val="auto"/>
          <w:szCs w:val="21"/>
        </w:rPr>
        <w:t>16.报价</w:t>
      </w:r>
      <w:r>
        <w:rPr>
          <w:rFonts w:hint="eastAsia"/>
          <w:b/>
          <w:color w:val="auto"/>
          <w:lang w:eastAsia="zh-CN"/>
        </w:rPr>
        <w:t>（</w:t>
      </w:r>
      <w:r>
        <w:rPr>
          <w:rFonts w:hint="eastAsia"/>
          <w:b/>
          <w:color w:val="auto"/>
          <w:lang w:val="en-US" w:eastAsia="zh-CN"/>
        </w:rPr>
        <w:t>特别说明：</w:t>
      </w:r>
      <w:r>
        <w:rPr>
          <w:rFonts w:hint="eastAsia" w:ascii="宋体" w:hAnsi="宋体"/>
          <w:b/>
          <w:bCs/>
          <w:color w:val="auto"/>
          <w:szCs w:val="21"/>
          <w:lang w:eastAsia="zh-CN"/>
        </w:rPr>
        <w:t>本项目不进行磋商报价，所涉报价条款不适用。</w:t>
      </w:r>
      <w:r>
        <w:rPr>
          <w:rFonts w:hint="eastAsia"/>
          <w:b/>
          <w:color w:val="auto"/>
          <w:lang w:eastAsia="zh-CN"/>
        </w:rPr>
        <w:t>）</w:t>
      </w:r>
    </w:p>
    <w:p w14:paraId="66BB335B">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16.1供应商应当根据磋商文件要求和范围，以</w:t>
      </w:r>
      <w:r>
        <w:rPr>
          <w:rFonts w:hint="eastAsia" w:ascii="宋体" w:hAnsi="宋体"/>
          <w:bCs/>
          <w:color w:val="auto"/>
          <w:szCs w:val="21"/>
        </w:rPr>
        <w:t>人民币</w:t>
      </w:r>
      <w:r>
        <w:rPr>
          <w:rFonts w:hint="eastAsia" w:ascii="宋体" w:hAnsi="宋体"/>
          <w:color w:val="auto"/>
          <w:szCs w:val="21"/>
        </w:rPr>
        <w:t>报价，以元为单位，保留小数点后两位。</w:t>
      </w:r>
    </w:p>
    <w:p w14:paraId="62FA0150">
      <w:pPr>
        <w:pStyle w:val="127"/>
        <w:adjustRightInd w:val="0"/>
        <w:snapToGrid w:val="0"/>
        <w:spacing w:line="360" w:lineRule="auto"/>
        <w:ind w:firstLine="420" w:firstLineChars="200"/>
        <w:outlineLvl w:val="9"/>
        <w:rPr>
          <w:rFonts w:ascii="宋体" w:hAnsi="宋体"/>
          <w:color w:val="auto"/>
        </w:rPr>
      </w:pPr>
      <w:r>
        <w:rPr>
          <w:rFonts w:hint="eastAsia" w:ascii="宋体" w:hAnsi="宋体"/>
          <w:color w:val="auto"/>
        </w:rPr>
        <w:t>16.2供应商应按第四章“采购需求”要求及第五章“响应文件组成”格式填写。供应商在</w:t>
      </w:r>
      <w:r>
        <w:rPr>
          <w:rFonts w:hint="eastAsia" w:ascii="宋体" w:hAnsi="宋体"/>
          <w:bCs/>
          <w:color w:val="auto"/>
        </w:rPr>
        <w:t>本章第12.1</w:t>
      </w:r>
      <w:r>
        <w:rPr>
          <w:rFonts w:hint="eastAsia" w:ascii="宋体" w:hAnsi="宋体" w:cs="宋体"/>
          <w:color w:val="auto"/>
          <w:lang w:val="zh-CN"/>
        </w:rPr>
        <w:t>款</w:t>
      </w:r>
      <w:r>
        <w:rPr>
          <w:rFonts w:hint="eastAsia" w:ascii="宋体" w:hAnsi="宋体"/>
          <w:bCs/>
          <w:color w:val="auto"/>
        </w:rPr>
        <w:t>规定的</w:t>
      </w:r>
      <w:r>
        <w:rPr>
          <w:rFonts w:hint="eastAsia" w:ascii="宋体" w:hAnsi="宋体" w:cs="宋体"/>
          <w:color w:val="auto"/>
        </w:rPr>
        <w:t>提交首次响应文件截止之日前</w:t>
      </w:r>
      <w:r>
        <w:rPr>
          <w:rFonts w:hint="eastAsia" w:ascii="宋体" w:hAnsi="宋体"/>
          <w:color w:val="auto"/>
        </w:rPr>
        <w:t>修改报价一览表中的报价，应同时修改其按第五章要求填写的相应表格中的报价。此修改须符合本章第21.1款的有关要求。</w:t>
      </w:r>
    </w:p>
    <w:p w14:paraId="66FDF9A3">
      <w:pPr>
        <w:pStyle w:val="27"/>
        <w:adjustRightInd w:val="0"/>
        <w:snapToGrid w:val="0"/>
        <w:spacing w:line="360" w:lineRule="auto"/>
        <w:ind w:firstLine="420" w:firstLineChars="200"/>
        <w:outlineLvl w:val="9"/>
        <w:rPr>
          <w:rFonts w:hAnsi="宋体"/>
          <w:b/>
          <w:color w:val="auto"/>
        </w:rPr>
      </w:pPr>
      <w:r>
        <w:rPr>
          <w:rFonts w:hint="eastAsia" w:hAnsi="宋体"/>
          <w:b w:val="0"/>
          <w:bCs/>
          <w:color w:val="auto"/>
        </w:rPr>
        <w:t>16.3响应文件中标明的价格在合同执行过程中是固定不变的，不得以任何理由予以变更。以可变动价格提交的报价将被认为是非实质响应而被拒绝。</w:t>
      </w:r>
    </w:p>
    <w:p w14:paraId="103A9F9E">
      <w:pPr>
        <w:pStyle w:val="27"/>
        <w:adjustRightInd w:val="0"/>
        <w:snapToGrid w:val="0"/>
        <w:spacing w:line="360" w:lineRule="auto"/>
        <w:ind w:firstLine="420" w:firstLineChars="200"/>
        <w:outlineLvl w:val="9"/>
        <w:rPr>
          <w:rFonts w:hAnsi="宋体"/>
          <w:color w:val="auto"/>
        </w:rPr>
      </w:pPr>
      <w:r>
        <w:rPr>
          <w:rFonts w:hint="eastAsia" w:hAnsi="宋体"/>
          <w:color w:val="auto"/>
        </w:rPr>
        <w:t>16.4</w:t>
      </w:r>
      <w:r>
        <w:rPr>
          <w:rFonts w:hint="eastAsia" w:hAnsi="宋体" w:cs="宋体"/>
          <w:color w:val="auto"/>
          <w:kern w:val="0"/>
          <w:lang w:val="zh-CN"/>
        </w:rPr>
        <w:t>供应商</w:t>
      </w:r>
      <w:r>
        <w:rPr>
          <w:rFonts w:hint="eastAsia" w:hAnsi="宋体"/>
          <w:color w:val="auto"/>
        </w:rPr>
        <w:t>的报价不得超过采购项目预算，超过采购预算价为无效响应。本项目采购预算见</w:t>
      </w:r>
      <w:r>
        <w:rPr>
          <w:rFonts w:hint="eastAsia" w:hAnsi="宋体"/>
          <w:b/>
          <w:color w:val="auto"/>
        </w:rPr>
        <w:t>磋商须知前附表</w:t>
      </w:r>
    </w:p>
    <w:p w14:paraId="7E602348">
      <w:pPr>
        <w:pStyle w:val="27"/>
        <w:adjustRightInd w:val="0"/>
        <w:snapToGrid w:val="0"/>
        <w:spacing w:line="360" w:lineRule="auto"/>
        <w:outlineLvl w:val="9"/>
        <w:rPr>
          <w:rFonts w:hAnsi="宋体"/>
          <w:b/>
          <w:color w:val="auto"/>
        </w:rPr>
      </w:pPr>
      <w:r>
        <w:rPr>
          <w:rFonts w:hint="eastAsia" w:hAnsi="宋体"/>
          <w:b/>
          <w:color w:val="auto"/>
        </w:rPr>
        <w:t>17.供应商符合磋商文件规定的证明文件</w:t>
      </w:r>
    </w:p>
    <w:p w14:paraId="3AA35648">
      <w:pPr>
        <w:adjustRightInd w:val="0"/>
        <w:snapToGrid w:val="0"/>
        <w:spacing w:line="360" w:lineRule="auto"/>
        <w:ind w:firstLine="420" w:firstLineChars="200"/>
        <w:outlineLvl w:val="9"/>
        <w:rPr>
          <w:rFonts w:ascii="宋体" w:hAnsi="宋体"/>
          <w:color w:val="auto"/>
          <w:szCs w:val="21"/>
        </w:rPr>
      </w:pPr>
      <w:r>
        <w:rPr>
          <w:rFonts w:hint="eastAsia" w:ascii="宋体" w:hAnsi="宋体" w:cs="宋体"/>
          <w:color w:val="auto"/>
          <w:kern w:val="0"/>
          <w:lang w:val="zh-CN"/>
        </w:rPr>
        <w:t>17.1</w:t>
      </w:r>
      <w:r>
        <w:rPr>
          <w:rFonts w:hint="eastAsia" w:ascii="宋体" w:hAnsi="宋体"/>
          <w:color w:val="auto"/>
          <w:szCs w:val="21"/>
        </w:rPr>
        <w:t>供应商提供资格证明材料，以证实其各项条件满足本章第3.1</w:t>
      </w:r>
      <w:r>
        <w:rPr>
          <w:rFonts w:hint="eastAsia" w:ascii="宋体" w:hAnsi="宋体" w:cs="宋体"/>
          <w:color w:val="auto"/>
          <w:kern w:val="0"/>
          <w:szCs w:val="21"/>
          <w:lang w:val="zh-CN"/>
        </w:rPr>
        <w:t>款</w:t>
      </w:r>
      <w:r>
        <w:rPr>
          <w:rFonts w:hint="eastAsia" w:ascii="宋体" w:hAnsi="宋体"/>
          <w:color w:val="auto"/>
          <w:szCs w:val="21"/>
        </w:rPr>
        <w:t>规定的供应商资格条件要求。</w:t>
      </w:r>
    </w:p>
    <w:p w14:paraId="47B8AF2C">
      <w:pPr>
        <w:adjustRightInd w:val="0"/>
        <w:snapToGrid w:val="0"/>
        <w:spacing w:line="360" w:lineRule="auto"/>
        <w:ind w:firstLine="420" w:firstLineChars="200"/>
        <w:jc w:val="left"/>
        <w:outlineLvl w:val="9"/>
        <w:rPr>
          <w:rFonts w:ascii="宋体" w:hAnsi="宋体" w:cs="宋体"/>
          <w:color w:val="auto"/>
          <w:kern w:val="0"/>
          <w:szCs w:val="21"/>
          <w:lang w:val="zh-CN"/>
        </w:rPr>
      </w:pPr>
      <w:r>
        <w:rPr>
          <w:rFonts w:hint="eastAsia" w:ascii="宋体" w:hAnsi="宋体"/>
          <w:color w:val="auto"/>
          <w:szCs w:val="21"/>
        </w:rPr>
        <w:t>17.2</w:t>
      </w:r>
      <w:r>
        <w:rPr>
          <w:rFonts w:hint="eastAsia" w:ascii="宋体" w:hAnsi="宋体" w:cs="宋体"/>
          <w:color w:val="auto"/>
          <w:kern w:val="0"/>
          <w:lang w:val="zh-CN"/>
        </w:rPr>
        <w:t>供应商</w:t>
      </w:r>
      <w:r>
        <w:rPr>
          <w:rFonts w:hint="eastAsia" w:ascii="宋体" w:hAnsi="宋体"/>
          <w:color w:val="auto"/>
        </w:rPr>
        <w:t>为联合体形式的，则应提交联合体各方资格文件、联合体协议，否则将视为非实质响应而被拒绝。</w:t>
      </w:r>
    </w:p>
    <w:p w14:paraId="44FCFD3C">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18.保证金</w:t>
      </w:r>
    </w:p>
    <w:p w14:paraId="6DCF5567">
      <w:pPr>
        <w:pStyle w:val="27"/>
        <w:adjustRightInd w:val="0"/>
        <w:snapToGrid w:val="0"/>
        <w:spacing w:line="360" w:lineRule="auto"/>
        <w:ind w:firstLine="420" w:firstLineChars="200"/>
        <w:outlineLvl w:val="9"/>
        <w:rPr>
          <w:rFonts w:hAnsi="宋体"/>
          <w:bCs/>
          <w:color w:val="auto"/>
        </w:rPr>
      </w:pPr>
      <w:r>
        <w:rPr>
          <w:rFonts w:hint="eastAsia" w:hAnsi="宋体"/>
          <w:color w:val="auto"/>
        </w:rPr>
        <w:t>18.1</w:t>
      </w:r>
      <w:r>
        <w:rPr>
          <w:rFonts w:hint="eastAsia" w:hAnsi="宋体"/>
          <w:b/>
          <w:color w:val="auto"/>
        </w:rPr>
        <w:t>磋商须知前附表</w:t>
      </w:r>
      <w:r>
        <w:rPr>
          <w:rFonts w:hint="eastAsia" w:hAnsi="宋体"/>
          <w:color w:val="auto"/>
        </w:rPr>
        <w:t>规定交纳</w:t>
      </w:r>
      <w:r>
        <w:rPr>
          <w:rFonts w:hint="eastAsia" w:hAnsi="宋体"/>
          <w:bCs/>
          <w:color w:val="auto"/>
        </w:rPr>
        <w:t>保证金的</w:t>
      </w:r>
      <w:r>
        <w:rPr>
          <w:rFonts w:hint="eastAsia" w:hAnsi="宋体"/>
          <w:color w:val="auto"/>
        </w:rPr>
        <w:t>，应按</w:t>
      </w:r>
      <w:r>
        <w:rPr>
          <w:rFonts w:hint="eastAsia" w:hAnsi="宋体"/>
          <w:b/>
          <w:color w:val="auto"/>
        </w:rPr>
        <w:t>磋商须知前附表</w:t>
      </w:r>
      <w:r>
        <w:rPr>
          <w:rFonts w:hint="eastAsia" w:hAnsi="宋体"/>
          <w:color w:val="auto"/>
        </w:rPr>
        <w:t>规定的</w:t>
      </w:r>
      <w:r>
        <w:rPr>
          <w:rFonts w:hint="eastAsia" w:hAnsi="宋体"/>
          <w:bCs/>
          <w:color w:val="auto"/>
        </w:rPr>
        <w:t>保证金形式交纳，不得以现金方式交纳</w:t>
      </w:r>
      <w:r>
        <w:rPr>
          <w:rFonts w:hint="eastAsia" w:hAnsi="宋体"/>
          <w:color w:val="auto"/>
        </w:rPr>
        <w:t>，在本章第12.1</w:t>
      </w:r>
      <w:r>
        <w:rPr>
          <w:rFonts w:hint="eastAsia" w:hAnsi="宋体" w:cs="宋体"/>
          <w:color w:val="auto"/>
          <w:kern w:val="0"/>
          <w:lang w:val="zh-CN"/>
        </w:rPr>
        <w:t>款</w:t>
      </w:r>
      <w:r>
        <w:rPr>
          <w:rFonts w:hint="eastAsia" w:hAnsi="宋体"/>
          <w:color w:val="auto"/>
        </w:rPr>
        <w:t>规定的</w:t>
      </w:r>
      <w:r>
        <w:rPr>
          <w:rFonts w:hint="eastAsia" w:hAnsi="宋体" w:cs="宋体"/>
          <w:color w:val="auto"/>
          <w:kern w:val="0"/>
        </w:rPr>
        <w:t>提交首次响应文件截止时间</w:t>
      </w:r>
      <w:r>
        <w:rPr>
          <w:rFonts w:hint="eastAsia" w:hAnsi="宋体"/>
          <w:color w:val="auto"/>
        </w:rPr>
        <w:t>前，按本磋商文件第一章第8款规定交纳</w:t>
      </w:r>
      <w:r>
        <w:rPr>
          <w:rFonts w:hint="eastAsia" w:hAnsi="宋体"/>
          <w:bCs/>
          <w:color w:val="auto"/>
        </w:rPr>
        <w:t>保证金(数额采用四舍五入，计算至元)</w:t>
      </w:r>
      <w:r>
        <w:rPr>
          <w:rFonts w:hint="eastAsia" w:hAnsi="宋体"/>
          <w:color w:val="auto"/>
        </w:rPr>
        <w:t>。</w:t>
      </w:r>
      <w:r>
        <w:rPr>
          <w:rFonts w:hint="eastAsia" w:hAnsi="宋体"/>
          <w:bCs/>
          <w:color w:val="auto"/>
        </w:rPr>
        <w:t>保证金有效期应当与</w:t>
      </w:r>
      <w:r>
        <w:rPr>
          <w:rFonts w:hint="eastAsia" w:hAnsi="宋体"/>
          <w:color w:val="auto"/>
        </w:rPr>
        <w:t>本章第19.1</w:t>
      </w:r>
      <w:r>
        <w:rPr>
          <w:rFonts w:hint="eastAsia" w:hAnsi="宋体" w:cs="宋体"/>
          <w:color w:val="auto"/>
          <w:kern w:val="0"/>
          <w:lang w:val="zh-CN"/>
        </w:rPr>
        <w:t>款</w:t>
      </w:r>
      <w:r>
        <w:rPr>
          <w:rFonts w:hint="eastAsia" w:hAnsi="宋体"/>
          <w:color w:val="auto"/>
        </w:rPr>
        <w:t>规定的</w:t>
      </w:r>
      <w:r>
        <w:rPr>
          <w:rFonts w:hint="eastAsia" w:hAnsi="宋体"/>
          <w:bCs/>
          <w:color w:val="auto"/>
        </w:rPr>
        <w:t>响应文件有效期一致。</w:t>
      </w:r>
    </w:p>
    <w:p w14:paraId="40B9C785">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18.2</w:t>
      </w:r>
      <w:r>
        <w:rPr>
          <w:rFonts w:hint="eastAsia" w:ascii="宋体" w:hAnsi="宋体" w:cs="宋体"/>
          <w:color w:val="auto"/>
          <w:kern w:val="0"/>
          <w:szCs w:val="21"/>
          <w:lang w:val="zh-CN"/>
        </w:rPr>
        <w:t>供应商为联合体的，可以由联合体中的一方或者共同交纳保证金，其交纳的保证金，对联合体各方均具有约束力。</w:t>
      </w:r>
    </w:p>
    <w:p w14:paraId="3A21FE54">
      <w:pPr>
        <w:pStyle w:val="27"/>
        <w:adjustRightInd w:val="0"/>
        <w:snapToGrid w:val="0"/>
        <w:spacing w:line="360" w:lineRule="auto"/>
        <w:ind w:firstLine="420" w:firstLineChars="200"/>
        <w:outlineLvl w:val="9"/>
        <w:rPr>
          <w:rFonts w:hAnsi="宋体"/>
          <w:color w:val="auto"/>
        </w:rPr>
      </w:pPr>
      <w:r>
        <w:rPr>
          <w:rFonts w:hint="eastAsia" w:hAnsi="宋体"/>
          <w:color w:val="auto"/>
        </w:rPr>
        <w:t>18.3 未按磋商文件规定提交保证金的，</w:t>
      </w:r>
      <w:r>
        <w:rPr>
          <w:rFonts w:hint="eastAsia" w:hAnsi="宋体"/>
          <w:bCs/>
          <w:color w:val="auto"/>
        </w:rPr>
        <w:t>采购人或采购代理机构应当拒绝接收供应商的响应文件</w:t>
      </w:r>
      <w:r>
        <w:rPr>
          <w:rFonts w:hint="eastAsia" w:hAnsi="宋体"/>
          <w:color w:val="auto"/>
        </w:rPr>
        <w:t>。</w:t>
      </w:r>
    </w:p>
    <w:p w14:paraId="1A557BB9">
      <w:pPr>
        <w:pStyle w:val="27"/>
        <w:tabs>
          <w:tab w:val="left" w:pos="6300"/>
        </w:tabs>
        <w:adjustRightInd w:val="0"/>
        <w:snapToGrid w:val="0"/>
        <w:spacing w:line="360" w:lineRule="auto"/>
        <w:ind w:firstLine="420" w:firstLineChars="200"/>
        <w:outlineLvl w:val="9"/>
        <w:rPr>
          <w:rFonts w:hAnsi="宋体"/>
          <w:color w:val="auto"/>
        </w:rPr>
      </w:pPr>
      <w:r>
        <w:rPr>
          <w:rFonts w:hint="eastAsia" w:hAnsi="宋体"/>
          <w:color w:val="auto"/>
        </w:rPr>
        <w:t>18.4采购代理机构在成交通知书发出后5个工作日内退还未成交供应商的保证金；在采购合同签定后5个工作日内退还成交供应商的保证金，但因供应商自身原因导致无法及时退还的除外。</w:t>
      </w:r>
    </w:p>
    <w:p w14:paraId="3E67ADB1">
      <w:pPr>
        <w:pStyle w:val="27"/>
        <w:adjustRightInd w:val="0"/>
        <w:snapToGrid w:val="0"/>
        <w:spacing w:line="360" w:lineRule="auto"/>
        <w:ind w:firstLine="420" w:firstLineChars="200"/>
        <w:outlineLvl w:val="9"/>
        <w:rPr>
          <w:rFonts w:hAnsi="宋体"/>
          <w:color w:val="auto"/>
          <w:kern w:val="0"/>
        </w:rPr>
      </w:pPr>
      <w:r>
        <w:rPr>
          <w:rFonts w:hint="eastAsia" w:hAnsi="宋体"/>
          <w:color w:val="auto"/>
        </w:rPr>
        <w:t xml:space="preserve">18.5 </w:t>
      </w:r>
      <w:r>
        <w:rPr>
          <w:rFonts w:hint="eastAsia" w:hAnsi="宋体"/>
          <w:color w:val="auto"/>
          <w:kern w:val="0"/>
        </w:rPr>
        <w:t>有下列情形之一的，保证金不予退还，并上缴本级财政国库：</w:t>
      </w:r>
    </w:p>
    <w:p w14:paraId="5358C6C6">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（1）供应商在</w:t>
      </w:r>
      <w:r>
        <w:rPr>
          <w:rFonts w:hint="eastAsia" w:ascii="宋体" w:hAnsi="宋体"/>
          <w:bCs/>
          <w:color w:val="auto"/>
          <w:szCs w:val="21"/>
        </w:rPr>
        <w:t>本章第12.1</w:t>
      </w:r>
      <w:r>
        <w:rPr>
          <w:rFonts w:hint="eastAsia" w:ascii="宋体" w:hAnsi="宋体" w:cs="宋体"/>
          <w:color w:val="auto"/>
          <w:kern w:val="0"/>
          <w:szCs w:val="21"/>
          <w:lang w:val="zh-CN"/>
        </w:rPr>
        <w:t>款</w:t>
      </w:r>
      <w:r>
        <w:rPr>
          <w:rFonts w:hint="eastAsia" w:ascii="宋体" w:hAnsi="宋体"/>
          <w:bCs/>
          <w:color w:val="auto"/>
          <w:szCs w:val="21"/>
        </w:rPr>
        <w:t>规定的</w:t>
      </w:r>
      <w:r>
        <w:rPr>
          <w:rFonts w:hint="eastAsia" w:ascii="宋体" w:hAnsi="宋体" w:cs="宋体"/>
          <w:color w:val="auto"/>
          <w:kern w:val="0"/>
          <w:szCs w:val="21"/>
        </w:rPr>
        <w:t>提交首次响应文件截止时间后撤回响应文件或未按本章第29.5款规定退出磋商的；</w:t>
      </w:r>
    </w:p>
    <w:p w14:paraId="6F4C2FA3">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（2）供应商在响应文件中提供虚假材料的；</w:t>
      </w:r>
    </w:p>
    <w:p w14:paraId="2310B62A">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（3）除因不可抗力或磋商文件认可的情形以外，成交供应商不与采购人签订合同的；</w:t>
      </w:r>
    </w:p>
    <w:p w14:paraId="19D80ED3">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（4）供应商与采购人、其他供应商或者采购代理机构恶意串通的；</w:t>
      </w:r>
    </w:p>
    <w:p w14:paraId="65FAD7C4">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（5）磋商文件及法律法规规定的其他情形。</w:t>
      </w:r>
    </w:p>
    <w:p w14:paraId="222C98AF">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19.</w:t>
      </w:r>
      <w:r>
        <w:rPr>
          <w:rFonts w:hint="eastAsia" w:ascii="宋体" w:hAnsi="宋体"/>
          <w:color w:val="auto"/>
          <w:szCs w:val="21"/>
        </w:rPr>
        <w:t xml:space="preserve"> </w:t>
      </w:r>
      <w:r>
        <w:rPr>
          <w:rFonts w:hint="eastAsia" w:ascii="宋体" w:hAnsi="宋体"/>
          <w:b/>
          <w:color w:val="auto"/>
        </w:rPr>
        <w:t>响应文件</w:t>
      </w:r>
      <w:r>
        <w:rPr>
          <w:rFonts w:hint="eastAsia" w:ascii="宋体" w:hAnsi="宋体"/>
          <w:b/>
          <w:color w:val="auto"/>
          <w:szCs w:val="21"/>
        </w:rPr>
        <w:t>有效期</w:t>
      </w:r>
    </w:p>
    <w:p w14:paraId="3B85AD86">
      <w:pPr>
        <w:adjustRightInd w:val="0"/>
        <w:snapToGrid w:val="0"/>
        <w:spacing w:line="360" w:lineRule="auto"/>
        <w:ind w:firstLine="420" w:firstLineChars="200"/>
        <w:jc w:val="left"/>
        <w:outlineLvl w:val="9"/>
        <w:rPr>
          <w:rFonts w:ascii="宋体" w:hAnsi="宋体"/>
          <w:color w:val="auto"/>
        </w:rPr>
      </w:pPr>
      <w:r>
        <w:rPr>
          <w:rFonts w:hint="eastAsia" w:ascii="宋体" w:hAnsi="宋体"/>
          <w:color w:val="auto"/>
        </w:rPr>
        <w:t>19.1响应文件</w:t>
      </w:r>
      <w:r>
        <w:rPr>
          <w:rFonts w:hint="eastAsia" w:ascii="宋体" w:hAnsi="宋体"/>
          <w:color w:val="auto"/>
          <w:szCs w:val="21"/>
        </w:rPr>
        <w:t>有效期见</w:t>
      </w:r>
      <w:r>
        <w:rPr>
          <w:rFonts w:hint="eastAsia" w:ascii="宋体" w:hAnsi="宋体"/>
          <w:b/>
          <w:color w:val="auto"/>
        </w:rPr>
        <w:t>磋商须知前附表</w:t>
      </w:r>
      <w:r>
        <w:rPr>
          <w:rFonts w:hint="eastAsia" w:ascii="宋体" w:hAnsi="宋体"/>
          <w:color w:val="auto"/>
          <w:szCs w:val="21"/>
        </w:rPr>
        <w:t>，在此期间</w:t>
      </w:r>
      <w:r>
        <w:rPr>
          <w:rFonts w:hint="eastAsia" w:ascii="宋体" w:hAnsi="宋体"/>
          <w:color w:val="auto"/>
        </w:rPr>
        <w:t>响应</w:t>
      </w:r>
      <w:r>
        <w:rPr>
          <w:rFonts w:hint="eastAsia" w:ascii="宋体" w:hAnsi="宋体"/>
          <w:color w:val="auto"/>
          <w:szCs w:val="21"/>
        </w:rPr>
        <w:t>文件对供应商具有法律约束力，</w:t>
      </w:r>
      <w:r>
        <w:rPr>
          <w:rFonts w:hint="eastAsia" w:ascii="宋体" w:hAnsi="宋体" w:cs="Arial"/>
          <w:color w:val="auto"/>
        </w:rPr>
        <w:t>从</w:t>
      </w:r>
      <w:r>
        <w:rPr>
          <w:rFonts w:hint="eastAsia" w:ascii="宋体" w:hAnsi="宋体"/>
          <w:color w:val="auto"/>
        </w:rPr>
        <w:t>本章第12.1</w:t>
      </w:r>
      <w:r>
        <w:rPr>
          <w:rFonts w:hint="eastAsia" w:ascii="宋体" w:hAnsi="宋体" w:cs="宋体"/>
          <w:color w:val="auto"/>
          <w:kern w:val="0"/>
          <w:szCs w:val="21"/>
          <w:lang w:val="zh-CN"/>
        </w:rPr>
        <w:t>款</w:t>
      </w:r>
      <w:r>
        <w:rPr>
          <w:rFonts w:hint="eastAsia" w:ascii="宋体" w:hAnsi="宋体"/>
          <w:color w:val="auto"/>
        </w:rPr>
        <w:t>规定的</w:t>
      </w:r>
      <w:r>
        <w:rPr>
          <w:rFonts w:hint="eastAsia" w:ascii="宋体" w:hAnsi="宋体" w:cs="宋体"/>
          <w:color w:val="auto"/>
          <w:kern w:val="0"/>
          <w:szCs w:val="21"/>
        </w:rPr>
        <w:t>提交首次响应文件截止时间</w:t>
      </w:r>
      <w:r>
        <w:rPr>
          <w:rFonts w:hint="eastAsia" w:ascii="宋体" w:hAnsi="宋体"/>
          <w:color w:val="auto"/>
        </w:rPr>
        <w:t>之日</w:t>
      </w:r>
      <w:r>
        <w:rPr>
          <w:rFonts w:hint="eastAsia" w:ascii="宋体" w:hAnsi="宋体" w:cs="Arial"/>
          <w:color w:val="auto"/>
        </w:rPr>
        <w:t>起计算。</w:t>
      </w:r>
      <w:r>
        <w:rPr>
          <w:rFonts w:hint="eastAsia" w:ascii="宋体" w:hAnsi="宋体"/>
          <w:color w:val="auto"/>
        </w:rPr>
        <w:t>响应文件有效期不足的将被视为无效响应。</w:t>
      </w:r>
    </w:p>
    <w:p w14:paraId="22FDACD3">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20.响应文件的签署及规定</w:t>
      </w:r>
    </w:p>
    <w:p w14:paraId="502605D3">
      <w:pPr>
        <w:pStyle w:val="27"/>
        <w:adjustRightInd w:val="0"/>
        <w:snapToGrid w:val="0"/>
        <w:spacing w:line="360" w:lineRule="auto"/>
        <w:ind w:firstLine="420" w:firstLineChars="200"/>
        <w:outlineLvl w:val="9"/>
        <w:rPr>
          <w:rFonts w:hAnsi="宋体"/>
          <w:color w:val="auto"/>
        </w:rPr>
      </w:pPr>
      <w:r>
        <w:rPr>
          <w:rFonts w:hint="eastAsia" w:hAnsi="宋体"/>
          <w:color w:val="auto"/>
        </w:rPr>
        <w:t>20.1响应文件的正本、副本须分别装订成册，正本一份，副本</w:t>
      </w:r>
      <w:r>
        <w:rPr>
          <w:rFonts w:hint="eastAsia" w:hAnsi="宋体"/>
          <w:color w:val="auto"/>
          <w:lang w:eastAsia="zh-CN"/>
        </w:rPr>
        <w:t>贰</w:t>
      </w:r>
      <w:r>
        <w:rPr>
          <w:rFonts w:hint="eastAsia" w:hAnsi="宋体"/>
          <w:color w:val="auto"/>
        </w:rPr>
        <w:t>份，电子文件一份。正本和副本的封面上应标记“正本”或“副本”的字样，当正本和副本有差异时，以正本为准。具体份数以</w:t>
      </w:r>
      <w:r>
        <w:rPr>
          <w:rFonts w:hint="eastAsia" w:hAnsi="宋体"/>
          <w:b/>
          <w:color w:val="auto"/>
        </w:rPr>
        <w:t>磋商须知前附表</w:t>
      </w:r>
      <w:r>
        <w:rPr>
          <w:rFonts w:hint="eastAsia" w:hAnsi="宋体"/>
          <w:bCs/>
          <w:color w:val="auto"/>
        </w:rPr>
        <w:t>要求为准。</w:t>
      </w:r>
    </w:p>
    <w:p w14:paraId="73EA77B8">
      <w:pPr>
        <w:pStyle w:val="27"/>
        <w:adjustRightInd w:val="0"/>
        <w:snapToGrid w:val="0"/>
        <w:spacing w:line="360" w:lineRule="auto"/>
        <w:ind w:firstLine="420" w:firstLineChars="200"/>
        <w:outlineLvl w:val="9"/>
        <w:rPr>
          <w:rFonts w:hAnsi="宋体"/>
          <w:color w:val="auto"/>
        </w:rPr>
      </w:pPr>
      <w:r>
        <w:rPr>
          <w:rFonts w:hint="eastAsia" w:hAnsi="宋体"/>
          <w:color w:val="auto"/>
        </w:rPr>
        <w:t>20.2 响应文件正本和副本应按磋商文件要求签章处盖单位章和由法定代表人或其委托代理人签字；任何加行、涂改、增删，应有法定代表人或其委托代理人在旁边签字。否则，将导致响应文件无效。</w:t>
      </w:r>
    </w:p>
    <w:p w14:paraId="0917D638">
      <w:pPr>
        <w:pStyle w:val="27"/>
        <w:adjustRightInd w:val="0"/>
        <w:snapToGrid w:val="0"/>
        <w:spacing w:line="360" w:lineRule="auto"/>
        <w:ind w:firstLine="420" w:firstLineChars="200"/>
        <w:outlineLvl w:val="9"/>
        <w:rPr>
          <w:rFonts w:hint="eastAsia" w:hAnsi="宋体" w:eastAsia="宋体"/>
          <w:color w:val="auto"/>
          <w:lang w:eastAsia="zh-CN"/>
        </w:rPr>
      </w:pPr>
      <w:r>
        <w:rPr>
          <w:rFonts w:hint="eastAsia" w:hAnsi="宋体"/>
          <w:color w:val="auto"/>
        </w:rPr>
        <w:t>20.3 在磋商过程中，供应商按磋商文件规定和磋商小组要求</w:t>
      </w:r>
      <w:r>
        <w:rPr>
          <w:rFonts w:hint="eastAsia" w:hAnsi="宋体" w:cs="宋体"/>
          <w:color w:val="auto"/>
          <w:kern w:val="0"/>
        </w:rPr>
        <w:t>提交的</w:t>
      </w:r>
      <w:r>
        <w:rPr>
          <w:rFonts w:hint="eastAsia" w:hAnsi="宋体"/>
          <w:color w:val="auto"/>
          <w:lang w:eastAsia="zh-CN"/>
        </w:rPr>
        <w:t>材料</w:t>
      </w:r>
      <w:r>
        <w:rPr>
          <w:rFonts w:hint="eastAsia" w:hAnsi="宋体"/>
          <w:color w:val="auto"/>
        </w:rPr>
        <w:t>(或者</w:t>
      </w:r>
      <w:r>
        <w:rPr>
          <w:rFonts w:hint="eastAsia" w:hAnsi="宋体"/>
          <w:bCs/>
          <w:color w:val="auto"/>
        </w:rPr>
        <w:t>重</w:t>
      </w:r>
      <w:r>
        <w:rPr>
          <w:rFonts w:hint="eastAsia" w:hAnsi="宋体" w:cs="宋体"/>
          <w:color w:val="auto"/>
          <w:kern w:val="0"/>
        </w:rPr>
        <w:t>新提交的响应文件</w:t>
      </w:r>
      <w:r>
        <w:rPr>
          <w:rFonts w:hint="eastAsia" w:hAnsi="宋体"/>
          <w:color w:val="auto"/>
        </w:rPr>
        <w:t>)，一式两份，可打印或用不退色墨水书写，但需经法定代表人或其委托代理人签字，</w:t>
      </w:r>
      <w:r>
        <w:rPr>
          <w:rFonts w:hint="eastAsia" w:hAnsi="宋体" w:cs="宋体"/>
          <w:color w:val="auto"/>
          <w:kern w:val="0"/>
        </w:rPr>
        <w:t>或者加盖供应商单位章</w:t>
      </w:r>
      <w:r>
        <w:rPr>
          <w:rFonts w:hint="eastAsia" w:hAnsi="宋体"/>
          <w:color w:val="auto"/>
        </w:rPr>
        <w:t>。否则，将导致响应文件无效。</w:t>
      </w:r>
    </w:p>
    <w:p w14:paraId="7E0E3F50">
      <w:pPr>
        <w:pStyle w:val="27"/>
        <w:adjustRightInd w:val="0"/>
        <w:snapToGrid w:val="0"/>
        <w:spacing w:line="360" w:lineRule="auto"/>
        <w:ind w:firstLine="420" w:firstLineChars="200"/>
        <w:outlineLvl w:val="9"/>
        <w:rPr>
          <w:rFonts w:hAnsi="宋体"/>
          <w:b/>
          <w:color w:val="auto"/>
        </w:rPr>
      </w:pPr>
      <w:r>
        <w:rPr>
          <w:rFonts w:hint="eastAsia" w:hAnsi="宋体"/>
          <w:bCs/>
          <w:color w:val="auto"/>
        </w:rPr>
        <w:t>20.4</w:t>
      </w:r>
      <w:r>
        <w:rPr>
          <w:rFonts w:hint="eastAsia" w:hAnsi="宋体"/>
          <w:bCs/>
          <w:color w:val="auto"/>
          <w:lang w:val="en-GB"/>
        </w:rPr>
        <w:t>供应商在递交响应文件的同时须提交与响应文件正本一致的电子文件一份（</w:t>
      </w:r>
      <w:r>
        <w:rPr>
          <w:rFonts w:hint="eastAsia" w:hAnsi="宋体"/>
          <w:bCs/>
          <w:color w:val="auto"/>
        </w:rPr>
        <w:t>PDF格式</w:t>
      </w:r>
      <w:r>
        <w:rPr>
          <w:rFonts w:hint="eastAsia" w:hAnsi="宋体"/>
          <w:bCs/>
          <w:color w:val="auto"/>
          <w:lang w:val="en-GB"/>
        </w:rPr>
        <w:t>U盘存储）</w:t>
      </w:r>
      <w:r>
        <w:rPr>
          <w:rFonts w:hint="eastAsia" w:hAnsi="宋体"/>
          <w:bCs/>
          <w:color w:val="auto"/>
        </w:rPr>
        <w:t>，并能正常读取、拷贝，否则将按不合格</w:t>
      </w:r>
      <w:r>
        <w:rPr>
          <w:rFonts w:hint="eastAsia" w:hAnsi="宋体"/>
          <w:bCs/>
          <w:color w:val="auto"/>
          <w:lang w:eastAsia="zh-CN"/>
        </w:rPr>
        <w:t>供应商</w:t>
      </w:r>
      <w:r>
        <w:rPr>
          <w:rFonts w:hint="eastAsia" w:hAnsi="宋体"/>
          <w:bCs/>
          <w:color w:val="auto"/>
        </w:rPr>
        <w:t>处理。</w:t>
      </w:r>
    </w:p>
    <w:p w14:paraId="50519586">
      <w:pPr>
        <w:adjustRightInd w:val="0"/>
        <w:snapToGrid w:val="0"/>
        <w:spacing w:line="360" w:lineRule="auto"/>
        <w:outlineLvl w:val="9"/>
        <w:rPr>
          <w:rFonts w:ascii="宋体" w:hAnsi="宋体"/>
          <w:b/>
          <w:color w:val="auto"/>
          <w:sz w:val="24"/>
        </w:rPr>
      </w:pPr>
      <w:r>
        <w:rPr>
          <w:rFonts w:hint="eastAsia" w:ascii="宋体" w:hAnsi="宋体"/>
          <w:b/>
          <w:color w:val="auto"/>
          <w:sz w:val="24"/>
        </w:rPr>
        <w:t>四、响应文件的递交</w:t>
      </w:r>
    </w:p>
    <w:p w14:paraId="4AC4E664">
      <w:pPr>
        <w:adjustRightInd w:val="0"/>
        <w:snapToGrid w:val="0"/>
        <w:spacing w:line="360" w:lineRule="auto"/>
        <w:outlineLvl w:val="9"/>
        <w:rPr>
          <w:rFonts w:ascii="宋体" w:hAnsi="宋体"/>
          <w:bCs/>
          <w:color w:val="auto"/>
          <w:szCs w:val="21"/>
        </w:rPr>
      </w:pPr>
      <w:r>
        <w:rPr>
          <w:rFonts w:hint="eastAsia" w:ascii="宋体" w:hAnsi="宋体"/>
          <w:bCs/>
          <w:color w:val="auto"/>
          <w:szCs w:val="21"/>
        </w:rPr>
        <w:t>21.响应文件的密封和标记</w:t>
      </w:r>
    </w:p>
    <w:p w14:paraId="5A1C1734">
      <w:pPr>
        <w:pStyle w:val="27"/>
        <w:adjustRightInd w:val="0"/>
        <w:snapToGrid w:val="0"/>
        <w:spacing w:line="360" w:lineRule="auto"/>
        <w:ind w:firstLine="420" w:firstLineChars="200"/>
        <w:outlineLvl w:val="9"/>
        <w:rPr>
          <w:rFonts w:hAnsi="宋体"/>
          <w:bCs/>
          <w:color w:val="auto"/>
        </w:rPr>
      </w:pPr>
      <w:r>
        <w:rPr>
          <w:rFonts w:hint="eastAsia" w:hAnsi="宋体"/>
          <w:bCs/>
          <w:color w:val="auto"/>
        </w:rPr>
        <w:t>21.1各供应商必须将响应文件正本、副本、电子文件，密封</w:t>
      </w:r>
      <w:r>
        <w:rPr>
          <w:rFonts w:hint="eastAsia" w:hAnsi="宋体"/>
          <w:bCs/>
          <w:color w:val="auto"/>
          <w:lang w:val="en-US" w:eastAsia="zh-CN"/>
        </w:rPr>
        <w:t>和</w:t>
      </w:r>
      <w:r>
        <w:rPr>
          <w:rFonts w:hint="eastAsia" w:hAnsi="宋体"/>
          <w:bCs/>
          <w:color w:val="auto"/>
        </w:rPr>
        <w:t>加贴封条，并在封套的封口处盖供应商单位公章或由法定代表人或其委托代理人签字，一并递交，不得混装。</w:t>
      </w:r>
    </w:p>
    <w:p w14:paraId="0DA704DD">
      <w:pPr>
        <w:adjustRightInd w:val="0"/>
        <w:snapToGrid w:val="0"/>
        <w:spacing w:line="440" w:lineRule="exact"/>
        <w:ind w:firstLine="420" w:firstLineChars="200"/>
        <w:outlineLvl w:val="9"/>
        <w:rPr>
          <w:rFonts w:hint="eastAsia" w:ascii="宋体" w:hAnsi="宋体" w:eastAsia="宋体"/>
          <w:b/>
          <w:color w:val="auto"/>
          <w:szCs w:val="21"/>
          <w:lang w:eastAsia="zh-CN"/>
        </w:rPr>
      </w:pPr>
      <w:r>
        <w:rPr>
          <w:rFonts w:hAnsi="宋体"/>
          <w:color w:val="auto"/>
        </w:rPr>
        <w:t>21.2</w:t>
      </w:r>
      <w:r>
        <w:rPr>
          <w:rFonts w:hint="eastAsia" w:hAnsi="宋体"/>
          <w:color w:val="auto"/>
        </w:rPr>
        <w:t>最后报价是磋商文件的一部分，由各供应商先行加盖公章，但</w:t>
      </w:r>
      <w:r>
        <w:rPr>
          <w:rFonts w:hint="eastAsia" w:ascii="宋体" w:hAnsi="宋体"/>
          <w:color w:val="auto"/>
          <w:szCs w:val="21"/>
        </w:rPr>
        <w:t>不得装订入响应文件中，由各供应商参加磋商的授权代表带至磋商现场，磋商后填写，</w:t>
      </w:r>
      <w:r>
        <w:rPr>
          <w:rFonts w:hint="eastAsia" w:hAnsi="宋体"/>
          <w:bCs/>
          <w:color w:val="auto"/>
        </w:rPr>
        <w:t>否则将按不合格</w:t>
      </w:r>
      <w:r>
        <w:rPr>
          <w:rFonts w:hint="eastAsia" w:hAnsi="宋体"/>
          <w:bCs/>
          <w:color w:val="auto"/>
          <w:lang w:eastAsia="zh-CN"/>
        </w:rPr>
        <w:t>供应商</w:t>
      </w:r>
      <w:r>
        <w:rPr>
          <w:rFonts w:hint="eastAsia" w:hAnsi="宋体"/>
          <w:bCs/>
          <w:color w:val="auto"/>
        </w:rPr>
        <w:t>处理。</w:t>
      </w:r>
    </w:p>
    <w:p w14:paraId="4CF4D085">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21.3响应文件封套上应写明的内容见</w:t>
      </w:r>
      <w:r>
        <w:rPr>
          <w:rFonts w:hint="eastAsia" w:ascii="宋体" w:hAnsi="宋体"/>
          <w:b/>
          <w:color w:val="auto"/>
          <w:szCs w:val="21"/>
        </w:rPr>
        <w:t>磋商须知前附表。</w:t>
      </w:r>
    </w:p>
    <w:p w14:paraId="2604F1A1">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21.4响应文件如果未按上述规定密封和加写标记或混装的，采购人或采购代理机构将拒绝接收。</w:t>
      </w:r>
    </w:p>
    <w:p w14:paraId="2EF2EEB4">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21.5响应文件递交地点：见磋商须知前附表之规定。</w:t>
      </w:r>
    </w:p>
    <w:p w14:paraId="04615F60">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22.响应文件的</w:t>
      </w:r>
      <w:r>
        <w:rPr>
          <w:rFonts w:hint="eastAsia" w:ascii="宋体" w:hAnsi="宋体" w:cs="宋体"/>
          <w:b/>
          <w:color w:val="auto"/>
          <w:kern w:val="0"/>
          <w:szCs w:val="21"/>
          <w:lang w:val="zh-CN"/>
        </w:rPr>
        <w:t>补充、修改或者撤回</w:t>
      </w:r>
    </w:p>
    <w:p w14:paraId="6103E289">
      <w:pPr>
        <w:pStyle w:val="27"/>
        <w:adjustRightInd w:val="0"/>
        <w:snapToGrid w:val="0"/>
        <w:spacing w:line="360" w:lineRule="auto"/>
        <w:ind w:firstLine="420" w:firstLineChars="200"/>
        <w:outlineLvl w:val="9"/>
        <w:rPr>
          <w:rFonts w:hAnsi="宋体"/>
          <w:color w:val="auto"/>
        </w:rPr>
      </w:pPr>
      <w:r>
        <w:rPr>
          <w:rFonts w:hint="eastAsia" w:hAnsi="宋体"/>
          <w:color w:val="auto"/>
        </w:rPr>
        <w:t>22.1</w:t>
      </w:r>
      <w:r>
        <w:rPr>
          <w:rFonts w:hint="eastAsia" w:hAnsi="宋体" w:cs="宋体"/>
          <w:color w:val="auto"/>
          <w:kern w:val="0"/>
        </w:rPr>
        <w:t>供应商在</w:t>
      </w:r>
      <w:r>
        <w:rPr>
          <w:rFonts w:hint="eastAsia" w:hAnsi="宋体"/>
          <w:color w:val="auto"/>
        </w:rPr>
        <w:t>本章第12.1</w:t>
      </w:r>
      <w:r>
        <w:rPr>
          <w:rFonts w:hint="eastAsia" w:hAnsi="宋体" w:cs="宋体"/>
          <w:color w:val="auto"/>
          <w:kern w:val="0"/>
          <w:lang w:val="zh-CN"/>
        </w:rPr>
        <w:t>款</w:t>
      </w:r>
      <w:r>
        <w:rPr>
          <w:rFonts w:hint="eastAsia" w:hAnsi="宋体"/>
          <w:color w:val="auto"/>
        </w:rPr>
        <w:t>规定的</w:t>
      </w:r>
      <w:r>
        <w:rPr>
          <w:rFonts w:hint="eastAsia" w:hAnsi="宋体" w:cs="宋体"/>
          <w:color w:val="auto"/>
          <w:kern w:val="0"/>
        </w:rPr>
        <w:t>提交首次响应文件截止时间前，可以对所提交的首次响应文件进行补充、修改或者撤回，并书面通知采购人、采购代理机构。</w:t>
      </w:r>
      <w:r>
        <w:rPr>
          <w:rFonts w:hint="eastAsia" w:hAnsi="宋体"/>
          <w:color w:val="auto"/>
        </w:rPr>
        <w:t>该通知应有供应商法定代表人或其委托代理人签字。</w:t>
      </w:r>
    </w:p>
    <w:p w14:paraId="04C9EADF">
      <w:pPr>
        <w:pStyle w:val="27"/>
        <w:adjustRightInd w:val="0"/>
        <w:snapToGrid w:val="0"/>
        <w:spacing w:line="360" w:lineRule="auto"/>
        <w:ind w:firstLine="420" w:firstLineChars="200"/>
        <w:outlineLvl w:val="9"/>
        <w:rPr>
          <w:rFonts w:hAnsi="宋体"/>
          <w:color w:val="auto"/>
        </w:rPr>
      </w:pPr>
      <w:r>
        <w:rPr>
          <w:rFonts w:hint="eastAsia" w:hAnsi="宋体"/>
          <w:color w:val="auto"/>
        </w:rPr>
        <w:t>22.2</w:t>
      </w:r>
      <w:r>
        <w:rPr>
          <w:rFonts w:hint="eastAsia" w:hAnsi="宋体" w:cs="宋体"/>
          <w:color w:val="auto"/>
          <w:kern w:val="0"/>
          <w:lang w:val="zh-CN"/>
        </w:rPr>
        <w:t>补充、修改的内容与响应文件不一致时，以补充、修改的内容为准。</w:t>
      </w:r>
    </w:p>
    <w:p w14:paraId="4973BE29">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23.响应文件的递交与接收</w:t>
      </w:r>
    </w:p>
    <w:p w14:paraId="62EDAFDB">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23.1 供应商应在</w:t>
      </w:r>
      <w:r>
        <w:rPr>
          <w:rFonts w:hint="eastAsia" w:ascii="宋体" w:hAnsi="宋体"/>
          <w:color w:val="auto"/>
        </w:rPr>
        <w:t>本章第12.1</w:t>
      </w:r>
      <w:r>
        <w:rPr>
          <w:rFonts w:hint="eastAsia" w:ascii="宋体" w:hAnsi="宋体" w:cs="宋体"/>
          <w:color w:val="auto"/>
          <w:kern w:val="0"/>
          <w:szCs w:val="21"/>
          <w:lang w:val="zh-CN"/>
        </w:rPr>
        <w:t>款</w:t>
      </w:r>
      <w:r>
        <w:rPr>
          <w:rFonts w:hint="eastAsia" w:ascii="宋体" w:hAnsi="宋体"/>
          <w:color w:val="auto"/>
        </w:rPr>
        <w:t>规定的</w:t>
      </w:r>
      <w:r>
        <w:rPr>
          <w:rFonts w:hint="eastAsia" w:ascii="宋体" w:hAnsi="宋体" w:cs="宋体"/>
          <w:color w:val="auto"/>
          <w:kern w:val="0"/>
          <w:szCs w:val="21"/>
        </w:rPr>
        <w:t>提交首次响应文件截止时间</w:t>
      </w:r>
      <w:r>
        <w:rPr>
          <w:rFonts w:hint="eastAsia" w:ascii="宋体" w:hAnsi="宋体"/>
          <w:color w:val="auto"/>
          <w:szCs w:val="21"/>
        </w:rPr>
        <w:t>前，将响应文件送</w:t>
      </w:r>
      <w:r>
        <w:rPr>
          <w:rFonts w:hint="eastAsia" w:ascii="宋体" w:hAnsi="宋体" w:cs="Arial"/>
          <w:color w:val="auto"/>
          <w:szCs w:val="21"/>
        </w:rPr>
        <w:t>达</w:t>
      </w:r>
      <w:r>
        <w:rPr>
          <w:rFonts w:hint="eastAsia" w:ascii="宋体" w:hAnsi="宋体"/>
          <w:b/>
          <w:color w:val="auto"/>
          <w:szCs w:val="21"/>
        </w:rPr>
        <w:t>磋商须知前附表</w:t>
      </w:r>
      <w:r>
        <w:rPr>
          <w:rFonts w:hint="eastAsia" w:ascii="宋体" w:hAnsi="宋体"/>
          <w:color w:val="auto"/>
          <w:szCs w:val="21"/>
        </w:rPr>
        <w:t>中指定的地点。</w:t>
      </w:r>
      <w:r>
        <w:rPr>
          <w:rFonts w:hint="eastAsia" w:ascii="宋体" w:hAnsi="宋体" w:cs="宋体"/>
          <w:color w:val="auto"/>
          <w:kern w:val="0"/>
        </w:rPr>
        <w:t>在截止时间后送达的响应文件，采购人、采购代理机构或者磋商小组应当拒收。</w:t>
      </w:r>
    </w:p>
    <w:p w14:paraId="7F769F38">
      <w:pPr>
        <w:pStyle w:val="27"/>
        <w:adjustRightInd w:val="0"/>
        <w:snapToGrid w:val="0"/>
        <w:spacing w:line="360" w:lineRule="auto"/>
        <w:ind w:firstLine="420" w:firstLineChars="200"/>
        <w:outlineLvl w:val="9"/>
        <w:rPr>
          <w:rFonts w:hAnsi="宋体"/>
          <w:color w:val="auto"/>
        </w:rPr>
      </w:pPr>
      <w:r>
        <w:rPr>
          <w:rFonts w:hint="eastAsia" w:hAnsi="宋体"/>
          <w:color w:val="auto"/>
        </w:rPr>
        <w:t>23.2</w:t>
      </w:r>
      <w:r>
        <w:rPr>
          <w:rFonts w:hint="eastAsia" w:hAnsi="宋体" w:cs="宋体"/>
          <w:color w:val="auto"/>
          <w:kern w:val="0"/>
        </w:rPr>
        <w:t>在</w:t>
      </w:r>
      <w:r>
        <w:rPr>
          <w:rFonts w:hint="eastAsia" w:hAnsi="宋体"/>
          <w:color w:val="auto"/>
        </w:rPr>
        <w:t>本章第12.1</w:t>
      </w:r>
      <w:r>
        <w:rPr>
          <w:rFonts w:hint="eastAsia" w:hAnsi="宋体" w:cs="宋体"/>
          <w:color w:val="auto"/>
          <w:kern w:val="0"/>
          <w:lang w:val="zh-CN"/>
        </w:rPr>
        <w:t>款</w:t>
      </w:r>
      <w:r>
        <w:rPr>
          <w:rFonts w:hint="eastAsia" w:hAnsi="宋体"/>
          <w:color w:val="auto"/>
        </w:rPr>
        <w:t>规定的</w:t>
      </w:r>
      <w:r>
        <w:rPr>
          <w:rFonts w:hint="eastAsia" w:hAnsi="宋体" w:cs="宋体"/>
          <w:color w:val="auto"/>
          <w:kern w:val="0"/>
        </w:rPr>
        <w:t>提交首次响应文件截止时间后，</w:t>
      </w:r>
      <w:r>
        <w:rPr>
          <w:rFonts w:hint="eastAsia" w:hAnsi="宋体"/>
          <w:color w:val="auto"/>
        </w:rPr>
        <w:t>由</w:t>
      </w:r>
      <w:r>
        <w:rPr>
          <w:rFonts w:hint="eastAsia" w:hAnsi="宋体"/>
          <w:bCs/>
          <w:color w:val="auto"/>
        </w:rPr>
        <w:t>供应商代表</w:t>
      </w:r>
      <w:r>
        <w:rPr>
          <w:rFonts w:hint="eastAsia" w:hAnsi="宋体"/>
          <w:color w:val="auto"/>
        </w:rPr>
        <w:t>当场查验</w:t>
      </w:r>
      <w:r>
        <w:rPr>
          <w:rFonts w:hint="eastAsia" w:hAnsi="宋体"/>
          <w:bCs/>
          <w:color w:val="auto"/>
        </w:rPr>
        <w:t>响应文件</w:t>
      </w:r>
      <w:r>
        <w:rPr>
          <w:rFonts w:hint="eastAsia" w:hAnsi="宋体"/>
          <w:color w:val="auto"/>
        </w:rPr>
        <w:t>的密封状况，采购人或</w:t>
      </w:r>
      <w:r>
        <w:rPr>
          <w:rFonts w:hint="eastAsia" w:hAnsi="宋体"/>
          <w:bCs/>
          <w:color w:val="auto"/>
        </w:rPr>
        <w:t>采购代理机构</w:t>
      </w:r>
      <w:r>
        <w:rPr>
          <w:rFonts w:hint="eastAsia" w:hAnsi="宋体"/>
          <w:color w:val="auto"/>
        </w:rPr>
        <w:t>不当场拆封</w:t>
      </w:r>
      <w:r>
        <w:rPr>
          <w:rFonts w:hint="eastAsia" w:hAnsi="宋体"/>
          <w:bCs/>
          <w:color w:val="auto"/>
        </w:rPr>
        <w:t>响应文件</w:t>
      </w:r>
      <w:r>
        <w:rPr>
          <w:rFonts w:hint="eastAsia" w:hAnsi="宋体"/>
          <w:color w:val="auto"/>
        </w:rPr>
        <w:t>。</w:t>
      </w:r>
    </w:p>
    <w:p w14:paraId="3B70265E">
      <w:pPr>
        <w:adjustRightInd w:val="0"/>
        <w:snapToGrid w:val="0"/>
        <w:spacing w:line="360" w:lineRule="auto"/>
        <w:outlineLvl w:val="9"/>
        <w:rPr>
          <w:rFonts w:ascii="宋体" w:hAnsi="宋体"/>
          <w:b/>
          <w:color w:val="auto"/>
          <w:sz w:val="24"/>
        </w:rPr>
      </w:pPr>
      <w:r>
        <w:rPr>
          <w:rFonts w:hint="eastAsia" w:ascii="宋体" w:hAnsi="宋体"/>
          <w:b/>
          <w:color w:val="auto"/>
          <w:sz w:val="24"/>
        </w:rPr>
        <w:t>五、响应文件的评审与磋商</w:t>
      </w:r>
    </w:p>
    <w:p w14:paraId="6C9A75F1">
      <w:pPr>
        <w:tabs>
          <w:tab w:val="left" w:pos="0"/>
        </w:tabs>
        <w:adjustRightInd w:val="0"/>
        <w:snapToGrid w:val="0"/>
        <w:spacing w:line="360" w:lineRule="auto"/>
        <w:outlineLvl w:val="9"/>
        <w:rPr>
          <w:rFonts w:ascii="宋体" w:hAnsi="宋体"/>
          <w:b/>
          <w:bCs/>
          <w:color w:val="auto"/>
          <w:szCs w:val="21"/>
        </w:rPr>
      </w:pPr>
      <w:r>
        <w:rPr>
          <w:rFonts w:hint="eastAsia" w:ascii="宋体" w:hAnsi="宋体"/>
          <w:b/>
          <w:bCs/>
          <w:color w:val="auto"/>
          <w:szCs w:val="21"/>
        </w:rPr>
        <w:t>24、磋商程序</w:t>
      </w:r>
    </w:p>
    <w:p w14:paraId="7F35CF39">
      <w:pPr>
        <w:tabs>
          <w:tab w:val="left" w:pos="0"/>
        </w:tabs>
        <w:adjustRightInd w:val="0"/>
        <w:snapToGrid w:val="0"/>
        <w:spacing w:line="360" w:lineRule="auto"/>
        <w:ind w:firstLine="308" w:firstLineChars="147"/>
        <w:outlineLvl w:val="9"/>
        <w:rPr>
          <w:rFonts w:ascii="宋体" w:hAnsi="宋体"/>
          <w:b/>
          <w:bCs/>
          <w:color w:val="auto"/>
          <w:szCs w:val="21"/>
        </w:rPr>
      </w:pPr>
      <w:r>
        <w:rPr>
          <w:rFonts w:hint="eastAsia" w:ascii="宋体" w:hAnsi="宋体" w:cs="宋体"/>
          <w:color w:val="auto"/>
          <w:kern w:val="0"/>
          <w:szCs w:val="21"/>
        </w:rPr>
        <w:t>供应商资格审查、磋商（包括澄清、符合性评审查）、综合评分、</w:t>
      </w:r>
      <w:r>
        <w:rPr>
          <w:rFonts w:hint="eastAsia" w:ascii="宋体" w:hAnsi="宋体"/>
          <w:bCs/>
          <w:color w:val="auto"/>
          <w:szCs w:val="21"/>
        </w:rPr>
        <w:t>提出成交候选供应商名单。其中，</w:t>
      </w:r>
      <w:r>
        <w:rPr>
          <w:rFonts w:hint="eastAsia" w:ascii="宋体" w:hAnsi="宋体" w:cs="宋体"/>
          <w:color w:val="auto"/>
          <w:kern w:val="0"/>
          <w:szCs w:val="21"/>
        </w:rPr>
        <w:t>磋商按</w:t>
      </w:r>
      <w:r>
        <w:rPr>
          <w:rFonts w:hint="eastAsia" w:ascii="宋体" w:hAnsi="宋体"/>
          <w:color w:val="auto"/>
          <w:szCs w:val="21"/>
        </w:rPr>
        <w:t>本章第29.1</w:t>
      </w:r>
      <w:r>
        <w:rPr>
          <w:rFonts w:hint="eastAsia" w:ascii="宋体" w:hAnsi="宋体" w:cs="宋体"/>
          <w:color w:val="auto"/>
          <w:kern w:val="0"/>
          <w:szCs w:val="21"/>
          <w:lang w:val="zh-CN"/>
        </w:rPr>
        <w:t>款或者</w:t>
      </w:r>
      <w:r>
        <w:rPr>
          <w:rFonts w:hint="eastAsia" w:ascii="宋体" w:hAnsi="宋体"/>
          <w:color w:val="auto"/>
          <w:szCs w:val="21"/>
        </w:rPr>
        <w:t>第29.2</w:t>
      </w:r>
      <w:r>
        <w:rPr>
          <w:rFonts w:hint="eastAsia" w:ascii="宋体" w:hAnsi="宋体" w:cs="宋体"/>
          <w:color w:val="auto"/>
          <w:kern w:val="0"/>
          <w:szCs w:val="21"/>
          <w:lang w:val="zh-CN"/>
        </w:rPr>
        <w:t>款</w:t>
      </w:r>
      <w:r>
        <w:rPr>
          <w:rFonts w:hint="eastAsia" w:ascii="宋体" w:hAnsi="宋体"/>
          <w:color w:val="auto"/>
          <w:szCs w:val="21"/>
        </w:rPr>
        <w:t>情形</w:t>
      </w:r>
      <w:r>
        <w:rPr>
          <w:rFonts w:hint="eastAsia" w:ascii="宋体" w:hAnsi="宋体"/>
          <w:bCs/>
          <w:color w:val="auto"/>
          <w:szCs w:val="21"/>
        </w:rPr>
        <w:t>进行。</w:t>
      </w:r>
    </w:p>
    <w:p w14:paraId="48DA096C">
      <w:pPr>
        <w:adjustRightInd w:val="0"/>
        <w:snapToGrid w:val="0"/>
        <w:spacing w:beforeLines="50" w:line="360" w:lineRule="auto"/>
        <w:outlineLvl w:val="9"/>
        <w:rPr>
          <w:rFonts w:ascii="宋体" w:hAnsi="宋体"/>
          <w:b/>
          <w:bCs/>
          <w:color w:val="auto"/>
          <w:szCs w:val="21"/>
        </w:rPr>
      </w:pPr>
      <w:r>
        <w:rPr>
          <w:rFonts w:hint="eastAsia" w:ascii="宋体" w:hAnsi="宋体"/>
          <w:b/>
          <w:bCs/>
          <w:color w:val="auto"/>
          <w:szCs w:val="21"/>
        </w:rPr>
        <w:t>25.磋商小组</w:t>
      </w:r>
    </w:p>
    <w:p w14:paraId="0331AD1F">
      <w:pPr>
        <w:adjustRightInd w:val="0"/>
        <w:snapToGrid w:val="0"/>
        <w:spacing w:beforeLines="50" w:line="360" w:lineRule="auto"/>
        <w:ind w:firstLine="420" w:firstLineChars="200"/>
        <w:jc w:val="left"/>
        <w:outlineLvl w:val="9"/>
        <w:rPr>
          <w:rFonts w:ascii="宋体" w:hAnsi="宋体"/>
          <w:color w:val="auto"/>
          <w:szCs w:val="21"/>
        </w:rPr>
      </w:pPr>
      <w:r>
        <w:rPr>
          <w:rFonts w:hint="eastAsia" w:ascii="宋体" w:hAnsi="宋体"/>
          <w:bCs/>
          <w:color w:val="auto"/>
          <w:szCs w:val="21"/>
        </w:rPr>
        <w:t>25.1 采购人与采购代理机构将根据采购项目的特点依法组建磋商小组，其成员由评审</w:t>
      </w:r>
      <w:r>
        <w:rPr>
          <w:rFonts w:hint="eastAsia" w:ascii="宋体" w:hAnsi="宋体"/>
          <w:color w:val="auto"/>
          <w:szCs w:val="21"/>
        </w:rPr>
        <w:t>专家和采购人的代表组成。磋商小组负责对供应商资格进行核查；对响应文件进行审查；与供应商进行磋商、根据综合评分法对供应商的响应文件进行综合评分、推荐成交供应商。</w:t>
      </w:r>
    </w:p>
    <w:p w14:paraId="3806B0EF">
      <w:pPr>
        <w:tabs>
          <w:tab w:val="left" w:pos="0"/>
        </w:tabs>
        <w:adjustRightInd w:val="0"/>
        <w:snapToGrid w:val="0"/>
        <w:spacing w:beforeLines="50" w:line="360" w:lineRule="auto"/>
        <w:outlineLvl w:val="9"/>
        <w:rPr>
          <w:rFonts w:ascii="宋体" w:hAnsi="宋体"/>
          <w:b/>
          <w:color w:val="auto"/>
          <w:szCs w:val="21"/>
        </w:rPr>
      </w:pPr>
      <w:r>
        <w:rPr>
          <w:rFonts w:hint="eastAsia" w:ascii="宋体" w:hAnsi="宋体"/>
          <w:b/>
          <w:color w:val="auto"/>
          <w:szCs w:val="21"/>
        </w:rPr>
        <w:t>26.供应商的</w:t>
      </w:r>
      <w:r>
        <w:rPr>
          <w:rFonts w:hint="eastAsia" w:ascii="宋体" w:hAnsi="宋体"/>
          <w:b/>
          <w:bCs/>
          <w:color w:val="auto"/>
          <w:szCs w:val="21"/>
        </w:rPr>
        <w:t>资格</w:t>
      </w:r>
      <w:r>
        <w:rPr>
          <w:rFonts w:hint="eastAsia" w:ascii="宋体" w:hAnsi="宋体"/>
          <w:b/>
          <w:color w:val="auto"/>
          <w:szCs w:val="21"/>
        </w:rPr>
        <w:t>核查</w:t>
      </w:r>
    </w:p>
    <w:p w14:paraId="4ED43702">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26.1 磋商小组根据磋商文件规定的供应商资格条件要求，对</w:t>
      </w:r>
      <w:r>
        <w:rPr>
          <w:rFonts w:hint="eastAsia" w:ascii="宋体" w:hAnsi="宋体"/>
          <w:color w:val="auto"/>
        </w:rPr>
        <w:t>响应</w:t>
      </w:r>
      <w:r>
        <w:rPr>
          <w:rFonts w:hint="eastAsia" w:ascii="宋体" w:hAnsi="宋体"/>
          <w:color w:val="auto"/>
          <w:szCs w:val="21"/>
        </w:rPr>
        <w:t>文件进行资格核查。供应商不满足资格条件的，在评审时将其视为无效响应。</w:t>
      </w:r>
    </w:p>
    <w:p w14:paraId="0EB1C2E4">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26.2磋商小组可以要求供应商提交有关证明和证件的原件以便核验。</w:t>
      </w:r>
    </w:p>
    <w:p w14:paraId="50DEC784">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27.澄清</w:t>
      </w:r>
    </w:p>
    <w:p w14:paraId="2C841D6C">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供应商的澄清、说明或者更正不得超出磋商文件的范围或者改变响应文件的实质性内容。</w:t>
      </w:r>
    </w:p>
    <w:p w14:paraId="0D617C60">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27.2 最后报价计算错误修正的原则：最后报价</w:t>
      </w:r>
      <w:r>
        <w:rPr>
          <w:rFonts w:hint="eastAsia" w:ascii="宋体" w:hAnsi="宋体" w:cs="Arial"/>
          <w:color w:val="auto"/>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14:paraId="53BD51F3">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28.符合性审查</w:t>
      </w:r>
    </w:p>
    <w:p w14:paraId="50587F89">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s="宋体"/>
          <w:color w:val="auto"/>
          <w:kern w:val="0"/>
          <w:szCs w:val="21"/>
        </w:rPr>
        <w:t>28.1磋商小组按照磋商文件的规定，</w:t>
      </w:r>
      <w:r>
        <w:rPr>
          <w:rFonts w:hint="eastAsia" w:ascii="宋体" w:hAnsi="宋体"/>
          <w:bCs/>
          <w:color w:val="auto"/>
          <w:szCs w:val="21"/>
        </w:rPr>
        <w:t>对</w:t>
      </w:r>
      <w:r>
        <w:rPr>
          <w:rFonts w:hint="eastAsia" w:ascii="宋体" w:hAnsi="宋体" w:cs="宋体"/>
          <w:color w:val="auto"/>
          <w:kern w:val="0"/>
          <w:szCs w:val="21"/>
          <w:lang w:val="zh-CN"/>
        </w:rPr>
        <w:t>供应商</w:t>
      </w:r>
      <w:r>
        <w:rPr>
          <w:rFonts w:hint="eastAsia" w:ascii="宋体" w:hAnsi="宋体"/>
          <w:bCs/>
          <w:color w:val="auto"/>
          <w:szCs w:val="21"/>
        </w:rPr>
        <w:t>响应文件进行符合性审查</w:t>
      </w:r>
      <w:r>
        <w:rPr>
          <w:rFonts w:hint="eastAsia" w:ascii="宋体" w:hAnsi="宋体" w:cs="宋体"/>
          <w:color w:val="auto"/>
          <w:kern w:val="0"/>
          <w:szCs w:val="21"/>
        </w:rPr>
        <w:t>。</w:t>
      </w:r>
    </w:p>
    <w:p w14:paraId="071F6EBB">
      <w:pPr>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bCs/>
          <w:color w:val="auto"/>
          <w:szCs w:val="21"/>
        </w:rPr>
        <w:t>28.2</w:t>
      </w:r>
      <w:r>
        <w:rPr>
          <w:rFonts w:hint="eastAsia" w:ascii="宋体" w:hAnsi="宋体" w:cs="宋体"/>
          <w:color w:val="auto"/>
          <w:kern w:val="0"/>
          <w:szCs w:val="21"/>
          <w:lang w:val="zh-CN"/>
        </w:rPr>
        <w:t>供应商</w:t>
      </w:r>
      <w:r>
        <w:rPr>
          <w:rFonts w:hint="eastAsia" w:ascii="宋体" w:hAnsi="宋体"/>
          <w:bCs/>
          <w:color w:val="auto"/>
          <w:szCs w:val="21"/>
        </w:rPr>
        <w:t>响应文件有下列情况之一，</w:t>
      </w:r>
      <w:r>
        <w:rPr>
          <w:rFonts w:hint="eastAsia" w:ascii="宋体" w:hAnsi="宋体" w:cs="宋体"/>
          <w:color w:val="auto"/>
          <w:kern w:val="0"/>
          <w:szCs w:val="21"/>
          <w:lang w:val="zh-CN"/>
        </w:rPr>
        <w:t>其响应文件无效</w:t>
      </w:r>
      <w:r>
        <w:rPr>
          <w:rFonts w:hint="eastAsia" w:ascii="宋体" w:hAnsi="宋体"/>
          <w:bCs/>
          <w:color w:val="auto"/>
          <w:szCs w:val="21"/>
        </w:rPr>
        <w:t>：</w:t>
      </w:r>
    </w:p>
    <w:p w14:paraId="55086689">
      <w:pPr>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bCs/>
          <w:color w:val="auto"/>
          <w:szCs w:val="21"/>
        </w:rPr>
        <w:t>（1）</w:t>
      </w:r>
      <w:r>
        <w:rPr>
          <w:rFonts w:hint="eastAsia" w:ascii="宋体" w:hAnsi="宋体"/>
          <w:color w:val="auto"/>
          <w:szCs w:val="21"/>
        </w:rPr>
        <w:t>应交未交保证金或金额不足、保函有效期不足、保证金形式或保函出证机构不符合磋商文件要求或未按磋商文件要求交纳保证金的；</w:t>
      </w:r>
    </w:p>
    <w:p w14:paraId="41641EFE">
      <w:pPr>
        <w:tabs>
          <w:tab w:val="left" w:pos="735"/>
          <w:tab w:val="left" w:pos="7560"/>
          <w:tab w:val="left" w:pos="7740"/>
          <w:tab w:val="left" w:pos="7920"/>
        </w:tabs>
        <w:adjustRightInd w:val="0"/>
        <w:snapToGrid w:val="0"/>
        <w:spacing w:beforeLines="50" w:line="360" w:lineRule="auto"/>
        <w:ind w:right="300" w:rightChars="143" w:firstLine="420" w:firstLineChars="200"/>
        <w:outlineLvl w:val="9"/>
        <w:rPr>
          <w:rFonts w:ascii="宋体" w:hAnsi="宋体"/>
          <w:color w:val="auto"/>
          <w:szCs w:val="21"/>
        </w:rPr>
      </w:pPr>
      <w:r>
        <w:rPr>
          <w:rFonts w:hint="eastAsia" w:ascii="宋体" w:hAnsi="宋体"/>
          <w:color w:val="auto"/>
          <w:szCs w:val="21"/>
        </w:rPr>
        <w:t>（2）未按照磋商文件规定要求密封、签署、盖章的；</w:t>
      </w:r>
    </w:p>
    <w:p w14:paraId="54C3482C">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（3）响应文件有效期不足的；</w:t>
      </w:r>
    </w:p>
    <w:p w14:paraId="1D3353CE">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（4）报价超过采购预算价的；</w:t>
      </w:r>
    </w:p>
    <w:p w14:paraId="2B970046">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（5）供应商递交的电子档不符合本磋商文件20.4规定的；</w:t>
      </w:r>
    </w:p>
    <w:p w14:paraId="440E2841">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（6） 供应商未按照本磋商文件第一章磋商通知3.4款规定要求提交供应商资格证明材料的；</w:t>
      </w:r>
    </w:p>
    <w:p w14:paraId="1485303E">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（7）不符合磋商文件★条款的；</w:t>
      </w:r>
    </w:p>
    <w:p w14:paraId="20C507B6">
      <w:pPr>
        <w:ind w:firstLine="420" w:firstLineChars="200"/>
        <w:outlineLvl w:val="9"/>
        <w:rPr>
          <w:rFonts w:ascii="宋体" w:hAnsi="宋体"/>
          <w:color w:val="auto"/>
          <w:szCs w:val="21"/>
        </w:rPr>
      </w:pPr>
      <w:r>
        <w:rPr>
          <w:rFonts w:hint="eastAsia" w:ascii="宋体" w:hAnsi="宋体"/>
          <w:color w:val="auto"/>
          <w:szCs w:val="21"/>
        </w:rPr>
        <w:t>（8）不符合法律、法规和磋商文件规定或符合本磋商文件其他无效响应条款规定的。</w:t>
      </w:r>
    </w:p>
    <w:p w14:paraId="6729D2EE">
      <w:pPr>
        <w:widowControl/>
        <w:adjustRightInd w:val="0"/>
        <w:snapToGrid w:val="0"/>
        <w:spacing w:line="100" w:lineRule="exact"/>
        <w:jc w:val="left"/>
        <w:outlineLvl w:val="9"/>
        <w:rPr>
          <w:rFonts w:ascii="宋体" w:hAnsi="宋体"/>
          <w:bCs/>
          <w:color w:val="auto"/>
          <w:szCs w:val="21"/>
        </w:rPr>
      </w:pPr>
    </w:p>
    <w:p w14:paraId="7DFBE112">
      <w:pPr>
        <w:widowControl/>
        <w:adjustRightInd w:val="0"/>
        <w:snapToGrid w:val="0"/>
        <w:spacing w:line="360" w:lineRule="auto"/>
        <w:ind w:firstLine="315" w:firstLineChars="150"/>
        <w:jc w:val="left"/>
        <w:outlineLvl w:val="9"/>
        <w:rPr>
          <w:rFonts w:ascii="宋体" w:hAnsi="宋体" w:cs="宋体"/>
          <w:color w:val="auto"/>
          <w:kern w:val="0"/>
          <w:szCs w:val="21"/>
        </w:rPr>
      </w:pPr>
      <w:r>
        <w:rPr>
          <w:rFonts w:hint="eastAsia" w:ascii="宋体" w:hAnsi="宋体"/>
          <w:bCs/>
          <w:color w:val="auto"/>
          <w:szCs w:val="21"/>
        </w:rPr>
        <w:t>28.3</w:t>
      </w:r>
      <w:r>
        <w:rPr>
          <w:rFonts w:hint="eastAsia" w:ascii="宋体" w:hAnsi="宋体" w:cs="宋体"/>
          <w:color w:val="auto"/>
          <w:kern w:val="0"/>
          <w:szCs w:val="21"/>
        </w:rPr>
        <w:t>符合性审查结束后</w:t>
      </w:r>
      <w:r>
        <w:rPr>
          <w:rFonts w:hint="eastAsia" w:ascii="宋体" w:hAnsi="宋体"/>
          <w:bCs/>
          <w:color w:val="auto"/>
          <w:szCs w:val="21"/>
        </w:rPr>
        <w:t>，</w:t>
      </w:r>
      <w:r>
        <w:rPr>
          <w:rFonts w:hint="eastAsia" w:ascii="宋体" w:hAnsi="宋体" w:cs="宋体"/>
          <w:color w:val="auto"/>
          <w:kern w:val="0"/>
          <w:szCs w:val="21"/>
        </w:rPr>
        <w:t>磋商小组所有成员集中与单一供应商分别进行磋商，并给予所有参加磋商采购活动的供应商平等的磋商机会。供应商应派其法定代表人或委托代理人参加磋商。</w:t>
      </w:r>
    </w:p>
    <w:p w14:paraId="05DE50E8">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29.磋商</w:t>
      </w:r>
      <w:r>
        <w:rPr>
          <w:rFonts w:hint="eastAsia"/>
          <w:b/>
          <w:color w:val="auto"/>
          <w:lang w:eastAsia="zh-CN"/>
        </w:rPr>
        <w:t>（</w:t>
      </w:r>
      <w:r>
        <w:rPr>
          <w:rFonts w:hint="eastAsia"/>
          <w:b/>
          <w:color w:val="auto"/>
          <w:lang w:val="en-US" w:eastAsia="zh-CN"/>
        </w:rPr>
        <w:t>特别说明：</w:t>
      </w:r>
      <w:r>
        <w:rPr>
          <w:rFonts w:hint="eastAsia" w:ascii="宋体" w:hAnsi="宋体"/>
          <w:b/>
          <w:bCs/>
          <w:color w:val="auto"/>
          <w:szCs w:val="21"/>
          <w:lang w:eastAsia="zh-CN"/>
        </w:rPr>
        <w:t>本项目不进行磋商报价，所涉报价条款不适用。</w:t>
      </w:r>
      <w:r>
        <w:rPr>
          <w:rFonts w:hint="eastAsia"/>
          <w:b/>
          <w:color w:val="auto"/>
          <w:lang w:eastAsia="zh-CN"/>
        </w:rPr>
        <w:t>）</w:t>
      </w:r>
    </w:p>
    <w:p w14:paraId="01912FEC">
      <w:pPr>
        <w:widowControl/>
        <w:adjustRightInd w:val="0"/>
        <w:snapToGrid w:val="0"/>
        <w:spacing w:line="360" w:lineRule="auto"/>
        <w:ind w:firstLine="420"/>
        <w:jc w:val="left"/>
        <w:outlineLvl w:val="9"/>
        <w:rPr>
          <w:rFonts w:ascii="宋体" w:hAnsi="宋体" w:cs="宋体"/>
          <w:color w:val="auto"/>
          <w:kern w:val="0"/>
          <w:szCs w:val="21"/>
          <w:lang w:val="zh-CN"/>
        </w:rPr>
      </w:pPr>
      <w:r>
        <w:rPr>
          <w:rFonts w:hint="eastAsia" w:ascii="宋体" w:hAnsi="宋体" w:cs="宋体"/>
          <w:color w:val="auto"/>
          <w:kern w:val="0"/>
          <w:szCs w:val="21"/>
        </w:rPr>
        <w:t>29.1对于</w:t>
      </w:r>
      <w:r>
        <w:rPr>
          <w:rFonts w:hint="eastAsia" w:ascii="宋体" w:hAnsi="宋体"/>
          <w:color w:val="auto"/>
        </w:rPr>
        <w:t>本章</w:t>
      </w:r>
      <w:r>
        <w:rPr>
          <w:rFonts w:hint="eastAsia" w:ascii="宋体" w:hAnsi="宋体" w:cs="宋体"/>
          <w:color w:val="auto"/>
          <w:kern w:val="0"/>
          <w:szCs w:val="21"/>
        </w:rPr>
        <w:t>未明确磋商文件实质性变动内容，或者磋商文件明确了可能发生实质性变动内容，但在磋商过程中，</w:t>
      </w:r>
      <w:r>
        <w:rPr>
          <w:rFonts w:hint="eastAsia" w:ascii="宋体" w:hAnsi="宋体"/>
          <w:bCs/>
          <w:color w:val="auto"/>
          <w:szCs w:val="21"/>
        </w:rPr>
        <w:t>磋商小组</w:t>
      </w:r>
      <w:r>
        <w:rPr>
          <w:rFonts w:hint="eastAsia" w:ascii="宋体" w:hAnsi="宋体" w:cs="Arial"/>
          <w:color w:val="auto"/>
          <w:kern w:val="0"/>
          <w:szCs w:val="21"/>
        </w:rPr>
        <w:t>根据磋商</w:t>
      </w:r>
      <w:r>
        <w:rPr>
          <w:rFonts w:hint="eastAsia" w:ascii="宋体" w:hAnsi="宋体" w:cs="宋体"/>
          <w:color w:val="auto"/>
          <w:kern w:val="0"/>
          <w:szCs w:val="21"/>
        </w:rPr>
        <w:t>情况</w:t>
      </w:r>
      <w:r>
        <w:rPr>
          <w:rFonts w:hint="eastAsia" w:ascii="宋体" w:hAnsi="宋体"/>
          <w:bCs/>
          <w:color w:val="auto"/>
          <w:szCs w:val="21"/>
        </w:rPr>
        <w:t>认为</w:t>
      </w:r>
      <w:r>
        <w:rPr>
          <w:rFonts w:hint="eastAsia" w:ascii="宋体" w:hAnsi="宋体" w:cs="宋体"/>
          <w:color w:val="auto"/>
          <w:kern w:val="0"/>
          <w:szCs w:val="21"/>
        </w:rPr>
        <w:t>磋商文件无需发生实质性变动的，磋商小组应当</w:t>
      </w:r>
      <w:r>
        <w:rPr>
          <w:rFonts w:hint="eastAsia" w:ascii="宋体" w:hAnsi="宋体"/>
          <w:color w:val="auto"/>
          <w:szCs w:val="21"/>
        </w:rPr>
        <w:t>根据本章第26款、第28</w:t>
      </w:r>
      <w:r>
        <w:rPr>
          <w:rFonts w:hint="eastAsia" w:ascii="宋体" w:hAnsi="宋体" w:cs="宋体"/>
          <w:color w:val="auto"/>
          <w:kern w:val="0"/>
          <w:szCs w:val="21"/>
          <w:lang w:val="zh-CN"/>
        </w:rPr>
        <w:t>款</w:t>
      </w:r>
      <w:r>
        <w:rPr>
          <w:rFonts w:hint="eastAsia" w:ascii="宋体" w:hAnsi="宋体"/>
          <w:color w:val="auto"/>
          <w:szCs w:val="21"/>
        </w:rPr>
        <w:t>规定</w:t>
      </w:r>
      <w:r>
        <w:rPr>
          <w:rFonts w:hint="eastAsia" w:ascii="宋体" w:hAnsi="宋体" w:cs="宋体"/>
          <w:color w:val="auto"/>
          <w:kern w:val="0"/>
          <w:szCs w:val="21"/>
        </w:rPr>
        <w:t>对供应商提交的响应文件进行资格性、符合性审查，直接与实质性响应磋商文件要求的供应商就价格组织多轮磋商。</w:t>
      </w:r>
    </w:p>
    <w:p w14:paraId="76483BB5">
      <w:pPr>
        <w:widowControl/>
        <w:tabs>
          <w:tab w:val="left" w:pos="1080"/>
          <w:tab w:val="left" w:pos="1260"/>
        </w:tabs>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（1）磋商结束后，磋商小组应当要求所有继续参加磋商的供应商在磋商小组规定时间内提交最后报价。</w:t>
      </w:r>
    </w:p>
    <w:p w14:paraId="7C16432D">
      <w:pPr>
        <w:widowControl/>
        <w:tabs>
          <w:tab w:val="left" w:pos="1080"/>
          <w:tab w:val="left" w:pos="1260"/>
        </w:tabs>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（2）磋商文件明确可能发生实质性变动，但在磋商过程中</w:t>
      </w:r>
      <w:r>
        <w:rPr>
          <w:rFonts w:hint="eastAsia" w:ascii="宋体" w:hAnsi="宋体"/>
          <w:bCs/>
          <w:color w:val="auto"/>
          <w:szCs w:val="21"/>
        </w:rPr>
        <w:t>磋商小组</w:t>
      </w:r>
      <w:r>
        <w:rPr>
          <w:rFonts w:hint="eastAsia" w:ascii="宋体" w:hAnsi="宋体" w:cs="Arial"/>
          <w:color w:val="auto"/>
          <w:kern w:val="0"/>
          <w:szCs w:val="21"/>
        </w:rPr>
        <w:t>根据磋内</w:t>
      </w:r>
      <w:r>
        <w:rPr>
          <w:rFonts w:hint="eastAsia" w:ascii="宋体" w:hAnsi="宋体" w:cs="宋体"/>
          <w:color w:val="auto"/>
          <w:kern w:val="0"/>
          <w:szCs w:val="21"/>
        </w:rPr>
        <w:t>情况</w:t>
      </w:r>
      <w:r>
        <w:rPr>
          <w:rFonts w:hint="eastAsia" w:ascii="宋体" w:hAnsi="宋体"/>
          <w:bCs/>
          <w:color w:val="auto"/>
          <w:szCs w:val="21"/>
        </w:rPr>
        <w:t>认为</w:t>
      </w:r>
      <w:r>
        <w:rPr>
          <w:rFonts w:hint="eastAsia" w:ascii="宋体" w:hAnsi="宋体" w:cs="宋体"/>
          <w:color w:val="auto"/>
          <w:kern w:val="0"/>
          <w:szCs w:val="21"/>
        </w:rPr>
        <w:t>磋商文件无需发生实质性变动的，磋商小组不另行通知。</w:t>
      </w:r>
    </w:p>
    <w:p w14:paraId="22ED7184">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29.2对于</w:t>
      </w:r>
      <w:r>
        <w:rPr>
          <w:rFonts w:hint="eastAsia" w:ascii="宋体" w:hAnsi="宋体"/>
          <w:color w:val="auto"/>
        </w:rPr>
        <w:t>本章</w:t>
      </w:r>
      <w:r>
        <w:rPr>
          <w:rFonts w:hint="eastAsia" w:ascii="宋体" w:hAnsi="宋体" w:cs="宋体"/>
          <w:color w:val="auto"/>
          <w:kern w:val="0"/>
          <w:szCs w:val="21"/>
        </w:rPr>
        <w:t>明确磋商文件实质性变动内容，且在磋商过程中磋商文件实质性内容发生变动的，</w:t>
      </w:r>
      <w:r>
        <w:rPr>
          <w:rFonts w:hint="eastAsia" w:ascii="宋体" w:hAnsi="宋体"/>
          <w:bCs/>
          <w:color w:val="auto"/>
          <w:szCs w:val="21"/>
        </w:rPr>
        <w:t>磋商小组</w:t>
      </w:r>
      <w:r>
        <w:rPr>
          <w:rFonts w:hint="eastAsia" w:ascii="宋体" w:hAnsi="宋体" w:cs="宋体"/>
          <w:color w:val="auto"/>
          <w:kern w:val="0"/>
          <w:szCs w:val="21"/>
        </w:rPr>
        <w:t>可以组织多轮磋商。</w:t>
      </w:r>
      <w:r>
        <w:rPr>
          <w:rFonts w:hint="eastAsia" w:ascii="宋体" w:hAnsi="宋体"/>
          <w:bCs/>
          <w:color w:val="auto"/>
          <w:szCs w:val="21"/>
        </w:rPr>
        <w:t>在每一轮磋商中，磋商小组</w:t>
      </w:r>
      <w:r>
        <w:rPr>
          <w:rFonts w:hint="eastAsia" w:ascii="宋体" w:hAnsi="宋体" w:cs="宋体"/>
          <w:color w:val="auto"/>
          <w:kern w:val="0"/>
          <w:szCs w:val="21"/>
        </w:rPr>
        <w:t>可以</w:t>
      </w:r>
      <w:r>
        <w:rPr>
          <w:rFonts w:hint="eastAsia" w:ascii="宋体" w:hAnsi="宋体" w:cs="Arial"/>
          <w:color w:val="auto"/>
          <w:kern w:val="0"/>
          <w:szCs w:val="21"/>
        </w:rPr>
        <w:t>根据</w:t>
      </w:r>
      <w:r>
        <w:rPr>
          <w:rFonts w:hint="eastAsia" w:ascii="宋体" w:hAnsi="宋体" w:cs="宋体"/>
          <w:color w:val="auto"/>
          <w:kern w:val="0"/>
          <w:szCs w:val="21"/>
        </w:rPr>
        <w:t>磋商文件规定和磋商情况，</w:t>
      </w:r>
      <w:r>
        <w:rPr>
          <w:rFonts w:hint="eastAsia" w:ascii="宋体" w:hAnsi="宋体"/>
          <w:bCs/>
          <w:color w:val="auto"/>
          <w:szCs w:val="21"/>
        </w:rPr>
        <w:t>对磋商文件的</w:t>
      </w:r>
      <w:r>
        <w:rPr>
          <w:rFonts w:hint="eastAsia" w:ascii="宋体" w:hAnsi="宋体" w:cs="宋体"/>
          <w:color w:val="auto"/>
          <w:kern w:val="0"/>
          <w:szCs w:val="21"/>
        </w:rPr>
        <w:t>采购需求中的技术、服务要求以及合同草案条款</w:t>
      </w:r>
      <w:r>
        <w:rPr>
          <w:rFonts w:hint="eastAsia" w:ascii="宋体" w:hAnsi="宋体"/>
          <w:bCs/>
          <w:color w:val="auto"/>
          <w:szCs w:val="21"/>
        </w:rPr>
        <w:t>作实质性变动(磋商文件的实质性变动内容为磋商文件的组成部分)，并以书面形式要求</w:t>
      </w:r>
      <w:r>
        <w:rPr>
          <w:rFonts w:hint="eastAsia" w:ascii="宋体" w:hAnsi="宋体" w:cs="宋体"/>
          <w:color w:val="auto"/>
          <w:kern w:val="0"/>
          <w:szCs w:val="21"/>
        </w:rPr>
        <w:t>符合性审查合格</w:t>
      </w:r>
      <w:r>
        <w:rPr>
          <w:rFonts w:hint="eastAsia" w:ascii="宋体" w:hAnsi="宋体"/>
          <w:bCs/>
          <w:color w:val="auto"/>
          <w:szCs w:val="21"/>
        </w:rPr>
        <w:t>的供应商，在规定的</w:t>
      </w:r>
      <w:r>
        <w:rPr>
          <w:rFonts w:hint="eastAsia" w:ascii="宋体" w:hAnsi="宋体" w:cs="宋体"/>
          <w:color w:val="auto"/>
          <w:kern w:val="0"/>
          <w:szCs w:val="21"/>
        </w:rPr>
        <w:t>截止时间前</w:t>
      </w:r>
      <w:r>
        <w:rPr>
          <w:rFonts w:hint="eastAsia" w:ascii="宋体" w:hAnsi="宋体"/>
          <w:bCs/>
          <w:color w:val="auto"/>
          <w:szCs w:val="21"/>
        </w:rPr>
        <w:t>重</w:t>
      </w:r>
      <w:r>
        <w:rPr>
          <w:rFonts w:hint="eastAsia" w:ascii="宋体" w:hAnsi="宋体" w:cs="宋体"/>
          <w:color w:val="auto"/>
          <w:kern w:val="0"/>
          <w:szCs w:val="21"/>
        </w:rPr>
        <w:t>新提交响应文件</w:t>
      </w:r>
      <w:r>
        <w:rPr>
          <w:rFonts w:hint="eastAsia" w:ascii="宋体" w:hAnsi="宋体"/>
          <w:bCs/>
          <w:color w:val="auto"/>
          <w:szCs w:val="21"/>
        </w:rPr>
        <w:t>。</w:t>
      </w:r>
      <w:r>
        <w:rPr>
          <w:rFonts w:hint="eastAsia" w:ascii="宋体" w:hAnsi="宋体" w:cs="宋体"/>
          <w:color w:val="auto"/>
          <w:kern w:val="0"/>
          <w:szCs w:val="21"/>
        </w:rPr>
        <w:t>磋商小组应当</w:t>
      </w:r>
      <w:r>
        <w:rPr>
          <w:rFonts w:hint="eastAsia" w:ascii="宋体" w:hAnsi="宋体"/>
          <w:color w:val="auto"/>
          <w:szCs w:val="21"/>
        </w:rPr>
        <w:t>根据本章第28.1、28.2</w:t>
      </w:r>
      <w:r>
        <w:rPr>
          <w:rFonts w:hint="eastAsia" w:ascii="宋体" w:hAnsi="宋体" w:cs="宋体"/>
          <w:color w:val="auto"/>
          <w:kern w:val="0"/>
          <w:szCs w:val="21"/>
          <w:lang w:val="zh-CN"/>
        </w:rPr>
        <w:t>款</w:t>
      </w:r>
      <w:r>
        <w:rPr>
          <w:rFonts w:hint="eastAsia" w:ascii="宋体" w:hAnsi="宋体"/>
          <w:color w:val="auto"/>
          <w:szCs w:val="21"/>
        </w:rPr>
        <w:t>规定</w:t>
      </w:r>
      <w:r>
        <w:rPr>
          <w:rFonts w:hint="eastAsia" w:ascii="宋体" w:hAnsi="宋体" w:cs="宋体"/>
          <w:color w:val="auto"/>
          <w:kern w:val="0"/>
          <w:szCs w:val="21"/>
        </w:rPr>
        <w:t>对供应商重新提交的响应文件进行符合性审查。供应商重新提交的响应文件未通过符合性审查的，不得进入下一轮磋商，也不得要求提交最后报价。</w:t>
      </w:r>
    </w:p>
    <w:p w14:paraId="6854B902">
      <w:pPr>
        <w:adjustRightInd w:val="0"/>
        <w:snapToGrid w:val="0"/>
        <w:spacing w:line="360" w:lineRule="auto"/>
        <w:ind w:firstLine="420" w:firstLineChars="200"/>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（1）磋商文件能够详细列明采购需求的技术、服务要求的，磋商结束后，磋商小组应当要求所有继续参加磋商的供应商在规定时间内提交最后报价。</w:t>
      </w:r>
    </w:p>
    <w:p w14:paraId="03D2F92C">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969F739">
      <w:pPr>
        <w:widowControl/>
        <w:adjustRightInd w:val="0"/>
        <w:snapToGrid w:val="0"/>
        <w:spacing w:line="360" w:lineRule="auto"/>
        <w:ind w:firstLine="420"/>
        <w:jc w:val="left"/>
        <w:outlineLvl w:val="9"/>
        <w:rPr>
          <w:rFonts w:hint="eastAsia" w:ascii="宋体" w:hAnsi="宋体" w:eastAsia="宋体"/>
          <w:bCs/>
          <w:color w:val="auto"/>
          <w:szCs w:val="21"/>
          <w:lang w:eastAsia="zh-CN"/>
        </w:rPr>
      </w:pPr>
      <w:r>
        <w:rPr>
          <w:rFonts w:hint="eastAsia" w:ascii="宋体" w:hAnsi="宋体"/>
          <w:bCs/>
          <w:color w:val="auto"/>
          <w:szCs w:val="21"/>
        </w:rPr>
        <w:t>29.3</w:t>
      </w:r>
      <w:r>
        <w:rPr>
          <w:rFonts w:hint="eastAsia" w:ascii="宋体" w:hAnsi="宋体"/>
          <w:color w:val="auto"/>
        </w:rPr>
        <w:t xml:space="preserve"> </w:t>
      </w:r>
      <w:r>
        <w:rPr>
          <w:rFonts w:hint="eastAsia" w:ascii="宋体" w:hAnsi="宋体"/>
          <w:bCs/>
          <w:color w:val="auto"/>
        </w:rPr>
        <w:t>重</w:t>
      </w:r>
      <w:r>
        <w:rPr>
          <w:rFonts w:hint="eastAsia" w:ascii="宋体" w:hAnsi="宋体" w:cs="宋体"/>
          <w:color w:val="auto"/>
          <w:kern w:val="0"/>
        </w:rPr>
        <w:t>新提交的响应文件</w:t>
      </w:r>
      <w:r>
        <w:rPr>
          <w:rFonts w:hint="eastAsia" w:ascii="宋体" w:hAnsi="宋体"/>
          <w:color w:val="auto"/>
        </w:rPr>
        <w:t>或者最后报价应按</w:t>
      </w:r>
      <w:r>
        <w:rPr>
          <w:rFonts w:hint="eastAsia" w:ascii="宋体" w:hAnsi="宋体" w:cs="宋体"/>
          <w:color w:val="auto"/>
          <w:kern w:val="0"/>
          <w:szCs w:val="21"/>
        </w:rPr>
        <w:t>本章第20</w:t>
      </w:r>
      <w:r>
        <w:rPr>
          <w:rFonts w:hint="eastAsia" w:ascii="宋体" w:hAnsi="宋体"/>
          <w:color w:val="auto"/>
        </w:rPr>
        <w:t>.3</w:t>
      </w:r>
      <w:r>
        <w:rPr>
          <w:rFonts w:hint="eastAsia" w:ascii="宋体" w:hAnsi="宋体" w:cs="宋体"/>
          <w:color w:val="auto"/>
          <w:kern w:val="0"/>
          <w:szCs w:val="21"/>
          <w:lang w:val="zh-CN"/>
        </w:rPr>
        <w:t>款</w:t>
      </w:r>
      <w:r>
        <w:rPr>
          <w:rFonts w:hint="eastAsia" w:ascii="宋体" w:hAnsi="宋体"/>
          <w:color w:val="auto"/>
        </w:rPr>
        <w:t>规定，</w:t>
      </w:r>
      <w:r>
        <w:rPr>
          <w:rFonts w:hint="eastAsia" w:ascii="宋体" w:hAnsi="宋体" w:cs="宋体"/>
          <w:color w:val="auto"/>
          <w:kern w:val="0"/>
          <w:szCs w:val="21"/>
        </w:rPr>
        <w:t>由其法定代表人或其委托代理人签字或者加盖</w:t>
      </w:r>
      <w:r>
        <w:rPr>
          <w:rFonts w:hint="eastAsia" w:ascii="宋体" w:hAnsi="宋体" w:cs="宋体"/>
          <w:color w:val="auto"/>
          <w:kern w:val="0"/>
        </w:rPr>
        <w:t>供应商单位</w:t>
      </w:r>
      <w:r>
        <w:rPr>
          <w:rFonts w:hint="eastAsia" w:ascii="宋体" w:hAnsi="宋体" w:cs="宋体"/>
          <w:color w:val="auto"/>
          <w:kern w:val="0"/>
          <w:szCs w:val="21"/>
        </w:rPr>
        <w:t>章，在规定时间内密封递交给磋商小组</w:t>
      </w:r>
      <w:r>
        <w:rPr>
          <w:rFonts w:hint="eastAsia" w:ascii="宋体" w:hAnsi="宋体"/>
          <w:bCs/>
          <w:color w:val="auto"/>
          <w:szCs w:val="21"/>
        </w:rPr>
        <w:t>。</w:t>
      </w:r>
    </w:p>
    <w:p w14:paraId="3091D38F">
      <w:pPr>
        <w:widowControl/>
        <w:adjustRightInd w:val="0"/>
        <w:snapToGrid w:val="0"/>
        <w:spacing w:line="360" w:lineRule="auto"/>
        <w:ind w:firstLine="420"/>
        <w:jc w:val="left"/>
        <w:outlineLvl w:val="9"/>
        <w:rPr>
          <w:rFonts w:hint="eastAsia" w:ascii="宋体" w:hAnsi="宋体" w:eastAsia="宋体"/>
          <w:bCs/>
          <w:color w:val="auto"/>
          <w:szCs w:val="21"/>
          <w:lang w:eastAsia="zh-CN"/>
        </w:rPr>
      </w:pPr>
      <w:r>
        <w:rPr>
          <w:rFonts w:hint="eastAsia" w:ascii="宋体" w:hAnsi="宋体" w:cs="宋体"/>
          <w:color w:val="auto"/>
          <w:kern w:val="0"/>
          <w:szCs w:val="21"/>
        </w:rPr>
        <w:t>29.4最后报价。</w:t>
      </w:r>
      <w:r>
        <w:rPr>
          <w:rFonts w:hint="eastAsia" w:ascii="宋体" w:hAnsi="宋体"/>
          <w:bCs/>
          <w:color w:val="auto"/>
          <w:szCs w:val="21"/>
        </w:rPr>
        <w:t>最后报价是供应商响应文件的有效组成部分。磋商文件能够详细列明采购标的的技术、服务要求的，磋商结束后，磋商小组应当要求所有实质性响应的供应商在规定时间内提交最后报价，提交最后报价的供应商不得少于3家。市场竞争不充分的科研项目，以及需要扶持的科技成果转化项目，提交最后报价的供应商可以为2家。</w:t>
      </w:r>
      <w:r>
        <w:rPr>
          <w:rFonts w:hint="eastAsia" w:ascii="宋体" w:hAnsi="宋体" w:cs="宋体"/>
          <w:color w:val="auto"/>
          <w:kern w:val="0"/>
          <w:szCs w:val="21"/>
          <w:lang w:val="zh-CN"/>
        </w:rPr>
        <w:t>供应商的</w:t>
      </w:r>
      <w:r>
        <w:rPr>
          <w:rFonts w:hint="eastAsia" w:ascii="宋体" w:hAnsi="宋体"/>
          <w:bCs/>
          <w:color w:val="auto"/>
          <w:szCs w:val="21"/>
        </w:rPr>
        <w:t>最</w:t>
      </w:r>
      <w:r>
        <w:rPr>
          <w:rFonts w:hint="eastAsia" w:ascii="宋体" w:hAnsi="宋体" w:cs="宋体"/>
          <w:color w:val="auto"/>
          <w:kern w:val="0"/>
          <w:szCs w:val="21"/>
          <w:lang w:val="zh-CN"/>
        </w:rPr>
        <w:t>后</w:t>
      </w:r>
      <w:r>
        <w:rPr>
          <w:rFonts w:hint="eastAsia" w:ascii="宋体" w:hAnsi="宋体"/>
          <w:bCs/>
          <w:color w:val="auto"/>
          <w:szCs w:val="21"/>
        </w:rPr>
        <w:t>报价</w:t>
      </w:r>
      <w:r>
        <w:rPr>
          <w:rFonts w:hint="eastAsia" w:ascii="宋体" w:hAnsi="宋体" w:cs="宋体"/>
          <w:color w:val="auto"/>
          <w:kern w:val="0"/>
          <w:szCs w:val="21"/>
        </w:rPr>
        <w:t>，磋商小组应召集所有参加最后报价的供应商当场开封</w:t>
      </w:r>
      <w:r>
        <w:rPr>
          <w:rFonts w:hint="eastAsia" w:ascii="宋体" w:hAnsi="宋体"/>
          <w:bCs/>
          <w:color w:val="auto"/>
          <w:szCs w:val="21"/>
        </w:rPr>
        <w:t>公布，并由供应商代表签字确认。</w:t>
      </w:r>
    </w:p>
    <w:p w14:paraId="1A068C42">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29.5提交响应文件的供应商，在提交最后报价之前，可以根据磋商情况退出磋商，</w:t>
      </w:r>
      <w:r>
        <w:rPr>
          <w:rFonts w:hint="eastAsia" w:ascii="宋体" w:hAnsi="宋体" w:cs="宋体"/>
          <w:color w:val="auto"/>
          <w:kern w:val="0"/>
        </w:rPr>
        <w:t>并</w:t>
      </w:r>
      <w:r>
        <w:rPr>
          <w:rFonts w:hint="eastAsia" w:ascii="宋体" w:hAnsi="宋体" w:cs="宋体"/>
          <w:bCs/>
          <w:color w:val="auto"/>
          <w:kern w:val="0"/>
        </w:rPr>
        <w:t>书面通知采购代理机构或者磋商小组。</w:t>
      </w:r>
      <w:r>
        <w:rPr>
          <w:rFonts w:hint="eastAsia" w:ascii="宋体" w:hAnsi="宋体"/>
          <w:bCs/>
          <w:color w:val="auto"/>
        </w:rPr>
        <w:t>该通知由供应商法定代表人或其委托代理人签字。</w:t>
      </w:r>
      <w:r>
        <w:rPr>
          <w:rFonts w:hint="eastAsia" w:ascii="宋体" w:hAnsi="宋体" w:cs="宋体"/>
          <w:bCs/>
          <w:color w:val="auto"/>
          <w:kern w:val="0"/>
          <w:szCs w:val="21"/>
        </w:rPr>
        <w:t>采购代</w:t>
      </w:r>
      <w:r>
        <w:rPr>
          <w:rFonts w:hint="eastAsia" w:ascii="宋体" w:hAnsi="宋体" w:cs="宋体"/>
          <w:color w:val="auto"/>
          <w:kern w:val="0"/>
          <w:szCs w:val="21"/>
        </w:rPr>
        <w:t>理机构</w:t>
      </w:r>
      <w:r>
        <w:rPr>
          <w:rFonts w:hint="eastAsia" w:ascii="宋体" w:hAnsi="宋体" w:cs="宋体"/>
          <w:color w:val="auto"/>
          <w:kern w:val="0"/>
        </w:rPr>
        <w:t>按</w:t>
      </w:r>
      <w:r>
        <w:rPr>
          <w:rFonts w:hint="eastAsia" w:ascii="宋体" w:hAnsi="宋体" w:cs="宋体"/>
          <w:color w:val="auto"/>
          <w:kern w:val="0"/>
          <w:szCs w:val="21"/>
        </w:rPr>
        <w:t>本章第</w:t>
      </w:r>
      <w:r>
        <w:rPr>
          <w:rFonts w:hint="eastAsia" w:ascii="宋体" w:hAnsi="宋体"/>
          <w:color w:val="auto"/>
        </w:rPr>
        <w:t>18.4</w:t>
      </w:r>
      <w:r>
        <w:rPr>
          <w:rFonts w:hint="eastAsia" w:ascii="宋体" w:hAnsi="宋体" w:cs="宋体"/>
          <w:color w:val="auto"/>
          <w:kern w:val="0"/>
          <w:szCs w:val="21"/>
          <w:lang w:val="zh-CN"/>
        </w:rPr>
        <w:t>款</w:t>
      </w:r>
      <w:r>
        <w:rPr>
          <w:rFonts w:hint="eastAsia" w:ascii="宋体" w:hAnsi="宋体"/>
          <w:color w:val="auto"/>
        </w:rPr>
        <w:t>规定</w:t>
      </w:r>
      <w:r>
        <w:rPr>
          <w:rFonts w:hint="eastAsia" w:ascii="宋体" w:hAnsi="宋体" w:cs="宋体"/>
          <w:color w:val="auto"/>
          <w:kern w:val="0"/>
          <w:szCs w:val="21"/>
        </w:rPr>
        <w:t>退还退出磋商的供应商的保证金。</w:t>
      </w:r>
    </w:p>
    <w:p w14:paraId="4198FF17">
      <w:pPr>
        <w:adjustRightInd w:val="0"/>
        <w:snapToGrid w:val="0"/>
        <w:spacing w:line="360" w:lineRule="auto"/>
        <w:ind w:firstLine="420" w:firstLineChars="200"/>
        <w:outlineLvl w:val="9"/>
        <w:rPr>
          <w:rFonts w:hint="eastAsia" w:ascii="宋体" w:hAnsi="宋体" w:eastAsia="宋体" w:cs="宋体"/>
          <w:color w:val="auto"/>
          <w:kern w:val="0"/>
          <w:szCs w:val="21"/>
          <w:lang w:eastAsia="zh-CN"/>
        </w:rPr>
      </w:pPr>
      <w:r>
        <w:rPr>
          <w:rFonts w:hint="eastAsia" w:ascii="宋体" w:hAnsi="宋体"/>
          <w:bCs/>
          <w:color w:val="auto"/>
          <w:szCs w:val="21"/>
        </w:rPr>
        <w:t>29.6</w:t>
      </w:r>
      <w:r>
        <w:rPr>
          <w:rFonts w:hint="eastAsia" w:ascii="宋体" w:hAnsi="宋体" w:cs="宋体"/>
          <w:color w:val="auto"/>
          <w:kern w:val="0"/>
          <w:szCs w:val="21"/>
        </w:rPr>
        <w:t>提交首次响应文件的供应商，未按磋商文件规定及磋商小组要求提交最后报价(或者</w:t>
      </w:r>
      <w:r>
        <w:rPr>
          <w:rFonts w:hint="eastAsia" w:ascii="宋体" w:hAnsi="宋体"/>
          <w:bCs/>
          <w:color w:val="auto"/>
          <w:szCs w:val="21"/>
        </w:rPr>
        <w:t>重</w:t>
      </w:r>
      <w:r>
        <w:rPr>
          <w:rFonts w:hint="eastAsia" w:ascii="宋体" w:hAnsi="宋体" w:cs="宋体"/>
          <w:color w:val="auto"/>
          <w:kern w:val="0"/>
          <w:szCs w:val="21"/>
        </w:rPr>
        <w:t>新提交的响应文件和最后报价)，且又</w:t>
      </w:r>
      <w:r>
        <w:rPr>
          <w:rFonts w:hint="eastAsia" w:ascii="宋体" w:hAnsi="宋体" w:cs="宋体"/>
          <w:color w:val="auto"/>
          <w:kern w:val="0"/>
        </w:rPr>
        <w:t>未按</w:t>
      </w:r>
      <w:r>
        <w:rPr>
          <w:rFonts w:hint="eastAsia" w:ascii="宋体" w:hAnsi="宋体" w:cs="宋体"/>
          <w:color w:val="auto"/>
          <w:kern w:val="0"/>
          <w:szCs w:val="21"/>
        </w:rPr>
        <w:t>本章第</w:t>
      </w:r>
      <w:r>
        <w:rPr>
          <w:rFonts w:hint="eastAsia" w:ascii="宋体" w:hAnsi="宋体"/>
          <w:color w:val="auto"/>
        </w:rPr>
        <w:t>29.5</w:t>
      </w:r>
      <w:r>
        <w:rPr>
          <w:rFonts w:hint="eastAsia" w:ascii="宋体" w:hAnsi="宋体" w:cs="宋体"/>
          <w:color w:val="auto"/>
          <w:kern w:val="0"/>
          <w:szCs w:val="21"/>
          <w:lang w:val="zh-CN"/>
        </w:rPr>
        <w:t>款</w:t>
      </w:r>
      <w:r>
        <w:rPr>
          <w:rFonts w:hint="eastAsia" w:ascii="宋体" w:hAnsi="宋体"/>
          <w:color w:val="auto"/>
        </w:rPr>
        <w:t>规定</w:t>
      </w:r>
      <w:r>
        <w:rPr>
          <w:rFonts w:hint="eastAsia" w:ascii="宋体" w:hAnsi="宋体" w:cs="宋体"/>
          <w:color w:val="auto"/>
          <w:kern w:val="0"/>
          <w:szCs w:val="21"/>
        </w:rPr>
        <w:t>退出磋商的，供应商的保证金不予退还。</w:t>
      </w:r>
    </w:p>
    <w:p w14:paraId="6867BFF7">
      <w:pPr>
        <w:adjustRightInd w:val="0"/>
        <w:snapToGrid w:val="0"/>
        <w:spacing w:line="360" w:lineRule="auto"/>
        <w:outlineLvl w:val="9"/>
        <w:rPr>
          <w:rFonts w:ascii="宋体" w:hAnsi="宋体" w:cs="宋体"/>
          <w:color w:val="auto"/>
          <w:kern w:val="0"/>
          <w:szCs w:val="21"/>
        </w:rPr>
      </w:pPr>
      <w:r>
        <w:rPr>
          <w:rFonts w:hint="eastAsia" w:ascii="宋体" w:hAnsi="宋体" w:cs="宋体"/>
          <w:b/>
          <w:bCs/>
          <w:color w:val="auto"/>
          <w:kern w:val="0"/>
          <w:szCs w:val="21"/>
        </w:rPr>
        <w:t>30．</w:t>
      </w:r>
      <w:r>
        <w:rPr>
          <w:rFonts w:hint="eastAsia" w:ascii="宋体" w:hAnsi="宋体"/>
          <w:b/>
          <w:bCs/>
          <w:color w:val="auto"/>
          <w:szCs w:val="21"/>
        </w:rPr>
        <w:t>磋商方法</w:t>
      </w:r>
      <w:r>
        <w:rPr>
          <w:rFonts w:hint="eastAsia"/>
          <w:b/>
          <w:color w:val="auto"/>
          <w:lang w:eastAsia="zh-CN"/>
        </w:rPr>
        <w:t>（</w:t>
      </w:r>
      <w:r>
        <w:rPr>
          <w:rFonts w:hint="eastAsia"/>
          <w:b/>
          <w:color w:val="auto"/>
          <w:lang w:val="en-US" w:eastAsia="zh-CN"/>
        </w:rPr>
        <w:t>特别说明：</w:t>
      </w:r>
      <w:r>
        <w:rPr>
          <w:rFonts w:hint="eastAsia" w:ascii="宋体" w:hAnsi="宋体"/>
          <w:b/>
          <w:bCs/>
          <w:color w:val="auto"/>
          <w:szCs w:val="21"/>
          <w:lang w:eastAsia="zh-CN"/>
        </w:rPr>
        <w:t>本项目不进行磋商报价，所涉报价条款不适用。</w:t>
      </w:r>
      <w:r>
        <w:rPr>
          <w:rFonts w:hint="eastAsia"/>
          <w:b/>
          <w:color w:val="auto"/>
          <w:lang w:eastAsia="zh-CN"/>
        </w:rPr>
        <w:t>）</w:t>
      </w:r>
    </w:p>
    <w:p w14:paraId="12CBCF25">
      <w:pPr>
        <w:tabs>
          <w:tab w:val="left" w:pos="0"/>
        </w:tabs>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bCs/>
          <w:color w:val="auto"/>
          <w:szCs w:val="21"/>
        </w:rPr>
        <w:t>30.1本项目采取综合评分法，即磋商小组按照磋商文件中规定的磋商方法、</w:t>
      </w:r>
      <w:r>
        <w:rPr>
          <w:rFonts w:hint="eastAsia" w:ascii="宋体" w:hAnsi="宋体"/>
          <w:color w:val="auto"/>
          <w:szCs w:val="21"/>
        </w:rPr>
        <w:t>标准和磋商因素，由经磋商确定最终采购需求，资格性、符合性检查合格的供应商提交最后报价，磋商小组采用综合评分法对提交最后报价的供应商的响应文件和最后报价进行</w:t>
      </w:r>
      <w:r>
        <w:rPr>
          <w:rFonts w:hint="eastAsia" w:ascii="宋体" w:hAnsi="宋体"/>
          <w:bCs/>
          <w:color w:val="auto"/>
          <w:szCs w:val="21"/>
        </w:rPr>
        <w:t>综合比较与评价，</w:t>
      </w:r>
      <w:r>
        <w:rPr>
          <w:rFonts w:hint="eastAsia" w:ascii="宋体" w:hAnsi="宋体"/>
          <w:color w:val="auto"/>
          <w:szCs w:val="21"/>
        </w:rPr>
        <w:t>响应文件能够最大限度的满足磋商文件规定的各项综合评价标准且经评审得分最高的供应商为成交候选供应商的评标方法。</w:t>
      </w:r>
    </w:p>
    <w:p w14:paraId="6750CBFB">
      <w:pPr>
        <w:tabs>
          <w:tab w:val="left" w:pos="0"/>
        </w:tabs>
        <w:adjustRightInd w:val="0"/>
        <w:snapToGrid w:val="0"/>
        <w:spacing w:beforeLines="50" w:line="360" w:lineRule="auto"/>
        <w:ind w:firstLine="420" w:firstLineChars="200"/>
        <w:outlineLvl w:val="9"/>
        <w:rPr>
          <w:rFonts w:ascii="宋体" w:hAnsi="宋体"/>
          <w:color w:val="auto"/>
          <w:szCs w:val="21"/>
        </w:rPr>
      </w:pPr>
      <w:r>
        <w:rPr>
          <w:rFonts w:hint="eastAsia" w:ascii="宋体" w:hAnsi="宋体"/>
          <w:bCs/>
          <w:color w:val="auto"/>
          <w:szCs w:val="21"/>
        </w:rPr>
        <w:t>30.2</w:t>
      </w:r>
      <w:r>
        <w:rPr>
          <w:rFonts w:hint="eastAsia" w:ascii="宋体" w:hAnsi="宋体"/>
          <w:color w:val="auto"/>
          <w:szCs w:val="21"/>
        </w:rPr>
        <w:t>磋商因素：见磋商标准表，但不包括供应商资格条件。</w:t>
      </w:r>
    </w:p>
    <w:p w14:paraId="074319E4">
      <w:pPr>
        <w:widowControl/>
        <w:adjustRightInd w:val="0"/>
        <w:snapToGrid w:val="0"/>
        <w:spacing w:beforeLines="50" w:line="360" w:lineRule="auto"/>
        <w:ind w:firstLine="420" w:firstLineChars="200"/>
        <w:jc w:val="left"/>
        <w:outlineLvl w:val="9"/>
        <w:rPr>
          <w:rFonts w:ascii="宋体" w:hAnsi="宋体"/>
          <w:color w:val="auto"/>
          <w:szCs w:val="21"/>
        </w:rPr>
      </w:pPr>
      <w:r>
        <w:rPr>
          <w:rFonts w:hint="eastAsia" w:ascii="宋体" w:hAnsi="宋体" w:cs="宋体"/>
          <w:color w:val="auto"/>
          <w:kern w:val="0"/>
          <w:szCs w:val="21"/>
        </w:rPr>
        <w:t>30.</w:t>
      </w:r>
      <w:r>
        <w:rPr>
          <w:rFonts w:hint="eastAsia" w:ascii="宋体" w:hAnsi="宋体" w:cs="宋体"/>
          <w:color w:val="auto"/>
          <w:kern w:val="0"/>
          <w:szCs w:val="21"/>
          <w:lang w:val="en-US" w:eastAsia="zh-CN"/>
        </w:rPr>
        <w:t>3</w:t>
      </w:r>
      <w:r>
        <w:rPr>
          <w:rFonts w:hint="eastAsia" w:ascii="宋体" w:hAnsi="宋体"/>
          <w:color w:val="auto"/>
          <w:szCs w:val="21"/>
        </w:rPr>
        <w:t>评审时，磋商小组各成员应当独立对每个供应商的响应</w:t>
      </w:r>
      <w:r>
        <w:rPr>
          <w:rFonts w:hint="eastAsia" w:ascii="宋体" w:hAnsi="宋体"/>
          <w:bCs/>
          <w:color w:val="auto"/>
          <w:szCs w:val="21"/>
        </w:rPr>
        <w:t>文件</w:t>
      </w:r>
      <w:r>
        <w:rPr>
          <w:rFonts w:hint="eastAsia" w:ascii="宋体" w:hAnsi="宋体"/>
          <w:color w:val="auto"/>
          <w:szCs w:val="21"/>
        </w:rPr>
        <w:t>进行评价、评分。</w:t>
      </w:r>
    </w:p>
    <w:p w14:paraId="5F303D88">
      <w:pPr>
        <w:tabs>
          <w:tab w:val="left" w:pos="0"/>
        </w:tabs>
        <w:adjustRightInd w:val="0"/>
        <w:snapToGrid w:val="0"/>
        <w:spacing w:beforeLines="50" w:line="360" w:lineRule="auto"/>
        <w:outlineLvl w:val="9"/>
        <w:rPr>
          <w:rFonts w:ascii="宋体" w:hAnsi="宋体"/>
          <w:b/>
          <w:color w:val="auto"/>
          <w:szCs w:val="21"/>
        </w:rPr>
      </w:pPr>
      <w:r>
        <w:rPr>
          <w:rFonts w:hint="eastAsia" w:ascii="宋体" w:hAnsi="宋体"/>
          <w:b/>
          <w:color w:val="auto"/>
          <w:szCs w:val="21"/>
        </w:rPr>
        <w:t>31.推荐成交候选供应商</w:t>
      </w:r>
    </w:p>
    <w:p w14:paraId="2B86EF67">
      <w:pPr>
        <w:tabs>
          <w:tab w:val="left" w:pos="0"/>
        </w:tabs>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color w:val="auto"/>
          <w:szCs w:val="21"/>
        </w:rPr>
        <w:t>31.1磋商小组推荐响应文件满足磋商文件全部实质性要求且按评审因素的量化指标评审得分</w:t>
      </w:r>
      <w:r>
        <w:rPr>
          <w:rFonts w:hint="eastAsia" w:ascii="宋体" w:hAnsi="宋体"/>
          <w:color w:val="auto"/>
          <w:szCs w:val="21"/>
          <w:lang w:eastAsia="zh-CN"/>
        </w:rPr>
        <w:t>排名</w:t>
      </w:r>
      <w:r>
        <w:rPr>
          <w:rFonts w:hint="eastAsia" w:ascii="宋体" w:hAnsi="宋体"/>
          <w:color w:val="auto"/>
          <w:szCs w:val="21"/>
          <w:lang w:val="en-US" w:eastAsia="zh-CN"/>
        </w:rPr>
        <w:t>推荐</w:t>
      </w:r>
      <w:r>
        <w:rPr>
          <w:rFonts w:hint="eastAsia" w:ascii="宋体" w:hAnsi="宋体"/>
          <w:color w:val="auto"/>
          <w:szCs w:val="21"/>
        </w:rPr>
        <w:t>供应商为成交候选供应商的评审方法，根据综合评分情况，</w:t>
      </w:r>
      <w:r>
        <w:rPr>
          <w:rFonts w:hint="eastAsia" w:ascii="宋体" w:hAnsi="宋体"/>
          <w:bCs/>
          <w:color w:val="auto"/>
          <w:szCs w:val="21"/>
        </w:rPr>
        <w:t>按得分由高到低顺序推荐</w:t>
      </w:r>
      <w:r>
        <w:rPr>
          <w:rFonts w:hint="eastAsia" w:ascii="宋体" w:hAnsi="宋体"/>
          <w:bCs/>
          <w:color w:val="auto"/>
          <w:szCs w:val="21"/>
          <w:lang w:val="en-US" w:eastAsia="zh-CN"/>
        </w:rPr>
        <w:t>3</w:t>
      </w:r>
      <w:r>
        <w:rPr>
          <w:rFonts w:hint="eastAsia" w:ascii="宋体" w:hAnsi="宋体"/>
          <w:bCs/>
          <w:color w:val="auto"/>
          <w:szCs w:val="21"/>
        </w:rPr>
        <w:t>名</w:t>
      </w:r>
      <w:r>
        <w:rPr>
          <w:rFonts w:hint="eastAsia" w:ascii="宋体" w:hAnsi="宋体"/>
          <w:bCs/>
          <w:color w:val="auto"/>
          <w:szCs w:val="21"/>
          <w:lang w:val="en-US" w:eastAsia="zh-CN"/>
        </w:rPr>
        <w:t>及</w:t>
      </w:r>
      <w:r>
        <w:rPr>
          <w:rFonts w:hint="eastAsia" w:ascii="宋体" w:hAnsi="宋体"/>
          <w:bCs/>
          <w:color w:val="auto"/>
          <w:szCs w:val="21"/>
        </w:rPr>
        <w:t>以上成交候选供应商，并编写评审报告。</w:t>
      </w:r>
    </w:p>
    <w:p w14:paraId="1F4832E2">
      <w:pPr>
        <w:tabs>
          <w:tab w:val="left" w:pos="0"/>
        </w:tabs>
        <w:adjustRightInd w:val="0"/>
        <w:snapToGrid w:val="0"/>
        <w:spacing w:line="360" w:lineRule="auto"/>
        <w:outlineLvl w:val="9"/>
        <w:rPr>
          <w:rFonts w:ascii="宋体" w:hAnsi="宋体"/>
          <w:b/>
          <w:bCs/>
          <w:color w:val="auto"/>
          <w:szCs w:val="21"/>
        </w:rPr>
      </w:pPr>
      <w:r>
        <w:rPr>
          <w:rFonts w:hint="eastAsia" w:ascii="宋体" w:hAnsi="宋体"/>
          <w:b/>
          <w:bCs/>
          <w:color w:val="auto"/>
          <w:szCs w:val="21"/>
        </w:rPr>
        <w:t>32.确定成交供应商</w:t>
      </w:r>
    </w:p>
    <w:p w14:paraId="0BEF99AA">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32.1采购代理机构应当在磋商结束后2个工作日内将评审报告送采购人确认。</w:t>
      </w:r>
    </w:p>
    <w:p w14:paraId="080C0893">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 xml:space="preserve">32.2 </w:t>
      </w:r>
      <w:r>
        <w:rPr>
          <w:rFonts w:hint="eastAsia" w:ascii="ˎ̥" w:hAnsi="ˎ̥"/>
          <w:color w:val="auto"/>
        </w:rPr>
        <w:t>采购人应当在收到评审报告后</w:t>
      </w:r>
      <w:r>
        <w:rPr>
          <w:rFonts w:ascii="ˎ̥" w:hAnsi="ˎ̥"/>
          <w:color w:val="auto"/>
        </w:rPr>
        <w:t>5</w:t>
      </w:r>
      <w:r>
        <w:rPr>
          <w:rFonts w:hint="eastAsia" w:ascii="ˎ̥" w:hAnsi="ˎ̥"/>
          <w:color w:val="auto"/>
        </w:rPr>
        <w:t>个工作日内，从评审报告提出的成交候选供应商中，按照</w:t>
      </w:r>
      <w:r>
        <w:rPr>
          <w:rFonts w:hint="eastAsia" w:ascii="宋体" w:hAnsi="宋体"/>
          <w:color w:val="auto"/>
          <w:szCs w:val="21"/>
        </w:rPr>
        <w:t>评审得分</w:t>
      </w:r>
      <w:r>
        <w:rPr>
          <w:rFonts w:hint="eastAsia" w:ascii="宋体" w:hAnsi="宋体"/>
          <w:color w:val="auto"/>
          <w:szCs w:val="21"/>
          <w:lang w:eastAsia="zh-CN"/>
        </w:rPr>
        <w:t>排名</w:t>
      </w:r>
      <w:r>
        <w:rPr>
          <w:rFonts w:hint="eastAsia" w:ascii="ˎ̥" w:hAnsi="ˎ̥"/>
          <w:color w:val="auto"/>
        </w:rPr>
        <w:t>排序由高到低的原则确定成交供应商，也可以书面授权磋商小组直接确定成交供应商。采购人逾期未确定成交供应商且不提出异议的，视为确定评审报告提出的排序供应商为成交供应商</w:t>
      </w:r>
    </w:p>
    <w:p w14:paraId="4D5F586C">
      <w:pPr>
        <w:widowControl/>
        <w:adjustRightInd w:val="0"/>
        <w:snapToGrid w:val="0"/>
        <w:spacing w:line="360" w:lineRule="auto"/>
        <w:ind w:firstLine="420"/>
        <w:jc w:val="left"/>
        <w:outlineLvl w:val="9"/>
        <w:rPr>
          <w:rFonts w:ascii="宋体" w:hAnsi="宋体"/>
          <w:bCs/>
          <w:color w:val="auto"/>
          <w:szCs w:val="21"/>
        </w:rPr>
      </w:pPr>
      <w:r>
        <w:rPr>
          <w:rFonts w:hint="eastAsia" w:ascii="宋体" w:hAnsi="宋体" w:cs="宋体"/>
          <w:color w:val="auto"/>
          <w:kern w:val="0"/>
          <w:szCs w:val="21"/>
        </w:rPr>
        <w:t>32.3最后报价确定遵守本章第</w:t>
      </w:r>
      <w:r>
        <w:rPr>
          <w:rFonts w:hint="eastAsia" w:ascii="宋体" w:hAnsi="宋体"/>
          <w:bCs/>
          <w:color w:val="auto"/>
          <w:szCs w:val="21"/>
        </w:rPr>
        <w:t>30条</w:t>
      </w:r>
      <w:r>
        <w:rPr>
          <w:rFonts w:hint="eastAsia" w:ascii="宋体" w:hAnsi="宋体" w:cs="宋体"/>
          <w:color w:val="auto"/>
          <w:kern w:val="0"/>
          <w:szCs w:val="21"/>
        </w:rPr>
        <w:t>的</w:t>
      </w:r>
      <w:r>
        <w:rPr>
          <w:rFonts w:hint="eastAsia" w:ascii="宋体" w:hAnsi="宋体"/>
          <w:bCs/>
          <w:color w:val="auto"/>
          <w:szCs w:val="21"/>
        </w:rPr>
        <w:t>规定。</w:t>
      </w:r>
    </w:p>
    <w:p w14:paraId="7C4BF19D">
      <w:pPr>
        <w:pStyle w:val="27"/>
        <w:adjustRightInd w:val="0"/>
        <w:snapToGrid w:val="0"/>
        <w:spacing w:line="360" w:lineRule="auto"/>
        <w:ind w:left="632" w:hanging="632" w:hangingChars="300"/>
        <w:outlineLvl w:val="9"/>
        <w:rPr>
          <w:rFonts w:hAnsi="宋体"/>
          <w:b/>
          <w:color w:val="auto"/>
        </w:rPr>
      </w:pPr>
      <w:r>
        <w:rPr>
          <w:rFonts w:hint="eastAsia" w:hAnsi="宋体"/>
          <w:b/>
          <w:color w:val="auto"/>
        </w:rPr>
        <w:t>33.磋商的特殊情形</w:t>
      </w:r>
    </w:p>
    <w:p w14:paraId="6CC4E1D3">
      <w:pPr>
        <w:adjustRightInd w:val="0"/>
        <w:snapToGrid w:val="0"/>
        <w:spacing w:line="360" w:lineRule="auto"/>
        <w:ind w:firstLine="420" w:firstLineChars="200"/>
        <w:outlineLvl w:val="9"/>
        <w:rPr>
          <w:rFonts w:ascii="宋体" w:hAnsi="宋体" w:cs="宋体"/>
          <w:color w:val="auto"/>
          <w:kern w:val="0"/>
          <w:szCs w:val="21"/>
        </w:rPr>
      </w:pPr>
      <w:r>
        <w:rPr>
          <w:rFonts w:hint="eastAsia" w:ascii="宋体" w:hAnsi="宋体"/>
          <w:color w:val="auto"/>
          <w:kern w:val="0"/>
          <w:lang w:val="zh-CN"/>
        </w:rPr>
        <w:t>33.1</w:t>
      </w:r>
      <w:r>
        <w:rPr>
          <w:rFonts w:hint="eastAsia" w:ascii="宋体" w:hAnsi="宋体"/>
          <w:bCs/>
          <w:color w:val="auto"/>
          <w:szCs w:val="21"/>
        </w:rPr>
        <w:t>市场竞争不充分的科研项目，以及需要扶持的科技成果转化项目，</w:t>
      </w:r>
      <w:r>
        <w:rPr>
          <w:rFonts w:hint="eastAsia" w:ascii="宋体" w:hAnsi="宋体" w:cs="宋体"/>
          <w:color w:val="auto"/>
          <w:kern w:val="0"/>
          <w:szCs w:val="21"/>
        </w:rPr>
        <w:t>磋商过程中提交响应文件或者经评审实质性响应磋商文件要求提交最后报价的供应商只有两家时，供应商最低数量可以为两家。</w:t>
      </w:r>
    </w:p>
    <w:p w14:paraId="4DC05C63">
      <w:pPr>
        <w:pStyle w:val="27"/>
        <w:adjustRightInd w:val="0"/>
        <w:snapToGrid w:val="0"/>
        <w:spacing w:line="360" w:lineRule="auto"/>
        <w:ind w:left="632" w:hanging="632" w:hangingChars="300"/>
        <w:outlineLvl w:val="9"/>
        <w:rPr>
          <w:rFonts w:hAnsi="宋体"/>
          <w:b/>
          <w:color w:val="auto"/>
        </w:rPr>
      </w:pPr>
      <w:r>
        <w:rPr>
          <w:rFonts w:hint="eastAsia" w:hAnsi="宋体"/>
          <w:b/>
          <w:color w:val="auto"/>
        </w:rPr>
        <w:t>34.竞争性磋商采购活动终止</w:t>
      </w:r>
    </w:p>
    <w:p w14:paraId="097D58F6">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bCs/>
          <w:color w:val="auto"/>
          <w:szCs w:val="21"/>
        </w:rPr>
        <w:t>34.1</w:t>
      </w:r>
      <w:r>
        <w:rPr>
          <w:rFonts w:hint="eastAsia" w:ascii="宋体" w:hAnsi="宋体" w:cs="宋体"/>
          <w:color w:val="auto"/>
          <w:kern w:val="0"/>
          <w:szCs w:val="21"/>
        </w:rPr>
        <w:t>出现下列情形之一的，采购人或者采购代理机构应当终止竞争性磋商采购活动，</w:t>
      </w:r>
      <w:r>
        <w:rPr>
          <w:rFonts w:hint="eastAsia" w:ascii="宋体" w:hAnsi="宋体"/>
          <w:color w:val="auto"/>
        </w:rPr>
        <w:t>在</w:t>
      </w:r>
      <w:r>
        <w:rPr>
          <w:rFonts w:hint="eastAsia" w:ascii="宋体" w:hAnsi="宋体"/>
          <w:color w:val="auto"/>
          <w:szCs w:val="21"/>
        </w:rPr>
        <w:t>省级以上财政部门</w:t>
      </w:r>
      <w:r>
        <w:rPr>
          <w:rFonts w:hint="eastAsia" w:ascii="宋体" w:hAnsi="宋体"/>
          <w:color w:val="auto"/>
        </w:rPr>
        <w:t>指定的媒体上</w:t>
      </w:r>
      <w:r>
        <w:rPr>
          <w:rFonts w:hint="eastAsia" w:ascii="宋体" w:hAnsi="宋体" w:cs="宋体"/>
          <w:color w:val="auto"/>
          <w:kern w:val="0"/>
          <w:szCs w:val="21"/>
        </w:rPr>
        <w:t xml:space="preserve">发布项目终止公告并说明原因，重新开展采购活动： </w:t>
      </w:r>
    </w:p>
    <w:p w14:paraId="708696D7">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（1）因情况变化，不再符合规定的竞争性磋商采购方式适用情形的；</w:t>
      </w:r>
    </w:p>
    <w:p w14:paraId="713FC9B3">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（2）出现影响采购公正的违法、违规行为的；</w:t>
      </w:r>
    </w:p>
    <w:p w14:paraId="7C6585A2">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（3）除本章33.1款规定情形外，在采购过程中符合竞争要求的供应商或者报价未超过采购预算的供应商不足</w:t>
      </w:r>
      <w:r>
        <w:rPr>
          <w:rFonts w:hint="eastAsia" w:ascii="宋体" w:hAnsi="宋体" w:cs="宋体"/>
          <w:color w:val="auto"/>
          <w:kern w:val="0"/>
          <w:szCs w:val="21"/>
          <w:lang w:val="en-US" w:eastAsia="zh-CN"/>
        </w:rPr>
        <w:t>3</w:t>
      </w:r>
      <w:r>
        <w:rPr>
          <w:rFonts w:hint="eastAsia" w:ascii="宋体" w:hAnsi="宋体" w:cs="宋体"/>
          <w:color w:val="auto"/>
          <w:kern w:val="0"/>
          <w:szCs w:val="21"/>
        </w:rPr>
        <w:t>家的，或者提交最后报价的供应商少于</w:t>
      </w:r>
      <w:r>
        <w:rPr>
          <w:rFonts w:hint="eastAsia" w:ascii="宋体" w:hAnsi="宋体" w:cs="宋体"/>
          <w:color w:val="auto"/>
          <w:kern w:val="0"/>
          <w:szCs w:val="21"/>
          <w:lang w:val="en-US" w:eastAsia="zh-CN"/>
        </w:rPr>
        <w:t>3</w:t>
      </w:r>
      <w:r>
        <w:rPr>
          <w:rFonts w:hint="eastAsia" w:ascii="宋体" w:hAnsi="宋体" w:cs="宋体"/>
          <w:color w:val="auto"/>
          <w:kern w:val="0"/>
          <w:szCs w:val="21"/>
        </w:rPr>
        <w:t>家的；</w:t>
      </w:r>
    </w:p>
    <w:p w14:paraId="047A914F">
      <w:pPr>
        <w:widowControl/>
        <w:adjustRightInd w:val="0"/>
        <w:snapToGrid w:val="0"/>
        <w:spacing w:line="360" w:lineRule="auto"/>
        <w:ind w:firstLine="420"/>
        <w:jc w:val="left"/>
        <w:outlineLvl w:val="9"/>
        <w:rPr>
          <w:rFonts w:ascii="宋体" w:hAnsi="宋体"/>
          <w:b/>
          <w:bCs/>
          <w:color w:val="auto"/>
          <w:szCs w:val="21"/>
        </w:rPr>
      </w:pPr>
      <w:r>
        <w:rPr>
          <w:rFonts w:hint="eastAsia" w:ascii="宋体" w:hAnsi="宋体" w:cs="宋体"/>
          <w:color w:val="auto"/>
          <w:kern w:val="0"/>
          <w:szCs w:val="21"/>
        </w:rPr>
        <w:t>（4）</w:t>
      </w:r>
      <w:r>
        <w:rPr>
          <w:rFonts w:hint="eastAsia" w:ascii="宋体" w:hAnsi="宋体"/>
          <w:bCs/>
          <w:color w:val="auto"/>
          <w:szCs w:val="21"/>
        </w:rPr>
        <w:t>因重大变故，采购任务取消的。</w:t>
      </w:r>
    </w:p>
    <w:p w14:paraId="759248F1">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35．重新评审</w:t>
      </w:r>
    </w:p>
    <w:p w14:paraId="1DEA4CEA">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35.1除资格性审查认定错误、分值汇总计算错误、分项评分超出评分标准范围、客观分评分不一致、经磋商小组一致认定评分畸高或畸低的情形外，采购人或者采购代理机构不以任何理由组织重新评审。采购人、采购代理机构发现磋商小组未按照磋商文件规定的评定成交的标准进行评审的，应当重新开展采购活动，并同时书面报告本级财政部门。</w:t>
      </w:r>
    </w:p>
    <w:p w14:paraId="0076049E">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36.保密及串通行为</w:t>
      </w:r>
    </w:p>
    <w:p w14:paraId="093E617D">
      <w:pPr>
        <w:adjustRightInd w:val="0"/>
        <w:snapToGrid w:val="0"/>
        <w:spacing w:line="360" w:lineRule="auto"/>
        <w:ind w:firstLine="420" w:firstLineChars="200"/>
        <w:outlineLvl w:val="9"/>
        <w:rPr>
          <w:rFonts w:ascii="宋体" w:hAnsi="宋体"/>
          <w:color w:val="auto"/>
        </w:rPr>
      </w:pPr>
      <w:r>
        <w:rPr>
          <w:rFonts w:hint="eastAsia" w:ascii="宋体" w:hAnsi="宋体"/>
          <w:color w:val="auto"/>
        </w:rPr>
        <w:t>36.1磋商小组成员以及与评审工作有关的人员不得泄露评审情况以及评审过程中获悉的国家秘密、商业秘密。</w:t>
      </w:r>
    </w:p>
    <w:p w14:paraId="1D964B8E">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36.2</w:t>
      </w:r>
      <w:r>
        <w:rPr>
          <w:rFonts w:hint="eastAsia" w:ascii="宋体" w:hAnsi="宋体" w:cs="宋体"/>
          <w:color w:val="auto"/>
          <w:kern w:val="0"/>
          <w:szCs w:val="21"/>
        </w:rPr>
        <w:t>供应商</w:t>
      </w:r>
      <w:r>
        <w:rPr>
          <w:rFonts w:hint="eastAsia" w:ascii="宋体" w:hAnsi="宋体"/>
          <w:color w:val="auto"/>
          <w:szCs w:val="21"/>
        </w:rPr>
        <w:t>不得与</w:t>
      </w:r>
      <w:r>
        <w:rPr>
          <w:rFonts w:hint="eastAsia" w:ascii="宋体" w:hAnsi="宋体" w:cs="宋体"/>
          <w:color w:val="auto"/>
          <w:kern w:val="0"/>
          <w:szCs w:val="21"/>
        </w:rPr>
        <w:t>采购人、采购代理机构、其他供应商恶意</w:t>
      </w:r>
      <w:r>
        <w:rPr>
          <w:rFonts w:hint="eastAsia" w:ascii="宋体" w:hAnsi="宋体"/>
          <w:color w:val="auto"/>
          <w:szCs w:val="21"/>
        </w:rPr>
        <w:t>串通；不得向</w:t>
      </w:r>
      <w:r>
        <w:rPr>
          <w:rFonts w:hint="eastAsia" w:ascii="宋体" w:hAnsi="宋体" w:cs="宋体"/>
          <w:color w:val="auto"/>
          <w:kern w:val="0"/>
          <w:szCs w:val="21"/>
        </w:rPr>
        <w:t>采购人、采购代理机构</w:t>
      </w:r>
      <w:r>
        <w:rPr>
          <w:rFonts w:hint="eastAsia" w:ascii="宋体" w:hAnsi="宋体"/>
          <w:color w:val="auto"/>
          <w:szCs w:val="21"/>
        </w:rPr>
        <w:t>或者磋商小组成员行贿或者提供其他不正当利益；不得提供虚假材料谋取成交；不得以任何方式干扰、影响采购工作。</w:t>
      </w:r>
    </w:p>
    <w:p w14:paraId="24EA0027">
      <w:pPr>
        <w:pStyle w:val="45"/>
        <w:adjustRightInd w:val="0"/>
        <w:snapToGrid w:val="0"/>
        <w:spacing w:before="0" w:beforeAutospacing="0" w:after="0" w:afterAutospacing="0" w:line="360" w:lineRule="auto"/>
        <w:ind w:firstLine="420" w:firstLineChars="200"/>
        <w:outlineLvl w:val="9"/>
        <w:rPr>
          <w:color w:val="auto"/>
          <w:sz w:val="21"/>
          <w:szCs w:val="21"/>
          <w:lang w:val="zh-CN"/>
        </w:rPr>
      </w:pPr>
      <w:r>
        <w:rPr>
          <w:rFonts w:hint="eastAsia" w:cs="Arial"/>
          <w:color w:val="auto"/>
          <w:sz w:val="21"/>
          <w:szCs w:val="21"/>
        </w:rPr>
        <w:t>36.3有下列情形之一的，</w:t>
      </w:r>
      <w:r>
        <w:rPr>
          <w:rFonts w:hint="eastAsia"/>
          <w:color w:val="auto"/>
          <w:sz w:val="21"/>
          <w:szCs w:val="21"/>
          <w:lang w:val="zh-CN"/>
        </w:rPr>
        <w:t>属于恶意串通，</w:t>
      </w:r>
      <w:r>
        <w:rPr>
          <w:rFonts w:hint="eastAsia"/>
          <w:color w:val="auto"/>
          <w:sz w:val="21"/>
          <w:szCs w:val="21"/>
        </w:rPr>
        <w:t>成交无效，并</w:t>
      </w:r>
      <w:r>
        <w:rPr>
          <w:rFonts w:hint="eastAsia"/>
          <w:color w:val="auto"/>
          <w:sz w:val="21"/>
          <w:szCs w:val="21"/>
          <w:lang w:val="zh-CN"/>
        </w:rPr>
        <w:t>依照《政府采购法》第七十七条的规定追究法律责任：</w:t>
      </w:r>
    </w:p>
    <w:p w14:paraId="06E6CB84">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（1）供应商直接或者间接从</w:t>
      </w:r>
      <w:r>
        <w:rPr>
          <w:rFonts w:hint="eastAsia" w:ascii="宋体" w:hAnsi="宋体"/>
          <w:bCs/>
          <w:color w:val="auto"/>
          <w:szCs w:val="21"/>
        </w:rPr>
        <w:t>采购人、采购代理机构</w:t>
      </w:r>
      <w:r>
        <w:rPr>
          <w:rFonts w:hint="eastAsia" w:ascii="宋体" w:hAnsi="宋体"/>
          <w:color w:val="auto"/>
          <w:szCs w:val="21"/>
        </w:rPr>
        <w:t>获得其他供应商的响应情况，并修改其响应文件</w:t>
      </w:r>
      <w:r>
        <w:rPr>
          <w:rFonts w:hint="eastAsia" w:ascii="宋体" w:hAnsi="宋体"/>
          <w:color w:val="auto"/>
        </w:rPr>
        <w:t>的</w:t>
      </w:r>
      <w:r>
        <w:rPr>
          <w:rFonts w:hint="eastAsia" w:ascii="宋体" w:hAnsi="宋体"/>
          <w:color w:val="auto"/>
          <w:szCs w:val="21"/>
        </w:rPr>
        <w:t>；</w:t>
      </w:r>
    </w:p>
    <w:p w14:paraId="2B9FBA81">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w:t>
      </w:r>
      <w:r>
        <w:rPr>
          <w:rFonts w:hint="eastAsia" w:ascii="宋体" w:hAnsi="宋体"/>
          <w:bCs/>
          <w:color w:val="auto"/>
          <w:szCs w:val="21"/>
        </w:rPr>
        <w:t>采购人、采购代理机构</w:t>
      </w:r>
      <w:r>
        <w:rPr>
          <w:rFonts w:hint="eastAsia" w:ascii="宋体" w:hAnsi="宋体"/>
          <w:color w:val="auto"/>
          <w:szCs w:val="21"/>
        </w:rPr>
        <w:t>授意供应商撤换、修改响应文件</w:t>
      </w:r>
      <w:r>
        <w:rPr>
          <w:rFonts w:hint="eastAsia" w:ascii="宋体" w:hAnsi="宋体"/>
          <w:color w:val="auto"/>
        </w:rPr>
        <w:t>的</w:t>
      </w:r>
      <w:r>
        <w:rPr>
          <w:rFonts w:hint="eastAsia" w:ascii="宋体" w:hAnsi="宋体"/>
          <w:color w:val="auto"/>
          <w:szCs w:val="21"/>
        </w:rPr>
        <w:t>；</w:t>
      </w:r>
    </w:p>
    <w:p w14:paraId="3B65DDD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（3）供应商之间协商技术方案、合同条款以及报价等响应文件实质性内容</w:t>
      </w:r>
      <w:r>
        <w:rPr>
          <w:rFonts w:hint="eastAsia" w:ascii="宋体" w:hAnsi="宋体"/>
          <w:color w:val="auto"/>
        </w:rPr>
        <w:t>的</w:t>
      </w:r>
      <w:r>
        <w:rPr>
          <w:rFonts w:hint="eastAsia" w:ascii="宋体" w:hAnsi="宋体"/>
          <w:color w:val="auto"/>
          <w:szCs w:val="21"/>
        </w:rPr>
        <w:t>；</w:t>
      </w:r>
    </w:p>
    <w:p w14:paraId="7CE1D02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（4）属于同一集团、协会、商会等组织成员的供应商按照该组织要求协同参加竞争性磋商政府采购活动</w:t>
      </w:r>
      <w:r>
        <w:rPr>
          <w:rFonts w:hint="eastAsia" w:ascii="宋体" w:hAnsi="宋体"/>
          <w:color w:val="auto"/>
        </w:rPr>
        <w:t>的</w:t>
      </w:r>
      <w:r>
        <w:rPr>
          <w:rFonts w:hint="eastAsia" w:ascii="宋体" w:hAnsi="宋体"/>
          <w:color w:val="auto"/>
          <w:szCs w:val="21"/>
        </w:rPr>
        <w:t>；</w:t>
      </w:r>
    </w:p>
    <w:p w14:paraId="2E055607">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（5）供应商之间事先约定由某一特定供应商成交</w:t>
      </w:r>
      <w:r>
        <w:rPr>
          <w:rFonts w:hint="eastAsia" w:ascii="宋体" w:hAnsi="宋体"/>
          <w:color w:val="auto"/>
        </w:rPr>
        <w:t>的</w:t>
      </w:r>
      <w:r>
        <w:rPr>
          <w:rFonts w:hint="eastAsia" w:ascii="宋体" w:hAnsi="宋体"/>
          <w:color w:val="auto"/>
          <w:szCs w:val="21"/>
        </w:rPr>
        <w:t>；</w:t>
      </w:r>
    </w:p>
    <w:p w14:paraId="00459B5D">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（6）供应商之间商定部分供应商放弃</w:t>
      </w:r>
      <w:r>
        <w:rPr>
          <w:rFonts w:hint="eastAsia" w:ascii="宋体" w:hAnsi="宋体"/>
          <w:color w:val="auto"/>
        </w:rPr>
        <w:t>提</w:t>
      </w:r>
      <w:r>
        <w:rPr>
          <w:rFonts w:hint="eastAsia" w:ascii="宋体" w:hAnsi="宋体"/>
          <w:color w:val="auto"/>
          <w:szCs w:val="21"/>
        </w:rPr>
        <w:t>交响应文件或者退出磋商或者放弃成交</w:t>
      </w:r>
      <w:r>
        <w:rPr>
          <w:rFonts w:hint="eastAsia" w:ascii="宋体" w:hAnsi="宋体"/>
          <w:color w:val="auto"/>
        </w:rPr>
        <w:t>的</w:t>
      </w:r>
      <w:r>
        <w:rPr>
          <w:rFonts w:hint="eastAsia" w:ascii="宋体" w:hAnsi="宋体"/>
          <w:color w:val="auto"/>
          <w:szCs w:val="21"/>
        </w:rPr>
        <w:t>；</w:t>
      </w:r>
    </w:p>
    <w:p w14:paraId="10AF560E">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（7）供应商与</w:t>
      </w:r>
      <w:r>
        <w:rPr>
          <w:rFonts w:hint="eastAsia" w:ascii="宋体" w:hAnsi="宋体"/>
          <w:bCs/>
          <w:color w:val="auto"/>
          <w:szCs w:val="21"/>
        </w:rPr>
        <w:t>采购人、采购代理机构以及</w:t>
      </w:r>
      <w:r>
        <w:rPr>
          <w:rFonts w:hint="eastAsia" w:ascii="宋体" w:hAnsi="宋体"/>
          <w:color w:val="auto"/>
          <w:szCs w:val="21"/>
        </w:rPr>
        <w:t>磋商小组成员之间、供应商相互之间，为谋求特定供应商成交或者排斥其他供应商的其他串通行为</w:t>
      </w:r>
      <w:r>
        <w:rPr>
          <w:rFonts w:hint="eastAsia" w:ascii="宋体" w:hAnsi="宋体"/>
          <w:color w:val="auto"/>
        </w:rPr>
        <w:t>的</w:t>
      </w:r>
      <w:r>
        <w:rPr>
          <w:rFonts w:hint="eastAsia" w:ascii="宋体" w:hAnsi="宋体"/>
          <w:color w:val="auto"/>
          <w:szCs w:val="21"/>
        </w:rPr>
        <w:t>。</w:t>
      </w:r>
    </w:p>
    <w:p w14:paraId="28E58C7C">
      <w:pPr>
        <w:adjustRightInd w:val="0"/>
        <w:snapToGrid w:val="0"/>
        <w:spacing w:line="360" w:lineRule="auto"/>
        <w:ind w:firstLine="420" w:firstLineChars="200"/>
        <w:outlineLvl w:val="9"/>
        <w:rPr>
          <w:rFonts w:ascii="宋体" w:hAnsi="宋体"/>
          <w:color w:val="auto"/>
          <w:szCs w:val="21"/>
        </w:rPr>
      </w:pPr>
      <w:r>
        <w:rPr>
          <w:rFonts w:hint="eastAsia" w:ascii="宋体" w:hAnsi="宋体" w:cs="Arial"/>
          <w:color w:val="auto"/>
          <w:szCs w:val="21"/>
        </w:rPr>
        <w:t>（8）</w:t>
      </w:r>
      <w:r>
        <w:rPr>
          <w:rFonts w:hint="eastAsia" w:ascii="宋体" w:hAnsi="宋体"/>
          <w:color w:val="auto"/>
          <w:szCs w:val="21"/>
        </w:rPr>
        <w:t>法律、行政法规或规章规定的其他串通行为。</w:t>
      </w:r>
    </w:p>
    <w:p w14:paraId="2BABFBF9">
      <w:pPr>
        <w:adjustRightInd w:val="0"/>
        <w:snapToGrid w:val="0"/>
        <w:spacing w:line="360" w:lineRule="auto"/>
        <w:outlineLvl w:val="9"/>
        <w:rPr>
          <w:rFonts w:ascii="宋体" w:hAnsi="宋体"/>
          <w:b/>
          <w:color w:val="auto"/>
          <w:sz w:val="24"/>
        </w:rPr>
      </w:pPr>
      <w:r>
        <w:rPr>
          <w:rFonts w:hint="eastAsia" w:ascii="宋体" w:hAnsi="宋体"/>
          <w:b/>
          <w:color w:val="auto"/>
          <w:sz w:val="24"/>
        </w:rPr>
        <w:t>六、成交结果信息公布与授予合同</w:t>
      </w:r>
    </w:p>
    <w:p w14:paraId="7AF28FA6">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37.成交信息的公布</w:t>
      </w:r>
    </w:p>
    <w:p w14:paraId="23BBBC35">
      <w:pPr>
        <w:pStyle w:val="27"/>
        <w:adjustRightInd w:val="0"/>
        <w:snapToGrid w:val="0"/>
        <w:spacing w:line="360" w:lineRule="auto"/>
        <w:ind w:firstLine="420" w:firstLineChars="200"/>
        <w:outlineLvl w:val="9"/>
        <w:rPr>
          <w:rFonts w:hAnsi="宋体"/>
          <w:color w:val="auto"/>
        </w:rPr>
      </w:pPr>
      <w:r>
        <w:rPr>
          <w:rFonts w:hint="eastAsia" w:hAnsi="宋体"/>
          <w:color w:val="auto"/>
        </w:rPr>
        <w:t>37.1成交供应商确定后2个工作日内，采购人或者采购代理机构应将成交结果信息在</w:t>
      </w:r>
      <w:r>
        <w:rPr>
          <w:rFonts w:hint="eastAsia" w:hAnsi="宋体"/>
          <w:b/>
          <w:color w:val="auto"/>
        </w:rPr>
        <w:t>磋商须知前附表</w:t>
      </w:r>
      <w:r>
        <w:rPr>
          <w:rFonts w:hint="eastAsia" w:hAnsi="宋体"/>
          <w:color w:val="auto"/>
        </w:rPr>
        <w:t>指定的媒体上公布。</w:t>
      </w:r>
    </w:p>
    <w:p w14:paraId="42D3FE83">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38.询问及质疑</w:t>
      </w:r>
    </w:p>
    <w:p w14:paraId="32D1ED79">
      <w:pPr>
        <w:adjustRightInd w:val="0"/>
        <w:snapToGrid w:val="0"/>
        <w:spacing w:line="360" w:lineRule="auto"/>
        <w:ind w:firstLine="420" w:firstLineChars="200"/>
        <w:jc w:val="left"/>
        <w:outlineLvl w:val="9"/>
        <w:rPr>
          <w:rFonts w:ascii="宋体" w:hAnsi="宋体"/>
          <w:color w:val="auto"/>
        </w:rPr>
      </w:pPr>
      <w:r>
        <w:rPr>
          <w:rFonts w:hint="eastAsia" w:ascii="宋体" w:hAnsi="宋体"/>
          <w:color w:val="auto"/>
          <w:szCs w:val="21"/>
        </w:rPr>
        <w:t>38.1供应商对政府采购活动事项有疑问的，可以向采购人或采购代理机构提出询问。</w:t>
      </w:r>
    </w:p>
    <w:p w14:paraId="57EFEF0E">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38.2供应商若认为磋商文件、采购过程和成交结果使自己的权益受到损害，可以按法律、规章及湖南省财政厅规范性文件规定向采购人或采购代理机构提出质疑。</w:t>
      </w:r>
    </w:p>
    <w:p w14:paraId="543C33F3">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39.成交通知</w:t>
      </w:r>
    </w:p>
    <w:p w14:paraId="700F8BCC">
      <w:pPr>
        <w:pStyle w:val="27"/>
        <w:adjustRightInd w:val="0"/>
        <w:snapToGrid w:val="0"/>
        <w:spacing w:line="360" w:lineRule="auto"/>
        <w:ind w:firstLine="420" w:firstLineChars="200"/>
        <w:outlineLvl w:val="9"/>
        <w:rPr>
          <w:rFonts w:hAnsi="宋体"/>
          <w:color w:val="auto"/>
        </w:rPr>
      </w:pPr>
      <w:r>
        <w:rPr>
          <w:rFonts w:hint="eastAsia" w:hAnsi="宋体"/>
          <w:color w:val="auto"/>
        </w:rPr>
        <w:t>39.1成交供应商确定后，采购人或采购代理机构将以书面形式向成交供应商发出成交通知书。成交通知书对采购人和成交供应商具有同等法律效力。</w:t>
      </w:r>
    </w:p>
    <w:p w14:paraId="3936C43F">
      <w:pPr>
        <w:pStyle w:val="27"/>
        <w:adjustRightInd w:val="0"/>
        <w:snapToGrid w:val="0"/>
        <w:spacing w:line="360" w:lineRule="auto"/>
        <w:ind w:firstLine="420" w:firstLineChars="200"/>
        <w:outlineLvl w:val="9"/>
        <w:rPr>
          <w:rFonts w:hAnsi="宋体"/>
          <w:color w:val="auto"/>
        </w:rPr>
      </w:pPr>
      <w:r>
        <w:rPr>
          <w:rFonts w:hint="eastAsia" w:hAnsi="宋体"/>
          <w:color w:val="auto"/>
        </w:rPr>
        <w:t>39.2 成交通知书是合同文件的组成部分。</w:t>
      </w:r>
    </w:p>
    <w:p w14:paraId="210BDEAD">
      <w:pPr>
        <w:tabs>
          <w:tab w:val="left" w:pos="7560"/>
          <w:tab w:val="left" w:pos="7740"/>
          <w:tab w:val="left" w:pos="7920"/>
        </w:tabs>
        <w:autoSpaceDN w:val="0"/>
        <w:adjustRightInd w:val="0"/>
        <w:snapToGrid w:val="0"/>
        <w:spacing w:line="360" w:lineRule="auto"/>
        <w:ind w:firstLine="420" w:firstLineChars="200"/>
        <w:outlineLvl w:val="9"/>
        <w:rPr>
          <w:rFonts w:ascii="宋体" w:hAnsi="宋体"/>
          <w:color w:val="auto"/>
          <w:szCs w:val="21"/>
        </w:rPr>
      </w:pPr>
      <w:r>
        <w:rPr>
          <w:rFonts w:hint="eastAsia" w:ascii="宋体" w:hAnsi="宋体" w:cs="宋体"/>
          <w:color w:val="auto"/>
          <w:kern w:val="0"/>
          <w:szCs w:val="21"/>
        </w:rPr>
        <w:t xml:space="preserve">39.3 </w:t>
      </w:r>
      <w:r>
        <w:rPr>
          <w:rFonts w:hint="eastAsia" w:ascii="宋体" w:hAnsi="宋体"/>
          <w:color w:val="auto"/>
          <w:szCs w:val="21"/>
        </w:rPr>
        <w:t>成交供应商在收到采购代理机构的成交通知书后10日内，应按照</w:t>
      </w:r>
      <w:r>
        <w:rPr>
          <w:rFonts w:hint="eastAsia" w:ascii="宋体" w:hAnsi="宋体"/>
          <w:b/>
          <w:color w:val="auto"/>
          <w:szCs w:val="21"/>
        </w:rPr>
        <w:t>磋商须知前附表</w:t>
      </w:r>
      <w:r>
        <w:rPr>
          <w:rFonts w:hint="eastAsia" w:ascii="宋体" w:hAnsi="宋体"/>
          <w:color w:val="auto"/>
          <w:szCs w:val="21"/>
        </w:rPr>
        <w:t>的规定，向采购人提交履约担保。联合体成交的，履约担保由联合体各方或联合体中牵头人的名义提交。</w:t>
      </w:r>
    </w:p>
    <w:p w14:paraId="4FBC0768">
      <w:pPr>
        <w:pStyle w:val="27"/>
        <w:adjustRightInd w:val="0"/>
        <w:snapToGrid w:val="0"/>
        <w:spacing w:line="360" w:lineRule="auto"/>
        <w:ind w:firstLine="420" w:firstLineChars="200"/>
        <w:outlineLvl w:val="9"/>
        <w:rPr>
          <w:rFonts w:hAnsi="宋体"/>
          <w:color w:val="auto"/>
        </w:rPr>
      </w:pPr>
      <w:r>
        <w:rPr>
          <w:rFonts w:hint="eastAsia" w:hAnsi="宋体"/>
          <w:color w:val="auto"/>
        </w:rPr>
        <w:t>39.4 成交供应商</w:t>
      </w:r>
      <w:r>
        <w:rPr>
          <w:rFonts w:hint="eastAsia" w:hAnsi="宋体"/>
          <w:color w:val="auto"/>
          <w:spacing w:val="4"/>
        </w:rPr>
        <w:t>没有按照本章第38.3</w:t>
      </w:r>
      <w:r>
        <w:rPr>
          <w:rFonts w:hint="eastAsia" w:hAnsi="宋体" w:cs="宋体"/>
          <w:color w:val="auto"/>
          <w:kern w:val="0"/>
          <w:lang w:val="zh-CN"/>
        </w:rPr>
        <w:t>款</w:t>
      </w:r>
      <w:r>
        <w:rPr>
          <w:rFonts w:hint="eastAsia" w:hAnsi="宋体"/>
          <w:color w:val="auto"/>
          <w:spacing w:val="4"/>
        </w:rPr>
        <w:t>规定</w:t>
      </w:r>
      <w:r>
        <w:rPr>
          <w:rFonts w:hint="eastAsia" w:hAnsi="宋体"/>
          <w:color w:val="auto"/>
        </w:rPr>
        <w:t>提交履约担保的</w:t>
      </w:r>
      <w:r>
        <w:rPr>
          <w:rFonts w:hint="eastAsia" w:hAnsi="宋体"/>
          <w:color w:val="auto"/>
          <w:spacing w:val="4"/>
        </w:rPr>
        <w:t>，视为放弃</w:t>
      </w:r>
      <w:r>
        <w:rPr>
          <w:rFonts w:hint="eastAsia" w:hAnsi="宋体"/>
          <w:color w:val="auto"/>
        </w:rPr>
        <w:t>成交资格</w:t>
      </w:r>
      <w:r>
        <w:rPr>
          <w:rFonts w:hint="eastAsia" w:hAnsi="宋体"/>
          <w:color w:val="auto"/>
          <w:spacing w:val="4"/>
        </w:rPr>
        <w:t>，</w:t>
      </w:r>
      <w:r>
        <w:rPr>
          <w:rFonts w:hint="eastAsia" w:hAnsi="宋体"/>
          <w:color w:val="auto"/>
          <w:spacing w:val="2"/>
        </w:rPr>
        <w:t>其保证金不予退还。</w:t>
      </w:r>
    </w:p>
    <w:p w14:paraId="4B1F83FE">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40.签订合同</w:t>
      </w:r>
    </w:p>
    <w:p w14:paraId="755FAEBE">
      <w:pPr>
        <w:pStyle w:val="27"/>
        <w:adjustRightInd w:val="0"/>
        <w:snapToGrid w:val="0"/>
        <w:spacing w:line="360" w:lineRule="auto"/>
        <w:ind w:firstLine="420" w:firstLineChars="200"/>
        <w:outlineLvl w:val="9"/>
        <w:rPr>
          <w:rFonts w:hAnsi="宋体"/>
          <w:color w:val="auto"/>
        </w:rPr>
      </w:pPr>
      <w:r>
        <w:rPr>
          <w:rFonts w:hint="eastAsia" w:hAnsi="宋体"/>
          <w:color w:val="auto"/>
        </w:rPr>
        <w:t>40.1 磋商文件、成交供应商的响应文件及其补充的响应文件等均为签订政府采购合同的依据。</w:t>
      </w:r>
    </w:p>
    <w:p w14:paraId="797A1325">
      <w:pPr>
        <w:pStyle w:val="27"/>
        <w:adjustRightInd w:val="0"/>
        <w:snapToGrid w:val="0"/>
        <w:spacing w:line="360" w:lineRule="auto"/>
        <w:ind w:firstLine="420" w:firstLineChars="200"/>
        <w:outlineLvl w:val="9"/>
        <w:rPr>
          <w:rFonts w:hAnsi="宋体"/>
          <w:color w:val="auto"/>
        </w:rPr>
      </w:pPr>
      <w:r>
        <w:rPr>
          <w:rFonts w:hint="eastAsia" w:hAnsi="宋体"/>
          <w:color w:val="auto"/>
        </w:rPr>
        <w:t>40.2 成交供应商应当在成交通知书发出之日起30日内与采购人签订政府采购合同。</w:t>
      </w:r>
    </w:p>
    <w:p w14:paraId="677088F4">
      <w:pPr>
        <w:pStyle w:val="27"/>
        <w:adjustRightInd w:val="0"/>
        <w:snapToGrid w:val="0"/>
        <w:spacing w:line="360" w:lineRule="auto"/>
        <w:ind w:firstLine="420" w:firstLineChars="200"/>
        <w:outlineLvl w:val="9"/>
        <w:rPr>
          <w:rFonts w:hAnsi="宋体"/>
          <w:color w:val="auto"/>
        </w:rPr>
      </w:pPr>
      <w:r>
        <w:rPr>
          <w:rFonts w:hint="eastAsia" w:hAnsi="宋体"/>
          <w:color w:val="auto"/>
        </w:rPr>
        <w:t>40.3 成交供应商应当按照合同约定履行义务。成交供应商不得向他人转让成交项目，也不得将成交项目分包后分别向他人转让。</w:t>
      </w:r>
    </w:p>
    <w:p w14:paraId="4A0E4D58">
      <w:pPr>
        <w:pStyle w:val="27"/>
        <w:adjustRightInd w:val="0"/>
        <w:snapToGrid w:val="0"/>
        <w:spacing w:line="360" w:lineRule="auto"/>
        <w:ind w:firstLine="420" w:firstLineChars="200"/>
        <w:outlineLvl w:val="9"/>
        <w:rPr>
          <w:rFonts w:hAnsi="宋体"/>
          <w:color w:val="auto"/>
        </w:rPr>
      </w:pPr>
      <w:r>
        <w:rPr>
          <w:rFonts w:hint="eastAsia" w:hAnsi="宋体"/>
          <w:color w:val="auto"/>
        </w:rPr>
        <w:t>40.4 成交供应商有下列情形之一的，责令限期改正，情节严重的，列入不良行为记录名单，在1至3年内禁止参加政府采购活动，并予以通报：</w:t>
      </w:r>
    </w:p>
    <w:p w14:paraId="5660D53B">
      <w:pPr>
        <w:pStyle w:val="27"/>
        <w:adjustRightInd w:val="0"/>
        <w:snapToGrid w:val="0"/>
        <w:spacing w:line="360" w:lineRule="auto"/>
        <w:ind w:firstLine="420" w:firstLineChars="200"/>
        <w:outlineLvl w:val="9"/>
        <w:rPr>
          <w:rFonts w:hAnsi="宋体"/>
          <w:color w:val="auto"/>
        </w:rPr>
      </w:pPr>
      <w:r>
        <w:rPr>
          <w:rFonts w:hint="eastAsia" w:hAnsi="宋体"/>
          <w:color w:val="auto"/>
        </w:rPr>
        <w:t>（一）成交后无正当理由不与采购人签订合同的；</w:t>
      </w:r>
    </w:p>
    <w:p w14:paraId="4C2A2636">
      <w:pPr>
        <w:pStyle w:val="27"/>
        <w:adjustRightInd w:val="0"/>
        <w:snapToGrid w:val="0"/>
        <w:spacing w:line="360" w:lineRule="auto"/>
        <w:ind w:firstLine="420" w:firstLineChars="200"/>
        <w:outlineLvl w:val="9"/>
        <w:rPr>
          <w:rFonts w:hAnsi="宋体"/>
          <w:color w:val="auto"/>
        </w:rPr>
      </w:pPr>
      <w:r>
        <w:rPr>
          <w:rFonts w:hint="eastAsia" w:hAnsi="宋体"/>
          <w:color w:val="auto"/>
        </w:rPr>
        <w:t>（二）未按照采购文件确定的事项签订政府采购合同，或者与采购人另行订立背离合同实质性内容的协议的；</w:t>
      </w:r>
    </w:p>
    <w:p w14:paraId="15356D8D">
      <w:pPr>
        <w:pStyle w:val="27"/>
        <w:adjustRightInd w:val="0"/>
        <w:snapToGrid w:val="0"/>
        <w:spacing w:line="360" w:lineRule="auto"/>
        <w:ind w:firstLine="420" w:firstLineChars="200"/>
        <w:outlineLvl w:val="9"/>
        <w:rPr>
          <w:rFonts w:hAnsi="宋体"/>
          <w:color w:val="auto"/>
        </w:rPr>
      </w:pPr>
      <w:r>
        <w:rPr>
          <w:rFonts w:hint="eastAsia" w:hAnsi="宋体"/>
          <w:color w:val="auto"/>
        </w:rPr>
        <w:t>（三）拒绝履行合同义务的；</w:t>
      </w:r>
    </w:p>
    <w:p w14:paraId="0C152BD9">
      <w:pPr>
        <w:pStyle w:val="27"/>
        <w:adjustRightInd w:val="0"/>
        <w:snapToGrid w:val="0"/>
        <w:spacing w:line="360" w:lineRule="auto"/>
        <w:ind w:firstLine="420" w:firstLineChars="200"/>
        <w:outlineLvl w:val="9"/>
        <w:rPr>
          <w:rFonts w:hAnsi="宋体"/>
          <w:color w:val="auto"/>
        </w:rPr>
      </w:pPr>
      <w:r>
        <w:rPr>
          <w:rFonts w:hint="eastAsia" w:hAnsi="宋体"/>
          <w:color w:val="auto"/>
        </w:rPr>
        <w:t>（四）</w:t>
      </w:r>
      <w:r>
        <w:rPr>
          <w:rFonts w:hint="eastAsia" w:hAnsi="宋体" w:cs="宋体"/>
          <w:color w:val="auto"/>
          <w:kern w:val="0"/>
        </w:rPr>
        <w:t>违反法律、规章、规范性文件规定的。</w:t>
      </w:r>
    </w:p>
    <w:p w14:paraId="6636B7E6">
      <w:pPr>
        <w:adjustRightInd w:val="0"/>
        <w:snapToGrid w:val="0"/>
        <w:spacing w:line="360" w:lineRule="auto"/>
        <w:outlineLvl w:val="9"/>
        <w:rPr>
          <w:rFonts w:ascii="宋体" w:hAnsi="宋体"/>
          <w:b/>
          <w:color w:val="auto"/>
          <w:sz w:val="24"/>
        </w:rPr>
      </w:pPr>
      <w:r>
        <w:rPr>
          <w:rFonts w:hint="eastAsia" w:ascii="宋体" w:hAnsi="宋体"/>
          <w:b/>
          <w:color w:val="auto"/>
          <w:sz w:val="24"/>
        </w:rPr>
        <w:t>七、其他规定</w:t>
      </w:r>
    </w:p>
    <w:p w14:paraId="23652C74">
      <w:pPr>
        <w:adjustRightInd w:val="0"/>
        <w:snapToGrid w:val="0"/>
        <w:spacing w:line="360" w:lineRule="auto"/>
        <w:jc w:val="left"/>
        <w:outlineLvl w:val="9"/>
        <w:rPr>
          <w:rFonts w:ascii="宋体" w:hAnsi="宋体"/>
          <w:b/>
          <w:color w:val="auto"/>
          <w:szCs w:val="21"/>
        </w:rPr>
      </w:pPr>
      <w:r>
        <w:rPr>
          <w:rFonts w:hint="eastAsia" w:ascii="宋体" w:hAnsi="宋体"/>
          <w:b/>
          <w:color w:val="auto"/>
          <w:szCs w:val="21"/>
        </w:rPr>
        <w:t>41.采购代理服务费、交易服务费</w:t>
      </w:r>
    </w:p>
    <w:p w14:paraId="3723A0A6">
      <w:pPr>
        <w:adjustRightInd w:val="0"/>
        <w:snapToGrid w:val="0"/>
        <w:spacing w:beforeLines="50" w:line="360" w:lineRule="auto"/>
        <w:ind w:firstLine="420" w:firstLineChars="200"/>
        <w:outlineLvl w:val="9"/>
        <w:rPr>
          <w:rFonts w:ascii="宋体" w:hAnsi="宋体" w:cs="仿宋_GB2312"/>
          <w:color w:val="auto"/>
          <w:szCs w:val="21"/>
          <w:lang w:val="zh-CN"/>
        </w:rPr>
      </w:pPr>
      <w:r>
        <w:rPr>
          <w:rFonts w:hint="eastAsia" w:ascii="宋体" w:hAnsi="宋体"/>
          <w:szCs w:val="21"/>
        </w:rPr>
        <w:t>41.1</w:t>
      </w:r>
      <w:r>
        <w:rPr>
          <w:rFonts w:hint="eastAsia" w:ascii="宋体" w:hAnsi="宋体" w:cs="仿宋_GB2312"/>
          <w:szCs w:val="21"/>
          <w:lang w:val="zh-CN"/>
        </w:rPr>
        <w:t>根据采购代理机构与采购人的协议，</w:t>
      </w:r>
      <w:r>
        <w:rPr>
          <w:rFonts w:hint="eastAsia" w:ascii="宋体" w:hAnsi="宋体"/>
          <w:szCs w:val="21"/>
        </w:rPr>
        <w:t>供应商应按</w:t>
      </w:r>
      <w:r>
        <w:rPr>
          <w:rFonts w:hint="eastAsia" w:ascii="宋体" w:hAnsi="宋体"/>
          <w:b/>
          <w:szCs w:val="21"/>
        </w:rPr>
        <w:t>【磋商须知前附表】</w:t>
      </w:r>
      <w:r>
        <w:rPr>
          <w:rFonts w:hint="eastAsia" w:ascii="宋体" w:hAnsi="宋体"/>
          <w:szCs w:val="21"/>
        </w:rPr>
        <w:t>规定向采购代理机构交纳相应费用</w:t>
      </w:r>
      <w:r>
        <w:rPr>
          <w:rFonts w:hint="eastAsia" w:ascii="宋体" w:hAnsi="宋体" w:cs="仿宋_GB2312"/>
          <w:szCs w:val="21"/>
          <w:lang w:val="zh-CN"/>
        </w:rPr>
        <w:t>。收取方式为转账或现金，在领取中标(成交)通知书时缴纳，否则，由此产生的一切法律后果和责任由中标(成交)供应商承担</w:t>
      </w:r>
      <w:r>
        <w:rPr>
          <w:rFonts w:hint="eastAsia" w:ascii="宋体" w:hAnsi="宋体" w:cs="仿宋_GB2312"/>
          <w:color w:val="auto"/>
          <w:szCs w:val="21"/>
          <w:lang w:val="zh-CN"/>
        </w:rPr>
        <w:t>。</w:t>
      </w:r>
    </w:p>
    <w:p w14:paraId="1D44ACBB">
      <w:pPr>
        <w:adjustRightInd w:val="0"/>
        <w:snapToGrid w:val="0"/>
        <w:spacing w:beforeLines="50" w:line="360" w:lineRule="auto"/>
        <w:ind w:firstLine="422" w:firstLineChars="200"/>
        <w:rPr>
          <w:rFonts w:ascii="宋体" w:hAnsi="宋体"/>
          <w:b/>
        </w:rPr>
      </w:pPr>
      <w:r>
        <w:rPr>
          <w:rFonts w:hint="eastAsia" w:ascii="宋体" w:hAnsi="宋体"/>
          <w:b/>
          <w:szCs w:val="21"/>
        </w:rPr>
        <w:t>42.</w:t>
      </w:r>
      <w:r>
        <w:rPr>
          <w:rFonts w:hint="eastAsia" w:ascii="宋体" w:hAnsi="宋体"/>
          <w:b/>
        </w:rPr>
        <w:t xml:space="preserve"> 其他规定</w:t>
      </w:r>
    </w:p>
    <w:p w14:paraId="7C8082BF">
      <w:pPr>
        <w:tabs>
          <w:tab w:val="left" w:pos="420"/>
          <w:tab w:val="left" w:pos="7560"/>
          <w:tab w:val="left" w:pos="7740"/>
          <w:tab w:val="left" w:pos="7920"/>
        </w:tabs>
        <w:adjustRightInd w:val="0"/>
        <w:snapToGrid w:val="0"/>
        <w:spacing w:line="360" w:lineRule="auto"/>
        <w:ind w:firstLine="420" w:firstLineChars="200"/>
        <w:rPr>
          <w:rFonts w:ascii="宋体" w:hAnsi="宋体"/>
        </w:rPr>
      </w:pPr>
      <w:r>
        <w:rPr>
          <w:rFonts w:hint="eastAsia" w:ascii="宋体" w:hAnsi="宋体"/>
        </w:rPr>
        <w:t>42.1</w:t>
      </w:r>
      <w:r>
        <w:rPr>
          <w:rFonts w:hint="eastAsia" w:ascii="宋体" w:hAnsi="宋体"/>
          <w:b/>
          <w:bCs/>
        </w:rPr>
        <w:t>磋商须知前附表</w:t>
      </w:r>
      <w:r>
        <w:rPr>
          <w:rFonts w:hint="eastAsia" w:ascii="宋体" w:hAnsi="宋体"/>
        </w:rPr>
        <w:t>规定供应商提供样品的，供应商有以下情形之一的，其响应无效。</w:t>
      </w:r>
    </w:p>
    <w:p w14:paraId="00719126">
      <w:pPr>
        <w:tabs>
          <w:tab w:val="left" w:pos="420"/>
          <w:tab w:val="left" w:pos="7560"/>
          <w:tab w:val="left" w:pos="7740"/>
          <w:tab w:val="left" w:pos="7920"/>
        </w:tabs>
        <w:adjustRightInd w:val="0"/>
        <w:snapToGrid w:val="0"/>
        <w:spacing w:line="360" w:lineRule="auto"/>
        <w:ind w:firstLine="420" w:firstLineChars="200"/>
        <w:rPr>
          <w:rFonts w:ascii="宋体" w:hAnsi="宋体"/>
        </w:rPr>
      </w:pPr>
      <w:r>
        <w:rPr>
          <w:rFonts w:hint="eastAsia" w:ascii="宋体" w:hAnsi="宋体"/>
        </w:rPr>
        <w:t>（1）未在</w:t>
      </w:r>
      <w:r>
        <w:rPr>
          <w:rFonts w:hint="eastAsia" w:ascii="宋体" w:hAnsi="宋体"/>
          <w:b/>
          <w:szCs w:val="21"/>
        </w:rPr>
        <w:t>磋商须知前附表</w:t>
      </w:r>
      <w:r>
        <w:rPr>
          <w:rFonts w:hint="eastAsia" w:ascii="宋体" w:hAnsi="宋体"/>
        </w:rPr>
        <w:t>规定的提交时间、地点提交的；</w:t>
      </w:r>
    </w:p>
    <w:p w14:paraId="48F2624C">
      <w:pPr>
        <w:tabs>
          <w:tab w:val="left" w:pos="420"/>
          <w:tab w:val="left" w:pos="7560"/>
          <w:tab w:val="left" w:pos="7740"/>
          <w:tab w:val="left" w:pos="7920"/>
        </w:tabs>
        <w:adjustRightInd w:val="0"/>
        <w:snapToGrid w:val="0"/>
        <w:spacing w:line="360" w:lineRule="auto"/>
        <w:ind w:firstLine="420" w:firstLineChars="200"/>
        <w:rPr>
          <w:rFonts w:ascii="宋体" w:hAnsi="宋体"/>
        </w:rPr>
      </w:pPr>
      <w:r>
        <w:rPr>
          <w:rFonts w:hint="eastAsia" w:ascii="宋体" w:hAnsi="宋体"/>
        </w:rPr>
        <w:t>（2）供应商提供的样品与磋商文件中型号、规格不一致的。</w:t>
      </w:r>
    </w:p>
    <w:p w14:paraId="6B31BF07">
      <w:pPr>
        <w:tabs>
          <w:tab w:val="left" w:pos="420"/>
          <w:tab w:val="left" w:pos="7560"/>
          <w:tab w:val="left" w:pos="7740"/>
          <w:tab w:val="left" w:pos="7920"/>
        </w:tabs>
        <w:adjustRightInd w:val="0"/>
        <w:snapToGrid w:val="0"/>
        <w:spacing w:line="360" w:lineRule="auto"/>
        <w:ind w:firstLine="420" w:firstLineChars="200"/>
        <w:outlineLvl w:val="9"/>
        <w:rPr>
          <w:rFonts w:ascii="宋体" w:hAnsi="宋体"/>
          <w:color w:val="auto"/>
          <w:szCs w:val="21"/>
        </w:rPr>
      </w:pPr>
      <w:r>
        <w:rPr>
          <w:rFonts w:hint="eastAsia" w:ascii="宋体" w:hAnsi="宋体"/>
        </w:rPr>
        <w:t>42.2</w:t>
      </w:r>
      <w:r>
        <w:rPr>
          <w:rFonts w:hint="eastAsia" w:ascii="宋体" w:hAnsi="宋体"/>
          <w:szCs w:val="21"/>
        </w:rPr>
        <w:t>磋商文件</w:t>
      </w:r>
      <w:r>
        <w:rPr>
          <w:rFonts w:hint="eastAsia" w:ascii="宋体"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color w:val="auto"/>
          <w:szCs w:val="21"/>
        </w:rPr>
        <w:t>。</w:t>
      </w:r>
    </w:p>
    <w:p w14:paraId="1D477756">
      <w:pPr>
        <w:tabs>
          <w:tab w:val="left" w:pos="0"/>
        </w:tabs>
        <w:adjustRightInd w:val="0"/>
        <w:snapToGrid w:val="0"/>
        <w:spacing w:beforeLines="50" w:line="360" w:lineRule="auto"/>
        <w:outlineLvl w:val="9"/>
        <w:rPr>
          <w:rFonts w:ascii="宋体" w:hAnsi="宋体"/>
          <w:b/>
          <w:bCs/>
          <w:color w:val="auto"/>
          <w:sz w:val="24"/>
        </w:rPr>
      </w:pPr>
    </w:p>
    <w:p w14:paraId="2C3CD718">
      <w:pPr>
        <w:tabs>
          <w:tab w:val="left" w:pos="0"/>
        </w:tabs>
        <w:adjustRightInd w:val="0"/>
        <w:snapToGrid w:val="0"/>
        <w:spacing w:beforeLines="50" w:line="360" w:lineRule="auto"/>
        <w:outlineLvl w:val="9"/>
        <w:rPr>
          <w:rFonts w:ascii="宋体" w:hAnsi="宋体"/>
          <w:b/>
          <w:bCs/>
          <w:color w:val="auto"/>
          <w:sz w:val="24"/>
        </w:rPr>
      </w:pPr>
    </w:p>
    <w:p w14:paraId="3509B63A">
      <w:pPr>
        <w:tabs>
          <w:tab w:val="left" w:pos="0"/>
        </w:tabs>
        <w:adjustRightInd w:val="0"/>
        <w:snapToGrid w:val="0"/>
        <w:spacing w:beforeLines="50" w:line="360" w:lineRule="auto"/>
        <w:jc w:val="center"/>
        <w:outlineLvl w:val="0"/>
        <w:rPr>
          <w:rFonts w:ascii="宋体" w:hAnsi="宋体"/>
          <w:b/>
          <w:bCs/>
          <w:color w:val="auto"/>
          <w:sz w:val="36"/>
          <w:szCs w:val="36"/>
        </w:rPr>
      </w:pPr>
      <w:r>
        <w:rPr>
          <w:rFonts w:hint="eastAsia" w:ascii="宋体" w:hAnsi="宋体"/>
          <w:b/>
          <w:bCs/>
          <w:color w:val="auto"/>
          <w:sz w:val="36"/>
          <w:szCs w:val="36"/>
        </w:rPr>
        <w:br w:type="page"/>
      </w:r>
      <w:bookmarkStart w:id="3" w:name="_Toc24395"/>
      <w:r>
        <w:rPr>
          <w:rFonts w:hint="eastAsia" w:ascii="宋体" w:hAnsi="宋体"/>
          <w:b/>
          <w:bCs/>
          <w:color w:val="auto"/>
          <w:sz w:val="36"/>
          <w:szCs w:val="36"/>
        </w:rPr>
        <w:t>第三章 磋商办法</w:t>
      </w:r>
      <w:bookmarkEnd w:id="3"/>
    </w:p>
    <w:p w14:paraId="603B95D4">
      <w:pPr>
        <w:bidi w:val="0"/>
        <w:outlineLvl w:val="9"/>
        <w:rPr>
          <w:color w:val="auto"/>
        </w:rPr>
      </w:pPr>
    </w:p>
    <w:p w14:paraId="582C4436">
      <w:pPr>
        <w:keepNext w:val="0"/>
        <w:keepLines w:val="0"/>
        <w:pageBreakBefore w:val="0"/>
        <w:kinsoku/>
        <w:wordWrap/>
        <w:overflowPunct/>
        <w:topLinePunct w:val="0"/>
        <w:autoSpaceDE/>
        <w:autoSpaceDN/>
        <w:bidi w:val="0"/>
        <w:spacing w:line="480" w:lineRule="exact"/>
        <w:textAlignment w:val="auto"/>
        <w:outlineLvl w:val="9"/>
        <w:rPr>
          <w:rFonts w:hint="default" w:eastAsia="宋体"/>
          <w:b/>
          <w:color w:val="auto"/>
          <w:lang w:val="en-US" w:eastAsia="zh-CN"/>
        </w:rPr>
      </w:pPr>
      <w:r>
        <w:rPr>
          <w:rFonts w:hint="eastAsia"/>
          <w:b/>
          <w:color w:val="auto"/>
        </w:rPr>
        <w:t>一、磋商方法</w:t>
      </w:r>
      <w:r>
        <w:rPr>
          <w:rFonts w:hint="eastAsia"/>
          <w:b/>
          <w:color w:val="auto"/>
          <w:lang w:eastAsia="zh-CN"/>
        </w:rPr>
        <w:t>（</w:t>
      </w:r>
      <w:r>
        <w:rPr>
          <w:rFonts w:hint="eastAsia"/>
          <w:b/>
          <w:color w:val="auto"/>
          <w:lang w:val="en-US" w:eastAsia="zh-CN"/>
        </w:rPr>
        <w:t>特别说明：</w:t>
      </w:r>
      <w:r>
        <w:rPr>
          <w:rFonts w:hint="eastAsia" w:ascii="宋体" w:hAnsi="宋体"/>
          <w:b/>
          <w:bCs/>
          <w:color w:val="auto"/>
          <w:szCs w:val="21"/>
          <w:lang w:eastAsia="zh-CN"/>
        </w:rPr>
        <w:t>本项目不进行磋商报价，所涉报价条款不适用。</w:t>
      </w:r>
      <w:r>
        <w:rPr>
          <w:rFonts w:hint="eastAsia"/>
          <w:b/>
          <w:color w:val="auto"/>
          <w:lang w:eastAsia="zh-CN"/>
        </w:rPr>
        <w:t>）</w:t>
      </w:r>
      <w:r>
        <w:rPr>
          <w:rFonts w:hint="eastAsia"/>
          <w:b/>
          <w:color w:val="auto"/>
          <w:lang w:val="en-US" w:eastAsia="zh-CN"/>
        </w:rPr>
        <w:tab/>
      </w:r>
      <w:r>
        <w:rPr>
          <w:rFonts w:hint="eastAsia"/>
          <w:b/>
          <w:color w:val="auto"/>
          <w:lang w:val="en-US" w:eastAsia="zh-CN"/>
        </w:rPr>
        <w:tab/>
      </w:r>
    </w:p>
    <w:p w14:paraId="455F9A15">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9"/>
        <w:rPr>
          <w:rFonts w:ascii="宋体" w:hAnsi="宋体"/>
          <w:b/>
          <w:bCs/>
          <w:color w:val="auto"/>
          <w:szCs w:val="21"/>
        </w:rPr>
      </w:pPr>
      <w:r>
        <w:rPr>
          <w:rFonts w:hint="eastAsia" w:ascii="宋体" w:hAnsi="宋体"/>
          <w:bCs/>
          <w:color w:val="auto"/>
          <w:szCs w:val="21"/>
        </w:rPr>
        <w:t>本项目采取综合评分法，即</w:t>
      </w:r>
      <w:r>
        <w:rPr>
          <w:rFonts w:hint="eastAsia" w:ascii="宋体" w:hAnsi="宋体"/>
          <w:color w:val="auto"/>
          <w:szCs w:val="21"/>
        </w:rPr>
        <w:t>响应文件满足磋商文件全部实质性要求且按磋商因素的量化指标评审得分最高的供应商为成交候选人的评审方法。</w:t>
      </w:r>
    </w:p>
    <w:p w14:paraId="40D961CF">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9"/>
        <w:rPr>
          <w:rFonts w:ascii="宋体" w:hAnsi="宋体"/>
          <w:color w:val="auto"/>
          <w:szCs w:val="21"/>
        </w:rPr>
      </w:pPr>
      <w:r>
        <w:rPr>
          <w:rFonts w:hint="eastAsia" w:ascii="宋体" w:hAnsi="宋体"/>
          <w:color w:val="auto"/>
          <w:szCs w:val="21"/>
        </w:rPr>
        <w:t>磋商因素：</w:t>
      </w:r>
      <w:r>
        <w:rPr>
          <w:rFonts w:hint="eastAsia" w:ascii="宋体" w:hAnsi="宋体"/>
          <w:color w:val="auto"/>
          <w:szCs w:val="21"/>
          <w:lang w:eastAsia="zh-CN"/>
        </w:rPr>
        <w:t>见磋商标准表</w:t>
      </w:r>
      <w:r>
        <w:rPr>
          <w:rFonts w:hint="eastAsia" w:ascii="宋体" w:hAnsi="宋体"/>
          <w:color w:val="auto"/>
          <w:szCs w:val="21"/>
        </w:rPr>
        <w:t>，但不包括供应商资格条件。</w:t>
      </w:r>
    </w:p>
    <w:p w14:paraId="60055698">
      <w:pPr>
        <w:keepNext w:val="0"/>
        <w:keepLines w:val="0"/>
        <w:pageBreakBefore w:val="0"/>
        <w:widowControl/>
        <w:kinsoku/>
        <w:wordWrap/>
        <w:overflowPunct/>
        <w:topLinePunct w:val="0"/>
        <w:autoSpaceDE/>
        <w:autoSpaceDN/>
        <w:bidi w:val="0"/>
        <w:adjustRightInd w:val="0"/>
        <w:snapToGrid w:val="0"/>
        <w:spacing w:line="480" w:lineRule="exact"/>
        <w:ind w:firstLine="420" w:firstLineChars="200"/>
        <w:jc w:val="left"/>
        <w:textAlignment w:val="auto"/>
        <w:outlineLvl w:val="9"/>
        <w:rPr>
          <w:rFonts w:ascii="宋体" w:hAnsi="宋体"/>
          <w:color w:val="auto"/>
          <w:szCs w:val="21"/>
        </w:rPr>
      </w:pPr>
      <w:r>
        <w:rPr>
          <w:rFonts w:hint="eastAsia" w:ascii="宋体" w:hAnsi="宋体"/>
          <w:color w:val="auto"/>
          <w:szCs w:val="21"/>
        </w:rPr>
        <w:t>评审时，磋商小组各成员应当独立对每个</w:t>
      </w:r>
      <w:r>
        <w:rPr>
          <w:rFonts w:hint="eastAsia" w:ascii="宋体" w:hAnsi="宋体"/>
          <w:color w:val="auto"/>
          <w:szCs w:val="21"/>
          <w:lang w:val="en-US" w:eastAsia="zh-CN"/>
        </w:rPr>
        <w:t>有效</w:t>
      </w:r>
      <w:r>
        <w:rPr>
          <w:rFonts w:hint="eastAsia" w:ascii="宋体" w:hAnsi="宋体"/>
          <w:color w:val="auto"/>
          <w:szCs w:val="21"/>
        </w:rPr>
        <w:t>供应商的响应</w:t>
      </w:r>
      <w:r>
        <w:rPr>
          <w:rFonts w:hint="eastAsia" w:ascii="宋体" w:hAnsi="宋体"/>
          <w:bCs/>
          <w:color w:val="auto"/>
          <w:szCs w:val="21"/>
        </w:rPr>
        <w:t>文件</w:t>
      </w:r>
      <w:r>
        <w:rPr>
          <w:rFonts w:hint="eastAsia" w:ascii="宋体" w:hAnsi="宋体"/>
          <w:color w:val="auto"/>
          <w:szCs w:val="21"/>
        </w:rPr>
        <w:t>进行评价、评分。</w:t>
      </w:r>
    </w:p>
    <w:p w14:paraId="501D8A1F">
      <w:pPr>
        <w:keepNext w:val="0"/>
        <w:keepLines w:val="0"/>
        <w:pageBreakBefore w:val="0"/>
        <w:tabs>
          <w:tab w:val="left" w:pos="0"/>
        </w:tabs>
        <w:kinsoku/>
        <w:wordWrap/>
        <w:overflowPunct/>
        <w:topLinePunct w:val="0"/>
        <w:autoSpaceDE/>
        <w:autoSpaceDN/>
        <w:bidi w:val="0"/>
        <w:adjustRightInd w:val="0"/>
        <w:snapToGrid w:val="0"/>
        <w:spacing w:line="480" w:lineRule="exact"/>
        <w:textAlignment w:val="auto"/>
        <w:outlineLvl w:val="9"/>
        <w:rPr>
          <w:rFonts w:ascii="宋体" w:hAnsi="宋体"/>
          <w:b/>
          <w:color w:val="auto"/>
          <w:szCs w:val="21"/>
        </w:rPr>
      </w:pPr>
      <w:r>
        <w:rPr>
          <w:rFonts w:hint="eastAsia" w:ascii="宋体" w:hAnsi="宋体"/>
          <w:b/>
          <w:color w:val="auto"/>
          <w:szCs w:val="21"/>
        </w:rPr>
        <w:t>二</w:t>
      </w:r>
      <w:r>
        <w:rPr>
          <w:rFonts w:hint="eastAsia" w:ascii="宋体" w:hAnsi="宋体"/>
          <w:b/>
          <w:color w:val="auto"/>
          <w:szCs w:val="21"/>
          <w:lang w:eastAsia="zh-CN"/>
        </w:rPr>
        <w:t>、</w:t>
      </w:r>
      <w:r>
        <w:rPr>
          <w:rFonts w:hint="eastAsia" w:ascii="宋体" w:hAnsi="宋体"/>
          <w:b/>
          <w:color w:val="auto"/>
          <w:szCs w:val="21"/>
        </w:rPr>
        <w:t>推荐成交候选供应商</w:t>
      </w:r>
    </w:p>
    <w:p w14:paraId="5ADD54B9">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9"/>
        <w:rPr>
          <w:rFonts w:hint="eastAsia" w:ascii="宋体" w:hAnsi="宋体" w:eastAsia="宋体"/>
          <w:bCs/>
          <w:color w:val="auto"/>
          <w:szCs w:val="21"/>
          <w:lang w:eastAsia="zh-CN"/>
        </w:rPr>
      </w:pPr>
      <w:r>
        <w:rPr>
          <w:rFonts w:hint="eastAsia" w:ascii="宋体" w:hAnsi="宋体"/>
          <w:color w:val="auto"/>
          <w:szCs w:val="21"/>
        </w:rPr>
        <w:t>磋商小组应当根据综合</w:t>
      </w:r>
      <w:r>
        <w:rPr>
          <w:rFonts w:hint="eastAsia" w:ascii="宋体" w:hAnsi="宋体"/>
          <w:color w:val="auto"/>
          <w:szCs w:val="21"/>
          <w:lang w:val="en-US" w:eastAsia="zh-CN"/>
        </w:rPr>
        <w:t>评审得分</w:t>
      </w:r>
      <w:r>
        <w:rPr>
          <w:rFonts w:hint="eastAsia" w:ascii="宋体" w:hAnsi="宋体"/>
          <w:color w:val="auto"/>
          <w:szCs w:val="21"/>
        </w:rPr>
        <w:t>情况</w:t>
      </w:r>
      <w:r>
        <w:rPr>
          <w:rFonts w:hint="eastAsia" w:ascii="宋体" w:hAnsi="宋体"/>
          <w:color w:val="auto"/>
          <w:szCs w:val="21"/>
          <w:lang w:val="en-US" w:eastAsia="zh-CN"/>
        </w:rPr>
        <w:t>推荐成交候选供应商</w:t>
      </w:r>
      <w:r>
        <w:rPr>
          <w:rFonts w:hint="eastAsia" w:ascii="宋体" w:hAnsi="宋体"/>
          <w:color w:val="auto"/>
          <w:szCs w:val="21"/>
          <w:lang w:eastAsia="zh-CN"/>
        </w:rPr>
        <w:t>（</w:t>
      </w:r>
      <w:r>
        <w:rPr>
          <w:rFonts w:hint="eastAsia" w:ascii="宋体" w:hAnsi="宋体"/>
          <w:color w:val="auto"/>
          <w:szCs w:val="21"/>
          <w:lang w:val="en-US" w:eastAsia="zh-CN"/>
        </w:rPr>
        <w:t>分包的按包推荐</w:t>
      </w:r>
      <w:r>
        <w:rPr>
          <w:rFonts w:hint="eastAsia" w:ascii="宋体" w:hAnsi="宋体"/>
          <w:color w:val="auto"/>
          <w:szCs w:val="21"/>
          <w:lang w:eastAsia="zh-CN"/>
        </w:rPr>
        <w:t>）</w:t>
      </w:r>
      <w:r>
        <w:rPr>
          <w:rFonts w:hint="eastAsia" w:ascii="宋体" w:hAnsi="宋体"/>
          <w:color w:val="auto"/>
          <w:szCs w:val="21"/>
        </w:rPr>
        <w:t>，在汇总每个</w:t>
      </w:r>
      <w:r>
        <w:rPr>
          <w:rFonts w:hint="eastAsia" w:ascii="宋体" w:hAnsi="宋体"/>
          <w:color w:val="auto"/>
          <w:szCs w:val="21"/>
          <w:lang w:val="en-US" w:eastAsia="zh-CN"/>
        </w:rPr>
        <w:t>供应商</w:t>
      </w:r>
      <w:r>
        <w:rPr>
          <w:rFonts w:hint="eastAsia" w:ascii="宋体" w:hAnsi="宋体"/>
          <w:color w:val="auto"/>
          <w:szCs w:val="21"/>
        </w:rPr>
        <w:t>的得分后，按照评审后得分从高到低的顺序排列</w:t>
      </w:r>
      <w:r>
        <w:rPr>
          <w:rFonts w:hint="eastAsia" w:ascii="宋体" w:hAnsi="宋体"/>
          <w:color w:val="auto"/>
          <w:szCs w:val="21"/>
          <w:lang w:eastAsia="zh-CN"/>
        </w:rPr>
        <w:t>，</w:t>
      </w:r>
      <w:r>
        <w:rPr>
          <w:rFonts w:hint="eastAsia" w:ascii="宋体" w:hAnsi="宋体"/>
          <w:color w:val="auto"/>
          <w:szCs w:val="21"/>
        </w:rPr>
        <w:t>得分相同的按</w:t>
      </w:r>
      <w:r>
        <w:rPr>
          <w:rFonts w:hint="eastAsia" w:ascii="宋体" w:hAnsi="宋体"/>
          <w:color w:val="auto"/>
          <w:szCs w:val="21"/>
          <w:lang w:val="en-US" w:eastAsia="zh-CN"/>
        </w:rPr>
        <w:t>服务方案</w:t>
      </w:r>
      <w:r>
        <w:rPr>
          <w:rFonts w:hint="eastAsia" w:ascii="宋体" w:hAnsi="宋体"/>
          <w:color w:val="auto"/>
          <w:szCs w:val="21"/>
        </w:rPr>
        <w:t>得分由高到低顺序</w:t>
      </w:r>
      <w:r>
        <w:rPr>
          <w:rFonts w:hint="eastAsia" w:ascii="宋体" w:hAnsi="宋体"/>
          <w:color w:val="auto"/>
          <w:szCs w:val="21"/>
          <w:lang w:val="en-US" w:eastAsia="zh-CN"/>
        </w:rPr>
        <w:t>排列</w:t>
      </w:r>
      <w:r>
        <w:rPr>
          <w:rFonts w:hint="eastAsia" w:ascii="宋体" w:hAnsi="宋体"/>
          <w:color w:val="auto"/>
          <w:szCs w:val="21"/>
          <w:lang w:eastAsia="zh-CN"/>
        </w:rPr>
        <w:t>，再次并列的</w:t>
      </w:r>
      <w:r>
        <w:rPr>
          <w:rFonts w:hint="eastAsia" w:ascii="宋体" w:hAnsi="宋体"/>
          <w:color w:val="auto"/>
          <w:szCs w:val="21"/>
          <w:lang w:val="en-US" w:eastAsia="zh-CN"/>
        </w:rPr>
        <w:t>采取随机抽取方式</w:t>
      </w:r>
      <w:r>
        <w:rPr>
          <w:rFonts w:hint="eastAsia" w:ascii="宋体" w:hAnsi="宋体"/>
          <w:color w:val="auto"/>
          <w:szCs w:val="21"/>
        </w:rPr>
        <w:t>确定。各</w:t>
      </w:r>
      <w:r>
        <w:rPr>
          <w:rFonts w:hint="eastAsia" w:ascii="宋体" w:hAnsi="宋体"/>
          <w:color w:val="auto"/>
          <w:szCs w:val="21"/>
          <w:lang w:val="en-US" w:eastAsia="zh-CN"/>
        </w:rPr>
        <w:t>包</w:t>
      </w:r>
      <w:r>
        <w:rPr>
          <w:rFonts w:hint="eastAsia" w:ascii="宋体" w:hAnsi="宋体"/>
          <w:color w:val="auto"/>
          <w:szCs w:val="21"/>
        </w:rPr>
        <w:t>段，</w:t>
      </w:r>
      <w:r>
        <w:rPr>
          <w:rFonts w:hint="eastAsia" w:ascii="宋体" w:hAnsi="宋体"/>
          <w:color w:val="auto"/>
          <w:szCs w:val="21"/>
          <w:lang w:val="en-US" w:eastAsia="zh-CN"/>
        </w:rPr>
        <w:t>磋商小组</w:t>
      </w:r>
      <w:r>
        <w:rPr>
          <w:rFonts w:hint="eastAsia" w:ascii="宋体" w:hAnsi="宋体"/>
          <w:color w:val="auto"/>
          <w:szCs w:val="21"/>
        </w:rPr>
        <w:t>根据排列顺序推荐不少于</w:t>
      </w:r>
      <w:r>
        <w:rPr>
          <w:rFonts w:hint="eastAsia" w:ascii="宋体" w:hAnsi="宋体"/>
          <w:color w:val="auto"/>
          <w:szCs w:val="21"/>
          <w:lang w:val="en-US" w:eastAsia="zh-CN"/>
        </w:rPr>
        <w:t>3</w:t>
      </w:r>
      <w:r>
        <w:rPr>
          <w:rFonts w:hint="eastAsia" w:ascii="宋体" w:hAnsi="宋体"/>
          <w:color w:val="auto"/>
          <w:szCs w:val="21"/>
        </w:rPr>
        <w:t>家</w:t>
      </w:r>
      <w:r>
        <w:rPr>
          <w:rFonts w:hint="eastAsia" w:ascii="宋体" w:hAnsi="宋体"/>
          <w:color w:val="auto"/>
          <w:szCs w:val="21"/>
          <w:lang w:val="en-US" w:eastAsia="zh-CN"/>
        </w:rPr>
        <w:t>的供应商</w:t>
      </w:r>
      <w:r>
        <w:rPr>
          <w:rFonts w:hint="eastAsia" w:ascii="宋体" w:hAnsi="宋体"/>
          <w:color w:val="auto"/>
          <w:szCs w:val="21"/>
        </w:rPr>
        <w:t>为</w:t>
      </w:r>
      <w:r>
        <w:rPr>
          <w:rFonts w:hint="eastAsia" w:ascii="宋体" w:hAnsi="宋体"/>
          <w:color w:val="auto"/>
          <w:szCs w:val="21"/>
          <w:lang w:val="en-US" w:eastAsia="zh-CN"/>
        </w:rPr>
        <w:t>成交</w:t>
      </w:r>
      <w:r>
        <w:rPr>
          <w:rFonts w:hint="eastAsia" w:ascii="宋体" w:hAnsi="宋体"/>
          <w:color w:val="auto"/>
          <w:szCs w:val="21"/>
        </w:rPr>
        <w:t>候选</w:t>
      </w:r>
      <w:r>
        <w:rPr>
          <w:rFonts w:hint="eastAsia" w:ascii="宋体" w:hAnsi="宋体"/>
          <w:color w:val="auto"/>
          <w:szCs w:val="21"/>
          <w:lang w:val="en-US" w:eastAsia="zh-CN"/>
        </w:rPr>
        <w:t>供应商</w:t>
      </w:r>
      <w:r>
        <w:rPr>
          <w:rFonts w:hint="eastAsia" w:ascii="宋体" w:hAnsi="宋体"/>
          <w:color w:val="auto"/>
          <w:szCs w:val="21"/>
        </w:rPr>
        <w:t>。</w:t>
      </w:r>
    </w:p>
    <w:p w14:paraId="3FAFBD0A">
      <w:pPr>
        <w:keepNext w:val="0"/>
        <w:keepLines w:val="0"/>
        <w:pageBreakBefore w:val="0"/>
        <w:tabs>
          <w:tab w:val="left" w:pos="0"/>
        </w:tabs>
        <w:kinsoku/>
        <w:wordWrap/>
        <w:overflowPunct/>
        <w:topLinePunct w:val="0"/>
        <w:autoSpaceDE/>
        <w:autoSpaceDN/>
        <w:bidi w:val="0"/>
        <w:adjustRightInd w:val="0"/>
        <w:snapToGrid w:val="0"/>
        <w:spacing w:line="480" w:lineRule="exact"/>
        <w:textAlignment w:val="auto"/>
        <w:outlineLvl w:val="9"/>
        <w:rPr>
          <w:rFonts w:ascii="宋体" w:hAnsi="宋体"/>
          <w:b/>
          <w:bCs/>
          <w:color w:val="auto"/>
          <w:szCs w:val="21"/>
        </w:rPr>
      </w:pPr>
      <w:r>
        <w:rPr>
          <w:rFonts w:hint="eastAsia" w:ascii="宋体" w:hAnsi="宋体"/>
          <w:b/>
          <w:bCs/>
          <w:color w:val="auto"/>
          <w:szCs w:val="21"/>
        </w:rPr>
        <w:t>三</w:t>
      </w:r>
      <w:r>
        <w:rPr>
          <w:rFonts w:hint="eastAsia" w:ascii="宋体" w:hAnsi="宋体"/>
          <w:b/>
          <w:bCs/>
          <w:color w:val="auto"/>
          <w:szCs w:val="21"/>
          <w:lang w:eastAsia="zh-CN"/>
        </w:rPr>
        <w:t>、</w:t>
      </w:r>
      <w:r>
        <w:rPr>
          <w:rFonts w:hint="eastAsia" w:ascii="宋体" w:hAnsi="宋体"/>
          <w:b/>
          <w:bCs/>
          <w:color w:val="auto"/>
          <w:szCs w:val="21"/>
        </w:rPr>
        <w:t>确定成交供应商</w:t>
      </w:r>
    </w:p>
    <w:p w14:paraId="01A810BB">
      <w:pPr>
        <w:keepNext w:val="0"/>
        <w:keepLines w:val="0"/>
        <w:pageBreakBefore w:val="0"/>
        <w:widowControl/>
        <w:kinsoku/>
        <w:wordWrap/>
        <w:overflowPunct/>
        <w:topLinePunct w:val="0"/>
        <w:autoSpaceDE/>
        <w:autoSpaceDN/>
        <w:bidi w:val="0"/>
        <w:adjustRightInd w:val="0"/>
        <w:snapToGrid w:val="0"/>
        <w:spacing w:line="480" w:lineRule="exact"/>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1、采购代理机构应当在评审结束后2个工作日内将评审报告送采购人确认。</w:t>
      </w:r>
    </w:p>
    <w:p w14:paraId="6732D100">
      <w:pPr>
        <w:keepNext w:val="0"/>
        <w:keepLines w:val="0"/>
        <w:pageBreakBefore w:val="0"/>
        <w:widowControl/>
        <w:kinsoku/>
        <w:wordWrap/>
        <w:overflowPunct/>
        <w:topLinePunct w:val="0"/>
        <w:autoSpaceDE/>
        <w:autoSpaceDN/>
        <w:bidi w:val="0"/>
        <w:adjustRightInd w:val="0"/>
        <w:snapToGrid w:val="0"/>
        <w:spacing w:line="480" w:lineRule="exact"/>
        <w:ind w:firstLine="420"/>
        <w:jc w:val="left"/>
        <w:textAlignment w:val="auto"/>
        <w:outlineLvl w:val="9"/>
        <w:rPr>
          <w:rFonts w:hint="eastAsia" w:ascii="宋体" w:hAnsi="宋体" w:cs="宋体"/>
          <w:color w:val="auto"/>
          <w:kern w:val="0"/>
          <w:szCs w:val="21"/>
        </w:rPr>
      </w:pPr>
      <w:r>
        <w:rPr>
          <w:rFonts w:hint="eastAsia" w:ascii="宋体" w:hAnsi="宋体" w:cs="宋体"/>
          <w:color w:val="auto"/>
          <w:kern w:val="0"/>
          <w:szCs w:val="21"/>
        </w:rPr>
        <w:t>2、采购人应当在收到评审报告后5个工作日内，从评审报告提出的成交候选人中，根据质量和服务均能满足采购文件实质性响应要求且</w:t>
      </w:r>
      <w:r>
        <w:rPr>
          <w:rFonts w:hint="eastAsia" w:ascii="宋体" w:hAnsi="宋体"/>
          <w:bCs/>
          <w:color w:val="auto"/>
          <w:szCs w:val="21"/>
        </w:rPr>
        <w:t>评审得分由高到低顺序</w:t>
      </w:r>
      <w:r>
        <w:rPr>
          <w:rFonts w:hint="eastAsia" w:ascii="宋体" w:hAnsi="宋体" w:cs="宋体"/>
          <w:color w:val="auto"/>
          <w:kern w:val="0"/>
          <w:szCs w:val="21"/>
        </w:rPr>
        <w:t>确定成交供应商，也可以书面授权磋商小组直接确定成交供应商。采购人逾期未确定成交供应商且不提出异议的，视为</w:t>
      </w:r>
      <w:r>
        <w:rPr>
          <w:rFonts w:hint="eastAsia" w:ascii="宋体" w:hAnsi="宋体" w:cs="宋体"/>
          <w:color w:val="auto"/>
          <w:kern w:val="0"/>
          <w:szCs w:val="21"/>
          <w:lang w:eastAsia="zh-CN"/>
        </w:rPr>
        <w:t>同意按</w:t>
      </w:r>
      <w:r>
        <w:rPr>
          <w:rFonts w:hint="eastAsia" w:ascii="宋体" w:hAnsi="宋体" w:cs="宋体"/>
          <w:color w:val="auto"/>
          <w:kern w:val="0"/>
          <w:szCs w:val="21"/>
        </w:rPr>
        <w:t>评审报告提出的供应商</w:t>
      </w:r>
      <w:r>
        <w:rPr>
          <w:rFonts w:hint="eastAsia" w:ascii="宋体" w:hAnsi="宋体" w:cs="宋体"/>
          <w:color w:val="auto"/>
          <w:kern w:val="0"/>
          <w:szCs w:val="21"/>
          <w:lang w:eastAsia="zh-CN"/>
        </w:rPr>
        <w:t>排名确定</w:t>
      </w:r>
      <w:r>
        <w:rPr>
          <w:rFonts w:hint="eastAsia" w:ascii="宋体" w:hAnsi="宋体" w:cs="宋体"/>
          <w:color w:val="auto"/>
          <w:kern w:val="0"/>
          <w:szCs w:val="21"/>
        </w:rPr>
        <w:t>成交供应商。</w:t>
      </w:r>
    </w:p>
    <w:p w14:paraId="69F31386">
      <w:pPr>
        <w:keepNext w:val="0"/>
        <w:keepLines w:val="0"/>
        <w:pageBreakBefore w:val="0"/>
        <w:widowControl/>
        <w:kinsoku/>
        <w:wordWrap/>
        <w:overflowPunct/>
        <w:topLinePunct w:val="0"/>
        <w:autoSpaceDE/>
        <w:autoSpaceDN/>
        <w:bidi w:val="0"/>
        <w:adjustRightInd w:val="0"/>
        <w:snapToGrid w:val="0"/>
        <w:spacing w:line="480" w:lineRule="exact"/>
        <w:ind w:firstLine="420"/>
        <w:jc w:val="left"/>
        <w:textAlignment w:val="auto"/>
        <w:outlineLvl w:val="9"/>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3、本项目各包确定不超过规定的入围供应商数量上限的成交候选供应商为成交供应商。</w:t>
      </w:r>
    </w:p>
    <w:p w14:paraId="561DC4DD">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3AD98883">
      <w:pPr>
        <w:pStyle w:val="65"/>
        <w:outlineLvl w:val="9"/>
        <w:rPr>
          <w:rFonts w:hint="eastAsia"/>
          <w:color w:val="auto"/>
          <w:lang w:val="en-US" w:eastAsia="zh-CN"/>
        </w:rPr>
      </w:pPr>
    </w:p>
    <w:p w14:paraId="532507CC">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bookmarkStart w:id="4" w:name="_Toc19421"/>
    </w:p>
    <w:p w14:paraId="6ACADEC1">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2E25C697">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01075ADC">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57D69AA3">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245EE027">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555F5BB3">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5FC69CC2">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3C17EC13">
      <w:pPr>
        <w:numPr>
          <w:ilvl w:val="0"/>
          <w:numId w:val="0"/>
        </w:numPr>
        <w:autoSpaceDE w:val="0"/>
        <w:autoSpaceDN w:val="0"/>
        <w:adjustRightInd w:val="0"/>
        <w:spacing w:line="500" w:lineRule="exact"/>
        <w:ind w:leftChars="0"/>
        <w:outlineLvl w:val="1"/>
        <w:rPr>
          <w:rFonts w:ascii="宋体" w:hAnsi="宋体" w:cs="宋体"/>
          <w:b/>
          <w:color w:val="auto"/>
          <w:sz w:val="24"/>
          <w:lang w:val="zh-CN"/>
        </w:rPr>
      </w:pPr>
      <w:r>
        <w:rPr>
          <w:rFonts w:hint="eastAsia" w:ascii="宋体" w:hAnsi="宋体" w:cs="宋体"/>
          <w:b/>
          <w:color w:val="auto"/>
          <w:sz w:val="24"/>
          <w:lang w:val="en-US" w:eastAsia="zh-CN"/>
        </w:rPr>
        <w:t>1、</w:t>
      </w:r>
      <w:r>
        <w:rPr>
          <w:rFonts w:hint="eastAsia" w:ascii="宋体" w:hAnsi="宋体" w:cs="宋体"/>
          <w:b/>
          <w:color w:val="auto"/>
          <w:sz w:val="24"/>
          <w:lang w:val="zh-CN"/>
        </w:rPr>
        <w:t>资格性检查表</w:t>
      </w:r>
      <w:bookmarkEnd w:id="4"/>
    </w:p>
    <w:tbl>
      <w:tblPr>
        <w:tblStyle w:val="50"/>
        <w:tblW w:w="4997" w:type="pct"/>
        <w:tblInd w:w="0" w:type="dxa"/>
        <w:tblLayout w:type="autofit"/>
        <w:tblCellMar>
          <w:top w:w="0" w:type="dxa"/>
          <w:left w:w="108" w:type="dxa"/>
          <w:bottom w:w="0" w:type="dxa"/>
          <w:right w:w="108" w:type="dxa"/>
        </w:tblCellMar>
      </w:tblPr>
      <w:tblGrid>
        <w:gridCol w:w="647"/>
        <w:gridCol w:w="5949"/>
        <w:gridCol w:w="778"/>
        <w:gridCol w:w="778"/>
        <w:gridCol w:w="789"/>
      </w:tblGrid>
      <w:tr w14:paraId="1E8AB6DA">
        <w:tblPrEx>
          <w:tblCellMar>
            <w:top w:w="0" w:type="dxa"/>
            <w:left w:w="108" w:type="dxa"/>
            <w:bottom w:w="0" w:type="dxa"/>
            <w:right w:w="108" w:type="dxa"/>
          </w:tblCellMar>
        </w:tblPrEx>
        <w:trPr>
          <w:cantSplit/>
          <w:trHeight w:val="432" w:hRule="atLeast"/>
        </w:trPr>
        <w:tc>
          <w:tcPr>
            <w:tcW w:w="362" w:type="pct"/>
            <w:vMerge w:val="restart"/>
            <w:tcBorders>
              <w:top w:val="single" w:color="auto" w:sz="6" w:space="0"/>
              <w:left w:val="single" w:color="auto" w:sz="6" w:space="0"/>
              <w:bottom w:val="single" w:color="auto" w:sz="6" w:space="0"/>
              <w:right w:val="single" w:color="auto" w:sz="6" w:space="0"/>
            </w:tcBorders>
            <w:vAlign w:val="center"/>
          </w:tcPr>
          <w:p w14:paraId="0CEAC5CE">
            <w:pPr>
              <w:bidi w:val="0"/>
              <w:jc w:val="center"/>
              <w:outlineLvl w:val="9"/>
              <w:rPr>
                <w:rFonts w:ascii="宋体" w:hAnsi="宋体" w:cs="宋体"/>
                <w:color w:val="auto"/>
                <w:lang w:val="zh-CN"/>
              </w:rPr>
            </w:pPr>
            <w:r>
              <w:rPr>
                <w:rFonts w:hint="eastAsia"/>
                <w:color w:val="auto"/>
                <w:lang w:val="zh-CN"/>
              </w:rPr>
              <w:t>序号</w:t>
            </w:r>
          </w:p>
        </w:tc>
        <w:tc>
          <w:tcPr>
            <w:tcW w:w="3327" w:type="pct"/>
            <w:vMerge w:val="restart"/>
            <w:tcBorders>
              <w:top w:val="single" w:color="auto" w:sz="6" w:space="0"/>
              <w:left w:val="single" w:color="auto" w:sz="6" w:space="0"/>
              <w:bottom w:val="single" w:color="auto" w:sz="6" w:space="0"/>
              <w:right w:val="single" w:color="auto" w:sz="6" w:space="0"/>
            </w:tcBorders>
            <w:vAlign w:val="center"/>
          </w:tcPr>
          <w:p w14:paraId="506A9628">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资格检查内容</w:t>
            </w:r>
          </w:p>
        </w:tc>
        <w:tc>
          <w:tcPr>
            <w:tcW w:w="1309" w:type="pct"/>
            <w:gridSpan w:val="3"/>
            <w:tcBorders>
              <w:top w:val="single" w:color="auto" w:sz="6" w:space="0"/>
              <w:left w:val="single" w:color="auto" w:sz="6" w:space="0"/>
              <w:bottom w:val="single" w:color="auto" w:sz="6" w:space="0"/>
              <w:right w:val="single" w:color="auto" w:sz="6" w:space="0"/>
            </w:tcBorders>
            <w:vAlign w:val="center"/>
          </w:tcPr>
          <w:p w14:paraId="44CE5042">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供应商</w:t>
            </w:r>
          </w:p>
        </w:tc>
      </w:tr>
      <w:tr w14:paraId="1A718233">
        <w:tblPrEx>
          <w:tblCellMar>
            <w:top w:w="0" w:type="dxa"/>
            <w:left w:w="108" w:type="dxa"/>
            <w:bottom w:w="0" w:type="dxa"/>
            <w:right w:w="108" w:type="dxa"/>
          </w:tblCellMar>
        </w:tblPrEx>
        <w:trPr>
          <w:cantSplit/>
          <w:trHeight w:val="447" w:hRule="atLeast"/>
        </w:trPr>
        <w:tc>
          <w:tcPr>
            <w:tcW w:w="362" w:type="pct"/>
            <w:vMerge w:val="continue"/>
            <w:tcBorders>
              <w:top w:val="single" w:color="auto" w:sz="6" w:space="0"/>
              <w:left w:val="single" w:color="auto" w:sz="6" w:space="0"/>
              <w:bottom w:val="single" w:color="auto" w:sz="6" w:space="0"/>
              <w:right w:val="single" w:color="auto" w:sz="6" w:space="0"/>
            </w:tcBorders>
            <w:vAlign w:val="center"/>
          </w:tcPr>
          <w:p w14:paraId="0F2EB7CD">
            <w:pPr>
              <w:widowControl/>
              <w:jc w:val="center"/>
              <w:outlineLvl w:val="9"/>
              <w:rPr>
                <w:rFonts w:ascii="宋体" w:hAnsi="宋体" w:cs="宋体"/>
                <w:color w:val="auto"/>
                <w:sz w:val="24"/>
                <w:lang w:val="zh-CN"/>
              </w:rPr>
            </w:pPr>
          </w:p>
        </w:tc>
        <w:tc>
          <w:tcPr>
            <w:tcW w:w="3327" w:type="pct"/>
            <w:vMerge w:val="continue"/>
            <w:tcBorders>
              <w:top w:val="single" w:color="auto" w:sz="6" w:space="0"/>
              <w:left w:val="single" w:color="auto" w:sz="6" w:space="0"/>
              <w:bottom w:val="single" w:color="auto" w:sz="6" w:space="0"/>
              <w:right w:val="single" w:color="auto" w:sz="6" w:space="0"/>
            </w:tcBorders>
            <w:vAlign w:val="center"/>
          </w:tcPr>
          <w:p w14:paraId="40B0F351">
            <w:pPr>
              <w:widowControl/>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40403C5D">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1</w:t>
            </w:r>
          </w:p>
        </w:tc>
        <w:tc>
          <w:tcPr>
            <w:tcW w:w="435" w:type="pct"/>
            <w:tcBorders>
              <w:top w:val="single" w:color="auto" w:sz="6" w:space="0"/>
              <w:left w:val="single" w:color="auto" w:sz="6" w:space="0"/>
              <w:bottom w:val="single" w:color="auto" w:sz="6" w:space="0"/>
              <w:right w:val="single" w:color="auto" w:sz="6" w:space="0"/>
            </w:tcBorders>
            <w:vAlign w:val="center"/>
          </w:tcPr>
          <w:p w14:paraId="4901262B">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2</w:t>
            </w:r>
          </w:p>
        </w:tc>
        <w:tc>
          <w:tcPr>
            <w:tcW w:w="438" w:type="pct"/>
            <w:tcBorders>
              <w:top w:val="single" w:color="auto" w:sz="6" w:space="0"/>
              <w:left w:val="single" w:color="auto" w:sz="6" w:space="0"/>
              <w:bottom w:val="single" w:color="auto" w:sz="6" w:space="0"/>
              <w:right w:val="single" w:color="auto" w:sz="6" w:space="0"/>
            </w:tcBorders>
            <w:vAlign w:val="center"/>
          </w:tcPr>
          <w:p w14:paraId="12102BB3">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3</w:t>
            </w:r>
          </w:p>
        </w:tc>
      </w:tr>
      <w:tr w14:paraId="7DFBA094">
        <w:tblPrEx>
          <w:tblCellMar>
            <w:top w:w="0" w:type="dxa"/>
            <w:left w:w="108" w:type="dxa"/>
            <w:bottom w:w="0" w:type="dxa"/>
            <w:right w:w="108" w:type="dxa"/>
          </w:tblCellMar>
        </w:tblPrEx>
        <w:trPr>
          <w:trHeight w:val="714" w:hRule="atLeast"/>
        </w:trPr>
        <w:tc>
          <w:tcPr>
            <w:tcW w:w="362" w:type="pct"/>
            <w:tcBorders>
              <w:top w:val="single" w:color="auto" w:sz="6" w:space="0"/>
              <w:left w:val="single" w:color="auto" w:sz="6" w:space="0"/>
              <w:bottom w:val="single" w:color="auto" w:sz="6" w:space="0"/>
              <w:right w:val="single" w:color="auto" w:sz="6" w:space="0"/>
            </w:tcBorders>
            <w:vAlign w:val="center"/>
          </w:tcPr>
          <w:p w14:paraId="57D4A7F0">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1</w:t>
            </w:r>
          </w:p>
        </w:tc>
        <w:tc>
          <w:tcPr>
            <w:tcW w:w="3327" w:type="pct"/>
            <w:tcBorders>
              <w:top w:val="single" w:color="auto" w:sz="6" w:space="0"/>
              <w:left w:val="single" w:color="auto" w:sz="6" w:space="0"/>
              <w:bottom w:val="single" w:color="auto" w:sz="6" w:space="0"/>
              <w:right w:val="single" w:color="auto" w:sz="6" w:space="0"/>
            </w:tcBorders>
            <w:vAlign w:val="center"/>
          </w:tcPr>
          <w:p w14:paraId="596A6979">
            <w:pPr>
              <w:autoSpaceDE w:val="0"/>
              <w:autoSpaceDN w:val="0"/>
              <w:adjustRightInd w:val="0"/>
              <w:jc w:val="left"/>
              <w:outlineLvl w:val="9"/>
              <w:rPr>
                <w:rFonts w:hint="eastAsia" w:ascii="宋体" w:hAnsi="宋体" w:eastAsia="宋体" w:cs="宋体"/>
                <w:color w:val="auto"/>
                <w:sz w:val="24"/>
                <w:lang w:val="zh-CN" w:eastAsia="zh-CN"/>
              </w:rPr>
            </w:pPr>
            <w:r>
              <w:rPr>
                <w:rFonts w:hint="eastAsia" w:ascii="宋体" w:hAnsi="宋体" w:cs="宋体"/>
                <w:color w:val="auto"/>
                <w:sz w:val="24"/>
                <w:lang w:val="zh-CN"/>
              </w:rPr>
              <w:t>法人或者其他组织的营业执照等主体资格证明文件，自然人的身份证明</w:t>
            </w:r>
          </w:p>
        </w:tc>
        <w:tc>
          <w:tcPr>
            <w:tcW w:w="435" w:type="pct"/>
            <w:tcBorders>
              <w:top w:val="single" w:color="auto" w:sz="6" w:space="0"/>
              <w:left w:val="single" w:color="auto" w:sz="6" w:space="0"/>
              <w:bottom w:val="single" w:color="auto" w:sz="6" w:space="0"/>
              <w:right w:val="single" w:color="auto" w:sz="6" w:space="0"/>
            </w:tcBorders>
            <w:vAlign w:val="center"/>
          </w:tcPr>
          <w:p w14:paraId="6E21A9D1">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4A6B6A69">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2B887A87">
            <w:pPr>
              <w:autoSpaceDE w:val="0"/>
              <w:autoSpaceDN w:val="0"/>
              <w:adjustRightInd w:val="0"/>
              <w:jc w:val="center"/>
              <w:outlineLvl w:val="9"/>
              <w:rPr>
                <w:rFonts w:ascii="宋体" w:hAnsi="宋体" w:cs="宋体"/>
                <w:color w:val="auto"/>
                <w:sz w:val="24"/>
                <w:lang w:val="zh-CN"/>
              </w:rPr>
            </w:pPr>
          </w:p>
        </w:tc>
      </w:tr>
      <w:tr w14:paraId="494A05AB">
        <w:tblPrEx>
          <w:tblCellMar>
            <w:top w:w="0" w:type="dxa"/>
            <w:left w:w="108" w:type="dxa"/>
            <w:bottom w:w="0" w:type="dxa"/>
            <w:right w:w="108" w:type="dxa"/>
          </w:tblCellMar>
        </w:tblPrEx>
        <w:trPr>
          <w:trHeight w:val="689" w:hRule="atLeast"/>
        </w:trPr>
        <w:tc>
          <w:tcPr>
            <w:tcW w:w="362" w:type="pct"/>
            <w:tcBorders>
              <w:top w:val="single" w:color="auto" w:sz="6" w:space="0"/>
              <w:left w:val="single" w:color="auto" w:sz="6" w:space="0"/>
              <w:bottom w:val="single" w:color="auto" w:sz="6" w:space="0"/>
              <w:right w:val="single" w:color="auto" w:sz="6" w:space="0"/>
            </w:tcBorders>
            <w:vAlign w:val="center"/>
          </w:tcPr>
          <w:p w14:paraId="62447572">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2</w:t>
            </w:r>
          </w:p>
        </w:tc>
        <w:tc>
          <w:tcPr>
            <w:tcW w:w="3327" w:type="pct"/>
            <w:tcBorders>
              <w:top w:val="single" w:color="auto" w:sz="6" w:space="0"/>
              <w:left w:val="single" w:color="auto" w:sz="6" w:space="0"/>
              <w:bottom w:val="single" w:color="auto" w:sz="6" w:space="0"/>
              <w:right w:val="single" w:color="auto" w:sz="6" w:space="0"/>
            </w:tcBorders>
            <w:vAlign w:val="center"/>
          </w:tcPr>
          <w:p w14:paraId="4E78615C">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投标保证金</w:t>
            </w:r>
          </w:p>
        </w:tc>
        <w:tc>
          <w:tcPr>
            <w:tcW w:w="435" w:type="pct"/>
            <w:tcBorders>
              <w:top w:val="single" w:color="auto" w:sz="6" w:space="0"/>
              <w:left w:val="single" w:color="auto" w:sz="6" w:space="0"/>
              <w:bottom w:val="single" w:color="auto" w:sz="6" w:space="0"/>
              <w:right w:val="single" w:color="auto" w:sz="6" w:space="0"/>
            </w:tcBorders>
            <w:vAlign w:val="center"/>
          </w:tcPr>
          <w:p w14:paraId="30133AE1">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30D5C9B3">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5C32FC90">
            <w:pPr>
              <w:autoSpaceDE w:val="0"/>
              <w:autoSpaceDN w:val="0"/>
              <w:adjustRightInd w:val="0"/>
              <w:jc w:val="center"/>
              <w:outlineLvl w:val="9"/>
              <w:rPr>
                <w:rFonts w:ascii="宋体" w:hAnsi="宋体" w:cs="宋体"/>
                <w:color w:val="auto"/>
                <w:sz w:val="24"/>
                <w:lang w:val="zh-CN"/>
              </w:rPr>
            </w:pPr>
          </w:p>
        </w:tc>
      </w:tr>
      <w:tr w14:paraId="76CCF3B1">
        <w:tblPrEx>
          <w:tblCellMar>
            <w:top w:w="0" w:type="dxa"/>
            <w:left w:w="108" w:type="dxa"/>
            <w:bottom w:w="0" w:type="dxa"/>
            <w:right w:w="108" w:type="dxa"/>
          </w:tblCellMar>
        </w:tblPrEx>
        <w:trPr>
          <w:trHeight w:val="719" w:hRule="atLeast"/>
        </w:trPr>
        <w:tc>
          <w:tcPr>
            <w:tcW w:w="362" w:type="pct"/>
            <w:tcBorders>
              <w:top w:val="single" w:color="auto" w:sz="6" w:space="0"/>
              <w:left w:val="single" w:color="auto" w:sz="6" w:space="0"/>
              <w:bottom w:val="single" w:color="auto" w:sz="6" w:space="0"/>
              <w:right w:val="single" w:color="auto" w:sz="6" w:space="0"/>
            </w:tcBorders>
            <w:vAlign w:val="center"/>
          </w:tcPr>
          <w:p w14:paraId="6F94C785">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3</w:t>
            </w:r>
          </w:p>
        </w:tc>
        <w:tc>
          <w:tcPr>
            <w:tcW w:w="3327" w:type="pct"/>
            <w:tcBorders>
              <w:top w:val="single" w:color="auto" w:sz="6" w:space="0"/>
              <w:left w:val="single" w:color="auto" w:sz="6" w:space="0"/>
              <w:bottom w:val="single" w:color="auto" w:sz="6" w:space="0"/>
              <w:right w:val="single" w:color="auto" w:sz="6" w:space="0"/>
            </w:tcBorders>
            <w:vAlign w:val="center"/>
          </w:tcPr>
          <w:p w14:paraId="033E0076">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响应文件是否正确签署盖章</w:t>
            </w:r>
          </w:p>
        </w:tc>
        <w:tc>
          <w:tcPr>
            <w:tcW w:w="435" w:type="pct"/>
            <w:tcBorders>
              <w:top w:val="single" w:color="auto" w:sz="6" w:space="0"/>
              <w:left w:val="single" w:color="auto" w:sz="6" w:space="0"/>
              <w:bottom w:val="single" w:color="auto" w:sz="6" w:space="0"/>
              <w:right w:val="single" w:color="auto" w:sz="6" w:space="0"/>
            </w:tcBorders>
            <w:vAlign w:val="center"/>
          </w:tcPr>
          <w:p w14:paraId="4A5C978B">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0BBBF829">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7F5260C9">
            <w:pPr>
              <w:autoSpaceDE w:val="0"/>
              <w:autoSpaceDN w:val="0"/>
              <w:adjustRightInd w:val="0"/>
              <w:jc w:val="center"/>
              <w:outlineLvl w:val="9"/>
              <w:rPr>
                <w:rFonts w:ascii="宋体" w:hAnsi="宋体" w:cs="宋体"/>
                <w:color w:val="auto"/>
                <w:sz w:val="24"/>
                <w:lang w:val="zh-CN"/>
              </w:rPr>
            </w:pPr>
          </w:p>
        </w:tc>
      </w:tr>
      <w:tr w14:paraId="07DF10F7">
        <w:tblPrEx>
          <w:tblCellMar>
            <w:top w:w="0" w:type="dxa"/>
            <w:left w:w="108" w:type="dxa"/>
            <w:bottom w:w="0" w:type="dxa"/>
            <w:right w:w="108" w:type="dxa"/>
          </w:tblCellMar>
        </w:tblPrEx>
        <w:trPr>
          <w:trHeight w:val="689" w:hRule="atLeast"/>
        </w:trPr>
        <w:tc>
          <w:tcPr>
            <w:tcW w:w="362" w:type="pct"/>
            <w:tcBorders>
              <w:top w:val="single" w:color="auto" w:sz="6" w:space="0"/>
              <w:left w:val="single" w:color="auto" w:sz="6" w:space="0"/>
              <w:bottom w:val="single" w:color="auto" w:sz="6" w:space="0"/>
              <w:right w:val="single" w:color="auto" w:sz="6" w:space="0"/>
            </w:tcBorders>
            <w:vAlign w:val="center"/>
          </w:tcPr>
          <w:p w14:paraId="620A0C19">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4</w:t>
            </w:r>
          </w:p>
        </w:tc>
        <w:tc>
          <w:tcPr>
            <w:tcW w:w="3327" w:type="pct"/>
            <w:tcBorders>
              <w:top w:val="single" w:color="auto" w:sz="6" w:space="0"/>
              <w:left w:val="single" w:color="auto" w:sz="6" w:space="0"/>
              <w:bottom w:val="single" w:color="auto" w:sz="6" w:space="0"/>
              <w:right w:val="single" w:color="auto" w:sz="6" w:space="0"/>
            </w:tcBorders>
            <w:vAlign w:val="center"/>
          </w:tcPr>
          <w:p w14:paraId="4B5983F8">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法定代表人授权委托证书</w:t>
            </w:r>
          </w:p>
        </w:tc>
        <w:tc>
          <w:tcPr>
            <w:tcW w:w="435" w:type="pct"/>
            <w:tcBorders>
              <w:top w:val="single" w:color="auto" w:sz="6" w:space="0"/>
              <w:left w:val="single" w:color="auto" w:sz="6" w:space="0"/>
              <w:bottom w:val="single" w:color="auto" w:sz="6" w:space="0"/>
              <w:right w:val="single" w:color="auto" w:sz="6" w:space="0"/>
            </w:tcBorders>
            <w:vAlign w:val="center"/>
          </w:tcPr>
          <w:p w14:paraId="3FBD36A6">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43A802FF">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3C5479A1">
            <w:pPr>
              <w:autoSpaceDE w:val="0"/>
              <w:autoSpaceDN w:val="0"/>
              <w:adjustRightInd w:val="0"/>
              <w:jc w:val="center"/>
              <w:outlineLvl w:val="9"/>
              <w:rPr>
                <w:rFonts w:ascii="宋体" w:hAnsi="宋体" w:cs="宋体"/>
                <w:color w:val="auto"/>
                <w:sz w:val="24"/>
                <w:lang w:val="zh-CN"/>
              </w:rPr>
            </w:pPr>
          </w:p>
        </w:tc>
      </w:tr>
      <w:tr w14:paraId="179F1AFD">
        <w:tblPrEx>
          <w:tblCellMar>
            <w:top w:w="0" w:type="dxa"/>
            <w:left w:w="108" w:type="dxa"/>
            <w:bottom w:w="0" w:type="dxa"/>
            <w:right w:w="108" w:type="dxa"/>
          </w:tblCellMar>
        </w:tblPrEx>
        <w:trPr>
          <w:trHeight w:val="704" w:hRule="atLeast"/>
        </w:trPr>
        <w:tc>
          <w:tcPr>
            <w:tcW w:w="362" w:type="pct"/>
            <w:tcBorders>
              <w:top w:val="single" w:color="auto" w:sz="6" w:space="0"/>
              <w:left w:val="single" w:color="auto" w:sz="6" w:space="0"/>
              <w:bottom w:val="single" w:color="auto" w:sz="6" w:space="0"/>
              <w:right w:val="single" w:color="auto" w:sz="6" w:space="0"/>
            </w:tcBorders>
            <w:vAlign w:val="center"/>
          </w:tcPr>
          <w:p w14:paraId="5D48C58F">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5</w:t>
            </w:r>
          </w:p>
        </w:tc>
        <w:tc>
          <w:tcPr>
            <w:tcW w:w="3327" w:type="pct"/>
            <w:tcBorders>
              <w:top w:val="single" w:color="auto" w:sz="6" w:space="0"/>
              <w:left w:val="single" w:color="auto" w:sz="6" w:space="0"/>
              <w:bottom w:val="single" w:color="auto" w:sz="6" w:space="0"/>
              <w:right w:val="single" w:color="auto" w:sz="6" w:space="0"/>
            </w:tcBorders>
            <w:vAlign w:val="center"/>
          </w:tcPr>
          <w:p w14:paraId="165B103B">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委托人和被委托人身份证复印件</w:t>
            </w:r>
          </w:p>
        </w:tc>
        <w:tc>
          <w:tcPr>
            <w:tcW w:w="435" w:type="pct"/>
            <w:tcBorders>
              <w:top w:val="single" w:color="auto" w:sz="6" w:space="0"/>
              <w:left w:val="single" w:color="auto" w:sz="6" w:space="0"/>
              <w:bottom w:val="single" w:color="auto" w:sz="6" w:space="0"/>
              <w:right w:val="single" w:color="auto" w:sz="6" w:space="0"/>
            </w:tcBorders>
            <w:vAlign w:val="center"/>
          </w:tcPr>
          <w:p w14:paraId="353575E0">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3096106A">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2966C89E">
            <w:pPr>
              <w:autoSpaceDE w:val="0"/>
              <w:autoSpaceDN w:val="0"/>
              <w:adjustRightInd w:val="0"/>
              <w:jc w:val="center"/>
              <w:outlineLvl w:val="9"/>
              <w:rPr>
                <w:rFonts w:ascii="宋体" w:hAnsi="宋体" w:cs="宋体"/>
                <w:color w:val="auto"/>
                <w:sz w:val="24"/>
                <w:lang w:val="zh-CN"/>
              </w:rPr>
            </w:pPr>
          </w:p>
        </w:tc>
      </w:tr>
      <w:tr w14:paraId="0A53FEE1">
        <w:tblPrEx>
          <w:tblCellMar>
            <w:top w:w="0" w:type="dxa"/>
            <w:left w:w="108" w:type="dxa"/>
            <w:bottom w:w="0" w:type="dxa"/>
            <w:right w:w="108" w:type="dxa"/>
          </w:tblCellMar>
        </w:tblPrEx>
        <w:trPr>
          <w:trHeight w:val="734" w:hRule="atLeast"/>
        </w:trPr>
        <w:tc>
          <w:tcPr>
            <w:tcW w:w="362" w:type="pct"/>
            <w:tcBorders>
              <w:top w:val="single" w:color="auto" w:sz="6" w:space="0"/>
              <w:left w:val="single" w:color="auto" w:sz="6" w:space="0"/>
              <w:bottom w:val="single" w:color="auto" w:sz="6" w:space="0"/>
              <w:right w:val="single" w:color="auto" w:sz="6" w:space="0"/>
            </w:tcBorders>
            <w:vAlign w:val="center"/>
          </w:tcPr>
          <w:p w14:paraId="2D35DBC1">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6</w:t>
            </w:r>
          </w:p>
        </w:tc>
        <w:tc>
          <w:tcPr>
            <w:tcW w:w="3327" w:type="pct"/>
            <w:tcBorders>
              <w:top w:val="single" w:color="auto" w:sz="6" w:space="0"/>
              <w:left w:val="single" w:color="auto" w:sz="6" w:space="0"/>
              <w:bottom w:val="single" w:color="auto" w:sz="6" w:space="0"/>
              <w:right w:val="single" w:color="auto" w:sz="6" w:space="0"/>
            </w:tcBorders>
            <w:vAlign w:val="center"/>
          </w:tcPr>
          <w:p w14:paraId="2B3622BA">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湖南省政府采购供应商资格承诺函</w:t>
            </w:r>
          </w:p>
        </w:tc>
        <w:tc>
          <w:tcPr>
            <w:tcW w:w="435" w:type="pct"/>
            <w:tcBorders>
              <w:top w:val="single" w:color="auto" w:sz="6" w:space="0"/>
              <w:left w:val="single" w:color="auto" w:sz="6" w:space="0"/>
              <w:bottom w:val="single" w:color="auto" w:sz="6" w:space="0"/>
              <w:right w:val="single" w:color="auto" w:sz="6" w:space="0"/>
            </w:tcBorders>
            <w:vAlign w:val="center"/>
          </w:tcPr>
          <w:p w14:paraId="43AD516B">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739A57B6">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7305E91D">
            <w:pPr>
              <w:autoSpaceDE w:val="0"/>
              <w:autoSpaceDN w:val="0"/>
              <w:adjustRightInd w:val="0"/>
              <w:jc w:val="center"/>
              <w:outlineLvl w:val="9"/>
              <w:rPr>
                <w:rFonts w:ascii="宋体" w:hAnsi="宋体" w:cs="宋体"/>
                <w:color w:val="auto"/>
                <w:sz w:val="24"/>
                <w:lang w:val="zh-CN"/>
              </w:rPr>
            </w:pPr>
          </w:p>
        </w:tc>
      </w:tr>
      <w:tr w14:paraId="172660A1">
        <w:tblPrEx>
          <w:tblCellMar>
            <w:top w:w="0" w:type="dxa"/>
            <w:left w:w="108" w:type="dxa"/>
            <w:bottom w:w="0" w:type="dxa"/>
            <w:right w:w="108" w:type="dxa"/>
          </w:tblCellMar>
        </w:tblPrEx>
        <w:trPr>
          <w:trHeight w:val="704" w:hRule="atLeast"/>
        </w:trPr>
        <w:tc>
          <w:tcPr>
            <w:tcW w:w="362" w:type="pct"/>
            <w:tcBorders>
              <w:top w:val="single" w:color="auto" w:sz="6" w:space="0"/>
              <w:left w:val="single" w:color="auto" w:sz="6" w:space="0"/>
              <w:bottom w:val="single" w:color="auto" w:sz="6" w:space="0"/>
              <w:right w:val="single" w:color="auto" w:sz="6" w:space="0"/>
            </w:tcBorders>
            <w:vAlign w:val="center"/>
          </w:tcPr>
          <w:p w14:paraId="69FECE44">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7</w:t>
            </w:r>
          </w:p>
        </w:tc>
        <w:tc>
          <w:tcPr>
            <w:tcW w:w="3327" w:type="pct"/>
            <w:tcBorders>
              <w:top w:val="single" w:color="auto" w:sz="6" w:space="0"/>
              <w:left w:val="single" w:color="auto" w:sz="6" w:space="0"/>
              <w:bottom w:val="single" w:color="auto" w:sz="6" w:space="0"/>
              <w:right w:val="single" w:color="auto" w:sz="6" w:space="0"/>
            </w:tcBorders>
            <w:vAlign w:val="center"/>
          </w:tcPr>
          <w:p w14:paraId="392564B9">
            <w:pPr>
              <w:autoSpaceDE w:val="0"/>
              <w:autoSpaceDN w:val="0"/>
              <w:adjustRightInd w:val="0"/>
              <w:jc w:val="left"/>
              <w:outlineLvl w:val="9"/>
              <w:rPr>
                <w:rFonts w:ascii="宋体" w:hAnsi="宋体" w:eastAsia="宋体" w:cs="宋体"/>
                <w:color w:val="auto"/>
                <w:kern w:val="2"/>
                <w:sz w:val="24"/>
                <w:szCs w:val="24"/>
                <w:lang w:val="zh-CN" w:eastAsia="zh-CN" w:bidi="ar-SA"/>
              </w:rPr>
            </w:pPr>
            <w:r>
              <w:rPr>
                <w:rFonts w:hint="eastAsia" w:ascii="宋体" w:hAnsi="宋体" w:cs="宋体"/>
                <w:color w:val="auto"/>
                <w:sz w:val="24"/>
                <w:lang w:val="zh-CN"/>
              </w:rPr>
              <w:t>符合特定资格条件证明材料或者情况说明</w:t>
            </w:r>
          </w:p>
        </w:tc>
        <w:tc>
          <w:tcPr>
            <w:tcW w:w="435" w:type="pct"/>
            <w:tcBorders>
              <w:top w:val="single" w:color="auto" w:sz="6" w:space="0"/>
              <w:left w:val="single" w:color="auto" w:sz="6" w:space="0"/>
              <w:bottom w:val="single" w:color="auto" w:sz="6" w:space="0"/>
              <w:right w:val="single" w:color="auto" w:sz="6" w:space="0"/>
            </w:tcBorders>
            <w:vAlign w:val="center"/>
          </w:tcPr>
          <w:p w14:paraId="4118A08A">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0C84044C">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50BDA750">
            <w:pPr>
              <w:autoSpaceDE w:val="0"/>
              <w:autoSpaceDN w:val="0"/>
              <w:adjustRightInd w:val="0"/>
              <w:jc w:val="center"/>
              <w:outlineLvl w:val="9"/>
              <w:rPr>
                <w:rFonts w:ascii="宋体" w:hAnsi="宋体" w:cs="宋体"/>
                <w:color w:val="auto"/>
                <w:sz w:val="24"/>
                <w:lang w:val="zh-CN"/>
              </w:rPr>
            </w:pPr>
          </w:p>
        </w:tc>
      </w:tr>
      <w:tr w14:paraId="27A5B098">
        <w:tblPrEx>
          <w:tblCellMar>
            <w:top w:w="0" w:type="dxa"/>
            <w:left w:w="108" w:type="dxa"/>
            <w:bottom w:w="0" w:type="dxa"/>
            <w:right w:w="108" w:type="dxa"/>
          </w:tblCellMar>
        </w:tblPrEx>
        <w:trPr>
          <w:trHeight w:val="674" w:hRule="atLeast"/>
        </w:trPr>
        <w:tc>
          <w:tcPr>
            <w:tcW w:w="362" w:type="pct"/>
            <w:tcBorders>
              <w:top w:val="single" w:color="auto" w:sz="6" w:space="0"/>
              <w:left w:val="single" w:color="auto" w:sz="6" w:space="0"/>
              <w:bottom w:val="single" w:color="auto" w:sz="6" w:space="0"/>
              <w:right w:val="single" w:color="auto" w:sz="6" w:space="0"/>
            </w:tcBorders>
            <w:vAlign w:val="center"/>
          </w:tcPr>
          <w:p w14:paraId="2C9854A5">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8</w:t>
            </w:r>
          </w:p>
        </w:tc>
        <w:tc>
          <w:tcPr>
            <w:tcW w:w="3327" w:type="pct"/>
            <w:tcBorders>
              <w:top w:val="single" w:color="auto" w:sz="6" w:space="0"/>
              <w:left w:val="single" w:color="auto" w:sz="6" w:space="0"/>
              <w:bottom w:val="single" w:color="auto" w:sz="6" w:space="0"/>
              <w:right w:val="single" w:color="auto" w:sz="6" w:space="0"/>
            </w:tcBorders>
            <w:vAlign w:val="center"/>
          </w:tcPr>
          <w:p w14:paraId="647BCC95">
            <w:pPr>
              <w:autoSpaceDE w:val="0"/>
              <w:autoSpaceDN w:val="0"/>
              <w:adjustRightInd w:val="0"/>
              <w:jc w:val="left"/>
              <w:outlineLvl w:val="9"/>
              <w:rPr>
                <w:rFonts w:ascii="宋体" w:hAnsi="宋体" w:eastAsia="宋体" w:cs="宋体"/>
                <w:color w:val="auto"/>
                <w:kern w:val="2"/>
                <w:sz w:val="24"/>
                <w:szCs w:val="24"/>
                <w:lang w:val="zh-CN" w:eastAsia="zh-CN" w:bidi="ar-SA"/>
              </w:rPr>
            </w:pPr>
            <w:r>
              <w:rPr>
                <w:rFonts w:hint="eastAsia" w:ascii="宋体" w:hAnsi="宋体" w:cs="宋体"/>
                <w:color w:val="auto"/>
                <w:sz w:val="24"/>
                <w:lang w:val="zh-CN"/>
              </w:rPr>
              <w:t>供应商的信用信息证明材料</w:t>
            </w:r>
          </w:p>
        </w:tc>
        <w:tc>
          <w:tcPr>
            <w:tcW w:w="435" w:type="pct"/>
            <w:tcBorders>
              <w:top w:val="single" w:color="auto" w:sz="6" w:space="0"/>
              <w:left w:val="single" w:color="auto" w:sz="6" w:space="0"/>
              <w:bottom w:val="single" w:color="auto" w:sz="6" w:space="0"/>
              <w:right w:val="single" w:color="auto" w:sz="6" w:space="0"/>
            </w:tcBorders>
            <w:vAlign w:val="center"/>
          </w:tcPr>
          <w:p w14:paraId="0E67F773">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36D82837">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3382B473">
            <w:pPr>
              <w:autoSpaceDE w:val="0"/>
              <w:autoSpaceDN w:val="0"/>
              <w:adjustRightInd w:val="0"/>
              <w:jc w:val="center"/>
              <w:outlineLvl w:val="9"/>
              <w:rPr>
                <w:rFonts w:ascii="宋体" w:hAnsi="宋体" w:cs="宋体"/>
                <w:color w:val="auto"/>
                <w:sz w:val="24"/>
                <w:lang w:val="zh-CN"/>
              </w:rPr>
            </w:pPr>
          </w:p>
        </w:tc>
      </w:tr>
      <w:tr w14:paraId="17EB783B">
        <w:tblPrEx>
          <w:tblCellMar>
            <w:top w:w="0" w:type="dxa"/>
            <w:left w:w="108" w:type="dxa"/>
            <w:bottom w:w="0" w:type="dxa"/>
            <w:right w:w="108" w:type="dxa"/>
          </w:tblCellMar>
        </w:tblPrEx>
        <w:trPr>
          <w:trHeight w:val="629" w:hRule="atLeast"/>
        </w:trPr>
        <w:tc>
          <w:tcPr>
            <w:tcW w:w="362" w:type="pct"/>
            <w:tcBorders>
              <w:top w:val="single" w:color="auto" w:sz="6" w:space="0"/>
              <w:left w:val="single" w:color="auto" w:sz="6" w:space="0"/>
              <w:bottom w:val="single" w:color="auto" w:sz="6" w:space="0"/>
              <w:right w:val="single" w:color="auto" w:sz="6" w:space="0"/>
            </w:tcBorders>
            <w:vAlign w:val="center"/>
          </w:tcPr>
          <w:p w14:paraId="0080F963">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9</w:t>
            </w:r>
          </w:p>
        </w:tc>
        <w:tc>
          <w:tcPr>
            <w:tcW w:w="3327" w:type="pct"/>
            <w:tcBorders>
              <w:top w:val="single" w:color="auto" w:sz="6" w:space="0"/>
              <w:left w:val="single" w:color="auto" w:sz="6" w:space="0"/>
              <w:bottom w:val="single" w:color="auto" w:sz="6" w:space="0"/>
              <w:right w:val="single" w:color="auto" w:sz="6" w:space="0"/>
            </w:tcBorders>
            <w:vAlign w:val="center"/>
          </w:tcPr>
          <w:p w14:paraId="0017E844">
            <w:pPr>
              <w:autoSpaceDE w:val="0"/>
              <w:autoSpaceDN w:val="0"/>
              <w:adjustRightInd w:val="0"/>
              <w:jc w:val="left"/>
              <w:outlineLvl w:val="9"/>
              <w:rPr>
                <w:rFonts w:ascii="宋体" w:hAnsi="宋体" w:eastAsia="宋体" w:cs="宋体"/>
                <w:color w:val="auto"/>
                <w:kern w:val="2"/>
                <w:sz w:val="24"/>
                <w:szCs w:val="24"/>
                <w:lang w:val="zh-CN" w:eastAsia="zh-CN" w:bidi="ar-SA"/>
              </w:rPr>
            </w:pPr>
            <w:r>
              <w:rPr>
                <w:rFonts w:hint="eastAsia" w:ascii="宋体" w:hAnsi="宋体"/>
                <w:color w:val="auto"/>
                <w:sz w:val="24"/>
              </w:rPr>
              <w:t>符合法律、法规和磋商文件中规定的其他实质性要求</w:t>
            </w:r>
          </w:p>
        </w:tc>
        <w:tc>
          <w:tcPr>
            <w:tcW w:w="435" w:type="pct"/>
            <w:tcBorders>
              <w:top w:val="single" w:color="auto" w:sz="6" w:space="0"/>
              <w:left w:val="single" w:color="auto" w:sz="6" w:space="0"/>
              <w:bottom w:val="single" w:color="auto" w:sz="6" w:space="0"/>
              <w:right w:val="single" w:color="auto" w:sz="6" w:space="0"/>
            </w:tcBorders>
            <w:vAlign w:val="center"/>
          </w:tcPr>
          <w:p w14:paraId="1CD1D4DA">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7FC010D3">
            <w:pPr>
              <w:autoSpaceDE w:val="0"/>
              <w:autoSpaceDN w:val="0"/>
              <w:adjustRightInd w:val="0"/>
              <w:jc w:val="center"/>
              <w:outlineLvl w:val="9"/>
              <w:rPr>
                <w:rFonts w:ascii="宋体" w:hAnsi="宋体" w:cs="宋体"/>
                <w:color w:val="auto"/>
                <w:sz w:val="24"/>
                <w:lang w:val="zh-CN"/>
              </w:rPr>
            </w:pPr>
          </w:p>
        </w:tc>
        <w:tc>
          <w:tcPr>
            <w:tcW w:w="438" w:type="pct"/>
            <w:tcBorders>
              <w:top w:val="single" w:color="auto" w:sz="6" w:space="0"/>
              <w:left w:val="single" w:color="auto" w:sz="6" w:space="0"/>
              <w:bottom w:val="single" w:color="auto" w:sz="6" w:space="0"/>
              <w:right w:val="single" w:color="auto" w:sz="6" w:space="0"/>
            </w:tcBorders>
            <w:vAlign w:val="center"/>
          </w:tcPr>
          <w:p w14:paraId="3D31D01F">
            <w:pPr>
              <w:autoSpaceDE w:val="0"/>
              <w:autoSpaceDN w:val="0"/>
              <w:adjustRightInd w:val="0"/>
              <w:jc w:val="center"/>
              <w:outlineLvl w:val="9"/>
              <w:rPr>
                <w:rFonts w:ascii="宋体" w:hAnsi="宋体" w:cs="宋体"/>
                <w:color w:val="auto"/>
                <w:sz w:val="24"/>
                <w:lang w:val="zh-CN"/>
              </w:rPr>
            </w:pPr>
          </w:p>
        </w:tc>
      </w:tr>
      <w:tr w14:paraId="7ABF56B8">
        <w:tblPrEx>
          <w:tblCellMar>
            <w:top w:w="0" w:type="dxa"/>
            <w:left w:w="108" w:type="dxa"/>
            <w:bottom w:w="0" w:type="dxa"/>
            <w:right w:w="108" w:type="dxa"/>
          </w:tblCellMar>
        </w:tblPrEx>
        <w:trPr>
          <w:trHeight w:val="634" w:hRule="atLeast"/>
        </w:trPr>
        <w:tc>
          <w:tcPr>
            <w:tcW w:w="362" w:type="pct"/>
            <w:tcBorders>
              <w:top w:val="single" w:color="auto" w:sz="4" w:space="0"/>
              <w:left w:val="single" w:color="auto" w:sz="6" w:space="0"/>
              <w:bottom w:val="single" w:color="auto" w:sz="6" w:space="0"/>
              <w:right w:val="single" w:color="auto" w:sz="6" w:space="0"/>
            </w:tcBorders>
            <w:vAlign w:val="center"/>
          </w:tcPr>
          <w:p w14:paraId="5774B92E">
            <w:pPr>
              <w:autoSpaceDE w:val="0"/>
              <w:autoSpaceDN w:val="0"/>
              <w:adjustRightInd w:val="0"/>
              <w:jc w:val="center"/>
              <w:outlineLvl w:val="9"/>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3327" w:type="pct"/>
            <w:tcBorders>
              <w:top w:val="single" w:color="auto" w:sz="4" w:space="0"/>
              <w:left w:val="single" w:color="auto" w:sz="6" w:space="0"/>
              <w:bottom w:val="single" w:color="auto" w:sz="6" w:space="0"/>
              <w:right w:val="single" w:color="auto" w:sz="6" w:space="0"/>
            </w:tcBorders>
            <w:vAlign w:val="center"/>
          </w:tcPr>
          <w:p w14:paraId="433B39C0">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结论</w:t>
            </w:r>
          </w:p>
        </w:tc>
        <w:tc>
          <w:tcPr>
            <w:tcW w:w="435" w:type="pct"/>
            <w:tcBorders>
              <w:top w:val="single" w:color="auto" w:sz="4" w:space="0"/>
              <w:left w:val="single" w:color="auto" w:sz="6" w:space="0"/>
              <w:bottom w:val="single" w:color="auto" w:sz="6" w:space="0"/>
              <w:right w:val="single" w:color="auto" w:sz="6" w:space="0"/>
            </w:tcBorders>
            <w:vAlign w:val="center"/>
          </w:tcPr>
          <w:p w14:paraId="58DCC60D">
            <w:pPr>
              <w:autoSpaceDE w:val="0"/>
              <w:autoSpaceDN w:val="0"/>
              <w:adjustRightInd w:val="0"/>
              <w:jc w:val="center"/>
              <w:outlineLvl w:val="9"/>
              <w:rPr>
                <w:rFonts w:ascii="宋体" w:hAnsi="宋体" w:cs="宋体"/>
                <w:color w:val="auto"/>
                <w:sz w:val="24"/>
                <w:lang w:val="zh-CN"/>
              </w:rPr>
            </w:pPr>
          </w:p>
        </w:tc>
        <w:tc>
          <w:tcPr>
            <w:tcW w:w="435" w:type="pct"/>
            <w:tcBorders>
              <w:top w:val="single" w:color="auto" w:sz="4" w:space="0"/>
              <w:left w:val="single" w:color="auto" w:sz="6" w:space="0"/>
              <w:bottom w:val="single" w:color="auto" w:sz="6" w:space="0"/>
              <w:right w:val="single" w:color="auto" w:sz="6" w:space="0"/>
            </w:tcBorders>
            <w:vAlign w:val="center"/>
          </w:tcPr>
          <w:p w14:paraId="41D135E3">
            <w:pPr>
              <w:autoSpaceDE w:val="0"/>
              <w:autoSpaceDN w:val="0"/>
              <w:adjustRightInd w:val="0"/>
              <w:jc w:val="center"/>
              <w:outlineLvl w:val="9"/>
              <w:rPr>
                <w:rFonts w:ascii="宋体" w:hAnsi="宋体" w:cs="宋体"/>
                <w:color w:val="auto"/>
                <w:sz w:val="24"/>
                <w:lang w:val="zh-CN"/>
              </w:rPr>
            </w:pPr>
          </w:p>
        </w:tc>
        <w:tc>
          <w:tcPr>
            <w:tcW w:w="438" w:type="pct"/>
            <w:tcBorders>
              <w:top w:val="single" w:color="auto" w:sz="4" w:space="0"/>
              <w:left w:val="single" w:color="auto" w:sz="6" w:space="0"/>
              <w:bottom w:val="single" w:color="auto" w:sz="6" w:space="0"/>
              <w:right w:val="single" w:color="auto" w:sz="6" w:space="0"/>
            </w:tcBorders>
            <w:vAlign w:val="center"/>
          </w:tcPr>
          <w:p w14:paraId="28F8F04E">
            <w:pPr>
              <w:autoSpaceDE w:val="0"/>
              <w:autoSpaceDN w:val="0"/>
              <w:adjustRightInd w:val="0"/>
              <w:jc w:val="center"/>
              <w:outlineLvl w:val="9"/>
              <w:rPr>
                <w:rFonts w:ascii="宋体" w:hAnsi="宋体" w:cs="宋体"/>
                <w:color w:val="auto"/>
                <w:sz w:val="24"/>
                <w:lang w:val="zh-CN"/>
              </w:rPr>
            </w:pPr>
          </w:p>
        </w:tc>
      </w:tr>
      <w:tr w14:paraId="2BE41BFF">
        <w:tblPrEx>
          <w:tblCellMar>
            <w:top w:w="0" w:type="dxa"/>
            <w:left w:w="108" w:type="dxa"/>
            <w:bottom w:w="0" w:type="dxa"/>
            <w:right w:w="108" w:type="dxa"/>
          </w:tblCellMar>
        </w:tblPrEx>
        <w:trPr>
          <w:trHeight w:val="812" w:hRule="atLeast"/>
        </w:trPr>
        <w:tc>
          <w:tcPr>
            <w:tcW w:w="5000" w:type="pct"/>
            <w:gridSpan w:val="5"/>
            <w:tcBorders>
              <w:top w:val="single" w:color="auto" w:sz="6" w:space="0"/>
              <w:left w:val="single" w:color="auto" w:sz="6" w:space="0"/>
              <w:bottom w:val="single" w:color="auto" w:sz="6" w:space="0"/>
              <w:right w:val="single" w:color="auto" w:sz="6" w:space="0"/>
            </w:tcBorders>
          </w:tcPr>
          <w:p w14:paraId="4770D4B9">
            <w:pPr>
              <w:autoSpaceDE w:val="0"/>
              <w:autoSpaceDN w:val="0"/>
              <w:adjustRightInd w:val="0"/>
              <w:outlineLvl w:val="9"/>
              <w:rPr>
                <w:rFonts w:ascii="宋体" w:hAnsi="宋体" w:cs="宋体"/>
                <w:color w:val="auto"/>
                <w:sz w:val="24"/>
                <w:lang w:val="zh-CN"/>
              </w:rPr>
            </w:pPr>
            <w:r>
              <w:rPr>
                <w:rFonts w:hint="eastAsia" w:ascii="宋体" w:hAnsi="宋体" w:cs="宋体"/>
                <w:color w:val="auto"/>
                <w:sz w:val="24"/>
                <w:lang w:val="zh-CN"/>
              </w:rPr>
              <w:t>评委签名：</w:t>
            </w:r>
          </w:p>
          <w:p w14:paraId="76A47B9F">
            <w:pPr>
              <w:autoSpaceDE w:val="0"/>
              <w:autoSpaceDN w:val="0"/>
              <w:adjustRightInd w:val="0"/>
              <w:ind w:firstLine="7440" w:firstLineChars="3100"/>
              <w:outlineLvl w:val="9"/>
              <w:rPr>
                <w:rFonts w:ascii="宋体" w:hAnsi="宋体" w:cs="宋体"/>
                <w:color w:val="auto"/>
                <w:sz w:val="24"/>
                <w:lang w:val="zh-CN"/>
              </w:rPr>
            </w:pPr>
          </w:p>
          <w:p w14:paraId="046BA401">
            <w:pPr>
              <w:autoSpaceDE w:val="0"/>
              <w:autoSpaceDN w:val="0"/>
              <w:adjustRightInd w:val="0"/>
              <w:ind w:firstLine="7440" w:firstLineChars="3100"/>
              <w:outlineLvl w:val="9"/>
              <w:rPr>
                <w:rFonts w:ascii="宋体" w:hAnsi="宋体" w:cs="宋体"/>
                <w:color w:val="auto"/>
                <w:sz w:val="24"/>
                <w:lang w:val="zh-CN"/>
              </w:rPr>
            </w:pPr>
          </w:p>
          <w:p w14:paraId="7E321521">
            <w:pPr>
              <w:autoSpaceDE w:val="0"/>
              <w:autoSpaceDN w:val="0"/>
              <w:adjustRightInd w:val="0"/>
              <w:ind w:firstLine="7440" w:firstLineChars="3100"/>
              <w:outlineLvl w:val="9"/>
              <w:rPr>
                <w:rFonts w:ascii="宋体" w:hAnsi="宋体" w:cs="宋体"/>
                <w:color w:val="auto"/>
                <w:sz w:val="24"/>
                <w:lang w:val="zh-CN"/>
              </w:rPr>
            </w:pPr>
          </w:p>
          <w:p w14:paraId="60796BF1">
            <w:pPr>
              <w:autoSpaceDE w:val="0"/>
              <w:autoSpaceDN w:val="0"/>
              <w:adjustRightInd w:val="0"/>
              <w:jc w:val="right"/>
              <w:outlineLvl w:val="9"/>
              <w:rPr>
                <w:rFonts w:ascii="宋体" w:hAnsi="宋体" w:cs="宋体"/>
                <w:color w:val="auto"/>
                <w:sz w:val="24"/>
                <w:lang w:val="zh-CN"/>
              </w:rPr>
            </w:pPr>
            <w:r>
              <w:rPr>
                <w:rFonts w:hint="eastAsia" w:ascii="宋体" w:hAnsi="宋体" w:cs="宋体"/>
                <w:color w:val="auto"/>
                <w:sz w:val="24"/>
                <w:lang w:val="zh-CN"/>
              </w:rPr>
              <w:t>年   月   日</w:t>
            </w:r>
          </w:p>
        </w:tc>
      </w:tr>
    </w:tbl>
    <w:p w14:paraId="2421EC25">
      <w:pPr>
        <w:pStyle w:val="38"/>
        <w:spacing w:line="360" w:lineRule="auto"/>
        <w:ind w:left="0" w:firstLine="0" w:firstLineChars="0"/>
        <w:outlineLvl w:val="9"/>
        <w:rPr>
          <w:rFonts w:ascii="宋体" w:hAnsi="宋体"/>
          <w:color w:val="auto"/>
          <w:sz w:val="24"/>
        </w:rPr>
      </w:pPr>
      <w:r>
        <w:rPr>
          <w:rFonts w:hint="eastAsia" w:ascii="宋体" w:hAnsi="宋体"/>
          <w:color w:val="auto"/>
          <w:sz w:val="24"/>
          <w:lang w:eastAsia="zh-CN"/>
        </w:rPr>
        <w:t>响应</w:t>
      </w:r>
      <w:r>
        <w:rPr>
          <w:rFonts w:hint="eastAsia" w:ascii="宋体" w:hAnsi="宋体"/>
          <w:color w:val="auto"/>
          <w:sz w:val="24"/>
        </w:rPr>
        <w:t>文件有下列情况之一的，应当在资格性检查时按照无效投标处理：</w:t>
      </w:r>
    </w:p>
    <w:p w14:paraId="23D15BEA">
      <w:pPr>
        <w:pStyle w:val="38"/>
        <w:spacing w:line="360" w:lineRule="auto"/>
        <w:ind w:left="0" w:firstLine="0" w:firstLineChars="0"/>
        <w:outlineLvl w:val="9"/>
        <w:rPr>
          <w:rFonts w:hint="eastAsia" w:ascii="宋体" w:hAnsi="宋体" w:eastAsia="宋体"/>
          <w:color w:val="auto"/>
          <w:sz w:val="24"/>
          <w:lang w:eastAsia="zh-CN"/>
        </w:rPr>
      </w:pPr>
      <w:r>
        <w:rPr>
          <w:rFonts w:hint="eastAsia" w:ascii="宋体" w:hAnsi="宋体"/>
          <w:color w:val="auto"/>
          <w:sz w:val="24"/>
        </w:rPr>
        <w:t xml:space="preserve">1、应交未交投标保证金的； </w:t>
      </w:r>
    </w:p>
    <w:p w14:paraId="309C5067">
      <w:pPr>
        <w:pStyle w:val="38"/>
        <w:spacing w:line="360" w:lineRule="auto"/>
        <w:ind w:left="0" w:firstLine="0" w:firstLineChars="0"/>
        <w:outlineLvl w:val="9"/>
        <w:rPr>
          <w:rFonts w:hint="eastAsia" w:ascii="宋体" w:hAnsi="宋体" w:eastAsia="宋体"/>
          <w:color w:val="auto"/>
          <w:sz w:val="24"/>
          <w:lang w:eastAsia="zh-CN"/>
        </w:rPr>
      </w:pPr>
      <w:r>
        <w:rPr>
          <w:rFonts w:hint="eastAsia" w:ascii="宋体" w:hAnsi="宋体"/>
          <w:color w:val="auto"/>
          <w:sz w:val="24"/>
        </w:rPr>
        <w:t xml:space="preserve">2、未按照参磋商文件规定要求密封、签署、盖章的； </w:t>
      </w:r>
    </w:p>
    <w:p w14:paraId="5EEC0840">
      <w:pPr>
        <w:pStyle w:val="38"/>
        <w:spacing w:line="360" w:lineRule="auto"/>
        <w:ind w:left="0" w:firstLine="0" w:firstLineChars="0"/>
        <w:outlineLvl w:val="9"/>
        <w:rPr>
          <w:rFonts w:hint="eastAsia" w:ascii="宋体" w:hAnsi="宋体" w:eastAsia="宋体"/>
          <w:color w:val="auto"/>
          <w:sz w:val="24"/>
          <w:lang w:eastAsia="zh-CN"/>
        </w:rPr>
      </w:pPr>
      <w:r>
        <w:rPr>
          <w:rFonts w:hint="eastAsia" w:ascii="宋体" w:hAnsi="宋体"/>
          <w:color w:val="auto"/>
          <w:sz w:val="24"/>
        </w:rPr>
        <w:t xml:space="preserve">3、不具备磋商文件中规定资格要求的。 </w:t>
      </w:r>
    </w:p>
    <w:p w14:paraId="6119ACF3">
      <w:pPr>
        <w:pStyle w:val="38"/>
        <w:spacing w:line="360" w:lineRule="auto"/>
        <w:ind w:left="0" w:firstLine="0" w:firstLineChars="0"/>
        <w:outlineLvl w:val="9"/>
        <w:rPr>
          <w:rFonts w:ascii="宋体" w:hAnsi="宋体"/>
          <w:b/>
          <w:bCs/>
          <w:color w:val="auto"/>
          <w:sz w:val="24"/>
        </w:rPr>
      </w:pPr>
      <w:r>
        <w:rPr>
          <w:rFonts w:hint="eastAsia" w:ascii="宋体" w:hAnsi="宋体"/>
          <w:color w:val="auto"/>
          <w:sz w:val="24"/>
        </w:rPr>
        <w:t>4、不符合法律、法规和磋商文件中规定的其他实质性要求的。</w:t>
      </w:r>
    </w:p>
    <w:p w14:paraId="39074984">
      <w:pPr>
        <w:pStyle w:val="22"/>
        <w:spacing w:line="360" w:lineRule="auto"/>
        <w:ind w:left="146" w:leftChars="23" w:hanging="98" w:hangingChars="41"/>
        <w:outlineLvl w:val="9"/>
        <w:rPr>
          <w:rFonts w:hint="eastAsia" w:eastAsia="宋体"/>
          <w:color w:val="auto"/>
          <w:sz w:val="24"/>
          <w:lang w:eastAsia="zh-CN"/>
        </w:rPr>
      </w:pPr>
      <w:r>
        <w:rPr>
          <w:rFonts w:hint="eastAsia"/>
          <w:color w:val="auto"/>
          <w:sz w:val="24"/>
        </w:rPr>
        <w:t>结论填写“合格”或“不合格”，不合格</w:t>
      </w:r>
      <w:r>
        <w:rPr>
          <w:rFonts w:hint="eastAsia"/>
          <w:color w:val="auto"/>
          <w:sz w:val="24"/>
          <w:lang w:eastAsia="zh-CN"/>
        </w:rPr>
        <w:t>供应商</w:t>
      </w:r>
      <w:r>
        <w:rPr>
          <w:rFonts w:hint="eastAsia"/>
          <w:color w:val="auto"/>
          <w:sz w:val="24"/>
        </w:rPr>
        <w:t>不进入下一轮评审</w:t>
      </w:r>
      <w:r>
        <w:rPr>
          <w:rFonts w:hint="eastAsia"/>
          <w:color w:val="auto"/>
          <w:sz w:val="24"/>
          <w:lang w:eastAsia="zh-CN"/>
        </w:rPr>
        <w:t>。</w:t>
      </w:r>
    </w:p>
    <w:p w14:paraId="409125C9">
      <w:pPr>
        <w:pStyle w:val="22"/>
        <w:spacing w:line="360" w:lineRule="auto"/>
        <w:ind w:left="146" w:leftChars="23" w:hanging="98" w:hangingChars="41"/>
        <w:outlineLvl w:val="9"/>
        <w:rPr>
          <w:color w:val="auto"/>
          <w:sz w:val="24"/>
        </w:rPr>
      </w:pPr>
    </w:p>
    <w:p w14:paraId="7665BDF6">
      <w:pPr>
        <w:pStyle w:val="22"/>
        <w:spacing w:line="360" w:lineRule="auto"/>
        <w:ind w:left="146" w:leftChars="23" w:hanging="98" w:hangingChars="41"/>
        <w:outlineLvl w:val="9"/>
        <w:rPr>
          <w:color w:val="auto"/>
          <w:sz w:val="24"/>
        </w:rPr>
      </w:pPr>
    </w:p>
    <w:p w14:paraId="0EC04A15">
      <w:pPr>
        <w:bidi w:val="0"/>
        <w:outlineLvl w:val="1"/>
      </w:pPr>
      <w:r>
        <w:rPr>
          <w:rFonts w:hint="eastAsia" w:ascii="宋体" w:hAnsi="宋体"/>
          <w:b/>
          <w:color w:val="auto"/>
          <w:sz w:val="24"/>
        </w:rPr>
        <w:t>2、</w:t>
      </w:r>
      <w:r>
        <w:rPr>
          <w:rFonts w:hint="eastAsia" w:ascii="宋体" w:hAnsi="宋体"/>
          <w:b/>
          <w:color w:val="auto"/>
          <w:sz w:val="24"/>
          <w:lang w:eastAsia="zh-CN"/>
        </w:rPr>
        <w:t>响应</w:t>
      </w:r>
      <w:r>
        <w:rPr>
          <w:rFonts w:hint="eastAsia" w:ascii="宋体" w:hAnsi="宋体"/>
          <w:b/>
          <w:color w:val="auto"/>
          <w:sz w:val="24"/>
        </w:rPr>
        <w:t>文件符合性检查表</w:t>
      </w:r>
    </w:p>
    <w:tbl>
      <w:tblPr>
        <w:tblStyle w:val="50"/>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620"/>
        <w:gridCol w:w="3780"/>
        <w:gridCol w:w="549"/>
        <w:gridCol w:w="549"/>
        <w:gridCol w:w="550"/>
        <w:gridCol w:w="549"/>
        <w:gridCol w:w="549"/>
        <w:gridCol w:w="550"/>
      </w:tblGrid>
      <w:tr w14:paraId="259D6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2"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54DA5DAA">
            <w:pPr>
              <w:spacing w:line="240" w:lineRule="auto"/>
              <w:jc w:val="center"/>
              <w:outlineLvl w:val="9"/>
              <w:rPr>
                <w:rFonts w:ascii="宋体" w:hAnsi="宋体"/>
                <w:color w:val="auto"/>
                <w:sz w:val="24"/>
              </w:rPr>
            </w:pPr>
            <w:r>
              <w:rPr>
                <w:rFonts w:hint="eastAsia" w:ascii="宋体" w:hAnsi="宋体"/>
                <w:color w:val="auto"/>
                <w:sz w:val="24"/>
              </w:rPr>
              <w:t>序号</w:t>
            </w:r>
          </w:p>
        </w:tc>
        <w:tc>
          <w:tcPr>
            <w:tcW w:w="5400" w:type="dxa"/>
            <w:gridSpan w:val="2"/>
            <w:vMerge w:val="restart"/>
            <w:tcBorders>
              <w:top w:val="single" w:color="auto" w:sz="4" w:space="0"/>
              <w:left w:val="single" w:color="auto" w:sz="4" w:space="0"/>
              <w:bottom w:val="single" w:color="auto" w:sz="4" w:space="0"/>
              <w:right w:val="single" w:color="auto" w:sz="4" w:space="0"/>
            </w:tcBorders>
            <w:vAlign w:val="center"/>
          </w:tcPr>
          <w:p w14:paraId="642BFF90">
            <w:pPr>
              <w:spacing w:line="240" w:lineRule="auto"/>
              <w:jc w:val="center"/>
              <w:outlineLvl w:val="9"/>
              <w:rPr>
                <w:rFonts w:ascii="宋体" w:hAnsi="宋体"/>
                <w:color w:val="auto"/>
                <w:sz w:val="24"/>
              </w:rPr>
            </w:pPr>
            <w:r>
              <w:rPr>
                <w:rFonts w:hint="eastAsia" w:ascii="宋体" w:hAnsi="宋体"/>
                <w:color w:val="auto"/>
                <w:sz w:val="24"/>
              </w:rPr>
              <w:t>检查内容</w:t>
            </w:r>
          </w:p>
        </w:tc>
        <w:tc>
          <w:tcPr>
            <w:tcW w:w="3296" w:type="dxa"/>
            <w:gridSpan w:val="6"/>
            <w:tcBorders>
              <w:top w:val="single" w:color="auto" w:sz="4" w:space="0"/>
              <w:left w:val="single" w:color="auto" w:sz="4" w:space="0"/>
              <w:bottom w:val="single" w:color="auto" w:sz="4" w:space="0"/>
              <w:right w:val="single" w:color="auto" w:sz="4" w:space="0"/>
            </w:tcBorders>
            <w:vAlign w:val="center"/>
          </w:tcPr>
          <w:p w14:paraId="1C59C4A7">
            <w:pPr>
              <w:spacing w:line="240" w:lineRule="auto"/>
              <w:jc w:val="center"/>
              <w:outlineLvl w:val="9"/>
              <w:rPr>
                <w:rFonts w:hint="eastAsia" w:ascii="宋体" w:hAnsi="宋体" w:eastAsia="宋体"/>
                <w:color w:val="auto"/>
                <w:sz w:val="24"/>
                <w:lang w:eastAsia="zh-CN"/>
              </w:rPr>
            </w:pPr>
            <w:r>
              <w:rPr>
                <w:rFonts w:hint="eastAsia" w:ascii="宋体" w:hAnsi="宋体"/>
                <w:color w:val="auto"/>
                <w:sz w:val="24"/>
                <w:lang w:eastAsia="zh-CN"/>
              </w:rPr>
              <w:t>供应商</w:t>
            </w:r>
          </w:p>
        </w:tc>
      </w:tr>
      <w:tr w14:paraId="7E83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609D7A0F">
            <w:pPr>
              <w:widowControl/>
              <w:spacing w:line="240" w:lineRule="auto"/>
              <w:jc w:val="left"/>
              <w:outlineLvl w:val="9"/>
              <w:rPr>
                <w:rFonts w:ascii="宋体" w:hAnsi="宋体"/>
                <w:color w:val="auto"/>
                <w:sz w:val="24"/>
              </w:rPr>
            </w:pPr>
          </w:p>
        </w:tc>
        <w:tc>
          <w:tcPr>
            <w:tcW w:w="5400" w:type="dxa"/>
            <w:gridSpan w:val="2"/>
            <w:vMerge w:val="continue"/>
            <w:tcBorders>
              <w:top w:val="single" w:color="auto" w:sz="4" w:space="0"/>
              <w:left w:val="single" w:color="auto" w:sz="4" w:space="0"/>
              <w:bottom w:val="single" w:color="auto" w:sz="4" w:space="0"/>
              <w:right w:val="single" w:color="auto" w:sz="4" w:space="0"/>
            </w:tcBorders>
            <w:vAlign w:val="center"/>
          </w:tcPr>
          <w:p w14:paraId="2BDEB26F">
            <w:pPr>
              <w:widowControl/>
              <w:spacing w:line="240" w:lineRule="auto"/>
              <w:jc w:val="left"/>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38CBAC37">
            <w:pPr>
              <w:spacing w:line="240" w:lineRule="auto"/>
              <w:jc w:val="center"/>
              <w:outlineLvl w:val="9"/>
              <w:rPr>
                <w:rFonts w:ascii="宋体" w:hAnsi="宋体"/>
                <w:color w:val="auto"/>
                <w:sz w:val="24"/>
              </w:rPr>
            </w:pPr>
            <w:r>
              <w:rPr>
                <w:rFonts w:hint="eastAsia" w:ascii="宋体" w:hAnsi="宋体"/>
                <w:color w:val="auto"/>
                <w:sz w:val="24"/>
              </w:rPr>
              <w:t>1</w:t>
            </w:r>
          </w:p>
        </w:tc>
        <w:tc>
          <w:tcPr>
            <w:tcW w:w="549" w:type="dxa"/>
            <w:tcBorders>
              <w:top w:val="single" w:color="auto" w:sz="4" w:space="0"/>
              <w:left w:val="single" w:color="auto" w:sz="4" w:space="0"/>
              <w:bottom w:val="single" w:color="auto" w:sz="4" w:space="0"/>
              <w:right w:val="single" w:color="auto" w:sz="4" w:space="0"/>
            </w:tcBorders>
            <w:vAlign w:val="center"/>
          </w:tcPr>
          <w:p w14:paraId="68CE97B7">
            <w:pPr>
              <w:spacing w:line="240" w:lineRule="auto"/>
              <w:jc w:val="center"/>
              <w:outlineLvl w:val="9"/>
              <w:rPr>
                <w:rFonts w:ascii="宋体" w:hAnsi="宋体"/>
                <w:color w:val="auto"/>
                <w:sz w:val="24"/>
              </w:rPr>
            </w:pPr>
            <w:r>
              <w:rPr>
                <w:rFonts w:hint="eastAsia" w:ascii="宋体" w:hAnsi="宋体"/>
                <w:color w:val="auto"/>
                <w:sz w:val="24"/>
              </w:rPr>
              <w:t>2</w:t>
            </w:r>
          </w:p>
        </w:tc>
        <w:tc>
          <w:tcPr>
            <w:tcW w:w="550" w:type="dxa"/>
            <w:tcBorders>
              <w:top w:val="single" w:color="auto" w:sz="4" w:space="0"/>
              <w:left w:val="single" w:color="auto" w:sz="4" w:space="0"/>
              <w:bottom w:val="single" w:color="auto" w:sz="4" w:space="0"/>
              <w:right w:val="single" w:color="auto" w:sz="4" w:space="0"/>
            </w:tcBorders>
            <w:vAlign w:val="center"/>
          </w:tcPr>
          <w:p w14:paraId="6AE0A793">
            <w:pPr>
              <w:spacing w:line="240" w:lineRule="auto"/>
              <w:jc w:val="center"/>
              <w:outlineLvl w:val="9"/>
              <w:rPr>
                <w:rFonts w:ascii="宋体" w:hAnsi="宋体"/>
                <w:color w:val="auto"/>
                <w:sz w:val="24"/>
              </w:rPr>
            </w:pPr>
            <w:r>
              <w:rPr>
                <w:rFonts w:hint="eastAsia" w:ascii="宋体" w:hAnsi="宋体"/>
                <w:color w:val="auto"/>
                <w:sz w:val="24"/>
              </w:rPr>
              <w:t>3</w:t>
            </w:r>
          </w:p>
        </w:tc>
        <w:tc>
          <w:tcPr>
            <w:tcW w:w="549" w:type="dxa"/>
            <w:tcBorders>
              <w:top w:val="single" w:color="auto" w:sz="4" w:space="0"/>
              <w:left w:val="single" w:color="auto" w:sz="4" w:space="0"/>
              <w:bottom w:val="single" w:color="auto" w:sz="4" w:space="0"/>
              <w:right w:val="single" w:color="auto" w:sz="4" w:space="0"/>
            </w:tcBorders>
            <w:vAlign w:val="center"/>
          </w:tcPr>
          <w:p w14:paraId="44F3E4D4">
            <w:pPr>
              <w:spacing w:line="240" w:lineRule="auto"/>
              <w:jc w:val="center"/>
              <w:outlineLvl w:val="9"/>
              <w:rPr>
                <w:rFonts w:ascii="宋体" w:hAnsi="宋体"/>
                <w:color w:val="auto"/>
                <w:sz w:val="24"/>
              </w:rPr>
            </w:pPr>
            <w:r>
              <w:rPr>
                <w:rFonts w:hint="eastAsia" w:ascii="宋体" w:hAnsi="宋体"/>
                <w:color w:val="auto"/>
                <w:sz w:val="24"/>
              </w:rPr>
              <w:t>4</w:t>
            </w:r>
          </w:p>
        </w:tc>
        <w:tc>
          <w:tcPr>
            <w:tcW w:w="549" w:type="dxa"/>
            <w:tcBorders>
              <w:top w:val="single" w:color="auto" w:sz="4" w:space="0"/>
              <w:left w:val="single" w:color="auto" w:sz="4" w:space="0"/>
              <w:bottom w:val="single" w:color="auto" w:sz="4" w:space="0"/>
              <w:right w:val="single" w:color="auto" w:sz="4" w:space="0"/>
            </w:tcBorders>
            <w:vAlign w:val="center"/>
          </w:tcPr>
          <w:p w14:paraId="34DDEF98">
            <w:pPr>
              <w:spacing w:line="240" w:lineRule="auto"/>
              <w:jc w:val="center"/>
              <w:outlineLvl w:val="9"/>
              <w:rPr>
                <w:rFonts w:ascii="宋体" w:hAnsi="宋体"/>
                <w:color w:val="auto"/>
                <w:sz w:val="24"/>
              </w:rPr>
            </w:pPr>
            <w:r>
              <w:rPr>
                <w:rFonts w:hint="eastAsia" w:ascii="宋体" w:hAnsi="宋体"/>
                <w:color w:val="auto"/>
                <w:sz w:val="24"/>
              </w:rPr>
              <w:t>5</w:t>
            </w:r>
          </w:p>
        </w:tc>
        <w:tc>
          <w:tcPr>
            <w:tcW w:w="550" w:type="dxa"/>
            <w:tcBorders>
              <w:top w:val="single" w:color="auto" w:sz="4" w:space="0"/>
              <w:left w:val="single" w:color="auto" w:sz="4" w:space="0"/>
              <w:bottom w:val="single" w:color="auto" w:sz="4" w:space="0"/>
              <w:right w:val="single" w:color="auto" w:sz="4" w:space="0"/>
            </w:tcBorders>
            <w:vAlign w:val="center"/>
          </w:tcPr>
          <w:p w14:paraId="2E76E571">
            <w:pPr>
              <w:spacing w:line="240" w:lineRule="auto"/>
              <w:jc w:val="center"/>
              <w:outlineLvl w:val="9"/>
              <w:rPr>
                <w:rFonts w:ascii="宋体" w:hAnsi="宋体"/>
                <w:color w:val="auto"/>
                <w:sz w:val="24"/>
              </w:rPr>
            </w:pPr>
            <w:r>
              <w:rPr>
                <w:rFonts w:hint="eastAsia" w:ascii="宋体" w:hAnsi="宋体"/>
                <w:color w:val="auto"/>
                <w:sz w:val="24"/>
              </w:rPr>
              <w:t>6</w:t>
            </w:r>
          </w:p>
        </w:tc>
      </w:tr>
      <w:tr w14:paraId="186F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61DA213F">
            <w:pPr>
              <w:spacing w:line="500" w:lineRule="exact"/>
              <w:jc w:val="center"/>
              <w:outlineLvl w:val="9"/>
              <w:rPr>
                <w:rFonts w:ascii="宋体" w:hAnsi="宋体"/>
                <w:color w:val="auto"/>
                <w:sz w:val="24"/>
              </w:rPr>
            </w:pPr>
            <w:r>
              <w:rPr>
                <w:rFonts w:hint="eastAsia" w:ascii="宋体" w:hAnsi="宋体"/>
                <w:color w:val="auto"/>
                <w:sz w:val="24"/>
              </w:rPr>
              <w:t>1</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0C61E33E">
            <w:pPr>
              <w:spacing w:line="500" w:lineRule="exact"/>
              <w:jc w:val="center"/>
              <w:outlineLvl w:val="9"/>
              <w:rPr>
                <w:rFonts w:ascii="宋体" w:hAnsi="宋体"/>
                <w:color w:val="auto"/>
                <w:sz w:val="24"/>
              </w:rPr>
            </w:pPr>
            <w:r>
              <w:rPr>
                <w:rFonts w:hint="eastAsia" w:ascii="宋体" w:hAnsi="宋体"/>
                <w:color w:val="auto"/>
                <w:sz w:val="24"/>
              </w:rPr>
              <w:t>完整性</w:t>
            </w:r>
          </w:p>
        </w:tc>
        <w:tc>
          <w:tcPr>
            <w:tcW w:w="3780" w:type="dxa"/>
            <w:tcBorders>
              <w:top w:val="single" w:color="auto" w:sz="4" w:space="0"/>
              <w:left w:val="single" w:color="auto" w:sz="4" w:space="0"/>
              <w:right w:val="single" w:color="auto" w:sz="4" w:space="0"/>
            </w:tcBorders>
            <w:vAlign w:val="center"/>
          </w:tcPr>
          <w:p w14:paraId="58BD4CF2">
            <w:pPr>
              <w:spacing w:line="500" w:lineRule="exact"/>
              <w:jc w:val="center"/>
              <w:outlineLvl w:val="9"/>
              <w:rPr>
                <w:rFonts w:ascii="宋体" w:hAnsi="宋体"/>
                <w:color w:val="auto"/>
                <w:sz w:val="24"/>
              </w:rPr>
            </w:pPr>
            <w:r>
              <w:rPr>
                <w:rFonts w:hint="eastAsia" w:ascii="宋体" w:hAnsi="宋体"/>
                <w:color w:val="auto"/>
                <w:sz w:val="24"/>
                <w:lang w:eastAsia="zh-CN"/>
              </w:rPr>
              <w:t>响应</w:t>
            </w:r>
            <w:r>
              <w:rPr>
                <w:rFonts w:hint="eastAsia" w:ascii="宋体" w:hAnsi="宋体"/>
                <w:color w:val="auto"/>
                <w:sz w:val="24"/>
              </w:rPr>
              <w:t>文件的组成</w:t>
            </w:r>
          </w:p>
        </w:tc>
        <w:tc>
          <w:tcPr>
            <w:tcW w:w="549" w:type="dxa"/>
            <w:tcBorders>
              <w:top w:val="single" w:color="auto" w:sz="4" w:space="0"/>
              <w:left w:val="single" w:color="auto" w:sz="4" w:space="0"/>
              <w:right w:val="single" w:color="auto" w:sz="4" w:space="0"/>
            </w:tcBorders>
            <w:vAlign w:val="center"/>
          </w:tcPr>
          <w:p w14:paraId="1CAB64B6">
            <w:pPr>
              <w:spacing w:line="500" w:lineRule="exact"/>
              <w:jc w:val="center"/>
              <w:outlineLvl w:val="9"/>
              <w:rPr>
                <w:rFonts w:ascii="宋体" w:hAnsi="宋体"/>
                <w:color w:val="auto"/>
                <w:sz w:val="24"/>
              </w:rPr>
            </w:pPr>
          </w:p>
        </w:tc>
        <w:tc>
          <w:tcPr>
            <w:tcW w:w="549" w:type="dxa"/>
            <w:tcBorders>
              <w:top w:val="single" w:color="auto" w:sz="4" w:space="0"/>
              <w:left w:val="single" w:color="auto" w:sz="4" w:space="0"/>
              <w:right w:val="single" w:color="auto" w:sz="4" w:space="0"/>
            </w:tcBorders>
            <w:vAlign w:val="center"/>
          </w:tcPr>
          <w:p w14:paraId="26463018">
            <w:pPr>
              <w:spacing w:line="500" w:lineRule="exact"/>
              <w:jc w:val="center"/>
              <w:outlineLvl w:val="9"/>
              <w:rPr>
                <w:rFonts w:ascii="宋体" w:hAnsi="宋体"/>
                <w:color w:val="auto"/>
                <w:sz w:val="24"/>
              </w:rPr>
            </w:pPr>
          </w:p>
        </w:tc>
        <w:tc>
          <w:tcPr>
            <w:tcW w:w="550" w:type="dxa"/>
            <w:tcBorders>
              <w:top w:val="single" w:color="auto" w:sz="4" w:space="0"/>
              <w:left w:val="single" w:color="auto" w:sz="4" w:space="0"/>
              <w:right w:val="single" w:color="auto" w:sz="4" w:space="0"/>
            </w:tcBorders>
            <w:vAlign w:val="center"/>
          </w:tcPr>
          <w:p w14:paraId="3CCC7C0A">
            <w:pPr>
              <w:spacing w:line="500" w:lineRule="exact"/>
              <w:jc w:val="center"/>
              <w:outlineLvl w:val="9"/>
              <w:rPr>
                <w:rFonts w:ascii="宋体" w:hAnsi="宋体"/>
                <w:color w:val="auto"/>
                <w:sz w:val="24"/>
              </w:rPr>
            </w:pPr>
          </w:p>
        </w:tc>
        <w:tc>
          <w:tcPr>
            <w:tcW w:w="549" w:type="dxa"/>
            <w:tcBorders>
              <w:top w:val="single" w:color="auto" w:sz="4" w:space="0"/>
              <w:left w:val="single" w:color="auto" w:sz="4" w:space="0"/>
              <w:right w:val="single" w:color="auto" w:sz="4" w:space="0"/>
            </w:tcBorders>
            <w:vAlign w:val="center"/>
          </w:tcPr>
          <w:p w14:paraId="4E8D332F">
            <w:pPr>
              <w:spacing w:line="500" w:lineRule="exact"/>
              <w:jc w:val="center"/>
              <w:outlineLvl w:val="9"/>
              <w:rPr>
                <w:rFonts w:ascii="宋体" w:hAnsi="宋体"/>
                <w:color w:val="auto"/>
                <w:sz w:val="24"/>
              </w:rPr>
            </w:pPr>
          </w:p>
        </w:tc>
        <w:tc>
          <w:tcPr>
            <w:tcW w:w="549" w:type="dxa"/>
            <w:tcBorders>
              <w:top w:val="single" w:color="auto" w:sz="4" w:space="0"/>
              <w:left w:val="single" w:color="auto" w:sz="4" w:space="0"/>
              <w:right w:val="single" w:color="auto" w:sz="4" w:space="0"/>
            </w:tcBorders>
            <w:vAlign w:val="center"/>
          </w:tcPr>
          <w:p w14:paraId="3AFB9C6F">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42305A14">
            <w:pPr>
              <w:spacing w:line="500" w:lineRule="exact"/>
              <w:jc w:val="center"/>
              <w:outlineLvl w:val="9"/>
              <w:rPr>
                <w:rFonts w:ascii="宋体" w:hAnsi="宋体"/>
                <w:color w:val="auto"/>
                <w:sz w:val="24"/>
              </w:rPr>
            </w:pPr>
          </w:p>
        </w:tc>
      </w:tr>
      <w:tr w14:paraId="71D6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5"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6DA8353C">
            <w:pPr>
              <w:spacing w:line="500" w:lineRule="exact"/>
              <w:jc w:val="center"/>
              <w:outlineLvl w:val="9"/>
              <w:rPr>
                <w:rFonts w:ascii="宋体" w:hAnsi="宋体"/>
                <w:color w:val="auto"/>
                <w:sz w:val="24"/>
              </w:rPr>
            </w:pPr>
            <w:r>
              <w:rPr>
                <w:rFonts w:hint="eastAsia" w:ascii="宋体" w:hAnsi="宋体"/>
                <w:color w:val="auto"/>
                <w:sz w:val="24"/>
              </w:rPr>
              <w:t>2</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1F70472C">
            <w:pPr>
              <w:spacing w:line="500" w:lineRule="exact"/>
              <w:jc w:val="center"/>
              <w:outlineLvl w:val="9"/>
              <w:rPr>
                <w:rFonts w:ascii="宋体" w:hAnsi="宋体"/>
                <w:color w:val="auto"/>
                <w:sz w:val="24"/>
              </w:rPr>
            </w:pPr>
            <w:r>
              <w:rPr>
                <w:rFonts w:hint="eastAsia" w:ascii="宋体" w:hAnsi="宋体"/>
                <w:color w:val="auto"/>
                <w:sz w:val="24"/>
              </w:rPr>
              <w:t>实质性响应</w:t>
            </w:r>
          </w:p>
        </w:tc>
        <w:tc>
          <w:tcPr>
            <w:tcW w:w="3780" w:type="dxa"/>
            <w:tcBorders>
              <w:top w:val="single" w:color="auto" w:sz="4" w:space="0"/>
              <w:left w:val="single" w:color="auto" w:sz="4" w:space="0"/>
              <w:bottom w:val="single" w:color="auto" w:sz="4" w:space="0"/>
              <w:right w:val="single" w:color="auto" w:sz="4" w:space="0"/>
            </w:tcBorders>
            <w:vAlign w:val="center"/>
          </w:tcPr>
          <w:p w14:paraId="2A27AC9B">
            <w:pPr>
              <w:spacing w:line="500" w:lineRule="exact"/>
              <w:jc w:val="center"/>
              <w:outlineLvl w:val="9"/>
              <w:rPr>
                <w:rFonts w:ascii="宋体" w:hAnsi="宋体"/>
                <w:color w:val="auto"/>
                <w:sz w:val="24"/>
              </w:rPr>
            </w:pPr>
            <w:r>
              <w:rPr>
                <w:rFonts w:hint="eastAsia" w:ascii="宋体" w:hAnsi="宋体"/>
                <w:color w:val="auto"/>
                <w:sz w:val="24"/>
              </w:rPr>
              <w:t>投标有效期</w:t>
            </w:r>
          </w:p>
        </w:tc>
        <w:tc>
          <w:tcPr>
            <w:tcW w:w="549" w:type="dxa"/>
            <w:tcBorders>
              <w:top w:val="single" w:color="auto" w:sz="4" w:space="0"/>
              <w:left w:val="single" w:color="auto" w:sz="4" w:space="0"/>
              <w:bottom w:val="single" w:color="auto" w:sz="4" w:space="0"/>
              <w:right w:val="single" w:color="auto" w:sz="4" w:space="0"/>
            </w:tcBorders>
            <w:vAlign w:val="center"/>
          </w:tcPr>
          <w:p w14:paraId="1B89862C">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7E7B073B">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3A6484F3">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2AF98BEB">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4A5EFA1A">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44DF45F5">
            <w:pPr>
              <w:spacing w:line="500" w:lineRule="exact"/>
              <w:jc w:val="center"/>
              <w:outlineLvl w:val="9"/>
              <w:rPr>
                <w:rFonts w:ascii="宋体" w:hAnsi="宋体"/>
                <w:color w:val="auto"/>
                <w:sz w:val="24"/>
              </w:rPr>
            </w:pPr>
          </w:p>
        </w:tc>
      </w:tr>
      <w:tr w14:paraId="7429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58EEF246">
            <w:pPr>
              <w:widowControl/>
              <w:jc w:val="left"/>
              <w:outlineLvl w:val="9"/>
              <w:rPr>
                <w:rFonts w:ascii="宋体" w:hAnsi="宋体"/>
                <w:color w:val="auto"/>
                <w:sz w:val="24"/>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77B1DEB3">
            <w:pPr>
              <w:widowControl/>
              <w:jc w:val="left"/>
              <w:outlineLvl w:val="9"/>
              <w:rPr>
                <w:rFonts w:ascii="宋体" w:hAnsi="宋体"/>
                <w:color w:val="auto"/>
                <w:sz w:val="24"/>
              </w:rPr>
            </w:pPr>
          </w:p>
        </w:tc>
        <w:tc>
          <w:tcPr>
            <w:tcW w:w="3780" w:type="dxa"/>
            <w:tcBorders>
              <w:top w:val="single" w:color="auto" w:sz="4" w:space="0"/>
              <w:left w:val="single" w:color="auto" w:sz="4" w:space="0"/>
              <w:bottom w:val="single" w:color="auto" w:sz="4" w:space="0"/>
              <w:right w:val="single" w:color="auto" w:sz="4" w:space="0"/>
            </w:tcBorders>
            <w:vAlign w:val="center"/>
          </w:tcPr>
          <w:p w14:paraId="3758DAAC">
            <w:pPr>
              <w:spacing w:line="240" w:lineRule="auto"/>
              <w:jc w:val="center"/>
              <w:outlineLvl w:val="9"/>
              <w:rPr>
                <w:rFonts w:ascii="宋体" w:hAnsi="宋体" w:cs="Tahoma"/>
                <w:color w:val="auto"/>
                <w:sz w:val="24"/>
              </w:rPr>
            </w:pPr>
            <w:r>
              <w:rPr>
                <w:rFonts w:hint="eastAsia" w:ascii="宋体" w:hAnsi="宋体"/>
                <w:color w:val="auto"/>
                <w:sz w:val="24"/>
              </w:rPr>
              <w:t>是否全部满足磋商文件中“</w:t>
            </w:r>
            <w:r>
              <w:rPr>
                <w:rFonts w:hint="eastAsia" w:ascii="宋体" w:hAnsi="宋体" w:cs="Tahoma"/>
                <w:color w:val="auto"/>
                <w:sz w:val="24"/>
              </w:rPr>
              <w:t>★”号条款参数的要求</w:t>
            </w:r>
          </w:p>
        </w:tc>
        <w:tc>
          <w:tcPr>
            <w:tcW w:w="549" w:type="dxa"/>
            <w:tcBorders>
              <w:top w:val="single" w:color="auto" w:sz="4" w:space="0"/>
              <w:left w:val="single" w:color="auto" w:sz="4" w:space="0"/>
              <w:bottom w:val="single" w:color="auto" w:sz="4" w:space="0"/>
              <w:right w:val="single" w:color="auto" w:sz="4" w:space="0"/>
            </w:tcBorders>
            <w:vAlign w:val="center"/>
          </w:tcPr>
          <w:p w14:paraId="587F0106">
            <w:pPr>
              <w:spacing w:line="500" w:lineRule="exact"/>
              <w:jc w:val="center"/>
              <w:outlineLvl w:val="9"/>
              <w:rPr>
                <w:rFonts w:ascii="宋体" w:hAnsi="宋体"/>
                <w:color w:val="auto"/>
                <w:sz w:val="24"/>
                <w:highlight w:val="yellow"/>
              </w:rPr>
            </w:pPr>
          </w:p>
        </w:tc>
        <w:tc>
          <w:tcPr>
            <w:tcW w:w="549" w:type="dxa"/>
            <w:tcBorders>
              <w:top w:val="single" w:color="auto" w:sz="4" w:space="0"/>
              <w:left w:val="single" w:color="auto" w:sz="4" w:space="0"/>
              <w:bottom w:val="single" w:color="auto" w:sz="4" w:space="0"/>
              <w:right w:val="single" w:color="auto" w:sz="4" w:space="0"/>
            </w:tcBorders>
            <w:vAlign w:val="center"/>
          </w:tcPr>
          <w:p w14:paraId="75A68FC8">
            <w:pPr>
              <w:spacing w:line="500" w:lineRule="exact"/>
              <w:jc w:val="center"/>
              <w:outlineLvl w:val="9"/>
              <w:rPr>
                <w:rFonts w:ascii="宋体" w:hAnsi="宋体"/>
                <w:color w:val="auto"/>
                <w:sz w:val="24"/>
                <w:highlight w:val="yellow"/>
              </w:rPr>
            </w:pPr>
          </w:p>
        </w:tc>
        <w:tc>
          <w:tcPr>
            <w:tcW w:w="550" w:type="dxa"/>
            <w:tcBorders>
              <w:top w:val="single" w:color="auto" w:sz="4" w:space="0"/>
              <w:left w:val="single" w:color="auto" w:sz="4" w:space="0"/>
              <w:bottom w:val="single" w:color="auto" w:sz="4" w:space="0"/>
              <w:right w:val="single" w:color="auto" w:sz="4" w:space="0"/>
            </w:tcBorders>
            <w:vAlign w:val="center"/>
          </w:tcPr>
          <w:p w14:paraId="52D0BEA5">
            <w:pPr>
              <w:spacing w:line="500" w:lineRule="exact"/>
              <w:jc w:val="center"/>
              <w:outlineLvl w:val="9"/>
              <w:rPr>
                <w:rFonts w:ascii="宋体" w:hAnsi="宋体"/>
                <w:color w:val="auto"/>
                <w:sz w:val="24"/>
                <w:highlight w:val="yellow"/>
              </w:rPr>
            </w:pPr>
          </w:p>
        </w:tc>
        <w:tc>
          <w:tcPr>
            <w:tcW w:w="549" w:type="dxa"/>
            <w:tcBorders>
              <w:top w:val="single" w:color="auto" w:sz="4" w:space="0"/>
              <w:left w:val="single" w:color="auto" w:sz="4" w:space="0"/>
              <w:bottom w:val="single" w:color="auto" w:sz="4" w:space="0"/>
              <w:right w:val="single" w:color="auto" w:sz="4" w:space="0"/>
            </w:tcBorders>
            <w:vAlign w:val="center"/>
          </w:tcPr>
          <w:p w14:paraId="22C7B013">
            <w:pPr>
              <w:spacing w:line="500" w:lineRule="exact"/>
              <w:jc w:val="center"/>
              <w:outlineLvl w:val="9"/>
              <w:rPr>
                <w:rFonts w:ascii="宋体" w:hAnsi="宋体"/>
                <w:color w:val="auto"/>
                <w:sz w:val="24"/>
                <w:highlight w:val="yellow"/>
              </w:rPr>
            </w:pPr>
          </w:p>
        </w:tc>
        <w:tc>
          <w:tcPr>
            <w:tcW w:w="549" w:type="dxa"/>
            <w:tcBorders>
              <w:top w:val="single" w:color="auto" w:sz="4" w:space="0"/>
              <w:left w:val="single" w:color="auto" w:sz="4" w:space="0"/>
              <w:bottom w:val="single" w:color="auto" w:sz="4" w:space="0"/>
              <w:right w:val="single" w:color="auto" w:sz="4" w:space="0"/>
            </w:tcBorders>
            <w:vAlign w:val="center"/>
          </w:tcPr>
          <w:p w14:paraId="2A053820">
            <w:pPr>
              <w:spacing w:line="500" w:lineRule="exact"/>
              <w:jc w:val="center"/>
              <w:outlineLvl w:val="9"/>
              <w:rPr>
                <w:rFonts w:ascii="宋体" w:hAnsi="宋体"/>
                <w:color w:val="auto"/>
                <w:sz w:val="24"/>
                <w:highlight w:val="yellow"/>
              </w:rPr>
            </w:pPr>
          </w:p>
        </w:tc>
        <w:tc>
          <w:tcPr>
            <w:tcW w:w="550" w:type="dxa"/>
            <w:tcBorders>
              <w:top w:val="single" w:color="auto" w:sz="4" w:space="0"/>
              <w:left w:val="single" w:color="auto" w:sz="4" w:space="0"/>
              <w:bottom w:val="single" w:color="auto" w:sz="4" w:space="0"/>
              <w:right w:val="single" w:color="auto" w:sz="4" w:space="0"/>
            </w:tcBorders>
            <w:vAlign w:val="center"/>
          </w:tcPr>
          <w:p w14:paraId="2747F9C7">
            <w:pPr>
              <w:spacing w:line="500" w:lineRule="exact"/>
              <w:jc w:val="center"/>
              <w:outlineLvl w:val="9"/>
              <w:rPr>
                <w:rFonts w:ascii="宋体" w:hAnsi="宋体"/>
                <w:color w:val="auto"/>
                <w:sz w:val="24"/>
                <w:highlight w:val="yellow"/>
              </w:rPr>
            </w:pPr>
          </w:p>
        </w:tc>
      </w:tr>
      <w:tr w14:paraId="4B6E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6D6E56A6">
            <w:pPr>
              <w:widowControl/>
              <w:jc w:val="left"/>
              <w:outlineLvl w:val="9"/>
              <w:rPr>
                <w:rFonts w:ascii="宋体" w:hAnsi="宋体"/>
                <w:color w:val="auto"/>
                <w:sz w:val="24"/>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461126B3">
            <w:pPr>
              <w:widowControl/>
              <w:jc w:val="left"/>
              <w:outlineLvl w:val="9"/>
              <w:rPr>
                <w:rFonts w:ascii="宋体" w:hAnsi="宋体"/>
                <w:color w:val="auto"/>
                <w:sz w:val="24"/>
              </w:rPr>
            </w:pPr>
          </w:p>
        </w:tc>
        <w:tc>
          <w:tcPr>
            <w:tcW w:w="3780" w:type="dxa"/>
            <w:tcBorders>
              <w:top w:val="single" w:color="auto" w:sz="4" w:space="0"/>
              <w:left w:val="single" w:color="auto" w:sz="4" w:space="0"/>
              <w:bottom w:val="single" w:color="auto" w:sz="4" w:space="0"/>
              <w:right w:val="single" w:color="auto" w:sz="4" w:space="0"/>
            </w:tcBorders>
            <w:vAlign w:val="center"/>
          </w:tcPr>
          <w:p w14:paraId="75261ED6">
            <w:pPr>
              <w:spacing w:line="240" w:lineRule="auto"/>
              <w:jc w:val="center"/>
              <w:outlineLvl w:val="9"/>
              <w:rPr>
                <w:rFonts w:ascii="宋体" w:hAnsi="宋体"/>
                <w:color w:val="auto"/>
                <w:sz w:val="24"/>
              </w:rPr>
            </w:pPr>
            <w:r>
              <w:rPr>
                <w:rFonts w:hint="eastAsia" w:ascii="宋体" w:hAnsi="宋体"/>
                <w:color w:val="auto"/>
                <w:sz w:val="24"/>
              </w:rPr>
              <w:t>是否符合磋商文件要求且没有重大偏差或保留</w:t>
            </w:r>
          </w:p>
        </w:tc>
        <w:tc>
          <w:tcPr>
            <w:tcW w:w="549" w:type="dxa"/>
            <w:tcBorders>
              <w:top w:val="single" w:color="auto" w:sz="4" w:space="0"/>
              <w:left w:val="single" w:color="auto" w:sz="4" w:space="0"/>
              <w:bottom w:val="single" w:color="auto" w:sz="4" w:space="0"/>
              <w:right w:val="single" w:color="auto" w:sz="4" w:space="0"/>
            </w:tcBorders>
            <w:vAlign w:val="center"/>
          </w:tcPr>
          <w:p w14:paraId="2472106C">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472D2C68">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0394374C">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04F43DD5">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4AD8A630">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45ADF789">
            <w:pPr>
              <w:spacing w:line="500" w:lineRule="exact"/>
              <w:jc w:val="center"/>
              <w:outlineLvl w:val="9"/>
              <w:rPr>
                <w:rFonts w:ascii="宋体" w:hAnsi="宋体"/>
                <w:color w:val="auto"/>
                <w:sz w:val="24"/>
              </w:rPr>
            </w:pPr>
          </w:p>
        </w:tc>
      </w:tr>
      <w:tr w14:paraId="3D2C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79B19A7D">
            <w:pPr>
              <w:widowControl/>
              <w:jc w:val="left"/>
              <w:outlineLvl w:val="9"/>
              <w:rPr>
                <w:rFonts w:ascii="宋体" w:hAnsi="宋体"/>
                <w:color w:val="auto"/>
                <w:sz w:val="24"/>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5A7DF659">
            <w:pPr>
              <w:widowControl/>
              <w:jc w:val="left"/>
              <w:outlineLvl w:val="9"/>
              <w:rPr>
                <w:rFonts w:ascii="宋体" w:hAnsi="宋体"/>
                <w:color w:val="auto"/>
                <w:sz w:val="24"/>
              </w:rPr>
            </w:pPr>
          </w:p>
        </w:tc>
        <w:tc>
          <w:tcPr>
            <w:tcW w:w="3780" w:type="dxa"/>
            <w:tcBorders>
              <w:top w:val="single" w:color="auto" w:sz="4" w:space="0"/>
              <w:left w:val="single" w:color="auto" w:sz="4" w:space="0"/>
              <w:bottom w:val="single" w:color="auto" w:sz="4" w:space="0"/>
              <w:right w:val="single" w:color="auto" w:sz="4" w:space="0"/>
            </w:tcBorders>
            <w:vAlign w:val="center"/>
          </w:tcPr>
          <w:p w14:paraId="7123A342">
            <w:pPr>
              <w:spacing w:line="240" w:lineRule="auto"/>
              <w:jc w:val="center"/>
              <w:outlineLvl w:val="9"/>
              <w:rPr>
                <w:rFonts w:hint="eastAsia" w:ascii="宋体" w:hAnsi="宋体" w:eastAsia="宋体"/>
                <w:color w:val="auto"/>
                <w:sz w:val="24"/>
                <w:lang w:eastAsia="zh-CN"/>
              </w:rPr>
            </w:pPr>
            <w:r>
              <w:rPr>
                <w:rFonts w:hint="eastAsia" w:ascii="宋体" w:hAnsi="宋体"/>
                <w:color w:val="auto"/>
                <w:sz w:val="24"/>
              </w:rPr>
              <w:t>投标报价是否高于采购单位预算价</w:t>
            </w:r>
            <w:r>
              <w:rPr>
                <w:rFonts w:hint="eastAsia" w:ascii="宋体" w:hAnsi="宋体"/>
                <w:color w:val="auto"/>
                <w:sz w:val="24"/>
                <w:lang w:eastAsia="zh-CN"/>
              </w:rPr>
              <w:t>或符合磋商文件规定</w:t>
            </w:r>
          </w:p>
        </w:tc>
        <w:tc>
          <w:tcPr>
            <w:tcW w:w="549" w:type="dxa"/>
            <w:tcBorders>
              <w:top w:val="single" w:color="auto" w:sz="4" w:space="0"/>
              <w:left w:val="single" w:color="auto" w:sz="4" w:space="0"/>
              <w:bottom w:val="single" w:color="auto" w:sz="4" w:space="0"/>
              <w:right w:val="single" w:color="auto" w:sz="4" w:space="0"/>
            </w:tcBorders>
            <w:vAlign w:val="center"/>
          </w:tcPr>
          <w:p w14:paraId="0429862D">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41CF6D52">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46845429">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1EB6F7A2">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65E3179A">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6D4C743B">
            <w:pPr>
              <w:spacing w:line="500" w:lineRule="exact"/>
              <w:jc w:val="center"/>
              <w:outlineLvl w:val="9"/>
              <w:rPr>
                <w:rFonts w:ascii="宋体" w:hAnsi="宋体"/>
                <w:color w:val="auto"/>
                <w:sz w:val="24"/>
              </w:rPr>
            </w:pPr>
          </w:p>
        </w:tc>
      </w:tr>
      <w:tr w14:paraId="676D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5" w:hRule="atLeast"/>
        </w:trPr>
        <w:tc>
          <w:tcPr>
            <w:tcW w:w="648" w:type="dxa"/>
            <w:tcBorders>
              <w:top w:val="single" w:color="auto" w:sz="4" w:space="0"/>
              <w:left w:val="single" w:color="auto" w:sz="4" w:space="0"/>
              <w:bottom w:val="single" w:color="auto" w:sz="4" w:space="0"/>
              <w:right w:val="single" w:color="auto" w:sz="4" w:space="0"/>
            </w:tcBorders>
            <w:vAlign w:val="center"/>
          </w:tcPr>
          <w:p w14:paraId="4F9DB98A">
            <w:pPr>
              <w:spacing w:line="500" w:lineRule="exact"/>
              <w:jc w:val="center"/>
              <w:outlineLvl w:val="9"/>
              <w:rPr>
                <w:rFonts w:ascii="宋体" w:hAnsi="宋体"/>
                <w:color w:val="auto"/>
                <w:sz w:val="24"/>
              </w:rPr>
            </w:pPr>
            <w:r>
              <w:rPr>
                <w:rFonts w:hint="eastAsia" w:ascii="宋体" w:hAnsi="宋体"/>
                <w:color w:val="auto"/>
                <w:sz w:val="24"/>
              </w:rPr>
              <w:t>3</w:t>
            </w:r>
          </w:p>
        </w:tc>
        <w:tc>
          <w:tcPr>
            <w:tcW w:w="1620" w:type="dxa"/>
            <w:tcBorders>
              <w:top w:val="single" w:color="auto" w:sz="4" w:space="0"/>
              <w:left w:val="single" w:color="auto" w:sz="4" w:space="0"/>
              <w:bottom w:val="single" w:color="auto" w:sz="4" w:space="0"/>
              <w:right w:val="single" w:color="auto" w:sz="4" w:space="0"/>
            </w:tcBorders>
            <w:vAlign w:val="center"/>
          </w:tcPr>
          <w:p w14:paraId="73E4B3F5">
            <w:pPr>
              <w:spacing w:line="500" w:lineRule="exact"/>
              <w:jc w:val="center"/>
              <w:outlineLvl w:val="9"/>
              <w:rPr>
                <w:rFonts w:ascii="宋体" w:hAnsi="宋体"/>
                <w:color w:val="auto"/>
                <w:sz w:val="24"/>
              </w:rPr>
            </w:pPr>
            <w:r>
              <w:rPr>
                <w:rFonts w:hint="eastAsia" w:ascii="宋体" w:hAnsi="宋体"/>
                <w:color w:val="auto"/>
                <w:sz w:val="24"/>
              </w:rPr>
              <w:t>结论</w:t>
            </w:r>
          </w:p>
        </w:tc>
        <w:tc>
          <w:tcPr>
            <w:tcW w:w="3780" w:type="dxa"/>
            <w:tcBorders>
              <w:top w:val="single" w:color="auto" w:sz="4" w:space="0"/>
              <w:left w:val="single" w:color="auto" w:sz="4" w:space="0"/>
              <w:bottom w:val="single" w:color="auto" w:sz="4" w:space="0"/>
              <w:right w:val="single" w:color="auto" w:sz="4" w:space="0"/>
            </w:tcBorders>
            <w:vAlign w:val="center"/>
          </w:tcPr>
          <w:p w14:paraId="2E785FEA">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55ADFB21">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099D2EDA">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28030767">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35AC074B">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07B820E4">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23A0A4AD">
            <w:pPr>
              <w:spacing w:line="500" w:lineRule="exact"/>
              <w:jc w:val="center"/>
              <w:outlineLvl w:val="9"/>
              <w:rPr>
                <w:rFonts w:ascii="宋体" w:hAnsi="宋体"/>
                <w:color w:val="auto"/>
                <w:sz w:val="24"/>
              </w:rPr>
            </w:pPr>
          </w:p>
        </w:tc>
      </w:tr>
      <w:tr w14:paraId="4A03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trPr>
        <w:tc>
          <w:tcPr>
            <w:tcW w:w="9344" w:type="dxa"/>
            <w:gridSpan w:val="9"/>
            <w:tcBorders>
              <w:top w:val="single" w:color="auto" w:sz="4" w:space="0"/>
              <w:left w:val="single" w:color="auto" w:sz="4" w:space="0"/>
              <w:bottom w:val="single" w:color="auto" w:sz="4" w:space="0"/>
              <w:right w:val="single" w:color="auto" w:sz="4" w:space="0"/>
            </w:tcBorders>
            <w:vAlign w:val="center"/>
          </w:tcPr>
          <w:p w14:paraId="1F29EFD4">
            <w:pPr>
              <w:spacing w:line="500" w:lineRule="exact"/>
              <w:outlineLvl w:val="9"/>
              <w:rPr>
                <w:rFonts w:ascii="宋体" w:hAnsi="宋体"/>
                <w:color w:val="auto"/>
                <w:sz w:val="24"/>
              </w:rPr>
            </w:pPr>
            <w:r>
              <w:rPr>
                <w:rFonts w:hint="eastAsia" w:ascii="宋体" w:hAnsi="宋体"/>
                <w:color w:val="auto"/>
                <w:sz w:val="24"/>
              </w:rPr>
              <w:t>评委签名：</w:t>
            </w:r>
          </w:p>
          <w:p w14:paraId="088514F2">
            <w:pPr>
              <w:spacing w:line="500" w:lineRule="exact"/>
              <w:jc w:val="center"/>
              <w:outlineLvl w:val="9"/>
              <w:rPr>
                <w:rFonts w:ascii="宋体" w:hAnsi="宋体"/>
                <w:color w:val="auto"/>
                <w:sz w:val="24"/>
              </w:rPr>
            </w:pPr>
          </w:p>
          <w:p w14:paraId="391D3EE2">
            <w:pPr>
              <w:widowControl/>
              <w:spacing w:line="500" w:lineRule="exact"/>
              <w:ind w:firstLine="5880" w:firstLineChars="2450"/>
              <w:jc w:val="center"/>
              <w:outlineLvl w:val="9"/>
              <w:rPr>
                <w:rFonts w:ascii="宋体" w:hAnsi="宋体"/>
                <w:color w:val="auto"/>
                <w:sz w:val="24"/>
              </w:rPr>
            </w:pPr>
            <w:r>
              <w:rPr>
                <w:rFonts w:hint="eastAsia" w:ascii="宋体" w:hAnsi="宋体"/>
                <w:color w:val="auto"/>
                <w:sz w:val="24"/>
              </w:rPr>
              <w:t xml:space="preserve">      年   月   日</w:t>
            </w:r>
          </w:p>
        </w:tc>
      </w:tr>
    </w:tbl>
    <w:p w14:paraId="6AE35790">
      <w:pPr>
        <w:pStyle w:val="14"/>
        <w:spacing w:before="0" w:after="0" w:line="360" w:lineRule="auto"/>
        <w:outlineLvl w:val="9"/>
        <w:rPr>
          <w:rFonts w:hint="eastAsia" w:ascii="宋体" w:hAnsi="宋体" w:eastAsia="宋体"/>
          <w:color w:val="auto"/>
          <w:sz w:val="24"/>
          <w:szCs w:val="24"/>
          <w:lang w:eastAsia="zh-CN"/>
        </w:rPr>
      </w:pPr>
      <w:r>
        <w:rPr>
          <w:rFonts w:hint="eastAsia" w:ascii="宋体" w:hAnsi="宋体" w:eastAsia="宋体"/>
          <w:color w:val="auto"/>
          <w:sz w:val="24"/>
          <w:szCs w:val="24"/>
        </w:rPr>
        <w:t>注：符合性检查时，</w:t>
      </w:r>
      <w:r>
        <w:rPr>
          <w:rFonts w:hint="eastAsia" w:ascii="宋体" w:hAnsi="宋体" w:eastAsia="宋体"/>
          <w:color w:val="auto"/>
          <w:sz w:val="24"/>
          <w:szCs w:val="24"/>
          <w:lang w:eastAsia="zh-CN"/>
        </w:rPr>
        <w:t>响应</w:t>
      </w:r>
      <w:r>
        <w:rPr>
          <w:rFonts w:hint="eastAsia" w:ascii="宋体" w:hAnsi="宋体" w:eastAsia="宋体"/>
          <w:color w:val="auto"/>
          <w:sz w:val="24"/>
          <w:szCs w:val="24"/>
        </w:rPr>
        <w:t xml:space="preserve">文件有下列情况之一的视为非实质性响应: </w:t>
      </w:r>
    </w:p>
    <w:p w14:paraId="6AC24FD8">
      <w:pPr>
        <w:pStyle w:val="14"/>
        <w:spacing w:before="0" w:after="0" w:line="360" w:lineRule="auto"/>
        <w:outlineLvl w:val="9"/>
        <w:rPr>
          <w:rFonts w:hint="eastAsia" w:ascii="宋体" w:hAnsi="宋体" w:eastAsia="宋体" w:cs="仿宋_GB2312"/>
          <w:color w:val="auto"/>
          <w:sz w:val="24"/>
          <w:szCs w:val="24"/>
          <w:lang w:val="zh-CN" w:eastAsia="zh-CN"/>
        </w:rPr>
      </w:pPr>
      <w:r>
        <w:rPr>
          <w:rFonts w:hint="eastAsia" w:ascii="宋体" w:hAnsi="宋体" w:eastAsia="宋体"/>
          <w:color w:val="auto"/>
          <w:sz w:val="24"/>
          <w:szCs w:val="24"/>
        </w:rPr>
        <w:t>1、</w:t>
      </w:r>
      <w:r>
        <w:rPr>
          <w:rFonts w:hint="eastAsia" w:ascii="宋体" w:hAnsi="宋体" w:eastAsia="宋体" w:cs="仿宋_GB2312"/>
          <w:color w:val="auto"/>
          <w:sz w:val="24"/>
          <w:szCs w:val="24"/>
          <w:lang w:val="zh-CN"/>
        </w:rPr>
        <w:t>响应文件不符合磋商文件完整性要求的；</w:t>
      </w:r>
    </w:p>
    <w:p w14:paraId="2B7F68AB">
      <w:pPr>
        <w:pStyle w:val="14"/>
        <w:spacing w:before="0" w:after="0" w:line="360" w:lineRule="auto"/>
        <w:outlineLvl w:val="9"/>
        <w:rPr>
          <w:rFonts w:hint="eastAsia" w:ascii="宋体" w:hAnsi="宋体" w:eastAsia="宋体"/>
          <w:color w:val="auto"/>
          <w:sz w:val="24"/>
          <w:szCs w:val="24"/>
          <w:lang w:eastAsia="zh-CN"/>
        </w:rPr>
      </w:pPr>
      <w:r>
        <w:rPr>
          <w:rFonts w:hint="eastAsia" w:ascii="宋体" w:hAnsi="宋体" w:eastAsia="宋体"/>
          <w:color w:val="auto"/>
          <w:sz w:val="24"/>
          <w:szCs w:val="24"/>
        </w:rPr>
        <w:t>2、合同工期或交货期超过磋商文件规定的期限或允许范围；</w:t>
      </w:r>
    </w:p>
    <w:p w14:paraId="5B1CC02F">
      <w:pPr>
        <w:pStyle w:val="14"/>
        <w:spacing w:before="0" w:after="0" w:line="360" w:lineRule="auto"/>
        <w:outlineLvl w:val="9"/>
        <w:rPr>
          <w:rFonts w:ascii="宋体" w:hAnsi="宋体" w:eastAsia="宋体"/>
          <w:color w:val="auto"/>
          <w:sz w:val="24"/>
          <w:szCs w:val="24"/>
        </w:rPr>
      </w:pPr>
      <w:r>
        <w:rPr>
          <w:rFonts w:hint="eastAsia" w:ascii="宋体" w:hAnsi="宋体" w:eastAsia="宋体"/>
          <w:color w:val="auto"/>
          <w:sz w:val="24"/>
          <w:szCs w:val="24"/>
        </w:rPr>
        <w:t>3、投标附有采购人不能接受的条件。</w:t>
      </w:r>
    </w:p>
    <w:p w14:paraId="06345A74">
      <w:pPr>
        <w:pStyle w:val="14"/>
        <w:spacing w:before="0" w:after="0" w:line="360" w:lineRule="auto"/>
        <w:outlineLvl w:val="9"/>
        <w:rPr>
          <w:rFonts w:ascii="宋体" w:hAnsi="宋体" w:eastAsia="宋体"/>
          <w:color w:val="auto"/>
          <w:sz w:val="24"/>
          <w:szCs w:val="24"/>
        </w:rPr>
      </w:pPr>
      <w:r>
        <w:rPr>
          <w:rFonts w:hint="eastAsia" w:ascii="宋体" w:hAnsi="宋体" w:eastAsia="宋体"/>
          <w:color w:val="auto"/>
          <w:sz w:val="24"/>
          <w:szCs w:val="24"/>
        </w:rPr>
        <w:t>4、</w:t>
      </w:r>
      <w:r>
        <w:rPr>
          <w:rFonts w:hint="eastAsia" w:ascii="宋体" w:hAnsi="宋体" w:eastAsia="宋体"/>
          <w:color w:val="auto"/>
          <w:sz w:val="24"/>
          <w:szCs w:val="24"/>
          <w:lang w:eastAsia="zh-CN"/>
        </w:rPr>
        <w:t>响应</w:t>
      </w:r>
      <w:r>
        <w:rPr>
          <w:rFonts w:hint="eastAsia" w:ascii="宋体" w:hAnsi="宋体" w:eastAsia="宋体"/>
          <w:color w:val="auto"/>
          <w:sz w:val="24"/>
          <w:szCs w:val="24"/>
        </w:rPr>
        <w:t>文件中“</w:t>
      </w:r>
      <w:r>
        <w:rPr>
          <w:rFonts w:hint="eastAsia" w:ascii="宋体" w:hAnsi="宋体" w:eastAsia="宋体" w:cs="Tahoma"/>
          <w:color w:val="auto"/>
          <w:sz w:val="24"/>
          <w:szCs w:val="24"/>
        </w:rPr>
        <w:t>★”号条款不满足磋商文件中的要求。</w:t>
      </w:r>
    </w:p>
    <w:p w14:paraId="6582DD60">
      <w:pPr>
        <w:pStyle w:val="14"/>
        <w:spacing w:before="0" w:after="0" w:line="360" w:lineRule="auto"/>
        <w:outlineLvl w:val="9"/>
        <w:rPr>
          <w:rFonts w:ascii="宋体" w:hAnsi="宋体" w:eastAsia="宋体"/>
          <w:color w:val="auto"/>
          <w:sz w:val="24"/>
          <w:szCs w:val="24"/>
        </w:rPr>
      </w:pPr>
      <w:r>
        <w:rPr>
          <w:rFonts w:hint="eastAsia" w:ascii="宋体" w:hAnsi="宋体" w:eastAsia="宋体"/>
          <w:color w:val="auto"/>
          <w:sz w:val="24"/>
          <w:szCs w:val="24"/>
        </w:rPr>
        <w:t>5、</w:t>
      </w:r>
      <w:r>
        <w:rPr>
          <w:rFonts w:hint="eastAsia" w:ascii="宋体" w:hAnsi="宋体" w:eastAsia="宋体"/>
          <w:color w:val="auto"/>
          <w:sz w:val="24"/>
          <w:szCs w:val="24"/>
          <w:lang w:eastAsia="zh-CN"/>
        </w:rPr>
        <w:t>响应</w:t>
      </w:r>
      <w:r>
        <w:rPr>
          <w:rFonts w:hint="eastAsia" w:ascii="宋体" w:hAnsi="宋体" w:eastAsia="宋体"/>
          <w:color w:val="auto"/>
          <w:sz w:val="24"/>
          <w:szCs w:val="24"/>
        </w:rPr>
        <w:t>文件中技术要求有重大偏差或达不到国家强制性标准；</w:t>
      </w:r>
    </w:p>
    <w:p w14:paraId="616A4720">
      <w:pPr>
        <w:spacing w:line="360" w:lineRule="auto"/>
        <w:outlineLvl w:val="9"/>
        <w:rPr>
          <w:rFonts w:ascii="宋体" w:hAnsi="宋体"/>
          <w:color w:val="auto"/>
          <w:sz w:val="24"/>
        </w:rPr>
      </w:pPr>
      <w:r>
        <w:rPr>
          <w:rFonts w:hint="eastAsia" w:ascii="宋体" w:hAnsi="宋体"/>
          <w:color w:val="auto"/>
          <w:sz w:val="24"/>
        </w:rPr>
        <w:t>6、投标报价高于采购单位预算价；</w:t>
      </w:r>
    </w:p>
    <w:p w14:paraId="49EC1E9A">
      <w:pPr>
        <w:pStyle w:val="22"/>
        <w:tabs>
          <w:tab w:val="left" w:pos="7800"/>
        </w:tabs>
        <w:spacing w:line="360" w:lineRule="auto"/>
        <w:ind w:left="144" w:leftChars="22" w:hanging="98" w:hangingChars="41"/>
        <w:outlineLvl w:val="9"/>
        <w:rPr>
          <w:rFonts w:ascii="宋体" w:hAnsi="宋体"/>
          <w:b/>
          <w:color w:val="auto"/>
          <w:sz w:val="24"/>
        </w:rPr>
      </w:pPr>
      <w:r>
        <w:rPr>
          <w:rFonts w:hint="eastAsia" w:ascii="宋体" w:hAnsi="宋体"/>
          <w:color w:val="auto"/>
          <w:sz w:val="24"/>
        </w:rPr>
        <w:t>7、结论填写“合格”或“不合格”，不合格</w:t>
      </w:r>
      <w:r>
        <w:rPr>
          <w:rFonts w:hint="eastAsia" w:ascii="宋体" w:hAnsi="宋体"/>
          <w:color w:val="auto"/>
          <w:sz w:val="24"/>
          <w:lang w:eastAsia="zh-CN"/>
        </w:rPr>
        <w:t>供应商</w:t>
      </w:r>
      <w:r>
        <w:rPr>
          <w:rFonts w:hint="eastAsia" w:ascii="宋体" w:hAnsi="宋体"/>
          <w:color w:val="auto"/>
          <w:sz w:val="24"/>
        </w:rPr>
        <w:t>不进入下一轮评审。</w:t>
      </w:r>
      <w:r>
        <w:rPr>
          <w:rFonts w:hint="eastAsia" w:ascii="宋体" w:hAnsi="宋体"/>
          <w:color w:val="auto"/>
          <w:sz w:val="24"/>
        </w:rPr>
        <w:tab/>
      </w:r>
    </w:p>
    <w:p w14:paraId="34AA5D9A">
      <w:pPr>
        <w:bidi w:val="0"/>
        <w:outlineLvl w:val="9"/>
        <w:rPr>
          <w:color w:val="auto"/>
          <w:lang w:val="zh-CN"/>
        </w:rPr>
      </w:pPr>
    </w:p>
    <w:p w14:paraId="22E22430">
      <w:pPr>
        <w:bidi w:val="0"/>
        <w:outlineLvl w:val="9"/>
        <w:rPr>
          <w:color w:val="auto"/>
          <w:lang w:val="zh-CN"/>
        </w:rPr>
      </w:pPr>
    </w:p>
    <w:p w14:paraId="219DDA1B">
      <w:pPr>
        <w:autoSpaceDE w:val="0"/>
        <w:autoSpaceDN w:val="0"/>
        <w:adjustRightInd w:val="0"/>
        <w:spacing w:line="500" w:lineRule="exact"/>
        <w:ind w:left="112" w:hanging="99"/>
        <w:outlineLvl w:val="9"/>
        <w:rPr>
          <w:rFonts w:hint="eastAsia" w:ascii="宋体" w:cs="宋体"/>
          <w:b/>
          <w:bCs/>
          <w:color w:val="auto"/>
          <w:kern w:val="0"/>
          <w:sz w:val="24"/>
          <w:lang w:val="zh-CN"/>
        </w:rPr>
      </w:pPr>
    </w:p>
    <w:p w14:paraId="5C676ECE">
      <w:pPr>
        <w:autoSpaceDE w:val="0"/>
        <w:autoSpaceDN w:val="0"/>
        <w:adjustRightInd w:val="0"/>
        <w:spacing w:line="500" w:lineRule="exact"/>
        <w:ind w:left="112" w:hanging="99"/>
        <w:outlineLvl w:val="1"/>
        <w:rPr>
          <w:rFonts w:ascii="宋体" w:cs="宋体"/>
          <w:b/>
          <w:bCs/>
          <w:color w:val="auto"/>
          <w:kern w:val="0"/>
          <w:sz w:val="24"/>
          <w:lang w:val="zh-CN"/>
        </w:rPr>
      </w:pPr>
      <w:bookmarkStart w:id="5" w:name="_Toc2087"/>
      <w:r>
        <w:rPr>
          <w:rFonts w:hint="eastAsia" w:ascii="宋体" w:cs="宋体"/>
          <w:b/>
          <w:bCs/>
          <w:color w:val="auto"/>
          <w:kern w:val="0"/>
          <w:sz w:val="24"/>
          <w:lang w:val="zh-CN"/>
        </w:rPr>
        <w:t>3、澄清、说明、补正事项纪要表</w:t>
      </w:r>
      <w:bookmarkEnd w:id="5"/>
    </w:p>
    <w:tbl>
      <w:tblPr>
        <w:tblStyle w:val="50"/>
        <w:tblW w:w="9185" w:type="dxa"/>
        <w:tblInd w:w="-5" w:type="dxa"/>
        <w:tblLayout w:type="fixed"/>
        <w:tblCellMar>
          <w:top w:w="0" w:type="dxa"/>
          <w:left w:w="10" w:type="dxa"/>
          <w:bottom w:w="0" w:type="dxa"/>
          <w:right w:w="10" w:type="dxa"/>
        </w:tblCellMar>
      </w:tblPr>
      <w:tblGrid>
        <w:gridCol w:w="468"/>
        <w:gridCol w:w="3857"/>
        <w:gridCol w:w="540"/>
        <w:gridCol w:w="540"/>
        <w:gridCol w:w="540"/>
        <w:gridCol w:w="540"/>
        <w:gridCol w:w="540"/>
        <w:gridCol w:w="540"/>
        <w:gridCol w:w="540"/>
        <w:gridCol w:w="540"/>
        <w:gridCol w:w="540"/>
      </w:tblGrid>
      <w:tr w14:paraId="2AF1DB3D">
        <w:tblPrEx>
          <w:tblCellMar>
            <w:top w:w="0" w:type="dxa"/>
            <w:left w:w="10" w:type="dxa"/>
            <w:bottom w:w="0" w:type="dxa"/>
            <w:right w:w="10" w:type="dxa"/>
          </w:tblCellMar>
        </w:tblPrEx>
        <w:trPr>
          <w:cantSplit/>
          <w:trHeight w:val="540" w:hRule="atLeast"/>
        </w:trPr>
        <w:tc>
          <w:tcPr>
            <w:tcW w:w="468" w:type="dxa"/>
            <w:vMerge w:val="restart"/>
            <w:tcBorders>
              <w:top w:val="single" w:color="auto" w:sz="6" w:space="0"/>
              <w:left w:val="single" w:color="auto" w:sz="6" w:space="0"/>
              <w:bottom w:val="single" w:color="auto" w:sz="6" w:space="0"/>
              <w:right w:val="single" w:color="auto" w:sz="6" w:space="0"/>
            </w:tcBorders>
            <w:vAlign w:val="center"/>
          </w:tcPr>
          <w:p w14:paraId="403A1BC8">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序号</w:t>
            </w:r>
          </w:p>
        </w:tc>
        <w:tc>
          <w:tcPr>
            <w:tcW w:w="3857" w:type="dxa"/>
            <w:vMerge w:val="restart"/>
            <w:tcBorders>
              <w:top w:val="single" w:color="auto" w:sz="6" w:space="0"/>
              <w:left w:val="single" w:color="auto" w:sz="6" w:space="0"/>
              <w:bottom w:val="single" w:color="auto" w:sz="6" w:space="0"/>
              <w:right w:val="single" w:color="auto" w:sz="6" w:space="0"/>
            </w:tcBorders>
            <w:vAlign w:val="center"/>
          </w:tcPr>
          <w:p w14:paraId="731ED8FE">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内容</w:t>
            </w:r>
          </w:p>
        </w:tc>
        <w:tc>
          <w:tcPr>
            <w:tcW w:w="4860" w:type="dxa"/>
            <w:gridSpan w:val="9"/>
            <w:tcBorders>
              <w:top w:val="single" w:color="auto" w:sz="6" w:space="0"/>
              <w:left w:val="single" w:color="auto" w:sz="6" w:space="0"/>
              <w:bottom w:val="single" w:color="auto" w:sz="6" w:space="0"/>
              <w:right w:val="single" w:color="auto" w:sz="6" w:space="0"/>
            </w:tcBorders>
            <w:vAlign w:val="center"/>
          </w:tcPr>
          <w:p w14:paraId="6EABD886">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供应商</w:t>
            </w:r>
          </w:p>
        </w:tc>
      </w:tr>
      <w:tr w14:paraId="1180BF5C">
        <w:tblPrEx>
          <w:tblCellMar>
            <w:top w:w="0" w:type="dxa"/>
            <w:left w:w="10" w:type="dxa"/>
            <w:bottom w:w="0" w:type="dxa"/>
            <w:right w:w="10" w:type="dxa"/>
          </w:tblCellMar>
        </w:tblPrEx>
        <w:trPr>
          <w:cantSplit/>
          <w:trHeight w:val="450" w:hRule="atLeast"/>
        </w:trPr>
        <w:tc>
          <w:tcPr>
            <w:tcW w:w="468" w:type="dxa"/>
            <w:vMerge w:val="continue"/>
            <w:tcBorders>
              <w:top w:val="single" w:color="auto" w:sz="6" w:space="0"/>
              <w:left w:val="single" w:color="auto" w:sz="6" w:space="0"/>
              <w:bottom w:val="single" w:color="auto" w:sz="6" w:space="0"/>
              <w:right w:val="single" w:color="auto" w:sz="6" w:space="0"/>
            </w:tcBorders>
            <w:vAlign w:val="center"/>
          </w:tcPr>
          <w:p w14:paraId="0B230DDB">
            <w:pPr>
              <w:widowControl/>
              <w:jc w:val="left"/>
              <w:outlineLvl w:val="9"/>
              <w:rPr>
                <w:rFonts w:ascii="宋体" w:cs="宋体"/>
                <w:color w:val="auto"/>
                <w:sz w:val="24"/>
                <w:lang w:val="zh-CN"/>
              </w:rPr>
            </w:pPr>
          </w:p>
        </w:tc>
        <w:tc>
          <w:tcPr>
            <w:tcW w:w="3857" w:type="dxa"/>
            <w:vMerge w:val="continue"/>
            <w:tcBorders>
              <w:top w:val="single" w:color="auto" w:sz="6" w:space="0"/>
              <w:left w:val="single" w:color="auto" w:sz="6" w:space="0"/>
              <w:bottom w:val="single" w:color="auto" w:sz="6" w:space="0"/>
              <w:right w:val="single" w:color="auto" w:sz="6" w:space="0"/>
            </w:tcBorders>
            <w:vAlign w:val="center"/>
          </w:tcPr>
          <w:p w14:paraId="6B3158F8">
            <w:pPr>
              <w:widowControl/>
              <w:jc w:val="left"/>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4A3958FD">
            <w:pPr>
              <w:autoSpaceDE w:val="0"/>
              <w:autoSpaceDN w:val="0"/>
              <w:adjustRightInd w:val="0"/>
              <w:spacing w:line="500" w:lineRule="exact"/>
              <w:jc w:val="center"/>
              <w:outlineLvl w:val="9"/>
              <w:rPr>
                <w:color w:val="auto"/>
                <w:sz w:val="24"/>
              </w:rPr>
            </w:pPr>
            <w:r>
              <w:rPr>
                <w:color w:val="auto"/>
                <w:sz w:val="24"/>
              </w:rPr>
              <w:t>1</w:t>
            </w:r>
          </w:p>
        </w:tc>
        <w:tc>
          <w:tcPr>
            <w:tcW w:w="540" w:type="dxa"/>
            <w:tcBorders>
              <w:top w:val="single" w:color="auto" w:sz="6" w:space="0"/>
              <w:left w:val="single" w:color="auto" w:sz="6" w:space="0"/>
              <w:bottom w:val="single" w:color="auto" w:sz="6" w:space="0"/>
              <w:right w:val="single" w:color="auto" w:sz="6" w:space="0"/>
            </w:tcBorders>
            <w:vAlign w:val="center"/>
          </w:tcPr>
          <w:p w14:paraId="56122EA0">
            <w:pPr>
              <w:autoSpaceDE w:val="0"/>
              <w:autoSpaceDN w:val="0"/>
              <w:adjustRightInd w:val="0"/>
              <w:spacing w:line="500" w:lineRule="exact"/>
              <w:jc w:val="center"/>
              <w:outlineLvl w:val="9"/>
              <w:rPr>
                <w:color w:val="auto"/>
                <w:sz w:val="24"/>
              </w:rPr>
            </w:pPr>
            <w:r>
              <w:rPr>
                <w:color w:val="auto"/>
                <w:sz w:val="24"/>
              </w:rPr>
              <w:t>2</w:t>
            </w:r>
          </w:p>
        </w:tc>
        <w:tc>
          <w:tcPr>
            <w:tcW w:w="540" w:type="dxa"/>
            <w:tcBorders>
              <w:top w:val="single" w:color="auto" w:sz="6" w:space="0"/>
              <w:left w:val="single" w:color="auto" w:sz="6" w:space="0"/>
              <w:bottom w:val="single" w:color="auto" w:sz="6" w:space="0"/>
              <w:right w:val="single" w:color="auto" w:sz="6" w:space="0"/>
            </w:tcBorders>
            <w:vAlign w:val="center"/>
          </w:tcPr>
          <w:p w14:paraId="12E00BF0">
            <w:pPr>
              <w:autoSpaceDE w:val="0"/>
              <w:autoSpaceDN w:val="0"/>
              <w:adjustRightInd w:val="0"/>
              <w:spacing w:line="500" w:lineRule="exact"/>
              <w:jc w:val="center"/>
              <w:outlineLvl w:val="9"/>
              <w:rPr>
                <w:color w:val="auto"/>
                <w:sz w:val="24"/>
              </w:rPr>
            </w:pPr>
            <w:r>
              <w:rPr>
                <w:color w:val="auto"/>
                <w:sz w:val="24"/>
              </w:rPr>
              <w:t>3</w:t>
            </w:r>
          </w:p>
        </w:tc>
        <w:tc>
          <w:tcPr>
            <w:tcW w:w="540" w:type="dxa"/>
            <w:tcBorders>
              <w:top w:val="single" w:color="auto" w:sz="6" w:space="0"/>
              <w:left w:val="single" w:color="auto" w:sz="6" w:space="0"/>
              <w:bottom w:val="single" w:color="auto" w:sz="6" w:space="0"/>
              <w:right w:val="single" w:color="auto" w:sz="6" w:space="0"/>
            </w:tcBorders>
            <w:vAlign w:val="center"/>
          </w:tcPr>
          <w:p w14:paraId="4A0112D9">
            <w:pPr>
              <w:autoSpaceDE w:val="0"/>
              <w:autoSpaceDN w:val="0"/>
              <w:adjustRightInd w:val="0"/>
              <w:spacing w:line="500" w:lineRule="exact"/>
              <w:jc w:val="center"/>
              <w:outlineLvl w:val="9"/>
              <w:rPr>
                <w:color w:val="auto"/>
                <w:sz w:val="24"/>
              </w:rPr>
            </w:pPr>
            <w:r>
              <w:rPr>
                <w:color w:val="auto"/>
                <w:sz w:val="24"/>
              </w:rPr>
              <w:t>4</w:t>
            </w:r>
          </w:p>
        </w:tc>
        <w:tc>
          <w:tcPr>
            <w:tcW w:w="540" w:type="dxa"/>
            <w:tcBorders>
              <w:top w:val="single" w:color="auto" w:sz="6" w:space="0"/>
              <w:left w:val="single" w:color="auto" w:sz="6" w:space="0"/>
              <w:bottom w:val="single" w:color="auto" w:sz="6" w:space="0"/>
              <w:right w:val="single" w:color="auto" w:sz="6" w:space="0"/>
            </w:tcBorders>
            <w:vAlign w:val="center"/>
          </w:tcPr>
          <w:p w14:paraId="604F519C">
            <w:pPr>
              <w:autoSpaceDE w:val="0"/>
              <w:autoSpaceDN w:val="0"/>
              <w:adjustRightInd w:val="0"/>
              <w:spacing w:line="500" w:lineRule="exact"/>
              <w:jc w:val="center"/>
              <w:outlineLvl w:val="9"/>
              <w:rPr>
                <w:color w:val="auto"/>
                <w:sz w:val="24"/>
              </w:rPr>
            </w:pPr>
            <w:r>
              <w:rPr>
                <w:color w:val="auto"/>
                <w:sz w:val="24"/>
              </w:rPr>
              <w:t>5</w:t>
            </w:r>
          </w:p>
        </w:tc>
        <w:tc>
          <w:tcPr>
            <w:tcW w:w="540" w:type="dxa"/>
            <w:tcBorders>
              <w:top w:val="single" w:color="auto" w:sz="6" w:space="0"/>
              <w:left w:val="single" w:color="auto" w:sz="6" w:space="0"/>
              <w:bottom w:val="single" w:color="auto" w:sz="6" w:space="0"/>
              <w:right w:val="single" w:color="auto" w:sz="6" w:space="0"/>
            </w:tcBorders>
            <w:vAlign w:val="center"/>
          </w:tcPr>
          <w:p w14:paraId="1F9FB1D6">
            <w:pPr>
              <w:autoSpaceDE w:val="0"/>
              <w:autoSpaceDN w:val="0"/>
              <w:adjustRightInd w:val="0"/>
              <w:spacing w:line="500" w:lineRule="exact"/>
              <w:jc w:val="center"/>
              <w:outlineLvl w:val="9"/>
              <w:rPr>
                <w:color w:val="auto"/>
                <w:sz w:val="24"/>
              </w:rPr>
            </w:pPr>
            <w:r>
              <w:rPr>
                <w:color w:val="auto"/>
                <w:sz w:val="24"/>
              </w:rPr>
              <w:t>6</w:t>
            </w:r>
          </w:p>
        </w:tc>
        <w:tc>
          <w:tcPr>
            <w:tcW w:w="540" w:type="dxa"/>
            <w:tcBorders>
              <w:top w:val="single" w:color="auto" w:sz="6" w:space="0"/>
              <w:left w:val="single" w:color="auto" w:sz="6" w:space="0"/>
              <w:bottom w:val="single" w:color="auto" w:sz="6" w:space="0"/>
              <w:right w:val="single" w:color="auto" w:sz="6" w:space="0"/>
            </w:tcBorders>
            <w:vAlign w:val="center"/>
          </w:tcPr>
          <w:p w14:paraId="204151E7">
            <w:pPr>
              <w:autoSpaceDE w:val="0"/>
              <w:autoSpaceDN w:val="0"/>
              <w:adjustRightInd w:val="0"/>
              <w:spacing w:line="500" w:lineRule="exact"/>
              <w:jc w:val="center"/>
              <w:outlineLvl w:val="9"/>
              <w:rPr>
                <w:color w:val="auto"/>
                <w:sz w:val="24"/>
              </w:rPr>
            </w:pPr>
            <w:r>
              <w:rPr>
                <w:color w:val="auto"/>
                <w:sz w:val="24"/>
              </w:rPr>
              <w:t>7</w:t>
            </w:r>
          </w:p>
        </w:tc>
        <w:tc>
          <w:tcPr>
            <w:tcW w:w="540" w:type="dxa"/>
            <w:tcBorders>
              <w:top w:val="single" w:color="auto" w:sz="6" w:space="0"/>
              <w:left w:val="single" w:color="auto" w:sz="6" w:space="0"/>
              <w:bottom w:val="single" w:color="auto" w:sz="6" w:space="0"/>
              <w:right w:val="single" w:color="auto" w:sz="6" w:space="0"/>
            </w:tcBorders>
            <w:vAlign w:val="center"/>
          </w:tcPr>
          <w:p w14:paraId="05D99481">
            <w:pPr>
              <w:autoSpaceDE w:val="0"/>
              <w:autoSpaceDN w:val="0"/>
              <w:adjustRightInd w:val="0"/>
              <w:spacing w:line="500" w:lineRule="exact"/>
              <w:jc w:val="center"/>
              <w:outlineLvl w:val="9"/>
              <w:rPr>
                <w:color w:val="auto"/>
                <w:sz w:val="24"/>
              </w:rPr>
            </w:pPr>
            <w:r>
              <w:rPr>
                <w:color w:val="auto"/>
                <w:sz w:val="24"/>
              </w:rPr>
              <w:t>8</w:t>
            </w:r>
          </w:p>
        </w:tc>
        <w:tc>
          <w:tcPr>
            <w:tcW w:w="540" w:type="dxa"/>
            <w:tcBorders>
              <w:top w:val="single" w:color="auto" w:sz="6" w:space="0"/>
              <w:left w:val="single" w:color="auto" w:sz="6" w:space="0"/>
              <w:bottom w:val="single" w:color="auto" w:sz="6" w:space="0"/>
              <w:right w:val="single" w:color="auto" w:sz="6" w:space="0"/>
            </w:tcBorders>
            <w:vAlign w:val="center"/>
          </w:tcPr>
          <w:p w14:paraId="3A91965F">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9</w:t>
            </w:r>
          </w:p>
        </w:tc>
      </w:tr>
      <w:tr w14:paraId="76C33F66">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2AB47949">
            <w:pPr>
              <w:autoSpaceDE w:val="0"/>
              <w:autoSpaceDN w:val="0"/>
              <w:adjustRightInd w:val="0"/>
              <w:spacing w:line="500" w:lineRule="exact"/>
              <w:jc w:val="center"/>
              <w:outlineLvl w:val="9"/>
              <w:rPr>
                <w:color w:val="auto"/>
                <w:sz w:val="24"/>
              </w:rPr>
            </w:pPr>
            <w:r>
              <w:rPr>
                <w:color w:val="auto"/>
                <w:sz w:val="24"/>
              </w:rPr>
              <w:t>1</w:t>
            </w:r>
          </w:p>
        </w:tc>
        <w:tc>
          <w:tcPr>
            <w:tcW w:w="3857" w:type="dxa"/>
            <w:tcBorders>
              <w:top w:val="single" w:color="auto" w:sz="6" w:space="0"/>
              <w:left w:val="single" w:color="auto" w:sz="6" w:space="0"/>
              <w:bottom w:val="single" w:color="auto" w:sz="6" w:space="0"/>
              <w:right w:val="single" w:color="auto" w:sz="6" w:space="0"/>
            </w:tcBorders>
            <w:vAlign w:val="center"/>
          </w:tcPr>
          <w:p w14:paraId="563FA0F5">
            <w:pPr>
              <w:autoSpaceDE w:val="0"/>
              <w:autoSpaceDN w:val="0"/>
              <w:adjustRightInd w:val="0"/>
              <w:spacing w:line="500" w:lineRule="exact"/>
              <w:jc w:val="center"/>
              <w:outlineLvl w:val="9"/>
              <w:rPr>
                <w:rFonts w:ascii="宋体" w:cs="宋体"/>
                <w:color w:val="auto"/>
                <w:kern w:val="0"/>
                <w:sz w:val="24"/>
                <w:lang w:val="zh-CN"/>
              </w:rPr>
            </w:pPr>
            <w:r>
              <w:rPr>
                <w:rFonts w:hint="eastAsia" w:ascii="宋体" w:cs="宋体"/>
                <w:color w:val="auto"/>
                <w:kern w:val="0"/>
                <w:sz w:val="24"/>
                <w:lang w:val="zh-CN"/>
              </w:rPr>
              <w:t>响应文件中</w:t>
            </w:r>
          </w:p>
          <w:p w14:paraId="07BCA665">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需要澄清的</w:t>
            </w:r>
          </w:p>
        </w:tc>
        <w:tc>
          <w:tcPr>
            <w:tcW w:w="540" w:type="dxa"/>
            <w:tcBorders>
              <w:top w:val="single" w:color="auto" w:sz="6" w:space="0"/>
              <w:left w:val="single" w:color="auto" w:sz="6" w:space="0"/>
              <w:bottom w:val="single" w:color="auto" w:sz="6" w:space="0"/>
              <w:right w:val="single" w:color="auto" w:sz="6" w:space="0"/>
            </w:tcBorders>
            <w:vAlign w:val="center"/>
          </w:tcPr>
          <w:p w14:paraId="7BCBE97B">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3C5B67EE">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0372FC2">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D19BF1C">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018182B">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29B5D96">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DEDE2C8">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DBB5A4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C07D12D">
            <w:pPr>
              <w:autoSpaceDE w:val="0"/>
              <w:autoSpaceDN w:val="0"/>
              <w:adjustRightInd w:val="0"/>
              <w:spacing w:line="500" w:lineRule="exact"/>
              <w:jc w:val="center"/>
              <w:outlineLvl w:val="9"/>
              <w:rPr>
                <w:rFonts w:ascii="宋体" w:cs="宋体"/>
                <w:color w:val="auto"/>
                <w:sz w:val="24"/>
                <w:lang w:val="zh-CN"/>
              </w:rPr>
            </w:pPr>
          </w:p>
        </w:tc>
      </w:tr>
      <w:tr w14:paraId="088D5E1D">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607981C3">
            <w:pPr>
              <w:autoSpaceDE w:val="0"/>
              <w:autoSpaceDN w:val="0"/>
              <w:adjustRightInd w:val="0"/>
              <w:spacing w:line="500" w:lineRule="exact"/>
              <w:jc w:val="center"/>
              <w:outlineLvl w:val="9"/>
              <w:rPr>
                <w:color w:val="auto"/>
                <w:sz w:val="24"/>
              </w:rPr>
            </w:pPr>
            <w:r>
              <w:rPr>
                <w:color w:val="auto"/>
                <w:sz w:val="24"/>
              </w:rPr>
              <w:t>2</w:t>
            </w:r>
          </w:p>
        </w:tc>
        <w:tc>
          <w:tcPr>
            <w:tcW w:w="3857" w:type="dxa"/>
            <w:tcBorders>
              <w:top w:val="single" w:color="auto" w:sz="6" w:space="0"/>
              <w:left w:val="single" w:color="auto" w:sz="6" w:space="0"/>
              <w:bottom w:val="single" w:color="auto" w:sz="6" w:space="0"/>
              <w:right w:val="single" w:color="auto" w:sz="6" w:space="0"/>
            </w:tcBorders>
            <w:vAlign w:val="center"/>
          </w:tcPr>
          <w:p w14:paraId="6A223B9F">
            <w:pPr>
              <w:autoSpaceDE w:val="0"/>
              <w:autoSpaceDN w:val="0"/>
              <w:adjustRightInd w:val="0"/>
              <w:spacing w:line="500" w:lineRule="exact"/>
              <w:jc w:val="center"/>
              <w:outlineLvl w:val="9"/>
              <w:rPr>
                <w:rFonts w:ascii="宋体" w:cs="宋体"/>
                <w:color w:val="auto"/>
                <w:kern w:val="0"/>
                <w:sz w:val="24"/>
                <w:lang w:val="zh-CN"/>
              </w:rPr>
            </w:pPr>
            <w:r>
              <w:rPr>
                <w:rFonts w:hint="eastAsia" w:ascii="宋体" w:cs="宋体"/>
                <w:color w:val="auto"/>
                <w:kern w:val="0"/>
                <w:sz w:val="24"/>
                <w:lang w:val="zh-CN"/>
              </w:rPr>
              <w:t>对响应文件中</w:t>
            </w:r>
          </w:p>
          <w:p w14:paraId="4AB80F7B">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含义不明确的</w:t>
            </w:r>
          </w:p>
        </w:tc>
        <w:tc>
          <w:tcPr>
            <w:tcW w:w="540" w:type="dxa"/>
            <w:tcBorders>
              <w:top w:val="single" w:color="auto" w:sz="6" w:space="0"/>
              <w:left w:val="single" w:color="auto" w:sz="6" w:space="0"/>
              <w:bottom w:val="single" w:color="auto" w:sz="6" w:space="0"/>
              <w:right w:val="single" w:color="auto" w:sz="6" w:space="0"/>
            </w:tcBorders>
            <w:vAlign w:val="center"/>
          </w:tcPr>
          <w:p w14:paraId="066F63DE">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79A2658C">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6A93F3D">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5B541FF">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72E1DC9C">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51DA4C1">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A746757">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35F85FC1">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277C007">
            <w:pPr>
              <w:autoSpaceDE w:val="0"/>
              <w:autoSpaceDN w:val="0"/>
              <w:adjustRightInd w:val="0"/>
              <w:spacing w:line="500" w:lineRule="exact"/>
              <w:jc w:val="center"/>
              <w:outlineLvl w:val="9"/>
              <w:rPr>
                <w:rFonts w:ascii="宋体" w:cs="宋体"/>
                <w:color w:val="auto"/>
                <w:sz w:val="24"/>
                <w:lang w:val="zh-CN"/>
              </w:rPr>
            </w:pPr>
          </w:p>
        </w:tc>
      </w:tr>
      <w:tr w14:paraId="0A8819DA">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111A978A">
            <w:pPr>
              <w:autoSpaceDE w:val="0"/>
              <w:autoSpaceDN w:val="0"/>
              <w:adjustRightInd w:val="0"/>
              <w:spacing w:line="500" w:lineRule="exact"/>
              <w:jc w:val="center"/>
              <w:outlineLvl w:val="9"/>
              <w:rPr>
                <w:color w:val="auto"/>
                <w:sz w:val="24"/>
              </w:rPr>
            </w:pPr>
            <w:r>
              <w:rPr>
                <w:color w:val="auto"/>
                <w:sz w:val="24"/>
              </w:rPr>
              <w:t>3</w:t>
            </w:r>
          </w:p>
        </w:tc>
        <w:tc>
          <w:tcPr>
            <w:tcW w:w="3857" w:type="dxa"/>
            <w:tcBorders>
              <w:top w:val="single" w:color="auto" w:sz="6" w:space="0"/>
              <w:left w:val="single" w:color="auto" w:sz="6" w:space="0"/>
              <w:bottom w:val="single" w:color="auto" w:sz="6" w:space="0"/>
              <w:right w:val="single" w:color="auto" w:sz="6" w:space="0"/>
            </w:tcBorders>
            <w:vAlign w:val="center"/>
          </w:tcPr>
          <w:p w14:paraId="10EABE04">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对同类问题表述不一致的</w:t>
            </w:r>
          </w:p>
        </w:tc>
        <w:tc>
          <w:tcPr>
            <w:tcW w:w="540" w:type="dxa"/>
            <w:tcBorders>
              <w:top w:val="single" w:color="auto" w:sz="6" w:space="0"/>
              <w:left w:val="single" w:color="auto" w:sz="6" w:space="0"/>
              <w:bottom w:val="single" w:color="auto" w:sz="6" w:space="0"/>
              <w:right w:val="single" w:color="auto" w:sz="6" w:space="0"/>
            </w:tcBorders>
            <w:vAlign w:val="center"/>
          </w:tcPr>
          <w:p w14:paraId="2B36777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E2AD02D">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4CE20B3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5A6DC19">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8504C8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4A3E0A0">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5EF645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98B790B">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77D573E0">
            <w:pPr>
              <w:autoSpaceDE w:val="0"/>
              <w:autoSpaceDN w:val="0"/>
              <w:adjustRightInd w:val="0"/>
              <w:spacing w:line="500" w:lineRule="exact"/>
              <w:jc w:val="center"/>
              <w:outlineLvl w:val="9"/>
              <w:rPr>
                <w:rFonts w:ascii="宋体" w:cs="宋体"/>
                <w:color w:val="auto"/>
                <w:sz w:val="24"/>
                <w:lang w:val="zh-CN"/>
              </w:rPr>
            </w:pPr>
          </w:p>
        </w:tc>
      </w:tr>
      <w:tr w14:paraId="3E994CD6">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298E4F0A">
            <w:pPr>
              <w:autoSpaceDE w:val="0"/>
              <w:autoSpaceDN w:val="0"/>
              <w:adjustRightInd w:val="0"/>
              <w:spacing w:line="500" w:lineRule="exact"/>
              <w:jc w:val="center"/>
              <w:outlineLvl w:val="9"/>
              <w:rPr>
                <w:color w:val="auto"/>
                <w:sz w:val="24"/>
              </w:rPr>
            </w:pPr>
            <w:r>
              <w:rPr>
                <w:color w:val="auto"/>
                <w:sz w:val="24"/>
              </w:rPr>
              <w:t>4</w:t>
            </w:r>
          </w:p>
        </w:tc>
        <w:tc>
          <w:tcPr>
            <w:tcW w:w="3857" w:type="dxa"/>
            <w:tcBorders>
              <w:top w:val="single" w:color="auto" w:sz="6" w:space="0"/>
              <w:left w:val="single" w:color="auto" w:sz="6" w:space="0"/>
              <w:bottom w:val="single" w:color="auto" w:sz="6" w:space="0"/>
              <w:right w:val="single" w:color="auto" w:sz="6" w:space="0"/>
            </w:tcBorders>
            <w:vAlign w:val="center"/>
          </w:tcPr>
          <w:p w14:paraId="69CF88D8">
            <w:pPr>
              <w:autoSpaceDE w:val="0"/>
              <w:autoSpaceDN w:val="0"/>
              <w:adjustRightInd w:val="0"/>
              <w:spacing w:line="500" w:lineRule="exact"/>
              <w:jc w:val="center"/>
              <w:outlineLvl w:val="9"/>
              <w:rPr>
                <w:rFonts w:ascii="宋体" w:cs="宋体"/>
                <w:color w:val="auto"/>
                <w:kern w:val="0"/>
                <w:sz w:val="24"/>
                <w:lang w:val="zh-CN"/>
              </w:rPr>
            </w:pPr>
            <w:r>
              <w:rPr>
                <w:rFonts w:hint="eastAsia" w:ascii="宋体" w:cs="宋体"/>
                <w:color w:val="auto"/>
                <w:kern w:val="0"/>
                <w:sz w:val="24"/>
                <w:lang w:val="zh-CN"/>
              </w:rPr>
              <w:t>明显文字和</w:t>
            </w:r>
          </w:p>
          <w:p w14:paraId="10D11EBB">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计算错误的</w:t>
            </w:r>
          </w:p>
        </w:tc>
        <w:tc>
          <w:tcPr>
            <w:tcW w:w="540" w:type="dxa"/>
            <w:tcBorders>
              <w:top w:val="single" w:color="auto" w:sz="6" w:space="0"/>
              <w:left w:val="single" w:color="auto" w:sz="6" w:space="0"/>
              <w:bottom w:val="single" w:color="auto" w:sz="6" w:space="0"/>
              <w:right w:val="single" w:color="auto" w:sz="6" w:space="0"/>
            </w:tcBorders>
            <w:vAlign w:val="center"/>
          </w:tcPr>
          <w:p w14:paraId="2D4D87FB">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E3317D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203414F">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F51A2BE">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67E5C19">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018DAC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8051D08">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C79EA4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3D80019">
            <w:pPr>
              <w:autoSpaceDE w:val="0"/>
              <w:autoSpaceDN w:val="0"/>
              <w:adjustRightInd w:val="0"/>
              <w:spacing w:line="500" w:lineRule="exact"/>
              <w:jc w:val="center"/>
              <w:outlineLvl w:val="9"/>
              <w:rPr>
                <w:rFonts w:ascii="宋体" w:cs="宋体"/>
                <w:color w:val="auto"/>
                <w:sz w:val="24"/>
                <w:lang w:val="zh-CN"/>
              </w:rPr>
            </w:pPr>
          </w:p>
        </w:tc>
      </w:tr>
      <w:tr w14:paraId="6A83C6B5">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7EE0745D">
            <w:pPr>
              <w:autoSpaceDE w:val="0"/>
              <w:autoSpaceDN w:val="0"/>
              <w:adjustRightInd w:val="0"/>
              <w:spacing w:line="500" w:lineRule="exact"/>
              <w:jc w:val="center"/>
              <w:outlineLvl w:val="9"/>
              <w:rPr>
                <w:color w:val="auto"/>
                <w:sz w:val="24"/>
              </w:rPr>
            </w:pPr>
            <w:r>
              <w:rPr>
                <w:color w:val="auto"/>
                <w:sz w:val="24"/>
              </w:rPr>
              <w:t>5</w:t>
            </w:r>
          </w:p>
        </w:tc>
        <w:tc>
          <w:tcPr>
            <w:tcW w:w="3857" w:type="dxa"/>
            <w:tcBorders>
              <w:top w:val="single" w:color="auto" w:sz="6" w:space="0"/>
              <w:left w:val="single" w:color="auto" w:sz="6" w:space="0"/>
              <w:bottom w:val="single" w:color="auto" w:sz="6" w:space="0"/>
              <w:right w:val="single" w:color="auto" w:sz="6" w:space="0"/>
            </w:tcBorders>
            <w:vAlign w:val="center"/>
          </w:tcPr>
          <w:p w14:paraId="6E9BDD81">
            <w:pPr>
              <w:autoSpaceDE w:val="0"/>
              <w:autoSpaceDN w:val="0"/>
              <w:adjustRightInd w:val="0"/>
              <w:spacing w:line="500" w:lineRule="exact"/>
              <w:jc w:val="center"/>
              <w:outlineLvl w:val="9"/>
              <w:rPr>
                <w:color w:val="auto"/>
                <w:sz w:val="24"/>
              </w:rPr>
            </w:pPr>
            <w:r>
              <w:rPr>
                <w:rFonts w:hint="eastAsia" w:ascii="宋体" w:cs="宋体"/>
                <w:color w:val="auto"/>
                <w:sz w:val="24"/>
                <w:lang w:val="zh-CN"/>
              </w:rPr>
              <w:t>结论</w:t>
            </w:r>
          </w:p>
        </w:tc>
        <w:tc>
          <w:tcPr>
            <w:tcW w:w="540" w:type="dxa"/>
            <w:tcBorders>
              <w:top w:val="single" w:color="auto" w:sz="6" w:space="0"/>
              <w:left w:val="single" w:color="auto" w:sz="6" w:space="0"/>
              <w:bottom w:val="single" w:color="auto" w:sz="6" w:space="0"/>
              <w:right w:val="single" w:color="auto" w:sz="6" w:space="0"/>
            </w:tcBorders>
            <w:vAlign w:val="center"/>
          </w:tcPr>
          <w:p w14:paraId="105D9744">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307BCB90">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4CCAD45B">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413615EF">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40C9FA87">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658C1C37">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757F7862">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79B4FAC7">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28EADA03">
            <w:pPr>
              <w:autoSpaceDE w:val="0"/>
              <w:autoSpaceDN w:val="0"/>
              <w:adjustRightInd w:val="0"/>
              <w:spacing w:line="500" w:lineRule="exact"/>
              <w:jc w:val="center"/>
              <w:outlineLvl w:val="9"/>
              <w:rPr>
                <w:color w:val="auto"/>
                <w:sz w:val="24"/>
              </w:rPr>
            </w:pPr>
          </w:p>
        </w:tc>
      </w:tr>
      <w:tr w14:paraId="50C8FFDE">
        <w:tblPrEx>
          <w:tblCellMar>
            <w:top w:w="0" w:type="dxa"/>
            <w:left w:w="10" w:type="dxa"/>
            <w:bottom w:w="0" w:type="dxa"/>
            <w:right w:w="10" w:type="dxa"/>
          </w:tblCellMar>
        </w:tblPrEx>
        <w:trPr>
          <w:trHeight w:val="1707" w:hRule="atLeast"/>
        </w:trPr>
        <w:tc>
          <w:tcPr>
            <w:tcW w:w="9185" w:type="dxa"/>
            <w:gridSpan w:val="11"/>
            <w:tcBorders>
              <w:top w:val="single" w:color="auto" w:sz="6" w:space="0"/>
              <w:left w:val="single" w:color="auto" w:sz="6" w:space="0"/>
              <w:bottom w:val="single" w:color="auto" w:sz="6" w:space="0"/>
              <w:right w:val="single" w:color="auto" w:sz="6" w:space="0"/>
            </w:tcBorders>
            <w:vAlign w:val="center"/>
          </w:tcPr>
          <w:p w14:paraId="0E9D6BC8">
            <w:pPr>
              <w:autoSpaceDE w:val="0"/>
              <w:autoSpaceDN w:val="0"/>
              <w:adjustRightInd w:val="0"/>
              <w:spacing w:line="500" w:lineRule="exact"/>
              <w:outlineLvl w:val="9"/>
              <w:rPr>
                <w:rFonts w:ascii="宋体" w:cs="宋体"/>
                <w:color w:val="auto"/>
                <w:sz w:val="24"/>
                <w:lang w:val="zh-CN"/>
              </w:rPr>
            </w:pPr>
            <w:r>
              <w:rPr>
                <w:rFonts w:hint="eastAsia" w:ascii="宋体" w:cs="宋体"/>
                <w:color w:val="auto"/>
                <w:sz w:val="24"/>
                <w:lang w:val="zh-CN"/>
              </w:rPr>
              <w:t>评委签名：</w:t>
            </w:r>
          </w:p>
          <w:p w14:paraId="3C3D5C65">
            <w:pPr>
              <w:autoSpaceDE w:val="0"/>
              <w:autoSpaceDN w:val="0"/>
              <w:adjustRightInd w:val="0"/>
              <w:spacing w:line="500" w:lineRule="exact"/>
              <w:jc w:val="center"/>
              <w:outlineLvl w:val="9"/>
              <w:rPr>
                <w:rFonts w:ascii="宋体" w:cs="宋体"/>
                <w:color w:val="auto"/>
                <w:sz w:val="24"/>
                <w:lang w:val="zh-CN"/>
              </w:rPr>
            </w:pPr>
          </w:p>
          <w:p w14:paraId="4EEE04CF">
            <w:pPr>
              <w:autoSpaceDE w:val="0"/>
              <w:autoSpaceDN w:val="0"/>
              <w:adjustRightInd w:val="0"/>
              <w:spacing w:line="500" w:lineRule="exact"/>
              <w:ind w:firstLine="4080"/>
              <w:outlineLvl w:val="9"/>
              <w:rPr>
                <w:rFonts w:ascii="宋体" w:cs="宋体"/>
                <w:color w:val="auto"/>
                <w:sz w:val="24"/>
                <w:lang w:val="zh-CN"/>
              </w:rPr>
            </w:pPr>
          </w:p>
          <w:p w14:paraId="7446DF00">
            <w:pPr>
              <w:autoSpaceDE w:val="0"/>
              <w:autoSpaceDN w:val="0"/>
              <w:adjustRightInd w:val="0"/>
              <w:spacing w:line="500" w:lineRule="exact"/>
              <w:ind w:firstLine="4080"/>
              <w:outlineLvl w:val="9"/>
              <w:rPr>
                <w:rFonts w:ascii="宋体" w:cs="宋体"/>
                <w:color w:val="auto"/>
                <w:sz w:val="24"/>
                <w:lang w:val="zh-CN"/>
              </w:rPr>
            </w:pPr>
          </w:p>
          <w:p w14:paraId="0FA5E31E">
            <w:pPr>
              <w:autoSpaceDE w:val="0"/>
              <w:autoSpaceDN w:val="0"/>
              <w:adjustRightInd w:val="0"/>
              <w:spacing w:line="500" w:lineRule="exact"/>
              <w:ind w:firstLine="4800"/>
              <w:outlineLvl w:val="9"/>
              <w:rPr>
                <w:rFonts w:ascii="宋体" w:cs="宋体"/>
                <w:color w:val="auto"/>
                <w:sz w:val="24"/>
                <w:lang w:val="zh-CN"/>
              </w:rPr>
            </w:pPr>
          </w:p>
          <w:p w14:paraId="44318B51">
            <w:pPr>
              <w:autoSpaceDE w:val="0"/>
              <w:autoSpaceDN w:val="0"/>
              <w:adjustRightInd w:val="0"/>
              <w:spacing w:line="500" w:lineRule="exact"/>
              <w:ind w:firstLine="6600" w:firstLineChars="2750"/>
              <w:outlineLvl w:val="9"/>
              <w:rPr>
                <w:rFonts w:ascii="宋体" w:cs="宋体"/>
                <w:color w:val="auto"/>
                <w:sz w:val="24"/>
                <w:lang w:val="zh-CN"/>
              </w:rPr>
            </w:pPr>
            <w:r>
              <w:rPr>
                <w:rFonts w:hint="eastAsia" w:ascii="宋体" w:cs="宋体"/>
                <w:color w:val="auto"/>
                <w:sz w:val="24"/>
                <w:lang w:val="zh-CN"/>
              </w:rPr>
              <w:t>年   月   日</w:t>
            </w:r>
          </w:p>
        </w:tc>
      </w:tr>
    </w:tbl>
    <w:p w14:paraId="20ED3E1D">
      <w:pPr>
        <w:bidi w:val="0"/>
        <w:rPr>
          <w:lang w:val="zh-CN"/>
        </w:rPr>
      </w:pPr>
    </w:p>
    <w:p w14:paraId="3C458AC1">
      <w:pPr>
        <w:autoSpaceDE w:val="0"/>
        <w:autoSpaceDN w:val="0"/>
        <w:adjustRightInd w:val="0"/>
        <w:spacing w:line="500" w:lineRule="exact"/>
        <w:ind w:firstLine="240"/>
        <w:outlineLvl w:val="9"/>
        <w:rPr>
          <w:rFonts w:ascii="宋体" w:cs="宋体"/>
          <w:color w:val="auto"/>
          <w:sz w:val="24"/>
          <w:lang w:val="zh-CN"/>
        </w:rPr>
      </w:pPr>
      <w:r>
        <w:rPr>
          <w:rFonts w:hint="eastAsia" w:ascii="宋体" w:cs="宋体"/>
          <w:color w:val="auto"/>
          <w:sz w:val="24"/>
          <w:lang w:val="zh-CN"/>
        </w:rPr>
        <w:t>注： (1) 评标委员会可以书面方式要求供应商对响应文件中含义不明确、对同类问题表述不一致或者有明显文字和计算错误的内容作必要的澄清、说明或者纠正。澄清、说明或者补正应以书面方式进行并不得超出磋商文件的范围或者改变磋商文件的实质性内容。</w:t>
      </w:r>
    </w:p>
    <w:p w14:paraId="770F35D0">
      <w:pPr>
        <w:autoSpaceDE w:val="0"/>
        <w:autoSpaceDN w:val="0"/>
        <w:adjustRightInd w:val="0"/>
        <w:spacing w:line="500" w:lineRule="exact"/>
        <w:ind w:left="99" w:firstLine="720"/>
        <w:outlineLvl w:val="9"/>
        <w:rPr>
          <w:rFonts w:ascii="宋体" w:cs="宋体"/>
          <w:color w:val="auto"/>
          <w:sz w:val="24"/>
          <w:lang w:val="zh-CN"/>
        </w:rPr>
      </w:pPr>
      <w:r>
        <w:rPr>
          <w:rFonts w:hint="eastAsia" w:ascii="宋体" w:cs="宋体"/>
          <w:color w:val="auto"/>
          <w:sz w:val="24"/>
          <w:lang w:val="zh-CN"/>
        </w:rPr>
        <w:t xml:space="preserve"> (2)结论填写</w:t>
      </w:r>
      <w:r>
        <w:rPr>
          <w:rFonts w:ascii="宋体" w:cs="宋体"/>
          <w:color w:val="auto"/>
          <w:sz w:val="24"/>
          <w:lang w:val="zh-CN"/>
        </w:rPr>
        <w:t>“</w:t>
      </w:r>
      <w:r>
        <w:rPr>
          <w:rFonts w:hint="eastAsia" w:ascii="宋体" w:cs="宋体"/>
          <w:color w:val="auto"/>
          <w:sz w:val="24"/>
          <w:lang w:val="zh-CN"/>
        </w:rPr>
        <w:t>合格</w:t>
      </w:r>
      <w:r>
        <w:rPr>
          <w:rFonts w:ascii="宋体" w:cs="宋体"/>
          <w:color w:val="auto"/>
          <w:sz w:val="24"/>
          <w:lang w:val="zh-CN"/>
        </w:rPr>
        <w:t>”</w:t>
      </w:r>
      <w:r>
        <w:rPr>
          <w:rFonts w:hint="eastAsia" w:ascii="宋体" w:cs="宋体"/>
          <w:color w:val="auto"/>
          <w:sz w:val="24"/>
          <w:lang w:val="zh-CN"/>
        </w:rPr>
        <w:t>或</w:t>
      </w:r>
      <w:r>
        <w:rPr>
          <w:rFonts w:ascii="宋体" w:cs="宋体"/>
          <w:color w:val="auto"/>
          <w:sz w:val="24"/>
          <w:lang w:val="zh-CN"/>
        </w:rPr>
        <w:t>“</w:t>
      </w:r>
      <w:r>
        <w:rPr>
          <w:rFonts w:hint="eastAsia" w:ascii="宋体" w:cs="宋体"/>
          <w:color w:val="auto"/>
          <w:sz w:val="24"/>
          <w:lang w:val="zh-CN"/>
        </w:rPr>
        <w:t>不合格</w:t>
      </w:r>
      <w:r>
        <w:rPr>
          <w:rFonts w:ascii="宋体" w:cs="宋体"/>
          <w:color w:val="auto"/>
          <w:sz w:val="24"/>
          <w:lang w:val="zh-CN"/>
        </w:rPr>
        <w:t>”</w:t>
      </w:r>
      <w:r>
        <w:rPr>
          <w:rFonts w:hint="eastAsia" w:ascii="宋体" w:cs="宋体"/>
          <w:color w:val="auto"/>
          <w:sz w:val="24"/>
          <w:lang w:val="zh-CN"/>
        </w:rPr>
        <w:t>，不合格的供应商不进入下一轮评审。</w:t>
      </w:r>
    </w:p>
    <w:p w14:paraId="427917A7">
      <w:pPr>
        <w:autoSpaceDE w:val="0"/>
        <w:autoSpaceDN w:val="0"/>
        <w:adjustRightInd w:val="0"/>
        <w:spacing w:line="500" w:lineRule="exact"/>
        <w:outlineLvl w:val="9"/>
        <w:rPr>
          <w:rFonts w:ascii="宋体" w:cs="宋体"/>
          <w:b/>
          <w:bCs/>
          <w:color w:val="auto"/>
          <w:sz w:val="30"/>
          <w:szCs w:val="30"/>
          <w:lang w:val="zh-CN"/>
        </w:rPr>
      </w:pPr>
    </w:p>
    <w:p w14:paraId="08811E82">
      <w:pPr>
        <w:autoSpaceDE w:val="0"/>
        <w:autoSpaceDN w:val="0"/>
        <w:adjustRightInd w:val="0"/>
        <w:spacing w:line="500" w:lineRule="exact"/>
        <w:outlineLvl w:val="9"/>
        <w:rPr>
          <w:rFonts w:ascii="宋体" w:cs="宋体"/>
          <w:b/>
          <w:bCs/>
          <w:color w:val="auto"/>
          <w:sz w:val="30"/>
          <w:szCs w:val="30"/>
          <w:lang w:val="zh-CN"/>
        </w:rPr>
      </w:pPr>
    </w:p>
    <w:p w14:paraId="33AD4317">
      <w:pPr>
        <w:autoSpaceDE w:val="0"/>
        <w:autoSpaceDN w:val="0"/>
        <w:adjustRightInd w:val="0"/>
        <w:spacing w:line="500" w:lineRule="exact"/>
        <w:outlineLvl w:val="9"/>
        <w:rPr>
          <w:rFonts w:ascii="宋体" w:cs="宋体"/>
          <w:b/>
          <w:bCs/>
          <w:color w:val="auto"/>
          <w:sz w:val="30"/>
          <w:szCs w:val="30"/>
          <w:lang w:val="zh-CN"/>
        </w:rPr>
      </w:pPr>
    </w:p>
    <w:p w14:paraId="7F48F5FE">
      <w:pPr>
        <w:autoSpaceDE w:val="0"/>
        <w:autoSpaceDN w:val="0"/>
        <w:adjustRightInd w:val="0"/>
        <w:spacing w:line="500" w:lineRule="exact"/>
        <w:outlineLvl w:val="9"/>
        <w:rPr>
          <w:rFonts w:ascii="宋体" w:cs="宋体"/>
          <w:b/>
          <w:bCs/>
          <w:color w:val="auto"/>
          <w:sz w:val="24"/>
          <w:lang w:val="zh-CN"/>
        </w:rPr>
      </w:pPr>
    </w:p>
    <w:p w14:paraId="01937BCA">
      <w:pPr>
        <w:autoSpaceDE w:val="0"/>
        <w:autoSpaceDN w:val="0"/>
        <w:adjustRightInd w:val="0"/>
        <w:spacing w:line="500" w:lineRule="exact"/>
        <w:outlineLvl w:val="1"/>
        <w:rPr>
          <w:rFonts w:ascii="宋体" w:cs="宋体"/>
          <w:b/>
          <w:bCs/>
          <w:color w:val="auto"/>
          <w:sz w:val="24"/>
          <w:lang w:val="zh-CN"/>
        </w:rPr>
      </w:pPr>
      <w:bookmarkStart w:id="6" w:name="_Toc20415"/>
      <w:r>
        <w:rPr>
          <w:rFonts w:hint="eastAsia" w:ascii="宋体" w:cs="宋体"/>
          <w:b/>
          <w:bCs/>
          <w:color w:val="auto"/>
          <w:sz w:val="24"/>
          <w:lang w:val="zh-CN"/>
        </w:rPr>
        <w:t>4、进入详细评审的合格供应商表</w:t>
      </w:r>
      <w:bookmarkEnd w:id="6"/>
    </w:p>
    <w:p w14:paraId="5487FEE1">
      <w:pPr>
        <w:keepNext w:val="0"/>
        <w:keepLines w:val="0"/>
        <w:pageBreakBefore w:val="0"/>
        <w:widowControl w:val="0"/>
        <w:kinsoku/>
        <w:wordWrap/>
        <w:overflowPunct/>
        <w:topLinePunct w:val="0"/>
        <w:autoSpaceDE w:val="0"/>
        <w:autoSpaceDN w:val="0"/>
        <w:bidi w:val="0"/>
        <w:adjustRightInd w:val="0"/>
        <w:snapToGrid/>
        <w:spacing w:after="264" w:line="500" w:lineRule="exact"/>
        <w:textAlignment w:val="auto"/>
        <w:outlineLvl w:val="9"/>
        <w:rPr>
          <w:b/>
          <w:bCs/>
          <w:color w:val="auto"/>
          <w:sz w:val="24"/>
        </w:rPr>
      </w:pPr>
      <w:r>
        <w:rPr>
          <w:b/>
          <w:bCs/>
          <w:color w:val="auto"/>
          <w:sz w:val="30"/>
          <w:szCs w:val="30"/>
        </w:rPr>
        <w:t xml:space="preserve"> </w:t>
      </w:r>
      <w:r>
        <w:rPr>
          <w:rFonts w:hint="eastAsia" w:ascii="宋体" w:cs="宋体"/>
          <w:color w:val="auto"/>
          <w:sz w:val="24"/>
          <w:lang w:val="zh-CN"/>
        </w:rPr>
        <w:t>评标委员会认定供应商资格性和符合性检查合格，确定可以进入详细评审。</w:t>
      </w:r>
    </w:p>
    <w:tbl>
      <w:tblPr>
        <w:tblStyle w:val="50"/>
        <w:tblW w:w="8748" w:type="dxa"/>
        <w:tblInd w:w="0" w:type="dxa"/>
        <w:tblLayout w:type="fixed"/>
        <w:tblCellMar>
          <w:top w:w="0" w:type="dxa"/>
          <w:left w:w="108" w:type="dxa"/>
          <w:bottom w:w="0" w:type="dxa"/>
          <w:right w:w="108" w:type="dxa"/>
        </w:tblCellMar>
      </w:tblPr>
      <w:tblGrid>
        <w:gridCol w:w="1728"/>
        <w:gridCol w:w="7020"/>
      </w:tblGrid>
      <w:tr w14:paraId="09828D04">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9C3BAD4">
            <w:pPr>
              <w:autoSpaceDE w:val="0"/>
              <w:autoSpaceDN w:val="0"/>
              <w:adjustRightInd w:val="0"/>
              <w:spacing w:line="500" w:lineRule="exact"/>
              <w:jc w:val="center"/>
              <w:outlineLvl w:val="9"/>
              <w:rPr>
                <w:color w:val="auto"/>
                <w:sz w:val="28"/>
                <w:szCs w:val="28"/>
              </w:rPr>
            </w:pPr>
            <w:r>
              <w:rPr>
                <w:rFonts w:hint="eastAsia" w:ascii="宋体" w:cs="宋体"/>
                <w:color w:val="auto"/>
                <w:sz w:val="28"/>
                <w:szCs w:val="28"/>
                <w:lang w:val="zh-CN"/>
              </w:rPr>
              <w:t>序号</w:t>
            </w:r>
          </w:p>
        </w:tc>
        <w:tc>
          <w:tcPr>
            <w:tcW w:w="7020" w:type="dxa"/>
            <w:tcBorders>
              <w:top w:val="single" w:color="auto" w:sz="6" w:space="0"/>
              <w:left w:val="single" w:color="auto" w:sz="6" w:space="0"/>
              <w:bottom w:val="single" w:color="auto" w:sz="6" w:space="0"/>
              <w:right w:val="single" w:color="auto" w:sz="6" w:space="0"/>
            </w:tcBorders>
          </w:tcPr>
          <w:p w14:paraId="31A99D8A">
            <w:pPr>
              <w:autoSpaceDE w:val="0"/>
              <w:autoSpaceDN w:val="0"/>
              <w:adjustRightInd w:val="0"/>
              <w:spacing w:line="500" w:lineRule="exact"/>
              <w:jc w:val="center"/>
              <w:outlineLvl w:val="9"/>
              <w:rPr>
                <w:color w:val="auto"/>
                <w:sz w:val="28"/>
                <w:szCs w:val="28"/>
              </w:rPr>
            </w:pPr>
            <w:r>
              <w:rPr>
                <w:rFonts w:hint="eastAsia" w:ascii="宋体" w:cs="宋体"/>
                <w:color w:val="auto"/>
                <w:sz w:val="28"/>
                <w:szCs w:val="28"/>
                <w:lang w:val="zh-CN"/>
              </w:rPr>
              <w:t>合格的供应商名称</w:t>
            </w:r>
          </w:p>
        </w:tc>
      </w:tr>
      <w:tr w14:paraId="57C026EB">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9668810">
            <w:pPr>
              <w:autoSpaceDE w:val="0"/>
              <w:autoSpaceDN w:val="0"/>
              <w:adjustRightInd w:val="0"/>
              <w:spacing w:line="500" w:lineRule="exact"/>
              <w:jc w:val="center"/>
              <w:outlineLvl w:val="9"/>
              <w:rPr>
                <w:color w:val="auto"/>
                <w:sz w:val="28"/>
                <w:szCs w:val="28"/>
              </w:rPr>
            </w:pPr>
            <w:r>
              <w:rPr>
                <w:color w:val="auto"/>
                <w:sz w:val="28"/>
                <w:szCs w:val="28"/>
              </w:rPr>
              <w:t>1</w:t>
            </w:r>
          </w:p>
        </w:tc>
        <w:tc>
          <w:tcPr>
            <w:tcW w:w="7020" w:type="dxa"/>
            <w:tcBorders>
              <w:top w:val="single" w:color="auto" w:sz="6" w:space="0"/>
              <w:left w:val="single" w:color="auto" w:sz="6" w:space="0"/>
              <w:bottom w:val="single" w:color="auto" w:sz="6" w:space="0"/>
              <w:right w:val="single" w:color="auto" w:sz="6" w:space="0"/>
            </w:tcBorders>
          </w:tcPr>
          <w:p w14:paraId="5CBF0188">
            <w:pPr>
              <w:autoSpaceDE w:val="0"/>
              <w:autoSpaceDN w:val="0"/>
              <w:adjustRightInd w:val="0"/>
              <w:spacing w:line="500" w:lineRule="exact"/>
              <w:jc w:val="center"/>
              <w:outlineLvl w:val="9"/>
              <w:rPr>
                <w:b/>
                <w:bCs/>
                <w:color w:val="auto"/>
                <w:sz w:val="28"/>
                <w:szCs w:val="28"/>
              </w:rPr>
            </w:pPr>
          </w:p>
        </w:tc>
      </w:tr>
      <w:tr w14:paraId="37F16A64">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669C36A9">
            <w:pPr>
              <w:autoSpaceDE w:val="0"/>
              <w:autoSpaceDN w:val="0"/>
              <w:adjustRightInd w:val="0"/>
              <w:spacing w:line="500" w:lineRule="exact"/>
              <w:jc w:val="center"/>
              <w:outlineLvl w:val="9"/>
              <w:rPr>
                <w:color w:val="auto"/>
                <w:sz w:val="28"/>
                <w:szCs w:val="28"/>
              </w:rPr>
            </w:pPr>
            <w:r>
              <w:rPr>
                <w:color w:val="auto"/>
                <w:sz w:val="28"/>
                <w:szCs w:val="28"/>
              </w:rPr>
              <w:t>2</w:t>
            </w:r>
          </w:p>
        </w:tc>
        <w:tc>
          <w:tcPr>
            <w:tcW w:w="7020" w:type="dxa"/>
            <w:tcBorders>
              <w:top w:val="single" w:color="auto" w:sz="6" w:space="0"/>
              <w:left w:val="single" w:color="auto" w:sz="6" w:space="0"/>
              <w:bottom w:val="single" w:color="auto" w:sz="6" w:space="0"/>
              <w:right w:val="single" w:color="auto" w:sz="6" w:space="0"/>
            </w:tcBorders>
          </w:tcPr>
          <w:p w14:paraId="2A803703">
            <w:pPr>
              <w:autoSpaceDE w:val="0"/>
              <w:autoSpaceDN w:val="0"/>
              <w:adjustRightInd w:val="0"/>
              <w:spacing w:line="500" w:lineRule="exact"/>
              <w:jc w:val="center"/>
              <w:outlineLvl w:val="9"/>
              <w:rPr>
                <w:b/>
                <w:bCs/>
                <w:color w:val="auto"/>
                <w:sz w:val="28"/>
                <w:szCs w:val="28"/>
              </w:rPr>
            </w:pPr>
          </w:p>
        </w:tc>
      </w:tr>
      <w:tr w14:paraId="1C7F6B5E">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D13C7E9">
            <w:pPr>
              <w:autoSpaceDE w:val="0"/>
              <w:autoSpaceDN w:val="0"/>
              <w:adjustRightInd w:val="0"/>
              <w:spacing w:line="500" w:lineRule="exact"/>
              <w:jc w:val="center"/>
              <w:outlineLvl w:val="9"/>
              <w:rPr>
                <w:color w:val="auto"/>
                <w:sz w:val="28"/>
                <w:szCs w:val="28"/>
              </w:rPr>
            </w:pPr>
            <w:r>
              <w:rPr>
                <w:color w:val="auto"/>
                <w:sz w:val="28"/>
                <w:szCs w:val="28"/>
              </w:rPr>
              <w:t>3</w:t>
            </w:r>
          </w:p>
        </w:tc>
        <w:tc>
          <w:tcPr>
            <w:tcW w:w="7020" w:type="dxa"/>
            <w:tcBorders>
              <w:top w:val="single" w:color="auto" w:sz="6" w:space="0"/>
              <w:left w:val="single" w:color="auto" w:sz="6" w:space="0"/>
              <w:bottom w:val="single" w:color="auto" w:sz="6" w:space="0"/>
              <w:right w:val="single" w:color="auto" w:sz="6" w:space="0"/>
            </w:tcBorders>
          </w:tcPr>
          <w:p w14:paraId="60A2658C">
            <w:pPr>
              <w:autoSpaceDE w:val="0"/>
              <w:autoSpaceDN w:val="0"/>
              <w:adjustRightInd w:val="0"/>
              <w:spacing w:line="500" w:lineRule="exact"/>
              <w:jc w:val="center"/>
              <w:outlineLvl w:val="9"/>
              <w:rPr>
                <w:b/>
                <w:bCs/>
                <w:color w:val="auto"/>
                <w:sz w:val="28"/>
                <w:szCs w:val="28"/>
              </w:rPr>
            </w:pPr>
          </w:p>
        </w:tc>
      </w:tr>
      <w:tr w14:paraId="0B49AC18">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467A0157">
            <w:pPr>
              <w:autoSpaceDE w:val="0"/>
              <w:autoSpaceDN w:val="0"/>
              <w:adjustRightInd w:val="0"/>
              <w:spacing w:line="500" w:lineRule="exact"/>
              <w:jc w:val="center"/>
              <w:outlineLvl w:val="9"/>
              <w:rPr>
                <w:color w:val="auto"/>
                <w:sz w:val="28"/>
                <w:szCs w:val="28"/>
              </w:rPr>
            </w:pPr>
            <w:r>
              <w:rPr>
                <w:color w:val="auto"/>
                <w:sz w:val="28"/>
                <w:szCs w:val="28"/>
              </w:rPr>
              <w:t>4</w:t>
            </w:r>
          </w:p>
        </w:tc>
        <w:tc>
          <w:tcPr>
            <w:tcW w:w="7020" w:type="dxa"/>
            <w:tcBorders>
              <w:top w:val="single" w:color="auto" w:sz="6" w:space="0"/>
              <w:left w:val="single" w:color="auto" w:sz="6" w:space="0"/>
              <w:bottom w:val="single" w:color="auto" w:sz="6" w:space="0"/>
              <w:right w:val="single" w:color="auto" w:sz="6" w:space="0"/>
            </w:tcBorders>
          </w:tcPr>
          <w:p w14:paraId="0428476D">
            <w:pPr>
              <w:autoSpaceDE w:val="0"/>
              <w:autoSpaceDN w:val="0"/>
              <w:adjustRightInd w:val="0"/>
              <w:spacing w:line="500" w:lineRule="exact"/>
              <w:jc w:val="center"/>
              <w:outlineLvl w:val="9"/>
              <w:rPr>
                <w:b/>
                <w:bCs/>
                <w:color w:val="auto"/>
                <w:sz w:val="28"/>
                <w:szCs w:val="28"/>
              </w:rPr>
            </w:pPr>
          </w:p>
        </w:tc>
      </w:tr>
      <w:tr w14:paraId="0E77D785">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2178121">
            <w:pPr>
              <w:autoSpaceDE w:val="0"/>
              <w:autoSpaceDN w:val="0"/>
              <w:adjustRightInd w:val="0"/>
              <w:spacing w:line="500" w:lineRule="exact"/>
              <w:jc w:val="center"/>
              <w:outlineLvl w:val="9"/>
              <w:rPr>
                <w:color w:val="auto"/>
                <w:sz w:val="28"/>
                <w:szCs w:val="28"/>
              </w:rPr>
            </w:pPr>
            <w:r>
              <w:rPr>
                <w:color w:val="auto"/>
                <w:sz w:val="28"/>
                <w:szCs w:val="28"/>
              </w:rPr>
              <w:t>5</w:t>
            </w:r>
          </w:p>
        </w:tc>
        <w:tc>
          <w:tcPr>
            <w:tcW w:w="7020" w:type="dxa"/>
            <w:tcBorders>
              <w:top w:val="single" w:color="auto" w:sz="6" w:space="0"/>
              <w:left w:val="single" w:color="auto" w:sz="6" w:space="0"/>
              <w:bottom w:val="single" w:color="auto" w:sz="6" w:space="0"/>
              <w:right w:val="single" w:color="auto" w:sz="6" w:space="0"/>
            </w:tcBorders>
          </w:tcPr>
          <w:p w14:paraId="132F06C0">
            <w:pPr>
              <w:autoSpaceDE w:val="0"/>
              <w:autoSpaceDN w:val="0"/>
              <w:adjustRightInd w:val="0"/>
              <w:spacing w:line="500" w:lineRule="exact"/>
              <w:jc w:val="center"/>
              <w:outlineLvl w:val="9"/>
              <w:rPr>
                <w:b/>
                <w:bCs/>
                <w:color w:val="auto"/>
                <w:sz w:val="28"/>
                <w:szCs w:val="28"/>
              </w:rPr>
            </w:pPr>
          </w:p>
        </w:tc>
      </w:tr>
      <w:tr w14:paraId="3CA27612">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147F50E7">
            <w:pPr>
              <w:autoSpaceDE w:val="0"/>
              <w:autoSpaceDN w:val="0"/>
              <w:adjustRightInd w:val="0"/>
              <w:spacing w:line="500" w:lineRule="exact"/>
              <w:jc w:val="center"/>
              <w:outlineLvl w:val="9"/>
              <w:rPr>
                <w:color w:val="auto"/>
                <w:sz w:val="28"/>
                <w:szCs w:val="28"/>
              </w:rPr>
            </w:pPr>
            <w:r>
              <w:rPr>
                <w:color w:val="auto"/>
                <w:sz w:val="28"/>
                <w:szCs w:val="28"/>
              </w:rPr>
              <w:t>6</w:t>
            </w:r>
          </w:p>
        </w:tc>
        <w:tc>
          <w:tcPr>
            <w:tcW w:w="7020" w:type="dxa"/>
            <w:tcBorders>
              <w:top w:val="single" w:color="auto" w:sz="6" w:space="0"/>
              <w:left w:val="single" w:color="auto" w:sz="6" w:space="0"/>
              <w:bottom w:val="single" w:color="auto" w:sz="6" w:space="0"/>
              <w:right w:val="single" w:color="auto" w:sz="6" w:space="0"/>
            </w:tcBorders>
          </w:tcPr>
          <w:p w14:paraId="1ED29C71">
            <w:pPr>
              <w:autoSpaceDE w:val="0"/>
              <w:autoSpaceDN w:val="0"/>
              <w:adjustRightInd w:val="0"/>
              <w:spacing w:line="500" w:lineRule="exact"/>
              <w:jc w:val="center"/>
              <w:outlineLvl w:val="9"/>
              <w:rPr>
                <w:b/>
                <w:bCs/>
                <w:color w:val="auto"/>
                <w:sz w:val="28"/>
                <w:szCs w:val="28"/>
              </w:rPr>
            </w:pPr>
          </w:p>
        </w:tc>
      </w:tr>
      <w:tr w14:paraId="0256E7FF">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3FB82A34">
            <w:pPr>
              <w:autoSpaceDE w:val="0"/>
              <w:autoSpaceDN w:val="0"/>
              <w:adjustRightInd w:val="0"/>
              <w:spacing w:line="500" w:lineRule="exact"/>
              <w:jc w:val="center"/>
              <w:outlineLvl w:val="9"/>
              <w:rPr>
                <w:color w:val="auto"/>
                <w:sz w:val="28"/>
                <w:szCs w:val="28"/>
              </w:rPr>
            </w:pPr>
            <w:r>
              <w:rPr>
                <w:color w:val="auto"/>
                <w:sz w:val="28"/>
                <w:szCs w:val="28"/>
              </w:rPr>
              <w:t>7</w:t>
            </w:r>
          </w:p>
        </w:tc>
        <w:tc>
          <w:tcPr>
            <w:tcW w:w="7020" w:type="dxa"/>
            <w:tcBorders>
              <w:top w:val="single" w:color="auto" w:sz="6" w:space="0"/>
              <w:left w:val="single" w:color="auto" w:sz="6" w:space="0"/>
              <w:bottom w:val="single" w:color="auto" w:sz="6" w:space="0"/>
              <w:right w:val="single" w:color="auto" w:sz="6" w:space="0"/>
            </w:tcBorders>
          </w:tcPr>
          <w:p w14:paraId="51FFD733">
            <w:pPr>
              <w:autoSpaceDE w:val="0"/>
              <w:autoSpaceDN w:val="0"/>
              <w:adjustRightInd w:val="0"/>
              <w:spacing w:line="500" w:lineRule="exact"/>
              <w:jc w:val="center"/>
              <w:outlineLvl w:val="9"/>
              <w:rPr>
                <w:b/>
                <w:bCs/>
                <w:color w:val="auto"/>
                <w:sz w:val="28"/>
                <w:szCs w:val="28"/>
              </w:rPr>
            </w:pPr>
          </w:p>
        </w:tc>
      </w:tr>
      <w:tr w14:paraId="4EE68815">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13D83AA">
            <w:pPr>
              <w:autoSpaceDE w:val="0"/>
              <w:autoSpaceDN w:val="0"/>
              <w:adjustRightInd w:val="0"/>
              <w:spacing w:line="500" w:lineRule="exact"/>
              <w:jc w:val="center"/>
              <w:outlineLvl w:val="9"/>
              <w:rPr>
                <w:color w:val="auto"/>
                <w:sz w:val="28"/>
                <w:szCs w:val="28"/>
              </w:rPr>
            </w:pPr>
            <w:r>
              <w:rPr>
                <w:color w:val="auto"/>
                <w:sz w:val="28"/>
                <w:szCs w:val="28"/>
              </w:rPr>
              <w:t>8</w:t>
            </w:r>
          </w:p>
        </w:tc>
        <w:tc>
          <w:tcPr>
            <w:tcW w:w="7020" w:type="dxa"/>
            <w:tcBorders>
              <w:top w:val="single" w:color="auto" w:sz="6" w:space="0"/>
              <w:left w:val="single" w:color="auto" w:sz="6" w:space="0"/>
              <w:bottom w:val="single" w:color="auto" w:sz="6" w:space="0"/>
              <w:right w:val="single" w:color="auto" w:sz="6" w:space="0"/>
            </w:tcBorders>
          </w:tcPr>
          <w:p w14:paraId="1F0543E0">
            <w:pPr>
              <w:autoSpaceDE w:val="0"/>
              <w:autoSpaceDN w:val="0"/>
              <w:adjustRightInd w:val="0"/>
              <w:spacing w:line="500" w:lineRule="exact"/>
              <w:jc w:val="center"/>
              <w:outlineLvl w:val="9"/>
              <w:rPr>
                <w:b/>
                <w:bCs/>
                <w:color w:val="auto"/>
                <w:sz w:val="28"/>
                <w:szCs w:val="28"/>
              </w:rPr>
            </w:pPr>
          </w:p>
        </w:tc>
      </w:tr>
      <w:tr w14:paraId="6C2D8F93">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33C3FA8F">
            <w:pPr>
              <w:autoSpaceDE w:val="0"/>
              <w:autoSpaceDN w:val="0"/>
              <w:adjustRightInd w:val="0"/>
              <w:spacing w:line="500" w:lineRule="exact"/>
              <w:jc w:val="center"/>
              <w:outlineLvl w:val="9"/>
              <w:rPr>
                <w:color w:val="auto"/>
                <w:sz w:val="28"/>
                <w:szCs w:val="28"/>
              </w:rPr>
            </w:pPr>
            <w:r>
              <w:rPr>
                <w:color w:val="auto"/>
                <w:sz w:val="28"/>
                <w:szCs w:val="28"/>
              </w:rPr>
              <w:t>9</w:t>
            </w:r>
          </w:p>
        </w:tc>
        <w:tc>
          <w:tcPr>
            <w:tcW w:w="7020" w:type="dxa"/>
            <w:tcBorders>
              <w:top w:val="single" w:color="auto" w:sz="6" w:space="0"/>
              <w:left w:val="single" w:color="auto" w:sz="6" w:space="0"/>
              <w:bottom w:val="single" w:color="auto" w:sz="6" w:space="0"/>
              <w:right w:val="single" w:color="auto" w:sz="6" w:space="0"/>
            </w:tcBorders>
          </w:tcPr>
          <w:p w14:paraId="756CA01C">
            <w:pPr>
              <w:autoSpaceDE w:val="0"/>
              <w:autoSpaceDN w:val="0"/>
              <w:adjustRightInd w:val="0"/>
              <w:spacing w:line="500" w:lineRule="exact"/>
              <w:jc w:val="center"/>
              <w:outlineLvl w:val="9"/>
              <w:rPr>
                <w:b/>
                <w:bCs/>
                <w:color w:val="auto"/>
                <w:sz w:val="28"/>
                <w:szCs w:val="28"/>
              </w:rPr>
            </w:pPr>
          </w:p>
        </w:tc>
      </w:tr>
      <w:tr w14:paraId="1C864C06">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3AD96205">
            <w:pPr>
              <w:autoSpaceDE w:val="0"/>
              <w:autoSpaceDN w:val="0"/>
              <w:adjustRightInd w:val="0"/>
              <w:spacing w:line="500" w:lineRule="exact"/>
              <w:jc w:val="center"/>
              <w:outlineLvl w:val="9"/>
              <w:rPr>
                <w:color w:val="auto"/>
                <w:sz w:val="28"/>
                <w:szCs w:val="28"/>
              </w:rPr>
            </w:pPr>
            <w:r>
              <w:rPr>
                <w:color w:val="auto"/>
                <w:sz w:val="28"/>
                <w:szCs w:val="28"/>
              </w:rPr>
              <w:t>10</w:t>
            </w:r>
          </w:p>
        </w:tc>
        <w:tc>
          <w:tcPr>
            <w:tcW w:w="7020" w:type="dxa"/>
            <w:tcBorders>
              <w:top w:val="single" w:color="auto" w:sz="6" w:space="0"/>
              <w:left w:val="single" w:color="auto" w:sz="6" w:space="0"/>
              <w:bottom w:val="single" w:color="auto" w:sz="6" w:space="0"/>
              <w:right w:val="single" w:color="auto" w:sz="6" w:space="0"/>
            </w:tcBorders>
          </w:tcPr>
          <w:p w14:paraId="48E32A4E">
            <w:pPr>
              <w:autoSpaceDE w:val="0"/>
              <w:autoSpaceDN w:val="0"/>
              <w:adjustRightInd w:val="0"/>
              <w:spacing w:line="500" w:lineRule="exact"/>
              <w:jc w:val="center"/>
              <w:outlineLvl w:val="9"/>
              <w:rPr>
                <w:b/>
                <w:bCs/>
                <w:color w:val="auto"/>
                <w:sz w:val="28"/>
                <w:szCs w:val="28"/>
              </w:rPr>
            </w:pPr>
          </w:p>
        </w:tc>
      </w:tr>
      <w:tr w14:paraId="72645F16">
        <w:tblPrEx>
          <w:tblCellMar>
            <w:top w:w="0" w:type="dxa"/>
            <w:left w:w="108" w:type="dxa"/>
            <w:bottom w:w="0" w:type="dxa"/>
            <w:right w:w="108" w:type="dxa"/>
          </w:tblCellMar>
        </w:tblPrEx>
        <w:tc>
          <w:tcPr>
            <w:tcW w:w="8748" w:type="dxa"/>
            <w:gridSpan w:val="2"/>
            <w:tcBorders>
              <w:top w:val="single" w:color="auto" w:sz="6" w:space="0"/>
              <w:left w:val="single" w:color="auto" w:sz="6" w:space="0"/>
              <w:bottom w:val="single" w:color="auto" w:sz="6" w:space="0"/>
              <w:right w:val="single" w:color="auto" w:sz="6" w:space="0"/>
            </w:tcBorders>
            <w:vAlign w:val="center"/>
          </w:tcPr>
          <w:p w14:paraId="2BE6EB8A">
            <w:pPr>
              <w:autoSpaceDE w:val="0"/>
              <w:autoSpaceDN w:val="0"/>
              <w:adjustRightInd w:val="0"/>
              <w:spacing w:line="500" w:lineRule="exact"/>
              <w:outlineLvl w:val="9"/>
              <w:rPr>
                <w:color w:val="auto"/>
                <w:sz w:val="28"/>
                <w:szCs w:val="28"/>
              </w:rPr>
            </w:pPr>
            <w:r>
              <w:rPr>
                <w:rFonts w:hint="eastAsia" w:ascii="宋体" w:cs="宋体"/>
                <w:color w:val="auto"/>
                <w:sz w:val="28"/>
                <w:szCs w:val="28"/>
                <w:lang w:val="zh-CN"/>
              </w:rPr>
              <w:t>评委签名：</w:t>
            </w:r>
          </w:p>
          <w:p w14:paraId="379C3AD2">
            <w:pPr>
              <w:autoSpaceDE w:val="0"/>
              <w:autoSpaceDN w:val="0"/>
              <w:adjustRightInd w:val="0"/>
              <w:spacing w:line="500" w:lineRule="exact"/>
              <w:jc w:val="center"/>
              <w:outlineLvl w:val="9"/>
              <w:rPr>
                <w:b/>
                <w:bCs/>
                <w:color w:val="auto"/>
                <w:sz w:val="28"/>
                <w:szCs w:val="28"/>
              </w:rPr>
            </w:pPr>
          </w:p>
          <w:p w14:paraId="7FD4074D">
            <w:pPr>
              <w:autoSpaceDE w:val="0"/>
              <w:autoSpaceDN w:val="0"/>
              <w:adjustRightInd w:val="0"/>
              <w:spacing w:line="500" w:lineRule="exact"/>
              <w:ind w:firstLine="6020"/>
              <w:outlineLvl w:val="9"/>
              <w:rPr>
                <w:b/>
                <w:bCs/>
                <w:color w:val="auto"/>
                <w:sz w:val="28"/>
                <w:szCs w:val="28"/>
              </w:rPr>
            </w:pPr>
            <w:r>
              <w:rPr>
                <w:rFonts w:hint="eastAsia" w:ascii="宋体" w:cs="宋体"/>
                <w:color w:val="auto"/>
                <w:sz w:val="28"/>
                <w:szCs w:val="28"/>
                <w:lang w:val="zh-CN"/>
              </w:rPr>
              <w:t>年</w:t>
            </w:r>
            <w:r>
              <w:rPr>
                <w:color w:val="auto"/>
                <w:sz w:val="28"/>
                <w:szCs w:val="28"/>
              </w:rPr>
              <w:t xml:space="preserve">   </w:t>
            </w:r>
            <w:r>
              <w:rPr>
                <w:rFonts w:hint="eastAsia" w:ascii="宋体" w:cs="宋体"/>
                <w:color w:val="auto"/>
                <w:sz w:val="28"/>
                <w:szCs w:val="28"/>
                <w:lang w:val="zh-CN"/>
              </w:rPr>
              <w:t>月   日</w:t>
            </w:r>
          </w:p>
        </w:tc>
      </w:tr>
    </w:tbl>
    <w:p w14:paraId="4998C435">
      <w:pPr>
        <w:autoSpaceDE w:val="0"/>
        <w:autoSpaceDN w:val="0"/>
        <w:adjustRightInd w:val="0"/>
        <w:spacing w:line="500" w:lineRule="exact"/>
        <w:outlineLvl w:val="9"/>
        <w:rPr>
          <w:color w:val="auto"/>
          <w:sz w:val="30"/>
          <w:szCs w:val="30"/>
        </w:rPr>
      </w:pPr>
    </w:p>
    <w:p w14:paraId="2EDB0DEE">
      <w:pPr>
        <w:autoSpaceDE w:val="0"/>
        <w:autoSpaceDN w:val="0"/>
        <w:adjustRightInd w:val="0"/>
        <w:spacing w:line="500" w:lineRule="exact"/>
        <w:outlineLvl w:val="9"/>
        <w:rPr>
          <w:rFonts w:ascii="宋体" w:cs="宋体"/>
          <w:b/>
          <w:bCs/>
          <w:color w:val="auto"/>
          <w:sz w:val="30"/>
          <w:szCs w:val="30"/>
          <w:lang w:val="zh-CN"/>
        </w:rPr>
      </w:pPr>
    </w:p>
    <w:p w14:paraId="5FF92942">
      <w:pPr>
        <w:autoSpaceDE w:val="0"/>
        <w:autoSpaceDN w:val="0"/>
        <w:adjustRightInd w:val="0"/>
        <w:spacing w:line="500" w:lineRule="exact"/>
        <w:outlineLvl w:val="9"/>
        <w:rPr>
          <w:rFonts w:ascii="宋体" w:cs="宋体"/>
          <w:b/>
          <w:bCs/>
          <w:color w:val="auto"/>
          <w:sz w:val="30"/>
          <w:szCs w:val="30"/>
          <w:lang w:val="zh-CN"/>
        </w:rPr>
      </w:pPr>
    </w:p>
    <w:p w14:paraId="224C2766">
      <w:pPr>
        <w:autoSpaceDE w:val="0"/>
        <w:autoSpaceDN w:val="0"/>
        <w:adjustRightInd w:val="0"/>
        <w:spacing w:line="500" w:lineRule="exact"/>
        <w:outlineLvl w:val="9"/>
        <w:rPr>
          <w:rFonts w:ascii="宋体" w:cs="宋体"/>
          <w:b/>
          <w:bCs/>
          <w:color w:val="auto"/>
          <w:sz w:val="30"/>
          <w:szCs w:val="30"/>
          <w:lang w:val="zh-CN"/>
        </w:rPr>
      </w:pPr>
    </w:p>
    <w:p w14:paraId="3D37E538">
      <w:pPr>
        <w:autoSpaceDE w:val="0"/>
        <w:autoSpaceDN w:val="0"/>
        <w:adjustRightInd w:val="0"/>
        <w:spacing w:line="500" w:lineRule="exact"/>
        <w:outlineLvl w:val="9"/>
        <w:rPr>
          <w:rFonts w:ascii="宋体" w:cs="宋体"/>
          <w:b/>
          <w:bCs/>
          <w:color w:val="auto"/>
          <w:sz w:val="30"/>
          <w:szCs w:val="30"/>
          <w:lang w:val="zh-CN"/>
        </w:rPr>
      </w:pPr>
    </w:p>
    <w:p w14:paraId="4168BC33">
      <w:pPr>
        <w:autoSpaceDE w:val="0"/>
        <w:autoSpaceDN w:val="0"/>
        <w:adjustRightInd w:val="0"/>
        <w:spacing w:line="500" w:lineRule="exact"/>
        <w:outlineLvl w:val="9"/>
        <w:rPr>
          <w:rFonts w:ascii="宋体" w:cs="宋体"/>
          <w:b/>
          <w:bCs/>
          <w:color w:val="auto"/>
          <w:sz w:val="30"/>
          <w:szCs w:val="30"/>
          <w:lang w:val="zh-CN"/>
        </w:rPr>
      </w:pPr>
    </w:p>
    <w:p w14:paraId="619D9B7B">
      <w:pPr>
        <w:autoSpaceDE w:val="0"/>
        <w:autoSpaceDN w:val="0"/>
        <w:adjustRightInd w:val="0"/>
        <w:spacing w:line="500" w:lineRule="exact"/>
        <w:outlineLvl w:val="9"/>
        <w:rPr>
          <w:rFonts w:ascii="宋体" w:cs="宋体"/>
          <w:b/>
          <w:bCs/>
          <w:color w:val="auto"/>
          <w:sz w:val="30"/>
          <w:szCs w:val="30"/>
          <w:lang w:val="zh-CN"/>
        </w:rPr>
      </w:pPr>
    </w:p>
    <w:p w14:paraId="628F5F8C">
      <w:pPr>
        <w:autoSpaceDE w:val="0"/>
        <w:autoSpaceDN w:val="0"/>
        <w:adjustRightInd w:val="0"/>
        <w:spacing w:line="500" w:lineRule="exact"/>
        <w:outlineLvl w:val="9"/>
        <w:rPr>
          <w:rFonts w:ascii="宋体" w:cs="宋体"/>
          <w:b/>
          <w:bCs/>
          <w:color w:val="auto"/>
          <w:sz w:val="30"/>
          <w:szCs w:val="30"/>
          <w:lang w:val="zh-CN"/>
        </w:rPr>
      </w:pPr>
    </w:p>
    <w:p w14:paraId="0E8D223A">
      <w:pPr>
        <w:autoSpaceDE w:val="0"/>
        <w:autoSpaceDN w:val="0"/>
        <w:adjustRightInd w:val="0"/>
        <w:spacing w:line="500" w:lineRule="exact"/>
        <w:outlineLvl w:val="9"/>
        <w:rPr>
          <w:rFonts w:ascii="宋体" w:cs="宋体"/>
          <w:b/>
          <w:bCs/>
          <w:color w:val="auto"/>
          <w:sz w:val="30"/>
          <w:szCs w:val="30"/>
          <w:lang w:val="zh-CN"/>
        </w:rPr>
      </w:pPr>
    </w:p>
    <w:p w14:paraId="36A0B3C0">
      <w:pPr>
        <w:autoSpaceDE w:val="0"/>
        <w:autoSpaceDN w:val="0"/>
        <w:adjustRightInd w:val="0"/>
        <w:spacing w:line="500" w:lineRule="exact"/>
        <w:outlineLvl w:val="9"/>
        <w:rPr>
          <w:rFonts w:ascii="宋体" w:cs="宋体"/>
          <w:b/>
          <w:bCs/>
          <w:color w:val="auto"/>
          <w:sz w:val="24"/>
          <w:lang w:val="zh-CN"/>
        </w:rPr>
      </w:pPr>
    </w:p>
    <w:p w14:paraId="7BEC1E4D">
      <w:pPr>
        <w:autoSpaceDE w:val="0"/>
        <w:autoSpaceDN w:val="0"/>
        <w:adjustRightInd w:val="0"/>
        <w:spacing w:line="500" w:lineRule="exact"/>
        <w:outlineLvl w:val="1"/>
        <w:rPr>
          <w:rFonts w:ascii="宋体" w:cs="宋体"/>
          <w:b/>
          <w:bCs/>
          <w:color w:val="auto"/>
          <w:sz w:val="24"/>
          <w:lang w:val="zh-CN"/>
        </w:rPr>
      </w:pPr>
      <w:bookmarkStart w:id="7" w:name="_Toc15426"/>
      <w:r>
        <w:rPr>
          <w:rFonts w:hint="eastAsia" w:ascii="宋体" w:cs="宋体"/>
          <w:b/>
          <w:bCs/>
          <w:color w:val="auto"/>
          <w:sz w:val="24"/>
          <w:lang w:val="zh-CN"/>
        </w:rPr>
        <w:t>5、不合格供应商表</w:t>
      </w:r>
      <w:bookmarkEnd w:id="7"/>
    </w:p>
    <w:p w14:paraId="4FC67213">
      <w:pPr>
        <w:autoSpaceDE w:val="0"/>
        <w:autoSpaceDN w:val="0"/>
        <w:adjustRightInd w:val="0"/>
        <w:spacing w:line="500" w:lineRule="exact"/>
        <w:ind w:firstLine="360"/>
        <w:outlineLvl w:val="9"/>
        <w:rPr>
          <w:color w:val="auto"/>
          <w:sz w:val="24"/>
        </w:rPr>
      </w:pPr>
      <w:r>
        <w:rPr>
          <w:rFonts w:hint="eastAsia" w:ascii="宋体" w:cs="宋体"/>
          <w:color w:val="auto"/>
          <w:sz w:val="24"/>
          <w:lang w:val="zh-CN"/>
        </w:rPr>
        <w:t>评标委员会认定供应商资格性和符合性检查不合格，确定其为不合格供应商。不合格供应商不能进入下一轮评审。</w:t>
      </w:r>
    </w:p>
    <w:tbl>
      <w:tblPr>
        <w:tblStyle w:val="50"/>
        <w:tblW w:w="9468" w:type="dxa"/>
        <w:tblInd w:w="0" w:type="dxa"/>
        <w:tblLayout w:type="fixed"/>
        <w:tblCellMar>
          <w:top w:w="0" w:type="dxa"/>
          <w:left w:w="108" w:type="dxa"/>
          <w:bottom w:w="0" w:type="dxa"/>
          <w:right w:w="108" w:type="dxa"/>
        </w:tblCellMar>
      </w:tblPr>
      <w:tblGrid>
        <w:gridCol w:w="3348"/>
        <w:gridCol w:w="6120"/>
      </w:tblGrid>
      <w:tr w14:paraId="4BF18E4D">
        <w:tblPrEx>
          <w:tblCellMar>
            <w:top w:w="0" w:type="dxa"/>
            <w:left w:w="108" w:type="dxa"/>
            <w:bottom w:w="0" w:type="dxa"/>
            <w:right w:w="108" w:type="dxa"/>
          </w:tblCellMar>
        </w:tblPrEx>
        <w:trPr>
          <w:trHeight w:val="1083" w:hRule="atLeast"/>
        </w:trPr>
        <w:tc>
          <w:tcPr>
            <w:tcW w:w="3348" w:type="dxa"/>
            <w:tcBorders>
              <w:top w:val="single" w:color="auto" w:sz="6" w:space="0"/>
              <w:left w:val="single" w:color="auto" w:sz="6" w:space="0"/>
              <w:bottom w:val="single" w:color="auto" w:sz="6" w:space="0"/>
              <w:right w:val="single" w:color="auto" w:sz="6" w:space="0"/>
            </w:tcBorders>
            <w:vAlign w:val="center"/>
          </w:tcPr>
          <w:p w14:paraId="4B3EDF5E">
            <w:pPr>
              <w:autoSpaceDE w:val="0"/>
              <w:autoSpaceDN w:val="0"/>
              <w:adjustRightInd w:val="0"/>
              <w:spacing w:line="500" w:lineRule="exact"/>
              <w:jc w:val="center"/>
              <w:outlineLvl w:val="9"/>
              <w:rPr>
                <w:color w:val="auto"/>
                <w:sz w:val="24"/>
              </w:rPr>
            </w:pPr>
            <w:r>
              <w:rPr>
                <w:rFonts w:hint="eastAsia" w:ascii="宋体" w:cs="宋体"/>
                <w:color w:val="auto"/>
                <w:sz w:val="24"/>
                <w:lang w:val="zh-CN"/>
              </w:rPr>
              <w:t>供应商名称</w:t>
            </w:r>
          </w:p>
        </w:tc>
        <w:tc>
          <w:tcPr>
            <w:tcW w:w="6120" w:type="dxa"/>
            <w:tcBorders>
              <w:top w:val="single" w:color="auto" w:sz="6" w:space="0"/>
              <w:left w:val="single" w:color="auto" w:sz="6" w:space="0"/>
              <w:bottom w:val="single" w:color="auto" w:sz="6" w:space="0"/>
              <w:right w:val="single" w:color="auto" w:sz="6" w:space="0"/>
            </w:tcBorders>
            <w:vAlign w:val="center"/>
          </w:tcPr>
          <w:p w14:paraId="35327F93">
            <w:pPr>
              <w:autoSpaceDE w:val="0"/>
              <w:autoSpaceDN w:val="0"/>
              <w:adjustRightInd w:val="0"/>
              <w:spacing w:line="500" w:lineRule="exact"/>
              <w:jc w:val="center"/>
              <w:outlineLvl w:val="9"/>
              <w:rPr>
                <w:color w:val="auto"/>
                <w:sz w:val="24"/>
              </w:rPr>
            </w:pPr>
            <w:r>
              <w:rPr>
                <w:rFonts w:hint="eastAsia" w:ascii="宋体" w:cs="宋体"/>
                <w:color w:val="auto"/>
                <w:sz w:val="24"/>
                <w:lang w:val="zh-CN"/>
              </w:rPr>
              <w:t>不合格情况说明</w:t>
            </w:r>
          </w:p>
        </w:tc>
      </w:tr>
      <w:tr w14:paraId="2762D365">
        <w:tblPrEx>
          <w:tblCellMar>
            <w:top w:w="0" w:type="dxa"/>
            <w:left w:w="108" w:type="dxa"/>
            <w:bottom w:w="0" w:type="dxa"/>
            <w:right w:w="108" w:type="dxa"/>
          </w:tblCellMar>
        </w:tblPrEx>
        <w:trPr>
          <w:trHeight w:val="771" w:hRule="atLeast"/>
        </w:trPr>
        <w:tc>
          <w:tcPr>
            <w:tcW w:w="3348" w:type="dxa"/>
            <w:tcBorders>
              <w:top w:val="single" w:color="auto" w:sz="6" w:space="0"/>
              <w:left w:val="single" w:color="auto" w:sz="6" w:space="0"/>
              <w:bottom w:val="single" w:color="auto" w:sz="6" w:space="0"/>
              <w:right w:val="single" w:color="auto" w:sz="6" w:space="0"/>
            </w:tcBorders>
          </w:tcPr>
          <w:p w14:paraId="19CC29AD">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65ED1C80">
            <w:pPr>
              <w:autoSpaceDE w:val="0"/>
              <w:autoSpaceDN w:val="0"/>
              <w:adjustRightInd w:val="0"/>
              <w:spacing w:line="500" w:lineRule="exact"/>
              <w:outlineLvl w:val="9"/>
              <w:rPr>
                <w:color w:val="auto"/>
                <w:sz w:val="30"/>
                <w:szCs w:val="30"/>
              </w:rPr>
            </w:pPr>
          </w:p>
        </w:tc>
      </w:tr>
      <w:tr w14:paraId="224B0AA0">
        <w:tblPrEx>
          <w:tblCellMar>
            <w:top w:w="0" w:type="dxa"/>
            <w:left w:w="108" w:type="dxa"/>
            <w:bottom w:w="0" w:type="dxa"/>
            <w:right w:w="108" w:type="dxa"/>
          </w:tblCellMar>
        </w:tblPrEx>
        <w:trPr>
          <w:trHeight w:val="767" w:hRule="atLeast"/>
        </w:trPr>
        <w:tc>
          <w:tcPr>
            <w:tcW w:w="3348" w:type="dxa"/>
            <w:tcBorders>
              <w:top w:val="single" w:color="auto" w:sz="6" w:space="0"/>
              <w:left w:val="single" w:color="auto" w:sz="6" w:space="0"/>
              <w:bottom w:val="single" w:color="auto" w:sz="6" w:space="0"/>
              <w:right w:val="single" w:color="auto" w:sz="6" w:space="0"/>
            </w:tcBorders>
          </w:tcPr>
          <w:p w14:paraId="1B659BAE">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D5FAC59">
            <w:pPr>
              <w:autoSpaceDE w:val="0"/>
              <w:autoSpaceDN w:val="0"/>
              <w:adjustRightInd w:val="0"/>
              <w:spacing w:line="500" w:lineRule="exact"/>
              <w:outlineLvl w:val="9"/>
              <w:rPr>
                <w:color w:val="auto"/>
                <w:sz w:val="30"/>
                <w:szCs w:val="30"/>
              </w:rPr>
            </w:pPr>
          </w:p>
        </w:tc>
      </w:tr>
      <w:tr w14:paraId="6374F77F">
        <w:tblPrEx>
          <w:tblCellMar>
            <w:top w:w="0" w:type="dxa"/>
            <w:left w:w="108" w:type="dxa"/>
            <w:bottom w:w="0" w:type="dxa"/>
            <w:right w:w="108" w:type="dxa"/>
          </w:tblCellMar>
        </w:tblPrEx>
        <w:trPr>
          <w:trHeight w:val="748" w:hRule="atLeast"/>
        </w:trPr>
        <w:tc>
          <w:tcPr>
            <w:tcW w:w="3348" w:type="dxa"/>
            <w:tcBorders>
              <w:top w:val="single" w:color="auto" w:sz="6" w:space="0"/>
              <w:left w:val="single" w:color="auto" w:sz="6" w:space="0"/>
              <w:bottom w:val="single" w:color="auto" w:sz="6" w:space="0"/>
              <w:right w:val="single" w:color="auto" w:sz="6" w:space="0"/>
            </w:tcBorders>
          </w:tcPr>
          <w:p w14:paraId="23DE9E1A">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2B59A2A0">
            <w:pPr>
              <w:autoSpaceDE w:val="0"/>
              <w:autoSpaceDN w:val="0"/>
              <w:adjustRightInd w:val="0"/>
              <w:spacing w:line="500" w:lineRule="exact"/>
              <w:outlineLvl w:val="9"/>
              <w:rPr>
                <w:color w:val="auto"/>
                <w:sz w:val="30"/>
                <w:szCs w:val="30"/>
              </w:rPr>
            </w:pPr>
          </w:p>
        </w:tc>
      </w:tr>
      <w:tr w14:paraId="0CD29AE6">
        <w:tblPrEx>
          <w:tblCellMar>
            <w:top w:w="0" w:type="dxa"/>
            <w:left w:w="108" w:type="dxa"/>
            <w:bottom w:w="0" w:type="dxa"/>
            <w:right w:w="108" w:type="dxa"/>
          </w:tblCellMar>
        </w:tblPrEx>
        <w:trPr>
          <w:trHeight w:val="772" w:hRule="atLeast"/>
        </w:trPr>
        <w:tc>
          <w:tcPr>
            <w:tcW w:w="3348" w:type="dxa"/>
            <w:tcBorders>
              <w:top w:val="single" w:color="auto" w:sz="6" w:space="0"/>
              <w:left w:val="single" w:color="auto" w:sz="6" w:space="0"/>
              <w:bottom w:val="single" w:color="auto" w:sz="6" w:space="0"/>
              <w:right w:val="single" w:color="auto" w:sz="6" w:space="0"/>
            </w:tcBorders>
          </w:tcPr>
          <w:p w14:paraId="1A876427">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1FFB302">
            <w:pPr>
              <w:autoSpaceDE w:val="0"/>
              <w:autoSpaceDN w:val="0"/>
              <w:adjustRightInd w:val="0"/>
              <w:spacing w:line="500" w:lineRule="exact"/>
              <w:outlineLvl w:val="9"/>
              <w:rPr>
                <w:color w:val="auto"/>
                <w:sz w:val="30"/>
                <w:szCs w:val="30"/>
              </w:rPr>
            </w:pPr>
          </w:p>
        </w:tc>
      </w:tr>
      <w:tr w14:paraId="4C56001D">
        <w:tblPrEx>
          <w:tblCellMar>
            <w:top w:w="0" w:type="dxa"/>
            <w:left w:w="108" w:type="dxa"/>
            <w:bottom w:w="0" w:type="dxa"/>
            <w:right w:w="108" w:type="dxa"/>
          </w:tblCellMar>
        </w:tblPrEx>
        <w:trPr>
          <w:trHeight w:val="768" w:hRule="atLeast"/>
        </w:trPr>
        <w:tc>
          <w:tcPr>
            <w:tcW w:w="3348" w:type="dxa"/>
            <w:tcBorders>
              <w:top w:val="single" w:color="auto" w:sz="6" w:space="0"/>
              <w:left w:val="single" w:color="auto" w:sz="6" w:space="0"/>
              <w:bottom w:val="single" w:color="auto" w:sz="6" w:space="0"/>
              <w:right w:val="single" w:color="auto" w:sz="6" w:space="0"/>
            </w:tcBorders>
          </w:tcPr>
          <w:p w14:paraId="59A888D0">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755D7706">
            <w:pPr>
              <w:autoSpaceDE w:val="0"/>
              <w:autoSpaceDN w:val="0"/>
              <w:adjustRightInd w:val="0"/>
              <w:spacing w:line="500" w:lineRule="exact"/>
              <w:outlineLvl w:val="9"/>
              <w:rPr>
                <w:color w:val="auto"/>
                <w:sz w:val="30"/>
                <w:szCs w:val="30"/>
              </w:rPr>
            </w:pPr>
          </w:p>
        </w:tc>
      </w:tr>
      <w:tr w14:paraId="1ECC1963">
        <w:tblPrEx>
          <w:tblCellMar>
            <w:top w:w="0" w:type="dxa"/>
            <w:left w:w="108" w:type="dxa"/>
            <w:bottom w:w="0" w:type="dxa"/>
            <w:right w:w="108" w:type="dxa"/>
          </w:tblCellMar>
        </w:tblPrEx>
        <w:trPr>
          <w:trHeight w:val="771" w:hRule="atLeast"/>
        </w:trPr>
        <w:tc>
          <w:tcPr>
            <w:tcW w:w="3348" w:type="dxa"/>
            <w:tcBorders>
              <w:top w:val="single" w:color="auto" w:sz="6" w:space="0"/>
              <w:left w:val="single" w:color="auto" w:sz="6" w:space="0"/>
              <w:bottom w:val="single" w:color="auto" w:sz="6" w:space="0"/>
              <w:right w:val="single" w:color="auto" w:sz="6" w:space="0"/>
            </w:tcBorders>
          </w:tcPr>
          <w:p w14:paraId="01F40143">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525E91C2">
            <w:pPr>
              <w:autoSpaceDE w:val="0"/>
              <w:autoSpaceDN w:val="0"/>
              <w:adjustRightInd w:val="0"/>
              <w:spacing w:line="500" w:lineRule="exact"/>
              <w:outlineLvl w:val="9"/>
              <w:rPr>
                <w:color w:val="auto"/>
                <w:sz w:val="30"/>
                <w:szCs w:val="30"/>
              </w:rPr>
            </w:pPr>
          </w:p>
        </w:tc>
      </w:tr>
      <w:tr w14:paraId="40B1010F">
        <w:tblPrEx>
          <w:tblCellMar>
            <w:top w:w="0" w:type="dxa"/>
            <w:left w:w="108" w:type="dxa"/>
            <w:bottom w:w="0" w:type="dxa"/>
            <w:right w:w="108" w:type="dxa"/>
          </w:tblCellMar>
        </w:tblPrEx>
        <w:trPr>
          <w:trHeight w:val="767" w:hRule="atLeast"/>
        </w:trPr>
        <w:tc>
          <w:tcPr>
            <w:tcW w:w="3348" w:type="dxa"/>
            <w:tcBorders>
              <w:top w:val="single" w:color="auto" w:sz="6" w:space="0"/>
              <w:left w:val="single" w:color="auto" w:sz="6" w:space="0"/>
              <w:bottom w:val="single" w:color="auto" w:sz="6" w:space="0"/>
              <w:right w:val="single" w:color="auto" w:sz="6" w:space="0"/>
            </w:tcBorders>
          </w:tcPr>
          <w:p w14:paraId="50EE406E">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7DF01483">
            <w:pPr>
              <w:autoSpaceDE w:val="0"/>
              <w:autoSpaceDN w:val="0"/>
              <w:adjustRightInd w:val="0"/>
              <w:spacing w:line="500" w:lineRule="exact"/>
              <w:outlineLvl w:val="9"/>
              <w:rPr>
                <w:color w:val="auto"/>
                <w:sz w:val="30"/>
                <w:szCs w:val="30"/>
              </w:rPr>
            </w:pPr>
          </w:p>
        </w:tc>
      </w:tr>
      <w:tr w14:paraId="740E533C">
        <w:tblPrEx>
          <w:tblCellMar>
            <w:top w:w="0" w:type="dxa"/>
            <w:left w:w="108" w:type="dxa"/>
            <w:bottom w:w="0" w:type="dxa"/>
            <w:right w:w="108" w:type="dxa"/>
          </w:tblCellMar>
        </w:tblPrEx>
        <w:trPr>
          <w:trHeight w:val="748" w:hRule="atLeast"/>
        </w:trPr>
        <w:tc>
          <w:tcPr>
            <w:tcW w:w="3348" w:type="dxa"/>
            <w:tcBorders>
              <w:top w:val="single" w:color="auto" w:sz="6" w:space="0"/>
              <w:left w:val="single" w:color="auto" w:sz="6" w:space="0"/>
              <w:bottom w:val="single" w:color="auto" w:sz="6" w:space="0"/>
              <w:right w:val="single" w:color="auto" w:sz="6" w:space="0"/>
            </w:tcBorders>
          </w:tcPr>
          <w:p w14:paraId="19D762E0">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6C04942">
            <w:pPr>
              <w:autoSpaceDE w:val="0"/>
              <w:autoSpaceDN w:val="0"/>
              <w:adjustRightInd w:val="0"/>
              <w:spacing w:line="500" w:lineRule="exact"/>
              <w:outlineLvl w:val="9"/>
              <w:rPr>
                <w:color w:val="auto"/>
                <w:sz w:val="30"/>
                <w:szCs w:val="30"/>
              </w:rPr>
            </w:pPr>
          </w:p>
        </w:tc>
      </w:tr>
      <w:tr w14:paraId="5ABC26D9">
        <w:tblPrEx>
          <w:tblCellMar>
            <w:top w:w="0" w:type="dxa"/>
            <w:left w:w="108" w:type="dxa"/>
            <w:bottom w:w="0" w:type="dxa"/>
            <w:right w:w="108" w:type="dxa"/>
          </w:tblCellMar>
        </w:tblPrEx>
        <w:trPr>
          <w:trHeight w:val="772" w:hRule="atLeast"/>
        </w:trPr>
        <w:tc>
          <w:tcPr>
            <w:tcW w:w="3348" w:type="dxa"/>
            <w:tcBorders>
              <w:top w:val="single" w:color="auto" w:sz="6" w:space="0"/>
              <w:left w:val="single" w:color="auto" w:sz="6" w:space="0"/>
              <w:bottom w:val="single" w:color="auto" w:sz="6" w:space="0"/>
              <w:right w:val="single" w:color="auto" w:sz="6" w:space="0"/>
            </w:tcBorders>
          </w:tcPr>
          <w:p w14:paraId="2F372D17">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6D8E94C5">
            <w:pPr>
              <w:autoSpaceDE w:val="0"/>
              <w:autoSpaceDN w:val="0"/>
              <w:adjustRightInd w:val="0"/>
              <w:spacing w:line="500" w:lineRule="exact"/>
              <w:outlineLvl w:val="9"/>
              <w:rPr>
                <w:color w:val="auto"/>
                <w:sz w:val="30"/>
                <w:szCs w:val="30"/>
              </w:rPr>
            </w:pPr>
          </w:p>
        </w:tc>
      </w:tr>
      <w:tr w14:paraId="0F0E268E">
        <w:tblPrEx>
          <w:tblCellMar>
            <w:top w:w="0" w:type="dxa"/>
            <w:left w:w="108" w:type="dxa"/>
            <w:bottom w:w="0" w:type="dxa"/>
            <w:right w:w="108" w:type="dxa"/>
          </w:tblCellMar>
        </w:tblPrEx>
        <w:trPr>
          <w:trHeight w:val="772" w:hRule="atLeast"/>
        </w:trPr>
        <w:tc>
          <w:tcPr>
            <w:tcW w:w="9468" w:type="dxa"/>
            <w:gridSpan w:val="2"/>
            <w:tcBorders>
              <w:top w:val="single" w:color="auto" w:sz="6" w:space="0"/>
              <w:left w:val="single" w:color="auto" w:sz="6" w:space="0"/>
              <w:bottom w:val="single" w:color="auto" w:sz="6" w:space="0"/>
              <w:right w:val="single" w:color="auto" w:sz="6" w:space="0"/>
            </w:tcBorders>
          </w:tcPr>
          <w:p w14:paraId="64442CA8">
            <w:pPr>
              <w:autoSpaceDE w:val="0"/>
              <w:autoSpaceDN w:val="0"/>
              <w:adjustRightInd w:val="0"/>
              <w:spacing w:line="500" w:lineRule="exact"/>
              <w:outlineLvl w:val="9"/>
              <w:rPr>
                <w:color w:val="auto"/>
                <w:sz w:val="30"/>
                <w:szCs w:val="30"/>
              </w:rPr>
            </w:pPr>
            <w:r>
              <w:rPr>
                <w:rFonts w:hint="eastAsia" w:ascii="宋体" w:cs="宋体"/>
                <w:color w:val="auto"/>
                <w:sz w:val="30"/>
                <w:szCs w:val="30"/>
                <w:lang w:val="zh-CN"/>
              </w:rPr>
              <w:t>评委签名：</w:t>
            </w:r>
          </w:p>
          <w:p w14:paraId="0E415141">
            <w:pPr>
              <w:autoSpaceDE w:val="0"/>
              <w:autoSpaceDN w:val="0"/>
              <w:adjustRightInd w:val="0"/>
              <w:spacing w:line="500" w:lineRule="exact"/>
              <w:outlineLvl w:val="9"/>
              <w:rPr>
                <w:color w:val="auto"/>
                <w:sz w:val="30"/>
                <w:szCs w:val="30"/>
              </w:rPr>
            </w:pPr>
          </w:p>
          <w:p w14:paraId="62493A17">
            <w:pPr>
              <w:autoSpaceDE w:val="0"/>
              <w:autoSpaceDN w:val="0"/>
              <w:adjustRightInd w:val="0"/>
              <w:spacing w:line="500" w:lineRule="exact"/>
              <w:ind w:right="560"/>
              <w:jc w:val="right"/>
              <w:outlineLvl w:val="9"/>
              <w:rPr>
                <w:color w:val="auto"/>
                <w:sz w:val="28"/>
                <w:szCs w:val="28"/>
              </w:rPr>
            </w:pPr>
            <w:r>
              <w:rPr>
                <w:rFonts w:hint="eastAsia" w:ascii="宋体" w:cs="宋体"/>
                <w:color w:val="auto"/>
                <w:sz w:val="28"/>
                <w:szCs w:val="28"/>
                <w:lang w:val="zh-CN"/>
              </w:rPr>
              <w:t>年</w:t>
            </w:r>
            <w:r>
              <w:rPr>
                <w:color w:val="auto"/>
                <w:sz w:val="28"/>
                <w:szCs w:val="28"/>
              </w:rPr>
              <w:t xml:space="preserve">  </w:t>
            </w:r>
            <w:r>
              <w:rPr>
                <w:rFonts w:hint="eastAsia" w:ascii="宋体" w:cs="宋体"/>
                <w:color w:val="auto"/>
                <w:sz w:val="28"/>
                <w:szCs w:val="28"/>
                <w:lang w:val="zh-CN"/>
              </w:rPr>
              <w:t>月</w:t>
            </w:r>
            <w:r>
              <w:rPr>
                <w:color w:val="auto"/>
                <w:sz w:val="28"/>
                <w:szCs w:val="28"/>
              </w:rPr>
              <w:t xml:space="preserve">  </w:t>
            </w:r>
            <w:r>
              <w:rPr>
                <w:rFonts w:hint="eastAsia" w:ascii="宋体" w:cs="宋体"/>
                <w:color w:val="auto"/>
                <w:sz w:val="28"/>
                <w:szCs w:val="28"/>
                <w:lang w:val="zh-CN"/>
              </w:rPr>
              <w:t>日</w:t>
            </w:r>
          </w:p>
        </w:tc>
      </w:tr>
    </w:tbl>
    <w:p w14:paraId="25F5AA12">
      <w:pPr>
        <w:autoSpaceDE w:val="0"/>
        <w:autoSpaceDN w:val="0"/>
        <w:adjustRightInd w:val="0"/>
        <w:spacing w:line="500" w:lineRule="exact"/>
        <w:ind w:left="100" w:hanging="100"/>
        <w:outlineLvl w:val="9"/>
        <w:rPr>
          <w:rFonts w:ascii="宋体" w:cs="宋体"/>
          <w:b/>
          <w:bCs/>
          <w:color w:val="auto"/>
          <w:sz w:val="24"/>
          <w:lang w:val="zh-CN"/>
        </w:rPr>
      </w:pPr>
    </w:p>
    <w:p w14:paraId="1A4C406B">
      <w:pPr>
        <w:autoSpaceDE w:val="0"/>
        <w:autoSpaceDN w:val="0"/>
        <w:adjustRightInd w:val="0"/>
        <w:spacing w:line="500" w:lineRule="exact"/>
        <w:ind w:left="100" w:hanging="100"/>
        <w:outlineLvl w:val="9"/>
        <w:rPr>
          <w:rFonts w:ascii="宋体" w:cs="宋体"/>
          <w:b/>
          <w:bCs/>
          <w:color w:val="auto"/>
          <w:sz w:val="24"/>
          <w:lang w:val="zh-CN"/>
        </w:rPr>
      </w:pPr>
    </w:p>
    <w:p w14:paraId="39C1FCD3">
      <w:pPr>
        <w:autoSpaceDE w:val="0"/>
        <w:autoSpaceDN w:val="0"/>
        <w:adjustRightInd w:val="0"/>
        <w:spacing w:line="500" w:lineRule="exact"/>
        <w:ind w:left="100" w:hanging="100"/>
        <w:outlineLvl w:val="9"/>
        <w:rPr>
          <w:rFonts w:ascii="宋体" w:cs="宋体"/>
          <w:b/>
          <w:bCs/>
          <w:color w:val="auto"/>
          <w:sz w:val="24"/>
          <w:lang w:val="zh-CN"/>
        </w:rPr>
      </w:pPr>
    </w:p>
    <w:p w14:paraId="3FC3FF8A">
      <w:pPr>
        <w:widowControl/>
        <w:adjustRightInd w:val="0"/>
        <w:snapToGrid w:val="0"/>
        <w:spacing w:beforeLines="50"/>
        <w:jc w:val="left"/>
        <w:outlineLvl w:val="9"/>
        <w:rPr>
          <w:rFonts w:ascii="宋体" w:hAnsi="宋体"/>
          <w:b/>
          <w:color w:val="auto"/>
          <w:sz w:val="32"/>
          <w:szCs w:val="32"/>
        </w:rPr>
      </w:pPr>
    </w:p>
    <w:p w14:paraId="7530E363">
      <w:pPr>
        <w:widowControl/>
        <w:spacing w:afterAutospacing="1" w:line="360" w:lineRule="auto"/>
        <w:jc w:val="left"/>
        <w:outlineLvl w:val="9"/>
        <w:rPr>
          <w:rFonts w:ascii="宋体" w:hAnsi="宋体"/>
          <w:b/>
          <w:color w:val="auto"/>
          <w:sz w:val="32"/>
          <w:szCs w:val="32"/>
        </w:rPr>
        <w:sectPr>
          <w:footerReference r:id="rId3" w:type="default"/>
          <w:pgSz w:w="11906" w:h="16838"/>
          <w:pgMar w:top="1440" w:right="1588" w:bottom="1440" w:left="1588"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47E14BD1">
      <w:pPr>
        <w:rPr>
          <w:rFonts w:hint="default" w:eastAsia="宋体"/>
          <w:b/>
          <w:bCs/>
          <w:sz w:val="28"/>
          <w:szCs w:val="24"/>
          <w:lang w:val="en-US" w:eastAsia="zh-CN"/>
        </w:rPr>
      </w:pPr>
      <w:bookmarkStart w:id="8" w:name="_Toc17091"/>
      <w:r>
        <w:rPr>
          <w:rFonts w:hint="eastAsia" w:ascii="宋体" w:cs="宋体"/>
          <w:b/>
          <w:bCs/>
          <w:color w:val="auto"/>
          <w:sz w:val="24"/>
          <w:szCs w:val="24"/>
        </w:rPr>
        <w:t>6</w:t>
      </w:r>
      <w:r>
        <w:rPr>
          <w:rFonts w:hint="eastAsia" w:ascii="宋体" w:cs="宋体"/>
          <w:b/>
          <w:bCs/>
          <w:color w:val="auto"/>
          <w:sz w:val="24"/>
          <w:szCs w:val="24"/>
          <w:lang w:eastAsia="zh-CN"/>
        </w:rPr>
        <w:t>、</w:t>
      </w:r>
      <w:bookmarkEnd w:id="8"/>
      <w:r>
        <w:rPr>
          <w:rFonts w:hint="eastAsia"/>
          <w:b/>
          <w:bCs/>
          <w:sz w:val="28"/>
          <w:szCs w:val="24"/>
          <w:lang w:val="en-US" w:eastAsia="zh-CN"/>
        </w:rPr>
        <w:t>磋商标准（100分）</w:t>
      </w:r>
    </w:p>
    <w:tbl>
      <w:tblPr>
        <w:tblStyle w:val="50"/>
        <w:tblW w:w="4998"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437"/>
        <w:gridCol w:w="1232"/>
        <w:gridCol w:w="5657"/>
        <w:gridCol w:w="396"/>
        <w:gridCol w:w="396"/>
        <w:gridCol w:w="407"/>
      </w:tblGrid>
      <w:tr w14:paraId="20AB111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56" w:type="pct"/>
            <w:vMerge w:val="restart"/>
            <w:vAlign w:val="center"/>
          </w:tcPr>
          <w:p w14:paraId="566FE63A">
            <w:pPr>
              <w:keepNext w:val="0"/>
              <w:keepLines w:val="0"/>
              <w:pageBreakBefore w:val="0"/>
              <w:kinsoku/>
              <w:wordWrap/>
              <w:overflowPunct/>
              <w:topLinePunct w:val="0"/>
              <w:autoSpaceDE/>
              <w:bidi w:val="0"/>
              <w:adjustRightInd w:val="0"/>
              <w:snapToGrid w:val="0"/>
              <w:spacing w:line="240" w:lineRule="auto"/>
              <w:jc w:val="center"/>
              <w:rPr>
                <w:rFonts w:hint="eastAsia" w:ascii="宋体" w:hAnsi="宋体" w:eastAsia="宋体" w:cs="宋体"/>
                <w:b/>
                <w:bCs/>
                <w:snapToGrid w:val="0"/>
                <w:kern w:val="0"/>
                <w:sz w:val="22"/>
                <w:szCs w:val="22"/>
              </w:rPr>
            </w:pPr>
            <w:r>
              <w:rPr>
                <w:rFonts w:hint="eastAsia" w:ascii="宋体" w:hAnsi="宋体" w:eastAsia="宋体" w:cs="宋体"/>
                <w:b/>
                <w:bCs/>
                <w:snapToGrid w:val="0"/>
                <w:kern w:val="0"/>
                <w:sz w:val="22"/>
                <w:szCs w:val="22"/>
              </w:rPr>
              <w:t>序号</w:t>
            </w:r>
          </w:p>
        </w:tc>
        <w:tc>
          <w:tcPr>
            <w:tcW w:w="723" w:type="pct"/>
            <w:vMerge w:val="restart"/>
            <w:vAlign w:val="center"/>
          </w:tcPr>
          <w:p w14:paraId="63EE01E2">
            <w:pPr>
              <w:keepNext w:val="0"/>
              <w:keepLines w:val="0"/>
              <w:pageBreakBefore w:val="0"/>
              <w:kinsoku/>
              <w:wordWrap/>
              <w:overflowPunct/>
              <w:topLinePunct w:val="0"/>
              <w:autoSpaceDE/>
              <w:bidi w:val="0"/>
              <w:adjustRightInd w:val="0"/>
              <w:snapToGrid w:val="0"/>
              <w:spacing w:line="240" w:lineRule="auto"/>
              <w:jc w:val="center"/>
              <w:rPr>
                <w:rFonts w:hint="eastAsia" w:ascii="宋体" w:hAnsi="宋体" w:eastAsia="宋体" w:cs="宋体"/>
                <w:b/>
                <w:bCs/>
                <w:snapToGrid w:val="0"/>
                <w:kern w:val="0"/>
                <w:sz w:val="22"/>
                <w:szCs w:val="22"/>
              </w:rPr>
            </w:pPr>
            <w:r>
              <w:rPr>
                <w:rFonts w:hint="eastAsia" w:ascii="宋体" w:hAnsi="宋体" w:cs="宋体"/>
                <w:b/>
                <w:bCs/>
                <w:sz w:val="22"/>
                <w:szCs w:val="22"/>
                <w:lang w:val="en-US" w:eastAsia="zh-CN"/>
              </w:rPr>
              <w:t>磋商</w:t>
            </w:r>
            <w:r>
              <w:rPr>
                <w:rFonts w:hint="eastAsia" w:ascii="宋体" w:hAnsi="宋体" w:eastAsia="宋体" w:cs="宋体"/>
                <w:b/>
                <w:bCs/>
                <w:sz w:val="22"/>
                <w:szCs w:val="22"/>
              </w:rPr>
              <w:t>因素</w:t>
            </w:r>
          </w:p>
        </w:tc>
        <w:tc>
          <w:tcPr>
            <w:tcW w:w="3317" w:type="pct"/>
            <w:vMerge w:val="restart"/>
            <w:vAlign w:val="center"/>
          </w:tcPr>
          <w:p w14:paraId="579169E6">
            <w:pPr>
              <w:keepNext w:val="0"/>
              <w:keepLines w:val="0"/>
              <w:pageBreakBefore w:val="0"/>
              <w:kinsoku/>
              <w:wordWrap/>
              <w:overflowPunct/>
              <w:topLinePunct w:val="0"/>
              <w:autoSpaceDE/>
              <w:bidi w:val="0"/>
              <w:adjustRightInd w:val="0"/>
              <w:snapToGrid w:val="0"/>
              <w:spacing w:line="240" w:lineRule="auto"/>
              <w:jc w:val="center"/>
              <w:rPr>
                <w:rFonts w:hint="eastAsia" w:ascii="宋体" w:hAnsi="宋体" w:eastAsia="宋体" w:cs="宋体"/>
                <w:b/>
                <w:bCs/>
                <w:snapToGrid w:val="0"/>
                <w:kern w:val="0"/>
                <w:sz w:val="22"/>
                <w:szCs w:val="22"/>
              </w:rPr>
            </w:pPr>
            <w:r>
              <w:rPr>
                <w:rFonts w:hint="eastAsia" w:ascii="宋体" w:hAnsi="宋体" w:cs="宋体"/>
                <w:b/>
                <w:bCs/>
                <w:snapToGrid w:val="0"/>
                <w:kern w:val="0"/>
                <w:sz w:val="22"/>
                <w:szCs w:val="22"/>
                <w:lang w:val="en-US" w:eastAsia="zh-CN"/>
              </w:rPr>
              <w:t>磋商</w:t>
            </w:r>
            <w:r>
              <w:rPr>
                <w:rFonts w:hint="eastAsia" w:ascii="宋体" w:hAnsi="宋体" w:eastAsia="宋体" w:cs="宋体"/>
                <w:b/>
                <w:bCs/>
                <w:snapToGrid w:val="0"/>
                <w:kern w:val="0"/>
                <w:sz w:val="22"/>
                <w:szCs w:val="22"/>
              </w:rPr>
              <w:t>标准</w:t>
            </w:r>
          </w:p>
        </w:tc>
        <w:tc>
          <w:tcPr>
            <w:tcW w:w="702" w:type="pct"/>
            <w:gridSpan w:val="3"/>
            <w:vAlign w:val="center"/>
          </w:tcPr>
          <w:p w14:paraId="5867F35F">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lang w:eastAsia="zh-CN"/>
              </w:rPr>
            </w:pPr>
            <w:r>
              <w:rPr>
                <w:rFonts w:hint="eastAsia" w:ascii="宋体" w:hAnsi="宋体" w:cs="宋体"/>
                <w:b/>
                <w:bCs/>
                <w:kern w:val="0"/>
                <w:sz w:val="22"/>
                <w:szCs w:val="22"/>
                <w:lang w:val="en-US" w:eastAsia="zh-CN"/>
              </w:rPr>
              <w:t>供应商</w:t>
            </w:r>
          </w:p>
        </w:tc>
      </w:tr>
      <w:tr w14:paraId="23616F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00" w:hRule="atLeast"/>
        </w:trPr>
        <w:tc>
          <w:tcPr>
            <w:tcW w:w="256" w:type="pct"/>
            <w:vMerge w:val="continue"/>
            <w:vAlign w:val="center"/>
          </w:tcPr>
          <w:p w14:paraId="28EDD480">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snapToGrid w:val="0"/>
                <w:kern w:val="0"/>
                <w:sz w:val="22"/>
                <w:szCs w:val="22"/>
              </w:rPr>
            </w:pPr>
          </w:p>
        </w:tc>
        <w:tc>
          <w:tcPr>
            <w:tcW w:w="723" w:type="pct"/>
            <w:vMerge w:val="continue"/>
            <w:vAlign w:val="center"/>
          </w:tcPr>
          <w:p w14:paraId="1BBF33CD">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snapToGrid w:val="0"/>
                <w:kern w:val="0"/>
                <w:sz w:val="22"/>
                <w:szCs w:val="22"/>
              </w:rPr>
            </w:pPr>
          </w:p>
        </w:tc>
        <w:tc>
          <w:tcPr>
            <w:tcW w:w="3317" w:type="pct"/>
            <w:vMerge w:val="continue"/>
            <w:vAlign w:val="center"/>
          </w:tcPr>
          <w:p w14:paraId="67CE5019">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snapToGrid w:val="0"/>
                <w:kern w:val="0"/>
                <w:sz w:val="22"/>
                <w:szCs w:val="22"/>
              </w:rPr>
            </w:pPr>
          </w:p>
        </w:tc>
        <w:tc>
          <w:tcPr>
            <w:tcW w:w="232" w:type="pct"/>
            <w:vAlign w:val="center"/>
          </w:tcPr>
          <w:p w14:paraId="62D345B2">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1</w:t>
            </w:r>
          </w:p>
        </w:tc>
        <w:tc>
          <w:tcPr>
            <w:tcW w:w="232" w:type="pct"/>
            <w:vAlign w:val="center"/>
          </w:tcPr>
          <w:p w14:paraId="7C34CD52">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2</w:t>
            </w:r>
          </w:p>
        </w:tc>
        <w:tc>
          <w:tcPr>
            <w:tcW w:w="238" w:type="pct"/>
            <w:vAlign w:val="center"/>
          </w:tcPr>
          <w:p w14:paraId="2357AA1C">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3</w:t>
            </w:r>
          </w:p>
        </w:tc>
      </w:tr>
      <w:tr w14:paraId="505841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70" w:hRule="atLeast"/>
        </w:trPr>
        <w:tc>
          <w:tcPr>
            <w:tcW w:w="256" w:type="pct"/>
            <w:tcBorders>
              <w:bottom w:val="single" w:color="auto" w:sz="4" w:space="0"/>
            </w:tcBorders>
            <w:vAlign w:val="center"/>
          </w:tcPr>
          <w:p w14:paraId="4184D3C7">
            <w:pPr>
              <w:keepNext w:val="0"/>
              <w:keepLines w:val="0"/>
              <w:pageBreakBefore w:val="0"/>
              <w:widowControl w:val="0"/>
              <w:kinsoku/>
              <w:wordWrap/>
              <w:overflowPunct/>
              <w:topLinePunct w:val="0"/>
              <w:autoSpaceDE/>
              <w:bidi w:val="0"/>
              <w:adjustRightInd w:val="0"/>
              <w:snapToGrid w:val="0"/>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723" w:type="pct"/>
            <w:tcBorders>
              <w:bottom w:val="single" w:color="auto" w:sz="4" w:space="0"/>
            </w:tcBorders>
            <w:vAlign w:val="center"/>
          </w:tcPr>
          <w:p w14:paraId="3D4CBCE3">
            <w:pPr>
              <w:keepNext w:val="0"/>
              <w:keepLines w:val="0"/>
              <w:pageBreakBefore w:val="0"/>
              <w:widowControl w:val="0"/>
              <w:kinsoku/>
              <w:wordWrap/>
              <w:overflowPunct/>
              <w:topLinePunct w:val="0"/>
              <w:autoSpaceDE/>
              <w:autoSpaceDN w:val="0"/>
              <w:bidi w:val="0"/>
              <w:adjustRightInd w:val="0"/>
              <w:snapToGrid w:val="0"/>
              <w:spacing w:line="240" w:lineRule="auto"/>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kern w:val="0"/>
                <w:sz w:val="21"/>
                <w:szCs w:val="21"/>
                <w:lang w:val="zh-CN"/>
              </w:rPr>
              <w:t>响应程度</w:t>
            </w:r>
            <w:r>
              <w:rPr>
                <w:rFonts w:hint="eastAsia" w:ascii="宋体" w:hAnsi="宋体" w:cs="宋体"/>
                <w:kern w:val="0"/>
                <w:sz w:val="21"/>
                <w:szCs w:val="21"/>
                <w:lang w:val="en-US" w:eastAsia="zh-CN"/>
              </w:rPr>
              <w:t>40</w:t>
            </w:r>
            <w:r>
              <w:rPr>
                <w:rFonts w:hint="eastAsia" w:ascii="宋体" w:hAnsi="宋体" w:eastAsia="宋体" w:cs="宋体"/>
                <w:kern w:val="0"/>
                <w:sz w:val="21"/>
                <w:szCs w:val="21"/>
              </w:rPr>
              <w:t>分</w:t>
            </w:r>
          </w:p>
        </w:tc>
        <w:tc>
          <w:tcPr>
            <w:tcW w:w="3317" w:type="pct"/>
            <w:tcBorders>
              <w:bottom w:val="single" w:color="auto" w:sz="4" w:space="0"/>
            </w:tcBorders>
            <w:vAlign w:val="center"/>
          </w:tcPr>
          <w:p w14:paraId="26AFF21D">
            <w:pPr>
              <w:keepNext w:val="0"/>
              <w:keepLines w:val="0"/>
              <w:pageBreakBefore w:val="0"/>
              <w:kinsoku/>
              <w:wordWrap/>
              <w:overflowPunct/>
              <w:topLinePunct w:val="0"/>
              <w:autoSpaceDE/>
              <w:autoSpaceDN w:val="0"/>
              <w:bidi w:val="0"/>
              <w:adjustRightInd w:val="0"/>
              <w:snapToGrid w:val="0"/>
              <w:spacing w:line="240" w:lineRule="auto"/>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kern w:val="0"/>
                <w:sz w:val="21"/>
                <w:szCs w:val="21"/>
              </w:rPr>
              <w:t>完全</w:t>
            </w:r>
            <w:r>
              <w:rPr>
                <w:rFonts w:hint="eastAsia" w:ascii="宋体" w:hAnsi="宋体" w:cs="宋体"/>
                <w:kern w:val="0"/>
                <w:sz w:val="21"/>
                <w:szCs w:val="21"/>
                <w:lang w:val="en-US" w:eastAsia="zh-CN"/>
              </w:rPr>
              <w:t>响应</w:t>
            </w:r>
            <w:r>
              <w:rPr>
                <w:rFonts w:hint="eastAsia" w:ascii="宋体" w:hAnsi="宋体" w:cs="宋体"/>
                <w:kern w:val="0"/>
                <w:sz w:val="21"/>
                <w:szCs w:val="21"/>
                <w:lang w:eastAsia="zh-CN"/>
              </w:rPr>
              <w:t>磋商文件</w:t>
            </w:r>
            <w:r>
              <w:rPr>
                <w:rFonts w:hint="eastAsia" w:ascii="宋体" w:hAnsi="宋体" w:cs="宋体"/>
                <w:kern w:val="0"/>
                <w:sz w:val="21"/>
                <w:szCs w:val="21"/>
                <w:lang w:val="en-US" w:eastAsia="zh-CN"/>
              </w:rPr>
              <w:t>采购需求</w:t>
            </w:r>
            <w:r>
              <w:rPr>
                <w:rFonts w:hint="eastAsia" w:ascii="宋体" w:hAnsi="宋体" w:eastAsia="宋体" w:cs="宋体"/>
                <w:kern w:val="0"/>
                <w:sz w:val="21"/>
                <w:szCs w:val="21"/>
                <w:lang w:val="zh-CN"/>
              </w:rPr>
              <w:t>要求</w:t>
            </w:r>
            <w:r>
              <w:rPr>
                <w:rFonts w:hint="eastAsia" w:ascii="宋体" w:hAnsi="宋体" w:eastAsia="宋体" w:cs="宋体"/>
                <w:kern w:val="0"/>
                <w:sz w:val="21"/>
                <w:szCs w:val="21"/>
              </w:rPr>
              <w:t>的计</w:t>
            </w:r>
            <w:r>
              <w:rPr>
                <w:rFonts w:hint="eastAsia" w:ascii="宋体" w:hAnsi="宋体" w:cs="宋体"/>
                <w:kern w:val="0"/>
                <w:sz w:val="21"/>
                <w:szCs w:val="21"/>
                <w:lang w:val="en-US" w:eastAsia="zh-CN"/>
              </w:rPr>
              <w:t>40</w:t>
            </w:r>
            <w:r>
              <w:rPr>
                <w:rFonts w:hint="eastAsia" w:ascii="宋体" w:hAnsi="宋体" w:eastAsia="宋体" w:cs="宋体"/>
                <w:kern w:val="0"/>
                <w:sz w:val="21"/>
                <w:szCs w:val="21"/>
              </w:rPr>
              <w:t>分，每一条条款不符合或负偏离的扣</w:t>
            </w:r>
            <w:r>
              <w:rPr>
                <w:rFonts w:hint="eastAsia" w:ascii="宋体" w:hAnsi="宋体" w:cs="宋体"/>
                <w:kern w:val="0"/>
                <w:sz w:val="21"/>
                <w:szCs w:val="21"/>
                <w:lang w:val="en-US" w:eastAsia="zh-CN"/>
              </w:rPr>
              <w:t>2</w:t>
            </w:r>
            <w:r>
              <w:rPr>
                <w:rFonts w:hint="eastAsia" w:ascii="宋体" w:hAnsi="宋体" w:eastAsia="宋体" w:cs="宋体"/>
                <w:kern w:val="0"/>
                <w:sz w:val="21"/>
                <w:szCs w:val="21"/>
              </w:rPr>
              <w:t>分，以此类推，扣完为止，最低计0分。</w:t>
            </w:r>
          </w:p>
        </w:tc>
        <w:tc>
          <w:tcPr>
            <w:tcW w:w="232" w:type="pct"/>
            <w:tcBorders>
              <w:bottom w:val="single" w:color="auto" w:sz="4" w:space="0"/>
            </w:tcBorders>
            <w:vAlign w:val="center"/>
          </w:tcPr>
          <w:p w14:paraId="3169830B">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2" w:type="pct"/>
            <w:tcBorders>
              <w:bottom w:val="single" w:color="auto" w:sz="4" w:space="0"/>
            </w:tcBorders>
            <w:vAlign w:val="center"/>
          </w:tcPr>
          <w:p w14:paraId="1E5CF005">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8" w:type="pct"/>
            <w:tcBorders>
              <w:bottom w:val="single" w:color="auto" w:sz="4" w:space="0"/>
            </w:tcBorders>
            <w:vAlign w:val="center"/>
          </w:tcPr>
          <w:p w14:paraId="6A1ED37E">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r>
      <w:tr w14:paraId="648765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48" w:hRule="atLeast"/>
        </w:trPr>
        <w:tc>
          <w:tcPr>
            <w:tcW w:w="256" w:type="pct"/>
            <w:tcBorders>
              <w:bottom w:val="single" w:color="auto" w:sz="4" w:space="0"/>
            </w:tcBorders>
            <w:vAlign w:val="center"/>
          </w:tcPr>
          <w:p w14:paraId="4A793ECB">
            <w:pPr>
              <w:keepNext w:val="0"/>
              <w:keepLines w:val="0"/>
              <w:pageBreakBefore w:val="0"/>
              <w:widowControl w:val="0"/>
              <w:kinsoku/>
              <w:wordWrap/>
              <w:overflowPunct/>
              <w:topLinePunct w:val="0"/>
              <w:autoSpaceDE/>
              <w:bidi w:val="0"/>
              <w:adjustRightInd w:val="0"/>
              <w:snapToGrid w:val="0"/>
              <w:spacing w:line="240" w:lineRule="auto"/>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2</w:t>
            </w:r>
          </w:p>
        </w:tc>
        <w:tc>
          <w:tcPr>
            <w:tcW w:w="723" w:type="pct"/>
            <w:tcBorders>
              <w:bottom w:val="single" w:color="auto" w:sz="4" w:space="0"/>
            </w:tcBorders>
            <w:vAlign w:val="center"/>
          </w:tcPr>
          <w:p w14:paraId="5C0468B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kern w:val="0"/>
                <w:sz w:val="21"/>
                <w:szCs w:val="21"/>
                <w:lang w:val="zh-CN"/>
              </w:rPr>
            </w:pPr>
            <w:r>
              <w:rPr>
                <w:rFonts w:hint="eastAsia" w:ascii="宋体" w:hAnsi="宋体" w:eastAsia="宋体" w:cs="宋体"/>
                <w:color w:val="auto"/>
                <w:sz w:val="21"/>
                <w:szCs w:val="21"/>
                <w:lang w:eastAsia="zh-CN"/>
              </w:rPr>
              <w:t>经营责任</w:t>
            </w:r>
            <w:r>
              <w:rPr>
                <w:rFonts w:hint="eastAsia" w:ascii="宋体" w:hAnsi="宋体" w:cs="宋体"/>
                <w:color w:val="auto"/>
                <w:sz w:val="21"/>
                <w:szCs w:val="21"/>
                <w:lang w:val="en-US" w:eastAsia="zh-CN"/>
              </w:rPr>
              <w:t>20</w:t>
            </w:r>
            <w:r>
              <w:rPr>
                <w:rFonts w:hint="eastAsia" w:ascii="宋体" w:hAnsi="宋体" w:eastAsia="宋体" w:cs="宋体"/>
                <w:color w:val="auto"/>
                <w:sz w:val="21"/>
                <w:szCs w:val="21"/>
              </w:rPr>
              <w:t>分</w:t>
            </w:r>
          </w:p>
        </w:tc>
        <w:tc>
          <w:tcPr>
            <w:tcW w:w="3317" w:type="pct"/>
            <w:tcBorders>
              <w:bottom w:val="single" w:color="auto" w:sz="4" w:space="0"/>
            </w:tcBorders>
            <w:vAlign w:val="center"/>
          </w:tcPr>
          <w:p w14:paraId="7E67F3B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kern w:val="0"/>
                <w:sz w:val="21"/>
                <w:szCs w:val="21"/>
              </w:rPr>
            </w:pPr>
            <w:r>
              <w:rPr>
                <w:rFonts w:hint="eastAsia" w:ascii="宋体" w:hAnsi="宋体" w:cs="宋体"/>
                <w:color w:val="auto"/>
                <w:sz w:val="21"/>
                <w:szCs w:val="21"/>
                <w:lang w:eastAsia="zh-CN"/>
              </w:rPr>
              <w:t>供应商</w:t>
            </w:r>
            <w:r>
              <w:rPr>
                <w:rFonts w:hint="eastAsia" w:ascii="宋体" w:hAnsi="宋体" w:eastAsia="宋体" w:cs="宋体"/>
                <w:color w:val="auto"/>
                <w:sz w:val="21"/>
                <w:szCs w:val="21"/>
              </w:rPr>
              <w:t>承诺承担经营风险和</w:t>
            </w:r>
            <w:r>
              <w:rPr>
                <w:rFonts w:hint="eastAsia" w:ascii="宋体" w:hAnsi="宋体" w:eastAsia="宋体" w:cs="宋体"/>
                <w:color w:val="auto"/>
                <w:sz w:val="21"/>
                <w:szCs w:val="21"/>
                <w:lang w:eastAsia="zh-CN"/>
              </w:rPr>
              <w:t>食品</w:t>
            </w:r>
            <w:r>
              <w:rPr>
                <w:rFonts w:hint="eastAsia" w:ascii="宋体" w:hAnsi="宋体" w:eastAsia="宋体" w:cs="宋体"/>
                <w:color w:val="auto"/>
                <w:sz w:val="21"/>
                <w:szCs w:val="21"/>
              </w:rPr>
              <w:t>安全责任的计</w:t>
            </w:r>
            <w:r>
              <w:rPr>
                <w:rFonts w:hint="eastAsia" w:ascii="宋体" w:hAnsi="宋体" w:cs="宋体"/>
                <w:color w:val="auto"/>
                <w:sz w:val="21"/>
                <w:szCs w:val="21"/>
                <w:lang w:val="en-US" w:eastAsia="zh-CN"/>
              </w:rPr>
              <w:t>20</w:t>
            </w:r>
            <w:r>
              <w:rPr>
                <w:rFonts w:hint="eastAsia" w:ascii="宋体" w:hAnsi="宋体" w:eastAsia="宋体" w:cs="宋体"/>
                <w:color w:val="auto"/>
                <w:sz w:val="21"/>
                <w:szCs w:val="21"/>
              </w:rPr>
              <w:t>分，没有的不计分。（提供承诺函加盖</w:t>
            </w:r>
            <w:r>
              <w:rPr>
                <w:rFonts w:hint="eastAsia" w:ascii="宋体" w:hAnsi="宋体" w:cs="宋体"/>
                <w:color w:val="auto"/>
                <w:sz w:val="21"/>
                <w:szCs w:val="21"/>
                <w:lang w:eastAsia="zh-CN"/>
              </w:rPr>
              <w:t>供应商</w:t>
            </w:r>
            <w:r>
              <w:rPr>
                <w:rFonts w:hint="eastAsia" w:ascii="宋体" w:hAnsi="宋体" w:eastAsia="宋体" w:cs="宋体"/>
                <w:color w:val="auto"/>
                <w:sz w:val="21"/>
                <w:szCs w:val="21"/>
              </w:rPr>
              <w:t>公章，否则不计分。）</w:t>
            </w:r>
          </w:p>
        </w:tc>
        <w:tc>
          <w:tcPr>
            <w:tcW w:w="232" w:type="pct"/>
            <w:tcBorders>
              <w:bottom w:val="single" w:color="auto" w:sz="4" w:space="0"/>
            </w:tcBorders>
            <w:vAlign w:val="center"/>
          </w:tcPr>
          <w:p w14:paraId="48947A95">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2" w:type="pct"/>
            <w:tcBorders>
              <w:bottom w:val="single" w:color="auto" w:sz="4" w:space="0"/>
            </w:tcBorders>
            <w:vAlign w:val="center"/>
          </w:tcPr>
          <w:p w14:paraId="3BBD7300">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8" w:type="pct"/>
            <w:tcBorders>
              <w:bottom w:val="single" w:color="auto" w:sz="4" w:space="0"/>
            </w:tcBorders>
            <w:vAlign w:val="center"/>
          </w:tcPr>
          <w:p w14:paraId="1204EBB4">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r>
      <w:tr w14:paraId="0A092A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45" w:hRule="atLeast"/>
        </w:trPr>
        <w:tc>
          <w:tcPr>
            <w:tcW w:w="256" w:type="pct"/>
            <w:tcBorders>
              <w:bottom w:val="single" w:color="auto" w:sz="4" w:space="0"/>
            </w:tcBorders>
            <w:vAlign w:val="center"/>
          </w:tcPr>
          <w:p w14:paraId="2752B818">
            <w:pPr>
              <w:keepNext w:val="0"/>
              <w:keepLines w:val="0"/>
              <w:pageBreakBefore w:val="0"/>
              <w:widowControl w:val="0"/>
              <w:kinsoku/>
              <w:wordWrap/>
              <w:overflowPunct/>
              <w:topLinePunct w:val="0"/>
              <w:autoSpaceDE/>
              <w:bidi w:val="0"/>
              <w:adjustRightInd w:val="0"/>
              <w:snapToGrid w:val="0"/>
              <w:spacing w:line="240" w:lineRule="auto"/>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3</w:t>
            </w:r>
          </w:p>
        </w:tc>
        <w:tc>
          <w:tcPr>
            <w:tcW w:w="723" w:type="pct"/>
            <w:tcBorders>
              <w:bottom w:val="single" w:color="auto" w:sz="4" w:space="0"/>
            </w:tcBorders>
            <w:vAlign w:val="center"/>
          </w:tcPr>
          <w:p w14:paraId="42BEB1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sz w:val="21"/>
                <w:szCs w:val="21"/>
                <w:lang w:eastAsia="zh-CN"/>
              </w:rPr>
              <w:t>服务人员</w:t>
            </w:r>
            <w:r>
              <w:rPr>
                <w:rFonts w:hint="eastAsia" w:ascii="宋体" w:hAnsi="宋体" w:cs="宋体"/>
                <w:color w:val="auto"/>
                <w:sz w:val="21"/>
                <w:szCs w:val="21"/>
                <w:lang w:val="en-US" w:eastAsia="zh-CN"/>
              </w:rPr>
              <w:t>10</w:t>
            </w:r>
            <w:r>
              <w:rPr>
                <w:rFonts w:hint="eastAsia" w:ascii="宋体" w:hAnsi="宋体" w:eastAsia="宋体" w:cs="宋体"/>
                <w:color w:val="auto"/>
                <w:sz w:val="21"/>
                <w:szCs w:val="21"/>
                <w:lang w:val="en-US" w:eastAsia="zh-CN"/>
              </w:rPr>
              <w:t>分</w:t>
            </w:r>
          </w:p>
        </w:tc>
        <w:tc>
          <w:tcPr>
            <w:tcW w:w="3317" w:type="pct"/>
            <w:tcBorders>
              <w:bottom w:val="single" w:color="auto" w:sz="4" w:space="0"/>
            </w:tcBorders>
            <w:vAlign w:val="center"/>
          </w:tcPr>
          <w:p w14:paraId="43C21C9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拟投入的服务人员具有健康证的计</w:t>
            </w:r>
            <w:r>
              <w:rPr>
                <w:rFonts w:hint="eastAsia" w:ascii="宋体" w:hAnsi="宋体" w:cs="宋体"/>
                <w:color w:val="auto"/>
                <w:sz w:val="21"/>
                <w:szCs w:val="21"/>
                <w:lang w:val="en-US" w:eastAsia="zh-CN"/>
              </w:rPr>
              <w:t>10</w:t>
            </w:r>
            <w:r>
              <w:rPr>
                <w:rFonts w:hint="eastAsia" w:ascii="宋体" w:hAnsi="宋体" w:eastAsia="宋体" w:cs="宋体"/>
                <w:color w:val="auto"/>
                <w:sz w:val="21"/>
                <w:szCs w:val="21"/>
                <w:lang w:eastAsia="zh-CN"/>
              </w:rPr>
              <w:t>分，没有的不计分。（提供</w:t>
            </w:r>
            <w:r>
              <w:rPr>
                <w:rFonts w:hint="eastAsia" w:ascii="宋体" w:hAnsi="宋体" w:eastAsia="宋体" w:cs="宋体"/>
                <w:color w:val="auto"/>
                <w:sz w:val="21"/>
                <w:szCs w:val="21"/>
                <w:lang w:val="en-US" w:eastAsia="zh-CN"/>
              </w:rPr>
              <w:t>人员健康证</w:t>
            </w:r>
            <w:r>
              <w:rPr>
                <w:rFonts w:hint="eastAsia" w:ascii="宋体" w:hAnsi="宋体" w:eastAsia="宋体" w:cs="宋体"/>
                <w:color w:val="auto"/>
                <w:sz w:val="21"/>
                <w:szCs w:val="21"/>
                <w:lang w:eastAsia="zh-CN"/>
              </w:rPr>
              <w:t>复印件&lt;电子健康证</w:t>
            </w:r>
            <w:r>
              <w:rPr>
                <w:rFonts w:hint="eastAsia" w:ascii="宋体" w:hAnsi="宋体" w:eastAsia="宋体" w:cs="宋体"/>
                <w:color w:val="auto"/>
                <w:sz w:val="21"/>
                <w:szCs w:val="21"/>
                <w:lang w:val="en-US" w:eastAsia="zh-CN"/>
              </w:rPr>
              <w:t>提供</w:t>
            </w:r>
            <w:r>
              <w:rPr>
                <w:rFonts w:hint="eastAsia" w:ascii="宋体" w:hAnsi="宋体" w:eastAsia="宋体" w:cs="宋体"/>
                <w:color w:val="auto"/>
                <w:sz w:val="21"/>
                <w:szCs w:val="21"/>
                <w:lang w:eastAsia="zh-CN"/>
              </w:rPr>
              <w:t>网页查询截图证明&gt;，否则不计分。）</w:t>
            </w:r>
          </w:p>
        </w:tc>
        <w:tc>
          <w:tcPr>
            <w:tcW w:w="232" w:type="pct"/>
            <w:tcBorders>
              <w:bottom w:val="single" w:color="auto" w:sz="4" w:space="0"/>
            </w:tcBorders>
            <w:vAlign w:val="center"/>
          </w:tcPr>
          <w:p w14:paraId="6704A834">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2" w:type="pct"/>
            <w:tcBorders>
              <w:bottom w:val="single" w:color="auto" w:sz="4" w:space="0"/>
            </w:tcBorders>
            <w:vAlign w:val="center"/>
          </w:tcPr>
          <w:p w14:paraId="406430DD">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8" w:type="pct"/>
            <w:tcBorders>
              <w:bottom w:val="single" w:color="auto" w:sz="4" w:space="0"/>
            </w:tcBorders>
            <w:vAlign w:val="center"/>
          </w:tcPr>
          <w:p w14:paraId="635AEED2">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r>
      <w:tr w14:paraId="76CA0D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87" w:hRule="atLeast"/>
        </w:trPr>
        <w:tc>
          <w:tcPr>
            <w:tcW w:w="256" w:type="pct"/>
            <w:tcBorders>
              <w:bottom w:val="single" w:color="auto" w:sz="4" w:space="0"/>
            </w:tcBorders>
            <w:vAlign w:val="center"/>
          </w:tcPr>
          <w:p w14:paraId="6DB09DDB">
            <w:pPr>
              <w:keepNext w:val="0"/>
              <w:keepLines w:val="0"/>
              <w:pageBreakBefore w:val="0"/>
              <w:widowControl w:val="0"/>
              <w:kinsoku/>
              <w:wordWrap/>
              <w:overflowPunct/>
              <w:topLinePunct w:val="0"/>
              <w:autoSpaceDE/>
              <w:bidi w:val="0"/>
              <w:adjustRightInd w:val="0"/>
              <w:snapToGrid w:val="0"/>
              <w:spacing w:line="240" w:lineRule="auto"/>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4</w:t>
            </w:r>
          </w:p>
        </w:tc>
        <w:tc>
          <w:tcPr>
            <w:tcW w:w="723" w:type="pct"/>
            <w:tcBorders>
              <w:bottom w:val="single" w:color="auto" w:sz="4" w:space="0"/>
            </w:tcBorders>
            <w:vAlign w:val="center"/>
          </w:tcPr>
          <w:p w14:paraId="765191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业绩</w:t>
            </w:r>
          </w:p>
          <w:p w14:paraId="6CC5FC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cs="宋体"/>
                <w:sz w:val="21"/>
                <w:szCs w:val="21"/>
                <w:lang w:val="en-US" w:eastAsia="zh-CN"/>
              </w:rPr>
              <w:t>10</w:t>
            </w:r>
            <w:r>
              <w:rPr>
                <w:rFonts w:hint="eastAsia" w:ascii="宋体" w:hAnsi="宋体" w:eastAsia="宋体" w:cs="宋体"/>
                <w:sz w:val="21"/>
                <w:szCs w:val="21"/>
              </w:rPr>
              <w:t>分</w:t>
            </w:r>
          </w:p>
        </w:tc>
        <w:tc>
          <w:tcPr>
            <w:tcW w:w="3317" w:type="pct"/>
            <w:tcBorders>
              <w:bottom w:val="single" w:color="auto" w:sz="4" w:space="0"/>
            </w:tcBorders>
            <w:vAlign w:val="center"/>
          </w:tcPr>
          <w:p w14:paraId="7B1F90C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eastAsia="zh-CN"/>
              </w:rPr>
              <w:t>响应截止时间前三年（</w:t>
            </w:r>
            <w:r>
              <w:rPr>
                <w:rFonts w:hint="eastAsia" w:ascii="宋体" w:hAnsi="宋体" w:cs="宋体"/>
                <w:sz w:val="21"/>
                <w:szCs w:val="21"/>
                <w:lang w:val="en-US" w:eastAsia="zh-CN"/>
              </w:rPr>
              <w:t>2021年以来</w:t>
            </w:r>
            <w:r>
              <w:rPr>
                <w:rFonts w:hint="eastAsia" w:ascii="宋体" w:hAnsi="宋体" w:eastAsia="宋体" w:cs="宋体"/>
                <w:sz w:val="21"/>
                <w:szCs w:val="21"/>
                <w:lang w:eastAsia="zh-CN"/>
              </w:rPr>
              <w:t>）</w:t>
            </w:r>
            <w:r>
              <w:rPr>
                <w:rFonts w:hint="eastAsia" w:ascii="宋体" w:hAnsi="宋体" w:eastAsia="宋体" w:cs="宋体"/>
                <w:sz w:val="21"/>
                <w:szCs w:val="21"/>
              </w:rPr>
              <w:t>，</w:t>
            </w:r>
            <w:r>
              <w:rPr>
                <w:rFonts w:hint="eastAsia" w:ascii="宋体" w:hAnsi="宋体" w:cs="宋体"/>
                <w:sz w:val="21"/>
                <w:szCs w:val="21"/>
                <w:lang w:eastAsia="zh-CN"/>
              </w:rPr>
              <w:t>供应商</w:t>
            </w:r>
            <w:r>
              <w:rPr>
                <w:rFonts w:hint="eastAsia" w:ascii="宋体" w:hAnsi="宋体" w:cs="宋体"/>
                <w:sz w:val="21"/>
                <w:szCs w:val="21"/>
                <w:lang w:val="en-US" w:eastAsia="zh-CN"/>
              </w:rPr>
              <w:t>具有</w:t>
            </w:r>
            <w:r>
              <w:rPr>
                <w:rFonts w:hint="eastAsia" w:ascii="宋体" w:hAnsi="宋体" w:cs="宋体"/>
                <w:snapToGrid w:val="0"/>
                <w:color w:val="auto"/>
                <w:kern w:val="0"/>
                <w:szCs w:val="21"/>
              </w:rPr>
              <w:t>类似项目（大宗食材供应</w:t>
            </w:r>
            <w:r>
              <w:rPr>
                <w:rFonts w:hint="eastAsia" w:ascii="宋体" w:hAnsi="宋体" w:cs="宋体"/>
                <w:snapToGrid w:val="0"/>
                <w:color w:val="auto"/>
                <w:kern w:val="0"/>
                <w:szCs w:val="21"/>
                <w:lang w:val="en-US" w:eastAsia="zh-CN"/>
              </w:rPr>
              <w:t>配送</w:t>
            </w:r>
            <w:r>
              <w:rPr>
                <w:rFonts w:hint="eastAsia" w:ascii="宋体" w:hAnsi="宋体" w:cs="宋体"/>
                <w:snapToGrid w:val="0"/>
                <w:color w:val="auto"/>
                <w:kern w:val="0"/>
                <w:szCs w:val="21"/>
              </w:rPr>
              <w:t>）</w:t>
            </w:r>
            <w:r>
              <w:rPr>
                <w:rFonts w:hint="eastAsia" w:ascii="宋体" w:hAnsi="宋体" w:cs="宋体"/>
                <w:snapToGrid w:val="0"/>
                <w:color w:val="auto"/>
                <w:kern w:val="0"/>
                <w:szCs w:val="21"/>
                <w:lang w:val="en-US" w:eastAsia="zh-CN"/>
              </w:rPr>
              <w:t>业绩</w:t>
            </w:r>
            <w:r>
              <w:rPr>
                <w:rFonts w:hint="eastAsia" w:ascii="宋体" w:hAnsi="宋体" w:cs="宋体"/>
                <w:sz w:val="21"/>
                <w:szCs w:val="21"/>
                <w:lang w:eastAsia="zh-CN"/>
              </w:rPr>
              <w:t>经验</w:t>
            </w:r>
            <w:r>
              <w:rPr>
                <w:rFonts w:hint="eastAsia" w:ascii="宋体" w:hAnsi="宋体" w:eastAsia="宋体" w:cs="宋体"/>
                <w:sz w:val="21"/>
                <w:szCs w:val="21"/>
              </w:rPr>
              <w:t>的计</w:t>
            </w:r>
            <w:r>
              <w:rPr>
                <w:rFonts w:hint="eastAsia" w:ascii="宋体" w:hAnsi="宋体" w:cs="宋体"/>
                <w:sz w:val="21"/>
                <w:szCs w:val="21"/>
                <w:lang w:val="en-US" w:eastAsia="zh-CN"/>
              </w:rPr>
              <w:t>10</w:t>
            </w:r>
            <w:r>
              <w:rPr>
                <w:rFonts w:hint="eastAsia" w:ascii="宋体" w:hAnsi="宋体" w:eastAsia="宋体" w:cs="宋体"/>
                <w:sz w:val="21"/>
                <w:szCs w:val="21"/>
              </w:rPr>
              <w:t>分，没有的不计分。（提供</w:t>
            </w:r>
            <w:r>
              <w:rPr>
                <w:rFonts w:hint="eastAsia" w:ascii="宋体" w:hAnsi="宋体" w:cs="宋体"/>
                <w:sz w:val="21"/>
                <w:szCs w:val="21"/>
                <w:lang w:val="en-US" w:eastAsia="zh-CN"/>
              </w:rPr>
              <w:t>相关证明材料复印件</w:t>
            </w:r>
            <w:r>
              <w:rPr>
                <w:rFonts w:hint="eastAsia" w:ascii="宋体" w:hAnsi="宋体" w:eastAsia="宋体" w:cs="宋体"/>
                <w:sz w:val="21"/>
                <w:szCs w:val="21"/>
              </w:rPr>
              <w:t>，否则不计分。）</w:t>
            </w:r>
          </w:p>
        </w:tc>
        <w:tc>
          <w:tcPr>
            <w:tcW w:w="232" w:type="pct"/>
            <w:tcBorders>
              <w:bottom w:val="single" w:color="auto" w:sz="4" w:space="0"/>
            </w:tcBorders>
            <w:vAlign w:val="center"/>
          </w:tcPr>
          <w:p w14:paraId="5BB0639E">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2" w:type="pct"/>
            <w:tcBorders>
              <w:bottom w:val="single" w:color="auto" w:sz="4" w:space="0"/>
            </w:tcBorders>
            <w:vAlign w:val="center"/>
          </w:tcPr>
          <w:p w14:paraId="02EC9753">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8" w:type="pct"/>
            <w:tcBorders>
              <w:bottom w:val="single" w:color="auto" w:sz="4" w:space="0"/>
            </w:tcBorders>
            <w:vAlign w:val="center"/>
          </w:tcPr>
          <w:p w14:paraId="7800ADA9">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r>
      <w:tr w14:paraId="7AC48C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1" w:hRule="atLeast"/>
        </w:trPr>
        <w:tc>
          <w:tcPr>
            <w:tcW w:w="256" w:type="pct"/>
            <w:tcBorders>
              <w:bottom w:val="single" w:color="auto" w:sz="4" w:space="0"/>
            </w:tcBorders>
            <w:vAlign w:val="center"/>
          </w:tcPr>
          <w:p w14:paraId="518362B1">
            <w:pPr>
              <w:keepNext w:val="0"/>
              <w:keepLines w:val="0"/>
              <w:pageBreakBefore w:val="0"/>
              <w:widowControl w:val="0"/>
              <w:kinsoku/>
              <w:wordWrap/>
              <w:overflowPunct/>
              <w:topLinePunct w:val="0"/>
              <w:autoSpaceDE/>
              <w:bidi w:val="0"/>
              <w:adjustRightInd w:val="0"/>
              <w:snapToGrid w:val="0"/>
              <w:spacing w:line="240" w:lineRule="auto"/>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5</w:t>
            </w:r>
          </w:p>
        </w:tc>
        <w:tc>
          <w:tcPr>
            <w:tcW w:w="723" w:type="pct"/>
            <w:tcBorders>
              <w:bottom w:val="single" w:color="auto" w:sz="4" w:space="0"/>
            </w:tcBorders>
            <w:vAlign w:val="center"/>
          </w:tcPr>
          <w:p w14:paraId="1B3E61BF">
            <w:pPr>
              <w:pStyle w:val="283"/>
              <w:keepNext w:val="0"/>
              <w:keepLines w:val="0"/>
              <w:pageBreakBefore w:val="0"/>
              <w:widowControl w:val="0"/>
              <w:kinsoku/>
              <w:wordWrap/>
              <w:overflowPunct/>
              <w:topLinePunct w:val="0"/>
              <w:autoSpaceDE/>
              <w:bidi w:val="0"/>
              <w:adjustRightInd w:val="0"/>
              <w:snapToGrid w:val="0"/>
              <w:spacing w:line="240" w:lineRule="auto"/>
              <w:ind w:firstLine="44" w:firstLineChars="21"/>
              <w:jc w:val="center"/>
              <w:rPr>
                <w:rFonts w:hint="eastAsia" w:ascii="宋体" w:hAnsi="宋体" w:eastAsia="宋体" w:cs="宋体"/>
                <w:snapToGrid w:val="0"/>
                <w:kern w:val="0"/>
                <w:sz w:val="21"/>
                <w:szCs w:val="21"/>
                <w:lang w:val="en-US" w:eastAsia="zh-CN" w:bidi="ar-SA"/>
              </w:rPr>
            </w:pPr>
            <w:r>
              <w:rPr>
                <w:rFonts w:hint="eastAsia" w:cs="宋体"/>
                <w:snapToGrid w:val="0"/>
                <w:sz w:val="21"/>
                <w:szCs w:val="21"/>
                <w:lang w:val="en-US" w:eastAsia="zh-CN"/>
              </w:rPr>
              <w:t>实施</w:t>
            </w:r>
            <w:r>
              <w:rPr>
                <w:rFonts w:hint="eastAsia" w:ascii="宋体" w:hAnsi="宋体" w:eastAsia="宋体" w:cs="宋体"/>
                <w:snapToGrid w:val="0"/>
                <w:sz w:val="21"/>
                <w:szCs w:val="21"/>
              </w:rPr>
              <w:t>方案20分</w:t>
            </w:r>
          </w:p>
        </w:tc>
        <w:tc>
          <w:tcPr>
            <w:tcW w:w="3317" w:type="pct"/>
            <w:tcBorders>
              <w:bottom w:val="single" w:color="auto" w:sz="4" w:space="0"/>
            </w:tcBorders>
            <w:vAlign w:val="center"/>
          </w:tcPr>
          <w:p w14:paraId="15749C74">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rPr>
            </w:pPr>
            <w:r>
              <w:rPr>
                <w:rFonts w:hint="eastAsia" w:ascii="宋体" w:hAnsi="宋体" w:cs="宋体"/>
                <w:snapToGrid w:val="0"/>
                <w:kern w:val="0"/>
                <w:sz w:val="21"/>
                <w:szCs w:val="21"/>
                <w:lang w:eastAsia="zh-CN"/>
              </w:rPr>
              <w:t>供应商</w:t>
            </w:r>
            <w:r>
              <w:rPr>
                <w:rFonts w:hint="eastAsia" w:ascii="宋体" w:hAnsi="宋体" w:eastAsia="宋体" w:cs="宋体"/>
                <w:snapToGrid w:val="0"/>
                <w:kern w:val="0"/>
                <w:sz w:val="21"/>
                <w:szCs w:val="21"/>
              </w:rPr>
              <w:t>根据项目实际情况及要求，提供符合实际的</w:t>
            </w:r>
            <w:r>
              <w:rPr>
                <w:rFonts w:hint="eastAsia" w:ascii="宋体" w:hAnsi="宋体" w:cs="宋体"/>
                <w:snapToGrid w:val="0"/>
                <w:kern w:val="0"/>
                <w:sz w:val="21"/>
                <w:szCs w:val="21"/>
                <w:lang w:val="en-US" w:eastAsia="zh-CN"/>
              </w:rPr>
              <w:t>实施</w:t>
            </w:r>
            <w:r>
              <w:rPr>
                <w:rFonts w:hint="eastAsia" w:ascii="宋体" w:hAnsi="宋体" w:eastAsia="宋体" w:cs="宋体"/>
                <w:snapToGrid w:val="0"/>
                <w:kern w:val="0"/>
                <w:sz w:val="21"/>
                <w:szCs w:val="21"/>
              </w:rPr>
              <w:t>方案，包括：</w:t>
            </w:r>
          </w:p>
          <w:p w14:paraId="27F9E694">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①食材采购管理计划方案；</w:t>
            </w:r>
          </w:p>
          <w:p w14:paraId="32460801">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rPr>
            </w:pPr>
            <w:r>
              <w:rPr>
                <w:rFonts w:hint="eastAsia" w:ascii="宋体" w:hAnsi="宋体" w:cs="宋体"/>
                <w:snapToGrid w:val="0"/>
                <w:kern w:val="0"/>
                <w:sz w:val="21"/>
                <w:szCs w:val="21"/>
                <w:lang w:val="en-US" w:eastAsia="zh-CN"/>
              </w:rPr>
              <w:t>②</w:t>
            </w:r>
            <w:r>
              <w:rPr>
                <w:rFonts w:hint="eastAsia" w:ascii="宋体" w:hAnsi="宋体" w:eastAsia="宋体" w:cs="宋体"/>
                <w:snapToGrid w:val="0"/>
                <w:kern w:val="0"/>
                <w:sz w:val="21"/>
                <w:szCs w:val="21"/>
              </w:rPr>
              <w:t>人员职责、管理、培训方案；</w:t>
            </w:r>
          </w:p>
          <w:p w14:paraId="20599D45">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rPr>
            </w:pPr>
            <w:r>
              <w:rPr>
                <w:rFonts w:hint="eastAsia" w:ascii="宋体" w:hAnsi="宋体" w:cs="宋体"/>
                <w:snapToGrid w:val="0"/>
                <w:kern w:val="0"/>
                <w:sz w:val="21"/>
                <w:szCs w:val="21"/>
                <w:lang w:val="en-US" w:eastAsia="zh-CN"/>
              </w:rPr>
              <w:t>③</w:t>
            </w:r>
            <w:r>
              <w:rPr>
                <w:rFonts w:hint="eastAsia" w:ascii="宋体" w:hAnsi="宋体" w:eastAsia="宋体" w:cs="宋体"/>
                <w:snapToGrid w:val="0"/>
                <w:kern w:val="0"/>
                <w:sz w:val="21"/>
                <w:szCs w:val="21"/>
              </w:rPr>
              <w:t>服务质量保障方案；</w:t>
            </w:r>
          </w:p>
          <w:p w14:paraId="33DC4944">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rPr>
            </w:pPr>
            <w:r>
              <w:rPr>
                <w:rFonts w:hint="eastAsia" w:ascii="宋体" w:hAnsi="宋体" w:cs="宋体"/>
                <w:snapToGrid w:val="0"/>
                <w:kern w:val="0"/>
                <w:sz w:val="21"/>
                <w:szCs w:val="21"/>
                <w:lang w:val="en-US" w:eastAsia="zh-CN"/>
              </w:rPr>
              <w:t>④</w:t>
            </w:r>
            <w:r>
              <w:rPr>
                <w:rFonts w:hint="eastAsia" w:ascii="宋体" w:hAnsi="宋体" w:eastAsia="宋体" w:cs="宋体"/>
                <w:snapToGrid w:val="0"/>
                <w:kern w:val="0"/>
                <w:sz w:val="21"/>
                <w:szCs w:val="21"/>
              </w:rPr>
              <w:t>食品安全控制方案；</w:t>
            </w:r>
          </w:p>
          <w:p w14:paraId="71E5521B">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rPr>
            </w:pPr>
            <w:r>
              <w:rPr>
                <w:rFonts w:hint="eastAsia" w:ascii="宋体" w:hAnsi="宋体" w:cs="宋体"/>
                <w:snapToGrid w:val="0"/>
                <w:kern w:val="0"/>
                <w:sz w:val="21"/>
                <w:szCs w:val="21"/>
                <w:lang w:val="en-US" w:eastAsia="zh-CN"/>
              </w:rPr>
              <w:t>⑤</w:t>
            </w:r>
            <w:r>
              <w:rPr>
                <w:rFonts w:hint="eastAsia" w:ascii="宋体" w:hAnsi="宋体" w:eastAsia="宋体" w:cs="宋体"/>
                <w:snapToGrid w:val="0"/>
                <w:kern w:val="0"/>
                <w:sz w:val="21"/>
                <w:szCs w:val="21"/>
              </w:rPr>
              <w:t>应急处置方案；</w:t>
            </w:r>
          </w:p>
          <w:p w14:paraId="57E3D90F">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napToGrid w:val="0"/>
                <w:kern w:val="0"/>
                <w:sz w:val="21"/>
                <w:szCs w:val="21"/>
                <w:lang w:val="en-US" w:eastAsia="zh-CN" w:bidi="ar-SA"/>
              </w:rPr>
            </w:pPr>
            <w:r>
              <w:rPr>
                <w:rFonts w:hint="eastAsia" w:ascii="宋体" w:hAnsi="宋体" w:eastAsia="宋体" w:cs="宋体"/>
                <w:snapToGrid w:val="0"/>
                <w:kern w:val="0"/>
                <w:sz w:val="21"/>
                <w:szCs w:val="21"/>
                <w:lang w:val="en-US" w:eastAsia="zh-CN" w:bidi="ar-SA"/>
              </w:rPr>
              <w:t>磋商小组根据供应商提供的实施方案进行综合评价，所提供的方案及措施全部符合采购文件要求和采购人需求的计20分，缺漏项的每处扣</w:t>
            </w:r>
            <w:r>
              <w:rPr>
                <w:rFonts w:hint="eastAsia" w:ascii="宋体" w:hAnsi="宋体" w:cs="宋体"/>
                <w:snapToGrid w:val="0"/>
                <w:kern w:val="0"/>
                <w:sz w:val="21"/>
                <w:szCs w:val="21"/>
                <w:lang w:val="en-US" w:eastAsia="zh-CN" w:bidi="ar-SA"/>
              </w:rPr>
              <w:t>4</w:t>
            </w:r>
            <w:r>
              <w:rPr>
                <w:rFonts w:hint="eastAsia" w:ascii="宋体" w:hAnsi="宋体" w:eastAsia="宋体" w:cs="宋体"/>
                <w:snapToGrid w:val="0"/>
                <w:kern w:val="0"/>
                <w:sz w:val="21"/>
                <w:szCs w:val="21"/>
                <w:lang w:val="en-US" w:eastAsia="zh-CN" w:bidi="ar-SA"/>
              </w:rPr>
              <w:t>分，不符合的每处扣</w:t>
            </w:r>
            <w:r>
              <w:rPr>
                <w:rFonts w:hint="eastAsia" w:ascii="宋体" w:hAnsi="宋体" w:cs="宋体"/>
                <w:snapToGrid w:val="0"/>
                <w:kern w:val="0"/>
                <w:sz w:val="21"/>
                <w:szCs w:val="21"/>
                <w:lang w:val="en-US" w:eastAsia="zh-CN" w:bidi="ar-SA"/>
              </w:rPr>
              <w:t>2</w:t>
            </w:r>
            <w:r>
              <w:rPr>
                <w:rFonts w:hint="eastAsia" w:ascii="宋体" w:hAnsi="宋体" w:eastAsia="宋体" w:cs="宋体"/>
                <w:snapToGrid w:val="0"/>
                <w:kern w:val="0"/>
                <w:sz w:val="21"/>
                <w:szCs w:val="21"/>
                <w:lang w:val="en-US" w:eastAsia="zh-CN" w:bidi="ar-SA"/>
              </w:rPr>
              <w:t>分，扣完为止，最低计0分。</w:t>
            </w:r>
          </w:p>
        </w:tc>
        <w:tc>
          <w:tcPr>
            <w:tcW w:w="232" w:type="pct"/>
            <w:tcBorders>
              <w:bottom w:val="single" w:color="auto" w:sz="4" w:space="0"/>
            </w:tcBorders>
            <w:vAlign w:val="center"/>
          </w:tcPr>
          <w:p w14:paraId="6E50BDCD">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2" w:type="pct"/>
            <w:tcBorders>
              <w:bottom w:val="single" w:color="auto" w:sz="4" w:space="0"/>
            </w:tcBorders>
            <w:vAlign w:val="center"/>
          </w:tcPr>
          <w:p w14:paraId="71C434F3">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c>
          <w:tcPr>
            <w:tcW w:w="238" w:type="pct"/>
            <w:tcBorders>
              <w:bottom w:val="single" w:color="auto" w:sz="4" w:space="0"/>
            </w:tcBorders>
            <w:vAlign w:val="center"/>
          </w:tcPr>
          <w:p w14:paraId="004C34E9">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b/>
                <w:bCs/>
                <w:kern w:val="0"/>
                <w:sz w:val="22"/>
                <w:szCs w:val="22"/>
              </w:rPr>
            </w:pPr>
          </w:p>
        </w:tc>
      </w:tr>
      <w:tr w14:paraId="12D1D3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5" w:hRule="atLeast"/>
        </w:trPr>
        <w:tc>
          <w:tcPr>
            <w:tcW w:w="4297" w:type="pct"/>
            <w:gridSpan w:val="3"/>
            <w:vAlign w:val="center"/>
          </w:tcPr>
          <w:p w14:paraId="1B081D30">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snapToGrid w:val="0"/>
                <w:kern w:val="0"/>
                <w:sz w:val="22"/>
                <w:szCs w:val="22"/>
              </w:rPr>
            </w:pPr>
            <w:r>
              <w:rPr>
                <w:rFonts w:hint="eastAsia" w:ascii="宋体" w:hAnsi="宋体" w:eastAsia="宋体" w:cs="宋体"/>
                <w:snapToGrid w:val="0"/>
                <w:kern w:val="0"/>
                <w:sz w:val="22"/>
                <w:szCs w:val="22"/>
              </w:rPr>
              <w:t>合计</w:t>
            </w:r>
          </w:p>
        </w:tc>
        <w:tc>
          <w:tcPr>
            <w:tcW w:w="232" w:type="pct"/>
            <w:vAlign w:val="center"/>
          </w:tcPr>
          <w:p w14:paraId="15DD12C5">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snapToGrid w:val="0"/>
                <w:kern w:val="0"/>
                <w:sz w:val="22"/>
                <w:szCs w:val="22"/>
              </w:rPr>
            </w:pPr>
          </w:p>
        </w:tc>
        <w:tc>
          <w:tcPr>
            <w:tcW w:w="232" w:type="pct"/>
            <w:vAlign w:val="center"/>
          </w:tcPr>
          <w:p w14:paraId="40FFB385">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snapToGrid w:val="0"/>
                <w:kern w:val="0"/>
                <w:sz w:val="22"/>
                <w:szCs w:val="22"/>
              </w:rPr>
            </w:pPr>
          </w:p>
        </w:tc>
        <w:tc>
          <w:tcPr>
            <w:tcW w:w="238" w:type="pct"/>
            <w:vAlign w:val="center"/>
          </w:tcPr>
          <w:p w14:paraId="0BCCDEAE">
            <w:pPr>
              <w:keepNext w:val="0"/>
              <w:keepLines w:val="0"/>
              <w:pageBreakBefore w:val="0"/>
              <w:widowControl/>
              <w:kinsoku/>
              <w:wordWrap/>
              <w:overflowPunct/>
              <w:topLinePunct w:val="0"/>
              <w:autoSpaceDE/>
              <w:bidi w:val="0"/>
              <w:adjustRightInd w:val="0"/>
              <w:snapToGrid w:val="0"/>
              <w:spacing w:line="240" w:lineRule="auto"/>
              <w:jc w:val="center"/>
              <w:rPr>
                <w:rFonts w:hint="eastAsia" w:ascii="宋体" w:hAnsi="宋体" w:eastAsia="宋体" w:cs="宋体"/>
                <w:snapToGrid w:val="0"/>
                <w:kern w:val="0"/>
                <w:sz w:val="22"/>
                <w:szCs w:val="22"/>
              </w:rPr>
            </w:pPr>
          </w:p>
        </w:tc>
      </w:tr>
      <w:tr w14:paraId="19DBE4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5" w:hRule="atLeast"/>
        </w:trPr>
        <w:tc>
          <w:tcPr>
            <w:tcW w:w="5000" w:type="pct"/>
            <w:gridSpan w:val="6"/>
            <w:vAlign w:val="center"/>
          </w:tcPr>
          <w:p w14:paraId="68021E1D">
            <w:pPr>
              <w:keepNext w:val="0"/>
              <w:keepLines w:val="0"/>
              <w:pageBreakBefore w:val="0"/>
              <w:widowControl/>
              <w:kinsoku/>
              <w:wordWrap/>
              <w:overflowPunct/>
              <w:topLinePunct w:val="0"/>
              <w:autoSpaceDE/>
              <w:bidi w:val="0"/>
              <w:adjustRightInd w:val="0"/>
              <w:snapToGrid w:val="0"/>
              <w:spacing w:line="240" w:lineRule="auto"/>
              <w:jc w:val="left"/>
              <w:rPr>
                <w:rFonts w:hint="eastAsia" w:ascii="宋体" w:hAnsi="宋体" w:eastAsia="宋体" w:cs="宋体"/>
                <w:snapToGrid w:val="0"/>
                <w:kern w:val="0"/>
                <w:sz w:val="22"/>
                <w:szCs w:val="22"/>
              </w:rPr>
            </w:pPr>
            <w:r>
              <w:rPr>
                <w:rFonts w:hint="eastAsia" w:ascii="宋体" w:hAnsi="宋体" w:eastAsia="宋体" w:cs="宋体"/>
                <w:snapToGrid w:val="0"/>
                <w:kern w:val="0"/>
                <w:sz w:val="22"/>
                <w:szCs w:val="22"/>
              </w:rPr>
              <w:t>评委签名：</w:t>
            </w:r>
          </w:p>
          <w:p w14:paraId="6A9FCE27">
            <w:pPr>
              <w:keepNext w:val="0"/>
              <w:keepLines w:val="0"/>
              <w:pageBreakBefore w:val="0"/>
              <w:kinsoku/>
              <w:wordWrap/>
              <w:overflowPunct/>
              <w:topLinePunct w:val="0"/>
              <w:autoSpaceDE/>
              <w:bidi w:val="0"/>
              <w:adjustRightInd w:val="0"/>
              <w:snapToGrid w:val="0"/>
              <w:spacing w:line="240" w:lineRule="auto"/>
              <w:rPr>
                <w:rFonts w:hint="eastAsia" w:ascii="宋体" w:hAnsi="宋体" w:eastAsia="宋体" w:cs="宋体"/>
                <w:sz w:val="22"/>
                <w:szCs w:val="22"/>
              </w:rPr>
            </w:pPr>
          </w:p>
          <w:p w14:paraId="7F4BFF9E">
            <w:pPr>
              <w:keepNext w:val="0"/>
              <w:keepLines w:val="0"/>
              <w:pageBreakBefore w:val="0"/>
              <w:widowControl/>
              <w:kinsoku/>
              <w:wordWrap/>
              <w:overflowPunct/>
              <w:topLinePunct w:val="0"/>
              <w:autoSpaceDE/>
              <w:bidi w:val="0"/>
              <w:adjustRightInd w:val="0"/>
              <w:snapToGrid w:val="0"/>
              <w:spacing w:line="240" w:lineRule="auto"/>
              <w:jc w:val="right"/>
              <w:rPr>
                <w:rFonts w:hint="eastAsia" w:ascii="宋体" w:hAnsi="宋体" w:eastAsia="宋体" w:cs="宋体"/>
                <w:snapToGrid w:val="0"/>
                <w:kern w:val="0"/>
                <w:sz w:val="22"/>
                <w:szCs w:val="22"/>
              </w:rPr>
            </w:pPr>
          </w:p>
          <w:p w14:paraId="09E17B80">
            <w:pPr>
              <w:keepNext w:val="0"/>
              <w:keepLines w:val="0"/>
              <w:pageBreakBefore w:val="0"/>
              <w:widowControl/>
              <w:kinsoku/>
              <w:wordWrap/>
              <w:overflowPunct/>
              <w:topLinePunct w:val="0"/>
              <w:autoSpaceDE/>
              <w:bidi w:val="0"/>
              <w:adjustRightInd w:val="0"/>
              <w:snapToGrid w:val="0"/>
              <w:spacing w:line="240" w:lineRule="auto"/>
              <w:jc w:val="right"/>
              <w:rPr>
                <w:rFonts w:hint="eastAsia" w:ascii="宋体" w:hAnsi="宋体" w:eastAsia="宋体" w:cs="宋体"/>
                <w:snapToGrid w:val="0"/>
                <w:kern w:val="0"/>
                <w:sz w:val="22"/>
                <w:szCs w:val="22"/>
              </w:rPr>
            </w:pPr>
          </w:p>
          <w:p w14:paraId="3FF9B0CC">
            <w:pPr>
              <w:keepNext w:val="0"/>
              <w:keepLines w:val="0"/>
              <w:pageBreakBefore w:val="0"/>
              <w:widowControl/>
              <w:kinsoku/>
              <w:wordWrap/>
              <w:overflowPunct/>
              <w:topLinePunct w:val="0"/>
              <w:autoSpaceDE/>
              <w:bidi w:val="0"/>
              <w:adjustRightInd w:val="0"/>
              <w:snapToGrid w:val="0"/>
              <w:spacing w:line="240" w:lineRule="auto"/>
              <w:jc w:val="right"/>
              <w:rPr>
                <w:rFonts w:hint="eastAsia" w:ascii="宋体" w:hAnsi="宋体" w:eastAsia="宋体" w:cs="宋体"/>
                <w:snapToGrid w:val="0"/>
                <w:kern w:val="0"/>
                <w:sz w:val="22"/>
                <w:szCs w:val="22"/>
              </w:rPr>
            </w:pPr>
            <w:r>
              <w:rPr>
                <w:rFonts w:hint="eastAsia" w:ascii="宋体" w:hAnsi="宋体" w:eastAsia="宋体" w:cs="宋体"/>
                <w:snapToGrid w:val="0"/>
                <w:kern w:val="0"/>
                <w:sz w:val="22"/>
                <w:szCs w:val="22"/>
              </w:rPr>
              <w:t>年</w:t>
            </w:r>
            <w:r>
              <w:rPr>
                <w:rFonts w:hint="eastAsia" w:ascii="宋体" w:hAnsi="宋体" w:eastAsia="宋体" w:cs="宋体"/>
                <w:snapToGrid w:val="0"/>
                <w:kern w:val="0"/>
                <w:sz w:val="22"/>
                <w:szCs w:val="22"/>
              </w:rPr>
              <w:tab/>
            </w:r>
            <w:r>
              <w:rPr>
                <w:rFonts w:hint="eastAsia" w:ascii="宋体" w:hAnsi="宋体" w:eastAsia="宋体" w:cs="宋体"/>
                <w:snapToGrid w:val="0"/>
                <w:kern w:val="0"/>
                <w:sz w:val="22"/>
                <w:szCs w:val="22"/>
              </w:rPr>
              <w:t>月</w:t>
            </w:r>
            <w:r>
              <w:rPr>
                <w:rFonts w:hint="eastAsia" w:ascii="宋体" w:hAnsi="宋体" w:eastAsia="宋体" w:cs="宋体"/>
                <w:snapToGrid w:val="0"/>
                <w:kern w:val="0"/>
                <w:sz w:val="22"/>
                <w:szCs w:val="22"/>
              </w:rPr>
              <w:tab/>
            </w:r>
            <w:r>
              <w:rPr>
                <w:rFonts w:hint="eastAsia" w:ascii="宋体" w:hAnsi="宋体" w:eastAsia="宋体" w:cs="宋体"/>
                <w:snapToGrid w:val="0"/>
                <w:kern w:val="0"/>
                <w:sz w:val="22"/>
                <w:szCs w:val="22"/>
              </w:rPr>
              <w:t>日</w:t>
            </w:r>
          </w:p>
        </w:tc>
      </w:tr>
    </w:tbl>
    <w:p w14:paraId="689D56DE"/>
    <w:p w14:paraId="7A2F9265"/>
    <w:p w14:paraId="7C2F3F2F">
      <w:pPr>
        <w:adjustRightInd w:val="0"/>
        <w:snapToGrid w:val="0"/>
        <w:spacing w:beforeLines="50" w:line="360" w:lineRule="auto"/>
        <w:jc w:val="center"/>
        <w:outlineLvl w:val="9"/>
        <w:rPr>
          <w:rFonts w:ascii="宋体" w:hAnsi="宋体"/>
          <w:b/>
          <w:bCs/>
          <w:color w:val="auto"/>
          <w:szCs w:val="21"/>
        </w:rPr>
      </w:pPr>
    </w:p>
    <w:p w14:paraId="6E270CA3">
      <w:pPr>
        <w:bidi w:val="0"/>
        <w:rPr>
          <w:rFonts w:hint="eastAsia"/>
        </w:rPr>
      </w:pPr>
      <w:bookmarkStart w:id="9" w:name="_Toc18771"/>
    </w:p>
    <w:p w14:paraId="2A5FAF39">
      <w:pPr>
        <w:rPr>
          <w:rFonts w:hint="eastAsia" w:ascii="宋体" w:hAnsi="宋体"/>
          <w:b/>
          <w:bCs/>
          <w:color w:val="auto"/>
          <w:sz w:val="24"/>
          <w:szCs w:val="24"/>
        </w:rPr>
      </w:pPr>
      <w:r>
        <w:rPr>
          <w:rFonts w:hint="eastAsia" w:ascii="宋体" w:hAnsi="宋体"/>
          <w:b/>
          <w:bCs/>
          <w:color w:val="auto"/>
          <w:sz w:val="24"/>
          <w:szCs w:val="24"/>
        </w:rPr>
        <w:br w:type="page"/>
      </w:r>
    </w:p>
    <w:p w14:paraId="40C80CBE">
      <w:pPr>
        <w:outlineLvl w:val="1"/>
        <w:rPr>
          <w:b/>
          <w:color w:val="auto"/>
          <w:spacing w:val="26"/>
          <w:sz w:val="24"/>
          <w:szCs w:val="24"/>
        </w:rPr>
      </w:pPr>
      <w:r>
        <w:rPr>
          <w:rFonts w:hint="eastAsia" w:ascii="宋体" w:hAnsi="宋体"/>
          <w:b/>
          <w:bCs/>
          <w:color w:val="auto"/>
          <w:sz w:val="24"/>
          <w:szCs w:val="24"/>
        </w:rPr>
        <w:t>7</w:t>
      </w:r>
      <w:r>
        <w:rPr>
          <w:rFonts w:hint="eastAsia" w:ascii="宋体" w:hAnsi="宋体"/>
          <w:b/>
          <w:bCs/>
          <w:color w:val="auto"/>
          <w:sz w:val="24"/>
          <w:szCs w:val="24"/>
          <w:lang w:eastAsia="zh-CN"/>
        </w:rPr>
        <w:t>、</w:t>
      </w:r>
      <w:r>
        <w:rPr>
          <w:rFonts w:hint="eastAsia" w:ascii="宋体" w:hAnsi="宋体"/>
          <w:b/>
          <w:bCs/>
          <w:color w:val="auto"/>
          <w:sz w:val="24"/>
          <w:szCs w:val="24"/>
        </w:rPr>
        <w:t>供应商</w:t>
      </w:r>
      <w:r>
        <w:rPr>
          <w:rFonts w:hint="eastAsia"/>
          <w:b/>
          <w:color w:val="auto"/>
          <w:spacing w:val="26"/>
          <w:sz w:val="24"/>
          <w:szCs w:val="24"/>
        </w:rPr>
        <w:t>得分汇总计算表</w:t>
      </w:r>
      <w:bookmarkEnd w:id="9"/>
    </w:p>
    <w:p w14:paraId="39BA3CCF">
      <w:pPr>
        <w:bidi w:val="0"/>
        <w:outlineLvl w:val="9"/>
        <w:rPr>
          <w:color w:val="auto"/>
        </w:rPr>
      </w:pPr>
    </w:p>
    <w:p w14:paraId="1421588D">
      <w:pPr>
        <w:outlineLvl w:val="9"/>
        <w:rPr>
          <w:rFonts w:ascii="宋体" w:hAnsi="宋体"/>
          <w:bCs/>
          <w:color w:val="auto"/>
          <w:sz w:val="18"/>
          <w:szCs w:val="18"/>
        </w:rPr>
      </w:pPr>
      <w:r>
        <w:rPr>
          <w:rFonts w:hint="eastAsia" w:ascii="宋体" w:hAnsi="宋体"/>
          <w:bCs/>
          <w:color w:val="auto"/>
          <w:sz w:val="18"/>
          <w:szCs w:val="18"/>
          <w:lang w:eastAsia="zh-CN"/>
        </w:rPr>
        <w:t>采购计划编号</w:t>
      </w:r>
      <w:r>
        <w:rPr>
          <w:rFonts w:hint="eastAsia" w:ascii="宋体" w:hAnsi="宋体"/>
          <w:bCs/>
          <w:color w:val="auto"/>
          <w:sz w:val="18"/>
          <w:szCs w:val="18"/>
        </w:rPr>
        <w:t xml:space="preserve">：                                                          </w:t>
      </w:r>
    </w:p>
    <w:tbl>
      <w:tblPr>
        <w:tblStyle w:val="50"/>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1323"/>
        <w:gridCol w:w="1323"/>
        <w:gridCol w:w="1323"/>
        <w:gridCol w:w="1323"/>
        <w:gridCol w:w="1323"/>
        <w:gridCol w:w="1324"/>
      </w:tblGrid>
      <w:tr w14:paraId="3F226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685" w:type="dxa"/>
            <w:vMerge w:val="restart"/>
            <w:tcBorders>
              <w:top w:val="single" w:color="auto" w:sz="4" w:space="0"/>
              <w:left w:val="single" w:color="auto" w:sz="4" w:space="0"/>
              <w:bottom w:val="single" w:color="auto" w:sz="4" w:space="0"/>
              <w:right w:val="single" w:color="auto" w:sz="4" w:space="0"/>
            </w:tcBorders>
            <w:vAlign w:val="center"/>
          </w:tcPr>
          <w:p w14:paraId="715C0C32">
            <w:pPr>
              <w:ind w:right="-205" w:rightChars="-98"/>
              <w:jc w:val="center"/>
              <w:outlineLvl w:val="9"/>
              <w:rPr>
                <w:color w:val="auto"/>
                <w:spacing w:val="26"/>
                <w:szCs w:val="21"/>
              </w:rPr>
            </w:pPr>
            <w:r>
              <w:rPr>
                <w:rFonts w:hint="eastAsia"/>
                <w:color w:val="auto"/>
                <w:spacing w:val="26"/>
                <w:szCs w:val="21"/>
              </w:rPr>
              <w:t>磋商</w:t>
            </w:r>
          </w:p>
          <w:p w14:paraId="7DEFE638">
            <w:pPr>
              <w:ind w:right="-205" w:rightChars="-98"/>
              <w:jc w:val="center"/>
              <w:outlineLvl w:val="9"/>
              <w:rPr>
                <w:color w:val="auto"/>
                <w:spacing w:val="26"/>
                <w:szCs w:val="21"/>
              </w:rPr>
            </w:pPr>
            <w:r>
              <w:rPr>
                <w:rFonts w:hint="eastAsia"/>
                <w:color w:val="auto"/>
                <w:spacing w:val="26"/>
                <w:szCs w:val="21"/>
              </w:rPr>
              <w:t>小组</w:t>
            </w:r>
          </w:p>
          <w:p w14:paraId="6D41EF59">
            <w:pPr>
              <w:ind w:right="-205" w:rightChars="-98"/>
              <w:jc w:val="center"/>
              <w:outlineLvl w:val="9"/>
              <w:rPr>
                <w:color w:val="auto"/>
                <w:spacing w:val="26"/>
                <w:szCs w:val="21"/>
              </w:rPr>
            </w:pPr>
            <w:r>
              <w:rPr>
                <w:rFonts w:hint="eastAsia"/>
                <w:color w:val="auto"/>
                <w:spacing w:val="26"/>
                <w:szCs w:val="21"/>
              </w:rPr>
              <w:t>成员</w:t>
            </w:r>
          </w:p>
          <w:p w14:paraId="2B672DEC">
            <w:pPr>
              <w:ind w:right="-205" w:rightChars="-98"/>
              <w:jc w:val="center"/>
              <w:outlineLvl w:val="9"/>
              <w:rPr>
                <w:color w:val="auto"/>
                <w:spacing w:val="26"/>
                <w:szCs w:val="21"/>
              </w:rPr>
            </w:pPr>
            <w:r>
              <w:rPr>
                <w:rFonts w:hint="eastAsia"/>
                <w:color w:val="auto"/>
                <w:spacing w:val="26"/>
                <w:szCs w:val="21"/>
              </w:rPr>
              <w:t>姓名</w:t>
            </w:r>
          </w:p>
        </w:tc>
        <w:tc>
          <w:tcPr>
            <w:tcW w:w="7939" w:type="dxa"/>
            <w:gridSpan w:val="6"/>
            <w:tcBorders>
              <w:top w:val="single" w:color="auto" w:sz="4" w:space="0"/>
              <w:left w:val="single" w:color="auto" w:sz="4" w:space="0"/>
              <w:bottom w:val="single" w:color="auto" w:sz="4" w:space="0"/>
              <w:right w:val="single" w:color="auto" w:sz="4" w:space="0"/>
            </w:tcBorders>
            <w:vAlign w:val="center"/>
          </w:tcPr>
          <w:p w14:paraId="5D69E099">
            <w:pPr>
              <w:jc w:val="center"/>
              <w:outlineLvl w:val="9"/>
              <w:rPr>
                <w:color w:val="auto"/>
                <w:spacing w:val="26"/>
                <w:szCs w:val="21"/>
              </w:rPr>
            </w:pPr>
            <w:r>
              <w:rPr>
                <w:rFonts w:hint="eastAsia"/>
                <w:color w:val="auto"/>
                <w:spacing w:val="26"/>
                <w:szCs w:val="21"/>
              </w:rPr>
              <w:t>供应商名称</w:t>
            </w:r>
          </w:p>
        </w:tc>
      </w:tr>
      <w:tr w14:paraId="689A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jc w:val="center"/>
        </w:trPr>
        <w:tc>
          <w:tcPr>
            <w:tcW w:w="1685" w:type="dxa"/>
            <w:vMerge w:val="continue"/>
            <w:tcBorders>
              <w:top w:val="single" w:color="auto" w:sz="4" w:space="0"/>
              <w:left w:val="single" w:color="auto" w:sz="4" w:space="0"/>
              <w:bottom w:val="single" w:color="auto" w:sz="4" w:space="0"/>
              <w:right w:val="single" w:color="auto" w:sz="4" w:space="0"/>
            </w:tcBorders>
            <w:vAlign w:val="center"/>
          </w:tcPr>
          <w:p w14:paraId="0B2BAFC8">
            <w:pPr>
              <w:widowControl/>
              <w:jc w:val="left"/>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E8D10DF">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845E13C">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F512A5B">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BC5926C">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5959AF0">
            <w:pPr>
              <w:spacing w:line="240" w:lineRule="exact"/>
              <w:jc w:val="center"/>
              <w:outlineLvl w:val="9"/>
              <w:rPr>
                <w:color w:val="auto"/>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71394A5E">
            <w:pPr>
              <w:spacing w:line="240" w:lineRule="exact"/>
              <w:jc w:val="center"/>
              <w:outlineLvl w:val="9"/>
              <w:rPr>
                <w:color w:val="auto"/>
                <w:szCs w:val="21"/>
              </w:rPr>
            </w:pPr>
          </w:p>
        </w:tc>
      </w:tr>
      <w:tr w14:paraId="6A88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16C1042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59A3A5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B38E7CC">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7AB09A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82D9D64">
            <w:pPr>
              <w:ind w:right="-172" w:rightChars="-82"/>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2FE8710">
            <w:pPr>
              <w:ind w:right="-172" w:rightChars="-82"/>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174FC8E6">
            <w:pPr>
              <w:ind w:right="-172" w:rightChars="-82"/>
              <w:jc w:val="center"/>
              <w:outlineLvl w:val="9"/>
              <w:rPr>
                <w:color w:val="auto"/>
                <w:spacing w:val="26"/>
                <w:szCs w:val="21"/>
              </w:rPr>
            </w:pPr>
          </w:p>
        </w:tc>
      </w:tr>
      <w:tr w14:paraId="1844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748EA105">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ED6A948">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D51A91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F6F96A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8B2CC5C">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7A0180D">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2F33472C">
            <w:pPr>
              <w:jc w:val="center"/>
              <w:outlineLvl w:val="9"/>
              <w:rPr>
                <w:color w:val="auto"/>
                <w:spacing w:val="26"/>
                <w:szCs w:val="21"/>
              </w:rPr>
            </w:pPr>
          </w:p>
        </w:tc>
      </w:tr>
      <w:tr w14:paraId="2029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5164982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94EB0B4">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23E25A4">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B8D4E2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100D597">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D841F09">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384F8FE1">
            <w:pPr>
              <w:jc w:val="center"/>
              <w:outlineLvl w:val="9"/>
              <w:rPr>
                <w:color w:val="auto"/>
                <w:spacing w:val="26"/>
                <w:szCs w:val="21"/>
              </w:rPr>
            </w:pPr>
          </w:p>
        </w:tc>
      </w:tr>
      <w:tr w14:paraId="3615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5771ED4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4A5534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E73B9A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74EACD5">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CECCBA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34565CF">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28C44135">
            <w:pPr>
              <w:jc w:val="center"/>
              <w:outlineLvl w:val="9"/>
              <w:rPr>
                <w:color w:val="auto"/>
                <w:spacing w:val="26"/>
                <w:szCs w:val="21"/>
              </w:rPr>
            </w:pPr>
          </w:p>
        </w:tc>
      </w:tr>
      <w:tr w14:paraId="1CD8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4C13030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797D07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77B4729">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AD391E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871C17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C4116FD">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2FF2E43D">
            <w:pPr>
              <w:jc w:val="center"/>
              <w:outlineLvl w:val="9"/>
              <w:rPr>
                <w:color w:val="auto"/>
                <w:spacing w:val="26"/>
                <w:szCs w:val="21"/>
              </w:rPr>
            </w:pPr>
          </w:p>
        </w:tc>
      </w:tr>
      <w:tr w14:paraId="46C2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59BA9AA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E9EAD39">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F4D87A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986F14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81B9602">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7D65668">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7817F230">
            <w:pPr>
              <w:jc w:val="center"/>
              <w:outlineLvl w:val="9"/>
              <w:rPr>
                <w:color w:val="auto"/>
                <w:spacing w:val="26"/>
                <w:szCs w:val="21"/>
              </w:rPr>
            </w:pPr>
          </w:p>
        </w:tc>
      </w:tr>
      <w:tr w14:paraId="1F47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25DD75A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F77E32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FE9B83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01AA4D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C45B8A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0631CC0">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01BCBF04">
            <w:pPr>
              <w:jc w:val="center"/>
              <w:outlineLvl w:val="9"/>
              <w:rPr>
                <w:color w:val="auto"/>
                <w:spacing w:val="26"/>
                <w:szCs w:val="21"/>
              </w:rPr>
            </w:pPr>
          </w:p>
        </w:tc>
      </w:tr>
      <w:tr w14:paraId="56AE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26CF19F9">
            <w:pPr>
              <w:jc w:val="center"/>
              <w:outlineLvl w:val="9"/>
              <w:rPr>
                <w:color w:val="auto"/>
                <w:spacing w:val="26"/>
                <w:szCs w:val="21"/>
              </w:rPr>
            </w:pPr>
            <w:r>
              <w:rPr>
                <w:rFonts w:hint="eastAsia"/>
                <w:color w:val="auto"/>
                <w:spacing w:val="26"/>
                <w:szCs w:val="21"/>
              </w:rPr>
              <w:t>总分</w:t>
            </w:r>
          </w:p>
        </w:tc>
        <w:tc>
          <w:tcPr>
            <w:tcW w:w="1323" w:type="dxa"/>
            <w:tcBorders>
              <w:top w:val="single" w:color="auto" w:sz="4" w:space="0"/>
              <w:left w:val="single" w:color="auto" w:sz="4" w:space="0"/>
              <w:bottom w:val="single" w:color="auto" w:sz="4" w:space="0"/>
              <w:right w:val="single" w:color="auto" w:sz="4" w:space="0"/>
            </w:tcBorders>
            <w:vAlign w:val="center"/>
          </w:tcPr>
          <w:p w14:paraId="39F47085">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C82A472">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C2A4B9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DE78D68">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BD9DB94">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5CEB10D6">
            <w:pPr>
              <w:jc w:val="center"/>
              <w:outlineLvl w:val="9"/>
              <w:rPr>
                <w:color w:val="auto"/>
                <w:spacing w:val="26"/>
                <w:szCs w:val="21"/>
              </w:rPr>
            </w:pPr>
          </w:p>
        </w:tc>
      </w:tr>
      <w:tr w14:paraId="2CBF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0E60D58D">
            <w:pPr>
              <w:jc w:val="center"/>
              <w:outlineLvl w:val="9"/>
              <w:rPr>
                <w:color w:val="auto"/>
                <w:spacing w:val="26"/>
                <w:szCs w:val="21"/>
              </w:rPr>
            </w:pPr>
            <w:r>
              <w:rPr>
                <w:rFonts w:hint="eastAsia"/>
                <w:color w:val="auto"/>
                <w:spacing w:val="26"/>
                <w:szCs w:val="21"/>
              </w:rPr>
              <w:t>平均</w:t>
            </w:r>
          </w:p>
        </w:tc>
        <w:tc>
          <w:tcPr>
            <w:tcW w:w="1323" w:type="dxa"/>
            <w:tcBorders>
              <w:top w:val="single" w:color="auto" w:sz="4" w:space="0"/>
              <w:left w:val="single" w:color="auto" w:sz="4" w:space="0"/>
              <w:bottom w:val="single" w:color="auto" w:sz="4" w:space="0"/>
              <w:right w:val="single" w:color="auto" w:sz="4" w:space="0"/>
            </w:tcBorders>
            <w:vAlign w:val="center"/>
          </w:tcPr>
          <w:p w14:paraId="2C158428">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A9D6417">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B67745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2B650C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BCD490B">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5524A1BD">
            <w:pPr>
              <w:jc w:val="center"/>
              <w:outlineLvl w:val="9"/>
              <w:rPr>
                <w:color w:val="auto"/>
                <w:spacing w:val="26"/>
                <w:szCs w:val="21"/>
              </w:rPr>
            </w:pPr>
          </w:p>
        </w:tc>
      </w:tr>
      <w:tr w14:paraId="2164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5EACA5B8">
            <w:pPr>
              <w:jc w:val="center"/>
              <w:outlineLvl w:val="9"/>
              <w:rPr>
                <w:color w:val="auto"/>
                <w:spacing w:val="26"/>
                <w:szCs w:val="21"/>
              </w:rPr>
            </w:pPr>
            <w:r>
              <w:rPr>
                <w:rFonts w:hint="eastAsia"/>
                <w:color w:val="auto"/>
                <w:spacing w:val="26"/>
                <w:szCs w:val="21"/>
              </w:rPr>
              <w:t>最后</w:t>
            </w:r>
          </w:p>
          <w:p w14:paraId="77C5F2BC">
            <w:pPr>
              <w:jc w:val="center"/>
              <w:outlineLvl w:val="9"/>
              <w:rPr>
                <w:color w:val="auto"/>
                <w:spacing w:val="26"/>
                <w:szCs w:val="21"/>
              </w:rPr>
            </w:pPr>
            <w:r>
              <w:rPr>
                <w:rFonts w:hint="eastAsia"/>
                <w:color w:val="auto"/>
                <w:spacing w:val="26"/>
                <w:szCs w:val="21"/>
              </w:rPr>
              <w:t>得分</w:t>
            </w:r>
          </w:p>
        </w:tc>
        <w:tc>
          <w:tcPr>
            <w:tcW w:w="1323" w:type="dxa"/>
            <w:tcBorders>
              <w:top w:val="single" w:color="auto" w:sz="4" w:space="0"/>
              <w:left w:val="single" w:color="auto" w:sz="4" w:space="0"/>
              <w:bottom w:val="single" w:color="auto" w:sz="4" w:space="0"/>
              <w:right w:val="single" w:color="auto" w:sz="4" w:space="0"/>
            </w:tcBorders>
            <w:vAlign w:val="center"/>
          </w:tcPr>
          <w:p w14:paraId="559E7142">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D9FA1B7">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1FF3A07">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54DC9F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FEFAF37">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6A5F939B">
            <w:pPr>
              <w:jc w:val="center"/>
              <w:outlineLvl w:val="9"/>
              <w:rPr>
                <w:color w:val="auto"/>
                <w:spacing w:val="26"/>
                <w:szCs w:val="21"/>
              </w:rPr>
            </w:pPr>
          </w:p>
        </w:tc>
      </w:tr>
      <w:tr w14:paraId="4C6BB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7A670FD3">
            <w:pPr>
              <w:jc w:val="center"/>
              <w:outlineLvl w:val="9"/>
              <w:rPr>
                <w:color w:val="auto"/>
                <w:spacing w:val="26"/>
                <w:szCs w:val="21"/>
              </w:rPr>
            </w:pPr>
            <w:r>
              <w:rPr>
                <w:rFonts w:hint="eastAsia"/>
                <w:color w:val="auto"/>
                <w:spacing w:val="26"/>
                <w:szCs w:val="21"/>
              </w:rPr>
              <w:t>得分</w:t>
            </w:r>
          </w:p>
          <w:p w14:paraId="05439E1C">
            <w:pPr>
              <w:jc w:val="center"/>
              <w:outlineLvl w:val="9"/>
              <w:rPr>
                <w:color w:val="auto"/>
                <w:spacing w:val="26"/>
                <w:szCs w:val="21"/>
              </w:rPr>
            </w:pPr>
            <w:r>
              <w:rPr>
                <w:rFonts w:hint="eastAsia"/>
                <w:color w:val="auto"/>
                <w:spacing w:val="26"/>
                <w:szCs w:val="21"/>
              </w:rPr>
              <w:t>排名</w:t>
            </w:r>
          </w:p>
        </w:tc>
        <w:tc>
          <w:tcPr>
            <w:tcW w:w="1323" w:type="dxa"/>
            <w:tcBorders>
              <w:top w:val="single" w:color="auto" w:sz="4" w:space="0"/>
              <w:left w:val="single" w:color="auto" w:sz="4" w:space="0"/>
              <w:bottom w:val="single" w:color="auto" w:sz="4" w:space="0"/>
              <w:right w:val="single" w:color="auto" w:sz="4" w:space="0"/>
            </w:tcBorders>
            <w:vAlign w:val="center"/>
          </w:tcPr>
          <w:p w14:paraId="337595D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EDEF61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2CF3A73">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B20D48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F0E6975">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010A0AD8">
            <w:pPr>
              <w:jc w:val="center"/>
              <w:outlineLvl w:val="9"/>
              <w:rPr>
                <w:color w:val="auto"/>
                <w:spacing w:val="26"/>
                <w:szCs w:val="21"/>
              </w:rPr>
            </w:pPr>
          </w:p>
        </w:tc>
      </w:tr>
    </w:tbl>
    <w:p w14:paraId="327249B1">
      <w:pPr>
        <w:adjustRightInd w:val="0"/>
        <w:snapToGrid w:val="0"/>
        <w:spacing w:beforeLines="50" w:line="360" w:lineRule="auto"/>
        <w:jc w:val="center"/>
        <w:outlineLvl w:val="9"/>
        <w:rPr>
          <w:rFonts w:ascii="宋体" w:hAnsi="宋体"/>
          <w:b/>
          <w:bCs/>
          <w:color w:val="auto"/>
          <w:szCs w:val="21"/>
        </w:rPr>
      </w:pPr>
      <w:r>
        <w:rPr>
          <w:rFonts w:hint="eastAsia" w:ascii="宋体" w:hAnsi="宋体"/>
          <w:b/>
          <w:bCs/>
          <w:color w:val="auto"/>
          <w:szCs w:val="21"/>
        </w:rPr>
        <w:t>磋商小组成员签字：                                             年  月  日</w:t>
      </w:r>
    </w:p>
    <w:p w14:paraId="34868D3B">
      <w:pPr>
        <w:adjustRightInd w:val="0"/>
        <w:snapToGrid w:val="0"/>
        <w:spacing w:beforeLines="50" w:line="360" w:lineRule="auto"/>
        <w:outlineLvl w:val="9"/>
        <w:rPr>
          <w:rFonts w:ascii="宋体" w:hAnsi="宋体"/>
          <w:b/>
          <w:bCs/>
          <w:color w:val="auto"/>
          <w:szCs w:val="21"/>
        </w:rPr>
      </w:pPr>
    </w:p>
    <w:p w14:paraId="4DE5519B">
      <w:pPr>
        <w:adjustRightInd w:val="0"/>
        <w:snapToGrid w:val="0"/>
        <w:spacing w:line="360" w:lineRule="auto"/>
        <w:outlineLvl w:val="9"/>
        <w:rPr>
          <w:rFonts w:hint="eastAsia" w:ascii="宋体" w:hAnsi="宋体"/>
          <w:b/>
          <w:bCs/>
          <w:color w:val="auto"/>
        </w:rPr>
      </w:pPr>
    </w:p>
    <w:p w14:paraId="7AC4A49E">
      <w:pPr>
        <w:adjustRightInd w:val="0"/>
        <w:snapToGrid w:val="0"/>
        <w:spacing w:line="360" w:lineRule="auto"/>
        <w:outlineLvl w:val="1"/>
        <w:rPr>
          <w:rFonts w:ascii="宋体" w:hAnsi="宋体"/>
          <w:b/>
          <w:color w:val="auto"/>
          <w:szCs w:val="21"/>
        </w:rPr>
      </w:pPr>
      <w:bookmarkStart w:id="10" w:name="_Toc11483"/>
      <w:r>
        <w:rPr>
          <w:rFonts w:hint="eastAsia" w:ascii="宋体" w:hAnsi="宋体"/>
          <w:b/>
          <w:bCs/>
          <w:color w:val="auto"/>
        </w:rPr>
        <w:t>8</w:t>
      </w:r>
      <w:r>
        <w:rPr>
          <w:rFonts w:hint="eastAsia" w:ascii="宋体" w:hAnsi="宋体"/>
          <w:b/>
          <w:bCs/>
          <w:color w:val="auto"/>
          <w:lang w:eastAsia="zh-CN"/>
        </w:rPr>
        <w:t>、</w:t>
      </w:r>
      <w:r>
        <w:rPr>
          <w:rFonts w:hint="eastAsia" w:ascii="宋体" w:hAnsi="宋体"/>
          <w:b/>
          <w:color w:val="auto"/>
          <w:szCs w:val="21"/>
        </w:rPr>
        <w:t>经评审的供应商排序表</w:t>
      </w:r>
      <w:bookmarkEnd w:id="10"/>
    </w:p>
    <w:p w14:paraId="1C2006D9">
      <w:pPr>
        <w:bidi w:val="0"/>
        <w:outlineLvl w:val="9"/>
        <w:rPr>
          <w:rFonts w:hint="eastAsia"/>
          <w:color w:val="auto"/>
          <w:lang w:eastAsia="zh-CN"/>
        </w:rPr>
      </w:pPr>
    </w:p>
    <w:p w14:paraId="4338FFEB">
      <w:pPr>
        <w:outlineLvl w:val="9"/>
        <w:rPr>
          <w:rFonts w:ascii="宋体" w:hAnsi="宋体"/>
          <w:bCs/>
          <w:color w:val="auto"/>
          <w:sz w:val="18"/>
          <w:szCs w:val="18"/>
        </w:rPr>
      </w:pPr>
      <w:r>
        <w:rPr>
          <w:rFonts w:hint="eastAsia" w:ascii="宋体" w:hAnsi="宋体"/>
          <w:bCs/>
          <w:color w:val="auto"/>
          <w:sz w:val="18"/>
          <w:szCs w:val="18"/>
          <w:lang w:eastAsia="zh-CN"/>
        </w:rPr>
        <w:t>采购计划编号</w:t>
      </w:r>
      <w:r>
        <w:rPr>
          <w:rFonts w:hint="eastAsia" w:ascii="宋体" w:hAnsi="宋体"/>
          <w:bCs/>
          <w:color w:val="auto"/>
          <w:sz w:val="18"/>
          <w:szCs w:val="18"/>
        </w:rPr>
        <w:t>：                                                     日期：      年  月 日</w:t>
      </w:r>
    </w:p>
    <w:tbl>
      <w:tblPr>
        <w:tblStyle w:val="50"/>
        <w:tblW w:w="94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71"/>
        <w:gridCol w:w="4866"/>
        <w:gridCol w:w="1695"/>
        <w:gridCol w:w="1082"/>
      </w:tblGrid>
      <w:tr w14:paraId="3DEFA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12" w:space="0"/>
              <w:left w:val="single" w:color="auto" w:sz="12" w:space="0"/>
              <w:bottom w:val="single" w:color="auto" w:sz="6" w:space="0"/>
              <w:right w:val="single" w:color="auto" w:sz="6" w:space="0"/>
            </w:tcBorders>
            <w:vAlign w:val="center"/>
          </w:tcPr>
          <w:p w14:paraId="25608C9C">
            <w:pPr>
              <w:spacing w:line="500" w:lineRule="exact"/>
              <w:jc w:val="center"/>
              <w:outlineLvl w:val="9"/>
              <w:rPr>
                <w:rFonts w:ascii="宋体" w:hAnsi="宋体"/>
                <w:color w:val="auto"/>
                <w:szCs w:val="21"/>
              </w:rPr>
            </w:pPr>
            <w:r>
              <w:rPr>
                <w:rFonts w:hint="eastAsia" w:ascii="宋体" w:hAnsi="宋体"/>
                <w:color w:val="auto"/>
                <w:szCs w:val="21"/>
              </w:rPr>
              <w:t>排序</w:t>
            </w:r>
          </w:p>
        </w:tc>
        <w:tc>
          <w:tcPr>
            <w:tcW w:w="4866" w:type="dxa"/>
            <w:tcBorders>
              <w:top w:val="single" w:color="auto" w:sz="12" w:space="0"/>
              <w:left w:val="single" w:color="auto" w:sz="6" w:space="0"/>
              <w:bottom w:val="single" w:color="auto" w:sz="6" w:space="0"/>
              <w:right w:val="single" w:color="auto" w:sz="6" w:space="0"/>
            </w:tcBorders>
            <w:vAlign w:val="center"/>
          </w:tcPr>
          <w:p w14:paraId="0C8FE3A6">
            <w:pPr>
              <w:spacing w:line="500" w:lineRule="exact"/>
              <w:jc w:val="center"/>
              <w:outlineLvl w:val="9"/>
              <w:rPr>
                <w:rFonts w:ascii="宋体" w:hAnsi="宋体"/>
                <w:color w:val="auto"/>
                <w:szCs w:val="21"/>
              </w:rPr>
            </w:pPr>
            <w:r>
              <w:rPr>
                <w:rFonts w:hint="eastAsia" w:ascii="宋体" w:hAnsi="宋体"/>
                <w:color w:val="auto"/>
                <w:szCs w:val="21"/>
              </w:rPr>
              <w:t>供应商名称</w:t>
            </w:r>
          </w:p>
        </w:tc>
        <w:tc>
          <w:tcPr>
            <w:tcW w:w="1695" w:type="dxa"/>
            <w:tcBorders>
              <w:top w:val="single" w:color="auto" w:sz="12" w:space="0"/>
              <w:left w:val="single" w:color="auto" w:sz="6" w:space="0"/>
              <w:bottom w:val="single" w:color="auto" w:sz="6" w:space="0"/>
              <w:right w:val="single" w:color="auto" w:sz="4" w:space="0"/>
            </w:tcBorders>
            <w:vAlign w:val="center"/>
          </w:tcPr>
          <w:p w14:paraId="05370424">
            <w:pPr>
              <w:spacing w:line="500" w:lineRule="exact"/>
              <w:jc w:val="center"/>
              <w:outlineLvl w:val="9"/>
              <w:rPr>
                <w:rFonts w:ascii="宋体" w:hAnsi="宋体"/>
                <w:color w:val="auto"/>
                <w:szCs w:val="21"/>
              </w:rPr>
            </w:pPr>
            <w:r>
              <w:rPr>
                <w:rFonts w:hint="eastAsia" w:ascii="宋体" w:hAnsi="宋体"/>
                <w:color w:val="auto"/>
                <w:szCs w:val="21"/>
              </w:rPr>
              <w:t>得分情况</w:t>
            </w:r>
          </w:p>
        </w:tc>
        <w:tc>
          <w:tcPr>
            <w:tcW w:w="1082" w:type="dxa"/>
            <w:tcBorders>
              <w:top w:val="single" w:color="auto" w:sz="12" w:space="0"/>
              <w:left w:val="single" w:color="auto" w:sz="4" w:space="0"/>
              <w:bottom w:val="single" w:color="auto" w:sz="6" w:space="0"/>
              <w:right w:val="single" w:color="auto" w:sz="12" w:space="0"/>
            </w:tcBorders>
            <w:vAlign w:val="center"/>
          </w:tcPr>
          <w:p w14:paraId="0F01F7A9">
            <w:pPr>
              <w:spacing w:line="500" w:lineRule="exact"/>
              <w:jc w:val="center"/>
              <w:outlineLvl w:val="9"/>
              <w:rPr>
                <w:rFonts w:hint="eastAsia" w:ascii="宋体" w:hAnsi="宋体" w:eastAsia="宋体"/>
                <w:color w:val="auto"/>
                <w:szCs w:val="21"/>
                <w:lang w:eastAsia="zh-CN"/>
              </w:rPr>
            </w:pPr>
          </w:p>
        </w:tc>
      </w:tr>
      <w:tr w14:paraId="46285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08EAF53E">
            <w:pPr>
              <w:spacing w:line="500" w:lineRule="exact"/>
              <w:jc w:val="center"/>
              <w:outlineLvl w:val="9"/>
              <w:rPr>
                <w:rFonts w:ascii="宋体" w:hAnsi="宋体"/>
                <w:color w:val="auto"/>
                <w:szCs w:val="21"/>
              </w:rPr>
            </w:pPr>
            <w:r>
              <w:rPr>
                <w:rFonts w:hint="eastAsia" w:ascii="宋体" w:hAnsi="宋体"/>
                <w:color w:val="auto"/>
                <w:szCs w:val="21"/>
              </w:rPr>
              <w:t>第一名</w:t>
            </w:r>
          </w:p>
        </w:tc>
        <w:tc>
          <w:tcPr>
            <w:tcW w:w="4866" w:type="dxa"/>
            <w:tcBorders>
              <w:top w:val="single" w:color="auto" w:sz="6" w:space="0"/>
              <w:left w:val="single" w:color="auto" w:sz="6" w:space="0"/>
              <w:bottom w:val="single" w:color="auto" w:sz="6" w:space="0"/>
              <w:right w:val="single" w:color="auto" w:sz="6" w:space="0"/>
            </w:tcBorders>
            <w:vAlign w:val="center"/>
          </w:tcPr>
          <w:p w14:paraId="0BE58E9E">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2B921521">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53519540">
            <w:pPr>
              <w:spacing w:line="500" w:lineRule="exact"/>
              <w:jc w:val="center"/>
              <w:outlineLvl w:val="9"/>
              <w:rPr>
                <w:rFonts w:ascii="宋体" w:hAnsi="宋体"/>
                <w:color w:val="auto"/>
                <w:szCs w:val="21"/>
              </w:rPr>
            </w:pPr>
          </w:p>
        </w:tc>
      </w:tr>
      <w:tr w14:paraId="70CA13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6FD0384A">
            <w:pPr>
              <w:spacing w:line="500" w:lineRule="exact"/>
              <w:jc w:val="center"/>
              <w:outlineLvl w:val="9"/>
              <w:rPr>
                <w:rFonts w:ascii="宋体" w:hAnsi="宋体"/>
                <w:color w:val="auto"/>
                <w:szCs w:val="21"/>
              </w:rPr>
            </w:pPr>
            <w:r>
              <w:rPr>
                <w:rFonts w:hint="eastAsia" w:ascii="宋体" w:hAnsi="宋体"/>
                <w:color w:val="auto"/>
                <w:szCs w:val="21"/>
              </w:rPr>
              <w:t>第二名</w:t>
            </w:r>
          </w:p>
        </w:tc>
        <w:tc>
          <w:tcPr>
            <w:tcW w:w="4866" w:type="dxa"/>
            <w:tcBorders>
              <w:top w:val="single" w:color="auto" w:sz="6" w:space="0"/>
              <w:left w:val="single" w:color="auto" w:sz="6" w:space="0"/>
              <w:bottom w:val="single" w:color="auto" w:sz="6" w:space="0"/>
              <w:right w:val="single" w:color="auto" w:sz="6" w:space="0"/>
            </w:tcBorders>
            <w:vAlign w:val="center"/>
          </w:tcPr>
          <w:p w14:paraId="597F5451">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42EDB91C">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1EB60021">
            <w:pPr>
              <w:spacing w:line="500" w:lineRule="exact"/>
              <w:jc w:val="center"/>
              <w:outlineLvl w:val="9"/>
              <w:rPr>
                <w:rFonts w:ascii="宋体" w:hAnsi="宋体"/>
                <w:color w:val="auto"/>
                <w:szCs w:val="21"/>
              </w:rPr>
            </w:pPr>
          </w:p>
        </w:tc>
      </w:tr>
      <w:tr w14:paraId="2CD175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7D580F62">
            <w:pPr>
              <w:spacing w:line="500" w:lineRule="exact"/>
              <w:jc w:val="center"/>
              <w:outlineLvl w:val="9"/>
              <w:rPr>
                <w:rFonts w:ascii="宋体" w:hAnsi="宋体"/>
                <w:color w:val="auto"/>
                <w:szCs w:val="21"/>
              </w:rPr>
            </w:pPr>
            <w:r>
              <w:rPr>
                <w:rFonts w:hint="eastAsia" w:ascii="宋体" w:hAnsi="宋体"/>
                <w:color w:val="auto"/>
                <w:szCs w:val="21"/>
              </w:rPr>
              <w:t>第三名</w:t>
            </w:r>
          </w:p>
        </w:tc>
        <w:tc>
          <w:tcPr>
            <w:tcW w:w="4866" w:type="dxa"/>
            <w:tcBorders>
              <w:top w:val="single" w:color="auto" w:sz="6" w:space="0"/>
              <w:left w:val="single" w:color="auto" w:sz="6" w:space="0"/>
              <w:bottom w:val="single" w:color="auto" w:sz="6" w:space="0"/>
              <w:right w:val="single" w:color="auto" w:sz="6" w:space="0"/>
            </w:tcBorders>
            <w:vAlign w:val="center"/>
          </w:tcPr>
          <w:p w14:paraId="334A8DC7">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24310BB8">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204076AC">
            <w:pPr>
              <w:spacing w:line="500" w:lineRule="exact"/>
              <w:jc w:val="center"/>
              <w:outlineLvl w:val="9"/>
              <w:rPr>
                <w:rFonts w:ascii="宋体" w:hAnsi="宋体"/>
                <w:color w:val="auto"/>
                <w:szCs w:val="21"/>
              </w:rPr>
            </w:pPr>
          </w:p>
        </w:tc>
      </w:tr>
      <w:tr w14:paraId="31AF66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5BEEA1E">
            <w:pPr>
              <w:spacing w:line="500" w:lineRule="exact"/>
              <w:jc w:val="center"/>
              <w:outlineLvl w:val="9"/>
              <w:rPr>
                <w:rFonts w:ascii="宋体" w:hAnsi="宋体"/>
                <w:color w:val="auto"/>
                <w:szCs w:val="21"/>
              </w:rPr>
            </w:pPr>
            <w:r>
              <w:rPr>
                <w:rFonts w:hint="eastAsia" w:ascii="宋体" w:hAnsi="宋体"/>
                <w:color w:val="auto"/>
                <w:szCs w:val="21"/>
              </w:rPr>
              <w:t>第四名</w:t>
            </w:r>
          </w:p>
        </w:tc>
        <w:tc>
          <w:tcPr>
            <w:tcW w:w="4866" w:type="dxa"/>
            <w:tcBorders>
              <w:top w:val="single" w:color="auto" w:sz="6" w:space="0"/>
              <w:left w:val="single" w:color="auto" w:sz="6" w:space="0"/>
              <w:bottom w:val="single" w:color="auto" w:sz="6" w:space="0"/>
              <w:right w:val="single" w:color="auto" w:sz="6" w:space="0"/>
            </w:tcBorders>
            <w:vAlign w:val="center"/>
          </w:tcPr>
          <w:p w14:paraId="00CACB10">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381F89CE">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4D4D3582">
            <w:pPr>
              <w:spacing w:line="500" w:lineRule="exact"/>
              <w:jc w:val="center"/>
              <w:outlineLvl w:val="9"/>
              <w:rPr>
                <w:rFonts w:ascii="宋体" w:hAnsi="宋体"/>
                <w:color w:val="auto"/>
                <w:szCs w:val="21"/>
              </w:rPr>
            </w:pPr>
          </w:p>
        </w:tc>
      </w:tr>
      <w:tr w14:paraId="0F5907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1B1E5AF9">
            <w:pPr>
              <w:spacing w:line="500" w:lineRule="exact"/>
              <w:jc w:val="center"/>
              <w:outlineLvl w:val="9"/>
              <w:rPr>
                <w:rFonts w:ascii="宋体" w:hAnsi="宋体"/>
                <w:color w:val="auto"/>
                <w:szCs w:val="21"/>
              </w:rPr>
            </w:pPr>
            <w:r>
              <w:rPr>
                <w:rFonts w:hint="eastAsia" w:ascii="宋体" w:hAnsi="宋体"/>
                <w:color w:val="auto"/>
                <w:szCs w:val="21"/>
              </w:rPr>
              <w:t>第五名</w:t>
            </w:r>
          </w:p>
        </w:tc>
        <w:tc>
          <w:tcPr>
            <w:tcW w:w="4866" w:type="dxa"/>
            <w:tcBorders>
              <w:top w:val="single" w:color="auto" w:sz="6" w:space="0"/>
              <w:left w:val="single" w:color="auto" w:sz="6" w:space="0"/>
              <w:bottom w:val="single" w:color="auto" w:sz="6" w:space="0"/>
              <w:right w:val="single" w:color="auto" w:sz="6" w:space="0"/>
            </w:tcBorders>
            <w:vAlign w:val="center"/>
          </w:tcPr>
          <w:p w14:paraId="41193DD5">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3411A13C">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4E8C8F75">
            <w:pPr>
              <w:spacing w:line="500" w:lineRule="exact"/>
              <w:jc w:val="center"/>
              <w:outlineLvl w:val="9"/>
              <w:rPr>
                <w:rFonts w:ascii="宋体" w:hAnsi="宋体"/>
                <w:color w:val="auto"/>
                <w:szCs w:val="21"/>
              </w:rPr>
            </w:pPr>
          </w:p>
        </w:tc>
      </w:tr>
      <w:tr w14:paraId="06D71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199C9501">
            <w:pPr>
              <w:spacing w:line="500" w:lineRule="exact"/>
              <w:jc w:val="center"/>
              <w:outlineLvl w:val="9"/>
              <w:rPr>
                <w:rFonts w:ascii="宋体" w:hAnsi="宋体"/>
                <w:color w:val="auto"/>
                <w:szCs w:val="21"/>
              </w:rPr>
            </w:pPr>
          </w:p>
        </w:tc>
        <w:tc>
          <w:tcPr>
            <w:tcW w:w="4866" w:type="dxa"/>
            <w:tcBorders>
              <w:top w:val="single" w:color="auto" w:sz="6" w:space="0"/>
              <w:left w:val="single" w:color="auto" w:sz="6" w:space="0"/>
              <w:bottom w:val="single" w:color="auto" w:sz="6" w:space="0"/>
              <w:right w:val="single" w:color="auto" w:sz="6" w:space="0"/>
            </w:tcBorders>
            <w:vAlign w:val="center"/>
          </w:tcPr>
          <w:p w14:paraId="2FB02BD1">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5E215277">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4E57066A">
            <w:pPr>
              <w:spacing w:line="500" w:lineRule="exact"/>
              <w:jc w:val="center"/>
              <w:outlineLvl w:val="9"/>
              <w:rPr>
                <w:rFonts w:ascii="宋体" w:hAnsi="宋体"/>
                <w:color w:val="auto"/>
                <w:szCs w:val="21"/>
              </w:rPr>
            </w:pPr>
          </w:p>
        </w:tc>
      </w:tr>
      <w:tr w14:paraId="758BD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12" w:space="0"/>
              <w:right w:val="single" w:color="auto" w:sz="6" w:space="0"/>
            </w:tcBorders>
            <w:vAlign w:val="center"/>
          </w:tcPr>
          <w:p w14:paraId="26F87DEA">
            <w:pPr>
              <w:spacing w:line="500" w:lineRule="exact"/>
              <w:jc w:val="center"/>
              <w:outlineLvl w:val="9"/>
              <w:rPr>
                <w:rFonts w:ascii="宋体" w:hAnsi="宋体"/>
                <w:color w:val="auto"/>
                <w:szCs w:val="21"/>
              </w:rPr>
            </w:pPr>
            <w:r>
              <w:rPr>
                <w:rFonts w:hint="eastAsia" w:ascii="宋体" w:hAnsi="宋体"/>
                <w:color w:val="auto"/>
                <w:szCs w:val="21"/>
              </w:rPr>
              <w:t>……</w:t>
            </w:r>
          </w:p>
        </w:tc>
        <w:tc>
          <w:tcPr>
            <w:tcW w:w="4866" w:type="dxa"/>
            <w:tcBorders>
              <w:top w:val="single" w:color="auto" w:sz="6" w:space="0"/>
              <w:left w:val="single" w:color="auto" w:sz="6" w:space="0"/>
              <w:bottom w:val="single" w:color="auto" w:sz="12" w:space="0"/>
              <w:right w:val="single" w:color="auto" w:sz="6" w:space="0"/>
            </w:tcBorders>
            <w:vAlign w:val="center"/>
          </w:tcPr>
          <w:p w14:paraId="1C49F03A">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12" w:space="0"/>
              <w:right w:val="single" w:color="auto" w:sz="4" w:space="0"/>
            </w:tcBorders>
            <w:vAlign w:val="center"/>
          </w:tcPr>
          <w:p w14:paraId="5F9736BF">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12" w:space="0"/>
              <w:right w:val="single" w:color="auto" w:sz="12" w:space="0"/>
            </w:tcBorders>
            <w:vAlign w:val="center"/>
          </w:tcPr>
          <w:p w14:paraId="1AECA971">
            <w:pPr>
              <w:spacing w:line="500" w:lineRule="exact"/>
              <w:jc w:val="center"/>
              <w:outlineLvl w:val="9"/>
              <w:rPr>
                <w:rFonts w:ascii="宋体" w:hAnsi="宋体"/>
                <w:color w:val="auto"/>
                <w:szCs w:val="21"/>
              </w:rPr>
            </w:pPr>
          </w:p>
        </w:tc>
      </w:tr>
    </w:tbl>
    <w:p w14:paraId="75A21818">
      <w:pPr>
        <w:spacing w:beforeLines="50" w:line="500" w:lineRule="exact"/>
        <w:outlineLvl w:val="9"/>
        <w:rPr>
          <w:rFonts w:ascii="宋体" w:hAnsi="宋体"/>
          <w:bCs/>
          <w:color w:val="auto"/>
          <w:szCs w:val="21"/>
        </w:rPr>
      </w:pPr>
      <w:r>
        <w:rPr>
          <w:rFonts w:hint="eastAsia" w:ascii="宋体" w:hAnsi="宋体"/>
          <w:b/>
          <w:color w:val="auto"/>
          <w:szCs w:val="21"/>
        </w:rPr>
        <w:t>注：</w:t>
      </w:r>
      <w:r>
        <w:rPr>
          <w:rFonts w:hint="eastAsia" w:ascii="宋体" w:hAnsi="宋体"/>
          <w:bCs/>
          <w:color w:val="auto"/>
          <w:szCs w:val="21"/>
        </w:rPr>
        <w:t>得分相同的，按磋商办法</w:t>
      </w:r>
      <w:r>
        <w:rPr>
          <w:rFonts w:hint="eastAsia" w:ascii="宋体" w:hAnsi="宋体"/>
          <w:bCs/>
          <w:color w:val="auto"/>
          <w:szCs w:val="21"/>
          <w:lang w:eastAsia="zh-CN"/>
        </w:rPr>
        <w:t>规定的方法</w:t>
      </w:r>
      <w:r>
        <w:rPr>
          <w:rFonts w:hint="eastAsia" w:ascii="宋体" w:hAnsi="宋体"/>
          <w:bCs/>
          <w:color w:val="auto"/>
          <w:szCs w:val="21"/>
        </w:rPr>
        <w:t>排列。</w:t>
      </w:r>
    </w:p>
    <w:p w14:paraId="45F7D43E">
      <w:pPr>
        <w:spacing w:line="500" w:lineRule="exact"/>
        <w:outlineLvl w:val="9"/>
        <w:rPr>
          <w:rFonts w:ascii="宋体" w:hAnsi="宋体"/>
          <w:color w:val="auto"/>
          <w:szCs w:val="21"/>
        </w:rPr>
      </w:pPr>
    </w:p>
    <w:p w14:paraId="3DF0D19B">
      <w:pPr>
        <w:spacing w:line="500" w:lineRule="exact"/>
        <w:outlineLvl w:val="9"/>
        <w:rPr>
          <w:rFonts w:ascii="宋体" w:hAnsi="宋体"/>
          <w:color w:val="auto"/>
          <w:szCs w:val="21"/>
        </w:rPr>
      </w:pPr>
    </w:p>
    <w:p w14:paraId="6410D0E5">
      <w:pPr>
        <w:spacing w:line="500" w:lineRule="exact"/>
        <w:outlineLvl w:val="9"/>
        <w:rPr>
          <w:rFonts w:ascii="宋体" w:hAnsi="宋体"/>
          <w:color w:val="auto"/>
          <w:szCs w:val="21"/>
        </w:rPr>
      </w:pPr>
    </w:p>
    <w:p w14:paraId="17711AEC">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1"/>
        <w:rPr>
          <w:rFonts w:ascii="宋体" w:hAnsi="宋体"/>
          <w:b/>
          <w:color w:val="auto"/>
          <w:szCs w:val="21"/>
        </w:rPr>
      </w:pPr>
      <w:r>
        <w:rPr>
          <w:rFonts w:hint="eastAsia" w:ascii="宋体" w:hAnsi="宋体"/>
          <w:b/>
          <w:color w:val="auto"/>
          <w:szCs w:val="21"/>
        </w:rPr>
        <w:br w:type="page"/>
      </w:r>
      <w:bookmarkStart w:id="11" w:name="_Toc3148"/>
      <w:r>
        <w:rPr>
          <w:rFonts w:hint="eastAsia" w:ascii="宋体" w:hAnsi="宋体"/>
          <w:b/>
          <w:color w:val="auto"/>
          <w:szCs w:val="21"/>
        </w:rPr>
        <w:t>9</w:t>
      </w:r>
      <w:r>
        <w:rPr>
          <w:rFonts w:hint="eastAsia" w:ascii="宋体" w:hAnsi="宋体"/>
          <w:b/>
          <w:color w:val="auto"/>
          <w:szCs w:val="21"/>
          <w:lang w:eastAsia="zh-CN"/>
        </w:rPr>
        <w:t>、</w:t>
      </w:r>
      <w:r>
        <w:rPr>
          <w:rFonts w:hint="eastAsia" w:ascii="宋体" w:hAnsi="宋体"/>
          <w:b/>
          <w:color w:val="auto"/>
          <w:szCs w:val="21"/>
        </w:rPr>
        <w:t>推荐成交候选供应商名单</w:t>
      </w:r>
      <w:bookmarkEnd w:id="11"/>
    </w:p>
    <w:p w14:paraId="7775CD0A">
      <w:pPr>
        <w:outlineLvl w:val="9"/>
        <w:rPr>
          <w:rFonts w:hint="eastAsia" w:ascii="宋体" w:hAnsi="宋体"/>
          <w:bCs/>
          <w:color w:val="auto"/>
          <w:sz w:val="18"/>
          <w:szCs w:val="18"/>
          <w:lang w:eastAsia="zh-CN"/>
        </w:rPr>
      </w:pPr>
    </w:p>
    <w:p w14:paraId="5A4119DB">
      <w:pPr>
        <w:outlineLvl w:val="9"/>
        <w:rPr>
          <w:rFonts w:ascii="宋体" w:hAnsi="宋体"/>
          <w:bCs/>
          <w:color w:val="auto"/>
          <w:sz w:val="18"/>
          <w:szCs w:val="18"/>
        </w:rPr>
      </w:pPr>
      <w:r>
        <w:rPr>
          <w:rFonts w:hint="eastAsia" w:ascii="宋体" w:hAnsi="宋体"/>
          <w:bCs/>
          <w:color w:val="auto"/>
          <w:sz w:val="18"/>
          <w:szCs w:val="18"/>
          <w:lang w:eastAsia="zh-CN"/>
        </w:rPr>
        <w:t>采购计划编号</w:t>
      </w:r>
      <w:r>
        <w:rPr>
          <w:rFonts w:hint="eastAsia" w:ascii="宋体" w:hAnsi="宋体"/>
          <w:bCs/>
          <w:color w:val="auto"/>
          <w:sz w:val="18"/>
          <w:szCs w:val="18"/>
        </w:rPr>
        <w:t>：                                                      日期：      年  月   日</w:t>
      </w:r>
    </w:p>
    <w:tbl>
      <w:tblPr>
        <w:tblStyle w:val="50"/>
        <w:tblW w:w="94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71"/>
        <w:gridCol w:w="4866"/>
        <w:gridCol w:w="1695"/>
        <w:gridCol w:w="1082"/>
      </w:tblGrid>
      <w:tr w14:paraId="7AC02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12" w:space="0"/>
              <w:left w:val="single" w:color="auto" w:sz="12" w:space="0"/>
              <w:bottom w:val="single" w:color="auto" w:sz="6" w:space="0"/>
              <w:right w:val="single" w:color="auto" w:sz="6" w:space="0"/>
            </w:tcBorders>
            <w:vAlign w:val="center"/>
          </w:tcPr>
          <w:p w14:paraId="2B4EBA8D">
            <w:pPr>
              <w:spacing w:line="500" w:lineRule="exact"/>
              <w:jc w:val="center"/>
              <w:outlineLvl w:val="9"/>
              <w:rPr>
                <w:rFonts w:ascii="宋体" w:hAnsi="宋体"/>
                <w:color w:val="auto"/>
                <w:szCs w:val="21"/>
              </w:rPr>
            </w:pPr>
            <w:r>
              <w:rPr>
                <w:rFonts w:hint="eastAsia" w:ascii="宋体" w:hAnsi="宋体"/>
                <w:color w:val="auto"/>
                <w:szCs w:val="21"/>
              </w:rPr>
              <w:t>排序</w:t>
            </w:r>
          </w:p>
        </w:tc>
        <w:tc>
          <w:tcPr>
            <w:tcW w:w="4866" w:type="dxa"/>
            <w:tcBorders>
              <w:top w:val="single" w:color="auto" w:sz="12" w:space="0"/>
              <w:left w:val="single" w:color="auto" w:sz="6" w:space="0"/>
              <w:bottom w:val="single" w:color="auto" w:sz="6" w:space="0"/>
              <w:right w:val="single" w:color="auto" w:sz="6" w:space="0"/>
            </w:tcBorders>
            <w:vAlign w:val="center"/>
          </w:tcPr>
          <w:p w14:paraId="4DB823FE">
            <w:pPr>
              <w:spacing w:line="500" w:lineRule="exact"/>
              <w:jc w:val="center"/>
              <w:outlineLvl w:val="9"/>
              <w:rPr>
                <w:rFonts w:ascii="宋体" w:hAnsi="宋体"/>
                <w:color w:val="auto"/>
                <w:szCs w:val="21"/>
              </w:rPr>
            </w:pPr>
            <w:r>
              <w:rPr>
                <w:rFonts w:hint="eastAsia" w:ascii="宋体" w:hAnsi="宋体"/>
                <w:color w:val="auto"/>
                <w:szCs w:val="21"/>
              </w:rPr>
              <w:t>成交候选供应商</w:t>
            </w:r>
          </w:p>
        </w:tc>
        <w:tc>
          <w:tcPr>
            <w:tcW w:w="1695" w:type="dxa"/>
            <w:tcBorders>
              <w:top w:val="single" w:color="auto" w:sz="12" w:space="0"/>
              <w:left w:val="single" w:color="auto" w:sz="6" w:space="0"/>
              <w:bottom w:val="single" w:color="auto" w:sz="6" w:space="0"/>
              <w:right w:val="single" w:color="auto" w:sz="4" w:space="0"/>
            </w:tcBorders>
            <w:vAlign w:val="center"/>
          </w:tcPr>
          <w:p w14:paraId="0CA69A3F">
            <w:pPr>
              <w:spacing w:line="500" w:lineRule="exact"/>
              <w:jc w:val="center"/>
              <w:outlineLvl w:val="9"/>
              <w:rPr>
                <w:rFonts w:ascii="宋体" w:hAnsi="宋体"/>
                <w:color w:val="auto"/>
                <w:szCs w:val="21"/>
              </w:rPr>
            </w:pPr>
            <w:r>
              <w:rPr>
                <w:rFonts w:hint="eastAsia" w:ascii="宋体" w:hAnsi="宋体"/>
                <w:color w:val="auto"/>
                <w:szCs w:val="21"/>
              </w:rPr>
              <w:t>得分情况</w:t>
            </w:r>
          </w:p>
        </w:tc>
        <w:tc>
          <w:tcPr>
            <w:tcW w:w="1082" w:type="dxa"/>
            <w:tcBorders>
              <w:top w:val="single" w:color="auto" w:sz="12" w:space="0"/>
              <w:left w:val="single" w:color="auto" w:sz="4" w:space="0"/>
              <w:bottom w:val="single" w:color="auto" w:sz="6" w:space="0"/>
              <w:right w:val="single" w:color="auto" w:sz="12" w:space="0"/>
            </w:tcBorders>
            <w:vAlign w:val="center"/>
          </w:tcPr>
          <w:p w14:paraId="1EDEAD98">
            <w:pPr>
              <w:spacing w:line="500" w:lineRule="exact"/>
              <w:jc w:val="center"/>
              <w:outlineLvl w:val="9"/>
              <w:rPr>
                <w:rFonts w:hint="eastAsia" w:ascii="宋体" w:hAnsi="宋体" w:eastAsia="宋体"/>
                <w:color w:val="auto"/>
                <w:szCs w:val="21"/>
                <w:lang w:eastAsia="zh-CN"/>
              </w:rPr>
            </w:pPr>
          </w:p>
        </w:tc>
      </w:tr>
      <w:tr w14:paraId="011536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6A52AC0C">
            <w:pPr>
              <w:spacing w:line="500" w:lineRule="exact"/>
              <w:jc w:val="center"/>
              <w:outlineLvl w:val="9"/>
              <w:rPr>
                <w:rFonts w:ascii="宋体" w:hAnsi="宋体"/>
                <w:color w:val="auto"/>
                <w:szCs w:val="21"/>
              </w:rPr>
            </w:pPr>
            <w:r>
              <w:rPr>
                <w:rFonts w:hint="eastAsia" w:ascii="宋体" w:hAnsi="宋体"/>
                <w:color w:val="auto"/>
                <w:szCs w:val="21"/>
              </w:rPr>
              <w:t>第一名</w:t>
            </w:r>
          </w:p>
        </w:tc>
        <w:tc>
          <w:tcPr>
            <w:tcW w:w="4866" w:type="dxa"/>
            <w:tcBorders>
              <w:top w:val="single" w:color="auto" w:sz="6" w:space="0"/>
              <w:left w:val="single" w:color="auto" w:sz="6" w:space="0"/>
              <w:bottom w:val="single" w:color="auto" w:sz="6" w:space="0"/>
              <w:right w:val="single" w:color="auto" w:sz="6" w:space="0"/>
            </w:tcBorders>
            <w:vAlign w:val="center"/>
          </w:tcPr>
          <w:p w14:paraId="3A2B3092">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0B259447">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756C894A">
            <w:pPr>
              <w:spacing w:line="500" w:lineRule="exact"/>
              <w:jc w:val="center"/>
              <w:outlineLvl w:val="9"/>
              <w:rPr>
                <w:rFonts w:ascii="宋体" w:hAnsi="宋体"/>
                <w:color w:val="auto"/>
                <w:szCs w:val="21"/>
              </w:rPr>
            </w:pPr>
          </w:p>
        </w:tc>
      </w:tr>
      <w:tr w14:paraId="1B00B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6C1F48AB">
            <w:pPr>
              <w:spacing w:line="500" w:lineRule="exact"/>
              <w:jc w:val="center"/>
              <w:outlineLvl w:val="9"/>
              <w:rPr>
                <w:rFonts w:ascii="宋体" w:hAnsi="宋体"/>
                <w:color w:val="auto"/>
                <w:szCs w:val="21"/>
              </w:rPr>
            </w:pPr>
            <w:r>
              <w:rPr>
                <w:rFonts w:hint="eastAsia" w:ascii="宋体" w:hAnsi="宋体"/>
                <w:color w:val="auto"/>
                <w:szCs w:val="21"/>
              </w:rPr>
              <w:t>第二名</w:t>
            </w:r>
          </w:p>
        </w:tc>
        <w:tc>
          <w:tcPr>
            <w:tcW w:w="4866" w:type="dxa"/>
            <w:tcBorders>
              <w:top w:val="single" w:color="auto" w:sz="6" w:space="0"/>
              <w:left w:val="single" w:color="auto" w:sz="6" w:space="0"/>
              <w:bottom w:val="single" w:color="auto" w:sz="6" w:space="0"/>
              <w:right w:val="single" w:color="auto" w:sz="6" w:space="0"/>
            </w:tcBorders>
            <w:vAlign w:val="center"/>
          </w:tcPr>
          <w:p w14:paraId="4B8B3197">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2E6D7D56">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2601B92F">
            <w:pPr>
              <w:spacing w:line="500" w:lineRule="exact"/>
              <w:jc w:val="center"/>
              <w:outlineLvl w:val="9"/>
              <w:rPr>
                <w:rFonts w:ascii="宋体" w:hAnsi="宋体"/>
                <w:color w:val="auto"/>
                <w:szCs w:val="21"/>
              </w:rPr>
            </w:pPr>
          </w:p>
        </w:tc>
      </w:tr>
      <w:tr w14:paraId="1A560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C26664E">
            <w:pPr>
              <w:spacing w:line="500" w:lineRule="exact"/>
              <w:jc w:val="center"/>
              <w:outlineLvl w:val="9"/>
              <w:rPr>
                <w:rFonts w:ascii="宋体" w:hAnsi="宋体"/>
                <w:color w:val="auto"/>
                <w:szCs w:val="21"/>
              </w:rPr>
            </w:pPr>
            <w:r>
              <w:rPr>
                <w:rFonts w:hint="eastAsia" w:ascii="宋体" w:hAnsi="宋体"/>
                <w:color w:val="auto"/>
                <w:szCs w:val="21"/>
              </w:rPr>
              <w:t>第三名</w:t>
            </w:r>
          </w:p>
        </w:tc>
        <w:tc>
          <w:tcPr>
            <w:tcW w:w="4866" w:type="dxa"/>
            <w:tcBorders>
              <w:top w:val="single" w:color="auto" w:sz="6" w:space="0"/>
              <w:left w:val="single" w:color="auto" w:sz="6" w:space="0"/>
              <w:bottom w:val="single" w:color="auto" w:sz="6" w:space="0"/>
              <w:right w:val="single" w:color="auto" w:sz="6" w:space="0"/>
            </w:tcBorders>
            <w:vAlign w:val="center"/>
          </w:tcPr>
          <w:p w14:paraId="36090C58">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662DCCFD">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4B58F374">
            <w:pPr>
              <w:spacing w:line="500" w:lineRule="exact"/>
              <w:jc w:val="center"/>
              <w:outlineLvl w:val="9"/>
              <w:rPr>
                <w:rFonts w:ascii="宋体" w:hAnsi="宋体"/>
                <w:color w:val="auto"/>
                <w:szCs w:val="21"/>
              </w:rPr>
            </w:pPr>
          </w:p>
        </w:tc>
      </w:tr>
      <w:tr w14:paraId="2E9EC1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E7A6066">
            <w:pPr>
              <w:spacing w:line="500" w:lineRule="exact"/>
              <w:jc w:val="center"/>
              <w:outlineLvl w:val="9"/>
              <w:rPr>
                <w:rFonts w:ascii="宋体" w:hAnsi="宋体"/>
                <w:color w:val="auto"/>
                <w:szCs w:val="21"/>
              </w:rPr>
            </w:pPr>
            <w:r>
              <w:rPr>
                <w:rFonts w:hint="eastAsia" w:ascii="宋体" w:hAnsi="宋体"/>
                <w:color w:val="auto"/>
                <w:szCs w:val="21"/>
              </w:rPr>
              <w:t>第四名</w:t>
            </w:r>
          </w:p>
        </w:tc>
        <w:tc>
          <w:tcPr>
            <w:tcW w:w="4866" w:type="dxa"/>
            <w:tcBorders>
              <w:top w:val="single" w:color="auto" w:sz="6" w:space="0"/>
              <w:left w:val="single" w:color="auto" w:sz="6" w:space="0"/>
              <w:bottom w:val="single" w:color="auto" w:sz="6" w:space="0"/>
              <w:right w:val="single" w:color="auto" w:sz="6" w:space="0"/>
            </w:tcBorders>
            <w:vAlign w:val="center"/>
          </w:tcPr>
          <w:p w14:paraId="4C0536E9">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2802E22E">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164682E8">
            <w:pPr>
              <w:spacing w:line="500" w:lineRule="exact"/>
              <w:jc w:val="center"/>
              <w:outlineLvl w:val="9"/>
              <w:rPr>
                <w:rFonts w:ascii="宋体" w:hAnsi="宋体"/>
                <w:color w:val="auto"/>
                <w:szCs w:val="21"/>
              </w:rPr>
            </w:pPr>
          </w:p>
        </w:tc>
      </w:tr>
      <w:tr w14:paraId="793FE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58B79FA">
            <w:pPr>
              <w:spacing w:line="500" w:lineRule="exact"/>
              <w:jc w:val="center"/>
              <w:outlineLvl w:val="9"/>
              <w:rPr>
                <w:rFonts w:ascii="宋体" w:hAnsi="宋体"/>
                <w:color w:val="auto"/>
                <w:szCs w:val="21"/>
              </w:rPr>
            </w:pPr>
            <w:r>
              <w:rPr>
                <w:rFonts w:hint="eastAsia" w:ascii="宋体" w:hAnsi="宋体"/>
                <w:color w:val="auto"/>
                <w:szCs w:val="21"/>
              </w:rPr>
              <w:t>第五名</w:t>
            </w:r>
          </w:p>
        </w:tc>
        <w:tc>
          <w:tcPr>
            <w:tcW w:w="4866" w:type="dxa"/>
            <w:tcBorders>
              <w:top w:val="single" w:color="auto" w:sz="6" w:space="0"/>
              <w:left w:val="single" w:color="auto" w:sz="6" w:space="0"/>
              <w:bottom w:val="single" w:color="auto" w:sz="6" w:space="0"/>
              <w:right w:val="single" w:color="auto" w:sz="6" w:space="0"/>
            </w:tcBorders>
            <w:vAlign w:val="center"/>
          </w:tcPr>
          <w:p w14:paraId="1622A8A6">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1695D067">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3500B03E">
            <w:pPr>
              <w:spacing w:line="500" w:lineRule="exact"/>
              <w:jc w:val="center"/>
              <w:outlineLvl w:val="9"/>
              <w:rPr>
                <w:rFonts w:ascii="宋体" w:hAnsi="宋体"/>
                <w:color w:val="auto"/>
                <w:szCs w:val="21"/>
              </w:rPr>
            </w:pPr>
          </w:p>
        </w:tc>
      </w:tr>
      <w:tr w14:paraId="0E1735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71D4F160">
            <w:pPr>
              <w:spacing w:line="500" w:lineRule="exact"/>
              <w:jc w:val="center"/>
              <w:outlineLvl w:val="9"/>
              <w:rPr>
                <w:rFonts w:ascii="宋体" w:hAnsi="宋体"/>
                <w:color w:val="auto"/>
                <w:szCs w:val="21"/>
              </w:rPr>
            </w:pPr>
          </w:p>
        </w:tc>
        <w:tc>
          <w:tcPr>
            <w:tcW w:w="4866" w:type="dxa"/>
            <w:tcBorders>
              <w:top w:val="single" w:color="auto" w:sz="6" w:space="0"/>
              <w:left w:val="single" w:color="auto" w:sz="6" w:space="0"/>
              <w:bottom w:val="single" w:color="auto" w:sz="6" w:space="0"/>
              <w:right w:val="single" w:color="auto" w:sz="6" w:space="0"/>
            </w:tcBorders>
            <w:vAlign w:val="center"/>
          </w:tcPr>
          <w:p w14:paraId="3CE27B8D">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6CAA3305">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007515C0">
            <w:pPr>
              <w:spacing w:line="500" w:lineRule="exact"/>
              <w:jc w:val="center"/>
              <w:outlineLvl w:val="9"/>
              <w:rPr>
                <w:rFonts w:ascii="宋体" w:hAnsi="宋体"/>
                <w:color w:val="auto"/>
                <w:szCs w:val="21"/>
              </w:rPr>
            </w:pPr>
          </w:p>
        </w:tc>
      </w:tr>
      <w:tr w14:paraId="00A3EC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12" w:space="0"/>
              <w:right w:val="single" w:color="auto" w:sz="6" w:space="0"/>
            </w:tcBorders>
            <w:vAlign w:val="center"/>
          </w:tcPr>
          <w:p w14:paraId="6459A845">
            <w:pPr>
              <w:spacing w:line="500" w:lineRule="exact"/>
              <w:jc w:val="center"/>
              <w:outlineLvl w:val="9"/>
              <w:rPr>
                <w:rFonts w:ascii="宋体" w:hAnsi="宋体"/>
                <w:color w:val="auto"/>
                <w:szCs w:val="21"/>
              </w:rPr>
            </w:pPr>
            <w:r>
              <w:rPr>
                <w:rFonts w:hint="eastAsia" w:ascii="宋体" w:hAnsi="宋体"/>
                <w:color w:val="auto"/>
                <w:szCs w:val="21"/>
              </w:rPr>
              <w:t>……</w:t>
            </w:r>
          </w:p>
        </w:tc>
        <w:tc>
          <w:tcPr>
            <w:tcW w:w="4866" w:type="dxa"/>
            <w:tcBorders>
              <w:top w:val="single" w:color="auto" w:sz="6" w:space="0"/>
              <w:left w:val="single" w:color="auto" w:sz="6" w:space="0"/>
              <w:bottom w:val="single" w:color="auto" w:sz="12" w:space="0"/>
              <w:right w:val="single" w:color="auto" w:sz="6" w:space="0"/>
            </w:tcBorders>
            <w:vAlign w:val="center"/>
          </w:tcPr>
          <w:p w14:paraId="3A263690">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12" w:space="0"/>
              <w:right w:val="single" w:color="auto" w:sz="4" w:space="0"/>
            </w:tcBorders>
            <w:vAlign w:val="center"/>
          </w:tcPr>
          <w:p w14:paraId="374DEDC6">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12" w:space="0"/>
              <w:right w:val="single" w:color="auto" w:sz="12" w:space="0"/>
            </w:tcBorders>
            <w:vAlign w:val="center"/>
          </w:tcPr>
          <w:p w14:paraId="6F7852F0">
            <w:pPr>
              <w:spacing w:line="500" w:lineRule="exact"/>
              <w:jc w:val="center"/>
              <w:outlineLvl w:val="9"/>
              <w:rPr>
                <w:rFonts w:ascii="宋体" w:hAnsi="宋体"/>
                <w:color w:val="auto"/>
                <w:szCs w:val="21"/>
              </w:rPr>
            </w:pPr>
          </w:p>
        </w:tc>
      </w:tr>
    </w:tbl>
    <w:p w14:paraId="24CD34AB">
      <w:pPr>
        <w:outlineLvl w:val="9"/>
        <w:rPr>
          <w:color w:val="auto"/>
        </w:rPr>
      </w:pPr>
    </w:p>
    <w:p w14:paraId="59F2121F">
      <w:pPr>
        <w:outlineLvl w:val="9"/>
        <w:rPr>
          <w:color w:val="auto"/>
        </w:rPr>
      </w:pPr>
    </w:p>
    <w:p w14:paraId="1C7DBCE6">
      <w:pPr>
        <w:outlineLvl w:val="9"/>
        <w:rPr>
          <w:color w:val="auto"/>
        </w:rPr>
      </w:pPr>
    </w:p>
    <w:p w14:paraId="7C053FB7">
      <w:pPr>
        <w:adjustRightInd w:val="0"/>
        <w:snapToGrid w:val="0"/>
        <w:spacing w:beforeLines="50" w:line="360" w:lineRule="auto"/>
        <w:outlineLvl w:val="9"/>
        <w:rPr>
          <w:rFonts w:ascii="宋体" w:hAnsi="宋体"/>
          <w:b/>
          <w:color w:val="auto"/>
          <w:sz w:val="32"/>
          <w:szCs w:val="32"/>
        </w:rPr>
      </w:pPr>
    </w:p>
    <w:p w14:paraId="48E44E72">
      <w:pPr>
        <w:adjustRightInd w:val="0"/>
        <w:snapToGrid w:val="0"/>
        <w:spacing w:beforeLines="50" w:line="360" w:lineRule="auto"/>
        <w:jc w:val="center"/>
        <w:outlineLvl w:val="9"/>
        <w:rPr>
          <w:rFonts w:ascii="宋体" w:hAnsi="宋体"/>
          <w:b/>
          <w:color w:val="auto"/>
          <w:sz w:val="32"/>
          <w:szCs w:val="32"/>
        </w:rPr>
      </w:pPr>
    </w:p>
    <w:p w14:paraId="499BAD81">
      <w:pPr>
        <w:adjustRightInd w:val="0"/>
        <w:snapToGrid w:val="0"/>
        <w:spacing w:beforeLines="50" w:line="360" w:lineRule="auto"/>
        <w:jc w:val="center"/>
        <w:outlineLvl w:val="0"/>
      </w:pPr>
      <w:r>
        <w:rPr>
          <w:rFonts w:hint="eastAsia" w:ascii="宋体" w:hAnsi="宋体"/>
          <w:b/>
          <w:color w:val="auto"/>
          <w:sz w:val="32"/>
          <w:szCs w:val="32"/>
        </w:rPr>
        <w:br w:type="page"/>
      </w:r>
      <w:bookmarkStart w:id="12" w:name="_Toc16594"/>
      <w:r>
        <w:rPr>
          <w:rFonts w:hint="eastAsia" w:ascii="宋体" w:hAnsi="宋体"/>
          <w:b/>
          <w:color w:val="auto"/>
          <w:sz w:val="32"/>
          <w:szCs w:val="32"/>
        </w:rPr>
        <w:t xml:space="preserve">第四章  </w:t>
      </w:r>
      <w:bookmarkEnd w:id="12"/>
      <w:r>
        <w:rPr>
          <w:rFonts w:hint="eastAsia" w:ascii="宋体" w:hAnsi="宋体"/>
          <w:b/>
          <w:bCs/>
          <w:color w:val="auto"/>
          <w:sz w:val="32"/>
          <w:szCs w:val="32"/>
          <w:lang w:eastAsia="zh-CN"/>
        </w:rPr>
        <w:t>采购合同格式</w:t>
      </w:r>
    </w:p>
    <w:p w14:paraId="2489D9B6">
      <w:pPr>
        <w:pStyle w:val="4"/>
        <w:adjustRightInd w:val="0"/>
        <w:snapToGrid w:val="0"/>
        <w:jc w:val="center"/>
        <w:rPr>
          <w:rFonts w:hint="eastAsia" w:ascii="黑体" w:hAnsi="华文中宋" w:eastAsia="黑体"/>
          <w:sz w:val="28"/>
          <w:szCs w:val="28"/>
          <w:lang w:eastAsia="zh-CN"/>
        </w:rPr>
      </w:pPr>
      <w:bookmarkStart w:id="13" w:name="_Toc22537"/>
      <w:r>
        <w:rPr>
          <w:rFonts w:hint="eastAsia" w:ascii="黑体" w:hAnsi="华文中宋" w:eastAsia="黑体"/>
          <w:sz w:val="28"/>
          <w:szCs w:val="28"/>
        </w:rPr>
        <w:t>政府采购合同协议书</w:t>
      </w:r>
      <w:bookmarkEnd w:id="13"/>
      <w:r>
        <w:rPr>
          <w:rFonts w:hint="eastAsia" w:ascii="黑体" w:hAnsi="华文中宋" w:eastAsia="黑体"/>
          <w:sz w:val="28"/>
          <w:szCs w:val="28"/>
          <w:lang w:eastAsia="zh-CN"/>
        </w:rPr>
        <w:t>（格式）</w:t>
      </w:r>
    </w:p>
    <w:p w14:paraId="647E1FB1">
      <w:pPr>
        <w:adjustRightInd w:val="0"/>
        <w:snapToGrid w:val="0"/>
        <w:spacing w:beforeLines="50" w:line="360" w:lineRule="auto"/>
        <w:ind w:firstLine="5460" w:firstLineChars="26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采购合同编号：</w:t>
      </w:r>
      <w:r>
        <w:rPr>
          <w:rFonts w:asciiTheme="minorEastAsia" w:hAnsiTheme="minorEastAsia" w:eastAsiaTheme="minorEastAsia"/>
          <w:color w:val="000000" w:themeColor="text1"/>
          <w:szCs w:val="21"/>
          <w:u w:val="single"/>
          <w14:textFill>
            <w14:solidFill>
              <w14:schemeClr w14:val="tx1"/>
            </w14:solidFill>
          </w14:textFill>
        </w:rPr>
        <w:t xml:space="preserve">                 </w:t>
      </w:r>
    </w:p>
    <w:p w14:paraId="511710B3"/>
    <w:p w14:paraId="2B36E679">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采购人（全称）：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（甲方）</w:t>
      </w:r>
    </w:p>
    <w:p w14:paraId="3CE11850">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供应商（全称）：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（乙方）</w:t>
      </w:r>
    </w:p>
    <w:p w14:paraId="19A58316">
      <w:pPr>
        <w:pStyle w:val="21"/>
      </w:pPr>
    </w:p>
    <w:p w14:paraId="0326AE26">
      <w:pPr>
        <w:pStyle w:val="21"/>
        <w:adjustRightInd w:val="0"/>
        <w:snapToGrid w:val="0"/>
        <w:spacing w:beforeLines="50" w:after="0" w:line="360" w:lineRule="auto"/>
        <w:ind w:left="0" w:leftChars="0"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为了保护甲、乙双方合法权益，根据《中华人民共和国</w:t>
      </w:r>
      <w:r>
        <w:rPr>
          <w:rFonts w:hint="eastAsia" w:asciiTheme="minorEastAsia" w:hAnsiTheme="minorEastAsia" w:eastAsiaTheme="minorEastAsia"/>
          <w:color w:val="000000" w:themeColor="text1"/>
          <w:szCs w:val="21"/>
          <w:lang w:val="en-US" w:eastAsia="zh-CN"/>
          <w14:textFill>
            <w14:solidFill>
              <w14:schemeClr w14:val="tx1"/>
            </w14:solidFill>
          </w14:textFill>
        </w:rPr>
        <w:t>民法典</w:t>
      </w:r>
      <w:r>
        <w:rPr>
          <w:rFonts w:hint="eastAsia" w:asciiTheme="minorEastAsia" w:hAnsiTheme="minorEastAsia" w:eastAsiaTheme="minorEastAsia"/>
          <w:color w:val="000000" w:themeColor="text1"/>
          <w:szCs w:val="21"/>
          <w14:textFill>
            <w14:solidFill>
              <w14:schemeClr w14:val="tx1"/>
            </w14:solidFill>
          </w14:textFill>
        </w:rPr>
        <w:t>》、《中华人民共和国政府采购法》及其他有关法律、法规、规章，双方签订本合同协议书。</w:t>
      </w:r>
    </w:p>
    <w:p w14:paraId="01439D82">
      <w:pPr>
        <w:adjustRightInd w:val="0"/>
        <w:snapToGrid w:val="0"/>
        <w:spacing w:beforeLines="50" w:line="360" w:lineRule="auto"/>
        <w:ind w:firstLine="420"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1.项目信息</w:t>
      </w:r>
    </w:p>
    <w:p w14:paraId="11DA7D38">
      <w:pPr>
        <w:pStyle w:val="21"/>
        <w:adjustRightInd w:val="0"/>
        <w:snapToGrid w:val="0"/>
        <w:spacing w:beforeLines="50" w:after="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（1）采购项目名称：</w:t>
      </w:r>
      <w:r>
        <w:rPr>
          <w:rFonts w:asciiTheme="minorEastAsia" w:hAnsiTheme="minorEastAsia" w:eastAsiaTheme="minorEastAsia"/>
          <w:color w:val="000000" w:themeColor="text1"/>
          <w:szCs w:val="21"/>
          <w:u w:val="single"/>
          <w14:textFill>
            <w14:solidFill>
              <w14:schemeClr w14:val="tx1"/>
            </w14:solidFill>
          </w14:textFill>
        </w:rPr>
        <w:t xml:space="preserve">                                          </w:t>
      </w:r>
    </w:p>
    <w:p w14:paraId="49E9BDC3">
      <w:pPr>
        <w:pStyle w:val="21"/>
        <w:adjustRightInd w:val="0"/>
        <w:snapToGrid w:val="0"/>
        <w:spacing w:beforeLines="50" w:after="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（2）采购计划编号：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p>
    <w:p w14:paraId="1FBCE347">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（3）项目内容：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7114AF8C">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（4）项目负责人：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p>
    <w:p w14:paraId="7E60F901">
      <w:pPr>
        <w:adjustRightInd w:val="0"/>
        <w:snapToGrid w:val="0"/>
        <w:spacing w:beforeLines="50" w:line="360" w:lineRule="auto"/>
        <w:ind w:firstLine="411" w:firstLineChars="196"/>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2.合同金额</w:t>
      </w:r>
    </w:p>
    <w:p w14:paraId="0D92EB28">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（1）合同金额小写：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41E00A8D">
      <w:pPr>
        <w:adjustRightInd w:val="0"/>
        <w:snapToGrid w:val="0"/>
        <w:spacing w:beforeLines="50"/>
        <w:ind w:firstLine="1260" w:firstLineChars="6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大写：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10F6D6DA">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（2）具体标的见附件。</w:t>
      </w:r>
    </w:p>
    <w:p w14:paraId="6D378E52">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（3）合同价格形式：</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p>
    <w:p w14:paraId="6C38BD9A">
      <w:pPr>
        <w:adjustRightInd w:val="0"/>
        <w:snapToGrid w:val="0"/>
        <w:spacing w:beforeLines="50" w:line="360" w:lineRule="auto"/>
        <w:ind w:firstLine="420" w:firstLineChars="200"/>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3.履行合同的时间、地点及方式</w:t>
      </w:r>
    </w:p>
    <w:p w14:paraId="2F3B857A">
      <w:pPr>
        <w:adjustRightInd w:val="0"/>
        <w:snapToGrid w:val="0"/>
        <w:spacing w:beforeLines="50"/>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起始日期：</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日，完成日期：</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日。总日历天数：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天。</w:t>
      </w:r>
    </w:p>
    <w:p w14:paraId="42BBFCA1">
      <w:pPr>
        <w:adjustRightInd w:val="0"/>
        <w:snapToGrid w:val="0"/>
        <w:spacing w:beforeLines="50"/>
        <w:ind w:firstLine="630" w:firstLineChars="300"/>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地点</w:t>
      </w:r>
      <w:r>
        <w:rPr>
          <w:rFonts w:hint="eastAsia" w:asciiTheme="minorEastAsia" w:hAnsiTheme="minorEastAsia" w:eastAsiaTheme="minorEastAsia"/>
          <w:b/>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59496959">
      <w:pPr>
        <w:adjustRightInd w:val="0"/>
        <w:snapToGrid w:val="0"/>
        <w:spacing w:beforeLines="50"/>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方式：</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19BFCD25">
      <w:pPr>
        <w:adjustRightInd w:val="0"/>
        <w:snapToGrid w:val="0"/>
        <w:spacing w:beforeLines="50" w:line="360" w:lineRule="auto"/>
        <w:ind w:firstLine="420"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4.付款方式</w:t>
      </w:r>
    </w:p>
    <w:p w14:paraId="74E6AEAF">
      <w:pPr>
        <w:adjustRightInd w:val="0"/>
        <w:snapToGrid w:val="0"/>
        <w:spacing w:beforeLines="50"/>
        <w:ind w:firstLine="630" w:firstLineChars="300"/>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p>
    <w:p w14:paraId="5AC132F1">
      <w:pPr>
        <w:adjustRightInd w:val="0"/>
        <w:snapToGrid w:val="0"/>
        <w:spacing w:beforeLines="50"/>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2、预付款根据采购文件的约定，在合同签订前提交不超过合同金额10%的履约担保（如有）。</w:t>
      </w:r>
    </w:p>
    <w:p w14:paraId="11C17B6C">
      <w:pPr>
        <w:adjustRightInd w:val="0"/>
        <w:snapToGrid w:val="0"/>
        <w:spacing w:beforeLines="50" w:line="360" w:lineRule="auto"/>
        <w:ind w:firstLine="420"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5.解决合同纠纷方式</w:t>
      </w:r>
    </w:p>
    <w:p w14:paraId="46BAEBD7">
      <w:pPr>
        <w:adjustRightInd w:val="0"/>
        <w:snapToGrid w:val="0"/>
        <w:spacing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首先通过双方协商解决，协商解决不成，则通过以下途径之一解决纠纷：</w:t>
      </w:r>
    </w:p>
    <w:p w14:paraId="2CC45C0A">
      <w:pPr>
        <w:adjustRightInd w:val="0"/>
        <w:snapToGrid w:val="0"/>
        <w:spacing w:beforeLines="50" w:line="360" w:lineRule="auto"/>
        <w:ind w:firstLine="840" w:firstLineChars="4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sym w:font="Wingdings 2" w:char="0052"/>
      </w:r>
      <w:r>
        <w:rPr>
          <w:rFonts w:hint="eastAsia" w:asciiTheme="minorEastAsia" w:hAnsiTheme="minorEastAsia" w:eastAsiaTheme="minorEastAsia"/>
          <w:color w:val="000000" w:themeColor="text1"/>
          <w:szCs w:val="21"/>
          <w14:textFill>
            <w14:solidFill>
              <w14:schemeClr w14:val="tx1"/>
            </w14:solidFill>
          </w14:textFill>
        </w:rPr>
        <w:t xml:space="preserve"> 向甲方所在地仲裁委员会提出仲裁       □ 向人民法院提起诉讼</w:t>
      </w:r>
    </w:p>
    <w:p w14:paraId="6C4B7439">
      <w:pPr>
        <w:adjustRightInd w:val="0"/>
        <w:snapToGrid w:val="0"/>
        <w:spacing w:beforeLines="50" w:line="360" w:lineRule="auto"/>
        <w:ind w:firstLine="420"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6.组成合同的文件</w:t>
      </w:r>
    </w:p>
    <w:p w14:paraId="4D25D747">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本协议书与下列文件一起构成合同文件，如下述文件之间有任何抵触、矛盾或歧义，应按以下顺序解释：</w:t>
      </w:r>
    </w:p>
    <w:p w14:paraId="3A234CC9">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（1）在采购或合同履行过程中乙方作出的承诺以及双方协商达成的变更或补充协议</w:t>
      </w:r>
    </w:p>
    <w:p w14:paraId="3E1FD270">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（2）本合同协议书</w:t>
      </w:r>
    </w:p>
    <w:p w14:paraId="36C10BA1">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（3）中标通知书</w:t>
      </w:r>
    </w:p>
    <w:p w14:paraId="0E63E7BB">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w:t>
      </w:r>
    </w:p>
    <w:p w14:paraId="3FF6D4ED">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（5）政府采购合同专用条款</w:t>
      </w:r>
    </w:p>
    <w:p w14:paraId="02603576">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（6）政府采购合同通用条款</w:t>
      </w:r>
    </w:p>
    <w:p w14:paraId="562F5D2A">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（7）标准、规范及有关技术文件，图纸。</w:t>
      </w:r>
    </w:p>
    <w:p w14:paraId="4891B7F5">
      <w:pPr>
        <w:adjustRightInd w:val="0"/>
        <w:snapToGrid w:val="0"/>
        <w:spacing w:beforeLines="50"/>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（8）其他合同文件。</w:t>
      </w:r>
    </w:p>
    <w:p w14:paraId="462EFBC0">
      <w:pPr>
        <w:adjustRightInd w:val="0"/>
        <w:snapToGrid w:val="0"/>
        <w:spacing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7.合同生效</w:t>
      </w:r>
    </w:p>
    <w:p w14:paraId="68690792">
      <w:pPr>
        <w:adjustRightInd w:val="0"/>
        <w:snapToGrid w:val="0"/>
        <w:spacing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本合同自</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生效。</w:t>
      </w:r>
    </w:p>
    <w:p w14:paraId="4531F9FF">
      <w:pPr>
        <w:adjustRightInd w:val="0"/>
        <w:snapToGrid w:val="0"/>
        <w:spacing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8.合同份数</w:t>
      </w:r>
    </w:p>
    <w:p w14:paraId="2203B54D">
      <w:pPr>
        <w:adjustRightInd w:val="0"/>
        <w:snapToGrid w:val="0"/>
        <w:spacing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本合同一式</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份，采购人执</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份，供应商执</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份，均具有同等法律效力。</w:t>
      </w:r>
    </w:p>
    <w:p w14:paraId="2959484C"/>
    <w:p w14:paraId="135A58BA">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合同订立时间：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w:t>
      </w:r>
    </w:p>
    <w:p w14:paraId="3938643E">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合同订立地点：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6C0B6CDF">
      <w:pPr>
        <w:adjustRightInd w:val="0"/>
        <w:snapToGrid w:val="0"/>
        <w:spacing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w:t>
      </w:r>
    </w:p>
    <w:p w14:paraId="2C90158F">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甲      方：（公章）                     乙      方：（公章）</w:t>
      </w:r>
    </w:p>
    <w:p w14:paraId="6310C0C2">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法定代表人：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法定代表人：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07D2069F">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委托代理人：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委托代理人：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78133FA4">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      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      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2673A182">
      <w:pPr>
        <w:adjustRightInd w:val="0"/>
        <w:snapToGrid w:val="0"/>
        <w:spacing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传      真：</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传      真：</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107E65B3">
      <w:pPr>
        <w:adjustRightInd w:val="0"/>
        <w:snapToGrid w:val="0"/>
        <w:spacing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开 户 银 行：</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0BB9CC8B">
      <w:r>
        <w:rPr>
          <w:rFonts w:hint="eastAsia"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帐       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1681CC3E">
      <w:pPr>
        <w:jc w:val="center"/>
        <w:outlineLvl w:val="0"/>
        <w:rPr>
          <w:color w:val="auto"/>
        </w:rPr>
      </w:pPr>
      <w:r>
        <w:rPr>
          <w:rFonts w:hint="eastAsia" w:ascii="宋体" w:hAnsi="宋体"/>
          <w:b/>
          <w:bCs/>
          <w:color w:val="auto"/>
          <w:sz w:val="32"/>
          <w:szCs w:val="32"/>
        </w:rPr>
        <w:br w:type="page"/>
      </w:r>
      <w:bookmarkStart w:id="14" w:name="_Toc6113"/>
      <w:r>
        <w:rPr>
          <w:rFonts w:hint="eastAsia" w:ascii="宋体" w:hAnsi="宋体"/>
          <w:b/>
          <w:bCs/>
          <w:color w:val="auto"/>
          <w:sz w:val="32"/>
          <w:szCs w:val="32"/>
        </w:rPr>
        <w:t xml:space="preserve">第五章 </w:t>
      </w:r>
      <w:r>
        <w:rPr>
          <w:rFonts w:hint="eastAsia" w:ascii="宋体" w:hAnsi="宋体"/>
          <w:b/>
          <w:color w:val="auto"/>
          <w:sz w:val="32"/>
          <w:szCs w:val="32"/>
        </w:rPr>
        <w:t>采购需求</w:t>
      </w:r>
      <w:bookmarkEnd w:id="14"/>
    </w:p>
    <w:p w14:paraId="78477BDA">
      <w:pPr>
        <w:bidi w:val="0"/>
        <w:rPr>
          <w:rFonts w:hint="eastAsia"/>
        </w:rPr>
      </w:pPr>
    </w:p>
    <w:p w14:paraId="26D4EFE6">
      <w:pPr>
        <w:autoSpaceDE w:val="0"/>
        <w:autoSpaceDN w:val="0"/>
        <w:adjustRightInd w:val="0"/>
        <w:spacing w:line="500" w:lineRule="exact"/>
        <w:jc w:val="center"/>
        <w:outlineLvl w:val="0"/>
        <w:rPr>
          <w:rFonts w:hint="eastAsia" w:ascii="宋体" w:hAnsi="宋体" w:eastAsia="宋体"/>
          <w:b/>
          <w:color w:val="auto"/>
          <w:sz w:val="32"/>
          <w:szCs w:val="32"/>
          <w:lang w:eastAsia="zh-CN"/>
        </w:rPr>
      </w:pPr>
      <w:r>
        <w:rPr>
          <w:rFonts w:hint="eastAsia" w:ascii="宋体" w:hAnsi="宋体"/>
          <w:b/>
          <w:color w:val="auto"/>
          <w:sz w:val="32"/>
          <w:szCs w:val="32"/>
          <w:lang w:val="en-US" w:eastAsia="zh-CN"/>
        </w:rPr>
        <w:t>采购需求</w:t>
      </w:r>
    </w:p>
    <w:p w14:paraId="568F46C8">
      <w:pPr>
        <w:rPr>
          <w:color w:val="auto"/>
          <w:lang w:val="zh-CN"/>
        </w:rPr>
      </w:pPr>
    </w:p>
    <w:p w14:paraId="593F9CAB">
      <w:pPr>
        <w:spacing w:line="360" w:lineRule="auto"/>
        <w:rPr>
          <w:rFonts w:ascii="宋体" w:hAnsi="宋体" w:cs="宋体"/>
          <w:color w:val="auto"/>
          <w:sz w:val="24"/>
          <w:szCs w:val="32"/>
        </w:rPr>
      </w:pPr>
      <w:r>
        <w:rPr>
          <w:rFonts w:hint="eastAsia" w:ascii="宋体" w:hAnsi="宋体" w:cs="宋体"/>
          <w:b/>
          <w:bCs/>
          <w:color w:val="auto"/>
          <w:sz w:val="24"/>
          <w:szCs w:val="32"/>
        </w:rPr>
        <w:t>一、项目概况：</w:t>
      </w:r>
    </w:p>
    <w:p w14:paraId="5C705A90">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为了进一步规范学校食堂管理，提高学校食堂餐饮质量和食品安全保障水平，维护学生合法权益，促进学生健康成长，根据</w:t>
      </w:r>
      <w:r>
        <w:rPr>
          <w:rFonts w:hint="eastAsia" w:ascii="宋体" w:hAnsi="宋体" w:cs="宋体"/>
          <w:color w:val="auto"/>
          <w:sz w:val="24"/>
          <w:szCs w:val="32"/>
          <w:lang w:eastAsia="zh-CN"/>
        </w:rPr>
        <w:t>《</w:t>
      </w:r>
      <w:r>
        <w:rPr>
          <w:rFonts w:hint="eastAsia" w:ascii="宋体" w:hAnsi="宋体" w:cs="宋体"/>
          <w:color w:val="auto"/>
          <w:sz w:val="24"/>
          <w:szCs w:val="32"/>
          <w:lang w:val="en-US" w:eastAsia="zh-CN"/>
        </w:rPr>
        <w:t>中华人民共和国政府采购法</w:t>
      </w:r>
      <w:r>
        <w:rPr>
          <w:rFonts w:hint="eastAsia" w:ascii="宋体" w:hAnsi="宋体" w:cs="宋体"/>
          <w:color w:val="auto"/>
          <w:sz w:val="24"/>
          <w:szCs w:val="32"/>
          <w:lang w:eastAsia="zh-CN"/>
        </w:rPr>
        <w:t>》、</w:t>
      </w:r>
      <w:r>
        <w:rPr>
          <w:rFonts w:hint="eastAsia" w:ascii="宋体" w:hAnsi="宋体" w:cs="宋体"/>
          <w:color w:val="auto"/>
          <w:sz w:val="24"/>
          <w:szCs w:val="32"/>
        </w:rPr>
        <w:t>《中华人民共和国食品安全法》、《学校食品安全与营养健康管理规定》</w:t>
      </w:r>
      <w:r>
        <w:rPr>
          <w:rFonts w:hint="eastAsia" w:ascii="宋体" w:hAnsi="宋体" w:cs="宋体"/>
          <w:color w:val="auto"/>
          <w:sz w:val="24"/>
          <w:szCs w:val="32"/>
          <w:lang w:eastAsia="zh-CN"/>
        </w:rPr>
        <w:t>、《湖南省中小</w:t>
      </w:r>
      <w:r>
        <w:rPr>
          <w:rFonts w:hint="eastAsia" w:ascii="宋体" w:hAnsi="宋体" w:cs="宋体"/>
          <w:color w:val="auto"/>
          <w:sz w:val="24"/>
          <w:szCs w:val="32"/>
          <w:lang w:val="en-US" w:eastAsia="zh-CN"/>
        </w:rPr>
        <w:t>学</w:t>
      </w:r>
      <w:r>
        <w:rPr>
          <w:rFonts w:hint="eastAsia" w:ascii="宋体" w:hAnsi="宋体" w:cs="宋体"/>
          <w:color w:val="auto"/>
          <w:sz w:val="24"/>
          <w:szCs w:val="32"/>
          <w:lang w:eastAsia="zh-CN"/>
        </w:rPr>
        <w:t>学生食堂管理办法》、《常德市中小学</w:t>
      </w:r>
      <w:r>
        <w:rPr>
          <w:rFonts w:hint="eastAsia" w:ascii="宋体" w:hAnsi="宋体" w:cs="宋体"/>
          <w:color w:val="auto"/>
          <w:sz w:val="24"/>
          <w:szCs w:val="32"/>
          <w:lang w:val="en-US" w:eastAsia="zh-CN"/>
        </w:rPr>
        <w:t>学</w:t>
      </w:r>
      <w:r>
        <w:rPr>
          <w:rFonts w:hint="eastAsia" w:ascii="宋体" w:hAnsi="宋体" w:cs="宋体"/>
          <w:color w:val="auto"/>
          <w:sz w:val="24"/>
          <w:szCs w:val="32"/>
          <w:lang w:eastAsia="zh-CN"/>
        </w:rPr>
        <w:t>生食堂管理实施细则》</w:t>
      </w:r>
      <w:r>
        <w:rPr>
          <w:rFonts w:hint="eastAsia" w:ascii="宋体" w:hAnsi="宋体" w:cs="宋体"/>
          <w:color w:val="auto"/>
          <w:sz w:val="24"/>
          <w:szCs w:val="32"/>
        </w:rPr>
        <w:t>等有关规定，现采用</w:t>
      </w:r>
      <w:r>
        <w:rPr>
          <w:rFonts w:hint="eastAsia" w:ascii="宋体" w:hAnsi="宋体" w:cs="宋体"/>
          <w:color w:val="auto"/>
          <w:sz w:val="24"/>
          <w:szCs w:val="32"/>
          <w:lang w:val="en-US" w:eastAsia="zh-CN"/>
        </w:rPr>
        <w:t>竞争性磋商</w:t>
      </w:r>
      <w:r>
        <w:rPr>
          <w:rFonts w:hint="eastAsia" w:ascii="宋体" w:hAnsi="宋体" w:cs="宋体"/>
          <w:color w:val="auto"/>
          <w:sz w:val="24"/>
          <w:szCs w:val="32"/>
        </w:rPr>
        <w:t>方式确定食堂大宗</w:t>
      </w:r>
      <w:r>
        <w:rPr>
          <w:rFonts w:hint="eastAsia" w:ascii="宋体" w:hAnsi="宋体" w:cs="宋体"/>
          <w:color w:val="auto"/>
          <w:sz w:val="24"/>
          <w:szCs w:val="32"/>
          <w:lang w:val="en-US" w:eastAsia="zh-CN"/>
        </w:rPr>
        <w:t>食材</w:t>
      </w:r>
      <w:r>
        <w:rPr>
          <w:rFonts w:hint="eastAsia" w:ascii="宋体" w:hAnsi="宋体" w:cs="宋体"/>
          <w:color w:val="auto"/>
          <w:sz w:val="24"/>
          <w:szCs w:val="32"/>
        </w:rPr>
        <w:t>物资采购供应商准入。</w:t>
      </w:r>
    </w:p>
    <w:p w14:paraId="1F85A22F">
      <w:pPr>
        <w:spacing w:line="360" w:lineRule="auto"/>
        <w:rPr>
          <w:rFonts w:ascii="宋体" w:hAnsi="宋体" w:cs="宋体"/>
          <w:color w:val="auto"/>
          <w:sz w:val="24"/>
          <w:szCs w:val="32"/>
        </w:rPr>
      </w:pPr>
      <w:r>
        <w:rPr>
          <w:rFonts w:hint="eastAsia" w:ascii="宋体" w:hAnsi="宋体" w:cs="宋体"/>
          <w:b/>
          <w:bCs/>
          <w:color w:val="auto"/>
          <w:sz w:val="24"/>
          <w:szCs w:val="32"/>
        </w:rPr>
        <w:t>二、品类与采购供应商数量等要求：</w:t>
      </w:r>
    </w:p>
    <w:tbl>
      <w:tblPr>
        <w:tblStyle w:val="50"/>
        <w:tblW w:w="8418" w:type="dxa"/>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shd w:val="clear" w:color="auto" w:fill="F9F9F9"/>
        <w:tblLayout w:type="fixed"/>
        <w:tblCellMar>
          <w:top w:w="15" w:type="dxa"/>
          <w:left w:w="15" w:type="dxa"/>
          <w:bottom w:w="15" w:type="dxa"/>
          <w:right w:w="15" w:type="dxa"/>
        </w:tblCellMar>
      </w:tblPr>
      <w:tblGrid>
        <w:gridCol w:w="1205"/>
        <w:gridCol w:w="4265"/>
        <w:gridCol w:w="2948"/>
      </w:tblGrid>
      <w:tr w14:paraId="21628ED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shd w:val="clear" w:color="auto" w:fill="F9F9F9"/>
          <w:tblCellMar>
            <w:top w:w="15" w:type="dxa"/>
            <w:left w:w="15" w:type="dxa"/>
            <w:bottom w:w="15" w:type="dxa"/>
            <w:right w:w="15" w:type="dxa"/>
          </w:tblCellMar>
        </w:tblPrEx>
        <w:trPr>
          <w:trHeight w:val="435" w:hRule="atLeast"/>
        </w:trPr>
        <w:tc>
          <w:tcPr>
            <w:tcW w:w="1205" w:type="dxa"/>
            <w:tcBorders>
              <w:tl2br w:val="nil"/>
              <w:tr2bl w:val="nil"/>
            </w:tcBorders>
            <w:shd w:val="clear" w:color="auto" w:fill="F9F9F9"/>
            <w:tcMar>
              <w:top w:w="0" w:type="dxa"/>
              <w:left w:w="105" w:type="dxa"/>
              <w:bottom w:w="0" w:type="dxa"/>
              <w:right w:w="105" w:type="dxa"/>
            </w:tcMar>
            <w:vAlign w:val="center"/>
          </w:tcPr>
          <w:p w14:paraId="3EC7CACE">
            <w:pPr>
              <w:jc w:val="center"/>
              <w:rPr>
                <w:rFonts w:ascii="宋体" w:hAnsi="宋体" w:cs="宋体"/>
                <w:color w:val="auto"/>
                <w:sz w:val="24"/>
                <w:szCs w:val="24"/>
              </w:rPr>
            </w:pPr>
            <w:r>
              <w:rPr>
                <w:rFonts w:hint="eastAsia" w:ascii="宋体" w:hAnsi="宋体" w:cs="宋体"/>
                <w:color w:val="auto"/>
                <w:sz w:val="24"/>
                <w:szCs w:val="24"/>
              </w:rPr>
              <w:t>标段</w:t>
            </w:r>
          </w:p>
        </w:tc>
        <w:tc>
          <w:tcPr>
            <w:tcW w:w="4265" w:type="dxa"/>
            <w:tcBorders>
              <w:tl2br w:val="nil"/>
              <w:tr2bl w:val="nil"/>
            </w:tcBorders>
            <w:shd w:val="clear" w:color="auto" w:fill="F9F9F9"/>
            <w:tcMar>
              <w:top w:w="0" w:type="dxa"/>
              <w:left w:w="105" w:type="dxa"/>
              <w:bottom w:w="0" w:type="dxa"/>
              <w:right w:w="105" w:type="dxa"/>
            </w:tcMar>
            <w:vAlign w:val="center"/>
          </w:tcPr>
          <w:p w14:paraId="07E3E19C">
            <w:pPr>
              <w:jc w:val="center"/>
              <w:rPr>
                <w:rFonts w:ascii="宋体" w:hAnsi="宋体" w:cs="宋体"/>
                <w:color w:val="auto"/>
                <w:sz w:val="24"/>
                <w:szCs w:val="24"/>
              </w:rPr>
            </w:pPr>
            <w:r>
              <w:rPr>
                <w:rFonts w:hint="eastAsia" w:ascii="宋体" w:hAnsi="宋体" w:cs="宋体"/>
                <w:color w:val="auto"/>
                <w:sz w:val="24"/>
                <w:szCs w:val="24"/>
              </w:rPr>
              <w:t>品类</w:t>
            </w:r>
          </w:p>
        </w:tc>
        <w:tc>
          <w:tcPr>
            <w:tcW w:w="2948" w:type="dxa"/>
            <w:tcBorders>
              <w:tl2br w:val="nil"/>
              <w:tr2bl w:val="nil"/>
            </w:tcBorders>
            <w:shd w:val="clear" w:color="auto" w:fill="F9F9F9"/>
            <w:tcMar>
              <w:top w:w="0" w:type="dxa"/>
              <w:left w:w="105" w:type="dxa"/>
              <w:bottom w:w="0" w:type="dxa"/>
              <w:right w:w="105" w:type="dxa"/>
            </w:tcMar>
            <w:vAlign w:val="center"/>
          </w:tcPr>
          <w:p w14:paraId="3BE18E12">
            <w:pPr>
              <w:jc w:val="center"/>
              <w:rPr>
                <w:rFonts w:ascii="宋体" w:hAnsi="宋体" w:cs="宋体"/>
                <w:color w:val="FF0000"/>
                <w:sz w:val="24"/>
                <w:szCs w:val="24"/>
                <w:highlight w:val="none"/>
              </w:rPr>
            </w:pPr>
            <w:r>
              <w:rPr>
                <w:rFonts w:hint="eastAsia" w:ascii="宋体" w:hAnsi="宋体" w:cs="宋体"/>
                <w:color w:val="FF0000"/>
                <w:sz w:val="24"/>
                <w:szCs w:val="24"/>
                <w:highlight w:val="none"/>
              </w:rPr>
              <w:t>采购供应商入围数量上限</w:t>
            </w:r>
          </w:p>
        </w:tc>
      </w:tr>
      <w:tr w14:paraId="7AE41BF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15" w:type="dxa"/>
            <w:left w:w="15" w:type="dxa"/>
            <w:bottom w:w="15" w:type="dxa"/>
            <w:right w:w="15" w:type="dxa"/>
          </w:tblCellMar>
        </w:tblPrEx>
        <w:trPr>
          <w:trHeight w:val="435" w:hRule="atLeast"/>
        </w:trPr>
        <w:tc>
          <w:tcPr>
            <w:tcW w:w="1205" w:type="dxa"/>
            <w:tcBorders>
              <w:tl2br w:val="nil"/>
              <w:tr2bl w:val="nil"/>
            </w:tcBorders>
            <w:shd w:val="clear" w:color="auto" w:fill="F9F9F9"/>
            <w:tcMar>
              <w:top w:w="0" w:type="dxa"/>
              <w:left w:w="105" w:type="dxa"/>
              <w:bottom w:w="0" w:type="dxa"/>
              <w:right w:w="105" w:type="dxa"/>
            </w:tcMar>
            <w:vAlign w:val="center"/>
          </w:tcPr>
          <w:p w14:paraId="3854AF8D">
            <w:pPr>
              <w:jc w:val="center"/>
              <w:rPr>
                <w:rFonts w:ascii="宋体" w:hAnsi="宋体" w:cs="宋体"/>
                <w:color w:val="auto"/>
                <w:sz w:val="24"/>
                <w:szCs w:val="24"/>
              </w:rPr>
            </w:pPr>
            <w:r>
              <w:rPr>
                <w:rFonts w:hint="eastAsia" w:ascii="宋体" w:hAnsi="宋体" w:cs="宋体"/>
                <w:color w:val="auto"/>
                <w:sz w:val="24"/>
                <w:szCs w:val="24"/>
              </w:rPr>
              <w:t>第1</w:t>
            </w:r>
            <w:r>
              <w:rPr>
                <w:rFonts w:hint="eastAsia" w:ascii="宋体" w:hAnsi="宋体" w:cs="宋体"/>
                <w:color w:val="auto"/>
                <w:sz w:val="24"/>
                <w:szCs w:val="32"/>
                <w:lang w:val="en-US" w:eastAsia="zh-CN"/>
              </w:rPr>
              <w:t>包段</w:t>
            </w:r>
          </w:p>
        </w:tc>
        <w:tc>
          <w:tcPr>
            <w:tcW w:w="4265" w:type="dxa"/>
            <w:tcBorders>
              <w:tl2br w:val="nil"/>
              <w:tr2bl w:val="nil"/>
            </w:tcBorders>
            <w:shd w:val="clear" w:color="auto" w:fill="F9F9F9"/>
            <w:tcMar>
              <w:top w:w="0" w:type="dxa"/>
              <w:left w:w="105" w:type="dxa"/>
              <w:bottom w:w="0" w:type="dxa"/>
              <w:right w:w="105" w:type="dxa"/>
            </w:tcMar>
            <w:vAlign w:val="center"/>
          </w:tcPr>
          <w:p w14:paraId="10717180">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米面油</w:t>
            </w:r>
          </w:p>
        </w:tc>
        <w:tc>
          <w:tcPr>
            <w:tcW w:w="2948" w:type="dxa"/>
            <w:tcBorders>
              <w:tl2br w:val="nil"/>
              <w:tr2bl w:val="nil"/>
            </w:tcBorders>
            <w:shd w:val="clear" w:color="auto" w:fill="F9F9F9"/>
            <w:tcMar>
              <w:top w:w="0" w:type="dxa"/>
              <w:left w:w="105" w:type="dxa"/>
              <w:bottom w:w="0" w:type="dxa"/>
              <w:right w:w="105" w:type="dxa"/>
            </w:tcMar>
            <w:vAlign w:val="center"/>
          </w:tcPr>
          <w:p w14:paraId="2D308EE3">
            <w:pPr>
              <w:jc w:val="center"/>
              <w:rPr>
                <w:rFonts w:ascii="宋体" w:hAnsi="宋体" w:cs="宋体"/>
                <w:color w:val="FF0000"/>
                <w:sz w:val="24"/>
                <w:szCs w:val="24"/>
                <w:highlight w:val="none"/>
              </w:rPr>
            </w:pPr>
            <w:r>
              <w:rPr>
                <w:rFonts w:hint="eastAsia" w:ascii="宋体" w:hAnsi="宋体" w:cs="宋体"/>
                <w:color w:val="FF0000"/>
                <w:sz w:val="24"/>
                <w:szCs w:val="24"/>
                <w:highlight w:val="none"/>
                <w:lang w:val="en-US" w:eastAsia="zh-CN"/>
              </w:rPr>
              <w:t>2</w:t>
            </w:r>
            <w:r>
              <w:rPr>
                <w:rFonts w:hint="eastAsia" w:ascii="宋体" w:hAnsi="宋体" w:cs="宋体"/>
                <w:color w:val="FF0000"/>
                <w:sz w:val="24"/>
                <w:szCs w:val="24"/>
                <w:highlight w:val="none"/>
              </w:rPr>
              <w:t>家</w:t>
            </w:r>
          </w:p>
        </w:tc>
      </w:tr>
      <w:tr w14:paraId="7E1B209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shd w:val="clear" w:color="auto" w:fill="F9F9F9"/>
          <w:tblCellMar>
            <w:top w:w="15" w:type="dxa"/>
            <w:left w:w="15" w:type="dxa"/>
            <w:bottom w:w="15" w:type="dxa"/>
            <w:right w:w="15" w:type="dxa"/>
          </w:tblCellMar>
        </w:tblPrEx>
        <w:trPr>
          <w:trHeight w:val="435" w:hRule="atLeast"/>
        </w:trPr>
        <w:tc>
          <w:tcPr>
            <w:tcW w:w="1205" w:type="dxa"/>
            <w:tcBorders>
              <w:tl2br w:val="nil"/>
              <w:tr2bl w:val="nil"/>
            </w:tcBorders>
            <w:shd w:val="clear" w:color="auto" w:fill="F9F9F9"/>
            <w:tcMar>
              <w:top w:w="0" w:type="dxa"/>
              <w:left w:w="105" w:type="dxa"/>
              <w:bottom w:w="0" w:type="dxa"/>
              <w:right w:w="105" w:type="dxa"/>
            </w:tcMar>
            <w:vAlign w:val="center"/>
          </w:tcPr>
          <w:p w14:paraId="5B4D6CCF">
            <w:pPr>
              <w:jc w:val="center"/>
              <w:rPr>
                <w:rFonts w:ascii="宋体" w:hAnsi="宋体" w:cs="宋体"/>
                <w:color w:val="auto"/>
                <w:sz w:val="24"/>
                <w:szCs w:val="24"/>
              </w:rPr>
            </w:pPr>
            <w:r>
              <w:rPr>
                <w:rFonts w:hint="eastAsia" w:ascii="宋体" w:hAnsi="宋体" w:cs="宋体"/>
                <w:color w:val="auto"/>
                <w:sz w:val="24"/>
                <w:szCs w:val="32"/>
              </w:rPr>
              <w:t>第2</w:t>
            </w:r>
            <w:r>
              <w:rPr>
                <w:rFonts w:hint="eastAsia" w:ascii="宋体" w:hAnsi="宋体" w:cs="宋体"/>
                <w:color w:val="auto"/>
                <w:sz w:val="24"/>
                <w:szCs w:val="32"/>
                <w:lang w:val="en-US" w:eastAsia="zh-CN"/>
              </w:rPr>
              <w:t>包段</w:t>
            </w:r>
          </w:p>
        </w:tc>
        <w:tc>
          <w:tcPr>
            <w:tcW w:w="4265" w:type="dxa"/>
            <w:tcBorders>
              <w:tl2br w:val="nil"/>
              <w:tr2bl w:val="nil"/>
            </w:tcBorders>
            <w:shd w:val="clear" w:color="auto" w:fill="F9F9F9"/>
            <w:tcMar>
              <w:top w:w="0" w:type="dxa"/>
              <w:left w:w="105" w:type="dxa"/>
              <w:bottom w:w="0" w:type="dxa"/>
              <w:right w:w="105" w:type="dxa"/>
            </w:tcMar>
            <w:vAlign w:val="center"/>
          </w:tcPr>
          <w:p w14:paraId="5CED00B5">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肉类</w:t>
            </w:r>
          </w:p>
        </w:tc>
        <w:tc>
          <w:tcPr>
            <w:tcW w:w="2948" w:type="dxa"/>
            <w:tcBorders>
              <w:tl2br w:val="nil"/>
              <w:tr2bl w:val="nil"/>
            </w:tcBorders>
            <w:shd w:val="clear" w:color="auto" w:fill="F9F9F9"/>
            <w:tcMar>
              <w:top w:w="0" w:type="dxa"/>
              <w:left w:w="105" w:type="dxa"/>
              <w:bottom w:w="0" w:type="dxa"/>
              <w:right w:w="105" w:type="dxa"/>
            </w:tcMar>
            <w:vAlign w:val="center"/>
          </w:tcPr>
          <w:p w14:paraId="50EF79BD">
            <w:pPr>
              <w:jc w:val="center"/>
              <w:rPr>
                <w:rFonts w:ascii="宋体" w:hAnsi="宋体" w:cs="宋体"/>
                <w:color w:val="FF0000"/>
                <w:sz w:val="24"/>
                <w:szCs w:val="24"/>
                <w:highlight w:val="none"/>
              </w:rPr>
            </w:pPr>
            <w:r>
              <w:rPr>
                <w:rFonts w:hint="eastAsia" w:ascii="宋体" w:hAnsi="宋体" w:cs="宋体"/>
                <w:color w:val="FF0000"/>
                <w:sz w:val="24"/>
                <w:szCs w:val="24"/>
                <w:highlight w:val="none"/>
                <w:lang w:val="en-US" w:eastAsia="zh-CN"/>
              </w:rPr>
              <w:t>3</w:t>
            </w:r>
            <w:r>
              <w:rPr>
                <w:rFonts w:hint="eastAsia" w:ascii="宋体" w:hAnsi="宋体" w:cs="宋体"/>
                <w:color w:val="FF0000"/>
                <w:sz w:val="24"/>
                <w:szCs w:val="24"/>
                <w:highlight w:val="none"/>
              </w:rPr>
              <w:t>家</w:t>
            </w:r>
          </w:p>
        </w:tc>
      </w:tr>
      <w:tr w14:paraId="504DB51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15" w:type="dxa"/>
            <w:left w:w="15" w:type="dxa"/>
            <w:bottom w:w="15" w:type="dxa"/>
            <w:right w:w="15" w:type="dxa"/>
          </w:tblCellMar>
        </w:tblPrEx>
        <w:trPr>
          <w:trHeight w:val="435" w:hRule="atLeast"/>
        </w:trPr>
        <w:tc>
          <w:tcPr>
            <w:tcW w:w="1205" w:type="dxa"/>
            <w:tcBorders>
              <w:tl2br w:val="nil"/>
              <w:tr2bl w:val="nil"/>
            </w:tcBorders>
            <w:shd w:val="clear" w:color="auto" w:fill="F9F9F9"/>
            <w:tcMar>
              <w:top w:w="0" w:type="dxa"/>
              <w:left w:w="105" w:type="dxa"/>
              <w:bottom w:w="0" w:type="dxa"/>
              <w:right w:w="105" w:type="dxa"/>
            </w:tcMar>
            <w:vAlign w:val="center"/>
          </w:tcPr>
          <w:p w14:paraId="611A24F5">
            <w:pPr>
              <w:jc w:val="center"/>
              <w:rPr>
                <w:rFonts w:ascii="宋体" w:hAnsi="宋体" w:cs="宋体"/>
                <w:color w:val="auto"/>
                <w:sz w:val="24"/>
                <w:szCs w:val="24"/>
              </w:rPr>
            </w:pPr>
            <w:r>
              <w:rPr>
                <w:rFonts w:hint="eastAsia" w:ascii="宋体" w:hAnsi="宋体" w:cs="宋体"/>
                <w:color w:val="auto"/>
                <w:sz w:val="24"/>
                <w:szCs w:val="32"/>
              </w:rPr>
              <w:t>第3</w:t>
            </w:r>
            <w:r>
              <w:rPr>
                <w:rFonts w:hint="eastAsia" w:ascii="宋体" w:hAnsi="宋体" w:cs="宋体"/>
                <w:color w:val="auto"/>
                <w:sz w:val="24"/>
                <w:szCs w:val="32"/>
                <w:lang w:val="en-US" w:eastAsia="zh-CN"/>
              </w:rPr>
              <w:t>包段</w:t>
            </w:r>
          </w:p>
        </w:tc>
        <w:tc>
          <w:tcPr>
            <w:tcW w:w="4265" w:type="dxa"/>
            <w:tcBorders>
              <w:tl2br w:val="nil"/>
              <w:tr2bl w:val="nil"/>
            </w:tcBorders>
            <w:shd w:val="clear" w:color="auto" w:fill="F9F9F9"/>
            <w:tcMar>
              <w:top w:w="0" w:type="dxa"/>
              <w:left w:w="105" w:type="dxa"/>
              <w:bottom w:w="0" w:type="dxa"/>
              <w:right w:w="105" w:type="dxa"/>
            </w:tcMar>
            <w:vAlign w:val="center"/>
          </w:tcPr>
          <w:p w14:paraId="57827078">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蔬菜</w:t>
            </w:r>
          </w:p>
        </w:tc>
        <w:tc>
          <w:tcPr>
            <w:tcW w:w="2948" w:type="dxa"/>
            <w:tcBorders>
              <w:tl2br w:val="nil"/>
              <w:tr2bl w:val="nil"/>
            </w:tcBorders>
            <w:shd w:val="clear" w:color="auto" w:fill="F9F9F9"/>
            <w:tcMar>
              <w:top w:w="0" w:type="dxa"/>
              <w:left w:w="105" w:type="dxa"/>
              <w:bottom w:w="0" w:type="dxa"/>
              <w:right w:w="105" w:type="dxa"/>
            </w:tcMar>
            <w:vAlign w:val="center"/>
          </w:tcPr>
          <w:p w14:paraId="3FFBF450">
            <w:pPr>
              <w:jc w:val="center"/>
              <w:rPr>
                <w:rFonts w:ascii="宋体" w:hAnsi="宋体" w:cs="宋体"/>
                <w:color w:val="FF0000"/>
                <w:sz w:val="24"/>
                <w:szCs w:val="24"/>
                <w:highlight w:val="none"/>
              </w:rPr>
            </w:pPr>
            <w:r>
              <w:rPr>
                <w:rFonts w:hint="eastAsia" w:ascii="宋体" w:hAnsi="宋体" w:cs="宋体"/>
                <w:color w:val="FF0000"/>
                <w:sz w:val="24"/>
                <w:szCs w:val="24"/>
                <w:highlight w:val="none"/>
                <w:lang w:val="en-US" w:eastAsia="zh-CN"/>
              </w:rPr>
              <w:t>1</w:t>
            </w:r>
            <w:r>
              <w:rPr>
                <w:rFonts w:hint="eastAsia" w:ascii="宋体" w:hAnsi="宋体" w:cs="宋体"/>
                <w:color w:val="FF0000"/>
                <w:sz w:val="24"/>
                <w:szCs w:val="24"/>
                <w:highlight w:val="none"/>
              </w:rPr>
              <w:t>家</w:t>
            </w:r>
          </w:p>
        </w:tc>
      </w:tr>
      <w:tr w14:paraId="0B5E354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15" w:type="dxa"/>
            <w:left w:w="15" w:type="dxa"/>
            <w:bottom w:w="15" w:type="dxa"/>
            <w:right w:w="15" w:type="dxa"/>
          </w:tblCellMar>
        </w:tblPrEx>
        <w:trPr>
          <w:trHeight w:val="435" w:hRule="atLeast"/>
        </w:trPr>
        <w:tc>
          <w:tcPr>
            <w:tcW w:w="1205" w:type="dxa"/>
            <w:tcBorders>
              <w:tl2br w:val="nil"/>
              <w:tr2bl w:val="nil"/>
            </w:tcBorders>
            <w:shd w:val="clear" w:color="auto" w:fill="F9F9F9"/>
            <w:tcMar>
              <w:top w:w="0" w:type="dxa"/>
              <w:left w:w="105" w:type="dxa"/>
              <w:bottom w:w="0" w:type="dxa"/>
              <w:right w:w="105" w:type="dxa"/>
            </w:tcMar>
            <w:vAlign w:val="center"/>
          </w:tcPr>
          <w:p w14:paraId="6B1170F9">
            <w:pPr>
              <w:jc w:val="center"/>
              <w:rPr>
                <w:rFonts w:ascii="宋体" w:hAnsi="宋体" w:cs="宋体"/>
                <w:color w:val="auto"/>
                <w:sz w:val="24"/>
                <w:szCs w:val="24"/>
              </w:rPr>
            </w:pPr>
            <w:r>
              <w:rPr>
                <w:rFonts w:hint="eastAsia" w:ascii="宋体" w:hAnsi="宋体" w:cs="宋体"/>
                <w:color w:val="auto"/>
                <w:sz w:val="24"/>
                <w:szCs w:val="32"/>
              </w:rPr>
              <w:t>第4</w:t>
            </w:r>
            <w:r>
              <w:rPr>
                <w:rFonts w:hint="eastAsia" w:ascii="宋体" w:hAnsi="宋体" w:cs="宋体"/>
                <w:color w:val="auto"/>
                <w:sz w:val="24"/>
                <w:szCs w:val="32"/>
                <w:lang w:val="en-US" w:eastAsia="zh-CN"/>
              </w:rPr>
              <w:t>包段</w:t>
            </w:r>
          </w:p>
        </w:tc>
        <w:tc>
          <w:tcPr>
            <w:tcW w:w="4265" w:type="dxa"/>
            <w:tcBorders>
              <w:tl2br w:val="nil"/>
              <w:tr2bl w:val="nil"/>
            </w:tcBorders>
            <w:shd w:val="clear" w:color="auto" w:fill="F9F9F9"/>
            <w:tcMar>
              <w:top w:w="0" w:type="dxa"/>
              <w:left w:w="105" w:type="dxa"/>
              <w:bottom w:w="0" w:type="dxa"/>
              <w:right w:w="105" w:type="dxa"/>
            </w:tcMar>
            <w:vAlign w:val="center"/>
          </w:tcPr>
          <w:p w14:paraId="781B4891">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32"/>
                <w:lang w:val="en-US" w:eastAsia="zh-CN"/>
              </w:rPr>
              <w:t>其他类</w:t>
            </w:r>
          </w:p>
        </w:tc>
        <w:tc>
          <w:tcPr>
            <w:tcW w:w="2948" w:type="dxa"/>
            <w:tcBorders>
              <w:tl2br w:val="nil"/>
              <w:tr2bl w:val="nil"/>
            </w:tcBorders>
            <w:shd w:val="clear" w:color="auto" w:fill="F9F9F9"/>
            <w:tcMar>
              <w:top w:w="0" w:type="dxa"/>
              <w:left w:w="105" w:type="dxa"/>
              <w:bottom w:w="0" w:type="dxa"/>
              <w:right w:w="105" w:type="dxa"/>
            </w:tcMar>
            <w:vAlign w:val="center"/>
          </w:tcPr>
          <w:p w14:paraId="45C162F5">
            <w:pPr>
              <w:jc w:val="center"/>
              <w:rPr>
                <w:rFonts w:ascii="宋体" w:hAnsi="宋体" w:cs="宋体"/>
                <w:color w:val="FF0000"/>
                <w:sz w:val="24"/>
                <w:szCs w:val="24"/>
                <w:highlight w:val="none"/>
              </w:rPr>
            </w:pPr>
            <w:r>
              <w:rPr>
                <w:rFonts w:hint="eastAsia" w:ascii="宋体" w:hAnsi="宋体" w:cs="宋体"/>
                <w:color w:val="FF0000"/>
                <w:sz w:val="24"/>
                <w:szCs w:val="24"/>
                <w:highlight w:val="none"/>
                <w:lang w:val="en-US" w:eastAsia="zh-CN"/>
              </w:rPr>
              <w:t>2</w:t>
            </w:r>
            <w:r>
              <w:rPr>
                <w:rFonts w:hint="eastAsia" w:ascii="宋体" w:hAnsi="宋体" w:cs="宋体"/>
                <w:color w:val="FF0000"/>
                <w:sz w:val="24"/>
                <w:szCs w:val="24"/>
                <w:highlight w:val="none"/>
              </w:rPr>
              <w:t>家</w:t>
            </w:r>
          </w:p>
        </w:tc>
      </w:tr>
      <w:tr w14:paraId="3A1C8C2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shd w:val="clear" w:color="auto" w:fill="F9F9F9"/>
          <w:tblCellMar>
            <w:top w:w="15" w:type="dxa"/>
            <w:left w:w="15" w:type="dxa"/>
            <w:bottom w:w="15" w:type="dxa"/>
            <w:right w:w="15" w:type="dxa"/>
          </w:tblCellMar>
        </w:tblPrEx>
        <w:trPr>
          <w:trHeight w:val="1466" w:hRule="atLeast"/>
        </w:trPr>
        <w:tc>
          <w:tcPr>
            <w:tcW w:w="8418" w:type="dxa"/>
            <w:gridSpan w:val="3"/>
            <w:tcBorders>
              <w:tl2br w:val="nil"/>
              <w:tr2bl w:val="nil"/>
            </w:tcBorders>
            <w:shd w:val="clear" w:color="auto" w:fill="F9F9F9"/>
            <w:tcMar>
              <w:top w:w="0" w:type="dxa"/>
              <w:left w:w="105" w:type="dxa"/>
              <w:bottom w:w="0" w:type="dxa"/>
              <w:right w:w="105" w:type="dxa"/>
            </w:tcMar>
            <w:vAlign w:val="center"/>
          </w:tcPr>
          <w:p w14:paraId="5D2C9A3E">
            <w:pPr>
              <w:rPr>
                <w:rFonts w:ascii="宋体" w:hAnsi="宋体" w:cs="宋体"/>
                <w:color w:val="auto"/>
                <w:sz w:val="24"/>
                <w:szCs w:val="24"/>
              </w:rPr>
            </w:pPr>
            <w:r>
              <w:rPr>
                <w:rFonts w:hint="eastAsia" w:ascii="宋体" w:hAnsi="宋体" w:cs="宋体"/>
                <w:b/>
                <w:bCs/>
                <w:color w:val="auto"/>
                <w:sz w:val="24"/>
                <w:szCs w:val="24"/>
              </w:rPr>
              <w:t>价格要求：</w:t>
            </w:r>
            <w:r>
              <w:rPr>
                <w:rFonts w:hint="eastAsia" w:ascii="宋体" w:hAnsi="宋体" w:cs="宋体"/>
                <w:b w:val="0"/>
                <w:bCs w:val="0"/>
                <w:color w:val="auto"/>
                <w:sz w:val="24"/>
                <w:szCs w:val="24"/>
                <w:lang w:val="en-US" w:eastAsia="zh-CN"/>
              </w:rPr>
              <w:t>食材结算价格按动态价格执行，</w:t>
            </w:r>
            <w:r>
              <w:rPr>
                <w:rFonts w:hint="eastAsia" w:ascii="宋体" w:hAnsi="宋体" w:cs="宋体"/>
                <w:color w:val="auto"/>
                <w:sz w:val="24"/>
                <w:szCs w:val="24"/>
              </w:rPr>
              <w:t>原则上应低于本地区的同期市场价格(市场实际交易价)，做到随行就市，买卖公平合理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以经</w:t>
            </w:r>
            <w:r>
              <w:rPr>
                <w:rFonts w:hint="eastAsia" w:ascii="宋体" w:hAnsi="宋体" w:cs="宋体"/>
                <w:b w:val="0"/>
                <w:bCs w:val="0"/>
                <w:color w:val="auto"/>
                <w:sz w:val="24"/>
                <w:szCs w:val="24"/>
                <w:lang w:val="en-US" w:eastAsia="zh-CN"/>
              </w:rPr>
              <w:t>采购人每月15日确认的当月结算价为准。</w:t>
            </w:r>
            <w:r>
              <w:rPr>
                <w:rFonts w:hint="eastAsia" w:ascii="宋体" w:hAnsi="宋体" w:cs="宋体"/>
                <w:color w:val="auto"/>
                <w:sz w:val="24"/>
                <w:szCs w:val="24"/>
                <w:lang w:val="en-US" w:eastAsia="zh-CN"/>
              </w:rPr>
              <w:t>结算价格包含</w:t>
            </w:r>
            <w:r>
              <w:rPr>
                <w:rFonts w:hint="eastAsia" w:ascii="宋体" w:hAnsi="宋体" w:cs="宋体"/>
                <w:color w:val="auto"/>
                <w:sz w:val="24"/>
                <w:szCs w:val="24"/>
              </w:rPr>
              <w:t>项目所需的所有费用（食材购买、运输、搬运、检验检疫、税金、人工、管理、财务等费用）。一旦中标，在项目实施中出现任何遗漏，均由供应商提供，</w:t>
            </w:r>
            <w:r>
              <w:rPr>
                <w:rFonts w:hint="eastAsia" w:ascii="宋体" w:hAnsi="宋体" w:cs="宋体"/>
                <w:color w:val="auto"/>
                <w:sz w:val="24"/>
                <w:szCs w:val="24"/>
                <w:lang w:eastAsia="zh-CN"/>
              </w:rPr>
              <w:t>采购人</w:t>
            </w:r>
            <w:r>
              <w:rPr>
                <w:rFonts w:hint="eastAsia" w:ascii="宋体" w:hAnsi="宋体" w:cs="宋体"/>
                <w:color w:val="auto"/>
                <w:sz w:val="24"/>
                <w:szCs w:val="24"/>
              </w:rPr>
              <w:t>不再支付任何费用。</w:t>
            </w:r>
          </w:p>
        </w:tc>
      </w:tr>
      <w:tr w14:paraId="25EB300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shd w:val="clear" w:color="auto" w:fill="F9F9F9"/>
          <w:tblCellMar>
            <w:top w:w="15" w:type="dxa"/>
            <w:left w:w="15" w:type="dxa"/>
            <w:bottom w:w="15" w:type="dxa"/>
            <w:right w:w="15" w:type="dxa"/>
          </w:tblCellMar>
        </w:tblPrEx>
        <w:trPr>
          <w:trHeight w:val="495" w:hRule="atLeast"/>
        </w:trPr>
        <w:tc>
          <w:tcPr>
            <w:tcW w:w="8418" w:type="dxa"/>
            <w:gridSpan w:val="3"/>
            <w:tcBorders>
              <w:tl2br w:val="nil"/>
              <w:tr2bl w:val="nil"/>
            </w:tcBorders>
            <w:shd w:val="clear" w:color="auto" w:fill="F9F9F9"/>
            <w:tcMar>
              <w:top w:w="0" w:type="dxa"/>
              <w:left w:w="105" w:type="dxa"/>
              <w:bottom w:w="0" w:type="dxa"/>
              <w:right w:w="105" w:type="dxa"/>
            </w:tcMar>
            <w:vAlign w:val="center"/>
          </w:tcPr>
          <w:p w14:paraId="435A789C">
            <w:pPr>
              <w:rPr>
                <w:rFonts w:ascii="宋体" w:hAnsi="宋体" w:cs="宋体"/>
                <w:color w:val="auto"/>
                <w:sz w:val="24"/>
                <w:szCs w:val="24"/>
              </w:rPr>
            </w:pPr>
            <w:r>
              <w:rPr>
                <w:rFonts w:hint="eastAsia" w:ascii="宋体" w:hAnsi="宋体" w:cs="宋体"/>
                <w:b/>
                <w:bCs/>
                <w:color w:val="auto"/>
                <w:sz w:val="24"/>
                <w:szCs w:val="24"/>
              </w:rPr>
              <w:t>份额要求：</w:t>
            </w:r>
            <w:r>
              <w:rPr>
                <w:rFonts w:hint="eastAsia" w:ascii="宋体" w:hAnsi="宋体" w:cs="宋体"/>
                <w:color w:val="auto"/>
                <w:sz w:val="24"/>
                <w:szCs w:val="24"/>
              </w:rPr>
              <w:t>本次采购只招准入，不保证具体采购配送的份额，以采购人实际分配任务为准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据实结算</w:t>
            </w:r>
            <w:r>
              <w:rPr>
                <w:rFonts w:hint="eastAsia" w:ascii="宋体" w:hAnsi="宋体" w:cs="宋体"/>
                <w:color w:val="auto"/>
                <w:sz w:val="24"/>
                <w:szCs w:val="24"/>
              </w:rPr>
              <w:t>。</w:t>
            </w:r>
          </w:p>
        </w:tc>
      </w:tr>
    </w:tbl>
    <w:p w14:paraId="6F4BBC38">
      <w:pPr>
        <w:spacing w:line="360" w:lineRule="auto"/>
        <w:rPr>
          <w:rFonts w:ascii="宋体" w:hAnsi="宋体" w:cs="宋体"/>
          <w:color w:val="auto"/>
          <w:sz w:val="24"/>
          <w:szCs w:val="32"/>
        </w:rPr>
      </w:pPr>
      <w:r>
        <w:rPr>
          <w:rFonts w:hint="eastAsia" w:ascii="宋体" w:hAnsi="宋体" w:cs="宋体"/>
          <w:b/>
          <w:bCs/>
          <w:color w:val="auto"/>
          <w:sz w:val="24"/>
          <w:szCs w:val="32"/>
        </w:rPr>
        <w:t>三、配送范围：</w:t>
      </w:r>
    </w:p>
    <w:p w14:paraId="545251E9">
      <w:pPr>
        <w:spacing w:line="360" w:lineRule="auto"/>
        <w:ind w:firstLine="480" w:firstLineChars="200"/>
        <w:rPr>
          <w:rFonts w:hint="eastAsia" w:ascii="宋体" w:hAnsi="宋体" w:cs="宋体"/>
          <w:color w:val="auto"/>
          <w:sz w:val="24"/>
          <w:szCs w:val="32"/>
        </w:rPr>
      </w:pPr>
      <w:r>
        <w:rPr>
          <w:rFonts w:hint="eastAsia" w:ascii="宋体" w:hAnsi="宋体" w:cs="宋体"/>
          <w:color w:val="auto"/>
          <w:sz w:val="24"/>
          <w:szCs w:val="32"/>
        </w:rPr>
        <w:t>1</w:t>
      </w:r>
      <w:r>
        <w:rPr>
          <w:rFonts w:hint="eastAsia" w:ascii="宋体" w:hAnsi="宋体" w:cs="宋体"/>
          <w:color w:val="auto"/>
          <w:sz w:val="24"/>
          <w:szCs w:val="32"/>
          <w:lang w:eastAsia="zh-CN"/>
        </w:rPr>
        <w:t>、</w:t>
      </w:r>
      <w:r>
        <w:rPr>
          <w:rFonts w:hint="eastAsia" w:ascii="宋体" w:hAnsi="宋体" w:cs="宋体"/>
          <w:color w:val="auto"/>
          <w:sz w:val="24"/>
          <w:szCs w:val="32"/>
          <w:lang w:val="en-US" w:eastAsia="zh-CN"/>
        </w:rPr>
        <w:t>临澧县职业中专学校</w:t>
      </w:r>
      <w:r>
        <w:rPr>
          <w:rFonts w:hint="eastAsia" w:ascii="宋体" w:hAnsi="宋体" w:cs="宋体"/>
          <w:color w:val="auto"/>
          <w:sz w:val="24"/>
          <w:szCs w:val="32"/>
        </w:rPr>
        <w:t>现有</w:t>
      </w:r>
      <w:r>
        <w:rPr>
          <w:rFonts w:hint="eastAsia" w:ascii="宋体" w:hAnsi="宋体" w:cs="宋体"/>
          <w:color w:val="FF0000"/>
          <w:sz w:val="24"/>
          <w:szCs w:val="32"/>
        </w:rPr>
        <w:t>教职工</w:t>
      </w:r>
      <w:r>
        <w:rPr>
          <w:rFonts w:hint="eastAsia" w:ascii="宋体" w:hAnsi="宋体" w:cs="宋体"/>
          <w:color w:val="FF0000"/>
          <w:sz w:val="24"/>
          <w:szCs w:val="32"/>
          <w:lang w:val="en-US" w:eastAsia="zh-CN"/>
        </w:rPr>
        <w:t>约</w:t>
      </w:r>
      <w:r>
        <w:rPr>
          <w:rFonts w:hint="eastAsia" w:ascii="宋体" w:hAnsi="宋体" w:cs="宋体"/>
          <w:color w:val="FF0000"/>
          <w:sz w:val="24"/>
          <w:szCs w:val="32"/>
          <w:u w:val="single"/>
        </w:rPr>
        <w:t xml:space="preserve"> </w:t>
      </w:r>
      <w:r>
        <w:rPr>
          <w:rFonts w:hint="eastAsia" w:ascii="宋体" w:hAnsi="宋体" w:cs="宋体"/>
          <w:color w:val="FF0000"/>
          <w:sz w:val="24"/>
          <w:szCs w:val="32"/>
          <w:u w:val="single"/>
          <w:lang w:val="en-US" w:eastAsia="zh-CN"/>
        </w:rPr>
        <w:t xml:space="preserve"> 170 </w:t>
      </w:r>
      <w:r>
        <w:rPr>
          <w:rFonts w:hint="eastAsia" w:ascii="宋体" w:hAnsi="宋体" w:cs="宋体"/>
          <w:color w:val="FF0000"/>
          <w:sz w:val="24"/>
          <w:szCs w:val="32"/>
        </w:rPr>
        <w:t>人，</w:t>
      </w:r>
      <w:r>
        <w:rPr>
          <w:rFonts w:hint="eastAsia" w:ascii="宋体" w:hAnsi="宋体" w:cs="宋体"/>
          <w:color w:val="FF0000"/>
          <w:sz w:val="24"/>
          <w:szCs w:val="32"/>
          <w:lang w:val="en-US" w:eastAsia="zh-CN"/>
        </w:rPr>
        <w:t>在校</w:t>
      </w:r>
      <w:r>
        <w:rPr>
          <w:rFonts w:hint="eastAsia" w:ascii="宋体" w:hAnsi="宋体" w:cs="宋体"/>
          <w:color w:val="FF0000"/>
          <w:sz w:val="24"/>
          <w:szCs w:val="32"/>
        </w:rPr>
        <w:t>学生</w:t>
      </w:r>
      <w:r>
        <w:rPr>
          <w:rFonts w:hint="eastAsia" w:ascii="宋体" w:hAnsi="宋体" w:cs="宋体"/>
          <w:color w:val="FF0000"/>
          <w:sz w:val="24"/>
          <w:szCs w:val="32"/>
          <w:lang w:val="en-US" w:eastAsia="zh-CN"/>
        </w:rPr>
        <w:t>约</w:t>
      </w:r>
      <w:r>
        <w:rPr>
          <w:rFonts w:hint="eastAsia" w:ascii="宋体" w:hAnsi="宋体" w:cs="宋体"/>
          <w:color w:val="FF0000"/>
          <w:sz w:val="24"/>
          <w:szCs w:val="32"/>
          <w:u w:val="single"/>
          <w:lang w:val="en-US" w:eastAsia="zh-CN"/>
        </w:rPr>
        <w:t xml:space="preserve"> 1400 </w:t>
      </w:r>
      <w:r>
        <w:rPr>
          <w:rFonts w:hint="eastAsia" w:ascii="宋体" w:hAnsi="宋体" w:cs="宋体"/>
          <w:color w:val="FF0000"/>
          <w:sz w:val="24"/>
          <w:szCs w:val="32"/>
        </w:rPr>
        <w:t>人。</w:t>
      </w:r>
    </w:p>
    <w:p w14:paraId="1F889F62">
      <w:pPr>
        <w:spacing w:line="360" w:lineRule="auto"/>
        <w:ind w:firstLine="480" w:firstLineChars="200"/>
        <w:rPr>
          <w:rFonts w:hint="eastAsia" w:eastAsia="宋体"/>
          <w:color w:val="auto"/>
          <w:lang w:val="en-US" w:eastAsia="zh-CN"/>
        </w:rPr>
      </w:pPr>
      <w:r>
        <w:rPr>
          <w:rFonts w:hint="eastAsia" w:ascii="宋体" w:hAnsi="宋体" w:cs="宋体"/>
          <w:color w:val="auto"/>
          <w:sz w:val="24"/>
          <w:szCs w:val="32"/>
          <w:lang w:val="en-US" w:eastAsia="zh-CN"/>
        </w:rPr>
        <w:t>2、</w:t>
      </w:r>
      <w:r>
        <w:rPr>
          <w:rFonts w:hint="eastAsia" w:ascii="宋体" w:hAnsi="宋体" w:cs="宋体"/>
          <w:color w:val="auto"/>
          <w:sz w:val="24"/>
          <w:szCs w:val="32"/>
        </w:rPr>
        <w:t>为</w:t>
      </w:r>
      <w:r>
        <w:rPr>
          <w:rFonts w:hint="eastAsia" w:ascii="宋体" w:hAnsi="宋体" w:cs="宋体"/>
          <w:color w:val="auto"/>
          <w:sz w:val="24"/>
          <w:szCs w:val="32"/>
          <w:lang w:val="en-US" w:eastAsia="zh-CN"/>
        </w:rPr>
        <w:t>采购人学校食堂</w:t>
      </w:r>
      <w:r>
        <w:rPr>
          <w:rFonts w:hint="eastAsia" w:ascii="宋体" w:hAnsi="宋体" w:cs="宋体"/>
          <w:color w:val="auto"/>
          <w:sz w:val="24"/>
          <w:szCs w:val="32"/>
        </w:rPr>
        <w:t>提供大米、面(粉)、食用油、肉类、豆制品、鸡蛋</w:t>
      </w:r>
      <w:r>
        <w:rPr>
          <w:rFonts w:hint="eastAsia" w:ascii="宋体" w:hAnsi="宋体" w:cs="宋体"/>
          <w:color w:val="auto"/>
          <w:sz w:val="24"/>
          <w:szCs w:val="32"/>
          <w:lang w:eastAsia="zh-CN"/>
        </w:rPr>
        <w:t>、</w:t>
      </w:r>
      <w:r>
        <w:rPr>
          <w:rFonts w:hint="eastAsia" w:ascii="宋体" w:hAnsi="宋体" w:cs="宋体"/>
          <w:color w:val="auto"/>
          <w:sz w:val="24"/>
          <w:szCs w:val="32"/>
          <w:lang w:val="en-US" w:eastAsia="zh-CN"/>
        </w:rPr>
        <w:t>蔬菜</w:t>
      </w:r>
      <w:r>
        <w:rPr>
          <w:rFonts w:hint="eastAsia" w:ascii="宋体" w:hAnsi="宋体" w:cs="宋体"/>
          <w:color w:val="auto"/>
          <w:sz w:val="24"/>
          <w:szCs w:val="32"/>
        </w:rPr>
        <w:t>等大宗</w:t>
      </w:r>
      <w:r>
        <w:rPr>
          <w:rFonts w:hint="eastAsia" w:ascii="宋体" w:hAnsi="宋体" w:cs="宋体"/>
          <w:color w:val="auto"/>
          <w:sz w:val="24"/>
          <w:szCs w:val="32"/>
          <w:lang w:val="en-US" w:eastAsia="zh-CN"/>
        </w:rPr>
        <w:t>食材</w:t>
      </w:r>
      <w:r>
        <w:rPr>
          <w:rFonts w:hint="eastAsia" w:ascii="宋体" w:hAnsi="宋体" w:cs="宋体"/>
          <w:color w:val="auto"/>
          <w:sz w:val="24"/>
          <w:szCs w:val="32"/>
        </w:rPr>
        <w:t>物资供应。</w:t>
      </w:r>
    </w:p>
    <w:p w14:paraId="54C8516D">
      <w:pPr>
        <w:spacing w:line="360" w:lineRule="auto"/>
        <w:rPr>
          <w:rFonts w:ascii="宋体" w:hAnsi="宋体" w:cs="宋体"/>
          <w:color w:val="auto"/>
          <w:sz w:val="24"/>
          <w:szCs w:val="32"/>
        </w:rPr>
      </w:pPr>
      <w:r>
        <w:rPr>
          <w:rFonts w:hint="eastAsia" w:ascii="宋体" w:hAnsi="宋体" w:cs="宋体"/>
          <w:b/>
          <w:bCs/>
          <w:color w:val="auto"/>
          <w:sz w:val="24"/>
          <w:szCs w:val="32"/>
        </w:rPr>
        <w:t>四、交货地点：</w:t>
      </w:r>
    </w:p>
    <w:p w14:paraId="2DF284A4">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供应商必须在</w:t>
      </w:r>
      <w:r>
        <w:rPr>
          <w:rFonts w:hint="eastAsia" w:ascii="宋体" w:hAnsi="宋体" w:cs="宋体"/>
          <w:color w:val="auto"/>
          <w:sz w:val="24"/>
          <w:szCs w:val="32"/>
          <w:lang w:eastAsia="zh-CN"/>
        </w:rPr>
        <w:t>采购人</w:t>
      </w:r>
      <w:r>
        <w:rPr>
          <w:rFonts w:hint="eastAsia" w:ascii="宋体" w:hAnsi="宋体" w:cs="宋体"/>
          <w:color w:val="auto"/>
          <w:sz w:val="24"/>
          <w:szCs w:val="32"/>
        </w:rPr>
        <w:t>指定交货地点按时按需供货。</w:t>
      </w:r>
    </w:p>
    <w:p w14:paraId="6E9F133E">
      <w:pPr>
        <w:spacing w:line="360" w:lineRule="auto"/>
        <w:rPr>
          <w:rFonts w:ascii="宋体" w:hAnsi="宋体" w:cs="宋体"/>
          <w:color w:val="auto"/>
          <w:sz w:val="24"/>
          <w:szCs w:val="32"/>
        </w:rPr>
      </w:pPr>
      <w:r>
        <w:rPr>
          <w:rFonts w:hint="eastAsia" w:ascii="宋体" w:hAnsi="宋体" w:cs="宋体"/>
          <w:b/>
          <w:bCs/>
          <w:color w:val="auto"/>
          <w:sz w:val="24"/>
          <w:szCs w:val="32"/>
        </w:rPr>
        <w:t>五、合同期限：</w:t>
      </w:r>
    </w:p>
    <w:p w14:paraId="39D3BCBC">
      <w:pPr>
        <w:spacing w:line="360" w:lineRule="auto"/>
        <w:ind w:firstLine="480" w:firstLineChars="200"/>
        <w:rPr>
          <w:rFonts w:ascii="宋体" w:hAnsi="宋体" w:cs="宋体"/>
          <w:color w:val="FF0000"/>
          <w:sz w:val="24"/>
          <w:szCs w:val="32"/>
        </w:rPr>
      </w:pPr>
      <w:r>
        <w:rPr>
          <w:rFonts w:hint="eastAsia" w:ascii="宋体" w:hAnsi="宋体" w:cs="宋体"/>
          <w:color w:val="FF0000"/>
          <w:sz w:val="24"/>
          <w:szCs w:val="32"/>
          <w:lang w:val="en-US" w:eastAsia="zh-CN"/>
        </w:rPr>
        <w:t>1</w:t>
      </w:r>
      <w:r>
        <w:rPr>
          <w:rFonts w:hint="eastAsia" w:ascii="宋体" w:hAnsi="宋体" w:cs="宋体"/>
          <w:color w:val="FF0000"/>
          <w:sz w:val="24"/>
          <w:szCs w:val="32"/>
        </w:rPr>
        <w:t>年（按实际签订合同日期起计算）。</w:t>
      </w:r>
    </w:p>
    <w:p w14:paraId="178CE054">
      <w:pPr>
        <w:spacing w:line="360" w:lineRule="auto"/>
        <w:rPr>
          <w:rFonts w:ascii="宋体" w:hAnsi="宋体" w:cs="宋体"/>
          <w:color w:val="auto"/>
          <w:sz w:val="24"/>
          <w:szCs w:val="32"/>
        </w:rPr>
      </w:pPr>
      <w:r>
        <w:rPr>
          <w:rFonts w:hint="eastAsia" w:ascii="宋体" w:hAnsi="宋体" w:cs="宋体"/>
          <w:b/>
          <w:bCs/>
          <w:color w:val="auto"/>
          <w:sz w:val="24"/>
          <w:szCs w:val="32"/>
        </w:rPr>
        <w:t>六、基本要求及说明：</w:t>
      </w:r>
    </w:p>
    <w:p w14:paraId="09259D39">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学生食堂大宗食材必须从具备食品生产或食品经营资质、管理体系健全规范、软硬件设施配套完善、管理团队素质优良齐整、企业诚信守法合格的优质供应商采购。</w:t>
      </w:r>
    </w:p>
    <w:p w14:paraId="59C6143B">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6.1、供应商具有独立承担民事责任的能力，有较强的经济实力，信誉度较高，具有相应固定的食品生产或经营场所和及时进行物资配送的能力。</w:t>
      </w:r>
    </w:p>
    <w:p w14:paraId="51AF7F68">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6.2、供应商协议价格原则上应低于本地区的同期市场价格(市场实际交易价)，做到随行就市，买卖公平合理。</w:t>
      </w:r>
    </w:p>
    <w:p w14:paraId="18AD09F0">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6.3、供应商具备齐全的《营业执照》、《组织机构代码证》、《税务登记证》、《食品生产许可证》或《食品经营许可证》</w:t>
      </w:r>
      <w:r>
        <w:rPr>
          <w:rFonts w:hint="eastAsia" w:ascii="宋体" w:hAnsi="宋体" w:cs="宋体"/>
          <w:color w:val="auto"/>
          <w:sz w:val="24"/>
          <w:szCs w:val="32"/>
          <w:lang w:val="en-US" w:eastAsia="zh-CN"/>
        </w:rPr>
        <w:t>等相应主体证件</w:t>
      </w:r>
      <w:r>
        <w:rPr>
          <w:rFonts w:hint="eastAsia" w:ascii="宋体" w:hAnsi="宋体" w:cs="宋体"/>
          <w:color w:val="auto"/>
          <w:sz w:val="24"/>
          <w:szCs w:val="32"/>
        </w:rPr>
        <w:t>，并且年审有效。</w:t>
      </w:r>
    </w:p>
    <w:p w14:paraId="421CD1C2">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6.4、供应商为代理商的能按时提供所配送食品生产商的《营业执照》</w:t>
      </w:r>
      <w:r>
        <w:rPr>
          <w:rFonts w:hint="eastAsia" w:ascii="宋体" w:hAnsi="宋体" w:cs="宋体"/>
          <w:color w:val="auto"/>
          <w:sz w:val="24"/>
          <w:szCs w:val="32"/>
          <w:lang w:eastAsia="zh-CN"/>
        </w:rPr>
        <w:t>、</w:t>
      </w:r>
      <w:r>
        <w:rPr>
          <w:rFonts w:hint="eastAsia" w:ascii="宋体" w:hAnsi="宋体" w:cs="宋体"/>
          <w:color w:val="auto"/>
          <w:sz w:val="24"/>
          <w:szCs w:val="32"/>
        </w:rPr>
        <w:t>《食品生产许可证》</w:t>
      </w:r>
      <w:r>
        <w:rPr>
          <w:rFonts w:hint="eastAsia" w:ascii="宋体" w:hAnsi="宋体" w:cs="宋体"/>
          <w:color w:val="auto"/>
          <w:sz w:val="24"/>
          <w:szCs w:val="32"/>
          <w:lang w:eastAsia="zh-CN"/>
        </w:rPr>
        <w:t>、</w:t>
      </w:r>
      <w:r>
        <w:rPr>
          <w:rFonts w:hint="eastAsia" w:ascii="宋体" w:hAnsi="宋体" w:cs="宋体"/>
          <w:color w:val="auto"/>
          <w:sz w:val="24"/>
          <w:szCs w:val="32"/>
        </w:rPr>
        <w:t>产品合格证明文件等相关单证。</w:t>
      </w:r>
    </w:p>
    <w:p w14:paraId="3E7EBBA8">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6.5、供应商具有相适应的食品配送车辆，车辆箱体保持清洁、定期消毒，并做到专车专用。</w:t>
      </w:r>
    </w:p>
    <w:p w14:paraId="4641EA32">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6.6、供应商具备相应的贮存能力、其贮存(仓库）符合相关的食品安全和食品卫生要求。</w:t>
      </w:r>
    </w:p>
    <w:p w14:paraId="1958D39E">
      <w:pPr>
        <w:spacing w:line="360" w:lineRule="auto"/>
        <w:rPr>
          <w:rFonts w:ascii="宋体" w:hAnsi="宋体" w:cs="宋体"/>
          <w:color w:val="auto"/>
          <w:sz w:val="24"/>
          <w:szCs w:val="32"/>
        </w:rPr>
      </w:pPr>
      <w:r>
        <w:rPr>
          <w:rFonts w:hint="eastAsia" w:ascii="宋体" w:hAnsi="宋体" w:cs="宋体"/>
          <w:b/>
          <w:bCs/>
          <w:color w:val="auto"/>
          <w:sz w:val="24"/>
          <w:szCs w:val="32"/>
        </w:rPr>
        <w:t>七、食材采购标准要求：</w:t>
      </w:r>
    </w:p>
    <w:p w14:paraId="41285D16">
      <w:pPr>
        <w:pStyle w:val="65"/>
        <w:spacing w:line="360" w:lineRule="auto"/>
        <w:ind w:firstLine="520" w:firstLineChars="200"/>
        <w:rPr>
          <w:rFonts w:ascii="宋体" w:hAnsi="宋体" w:cs="宋体"/>
          <w:color w:val="auto"/>
          <w:szCs w:val="32"/>
        </w:rPr>
      </w:pPr>
      <w:r>
        <w:rPr>
          <w:rFonts w:hint="eastAsia" w:ascii="宋体" w:hAnsi="宋体" w:cs="宋体"/>
          <w:color w:val="auto"/>
          <w:szCs w:val="32"/>
        </w:rPr>
        <w:t>配送的</w:t>
      </w:r>
      <w:r>
        <w:rPr>
          <w:rFonts w:hint="eastAsia" w:ascii="宋体" w:hAnsi="宋体" w:cs="宋体"/>
          <w:color w:val="auto"/>
          <w:szCs w:val="32"/>
          <w:lang w:val="en-US" w:eastAsia="zh-CN"/>
        </w:rPr>
        <w:t>食品</w:t>
      </w:r>
      <w:r>
        <w:rPr>
          <w:rFonts w:hint="eastAsia" w:ascii="宋体" w:hAnsi="宋体" w:cs="宋体"/>
          <w:color w:val="auto"/>
          <w:szCs w:val="32"/>
        </w:rPr>
        <w:t>必须符合国家规定标准及强制性规定要求：</w:t>
      </w:r>
    </w:p>
    <w:p w14:paraId="57CCCB12">
      <w:pPr>
        <w:pStyle w:val="65"/>
        <w:spacing w:line="360" w:lineRule="auto"/>
        <w:ind w:firstLine="520" w:firstLineChars="200"/>
        <w:rPr>
          <w:rFonts w:hint="eastAsia" w:ascii="宋体" w:hAnsi="宋体" w:cs="宋体"/>
          <w:color w:val="auto"/>
          <w:szCs w:val="32"/>
        </w:rPr>
      </w:pPr>
      <w:r>
        <w:rPr>
          <w:rFonts w:hint="eastAsia" w:ascii="宋体" w:hAnsi="宋体" w:cs="宋体"/>
          <w:color w:val="auto"/>
          <w:szCs w:val="32"/>
        </w:rPr>
        <w:t>大米必须符合最新版本GB1354标准，并拥有SC编码。</w:t>
      </w:r>
    </w:p>
    <w:p w14:paraId="422F820D">
      <w:pPr>
        <w:pStyle w:val="65"/>
        <w:spacing w:line="360" w:lineRule="auto"/>
        <w:ind w:firstLine="520" w:firstLineChars="200"/>
        <w:rPr>
          <w:rFonts w:hint="eastAsia" w:ascii="宋体" w:hAnsi="宋体" w:cs="宋体"/>
          <w:color w:val="auto"/>
          <w:szCs w:val="32"/>
        </w:rPr>
      </w:pPr>
      <w:r>
        <w:rPr>
          <w:rFonts w:hint="eastAsia" w:ascii="宋体" w:hAnsi="宋体" w:cs="宋体"/>
          <w:color w:val="auto"/>
          <w:szCs w:val="32"/>
        </w:rPr>
        <w:t>面粉必须符合最新版本GB1355标准，并拥有SC编码。米粉必须符合DB42/T 206-2009标准。</w:t>
      </w:r>
    </w:p>
    <w:p w14:paraId="4CD621CD">
      <w:pPr>
        <w:pStyle w:val="65"/>
        <w:spacing w:line="360" w:lineRule="auto"/>
        <w:ind w:firstLine="520" w:firstLineChars="200"/>
        <w:rPr>
          <w:rFonts w:hint="eastAsia" w:ascii="宋体" w:hAnsi="宋体" w:cs="宋体"/>
          <w:color w:val="auto"/>
          <w:szCs w:val="32"/>
        </w:rPr>
      </w:pPr>
      <w:r>
        <w:rPr>
          <w:rFonts w:hint="eastAsia" w:ascii="宋体" w:hAnsi="宋体" w:cs="宋体"/>
          <w:color w:val="auto"/>
          <w:szCs w:val="32"/>
        </w:rPr>
        <w:t>食用油必须符合最新版本GB1536标准，并拥有SC编码。</w:t>
      </w:r>
    </w:p>
    <w:p w14:paraId="35B298BA">
      <w:pPr>
        <w:pStyle w:val="65"/>
        <w:spacing w:line="360" w:lineRule="auto"/>
        <w:ind w:firstLine="520" w:firstLineChars="200"/>
        <w:rPr>
          <w:rFonts w:hint="eastAsia" w:ascii="宋体" w:hAnsi="宋体" w:cs="宋体"/>
          <w:color w:val="auto"/>
          <w:szCs w:val="32"/>
        </w:rPr>
      </w:pPr>
      <w:r>
        <w:rPr>
          <w:rFonts w:hint="eastAsia" w:ascii="宋体" w:hAnsi="宋体" w:cs="宋体"/>
          <w:color w:val="auto"/>
          <w:szCs w:val="32"/>
        </w:rPr>
        <w:t>畜禽产品类必须符合最新版本GB2707标准。猪肉、牛肉必须由取得国家定点屠宰许可的屠宰场提供，必须具有动物检验检疫证明。</w:t>
      </w:r>
    </w:p>
    <w:p w14:paraId="2B749A74">
      <w:pPr>
        <w:pStyle w:val="65"/>
        <w:spacing w:line="360" w:lineRule="auto"/>
        <w:ind w:firstLine="520" w:firstLineChars="200"/>
        <w:rPr>
          <w:rFonts w:hint="eastAsia" w:ascii="宋体" w:hAnsi="宋体" w:cs="宋体"/>
          <w:color w:val="auto"/>
          <w:szCs w:val="32"/>
        </w:rPr>
      </w:pPr>
      <w:r>
        <w:rPr>
          <w:rFonts w:hint="eastAsia" w:ascii="宋体" w:hAnsi="宋体" w:cs="宋体"/>
          <w:color w:val="auto"/>
          <w:szCs w:val="32"/>
        </w:rPr>
        <w:t>鲜鸡蛋必须符合</w:t>
      </w:r>
      <w:r>
        <w:rPr>
          <w:rFonts w:hint="eastAsia" w:ascii="宋体" w:hAnsi="宋体" w:cs="宋体"/>
          <w:color w:val="auto"/>
          <w:szCs w:val="32"/>
          <w:lang w:val="en-US" w:eastAsia="zh-CN"/>
        </w:rPr>
        <w:t>最新版本</w:t>
      </w:r>
      <w:r>
        <w:rPr>
          <w:rFonts w:hint="eastAsia" w:ascii="宋体" w:hAnsi="宋体" w:cs="宋体"/>
          <w:color w:val="auto"/>
          <w:szCs w:val="32"/>
        </w:rPr>
        <w:t>GB 2748标准。</w:t>
      </w:r>
    </w:p>
    <w:p w14:paraId="31E95586">
      <w:pPr>
        <w:pStyle w:val="65"/>
        <w:spacing w:line="360" w:lineRule="auto"/>
        <w:ind w:firstLine="520" w:firstLineChars="200"/>
        <w:rPr>
          <w:rFonts w:ascii="宋体" w:hAnsi="宋体" w:cs="宋体"/>
          <w:color w:val="auto"/>
          <w:szCs w:val="32"/>
        </w:rPr>
      </w:pPr>
      <w:r>
        <w:rPr>
          <w:rFonts w:hint="eastAsia" w:ascii="宋体" w:hAnsi="宋体" w:cs="宋体"/>
          <w:color w:val="auto"/>
          <w:szCs w:val="32"/>
        </w:rPr>
        <w:t>豆制品必须符合最新版本GB2712-2014标准。</w:t>
      </w:r>
    </w:p>
    <w:p w14:paraId="1AB137DA">
      <w:pPr>
        <w:spacing w:line="360" w:lineRule="auto"/>
        <w:rPr>
          <w:rFonts w:ascii="宋体" w:hAnsi="宋体" w:cs="宋体"/>
          <w:color w:val="auto"/>
          <w:sz w:val="24"/>
          <w:szCs w:val="32"/>
        </w:rPr>
      </w:pPr>
      <w:r>
        <w:rPr>
          <w:rFonts w:hint="eastAsia" w:ascii="宋体" w:hAnsi="宋体" w:cs="宋体"/>
          <w:b/>
          <w:bCs/>
          <w:color w:val="auto"/>
          <w:sz w:val="24"/>
          <w:szCs w:val="32"/>
        </w:rPr>
        <w:t>八、质量及包装要求：</w:t>
      </w:r>
    </w:p>
    <w:p w14:paraId="33DC2DDA">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8.1、质量标准：供应商所提供的</w:t>
      </w:r>
      <w:r>
        <w:rPr>
          <w:rFonts w:hint="eastAsia" w:ascii="宋体" w:hAnsi="宋体" w:cs="宋体"/>
          <w:color w:val="auto"/>
          <w:sz w:val="24"/>
          <w:szCs w:val="32"/>
          <w:lang w:val="en-US" w:eastAsia="zh-CN"/>
        </w:rPr>
        <w:t>食品</w:t>
      </w:r>
      <w:r>
        <w:rPr>
          <w:rFonts w:hint="eastAsia" w:ascii="宋体" w:hAnsi="宋体" w:cs="宋体"/>
          <w:color w:val="auto"/>
          <w:sz w:val="24"/>
          <w:szCs w:val="32"/>
        </w:rPr>
        <w:t>及服务必须符合</w:t>
      </w:r>
      <w:r>
        <w:rPr>
          <w:rFonts w:hint="eastAsia" w:ascii="宋体" w:hAnsi="宋体" w:cs="宋体"/>
          <w:color w:val="auto"/>
          <w:sz w:val="24"/>
          <w:szCs w:val="32"/>
          <w:lang w:eastAsia="zh-CN"/>
        </w:rPr>
        <w:t>采购文件</w:t>
      </w:r>
      <w:r>
        <w:rPr>
          <w:rFonts w:hint="eastAsia" w:ascii="宋体" w:hAnsi="宋体" w:cs="宋体"/>
          <w:color w:val="auto"/>
          <w:sz w:val="24"/>
          <w:szCs w:val="32"/>
        </w:rPr>
        <w:t>和</w:t>
      </w:r>
      <w:r>
        <w:rPr>
          <w:rFonts w:hint="eastAsia" w:ascii="宋体" w:hAnsi="宋体" w:cs="宋体"/>
          <w:color w:val="auto"/>
          <w:sz w:val="24"/>
          <w:szCs w:val="32"/>
          <w:lang w:val="en-US" w:eastAsia="zh-CN"/>
        </w:rPr>
        <w:t>响应</w:t>
      </w:r>
      <w:r>
        <w:rPr>
          <w:rFonts w:hint="eastAsia" w:ascii="宋体" w:hAnsi="宋体" w:cs="宋体"/>
          <w:color w:val="auto"/>
          <w:sz w:val="24"/>
          <w:szCs w:val="32"/>
        </w:rPr>
        <w:t>文件所描述的标准，如果没有提及适用标准，则应符合中华人民共和国有关机构发布的最新版本的标准。食材还应符合国家有关安全、环保、卫生之规定。</w:t>
      </w:r>
    </w:p>
    <w:p w14:paraId="7FF3CF44">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8.2、供应商应充分理解并认真遵循</w:t>
      </w:r>
      <w:r>
        <w:rPr>
          <w:rFonts w:hint="eastAsia" w:ascii="宋体" w:hAnsi="宋体" w:cs="宋体"/>
          <w:color w:val="auto"/>
          <w:sz w:val="24"/>
          <w:szCs w:val="32"/>
          <w:lang w:eastAsia="zh-CN"/>
        </w:rPr>
        <w:t>采购人</w:t>
      </w:r>
      <w:r>
        <w:rPr>
          <w:rFonts w:hint="eastAsia" w:ascii="宋体" w:hAnsi="宋体" w:cs="宋体"/>
          <w:color w:val="auto"/>
          <w:sz w:val="24"/>
          <w:szCs w:val="32"/>
        </w:rPr>
        <w:t>的要求，保证合同食材均为正规生产的新鲜、无毒、无辐射、无侵权、检验合格且符合国家有关卫生、质量、包装和保质标准的货品，必须配送有效期内的货品，货品剩余有效期不得少于标注有效期的三分之二。</w:t>
      </w:r>
    </w:p>
    <w:p w14:paraId="0A93352F">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8.3、货物有包装的，货物的包装必须完整清洁（无损、无污、无皱），</w:t>
      </w:r>
      <w:r>
        <w:rPr>
          <w:rFonts w:hint="eastAsia" w:ascii="宋体" w:hAnsi="宋体" w:cs="宋体"/>
          <w:color w:val="auto"/>
          <w:sz w:val="24"/>
          <w:szCs w:val="32"/>
          <w:lang w:eastAsia="zh-CN"/>
        </w:rPr>
        <w:t>采购人</w:t>
      </w:r>
      <w:r>
        <w:rPr>
          <w:rFonts w:hint="eastAsia" w:ascii="宋体" w:hAnsi="宋体" w:cs="宋体"/>
          <w:color w:val="auto"/>
          <w:sz w:val="24"/>
          <w:szCs w:val="32"/>
        </w:rPr>
        <w:t>有权拒收包装不整齐、已拆封的商品。</w:t>
      </w:r>
    </w:p>
    <w:p w14:paraId="5CB56511">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8.4、</w:t>
      </w:r>
      <w:r>
        <w:rPr>
          <w:rFonts w:hint="eastAsia" w:ascii="宋体" w:hAnsi="宋体" w:cs="宋体"/>
          <w:color w:val="auto"/>
          <w:sz w:val="24"/>
          <w:szCs w:val="32"/>
          <w:lang w:eastAsia="zh-CN"/>
        </w:rPr>
        <w:t>采购人</w:t>
      </w:r>
      <w:r>
        <w:rPr>
          <w:rFonts w:hint="eastAsia" w:ascii="宋体" w:hAnsi="宋体" w:cs="宋体"/>
          <w:color w:val="auto"/>
          <w:sz w:val="24"/>
          <w:szCs w:val="32"/>
        </w:rPr>
        <w:t>发现商品出现损坏（包括表面损坏），或出现水渍、串味、受潮等导致货物性质改变的，中标供应商必须无条件更换。</w:t>
      </w:r>
    </w:p>
    <w:p w14:paraId="6226171B">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8.5、供应商保证所提供的产品具有合法来源，并在产品上标明。否则，</w:t>
      </w:r>
      <w:r>
        <w:rPr>
          <w:rFonts w:hint="eastAsia" w:ascii="宋体" w:hAnsi="宋体" w:cs="宋体"/>
          <w:color w:val="auto"/>
          <w:sz w:val="24"/>
          <w:szCs w:val="32"/>
          <w:lang w:eastAsia="zh-CN"/>
        </w:rPr>
        <w:t>采购人</w:t>
      </w:r>
      <w:r>
        <w:rPr>
          <w:rFonts w:hint="eastAsia" w:ascii="宋体" w:hAnsi="宋体" w:cs="宋体"/>
          <w:color w:val="auto"/>
          <w:sz w:val="24"/>
          <w:szCs w:val="32"/>
        </w:rPr>
        <w:t>有权退货，中标供应商必须在12小时内予以退换补货。中标供应商在每一次送货时，要将相应单证随同交到</w:t>
      </w:r>
      <w:r>
        <w:rPr>
          <w:rFonts w:hint="eastAsia" w:ascii="宋体" w:hAnsi="宋体" w:cs="宋体"/>
          <w:color w:val="auto"/>
          <w:sz w:val="24"/>
          <w:szCs w:val="32"/>
          <w:lang w:eastAsia="zh-CN"/>
        </w:rPr>
        <w:t>采购人</w:t>
      </w:r>
      <w:r>
        <w:rPr>
          <w:rFonts w:hint="eastAsia" w:ascii="宋体" w:hAnsi="宋体" w:cs="宋体"/>
          <w:color w:val="auto"/>
          <w:sz w:val="24"/>
          <w:szCs w:val="32"/>
        </w:rPr>
        <w:t>指定的负责人手中。</w:t>
      </w:r>
    </w:p>
    <w:p w14:paraId="4A7C55EE">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8.6、中标供应商应向</w:t>
      </w:r>
      <w:r>
        <w:rPr>
          <w:rFonts w:hint="eastAsia" w:ascii="宋体" w:hAnsi="宋体" w:cs="宋体"/>
          <w:color w:val="auto"/>
          <w:sz w:val="24"/>
          <w:szCs w:val="32"/>
          <w:lang w:eastAsia="zh-CN"/>
        </w:rPr>
        <w:t>采购人</w:t>
      </w:r>
      <w:r>
        <w:rPr>
          <w:rFonts w:hint="eastAsia" w:ascii="宋体" w:hAnsi="宋体" w:cs="宋体"/>
          <w:color w:val="auto"/>
          <w:sz w:val="24"/>
          <w:szCs w:val="32"/>
        </w:rPr>
        <w:t>提供和及时更新符合市场监督和卫生监督部门规定要求的有效证明材料。如营业执照、产品合格证等。</w:t>
      </w:r>
    </w:p>
    <w:p w14:paraId="3A7F9D4D">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8.7、中标供应商提供假冒伪劣、过期、变质的、有毒食品的，一经发现，除按</w:t>
      </w:r>
      <w:r>
        <w:rPr>
          <w:rFonts w:hint="eastAsia" w:ascii="宋体" w:hAnsi="宋体" w:cs="宋体"/>
          <w:color w:val="auto"/>
          <w:sz w:val="24"/>
          <w:szCs w:val="32"/>
          <w:lang w:eastAsia="zh-CN"/>
        </w:rPr>
        <w:t>采购人</w:t>
      </w:r>
      <w:r>
        <w:rPr>
          <w:rFonts w:hint="eastAsia" w:ascii="宋体" w:hAnsi="宋体" w:cs="宋体"/>
          <w:color w:val="auto"/>
          <w:sz w:val="24"/>
          <w:szCs w:val="32"/>
        </w:rPr>
        <w:t>要求无条件退货或换货外，还将受到如下处罚：</w:t>
      </w:r>
    </w:p>
    <w:p w14:paraId="2E2CCBB1">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①中标供应商提供假冒伪劣、过期、变质食品的，要求无条件退货或换货外，发现一次罚款发现一次罚款20000元并解除合同，取消准入资格。</w:t>
      </w:r>
    </w:p>
    <w:p w14:paraId="377DB2F1">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②中标供应商提供的食品造成食品安全事故的，经权威部门鉴定核实后，供应商承担全数医药费、相应的民事、刑事法律责任。</w:t>
      </w:r>
      <w:r>
        <w:rPr>
          <w:rFonts w:hint="eastAsia" w:ascii="宋体" w:hAnsi="宋体" w:cs="宋体"/>
          <w:color w:val="auto"/>
          <w:sz w:val="24"/>
          <w:szCs w:val="32"/>
          <w:lang w:eastAsia="zh-CN"/>
        </w:rPr>
        <w:t>采购人</w:t>
      </w:r>
      <w:r>
        <w:rPr>
          <w:rFonts w:hint="eastAsia" w:ascii="宋体" w:hAnsi="宋体" w:cs="宋体"/>
          <w:color w:val="auto"/>
          <w:sz w:val="24"/>
          <w:szCs w:val="32"/>
        </w:rPr>
        <w:t>有权解除合同，并取消准入资格，没收履约保证金。</w:t>
      </w:r>
    </w:p>
    <w:p w14:paraId="54FA69A4">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③</w:t>
      </w:r>
      <w:r>
        <w:rPr>
          <w:rFonts w:hint="eastAsia" w:ascii="宋体" w:hAnsi="宋体" w:cs="宋体"/>
          <w:color w:val="auto"/>
          <w:sz w:val="24"/>
          <w:szCs w:val="32"/>
          <w:lang w:eastAsia="zh-CN"/>
        </w:rPr>
        <w:t>采购人</w:t>
      </w:r>
      <w:r>
        <w:rPr>
          <w:rFonts w:hint="eastAsia" w:ascii="宋体" w:hAnsi="宋体" w:cs="宋体"/>
          <w:color w:val="auto"/>
          <w:sz w:val="24"/>
          <w:szCs w:val="32"/>
        </w:rPr>
        <w:t>发现中标供应商所供货物有质量问题，或采取欺骗、隐瞒、虚报等手段，故意抬高配送价格的，</w:t>
      </w:r>
      <w:r>
        <w:rPr>
          <w:rFonts w:hint="eastAsia" w:ascii="宋体" w:hAnsi="宋体" w:cs="宋体"/>
          <w:color w:val="auto"/>
          <w:sz w:val="24"/>
          <w:szCs w:val="32"/>
          <w:lang w:eastAsia="zh-CN"/>
        </w:rPr>
        <w:t>采购人</w:t>
      </w:r>
      <w:r>
        <w:rPr>
          <w:rFonts w:hint="eastAsia" w:ascii="宋体" w:hAnsi="宋体" w:cs="宋体"/>
          <w:color w:val="auto"/>
          <w:sz w:val="24"/>
          <w:szCs w:val="32"/>
        </w:rPr>
        <w:t>经调查属实的，</w:t>
      </w:r>
      <w:r>
        <w:rPr>
          <w:rFonts w:hint="eastAsia" w:ascii="宋体" w:hAnsi="宋体" w:cs="宋体"/>
          <w:color w:val="auto"/>
          <w:sz w:val="24"/>
          <w:szCs w:val="32"/>
          <w:lang w:eastAsia="zh-CN"/>
        </w:rPr>
        <w:t>采购人</w:t>
      </w:r>
      <w:r>
        <w:rPr>
          <w:rFonts w:hint="eastAsia" w:ascii="宋体" w:hAnsi="宋体" w:cs="宋体"/>
          <w:color w:val="auto"/>
          <w:sz w:val="24"/>
          <w:szCs w:val="32"/>
        </w:rPr>
        <w:t>有权按市场价重新结算，一个月内累计出现两次的，</w:t>
      </w:r>
      <w:r>
        <w:rPr>
          <w:rFonts w:hint="eastAsia" w:ascii="宋体" w:hAnsi="宋体" w:cs="宋体"/>
          <w:color w:val="auto"/>
          <w:sz w:val="24"/>
          <w:szCs w:val="32"/>
          <w:lang w:eastAsia="zh-CN"/>
        </w:rPr>
        <w:t>采购人</w:t>
      </w:r>
      <w:r>
        <w:rPr>
          <w:rFonts w:hint="eastAsia" w:ascii="宋体" w:hAnsi="宋体" w:cs="宋体"/>
          <w:color w:val="auto"/>
          <w:sz w:val="24"/>
          <w:szCs w:val="32"/>
        </w:rPr>
        <w:t>有权解除合同，并取消准入资格。</w:t>
      </w:r>
    </w:p>
    <w:p w14:paraId="10C77C8B">
      <w:pPr>
        <w:spacing w:line="360" w:lineRule="auto"/>
        <w:ind w:firstLine="480" w:firstLineChars="200"/>
        <w:rPr>
          <w:rFonts w:hint="eastAsia" w:ascii="宋体" w:hAnsi="宋体" w:cs="宋体"/>
          <w:color w:val="auto"/>
          <w:sz w:val="24"/>
          <w:szCs w:val="32"/>
        </w:rPr>
      </w:pPr>
      <w:r>
        <w:rPr>
          <w:rFonts w:hint="eastAsia" w:ascii="宋体" w:hAnsi="宋体" w:cs="宋体"/>
          <w:color w:val="auto"/>
          <w:sz w:val="24"/>
          <w:szCs w:val="32"/>
        </w:rPr>
        <w:t>④</w:t>
      </w:r>
      <w:r>
        <w:rPr>
          <w:rFonts w:hint="eastAsia" w:ascii="宋体" w:hAnsi="宋体" w:cs="宋体"/>
          <w:color w:val="auto"/>
          <w:sz w:val="24"/>
          <w:szCs w:val="32"/>
          <w:lang w:eastAsia="zh-CN"/>
        </w:rPr>
        <w:t>采购人</w:t>
      </w:r>
      <w:r>
        <w:rPr>
          <w:rFonts w:hint="eastAsia" w:ascii="宋体" w:hAnsi="宋体" w:cs="宋体"/>
          <w:color w:val="auto"/>
          <w:sz w:val="24"/>
          <w:szCs w:val="32"/>
        </w:rPr>
        <w:t>发现中标供应商与采购单位经办人员发生不正当利益行为的，</w:t>
      </w:r>
      <w:r>
        <w:rPr>
          <w:rFonts w:hint="eastAsia" w:ascii="宋体" w:hAnsi="宋体" w:cs="宋体"/>
          <w:color w:val="auto"/>
          <w:sz w:val="24"/>
          <w:szCs w:val="32"/>
          <w:lang w:eastAsia="zh-CN"/>
        </w:rPr>
        <w:t>采购人</w:t>
      </w:r>
      <w:r>
        <w:rPr>
          <w:rFonts w:hint="eastAsia" w:ascii="宋体" w:hAnsi="宋体" w:cs="宋体"/>
          <w:color w:val="auto"/>
          <w:sz w:val="24"/>
          <w:szCs w:val="32"/>
        </w:rPr>
        <w:t>有权解除合同，并取消准入资格。</w:t>
      </w:r>
    </w:p>
    <w:p w14:paraId="60B63C72">
      <w:pPr>
        <w:spacing w:line="360" w:lineRule="auto"/>
        <w:ind w:firstLine="480" w:firstLineChars="200"/>
        <w:rPr>
          <w:rFonts w:hint="eastAsia" w:ascii="宋体" w:hAnsi="宋体" w:eastAsia="宋体" w:cs="宋体"/>
          <w:color w:val="auto"/>
          <w:sz w:val="24"/>
          <w:szCs w:val="32"/>
          <w:lang w:eastAsia="zh-CN"/>
        </w:rPr>
      </w:pPr>
      <w:r>
        <w:rPr>
          <w:rFonts w:hint="eastAsia" w:ascii="宋体" w:hAnsi="宋体" w:cs="宋体"/>
          <w:color w:val="auto"/>
          <w:sz w:val="24"/>
          <w:szCs w:val="32"/>
        </w:rPr>
        <w:t>⑤中标供应商在国家，省，市，区各级食品卫生安全检查中发现问题，甚至出现安全事故，</w:t>
      </w:r>
      <w:r>
        <w:rPr>
          <w:rFonts w:hint="eastAsia" w:ascii="宋体" w:hAnsi="宋体" w:cs="宋体"/>
          <w:color w:val="auto"/>
          <w:sz w:val="24"/>
          <w:szCs w:val="32"/>
          <w:lang w:eastAsia="zh-CN"/>
        </w:rPr>
        <w:t>采购人</w:t>
      </w:r>
      <w:r>
        <w:rPr>
          <w:rFonts w:hint="eastAsia" w:ascii="宋体" w:hAnsi="宋体" w:cs="宋体"/>
          <w:color w:val="auto"/>
          <w:sz w:val="24"/>
          <w:szCs w:val="32"/>
        </w:rPr>
        <w:t>有权解除合同，并取消准入资格</w:t>
      </w:r>
      <w:r>
        <w:rPr>
          <w:rFonts w:hint="eastAsia" w:ascii="宋体" w:hAnsi="宋体" w:cs="宋体"/>
          <w:color w:val="auto"/>
          <w:sz w:val="24"/>
          <w:szCs w:val="32"/>
          <w:lang w:eastAsia="zh-CN"/>
        </w:rPr>
        <w:t>。</w:t>
      </w:r>
    </w:p>
    <w:p w14:paraId="118625E3">
      <w:pPr>
        <w:spacing w:line="360" w:lineRule="auto"/>
        <w:rPr>
          <w:rFonts w:ascii="宋体" w:hAnsi="宋体" w:cs="宋体"/>
          <w:color w:val="auto"/>
          <w:sz w:val="24"/>
          <w:szCs w:val="32"/>
        </w:rPr>
      </w:pPr>
      <w:r>
        <w:rPr>
          <w:rFonts w:hint="eastAsia" w:ascii="宋体" w:hAnsi="宋体" w:cs="宋体"/>
          <w:b/>
          <w:bCs/>
          <w:color w:val="auto"/>
          <w:sz w:val="24"/>
          <w:szCs w:val="32"/>
        </w:rPr>
        <w:t>九、采购货款支付：</w:t>
      </w:r>
    </w:p>
    <w:p w14:paraId="6FE291D9">
      <w:pPr>
        <w:spacing w:line="360" w:lineRule="auto"/>
        <w:ind w:firstLine="480" w:firstLineChars="200"/>
        <w:rPr>
          <w:rFonts w:ascii="宋体" w:hAnsi="宋体" w:cs="宋体"/>
          <w:color w:val="auto"/>
          <w:sz w:val="24"/>
          <w:szCs w:val="32"/>
        </w:rPr>
      </w:pPr>
      <w:r>
        <w:rPr>
          <w:rFonts w:hint="eastAsia" w:ascii="宋体" w:hAnsi="宋体" w:cs="宋体"/>
          <w:color w:val="FF0000"/>
          <w:sz w:val="24"/>
          <w:szCs w:val="32"/>
        </w:rPr>
        <w:t>按月结算，</w:t>
      </w:r>
      <w:r>
        <w:rPr>
          <w:rFonts w:hint="eastAsia" w:ascii="宋体" w:hAnsi="宋体" w:cs="宋体"/>
          <w:color w:val="FF0000"/>
          <w:sz w:val="24"/>
          <w:szCs w:val="32"/>
          <w:lang w:val="en-US" w:eastAsia="zh-CN"/>
        </w:rPr>
        <w:t>下月结算</w:t>
      </w:r>
      <w:r>
        <w:rPr>
          <w:rFonts w:hint="eastAsia" w:ascii="宋体" w:hAnsi="宋体" w:cs="宋体"/>
          <w:color w:val="FF0000"/>
          <w:sz w:val="24"/>
          <w:szCs w:val="32"/>
        </w:rPr>
        <w:t>上月货款。</w:t>
      </w:r>
      <w:r>
        <w:rPr>
          <w:rFonts w:hint="eastAsia" w:ascii="宋体" w:hAnsi="宋体" w:cs="宋体"/>
          <w:color w:val="auto"/>
          <w:sz w:val="24"/>
          <w:szCs w:val="32"/>
        </w:rPr>
        <w:t>中标供应商</w:t>
      </w:r>
      <w:r>
        <w:rPr>
          <w:rFonts w:hint="eastAsia" w:ascii="宋体" w:hAnsi="宋体" w:cs="宋体"/>
          <w:color w:val="auto"/>
          <w:sz w:val="24"/>
          <w:szCs w:val="32"/>
          <w:lang w:val="en-US" w:eastAsia="zh-CN"/>
        </w:rPr>
        <w:t>配合</w:t>
      </w:r>
      <w:r>
        <w:rPr>
          <w:rFonts w:hint="eastAsia" w:ascii="宋体" w:hAnsi="宋体" w:cs="宋体"/>
          <w:color w:val="auto"/>
          <w:sz w:val="24"/>
          <w:szCs w:val="32"/>
        </w:rPr>
        <w:t>给</w:t>
      </w:r>
      <w:r>
        <w:rPr>
          <w:rFonts w:hint="eastAsia" w:ascii="宋体" w:hAnsi="宋体" w:cs="宋体"/>
          <w:color w:val="auto"/>
          <w:sz w:val="24"/>
          <w:szCs w:val="32"/>
          <w:lang w:eastAsia="zh-CN"/>
        </w:rPr>
        <w:t>采购人</w:t>
      </w:r>
      <w:r>
        <w:rPr>
          <w:rFonts w:hint="eastAsia" w:ascii="宋体" w:hAnsi="宋体" w:cs="宋体"/>
          <w:color w:val="auto"/>
          <w:sz w:val="24"/>
          <w:szCs w:val="32"/>
        </w:rPr>
        <w:t>提供</w:t>
      </w:r>
      <w:r>
        <w:rPr>
          <w:rFonts w:hint="eastAsia" w:ascii="宋体" w:hAnsi="宋体" w:cs="宋体"/>
          <w:color w:val="auto"/>
          <w:sz w:val="24"/>
          <w:szCs w:val="32"/>
          <w:lang w:val="en-US" w:eastAsia="zh-CN"/>
        </w:rPr>
        <w:t>所需的</w:t>
      </w:r>
      <w:r>
        <w:rPr>
          <w:rFonts w:hint="eastAsia" w:ascii="宋体" w:hAnsi="宋体" w:cs="宋体"/>
          <w:color w:val="auto"/>
          <w:sz w:val="24"/>
          <w:szCs w:val="32"/>
        </w:rPr>
        <w:t>各类票据、检测报告、价格明细表</w:t>
      </w:r>
      <w:r>
        <w:rPr>
          <w:rFonts w:hint="eastAsia" w:ascii="宋体" w:hAnsi="宋体" w:cs="宋体"/>
          <w:color w:val="auto"/>
          <w:sz w:val="24"/>
          <w:szCs w:val="32"/>
          <w:lang w:val="en-US" w:eastAsia="zh-CN"/>
        </w:rPr>
        <w:t>等必要凭证</w:t>
      </w:r>
      <w:r>
        <w:rPr>
          <w:rFonts w:hint="eastAsia" w:ascii="宋体" w:hAnsi="宋体" w:cs="宋体"/>
          <w:color w:val="auto"/>
          <w:sz w:val="24"/>
          <w:szCs w:val="32"/>
        </w:rPr>
        <w:t>并加盖单位公章，对随意涂改、增减的票据，</w:t>
      </w:r>
      <w:r>
        <w:rPr>
          <w:rFonts w:hint="eastAsia" w:ascii="宋体" w:hAnsi="宋体" w:cs="宋体"/>
          <w:color w:val="auto"/>
          <w:sz w:val="24"/>
          <w:szCs w:val="32"/>
          <w:lang w:eastAsia="zh-CN"/>
        </w:rPr>
        <w:t>采购人</w:t>
      </w:r>
      <w:r>
        <w:rPr>
          <w:rFonts w:hint="eastAsia" w:ascii="宋体" w:hAnsi="宋体" w:cs="宋体"/>
          <w:color w:val="auto"/>
          <w:sz w:val="24"/>
          <w:szCs w:val="32"/>
        </w:rPr>
        <w:t>有权认定为无效票据，并拒绝支付相关货款。</w:t>
      </w:r>
    </w:p>
    <w:p w14:paraId="3032DCF2">
      <w:pPr>
        <w:spacing w:line="360" w:lineRule="auto"/>
        <w:rPr>
          <w:rFonts w:ascii="宋体" w:hAnsi="宋体" w:cs="宋体"/>
          <w:color w:val="auto"/>
          <w:sz w:val="24"/>
          <w:szCs w:val="32"/>
        </w:rPr>
      </w:pPr>
      <w:r>
        <w:rPr>
          <w:rFonts w:hint="eastAsia" w:ascii="宋体" w:hAnsi="宋体" w:cs="宋体"/>
          <w:b/>
          <w:bCs/>
          <w:color w:val="auto"/>
          <w:sz w:val="24"/>
          <w:szCs w:val="32"/>
        </w:rPr>
        <w:t>十、履行方式</w:t>
      </w:r>
    </w:p>
    <w:p w14:paraId="28087EBA">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中标供应商按</w:t>
      </w:r>
      <w:r>
        <w:rPr>
          <w:rFonts w:hint="eastAsia" w:ascii="宋体" w:hAnsi="宋体" w:cs="宋体"/>
          <w:color w:val="auto"/>
          <w:sz w:val="24"/>
          <w:szCs w:val="32"/>
          <w:lang w:eastAsia="zh-CN"/>
        </w:rPr>
        <w:t>采购人</w:t>
      </w:r>
      <w:r>
        <w:rPr>
          <w:rFonts w:hint="eastAsia" w:ascii="宋体" w:hAnsi="宋体" w:cs="宋体"/>
          <w:color w:val="auto"/>
          <w:sz w:val="24"/>
          <w:szCs w:val="32"/>
        </w:rPr>
        <w:t>要求负责每次采购配送工作，</w:t>
      </w:r>
      <w:r>
        <w:rPr>
          <w:rFonts w:hint="eastAsia" w:ascii="宋体" w:hAnsi="宋体" w:cs="宋体"/>
          <w:color w:val="auto"/>
          <w:sz w:val="24"/>
          <w:szCs w:val="32"/>
          <w:lang w:val="en-US" w:eastAsia="zh-CN"/>
        </w:rPr>
        <w:t>正确履行项目内容，</w:t>
      </w:r>
      <w:r>
        <w:rPr>
          <w:rFonts w:hint="eastAsia" w:ascii="宋体" w:hAnsi="宋体" w:cs="宋体"/>
          <w:color w:val="auto"/>
          <w:sz w:val="24"/>
          <w:szCs w:val="32"/>
        </w:rPr>
        <w:t>履行合同期间出现违反合同约定的情况时，按照合同相关约定内容</w:t>
      </w:r>
      <w:r>
        <w:rPr>
          <w:rFonts w:hint="eastAsia" w:ascii="宋体" w:hAnsi="宋体" w:cs="宋体"/>
          <w:color w:val="auto"/>
          <w:sz w:val="24"/>
          <w:szCs w:val="32"/>
          <w:lang w:val="en-US" w:eastAsia="zh-CN"/>
        </w:rPr>
        <w:t>予以处罚或</w:t>
      </w:r>
      <w:r>
        <w:rPr>
          <w:rFonts w:hint="eastAsia" w:ascii="宋体" w:hAnsi="宋体" w:cs="宋体"/>
          <w:color w:val="auto"/>
          <w:sz w:val="24"/>
          <w:szCs w:val="32"/>
        </w:rPr>
        <w:t>取消该供应商配送资格。</w:t>
      </w:r>
    </w:p>
    <w:p w14:paraId="2D9BCACE">
      <w:pPr>
        <w:spacing w:line="360" w:lineRule="auto"/>
        <w:rPr>
          <w:rFonts w:ascii="宋体" w:hAnsi="宋体" w:cs="宋体"/>
          <w:color w:val="auto"/>
          <w:sz w:val="24"/>
          <w:szCs w:val="32"/>
        </w:rPr>
      </w:pPr>
      <w:r>
        <w:rPr>
          <w:rFonts w:hint="eastAsia" w:ascii="宋体" w:hAnsi="宋体" w:cs="宋体"/>
          <w:b/>
          <w:bCs/>
          <w:color w:val="auto"/>
          <w:sz w:val="24"/>
          <w:szCs w:val="32"/>
        </w:rPr>
        <w:t>十一、售后服务：</w:t>
      </w:r>
    </w:p>
    <w:p w14:paraId="3A5981A8">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合同期内出现任何产品质量问题（人为破坏或自然灾害等不可抗力除外），由中标供应商负责全部免费更换及配送，</w:t>
      </w:r>
      <w:r>
        <w:rPr>
          <w:rFonts w:hint="eastAsia" w:ascii="宋体" w:hAnsi="宋体" w:cs="宋体"/>
          <w:color w:val="auto"/>
          <w:sz w:val="24"/>
          <w:szCs w:val="32"/>
          <w:lang w:eastAsia="zh-CN"/>
        </w:rPr>
        <w:t>采购人</w:t>
      </w:r>
      <w:r>
        <w:rPr>
          <w:rFonts w:hint="eastAsia" w:ascii="宋体" w:hAnsi="宋体" w:cs="宋体"/>
          <w:color w:val="auto"/>
          <w:sz w:val="24"/>
          <w:szCs w:val="32"/>
        </w:rPr>
        <w:t>不承担任何费用。</w:t>
      </w:r>
    </w:p>
    <w:p w14:paraId="1D5E1ED6">
      <w:pPr>
        <w:spacing w:line="360" w:lineRule="auto"/>
        <w:rPr>
          <w:rFonts w:ascii="宋体" w:hAnsi="宋体" w:cs="宋体"/>
          <w:color w:val="auto"/>
          <w:sz w:val="24"/>
          <w:szCs w:val="32"/>
        </w:rPr>
      </w:pPr>
      <w:r>
        <w:rPr>
          <w:rFonts w:hint="eastAsia" w:ascii="宋体" w:hAnsi="宋体" w:cs="宋体"/>
          <w:b/>
          <w:bCs/>
          <w:color w:val="auto"/>
          <w:sz w:val="24"/>
          <w:szCs w:val="32"/>
        </w:rPr>
        <w:t>十二、其它：</w:t>
      </w:r>
    </w:p>
    <w:p w14:paraId="400029DE">
      <w:pPr>
        <w:spacing w:line="360" w:lineRule="auto"/>
        <w:ind w:firstLine="480" w:firstLineChars="200"/>
        <w:rPr>
          <w:rFonts w:ascii="宋体" w:hAnsi="宋体" w:cs="宋体"/>
          <w:color w:val="auto"/>
          <w:sz w:val="24"/>
          <w:szCs w:val="32"/>
        </w:rPr>
      </w:pPr>
      <w:r>
        <w:rPr>
          <w:rFonts w:hint="eastAsia" w:ascii="宋体" w:hAnsi="宋体" w:cs="宋体"/>
          <w:color w:val="auto"/>
          <w:sz w:val="24"/>
          <w:szCs w:val="32"/>
        </w:rPr>
        <w:t>12.1、为落实《财政部 农业农村部 国家乡村振兴局 中华全国供销合作总社关于印发〈关于深入开展政府采购脱贫地区农副产品工作推进乡村产业振兴的实施意见〉的通知》（财库〔2021〕20号）有关要求，中标供应商要配合落实消费帮扶助力乡村振兴政策要求，鼓励供应商采购和销售脱贫地区农产品。</w:t>
      </w:r>
    </w:p>
    <w:p w14:paraId="7A5ACE7F">
      <w:pPr>
        <w:spacing w:line="360" w:lineRule="auto"/>
        <w:ind w:firstLine="480" w:firstLineChars="200"/>
        <w:rPr>
          <w:rFonts w:ascii="宋体" w:hAnsi="宋体" w:cs="宋体"/>
          <w:color w:val="FF0000"/>
          <w:sz w:val="24"/>
          <w:szCs w:val="32"/>
          <w:lang w:val="zh-CN"/>
        </w:rPr>
      </w:pPr>
      <w:r>
        <w:rPr>
          <w:rFonts w:hint="eastAsia" w:ascii="宋体" w:hAnsi="宋体" w:cs="宋体"/>
          <w:color w:val="FF0000"/>
          <w:sz w:val="24"/>
          <w:szCs w:val="32"/>
        </w:rPr>
        <w:t>12.</w:t>
      </w:r>
      <w:r>
        <w:rPr>
          <w:rFonts w:ascii="宋体" w:hAnsi="宋体" w:cs="宋体"/>
          <w:color w:val="FF0000"/>
          <w:sz w:val="24"/>
          <w:szCs w:val="32"/>
        </w:rPr>
        <w:t>2</w:t>
      </w:r>
      <w:r>
        <w:rPr>
          <w:rFonts w:hint="eastAsia" w:ascii="宋体" w:hAnsi="宋体" w:cs="宋体"/>
          <w:color w:val="FF0000"/>
          <w:sz w:val="24"/>
          <w:szCs w:val="32"/>
        </w:rPr>
        <w:t>、食材结算价格按动态价格执行，原则上应低于本地区的同期市场价格(市场实际交易价)，做到随行就市，买卖公平合理，以经采购人每月15日确认的当月结算价为准</w:t>
      </w:r>
      <w:r>
        <w:rPr>
          <w:rFonts w:hint="eastAsia" w:ascii="宋体" w:hAnsi="宋体" w:cs="宋体"/>
          <w:color w:val="FF0000"/>
          <w:sz w:val="24"/>
          <w:szCs w:val="32"/>
          <w:lang w:eastAsia="zh-CN"/>
        </w:rPr>
        <w:t>，</w:t>
      </w:r>
      <w:r>
        <w:rPr>
          <w:rFonts w:hint="eastAsia" w:ascii="宋体" w:hAnsi="宋体" w:cs="宋体"/>
          <w:color w:val="FF0000"/>
          <w:sz w:val="24"/>
          <w:szCs w:val="32"/>
          <w:lang w:val="en-US" w:eastAsia="zh-CN"/>
        </w:rPr>
        <w:t>采购人可以要求供应商提供必要的询价协助</w:t>
      </w:r>
      <w:r>
        <w:rPr>
          <w:rFonts w:hint="eastAsia" w:ascii="宋体" w:hAnsi="宋体" w:cs="宋体"/>
          <w:color w:val="FF0000"/>
          <w:sz w:val="24"/>
          <w:szCs w:val="32"/>
        </w:rPr>
        <w:t>。</w:t>
      </w:r>
    </w:p>
    <w:p w14:paraId="607C9F66">
      <w:pPr>
        <w:bidi w:val="0"/>
        <w:rPr>
          <w:rFonts w:hint="eastAsia"/>
        </w:rPr>
      </w:pPr>
    </w:p>
    <w:p w14:paraId="18CF8E87">
      <w:pPr>
        <w:bidi w:val="0"/>
        <w:rPr>
          <w:rFonts w:hint="eastAsia"/>
        </w:rPr>
      </w:pPr>
    </w:p>
    <w:p w14:paraId="0903C4CE">
      <w:pPr>
        <w:bidi w:val="0"/>
        <w:rPr>
          <w:rFonts w:hint="eastAsia"/>
        </w:rPr>
      </w:pPr>
    </w:p>
    <w:p w14:paraId="4C34A8D1">
      <w:pPr>
        <w:bidi w:val="0"/>
        <w:rPr>
          <w:rFonts w:hint="eastAsia"/>
          <w:color w:val="auto"/>
        </w:rPr>
      </w:pPr>
      <w:r>
        <w:rPr>
          <w:rFonts w:hint="eastAsia"/>
        </w:rPr>
        <w:br w:type="page"/>
      </w:r>
    </w:p>
    <w:p w14:paraId="75362945">
      <w:pPr>
        <w:bidi w:val="0"/>
        <w:jc w:val="center"/>
        <w:outlineLvl w:val="0"/>
        <w:rPr>
          <w:rFonts w:ascii="宋体" w:hAnsi="宋体"/>
          <w:b/>
          <w:color w:val="auto"/>
          <w:szCs w:val="32"/>
        </w:rPr>
      </w:pPr>
      <w:bookmarkStart w:id="15" w:name="_Toc11578"/>
      <w:r>
        <w:rPr>
          <w:rFonts w:hint="eastAsia" w:ascii="宋体" w:hAnsi="宋体"/>
          <w:b/>
          <w:color w:val="auto"/>
          <w:sz w:val="32"/>
          <w:szCs w:val="48"/>
        </w:rPr>
        <w:t>第六章 响应文件组成</w:t>
      </w:r>
      <w:bookmarkEnd w:id="15"/>
    </w:p>
    <w:p w14:paraId="09984642">
      <w:pPr>
        <w:adjustRightInd w:val="0"/>
        <w:snapToGrid w:val="0"/>
        <w:ind w:firstLine="640" w:firstLineChars="200"/>
        <w:jc w:val="center"/>
        <w:outlineLvl w:val="9"/>
        <w:rPr>
          <w:rFonts w:ascii="宋体" w:hAnsi="宋体"/>
          <w:b/>
          <w:color w:val="auto"/>
          <w:sz w:val="32"/>
          <w:szCs w:val="32"/>
        </w:rPr>
      </w:pPr>
    </w:p>
    <w:p w14:paraId="64BDA4BC">
      <w:pPr>
        <w:spacing w:line="340" w:lineRule="exact"/>
        <w:outlineLvl w:val="9"/>
        <w:rPr>
          <w:rFonts w:ascii="宋体" w:hAnsi="宋体"/>
          <w:color w:val="auto"/>
        </w:rPr>
      </w:pPr>
      <w:r>
        <w:rPr>
          <w:rFonts w:hint="eastAsia" w:ascii="宋体" w:hAnsi="宋体"/>
          <w:color w:val="auto"/>
        </w:rPr>
        <w:t>供应商的响应文件应包含以下部分：</w:t>
      </w:r>
    </w:p>
    <w:p w14:paraId="566C52D4">
      <w:pPr>
        <w:adjustRightInd w:val="0"/>
        <w:snapToGrid w:val="0"/>
        <w:spacing w:line="340" w:lineRule="exact"/>
        <w:jc w:val="left"/>
        <w:outlineLvl w:val="9"/>
        <w:rPr>
          <w:rFonts w:ascii="宋体" w:hAnsi="宋体"/>
          <w:b/>
          <w:color w:val="auto"/>
          <w:szCs w:val="21"/>
        </w:rPr>
      </w:pPr>
    </w:p>
    <w:p w14:paraId="558FBA95">
      <w:pPr>
        <w:adjustRightInd w:val="0"/>
        <w:snapToGrid w:val="0"/>
        <w:spacing w:line="340" w:lineRule="exact"/>
        <w:jc w:val="left"/>
        <w:outlineLvl w:val="9"/>
        <w:rPr>
          <w:rFonts w:ascii="宋体" w:hAnsi="宋体"/>
          <w:b/>
          <w:color w:val="auto"/>
          <w:szCs w:val="21"/>
        </w:rPr>
      </w:pPr>
      <w:r>
        <w:rPr>
          <w:rFonts w:hint="eastAsia" w:ascii="宋体" w:hAnsi="宋体"/>
          <w:b/>
          <w:color w:val="auto"/>
          <w:szCs w:val="21"/>
        </w:rPr>
        <w:t>一、磋商响应声明</w:t>
      </w:r>
    </w:p>
    <w:p w14:paraId="0BEB4DC4">
      <w:pPr>
        <w:adjustRightInd w:val="0"/>
        <w:snapToGrid w:val="0"/>
        <w:spacing w:line="340" w:lineRule="exact"/>
        <w:ind w:firstLine="420" w:firstLineChars="200"/>
        <w:jc w:val="left"/>
        <w:outlineLvl w:val="9"/>
        <w:rPr>
          <w:rFonts w:ascii="宋体" w:hAnsi="宋体"/>
          <w:color w:val="auto"/>
          <w:szCs w:val="21"/>
        </w:rPr>
      </w:pPr>
      <w:r>
        <w:rPr>
          <w:rFonts w:hint="eastAsia" w:ascii="宋体" w:hAnsi="宋体"/>
          <w:color w:val="auto"/>
          <w:szCs w:val="21"/>
        </w:rPr>
        <w:t>附件1：承诺函</w:t>
      </w:r>
    </w:p>
    <w:p w14:paraId="36110087">
      <w:pPr>
        <w:adjustRightInd w:val="0"/>
        <w:snapToGrid w:val="0"/>
        <w:spacing w:line="340" w:lineRule="exact"/>
        <w:ind w:firstLine="420" w:firstLineChars="200"/>
        <w:jc w:val="left"/>
        <w:outlineLvl w:val="9"/>
        <w:rPr>
          <w:rFonts w:ascii="宋体" w:hAnsi="宋体"/>
          <w:color w:val="auto"/>
          <w:szCs w:val="21"/>
        </w:rPr>
      </w:pPr>
      <w:r>
        <w:rPr>
          <w:rFonts w:hint="eastAsia" w:ascii="宋体" w:hAnsi="宋体"/>
          <w:color w:val="auto"/>
          <w:szCs w:val="21"/>
        </w:rPr>
        <w:t>附件2：法定代表人身份证明(法定代表人参加磋商)</w:t>
      </w:r>
    </w:p>
    <w:p w14:paraId="12164E72">
      <w:pPr>
        <w:adjustRightInd w:val="0"/>
        <w:snapToGrid w:val="0"/>
        <w:spacing w:line="340" w:lineRule="exact"/>
        <w:ind w:firstLine="420" w:firstLineChars="200"/>
        <w:jc w:val="left"/>
        <w:outlineLvl w:val="9"/>
        <w:rPr>
          <w:rFonts w:ascii="宋体" w:hAnsi="宋体"/>
          <w:color w:val="auto"/>
          <w:szCs w:val="21"/>
        </w:rPr>
      </w:pPr>
      <w:r>
        <w:rPr>
          <w:rFonts w:hint="eastAsia" w:ascii="宋体" w:hAnsi="宋体"/>
          <w:color w:val="auto"/>
          <w:szCs w:val="21"/>
        </w:rPr>
        <w:t>附件3：法定代表人授权书(委托代理人参加磋商)</w:t>
      </w:r>
    </w:p>
    <w:p w14:paraId="1D922503">
      <w:pPr>
        <w:adjustRightInd w:val="0"/>
        <w:snapToGrid w:val="0"/>
        <w:spacing w:line="340" w:lineRule="exact"/>
        <w:jc w:val="left"/>
        <w:outlineLvl w:val="9"/>
        <w:rPr>
          <w:rFonts w:ascii="宋体" w:hAnsi="宋体"/>
          <w:b/>
          <w:color w:val="auto"/>
          <w:szCs w:val="21"/>
        </w:rPr>
      </w:pPr>
      <w:r>
        <w:rPr>
          <w:rFonts w:hint="eastAsia" w:ascii="宋体" w:hAnsi="宋体"/>
          <w:b/>
          <w:color w:val="auto"/>
          <w:szCs w:val="21"/>
        </w:rPr>
        <w:t>二、保证金</w:t>
      </w:r>
    </w:p>
    <w:p w14:paraId="53BE505D">
      <w:pPr>
        <w:adjustRightInd w:val="0"/>
        <w:snapToGrid w:val="0"/>
        <w:spacing w:line="340" w:lineRule="exact"/>
        <w:ind w:firstLine="420" w:firstLineChars="200"/>
        <w:jc w:val="left"/>
        <w:outlineLvl w:val="9"/>
        <w:rPr>
          <w:rFonts w:hint="eastAsia" w:ascii="宋体" w:hAnsi="宋体"/>
          <w:b/>
          <w:color w:val="auto"/>
          <w:szCs w:val="21"/>
        </w:rPr>
      </w:pPr>
      <w:r>
        <w:rPr>
          <w:rFonts w:hint="eastAsia" w:ascii="宋体" w:hAnsi="宋体"/>
          <w:color w:val="auto"/>
          <w:szCs w:val="21"/>
        </w:rPr>
        <w:t>附件</w:t>
      </w:r>
      <w:r>
        <w:rPr>
          <w:rFonts w:hint="eastAsia" w:ascii="宋体" w:hAnsi="宋体"/>
          <w:color w:val="auto"/>
          <w:szCs w:val="21"/>
          <w:lang w:val="en-US" w:eastAsia="zh-CN"/>
        </w:rPr>
        <w:t>4</w:t>
      </w:r>
      <w:r>
        <w:rPr>
          <w:rFonts w:hint="eastAsia" w:ascii="宋体" w:hAnsi="宋体"/>
          <w:color w:val="auto"/>
          <w:szCs w:val="21"/>
        </w:rPr>
        <w:t>：采购代理服务费承诺书</w:t>
      </w:r>
    </w:p>
    <w:p w14:paraId="21C7D8E5">
      <w:pPr>
        <w:adjustRightInd w:val="0"/>
        <w:snapToGrid w:val="0"/>
        <w:spacing w:line="340" w:lineRule="exact"/>
        <w:jc w:val="left"/>
        <w:outlineLvl w:val="9"/>
        <w:rPr>
          <w:rFonts w:ascii="宋体" w:hAnsi="宋体"/>
          <w:b/>
          <w:color w:val="auto"/>
          <w:szCs w:val="21"/>
        </w:rPr>
      </w:pPr>
      <w:r>
        <w:rPr>
          <w:rFonts w:hint="eastAsia" w:ascii="宋体" w:hAnsi="宋体"/>
          <w:b/>
          <w:color w:val="auto"/>
          <w:szCs w:val="21"/>
        </w:rPr>
        <w:t>三、供应商的资格证明材料</w:t>
      </w:r>
    </w:p>
    <w:p w14:paraId="57E6CA4D">
      <w:pPr>
        <w:adjustRightInd w:val="0"/>
        <w:snapToGrid w:val="0"/>
        <w:spacing w:line="340" w:lineRule="exact"/>
        <w:ind w:firstLine="420" w:firstLineChars="200"/>
        <w:outlineLvl w:val="9"/>
        <w:rPr>
          <w:rFonts w:ascii="宋体" w:hAnsi="宋体"/>
          <w:color w:val="auto"/>
          <w:szCs w:val="21"/>
        </w:rPr>
      </w:pPr>
      <w:r>
        <w:rPr>
          <w:rFonts w:hint="eastAsia" w:ascii="宋体" w:hAnsi="宋体"/>
          <w:color w:val="auto"/>
          <w:szCs w:val="21"/>
        </w:rPr>
        <w:t>附件</w:t>
      </w:r>
      <w:r>
        <w:rPr>
          <w:rFonts w:hint="eastAsia" w:ascii="宋体" w:hAnsi="宋体"/>
          <w:color w:val="auto"/>
          <w:szCs w:val="21"/>
          <w:lang w:val="en-US" w:eastAsia="zh-CN"/>
        </w:rPr>
        <w:t>5</w:t>
      </w:r>
      <w:r>
        <w:rPr>
          <w:rFonts w:hint="eastAsia" w:ascii="宋体" w:hAnsi="宋体"/>
          <w:color w:val="auto"/>
          <w:szCs w:val="21"/>
        </w:rPr>
        <w:t>：供应商资格证明材料</w:t>
      </w:r>
    </w:p>
    <w:p w14:paraId="00C8417C">
      <w:pPr>
        <w:pStyle w:val="27"/>
        <w:adjustRightInd w:val="0"/>
        <w:snapToGrid w:val="0"/>
        <w:spacing w:line="340" w:lineRule="exact"/>
        <w:outlineLvl w:val="9"/>
        <w:rPr>
          <w:rFonts w:hAnsi="宋体"/>
          <w:b/>
          <w:color w:val="auto"/>
        </w:rPr>
      </w:pPr>
      <w:r>
        <w:rPr>
          <w:rFonts w:hint="eastAsia" w:hAnsi="宋体"/>
          <w:b/>
          <w:color w:val="auto"/>
        </w:rPr>
        <w:t>四、商务</w:t>
      </w:r>
      <w:r>
        <w:rPr>
          <w:rFonts w:hint="eastAsia" w:hAnsi="宋体"/>
          <w:b/>
          <w:color w:val="auto"/>
          <w:lang w:eastAsia="zh-CN"/>
        </w:rPr>
        <w:t>技术</w:t>
      </w:r>
      <w:r>
        <w:rPr>
          <w:rFonts w:hint="eastAsia" w:hAnsi="宋体"/>
          <w:b/>
          <w:color w:val="auto"/>
        </w:rPr>
        <w:t>响应与偏离表</w:t>
      </w:r>
    </w:p>
    <w:p w14:paraId="5F52CD33">
      <w:pPr>
        <w:pStyle w:val="27"/>
        <w:adjustRightInd w:val="0"/>
        <w:snapToGrid w:val="0"/>
        <w:spacing w:line="340" w:lineRule="exact"/>
        <w:outlineLvl w:val="9"/>
        <w:rPr>
          <w:rFonts w:hAnsi="宋体"/>
          <w:b/>
          <w:color w:val="auto"/>
        </w:rPr>
      </w:pPr>
      <w:r>
        <w:rPr>
          <w:rFonts w:hint="eastAsia" w:hAnsi="宋体"/>
          <w:b/>
          <w:color w:val="auto"/>
        </w:rPr>
        <w:t>五、服务方案</w:t>
      </w:r>
    </w:p>
    <w:p w14:paraId="780D41F5">
      <w:pPr>
        <w:adjustRightInd w:val="0"/>
        <w:snapToGrid w:val="0"/>
        <w:spacing w:line="340" w:lineRule="exact"/>
        <w:outlineLvl w:val="9"/>
        <w:rPr>
          <w:b/>
          <w:color w:val="auto"/>
        </w:rPr>
      </w:pPr>
      <w:r>
        <w:rPr>
          <w:rFonts w:hint="eastAsia"/>
          <w:b/>
          <w:color w:val="auto"/>
        </w:rPr>
        <w:t>六、</w:t>
      </w:r>
      <w:r>
        <w:rPr>
          <w:rFonts w:hint="eastAsia"/>
          <w:b/>
          <w:bCs w:val="0"/>
          <w:color w:val="auto"/>
        </w:rPr>
        <w:t>提供政府采购政策产品等证明材料</w:t>
      </w:r>
    </w:p>
    <w:p w14:paraId="0DE4E8D0">
      <w:pPr>
        <w:adjustRightInd w:val="0"/>
        <w:snapToGrid w:val="0"/>
        <w:spacing w:line="340" w:lineRule="exact"/>
        <w:ind w:firstLine="420" w:firstLineChars="200"/>
        <w:outlineLvl w:val="9"/>
        <w:rPr>
          <w:rFonts w:hint="eastAsia" w:ascii="宋体" w:hAnsi="宋体" w:eastAsia="宋体" w:cs="宋体"/>
          <w:bCs/>
          <w:color w:val="auto"/>
        </w:rPr>
      </w:pPr>
      <w:r>
        <w:rPr>
          <w:rFonts w:hint="eastAsia" w:ascii="宋体" w:hAnsi="宋体" w:eastAsia="宋体" w:cs="宋体"/>
          <w:bCs/>
          <w:color w:val="auto"/>
        </w:rPr>
        <w:t>附件</w:t>
      </w:r>
      <w:r>
        <w:rPr>
          <w:rFonts w:hint="eastAsia" w:ascii="宋体" w:hAnsi="宋体" w:eastAsia="宋体" w:cs="宋体"/>
          <w:bCs/>
          <w:color w:val="auto"/>
          <w:lang w:val="en-US" w:eastAsia="zh-CN"/>
        </w:rPr>
        <w:t>6：</w:t>
      </w:r>
      <w:r>
        <w:rPr>
          <w:rFonts w:hint="eastAsia" w:ascii="宋体" w:hAnsi="宋体" w:eastAsia="宋体" w:cs="宋体"/>
          <w:bCs/>
          <w:color w:val="auto"/>
        </w:rPr>
        <w:t>中小企业声明函</w:t>
      </w:r>
    </w:p>
    <w:p w14:paraId="4E235A07">
      <w:pPr>
        <w:pStyle w:val="27"/>
        <w:adjustRightInd w:val="0"/>
        <w:snapToGrid w:val="0"/>
        <w:spacing w:line="340" w:lineRule="exact"/>
        <w:outlineLvl w:val="9"/>
        <w:rPr>
          <w:rFonts w:hint="eastAsia" w:hAnsi="宋体" w:eastAsia="宋体"/>
          <w:b/>
          <w:color w:val="auto"/>
          <w:lang w:eastAsia="zh-CN"/>
        </w:rPr>
      </w:pPr>
      <w:r>
        <w:rPr>
          <w:rFonts w:hint="eastAsia" w:hAnsi="宋体"/>
          <w:b/>
          <w:color w:val="auto"/>
        </w:rPr>
        <w:t>七、</w:t>
      </w:r>
      <w:r>
        <w:rPr>
          <w:rFonts w:hint="eastAsia" w:hAnsi="宋体"/>
          <w:b/>
          <w:color w:val="auto"/>
          <w:lang w:eastAsia="zh-CN"/>
        </w:rPr>
        <w:t>服务响应承诺函</w:t>
      </w:r>
    </w:p>
    <w:p w14:paraId="32E864B6">
      <w:pPr>
        <w:pStyle w:val="27"/>
        <w:adjustRightInd w:val="0"/>
        <w:snapToGrid w:val="0"/>
        <w:spacing w:line="340" w:lineRule="exact"/>
        <w:ind w:firstLine="420" w:firstLineChars="200"/>
        <w:outlineLvl w:val="9"/>
        <w:rPr>
          <w:rFonts w:hint="eastAsia" w:hAnsi="宋体" w:eastAsia="宋体"/>
          <w:b/>
          <w:color w:val="auto"/>
          <w:lang w:eastAsia="zh-CN"/>
        </w:rPr>
      </w:pPr>
      <w:r>
        <w:rPr>
          <w:rFonts w:hint="eastAsia" w:ascii="宋体" w:hAnsi="宋体"/>
          <w:color w:val="auto"/>
          <w:szCs w:val="21"/>
        </w:rPr>
        <w:t>附件</w:t>
      </w:r>
      <w:r>
        <w:rPr>
          <w:rFonts w:hint="eastAsia" w:hAnsi="宋体"/>
          <w:color w:val="auto"/>
          <w:szCs w:val="21"/>
          <w:lang w:val="en-US" w:eastAsia="zh-CN"/>
        </w:rPr>
        <w:t>7</w:t>
      </w:r>
      <w:r>
        <w:rPr>
          <w:rFonts w:hint="eastAsia" w:ascii="宋体" w:hAnsi="宋体"/>
          <w:color w:val="auto"/>
          <w:szCs w:val="21"/>
        </w:rPr>
        <w:t>：</w:t>
      </w:r>
      <w:r>
        <w:rPr>
          <w:rFonts w:hint="eastAsia" w:hAnsi="宋体"/>
          <w:bCs/>
          <w:color w:val="auto"/>
          <w:szCs w:val="21"/>
          <w:lang w:eastAsia="zh-CN"/>
        </w:rPr>
        <w:t>服务响应承诺函</w:t>
      </w:r>
    </w:p>
    <w:p w14:paraId="120909CC">
      <w:pPr>
        <w:pStyle w:val="27"/>
        <w:adjustRightInd w:val="0"/>
        <w:snapToGrid w:val="0"/>
        <w:spacing w:line="340" w:lineRule="exact"/>
        <w:outlineLvl w:val="9"/>
        <w:rPr>
          <w:rFonts w:hAnsi="宋体"/>
          <w:b/>
          <w:color w:val="auto"/>
        </w:rPr>
      </w:pPr>
      <w:r>
        <w:rPr>
          <w:rFonts w:hint="eastAsia" w:hAnsi="宋体"/>
          <w:b/>
          <w:color w:val="auto"/>
        </w:rPr>
        <w:t>八、供应商认为需提供的其它资料</w:t>
      </w:r>
    </w:p>
    <w:p w14:paraId="0A572FD2">
      <w:pPr>
        <w:bidi w:val="0"/>
      </w:pPr>
    </w:p>
    <w:p w14:paraId="2F0229E9">
      <w:r>
        <w:br w:type="page"/>
      </w:r>
    </w:p>
    <w:p w14:paraId="7B3F04A1">
      <w:pPr>
        <w:widowControl/>
        <w:shd w:val="clear" w:color="auto" w:fill="FFFFFF"/>
        <w:adjustRightInd w:val="0"/>
        <w:snapToGrid w:val="0"/>
        <w:jc w:val="center"/>
        <w:outlineLvl w:val="9"/>
        <w:rPr>
          <w:rFonts w:hint="eastAsia" w:ascii="华文中宋" w:hAnsi="华文中宋" w:eastAsia="华文中宋" w:cs="华文中宋"/>
          <w:b/>
          <w:bCs w:val="0"/>
          <w:color w:val="auto"/>
          <w:kern w:val="0"/>
          <w:sz w:val="96"/>
          <w:szCs w:val="96"/>
        </w:rPr>
      </w:pPr>
    </w:p>
    <w:p w14:paraId="435C76C7">
      <w:pPr>
        <w:widowControl/>
        <w:shd w:val="clear" w:color="auto" w:fill="FFFFFF"/>
        <w:adjustRightInd w:val="0"/>
        <w:snapToGrid w:val="0"/>
        <w:jc w:val="center"/>
        <w:outlineLvl w:val="9"/>
        <w:rPr>
          <w:rFonts w:hint="eastAsia" w:ascii="华文中宋" w:hAnsi="华文中宋" w:eastAsia="华文中宋" w:cs="华文中宋"/>
          <w:b/>
          <w:bCs w:val="0"/>
          <w:color w:val="auto"/>
          <w:kern w:val="0"/>
          <w:sz w:val="112"/>
          <w:szCs w:val="112"/>
        </w:rPr>
      </w:pPr>
      <w:r>
        <w:rPr>
          <w:rFonts w:hint="eastAsia" w:ascii="华文中宋" w:hAnsi="华文中宋" w:eastAsia="华文中宋" w:cs="华文中宋"/>
          <w:b/>
          <w:bCs w:val="0"/>
          <w:color w:val="auto"/>
          <w:kern w:val="0"/>
          <w:sz w:val="112"/>
          <w:szCs w:val="112"/>
        </w:rPr>
        <w:t>竞</w:t>
      </w:r>
      <w:r>
        <w:rPr>
          <w:rFonts w:hint="eastAsia" w:ascii="华文中宋" w:hAnsi="华文中宋" w:eastAsia="华文中宋" w:cs="华文中宋"/>
          <w:b/>
          <w:bCs w:val="0"/>
          <w:color w:val="auto"/>
          <w:kern w:val="0"/>
          <w:sz w:val="112"/>
          <w:szCs w:val="112"/>
          <w:lang w:val="en-US" w:eastAsia="zh-CN"/>
        </w:rPr>
        <w:t xml:space="preserve"> </w:t>
      </w:r>
      <w:r>
        <w:rPr>
          <w:rFonts w:hint="eastAsia" w:ascii="华文中宋" w:hAnsi="华文中宋" w:eastAsia="华文中宋" w:cs="华文中宋"/>
          <w:b/>
          <w:bCs w:val="0"/>
          <w:color w:val="auto"/>
          <w:kern w:val="0"/>
          <w:sz w:val="112"/>
          <w:szCs w:val="112"/>
        </w:rPr>
        <w:t>争</w:t>
      </w:r>
      <w:r>
        <w:rPr>
          <w:rFonts w:hint="eastAsia" w:ascii="华文中宋" w:hAnsi="华文中宋" w:eastAsia="华文中宋" w:cs="华文中宋"/>
          <w:b/>
          <w:bCs w:val="0"/>
          <w:color w:val="auto"/>
          <w:kern w:val="0"/>
          <w:sz w:val="112"/>
          <w:szCs w:val="112"/>
          <w:lang w:val="en-US" w:eastAsia="zh-CN"/>
        </w:rPr>
        <w:t xml:space="preserve"> </w:t>
      </w:r>
      <w:r>
        <w:rPr>
          <w:rFonts w:hint="eastAsia" w:ascii="华文中宋" w:hAnsi="华文中宋" w:eastAsia="华文中宋" w:cs="华文中宋"/>
          <w:b/>
          <w:bCs w:val="0"/>
          <w:color w:val="auto"/>
          <w:kern w:val="0"/>
          <w:sz w:val="112"/>
          <w:szCs w:val="112"/>
        </w:rPr>
        <w:t>性</w:t>
      </w:r>
      <w:r>
        <w:rPr>
          <w:rFonts w:hint="eastAsia" w:ascii="华文中宋" w:hAnsi="华文中宋" w:eastAsia="华文中宋" w:cs="华文中宋"/>
          <w:b/>
          <w:bCs w:val="0"/>
          <w:color w:val="auto"/>
          <w:kern w:val="0"/>
          <w:sz w:val="112"/>
          <w:szCs w:val="112"/>
          <w:lang w:val="en-US" w:eastAsia="zh-CN"/>
        </w:rPr>
        <w:t xml:space="preserve"> </w:t>
      </w:r>
      <w:r>
        <w:rPr>
          <w:rFonts w:hint="eastAsia" w:ascii="华文中宋" w:hAnsi="华文中宋" w:eastAsia="华文中宋" w:cs="华文中宋"/>
          <w:b/>
          <w:bCs w:val="0"/>
          <w:color w:val="auto"/>
          <w:kern w:val="0"/>
          <w:sz w:val="112"/>
          <w:szCs w:val="112"/>
        </w:rPr>
        <w:t>磋</w:t>
      </w:r>
      <w:r>
        <w:rPr>
          <w:rFonts w:hint="eastAsia" w:ascii="华文中宋" w:hAnsi="华文中宋" w:eastAsia="华文中宋" w:cs="华文中宋"/>
          <w:b/>
          <w:bCs w:val="0"/>
          <w:color w:val="auto"/>
          <w:kern w:val="0"/>
          <w:sz w:val="112"/>
          <w:szCs w:val="112"/>
          <w:lang w:val="en-US" w:eastAsia="zh-CN"/>
        </w:rPr>
        <w:t xml:space="preserve"> </w:t>
      </w:r>
      <w:r>
        <w:rPr>
          <w:rFonts w:hint="eastAsia" w:ascii="华文中宋" w:hAnsi="华文中宋" w:eastAsia="华文中宋" w:cs="华文中宋"/>
          <w:b/>
          <w:bCs w:val="0"/>
          <w:color w:val="auto"/>
          <w:kern w:val="0"/>
          <w:sz w:val="112"/>
          <w:szCs w:val="112"/>
        </w:rPr>
        <w:t>商</w:t>
      </w:r>
    </w:p>
    <w:p w14:paraId="2EF6E2BD">
      <w:pPr>
        <w:widowControl/>
        <w:shd w:val="clear" w:color="auto" w:fill="FFFFFF"/>
        <w:adjustRightInd w:val="0"/>
        <w:snapToGrid w:val="0"/>
        <w:jc w:val="center"/>
        <w:outlineLvl w:val="9"/>
        <w:rPr>
          <w:rFonts w:hint="eastAsia" w:ascii="方正大标宋简体" w:hAnsi="宋体" w:eastAsia="华文中宋" w:cs="宋体"/>
          <w:b/>
          <w:bCs w:val="0"/>
          <w:color w:val="auto"/>
          <w:kern w:val="0"/>
          <w:sz w:val="112"/>
          <w:szCs w:val="112"/>
          <w:lang w:val="en-US" w:eastAsia="zh-CN"/>
        </w:rPr>
      </w:pPr>
      <w:r>
        <w:rPr>
          <w:rFonts w:hint="eastAsia" w:ascii="华文中宋" w:hAnsi="华文中宋" w:eastAsia="华文中宋" w:cs="华文中宋"/>
          <w:b/>
          <w:bCs w:val="0"/>
          <w:color w:val="auto"/>
          <w:kern w:val="0"/>
          <w:sz w:val="112"/>
          <w:szCs w:val="112"/>
          <w:lang w:val="en-US" w:eastAsia="zh-CN"/>
        </w:rPr>
        <w:t>响应</w:t>
      </w:r>
      <w:r>
        <w:rPr>
          <w:rFonts w:hint="eastAsia" w:ascii="华文中宋" w:hAnsi="华文中宋" w:eastAsia="华文中宋" w:cs="华文中宋"/>
          <w:b/>
          <w:bCs w:val="0"/>
          <w:color w:val="auto"/>
          <w:kern w:val="0"/>
          <w:sz w:val="112"/>
          <w:szCs w:val="112"/>
          <w:lang w:eastAsia="zh-CN"/>
        </w:rPr>
        <w:t>文件</w:t>
      </w:r>
    </w:p>
    <w:p w14:paraId="17BD5A06">
      <w:pPr>
        <w:bidi w:val="0"/>
      </w:pPr>
    </w:p>
    <w:p w14:paraId="3A52C257">
      <w:pPr>
        <w:bidi w:val="0"/>
      </w:pPr>
    </w:p>
    <w:p w14:paraId="0B07BCC4">
      <w:pPr>
        <w:bidi w:val="0"/>
        <w:rPr>
          <w:rFonts w:hint="eastAsia"/>
        </w:rPr>
      </w:pPr>
    </w:p>
    <w:p w14:paraId="57903F29">
      <w:pPr>
        <w:bidi w:val="0"/>
        <w:rPr>
          <w:rFonts w:hint="eastAsia"/>
        </w:rPr>
      </w:pPr>
    </w:p>
    <w:p w14:paraId="313981BA">
      <w:pPr>
        <w:bidi w:val="0"/>
        <w:rPr>
          <w:rFonts w:hint="eastAsia"/>
        </w:rPr>
      </w:pPr>
    </w:p>
    <w:p w14:paraId="0E4DFB0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2520" w:leftChars="0" w:hanging="2520" w:hangingChars="700"/>
        <w:jc w:val="left"/>
        <w:textAlignment w:val="auto"/>
        <w:outlineLvl w:val="9"/>
        <w:rPr>
          <w:rFonts w:ascii="宋体" w:hAnsi="宋体" w:cs="宋体"/>
          <w:b/>
          <w:bCs/>
          <w:color w:val="auto"/>
          <w:kern w:val="0"/>
          <w:sz w:val="36"/>
          <w:szCs w:val="36"/>
          <w:u w:val="single"/>
        </w:rPr>
      </w:pPr>
      <w:r>
        <w:rPr>
          <w:rFonts w:hint="eastAsia" w:ascii="宋体" w:hAnsi="宋体" w:cs="宋体"/>
          <w:b/>
          <w:bCs/>
          <w:color w:val="auto"/>
          <w:kern w:val="0"/>
          <w:sz w:val="36"/>
          <w:szCs w:val="36"/>
        </w:rPr>
        <w:t>项</w:t>
      </w:r>
      <w:r>
        <w:rPr>
          <w:rFonts w:hint="eastAsia" w:ascii="宋体" w:hAnsi="宋体" w:cs="宋体"/>
          <w:b/>
          <w:bCs/>
          <w:color w:val="auto"/>
          <w:kern w:val="0"/>
          <w:sz w:val="36"/>
          <w:szCs w:val="36"/>
          <w:lang w:val="en-US" w:eastAsia="zh-CN"/>
        </w:rPr>
        <w:t xml:space="preserve">  </w:t>
      </w:r>
      <w:r>
        <w:rPr>
          <w:rFonts w:hint="eastAsia" w:ascii="宋体" w:hAnsi="宋体" w:cs="宋体"/>
          <w:b/>
          <w:bCs/>
          <w:color w:val="auto"/>
          <w:kern w:val="0"/>
          <w:sz w:val="36"/>
          <w:szCs w:val="36"/>
        </w:rPr>
        <w:t>目</w:t>
      </w:r>
      <w:r>
        <w:rPr>
          <w:rFonts w:hint="eastAsia" w:ascii="宋体" w:hAnsi="宋体" w:cs="宋体"/>
          <w:b/>
          <w:bCs/>
          <w:color w:val="auto"/>
          <w:kern w:val="0"/>
          <w:sz w:val="36"/>
          <w:szCs w:val="36"/>
          <w:lang w:val="en-US" w:eastAsia="zh-CN"/>
        </w:rPr>
        <w:t xml:space="preserve"> </w:t>
      </w:r>
      <w:r>
        <w:rPr>
          <w:rFonts w:hint="eastAsia" w:ascii="宋体" w:hAnsi="宋体" w:cs="宋体"/>
          <w:b/>
          <w:bCs/>
          <w:color w:val="auto"/>
          <w:kern w:val="0"/>
          <w:sz w:val="36"/>
          <w:szCs w:val="36"/>
        </w:rPr>
        <w:t>名</w:t>
      </w:r>
      <w:r>
        <w:rPr>
          <w:rFonts w:hint="eastAsia" w:ascii="宋体" w:hAnsi="宋体" w:cs="宋体"/>
          <w:b/>
          <w:bCs/>
          <w:color w:val="auto"/>
          <w:kern w:val="0"/>
          <w:sz w:val="36"/>
          <w:szCs w:val="36"/>
          <w:lang w:val="en-US" w:eastAsia="zh-CN"/>
        </w:rPr>
        <w:t xml:space="preserve"> </w:t>
      </w:r>
      <w:r>
        <w:rPr>
          <w:rFonts w:hint="eastAsia" w:ascii="宋体" w:hAnsi="宋体" w:cs="宋体"/>
          <w:b/>
          <w:bCs/>
          <w:color w:val="auto"/>
          <w:kern w:val="0"/>
          <w:sz w:val="36"/>
          <w:szCs w:val="36"/>
        </w:rPr>
        <w:t>称：</w:t>
      </w:r>
      <w:r>
        <w:rPr>
          <w:rFonts w:hint="eastAsia" w:ascii="宋体" w:hAnsi="宋体" w:cs="宋体"/>
          <w:b/>
          <w:bCs/>
          <w:color w:val="auto"/>
          <w:sz w:val="36"/>
          <w:szCs w:val="36"/>
          <w:u w:val="single"/>
          <w:shd w:val="clear" w:color="auto" w:fill="FFFFFF"/>
          <w:lang w:val="en-US" w:eastAsia="zh-CN"/>
        </w:rPr>
        <w:t xml:space="preserve">     </w:t>
      </w:r>
      <w:r>
        <w:rPr>
          <w:rFonts w:hint="eastAsia" w:ascii="宋体" w:hAnsi="宋体" w:cs="宋体"/>
          <w:b/>
          <w:bCs/>
          <w:color w:val="auto"/>
          <w:kern w:val="0"/>
          <w:sz w:val="36"/>
          <w:szCs w:val="36"/>
          <w:u w:val="single"/>
        </w:rPr>
        <w:t xml:space="preserve"> </w:t>
      </w:r>
      <w:r>
        <w:rPr>
          <w:rFonts w:hint="eastAsia" w:ascii="宋体" w:hAnsi="宋体" w:cs="宋体"/>
          <w:b/>
          <w:bCs/>
          <w:color w:val="auto"/>
          <w:kern w:val="0"/>
          <w:sz w:val="36"/>
          <w:szCs w:val="36"/>
          <w:u w:val="single"/>
          <w:lang w:val="en-US" w:eastAsia="zh-CN"/>
        </w:rPr>
        <w:t xml:space="preserve">   </w:t>
      </w:r>
      <w:r>
        <w:rPr>
          <w:rFonts w:hint="eastAsia" w:ascii="宋体" w:hAnsi="宋体" w:cs="宋体"/>
          <w:b/>
          <w:bCs/>
          <w:color w:val="auto"/>
          <w:kern w:val="0"/>
          <w:sz w:val="36"/>
          <w:szCs w:val="36"/>
          <w:u w:val="single"/>
        </w:rPr>
        <w:t xml:space="preserve">             </w:t>
      </w:r>
      <w:r>
        <w:rPr>
          <w:rFonts w:hint="eastAsia" w:ascii="宋体" w:hAnsi="宋体" w:cs="宋体"/>
          <w:b/>
          <w:bCs/>
          <w:color w:val="auto"/>
          <w:kern w:val="0"/>
          <w:sz w:val="36"/>
          <w:szCs w:val="36"/>
          <w:u w:val="single"/>
          <w:lang w:val="en-US" w:eastAsia="zh-CN"/>
        </w:rPr>
        <w:t xml:space="preserve">      </w:t>
      </w:r>
      <w:r>
        <w:rPr>
          <w:rFonts w:hint="eastAsia" w:ascii="宋体" w:hAnsi="宋体" w:cs="宋体"/>
          <w:b/>
          <w:bCs/>
          <w:color w:val="auto"/>
          <w:kern w:val="0"/>
          <w:sz w:val="36"/>
          <w:szCs w:val="36"/>
          <w:u w:val="single"/>
        </w:rPr>
        <w:t xml:space="preserve">   </w:t>
      </w:r>
    </w:p>
    <w:p w14:paraId="0712EF9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1816" w:hanging="2325" w:hangingChars="646"/>
        <w:jc w:val="left"/>
        <w:textAlignment w:val="auto"/>
        <w:outlineLvl w:val="9"/>
        <w:rPr>
          <w:b/>
          <w:bCs/>
          <w:sz w:val="36"/>
          <w:szCs w:val="36"/>
        </w:rPr>
      </w:pPr>
      <w:r>
        <w:rPr>
          <w:rFonts w:hint="eastAsia" w:ascii="宋体" w:hAnsi="宋体" w:cs="宋体"/>
          <w:b/>
          <w:bCs/>
          <w:color w:val="auto"/>
          <w:kern w:val="0"/>
          <w:sz w:val="36"/>
          <w:szCs w:val="36"/>
          <w:lang w:val="en-US" w:eastAsia="zh-CN"/>
        </w:rPr>
        <w:t>采购</w:t>
      </w:r>
      <w:r>
        <w:rPr>
          <w:rFonts w:hint="eastAsia" w:ascii="宋体" w:hAnsi="宋体" w:cs="宋体"/>
          <w:b/>
          <w:bCs/>
          <w:color w:val="auto"/>
          <w:kern w:val="0"/>
          <w:sz w:val="36"/>
          <w:szCs w:val="36"/>
          <w:lang w:eastAsia="zh-CN"/>
        </w:rPr>
        <w:t>计划编号</w:t>
      </w:r>
      <w:r>
        <w:rPr>
          <w:rFonts w:hint="eastAsia" w:ascii="宋体" w:hAnsi="宋体" w:cs="宋体"/>
          <w:b/>
          <w:bCs/>
          <w:color w:val="auto"/>
          <w:kern w:val="0"/>
          <w:sz w:val="36"/>
          <w:szCs w:val="36"/>
        </w:rPr>
        <w:t>：</w:t>
      </w:r>
      <w:r>
        <w:rPr>
          <w:rFonts w:hint="eastAsia" w:ascii="宋体" w:hAnsi="宋体" w:cs="宋体"/>
          <w:b/>
          <w:bCs/>
          <w:color w:val="auto"/>
          <w:kern w:val="0"/>
          <w:sz w:val="36"/>
          <w:szCs w:val="36"/>
          <w:u w:val="single"/>
          <w:lang w:val="en-US" w:eastAsia="zh-CN"/>
        </w:rPr>
        <w:t xml:space="preserve">      </w:t>
      </w:r>
      <w:r>
        <w:rPr>
          <w:rFonts w:hint="eastAsia" w:ascii="宋体" w:hAnsi="宋体" w:cs="宋体"/>
          <w:b/>
          <w:bCs/>
          <w:color w:val="auto"/>
          <w:kern w:val="0"/>
          <w:sz w:val="36"/>
          <w:szCs w:val="36"/>
          <w:u w:val="single"/>
        </w:rPr>
        <w:t xml:space="preserve">                   </w:t>
      </w:r>
      <w:r>
        <w:rPr>
          <w:rFonts w:hint="eastAsia" w:ascii="宋体" w:hAnsi="宋体" w:cs="宋体"/>
          <w:b/>
          <w:bCs/>
          <w:color w:val="auto"/>
          <w:kern w:val="0"/>
          <w:sz w:val="36"/>
          <w:szCs w:val="36"/>
          <w:u w:val="single"/>
          <w:lang w:val="en-US" w:eastAsia="zh-CN"/>
        </w:rPr>
        <w:t xml:space="preserve"> </w:t>
      </w:r>
      <w:r>
        <w:rPr>
          <w:rFonts w:hint="eastAsia" w:ascii="宋体" w:hAnsi="宋体" w:cs="宋体"/>
          <w:b/>
          <w:bCs/>
          <w:color w:val="auto"/>
          <w:kern w:val="0"/>
          <w:sz w:val="36"/>
          <w:szCs w:val="36"/>
          <w:u w:val="single"/>
        </w:rPr>
        <w:t xml:space="preserve">     </w:t>
      </w:r>
    </w:p>
    <w:p w14:paraId="3C4954F8">
      <w:pPr>
        <w:bidi w:val="0"/>
        <w:rPr>
          <w:rFonts w:hint="default"/>
          <w:b/>
          <w:bCs/>
          <w:sz w:val="36"/>
          <w:szCs w:val="36"/>
          <w:u w:val="single"/>
          <w:lang w:val="en-US"/>
        </w:rPr>
      </w:pPr>
      <w:r>
        <w:rPr>
          <w:rFonts w:hint="eastAsia"/>
          <w:b/>
          <w:bCs/>
          <w:sz w:val="36"/>
          <w:szCs w:val="36"/>
          <w:lang w:val="en-US" w:eastAsia="zh-CN"/>
        </w:rPr>
        <w:t>所投项目标段：</w:t>
      </w:r>
      <w:r>
        <w:rPr>
          <w:rFonts w:hint="eastAsia"/>
          <w:b/>
          <w:bCs/>
          <w:sz w:val="36"/>
          <w:szCs w:val="36"/>
          <w:u w:val="single"/>
          <w:lang w:val="en-US" w:eastAsia="zh-CN"/>
        </w:rPr>
        <w:t xml:space="preserve">                                                    </w:t>
      </w:r>
    </w:p>
    <w:p w14:paraId="7A9DA2AE">
      <w:pPr>
        <w:bidi w:val="0"/>
      </w:pPr>
    </w:p>
    <w:p w14:paraId="4B2D53FD">
      <w:pPr>
        <w:outlineLvl w:val="9"/>
      </w:pPr>
    </w:p>
    <w:p w14:paraId="126525AF">
      <w:pPr>
        <w:bidi w:val="0"/>
        <w:spacing w:line="720" w:lineRule="auto"/>
        <w:jc w:val="both"/>
        <w:rPr>
          <w:rFonts w:hint="default"/>
          <w:b/>
          <w:bCs/>
          <w:sz w:val="36"/>
          <w:szCs w:val="36"/>
          <w:u w:val="single"/>
          <w:lang w:val="en-US" w:eastAsia="zh-CN"/>
        </w:rPr>
      </w:pPr>
      <w:r>
        <w:rPr>
          <w:rFonts w:hint="eastAsia"/>
          <w:b/>
          <w:bCs/>
          <w:sz w:val="36"/>
          <w:szCs w:val="36"/>
          <w:lang w:val="en-US" w:eastAsia="zh-CN"/>
        </w:rPr>
        <w:t>供   应   商：</w:t>
      </w:r>
      <w:r>
        <w:rPr>
          <w:rFonts w:hint="eastAsia"/>
          <w:b/>
          <w:bCs/>
          <w:sz w:val="36"/>
          <w:szCs w:val="36"/>
          <w:u w:val="single"/>
          <w:lang w:val="en-US" w:eastAsia="zh-CN"/>
        </w:rPr>
        <w:t xml:space="preserve">                               </w:t>
      </w:r>
    </w:p>
    <w:p w14:paraId="3E762E84">
      <w:pPr>
        <w:bidi w:val="0"/>
        <w:rPr>
          <w:rFonts w:hint="eastAsia"/>
          <w:lang w:val="en-US" w:eastAsia="zh-CN"/>
        </w:rPr>
      </w:pPr>
    </w:p>
    <w:p w14:paraId="2E45D3C6">
      <w:pPr>
        <w:bidi w:val="0"/>
        <w:spacing w:line="720" w:lineRule="auto"/>
        <w:jc w:val="center"/>
        <w:rPr>
          <w:rFonts w:hint="default"/>
          <w:b/>
          <w:bCs/>
          <w:sz w:val="36"/>
          <w:szCs w:val="36"/>
          <w:lang w:val="en-US" w:eastAsia="zh-CN"/>
        </w:rPr>
      </w:pPr>
      <w:r>
        <w:rPr>
          <w:rFonts w:hint="eastAsia"/>
          <w:b/>
          <w:bCs/>
          <w:sz w:val="36"/>
          <w:szCs w:val="36"/>
          <w:lang w:val="en-US" w:eastAsia="zh-CN"/>
        </w:rPr>
        <w:t>年  月  日</w:t>
      </w:r>
    </w:p>
    <w:p w14:paraId="3C618027">
      <w:pPr>
        <w:bidi w:val="0"/>
        <w:spacing w:line="720" w:lineRule="auto"/>
      </w:pPr>
    </w:p>
    <w:p w14:paraId="7F029480">
      <w:pPr>
        <w:bidi w:val="0"/>
      </w:pPr>
    </w:p>
    <w:p w14:paraId="45BFCB55">
      <w:pPr>
        <w:bidi w:val="0"/>
      </w:pPr>
    </w:p>
    <w:p w14:paraId="5F130824">
      <w:pPr>
        <w:bidi w:val="0"/>
      </w:pPr>
    </w:p>
    <w:p w14:paraId="02B817EA">
      <w:pPr>
        <w:bidi w:val="0"/>
      </w:pPr>
    </w:p>
    <w:p w14:paraId="3B9CB9B1">
      <w:pPr>
        <w:bidi w:val="0"/>
      </w:pPr>
    </w:p>
    <w:p w14:paraId="3A1BFD5B">
      <w:pPr>
        <w:spacing w:line="360" w:lineRule="exact"/>
        <w:jc w:val="center"/>
        <w:outlineLvl w:val="9"/>
        <w:rPr>
          <w:rFonts w:ascii="宋体" w:hAnsi="宋体"/>
          <w:b/>
          <w:color w:val="auto"/>
          <w:sz w:val="32"/>
          <w:szCs w:val="32"/>
        </w:rPr>
      </w:pPr>
    </w:p>
    <w:p w14:paraId="2DE3C895">
      <w:pPr>
        <w:spacing w:line="360" w:lineRule="exact"/>
        <w:jc w:val="center"/>
        <w:outlineLvl w:val="9"/>
        <w:rPr>
          <w:rFonts w:ascii="宋体" w:hAnsi="宋体"/>
          <w:b/>
          <w:color w:val="auto"/>
          <w:sz w:val="32"/>
          <w:szCs w:val="32"/>
        </w:rPr>
      </w:pPr>
    </w:p>
    <w:p w14:paraId="07B7D1E7">
      <w:pPr>
        <w:spacing w:line="360" w:lineRule="exact"/>
        <w:jc w:val="center"/>
        <w:outlineLvl w:val="9"/>
        <w:rPr>
          <w:rFonts w:ascii="宋体" w:hAnsi="宋体"/>
          <w:b/>
          <w:color w:val="auto"/>
          <w:sz w:val="32"/>
          <w:szCs w:val="32"/>
        </w:rPr>
      </w:pPr>
    </w:p>
    <w:p w14:paraId="0C47FD8B">
      <w:pPr>
        <w:spacing w:line="360" w:lineRule="exact"/>
        <w:jc w:val="center"/>
        <w:outlineLvl w:val="9"/>
        <w:rPr>
          <w:rFonts w:ascii="宋体" w:hAnsi="宋体"/>
          <w:b/>
          <w:color w:val="auto"/>
          <w:sz w:val="32"/>
          <w:szCs w:val="32"/>
        </w:rPr>
      </w:pPr>
    </w:p>
    <w:p w14:paraId="5B2CEE8A">
      <w:pPr>
        <w:spacing w:line="360" w:lineRule="exact"/>
        <w:jc w:val="center"/>
        <w:outlineLvl w:val="9"/>
        <w:rPr>
          <w:rFonts w:ascii="宋体" w:hAnsi="宋体"/>
          <w:b/>
          <w:color w:val="auto"/>
          <w:sz w:val="32"/>
          <w:szCs w:val="32"/>
        </w:rPr>
      </w:pPr>
    </w:p>
    <w:p w14:paraId="1C208E63">
      <w:pPr>
        <w:spacing w:line="360" w:lineRule="exact"/>
        <w:jc w:val="center"/>
        <w:outlineLvl w:val="9"/>
        <w:rPr>
          <w:rFonts w:ascii="宋体" w:hAnsi="宋体"/>
          <w:b/>
          <w:color w:val="auto"/>
          <w:sz w:val="32"/>
          <w:szCs w:val="32"/>
        </w:rPr>
      </w:pPr>
    </w:p>
    <w:p w14:paraId="164F3899">
      <w:pPr>
        <w:spacing w:line="360" w:lineRule="exact"/>
        <w:jc w:val="center"/>
        <w:outlineLvl w:val="9"/>
        <w:rPr>
          <w:rFonts w:ascii="宋体" w:hAnsi="宋体"/>
          <w:b/>
          <w:color w:val="auto"/>
          <w:sz w:val="32"/>
          <w:szCs w:val="32"/>
        </w:rPr>
      </w:pPr>
    </w:p>
    <w:p w14:paraId="06924A01">
      <w:pPr>
        <w:spacing w:line="360" w:lineRule="exact"/>
        <w:outlineLvl w:val="9"/>
        <w:rPr>
          <w:rFonts w:ascii="宋体" w:hAnsi="宋体"/>
          <w:b/>
          <w:color w:val="auto"/>
          <w:sz w:val="32"/>
          <w:szCs w:val="32"/>
        </w:rPr>
      </w:pPr>
    </w:p>
    <w:p w14:paraId="77093AF0">
      <w:pPr>
        <w:spacing w:line="360" w:lineRule="exact"/>
        <w:jc w:val="center"/>
        <w:outlineLvl w:val="9"/>
        <w:rPr>
          <w:rFonts w:hint="eastAsia" w:ascii="宋体" w:hAnsi="宋体"/>
          <w:b/>
          <w:color w:val="auto"/>
          <w:sz w:val="32"/>
          <w:szCs w:val="32"/>
        </w:rPr>
      </w:pPr>
    </w:p>
    <w:p w14:paraId="02D8C32F">
      <w:pPr>
        <w:bidi w:val="0"/>
        <w:rPr>
          <w:rFonts w:hint="eastAsia"/>
        </w:rPr>
      </w:pPr>
    </w:p>
    <w:p w14:paraId="47CCC79B">
      <w:pPr>
        <w:spacing w:line="360" w:lineRule="exact"/>
        <w:jc w:val="center"/>
        <w:outlineLvl w:val="1"/>
        <w:rPr>
          <w:rFonts w:ascii="宋体" w:hAnsi="宋体"/>
          <w:b/>
          <w:color w:val="auto"/>
          <w:sz w:val="32"/>
          <w:szCs w:val="32"/>
        </w:rPr>
      </w:pPr>
      <w:bookmarkStart w:id="16" w:name="_Toc29379"/>
      <w:bookmarkStart w:id="17" w:name="_Toc29775"/>
      <w:r>
        <w:rPr>
          <w:rFonts w:hint="eastAsia" w:ascii="宋体" w:hAnsi="宋体"/>
          <w:b/>
          <w:color w:val="auto"/>
          <w:sz w:val="32"/>
          <w:szCs w:val="32"/>
        </w:rPr>
        <w:t>一、磋商响应声明</w:t>
      </w:r>
      <w:bookmarkEnd w:id="16"/>
      <w:bookmarkEnd w:id="17"/>
    </w:p>
    <w:p w14:paraId="5384111F">
      <w:pPr>
        <w:adjustRightInd w:val="0"/>
        <w:snapToGrid w:val="0"/>
        <w:spacing w:line="360" w:lineRule="auto"/>
        <w:outlineLvl w:val="9"/>
        <w:rPr>
          <w:rFonts w:ascii="宋体" w:hAnsi="宋体"/>
          <w:color w:val="auto"/>
          <w:sz w:val="24"/>
        </w:rPr>
      </w:pPr>
    </w:p>
    <w:p w14:paraId="6B58A1CB">
      <w:pPr>
        <w:adjustRightInd w:val="0"/>
        <w:snapToGrid w:val="0"/>
        <w:spacing w:line="360" w:lineRule="auto"/>
        <w:outlineLvl w:val="9"/>
        <w:rPr>
          <w:rFonts w:hint="eastAsia" w:ascii="宋体" w:hAnsi="宋体"/>
          <w:color w:val="auto"/>
          <w:szCs w:val="21"/>
        </w:rPr>
      </w:pPr>
    </w:p>
    <w:p w14:paraId="1CD30B82">
      <w:pPr>
        <w:adjustRightInd w:val="0"/>
        <w:snapToGrid w:val="0"/>
        <w:spacing w:line="360" w:lineRule="auto"/>
        <w:outlineLvl w:val="9"/>
        <w:rPr>
          <w:rFonts w:ascii="宋体" w:hAnsi="宋体"/>
          <w:color w:val="auto"/>
          <w:szCs w:val="21"/>
        </w:rPr>
      </w:pPr>
      <w:r>
        <w:rPr>
          <w:rFonts w:hint="eastAsia" w:ascii="宋体" w:hAnsi="宋体"/>
          <w:color w:val="auto"/>
          <w:szCs w:val="21"/>
        </w:rPr>
        <w:t>致</w:t>
      </w:r>
      <w:r>
        <w:rPr>
          <w:rFonts w:hint="eastAsia" w:ascii="宋体" w:hAnsi="宋体"/>
          <w:color w:val="auto"/>
          <w:szCs w:val="21"/>
          <w:lang w:eastAsia="zh-CN"/>
        </w:rPr>
        <w:t>常德众益项目管理咨询有限公司</w:t>
      </w:r>
      <w:r>
        <w:rPr>
          <w:rFonts w:hint="eastAsia" w:ascii="宋体" w:hAnsi="宋体"/>
          <w:color w:val="auto"/>
          <w:szCs w:val="21"/>
        </w:rPr>
        <w:t>：</w:t>
      </w:r>
    </w:p>
    <w:p w14:paraId="27077BBC">
      <w:pPr>
        <w:adjustRightInd w:val="0"/>
        <w:snapToGrid w:val="0"/>
        <w:spacing w:line="360" w:lineRule="auto"/>
        <w:ind w:firstLine="420" w:firstLineChars="200"/>
        <w:outlineLvl w:val="9"/>
        <w:rPr>
          <w:rFonts w:hint="eastAsia" w:ascii="宋体" w:hAnsi="宋体"/>
          <w:color w:val="auto"/>
          <w:szCs w:val="21"/>
        </w:rPr>
      </w:pPr>
    </w:p>
    <w:p w14:paraId="662D05B9">
      <w:pPr>
        <w:adjustRightInd w:val="0"/>
        <w:snapToGrid w:val="0"/>
        <w:spacing w:line="360" w:lineRule="auto"/>
        <w:ind w:firstLine="420" w:firstLineChars="200"/>
        <w:outlineLvl w:val="9"/>
        <w:rPr>
          <w:rFonts w:ascii="宋体" w:hAnsi="宋体"/>
          <w:color w:val="auto"/>
          <w:szCs w:val="21"/>
          <w:u w:val="single"/>
        </w:rPr>
      </w:pPr>
      <w:r>
        <w:rPr>
          <w:rFonts w:hint="eastAsia" w:ascii="宋体" w:hAnsi="宋体"/>
          <w:color w:val="auto"/>
          <w:szCs w:val="21"/>
        </w:rPr>
        <w:t>我方已仔细研究了</w:t>
      </w:r>
      <w:r>
        <w:rPr>
          <w:rFonts w:hint="eastAsia" w:ascii="宋体" w:hAnsi="宋体"/>
          <w:color w:val="auto"/>
          <w:szCs w:val="21"/>
          <w:u w:val="single"/>
        </w:rPr>
        <w:t xml:space="preserve">                    (</w:t>
      </w:r>
      <w:r>
        <w:rPr>
          <w:rFonts w:hint="eastAsia" w:ascii="宋体" w:hAnsi="宋体"/>
          <w:color w:val="auto"/>
          <w:szCs w:val="21"/>
        </w:rPr>
        <w:t>项目名称)的竞争性磋商文件（</w:t>
      </w:r>
      <w:r>
        <w:rPr>
          <w:rFonts w:hint="eastAsia" w:ascii="宋体" w:hAnsi="宋体"/>
          <w:color w:val="auto"/>
          <w:szCs w:val="21"/>
          <w:lang w:eastAsia="zh-CN"/>
        </w:rPr>
        <w:t>采购计划编号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）的全部内容，</w:t>
      </w:r>
      <w:r>
        <w:rPr>
          <w:rFonts w:hint="eastAsia" w:ascii="宋体" w:hAnsi="宋体"/>
          <w:color w:val="auto"/>
        </w:rPr>
        <w:t>知悉参加竞争性磋商采购活动的风险，我方承诺接受磋商文件的全部条款且无任何异议。</w:t>
      </w:r>
    </w:p>
    <w:p w14:paraId="46BD57CE">
      <w:pPr>
        <w:pStyle w:val="27"/>
        <w:adjustRightInd w:val="0"/>
        <w:snapToGrid w:val="0"/>
        <w:spacing w:line="360" w:lineRule="auto"/>
        <w:ind w:firstLine="420" w:firstLineChars="200"/>
        <w:outlineLvl w:val="9"/>
        <w:rPr>
          <w:rFonts w:hAnsi="宋体"/>
          <w:color w:val="auto"/>
        </w:rPr>
      </w:pPr>
      <w:r>
        <w:rPr>
          <w:rFonts w:hint="eastAsia" w:hAnsi="宋体"/>
          <w:color w:val="auto"/>
        </w:rPr>
        <w:t>一、我方同意在磋商文件中规定的提交首次响应文件截止时间起</w:t>
      </w:r>
      <w:r>
        <w:rPr>
          <w:rFonts w:hint="eastAsia" w:hAnsi="宋体"/>
          <w:color w:val="auto"/>
          <w:u w:val="single"/>
        </w:rPr>
        <w:t xml:space="preserve">    </w:t>
      </w:r>
      <w:r>
        <w:rPr>
          <w:rFonts w:hint="eastAsia" w:hAnsi="宋体"/>
          <w:color w:val="auto"/>
        </w:rPr>
        <w:t>日内(响应文件有效期)遵守本响应文件中的承诺且在此期限期满之前均具有法律约束力。</w:t>
      </w:r>
    </w:p>
    <w:p w14:paraId="10049E4E">
      <w:pPr>
        <w:pStyle w:val="27"/>
        <w:adjustRightInd w:val="0"/>
        <w:snapToGrid w:val="0"/>
        <w:spacing w:line="360" w:lineRule="auto"/>
        <w:ind w:firstLine="420" w:firstLineChars="200"/>
        <w:outlineLvl w:val="9"/>
        <w:rPr>
          <w:rFonts w:hAnsi="宋体"/>
          <w:bCs/>
          <w:color w:val="auto"/>
        </w:rPr>
      </w:pPr>
      <w:r>
        <w:rPr>
          <w:rFonts w:hint="eastAsia" w:hAnsi="宋体"/>
          <w:color w:val="auto"/>
        </w:rPr>
        <w:t>二、我方提交响应文件正本</w:t>
      </w:r>
      <w:r>
        <w:rPr>
          <w:rFonts w:hint="eastAsia" w:hAnsi="宋体"/>
          <w:color w:val="auto"/>
          <w:u w:val="single"/>
        </w:rPr>
        <w:t xml:space="preserve">      </w:t>
      </w:r>
      <w:r>
        <w:rPr>
          <w:rFonts w:hint="eastAsia" w:hAnsi="宋体"/>
          <w:color w:val="auto"/>
        </w:rPr>
        <w:t>份和副本</w:t>
      </w:r>
      <w:r>
        <w:rPr>
          <w:rFonts w:hint="eastAsia" w:hAnsi="宋体"/>
          <w:color w:val="auto"/>
          <w:u w:val="single"/>
        </w:rPr>
        <w:t xml:space="preserve">      </w:t>
      </w:r>
      <w:r>
        <w:rPr>
          <w:rFonts w:hint="eastAsia" w:hAnsi="宋体"/>
          <w:color w:val="auto"/>
        </w:rPr>
        <w:t>份，电子文件</w:t>
      </w:r>
      <w:r>
        <w:rPr>
          <w:rFonts w:hint="eastAsia" w:hAnsi="宋体"/>
          <w:color w:val="auto"/>
          <w:u w:val="single"/>
        </w:rPr>
        <w:t xml:space="preserve">      </w:t>
      </w:r>
      <w:r>
        <w:rPr>
          <w:rFonts w:hint="eastAsia" w:hAnsi="宋体"/>
          <w:color w:val="auto"/>
        </w:rPr>
        <w:t>份，并保证响应文件提供的数据和材料是真实、准确的。否则，愿承担《政府采购法》</w:t>
      </w:r>
      <w:r>
        <w:rPr>
          <w:rFonts w:hint="eastAsia" w:hAnsi="宋体"/>
          <w:bCs/>
          <w:color w:val="auto"/>
        </w:rPr>
        <w:t>第七十七条规定的法律责任。</w:t>
      </w:r>
    </w:p>
    <w:p w14:paraId="29DDBDE3">
      <w:pPr>
        <w:pStyle w:val="27"/>
        <w:adjustRightInd w:val="0"/>
        <w:snapToGrid w:val="0"/>
        <w:spacing w:line="360" w:lineRule="auto"/>
        <w:ind w:firstLine="420" w:firstLineChars="200"/>
        <w:outlineLvl w:val="9"/>
        <w:rPr>
          <w:rFonts w:hAnsi="宋体"/>
          <w:color w:val="auto"/>
        </w:rPr>
      </w:pPr>
      <w:r>
        <w:rPr>
          <w:rFonts w:hint="eastAsia" w:hAnsi="宋体"/>
          <w:color w:val="auto"/>
        </w:rPr>
        <w:t>三、我方愿意向贵方提供任何与本项采购有关的数据、情况和技术资料。若贵方需要，我方愿意提供我方作出的一切承诺的证明材料。</w:t>
      </w:r>
    </w:p>
    <w:p w14:paraId="59789435">
      <w:pPr>
        <w:pStyle w:val="27"/>
        <w:adjustRightInd w:val="0"/>
        <w:snapToGrid w:val="0"/>
        <w:spacing w:line="360" w:lineRule="auto"/>
        <w:ind w:firstLine="420" w:firstLineChars="200"/>
        <w:outlineLvl w:val="9"/>
        <w:rPr>
          <w:rFonts w:hAnsi="宋体"/>
          <w:color w:val="auto"/>
        </w:rPr>
      </w:pPr>
      <w:r>
        <w:rPr>
          <w:rFonts w:hint="eastAsia" w:hAnsi="宋体"/>
          <w:color w:val="auto"/>
        </w:rPr>
        <w:t>四、我方愿意按磋商文件规定和磋商小组要求重新提交响应文件。</w:t>
      </w:r>
    </w:p>
    <w:p w14:paraId="30711F84">
      <w:pPr>
        <w:pStyle w:val="27"/>
        <w:adjustRightInd w:val="0"/>
        <w:snapToGrid w:val="0"/>
        <w:spacing w:line="360" w:lineRule="auto"/>
        <w:ind w:firstLine="420" w:firstLineChars="200"/>
        <w:outlineLvl w:val="9"/>
        <w:rPr>
          <w:rFonts w:hAnsi="宋体"/>
          <w:color w:val="auto"/>
        </w:rPr>
      </w:pPr>
      <w:r>
        <w:rPr>
          <w:rFonts w:hint="eastAsia" w:hAnsi="宋体"/>
          <w:color w:val="auto"/>
        </w:rPr>
        <w:t>五、我方承诺遵守《中华人民共和国政府采购法》的有关规定，保证在获得成交资格后，按照磋商文件确定的事项签订政府采购合同，履行双方所签订的合同，并承担合同规定的责任和义务。</w:t>
      </w:r>
    </w:p>
    <w:p w14:paraId="01184F34">
      <w:pPr>
        <w:pStyle w:val="27"/>
        <w:adjustRightInd w:val="0"/>
        <w:snapToGrid w:val="0"/>
        <w:spacing w:line="360" w:lineRule="auto"/>
        <w:ind w:firstLine="420" w:firstLineChars="200"/>
        <w:outlineLvl w:val="9"/>
        <w:rPr>
          <w:rFonts w:hAnsi="宋体"/>
          <w:color w:val="auto"/>
        </w:rPr>
      </w:pPr>
    </w:p>
    <w:p w14:paraId="36673CA8">
      <w:pPr>
        <w:adjustRightInd w:val="0"/>
        <w:snapToGrid w:val="0"/>
        <w:spacing w:line="360" w:lineRule="auto"/>
        <w:ind w:right="24"/>
        <w:outlineLvl w:val="9"/>
        <w:rPr>
          <w:rFonts w:ascii="宋体" w:hAnsi="宋体"/>
          <w:bCs/>
          <w:color w:val="auto"/>
          <w:szCs w:val="21"/>
        </w:rPr>
      </w:pPr>
    </w:p>
    <w:p w14:paraId="0AD9026C">
      <w:pPr>
        <w:adjustRightInd w:val="0"/>
        <w:snapToGrid w:val="0"/>
        <w:spacing w:line="360" w:lineRule="auto"/>
        <w:ind w:right="24"/>
        <w:outlineLvl w:val="9"/>
        <w:rPr>
          <w:rFonts w:ascii="宋体" w:hAnsi="宋体"/>
          <w:bCs/>
          <w:color w:val="auto"/>
          <w:szCs w:val="21"/>
        </w:rPr>
      </w:pPr>
      <w:r>
        <w:rPr>
          <w:rFonts w:hint="eastAsia" w:ascii="宋体" w:hAnsi="宋体"/>
          <w:bCs/>
          <w:color w:val="auto"/>
          <w:szCs w:val="21"/>
        </w:rPr>
        <w:t>附件1</w:t>
      </w:r>
      <w:r>
        <w:rPr>
          <w:rFonts w:hint="eastAsia" w:ascii="宋体" w:hAnsi="宋体"/>
          <w:bCs/>
          <w:color w:val="auto"/>
          <w:szCs w:val="21"/>
          <w:lang w:eastAsia="zh-CN"/>
        </w:rPr>
        <w:t>：</w:t>
      </w:r>
      <w:r>
        <w:rPr>
          <w:rFonts w:hint="eastAsia" w:ascii="宋体" w:hAnsi="宋体"/>
          <w:bCs/>
          <w:color w:val="auto"/>
          <w:szCs w:val="21"/>
        </w:rPr>
        <w:t>承诺函</w:t>
      </w:r>
    </w:p>
    <w:p w14:paraId="1BB45D74">
      <w:pPr>
        <w:adjustRightInd w:val="0"/>
        <w:snapToGrid w:val="0"/>
        <w:spacing w:line="360" w:lineRule="auto"/>
        <w:ind w:right="24"/>
        <w:outlineLvl w:val="9"/>
        <w:rPr>
          <w:rFonts w:ascii="宋体" w:hAnsi="宋体"/>
          <w:color w:val="auto"/>
          <w:szCs w:val="21"/>
        </w:rPr>
      </w:pPr>
      <w:r>
        <w:rPr>
          <w:rFonts w:hint="eastAsia" w:ascii="宋体" w:hAnsi="宋体"/>
          <w:bCs/>
          <w:color w:val="auto"/>
          <w:szCs w:val="21"/>
        </w:rPr>
        <w:t>附件</w:t>
      </w:r>
      <w:r>
        <w:rPr>
          <w:rFonts w:hint="eastAsia" w:ascii="宋体" w:hAnsi="宋体"/>
          <w:bCs/>
          <w:color w:val="auto"/>
          <w:szCs w:val="21"/>
          <w:lang w:val="en-US" w:eastAsia="zh-CN"/>
        </w:rPr>
        <w:t>2</w:t>
      </w:r>
      <w:r>
        <w:rPr>
          <w:rFonts w:hint="eastAsia" w:ascii="宋体" w:hAnsi="宋体"/>
          <w:bCs/>
          <w:color w:val="auto"/>
          <w:szCs w:val="21"/>
        </w:rPr>
        <w:t>：</w:t>
      </w:r>
      <w:r>
        <w:rPr>
          <w:rFonts w:hint="eastAsia" w:ascii="宋体" w:hAnsi="宋体"/>
          <w:color w:val="auto"/>
          <w:szCs w:val="21"/>
        </w:rPr>
        <w:t>法定代表人身份证明(法定代表人参加磋商)</w:t>
      </w:r>
    </w:p>
    <w:p w14:paraId="01EE06FB">
      <w:pPr>
        <w:adjustRightInd w:val="0"/>
        <w:snapToGrid w:val="0"/>
        <w:spacing w:line="360" w:lineRule="auto"/>
        <w:ind w:right="24"/>
        <w:outlineLvl w:val="9"/>
        <w:rPr>
          <w:rFonts w:ascii="宋体" w:hAnsi="宋体"/>
          <w:color w:val="auto"/>
          <w:szCs w:val="21"/>
        </w:rPr>
      </w:pPr>
      <w:r>
        <w:rPr>
          <w:rFonts w:hint="eastAsia" w:ascii="宋体" w:hAnsi="宋体"/>
          <w:bCs/>
          <w:color w:val="auto"/>
          <w:szCs w:val="21"/>
        </w:rPr>
        <w:t>附件</w:t>
      </w:r>
      <w:r>
        <w:rPr>
          <w:rFonts w:hint="eastAsia" w:ascii="宋体" w:hAnsi="宋体"/>
          <w:bCs/>
          <w:color w:val="auto"/>
          <w:szCs w:val="21"/>
          <w:lang w:val="en-US" w:eastAsia="zh-CN"/>
        </w:rPr>
        <w:t>3</w:t>
      </w:r>
      <w:r>
        <w:rPr>
          <w:rFonts w:hint="eastAsia" w:ascii="宋体" w:hAnsi="宋体"/>
          <w:color w:val="auto"/>
          <w:szCs w:val="21"/>
        </w:rPr>
        <w:t>：法定代表人授权书(委托代理人参加磋商)</w:t>
      </w:r>
    </w:p>
    <w:p w14:paraId="2ACEFCEA">
      <w:pPr>
        <w:pStyle w:val="27"/>
        <w:adjustRightInd w:val="0"/>
        <w:snapToGrid w:val="0"/>
        <w:spacing w:line="360" w:lineRule="auto"/>
        <w:outlineLvl w:val="9"/>
        <w:rPr>
          <w:rFonts w:hAnsi="宋体"/>
          <w:color w:val="auto"/>
        </w:rPr>
      </w:pPr>
    </w:p>
    <w:p w14:paraId="5D2FA72F">
      <w:pPr>
        <w:pStyle w:val="27"/>
        <w:adjustRightInd w:val="0"/>
        <w:snapToGrid w:val="0"/>
        <w:spacing w:line="360" w:lineRule="auto"/>
        <w:outlineLvl w:val="9"/>
        <w:rPr>
          <w:rFonts w:hAnsi="宋体"/>
          <w:color w:val="auto"/>
        </w:rPr>
      </w:pPr>
    </w:p>
    <w:p w14:paraId="7B699CA7">
      <w:pPr>
        <w:pStyle w:val="27"/>
        <w:adjustRightInd w:val="0"/>
        <w:snapToGrid w:val="0"/>
        <w:spacing w:line="360" w:lineRule="auto"/>
        <w:outlineLvl w:val="9"/>
        <w:rPr>
          <w:rFonts w:hAnsi="宋体"/>
          <w:color w:val="auto"/>
        </w:rPr>
      </w:pPr>
    </w:p>
    <w:p w14:paraId="667EA350">
      <w:pPr>
        <w:pStyle w:val="27"/>
        <w:adjustRightInd w:val="0"/>
        <w:snapToGrid w:val="0"/>
        <w:spacing w:line="360" w:lineRule="auto"/>
        <w:outlineLvl w:val="9"/>
        <w:rPr>
          <w:rFonts w:hAnsi="宋体"/>
          <w:color w:val="auto"/>
        </w:rPr>
      </w:pPr>
      <w:r>
        <w:rPr>
          <w:rFonts w:hint="eastAsia" w:hAnsi="宋体"/>
          <w:color w:val="auto"/>
        </w:rPr>
        <w:t>供应商名称(盖单位章)：</w:t>
      </w:r>
    </w:p>
    <w:p w14:paraId="5B5A1FBC">
      <w:pPr>
        <w:adjustRightInd w:val="0"/>
        <w:snapToGrid w:val="0"/>
        <w:spacing w:line="360" w:lineRule="auto"/>
        <w:outlineLvl w:val="9"/>
        <w:rPr>
          <w:rFonts w:ascii="宋体" w:hAnsi="宋体"/>
          <w:color w:val="auto"/>
          <w:szCs w:val="21"/>
        </w:rPr>
      </w:pPr>
      <w:r>
        <w:rPr>
          <w:rFonts w:hint="eastAsia" w:ascii="宋体" w:hAnsi="宋体"/>
          <w:color w:val="auto"/>
          <w:szCs w:val="21"/>
        </w:rPr>
        <w:t>法定代表人或其委托代理人 (签字)：</w:t>
      </w:r>
      <w:r>
        <w:rPr>
          <w:rFonts w:hint="eastAsia" w:ascii="宋体" w:hAnsi="宋体"/>
          <w:color w:val="auto"/>
          <w:szCs w:val="21"/>
          <w:u w:val="single"/>
        </w:rPr>
        <w:t xml:space="preserve">            </w:t>
      </w:r>
    </w:p>
    <w:p w14:paraId="2C95D4DB">
      <w:pPr>
        <w:adjustRightInd w:val="0"/>
        <w:snapToGrid w:val="0"/>
        <w:spacing w:line="360" w:lineRule="auto"/>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4EDF8A1A">
      <w:pPr>
        <w:adjustRightInd w:val="0"/>
        <w:snapToGrid w:val="0"/>
        <w:spacing w:line="360" w:lineRule="auto"/>
        <w:ind w:right="24"/>
        <w:outlineLvl w:val="9"/>
        <w:rPr>
          <w:rFonts w:ascii="宋体" w:hAnsi="宋体"/>
          <w:bCs/>
          <w:color w:val="auto"/>
          <w:sz w:val="28"/>
          <w:szCs w:val="28"/>
        </w:rPr>
      </w:pPr>
    </w:p>
    <w:p w14:paraId="66A2E173">
      <w:pPr>
        <w:adjustRightInd w:val="0"/>
        <w:snapToGrid w:val="0"/>
        <w:spacing w:line="360" w:lineRule="auto"/>
        <w:ind w:right="24"/>
        <w:outlineLvl w:val="9"/>
        <w:rPr>
          <w:rFonts w:ascii="宋体" w:hAnsi="宋体"/>
          <w:bCs/>
          <w:color w:val="auto"/>
          <w:sz w:val="28"/>
          <w:szCs w:val="28"/>
        </w:rPr>
      </w:pPr>
    </w:p>
    <w:p w14:paraId="31ADE7EC">
      <w:pPr>
        <w:adjustRightInd w:val="0"/>
        <w:snapToGrid w:val="0"/>
        <w:spacing w:line="360" w:lineRule="auto"/>
        <w:ind w:right="24"/>
        <w:outlineLvl w:val="9"/>
        <w:rPr>
          <w:rFonts w:ascii="宋体" w:hAnsi="宋体"/>
          <w:bCs/>
          <w:color w:val="auto"/>
          <w:sz w:val="28"/>
          <w:szCs w:val="28"/>
        </w:rPr>
      </w:pPr>
    </w:p>
    <w:p w14:paraId="6C163DAB">
      <w:pPr>
        <w:adjustRightInd w:val="0"/>
        <w:snapToGrid w:val="0"/>
        <w:spacing w:line="360" w:lineRule="auto"/>
        <w:ind w:right="24"/>
        <w:outlineLvl w:val="9"/>
        <w:rPr>
          <w:rFonts w:ascii="宋体" w:hAnsi="宋体"/>
          <w:b/>
          <w:bCs/>
          <w:color w:val="auto"/>
          <w:sz w:val="24"/>
        </w:rPr>
      </w:pPr>
      <w:r>
        <w:rPr>
          <w:rFonts w:hint="eastAsia" w:ascii="宋体" w:hAnsi="宋体"/>
          <w:b/>
          <w:bCs/>
          <w:color w:val="auto"/>
          <w:sz w:val="24"/>
        </w:rPr>
        <w:t>附件1</w:t>
      </w:r>
    </w:p>
    <w:p w14:paraId="4A514AC7">
      <w:pPr>
        <w:adjustRightInd w:val="0"/>
        <w:snapToGrid w:val="0"/>
        <w:spacing w:line="360" w:lineRule="auto"/>
        <w:jc w:val="center"/>
        <w:outlineLvl w:val="2"/>
        <w:rPr>
          <w:rFonts w:ascii="宋体" w:hAnsi="宋体"/>
          <w:b/>
          <w:color w:val="auto"/>
          <w:sz w:val="24"/>
        </w:rPr>
      </w:pPr>
      <w:bookmarkStart w:id="18" w:name="_Toc16250"/>
      <w:bookmarkStart w:id="19" w:name="_Toc17829"/>
      <w:r>
        <w:rPr>
          <w:rFonts w:hint="eastAsia" w:ascii="宋体" w:hAnsi="宋体"/>
          <w:b/>
          <w:color w:val="auto"/>
          <w:sz w:val="24"/>
        </w:rPr>
        <w:t>承诺函</w:t>
      </w:r>
      <w:bookmarkEnd w:id="18"/>
      <w:bookmarkEnd w:id="19"/>
    </w:p>
    <w:p w14:paraId="4CC9CE4A">
      <w:pPr>
        <w:adjustRightInd w:val="0"/>
        <w:snapToGrid w:val="0"/>
        <w:spacing w:line="360" w:lineRule="auto"/>
        <w:ind w:firstLine="413" w:firstLineChars="197"/>
        <w:outlineLvl w:val="9"/>
        <w:rPr>
          <w:rFonts w:ascii="宋体" w:hAnsi="宋体"/>
          <w:color w:val="auto"/>
          <w:szCs w:val="21"/>
        </w:rPr>
      </w:pPr>
    </w:p>
    <w:p w14:paraId="6C6E5275">
      <w:pPr>
        <w:widowControl/>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我们，</w:t>
      </w:r>
      <w:r>
        <w:rPr>
          <w:rFonts w:hint="eastAsia" w:ascii="宋体" w:hAnsi="宋体"/>
          <w:color w:val="auto"/>
          <w:szCs w:val="21"/>
          <w:u w:val="single"/>
        </w:rPr>
        <w:t xml:space="preserve">                 </w:t>
      </w:r>
      <w:r>
        <w:rPr>
          <w:rFonts w:hint="eastAsia" w:ascii="宋体" w:hAnsi="宋体"/>
          <w:color w:val="auto"/>
          <w:szCs w:val="21"/>
        </w:rPr>
        <w:t>（供应商名称）已认真阅读</w:t>
      </w:r>
      <w:r>
        <w:rPr>
          <w:rFonts w:hint="eastAsia" w:ascii="宋体" w:hAnsi="宋体" w:cs="宋体"/>
          <w:color w:val="auto"/>
          <w:kern w:val="0"/>
          <w:szCs w:val="21"/>
        </w:rPr>
        <w:t>《中华人民共和国政府采购法》及《</w:t>
      </w:r>
      <w:r>
        <w:rPr>
          <w:rFonts w:hint="eastAsia" w:ascii="宋体" w:hAnsi="宋体"/>
          <w:color w:val="auto"/>
          <w:szCs w:val="21"/>
        </w:rPr>
        <w:t>竞争性磋商文件</w:t>
      </w:r>
      <w:r>
        <w:rPr>
          <w:rFonts w:hint="eastAsia" w:ascii="宋体" w:hAnsi="宋体" w:cs="宋体"/>
          <w:color w:val="auto"/>
          <w:kern w:val="0"/>
          <w:szCs w:val="21"/>
        </w:rPr>
        <w:t>》[</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lang w:eastAsia="zh-CN"/>
        </w:rPr>
        <w:t>采购计划编号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相关内容，知悉供应商参加政府采购活动应当具备的条件。此次按《竞争性磋商文件》要求提交的供应商资格证明材料及其它相关证明材料，已经认真核对和检查，全部内容真实、合法、准确和完整，我们对此负责，并愿承担由此引起的法律责任。</w:t>
      </w:r>
    </w:p>
    <w:p w14:paraId="05D8518E">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 xml:space="preserve">一、我方在此声明： </w:t>
      </w:r>
    </w:p>
    <w:p w14:paraId="21818B4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（一）我方与采购人或采购代理机构不存在</w:t>
      </w:r>
      <w:r>
        <w:rPr>
          <w:rFonts w:hint="eastAsia" w:ascii="宋体" w:hAnsi="宋体"/>
          <w:bCs/>
          <w:color w:val="auto"/>
          <w:szCs w:val="21"/>
        </w:rPr>
        <w:t>隶属关系或者其他利害关系</w:t>
      </w:r>
      <w:r>
        <w:rPr>
          <w:rFonts w:hint="eastAsia" w:ascii="宋体" w:hAnsi="宋体"/>
          <w:color w:val="auto"/>
          <w:szCs w:val="21"/>
        </w:rPr>
        <w:t>。</w:t>
      </w:r>
    </w:p>
    <w:p w14:paraId="6FABB455">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（二）我方与参加本项目的其他供应商不存在控股、关联关系，或者与其他供应商法定代表人（或者负责人）为同一人。</w:t>
      </w:r>
    </w:p>
    <w:p w14:paraId="0C84C137">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（三）我方未为本项目前期准备提供设计或咨询服务。</w:t>
      </w:r>
    </w:p>
    <w:p w14:paraId="0646A2EB">
      <w:pPr>
        <w:pStyle w:val="27"/>
        <w:adjustRightInd w:val="0"/>
        <w:snapToGrid w:val="0"/>
        <w:spacing w:line="360" w:lineRule="auto"/>
        <w:ind w:firstLine="420" w:firstLineChars="200"/>
        <w:outlineLvl w:val="9"/>
        <w:rPr>
          <w:rFonts w:hAnsi="宋体"/>
          <w:color w:val="auto"/>
        </w:rPr>
      </w:pPr>
      <w:r>
        <w:rPr>
          <w:rFonts w:hint="eastAsia" w:hAnsi="宋体"/>
          <w:color w:val="auto"/>
        </w:rPr>
        <w:t>二、我方承诺（承诺期：成立三年以上的，为提交首次响应文件截止时间前三年内；成立不足三年的，为实际时间）：</w:t>
      </w:r>
    </w:p>
    <w:p w14:paraId="45B7356B">
      <w:pPr>
        <w:adjustRightInd w:val="0"/>
        <w:snapToGrid w:val="0"/>
        <w:spacing w:line="360" w:lineRule="auto"/>
        <w:ind w:left="1" w:firstLine="420" w:firstLineChars="200"/>
        <w:outlineLvl w:val="9"/>
        <w:rPr>
          <w:rFonts w:ascii="宋体" w:hAnsi="宋体"/>
          <w:color w:val="auto"/>
          <w:szCs w:val="21"/>
        </w:rPr>
      </w:pPr>
      <w:r>
        <w:rPr>
          <w:rFonts w:hint="eastAsia" w:ascii="宋体" w:hAnsi="宋体"/>
          <w:bCs/>
          <w:color w:val="auto"/>
          <w:szCs w:val="21"/>
        </w:rPr>
        <w:t>（一）我方</w:t>
      </w:r>
      <w:r>
        <w:rPr>
          <w:rFonts w:hint="eastAsia" w:ascii="宋体" w:hAnsi="宋体"/>
          <w:color w:val="auto"/>
          <w:szCs w:val="21"/>
        </w:rPr>
        <w:t>依法缴纳了各项税费及各项社会保障资金，没有偷税、漏税及欠缴行为。</w:t>
      </w:r>
    </w:p>
    <w:p w14:paraId="147843F4">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（二）我方在经营活动中没有存在下列重大违法记录：</w:t>
      </w:r>
    </w:p>
    <w:p w14:paraId="7DB8A244">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1、受到刑事处罚；</w:t>
      </w:r>
    </w:p>
    <w:p w14:paraId="4F24AB44">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2、受到责令停产停业、在一至三年内禁止参加政府采购活动、暂扣或者吊销许可证、暂扣或者吊销执照、较大数额罚款的行政处罚。</w:t>
      </w:r>
    </w:p>
    <w:p w14:paraId="19DD0B99">
      <w:pPr>
        <w:adjustRightInd w:val="0"/>
        <w:snapToGrid w:val="0"/>
        <w:spacing w:line="360" w:lineRule="auto"/>
        <w:ind w:firstLine="420" w:firstLineChars="200"/>
        <w:outlineLvl w:val="9"/>
        <w:rPr>
          <w:rFonts w:ascii="宋体" w:hAnsi="宋体"/>
          <w:bCs/>
          <w:color w:val="auto"/>
          <w:szCs w:val="21"/>
        </w:rPr>
      </w:pPr>
    </w:p>
    <w:p w14:paraId="100CB37A">
      <w:pPr>
        <w:spacing w:line="400" w:lineRule="exact"/>
        <w:ind w:firstLine="3502" w:firstLineChars="1668"/>
        <w:outlineLvl w:val="9"/>
        <w:rPr>
          <w:rFonts w:ascii="宋体" w:hAnsi="宋体"/>
          <w:color w:val="auto"/>
          <w:szCs w:val="21"/>
          <w:u w:val="single"/>
        </w:rPr>
      </w:pPr>
      <w:r>
        <w:rPr>
          <w:rFonts w:hint="eastAsia" w:ascii="宋体" w:hAnsi="宋体"/>
          <w:color w:val="auto"/>
          <w:szCs w:val="21"/>
        </w:rPr>
        <w:t>供应商名称（盖单位章）：</w:t>
      </w:r>
      <w:r>
        <w:rPr>
          <w:rFonts w:hint="eastAsia" w:ascii="宋体" w:hAnsi="宋体"/>
          <w:color w:val="auto"/>
          <w:szCs w:val="21"/>
          <w:u w:val="single"/>
        </w:rPr>
        <w:t xml:space="preserve">                 </w:t>
      </w:r>
    </w:p>
    <w:p w14:paraId="1C489502">
      <w:pPr>
        <w:spacing w:line="400" w:lineRule="exact"/>
        <w:ind w:firstLine="3502" w:firstLineChars="1668"/>
        <w:outlineLvl w:val="9"/>
        <w:rPr>
          <w:rFonts w:ascii="宋体" w:hAnsi="宋体"/>
          <w:color w:val="auto"/>
          <w:szCs w:val="21"/>
          <w:u w:val="single"/>
        </w:rPr>
      </w:pPr>
      <w:r>
        <w:rPr>
          <w:rFonts w:hint="eastAsia" w:ascii="宋体" w:hAnsi="宋体"/>
          <w:color w:val="auto"/>
          <w:szCs w:val="21"/>
        </w:rPr>
        <w:t>法定代表人（签名）：</w:t>
      </w:r>
      <w:r>
        <w:rPr>
          <w:rFonts w:hint="eastAsia" w:ascii="宋体" w:hAnsi="宋体"/>
          <w:color w:val="auto"/>
          <w:szCs w:val="21"/>
          <w:u w:val="single"/>
        </w:rPr>
        <w:t xml:space="preserve">                </w:t>
      </w:r>
    </w:p>
    <w:p w14:paraId="31B498D8">
      <w:pPr>
        <w:spacing w:line="400" w:lineRule="exact"/>
        <w:ind w:firstLine="3502" w:firstLineChars="1668"/>
        <w:outlineLvl w:val="9"/>
        <w:rPr>
          <w:rFonts w:ascii="宋体" w:hAnsi="宋体"/>
          <w:color w:val="auto"/>
          <w:szCs w:val="21"/>
        </w:rPr>
      </w:pPr>
      <w:r>
        <w:rPr>
          <w:rFonts w:hint="eastAsia" w:ascii="宋体" w:hAnsi="宋体"/>
          <w:color w:val="auto"/>
          <w:szCs w:val="21"/>
        </w:rPr>
        <w:t xml:space="preserve">日    期：      </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4B4231D0">
      <w:pPr>
        <w:adjustRightInd w:val="0"/>
        <w:snapToGrid w:val="0"/>
        <w:spacing w:line="360" w:lineRule="auto"/>
        <w:ind w:right="24"/>
        <w:outlineLvl w:val="9"/>
        <w:rPr>
          <w:rFonts w:ascii="宋体" w:hAnsi="宋体"/>
          <w:bCs/>
          <w:color w:val="auto"/>
          <w:sz w:val="32"/>
          <w:szCs w:val="32"/>
        </w:rPr>
      </w:pPr>
    </w:p>
    <w:p w14:paraId="3066309A">
      <w:pPr>
        <w:adjustRightInd w:val="0"/>
        <w:snapToGrid w:val="0"/>
        <w:spacing w:line="360" w:lineRule="auto"/>
        <w:ind w:right="24"/>
        <w:outlineLvl w:val="9"/>
        <w:rPr>
          <w:rFonts w:ascii="宋体" w:hAnsi="宋体"/>
          <w:bCs/>
          <w:color w:val="auto"/>
          <w:sz w:val="32"/>
          <w:szCs w:val="32"/>
        </w:rPr>
      </w:pPr>
    </w:p>
    <w:p w14:paraId="72D2E5ED">
      <w:pPr>
        <w:adjustRightInd w:val="0"/>
        <w:snapToGrid w:val="0"/>
        <w:spacing w:line="360" w:lineRule="auto"/>
        <w:ind w:right="24"/>
        <w:outlineLvl w:val="9"/>
        <w:rPr>
          <w:rFonts w:ascii="宋体" w:hAnsi="宋体"/>
          <w:bCs/>
          <w:color w:val="auto"/>
          <w:sz w:val="32"/>
          <w:szCs w:val="32"/>
        </w:rPr>
      </w:pPr>
    </w:p>
    <w:p w14:paraId="090E90BC">
      <w:pPr>
        <w:adjustRightInd w:val="0"/>
        <w:snapToGrid w:val="0"/>
        <w:spacing w:line="360" w:lineRule="auto"/>
        <w:ind w:right="24"/>
        <w:outlineLvl w:val="9"/>
        <w:rPr>
          <w:rFonts w:ascii="宋体" w:hAnsi="宋体"/>
          <w:bCs/>
          <w:color w:val="auto"/>
          <w:sz w:val="32"/>
          <w:szCs w:val="32"/>
        </w:rPr>
      </w:pPr>
    </w:p>
    <w:p w14:paraId="34CCE27D">
      <w:pPr>
        <w:adjustRightInd w:val="0"/>
        <w:snapToGrid w:val="0"/>
        <w:spacing w:line="360" w:lineRule="auto"/>
        <w:ind w:right="24"/>
        <w:outlineLvl w:val="9"/>
        <w:rPr>
          <w:rFonts w:ascii="宋体" w:hAnsi="宋体"/>
          <w:bCs/>
          <w:color w:val="auto"/>
          <w:sz w:val="32"/>
          <w:szCs w:val="32"/>
        </w:rPr>
      </w:pPr>
    </w:p>
    <w:p w14:paraId="1CAD16DE">
      <w:pPr>
        <w:adjustRightInd w:val="0"/>
        <w:snapToGrid w:val="0"/>
        <w:spacing w:line="360" w:lineRule="auto"/>
        <w:ind w:right="24"/>
        <w:outlineLvl w:val="9"/>
        <w:rPr>
          <w:rFonts w:hint="eastAsia" w:ascii="宋体" w:hAnsi="宋体"/>
          <w:b/>
          <w:bCs/>
          <w:color w:val="auto"/>
          <w:sz w:val="24"/>
        </w:rPr>
      </w:pPr>
    </w:p>
    <w:p w14:paraId="5611CE4C">
      <w:pPr>
        <w:adjustRightInd w:val="0"/>
        <w:snapToGrid w:val="0"/>
        <w:spacing w:line="360" w:lineRule="auto"/>
        <w:ind w:right="24"/>
        <w:outlineLvl w:val="9"/>
        <w:rPr>
          <w:rFonts w:hint="eastAsia" w:ascii="宋体" w:hAnsi="宋体"/>
          <w:b/>
          <w:bCs/>
          <w:color w:val="auto"/>
          <w:sz w:val="24"/>
        </w:rPr>
      </w:pPr>
    </w:p>
    <w:p w14:paraId="6E0F9F9E">
      <w:pPr>
        <w:adjustRightInd w:val="0"/>
        <w:snapToGrid w:val="0"/>
        <w:spacing w:line="360" w:lineRule="auto"/>
        <w:ind w:right="24"/>
        <w:outlineLvl w:val="9"/>
        <w:rPr>
          <w:rFonts w:ascii="宋体" w:hAnsi="宋体"/>
          <w:b/>
          <w:bCs/>
          <w:color w:val="auto"/>
          <w:sz w:val="24"/>
        </w:rPr>
      </w:pPr>
      <w:r>
        <w:rPr>
          <w:rFonts w:hint="eastAsia" w:ascii="宋体" w:hAnsi="宋体"/>
          <w:b/>
          <w:bCs/>
          <w:color w:val="auto"/>
          <w:sz w:val="24"/>
        </w:rPr>
        <w:t>附件2：</w:t>
      </w:r>
    </w:p>
    <w:p w14:paraId="490EB3A8">
      <w:pPr>
        <w:jc w:val="center"/>
        <w:outlineLvl w:val="2"/>
        <w:rPr>
          <w:rFonts w:ascii="宋体" w:hAnsi="宋体"/>
          <w:b/>
          <w:color w:val="auto"/>
          <w:sz w:val="24"/>
        </w:rPr>
      </w:pPr>
      <w:bookmarkStart w:id="20" w:name="_Toc17137"/>
      <w:bookmarkStart w:id="21" w:name="_Toc27156"/>
      <w:r>
        <w:rPr>
          <w:rFonts w:hint="eastAsia" w:ascii="宋体" w:hAnsi="宋体"/>
          <w:b/>
          <w:color w:val="auto"/>
          <w:sz w:val="24"/>
        </w:rPr>
        <w:t>法定代表人身份证明(法定代表人参加磋商)</w:t>
      </w:r>
      <w:bookmarkEnd w:id="20"/>
      <w:bookmarkEnd w:id="21"/>
    </w:p>
    <w:p w14:paraId="714BBA6C">
      <w:pPr>
        <w:snapToGrid w:val="0"/>
        <w:spacing w:line="480" w:lineRule="auto"/>
        <w:outlineLvl w:val="9"/>
        <w:rPr>
          <w:rFonts w:ascii="宋体" w:hAnsi="宋体"/>
          <w:color w:val="auto"/>
          <w:szCs w:val="21"/>
        </w:rPr>
      </w:pPr>
    </w:p>
    <w:p w14:paraId="1F507D3A">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23A31550">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lang w:eastAsia="zh-CN"/>
        </w:rPr>
        <w:t>统一社会信用代码</w:t>
      </w:r>
      <w:r>
        <w:rPr>
          <w:rFonts w:hint="eastAsia" w:ascii="宋体" w:hAnsi="宋体" w:cs="宋体"/>
          <w:color w:val="auto"/>
          <w:kern w:val="0"/>
          <w:szCs w:val="21"/>
        </w:rPr>
        <w:t>：</w:t>
      </w:r>
      <w:r>
        <w:rPr>
          <w:rFonts w:hint="eastAsia" w:ascii="宋体" w:hAnsi="宋体" w:cs="宋体"/>
          <w:color w:val="auto"/>
          <w:kern w:val="0"/>
          <w:szCs w:val="21"/>
          <w:u w:val="single"/>
        </w:rPr>
        <w:t xml:space="preserve">                  </w:t>
      </w:r>
    </w:p>
    <w:p w14:paraId="347E6872">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注册地址：</w:t>
      </w:r>
      <w:r>
        <w:rPr>
          <w:rFonts w:hint="eastAsia" w:ascii="宋体" w:hAnsi="宋体" w:cs="宋体"/>
          <w:color w:val="auto"/>
          <w:kern w:val="0"/>
          <w:szCs w:val="21"/>
          <w:u w:val="single"/>
        </w:rPr>
        <w:t xml:space="preserve">                                    </w:t>
      </w:r>
    </w:p>
    <w:p w14:paraId="37339A4B">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 xml:space="preserve">成立时间：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年 </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14:paraId="3CACB39C">
      <w:pPr>
        <w:autoSpaceDE w:val="0"/>
        <w:autoSpaceDN w:val="0"/>
        <w:adjustRightInd w:val="0"/>
        <w:snapToGrid w:val="0"/>
        <w:spacing w:beforeLines="50" w:line="360" w:lineRule="auto"/>
        <w:jc w:val="left"/>
        <w:outlineLvl w:val="9"/>
        <w:rPr>
          <w:rFonts w:ascii="宋体" w:hAnsi="宋体" w:cs="宋体"/>
          <w:color w:val="auto"/>
          <w:kern w:val="0"/>
          <w:szCs w:val="21"/>
          <w:u w:val="single"/>
        </w:rPr>
      </w:pPr>
      <w:r>
        <w:rPr>
          <w:rFonts w:hint="eastAsia" w:ascii="宋体" w:hAnsi="宋体" w:cs="宋体"/>
          <w:color w:val="auto"/>
          <w:kern w:val="0"/>
          <w:szCs w:val="21"/>
        </w:rPr>
        <w:t>经营期限：</w:t>
      </w:r>
      <w:r>
        <w:rPr>
          <w:rFonts w:hint="eastAsia" w:ascii="宋体" w:hAnsi="宋体" w:cs="宋体"/>
          <w:color w:val="auto"/>
          <w:kern w:val="0"/>
          <w:szCs w:val="21"/>
          <w:u w:val="single"/>
        </w:rPr>
        <w:t xml:space="preserve">                  </w:t>
      </w:r>
    </w:p>
    <w:p w14:paraId="6A25D7CE">
      <w:pPr>
        <w:autoSpaceDE w:val="0"/>
        <w:autoSpaceDN w:val="0"/>
        <w:adjustRightInd w:val="0"/>
        <w:snapToGrid w:val="0"/>
        <w:spacing w:beforeLines="50" w:line="360" w:lineRule="auto"/>
        <w:jc w:val="left"/>
        <w:outlineLvl w:val="9"/>
        <w:rPr>
          <w:rFonts w:ascii="宋体" w:hAnsi="宋体" w:cs="宋体"/>
          <w:color w:val="auto"/>
          <w:kern w:val="0"/>
          <w:szCs w:val="21"/>
          <w:u w:val="single"/>
        </w:rPr>
      </w:pPr>
      <w:r>
        <w:rPr>
          <w:rFonts w:hint="eastAsia" w:ascii="宋体" w:hAnsi="宋体" w:cs="宋体"/>
          <w:color w:val="auto"/>
          <w:kern w:val="0"/>
          <w:szCs w:val="21"/>
        </w:rPr>
        <w:t>经营范围：主营：</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；兼营：</w:t>
      </w:r>
      <w:r>
        <w:rPr>
          <w:rFonts w:hint="eastAsia" w:ascii="宋体" w:hAnsi="宋体" w:cs="宋体"/>
          <w:color w:val="auto"/>
          <w:kern w:val="0"/>
          <w:szCs w:val="21"/>
          <w:u w:val="single"/>
        </w:rPr>
        <w:t xml:space="preserve">              </w:t>
      </w:r>
    </w:p>
    <w:p w14:paraId="2B505146">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系</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olor w:val="auto"/>
          <w:szCs w:val="21"/>
        </w:rPr>
        <w:t>供应商</w:t>
      </w:r>
      <w:r>
        <w:rPr>
          <w:rFonts w:hint="eastAsia" w:ascii="宋体" w:hAnsi="宋体" w:cs="宋体"/>
          <w:color w:val="auto"/>
          <w:kern w:val="0"/>
          <w:szCs w:val="21"/>
        </w:rPr>
        <w:t>名称）的法定代表人。</w:t>
      </w:r>
    </w:p>
    <w:p w14:paraId="58FD59FC">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特此证明。</w:t>
      </w:r>
    </w:p>
    <w:p w14:paraId="6C9EBBB3">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olor w:val="auto"/>
          <w:szCs w:val="21"/>
        </w:rPr>
        <w:t>附：法定代表人身份证复印件</w:t>
      </w:r>
    </w:p>
    <w:p w14:paraId="1289C30F">
      <w:pPr>
        <w:snapToGrid w:val="0"/>
        <w:spacing w:line="480" w:lineRule="auto"/>
        <w:outlineLvl w:val="9"/>
        <w:rPr>
          <w:rFonts w:ascii="宋体" w:hAnsi="宋体"/>
          <w:color w:val="auto"/>
          <w:szCs w:val="21"/>
        </w:rPr>
      </w:pPr>
    </w:p>
    <w:p w14:paraId="2F42BA99">
      <w:pPr>
        <w:snapToGrid w:val="0"/>
        <w:outlineLvl w:val="9"/>
        <w:rPr>
          <w:rFonts w:ascii="宋体" w:hAnsi="宋体"/>
          <w:color w:val="auto"/>
          <w:szCs w:val="21"/>
        </w:rPr>
      </w:pPr>
    </w:p>
    <w:p w14:paraId="5BFAB477">
      <w:pPr>
        <w:snapToGrid w:val="0"/>
        <w:outlineLvl w:val="9"/>
        <w:rPr>
          <w:rFonts w:ascii="宋体" w:hAnsi="宋体"/>
          <w:color w:val="auto"/>
          <w:szCs w:val="21"/>
        </w:rPr>
      </w:pPr>
    </w:p>
    <w:p w14:paraId="7D902E16">
      <w:pPr>
        <w:snapToGrid w:val="0"/>
        <w:outlineLvl w:val="9"/>
        <w:rPr>
          <w:rFonts w:ascii="宋体" w:hAnsi="宋体"/>
          <w:color w:val="auto"/>
          <w:szCs w:val="21"/>
        </w:rPr>
      </w:pPr>
    </w:p>
    <w:p w14:paraId="356394CF">
      <w:pPr>
        <w:snapToGrid w:val="0"/>
        <w:outlineLvl w:val="9"/>
        <w:rPr>
          <w:rFonts w:ascii="宋体" w:hAnsi="宋体"/>
          <w:color w:val="auto"/>
          <w:szCs w:val="21"/>
        </w:rPr>
      </w:pPr>
    </w:p>
    <w:p w14:paraId="053F9BD7">
      <w:pPr>
        <w:adjustRightInd w:val="0"/>
        <w:snapToGrid w:val="0"/>
        <w:spacing w:line="360" w:lineRule="auto"/>
        <w:outlineLvl w:val="9"/>
        <w:rPr>
          <w:rFonts w:ascii="宋体" w:hAnsi="宋体"/>
          <w:color w:val="auto"/>
          <w:szCs w:val="21"/>
        </w:rPr>
      </w:pPr>
    </w:p>
    <w:p w14:paraId="0BEDE88F">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供应商名称（盖单位章）：</w:t>
      </w:r>
    </w:p>
    <w:p w14:paraId="4875470D">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14:paraId="6AE7201E">
      <w:pPr>
        <w:adjustRightInd w:val="0"/>
        <w:snapToGrid w:val="0"/>
        <w:spacing w:beforeLines="50" w:line="360" w:lineRule="auto"/>
        <w:outlineLvl w:val="9"/>
        <w:rPr>
          <w:rFonts w:ascii="宋体" w:hAnsi="宋体"/>
          <w:color w:val="auto"/>
          <w:szCs w:val="21"/>
        </w:rPr>
      </w:pPr>
    </w:p>
    <w:p w14:paraId="0FFB00C8">
      <w:pPr>
        <w:adjustRightInd w:val="0"/>
        <w:snapToGrid w:val="0"/>
        <w:spacing w:beforeLines="50" w:line="360" w:lineRule="auto"/>
        <w:outlineLvl w:val="9"/>
        <w:rPr>
          <w:rFonts w:ascii="宋体" w:hAnsi="宋体"/>
          <w:color w:val="auto"/>
          <w:szCs w:val="21"/>
        </w:rPr>
      </w:pPr>
    </w:p>
    <w:p w14:paraId="58B54D4D">
      <w:pPr>
        <w:adjustRightInd w:val="0"/>
        <w:snapToGrid w:val="0"/>
        <w:spacing w:beforeLines="50" w:line="360" w:lineRule="auto"/>
        <w:outlineLvl w:val="9"/>
        <w:rPr>
          <w:rFonts w:ascii="宋体" w:hAnsi="宋体"/>
          <w:b/>
          <w:color w:val="auto"/>
          <w:sz w:val="24"/>
        </w:rPr>
      </w:pPr>
      <w:r>
        <w:rPr>
          <w:rFonts w:hint="eastAsia" w:ascii="宋体" w:hAnsi="宋体"/>
          <w:color w:val="auto"/>
          <w:szCs w:val="21"/>
        </w:rPr>
        <w:br w:type="page"/>
      </w:r>
      <w:r>
        <w:rPr>
          <w:rFonts w:hint="eastAsia" w:ascii="宋体" w:hAnsi="宋体"/>
          <w:b/>
          <w:bCs/>
          <w:color w:val="auto"/>
          <w:sz w:val="24"/>
        </w:rPr>
        <w:t>附件3</w:t>
      </w:r>
    </w:p>
    <w:p w14:paraId="6676013D">
      <w:pPr>
        <w:jc w:val="center"/>
        <w:outlineLvl w:val="2"/>
        <w:rPr>
          <w:rFonts w:ascii="宋体" w:hAnsi="宋体"/>
          <w:b/>
          <w:color w:val="auto"/>
          <w:sz w:val="24"/>
        </w:rPr>
      </w:pPr>
      <w:bookmarkStart w:id="22" w:name="_Toc16230"/>
      <w:bookmarkStart w:id="23" w:name="_Toc20199"/>
      <w:r>
        <w:rPr>
          <w:rFonts w:hint="eastAsia" w:ascii="宋体" w:hAnsi="宋体"/>
          <w:b/>
          <w:color w:val="auto"/>
          <w:sz w:val="24"/>
        </w:rPr>
        <w:t>法定代表人授权书(委托代理人参加磋商)</w:t>
      </w:r>
      <w:bookmarkEnd w:id="22"/>
      <w:bookmarkEnd w:id="23"/>
    </w:p>
    <w:p w14:paraId="51EDB6E0">
      <w:pPr>
        <w:adjustRightInd w:val="0"/>
        <w:snapToGrid w:val="0"/>
        <w:spacing w:line="360" w:lineRule="auto"/>
        <w:jc w:val="center"/>
        <w:outlineLvl w:val="9"/>
        <w:rPr>
          <w:rFonts w:ascii="宋体" w:hAnsi="宋体"/>
          <w:b/>
          <w:color w:val="auto"/>
          <w:sz w:val="28"/>
          <w:szCs w:val="28"/>
        </w:rPr>
      </w:pPr>
    </w:p>
    <w:p w14:paraId="0719528D">
      <w:pPr>
        <w:autoSpaceDE w:val="0"/>
        <w:autoSpaceDN w:val="0"/>
        <w:adjustRightInd w:val="0"/>
        <w:snapToGrid w:val="0"/>
        <w:spacing w:beforeLines="50"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供应商</w:t>
      </w:r>
      <w:r>
        <w:rPr>
          <w:rFonts w:hint="eastAsia" w:ascii="宋体" w:hAnsi="宋体" w:cs="宋体"/>
          <w:color w:val="auto"/>
          <w:kern w:val="0"/>
          <w:szCs w:val="21"/>
        </w:rPr>
        <w:t>名称）的法定代表人，现授权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（姓名、职务）为我方代理人。代理人根据授权，以我方名义：(1)签署、澄清、补正、修改、撤回、提交</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hint="eastAsia" w:ascii="宋体" w:hAnsi="宋体"/>
          <w:color w:val="auto"/>
          <w:szCs w:val="21"/>
          <w:lang w:eastAsia="zh-CN"/>
        </w:rPr>
        <w:t>采购计划编号</w:t>
      </w:r>
      <w:r>
        <w:rPr>
          <w:rFonts w:hint="eastAsia" w:ascii="宋体" w:hAnsi="宋体" w:cs="宋体"/>
          <w:color w:val="auto"/>
          <w:kern w:val="0"/>
          <w:szCs w:val="21"/>
        </w:rPr>
        <w:t>）响应文件；(2)签署并重新提交响应文件；(3)退出磋商；(4)签订合同和处理有关事宜，其法律后果由我方承担。</w:t>
      </w:r>
    </w:p>
    <w:p w14:paraId="55DE8F60">
      <w:pPr>
        <w:autoSpaceDE w:val="0"/>
        <w:autoSpaceDN w:val="0"/>
        <w:adjustRightInd w:val="0"/>
        <w:snapToGrid w:val="0"/>
        <w:spacing w:beforeLines="50"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189A3CE2">
      <w:pPr>
        <w:spacing w:line="360" w:lineRule="auto"/>
        <w:ind w:firstLine="435"/>
        <w:outlineLvl w:val="9"/>
        <w:rPr>
          <w:rFonts w:ascii="宋体" w:hAnsi="宋体" w:cs="宋体"/>
          <w:color w:val="auto"/>
          <w:kern w:val="0"/>
          <w:szCs w:val="21"/>
        </w:rPr>
      </w:pPr>
      <w:r>
        <w:rPr>
          <w:rFonts w:hint="eastAsia" w:ascii="宋体" w:hAnsi="宋体" w:cs="宋体"/>
          <w:color w:val="auto"/>
          <w:kern w:val="0"/>
          <w:szCs w:val="21"/>
        </w:rPr>
        <w:t>代理人无转委托权。</w:t>
      </w:r>
    </w:p>
    <w:p w14:paraId="7828AB0E">
      <w:pPr>
        <w:spacing w:line="360" w:lineRule="auto"/>
        <w:ind w:firstLine="435"/>
        <w:outlineLvl w:val="9"/>
        <w:rPr>
          <w:rFonts w:ascii="宋体" w:hAnsi="宋体"/>
          <w:color w:val="auto"/>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p w14:paraId="7BFA9997">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附：委托代理人身份证复印件及法定代表人身份证明(附件2)</w:t>
      </w:r>
    </w:p>
    <w:p w14:paraId="27B4A37F">
      <w:pPr>
        <w:adjustRightInd w:val="0"/>
        <w:snapToGrid w:val="0"/>
        <w:spacing w:line="360" w:lineRule="auto"/>
        <w:ind w:right="420"/>
        <w:outlineLvl w:val="9"/>
        <w:rPr>
          <w:rFonts w:ascii="宋体" w:hAnsi="宋体"/>
          <w:color w:val="auto"/>
          <w:szCs w:val="21"/>
        </w:rPr>
      </w:pPr>
    </w:p>
    <w:p w14:paraId="3EE71198">
      <w:pPr>
        <w:adjustRightInd w:val="0"/>
        <w:snapToGrid w:val="0"/>
        <w:spacing w:line="360" w:lineRule="auto"/>
        <w:ind w:right="420"/>
        <w:outlineLvl w:val="9"/>
        <w:rPr>
          <w:rFonts w:ascii="宋体" w:hAnsi="宋体"/>
          <w:color w:val="auto"/>
          <w:szCs w:val="21"/>
        </w:rPr>
      </w:pPr>
    </w:p>
    <w:p w14:paraId="5739B204">
      <w:pPr>
        <w:adjustRightInd w:val="0"/>
        <w:snapToGrid w:val="0"/>
        <w:spacing w:line="360" w:lineRule="auto"/>
        <w:ind w:right="420"/>
        <w:outlineLvl w:val="9"/>
        <w:rPr>
          <w:rFonts w:ascii="宋体" w:hAnsi="宋体"/>
          <w:color w:val="auto"/>
          <w:szCs w:val="21"/>
        </w:rPr>
      </w:pPr>
    </w:p>
    <w:p w14:paraId="49799DB2">
      <w:pPr>
        <w:adjustRightInd w:val="0"/>
        <w:snapToGrid w:val="0"/>
        <w:spacing w:line="360" w:lineRule="auto"/>
        <w:ind w:right="420"/>
        <w:outlineLvl w:val="9"/>
        <w:rPr>
          <w:rFonts w:ascii="宋体" w:hAnsi="宋体"/>
          <w:color w:val="auto"/>
          <w:szCs w:val="21"/>
        </w:rPr>
      </w:pPr>
    </w:p>
    <w:p w14:paraId="77A35B86">
      <w:pPr>
        <w:adjustRightInd w:val="0"/>
        <w:snapToGrid w:val="0"/>
        <w:spacing w:line="360" w:lineRule="auto"/>
        <w:ind w:right="420"/>
        <w:outlineLvl w:val="9"/>
        <w:rPr>
          <w:rFonts w:ascii="宋体" w:hAnsi="宋体"/>
          <w:color w:val="auto"/>
          <w:szCs w:val="21"/>
        </w:rPr>
      </w:pPr>
    </w:p>
    <w:p w14:paraId="36F44EB6">
      <w:pPr>
        <w:adjustRightInd w:val="0"/>
        <w:snapToGrid w:val="0"/>
        <w:spacing w:line="360" w:lineRule="auto"/>
        <w:ind w:right="420"/>
        <w:outlineLvl w:val="9"/>
        <w:rPr>
          <w:rFonts w:ascii="宋体" w:hAnsi="宋体"/>
          <w:color w:val="auto"/>
          <w:szCs w:val="21"/>
        </w:rPr>
      </w:pPr>
    </w:p>
    <w:p w14:paraId="61A49614">
      <w:pPr>
        <w:adjustRightInd w:val="0"/>
        <w:snapToGrid w:val="0"/>
        <w:spacing w:line="360" w:lineRule="auto"/>
        <w:ind w:right="420"/>
        <w:outlineLvl w:val="9"/>
        <w:rPr>
          <w:rFonts w:ascii="宋体" w:hAnsi="宋体"/>
          <w:color w:val="auto"/>
          <w:szCs w:val="21"/>
        </w:rPr>
      </w:pPr>
    </w:p>
    <w:p w14:paraId="0A30DE4A">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供应商名称（盖单位章）：</w:t>
      </w:r>
    </w:p>
    <w:p w14:paraId="3C714D25">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法定代表人（签字）：</w:t>
      </w:r>
      <w:r>
        <w:rPr>
          <w:rFonts w:hint="eastAsia" w:ascii="宋体" w:hAnsi="宋体"/>
          <w:color w:val="auto"/>
          <w:szCs w:val="21"/>
          <w:u w:val="single"/>
        </w:rPr>
        <w:t xml:space="preserve">                     </w:t>
      </w:r>
    </w:p>
    <w:p w14:paraId="77EDF0AC">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委托代理人（签字）：</w:t>
      </w:r>
      <w:r>
        <w:rPr>
          <w:rFonts w:hint="eastAsia" w:ascii="宋体" w:hAnsi="宋体"/>
          <w:color w:val="auto"/>
          <w:szCs w:val="21"/>
          <w:u w:val="single"/>
        </w:rPr>
        <w:t xml:space="preserve">                     </w:t>
      </w:r>
    </w:p>
    <w:p w14:paraId="26DE1758">
      <w:pPr>
        <w:adjustRightInd w:val="0"/>
        <w:snapToGrid w:val="0"/>
        <w:spacing w:line="360" w:lineRule="auto"/>
        <w:ind w:right="24"/>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2AD05E72">
      <w:pPr>
        <w:spacing w:line="360" w:lineRule="exact"/>
        <w:outlineLvl w:val="9"/>
        <w:rPr>
          <w:rFonts w:ascii="宋体" w:hAnsi="宋体"/>
          <w:b/>
          <w:color w:val="auto"/>
        </w:rPr>
      </w:pPr>
    </w:p>
    <w:p w14:paraId="25AD1C8D">
      <w:pPr>
        <w:spacing w:line="360" w:lineRule="exact"/>
        <w:outlineLvl w:val="9"/>
        <w:rPr>
          <w:rFonts w:ascii="宋体" w:hAnsi="宋体"/>
          <w:b/>
          <w:color w:val="auto"/>
        </w:rPr>
      </w:pPr>
    </w:p>
    <w:p w14:paraId="6BCD7A6D">
      <w:pPr>
        <w:spacing w:line="360" w:lineRule="exact"/>
        <w:outlineLvl w:val="9"/>
        <w:rPr>
          <w:rFonts w:ascii="宋体" w:hAnsi="宋体"/>
          <w:b/>
          <w:color w:val="auto"/>
        </w:rPr>
      </w:pPr>
    </w:p>
    <w:p w14:paraId="1455CFE9">
      <w:pPr>
        <w:spacing w:line="360" w:lineRule="exact"/>
        <w:outlineLvl w:val="9"/>
        <w:rPr>
          <w:rFonts w:ascii="宋体" w:hAnsi="宋体"/>
          <w:b/>
          <w:color w:val="auto"/>
        </w:rPr>
      </w:pPr>
    </w:p>
    <w:p w14:paraId="37135B1C">
      <w:pPr>
        <w:spacing w:line="360" w:lineRule="exact"/>
        <w:jc w:val="center"/>
        <w:outlineLvl w:val="1"/>
        <w:rPr>
          <w:rFonts w:ascii="宋体" w:hAnsi="宋体"/>
          <w:b/>
          <w:color w:val="auto"/>
          <w:sz w:val="32"/>
          <w:szCs w:val="32"/>
        </w:rPr>
      </w:pPr>
      <w:r>
        <w:rPr>
          <w:color w:val="auto"/>
        </w:rPr>
        <w:br w:type="page"/>
      </w:r>
      <w:bookmarkStart w:id="24" w:name="_Toc6078"/>
      <w:bookmarkStart w:id="25" w:name="_Toc10861"/>
      <w:r>
        <w:rPr>
          <w:rFonts w:hint="eastAsia" w:ascii="宋体" w:hAnsi="宋体"/>
          <w:b/>
          <w:color w:val="auto"/>
          <w:sz w:val="32"/>
          <w:szCs w:val="32"/>
        </w:rPr>
        <w:t>二、保证金</w:t>
      </w:r>
      <w:bookmarkEnd w:id="24"/>
      <w:bookmarkEnd w:id="25"/>
    </w:p>
    <w:p w14:paraId="5E6C9630">
      <w:pPr>
        <w:pStyle w:val="27"/>
        <w:adjustRightInd w:val="0"/>
        <w:snapToGrid w:val="0"/>
        <w:spacing w:beforeLines="50" w:line="360" w:lineRule="auto"/>
        <w:outlineLvl w:val="9"/>
        <w:rPr>
          <w:rFonts w:hAnsi="宋体"/>
          <w:color w:val="auto"/>
        </w:rPr>
      </w:pPr>
    </w:p>
    <w:p w14:paraId="058A9839">
      <w:pPr>
        <w:outlineLvl w:val="9"/>
        <w:rPr>
          <w:rFonts w:ascii="宋体" w:hAnsi="宋体"/>
          <w:color w:val="auto"/>
        </w:rPr>
      </w:pPr>
      <w:r>
        <w:rPr>
          <w:rFonts w:hint="eastAsia" w:ascii="宋体" w:hAnsi="宋体"/>
          <w:color w:val="auto"/>
          <w:lang w:eastAsia="zh-CN"/>
        </w:rPr>
        <w:t>注：按磋商文件要求</w:t>
      </w:r>
      <w:r>
        <w:rPr>
          <w:rFonts w:hint="eastAsia" w:ascii="宋体" w:hAnsi="宋体"/>
          <w:color w:val="auto"/>
        </w:rPr>
        <w:t>提供。</w:t>
      </w:r>
    </w:p>
    <w:p w14:paraId="0F80FCFB">
      <w:pPr>
        <w:bidi w:val="0"/>
      </w:pPr>
    </w:p>
    <w:p w14:paraId="20085842">
      <w:pPr>
        <w:spacing w:line="480" w:lineRule="exact"/>
        <w:rPr>
          <w:rFonts w:hint="eastAsia" w:ascii="宋体" w:hAnsi="宋体"/>
          <w:b/>
          <w:sz w:val="24"/>
        </w:rPr>
      </w:pPr>
    </w:p>
    <w:p w14:paraId="7196DB96">
      <w:pPr>
        <w:spacing w:line="480" w:lineRule="exact"/>
        <w:rPr>
          <w:rFonts w:ascii="宋体" w:hAnsi="宋体"/>
          <w:b/>
          <w:sz w:val="24"/>
        </w:rPr>
      </w:pPr>
      <w:r>
        <w:rPr>
          <w:rFonts w:hint="eastAsia" w:ascii="宋体" w:hAnsi="宋体"/>
          <w:b/>
          <w:sz w:val="24"/>
        </w:rPr>
        <w:t>附件4</w:t>
      </w:r>
    </w:p>
    <w:p w14:paraId="618FD8ED">
      <w:pPr>
        <w:spacing w:line="480" w:lineRule="exact"/>
        <w:jc w:val="center"/>
        <w:rPr>
          <w:rFonts w:ascii="宋体" w:hAnsi="宋体"/>
          <w:b/>
          <w:bCs/>
          <w:sz w:val="24"/>
        </w:rPr>
      </w:pPr>
      <w:r>
        <w:rPr>
          <w:rFonts w:hint="eastAsia" w:ascii="宋体" w:hAnsi="宋体"/>
          <w:b/>
          <w:bCs/>
          <w:sz w:val="24"/>
        </w:rPr>
        <w:t>采购代理服务费承诺书</w:t>
      </w:r>
    </w:p>
    <w:p w14:paraId="54D93AFE">
      <w:pPr>
        <w:spacing w:line="480" w:lineRule="exact"/>
        <w:jc w:val="center"/>
        <w:rPr>
          <w:rFonts w:ascii="宋体" w:hAnsi="宋体"/>
          <w:bCs/>
          <w:sz w:val="36"/>
          <w:szCs w:val="36"/>
        </w:rPr>
      </w:pPr>
    </w:p>
    <w:p w14:paraId="05F296A7">
      <w:pPr>
        <w:adjustRightInd w:val="0"/>
        <w:snapToGrid w:val="0"/>
        <w:spacing w:line="360" w:lineRule="auto"/>
        <w:rPr>
          <w:rFonts w:ascii="宋体" w:hAnsi="宋体"/>
          <w:szCs w:val="21"/>
          <w:u w:val="single"/>
        </w:rPr>
      </w:pPr>
      <w:r>
        <w:rPr>
          <w:rFonts w:hint="eastAsia" w:ascii="宋体" w:hAnsi="宋体" w:cs="仿宋_GB2312"/>
          <w:szCs w:val="21"/>
        </w:rPr>
        <w:t>致</w:t>
      </w:r>
      <w:r>
        <w:rPr>
          <w:rFonts w:hint="eastAsia" w:ascii="宋体" w:hAnsi="宋体" w:cs="仿宋_GB2312"/>
          <w:szCs w:val="21"/>
          <w:u w:val="single"/>
        </w:rPr>
        <w:t xml:space="preserve">                 </w:t>
      </w:r>
      <w:r>
        <w:rPr>
          <w:rFonts w:hint="eastAsia" w:ascii="宋体" w:hAnsi="宋体" w:cs="仿宋_GB2312"/>
          <w:szCs w:val="21"/>
        </w:rPr>
        <w:t xml:space="preserve"> （采购代理机构）：</w:t>
      </w:r>
    </w:p>
    <w:p w14:paraId="6530519D">
      <w:pPr>
        <w:adjustRightInd w:val="0"/>
        <w:snapToGrid w:val="0"/>
        <w:spacing w:line="360" w:lineRule="auto"/>
        <w:ind w:firstLine="420" w:firstLineChars="200"/>
        <w:rPr>
          <w:rFonts w:ascii="宋体" w:hAnsi="宋体" w:cs="仿宋_GB2312"/>
          <w:szCs w:val="21"/>
        </w:rPr>
      </w:pPr>
    </w:p>
    <w:p w14:paraId="6FEA0705">
      <w:pPr>
        <w:adjustRightInd w:val="0"/>
        <w:snapToGrid w:val="0"/>
        <w:spacing w:line="360" w:lineRule="auto"/>
        <w:ind w:firstLine="420" w:firstLineChars="200"/>
        <w:rPr>
          <w:rFonts w:ascii="宋体" w:hAnsi="宋体"/>
          <w:szCs w:val="21"/>
        </w:rPr>
      </w:pPr>
      <w:r>
        <w:rPr>
          <w:rFonts w:hint="eastAsia" w:ascii="宋体" w:hAnsi="宋体" w:cs="仿宋_GB2312"/>
          <w:szCs w:val="21"/>
        </w:rPr>
        <w:t>我们在贵单位组织的</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 xml:space="preserve"> ，</w:t>
      </w:r>
      <w:r>
        <w:rPr>
          <w:rFonts w:hint="eastAsia" w:ascii="宋体" w:hAnsi="宋体" w:cs="仿宋_GB2312"/>
          <w:szCs w:val="21"/>
        </w:rPr>
        <w:t>采购代理编号：</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rPr>
        <w:t>）</w:t>
      </w:r>
      <w:r>
        <w:rPr>
          <w:rFonts w:hint="eastAsia" w:ascii="宋体" w:hAnsi="宋体" w:cs="仿宋_GB2312"/>
          <w:szCs w:val="21"/>
        </w:rPr>
        <w:t>竞争性磋商采购中若获中标（成交），我们保证在收到中标通知书后5 个工作日内，按磋商文件的规定，以转账或现金，向贵公司一次性支付采购代理服务费用。否则，</w:t>
      </w:r>
      <w:r>
        <w:rPr>
          <w:rFonts w:hint="eastAsia" w:ascii="宋体" w:hAnsi="宋体"/>
          <w:szCs w:val="21"/>
        </w:rPr>
        <w:t>由此产生的一切法律后果和责任由我公司承担。我公司声明放弃对此提出任何异议和追索的权利。</w:t>
      </w:r>
    </w:p>
    <w:p w14:paraId="6EF76C55">
      <w:pPr>
        <w:adjustRightInd w:val="0"/>
        <w:snapToGrid w:val="0"/>
        <w:spacing w:line="360" w:lineRule="auto"/>
        <w:ind w:firstLine="420" w:firstLineChars="200"/>
        <w:rPr>
          <w:rFonts w:ascii="宋体" w:hAnsi="宋体"/>
          <w:szCs w:val="21"/>
        </w:rPr>
      </w:pPr>
      <w:r>
        <w:rPr>
          <w:rFonts w:hint="eastAsia" w:ascii="宋体" w:hAnsi="宋体"/>
          <w:szCs w:val="21"/>
        </w:rPr>
        <w:t>特此承诺。</w:t>
      </w:r>
    </w:p>
    <w:p w14:paraId="1F74AC33">
      <w:pPr>
        <w:adjustRightInd w:val="0"/>
        <w:snapToGrid w:val="0"/>
        <w:spacing w:line="360" w:lineRule="auto"/>
        <w:rPr>
          <w:rFonts w:asciiTheme="minorEastAsia" w:hAnsiTheme="minorEastAsia" w:eastAsiaTheme="minorEastAsia"/>
          <w:color w:val="000000"/>
          <w:szCs w:val="21"/>
        </w:rPr>
      </w:pPr>
    </w:p>
    <w:tbl>
      <w:tblPr>
        <w:tblStyle w:val="51"/>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7"/>
      </w:tblGrid>
      <w:tr w14:paraId="077A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7" w:type="dxa"/>
          </w:tcPr>
          <w:p w14:paraId="3C95C562">
            <w:pPr>
              <w:adjustRightInd w:val="0"/>
              <w:snapToGrid w:val="0"/>
              <w:spacing w:line="360" w:lineRule="auto"/>
              <w:jc w:val="center"/>
              <w:rPr>
                <w:rFonts w:ascii="黑体" w:hAnsi="黑体" w:eastAsia="黑体"/>
                <w:color w:val="000000"/>
                <w:kern w:val="0"/>
                <w:sz w:val="28"/>
                <w:szCs w:val="28"/>
                <w:u w:val="single"/>
              </w:rPr>
            </w:pPr>
            <w:r>
              <w:rPr>
                <w:rFonts w:ascii="黑体" w:hAnsi="黑体" w:eastAsia="黑体"/>
                <w:color w:val="000000"/>
                <w:kern w:val="0"/>
                <w:sz w:val="28"/>
                <w:szCs w:val="28"/>
                <w:u w:val="single"/>
              </w:rPr>
              <w:t>开具</w:t>
            </w:r>
            <w:r>
              <w:rPr>
                <w:rFonts w:hint="eastAsia" w:ascii="黑体" w:hAnsi="黑体" w:eastAsia="黑体"/>
                <w:color w:val="000000"/>
                <w:kern w:val="0"/>
                <w:sz w:val="28"/>
                <w:szCs w:val="28"/>
                <w:u w:val="single"/>
              </w:rPr>
              <w:t>发票信息</w:t>
            </w:r>
          </w:p>
          <w:p w14:paraId="106FC6F1">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sym w:font="Wingdings 2" w:char="0052"/>
            </w:r>
            <w:r>
              <w:rPr>
                <w:rFonts w:hint="eastAsia" w:asciiTheme="minorEastAsia" w:hAnsiTheme="minorEastAsia" w:eastAsiaTheme="minorEastAsia"/>
                <w:color w:val="000000"/>
                <w:kern w:val="0"/>
                <w:szCs w:val="21"/>
              </w:rPr>
              <w:t xml:space="preserve"> </w:t>
            </w:r>
            <w:r>
              <w:rPr>
                <w:rFonts w:asciiTheme="minorEastAsia" w:hAnsiTheme="minorEastAsia" w:eastAsiaTheme="minorEastAsia"/>
                <w:color w:val="000000"/>
                <w:kern w:val="0"/>
                <w:szCs w:val="21"/>
              </w:rPr>
              <w:t>增值税普通发票</w:t>
            </w:r>
          </w:p>
          <w:p w14:paraId="5271B1FF">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单位名称：</w:t>
            </w:r>
            <w:r>
              <w:rPr>
                <w:rFonts w:hint="eastAsia" w:ascii="宋体" w:hAnsi="宋体"/>
                <w:kern w:val="0"/>
                <w:sz w:val="20"/>
                <w:szCs w:val="21"/>
                <w:u w:val="single"/>
              </w:rPr>
              <w:t xml:space="preserve">                   </w:t>
            </w:r>
          </w:p>
          <w:p w14:paraId="117274B3">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纳税人识别号：</w:t>
            </w:r>
            <w:r>
              <w:rPr>
                <w:rFonts w:hint="eastAsia" w:ascii="宋体" w:hAnsi="宋体"/>
                <w:kern w:val="0"/>
                <w:sz w:val="20"/>
                <w:szCs w:val="21"/>
                <w:u w:val="single"/>
              </w:rPr>
              <w:t xml:space="preserve">                   </w:t>
            </w:r>
          </w:p>
          <w:p w14:paraId="13B05E38">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地址：</w:t>
            </w:r>
            <w:r>
              <w:rPr>
                <w:rFonts w:hint="eastAsia" w:ascii="宋体" w:hAnsi="宋体"/>
                <w:kern w:val="0"/>
                <w:sz w:val="20"/>
                <w:szCs w:val="21"/>
                <w:u w:val="single"/>
              </w:rPr>
              <w:t xml:space="preserve">                   </w:t>
            </w:r>
          </w:p>
          <w:p w14:paraId="28416CF7">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电话：</w:t>
            </w:r>
            <w:r>
              <w:rPr>
                <w:rFonts w:hint="eastAsia" w:ascii="宋体" w:hAnsi="宋体"/>
                <w:kern w:val="0"/>
                <w:sz w:val="20"/>
                <w:szCs w:val="21"/>
                <w:u w:val="single"/>
              </w:rPr>
              <w:t xml:space="preserve">                   </w:t>
            </w:r>
          </w:p>
          <w:p w14:paraId="6A107925">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开户行：</w:t>
            </w:r>
            <w:r>
              <w:rPr>
                <w:rFonts w:hint="eastAsia" w:ascii="宋体" w:hAnsi="宋体"/>
                <w:kern w:val="0"/>
                <w:sz w:val="20"/>
                <w:szCs w:val="21"/>
                <w:u w:val="single"/>
              </w:rPr>
              <w:t xml:space="preserve">                   </w:t>
            </w:r>
          </w:p>
          <w:p w14:paraId="6682FC02">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账号：</w:t>
            </w:r>
            <w:r>
              <w:rPr>
                <w:rFonts w:hint="eastAsia" w:ascii="宋体" w:hAnsi="宋体"/>
                <w:kern w:val="0"/>
                <w:sz w:val="20"/>
                <w:szCs w:val="21"/>
                <w:u w:val="single"/>
              </w:rPr>
              <w:t xml:space="preserve">                   </w:t>
            </w:r>
          </w:p>
        </w:tc>
      </w:tr>
    </w:tbl>
    <w:p w14:paraId="6720B593">
      <w:pPr>
        <w:adjustRightInd w:val="0"/>
        <w:snapToGrid w:val="0"/>
        <w:spacing w:line="360" w:lineRule="auto"/>
        <w:ind w:firstLine="420" w:firstLineChars="200"/>
        <w:rPr>
          <w:rFonts w:asciiTheme="minorEastAsia" w:hAnsiTheme="minorEastAsia" w:eastAsiaTheme="minorEastAsia"/>
          <w:szCs w:val="21"/>
        </w:rPr>
      </w:pPr>
    </w:p>
    <w:p w14:paraId="7910127D">
      <w:pPr>
        <w:adjustRightInd w:val="0"/>
        <w:snapToGrid w:val="0"/>
        <w:spacing w:line="360" w:lineRule="auto"/>
        <w:rPr>
          <w:rFonts w:ascii="宋体" w:hAnsi="宋体" w:cs="仿宋_GB2312"/>
          <w:szCs w:val="21"/>
        </w:rPr>
      </w:pPr>
      <w:r>
        <w:rPr>
          <w:rFonts w:ascii="宋体" w:hAnsi="宋体" w:cs="仿宋_GB2312"/>
          <w:szCs w:val="21"/>
        </w:rPr>
        <w:t xml:space="preserve">           </w:t>
      </w:r>
    </w:p>
    <w:p w14:paraId="1E317E3C">
      <w:pPr>
        <w:adjustRightInd w:val="0"/>
        <w:snapToGrid w:val="0"/>
        <w:spacing w:line="360" w:lineRule="auto"/>
        <w:rPr>
          <w:rFonts w:ascii="宋体" w:hAnsi="宋体"/>
          <w:szCs w:val="21"/>
          <w:u w:val="single"/>
        </w:rPr>
      </w:pPr>
      <w:r>
        <w:rPr>
          <w:rFonts w:hint="eastAsia" w:ascii="宋体" w:hAnsi="宋体"/>
          <w:szCs w:val="21"/>
        </w:rPr>
        <w:t>供应商名称（盖单位章）：</w:t>
      </w:r>
      <w:r>
        <w:rPr>
          <w:rFonts w:hint="eastAsia" w:ascii="宋体" w:hAnsi="宋体"/>
          <w:szCs w:val="21"/>
          <w:u w:val="single"/>
        </w:rPr>
        <w:t xml:space="preserve">                             </w:t>
      </w:r>
    </w:p>
    <w:p w14:paraId="0F6701D4">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 xml:space="preserve">法定代表人或其委托代理人 </w:t>
      </w:r>
      <w:r>
        <w:rPr>
          <w:rFonts w:hint="eastAsia" w:ascii="宋体" w:hAnsi="宋体"/>
          <w:szCs w:val="21"/>
        </w:rPr>
        <w:t>（签字或印章）：</w:t>
      </w:r>
      <w:r>
        <w:rPr>
          <w:rFonts w:hint="eastAsia" w:ascii="宋体" w:hAnsi="宋体"/>
          <w:szCs w:val="21"/>
          <w:u w:val="single"/>
        </w:rPr>
        <w:t xml:space="preserve">                     </w:t>
      </w:r>
    </w:p>
    <w:p w14:paraId="7EA229BD">
      <w:pPr>
        <w:bidi w:val="0"/>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0A7F4FC">
      <w:pPr>
        <w:bidi w:val="0"/>
      </w:pPr>
    </w:p>
    <w:p w14:paraId="6CFD1388">
      <w:pPr>
        <w:pStyle w:val="27"/>
        <w:adjustRightInd w:val="0"/>
        <w:snapToGrid w:val="0"/>
        <w:spacing w:beforeLines="50" w:line="360" w:lineRule="auto"/>
        <w:outlineLvl w:val="9"/>
        <w:rPr>
          <w:rFonts w:hAnsi="宋体"/>
          <w:color w:val="auto"/>
        </w:rPr>
      </w:pPr>
      <w:r>
        <w:rPr>
          <w:rFonts w:hint="eastAsia" w:ascii="宋体" w:hAnsi="宋体"/>
          <w:color w:val="auto"/>
          <w:sz w:val="24"/>
        </w:rPr>
        <w:br w:type="page"/>
      </w:r>
    </w:p>
    <w:p w14:paraId="38493E88">
      <w:pPr>
        <w:adjustRightInd w:val="0"/>
        <w:snapToGrid w:val="0"/>
        <w:spacing w:line="360" w:lineRule="auto"/>
        <w:jc w:val="center"/>
        <w:outlineLvl w:val="1"/>
        <w:rPr>
          <w:rFonts w:ascii="宋体" w:hAnsi="宋体"/>
          <w:b/>
          <w:bCs/>
          <w:color w:val="auto"/>
          <w:sz w:val="32"/>
          <w:szCs w:val="32"/>
        </w:rPr>
      </w:pPr>
      <w:bookmarkStart w:id="26" w:name="_Toc20022"/>
      <w:bookmarkStart w:id="27" w:name="_Toc10579"/>
      <w:r>
        <w:rPr>
          <w:rFonts w:hint="eastAsia" w:ascii="宋体" w:hAnsi="宋体"/>
          <w:b/>
          <w:color w:val="auto"/>
          <w:sz w:val="32"/>
          <w:szCs w:val="32"/>
        </w:rPr>
        <w:t>三、供应商</w:t>
      </w:r>
      <w:r>
        <w:rPr>
          <w:rFonts w:hint="eastAsia" w:ascii="宋体" w:hAnsi="宋体"/>
          <w:b/>
          <w:bCs/>
          <w:color w:val="auto"/>
          <w:sz w:val="32"/>
          <w:szCs w:val="32"/>
        </w:rPr>
        <w:t>的资格证明材料</w:t>
      </w:r>
      <w:bookmarkEnd w:id="26"/>
      <w:bookmarkEnd w:id="27"/>
    </w:p>
    <w:p w14:paraId="3BBC023E">
      <w:pPr>
        <w:spacing w:line="480" w:lineRule="exact"/>
        <w:outlineLvl w:val="9"/>
        <w:rPr>
          <w:rFonts w:hint="eastAsia" w:ascii="宋体" w:hAnsi="宋体" w:eastAsia="宋体"/>
          <w:b/>
          <w:color w:val="auto"/>
          <w:sz w:val="24"/>
          <w:lang w:eastAsia="zh-CN"/>
        </w:rPr>
      </w:pPr>
    </w:p>
    <w:p w14:paraId="22EFF595">
      <w:pPr>
        <w:adjustRightInd w:val="0"/>
        <w:snapToGrid w:val="0"/>
        <w:spacing w:line="360" w:lineRule="auto"/>
        <w:jc w:val="center"/>
        <w:outlineLvl w:val="9"/>
        <w:rPr>
          <w:rFonts w:ascii="宋体" w:hAnsi="宋体"/>
          <w:b/>
          <w:color w:val="auto"/>
          <w:sz w:val="24"/>
        </w:rPr>
      </w:pPr>
      <w:r>
        <w:rPr>
          <w:rFonts w:hint="eastAsia" w:ascii="宋体" w:hAnsi="宋体"/>
          <w:b/>
          <w:color w:val="auto"/>
          <w:sz w:val="24"/>
        </w:rPr>
        <w:t>供应商基本情况表</w:t>
      </w:r>
    </w:p>
    <w:p w14:paraId="05A02811">
      <w:pPr>
        <w:adjustRightInd w:val="0"/>
        <w:snapToGrid w:val="0"/>
        <w:spacing w:line="360" w:lineRule="auto"/>
        <w:outlineLvl w:val="9"/>
        <w:rPr>
          <w:rFonts w:ascii="宋体" w:hAnsi="宋体"/>
          <w:color w:val="auto"/>
          <w:szCs w:val="21"/>
        </w:rPr>
      </w:pPr>
      <w:r>
        <w:rPr>
          <w:rFonts w:hint="eastAsia" w:ascii="宋体" w:hAnsi="宋体"/>
          <w:color w:val="auto"/>
          <w:szCs w:val="21"/>
        </w:rPr>
        <w:t>盖供应商单位章</w:t>
      </w:r>
    </w:p>
    <w:tbl>
      <w:tblPr>
        <w:tblStyle w:val="50"/>
        <w:tblW w:w="901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2101"/>
      </w:tblGrid>
      <w:tr w14:paraId="55381E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14:paraId="267C0FAC">
            <w:pPr>
              <w:topLinePunct/>
              <w:spacing w:line="440" w:lineRule="exact"/>
              <w:jc w:val="center"/>
              <w:outlineLvl w:val="9"/>
              <w:rPr>
                <w:rFonts w:ascii="宋体" w:hAnsi="宋体"/>
                <w:color w:val="auto"/>
                <w:szCs w:val="21"/>
              </w:rPr>
            </w:pPr>
            <w:r>
              <w:rPr>
                <w:rFonts w:hint="eastAsia" w:ascii="宋体" w:hAnsi="宋体"/>
                <w:color w:val="auto"/>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14:paraId="3C2FC3D6">
            <w:pPr>
              <w:topLinePunct/>
              <w:spacing w:line="440" w:lineRule="exact"/>
              <w:jc w:val="center"/>
              <w:outlineLvl w:val="9"/>
              <w:rPr>
                <w:rFonts w:ascii="宋体" w:hAnsi="宋体"/>
                <w:color w:val="auto"/>
                <w:szCs w:val="21"/>
              </w:rPr>
            </w:pPr>
          </w:p>
        </w:tc>
        <w:tc>
          <w:tcPr>
            <w:tcW w:w="1329" w:type="dxa"/>
            <w:tcBorders>
              <w:top w:val="double" w:color="auto" w:sz="4" w:space="0"/>
              <w:left w:val="single" w:color="auto" w:sz="6" w:space="0"/>
              <w:bottom w:val="single" w:color="auto" w:sz="6" w:space="0"/>
              <w:right w:val="single" w:color="auto" w:sz="6" w:space="0"/>
            </w:tcBorders>
            <w:vAlign w:val="center"/>
          </w:tcPr>
          <w:p w14:paraId="68F0CE4A">
            <w:pPr>
              <w:topLinePunct/>
              <w:spacing w:line="440" w:lineRule="exact"/>
              <w:jc w:val="center"/>
              <w:outlineLvl w:val="9"/>
              <w:rPr>
                <w:rFonts w:ascii="宋体" w:hAnsi="宋体"/>
                <w:color w:val="auto"/>
                <w:szCs w:val="21"/>
              </w:rPr>
            </w:pPr>
            <w:r>
              <w:rPr>
                <w:rFonts w:hint="eastAsia" w:ascii="宋体" w:hAnsi="宋体"/>
                <w:color w:val="auto"/>
                <w:szCs w:val="21"/>
              </w:rPr>
              <w:t>法定代表人</w:t>
            </w:r>
          </w:p>
        </w:tc>
        <w:tc>
          <w:tcPr>
            <w:tcW w:w="2101" w:type="dxa"/>
            <w:tcBorders>
              <w:top w:val="double" w:color="auto" w:sz="4" w:space="0"/>
              <w:left w:val="single" w:color="auto" w:sz="6" w:space="0"/>
              <w:bottom w:val="single" w:color="auto" w:sz="6" w:space="0"/>
              <w:right w:val="double" w:color="auto" w:sz="4" w:space="0"/>
            </w:tcBorders>
            <w:vAlign w:val="center"/>
          </w:tcPr>
          <w:p w14:paraId="7A745702">
            <w:pPr>
              <w:topLinePunct/>
              <w:spacing w:line="440" w:lineRule="exact"/>
              <w:jc w:val="center"/>
              <w:outlineLvl w:val="9"/>
              <w:rPr>
                <w:rFonts w:ascii="宋体" w:hAnsi="宋体"/>
                <w:color w:val="auto"/>
                <w:szCs w:val="21"/>
              </w:rPr>
            </w:pPr>
          </w:p>
        </w:tc>
      </w:tr>
      <w:tr w14:paraId="7820FC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387D1A2C">
            <w:pPr>
              <w:topLinePunct/>
              <w:spacing w:line="440" w:lineRule="exact"/>
              <w:jc w:val="center"/>
              <w:outlineLvl w:val="9"/>
              <w:rPr>
                <w:rFonts w:ascii="宋体" w:hAnsi="宋体"/>
                <w:color w:val="auto"/>
                <w:szCs w:val="21"/>
              </w:rPr>
            </w:pPr>
            <w:r>
              <w:rPr>
                <w:rFonts w:hint="eastAsia" w:ascii="宋体" w:hAnsi="宋体"/>
                <w:color w:val="auto"/>
                <w:szCs w:val="21"/>
              </w:rPr>
              <w:t>组织机构代码</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6329F841">
            <w:pPr>
              <w:topLinePunct/>
              <w:spacing w:line="440" w:lineRule="exact"/>
              <w:jc w:val="center"/>
              <w:outlineLvl w:val="9"/>
              <w:rPr>
                <w:rFonts w:ascii="宋体" w:hAnsi="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14B0C521">
            <w:pPr>
              <w:topLinePunct/>
              <w:spacing w:line="440" w:lineRule="exact"/>
              <w:jc w:val="center"/>
              <w:outlineLvl w:val="9"/>
              <w:rPr>
                <w:rFonts w:ascii="宋体" w:hAnsi="宋体"/>
                <w:color w:val="auto"/>
                <w:szCs w:val="21"/>
              </w:rPr>
            </w:pPr>
            <w:r>
              <w:rPr>
                <w:rFonts w:hint="eastAsia" w:ascii="宋体" w:hAnsi="宋体"/>
                <w:color w:val="auto"/>
                <w:szCs w:val="21"/>
              </w:rPr>
              <w:t>邮政编码</w:t>
            </w:r>
          </w:p>
        </w:tc>
        <w:tc>
          <w:tcPr>
            <w:tcW w:w="2101" w:type="dxa"/>
            <w:tcBorders>
              <w:top w:val="single" w:color="auto" w:sz="6" w:space="0"/>
              <w:left w:val="single" w:color="auto" w:sz="6" w:space="0"/>
              <w:bottom w:val="single" w:color="auto" w:sz="6" w:space="0"/>
              <w:right w:val="double" w:color="auto" w:sz="4" w:space="0"/>
            </w:tcBorders>
            <w:vAlign w:val="center"/>
          </w:tcPr>
          <w:p w14:paraId="3E0FE3BF">
            <w:pPr>
              <w:topLinePunct/>
              <w:spacing w:line="440" w:lineRule="exact"/>
              <w:jc w:val="center"/>
              <w:outlineLvl w:val="9"/>
              <w:rPr>
                <w:rFonts w:ascii="宋体" w:hAnsi="宋体"/>
                <w:color w:val="auto"/>
                <w:szCs w:val="21"/>
              </w:rPr>
            </w:pPr>
          </w:p>
        </w:tc>
      </w:tr>
      <w:tr w14:paraId="0CE6A3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04EA338F">
            <w:pPr>
              <w:topLinePunct/>
              <w:spacing w:line="440" w:lineRule="exact"/>
              <w:jc w:val="center"/>
              <w:outlineLvl w:val="9"/>
              <w:rPr>
                <w:rFonts w:ascii="宋体" w:hAnsi="宋体"/>
                <w:color w:val="auto"/>
                <w:szCs w:val="21"/>
              </w:rPr>
            </w:pPr>
            <w:r>
              <w:rPr>
                <w:rFonts w:hint="eastAsia" w:ascii="宋体" w:hAnsi="宋体"/>
                <w:color w:val="auto"/>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4C63D2B1">
            <w:pPr>
              <w:topLinePunct/>
              <w:spacing w:line="440" w:lineRule="exact"/>
              <w:jc w:val="center"/>
              <w:outlineLvl w:val="9"/>
              <w:rPr>
                <w:rFonts w:ascii="宋体" w:hAnsi="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532ABD96">
            <w:pPr>
              <w:topLinePunct/>
              <w:spacing w:line="440" w:lineRule="exact"/>
              <w:jc w:val="center"/>
              <w:outlineLvl w:val="9"/>
              <w:rPr>
                <w:rFonts w:ascii="宋体" w:hAnsi="宋体"/>
                <w:color w:val="auto"/>
                <w:szCs w:val="21"/>
              </w:rPr>
            </w:pPr>
            <w:r>
              <w:rPr>
                <w:rFonts w:hint="eastAsia" w:ascii="宋体" w:hAnsi="宋体"/>
                <w:color w:val="auto"/>
                <w:szCs w:val="21"/>
              </w:rPr>
              <w:t>电子邮箱</w:t>
            </w:r>
          </w:p>
        </w:tc>
        <w:tc>
          <w:tcPr>
            <w:tcW w:w="2101" w:type="dxa"/>
            <w:tcBorders>
              <w:top w:val="single" w:color="auto" w:sz="6" w:space="0"/>
              <w:left w:val="single" w:color="auto" w:sz="6" w:space="0"/>
              <w:bottom w:val="single" w:color="auto" w:sz="6" w:space="0"/>
              <w:right w:val="double" w:color="auto" w:sz="4" w:space="0"/>
            </w:tcBorders>
            <w:vAlign w:val="center"/>
          </w:tcPr>
          <w:p w14:paraId="4002C3AF">
            <w:pPr>
              <w:topLinePunct/>
              <w:spacing w:line="440" w:lineRule="exact"/>
              <w:jc w:val="center"/>
              <w:outlineLvl w:val="9"/>
              <w:rPr>
                <w:rFonts w:ascii="宋体" w:hAnsi="宋体"/>
                <w:color w:val="auto"/>
                <w:szCs w:val="21"/>
              </w:rPr>
            </w:pPr>
          </w:p>
        </w:tc>
      </w:tr>
      <w:tr w14:paraId="0B46AC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512B1968">
            <w:pPr>
              <w:topLinePunct/>
              <w:spacing w:line="440" w:lineRule="exact"/>
              <w:jc w:val="center"/>
              <w:outlineLvl w:val="9"/>
              <w:rPr>
                <w:rFonts w:ascii="宋体" w:hAnsi="宋体"/>
                <w:color w:val="auto"/>
                <w:szCs w:val="21"/>
              </w:rPr>
            </w:pPr>
            <w:r>
              <w:rPr>
                <w:rFonts w:hint="eastAsia" w:ascii="宋体" w:hAnsi="宋体"/>
                <w:color w:val="auto"/>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2CD5EDD1">
            <w:pPr>
              <w:topLinePunct/>
              <w:spacing w:line="440" w:lineRule="exact"/>
              <w:jc w:val="center"/>
              <w:outlineLvl w:val="9"/>
              <w:rPr>
                <w:rFonts w:ascii="宋体" w:hAnsi="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679AF43F">
            <w:pPr>
              <w:topLinePunct/>
              <w:spacing w:line="440" w:lineRule="exact"/>
              <w:jc w:val="center"/>
              <w:outlineLvl w:val="9"/>
              <w:rPr>
                <w:rFonts w:ascii="宋体" w:hAnsi="宋体"/>
                <w:color w:val="auto"/>
                <w:szCs w:val="21"/>
              </w:rPr>
            </w:pPr>
            <w:r>
              <w:rPr>
                <w:rFonts w:hint="eastAsia" w:ascii="宋体" w:hAnsi="宋体"/>
                <w:color w:val="auto"/>
                <w:szCs w:val="21"/>
              </w:rPr>
              <w:t>员工总人数</w:t>
            </w:r>
          </w:p>
        </w:tc>
        <w:tc>
          <w:tcPr>
            <w:tcW w:w="2101" w:type="dxa"/>
            <w:tcBorders>
              <w:top w:val="single" w:color="auto" w:sz="6" w:space="0"/>
              <w:left w:val="single" w:color="auto" w:sz="6" w:space="0"/>
              <w:bottom w:val="single" w:color="auto" w:sz="6" w:space="0"/>
              <w:right w:val="double" w:color="auto" w:sz="4" w:space="0"/>
            </w:tcBorders>
            <w:vAlign w:val="center"/>
          </w:tcPr>
          <w:p w14:paraId="14A9D952">
            <w:pPr>
              <w:topLinePunct/>
              <w:spacing w:line="440" w:lineRule="exact"/>
              <w:jc w:val="center"/>
              <w:outlineLvl w:val="9"/>
              <w:rPr>
                <w:rFonts w:ascii="宋体" w:hAnsi="宋体"/>
                <w:color w:val="auto"/>
                <w:szCs w:val="21"/>
              </w:rPr>
            </w:pPr>
          </w:p>
        </w:tc>
      </w:tr>
      <w:tr w14:paraId="61CC35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14:paraId="60200A97">
            <w:pPr>
              <w:topLinePunct/>
              <w:spacing w:line="440" w:lineRule="exact"/>
              <w:jc w:val="center"/>
              <w:outlineLvl w:val="9"/>
              <w:rPr>
                <w:rFonts w:ascii="宋体" w:hAnsi="宋体"/>
                <w:color w:val="auto"/>
                <w:szCs w:val="21"/>
              </w:rPr>
            </w:pPr>
            <w:r>
              <w:rPr>
                <w:rFonts w:hint="eastAsia" w:ascii="宋体" w:hAnsi="宋体"/>
                <w:color w:val="auto"/>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47663E7F">
            <w:pPr>
              <w:topLinePunct/>
              <w:spacing w:line="440" w:lineRule="exact"/>
              <w:jc w:val="center"/>
              <w:outlineLvl w:val="9"/>
              <w:rPr>
                <w:rFonts w:ascii="宋体" w:hAnsi="宋体"/>
                <w:color w:val="auto"/>
                <w:szCs w:val="21"/>
              </w:rPr>
            </w:pPr>
            <w:r>
              <w:rPr>
                <w:rFonts w:hint="eastAsia" w:ascii="宋体" w:hAnsi="宋体"/>
                <w:color w:val="auto"/>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5129CC24">
            <w:pPr>
              <w:topLinePunct/>
              <w:spacing w:line="440" w:lineRule="exact"/>
              <w:jc w:val="center"/>
              <w:outlineLvl w:val="9"/>
              <w:rPr>
                <w:rFonts w:ascii="宋体" w:hAnsi="宋体"/>
                <w:color w:val="auto"/>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124A7274">
            <w:pPr>
              <w:topLinePunct/>
              <w:spacing w:line="440" w:lineRule="exact"/>
              <w:ind w:firstLine="105" w:firstLineChars="50"/>
              <w:jc w:val="center"/>
              <w:outlineLvl w:val="9"/>
              <w:rPr>
                <w:rFonts w:ascii="宋体" w:hAnsi="宋体"/>
                <w:color w:val="auto"/>
                <w:szCs w:val="21"/>
              </w:rPr>
            </w:pPr>
            <w:r>
              <w:rPr>
                <w:rFonts w:hint="eastAsia" w:ascii="宋体" w:hAnsi="宋体"/>
                <w:color w:val="auto"/>
                <w:szCs w:val="21"/>
              </w:rPr>
              <w:t>注册地址</w:t>
            </w: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29D38F13">
            <w:pPr>
              <w:topLinePunct/>
              <w:spacing w:line="440" w:lineRule="exact"/>
              <w:ind w:firstLine="105" w:firstLineChars="50"/>
              <w:jc w:val="center"/>
              <w:outlineLvl w:val="9"/>
              <w:rPr>
                <w:rFonts w:ascii="宋体" w:hAnsi="宋体"/>
                <w:color w:val="auto"/>
                <w:szCs w:val="21"/>
              </w:rPr>
            </w:pPr>
          </w:p>
        </w:tc>
      </w:tr>
      <w:tr w14:paraId="360184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290B3743">
            <w:pPr>
              <w:widowControl/>
              <w:jc w:val="left"/>
              <w:outlineLvl w:val="9"/>
              <w:rPr>
                <w:rFonts w:ascii="宋体" w:hAnsi="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76D16A5D">
            <w:pPr>
              <w:topLinePunct/>
              <w:spacing w:line="440" w:lineRule="exact"/>
              <w:jc w:val="center"/>
              <w:outlineLvl w:val="9"/>
              <w:rPr>
                <w:rFonts w:ascii="宋体" w:hAnsi="宋体"/>
                <w:color w:val="auto"/>
                <w:szCs w:val="21"/>
              </w:rPr>
            </w:pPr>
            <w:r>
              <w:rPr>
                <w:rFonts w:hint="eastAsia" w:ascii="宋体" w:hAnsi="宋体"/>
                <w:color w:val="auto"/>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6202A689">
            <w:pPr>
              <w:topLinePunct/>
              <w:spacing w:line="440" w:lineRule="exact"/>
              <w:jc w:val="center"/>
              <w:outlineLvl w:val="9"/>
              <w:rPr>
                <w:rFonts w:ascii="宋体" w:hAnsi="宋体"/>
                <w:color w:val="auto"/>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01A937F4">
            <w:pPr>
              <w:topLinePunct/>
              <w:spacing w:line="440" w:lineRule="exact"/>
              <w:ind w:firstLine="105" w:firstLineChars="50"/>
              <w:jc w:val="center"/>
              <w:outlineLvl w:val="9"/>
              <w:rPr>
                <w:rFonts w:ascii="宋体" w:hAnsi="宋体"/>
                <w:color w:val="auto"/>
                <w:szCs w:val="21"/>
              </w:rPr>
            </w:pPr>
            <w:r>
              <w:rPr>
                <w:rFonts w:hint="eastAsia" w:ascii="宋体" w:hAnsi="宋体"/>
                <w:color w:val="auto"/>
                <w:szCs w:val="21"/>
              </w:rPr>
              <w:t>发证日期</w:t>
            </w: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5A068216">
            <w:pPr>
              <w:topLinePunct/>
              <w:spacing w:line="440" w:lineRule="exact"/>
              <w:ind w:firstLine="105" w:firstLineChars="50"/>
              <w:jc w:val="center"/>
              <w:outlineLvl w:val="9"/>
              <w:rPr>
                <w:rFonts w:ascii="宋体" w:hAnsi="宋体"/>
                <w:color w:val="auto"/>
                <w:szCs w:val="21"/>
              </w:rPr>
            </w:pPr>
          </w:p>
        </w:tc>
      </w:tr>
      <w:tr w14:paraId="35FF8A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0206B3F1">
            <w:pPr>
              <w:widowControl/>
              <w:jc w:val="left"/>
              <w:outlineLvl w:val="9"/>
              <w:rPr>
                <w:rFonts w:ascii="宋体" w:hAnsi="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3C84EE54">
            <w:pPr>
              <w:topLinePunct/>
              <w:spacing w:line="440" w:lineRule="exact"/>
              <w:jc w:val="center"/>
              <w:outlineLvl w:val="9"/>
              <w:rPr>
                <w:rFonts w:ascii="宋体" w:hAnsi="宋体"/>
                <w:color w:val="auto"/>
                <w:szCs w:val="21"/>
              </w:rPr>
            </w:pPr>
            <w:r>
              <w:rPr>
                <w:rFonts w:hint="eastAsia" w:ascii="宋体" w:hAnsi="宋体"/>
                <w:color w:val="auto"/>
                <w:szCs w:val="21"/>
              </w:rPr>
              <w:t>营业范围（主营）</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1290C911">
            <w:pPr>
              <w:topLinePunct/>
              <w:spacing w:line="440" w:lineRule="exact"/>
              <w:ind w:firstLine="105" w:firstLineChars="50"/>
              <w:jc w:val="center"/>
              <w:outlineLvl w:val="9"/>
              <w:rPr>
                <w:rFonts w:ascii="宋体" w:hAnsi="宋体"/>
                <w:color w:val="auto"/>
                <w:szCs w:val="21"/>
              </w:rPr>
            </w:pPr>
          </w:p>
        </w:tc>
      </w:tr>
      <w:tr w14:paraId="2C5CBD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31DAF68D">
            <w:pPr>
              <w:widowControl/>
              <w:jc w:val="left"/>
              <w:outlineLvl w:val="9"/>
              <w:rPr>
                <w:rFonts w:ascii="宋体" w:hAnsi="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0D77B56A">
            <w:pPr>
              <w:topLinePunct/>
              <w:spacing w:line="440" w:lineRule="exact"/>
              <w:jc w:val="center"/>
              <w:outlineLvl w:val="9"/>
              <w:rPr>
                <w:rFonts w:ascii="宋体" w:hAnsi="宋体"/>
                <w:color w:val="auto"/>
                <w:szCs w:val="21"/>
              </w:rPr>
            </w:pPr>
            <w:r>
              <w:rPr>
                <w:rFonts w:hint="eastAsia" w:ascii="宋体" w:hAnsi="宋体"/>
                <w:color w:val="auto"/>
                <w:szCs w:val="21"/>
              </w:rPr>
              <w:t>营业范围（兼营）</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58524DA7">
            <w:pPr>
              <w:topLinePunct/>
              <w:spacing w:line="440" w:lineRule="exact"/>
              <w:ind w:firstLine="105" w:firstLineChars="50"/>
              <w:jc w:val="center"/>
              <w:outlineLvl w:val="9"/>
              <w:rPr>
                <w:rFonts w:ascii="宋体" w:hAnsi="宋体"/>
                <w:color w:val="auto"/>
                <w:szCs w:val="21"/>
              </w:rPr>
            </w:pPr>
          </w:p>
        </w:tc>
      </w:tr>
      <w:tr w14:paraId="7B890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0D376DDB">
            <w:pPr>
              <w:topLinePunct/>
              <w:spacing w:line="440" w:lineRule="exact"/>
              <w:jc w:val="center"/>
              <w:outlineLvl w:val="9"/>
              <w:rPr>
                <w:rFonts w:ascii="宋体" w:hAnsi="宋体"/>
                <w:color w:val="auto"/>
                <w:szCs w:val="21"/>
              </w:rPr>
            </w:pPr>
            <w:r>
              <w:rPr>
                <w:rFonts w:hint="eastAsia" w:ascii="宋体" w:hAnsi="宋体"/>
                <w:color w:val="auto"/>
                <w:szCs w:val="21"/>
              </w:rPr>
              <w:t>基本账户开户行及账号</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6E4C959A">
            <w:pPr>
              <w:topLinePunct/>
              <w:spacing w:line="440" w:lineRule="exact"/>
              <w:jc w:val="center"/>
              <w:outlineLvl w:val="9"/>
              <w:rPr>
                <w:rFonts w:ascii="宋体" w:hAnsi="宋体"/>
                <w:color w:val="auto"/>
                <w:szCs w:val="21"/>
              </w:rPr>
            </w:pPr>
          </w:p>
        </w:tc>
      </w:tr>
      <w:tr w14:paraId="46269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6585DB12">
            <w:pPr>
              <w:topLinePunct/>
              <w:spacing w:line="440" w:lineRule="exact"/>
              <w:jc w:val="center"/>
              <w:outlineLvl w:val="9"/>
              <w:rPr>
                <w:rFonts w:ascii="宋体" w:hAnsi="宋体"/>
                <w:color w:val="auto"/>
                <w:szCs w:val="21"/>
              </w:rPr>
            </w:pPr>
            <w:r>
              <w:rPr>
                <w:rFonts w:hint="eastAsia" w:ascii="宋体" w:hAnsi="宋体"/>
                <w:color w:val="auto"/>
                <w:szCs w:val="21"/>
              </w:rPr>
              <w:t>税务登记机关</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044C2D45">
            <w:pPr>
              <w:topLinePunct/>
              <w:spacing w:line="440" w:lineRule="exact"/>
              <w:jc w:val="center"/>
              <w:outlineLvl w:val="9"/>
              <w:rPr>
                <w:rFonts w:ascii="宋体" w:hAnsi="宋体"/>
                <w:color w:val="auto"/>
                <w:szCs w:val="21"/>
              </w:rPr>
            </w:pPr>
          </w:p>
        </w:tc>
      </w:tr>
      <w:tr w14:paraId="4F1DAC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47982654">
            <w:pPr>
              <w:topLinePunct/>
              <w:spacing w:line="440" w:lineRule="exact"/>
              <w:jc w:val="center"/>
              <w:outlineLvl w:val="9"/>
              <w:rPr>
                <w:rFonts w:ascii="宋体" w:hAnsi="宋体"/>
                <w:color w:val="auto"/>
                <w:szCs w:val="21"/>
              </w:rPr>
            </w:pPr>
            <w:r>
              <w:rPr>
                <w:rFonts w:hint="eastAsia" w:ascii="宋体" w:hAnsi="宋体"/>
                <w:color w:val="auto"/>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77DB4EE2">
            <w:pPr>
              <w:topLinePunct/>
              <w:spacing w:line="440" w:lineRule="exact"/>
              <w:jc w:val="center"/>
              <w:outlineLvl w:val="9"/>
              <w:rPr>
                <w:rFonts w:ascii="宋体" w:hAnsi="宋体"/>
                <w:color w:val="auto"/>
                <w:szCs w:val="21"/>
              </w:rPr>
            </w:pPr>
            <w:r>
              <w:rPr>
                <w:rFonts w:hint="eastAsia" w:ascii="宋体" w:hAnsi="宋体"/>
                <w:color w:val="auto"/>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14:paraId="22C5467A">
            <w:pPr>
              <w:topLinePunct/>
              <w:spacing w:line="440" w:lineRule="exact"/>
              <w:jc w:val="center"/>
              <w:outlineLvl w:val="9"/>
              <w:rPr>
                <w:rFonts w:ascii="宋体" w:hAnsi="宋体"/>
                <w:color w:val="auto"/>
                <w:szCs w:val="21"/>
              </w:rPr>
            </w:pPr>
            <w:r>
              <w:rPr>
                <w:rFonts w:hint="eastAsia" w:ascii="宋体" w:hAnsi="宋体"/>
                <w:color w:val="auto"/>
                <w:szCs w:val="21"/>
              </w:rPr>
              <w:t>发证机关</w:t>
            </w: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0B212754">
            <w:pPr>
              <w:topLinePunct/>
              <w:spacing w:line="440" w:lineRule="exact"/>
              <w:jc w:val="center"/>
              <w:outlineLvl w:val="9"/>
              <w:rPr>
                <w:rFonts w:ascii="宋体" w:hAnsi="宋体"/>
                <w:color w:val="auto"/>
                <w:szCs w:val="21"/>
              </w:rPr>
            </w:pPr>
            <w:r>
              <w:rPr>
                <w:rFonts w:hint="eastAsia" w:ascii="宋体" w:hAnsi="宋体"/>
                <w:color w:val="auto"/>
                <w:szCs w:val="21"/>
              </w:rPr>
              <w:t>有效期</w:t>
            </w:r>
          </w:p>
        </w:tc>
      </w:tr>
      <w:tr w14:paraId="53D9D4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5A83E9C">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764C19EE">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418673E7">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42C4DAA6">
            <w:pPr>
              <w:topLinePunct/>
              <w:spacing w:line="440" w:lineRule="exact"/>
              <w:jc w:val="center"/>
              <w:outlineLvl w:val="9"/>
              <w:rPr>
                <w:rFonts w:ascii="宋体" w:hAnsi="宋体"/>
                <w:color w:val="auto"/>
                <w:szCs w:val="21"/>
              </w:rPr>
            </w:pPr>
          </w:p>
        </w:tc>
      </w:tr>
      <w:tr w14:paraId="6FF7E3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0936A271">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1A05CF1E">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26C47957">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053A79DA">
            <w:pPr>
              <w:topLinePunct/>
              <w:spacing w:line="440" w:lineRule="exact"/>
              <w:jc w:val="center"/>
              <w:outlineLvl w:val="9"/>
              <w:rPr>
                <w:rFonts w:ascii="宋体" w:hAnsi="宋体"/>
                <w:color w:val="auto"/>
                <w:szCs w:val="21"/>
              </w:rPr>
            </w:pPr>
          </w:p>
        </w:tc>
      </w:tr>
      <w:tr w14:paraId="19C6A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2C3960B6">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1FA357A6">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404156BF">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619AB34D">
            <w:pPr>
              <w:topLinePunct/>
              <w:spacing w:line="440" w:lineRule="exact"/>
              <w:jc w:val="center"/>
              <w:outlineLvl w:val="9"/>
              <w:rPr>
                <w:rFonts w:ascii="宋体" w:hAnsi="宋体"/>
                <w:color w:val="auto"/>
                <w:szCs w:val="21"/>
              </w:rPr>
            </w:pPr>
          </w:p>
        </w:tc>
      </w:tr>
      <w:tr w14:paraId="78CD98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E862F75">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4AAF698B">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00652293">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71243C01">
            <w:pPr>
              <w:topLinePunct/>
              <w:spacing w:line="440" w:lineRule="exact"/>
              <w:jc w:val="center"/>
              <w:outlineLvl w:val="9"/>
              <w:rPr>
                <w:rFonts w:ascii="宋体" w:hAnsi="宋体"/>
                <w:color w:val="auto"/>
                <w:szCs w:val="21"/>
              </w:rPr>
            </w:pPr>
          </w:p>
        </w:tc>
      </w:tr>
      <w:tr w14:paraId="39968D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14:paraId="5A5B5397">
            <w:pPr>
              <w:topLinePunct/>
              <w:spacing w:line="440" w:lineRule="exact"/>
              <w:jc w:val="center"/>
              <w:outlineLvl w:val="9"/>
              <w:rPr>
                <w:rFonts w:ascii="宋体" w:hAnsi="宋体"/>
                <w:color w:val="auto"/>
                <w:szCs w:val="21"/>
              </w:rPr>
            </w:pPr>
            <w:r>
              <w:rPr>
                <w:rFonts w:hint="eastAsia" w:ascii="宋体" w:hAnsi="宋体"/>
                <w:color w:val="auto"/>
                <w:szCs w:val="21"/>
              </w:rPr>
              <w:t>备注</w:t>
            </w:r>
          </w:p>
        </w:tc>
        <w:tc>
          <w:tcPr>
            <w:tcW w:w="7752" w:type="dxa"/>
            <w:gridSpan w:val="8"/>
            <w:tcBorders>
              <w:top w:val="single" w:color="auto" w:sz="6" w:space="0"/>
              <w:left w:val="single" w:color="auto" w:sz="6" w:space="0"/>
              <w:bottom w:val="double" w:color="auto" w:sz="4" w:space="0"/>
              <w:right w:val="double" w:color="auto" w:sz="4" w:space="0"/>
            </w:tcBorders>
            <w:vAlign w:val="center"/>
          </w:tcPr>
          <w:p w14:paraId="41C21D98">
            <w:pPr>
              <w:topLinePunct/>
              <w:spacing w:line="440" w:lineRule="exact"/>
              <w:outlineLvl w:val="9"/>
              <w:rPr>
                <w:rFonts w:ascii="宋体" w:hAnsi="宋体"/>
                <w:color w:val="auto"/>
                <w:szCs w:val="21"/>
              </w:rPr>
            </w:pPr>
          </w:p>
        </w:tc>
      </w:tr>
    </w:tbl>
    <w:p w14:paraId="7AAA0132">
      <w:pPr>
        <w:adjustRightInd w:val="0"/>
        <w:snapToGrid w:val="0"/>
        <w:spacing w:beforeLines="50" w:line="360" w:lineRule="auto"/>
        <w:outlineLvl w:val="2"/>
        <w:rPr>
          <w:rFonts w:ascii="宋体" w:hAnsi="宋体"/>
          <w:b/>
          <w:color w:val="auto"/>
          <w:sz w:val="24"/>
        </w:rPr>
      </w:pPr>
      <w:r>
        <w:rPr>
          <w:rFonts w:hint="eastAsia" w:ascii="宋体" w:hAnsi="宋体"/>
          <w:b/>
          <w:color w:val="auto"/>
          <w:sz w:val="24"/>
        </w:rPr>
        <w:br w:type="page"/>
      </w:r>
      <w:bookmarkStart w:id="28" w:name="_Toc25309"/>
      <w:bookmarkStart w:id="29" w:name="_Toc32234"/>
      <w:bookmarkStart w:id="30" w:name="_Toc10077"/>
      <w:bookmarkStart w:id="31" w:name="_Toc21256"/>
      <w:r>
        <w:rPr>
          <w:rFonts w:hint="eastAsia" w:ascii="宋体" w:hAnsi="宋体"/>
          <w:b/>
          <w:color w:val="auto"/>
          <w:sz w:val="24"/>
        </w:rPr>
        <w:t>附件</w:t>
      </w:r>
      <w:r>
        <w:rPr>
          <w:rFonts w:hint="eastAsia" w:ascii="宋体" w:hAnsi="宋体"/>
          <w:b/>
          <w:color w:val="auto"/>
          <w:sz w:val="24"/>
          <w:lang w:val="en-US" w:eastAsia="zh-CN"/>
        </w:rPr>
        <w:t>5</w:t>
      </w:r>
      <w:r>
        <w:rPr>
          <w:rFonts w:hint="eastAsia" w:ascii="宋体" w:hAnsi="宋体"/>
          <w:b/>
          <w:color w:val="auto"/>
          <w:sz w:val="24"/>
        </w:rPr>
        <w:t>：供应商资格证明材料</w:t>
      </w:r>
      <w:bookmarkEnd w:id="28"/>
      <w:bookmarkEnd w:id="29"/>
      <w:bookmarkEnd w:id="30"/>
      <w:bookmarkEnd w:id="31"/>
    </w:p>
    <w:p w14:paraId="7BB65377">
      <w:pPr>
        <w:rPr>
          <w:color w:val="auto"/>
        </w:rPr>
      </w:pPr>
    </w:p>
    <w:p w14:paraId="5939D66B">
      <w:pPr>
        <w:widowControl/>
        <w:adjustRightInd w:val="0"/>
        <w:snapToGrid w:val="0"/>
        <w:spacing w:line="360" w:lineRule="auto"/>
        <w:jc w:val="center"/>
        <w:rPr>
          <w:rFonts w:ascii="黑体" w:hAnsi="仿宋" w:eastAsia="黑体" w:cs="宋体"/>
          <w:b/>
          <w:color w:val="auto"/>
          <w:sz w:val="24"/>
          <w:szCs w:val="24"/>
        </w:rPr>
      </w:pPr>
      <w:r>
        <w:rPr>
          <w:rFonts w:hint="eastAsia" w:ascii="黑体" w:hAnsi="仿宋" w:eastAsia="黑体" w:cs="宋体"/>
          <w:b/>
          <w:color w:val="auto"/>
          <w:sz w:val="24"/>
          <w:szCs w:val="24"/>
          <w:lang w:eastAsia="zh-CN"/>
        </w:rPr>
        <w:t>（</w:t>
      </w:r>
      <w:r>
        <w:rPr>
          <w:rFonts w:hint="eastAsia" w:ascii="黑体" w:hAnsi="仿宋" w:eastAsia="黑体" w:cs="宋体"/>
          <w:b/>
          <w:color w:val="auto"/>
          <w:sz w:val="24"/>
          <w:szCs w:val="24"/>
          <w:lang w:val="en-US" w:eastAsia="zh-CN"/>
        </w:rPr>
        <w:t>1</w:t>
      </w:r>
      <w:r>
        <w:rPr>
          <w:rFonts w:hint="eastAsia" w:ascii="黑体" w:hAnsi="仿宋" w:eastAsia="黑体" w:cs="宋体"/>
          <w:b/>
          <w:color w:val="auto"/>
          <w:sz w:val="24"/>
          <w:szCs w:val="24"/>
          <w:lang w:eastAsia="zh-CN"/>
        </w:rPr>
        <w:t>）</w:t>
      </w:r>
      <w:r>
        <w:rPr>
          <w:rFonts w:hint="eastAsia" w:ascii="黑体" w:hAnsi="仿宋" w:eastAsia="黑体" w:cs="宋体"/>
          <w:b/>
          <w:color w:val="auto"/>
          <w:sz w:val="24"/>
          <w:szCs w:val="24"/>
        </w:rPr>
        <w:t>法人或者其他组织的营业执照等主体资格证明文件，自然人的身份证明</w:t>
      </w:r>
    </w:p>
    <w:p w14:paraId="15F330DF">
      <w:pPr>
        <w:widowControl/>
        <w:adjustRightInd w:val="0"/>
        <w:snapToGrid w:val="0"/>
        <w:spacing w:before="156" w:beforeLines="50" w:line="360" w:lineRule="auto"/>
        <w:jc w:val="left"/>
        <w:rPr>
          <w:rFonts w:cs="宋体" w:asciiTheme="minorEastAsia" w:hAnsiTheme="minorEastAsia" w:eastAsiaTheme="minorEastAsia"/>
          <w:color w:val="auto"/>
          <w:szCs w:val="21"/>
        </w:rPr>
      </w:pPr>
    </w:p>
    <w:p w14:paraId="380889B8">
      <w:pPr>
        <w:adjustRightInd w:val="0"/>
        <w:snapToGrid w:val="0"/>
        <w:spacing w:before="156" w:beforeLines="50" w:line="360" w:lineRule="auto"/>
        <w:ind w:firstLine="420" w:firstLineChars="200"/>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w:t>
      </w:r>
    </w:p>
    <w:p w14:paraId="56F5647F">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①</w:t>
      </w:r>
      <w:r>
        <w:rPr>
          <w:rFonts w:hint="eastAsia" w:asciiTheme="minorEastAsia" w:hAnsiTheme="minorEastAsia" w:eastAsiaTheme="minorEastAsia"/>
          <w:color w:val="auto"/>
          <w:lang w:eastAsia="zh-CN"/>
        </w:rPr>
        <w:t>供应商</w:t>
      </w:r>
      <w:r>
        <w:rPr>
          <w:rFonts w:hint="eastAsia" w:asciiTheme="minorEastAsia" w:hAnsiTheme="minorEastAsia"/>
          <w:color w:val="auto"/>
        </w:rPr>
        <w:t>为法人的，应提交营业执照或法人登记证书的复印件；</w:t>
      </w:r>
    </w:p>
    <w:p w14:paraId="3394F0A1">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②</w:t>
      </w:r>
      <w:r>
        <w:rPr>
          <w:rFonts w:hint="eastAsia" w:asciiTheme="minorEastAsia" w:hAnsiTheme="minorEastAsia" w:eastAsiaTheme="minorEastAsia"/>
          <w:color w:val="auto"/>
          <w:lang w:eastAsia="zh-CN"/>
        </w:rPr>
        <w:t>供应商</w:t>
      </w:r>
      <w:r>
        <w:rPr>
          <w:rFonts w:hint="eastAsia" w:asciiTheme="minorEastAsia" w:hAnsiTheme="minorEastAsia"/>
          <w:color w:val="auto"/>
        </w:rPr>
        <w:t>为非法人组织的，应提交依法登记证书复印件；</w:t>
      </w:r>
    </w:p>
    <w:p w14:paraId="75361E94">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③</w:t>
      </w:r>
      <w:r>
        <w:rPr>
          <w:rFonts w:hint="eastAsia" w:asciiTheme="minorEastAsia" w:hAnsiTheme="minorEastAsia" w:eastAsiaTheme="minorEastAsia"/>
          <w:color w:val="auto"/>
          <w:lang w:eastAsia="zh-CN"/>
        </w:rPr>
        <w:t>供应商</w:t>
      </w:r>
      <w:r>
        <w:rPr>
          <w:rFonts w:hint="eastAsia" w:asciiTheme="minorEastAsia" w:hAnsiTheme="minorEastAsia"/>
          <w:color w:val="auto"/>
        </w:rPr>
        <w:t>为个体工商户的，应提交个体工商户营业执照复印件；</w:t>
      </w:r>
    </w:p>
    <w:p w14:paraId="7391CC14">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④</w:t>
      </w:r>
      <w:r>
        <w:rPr>
          <w:rFonts w:hint="eastAsia" w:asciiTheme="minorEastAsia" w:hAnsiTheme="minorEastAsia" w:eastAsiaTheme="minorEastAsia"/>
          <w:color w:val="auto"/>
          <w:lang w:eastAsia="zh-CN"/>
        </w:rPr>
        <w:t>供应商</w:t>
      </w:r>
      <w:r>
        <w:rPr>
          <w:rFonts w:hint="eastAsia" w:asciiTheme="minorEastAsia" w:hAnsiTheme="minorEastAsia"/>
          <w:color w:val="auto"/>
        </w:rPr>
        <w:t>为自然人的，应提交自然人的身份证明复印件。</w:t>
      </w:r>
    </w:p>
    <w:p w14:paraId="053AC025">
      <w:pPr>
        <w:adjustRightInd w:val="0"/>
        <w:snapToGrid w:val="0"/>
        <w:spacing w:beforeLines="50" w:line="360" w:lineRule="auto"/>
        <w:rPr>
          <w:rFonts w:ascii="宋体" w:hAnsi="宋体"/>
          <w:bCs/>
          <w:color w:val="auto"/>
          <w:szCs w:val="21"/>
        </w:rPr>
      </w:pPr>
    </w:p>
    <w:p w14:paraId="75A4DAB8">
      <w:pPr>
        <w:adjustRightInd w:val="0"/>
        <w:snapToGrid w:val="0"/>
        <w:spacing w:beforeLines="50" w:line="360" w:lineRule="auto"/>
        <w:rPr>
          <w:rFonts w:hint="eastAsia" w:ascii="宋体" w:hAnsi="宋体"/>
          <w:b/>
          <w:color w:val="auto"/>
          <w:szCs w:val="21"/>
        </w:rPr>
      </w:pPr>
    </w:p>
    <w:p w14:paraId="51A39A8D">
      <w:pPr>
        <w:adjustRightInd w:val="0"/>
        <w:snapToGrid w:val="0"/>
        <w:spacing w:beforeLines="50" w:line="360" w:lineRule="auto"/>
        <w:rPr>
          <w:rFonts w:hint="eastAsia" w:ascii="宋体" w:hAnsi="宋体"/>
          <w:b/>
          <w:color w:val="auto"/>
          <w:szCs w:val="21"/>
        </w:rPr>
      </w:pPr>
    </w:p>
    <w:p w14:paraId="0E05C5DC">
      <w:pPr>
        <w:adjustRightInd w:val="0"/>
        <w:snapToGrid w:val="0"/>
        <w:spacing w:beforeLines="50" w:line="360" w:lineRule="auto"/>
        <w:rPr>
          <w:rFonts w:hint="eastAsia" w:ascii="宋体" w:hAnsi="宋体"/>
          <w:b/>
          <w:color w:val="auto"/>
          <w:szCs w:val="21"/>
        </w:rPr>
      </w:pPr>
    </w:p>
    <w:p w14:paraId="0B30CBFA">
      <w:pPr>
        <w:adjustRightInd w:val="0"/>
        <w:snapToGrid w:val="0"/>
        <w:spacing w:beforeLines="50" w:line="360" w:lineRule="auto"/>
        <w:rPr>
          <w:rFonts w:hint="eastAsia" w:ascii="宋体" w:hAnsi="宋体"/>
          <w:b/>
          <w:color w:val="auto"/>
          <w:szCs w:val="21"/>
        </w:rPr>
      </w:pPr>
    </w:p>
    <w:p w14:paraId="5E6C32E4">
      <w:pPr>
        <w:adjustRightInd w:val="0"/>
        <w:snapToGrid w:val="0"/>
        <w:spacing w:beforeLines="50" w:line="360" w:lineRule="auto"/>
        <w:rPr>
          <w:rFonts w:hint="eastAsia" w:ascii="宋体" w:hAnsi="宋体"/>
          <w:b/>
          <w:color w:val="auto"/>
          <w:szCs w:val="21"/>
        </w:rPr>
      </w:pPr>
    </w:p>
    <w:p w14:paraId="04BA0BAD">
      <w:pPr>
        <w:adjustRightInd w:val="0"/>
        <w:snapToGrid w:val="0"/>
        <w:spacing w:beforeLines="50" w:line="360" w:lineRule="auto"/>
        <w:rPr>
          <w:rFonts w:hint="eastAsia" w:ascii="宋体" w:hAnsi="宋体"/>
          <w:b/>
          <w:color w:val="auto"/>
          <w:szCs w:val="21"/>
        </w:rPr>
      </w:pPr>
    </w:p>
    <w:p w14:paraId="666CEA86">
      <w:pPr>
        <w:adjustRightInd w:val="0"/>
        <w:snapToGrid w:val="0"/>
        <w:spacing w:beforeLines="50" w:line="360" w:lineRule="auto"/>
        <w:rPr>
          <w:rFonts w:hint="eastAsia" w:ascii="宋体" w:hAnsi="宋体"/>
          <w:b/>
          <w:color w:val="auto"/>
          <w:szCs w:val="21"/>
        </w:rPr>
      </w:pPr>
    </w:p>
    <w:p w14:paraId="7AD75AE6">
      <w:pPr>
        <w:adjustRightInd w:val="0"/>
        <w:snapToGrid w:val="0"/>
        <w:spacing w:beforeLines="50" w:line="360" w:lineRule="auto"/>
        <w:rPr>
          <w:rFonts w:hint="eastAsia" w:ascii="宋体" w:hAnsi="宋体"/>
          <w:b/>
          <w:color w:val="auto"/>
          <w:szCs w:val="21"/>
        </w:rPr>
      </w:pPr>
    </w:p>
    <w:p w14:paraId="5FA46F97">
      <w:pPr>
        <w:adjustRightInd w:val="0"/>
        <w:snapToGrid w:val="0"/>
        <w:spacing w:beforeLines="50" w:line="360" w:lineRule="auto"/>
        <w:rPr>
          <w:rFonts w:hint="eastAsia" w:ascii="宋体" w:hAnsi="宋体"/>
          <w:b/>
          <w:color w:val="auto"/>
          <w:szCs w:val="21"/>
        </w:rPr>
      </w:pPr>
    </w:p>
    <w:p w14:paraId="67ABA84D">
      <w:pPr>
        <w:adjustRightInd w:val="0"/>
        <w:snapToGrid w:val="0"/>
        <w:spacing w:beforeLines="50" w:line="360" w:lineRule="auto"/>
        <w:rPr>
          <w:rFonts w:hint="eastAsia" w:ascii="宋体" w:hAnsi="宋体"/>
          <w:b/>
          <w:color w:val="auto"/>
          <w:szCs w:val="21"/>
        </w:rPr>
      </w:pPr>
    </w:p>
    <w:p w14:paraId="0FCACBDA">
      <w:pPr>
        <w:adjustRightInd w:val="0"/>
        <w:snapToGrid w:val="0"/>
        <w:spacing w:beforeLines="50" w:line="360" w:lineRule="auto"/>
        <w:rPr>
          <w:rFonts w:hint="eastAsia" w:ascii="宋体" w:hAnsi="宋体"/>
          <w:b/>
          <w:color w:val="auto"/>
          <w:szCs w:val="21"/>
        </w:rPr>
      </w:pPr>
    </w:p>
    <w:p w14:paraId="5F204FE7">
      <w:pPr>
        <w:adjustRightInd w:val="0"/>
        <w:snapToGrid w:val="0"/>
        <w:spacing w:beforeLines="50" w:line="360" w:lineRule="auto"/>
        <w:rPr>
          <w:rFonts w:hint="eastAsia" w:ascii="宋体" w:hAnsi="宋体"/>
          <w:b/>
          <w:color w:val="auto"/>
          <w:szCs w:val="21"/>
        </w:rPr>
      </w:pPr>
    </w:p>
    <w:p w14:paraId="3240A5DC">
      <w:pPr>
        <w:adjustRightInd w:val="0"/>
        <w:snapToGrid w:val="0"/>
        <w:spacing w:beforeLines="50" w:line="360" w:lineRule="auto"/>
        <w:rPr>
          <w:rFonts w:hint="eastAsia" w:ascii="宋体" w:hAnsi="宋体"/>
          <w:b/>
          <w:color w:val="auto"/>
          <w:szCs w:val="21"/>
        </w:rPr>
      </w:pPr>
    </w:p>
    <w:p w14:paraId="6D2612BA">
      <w:pPr>
        <w:adjustRightInd w:val="0"/>
        <w:snapToGrid w:val="0"/>
        <w:spacing w:beforeLines="50" w:line="360" w:lineRule="auto"/>
        <w:rPr>
          <w:rFonts w:hint="eastAsia" w:ascii="宋体" w:hAnsi="宋体"/>
          <w:b/>
          <w:color w:val="auto"/>
          <w:szCs w:val="21"/>
        </w:rPr>
      </w:pPr>
    </w:p>
    <w:p w14:paraId="712B8C14">
      <w:pPr>
        <w:adjustRightInd w:val="0"/>
        <w:snapToGrid w:val="0"/>
        <w:spacing w:beforeLines="50" w:line="360" w:lineRule="auto"/>
        <w:rPr>
          <w:rFonts w:hint="eastAsia" w:ascii="宋体" w:hAnsi="宋体"/>
          <w:b/>
          <w:color w:val="auto"/>
          <w:szCs w:val="21"/>
        </w:rPr>
      </w:pPr>
    </w:p>
    <w:p w14:paraId="38273436">
      <w:pPr>
        <w:widowControl/>
        <w:adjustRightInd w:val="0"/>
        <w:snapToGrid w:val="0"/>
        <w:spacing w:line="360" w:lineRule="auto"/>
        <w:jc w:val="left"/>
        <w:rPr>
          <w:rFonts w:hint="eastAsia" w:ascii="黑体" w:hAnsi="仿宋" w:eastAsia="黑体" w:cs="宋体"/>
          <w:b/>
          <w:color w:val="auto"/>
          <w:sz w:val="24"/>
          <w:szCs w:val="24"/>
        </w:rPr>
      </w:pP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lang w:val="en-US" w:eastAsia="zh-CN"/>
        </w:rPr>
        <w:t>2</w:t>
      </w:r>
      <w:r>
        <w:rPr>
          <w:rFonts w:hint="eastAsia" w:ascii="宋体" w:hAnsi="宋体" w:eastAsia="宋体" w:cs="宋体"/>
          <w:b/>
          <w:bCs w:val="0"/>
          <w:color w:val="auto"/>
          <w:sz w:val="24"/>
          <w:szCs w:val="24"/>
        </w:rPr>
        <w:t>）湖南省政府采购供应商资格承诺函(格式)</w:t>
      </w:r>
    </w:p>
    <w:p w14:paraId="255A5AED">
      <w:pPr>
        <w:bidi w:val="0"/>
        <w:rPr>
          <w:rFonts w:hint="eastAsia"/>
          <w:lang w:eastAsia="zh-CN"/>
        </w:rPr>
      </w:pPr>
    </w:p>
    <w:p w14:paraId="4B4E20CA">
      <w:pPr>
        <w:widowControl/>
        <w:adjustRightInd w:val="0"/>
        <w:snapToGrid w:val="0"/>
        <w:spacing w:before="156" w:beforeLines="50" w:line="360" w:lineRule="auto"/>
        <w:jc w:val="center"/>
        <w:rPr>
          <w:rFonts w:cs="宋体" w:asciiTheme="minorEastAsia" w:hAnsiTheme="minorEastAsia" w:eastAsiaTheme="minorEastAsia"/>
          <w:color w:val="auto"/>
          <w:szCs w:val="21"/>
        </w:rPr>
      </w:pPr>
      <w:r>
        <w:rPr>
          <w:rFonts w:hint="eastAsia" w:ascii="黑体" w:hAnsi="仿宋" w:eastAsia="黑体" w:cs="宋体"/>
          <w:b/>
          <w:color w:val="auto"/>
          <w:sz w:val="28"/>
          <w:szCs w:val="28"/>
          <w:lang w:eastAsia="zh-CN"/>
        </w:rPr>
        <w:t>湖南省政府采购供应商资格承诺函</w:t>
      </w:r>
      <w:r>
        <w:rPr>
          <w:rFonts w:hint="eastAsia" w:ascii="黑体" w:hAnsi="仿宋" w:eastAsia="黑体" w:cs="宋体"/>
          <w:b/>
          <w:color w:val="auto"/>
          <w:sz w:val="28"/>
          <w:szCs w:val="28"/>
        </w:rPr>
        <w:t>(格式)</w:t>
      </w:r>
    </w:p>
    <w:p w14:paraId="56804FB4">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32F35938">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按照《政府采购促进中小企业发展管理办法》(财库〔2020〕46号),本公司企业规模为: 大型口中型口小型□微型□。</w:t>
      </w:r>
    </w:p>
    <w:p w14:paraId="325A8F96">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□本公司自愿入驻湖南省政府采购电子卖场,遵守《湖南省政府采购电子卖场管理办法》(湘财购〔2019〕27号),如违反承诺,同意金融机构将增信保证划缴国库(非电子卖场采购活动项目不需勾选)。</w:t>
      </w:r>
    </w:p>
    <w:p w14:paraId="54C8ECA4">
      <w:pPr>
        <w:widowControl/>
        <w:spacing w:before="156" w:beforeLines="50" w:line="360" w:lineRule="auto"/>
        <w:ind w:firstLine="420" w:firstLineChars="200"/>
        <w:jc w:val="left"/>
        <w:rPr>
          <w:rFonts w:ascii="宋体" w:hAnsi="宋体" w:cs="宋体"/>
          <w:szCs w:val="21"/>
        </w:rPr>
      </w:pPr>
    </w:p>
    <w:p w14:paraId="2CA979C8">
      <w:pPr>
        <w:widowControl/>
        <w:spacing w:before="156" w:beforeLines="50" w:line="360" w:lineRule="auto"/>
        <w:ind w:firstLine="5040" w:firstLineChars="2400"/>
        <w:jc w:val="left"/>
        <w:rPr>
          <w:rFonts w:ascii="宋体" w:hAnsi="宋体" w:cs="宋体"/>
          <w:szCs w:val="21"/>
        </w:rPr>
      </w:pPr>
      <w:r>
        <w:rPr>
          <w:rFonts w:hint="eastAsia" w:ascii="宋体" w:hAnsi="宋体" w:cs="宋体"/>
          <w:szCs w:val="21"/>
        </w:rPr>
        <w:t>公司(单位)名称(盖章)：</w:t>
      </w:r>
    </w:p>
    <w:p w14:paraId="7AC94150">
      <w:pPr>
        <w:widowControl/>
        <w:spacing w:before="156" w:beforeLines="50" w:line="360" w:lineRule="auto"/>
        <w:ind w:firstLine="4830" w:firstLineChars="2300"/>
        <w:jc w:val="left"/>
        <w:rPr>
          <w:rFonts w:hint="default" w:ascii="宋体" w:hAnsi="宋体" w:eastAsia="宋体" w:cs="宋体"/>
          <w:szCs w:val="21"/>
          <w:lang w:val="en-US" w:eastAsia="zh-CN"/>
        </w:rPr>
      </w:pP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1375517">
      <w:pPr>
        <w:widowControl/>
        <w:spacing w:before="156" w:beforeLines="50" w:line="360" w:lineRule="auto"/>
        <w:ind w:firstLine="420" w:firstLineChars="200"/>
        <w:jc w:val="left"/>
        <w:rPr>
          <w:rFonts w:hint="eastAsia" w:ascii="宋体" w:hAnsi="宋体" w:cs="宋体"/>
          <w:szCs w:val="21"/>
        </w:rPr>
      </w:pPr>
    </w:p>
    <w:p w14:paraId="367E826D">
      <w:pPr>
        <w:widowControl/>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机构代码、注册登记机构、日期、有效期、注册资本、地 址、经济行业、经济性质</w:t>
      </w:r>
    </w:p>
    <w:p w14:paraId="5AB2DA44">
      <w:pPr>
        <w:widowControl/>
        <w:spacing w:before="156" w:beforeLines="50" w:line="360" w:lineRule="auto"/>
        <w:ind w:firstLine="420" w:firstLineChars="200"/>
        <w:jc w:val="left"/>
        <w:rPr>
          <w:rFonts w:hint="eastAsia" w:ascii="宋体" w:hAnsi="宋体" w:cs="宋体"/>
          <w:szCs w:val="21"/>
        </w:rPr>
      </w:pPr>
    </w:p>
    <w:p w14:paraId="5D7FE5CE">
      <w:pPr>
        <w:widowControl/>
        <w:spacing w:before="156" w:beforeLines="50" w:line="360" w:lineRule="auto"/>
        <w:ind w:firstLine="420" w:firstLineChars="200"/>
        <w:jc w:val="left"/>
        <w:rPr>
          <w:rFonts w:hint="eastAsia" w:ascii="宋体" w:hAnsi="宋体" w:cs="宋体"/>
          <w:szCs w:val="21"/>
        </w:rPr>
      </w:pPr>
    </w:p>
    <w:p w14:paraId="0E567102">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法定代表人(负责人)姓名(签字)、身份证号、手机号:</w:t>
      </w:r>
    </w:p>
    <w:p w14:paraId="6DABF712">
      <w:pPr>
        <w:adjustRightInd w:val="0"/>
        <w:snapToGrid w:val="0"/>
        <w:spacing w:beforeLines="50" w:line="360" w:lineRule="auto"/>
        <w:ind w:firstLine="420" w:firstLineChars="200"/>
        <w:rPr>
          <w:rFonts w:ascii="宋体" w:hAnsi="宋体"/>
          <w:bCs/>
          <w:color w:val="auto"/>
          <w:szCs w:val="21"/>
        </w:rPr>
      </w:pPr>
      <w:r>
        <w:rPr>
          <w:rFonts w:hint="eastAsia" w:ascii="宋体" w:hAnsi="宋体" w:cs="宋体"/>
          <w:szCs w:val="21"/>
        </w:rPr>
        <w:t>授权代表人姓名(签字)、身份证号、手机号:</w:t>
      </w:r>
    </w:p>
    <w:p w14:paraId="7593667A">
      <w:pPr>
        <w:rPr>
          <w:color w:val="auto"/>
        </w:rPr>
      </w:pPr>
    </w:p>
    <w:p w14:paraId="1F6A71CC">
      <w:pPr>
        <w:adjustRightInd w:val="0"/>
        <w:snapToGrid w:val="0"/>
        <w:spacing w:beforeLines="50" w:line="360" w:lineRule="auto"/>
        <w:jc w:val="center"/>
        <w:rPr>
          <w:rFonts w:ascii="宋体" w:hAnsi="宋体"/>
          <w:b/>
          <w:color w:val="auto"/>
          <w:szCs w:val="21"/>
        </w:rPr>
      </w:pPr>
    </w:p>
    <w:p w14:paraId="2801E3A9">
      <w:pPr>
        <w:adjustRightInd w:val="0"/>
        <w:snapToGrid w:val="0"/>
        <w:spacing w:beforeLines="50" w:line="360" w:lineRule="auto"/>
        <w:jc w:val="center"/>
        <w:rPr>
          <w:rFonts w:ascii="宋体" w:hAnsi="宋体"/>
          <w:b/>
          <w:color w:val="auto"/>
          <w:szCs w:val="21"/>
        </w:rPr>
      </w:pPr>
    </w:p>
    <w:p w14:paraId="0AA019BC">
      <w:pPr>
        <w:adjustRightInd w:val="0"/>
        <w:snapToGrid w:val="0"/>
        <w:spacing w:beforeLines="50" w:line="360" w:lineRule="auto"/>
        <w:jc w:val="center"/>
        <w:rPr>
          <w:rFonts w:ascii="宋体" w:hAnsi="宋体"/>
          <w:b/>
          <w:color w:val="auto"/>
          <w:szCs w:val="21"/>
        </w:rPr>
      </w:pPr>
    </w:p>
    <w:p w14:paraId="4D0DE174">
      <w:pPr>
        <w:adjustRightInd w:val="0"/>
        <w:snapToGrid w:val="0"/>
        <w:spacing w:beforeLines="50" w:line="360" w:lineRule="auto"/>
        <w:jc w:val="center"/>
        <w:rPr>
          <w:rFonts w:ascii="宋体" w:hAnsi="宋体"/>
          <w:b/>
          <w:color w:val="auto"/>
          <w:szCs w:val="21"/>
        </w:rPr>
      </w:pPr>
      <w:r>
        <w:rPr>
          <w:rFonts w:hint="eastAsia" w:ascii="宋体" w:hAnsi="宋体"/>
          <w:b/>
          <w:color w:val="auto"/>
          <w:szCs w:val="21"/>
        </w:rPr>
        <w:t xml:space="preserve"> </w:t>
      </w:r>
    </w:p>
    <w:p w14:paraId="69843287">
      <w:pPr>
        <w:adjustRightInd w:val="0"/>
        <w:snapToGrid w:val="0"/>
        <w:spacing w:beforeLines="50" w:line="360" w:lineRule="auto"/>
        <w:jc w:val="center"/>
        <w:outlineLvl w:val="2"/>
        <w:rPr>
          <w:rFonts w:ascii="宋体" w:hAnsi="宋体"/>
          <w:b/>
          <w:color w:val="auto"/>
          <w:szCs w:val="21"/>
        </w:rPr>
      </w:pPr>
      <w:r>
        <w:rPr>
          <w:rFonts w:hint="eastAsia" w:ascii="宋体" w:hAnsi="宋体"/>
          <w:b/>
          <w:color w:val="auto"/>
          <w:szCs w:val="21"/>
        </w:rPr>
        <w:br w:type="page"/>
      </w:r>
      <w:bookmarkStart w:id="32" w:name="_Toc29175"/>
      <w:bookmarkStart w:id="33" w:name="_Toc32304"/>
      <w:bookmarkStart w:id="34" w:name="_Toc25103"/>
      <w:bookmarkStart w:id="35" w:name="_Toc31319"/>
      <w:r>
        <w:rPr>
          <w:rFonts w:hint="eastAsia" w:ascii="黑体" w:hAnsi="仿宋" w:eastAsia="黑体" w:cs="宋体"/>
          <w:b/>
          <w:color w:val="auto"/>
          <w:sz w:val="28"/>
          <w:szCs w:val="28"/>
          <w:lang w:eastAsia="zh-CN"/>
        </w:rPr>
        <w:t>(</w:t>
      </w:r>
      <w:r>
        <w:rPr>
          <w:rFonts w:hint="eastAsia" w:ascii="黑体" w:hAnsi="仿宋" w:eastAsia="黑体" w:cs="宋体"/>
          <w:b/>
          <w:color w:val="auto"/>
          <w:sz w:val="28"/>
          <w:szCs w:val="28"/>
          <w:lang w:val="en-US" w:eastAsia="zh-CN"/>
        </w:rPr>
        <w:t>3</w:t>
      </w:r>
      <w:r>
        <w:rPr>
          <w:rFonts w:hint="eastAsia" w:ascii="黑体" w:hAnsi="仿宋" w:eastAsia="黑体" w:cs="宋体"/>
          <w:b/>
          <w:color w:val="auto"/>
          <w:sz w:val="28"/>
          <w:szCs w:val="28"/>
          <w:lang w:eastAsia="zh-CN"/>
        </w:rPr>
        <w:t>)</w:t>
      </w:r>
      <w:bookmarkEnd w:id="32"/>
      <w:bookmarkEnd w:id="33"/>
      <w:bookmarkEnd w:id="34"/>
      <w:r>
        <w:rPr>
          <w:rFonts w:hint="eastAsia" w:ascii="黑体" w:hAnsi="仿宋" w:eastAsia="黑体" w:cs="宋体"/>
          <w:b/>
          <w:color w:val="auto"/>
          <w:sz w:val="28"/>
          <w:szCs w:val="28"/>
          <w:lang w:eastAsia="zh-CN"/>
        </w:rPr>
        <w:t>符合特定资格条件证明材料或者情况说明</w:t>
      </w:r>
      <w:bookmarkEnd w:id="35"/>
    </w:p>
    <w:p w14:paraId="3B51567B">
      <w:pPr>
        <w:bidi w:val="0"/>
      </w:pPr>
    </w:p>
    <w:p w14:paraId="41A1158F">
      <w:pPr>
        <w:bidi w:val="0"/>
      </w:pPr>
    </w:p>
    <w:p w14:paraId="192092C1">
      <w:pPr>
        <w:bidi w:val="0"/>
        <w:jc w:val="center"/>
        <w:rPr>
          <w:rFonts w:hint="eastAsia" w:eastAsia="宋体"/>
          <w:lang w:eastAsia="zh-CN"/>
        </w:rPr>
      </w:pPr>
      <w:r>
        <w:rPr>
          <w:rFonts w:hint="eastAsia"/>
          <w:lang w:eastAsia="zh-CN"/>
        </w:rPr>
        <w:t>注：提供相关证明材料或者承诺函或者情况说明。</w:t>
      </w:r>
    </w:p>
    <w:p w14:paraId="0E5E8D66">
      <w:pPr>
        <w:bidi w:val="0"/>
      </w:pPr>
    </w:p>
    <w:p w14:paraId="295E7C88">
      <w:pPr>
        <w:bidi w:val="0"/>
      </w:pPr>
    </w:p>
    <w:p w14:paraId="6D20C6AC">
      <w:pPr>
        <w:bidi w:val="0"/>
      </w:pPr>
    </w:p>
    <w:p w14:paraId="3242809A">
      <w:pPr>
        <w:bidi w:val="0"/>
        <w:outlineLvl w:val="9"/>
        <w:rPr>
          <w:rFonts w:hint="eastAsia"/>
          <w:color w:val="auto"/>
        </w:rPr>
      </w:pPr>
    </w:p>
    <w:p w14:paraId="7DCBC490">
      <w:pPr>
        <w:bidi w:val="0"/>
        <w:outlineLvl w:val="9"/>
        <w:rPr>
          <w:rFonts w:hint="eastAsia"/>
          <w:color w:val="auto"/>
        </w:rPr>
      </w:pPr>
    </w:p>
    <w:p w14:paraId="21B548D0">
      <w:pPr>
        <w:bidi w:val="0"/>
        <w:outlineLvl w:val="9"/>
        <w:rPr>
          <w:rFonts w:hint="eastAsia"/>
          <w:color w:val="auto"/>
        </w:rPr>
      </w:pPr>
    </w:p>
    <w:p w14:paraId="65944022">
      <w:pPr>
        <w:bidi w:val="0"/>
        <w:outlineLvl w:val="9"/>
        <w:rPr>
          <w:rFonts w:hint="eastAsia"/>
          <w:color w:val="auto"/>
        </w:rPr>
      </w:pPr>
    </w:p>
    <w:p w14:paraId="38222A56">
      <w:pPr>
        <w:bidi w:val="0"/>
        <w:outlineLvl w:val="9"/>
        <w:rPr>
          <w:rFonts w:hint="eastAsia"/>
          <w:color w:val="auto"/>
        </w:rPr>
      </w:pPr>
    </w:p>
    <w:p w14:paraId="6E1278B9">
      <w:pPr>
        <w:bidi w:val="0"/>
        <w:outlineLvl w:val="9"/>
        <w:rPr>
          <w:rFonts w:hint="eastAsia"/>
          <w:color w:val="auto"/>
        </w:rPr>
      </w:pPr>
    </w:p>
    <w:p w14:paraId="724F696A">
      <w:pPr>
        <w:bidi w:val="0"/>
        <w:outlineLvl w:val="9"/>
        <w:rPr>
          <w:rFonts w:hint="eastAsia"/>
          <w:color w:val="auto"/>
        </w:rPr>
      </w:pPr>
    </w:p>
    <w:p w14:paraId="0741305C">
      <w:pPr>
        <w:bidi w:val="0"/>
        <w:outlineLvl w:val="9"/>
        <w:rPr>
          <w:rFonts w:hint="eastAsia"/>
          <w:color w:val="auto"/>
        </w:rPr>
      </w:pPr>
    </w:p>
    <w:p w14:paraId="7C978D67">
      <w:pPr>
        <w:widowControl/>
        <w:adjustRightInd w:val="0"/>
        <w:snapToGrid w:val="0"/>
        <w:spacing w:line="360" w:lineRule="auto"/>
        <w:outlineLvl w:val="9"/>
        <w:rPr>
          <w:rFonts w:ascii="宋体" w:hAnsi="宋体"/>
          <w:color w:val="auto"/>
          <w:szCs w:val="21"/>
        </w:rPr>
      </w:pPr>
    </w:p>
    <w:p w14:paraId="16EA69DF">
      <w:pPr>
        <w:adjustRightInd w:val="0"/>
        <w:snapToGrid w:val="0"/>
        <w:spacing w:beforeLines="50" w:line="360" w:lineRule="auto"/>
        <w:jc w:val="center"/>
        <w:outlineLvl w:val="9"/>
        <w:rPr>
          <w:rFonts w:ascii="宋体" w:hAnsi="宋体"/>
          <w:b/>
          <w:color w:val="auto"/>
          <w:sz w:val="32"/>
          <w:szCs w:val="32"/>
        </w:rPr>
      </w:pPr>
    </w:p>
    <w:p w14:paraId="01BA9537">
      <w:pPr>
        <w:rPr>
          <w:color w:val="auto"/>
        </w:rPr>
      </w:pPr>
      <w:r>
        <w:rPr>
          <w:color w:val="auto"/>
        </w:rPr>
        <w:br w:type="page"/>
      </w:r>
    </w:p>
    <w:p w14:paraId="57DEDD27">
      <w:pPr>
        <w:adjustRightInd w:val="0"/>
        <w:snapToGrid w:val="0"/>
        <w:spacing w:beforeLines="50" w:line="360" w:lineRule="auto"/>
        <w:jc w:val="center"/>
        <w:outlineLvl w:val="1"/>
        <w:rPr>
          <w:rFonts w:ascii="宋体" w:hAnsi="宋体"/>
          <w:b/>
          <w:color w:val="auto"/>
          <w:sz w:val="32"/>
          <w:szCs w:val="32"/>
        </w:rPr>
      </w:pPr>
      <w:bookmarkStart w:id="36" w:name="_Toc7574"/>
      <w:bookmarkStart w:id="37" w:name="_Toc6088"/>
      <w:r>
        <w:rPr>
          <w:rFonts w:hint="eastAsia" w:ascii="宋体" w:hAnsi="宋体"/>
          <w:b/>
          <w:color w:val="auto"/>
          <w:sz w:val="32"/>
          <w:szCs w:val="32"/>
        </w:rPr>
        <w:t>四、商务</w:t>
      </w:r>
      <w:r>
        <w:rPr>
          <w:rFonts w:hint="eastAsia" w:ascii="宋体" w:hAnsi="宋体"/>
          <w:b/>
          <w:color w:val="auto"/>
          <w:sz w:val="32"/>
          <w:szCs w:val="32"/>
          <w:lang w:eastAsia="zh-CN"/>
        </w:rPr>
        <w:t>技术</w:t>
      </w:r>
      <w:r>
        <w:rPr>
          <w:rFonts w:hint="eastAsia" w:ascii="宋体" w:hAnsi="宋体"/>
          <w:b/>
          <w:color w:val="auto"/>
          <w:sz w:val="32"/>
          <w:szCs w:val="32"/>
        </w:rPr>
        <w:t>响应</w:t>
      </w:r>
      <w:r>
        <w:rPr>
          <w:rFonts w:hint="eastAsia" w:ascii="宋体" w:hAnsi="宋体"/>
          <w:b/>
          <w:color w:val="auto"/>
          <w:sz w:val="32"/>
          <w:szCs w:val="32"/>
          <w:lang w:eastAsia="zh-CN"/>
        </w:rPr>
        <w:t>与</w:t>
      </w:r>
      <w:r>
        <w:rPr>
          <w:rFonts w:hint="eastAsia" w:ascii="宋体" w:hAnsi="宋体"/>
          <w:b/>
          <w:color w:val="auto"/>
          <w:sz w:val="32"/>
          <w:szCs w:val="32"/>
        </w:rPr>
        <w:t>偏离表</w:t>
      </w:r>
      <w:bookmarkEnd w:id="36"/>
      <w:bookmarkEnd w:id="37"/>
    </w:p>
    <w:p w14:paraId="6C3AA58B">
      <w:pPr>
        <w:bidi w:val="0"/>
      </w:pPr>
    </w:p>
    <w:p w14:paraId="4BBF8853">
      <w:pPr>
        <w:spacing w:line="360" w:lineRule="exact"/>
        <w:jc w:val="center"/>
        <w:outlineLvl w:val="9"/>
        <w:rPr>
          <w:rFonts w:ascii="宋体" w:hAnsi="宋体"/>
          <w:b/>
          <w:color w:val="auto"/>
          <w:sz w:val="32"/>
          <w:szCs w:val="32"/>
        </w:rPr>
      </w:pPr>
    </w:p>
    <w:p w14:paraId="03424A70">
      <w:pPr>
        <w:adjustRightInd w:val="0"/>
        <w:snapToGrid w:val="0"/>
        <w:ind w:left="-88" w:leftChars="-42" w:firstLine="315" w:firstLineChars="150"/>
        <w:outlineLvl w:val="9"/>
        <w:rPr>
          <w:rFonts w:ascii="宋体" w:hAnsi="宋体"/>
          <w:bCs/>
          <w:color w:val="auto"/>
          <w:szCs w:val="21"/>
        </w:rPr>
      </w:pPr>
      <w:r>
        <w:rPr>
          <w:rFonts w:hint="eastAsia" w:ascii="宋体" w:hAnsi="宋体"/>
          <w:color w:val="auto"/>
          <w:szCs w:val="21"/>
          <w:lang w:eastAsia="zh-CN"/>
        </w:rPr>
        <w:t>采购计划编号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color w:val="auto"/>
          <w:szCs w:val="21"/>
          <w:lang w:val="en-US" w:eastAsia="zh-CN"/>
        </w:rPr>
        <w:t xml:space="preserve">            </w:t>
      </w:r>
      <w:r>
        <w:rPr>
          <w:rFonts w:hint="eastAsia" w:ascii="宋体" w:hAnsi="宋体"/>
          <w:color w:val="auto"/>
          <w:szCs w:val="21"/>
        </w:rPr>
        <w:t xml:space="preserve">            </w:t>
      </w:r>
    </w:p>
    <w:tbl>
      <w:tblPr>
        <w:tblStyle w:val="50"/>
        <w:tblW w:w="950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517"/>
        <w:gridCol w:w="1119"/>
      </w:tblGrid>
      <w:tr w14:paraId="5F8A33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tcBorders>
              <w:top w:val="double" w:color="auto" w:sz="4" w:space="0"/>
              <w:left w:val="double" w:color="auto" w:sz="4" w:space="0"/>
              <w:bottom w:val="single" w:color="auto" w:sz="6" w:space="0"/>
              <w:right w:val="single" w:color="auto" w:sz="6" w:space="0"/>
            </w:tcBorders>
            <w:vAlign w:val="center"/>
          </w:tcPr>
          <w:p w14:paraId="11DCDEF6">
            <w:pPr>
              <w:adjustRightInd w:val="0"/>
              <w:snapToGrid w:val="0"/>
              <w:ind w:left="-88" w:leftChars="-42"/>
              <w:jc w:val="center"/>
              <w:outlineLvl w:val="9"/>
              <w:rPr>
                <w:rFonts w:ascii="宋体" w:hAnsi="宋体"/>
                <w:bCs/>
                <w:color w:val="auto"/>
                <w:szCs w:val="21"/>
              </w:rPr>
            </w:pPr>
            <w:r>
              <w:rPr>
                <w:rFonts w:hint="eastAsia" w:ascii="宋体" w:hAnsi="宋体"/>
                <w:bCs/>
                <w:color w:val="auto"/>
                <w:szCs w:val="21"/>
              </w:rPr>
              <w:t>序号</w:t>
            </w:r>
          </w:p>
        </w:tc>
        <w:tc>
          <w:tcPr>
            <w:tcW w:w="1685" w:type="dxa"/>
            <w:tcBorders>
              <w:top w:val="double" w:color="auto" w:sz="4" w:space="0"/>
              <w:left w:val="single" w:color="auto" w:sz="6" w:space="0"/>
              <w:bottom w:val="single" w:color="auto" w:sz="6" w:space="0"/>
              <w:right w:val="single" w:color="auto" w:sz="6" w:space="0"/>
            </w:tcBorders>
            <w:vAlign w:val="center"/>
          </w:tcPr>
          <w:p w14:paraId="425E92C9">
            <w:pPr>
              <w:adjustRightInd w:val="0"/>
              <w:snapToGrid w:val="0"/>
              <w:ind w:left="-88" w:leftChars="-42"/>
              <w:jc w:val="center"/>
              <w:outlineLvl w:val="9"/>
              <w:rPr>
                <w:rFonts w:ascii="宋体" w:hAnsi="宋体"/>
                <w:color w:val="auto"/>
                <w:szCs w:val="21"/>
              </w:rPr>
            </w:pPr>
            <w:r>
              <w:rPr>
                <w:rFonts w:hint="eastAsia" w:ascii="宋体" w:hAnsi="宋体"/>
                <w:color w:val="auto"/>
                <w:szCs w:val="21"/>
              </w:rPr>
              <w:t>磋商文件条目号</w:t>
            </w:r>
          </w:p>
        </w:tc>
        <w:tc>
          <w:tcPr>
            <w:tcW w:w="1948" w:type="dxa"/>
            <w:tcBorders>
              <w:top w:val="double" w:color="auto" w:sz="4" w:space="0"/>
              <w:left w:val="single" w:color="auto" w:sz="6" w:space="0"/>
              <w:bottom w:val="single" w:color="auto" w:sz="6" w:space="0"/>
              <w:right w:val="single" w:color="auto" w:sz="6" w:space="0"/>
            </w:tcBorders>
            <w:vAlign w:val="center"/>
          </w:tcPr>
          <w:p w14:paraId="6DC9AA0A">
            <w:pPr>
              <w:adjustRightInd w:val="0"/>
              <w:snapToGrid w:val="0"/>
              <w:ind w:left="-88" w:leftChars="-42"/>
              <w:jc w:val="center"/>
              <w:outlineLvl w:val="9"/>
              <w:rPr>
                <w:rFonts w:ascii="宋体" w:hAnsi="宋体"/>
                <w:color w:val="auto"/>
                <w:szCs w:val="21"/>
              </w:rPr>
            </w:pPr>
            <w:r>
              <w:rPr>
                <w:rFonts w:hint="eastAsia" w:ascii="宋体" w:hAnsi="宋体"/>
                <w:color w:val="auto"/>
                <w:szCs w:val="21"/>
                <w:lang w:eastAsia="zh-CN"/>
              </w:rPr>
              <w:t>磋商文件的</w:t>
            </w:r>
            <w:r>
              <w:rPr>
                <w:rFonts w:hint="eastAsia" w:ascii="宋体" w:hAnsi="宋体"/>
                <w:color w:val="auto"/>
                <w:szCs w:val="21"/>
              </w:rPr>
              <w:t>条款</w:t>
            </w:r>
          </w:p>
        </w:tc>
        <w:tc>
          <w:tcPr>
            <w:tcW w:w="2600" w:type="dxa"/>
            <w:tcBorders>
              <w:top w:val="double" w:color="auto" w:sz="4" w:space="0"/>
              <w:left w:val="single" w:color="auto" w:sz="6" w:space="0"/>
              <w:bottom w:val="single" w:color="auto" w:sz="6" w:space="0"/>
              <w:right w:val="single" w:color="auto" w:sz="6" w:space="0"/>
            </w:tcBorders>
            <w:vAlign w:val="center"/>
          </w:tcPr>
          <w:p w14:paraId="50F0D7B5">
            <w:pPr>
              <w:adjustRightInd w:val="0"/>
              <w:snapToGrid w:val="0"/>
              <w:ind w:left="-88" w:leftChars="-42"/>
              <w:jc w:val="center"/>
              <w:outlineLvl w:val="9"/>
              <w:rPr>
                <w:rFonts w:ascii="宋体" w:hAnsi="宋体"/>
                <w:color w:val="auto"/>
                <w:szCs w:val="21"/>
              </w:rPr>
            </w:pPr>
            <w:r>
              <w:rPr>
                <w:rFonts w:hint="eastAsia" w:ascii="宋体" w:hAnsi="宋体"/>
                <w:color w:val="auto"/>
                <w:szCs w:val="21"/>
              </w:rPr>
              <w:t>响应文件的条款</w:t>
            </w:r>
          </w:p>
        </w:tc>
        <w:tc>
          <w:tcPr>
            <w:tcW w:w="1517" w:type="dxa"/>
            <w:tcBorders>
              <w:top w:val="double" w:color="auto" w:sz="4" w:space="0"/>
              <w:left w:val="single" w:color="auto" w:sz="6" w:space="0"/>
              <w:bottom w:val="single" w:color="auto" w:sz="6" w:space="0"/>
              <w:right w:val="single" w:color="auto" w:sz="6" w:space="0"/>
            </w:tcBorders>
            <w:vAlign w:val="center"/>
          </w:tcPr>
          <w:p w14:paraId="6017C775">
            <w:pPr>
              <w:adjustRightInd w:val="0"/>
              <w:snapToGrid w:val="0"/>
              <w:ind w:left="-88" w:leftChars="-42"/>
              <w:jc w:val="center"/>
              <w:outlineLvl w:val="9"/>
              <w:rPr>
                <w:rFonts w:ascii="宋体" w:hAnsi="宋体"/>
                <w:color w:val="auto"/>
                <w:szCs w:val="21"/>
              </w:rPr>
            </w:pPr>
            <w:r>
              <w:rPr>
                <w:rFonts w:hint="eastAsia" w:ascii="宋体" w:hAnsi="宋体"/>
                <w:color w:val="auto"/>
                <w:szCs w:val="21"/>
              </w:rPr>
              <w:t>响应与偏离</w:t>
            </w:r>
          </w:p>
        </w:tc>
        <w:tc>
          <w:tcPr>
            <w:tcW w:w="1119" w:type="dxa"/>
            <w:tcBorders>
              <w:top w:val="double" w:color="auto" w:sz="4" w:space="0"/>
              <w:left w:val="single" w:color="auto" w:sz="6" w:space="0"/>
              <w:bottom w:val="single" w:color="auto" w:sz="6" w:space="0"/>
              <w:right w:val="double" w:color="auto" w:sz="4" w:space="0"/>
            </w:tcBorders>
            <w:vAlign w:val="center"/>
          </w:tcPr>
          <w:p w14:paraId="44EA0B7E">
            <w:pPr>
              <w:adjustRightInd w:val="0"/>
              <w:snapToGrid w:val="0"/>
              <w:ind w:left="-88" w:leftChars="-42"/>
              <w:jc w:val="center"/>
              <w:outlineLvl w:val="9"/>
              <w:rPr>
                <w:rFonts w:ascii="宋体" w:hAnsi="宋体"/>
                <w:color w:val="auto"/>
                <w:szCs w:val="21"/>
              </w:rPr>
            </w:pPr>
            <w:r>
              <w:rPr>
                <w:rFonts w:hint="eastAsia" w:ascii="宋体" w:hAnsi="宋体"/>
                <w:color w:val="auto"/>
                <w:szCs w:val="21"/>
              </w:rPr>
              <w:t>说明</w:t>
            </w:r>
          </w:p>
        </w:tc>
      </w:tr>
      <w:tr w14:paraId="614DD6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0CAF3EC1">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6E99FF3F">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08C331E9">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0C98FEB5">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562220B7">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10AD29DF">
            <w:pPr>
              <w:adjustRightInd w:val="0"/>
              <w:snapToGrid w:val="0"/>
              <w:ind w:left="-88" w:leftChars="-42"/>
              <w:jc w:val="center"/>
              <w:outlineLvl w:val="9"/>
              <w:rPr>
                <w:rFonts w:ascii="宋体" w:hAnsi="宋体"/>
                <w:color w:val="auto"/>
                <w:szCs w:val="21"/>
              </w:rPr>
            </w:pPr>
          </w:p>
        </w:tc>
      </w:tr>
      <w:tr w14:paraId="05A56B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738BFB8A">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24CC9D51">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4B059199">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54EC7767">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3D3972BF">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796D5BB2">
            <w:pPr>
              <w:adjustRightInd w:val="0"/>
              <w:snapToGrid w:val="0"/>
              <w:ind w:left="-88" w:leftChars="-42"/>
              <w:jc w:val="center"/>
              <w:outlineLvl w:val="9"/>
              <w:rPr>
                <w:rFonts w:ascii="宋体" w:hAnsi="宋体"/>
                <w:color w:val="auto"/>
                <w:szCs w:val="21"/>
              </w:rPr>
            </w:pPr>
          </w:p>
        </w:tc>
      </w:tr>
      <w:tr w14:paraId="01D94B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15BD8EB9">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3B108A68">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39A78A78">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69E60904">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27AD11D1">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4078CAA1">
            <w:pPr>
              <w:adjustRightInd w:val="0"/>
              <w:snapToGrid w:val="0"/>
              <w:ind w:left="-88" w:leftChars="-42"/>
              <w:jc w:val="center"/>
              <w:outlineLvl w:val="9"/>
              <w:rPr>
                <w:rFonts w:ascii="宋体" w:hAnsi="宋体"/>
                <w:color w:val="auto"/>
                <w:szCs w:val="21"/>
              </w:rPr>
            </w:pPr>
          </w:p>
        </w:tc>
      </w:tr>
      <w:tr w14:paraId="4C97C7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6CB401F9">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1F600950">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34026D28">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4288B3C6">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0A657CAF">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0FC961AC">
            <w:pPr>
              <w:adjustRightInd w:val="0"/>
              <w:snapToGrid w:val="0"/>
              <w:ind w:left="-88" w:leftChars="-42"/>
              <w:jc w:val="center"/>
              <w:outlineLvl w:val="9"/>
              <w:rPr>
                <w:rFonts w:ascii="宋体" w:hAnsi="宋体"/>
                <w:color w:val="auto"/>
                <w:szCs w:val="21"/>
              </w:rPr>
            </w:pPr>
          </w:p>
        </w:tc>
      </w:tr>
      <w:tr w14:paraId="13EA90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double" w:color="auto" w:sz="4" w:space="0"/>
              <w:right w:val="single" w:color="auto" w:sz="6" w:space="0"/>
            </w:tcBorders>
          </w:tcPr>
          <w:p w14:paraId="0E364DFA">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double" w:color="auto" w:sz="4" w:space="0"/>
              <w:right w:val="single" w:color="auto" w:sz="6" w:space="0"/>
            </w:tcBorders>
            <w:vAlign w:val="center"/>
          </w:tcPr>
          <w:p w14:paraId="7BABF3AA">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double" w:color="auto" w:sz="4" w:space="0"/>
              <w:right w:val="single" w:color="auto" w:sz="6" w:space="0"/>
            </w:tcBorders>
            <w:vAlign w:val="center"/>
          </w:tcPr>
          <w:p w14:paraId="6111E60F">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double" w:color="auto" w:sz="4" w:space="0"/>
              <w:right w:val="single" w:color="auto" w:sz="6" w:space="0"/>
            </w:tcBorders>
            <w:vAlign w:val="center"/>
          </w:tcPr>
          <w:p w14:paraId="618E6C6F">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double" w:color="auto" w:sz="4" w:space="0"/>
              <w:right w:val="single" w:color="auto" w:sz="6" w:space="0"/>
            </w:tcBorders>
            <w:vAlign w:val="center"/>
          </w:tcPr>
          <w:p w14:paraId="48FFC9D2">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double" w:color="auto" w:sz="4" w:space="0"/>
              <w:right w:val="double" w:color="auto" w:sz="4" w:space="0"/>
            </w:tcBorders>
            <w:vAlign w:val="center"/>
          </w:tcPr>
          <w:p w14:paraId="24CB29E1">
            <w:pPr>
              <w:adjustRightInd w:val="0"/>
              <w:snapToGrid w:val="0"/>
              <w:ind w:left="-88" w:leftChars="-42"/>
              <w:jc w:val="center"/>
              <w:outlineLvl w:val="9"/>
              <w:rPr>
                <w:rFonts w:ascii="宋体" w:hAnsi="宋体"/>
                <w:color w:val="auto"/>
                <w:szCs w:val="21"/>
              </w:rPr>
            </w:pPr>
          </w:p>
        </w:tc>
      </w:tr>
    </w:tbl>
    <w:p w14:paraId="2DA58012">
      <w:pPr>
        <w:adjustRightInd w:val="0"/>
        <w:snapToGrid w:val="0"/>
        <w:spacing w:line="360" w:lineRule="auto"/>
        <w:ind w:left="-88" w:leftChars="-42"/>
        <w:outlineLvl w:val="9"/>
        <w:rPr>
          <w:rFonts w:ascii="宋体" w:hAnsi="宋体"/>
          <w:color w:val="auto"/>
          <w:szCs w:val="21"/>
        </w:rPr>
      </w:pPr>
      <w:r>
        <w:rPr>
          <w:rFonts w:hint="eastAsia" w:ascii="宋体" w:hAnsi="宋体"/>
          <w:color w:val="auto"/>
          <w:szCs w:val="21"/>
        </w:rPr>
        <w:t>说明：1、“响应与偏离”应注明“响应”或“偏离”。</w:t>
      </w:r>
    </w:p>
    <w:p w14:paraId="288CF204">
      <w:pPr>
        <w:adjustRightInd w:val="0"/>
        <w:snapToGrid w:val="0"/>
        <w:spacing w:line="360" w:lineRule="auto"/>
        <w:outlineLvl w:val="9"/>
        <w:rPr>
          <w:rFonts w:ascii="宋体" w:hAnsi="宋体"/>
          <w:color w:val="auto"/>
          <w:szCs w:val="21"/>
        </w:rPr>
      </w:pPr>
      <w:r>
        <w:rPr>
          <w:rFonts w:hint="eastAsia" w:ascii="宋体" w:hAnsi="宋体"/>
          <w:b/>
          <w:color w:val="auto"/>
          <w:szCs w:val="21"/>
        </w:rPr>
        <w:t xml:space="preserve">     </w:t>
      </w:r>
      <w:r>
        <w:rPr>
          <w:rFonts w:hint="eastAsia" w:ascii="宋体" w:hAnsi="宋体"/>
          <w:color w:val="auto"/>
          <w:szCs w:val="21"/>
        </w:rPr>
        <w:t>2、属磋商文件规定可能变动的内容在“说明”栏中注明。</w:t>
      </w:r>
    </w:p>
    <w:p w14:paraId="3C3F8228">
      <w:pPr>
        <w:pStyle w:val="29"/>
        <w:adjustRightInd w:val="0"/>
        <w:snapToGrid w:val="0"/>
        <w:spacing w:line="360" w:lineRule="auto"/>
        <w:outlineLvl w:val="9"/>
        <w:rPr>
          <w:rFonts w:hint="eastAsia" w:ascii="宋体" w:hAnsi="宋体"/>
          <w:color w:val="auto"/>
          <w:sz w:val="21"/>
          <w:szCs w:val="21"/>
        </w:rPr>
      </w:pPr>
    </w:p>
    <w:p w14:paraId="38CA7F1B">
      <w:pPr>
        <w:pStyle w:val="29"/>
        <w:adjustRightInd w:val="0"/>
        <w:snapToGrid w:val="0"/>
        <w:spacing w:line="360" w:lineRule="auto"/>
        <w:outlineLvl w:val="9"/>
        <w:rPr>
          <w:rFonts w:ascii="宋体" w:hAnsi="宋体"/>
          <w:bCs/>
          <w:color w:val="auto"/>
          <w:sz w:val="21"/>
          <w:szCs w:val="21"/>
        </w:rPr>
      </w:pPr>
      <w:r>
        <w:rPr>
          <w:rFonts w:hint="eastAsia" w:ascii="宋体" w:hAnsi="宋体"/>
          <w:color w:val="auto"/>
          <w:sz w:val="21"/>
          <w:szCs w:val="21"/>
        </w:rPr>
        <w:t>供应商名称：</w:t>
      </w:r>
      <w:r>
        <w:rPr>
          <w:rFonts w:hint="eastAsia" w:ascii="宋体" w:hAnsi="宋体"/>
          <w:color w:val="auto"/>
          <w:sz w:val="21"/>
          <w:szCs w:val="21"/>
          <w:u w:val="single"/>
        </w:rPr>
        <w:t xml:space="preserve">                   </w:t>
      </w:r>
    </w:p>
    <w:p w14:paraId="687DC867">
      <w:pPr>
        <w:adjustRightInd w:val="0"/>
        <w:snapToGrid w:val="0"/>
        <w:spacing w:line="360" w:lineRule="auto"/>
        <w:outlineLvl w:val="9"/>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23BDF69A">
      <w:pPr>
        <w:spacing w:line="360" w:lineRule="auto"/>
        <w:outlineLvl w:val="9"/>
        <w:rPr>
          <w:rFonts w:ascii="Arial" w:hAnsi="Arial" w:cs="Arial"/>
          <w:color w:val="auto"/>
          <w:szCs w:val="21"/>
        </w:rPr>
      </w:pPr>
      <w:r>
        <w:rPr>
          <w:rFonts w:hint="eastAsia" w:ascii="宋体" w:hAnsi="宋体"/>
          <w:color w:val="auto"/>
          <w:szCs w:val="21"/>
        </w:rPr>
        <w:t xml:space="preserve">日期：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5A7CEE4D">
      <w:pPr>
        <w:adjustRightInd w:val="0"/>
        <w:snapToGrid w:val="0"/>
        <w:spacing w:line="360" w:lineRule="auto"/>
        <w:outlineLvl w:val="9"/>
        <w:rPr>
          <w:rFonts w:ascii="宋体" w:hAnsi="宋体"/>
          <w:color w:val="auto"/>
          <w:szCs w:val="21"/>
        </w:rPr>
      </w:pPr>
    </w:p>
    <w:p w14:paraId="7E159990">
      <w:pPr>
        <w:adjustRightInd w:val="0"/>
        <w:snapToGrid w:val="0"/>
        <w:spacing w:line="360" w:lineRule="auto"/>
        <w:outlineLvl w:val="9"/>
        <w:rPr>
          <w:rFonts w:ascii="宋体" w:hAnsi="宋体"/>
          <w:color w:val="auto"/>
          <w:szCs w:val="21"/>
        </w:rPr>
      </w:pPr>
    </w:p>
    <w:p w14:paraId="2D1B6493">
      <w:pPr>
        <w:adjustRightInd w:val="0"/>
        <w:snapToGrid w:val="0"/>
        <w:spacing w:line="360" w:lineRule="auto"/>
        <w:outlineLvl w:val="9"/>
        <w:rPr>
          <w:rFonts w:ascii="宋体" w:hAnsi="宋体"/>
          <w:color w:val="auto"/>
          <w:szCs w:val="21"/>
        </w:rPr>
      </w:pPr>
    </w:p>
    <w:p w14:paraId="67448C39">
      <w:pPr>
        <w:adjustRightInd w:val="0"/>
        <w:snapToGrid w:val="0"/>
        <w:spacing w:line="360" w:lineRule="auto"/>
        <w:outlineLvl w:val="9"/>
        <w:rPr>
          <w:rFonts w:ascii="宋体" w:hAnsi="宋体"/>
          <w:color w:val="auto"/>
          <w:szCs w:val="21"/>
        </w:rPr>
      </w:pPr>
    </w:p>
    <w:p w14:paraId="350D7B40">
      <w:pPr>
        <w:adjustRightInd w:val="0"/>
        <w:snapToGrid w:val="0"/>
        <w:spacing w:line="360" w:lineRule="auto"/>
        <w:outlineLvl w:val="9"/>
        <w:rPr>
          <w:rFonts w:ascii="宋体" w:hAnsi="宋体"/>
          <w:color w:val="auto"/>
          <w:szCs w:val="21"/>
        </w:rPr>
      </w:pPr>
    </w:p>
    <w:p w14:paraId="4B4B9D40">
      <w:pPr>
        <w:outlineLvl w:val="9"/>
        <w:rPr>
          <w:rFonts w:ascii="宋体" w:hAnsi="宋体"/>
          <w:b/>
          <w:color w:val="auto"/>
          <w:sz w:val="32"/>
          <w:szCs w:val="32"/>
        </w:rPr>
      </w:pPr>
      <w:r>
        <w:rPr>
          <w:rFonts w:ascii="宋体" w:hAnsi="宋体"/>
          <w:b/>
          <w:color w:val="auto"/>
          <w:sz w:val="32"/>
          <w:szCs w:val="32"/>
        </w:rPr>
        <w:br w:type="page"/>
      </w:r>
    </w:p>
    <w:p w14:paraId="457E5DC8">
      <w:pPr>
        <w:spacing w:line="360" w:lineRule="exact"/>
        <w:jc w:val="center"/>
        <w:outlineLvl w:val="1"/>
        <w:rPr>
          <w:rFonts w:ascii="宋体" w:hAnsi="宋体"/>
          <w:b/>
          <w:color w:val="auto"/>
          <w:sz w:val="32"/>
          <w:szCs w:val="32"/>
        </w:rPr>
      </w:pPr>
      <w:bookmarkStart w:id="38" w:name="_Toc16733"/>
      <w:bookmarkStart w:id="39" w:name="_Toc10053"/>
      <w:r>
        <w:rPr>
          <w:rFonts w:hint="eastAsia" w:ascii="宋体" w:hAnsi="宋体"/>
          <w:b/>
          <w:color w:val="auto"/>
          <w:sz w:val="32"/>
          <w:szCs w:val="32"/>
        </w:rPr>
        <w:t>五、服务方案</w:t>
      </w:r>
      <w:bookmarkEnd w:id="38"/>
      <w:bookmarkEnd w:id="39"/>
    </w:p>
    <w:p w14:paraId="30359F2D">
      <w:pPr>
        <w:spacing w:line="360" w:lineRule="exact"/>
        <w:jc w:val="center"/>
        <w:outlineLvl w:val="9"/>
        <w:rPr>
          <w:rFonts w:ascii="宋体" w:hAnsi="宋体"/>
          <w:b/>
          <w:color w:val="auto"/>
          <w:sz w:val="32"/>
          <w:szCs w:val="32"/>
        </w:rPr>
      </w:pPr>
    </w:p>
    <w:p w14:paraId="49B39D13">
      <w:pPr>
        <w:spacing w:line="360" w:lineRule="exact"/>
        <w:jc w:val="center"/>
        <w:outlineLvl w:val="9"/>
        <w:rPr>
          <w:rFonts w:ascii="宋体" w:hAnsi="宋体"/>
          <w:b/>
          <w:color w:val="auto"/>
          <w:sz w:val="32"/>
          <w:szCs w:val="32"/>
        </w:rPr>
      </w:pPr>
    </w:p>
    <w:p w14:paraId="46F74A63">
      <w:pPr>
        <w:spacing w:line="360" w:lineRule="exact"/>
        <w:outlineLvl w:val="9"/>
        <w:rPr>
          <w:rFonts w:ascii="仿宋" w:hAnsi="仿宋" w:eastAsia="仿宋" w:cs="仿宋"/>
          <w:b/>
          <w:color w:val="auto"/>
          <w:sz w:val="28"/>
          <w:szCs w:val="28"/>
        </w:rPr>
      </w:pPr>
      <w:r>
        <w:rPr>
          <w:rFonts w:hint="eastAsia" w:ascii="仿宋" w:hAnsi="仿宋" w:eastAsia="仿宋" w:cs="仿宋"/>
          <w:b/>
          <w:color w:val="auto"/>
          <w:sz w:val="28"/>
          <w:szCs w:val="28"/>
        </w:rPr>
        <w:t>注：由</w:t>
      </w:r>
      <w:r>
        <w:rPr>
          <w:rFonts w:hint="eastAsia" w:ascii="仿宋" w:hAnsi="仿宋" w:eastAsia="仿宋" w:cs="仿宋"/>
          <w:b/>
          <w:color w:val="auto"/>
          <w:sz w:val="28"/>
          <w:szCs w:val="28"/>
          <w:lang w:eastAsia="zh-CN"/>
        </w:rPr>
        <w:t>供应商</w:t>
      </w:r>
      <w:r>
        <w:rPr>
          <w:rFonts w:hint="eastAsia" w:ascii="仿宋" w:hAnsi="仿宋" w:eastAsia="仿宋" w:cs="仿宋"/>
          <w:b/>
          <w:color w:val="auto"/>
          <w:sz w:val="28"/>
          <w:szCs w:val="28"/>
        </w:rPr>
        <w:t>根据采购需求和磋商评分标准自行编制，格式自拟。</w:t>
      </w:r>
    </w:p>
    <w:p w14:paraId="055ED151">
      <w:pPr>
        <w:spacing w:line="360" w:lineRule="exact"/>
        <w:jc w:val="center"/>
        <w:outlineLvl w:val="9"/>
        <w:rPr>
          <w:rFonts w:ascii="宋体" w:hAnsi="宋体"/>
          <w:b/>
          <w:color w:val="auto"/>
          <w:sz w:val="32"/>
          <w:szCs w:val="32"/>
        </w:rPr>
      </w:pPr>
    </w:p>
    <w:p w14:paraId="2396E588">
      <w:pPr>
        <w:spacing w:line="360" w:lineRule="exact"/>
        <w:jc w:val="center"/>
        <w:outlineLvl w:val="9"/>
        <w:rPr>
          <w:rFonts w:ascii="宋体" w:hAnsi="宋体"/>
          <w:b/>
          <w:color w:val="auto"/>
          <w:sz w:val="32"/>
          <w:szCs w:val="32"/>
        </w:rPr>
      </w:pPr>
    </w:p>
    <w:p w14:paraId="00097C37">
      <w:pPr>
        <w:spacing w:line="360" w:lineRule="exact"/>
        <w:jc w:val="center"/>
        <w:outlineLvl w:val="9"/>
        <w:rPr>
          <w:rFonts w:ascii="宋体" w:hAnsi="宋体"/>
          <w:b/>
          <w:color w:val="auto"/>
          <w:sz w:val="32"/>
          <w:szCs w:val="32"/>
        </w:rPr>
      </w:pPr>
    </w:p>
    <w:p w14:paraId="786772B1">
      <w:pPr>
        <w:spacing w:line="360" w:lineRule="exact"/>
        <w:jc w:val="center"/>
        <w:outlineLvl w:val="9"/>
        <w:rPr>
          <w:rFonts w:ascii="宋体" w:hAnsi="宋体"/>
          <w:b/>
          <w:color w:val="auto"/>
          <w:sz w:val="32"/>
          <w:szCs w:val="32"/>
        </w:rPr>
      </w:pPr>
    </w:p>
    <w:p w14:paraId="6A6C2F9E">
      <w:pPr>
        <w:spacing w:line="360" w:lineRule="exact"/>
        <w:jc w:val="center"/>
        <w:outlineLvl w:val="9"/>
        <w:rPr>
          <w:rFonts w:ascii="宋体" w:hAnsi="宋体"/>
          <w:b/>
          <w:color w:val="auto"/>
          <w:sz w:val="32"/>
          <w:szCs w:val="32"/>
        </w:rPr>
      </w:pPr>
    </w:p>
    <w:p w14:paraId="4383C251">
      <w:pPr>
        <w:spacing w:line="360" w:lineRule="exact"/>
        <w:jc w:val="center"/>
        <w:outlineLvl w:val="9"/>
        <w:rPr>
          <w:rFonts w:ascii="宋体" w:hAnsi="宋体"/>
          <w:b/>
          <w:color w:val="auto"/>
          <w:sz w:val="32"/>
          <w:szCs w:val="32"/>
        </w:rPr>
      </w:pPr>
    </w:p>
    <w:p w14:paraId="383E5A99">
      <w:pPr>
        <w:spacing w:line="360" w:lineRule="exact"/>
        <w:jc w:val="center"/>
        <w:outlineLvl w:val="9"/>
        <w:rPr>
          <w:rFonts w:ascii="宋体" w:hAnsi="宋体"/>
          <w:b/>
          <w:color w:val="auto"/>
          <w:sz w:val="32"/>
          <w:szCs w:val="32"/>
        </w:rPr>
      </w:pPr>
    </w:p>
    <w:p w14:paraId="5D73E7F6">
      <w:pPr>
        <w:spacing w:line="360" w:lineRule="exact"/>
        <w:jc w:val="center"/>
        <w:outlineLvl w:val="9"/>
        <w:rPr>
          <w:rFonts w:ascii="宋体" w:hAnsi="宋体"/>
          <w:b/>
          <w:color w:val="auto"/>
          <w:sz w:val="32"/>
          <w:szCs w:val="32"/>
        </w:rPr>
      </w:pPr>
    </w:p>
    <w:p w14:paraId="3B41A9B9">
      <w:pPr>
        <w:spacing w:line="360" w:lineRule="exact"/>
        <w:jc w:val="center"/>
        <w:outlineLvl w:val="9"/>
        <w:rPr>
          <w:rFonts w:ascii="宋体" w:hAnsi="宋体"/>
          <w:b/>
          <w:color w:val="auto"/>
          <w:sz w:val="32"/>
          <w:szCs w:val="32"/>
        </w:rPr>
      </w:pPr>
    </w:p>
    <w:p w14:paraId="0224F4FD">
      <w:pPr>
        <w:spacing w:line="360" w:lineRule="exact"/>
        <w:jc w:val="center"/>
        <w:outlineLvl w:val="9"/>
        <w:rPr>
          <w:rFonts w:ascii="宋体" w:hAnsi="宋体"/>
          <w:b/>
          <w:color w:val="auto"/>
          <w:sz w:val="32"/>
          <w:szCs w:val="32"/>
        </w:rPr>
      </w:pPr>
    </w:p>
    <w:p w14:paraId="0D9E1EF1">
      <w:pPr>
        <w:spacing w:line="360" w:lineRule="exact"/>
        <w:jc w:val="center"/>
        <w:outlineLvl w:val="9"/>
        <w:rPr>
          <w:rFonts w:ascii="宋体" w:hAnsi="宋体"/>
          <w:b/>
          <w:color w:val="auto"/>
          <w:sz w:val="32"/>
          <w:szCs w:val="32"/>
        </w:rPr>
      </w:pPr>
    </w:p>
    <w:p w14:paraId="691672DE">
      <w:pPr>
        <w:spacing w:line="360" w:lineRule="exact"/>
        <w:jc w:val="center"/>
        <w:outlineLvl w:val="9"/>
        <w:rPr>
          <w:rFonts w:ascii="宋体" w:hAnsi="宋体"/>
          <w:b/>
          <w:color w:val="auto"/>
          <w:sz w:val="32"/>
          <w:szCs w:val="32"/>
        </w:rPr>
      </w:pPr>
    </w:p>
    <w:p w14:paraId="63522708">
      <w:pPr>
        <w:spacing w:line="360" w:lineRule="exact"/>
        <w:jc w:val="center"/>
        <w:outlineLvl w:val="9"/>
        <w:rPr>
          <w:rFonts w:ascii="宋体" w:hAnsi="宋体"/>
          <w:b/>
          <w:color w:val="auto"/>
          <w:sz w:val="32"/>
          <w:szCs w:val="32"/>
        </w:rPr>
      </w:pPr>
    </w:p>
    <w:p w14:paraId="24DAA6F3">
      <w:pPr>
        <w:spacing w:line="360" w:lineRule="exact"/>
        <w:jc w:val="center"/>
        <w:outlineLvl w:val="9"/>
        <w:rPr>
          <w:rFonts w:ascii="宋体" w:hAnsi="宋体"/>
          <w:b/>
          <w:color w:val="auto"/>
          <w:sz w:val="32"/>
          <w:szCs w:val="32"/>
        </w:rPr>
      </w:pPr>
    </w:p>
    <w:p w14:paraId="7F9DE60D">
      <w:pPr>
        <w:spacing w:line="360" w:lineRule="exact"/>
        <w:jc w:val="center"/>
        <w:outlineLvl w:val="9"/>
        <w:rPr>
          <w:rFonts w:ascii="宋体" w:hAnsi="宋体"/>
          <w:b/>
          <w:color w:val="auto"/>
          <w:sz w:val="32"/>
          <w:szCs w:val="32"/>
        </w:rPr>
      </w:pPr>
    </w:p>
    <w:p w14:paraId="77E6DCAB">
      <w:pPr>
        <w:spacing w:line="360" w:lineRule="exact"/>
        <w:jc w:val="center"/>
        <w:outlineLvl w:val="9"/>
        <w:rPr>
          <w:rFonts w:ascii="宋体" w:hAnsi="宋体"/>
          <w:b/>
          <w:color w:val="auto"/>
          <w:sz w:val="32"/>
          <w:szCs w:val="32"/>
        </w:rPr>
      </w:pPr>
    </w:p>
    <w:p w14:paraId="4B129B02">
      <w:pPr>
        <w:spacing w:line="360" w:lineRule="exact"/>
        <w:jc w:val="center"/>
        <w:outlineLvl w:val="9"/>
        <w:rPr>
          <w:rFonts w:ascii="宋体" w:hAnsi="宋体"/>
          <w:b/>
          <w:color w:val="auto"/>
          <w:sz w:val="32"/>
          <w:szCs w:val="32"/>
        </w:rPr>
      </w:pPr>
    </w:p>
    <w:p w14:paraId="62CFE000">
      <w:pPr>
        <w:spacing w:line="360" w:lineRule="exact"/>
        <w:jc w:val="center"/>
        <w:outlineLvl w:val="9"/>
        <w:rPr>
          <w:rFonts w:ascii="宋体" w:hAnsi="宋体"/>
          <w:b/>
          <w:color w:val="auto"/>
          <w:sz w:val="32"/>
          <w:szCs w:val="32"/>
        </w:rPr>
      </w:pPr>
    </w:p>
    <w:p w14:paraId="28642CDC">
      <w:pPr>
        <w:spacing w:line="360" w:lineRule="exact"/>
        <w:jc w:val="center"/>
        <w:outlineLvl w:val="9"/>
        <w:rPr>
          <w:rFonts w:ascii="宋体" w:hAnsi="宋体"/>
          <w:b/>
          <w:color w:val="auto"/>
          <w:sz w:val="32"/>
          <w:szCs w:val="32"/>
        </w:rPr>
      </w:pPr>
    </w:p>
    <w:p w14:paraId="4BE9A9DE">
      <w:pPr>
        <w:spacing w:line="360" w:lineRule="exact"/>
        <w:jc w:val="center"/>
        <w:outlineLvl w:val="9"/>
        <w:rPr>
          <w:rFonts w:ascii="宋体" w:hAnsi="宋体"/>
          <w:b/>
          <w:color w:val="auto"/>
          <w:sz w:val="32"/>
          <w:szCs w:val="32"/>
        </w:rPr>
      </w:pPr>
    </w:p>
    <w:p w14:paraId="34F8C966">
      <w:pPr>
        <w:spacing w:line="360" w:lineRule="exact"/>
        <w:jc w:val="center"/>
        <w:outlineLvl w:val="9"/>
        <w:rPr>
          <w:rFonts w:ascii="宋体" w:hAnsi="宋体"/>
          <w:b/>
          <w:color w:val="auto"/>
          <w:sz w:val="32"/>
          <w:szCs w:val="32"/>
        </w:rPr>
      </w:pPr>
    </w:p>
    <w:p w14:paraId="1C170F98">
      <w:pPr>
        <w:spacing w:line="360" w:lineRule="exact"/>
        <w:jc w:val="center"/>
        <w:outlineLvl w:val="9"/>
        <w:rPr>
          <w:rFonts w:ascii="宋体" w:hAnsi="宋体"/>
          <w:b/>
          <w:color w:val="auto"/>
          <w:sz w:val="32"/>
          <w:szCs w:val="32"/>
        </w:rPr>
      </w:pPr>
    </w:p>
    <w:p w14:paraId="58F715C0">
      <w:pPr>
        <w:spacing w:line="360" w:lineRule="exact"/>
        <w:jc w:val="center"/>
        <w:outlineLvl w:val="9"/>
        <w:rPr>
          <w:rFonts w:ascii="宋体" w:hAnsi="宋体"/>
          <w:b/>
          <w:color w:val="auto"/>
          <w:sz w:val="32"/>
          <w:szCs w:val="32"/>
        </w:rPr>
      </w:pPr>
    </w:p>
    <w:p w14:paraId="3E2A0C0D">
      <w:pPr>
        <w:spacing w:line="360" w:lineRule="exact"/>
        <w:jc w:val="center"/>
        <w:outlineLvl w:val="9"/>
        <w:rPr>
          <w:rFonts w:ascii="宋体" w:hAnsi="宋体"/>
          <w:b/>
          <w:color w:val="auto"/>
          <w:sz w:val="32"/>
          <w:szCs w:val="32"/>
        </w:rPr>
      </w:pPr>
    </w:p>
    <w:p w14:paraId="68F49B96">
      <w:pPr>
        <w:spacing w:line="360" w:lineRule="exact"/>
        <w:jc w:val="center"/>
        <w:outlineLvl w:val="9"/>
        <w:rPr>
          <w:rFonts w:ascii="宋体" w:hAnsi="宋体"/>
          <w:b/>
          <w:color w:val="auto"/>
          <w:sz w:val="32"/>
          <w:szCs w:val="32"/>
        </w:rPr>
      </w:pPr>
    </w:p>
    <w:p w14:paraId="635AEB12">
      <w:pPr>
        <w:spacing w:line="360" w:lineRule="exact"/>
        <w:jc w:val="center"/>
        <w:outlineLvl w:val="9"/>
        <w:rPr>
          <w:rFonts w:ascii="宋体" w:hAnsi="宋体"/>
          <w:b/>
          <w:color w:val="auto"/>
          <w:sz w:val="32"/>
          <w:szCs w:val="32"/>
        </w:rPr>
      </w:pPr>
    </w:p>
    <w:p w14:paraId="1C40E985">
      <w:pPr>
        <w:spacing w:line="360" w:lineRule="exact"/>
        <w:jc w:val="center"/>
        <w:outlineLvl w:val="9"/>
        <w:rPr>
          <w:rFonts w:ascii="宋体" w:hAnsi="宋体"/>
          <w:b/>
          <w:color w:val="auto"/>
          <w:sz w:val="32"/>
          <w:szCs w:val="32"/>
        </w:rPr>
      </w:pPr>
    </w:p>
    <w:p w14:paraId="1DA66C87">
      <w:pPr>
        <w:spacing w:line="360" w:lineRule="exact"/>
        <w:jc w:val="center"/>
        <w:outlineLvl w:val="9"/>
        <w:rPr>
          <w:rFonts w:ascii="宋体" w:hAnsi="宋体"/>
          <w:b/>
          <w:color w:val="auto"/>
          <w:sz w:val="32"/>
          <w:szCs w:val="32"/>
        </w:rPr>
      </w:pPr>
    </w:p>
    <w:p w14:paraId="544294EA">
      <w:pPr>
        <w:spacing w:line="360" w:lineRule="exact"/>
        <w:jc w:val="center"/>
        <w:outlineLvl w:val="9"/>
        <w:rPr>
          <w:rFonts w:ascii="宋体" w:hAnsi="宋体"/>
          <w:b/>
          <w:color w:val="auto"/>
          <w:sz w:val="32"/>
          <w:szCs w:val="32"/>
        </w:rPr>
      </w:pPr>
    </w:p>
    <w:p w14:paraId="1FD4DC47">
      <w:pPr>
        <w:spacing w:line="360" w:lineRule="exact"/>
        <w:jc w:val="center"/>
        <w:outlineLvl w:val="9"/>
        <w:rPr>
          <w:rFonts w:ascii="宋体" w:hAnsi="宋体"/>
          <w:b/>
          <w:color w:val="auto"/>
          <w:sz w:val="32"/>
          <w:szCs w:val="32"/>
        </w:rPr>
      </w:pPr>
    </w:p>
    <w:p w14:paraId="19E6661C">
      <w:pPr>
        <w:spacing w:line="360" w:lineRule="exact"/>
        <w:jc w:val="center"/>
        <w:outlineLvl w:val="9"/>
        <w:rPr>
          <w:rFonts w:ascii="宋体" w:hAnsi="宋体"/>
          <w:b/>
          <w:color w:val="auto"/>
          <w:sz w:val="32"/>
          <w:szCs w:val="32"/>
        </w:rPr>
      </w:pPr>
    </w:p>
    <w:p w14:paraId="5705259C">
      <w:pPr>
        <w:spacing w:line="360" w:lineRule="exact"/>
        <w:jc w:val="center"/>
        <w:outlineLvl w:val="9"/>
        <w:rPr>
          <w:rFonts w:ascii="宋体" w:hAnsi="宋体"/>
          <w:b/>
          <w:color w:val="auto"/>
          <w:sz w:val="32"/>
          <w:szCs w:val="32"/>
        </w:rPr>
      </w:pPr>
    </w:p>
    <w:p w14:paraId="4E671261">
      <w:pPr>
        <w:spacing w:line="360" w:lineRule="exact"/>
        <w:jc w:val="center"/>
        <w:outlineLvl w:val="9"/>
        <w:rPr>
          <w:rFonts w:ascii="宋体" w:hAnsi="宋体"/>
          <w:b/>
          <w:color w:val="auto"/>
          <w:sz w:val="32"/>
          <w:szCs w:val="32"/>
        </w:rPr>
      </w:pPr>
    </w:p>
    <w:p w14:paraId="06A63872">
      <w:pPr>
        <w:spacing w:line="360" w:lineRule="exact"/>
        <w:jc w:val="center"/>
        <w:outlineLvl w:val="9"/>
        <w:rPr>
          <w:rFonts w:ascii="宋体" w:hAnsi="宋体"/>
          <w:b/>
          <w:color w:val="auto"/>
          <w:sz w:val="32"/>
          <w:szCs w:val="32"/>
        </w:rPr>
      </w:pPr>
    </w:p>
    <w:p w14:paraId="13933FDF">
      <w:pPr>
        <w:tabs>
          <w:tab w:val="left" w:pos="3600"/>
        </w:tabs>
        <w:adjustRightInd w:val="0"/>
        <w:snapToGrid w:val="0"/>
        <w:jc w:val="center"/>
        <w:outlineLvl w:val="1"/>
        <w:rPr>
          <w:rFonts w:ascii="宋体" w:hAnsi="宋体"/>
          <w:b/>
          <w:color w:val="auto"/>
          <w:sz w:val="32"/>
          <w:szCs w:val="32"/>
        </w:rPr>
      </w:pPr>
      <w:bookmarkStart w:id="40" w:name="_Toc7052"/>
      <w:bookmarkStart w:id="41" w:name="_Toc5806"/>
      <w:r>
        <w:rPr>
          <w:rFonts w:hint="eastAsia" w:ascii="宋体" w:hAnsi="宋体"/>
          <w:b/>
          <w:color w:val="auto"/>
          <w:sz w:val="32"/>
          <w:szCs w:val="32"/>
          <w:lang w:val="en-US" w:eastAsia="zh-CN"/>
        </w:rPr>
        <w:t>六、</w:t>
      </w:r>
      <w:r>
        <w:rPr>
          <w:rFonts w:hint="eastAsia" w:ascii="宋体" w:hAnsi="宋体"/>
          <w:b/>
          <w:color w:val="auto"/>
          <w:sz w:val="32"/>
          <w:szCs w:val="32"/>
        </w:rPr>
        <w:t>提供政府采购政策产品等证明材料</w:t>
      </w:r>
      <w:bookmarkEnd w:id="40"/>
      <w:bookmarkEnd w:id="41"/>
    </w:p>
    <w:p w14:paraId="78E9E7AE">
      <w:pPr>
        <w:tabs>
          <w:tab w:val="left" w:pos="3600"/>
        </w:tabs>
        <w:adjustRightInd w:val="0"/>
        <w:snapToGrid w:val="0"/>
        <w:jc w:val="center"/>
        <w:outlineLvl w:val="9"/>
        <w:rPr>
          <w:rFonts w:ascii="宋体" w:hAnsi="宋体"/>
          <w:b/>
          <w:color w:val="auto"/>
          <w:sz w:val="32"/>
          <w:szCs w:val="32"/>
        </w:rPr>
      </w:pPr>
    </w:p>
    <w:p w14:paraId="236ADCB6">
      <w:pPr>
        <w:outlineLvl w:val="9"/>
        <w:rPr>
          <w:rFonts w:hint="eastAsia" w:ascii="宋体" w:hAnsi="宋体" w:eastAsia="宋体"/>
          <w:b/>
          <w:color w:val="auto"/>
          <w:sz w:val="24"/>
          <w:lang w:eastAsia="zh-CN"/>
        </w:rPr>
      </w:pPr>
      <w:r>
        <w:rPr>
          <w:rFonts w:hint="eastAsia" w:ascii="宋体" w:hAnsi="宋体"/>
          <w:b/>
          <w:color w:val="auto"/>
          <w:sz w:val="24"/>
        </w:rPr>
        <w:t>附件</w:t>
      </w:r>
      <w:r>
        <w:rPr>
          <w:rFonts w:hint="eastAsia" w:ascii="宋体" w:hAnsi="宋体"/>
          <w:b/>
          <w:color w:val="auto"/>
          <w:sz w:val="24"/>
          <w:lang w:val="en-US" w:eastAsia="zh-CN"/>
        </w:rPr>
        <w:t>6</w:t>
      </w:r>
    </w:p>
    <w:p w14:paraId="0D0ED5B6">
      <w:pPr>
        <w:widowControl/>
        <w:adjustRightInd w:val="0"/>
        <w:snapToGrid w:val="0"/>
        <w:spacing w:line="360" w:lineRule="auto"/>
        <w:jc w:val="center"/>
        <w:rPr>
          <w:rFonts w:hint="eastAsia" w:ascii="黑体" w:hAnsi="黑体" w:eastAsia="黑体" w:cs="宋体"/>
          <w:b/>
          <w:bCs/>
          <w:spacing w:val="6"/>
          <w:kern w:val="0"/>
          <w:sz w:val="28"/>
          <w:szCs w:val="28"/>
          <w:lang w:eastAsia="zh-CN"/>
        </w:rPr>
      </w:pPr>
      <w:r>
        <w:rPr>
          <w:rFonts w:hint="eastAsia" w:ascii="黑体" w:hAnsi="黑体" w:eastAsia="黑体" w:cs="黑体"/>
          <w:b/>
          <w:bCs/>
          <w:spacing w:val="6"/>
          <w:kern w:val="0"/>
          <w:sz w:val="28"/>
          <w:szCs w:val="28"/>
          <w:lang w:eastAsia="zh-CN"/>
        </w:rPr>
        <w:t>中小企业声明函（服务）</w:t>
      </w:r>
    </w:p>
    <w:p w14:paraId="011975DC">
      <w:pPr>
        <w:bidi w:val="0"/>
        <w:jc w:val="center"/>
      </w:pPr>
      <w:r>
        <w:rPr>
          <w:rFonts w:hint="eastAsia" w:ascii="宋体" w:hAnsi="宋体" w:cs="宋体"/>
          <w:b/>
          <w:spacing w:val="6"/>
          <w:kern w:val="0"/>
          <w:szCs w:val="21"/>
        </w:rPr>
        <w:t>(</w:t>
      </w:r>
      <w:r>
        <w:rPr>
          <w:rFonts w:hint="eastAsia" w:ascii="宋体" w:hAnsi="宋体" w:cs="宋体"/>
          <w:b/>
          <w:spacing w:val="6"/>
          <w:kern w:val="0"/>
          <w:szCs w:val="21"/>
          <w:lang w:val="en-US" w:eastAsia="zh-CN"/>
        </w:rPr>
        <w:t>专门面向中小企业采购项目必须提供</w:t>
      </w:r>
      <w:r>
        <w:rPr>
          <w:rFonts w:hint="eastAsia" w:ascii="宋体" w:hAnsi="宋体" w:cs="宋体"/>
          <w:b/>
          <w:spacing w:val="6"/>
          <w:kern w:val="0"/>
          <w:szCs w:val="21"/>
        </w:rPr>
        <w:t>)</w:t>
      </w:r>
    </w:p>
    <w:p w14:paraId="6E6E5A49">
      <w:pPr>
        <w:bidi w:val="0"/>
      </w:pPr>
    </w:p>
    <w:p w14:paraId="60982D37">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本公司（联合体）郑重声明，根据《政府采购促进中小企业发展管理办法》（财库﹝2020﹞46号）的规定，本公司（联合体）参加</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（单位名称）</w:t>
      </w:r>
      <w:r>
        <w:rPr>
          <w:rFonts w:hint="eastAsia" w:ascii="宋体" w:hAnsi="宋体" w:cs="宋体"/>
          <w:color w:val="auto"/>
          <w:spacing w:val="6"/>
          <w:kern w:val="0"/>
          <w:szCs w:val="21"/>
        </w:rPr>
        <w:t>的</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（项目名称）</w:t>
      </w:r>
      <w:r>
        <w:rPr>
          <w:rFonts w:hint="eastAsia" w:ascii="宋体" w:hAnsi="宋体" w:cs="宋体"/>
          <w:color w:val="auto"/>
          <w:spacing w:val="6"/>
          <w:kern w:val="0"/>
          <w:szCs w:val="21"/>
        </w:rPr>
        <w:t>采购活动，服务全部由符合政策要求的中小企业承接。相关企业（含联合体中的中小企业、签订分包意向协议的中小企业）的具体情况如下：</w:t>
      </w:r>
    </w:p>
    <w:p w14:paraId="4C791C6B">
      <w:pPr>
        <w:widowControl/>
        <w:numPr>
          <w:ilvl w:val="0"/>
          <w:numId w:val="0"/>
        </w:numPr>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u w:val="none"/>
          <w:lang w:val="en-US" w:eastAsia="zh-CN"/>
        </w:rPr>
        <w:t>1.</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（标的名称）</w:t>
      </w:r>
      <w:r>
        <w:rPr>
          <w:rFonts w:hint="eastAsia" w:ascii="宋体" w:hAnsi="宋体" w:cs="宋体"/>
          <w:color w:val="auto"/>
          <w:spacing w:val="6"/>
          <w:kern w:val="0"/>
          <w:szCs w:val="21"/>
        </w:rPr>
        <w:t>，属于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（所属行业）</w:t>
      </w:r>
      <w:r>
        <w:rPr>
          <w:rFonts w:hint="eastAsia" w:ascii="宋体" w:hAnsi="宋体" w:cs="宋体"/>
          <w:color w:val="auto"/>
          <w:spacing w:val="6"/>
          <w:kern w:val="0"/>
          <w:szCs w:val="21"/>
        </w:rPr>
        <w:t>；承接企业为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（企业名称）</w:t>
      </w:r>
      <w:r>
        <w:rPr>
          <w:rFonts w:hint="eastAsia" w:ascii="宋体" w:hAnsi="宋体" w:cs="宋体"/>
          <w:color w:val="auto"/>
          <w:spacing w:val="6"/>
          <w:kern w:val="0"/>
          <w:szCs w:val="21"/>
        </w:rPr>
        <w:t>，从业人员</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人，营业收入为</w:t>
      </w:r>
      <w:r>
        <w:rPr>
          <w:rFonts w:hint="eastAsia" w:ascii="宋体" w:hAnsi="宋体" w:cs="宋体"/>
          <w:color w:val="auto"/>
          <w:spacing w:val="6"/>
          <w:kern w:val="0"/>
          <w:szCs w:val="21"/>
          <w:u w:val="single"/>
        </w:rPr>
        <w:t xml:space="preserve"> </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万元，资产总额为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（中型企业、小型企业、微型企业）</w:t>
      </w:r>
      <w:r>
        <w:rPr>
          <w:rFonts w:hint="eastAsia" w:ascii="宋体" w:hAnsi="宋体" w:cs="宋体"/>
          <w:color w:val="auto"/>
          <w:spacing w:val="6"/>
          <w:kern w:val="0"/>
          <w:szCs w:val="21"/>
        </w:rPr>
        <w:t>；</w:t>
      </w:r>
    </w:p>
    <w:p w14:paraId="4855BF26">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lang w:val="en-US" w:eastAsia="zh-CN"/>
        </w:rPr>
        <w:t>2.</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（标的名称）</w:t>
      </w:r>
      <w:r>
        <w:rPr>
          <w:rFonts w:hint="eastAsia" w:ascii="宋体" w:hAnsi="宋体" w:cs="宋体"/>
          <w:color w:val="auto"/>
          <w:spacing w:val="6"/>
          <w:kern w:val="0"/>
          <w:szCs w:val="21"/>
        </w:rPr>
        <w:t>，属于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（所属行业）</w:t>
      </w:r>
      <w:r>
        <w:rPr>
          <w:rFonts w:hint="eastAsia" w:ascii="宋体" w:hAnsi="宋体" w:cs="宋体"/>
          <w:color w:val="auto"/>
          <w:spacing w:val="6"/>
          <w:kern w:val="0"/>
          <w:szCs w:val="21"/>
        </w:rPr>
        <w:t>；承接企业为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（企业名称）</w:t>
      </w:r>
      <w:r>
        <w:rPr>
          <w:rFonts w:hint="eastAsia" w:ascii="宋体" w:hAnsi="宋体" w:cs="宋体"/>
          <w:color w:val="auto"/>
          <w:spacing w:val="6"/>
          <w:kern w:val="0"/>
          <w:szCs w:val="21"/>
        </w:rPr>
        <w:t>，从业人员</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人，营业收入为</w:t>
      </w:r>
      <w:r>
        <w:rPr>
          <w:rFonts w:hint="eastAsia" w:ascii="宋体" w:hAnsi="宋体" w:cs="宋体"/>
          <w:color w:val="auto"/>
          <w:spacing w:val="6"/>
          <w:kern w:val="0"/>
          <w:szCs w:val="21"/>
          <w:u w:val="single"/>
        </w:rPr>
        <w:t xml:space="preserve"> </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万元，资产总额为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（中型企业、小型企业、微型企业）</w:t>
      </w:r>
      <w:r>
        <w:rPr>
          <w:rFonts w:hint="eastAsia" w:ascii="宋体" w:hAnsi="宋体" w:cs="宋体"/>
          <w:color w:val="auto"/>
          <w:spacing w:val="6"/>
          <w:kern w:val="0"/>
          <w:szCs w:val="21"/>
        </w:rPr>
        <w:t>；</w:t>
      </w:r>
    </w:p>
    <w:p w14:paraId="1967830D">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w:t>
      </w:r>
    </w:p>
    <w:p w14:paraId="6104558E">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以上企业，不属于大企业的分支机构，不存在控股股东为大企业的情形，也不存在与大企业的负责人为同一人的情形。</w:t>
      </w:r>
    </w:p>
    <w:p w14:paraId="495FE6A4">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本企业对上述声明内容的真实性负责。如有虚假，将依法承担相应责任。</w:t>
      </w:r>
    </w:p>
    <w:p w14:paraId="5D6C440E">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p>
    <w:p w14:paraId="515C034D">
      <w:pPr>
        <w:widowControl/>
        <w:adjustRightInd w:val="0"/>
        <w:snapToGrid w:val="0"/>
        <w:spacing w:beforeLines="50" w:line="360" w:lineRule="auto"/>
        <w:ind w:firstLine="3330" w:firstLineChars="1500"/>
        <w:jc w:val="both"/>
        <w:rPr>
          <w:rFonts w:hint="eastAsia" w:ascii="宋体" w:hAnsi="宋体" w:cs="宋体"/>
          <w:color w:val="auto"/>
          <w:spacing w:val="6"/>
          <w:kern w:val="0"/>
          <w:szCs w:val="21"/>
        </w:rPr>
      </w:pPr>
      <w:r>
        <w:rPr>
          <w:rFonts w:hint="eastAsia" w:ascii="宋体" w:hAnsi="宋体" w:cs="宋体"/>
          <w:color w:val="auto"/>
          <w:spacing w:val="6"/>
          <w:kern w:val="0"/>
          <w:szCs w:val="21"/>
        </w:rPr>
        <w:t>企业名称（盖章）：</w:t>
      </w:r>
    </w:p>
    <w:p w14:paraId="2086241F">
      <w:pPr>
        <w:adjustRightInd w:val="0"/>
        <w:snapToGrid w:val="0"/>
        <w:spacing w:line="360" w:lineRule="auto"/>
        <w:jc w:val="left"/>
        <w:outlineLvl w:val="9"/>
        <w:rPr>
          <w:rFonts w:ascii="宋体" w:hAnsi="宋体"/>
          <w:bCs/>
          <w:color w:val="auto"/>
          <w:szCs w:val="21"/>
        </w:rPr>
      </w:pPr>
      <w:r>
        <w:rPr>
          <w:rFonts w:hint="eastAsia" w:ascii="宋体" w:hAnsi="宋体" w:cs="宋体"/>
          <w:color w:val="auto"/>
          <w:spacing w:val="6"/>
          <w:kern w:val="0"/>
          <w:szCs w:val="21"/>
          <w:lang w:val="en-US" w:eastAsia="zh-CN"/>
        </w:rPr>
        <w:t xml:space="preserve">          </w:t>
      </w:r>
      <w:r>
        <w:rPr>
          <w:rFonts w:hint="eastAsia" w:ascii="宋体" w:hAnsi="宋体" w:cs="宋体"/>
          <w:color w:val="auto"/>
          <w:spacing w:val="6"/>
          <w:kern w:val="0"/>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DF18C77">
      <w:pPr>
        <w:adjustRightInd w:val="0"/>
        <w:snapToGrid w:val="0"/>
        <w:spacing w:line="360" w:lineRule="auto"/>
        <w:outlineLvl w:val="9"/>
        <w:rPr>
          <w:rFonts w:ascii="宋体" w:hAnsi="宋体"/>
          <w:color w:val="auto"/>
          <w:szCs w:val="21"/>
        </w:rPr>
      </w:pPr>
    </w:p>
    <w:p w14:paraId="6E093DF8">
      <w:pPr>
        <w:adjustRightInd w:val="0"/>
        <w:snapToGrid w:val="0"/>
        <w:spacing w:line="360" w:lineRule="auto"/>
        <w:outlineLvl w:val="9"/>
        <w:rPr>
          <w:rFonts w:ascii="仿宋_GB2312" w:hAnsi="宋体" w:eastAsia="仿宋_GB2312"/>
          <w:b/>
          <w:color w:val="auto"/>
          <w:szCs w:val="21"/>
        </w:rPr>
      </w:pPr>
    </w:p>
    <w:p w14:paraId="3F2A94E7">
      <w:pPr>
        <w:adjustRightInd w:val="0"/>
        <w:snapToGrid w:val="0"/>
        <w:spacing w:line="360" w:lineRule="auto"/>
        <w:outlineLvl w:val="9"/>
        <w:rPr>
          <w:rFonts w:ascii="仿宋_GB2312" w:hAnsi="宋体" w:eastAsia="仿宋_GB2312"/>
          <w:color w:val="auto"/>
          <w:szCs w:val="21"/>
        </w:rPr>
      </w:pPr>
      <w:r>
        <w:rPr>
          <w:rFonts w:hint="eastAsia" w:ascii="仿宋_GB2312" w:hAnsi="宋体" w:eastAsia="仿宋_GB2312"/>
          <w:b/>
          <w:color w:val="auto"/>
          <w:szCs w:val="21"/>
        </w:rPr>
        <w:t>备注</w:t>
      </w:r>
      <w:r>
        <w:rPr>
          <w:rFonts w:hint="eastAsia" w:ascii="仿宋_GB2312" w:hAnsi="宋体" w:eastAsia="仿宋_GB2312"/>
          <w:color w:val="auto"/>
          <w:szCs w:val="21"/>
        </w:rPr>
        <w:t>：填写前请认真阅读《工业和信息化部、国家统计局、国家发展和改革委员会、财政部关于印发中小企业划型标准规定的通知》（工信部联企业[2011]300号）和《政府采购促进中小企业发展管理办法》（财库﹝2020﹞46号）相关规定。</w:t>
      </w:r>
    </w:p>
    <w:p w14:paraId="241D5D95">
      <w:pPr>
        <w:outlineLvl w:val="9"/>
        <w:rPr>
          <w:rFonts w:hint="default" w:ascii="黑体" w:hAnsi="华文中宋" w:eastAsia="黑体" w:cs="宋体"/>
          <w:bCs/>
          <w:color w:val="auto"/>
          <w:spacing w:val="6"/>
          <w:kern w:val="0"/>
          <w:sz w:val="28"/>
          <w:szCs w:val="28"/>
          <w:lang w:val="en-US"/>
        </w:rPr>
      </w:pPr>
      <w:r>
        <w:rPr>
          <w:rFonts w:hint="eastAsia" w:ascii="仿宋_GB2312" w:hAnsi="宋体" w:eastAsia="仿宋_GB2312"/>
          <w:color w:val="auto"/>
          <w:szCs w:val="21"/>
        </w:rPr>
        <w:br w:type="page"/>
      </w:r>
      <w:r>
        <w:rPr>
          <w:rFonts w:hint="eastAsia" w:ascii="宋体" w:hAnsi="宋体"/>
          <w:b/>
          <w:color w:val="auto"/>
          <w:sz w:val="24"/>
        </w:rPr>
        <w:t>附件</w:t>
      </w:r>
      <w:r>
        <w:rPr>
          <w:rFonts w:hint="eastAsia" w:ascii="宋体" w:hAnsi="宋体"/>
          <w:b/>
          <w:color w:val="auto"/>
          <w:sz w:val="24"/>
          <w:lang w:val="en-US" w:eastAsia="zh-CN"/>
        </w:rPr>
        <w:t>6-1</w:t>
      </w:r>
    </w:p>
    <w:p w14:paraId="351401EC">
      <w:pPr>
        <w:spacing w:line="588" w:lineRule="exact"/>
        <w:jc w:val="center"/>
        <w:outlineLvl w:val="2"/>
        <w:rPr>
          <w:rFonts w:ascii="宋体" w:hAnsi="宋体" w:cs="宋体"/>
          <w:b/>
          <w:color w:val="auto"/>
          <w:spacing w:val="6"/>
          <w:sz w:val="32"/>
          <w:szCs w:val="32"/>
        </w:rPr>
      </w:pPr>
      <w:bookmarkStart w:id="42" w:name="_Toc2031"/>
      <w:bookmarkStart w:id="43" w:name="_Toc5758"/>
      <w:bookmarkStart w:id="44" w:name="OLE_LINK13"/>
      <w:bookmarkStart w:id="45" w:name="OLE_LINK14"/>
      <w:r>
        <w:rPr>
          <w:rFonts w:hint="eastAsia" w:ascii="黑体" w:hAnsi="华文中宋" w:eastAsia="黑体" w:cs="宋体"/>
          <w:bCs/>
          <w:color w:val="auto"/>
          <w:spacing w:val="6"/>
          <w:kern w:val="0"/>
          <w:sz w:val="28"/>
          <w:szCs w:val="28"/>
        </w:rPr>
        <w:t>残疾人福利性单位声明函</w:t>
      </w:r>
      <w:bookmarkEnd w:id="42"/>
      <w:bookmarkEnd w:id="43"/>
    </w:p>
    <w:bookmarkEnd w:id="44"/>
    <w:bookmarkEnd w:id="45"/>
    <w:p w14:paraId="2750CCF7">
      <w:pPr>
        <w:spacing w:line="588" w:lineRule="exact"/>
        <w:jc w:val="center"/>
        <w:outlineLvl w:val="9"/>
        <w:rPr>
          <w:rFonts w:ascii="宋体" w:hAnsi="宋体" w:cs="宋体"/>
          <w:b/>
          <w:color w:val="auto"/>
          <w:spacing w:val="6"/>
          <w:sz w:val="30"/>
          <w:szCs w:val="30"/>
        </w:rPr>
      </w:pPr>
      <w:r>
        <w:rPr>
          <w:rFonts w:hint="eastAsia" w:ascii="宋体" w:hAnsi="宋体"/>
          <w:b/>
          <w:color w:val="auto"/>
          <w:spacing w:val="6"/>
          <w:szCs w:val="21"/>
        </w:rPr>
        <w:t>(不属于残疾人福利性单位的无需提供)</w:t>
      </w:r>
    </w:p>
    <w:p w14:paraId="2DDE629B">
      <w:pPr>
        <w:spacing w:line="588" w:lineRule="exact"/>
        <w:ind w:firstLine="444" w:firstLineChars="200"/>
        <w:outlineLvl w:val="9"/>
        <w:rPr>
          <w:rFonts w:hint="eastAsia" w:ascii="宋体" w:hAnsi="宋体" w:cs="宋体"/>
          <w:color w:val="auto"/>
          <w:spacing w:val="6"/>
          <w:szCs w:val="21"/>
        </w:rPr>
      </w:pPr>
    </w:p>
    <w:p w14:paraId="2E1F4A74">
      <w:pPr>
        <w:spacing w:line="588" w:lineRule="exact"/>
        <w:ind w:firstLine="444" w:firstLineChars="200"/>
        <w:outlineLvl w:val="9"/>
        <w:rPr>
          <w:rFonts w:ascii="宋体" w:hAnsi="宋体" w:cs="宋体"/>
          <w:color w:val="auto"/>
          <w:spacing w:val="6"/>
          <w:szCs w:val="21"/>
        </w:rPr>
      </w:pPr>
      <w:r>
        <w:rPr>
          <w:rFonts w:hint="eastAsia" w:ascii="宋体" w:hAnsi="宋体" w:cs="宋体"/>
          <w:color w:val="auto"/>
          <w:spacing w:val="6"/>
          <w:szCs w:val="21"/>
        </w:rPr>
        <w:t>本单位郑重声明，根据《财政部 民政部 中国残疾人联合会关于促进残疾人就业政府采购政策的通知》（财库</w:t>
      </w:r>
      <w:r>
        <w:rPr>
          <w:rFonts w:hint="eastAsia" w:ascii="宋体" w:hAnsi="宋体" w:cs="宋体"/>
          <w:color w:val="auto"/>
          <w:szCs w:val="21"/>
        </w:rPr>
        <w:t>〔2017〕141</w:t>
      </w:r>
      <w:r>
        <w:rPr>
          <w:rFonts w:hint="eastAsia" w:ascii="宋体" w:hAnsi="宋体" w:cs="宋体"/>
          <w:color w:val="auto"/>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95540A5">
      <w:pPr>
        <w:spacing w:line="588" w:lineRule="exact"/>
        <w:ind w:firstLine="444" w:firstLineChars="200"/>
        <w:outlineLvl w:val="9"/>
        <w:rPr>
          <w:rFonts w:ascii="宋体" w:hAnsi="宋体" w:cs="宋体"/>
          <w:color w:val="auto"/>
          <w:spacing w:val="6"/>
          <w:szCs w:val="21"/>
        </w:rPr>
      </w:pPr>
      <w:r>
        <w:rPr>
          <w:rFonts w:hint="eastAsia" w:ascii="宋体" w:hAnsi="宋体" w:cs="宋体"/>
          <w:color w:val="auto"/>
          <w:spacing w:val="6"/>
          <w:szCs w:val="21"/>
        </w:rPr>
        <w:t>本单位对上述声明的真实性负责。如有虚假，将依法承担相应责任。</w:t>
      </w:r>
    </w:p>
    <w:p w14:paraId="079C418D">
      <w:pPr>
        <w:spacing w:line="588" w:lineRule="exact"/>
        <w:ind w:firstLine="444" w:firstLineChars="200"/>
        <w:outlineLvl w:val="9"/>
        <w:rPr>
          <w:rFonts w:ascii="宋体" w:hAnsi="宋体" w:cs="宋体"/>
          <w:color w:val="auto"/>
          <w:spacing w:val="6"/>
          <w:szCs w:val="21"/>
        </w:rPr>
      </w:pPr>
    </w:p>
    <w:p w14:paraId="2A72B523">
      <w:pPr>
        <w:spacing w:line="588" w:lineRule="exact"/>
        <w:ind w:firstLine="444" w:firstLineChars="200"/>
        <w:outlineLvl w:val="9"/>
        <w:rPr>
          <w:rFonts w:ascii="宋体" w:hAnsi="宋体" w:cs="宋体"/>
          <w:color w:val="auto"/>
          <w:spacing w:val="6"/>
          <w:szCs w:val="21"/>
        </w:rPr>
      </w:pPr>
    </w:p>
    <w:p w14:paraId="3889D39A">
      <w:pPr>
        <w:tabs>
          <w:tab w:val="left" w:pos="4860"/>
        </w:tabs>
        <w:spacing w:line="588" w:lineRule="exact"/>
        <w:ind w:right="1560" w:firstLine="444" w:firstLineChars="200"/>
        <w:jc w:val="center"/>
        <w:outlineLvl w:val="9"/>
        <w:rPr>
          <w:rFonts w:ascii="宋体" w:hAnsi="宋体" w:cs="宋体"/>
          <w:color w:val="auto"/>
          <w:spacing w:val="6"/>
          <w:szCs w:val="21"/>
        </w:rPr>
      </w:pPr>
      <w:r>
        <w:rPr>
          <w:rFonts w:hint="eastAsia" w:ascii="宋体" w:hAnsi="宋体" w:cs="宋体"/>
          <w:color w:val="auto"/>
          <w:spacing w:val="6"/>
          <w:szCs w:val="21"/>
        </w:rPr>
        <w:t xml:space="preserve">               单位名称（盖章）：</w:t>
      </w:r>
    </w:p>
    <w:p w14:paraId="3CC5A4DC">
      <w:pPr>
        <w:tabs>
          <w:tab w:val="left" w:pos="4860"/>
        </w:tabs>
        <w:spacing w:line="588" w:lineRule="exact"/>
        <w:ind w:right="1560" w:firstLine="444" w:firstLineChars="200"/>
        <w:jc w:val="center"/>
        <w:outlineLvl w:val="9"/>
        <w:rPr>
          <w:rFonts w:ascii="仿宋_GB2312" w:eastAsia="仿宋_GB2312"/>
          <w:color w:val="auto"/>
          <w:spacing w:val="6"/>
          <w:szCs w:val="21"/>
        </w:rPr>
      </w:pPr>
      <w:r>
        <w:rPr>
          <w:rFonts w:hint="eastAsia" w:ascii="宋体" w:hAnsi="宋体" w:cs="宋体"/>
          <w:color w:val="auto"/>
          <w:spacing w:val="6"/>
          <w:szCs w:val="21"/>
        </w:rPr>
        <w:t xml:space="preserve">                    日  期：</w:t>
      </w:r>
      <w:r>
        <w:rPr>
          <w:rFonts w:hint="eastAsia" w:ascii="宋体" w:hAnsi="宋体" w:cs="宋体"/>
          <w:color w:val="auto"/>
          <w:spacing w:val="6"/>
          <w:kern w:val="0"/>
          <w:szCs w:val="21"/>
          <w:u w:val="single"/>
        </w:rPr>
        <w:t xml:space="preserve">              </w:t>
      </w:r>
    </w:p>
    <w:p w14:paraId="00B4D11B">
      <w:pPr>
        <w:adjustRightInd w:val="0"/>
        <w:snapToGrid w:val="0"/>
        <w:spacing w:line="360" w:lineRule="auto"/>
        <w:outlineLvl w:val="9"/>
        <w:rPr>
          <w:rFonts w:ascii="仿宋_GB2312" w:hAnsi="宋体" w:eastAsia="仿宋_GB2312"/>
          <w:color w:val="auto"/>
          <w:szCs w:val="21"/>
        </w:rPr>
      </w:pPr>
    </w:p>
    <w:p w14:paraId="572EE550">
      <w:pPr>
        <w:adjustRightInd w:val="0"/>
        <w:snapToGrid w:val="0"/>
        <w:spacing w:line="360" w:lineRule="auto"/>
        <w:outlineLvl w:val="9"/>
        <w:rPr>
          <w:rFonts w:ascii="仿宋_GB2312" w:hAnsi="宋体" w:eastAsia="仿宋_GB2312"/>
          <w:color w:val="auto"/>
          <w:szCs w:val="21"/>
        </w:rPr>
      </w:pPr>
    </w:p>
    <w:p w14:paraId="30817E09">
      <w:pPr>
        <w:adjustRightInd w:val="0"/>
        <w:snapToGrid w:val="0"/>
        <w:spacing w:line="360" w:lineRule="auto"/>
        <w:outlineLvl w:val="9"/>
        <w:rPr>
          <w:rFonts w:ascii="仿宋_GB2312" w:hAnsi="宋体" w:eastAsia="仿宋_GB2312"/>
          <w:color w:val="auto"/>
          <w:szCs w:val="21"/>
        </w:rPr>
      </w:pPr>
    </w:p>
    <w:p w14:paraId="4C0294E8">
      <w:pPr>
        <w:jc w:val="left"/>
        <w:outlineLvl w:val="9"/>
        <w:rPr>
          <w:rFonts w:hint="eastAsia" w:ascii="仿宋_GB2312" w:hAnsi="宋体" w:eastAsia="仿宋_GB2312"/>
          <w:color w:val="auto"/>
          <w:szCs w:val="21"/>
        </w:rPr>
      </w:pPr>
      <w:r>
        <w:rPr>
          <w:rFonts w:hint="eastAsia" w:ascii="仿宋_GB2312" w:hAnsi="宋体" w:eastAsia="仿宋_GB2312"/>
          <w:b/>
          <w:color w:val="auto"/>
          <w:szCs w:val="21"/>
        </w:rPr>
        <w:t>备注</w:t>
      </w:r>
      <w:r>
        <w:rPr>
          <w:rFonts w:hint="eastAsia" w:ascii="仿宋_GB2312" w:hAnsi="宋体" w:eastAsia="仿宋_GB2312"/>
          <w:color w:val="auto"/>
          <w:szCs w:val="21"/>
        </w:rPr>
        <w:t>：填写前请认真阅读《关于促进残疾人就业政府采购政策的通知》（财库〔2017〕141号）相关规定。</w:t>
      </w:r>
      <w:r>
        <w:rPr>
          <w:rFonts w:hint="eastAsia" w:ascii="仿宋_GB2312" w:hAnsi="宋体" w:eastAsia="仿宋_GB2312"/>
          <w:b/>
          <w:bCs/>
          <w:color w:val="auto"/>
          <w:szCs w:val="21"/>
        </w:rPr>
        <w:t>不满足的无需提供</w:t>
      </w:r>
      <w:r>
        <w:rPr>
          <w:rFonts w:hint="eastAsia" w:ascii="仿宋_GB2312" w:hAnsi="宋体" w:eastAsia="仿宋_GB2312"/>
          <w:color w:val="auto"/>
          <w:szCs w:val="21"/>
        </w:rPr>
        <w:t>。（残疾人福利性单位属于小型、微型企业的，不重复享受政策。）</w:t>
      </w:r>
    </w:p>
    <w:p w14:paraId="09F10488">
      <w:pPr>
        <w:rPr>
          <w:rFonts w:hint="eastAsia" w:ascii="仿宋_GB2312" w:hAnsi="宋体" w:eastAsia="仿宋_GB2312"/>
          <w:color w:val="auto"/>
          <w:szCs w:val="21"/>
        </w:rPr>
      </w:pPr>
      <w:r>
        <w:rPr>
          <w:rFonts w:hint="eastAsia" w:ascii="仿宋_GB2312" w:hAnsi="宋体" w:eastAsia="仿宋_GB2312"/>
          <w:color w:val="auto"/>
          <w:szCs w:val="21"/>
        </w:rPr>
        <w:br w:type="page"/>
      </w:r>
    </w:p>
    <w:p w14:paraId="1D826592">
      <w:pPr>
        <w:rPr>
          <w:rFonts w:ascii="黑体" w:hAnsi="华文中宋" w:cs="宋体"/>
          <w:bCs/>
          <w:color w:val="auto"/>
          <w:spacing w:val="6"/>
          <w:kern w:val="0"/>
          <w:sz w:val="28"/>
          <w:szCs w:val="28"/>
        </w:rPr>
      </w:pPr>
      <w:r>
        <w:rPr>
          <w:rFonts w:hint="eastAsia" w:ascii="宋体" w:hAnsi="宋体"/>
          <w:b/>
          <w:color w:val="auto"/>
          <w:sz w:val="24"/>
        </w:rPr>
        <w:t>附件</w:t>
      </w:r>
      <w:r>
        <w:rPr>
          <w:rFonts w:hint="eastAsia" w:ascii="宋体" w:hAnsi="宋体"/>
          <w:b/>
          <w:color w:val="auto"/>
          <w:sz w:val="24"/>
          <w:lang w:val="en-US" w:eastAsia="zh-CN"/>
        </w:rPr>
        <w:t>6</w:t>
      </w:r>
      <w:r>
        <w:rPr>
          <w:rFonts w:hint="eastAsia" w:ascii="宋体" w:hAnsi="宋体"/>
          <w:b/>
          <w:color w:val="auto"/>
          <w:sz w:val="24"/>
        </w:rPr>
        <w:t>-2</w:t>
      </w:r>
    </w:p>
    <w:p w14:paraId="785160BA">
      <w:pPr>
        <w:spacing w:line="588" w:lineRule="exact"/>
        <w:jc w:val="center"/>
        <w:rPr>
          <w:rFonts w:ascii="宋体" w:hAnsi="宋体" w:cs="宋体"/>
          <w:b/>
          <w:color w:val="auto"/>
          <w:spacing w:val="6"/>
          <w:sz w:val="32"/>
          <w:szCs w:val="32"/>
        </w:rPr>
      </w:pPr>
      <w:r>
        <w:rPr>
          <w:rFonts w:hint="eastAsia" w:ascii="黑体" w:hAnsi="华文中宋" w:eastAsia="黑体" w:cs="宋体"/>
          <w:bCs/>
          <w:color w:val="auto"/>
          <w:spacing w:val="6"/>
          <w:kern w:val="0"/>
          <w:sz w:val="28"/>
          <w:szCs w:val="28"/>
        </w:rPr>
        <w:t>监狱企业证明资料</w:t>
      </w:r>
    </w:p>
    <w:p w14:paraId="330B58B8">
      <w:pPr>
        <w:spacing w:line="588" w:lineRule="exact"/>
        <w:jc w:val="center"/>
        <w:rPr>
          <w:rFonts w:ascii="宋体" w:hAnsi="宋体" w:cs="宋体"/>
          <w:b/>
          <w:color w:val="auto"/>
          <w:spacing w:val="6"/>
          <w:sz w:val="30"/>
          <w:szCs w:val="30"/>
        </w:rPr>
      </w:pPr>
      <w:r>
        <w:rPr>
          <w:rFonts w:hint="eastAsia" w:ascii="宋体" w:hAnsi="宋体"/>
          <w:b/>
          <w:color w:val="auto"/>
          <w:spacing w:val="6"/>
          <w:szCs w:val="21"/>
        </w:rPr>
        <w:t>(不属于监狱企业的无需提供)</w:t>
      </w:r>
    </w:p>
    <w:p w14:paraId="38B5517D">
      <w:pPr>
        <w:spacing w:line="588" w:lineRule="exact"/>
        <w:ind w:firstLine="444" w:firstLineChars="200"/>
        <w:rPr>
          <w:rFonts w:ascii="宋体" w:hAnsi="宋体" w:cs="宋体"/>
          <w:color w:val="auto"/>
          <w:spacing w:val="6"/>
          <w:szCs w:val="21"/>
        </w:rPr>
      </w:pPr>
    </w:p>
    <w:p w14:paraId="375E6960">
      <w:pPr>
        <w:spacing w:line="588" w:lineRule="exact"/>
        <w:ind w:firstLine="444" w:firstLineChars="200"/>
        <w:rPr>
          <w:rFonts w:ascii="宋体" w:hAnsi="宋体" w:cs="宋体"/>
          <w:color w:val="auto"/>
          <w:spacing w:val="6"/>
          <w:szCs w:val="21"/>
        </w:rPr>
      </w:pPr>
      <w:r>
        <w:rPr>
          <w:rFonts w:hint="eastAsia" w:ascii="宋体" w:hAnsi="宋体" w:cs="宋体"/>
          <w:color w:val="auto"/>
          <w:spacing w:val="6"/>
          <w:szCs w:val="21"/>
        </w:rPr>
        <w:t>备注：按《财政部 司法部关于政府采购支持监狱企业发展有关问题的通知》(财库〔2014〕68号)文件规定提供证明文件（复印件）。</w:t>
      </w:r>
    </w:p>
    <w:p w14:paraId="69C7D7C3">
      <w:pPr>
        <w:spacing w:line="588" w:lineRule="exact"/>
        <w:ind w:firstLine="444" w:firstLineChars="200"/>
        <w:rPr>
          <w:rFonts w:ascii="宋体" w:hAnsi="宋体" w:cs="宋体"/>
          <w:color w:val="auto"/>
          <w:spacing w:val="6"/>
          <w:szCs w:val="21"/>
        </w:rPr>
      </w:pPr>
    </w:p>
    <w:p w14:paraId="5F61A379">
      <w:pPr>
        <w:outlineLvl w:val="9"/>
        <w:rPr>
          <w:rFonts w:hint="eastAsia" w:ascii="仿宋_GB2312" w:hAnsi="宋体" w:eastAsia="仿宋_GB2312"/>
          <w:color w:val="auto"/>
          <w:szCs w:val="21"/>
        </w:rPr>
      </w:pPr>
      <w:r>
        <w:rPr>
          <w:rFonts w:hint="eastAsia" w:ascii="仿宋_GB2312" w:hAnsi="宋体" w:eastAsia="仿宋_GB2312"/>
          <w:color w:val="auto"/>
          <w:szCs w:val="21"/>
        </w:rPr>
        <w:br w:type="page"/>
      </w:r>
    </w:p>
    <w:p w14:paraId="5B1A78B4">
      <w:pPr>
        <w:adjustRightInd w:val="0"/>
        <w:snapToGrid w:val="0"/>
        <w:spacing w:before="50" w:line="360" w:lineRule="auto"/>
        <w:jc w:val="both"/>
        <w:outlineLvl w:val="9"/>
        <w:rPr>
          <w:rFonts w:hint="default" w:ascii="黑体" w:hAnsi="华文中宋" w:eastAsia="宋体" w:cs="宋体"/>
          <w:bCs/>
          <w:color w:val="auto"/>
          <w:spacing w:val="6"/>
          <w:kern w:val="0"/>
          <w:sz w:val="28"/>
          <w:szCs w:val="28"/>
          <w:lang w:val="en-US" w:eastAsia="zh-CN"/>
        </w:rPr>
      </w:pPr>
      <w:r>
        <w:rPr>
          <w:rFonts w:hint="eastAsia" w:ascii="宋体" w:hAnsi="宋体"/>
          <w:b/>
          <w:color w:val="auto"/>
          <w:sz w:val="24"/>
        </w:rPr>
        <w:t>附件</w:t>
      </w:r>
      <w:r>
        <w:rPr>
          <w:rFonts w:hint="eastAsia" w:ascii="宋体" w:hAnsi="宋体"/>
          <w:b/>
          <w:color w:val="auto"/>
          <w:sz w:val="24"/>
          <w:lang w:val="en-US" w:eastAsia="zh-CN"/>
        </w:rPr>
        <w:t>6-3</w:t>
      </w:r>
    </w:p>
    <w:p w14:paraId="381A2383">
      <w:pPr>
        <w:adjustRightInd w:val="0"/>
        <w:snapToGrid w:val="0"/>
        <w:spacing w:before="50" w:line="360" w:lineRule="auto"/>
        <w:jc w:val="center"/>
        <w:outlineLvl w:val="2"/>
        <w:rPr>
          <w:rFonts w:ascii="黑体" w:hAnsi="华文中宋" w:eastAsia="黑体" w:cs="宋体"/>
          <w:bCs/>
          <w:color w:val="auto"/>
          <w:spacing w:val="6"/>
          <w:kern w:val="0"/>
          <w:sz w:val="28"/>
          <w:szCs w:val="28"/>
        </w:rPr>
      </w:pPr>
      <w:bookmarkStart w:id="46" w:name="_Toc4792"/>
      <w:bookmarkStart w:id="47" w:name="_Toc4816"/>
      <w:r>
        <w:rPr>
          <w:rFonts w:hint="eastAsia" w:ascii="黑体" w:hAnsi="华文中宋" w:eastAsia="黑体" w:cs="宋体"/>
          <w:bCs/>
          <w:color w:val="auto"/>
          <w:spacing w:val="6"/>
          <w:kern w:val="0"/>
          <w:sz w:val="28"/>
          <w:szCs w:val="28"/>
        </w:rPr>
        <w:t>“节能产品”、“环境标志产品”证明材料</w:t>
      </w:r>
      <w:bookmarkEnd w:id="46"/>
      <w:bookmarkEnd w:id="47"/>
    </w:p>
    <w:p w14:paraId="4E7F4054">
      <w:pPr>
        <w:adjustRightInd w:val="0"/>
        <w:snapToGrid w:val="0"/>
        <w:spacing w:before="50" w:line="360" w:lineRule="auto"/>
        <w:jc w:val="center"/>
        <w:rPr>
          <w:rFonts w:ascii="宋体" w:hAnsi="宋体"/>
          <w:b/>
          <w:color w:val="auto"/>
        </w:rPr>
      </w:pPr>
      <w:r>
        <w:rPr>
          <w:rFonts w:hint="eastAsia" w:ascii="宋体" w:hAnsi="宋体"/>
          <w:b/>
          <w:color w:val="auto"/>
          <w:spacing w:val="6"/>
          <w:szCs w:val="21"/>
        </w:rPr>
        <w:t>(不属于强制采购或者优先采购产品的无需提供)</w:t>
      </w:r>
    </w:p>
    <w:p w14:paraId="0CA95ADE">
      <w:pPr>
        <w:adjustRightInd w:val="0"/>
        <w:snapToGrid w:val="0"/>
        <w:spacing w:before="50" w:line="360" w:lineRule="auto"/>
        <w:jc w:val="center"/>
        <w:outlineLvl w:val="9"/>
        <w:rPr>
          <w:rFonts w:ascii="宋体" w:hAnsi="宋体"/>
          <w:b/>
          <w:color w:val="auto"/>
        </w:rPr>
      </w:pPr>
    </w:p>
    <w:p w14:paraId="1818CD51">
      <w:pPr>
        <w:pStyle w:val="35"/>
        <w:outlineLvl w:val="9"/>
        <w:rPr>
          <w:color w:val="auto"/>
        </w:rPr>
      </w:pPr>
    </w:p>
    <w:p w14:paraId="6C8DDEFD">
      <w:pPr>
        <w:adjustRightInd w:val="0"/>
        <w:snapToGrid w:val="0"/>
        <w:spacing w:line="600" w:lineRule="auto"/>
        <w:ind w:firstLine="420" w:firstLineChars="200"/>
        <w:outlineLvl w:val="9"/>
        <w:rPr>
          <w:rFonts w:ascii="宋体" w:hAnsi="宋体"/>
          <w:color w:val="auto"/>
        </w:rPr>
      </w:pPr>
      <w:r>
        <w:rPr>
          <w:rFonts w:hint="eastAsia" w:ascii="宋体" w:hAnsi="宋体"/>
          <w:color w:val="auto"/>
        </w:rPr>
        <w:t>说明：1、供应商提供的产品属于下列情形，应提供相关证明材料（财政部发布的最新一期的《节能产品政府采购品目清单》或者《环境标志产品政府采购品目清单》所在页复印件以及国家确定的认证机构出具的处于有效期之内的节能产品、环境标志产品认证证书复印件。</w:t>
      </w:r>
    </w:p>
    <w:p w14:paraId="66A14938">
      <w:pPr>
        <w:adjustRightInd w:val="0"/>
        <w:snapToGrid w:val="0"/>
        <w:spacing w:line="600" w:lineRule="auto"/>
        <w:ind w:firstLine="420" w:firstLineChars="200"/>
        <w:outlineLvl w:val="9"/>
        <w:rPr>
          <w:rFonts w:ascii="宋体" w:hAnsi="宋体"/>
          <w:color w:val="auto"/>
        </w:rPr>
      </w:pPr>
      <w:r>
        <w:rPr>
          <w:rFonts w:hint="eastAsia" w:ascii="宋体" w:hAnsi="宋体"/>
          <w:color w:val="auto"/>
        </w:rPr>
        <w:t>(1)符合政府采购强制采购政策的(《节能产品政府采购品目清单》中标记★符号节能产品及其他强制采购产品)。（财政部发布的最新一期目录所在页）。</w:t>
      </w:r>
    </w:p>
    <w:p w14:paraId="694091C3">
      <w:pPr>
        <w:adjustRightInd w:val="0"/>
        <w:snapToGrid w:val="0"/>
        <w:spacing w:line="600" w:lineRule="auto"/>
        <w:ind w:firstLine="420" w:firstLineChars="200"/>
        <w:outlineLvl w:val="9"/>
        <w:rPr>
          <w:rFonts w:ascii="宋体" w:hAnsi="宋体"/>
          <w:color w:val="auto"/>
        </w:rPr>
      </w:pPr>
      <w:r>
        <w:rPr>
          <w:rFonts w:hint="eastAsia" w:ascii="宋体" w:hAnsi="宋体"/>
          <w:color w:val="auto"/>
        </w:rPr>
        <w:t>(2)符合政府采购优先采购政策的(《节能产品政府采购品目清单》中非标记★符号节能产品，《环境标志产品政府采购品目清单》中环境标志产品。（财政部发布的最新一期目录所在页）。</w:t>
      </w:r>
    </w:p>
    <w:p w14:paraId="49E7827D">
      <w:pPr>
        <w:adjustRightInd w:val="0"/>
        <w:snapToGrid w:val="0"/>
        <w:spacing w:line="600" w:lineRule="auto"/>
        <w:ind w:firstLine="945" w:firstLineChars="450"/>
        <w:outlineLvl w:val="9"/>
        <w:rPr>
          <w:rFonts w:ascii="宋体" w:hAnsi="宋体"/>
          <w:color w:val="auto"/>
        </w:rPr>
      </w:pPr>
      <w:r>
        <w:rPr>
          <w:rFonts w:hint="eastAsia" w:ascii="宋体" w:hAnsi="宋体"/>
          <w:color w:val="auto"/>
        </w:rPr>
        <w:t>2、未按上述要求提供，评审时不予以考虑。</w:t>
      </w:r>
    </w:p>
    <w:p w14:paraId="337710D1">
      <w:pPr>
        <w:jc w:val="both"/>
        <w:outlineLvl w:val="9"/>
        <w:rPr>
          <w:rFonts w:ascii="宋体" w:hAnsi="宋体"/>
          <w:color w:val="auto"/>
        </w:rPr>
        <w:sectPr>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仿宋" w:hAnsi="仿宋" w:eastAsia="仿宋" w:cs="仿宋"/>
          <w:b/>
          <w:bCs/>
          <w:color w:val="auto"/>
          <w:spacing w:val="6"/>
        </w:rPr>
        <w:t>备注：</w:t>
      </w:r>
      <w:r>
        <w:rPr>
          <w:rFonts w:hint="eastAsia" w:ascii="仿宋_GB2312" w:hAnsi="宋体" w:eastAsia="仿宋_GB2312"/>
          <w:b/>
          <w:bCs/>
          <w:color w:val="auto"/>
          <w:szCs w:val="21"/>
        </w:rPr>
        <w:t>不符合的无需提供，请认真阅读财政部有关通知。</w:t>
      </w:r>
      <w:r>
        <w:rPr>
          <w:rFonts w:hint="eastAsia" w:ascii="仿宋_GB2312" w:hAnsi="宋体" w:eastAsia="仿宋_GB2312"/>
          <w:color w:val="auto"/>
          <w:szCs w:val="21"/>
        </w:rPr>
        <w:br w:type="page"/>
      </w:r>
    </w:p>
    <w:p w14:paraId="1EFAFEC0">
      <w:pPr>
        <w:jc w:val="center"/>
        <w:outlineLvl w:val="1"/>
        <w:rPr>
          <w:rFonts w:hint="eastAsia" w:ascii="宋体" w:hAnsi="宋体" w:eastAsia="宋体"/>
          <w:b/>
          <w:color w:val="auto"/>
          <w:sz w:val="32"/>
          <w:szCs w:val="32"/>
          <w:lang w:eastAsia="zh-CN"/>
        </w:rPr>
      </w:pPr>
      <w:bookmarkStart w:id="48" w:name="_Toc16126"/>
      <w:bookmarkStart w:id="49" w:name="_Toc31291"/>
      <w:r>
        <w:rPr>
          <w:rFonts w:hint="eastAsia" w:ascii="宋体" w:hAnsi="宋体"/>
          <w:b/>
          <w:bCs/>
          <w:color w:val="auto"/>
          <w:sz w:val="32"/>
          <w:szCs w:val="32"/>
        </w:rPr>
        <w:t>七、</w:t>
      </w:r>
      <w:bookmarkEnd w:id="48"/>
      <w:bookmarkEnd w:id="49"/>
      <w:r>
        <w:rPr>
          <w:rFonts w:hint="eastAsia" w:ascii="宋体" w:hAnsi="宋体"/>
          <w:b/>
          <w:color w:val="auto"/>
          <w:sz w:val="32"/>
          <w:szCs w:val="32"/>
          <w:lang w:eastAsia="zh-CN"/>
        </w:rPr>
        <w:t>服务响应承诺函</w:t>
      </w:r>
    </w:p>
    <w:p w14:paraId="54EAB3E7">
      <w:pPr>
        <w:ind w:firstLine="803"/>
        <w:jc w:val="center"/>
        <w:outlineLvl w:val="9"/>
        <w:rPr>
          <w:rFonts w:ascii="宋体" w:hAnsi="宋体"/>
          <w:b/>
          <w:color w:val="auto"/>
          <w:sz w:val="24"/>
        </w:rPr>
      </w:pPr>
    </w:p>
    <w:p w14:paraId="161A29C2">
      <w:pPr>
        <w:adjustRightInd w:val="0"/>
        <w:snapToGrid w:val="0"/>
        <w:outlineLvl w:val="9"/>
        <w:rPr>
          <w:rFonts w:hint="eastAsia" w:ascii="宋体" w:hAnsi="宋体" w:eastAsia="宋体"/>
          <w:b/>
          <w:color w:val="auto"/>
          <w:sz w:val="24"/>
          <w:lang w:eastAsia="zh-CN"/>
        </w:rPr>
      </w:pPr>
      <w:r>
        <w:rPr>
          <w:rFonts w:hint="eastAsia" w:ascii="宋体" w:hAnsi="宋体"/>
          <w:b/>
          <w:color w:val="auto"/>
          <w:sz w:val="24"/>
        </w:rPr>
        <w:t>附件</w:t>
      </w:r>
      <w:r>
        <w:rPr>
          <w:rFonts w:hint="eastAsia" w:ascii="宋体" w:hAnsi="宋体"/>
          <w:b/>
          <w:color w:val="auto"/>
          <w:sz w:val="24"/>
          <w:lang w:val="en-US" w:eastAsia="zh-CN"/>
        </w:rPr>
        <w:t>7</w:t>
      </w:r>
    </w:p>
    <w:p w14:paraId="3FBA732B">
      <w:pPr>
        <w:outlineLvl w:val="9"/>
        <w:rPr>
          <w:rFonts w:ascii="宋体" w:hAnsi="宋体"/>
          <w:b/>
          <w:bCs/>
          <w:color w:val="auto"/>
          <w:sz w:val="24"/>
        </w:rPr>
      </w:pPr>
    </w:p>
    <w:p w14:paraId="66BD2F8F">
      <w:pPr>
        <w:jc w:val="center"/>
        <w:outlineLvl w:val="9"/>
        <w:rPr>
          <w:rFonts w:hint="eastAsia" w:ascii="宋体" w:hAnsi="宋体" w:eastAsia="宋体"/>
          <w:b/>
          <w:bCs/>
          <w:color w:val="auto"/>
          <w:sz w:val="24"/>
          <w:lang w:eastAsia="zh-CN"/>
        </w:rPr>
      </w:pPr>
      <w:r>
        <w:rPr>
          <w:rFonts w:hint="eastAsia" w:ascii="宋体" w:hAnsi="宋体"/>
          <w:b/>
          <w:bCs/>
          <w:color w:val="auto"/>
          <w:sz w:val="24"/>
          <w:lang w:eastAsia="zh-CN"/>
        </w:rPr>
        <w:t>服务响应承诺函</w:t>
      </w:r>
    </w:p>
    <w:p w14:paraId="56B66CA6">
      <w:pPr>
        <w:adjustRightInd w:val="0"/>
        <w:snapToGrid w:val="0"/>
        <w:jc w:val="center"/>
        <w:outlineLvl w:val="9"/>
        <w:rPr>
          <w:rFonts w:ascii="宋体" w:hAnsi="宋体"/>
          <w:b/>
          <w:color w:val="auto"/>
          <w:sz w:val="24"/>
        </w:rPr>
      </w:pPr>
    </w:p>
    <w:tbl>
      <w:tblPr>
        <w:tblStyle w:val="50"/>
        <w:tblW w:w="88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7200"/>
      </w:tblGrid>
      <w:tr w14:paraId="7006FD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620" w:type="dxa"/>
            <w:tcBorders>
              <w:top w:val="double" w:color="auto" w:sz="4" w:space="0"/>
              <w:left w:val="double" w:color="auto" w:sz="4" w:space="0"/>
              <w:bottom w:val="single" w:color="auto" w:sz="6" w:space="0"/>
              <w:right w:val="single" w:color="auto" w:sz="6" w:space="0"/>
            </w:tcBorders>
            <w:vAlign w:val="center"/>
          </w:tcPr>
          <w:p w14:paraId="68979646">
            <w:pPr>
              <w:bidi w:val="0"/>
              <w:jc w:val="center"/>
            </w:pPr>
            <w:r>
              <w:rPr>
                <w:rFonts w:hint="eastAsia"/>
              </w:rPr>
              <w:t>项目名称</w:t>
            </w:r>
          </w:p>
        </w:tc>
        <w:tc>
          <w:tcPr>
            <w:tcW w:w="7200" w:type="dxa"/>
            <w:tcBorders>
              <w:top w:val="double" w:color="auto" w:sz="4" w:space="0"/>
              <w:left w:val="single" w:color="auto" w:sz="6" w:space="0"/>
              <w:bottom w:val="single" w:color="auto" w:sz="6" w:space="0"/>
              <w:right w:val="double" w:color="auto" w:sz="4" w:space="0"/>
            </w:tcBorders>
            <w:vAlign w:val="center"/>
          </w:tcPr>
          <w:p w14:paraId="5A7290E0">
            <w:pPr>
              <w:bidi w:val="0"/>
              <w:jc w:val="center"/>
            </w:pPr>
          </w:p>
        </w:tc>
      </w:tr>
      <w:tr w14:paraId="13922A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620" w:type="dxa"/>
            <w:tcBorders>
              <w:top w:val="double" w:color="auto" w:sz="4" w:space="0"/>
              <w:left w:val="double" w:color="auto" w:sz="4" w:space="0"/>
              <w:bottom w:val="single" w:color="auto" w:sz="6" w:space="0"/>
              <w:right w:val="single" w:color="auto" w:sz="6" w:space="0"/>
            </w:tcBorders>
            <w:vAlign w:val="center"/>
          </w:tcPr>
          <w:p w14:paraId="25C38D89">
            <w:pPr>
              <w:bidi w:val="0"/>
              <w:jc w:val="center"/>
              <w:rPr>
                <w:rFonts w:hint="eastAsia"/>
              </w:rPr>
            </w:pPr>
            <w:r>
              <w:rPr>
                <w:rFonts w:hint="eastAsia"/>
                <w:lang w:eastAsia="zh-CN"/>
              </w:rPr>
              <w:t>采购计划编号</w:t>
            </w:r>
          </w:p>
        </w:tc>
        <w:tc>
          <w:tcPr>
            <w:tcW w:w="7200" w:type="dxa"/>
            <w:tcBorders>
              <w:top w:val="double" w:color="auto" w:sz="4" w:space="0"/>
              <w:left w:val="single" w:color="auto" w:sz="6" w:space="0"/>
              <w:bottom w:val="single" w:color="auto" w:sz="6" w:space="0"/>
              <w:right w:val="double" w:color="auto" w:sz="4" w:space="0"/>
            </w:tcBorders>
            <w:vAlign w:val="center"/>
          </w:tcPr>
          <w:p w14:paraId="44AD6905">
            <w:pPr>
              <w:bidi w:val="0"/>
              <w:jc w:val="center"/>
            </w:pPr>
          </w:p>
        </w:tc>
      </w:tr>
      <w:tr w14:paraId="32AF2B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620" w:type="dxa"/>
            <w:tcBorders>
              <w:top w:val="double" w:color="auto" w:sz="4" w:space="0"/>
              <w:left w:val="double" w:color="auto" w:sz="4" w:space="0"/>
              <w:bottom w:val="single" w:color="auto" w:sz="6" w:space="0"/>
              <w:right w:val="single" w:color="auto" w:sz="6" w:space="0"/>
            </w:tcBorders>
            <w:vAlign w:val="center"/>
          </w:tcPr>
          <w:p w14:paraId="3C4FAA61">
            <w:pPr>
              <w:bidi w:val="0"/>
              <w:jc w:val="center"/>
              <w:rPr>
                <w:rFonts w:hint="default"/>
                <w:lang w:val="en-US" w:eastAsia="zh-CN"/>
              </w:rPr>
            </w:pPr>
            <w:r>
              <w:rPr>
                <w:rFonts w:hint="eastAsia"/>
                <w:lang w:val="en-US" w:eastAsia="zh-CN"/>
              </w:rPr>
              <w:t>所投项目标段</w:t>
            </w:r>
          </w:p>
        </w:tc>
        <w:tc>
          <w:tcPr>
            <w:tcW w:w="7200" w:type="dxa"/>
            <w:tcBorders>
              <w:top w:val="double" w:color="auto" w:sz="4" w:space="0"/>
              <w:left w:val="single" w:color="auto" w:sz="6" w:space="0"/>
              <w:bottom w:val="single" w:color="auto" w:sz="6" w:space="0"/>
              <w:right w:val="double" w:color="auto" w:sz="4" w:space="0"/>
            </w:tcBorders>
            <w:vAlign w:val="center"/>
          </w:tcPr>
          <w:p w14:paraId="09FE4004">
            <w:pPr>
              <w:bidi w:val="0"/>
              <w:jc w:val="center"/>
            </w:pPr>
          </w:p>
        </w:tc>
      </w:tr>
      <w:tr w14:paraId="74C0D4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620" w:type="dxa"/>
            <w:tcBorders>
              <w:top w:val="single" w:color="auto" w:sz="6" w:space="0"/>
              <w:left w:val="double" w:color="auto" w:sz="4" w:space="0"/>
              <w:bottom w:val="single" w:color="auto" w:sz="4" w:space="0"/>
              <w:right w:val="single" w:color="auto" w:sz="6" w:space="0"/>
            </w:tcBorders>
            <w:vAlign w:val="center"/>
          </w:tcPr>
          <w:p w14:paraId="540142A0">
            <w:pPr>
              <w:bidi w:val="0"/>
              <w:jc w:val="center"/>
            </w:pPr>
            <w:r>
              <w:rPr>
                <w:rFonts w:hint="eastAsia"/>
                <w:lang w:val="en-US" w:eastAsia="zh-CN"/>
              </w:rPr>
              <w:t>响应承诺</w:t>
            </w:r>
          </w:p>
        </w:tc>
        <w:tc>
          <w:tcPr>
            <w:tcW w:w="7200" w:type="dxa"/>
            <w:tcBorders>
              <w:top w:val="single" w:color="auto" w:sz="6" w:space="0"/>
              <w:left w:val="single" w:color="auto" w:sz="6" w:space="0"/>
              <w:bottom w:val="single" w:color="auto" w:sz="6" w:space="0"/>
              <w:right w:val="double" w:color="auto" w:sz="4" w:space="0"/>
            </w:tcBorders>
            <w:vAlign w:val="center"/>
          </w:tcPr>
          <w:p w14:paraId="2D922F41">
            <w:pPr>
              <w:bidi w:val="0"/>
              <w:jc w:val="center"/>
              <w:rPr>
                <w:rFonts w:hint="default"/>
                <w:lang w:val="en-US" w:eastAsia="zh-CN"/>
              </w:rPr>
            </w:pPr>
            <w:r>
              <w:rPr>
                <w:rFonts w:hint="eastAsia"/>
                <w:lang w:eastAsia="zh-CN"/>
              </w:rPr>
              <w:t>我单位承诺按照磋商文件和采购人要求正确履行项目全部服务内容。</w:t>
            </w:r>
          </w:p>
        </w:tc>
      </w:tr>
      <w:tr w14:paraId="544ED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620" w:type="dxa"/>
            <w:tcBorders>
              <w:top w:val="single" w:color="auto" w:sz="6" w:space="0"/>
              <w:left w:val="double" w:color="auto" w:sz="4" w:space="0"/>
              <w:bottom w:val="single" w:color="auto" w:sz="6" w:space="0"/>
              <w:right w:val="single" w:color="auto" w:sz="6" w:space="0"/>
            </w:tcBorders>
            <w:vAlign w:val="center"/>
          </w:tcPr>
          <w:p w14:paraId="7EC76409">
            <w:pPr>
              <w:bidi w:val="0"/>
              <w:jc w:val="center"/>
              <w:rPr>
                <w:rFonts w:hint="eastAsia"/>
                <w:lang w:eastAsia="zh-CN"/>
              </w:rPr>
            </w:pPr>
            <w:r>
              <w:rPr>
                <w:rFonts w:hint="eastAsia"/>
                <w:lang w:val="en-US" w:eastAsia="zh-CN"/>
              </w:rPr>
              <w:t>服务</w:t>
            </w:r>
            <w:r>
              <w:rPr>
                <w:rFonts w:hint="eastAsia"/>
                <w:lang w:eastAsia="zh-CN"/>
              </w:rPr>
              <w:t>期限</w:t>
            </w:r>
          </w:p>
        </w:tc>
        <w:tc>
          <w:tcPr>
            <w:tcW w:w="7200" w:type="dxa"/>
            <w:tcBorders>
              <w:top w:val="single" w:color="auto" w:sz="6" w:space="0"/>
              <w:left w:val="single" w:color="auto" w:sz="6" w:space="0"/>
              <w:bottom w:val="single" w:color="auto" w:sz="6" w:space="0"/>
              <w:right w:val="double" w:color="auto" w:sz="4" w:space="0"/>
            </w:tcBorders>
            <w:vAlign w:val="center"/>
          </w:tcPr>
          <w:p w14:paraId="4786A1EE">
            <w:pPr>
              <w:bidi w:val="0"/>
              <w:jc w:val="center"/>
              <w:rPr>
                <w:rFonts w:hint="default" w:eastAsia="宋体"/>
                <w:lang w:val="en-US" w:eastAsia="zh-CN"/>
              </w:rPr>
            </w:pPr>
            <w:r>
              <w:rPr>
                <w:rFonts w:hint="eastAsia"/>
                <w:lang w:val="en-US" w:eastAsia="zh-CN"/>
              </w:rPr>
              <w:t>1年</w:t>
            </w:r>
          </w:p>
        </w:tc>
      </w:tr>
      <w:tr w14:paraId="2C4461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620" w:type="dxa"/>
            <w:tcBorders>
              <w:top w:val="single" w:color="auto" w:sz="6" w:space="0"/>
              <w:left w:val="double" w:color="auto" w:sz="4" w:space="0"/>
              <w:bottom w:val="single" w:color="auto" w:sz="6" w:space="0"/>
              <w:right w:val="single" w:color="auto" w:sz="6" w:space="0"/>
            </w:tcBorders>
            <w:vAlign w:val="center"/>
          </w:tcPr>
          <w:p w14:paraId="6054676E">
            <w:pPr>
              <w:bidi w:val="0"/>
              <w:jc w:val="center"/>
            </w:pPr>
            <w:r>
              <w:rPr>
                <w:rFonts w:hint="eastAsia"/>
              </w:rPr>
              <w:t>项目负责人</w:t>
            </w:r>
          </w:p>
        </w:tc>
        <w:tc>
          <w:tcPr>
            <w:tcW w:w="7200" w:type="dxa"/>
            <w:tcBorders>
              <w:top w:val="single" w:color="auto" w:sz="6" w:space="0"/>
              <w:left w:val="single" w:color="auto" w:sz="6" w:space="0"/>
              <w:bottom w:val="single" w:color="auto" w:sz="6" w:space="0"/>
              <w:right w:val="double" w:color="auto" w:sz="4" w:space="0"/>
            </w:tcBorders>
            <w:vAlign w:val="center"/>
          </w:tcPr>
          <w:p w14:paraId="13280509">
            <w:pPr>
              <w:bidi w:val="0"/>
              <w:jc w:val="center"/>
            </w:pPr>
          </w:p>
        </w:tc>
      </w:tr>
    </w:tbl>
    <w:p w14:paraId="65750271">
      <w:pPr>
        <w:adjustRightInd w:val="0"/>
        <w:snapToGrid w:val="0"/>
        <w:spacing w:line="360" w:lineRule="auto"/>
        <w:ind w:left="-88" w:leftChars="-42"/>
        <w:outlineLvl w:val="9"/>
        <w:rPr>
          <w:rFonts w:ascii="宋体" w:hAnsi="宋体"/>
          <w:color w:val="auto"/>
          <w:szCs w:val="21"/>
        </w:rPr>
      </w:pPr>
    </w:p>
    <w:p w14:paraId="0A00B532">
      <w:pPr>
        <w:adjustRightInd w:val="0"/>
        <w:snapToGrid w:val="0"/>
        <w:spacing w:line="360" w:lineRule="auto"/>
        <w:outlineLvl w:val="9"/>
        <w:rPr>
          <w:rFonts w:ascii="宋体" w:hAnsi="宋体"/>
          <w:color w:val="auto"/>
          <w:szCs w:val="21"/>
        </w:rPr>
      </w:pPr>
      <w:r>
        <w:rPr>
          <w:rFonts w:hint="eastAsia" w:ascii="宋体" w:hAnsi="宋体"/>
          <w:color w:val="auto"/>
          <w:szCs w:val="21"/>
        </w:rPr>
        <w:t>供应商（盖单位章）：</w:t>
      </w:r>
    </w:p>
    <w:p w14:paraId="5425A626">
      <w:pPr>
        <w:adjustRightInd w:val="0"/>
        <w:snapToGrid w:val="0"/>
        <w:spacing w:line="360" w:lineRule="auto"/>
        <w:outlineLvl w:val="9"/>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337CF67F">
      <w:pPr>
        <w:adjustRightInd w:val="0"/>
        <w:snapToGrid w:val="0"/>
        <w:spacing w:line="360" w:lineRule="auto"/>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2CE9ECA3">
      <w:pPr>
        <w:adjustRightInd w:val="0"/>
        <w:snapToGrid w:val="0"/>
        <w:outlineLvl w:val="9"/>
        <w:rPr>
          <w:rFonts w:ascii="宋体" w:hAnsi="宋体"/>
          <w:color w:val="auto"/>
          <w:sz w:val="24"/>
        </w:rPr>
      </w:pPr>
    </w:p>
    <w:p w14:paraId="41CDBC72">
      <w:pPr>
        <w:adjustRightInd w:val="0"/>
        <w:snapToGrid w:val="0"/>
        <w:spacing w:line="360" w:lineRule="auto"/>
        <w:outlineLvl w:val="9"/>
        <w:rPr>
          <w:rFonts w:ascii="宋体" w:hAnsi="宋体"/>
          <w:color w:val="auto"/>
          <w:szCs w:val="21"/>
        </w:rPr>
      </w:pPr>
    </w:p>
    <w:p w14:paraId="76E33F83">
      <w:pPr>
        <w:adjustRightInd w:val="0"/>
        <w:snapToGrid w:val="0"/>
        <w:spacing w:line="360" w:lineRule="auto"/>
        <w:outlineLvl w:val="9"/>
        <w:rPr>
          <w:rFonts w:ascii="宋体" w:hAnsi="宋体"/>
          <w:color w:val="auto"/>
          <w:szCs w:val="21"/>
        </w:rPr>
      </w:pPr>
    </w:p>
    <w:p w14:paraId="4613FA4D">
      <w:pPr>
        <w:adjustRightInd w:val="0"/>
        <w:snapToGrid w:val="0"/>
        <w:spacing w:line="360" w:lineRule="auto"/>
        <w:outlineLvl w:val="9"/>
        <w:rPr>
          <w:rFonts w:ascii="仿宋" w:hAnsi="仿宋" w:eastAsia="仿宋" w:cs="仿宋"/>
          <w:color w:val="auto"/>
          <w:szCs w:val="21"/>
        </w:rPr>
      </w:pPr>
    </w:p>
    <w:p w14:paraId="43265FA1">
      <w:pPr>
        <w:adjustRightInd w:val="0"/>
        <w:snapToGrid w:val="0"/>
        <w:spacing w:line="360" w:lineRule="auto"/>
        <w:ind w:firstLine="630" w:firstLineChars="300"/>
        <w:outlineLvl w:val="9"/>
        <w:rPr>
          <w:rFonts w:ascii="仿宋" w:hAnsi="仿宋" w:eastAsia="仿宋" w:cs="仿宋"/>
          <w:color w:val="auto"/>
          <w:szCs w:val="21"/>
        </w:rPr>
      </w:pPr>
    </w:p>
    <w:p w14:paraId="0BD0207E">
      <w:pPr>
        <w:adjustRightInd w:val="0"/>
        <w:snapToGrid w:val="0"/>
        <w:spacing w:line="360" w:lineRule="auto"/>
        <w:outlineLvl w:val="9"/>
        <w:rPr>
          <w:rFonts w:ascii="宋体" w:hAnsi="宋体"/>
          <w:color w:val="auto"/>
          <w:szCs w:val="21"/>
        </w:rPr>
      </w:pPr>
    </w:p>
    <w:p w14:paraId="1FE2454F">
      <w:pPr>
        <w:adjustRightInd w:val="0"/>
        <w:snapToGrid w:val="0"/>
        <w:outlineLvl w:val="9"/>
        <w:rPr>
          <w:rFonts w:ascii="宋体" w:hAnsi="宋体"/>
          <w:b/>
          <w:color w:val="auto"/>
          <w:sz w:val="24"/>
        </w:rPr>
      </w:pPr>
    </w:p>
    <w:p w14:paraId="1DCD6F97">
      <w:pPr>
        <w:widowControl/>
        <w:jc w:val="left"/>
        <w:outlineLvl w:val="9"/>
        <w:rPr>
          <w:rFonts w:ascii="宋体" w:hAnsi="宋体"/>
          <w:b/>
          <w:color w:val="auto"/>
        </w:rPr>
        <w:sectPr>
          <w:pgSz w:w="11906" w:h="16838"/>
          <w:pgMar w:top="1440" w:right="1286" w:bottom="1440" w:left="1800" w:header="851" w:footer="992" w:gutter="0"/>
          <w:pgNumType w:fmt="decimal"/>
          <w:cols w:space="720" w:num="1"/>
          <w:docGrid w:type="lines" w:linePitch="312" w:charSpace="0"/>
        </w:sectPr>
      </w:pPr>
    </w:p>
    <w:p w14:paraId="01D08DFC">
      <w:pPr>
        <w:jc w:val="center"/>
        <w:outlineLvl w:val="1"/>
        <w:rPr>
          <w:rFonts w:ascii="宋体" w:hAnsi="宋体"/>
          <w:b/>
          <w:color w:val="auto"/>
          <w:sz w:val="32"/>
          <w:szCs w:val="32"/>
        </w:rPr>
      </w:pPr>
      <w:bookmarkStart w:id="50" w:name="_Toc23860"/>
      <w:bookmarkStart w:id="51" w:name="_Toc397"/>
      <w:r>
        <w:rPr>
          <w:rFonts w:hint="eastAsia" w:ascii="宋体" w:hAnsi="宋体"/>
          <w:b/>
          <w:bCs/>
          <w:color w:val="auto"/>
          <w:sz w:val="32"/>
          <w:szCs w:val="32"/>
          <w:lang w:val="en-US" w:eastAsia="zh-CN"/>
        </w:rPr>
        <w:t>八</w:t>
      </w:r>
      <w:r>
        <w:rPr>
          <w:rFonts w:hint="eastAsia" w:ascii="宋体" w:hAnsi="宋体"/>
          <w:b/>
          <w:bCs/>
          <w:color w:val="auto"/>
          <w:sz w:val="32"/>
          <w:szCs w:val="32"/>
        </w:rPr>
        <w:t>、</w:t>
      </w:r>
      <w:r>
        <w:rPr>
          <w:rFonts w:hint="eastAsia" w:ascii="宋体" w:hAnsi="宋体"/>
          <w:b/>
          <w:color w:val="auto"/>
          <w:sz w:val="32"/>
          <w:szCs w:val="32"/>
        </w:rPr>
        <w:t>供应商认为需要提供的其它资料</w:t>
      </w:r>
      <w:bookmarkEnd w:id="50"/>
      <w:bookmarkEnd w:id="51"/>
    </w:p>
    <w:p w14:paraId="09928227">
      <w:pPr>
        <w:ind w:firstLine="803"/>
        <w:jc w:val="center"/>
        <w:outlineLvl w:val="9"/>
        <w:rPr>
          <w:rFonts w:ascii="宋体" w:hAnsi="宋体"/>
          <w:b/>
          <w:color w:val="auto"/>
          <w:sz w:val="24"/>
        </w:rPr>
      </w:pPr>
    </w:p>
    <w:p w14:paraId="638831DF">
      <w:pPr>
        <w:adjustRightInd w:val="0"/>
        <w:snapToGrid w:val="0"/>
        <w:outlineLvl w:val="9"/>
        <w:rPr>
          <w:rFonts w:ascii="宋体" w:hAnsi="宋体"/>
          <w:color w:val="auto"/>
          <w:sz w:val="24"/>
        </w:rPr>
      </w:pPr>
    </w:p>
    <w:p w14:paraId="5CE186F7">
      <w:pPr>
        <w:jc w:val="center"/>
        <w:outlineLvl w:val="9"/>
        <w:rPr>
          <w:rFonts w:hint="default" w:ascii="仿宋_GB2312" w:hAnsi="宋体" w:eastAsia="仿宋_GB2312" w:cs="Times New Roman"/>
          <w:b/>
          <w:bCs/>
          <w:color w:val="auto"/>
          <w:szCs w:val="21"/>
          <w:lang w:val="en-US" w:eastAsia="zh-CN"/>
        </w:rPr>
      </w:pPr>
      <w:r>
        <w:rPr>
          <w:rFonts w:hint="eastAsia" w:ascii="仿宋_GB2312" w:hAnsi="宋体" w:eastAsia="仿宋_GB2312" w:cs="Times New Roman"/>
          <w:b/>
          <w:bCs/>
          <w:color w:val="auto"/>
          <w:szCs w:val="21"/>
          <w:lang w:val="en-US" w:eastAsia="zh-CN"/>
        </w:rPr>
        <w:t>备注：包括磋商评分标准中要求的证明材料，格式自拟。</w:t>
      </w:r>
    </w:p>
    <w:p w14:paraId="23348B2D">
      <w:pPr>
        <w:adjustRightInd w:val="0"/>
        <w:snapToGrid w:val="0"/>
        <w:spacing w:line="360" w:lineRule="auto"/>
        <w:outlineLvl w:val="9"/>
        <w:rPr>
          <w:rFonts w:ascii="宋体" w:hAnsi="宋体"/>
          <w:color w:val="auto"/>
          <w:szCs w:val="21"/>
        </w:rPr>
      </w:pPr>
    </w:p>
    <w:p w14:paraId="76F09DC4">
      <w:pPr>
        <w:jc w:val="both"/>
        <w:outlineLvl w:val="9"/>
        <w:rPr>
          <w:rFonts w:hint="eastAsia" w:ascii="宋体" w:hAnsi="宋体"/>
          <w:b/>
          <w:bCs/>
          <w:color w:val="auto"/>
          <w:sz w:val="24"/>
          <w:lang w:eastAsia="zh-CN"/>
        </w:rPr>
      </w:pPr>
    </w:p>
    <w:p w14:paraId="50F06EF7">
      <w:pPr>
        <w:jc w:val="both"/>
        <w:outlineLvl w:val="9"/>
        <w:rPr>
          <w:rFonts w:hint="eastAsia" w:ascii="宋体" w:hAnsi="宋体"/>
          <w:b/>
          <w:bCs/>
          <w:color w:val="auto"/>
          <w:sz w:val="24"/>
          <w:lang w:eastAsia="zh-CN"/>
        </w:rPr>
      </w:pPr>
    </w:p>
    <w:p w14:paraId="7A31BAB4">
      <w:pPr>
        <w:bidi w:val="0"/>
        <w:rPr>
          <w:rFonts w:hint="eastAsia"/>
          <w:lang w:val="en-US" w:eastAsia="zh-CN"/>
        </w:rPr>
      </w:pPr>
    </w:p>
    <w:p w14:paraId="0D3C6BDF">
      <w:pPr>
        <w:bidi w:val="0"/>
        <w:rPr>
          <w:rFonts w:hint="eastAsia"/>
          <w:lang w:val="en-US" w:eastAsia="zh-CN"/>
        </w:rPr>
      </w:pPr>
    </w:p>
    <w:p w14:paraId="71F19E33">
      <w:pPr>
        <w:bidi w:val="0"/>
        <w:rPr>
          <w:rFonts w:hint="eastAsia"/>
          <w:lang w:val="en-US" w:eastAsia="zh-CN"/>
        </w:rPr>
      </w:pPr>
    </w:p>
    <w:p w14:paraId="379D23CD">
      <w:pPr>
        <w:bidi w:val="0"/>
        <w:rPr>
          <w:rFonts w:hint="eastAsia"/>
          <w:lang w:val="en-US" w:eastAsia="zh-CN"/>
        </w:rPr>
      </w:pPr>
    </w:p>
    <w:sectPr>
      <w:headerReference r:id="rId4" w:type="default"/>
      <w:footerReference r:id="rId5"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1EC3564-3FCA-410E-AF29-594A3D71AF4D}"/>
  </w:font>
  <w:font w:name="黑体">
    <w:panose1 w:val="02010609060101010101"/>
    <w:charset w:val="86"/>
    <w:family w:val="auto"/>
    <w:pitch w:val="default"/>
    <w:sig w:usb0="800002BF" w:usb1="38CF7CFA" w:usb2="00000016" w:usb3="00000000" w:csb0="00040001" w:csb1="00000000"/>
    <w:embedRegular r:id="rId2" w:fontKey="{E11799FE-D062-46FF-884D-32B22112BAA1}"/>
  </w:font>
  <w:font w:name="Courier New">
    <w:panose1 w:val="02070309020205020404"/>
    <w:charset w:val="01"/>
    <w:family w:val="modern"/>
    <w:pitch w:val="default"/>
    <w:sig w:usb0="E0002EFF" w:usb1="C0007843" w:usb2="00000009" w:usb3="00000000" w:csb0="400001FF" w:csb1="FFFF0000"/>
    <w:embedRegular r:id="rId3" w:fontKey="{F15382C8-9D1C-4274-8CA6-5191C48DB23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4" w:fontKey="{A85E620D-92D4-4A9B-8594-547DFE2C330E}"/>
  </w:font>
  <w:font w:name="楷体_GB2312">
    <w:altName w:val="楷体"/>
    <w:panose1 w:val="02010609030101010101"/>
    <w:charset w:val="86"/>
    <w:family w:val="modern"/>
    <w:pitch w:val="default"/>
    <w:sig w:usb0="00000000" w:usb1="00000000" w:usb2="00000000" w:usb3="00000000" w:csb0="00040000" w:csb1="00000000"/>
    <w:embedRegular r:id="rId5" w:fontKey="{07C8A5CF-A408-4ED5-B440-04369D0F1DF3}"/>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embedRegular r:id="rId6" w:fontKey="{3B42CB14-F1AC-4577-BC5D-8EA3307B5C97}"/>
  </w:font>
  <w:font w:name="Cambria">
    <w:panose1 w:val="02040503050406030204"/>
    <w:charset w:val="00"/>
    <w:family w:val="roman"/>
    <w:pitch w:val="default"/>
    <w:sig w:usb0="E00006FF" w:usb1="420024FF" w:usb2="02000000" w:usb3="00000000" w:csb0="2000019F" w:csb1="00000000"/>
  </w:font>
  <w:font w:name="Arail">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embedRegular r:id="rId7" w:fontKey="{A83ACD4E-A624-4B05-AF1B-7520DEF3BDBF}"/>
  </w:font>
  <w:font w:name="Arial Unicode MS">
    <w:altName w:val="宋体"/>
    <w:panose1 w:val="020B0604020202020204"/>
    <w:charset w:val="86"/>
    <w:family w:val="roman"/>
    <w:pitch w:val="default"/>
    <w:sig w:usb0="00000000" w:usb1="00000000" w:usb2="0000003F" w:usb3="00000000" w:csb0="603F01FF" w:csb1="FFFF0000"/>
  </w:font>
  <w:font w:name="长城仿宋">
    <w:altName w:val="新宋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8" w:fontKey="{49E37353-3511-4D98-9B75-3F1AB1BF101C}"/>
  </w:font>
  <w:font w:name="方正大标宋简体">
    <w:altName w:val="微软雅黑"/>
    <w:panose1 w:val="02010601030101010101"/>
    <w:charset w:val="86"/>
    <w:family w:val="auto"/>
    <w:pitch w:val="default"/>
    <w:sig w:usb0="00000000" w:usb1="00000000" w:usb2="00000000" w:usb3="00000000" w:csb0="00040000" w:csb1="00000000"/>
    <w:embedRegular r:id="rId9" w:fontKey="{9D2DBF91-68E5-4957-8629-DBCCEA2A7EBB}"/>
  </w:font>
  <w:font w:name="微软雅黑">
    <w:panose1 w:val="020B0503020204020204"/>
    <w:charset w:val="86"/>
    <w:family w:val="auto"/>
    <w:pitch w:val="default"/>
    <w:sig w:usb0="80000287" w:usb1="2ACF3C50" w:usb2="00000016" w:usb3="00000000" w:csb0="0004001F" w:csb1="00000000"/>
    <w:embedRegular r:id="rId10" w:fontKey="{038FA5F9-0D0C-4C6C-8E59-B8124C4B7FD0}"/>
  </w:font>
  <w:font w:name="MingLiU">
    <w:altName w:val="PMingLiU-ExtB"/>
    <w:panose1 w:val="02020509000000000000"/>
    <w:charset w:val="88"/>
    <w:family w:val="modern"/>
    <w:pitch w:val="default"/>
    <w:sig w:usb0="00000000" w:usb1="00000000" w:usb2="00000016" w:usb3="00000000" w:csb0="00100001" w:csb1="00000000"/>
    <w:embedRegular r:id="rId11" w:fontKey="{F841C6E4-61CD-40C4-BE2F-14663612BA47}"/>
  </w:font>
  <w:font w:name="ˎ̥">
    <w:altName w:val="Times New Roman"/>
    <w:panose1 w:val="00000000000000000000"/>
    <w:charset w:val="00"/>
    <w:family w:val="roman"/>
    <w:pitch w:val="default"/>
    <w:sig w:usb0="00000000" w:usb1="00000000" w:usb2="00000000" w:usb3="00000000" w:csb0="00040001" w:csb1="00000000"/>
    <w:embedRegular r:id="rId12" w:fontKey="{A95725C7-463A-4C92-8957-D798BD09C522}"/>
  </w:font>
  <w:font w:name="Wingdings 2">
    <w:panose1 w:val="05020102010507070707"/>
    <w:charset w:val="00"/>
    <w:family w:val="auto"/>
    <w:pitch w:val="default"/>
    <w:sig w:usb0="00000000" w:usb1="00000000" w:usb2="00000000" w:usb3="00000000" w:csb0="80000000" w:csb1="00000000"/>
    <w:embedRegular r:id="rId13" w:fontKey="{6ABC1EE9-DD8C-465E-907A-751EB9808B4E}"/>
  </w:font>
  <w:font w:name="华文行楷">
    <w:panose1 w:val="02010800040101010101"/>
    <w:charset w:val="86"/>
    <w:family w:val="auto"/>
    <w:pitch w:val="default"/>
    <w:sig w:usb0="00000001" w:usb1="080F0000" w:usb2="00000000" w:usb3="00000000" w:csb0="00040000" w:csb1="00000000"/>
    <w:embedRegular r:id="rId14" w:fontKey="{8DAC2659-7DFC-4D35-BDE0-5B939AA1CC3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BCD46">
    <w:pPr>
      <w:pStyle w:val="3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9B793">
                          <w:pPr>
                            <w:pStyle w:val="32"/>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E89B793">
                    <w:pPr>
                      <w:pStyle w:val="32"/>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5EE7E">
    <w:pPr>
      <w:pStyle w:val="32"/>
      <w:ind w:right="360"/>
      <w:jc w:val="right"/>
      <w:rPr>
        <w:rFonts w:eastAsia="楷体_GB2312"/>
      </w:rP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96BC74">
                          <w:pPr>
                            <w:pStyle w:val="32"/>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396BC74">
                    <w:pPr>
                      <w:pStyle w:val="32"/>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r>
      <w:rPr>
        <w:rFonts w:hint="eastAsia" w:eastAsia="楷体_GB2312"/>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9757C">
    <w:pPr>
      <w:pStyle w:val="34"/>
      <w:pBdr>
        <w:bottom w:val="none" w:color="auto" w:sz="0" w:space="1"/>
      </w:pBdr>
      <w:jc w:val="both"/>
      <w:rPr>
        <w:rFonts w:eastAsia="华文行楷"/>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wODljODQ5ZTJjZWUxZjRlZDYxYjgyMTc0YzhjYWMifQ=="/>
  </w:docVars>
  <w:rsids>
    <w:rsidRoot w:val="00172A27"/>
    <w:rsid w:val="00000B79"/>
    <w:rsid w:val="00001D41"/>
    <w:rsid w:val="00004479"/>
    <w:rsid w:val="00005FD1"/>
    <w:rsid w:val="00006C78"/>
    <w:rsid w:val="00016152"/>
    <w:rsid w:val="00020F53"/>
    <w:rsid w:val="000231B4"/>
    <w:rsid w:val="00030FA3"/>
    <w:rsid w:val="00031F1A"/>
    <w:rsid w:val="0003681C"/>
    <w:rsid w:val="0004081A"/>
    <w:rsid w:val="00041B54"/>
    <w:rsid w:val="00043446"/>
    <w:rsid w:val="0004542B"/>
    <w:rsid w:val="00045EED"/>
    <w:rsid w:val="00047B4E"/>
    <w:rsid w:val="000541E2"/>
    <w:rsid w:val="000565FA"/>
    <w:rsid w:val="00056A7C"/>
    <w:rsid w:val="000633A3"/>
    <w:rsid w:val="000647AE"/>
    <w:rsid w:val="00072104"/>
    <w:rsid w:val="00075048"/>
    <w:rsid w:val="00075E73"/>
    <w:rsid w:val="00086F05"/>
    <w:rsid w:val="0009073C"/>
    <w:rsid w:val="00090C66"/>
    <w:rsid w:val="0009122F"/>
    <w:rsid w:val="000912F9"/>
    <w:rsid w:val="00092B34"/>
    <w:rsid w:val="000932A2"/>
    <w:rsid w:val="00093C12"/>
    <w:rsid w:val="00093D29"/>
    <w:rsid w:val="000962A0"/>
    <w:rsid w:val="000A00EB"/>
    <w:rsid w:val="000A03D4"/>
    <w:rsid w:val="000A3939"/>
    <w:rsid w:val="000A5463"/>
    <w:rsid w:val="000A66AB"/>
    <w:rsid w:val="000B0BCE"/>
    <w:rsid w:val="000B3E59"/>
    <w:rsid w:val="000B4D99"/>
    <w:rsid w:val="000B5410"/>
    <w:rsid w:val="000B6C43"/>
    <w:rsid w:val="000C3167"/>
    <w:rsid w:val="000C654C"/>
    <w:rsid w:val="000D292B"/>
    <w:rsid w:val="000D55CE"/>
    <w:rsid w:val="000D7761"/>
    <w:rsid w:val="000E132F"/>
    <w:rsid w:val="000E1E0A"/>
    <w:rsid w:val="000E24DE"/>
    <w:rsid w:val="000E34EC"/>
    <w:rsid w:val="000E3DB9"/>
    <w:rsid w:val="000E55E4"/>
    <w:rsid w:val="000F19CE"/>
    <w:rsid w:val="000F2368"/>
    <w:rsid w:val="000F3D54"/>
    <w:rsid w:val="000F3FEF"/>
    <w:rsid w:val="000F54C2"/>
    <w:rsid w:val="000F56E8"/>
    <w:rsid w:val="000F6EB5"/>
    <w:rsid w:val="00101E09"/>
    <w:rsid w:val="00105C07"/>
    <w:rsid w:val="00106AB4"/>
    <w:rsid w:val="00113DF6"/>
    <w:rsid w:val="0011412D"/>
    <w:rsid w:val="001171B8"/>
    <w:rsid w:val="00131B10"/>
    <w:rsid w:val="001328A6"/>
    <w:rsid w:val="001334F8"/>
    <w:rsid w:val="00133A79"/>
    <w:rsid w:val="00134436"/>
    <w:rsid w:val="00134979"/>
    <w:rsid w:val="00134E96"/>
    <w:rsid w:val="00137B46"/>
    <w:rsid w:val="00137ECE"/>
    <w:rsid w:val="001402A9"/>
    <w:rsid w:val="00140C27"/>
    <w:rsid w:val="00141E41"/>
    <w:rsid w:val="001420B5"/>
    <w:rsid w:val="00143CE6"/>
    <w:rsid w:val="00143D06"/>
    <w:rsid w:val="00146BD9"/>
    <w:rsid w:val="00147CF0"/>
    <w:rsid w:val="00153A35"/>
    <w:rsid w:val="0015545D"/>
    <w:rsid w:val="00156CAA"/>
    <w:rsid w:val="00157582"/>
    <w:rsid w:val="001616C8"/>
    <w:rsid w:val="0017259F"/>
    <w:rsid w:val="00172A27"/>
    <w:rsid w:val="0017488B"/>
    <w:rsid w:val="00176634"/>
    <w:rsid w:val="0018325E"/>
    <w:rsid w:val="00184045"/>
    <w:rsid w:val="00184A07"/>
    <w:rsid w:val="001861D6"/>
    <w:rsid w:val="00186C6B"/>
    <w:rsid w:val="00193FD2"/>
    <w:rsid w:val="00196F3A"/>
    <w:rsid w:val="00197AD6"/>
    <w:rsid w:val="001A1A39"/>
    <w:rsid w:val="001A1A41"/>
    <w:rsid w:val="001A2879"/>
    <w:rsid w:val="001A2908"/>
    <w:rsid w:val="001A3C8E"/>
    <w:rsid w:val="001A4C33"/>
    <w:rsid w:val="001B0612"/>
    <w:rsid w:val="001B18FA"/>
    <w:rsid w:val="001B4AD3"/>
    <w:rsid w:val="001B4BA3"/>
    <w:rsid w:val="001B623E"/>
    <w:rsid w:val="001C2F9B"/>
    <w:rsid w:val="001C4D58"/>
    <w:rsid w:val="001C584C"/>
    <w:rsid w:val="001C6314"/>
    <w:rsid w:val="001C68E5"/>
    <w:rsid w:val="001C6FE3"/>
    <w:rsid w:val="001C74C7"/>
    <w:rsid w:val="001D0EFC"/>
    <w:rsid w:val="001E0BCB"/>
    <w:rsid w:val="001E72E1"/>
    <w:rsid w:val="001F013C"/>
    <w:rsid w:val="001F0C4B"/>
    <w:rsid w:val="001F59C3"/>
    <w:rsid w:val="001F7B3A"/>
    <w:rsid w:val="002010D9"/>
    <w:rsid w:val="00201717"/>
    <w:rsid w:val="00204CA1"/>
    <w:rsid w:val="00206F0D"/>
    <w:rsid w:val="00207B61"/>
    <w:rsid w:val="00211C89"/>
    <w:rsid w:val="00212532"/>
    <w:rsid w:val="002137C6"/>
    <w:rsid w:val="00216EDC"/>
    <w:rsid w:val="00221BD8"/>
    <w:rsid w:val="002222CE"/>
    <w:rsid w:val="00224D70"/>
    <w:rsid w:val="00226B69"/>
    <w:rsid w:val="00230DAB"/>
    <w:rsid w:val="00231D02"/>
    <w:rsid w:val="0023324F"/>
    <w:rsid w:val="00234E11"/>
    <w:rsid w:val="002354C5"/>
    <w:rsid w:val="00236E22"/>
    <w:rsid w:val="002379B9"/>
    <w:rsid w:val="00242544"/>
    <w:rsid w:val="002504A9"/>
    <w:rsid w:val="00250F17"/>
    <w:rsid w:val="00252D56"/>
    <w:rsid w:val="00254025"/>
    <w:rsid w:val="0025522D"/>
    <w:rsid w:val="00260585"/>
    <w:rsid w:val="00262CD6"/>
    <w:rsid w:val="002719F7"/>
    <w:rsid w:val="002756B8"/>
    <w:rsid w:val="0028062A"/>
    <w:rsid w:val="0028069D"/>
    <w:rsid w:val="00283082"/>
    <w:rsid w:val="00283F13"/>
    <w:rsid w:val="00286E82"/>
    <w:rsid w:val="00292728"/>
    <w:rsid w:val="002933E3"/>
    <w:rsid w:val="002938EA"/>
    <w:rsid w:val="002A085A"/>
    <w:rsid w:val="002A373E"/>
    <w:rsid w:val="002A5DD9"/>
    <w:rsid w:val="002A6675"/>
    <w:rsid w:val="002A7E72"/>
    <w:rsid w:val="002B0361"/>
    <w:rsid w:val="002B19DF"/>
    <w:rsid w:val="002B51E5"/>
    <w:rsid w:val="002C4B54"/>
    <w:rsid w:val="002C4FEA"/>
    <w:rsid w:val="002C5F39"/>
    <w:rsid w:val="002D1AF7"/>
    <w:rsid w:val="002E1337"/>
    <w:rsid w:val="002E1C48"/>
    <w:rsid w:val="002E69AC"/>
    <w:rsid w:val="002E74AE"/>
    <w:rsid w:val="002E7A1E"/>
    <w:rsid w:val="002F3625"/>
    <w:rsid w:val="002F4E9F"/>
    <w:rsid w:val="002F56B1"/>
    <w:rsid w:val="002F58FA"/>
    <w:rsid w:val="002F5BF1"/>
    <w:rsid w:val="002F5C51"/>
    <w:rsid w:val="0030124F"/>
    <w:rsid w:val="003062DC"/>
    <w:rsid w:val="00312B63"/>
    <w:rsid w:val="003144EB"/>
    <w:rsid w:val="003160AE"/>
    <w:rsid w:val="00316A8C"/>
    <w:rsid w:val="00321F52"/>
    <w:rsid w:val="00322815"/>
    <w:rsid w:val="00324294"/>
    <w:rsid w:val="00324681"/>
    <w:rsid w:val="00325023"/>
    <w:rsid w:val="00325213"/>
    <w:rsid w:val="00325E33"/>
    <w:rsid w:val="00326BC9"/>
    <w:rsid w:val="00335115"/>
    <w:rsid w:val="00335C8E"/>
    <w:rsid w:val="003405CA"/>
    <w:rsid w:val="00342BF6"/>
    <w:rsid w:val="00342F68"/>
    <w:rsid w:val="00346C3D"/>
    <w:rsid w:val="003509FD"/>
    <w:rsid w:val="003536E7"/>
    <w:rsid w:val="003543F9"/>
    <w:rsid w:val="00355E0C"/>
    <w:rsid w:val="00356D8E"/>
    <w:rsid w:val="00360414"/>
    <w:rsid w:val="003604F4"/>
    <w:rsid w:val="00361E97"/>
    <w:rsid w:val="003635CD"/>
    <w:rsid w:val="00366DC2"/>
    <w:rsid w:val="0037704C"/>
    <w:rsid w:val="00380DDC"/>
    <w:rsid w:val="0039234B"/>
    <w:rsid w:val="00395CC9"/>
    <w:rsid w:val="00396C13"/>
    <w:rsid w:val="0039790E"/>
    <w:rsid w:val="003A0914"/>
    <w:rsid w:val="003A38CF"/>
    <w:rsid w:val="003A5444"/>
    <w:rsid w:val="003A5799"/>
    <w:rsid w:val="003B1604"/>
    <w:rsid w:val="003B3539"/>
    <w:rsid w:val="003B5682"/>
    <w:rsid w:val="003B67E6"/>
    <w:rsid w:val="003B7CE5"/>
    <w:rsid w:val="003C2078"/>
    <w:rsid w:val="003C4B54"/>
    <w:rsid w:val="003C66D7"/>
    <w:rsid w:val="003C72C7"/>
    <w:rsid w:val="003C7A4F"/>
    <w:rsid w:val="003D11E6"/>
    <w:rsid w:val="003D312A"/>
    <w:rsid w:val="003D56B6"/>
    <w:rsid w:val="003E0538"/>
    <w:rsid w:val="003E2498"/>
    <w:rsid w:val="003E67EC"/>
    <w:rsid w:val="003E6D23"/>
    <w:rsid w:val="003F2028"/>
    <w:rsid w:val="003F43D8"/>
    <w:rsid w:val="003F4E17"/>
    <w:rsid w:val="00403775"/>
    <w:rsid w:val="00406A95"/>
    <w:rsid w:val="00406C27"/>
    <w:rsid w:val="00410AED"/>
    <w:rsid w:val="004112DD"/>
    <w:rsid w:val="0041253F"/>
    <w:rsid w:val="00414771"/>
    <w:rsid w:val="0042097D"/>
    <w:rsid w:val="00421246"/>
    <w:rsid w:val="00423AFC"/>
    <w:rsid w:val="00423EEA"/>
    <w:rsid w:val="004265A8"/>
    <w:rsid w:val="0042661A"/>
    <w:rsid w:val="00426C2A"/>
    <w:rsid w:val="004300BC"/>
    <w:rsid w:val="00431D39"/>
    <w:rsid w:val="00432A94"/>
    <w:rsid w:val="00434BB1"/>
    <w:rsid w:val="00434D76"/>
    <w:rsid w:val="004417B0"/>
    <w:rsid w:val="0044406E"/>
    <w:rsid w:val="00446402"/>
    <w:rsid w:val="004521CF"/>
    <w:rsid w:val="0045404C"/>
    <w:rsid w:val="0045543A"/>
    <w:rsid w:val="004557E9"/>
    <w:rsid w:val="004562DE"/>
    <w:rsid w:val="00456CC8"/>
    <w:rsid w:val="00460117"/>
    <w:rsid w:val="004601A1"/>
    <w:rsid w:val="004615B9"/>
    <w:rsid w:val="00461EB7"/>
    <w:rsid w:val="00465A0C"/>
    <w:rsid w:val="00465D94"/>
    <w:rsid w:val="00473E9A"/>
    <w:rsid w:val="00474999"/>
    <w:rsid w:val="00475908"/>
    <w:rsid w:val="00476D20"/>
    <w:rsid w:val="0048158F"/>
    <w:rsid w:val="00482A7C"/>
    <w:rsid w:val="00482D8A"/>
    <w:rsid w:val="0048779E"/>
    <w:rsid w:val="00490CB3"/>
    <w:rsid w:val="0049111F"/>
    <w:rsid w:val="00493842"/>
    <w:rsid w:val="00493D3D"/>
    <w:rsid w:val="004A253E"/>
    <w:rsid w:val="004A2AF3"/>
    <w:rsid w:val="004A328C"/>
    <w:rsid w:val="004A3F0C"/>
    <w:rsid w:val="004A5F4A"/>
    <w:rsid w:val="004A7C0C"/>
    <w:rsid w:val="004B2118"/>
    <w:rsid w:val="004B2974"/>
    <w:rsid w:val="004B2E54"/>
    <w:rsid w:val="004B5FDD"/>
    <w:rsid w:val="004B71AD"/>
    <w:rsid w:val="004C1E31"/>
    <w:rsid w:val="004C2B47"/>
    <w:rsid w:val="004C4A07"/>
    <w:rsid w:val="004C5C3C"/>
    <w:rsid w:val="004C751A"/>
    <w:rsid w:val="004D02BD"/>
    <w:rsid w:val="004D3DD8"/>
    <w:rsid w:val="004D5420"/>
    <w:rsid w:val="004E105C"/>
    <w:rsid w:val="004E380F"/>
    <w:rsid w:val="004E3C53"/>
    <w:rsid w:val="004F2B41"/>
    <w:rsid w:val="004F5C7B"/>
    <w:rsid w:val="004F6B70"/>
    <w:rsid w:val="004F7D2A"/>
    <w:rsid w:val="00504E99"/>
    <w:rsid w:val="005063C5"/>
    <w:rsid w:val="00507731"/>
    <w:rsid w:val="0051283F"/>
    <w:rsid w:val="005128CA"/>
    <w:rsid w:val="00513234"/>
    <w:rsid w:val="005140D5"/>
    <w:rsid w:val="00514E7F"/>
    <w:rsid w:val="00515983"/>
    <w:rsid w:val="00521454"/>
    <w:rsid w:val="0052154C"/>
    <w:rsid w:val="00522C81"/>
    <w:rsid w:val="00524341"/>
    <w:rsid w:val="00524A1C"/>
    <w:rsid w:val="00526380"/>
    <w:rsid w:val="00527DB6"/>
    <w:rsid w:val="00530168"/>
    <w:rsid w:val="0053016D"/>
    <w:rsid w:val="00530AC4"/>
    <w:rsid w:val="005341E7"/>
    <w:rsid w:val="00534559"/>
    <w:rsid w:val="005375A7"/>
    <w:rsid w:val="005376C8"/>
    <w:rsid w:val="00540E5C"/>
    <w:rsid w:val="00545AF3"/>
    <w:rsid w:val="005462BE"/>
    <w:rsid w:val="00552079"/>
    <w:rsid w:val="00553BBE"/>
    <w:rsid w:val="00557AE8"/>
    <w:rsid w:val="00560463"/>
    <w:rsid w:val="0056175A"/>
    <w:rsid w:val="00561975"/>
    <w:rsid w:val="005671E4"/>
    <w:rsid w:val="00571962"/>
    <w:rsid w:val="00572CCC"/>
    <w:rsid w:val="0057451D"/>
    <w:rsid w:val="0057519F"/>
    <w:rsid w:val="005771A0"/>
    <w:rsid w:val="00580221"/>
    <w:rsid w:val="00585BB1"/>
    <w:rsid w:val="00587474"/>
    <w:rsid w:val="005916E0"/>
    <w:rsid w:val="00591709"/>
    <w:rsid w:val="0059273E"/>
    <w:rsid w:val="00594434"/>
    <w:rsid w:val="00595C6D"/>
    <w:rsid w:val="00596447"/>
    <w:rsid w:val="005A043F"/>
    <w:rsid w:val="005A1416"/>
    <w:rsid w:val="005A2273"/>
    <w:rsid w:val="005A2967"/>
    <w:rsid w:val="005A2CF2"/>
    <w:rsid w:val="005A2EB9"/>
    <w:rsid w:val="005A4458"/>
    <w:rsid w:val="005A4BFB"/>
    <w:rsid w:val="005A4C09"/>
    <w:rsid w:val="005A5EA3"/>
    <w:rsid w:val="005A7F23"/>
    <w:rsid w:val="005B0CFB"/>
    <w:rsid w:val="005B1271"/>
    <w:rsid w:val="005B32BF"/>
    <w:rsid w:val="005B5B0F"/>
    <w:rsid w:val="005B694F"/>
    <w:rsid w:val="005C3647"/>
    <w:rsid w:val="005C5431"/>
    <w:rsid w:val="005C63B1"/>
    <w:rsid w:val="005C750D"/>
    <w:rsid w:val="005D2709"/>
    <w:rsid w:val="005D5E29"/>
    <w:rsid w:val="005E18BD"/>
    <w:rsid w:val="005E2798"/>
    <w:rsid w:val="005E2E51"/>
    <w:rsid w:val="005E664A"/>
    <w:rsid w:val="005F12D1"/>
    <w:rsid w:val="005F2103"/>
    <w:rsid w:val="005F2802"/>
    <w:rsid w:val="005F4A8B"/>
    <w:rsid w:val="005F6AAD"/>
    <w:rsid w:val="005F7CB3"/>
    <w:rsid w:val="00604317"/>
    <w:rsid w:val="006063B6"/>
    <w:rsid w:val="0061041E"/>
    <w:rsid w:val="0061165B"/>
    <w:rsid w:val="00611AE6"/>
    <w:rsid w:val="00614208"/>
    <w:rsid w:val="0061578C"/>
    <w:rsid w:val="00616363"/>
    <w:rsid w:val="0061733A"/>
    <w:rsid w:val="00626C76"/>
    <w:rsid w:val="0063021A"/>
    <w:rsid w:val="006308DC"/>
    <w:rsid w:val="00633B89"/>
    <w:rsid w:val="00634C2E"/>
    <w:rsid w:val="00634F88"/>
    <w:rsid w:val="00635D34"/>
    <w:rsid w:val="006440E3"/>
    <w:rsid w:val="006444E2"/>
    <w:rsid w:val="0064776A"/>
    <w:rsid w:val="00650C39"/>
    <w:rsid w:val="00652429"/>
    <w:rsid w:val="00655F9B"/>
    <w:rsid w:val="0065701C"/>
    <w:rsid w:val="006576CE"/>
    <w:rsid w:val="006669C1"/>
    <w:rsid w:val="00671B1F"/>
    <w:rsid w:val="00671F80"/>
    <w:rsid w:val="0067202E"/>
    <w:rsid w:val="00674CDA"/>
    <w:rsid w:val="00674F20"/>
    <w:rsid w:val="00680162"/>
    <w:rsid w:val="00681189"/>
    <w:rsid w:val="0068146B"/>
    <w:rsid w:val="0068188A"/>
    <w:rsid w:val="00686578"/>
    <w:rsid w:val="00690BD9"/>
    <w:rsid w:val="00692888"/>
    <w:rsid w:val="00692C39"/>
    <w:rsid w:val="00692E71"/>
    <w:rsid w:val="00693077"/>
    <w:rsid w:val="006966FD"/>
    <w:rsid w:val="006A24AE"/>
    <w:rsid w:val="006A6092"/>
    <w:rsid w:val="006A782C"/>
    <w:rsid w:val="006B1455"/>
    <w:rsid w:val="006B2279"/>
    <w:rsid w:val="006B468A"/>
    <w:rsid w:val="006B6DB7"/>
    <w:rsid w:val="006B724C"/>
    <w:rsid w:val="006C0425"/>
    <w:rsid w:val="006C498F"/>
    <w:rsid w:val="006C572E"/>
    <w:rsid w:val="006D2730"/>
    <w:rsid w:val="006D37AE"/>
    <w:rsid w:val="006D5E04"/>
    <w:rsid w:val="006D6074"/>
    <w:rsid w:val="006E109F"/>
    <w:rsid w:val="006F075D"/>
    <w:rsid w:val="006F2928"/>
    <w:rsid w:val="006F504B"/>
    <w:rsid w:val="006F7576"/>
    <w:rsid w:val="00700CE8"/>
    <w:rsid w:val="007027C0"/>
    <w:rsid w:val="00703F2C"/>
    <w:rsid w:val="00704571"/>
    <w:rsid w:val="007063AD"/>
    <w:rsid w:val="007069D9"/>
    <w:rsid w:val="00710CA1"/>
    <w:rsid w:val="00712110"/>
    <w:rsid w:val="00712ADD"/>
    <w:rsid w:val="00712F6F"/>
    <w:rsid w:val="00713799"/>
    <w:rsid w:val="00714269"/>
    <w:rsid w:val="007159C0"/>
    <w:rsid w:val="007160A4"/>
    <w:rsid w:val="00723583"/>
    <w:rsid w:val="007247CA"/>
    <w:rsid w:val="00724842"/>
    <w:rsid w:val="00726886"/>
    <w:rsid w:val="00726DA7"/>
    <w:rsid w:val="007279AA"/>
    <w:rsid w:val="00730C1E"/>
    <w:rsid w:val="00731075"/>
    <w:rsid w:val="007354AE"/>
    <w:rsid w:val="00740E71"/>
    <w:rsid w:val="00741BD3"/>
    <w:rsid w:val="007428EB"/>
    <w:rsid w:val="00744597"/>
    <w:rsid w:val="00744D5C"/>
    <w:rsid w:val="00744E0B"/>
    <w:rsid w:val="00746D05"/>
    <w:rsid w:val="0075027D"/>
    <w:rsid w:val="00750DC5"/>
    <w:rsid w:val="00751A35"/>
    <w:rsid w:val="007527F2"/>
    <w:rsid w:val="00754643"/>
    <w:rsid w:val="00754C33"/>
    <w:rsid w:val="00755EF6"/>
    <w:rsid w:val="00757B37"/>
    <w:rsid w:val="0076197F"/>
    <w:rsid w:val="00762F1B"/>
    <w:rsid w:val="00765981"/>
    <w:rsid w:val="0077235D"/>
    <w:rsid w:val="00773D28"/>
    <w:rsid w:val="00774158"/>
    <w:rsid w:val="0077598C"/>
    <w:rsid w:val="00781094"/>
    <w:rsid w:val="00781BED"/>
    <w:rsid w:val="00782FC5"/>
    <w:rsid w:val="00783A82"/>
    <w:rsid w:val="0078574D"/>
    <w:rsid w:val="00785A9F"/>
    <w:rsid w:val="007865BD"/>
    <w:rsid w:val="007909C3"/>
    <w:rsid w:val="00790B3C"/>
    <w:rsid w:val="00792455"/>
    <w:rsid w:val="00792842"/>
    <w:rsid w:val="00793983"/>
    <w:rsid w:val="007A070E"/>
    <w:rsid w:val="007A16DD"/>
    <w:rsid w:val="007A75C0"/>
    <w:rsid w:val="007A7652"/>
    <w:rsid w:val="007B0219"/>
    <w:rsid w:val="007B055F"/>
    <w:rsid w:val="007B16BB"/>
    <w:rsid w:val="007B2886"/>
    <w:rsid w:val="007B4EDD"/>
    <w:rsid w:val="007B55F1"/>
    <w:rsid w:val="007B6B90"/>
    <w:rsid w:val="007C0882"/>
    <w:rsid w:val="007C5745"/>
    <w:rsid w:val="007C57E6"/>
    <w:rsid w:val="007C5D15"/>
    <w:rsid w:val="007D5605"/>
    <w:rsid w:val="007D5C76"/>
    <w:rsid w:val="007D61B1"/>
    <w:rsid w:val="007E0B55"/>
    <w:rsid w:val="007E686A"/>
    <w:rsid w:val="007E7B18"/>
    <w:rsid w:val="007F092D"/>
    <w:rsid w:val="007F29E0"/>
    <w:rsid w:val="007F5030"/>
    <w:rsid w:val="007F55C7"/>
    <w:rsid w:val="00803B06"/>
    <w:rsid w:val="008055EA"/>
    <w:rsid w:val="00805D13"/>
    <w:rsid w:val="00806F7E"/>
    <w:rsid w:val="008100BE"/>
    <w:rsid w:val="0081197A"/>
    <w:rsid w:val="00816EF8"/>
    <w:rsid w:val="008235CE"/>
    <w:rsid w:val="00823E22"/>
    <w:rsid w:val="0082694A"/>
    <w:rsid w:val="008315AD"/>
    <w:rsid w:val="00831F98"/>
    <w:rsid w:val="008371AF"/>
    <w:rsid w:val="0083782F"/>
    <w:rsid w:val="0084318F"/>
    <w:rsid w:val="0084453D"/>
    <w:rsid w:val="008449C7"/>
    <w:rsid w:val="00844FB2"/>
    <w:rsid w:val="0084665D"/>
    <w:rsid w:val="008500DB"/>
    <w:rsid w:val="00850C27"/>
    <w:rsid w:val="00854646"/>
    <w:rsid w:val="0085493C"/>
    <w:rsid w:val="0086047D"/>
    <w:rsid w:val="008611A7"/>
    <w:rsid w:val="00862EA4"/>
    <w:rsid w:val="00862EEB"/>
    <w:rsid w:val="0087469A"/>
    <w:rsid w:val="00887526"/>
    <w:rsid w:val="0089001B"/>
    <w:rsid w:val="008945AA"/>
    <w:rsid w:val="00895084"/>
    <w:rsid w:val="00895B66"/>
    <w:rsid w:val="00897918"/>
    <w:rsid w:val="00897AC7"/>
    <w:rsid w:val="008A0DED"/>
    <w:rsid w:val="008A0FAF"/>
    <w:rsid w:val="008A1AC2"/>
    <w:rsid w:val="008A4B65"/>
    <w:rsid w:val="008B14D3"/>
    <w:rsid w:val="008B49B3"/>
    <w:rsid w:val="008B5455"/>
    <w:rsid w:val="008B7CEA"/>
    <w:rsid w:val="008C1C41"/>
    <w:rsid w:val="008C21FA"/>
    <w:rsid w:val="008C46DD"/>
    <w:rsid w:val="008C51B8"/>
    <w:rsid w:val="008D23DB"/>
    <w:rsid w:val="008D359A"/>
    <w:rsid w:val="008D531D"/>
    <w:rsid w:val="008E01BB"/>
    <w:rsid w:val="008E062B"/>
    <w:rsid w:val="008E0B24"/>
    <w:rsid w:val="008E5454"/>
    <w:rsid w:val="008E5E95"/>
    <w:rsid w:val="008F0DAA"/>
    <w:rsid w:val="008F3A57"/>
    <w:rsid w:val="008F4EEB"/>
    <w:rsid w:val="008F504C"/>
    <w:rsid w:val="008F6024"/>
    <w:rsid w:val="008F7D69"/>
    <w:rsid w:val="00900690"/>
    <w:rsid w:val="00906E61"/>
    <w:rsid w:val="00912B78"/>
    <w:rsid w:val="009162D9"/>
    <w:rsid w:val="00917841"/>
    <w:rsid w:val="00921088"/>
    <w:rsid w:val="009225BB"/>
    <w:rsid w:val="009243CB"/>
    <w:rsid w:val="00925EA9"/>
    <w:rsid w:val="0092727A"/>
    <w:rsid w:val="00927E40"/>
    <w:rsid w:val="00930903"/>
    <w:rsid w:val="009311C0"/>
    <w:rsid w:val="0093166F"/>
    <w:rsid w:val="00931BA1"/>
    <w:rsid w:val="009325D4"/>
    <w:rsid w:val="009339AD"/>
    <w:rsid w:val="00934F8D"/>
    <w:rsid w:val="009350DB"/>
    <w:rsid w:val="00936AA0"/>
    <w:rsid w:val="00941B2F"/>
    <w:rsid w:val="00943CB1"/>
    <w:rsid w:val="00944049"/>
    <w:rsid w:val="00946AA4"/>
    <w:rsid w:val="00946E7A"/>
    <w:rsid w:val="00946FC8"/>
    <w:rsid w:val="009516B8"/>
    <w:rsid w:val="009522F4"/>
    <w:rsid w:val="009618FB"/>
    <w:rsid w:val="00962DEE"/>
    <w:rsid w:val="009722E2"/>
    <w:rsid w:val="00972A0C"/>
    <w:rsid w:val="00973B1D"/>
    <w:rsid w:val="009740E9"/>
    <w:rsid w:val="00974192"/>
    <w:rsid w:val="00974AF0"/>
    <w:rsid w:val="00977898"/>
    <w:rsid w:val="00983821"/>
    <w:rsid w:val="00986C7F"/>
    <w:rsid w:val="00991A67"/>
    <w:rsid w:val="009922BA"/>
    <w:rsid w:val="00993041"/>
    <w:rsid w:val="00993BB2"/>
    <w:rsid w:val="00995FB3"/>
    <w:rsid w:val="0099622A"/>
    <w:rsid w:val="00996A6D"/>
    <w:rsid w:val="009A009F"/>
    <w:rsid w:val="009A108D"/>
    <w:rsid w:val="009A13DB"/>
    <w:rsid w:val="009A1E7A"/>
    <w:rsid w:val="009A540E"/>
    <w:rsid w:val="009A678B"/>
    <w:rsid w:val="009A726B"/>
    <w:rsid w:val="009A7521"/>
    <w:rsid w:val="009B17C0"/>
    <w:rsid w:val="009B2728"/>
    <w:rsid w:val="009B3223"/>
    <w:rsid w:val="009B4BAA"/>
    <w:rsid w:val="009B5181"/>
    <w:rsid w:val="009B64D1"/>
    <w:rsid w:val="009B7B41"/>
    <w:rsid w:val="009C3C66"/>
    <w:rsid w:val="009C40F1"/>
    <w:rsid w:val="009C4290"/>
    <w:rsid w:val="009D0B10"/>
    <w:rsid w:val="009D55EF"/>
    <w:rsid w:val="009D5A00"/>
    <w:rsid w:val="009D6CED"/>
    <w:rsid w:val="009D7C12"/>
    <w:rsid w:val="009E04E7"/>
    <w:rsid w:val="009E1BED"/>
    <w:rsid w:val="009E2914"/>
    <w:rsid w:val="009E36B5"/>
    <w:rsid w:val="009E3FA3"/>
    <w:rsid w:val="009E57DB"/>
    <w:rsid w:val="009E64F7"/>
    <w:rsid w:val="009E7056"/>
    <w:rsid w:val="009E74B1"/>
    <w:rsid w:val="009E7BE6"/>
    <w:rsid w:val="009E7DA6"/>
    <w:rsid w:val="009F07B3"/>
    <w:rsid w:val="009F0D64"/>
    <w:rsid w:val="009F5067"/>
    <w:rsid w:val="009F5163"/>
    <w:rsid w:val="00A02666"/>
    <w:rsid w:val="00A03A32"/>
    <w:rsid w:val="00A07F45"/>
    <w:rsid w:val="00A10628"/>
    <w:rsid w:val="00A13963"/>
    <w:rsid w:val="00A139CE"/>
    <w:rsid w:val="00A1582B"/>
    <w:rsid w:val="00A160B0"/>
    <w:rsid w:val="00A2008F"/>
    <w:rsid w:val="00A20A23"/>
    <w:rsid w:val="00A23D08"/>
    <w:rsid w:val="00A26BCC"/>
    <w:rsid w:val="00A26D8F"/>
    <w:rsid w:val="00A3281E"/>
    <w:rsid w:val="00A3498E"/>
    <w:rsid w:val="00A35C7F"/>
    <w:rsid w:val="00A403DE"/>
    <w:rsid w:val="00A41B27"/>
    <w:rsid w:val="00A43913"/>
    <w:rsid w:val="00A44099"/>
    <w:rsid w:val="00A45D30"/>
    <w:rsid w:val="00A47C19"/>
    <w:rsid w:val="00A50E20"/>
    <w:rsid w:val="00A50FCC"/>
    <w:rsid w:val="00A529C4"/>
    <w:rsid w:val="00A563F5"/>
    <w:rsid w:val="00A570D3"/>
    <w:rsid w:val="00A601D2"/>
    <w:rsid w:val="00A606A7"/>
    <w:rsid w:val="00A610DF"/>
    <w:rsid w:val="00A622F6"/>
    <w:rsid w:val="00A625DD"/>
    <w:rsid w:val="00A67215"/>
    <w:rsid w:val="00A67F1B"/>
    <w:rsid w:val="00A7015D"/>
    <w:rsid w:val="00A732FE"/>
    <w:rsid w:val="00A733FB"/>
    <w:rsid w:val="00A738EA"/>
    <w:rsid w:val="00A73D96"/>
    <w:rsid w:val="00A75CA2"/>
    <w:rsid w:val="00A76250"/>
    <w:rsid w:val="00A76298"/>
    <w:rsid w:val="00A76301"/>
    <w:rsid w:val="00A771EE"/>
    <w:rsid w:val="00A80095"/>
    <w:rsid w:val="00A82623"/>
    <w:rsid w:val="00A83FFE"/>
    <w:rsid w:val="00A848BC"/>
    <w:rsid w:val="00A91B97"/>
    <w:rsid w:val="00A971CC"/>
    <w:rsid w:val="00AA0AF2"/>
    <w:rsid w:val="00AA205F"/>
    <w:rsid w:val="00AA7F5D"/>
    <w:rsid w:val="00AB1CB0"/>
    <w:rsid w:val="00AC31B2"/>
    <w:rsid w:val="00AC44B2"/>
    <w:rsid w:val="00AC6CA2"/>
    <w:rsid w:val="00AC72F0"/>
    <w:rsid w:val="00AC75DF"/>
    <w:rsid w:val="00AC7704"/>
    <w:rsid w:val="00AD03B4"/>
    <w:rsid w:val="00AD06F4"/>
    <w:rsid w:val="00AD0A2F"/>
    <w:rsid w:val="00AD2E17"/>
    <w:rsid w:val="00AD5971"/>
    <w:rsid w:val="00AD5976"/>
    <w:rsid w:val="00AD5BBB"/>
    <w:rsid w:val="00AD6E4C"/>
    <w:rsid w:val="00AE0517"/>
    <w:rsid w:val="00AE661C"/>
    <w:rsid w:val="00AF121C"/>
    <w:rsid w:val="00AF19DE"/>
    <w:rsid w:val="00B00A7F"/>
    <w:rsid w:val="00B0244A"/>
    <w:rsid w:val="00B02F83"/>
    <w:rsid w:val="00B038D4"/>
    <w:rsid w:val="00B0622D"/>
    <w:rsid w:val="00B067F0"/>
    <w:rsid w:val="00B06DA5"/>
    <w:rsid w:val="00B10D8D"/>
    <w:rsid w:val="00B1386C"/>
    <w:rsid w:val="00B21A40"/>
    <w:rsid w:val="00B2348F"/>
    <w:rsid w:val="00B2615E"/>
    <w:rsid w:val="00B278D4"/>
    <w:rsid w:val="00B3252F"/>
    <w:rsid w:val="00B411B8"/>
    <w:rsid w:val="00B4372C"/>
    <w:rsid w:val="00B46304"/>
    <w:rsid w:val="00B467A4"/>
    <w:rsid w:val="00B47200"/>
    <w:rsid w:val="00B51483"/>
    <w:rsid w:val="00B51824"/>
    <w:rsid w:val="00B5224E"/>
    <w:rsid w:val="00B60F2A"/>
    <w:rsid w:val="00B61C43"/>
    <w:rsid w:val="00B62138"/>
    <w:rsid w:val="00B641AF"/>
    <w:rsid w:val="00B665CF"/>
    <w:rsid w:val="00B6798A"/>
    <w:rsid w:val="00B71D5C"/>
    <w:rsid w:val="00B73906"/>
    <w:rsid w:val="00B8554F"/>
    <w:rsid w:val="00B85979"/>
    <w:rsid w:val="00B85F35"/>
    <w:rsid w:val="00B87A8B"/>
    <w:rsid w:val="00B91D75"/>
    <w:rsid w:val="00B92010"/>
    <w:rsid w:val="00B94C96"/>
    <w:rsid w:val="00B953F8"/>
    <w:rsid w:val="00B95EF5"/>
    <w:rsid w:val="00B95F4C"/>
    <w:rsid w:val="00BA0DD1"/>
    <w:rsid w:val="00BA0F82"/>
    <w:rsid w:val="00BA273E"/>
    <w:rsid w:val="00BA297B"/>
    <w:rsid w:val="00BA2A2B"/>
    <w:rsid w:val="00BA455E"/>
    <w:rsid w:val="00BA7BEA"/>
    <w:rsid w:val="00BB46B0"/>
    <w:rsid w:val="00BC08BB"/>
    <w:rsid w:val="00BD0281"/>
    <w:rsid w:val="00BD591D"/>
    <w:rsid w:val="00BD7A13"/>
    <w:rsid w:val="00BE0920"/>
    <w:rsid w:val="00BE1190"/>
    <w:rsid w:val="00BE14C0"/>
    <w:rsid w:val="00BE46BF"/>
    <w:rsid w:val="00BE5BAC"/>
    <w:rsid w:val="00BE6ED2"/>
    <w:rsid w:val="00BF38EF"/>
    <w:rsid w:val="00BF4C0C"/>
    <w:rsid w:val="00BF4F65"/>
    <w:rsid w:val="00C0145C"/>
    <w:rsid w:val="00C02019"/>
    <w:rsid w:val="00C03938"/>
    <w:rsid w:val="00C04AFA"/>
    <w:rsid w:val="00C04D16"/>
    <w:rsid w:val="00C05516"/>
    <w:rsid w:val="00C060BC"/>
    <w:rsid w:val="00C0720B"/>
    <w:rsid w:val="00C11C28"/>
    <w:rsid w:val="00C12880"/>
    <w:rsid w:val="00C12C43"/>
    <w:rsid w:val="00C13065"/>
    <w:rsid w:val="00C1388E"/>
    <w:rsid w:val="00C14358"/>
    <w:rsid w:val="00C14DDE"/>
    <w:rsid w:val="00C1502D"/>
    <w:rsid w:val="00C156C6"/>
    <w:rsid w:val="00C15E93"/>
    <w:rsid w:val="00C16A26"/>
    <w:rsid w:val="00C1740C"/>
    <w:rsid w:val="00C174EA"/>
    <w:rsid w:val="00C2109A"/>
    <w:rsid w:val="00C23986"/>
    <w:rsid w:val="00C25A14"/>
    <w:rsid w:val="00C2776D"/>
    <w:rsid w:val="00C310B1"/>
    <w:rsid w:val="00C317EA"/>
    <w:rsid w:val="00C31B7F"/>
    <w:rsid w:val="00C37577"/>
    <w:rsid w:val="00C40D87"/>
    <w:rsid w:val="00C444BB"/>
    <w:rsid w:val="00C47385"/>
    <w:rsid w:val="00C5260D"/>
    <w:rsid w:val="00C6076B"/>
    <w:rsid w:val="00C62991"/>
    <w:rsid w:val="00C64243"/>
    <w:rsid w:val="00C654EC"/>
    <w:rsid w:val="00C660E3"/>
    <w:rsid w:val="00C6660D"/>
    <w:rsid w:val="00C72EDC"/>
    <w:rsid w:val="00C80BCA"/>
    <w:rsid w:val="00C80BED"/>
    <w:rsid w:val="00C86144"/>
    <w:rsid w:val="00C8715E"/>
    <w:rsid w:val="00C92855"/>
    <w:rsid w:val="00C9374C"/>
    <w:rsid w:val="00CA012A"/>
    <w:rsid w:val="00CA089D"/>
    <w:rsid w:val="00CA0E7C"/>
    <w:rsid w:val="00CA149C"/>
    <w:rsid w:val="00CA184A"/>
    <w:rsid w:val="00CA65A5"/>
    <w:rsid w:val="00CB0F2F"/>
    <w:rsid w:val="00CB3D39"/>
    <w:rsid w:val="00CB6552"/>
    <w:rsid w:val="00CC36F4"/>
    <w:rsid w:val="00CC5338"/>
    <w:rsid w:val="00CC7C76"/>
    <w:rsid w:val="00CD2BE5"/>
    <w:rsid w:val="00CD3EA3"/>
    <w:rsid w:val="00CD556D"/>
    <w:rsid w:val="00CD5994"/>
    <w:rsid w:val="00CD6258"/>
    <w:rsid w:val="00CD6795"/>
    <w:rsid w:val="00CE2C13"/>
    <w:rsid w:val="00CE370B"/>
    <w:rsid w:val="00CE4A66"/>
    <w:rsid w:val="00CE4A79"/>
    <w:rsid w:val="00CE74A1"/>
    <w:rsid w:val="00CE7F61"/>
    <w:rsid w:val="00CF1AF1"/>
    <w:rsid w:val="00CF6579"/>
    <w:rsid w:val="00CF7EAF"/>
    <w:rsid w:val="00D00753"/>
    <w:rsid w:val="00D01796"/>
    <w:rsid w:val="00D04825"/>
    <w:rsid w:val="00D10EBE"/>
    <w:rsid w:val="00D114FD"/>
    <w:rsid w:val="00D12D90"/>
    <w:rsid w:val="00D14163"/>
    <w:rsid w:val="00D22991"/>
    <w:rsid w:val="00D24421"/>
    <w:rsid w:val="00D25AC4"/>
    <w:rsid w:val="00D30677"/>
    <w:rsid w:val="00D33304"/>
    <w:rsid w:val="00D341D7"/>
    <w:rsid w:val="00D405EA"/>
    <w:rsid w:val="00D43E5F"/>
    <w:rsid w:val="00D46E2D"/>
    <w:rsid w:val="00D52301"/>
    <w:rsid w:val="00D5359C"/>
    <w:rsid w:val="00D5438F"/>
    <w:rsid w:val="00D5549D"/>
    <w:rsid w:val="00D559AB"/>
    <w:rsid w:val="00D55DE0"/>
    <w:rsid w:val="00D568AE"/>
    <w:rsid w:val="00D665AF"/>
    <w:rsid w:val="00D73760"/>
    <w:rsid w:val="00D7663F"/>
    <w:rsid w:val="00D82CA6"/>
    <w:rsid w:val="00D861F4"/>
    <w:rsid w:val="00D87214"/>
    <w:rsid w:val="00D91BD8"/>
    <w:rsid w:val="00D93EFA"/>
    <w:rsid w:val="00D9742A"/>
    <w:rsid w:val="00DA37F0"/>
    <w:rsid w:val="00DA48A0"/>
    <w:rsid w:val="00DA51CF"/>
    <w:rsid w:val="00DA6E6E"/>
    <w:rsid w:val="00DB0BFA"/>
    <w:rsid w:val="00DB28C1"/>
    <w:rsid w:val="00DB3BD3"/>
    <w:rsid w:val="00DB521F"/>
    <w:rsid w:val="00DB5F46"/>
    <w:rsid w:val="00DB6BE1"/>
    <w:rsid w:val="00DB6BF5"/>
    <w:rsid w:val="00DB6FA8"/>
    <w:rsid w:val="00DB7978"/>
    <w:rsid w:val="00DC1C7E"/>
    <w:rsid w:val="00DC36A0"/>
    <w:rsid w:val="00DC5E37"/>
    <w:rsid w:val="00DC7EBB"/>
    <w:rsid w:val="00DD1384"/>
    <w:rsid w:val="00DD18F0"/>
    <w:rsid w:val="00DD2074"/>
    <w:rsid w:val="00DD208C"/>
    <w:rsid w:val="00DD2306"/>
    <w:rsid w:val="00DD38D4"/>
    <w:rsid w:val="00DD3FE9"/>
    <w:rsid w:val="00DD7D3B"/>
    <w:rsid w:val="00DD7FB7"/>
    <w:rsid w:val="00DE40EE"/>
    <w:rsid w:val="00DE4595"/>
    <w:rsid w:val="00DE56D2"/>
    <w:rsid w:val="00DF07E8"/>
    <w:rsid w:val="00DF21C3"/>
    <w:rsid w:val="00DF60D6"/>
    <w:rsid w:val="00DF6730"/>
    <w:rsid w:val="00DF68C7"/>
    <w:rsid w:val="00DF6C49"/>
    <w:rsid w:val="00E0085A"/>
    <w:rsid w:val="00E00EF1"/>
    <w:rsid w:val="00E03530"/>
    <w:rsid w:val="00E0452E"/>
    <w:rsid w:val="00E07E2F"/>
    <w:rsid w:val="00E1180C"/>
    <w:rsid w:val="00E12594"/>
    <w:rsid w:val="00E14A5A"/>
    <w:rsid w:val="00E17651"/>
    <w:rsid w:val="00E216F1"/>
    <w:rsid w:val="00E227F1"/>
    <w:rsid w:val="00E24B7A"/>
    <w:rsid w:val="00E25557"/>
    <w:rsid w:val="00E30A53"/>
    <w:rsid w:val="00E328A8"/>
    <w:rsid w:val="00E3563F"/>
    <w:rsid w:val="00E35E67"/>
    <w:rsid w:val="00E40CC9"/>
    <w:rsid w:val="00E42144"/>
    <w:rsid w:val="00E449F9"/>
    <w:rsid w:val="00E457CA"/>
    <w:rsid w:val="00E46A4C"/>
    <w:rsid w:val="00E52AED"/>
    <w:rsid w:val="00E57599"/>
    <w:rsid w:val="00E61A9C"/>
    <w:rsid w:val="00E67EB9"/>
    <w:rsid w:val="00E700B1"/>
    <w:rsid w:val="00E72AC1"/>
    <w:rsid w:val="00E72CE1"/>
    <w:rsid w:val="00E749E5"/>
    <w:rsid w:val="00E757FB"/>
    <w:rsid w:val="00E76734"/>
    <w:rsid w:val="00E802E5"/>
    <w:rsid w:val="00E81C0E"/>
    <w:rsid w:val="00E92895"/>
    <w:rsid w:val="00E92D9B"/>
    <w:rsid w:val="00E93C63"/>
    <w:rsid w:val="00E9432B"/>
    <w:rsid w:val="00E974E6"/>
    <w:rsid w:val="00EA0338"/>
    <w:rsid w:val="00EA349F"/>
    <w:rsid w:val="00EA40E7"/>
    <w:rsid w:val="00EB244F"/>
    <w:rsid w:val="00EB2C6B"/>
    <w:rsid w:val="00EB3B2D"/>
    <w:rsid w:val="00EB4562"/>
    <w:rsid w:val="00EB51CA"/>
    <w:rsid w:val="00EC2489"/>
    <w:rsid w:val="00EC4E45"/>
    <w:rsid w:val="00ED6218"/>
    <w:rsid w:val="00EE156A"/>
    <w:rsid w:val="00EE26DB"/>
    <w:rsid w:val="00EE38B8"/>
    <w:rsid w:val="00EE6424"/>
    <w:rsid w:val="00EE7156"/>
    <w:rsid w:val="00EE76B8"/>
    <w:rsid w:val="00EF130F"/>
    <w:rsid w:val="00EF343B"/>
    <w:rsid w:val="00EF57FF"/>
    <w:rsid w:val="00F02DFB"/>
    <w:rsid w:val="00F02FBD"/>
    <w:rsid w:val="00F03CB7"/>
    <w:rsid w:val="00F03D8B"/>
    <w:rsid w:val="00F11105"/>
    <w:rsid w:val="00F146FC"/>
    <w:rsid w:val="00F15783"/>
    <w:rsid w:val="00F16691"/>
    <w:rsid w:val="00F17A94"/>
    <w:rsid w:val="00F200B3"/>
    <w:rsid w:val="00F258FF"/>
    <w:rsid w:val="00F2592C"/>
    <w:rsid w:val="00F32239"/>
    <w:rsid w:val="00F40702"/>
    <w:rsid w:val="00F41C7B"/>
    <w:rsid w:val="00F424D5"/>
    <w:rsid w:val="00F429E4"/>
    <w:rsid w:val="00F505B7"/>
    <w:rsid w:val="00F515AC"/>
    <w:rsid w:val="00F54DD7"/>
    <w:rsid w:val="00F554DF"/>
    <w:rsid w:val="00F55AA8"/>
    <w:rsid w:val="00F564BC"/>
    <w:rsid w:val="00F6035B"/>
    <w:rsid w:val="00F62401"/>
    <w:rsid w:val="00F62BE3"/>
    <w:rsid w:val="00F64A02"/>
    <w:rsid w:val="00F66024"/>
    <w:rsid w:val="00F6632D"/>
    <w:rsid w:val="00F66AB3"/>
    <w:rsid w:val="00F71EA3"/>
    <w:rsid w:val="00F73854"/>
    <w:rsid w:val="00F7524B"/>
    <w:rsid w:val="00F7718A"/>
    <w:rsid w:val="00F82CC2"/>
    <w:rsid w:val="00F83D3E"/>
    <w:rsid w:val="00F84F55"/>
    <w:rsid w:val="00F850D6"/>
    <w:rsid w:val="00F85F99"/>
    <w:rsid w:val="00F86C68"/>
    <w:rsid w:val="00F90906"/>
    <w:rsid w:val="00F923A1"/>
    <w:rsid w:val="00F93317"/>
    <w:rsid w:val="00F93D05"/>
    <w:rsid w:val="00F94CF6"/>
    <w:rsid w:val="00F94D58"/>
    <w:rsid w:val="00F94F7C"/>
    <w:rsid w:val="00F9770E"/>
    <w:rsid w:val="00F97A54"/>
    <w:rsid w:val="00FA04E3"/>
    <w:rsid w:val="00FA098C"/>
    <w:rsid w:val="00FA35F6"/>
    <w:rsid w:val="00FA5C83"/>
    <w:rsid w:val="00FA5F68"/>
    <w:rsid w:val="00FA66A8"/>
    <w:rsid w:val="00FB438E"/>
    <w:rsid w:val="00FB4653"/>
    <w:rsid w:val="00FB5563"/>
    <w:rsid w:val="00FB7AE4"/>
    <w:rsid w:val="00FC0678"/>
    <w:rsid w:val="00FC1A1C"/>
    <w:rsid w:val="00FC4442"/>
    <w:rsid w:val="00FC4DC7"/>
    <w:rsid w:val="00FC7842"/>
    <w:rsid w:val="00FD0EB6"/>
    <w:rsid w:val="00FD3F22"/>
    <w:rsid w:val="00FD52DA"/>
    <w:rsid w:val="00FD7490"/>
    <w:rsid w:val="00FD7D31"/>
    <w:rsid w:val="00FE2527"/>
    <w:rsid w:val="00FE2736"/>
    <w:rsid w:val="00FE5EE8"/>
    <w:rsid w:val="00FE60FE"/>
    <w:rsid w:val="00FE78D0"/>
    <w:rsid w:val="00FF0169"/>
    <w:rsid w:val="00FF0704"/>
    <w:rsid w:val="00FF2505"/>
    <w:rsid w:val="00FF4320"/>
    <w:rsid w:val="00FF4A40"/>
    <w:rsid w:val="00FF5EB0"/>
    <w:rsid w:val="00FF62F9"/>
    <w:rsid w:val="00FF6BF6"/>
    <w:rsid w:val="01073BE6"/>
    <w:rsid w:val="010D637E"/>
    <w:rsid w:val="01183671"/>
    <w:rsid w:val="01464FA1"/>
    <w:rsid w:val="01632365"/>
    <w:rsid w:val="01810B64"/>
    <w:rsid w:val="01872D7D"/>
    <w:rsid w:val="019006F6"/>
    <w:rsid w:val="01A00B66"/>
    <w:rsid w:val="01A46705"/>
    <w:rsid w:val="01A60DE5"/>
    <w:rsid w:val="01B14C06"/>
    <w:rsid w:val="01B32027"/>
    <w:rsid w:val="01B841E6"/>
    <w:rsid w:val="01BD14AC"/>
    <w:rsid w:val="01D438FB"/>
    <w:rsid w:val="01DB101A"/>
    <w:rsid w:val="01E55632"/>
    <w:rsid w:val="01F7177D"/>
    <w:rsid w:val="01F73C5C"/>
    <w:rsid w:val="01FE2A9E"/>
    <w:rsid w:val="02024659"/>
    <w:rsid w:val="02171E32"/>
    <w:rsid w:val="021939BC"/>
    <w:rsid w:val="021B6523"/>
    <w:rsid w:val="021D65F0"/>
    <w:rsid w:val="022939A3"/>
    <w:rsid w:val="024C2D4B"/>
    <w:rsid w:val="024F3510"/>
    <w:rsid w:val="02501B96"/>
    <w:rsid w:val="025226BF"/>
    <w:rsid w:val="02610556"/>
    <w:rsid w:val="02667208"/>
    <w:rsid w:val="02707B4E"/>
    <w:rsid w:val="02725EB8"/>
    <w:rsid w:val="02746BAB"/>
    <w:rsid w:val="027A149C"/>
    <w:rsid w:val="028B3AC8"/>
    <w:rsid w:val="029307AF"/>
    <w:rsid w:val="02A751E2"/>
    <w:rsid w:val="02B37357"/>
    <w:rsid w:val="02BD1F5B"/>
    <w:rsid w:val="02BF4DB6"/>
    <w:rsid w:val="02C01B76"/>
    <w:rsid w:val="02C50503"/>
    <w:rsid w:val="02D84393"/>
    <w:rsid w:val="02EB3047"/>
    <w:rsid w:val="02F15082"/>
    <w:rsid w:val="02F20834"/>
    <w:rsid w:val="03086400"/>
    <w:rsid w:val="03221FD9"/>
    <w:rsid w:val="0326164B"/>
    <w:rsid w:val="033C0A9E"/>
    <w:rsid w:val="03551A53"/>
    <w:rsid w:val="0362563F"/>
    <w:rsid w:val="0376438E"/>
    <w:rsid w:val="037C5F7E"/>
    <w:rsid w:val="038A3960"/>
    <w:rsid w:val="039141ED"/>
    <w:rsid w:val="03947A14"/>
    <w:rsid w:val="039611D1"/>
    <w:rsid w:val="03975413"/>
    <w:rsid w:val="03987954"/>
    <w:rsid w:val="03993C06"/>
    <w:rsid w:val="03AC1B29"/>
    <w:rsid w:val="03AD1FD8"/>
    <w:rsid w:val="03CB1D52"/>
    <w:rsid w:val="03D472D2"/>
    <w:rsid w:val="03DC584C"/>
    <w:rsid w:val="03E508B3"/>
    <w:rsid w:val="03E567F8"/>
    <w:rsid w:val="03E7154B"/>
    <w:rsid w:val="03E77005"/>
    <w:rsid w:val="03FB03BA"/>
    <w:rsid w:val="040D33BC"/>
    <w:rsid w:val="040E2F6A"/>
    <w:rsid w:val="041B0395"/>
    <w:rsid w:val="04230F09"/>
    <w:rsid w:val="04261CA2"/>
    <w:rsid w:val="043E24E5"/>
    <w:rsid w:val="04490DFE"/>
    <w:rsid w:val="046534E4"/>
    <w:rsid w:val="046570BF"/>
    <w:rsid w:val="046F73C8"/>
    <w:rsid w:val="04A01AFE"/>
    <w:rsid w:val="04A63BCD"/>
    <w:rsid w:val="04B65EDF"/>
    <w:rsid w:val="04D1736D"/>
    <w:rsid w:val="04D37ED8"/>
    <w:rsid w:val="04D433C6"/>
    <w:rsid w:val="04E62E18"/>
    <w:rsid w:val="04FC6C83"/>
    <w:rsid w:val="05005914"/>
    <w:rsid w:val="05117714"/>
    <w:rsid w:val="051E4BB9"/>
    <w:rsid w:val="053254FF"/>
    <w:rsid w:val="055E597C"/>
    <w:rsid w:val="05630271"/>
    <w:rsid w:val="05767251"/>
    <w:rsid w:val="05780857"/>
    <w:rsid w:val="05873FC7"/>
    <w:rsid w:val="059029ED"/>
    <w:rsid w:val="059B447A"/>
    <w:rsid w:val="05B13D74"/>
    <w:rsid w:val="05B525D2"/>
    <w:rsid w:val="05DA3B66"/>
    <w:rsid w:val="05E04B7D"/>
    <w:rsid w:val="05EA39FE"/>
    <w:rsid w:val="05EB10FE"/>
    <w:rsid w:val="05EC43D5"/>
    <w:rsid w:val="061A1394"/>
    <w:rsid w:val="061D7D49"/>
    <w:rsid w:val="06234AF1"/>
    <w:rsid w:val="06550A3E"/>
    <w:rsid w:val="06560221"/>
    <w:rsid w:val="06892B4A"/>
    <w:rsid w:val="068B6BC6"/>
    <w:rsid w:val="069069ED"/>
    <w:rsid w:val="06A34E0C"/>
    <w:rsid w:val="06AC71B3"/>
    <w:rsid w:val="06B773B1"/>
    <w:rsid w:val="06B94D25"/>
    <w:rsid w:val="06BA6B9B"/>
    <w:rsid w:val="06BF6A34"/>
    <w:rsid w:val="06C073F1"/>
    <w:rsid w:val="06E8669C"/>
    <w:rsid w:val="06FE3D2F"/>
    <w:rsid w:val="07042D54"/>
    <w:rsid w:val="07113BD6"/>
    <w:rsid w:val="07132B80"/>
    <w:rsid w:val="071F6F74"/>
    <w:rsid w:val="072A7328"/>
    <w:rsid w:val="073659F4"/>
    <w:rsid w:val="07474FE9"/>
    <w:rsid w:val="075E73CB"/>
    <w:rsid w:val="078A3375"/>
    <w:rsid w:val="07955E0B"/>
    <w:rsid w:val="07AB485E"/>
    <w:rsid w:val="07AD66C3"/>
    <w:rsid w:val="07BC2729"/>
    <w:rsid w:val="07D61332"/>
    <w:rsid w:val="07D63618"/>
    <w:rsid w:val="07E46015"/>
    <w:rsid w:val="07E57DBC"/>
    <w:rsid w:val="07E926A3"/>
    <w:rsid w:val="07ED2710"/>
    <w:rsid w:val="08130789"/>
    <w:rsid w:val="082336AA"/>
    <w:rsid w:val="08265B9E"/>
    <w:rsid w:val="08321497"/>
    <w:rsid w:val="084B5A4D"/>
    <w:rsid w:val="08516E3E"/>
    <w:rsid w:val="08523F98"/>
    <w:rsid w:val="085420D2"/>
    <w:rsid w:val="086239A4"/>
    <w:rsid w:val="087D0F7C"/>
    <w:rsid w:val="08807593"/>
    <w:rsid w:val="08837A66"/>
    <w:rsid w:val="08887CBD"/>
    <w:rsid w:val="08AE6343"/>
    <w:rsid w:val="08B57D7B"/>
    <w:rsid w:val="08B71469"/>
    <w:rsid w:val="08B7532F"/>
    <w:rsid w:val="08C23ACD"/>
    <w:rsid w:val="08D56BA1"/>
    <w:rsid w:val="08D572C1"/>
    <w:rsid w:val="08D74D81"/>
    <w:rsid w:val="08F20FD3"/>
    <w:rsid w:val="08FF7E1C"/>
    <w:rsid w:val="091249B9"/>
    <w:rsid w:val="09186112"/>
    <w:rsid w:val="091C0C53"/>
    <w:rsid w:val="093167F8"/>
    <w:rsid w:val="09356832"/>
    <w:rsid w:val="09474723"/>
    <w:rsid w:val="094A1349"/>
    <w:rsid w:val="094C1628"/>
    <w:rsid w:val="0974610E"/>
    <w:rsid w:val="09766D5E"/>
    <w:rsid w:val="09801F9B"/>
    <w:rsid w:val="09C346DD"/>
    <w:rsid w:val="09CF0345"/>
    <w:rsid w:val="09DC1584"/>
    <w:rsid w:val="09E772A6"/>
    <w:rsid w:val="0A0E0DD4"/>
    <w:rsid w:val="0A1E6D67"/>
    <w:rsid w:val="0A423B22"/>
    <w:rsid w:val="0A4F4DA1"/>
    <w:rsid w:val="0A52591F"/>
    <w:rsid w:val="0A5423AD"/>
    <w:rsid w:val="0A562853"/>
    <w:rsid w:val="0A5C0540"/>
    <w:rsid w:val="0A68776C"/>
    <w:rsid w:val="0A6C2012"/>
    <w:rsid w:val="0A6E6087"/>
    <w:rsid w:val="0A70218E"/>
    <w:rsid w:val="0A702598"/>
    <w:rsid w:val="0A774406"/>
    <w:rsid w:val="0A774BDA"/>
    <w:rsid w:val="0A774D0B"/>
    <w:rsid w:val="0A8D0B6C"/>
    <w:rsid w:val="0A90609D"/>
    <w:rsid w:val="0AA536C8"/>
    <w:rsid w:val="0AAC413C"/>
    <w:rsid w:val="0AB01615"/>
    <w:rsid w:val="0AC44B82"/>
    <w:rsid w:val="0ADE20E4"/>
    <w:rsid w:val="0AFF4C34"/>
    <w:rsid w:val="0B3643CE"/>
    <w:rsid w:val="0B395C39"/>
    <w:rsid w:val="0B42127D"/>
    <w:rsid w:val="0B436951"/>
    <w:rsid w:val="0B4A0698"/>
    <w:rsid w:val="0B6F7A7C"/>
    <w:rsid w:val="0B731A1D"/>
    <w:rsid w:val="0B9A3647"/>
    <w:rsid w:val="0B9A602A"/>
    <w:rsid w:val="0B9D61FB"/>
    <w:rsid w:val="0BC11A94"/>
    <w:rsid w:val="0BC86597"/>
    <w:rsid w:val="0BD66AF1"/>
    <w:rsid w:val="0BDA602D"/>
    <w:rsid w:val="0BDE08D4"/>
    <w:rsid w:val="0BDF21ED"/>
    <w:rsid w:val="0BE4305D"/>
    <w:rsid w:val="0BE559A9"/>
    <w:rsid w:val="0BF124B7"/>
    <w:rsid w:val="0C0D0E01"/>
    <w:rsid w:val="0C105525"/>
    <w:rsid w:val="0C182D3A"/>
    <w:rsid w:val="0C207F47"/>
    <w:rsid w:val="0C210272"/>
    <w:rsid w:val="0C38586A"/>
    <w:rsid w:val="0C425831"/>
    <w:rsid w:val="0C505E85"/>
    <w:rsid w:val="0C6364E2"/>
    <w:rsid w:val="0C690FDF"/>
    <w:rsid w:val="0C8364CC"/>
    <w:rsid w:val="0C871D0A"/>
    <w:rsid w:val="0C8C1CFD"/>
    <w:rsid w:val="0CAB6F4C"/>
    <w:rsid w:val="0CBC5373"/>
    <w:rsid w:val="0CC511D3"/>
    <w:rsid w:val="0CD1164A"/>
    <w:rsid w:val="0CDA094B"/>
    <w:rsid w:val="0CE110CB"/>
    <w:rsid w:val="0CE45DBA"/>
    <w:rsid w:val="0CEF606B"/>
    <w:rsid w:val="0CF3401E"/>
    <w:rsid w:val="0D0255E7"/>
    <w:rsid w:val="0D0440CE"/>
    <w:rsid w:val="0D110ECA"/>
    <w:rsid w:val="0D1E3694"/>
    <w:rsid w:val="0D331DE3"/>
    <w:rsid w:val="0D3753CD"/>
    <w:rsid w:val="0D423468"/>
    <w:rsid w:val="0D566044"/>
    <w:rsid w:val="0D611BD6"/>
    <w:rsid w:val="0D633925"/>
    <w:rsid w:val="0D665E9C"/>
    <w:rsid w:val="0D6C0113"/>
    <w:rsid w:val="0D890C00"/>
    <w:rsid w:val="0D9D7420"/>
    <w:rsid w:val="0DA07959"/>
    <w:rsid w:val="0DA71E16"/>
    <w:rsid w:val="0DAD3239"/>
    <w:rsid w:val="0DB22A2D"/>
    <w:rsid w:val="0DB454AB"/>
    <w:rsid w:val="0DB7543D"/>
    <w:rsid w:val="0DCB1FA1"/>
    <w:rsid w:val="0DCF0953"/>
    <w:rsid w:val="0DD650BD"/>
    <w:rsid w:val="0DF74594"/>
    <w:rsid w:val="0E0D2201"/>
    <w:rsid w:val="0E1A3B33"/>
    <w:rsid w:val="0E1F5FDD"/>
    <w:rsid w:val="0E2B4D32"/>
    <w:rsid w:val="0E2C38C4"/>
    <w:rsid w:val="0E345245"/>
    <w:rsid w:val="0E356120"/>
    <w:rsid w:val="0E412C4E"/>
    <w:rsid w:val="0E4313EC"/>
    <w:rsid w:val="0E441150"/>
    <w:rsid w:val="0E462F6F"/>
    <w:rsid w:val="0E4B6865"/>
    <w:rsid w:val="0E4D5575"/>
    <w:rsid w:val="0E4E18BF"/>
    <w:rsid w:val="0E542434"/>
    <w:rsid w:val="0E604977"/>
    <w:rsid w:val="0E740392"/>
    <w:rsid w:val="0E7529C6"/>
    <w:rsid w:val="0E752F37"/>
    <w:rsid w:val="0E794CFD"/>
    <w:rsid w:val="0E7E4760"/>
    <w:rsid w:val="0E8B3999"/>
    <w:rsid w:val="0E8C6489"/>
    <w:rsid w:val="0E9511E6"/>
    <w:rsid w:val="0E9728C0"/>
    <w:rsid w:val="0EAA14CF"/>
    <w:rsid w:val="0ECA137F"/>
    <w:rsid w:val="0ECA61ED"/>
    <w:rsid w:val="0ECC3313"/>
    <w:rsid w:val="0ECE03B0"/>
    <w:rsid w:val="0ED73DF0"/>
    <w:rsid w:val="0EE07262"/>
    <w:rsid w:val="0EE4179B"/>
    <w:rsid w:val="0EE761CE"/>
    <w:rsid w:val="0F043F7C"/>
    <w:rsid w:val="0F1146A1"/>
    <w:rsid w:val="0F377FB6"/>
    <w:rsid w:val="0F45235C"/>
    <w:rsid w:val="0F4B798C"/>
    <w:rsid w:val="0F57705B"/>
    <w:rsid w:val="0F615EBD"/>
    <w:rsid w:val="0F673B45"/>
    <w:rsid w:val="0F6D45F8"/>
    <w:rsid w:val="0F700CF1"/>
    <w:rsid w:val="0F75793E"/>
    <w:rsid w:val="0F7C4496"/>
    <w:rsid w:val="0F8642C0"/>
    <w:rsid w:val="0F8A5694"/>
    <w:rsid w:val="0F8A7C25"/>
    <w:rsid w:val="0F95499A"/>
    <w:rsid w:val="0F964F91"/>
    <w:rsid w:val="0FD120E9"/>
    <w:rsid w:val="0FD577DB"/>
    <w:rsid w:val="0FD8368E"/>
    <w:rsid w:val="0FDB39C1"/>
    <w:rsid w:val="0FDC51FE"/>
    <w:rsid w:val="0FDC63D6"/>
    <w:rsid w:val="0FF35A6B"/>
    <w:rsid w:val="1009021A"/>
    <w:rsid w:val="10167C25"/>
    <w:rsid w:val="101C24D9"/>
    <w:rsid w:val="104D3057"/>
    <w:rsid w:val="10514C15"/>
    <w:rsid w:val="105A3B87"/>
    <w:rsid w:val="105F5E96"/>
    <w:rsid w:val="106D0C78"/>
    <w:rsid w:val="109A0FAC"/>
    <w:rsid w:val="109C1903"/>
    <w:rsid w:val="10AC500F"/>
    <w:rsid w:val="10CF3597"/>
    <w:rsid w:val="10DC4F31"/>
    <w:rsid w:val="10E7575A"/>
    <w:rsid w:val="10EF02BA"/>
    <w:rsid w:val="11031918"/>
    <w:rsid w:val="11060684"/>
    <w:rsid w:val="11113EA3"/>
    <w:rsid w:val="112A43CB"/>
    <w:rsid w:val="114130F3"/>
    <w:rsid w:val="11456063"/>
    <w:rsid w:val="114E77BC"/>
    <w:rsid w:val="11560285"/>
    <w:rsid w:val="11590524"/>
    <w:rsid w:val="11595212"/>
    <w:rsid w:val="11974912"/>
    <w:rsid w:val="11A1179E"/>
    <w:rsid w:val="11BB3FDA"/>
    <w:rsid w:val="11D86E67"/>
    <w:rsid w:val="11E46101"/>
    <w:rsid w:val="121000EC"/>
    <w:rsid w:val="12147955"/>
    <w:rsid w:val="121F2ECD"/>
    <w:rsid w:val="1229455C"/>
    <w:rsid w:val="123447E1"/>
    <w:rsid w:val="12394ECF"/>
    <w:rsid w:val="124114E6"/>
    <w:rsid w:val="124F05F1"/>
    <w:rsid w:val="12551D51"/>
    <w:rsid w:val="1258582A"/>
    <w:rsid w:val="125E028E"/>
    <w:rsid w:val="12664571"/>
    <w:rsid w:val="126A7D0E"/>
    <w:rsid w:val="127163AB"/>
    <w:rsid w:val="12746D5D"/>
    <w:rsid w:val="12954D54"/>
    <w:rsid w:val="129D6872"/>
    <w:rsid w:val="12A54313"/>
    <w:rsid w:val="12AE6ABA"/>
    <w:rsid w:val="12AF642C"/>
    <w:rsid w:val="12C86E58"/>
    <w:rsid w:val="12CB4854"/>
    <w:rsid w:val="12E87906"/>
    <w:rsid w:val="12EF726C"/>
    <w:rsid w:val="12F157AA"/>
    <w:rsid w:val="1334692D"/>
    <w:rsid w:val="13371EAA"/>
    <w:rsid w:val="133B352D"/>
    <w:rsid w:val="13435426"/>
    <w:rsid w:val="13447B4A"/>
    <w:rsid w:val="135F4B75"/>
    <w:rsid w:val="138139EE"/>
    <w:rsid w:val="138E21AE"/>
    <w:rsid w:val="13961EAE"/>
    <w:rsid w:val="13AA66C2"/>
    <w:rsid w:val="13AC022A"/>
    <w:rsid w:val="13B109DA"/>
    <w:rsid w:val="13C6568D"/>
    <w:rsid w:val="13C72F72"/>
    <w:rsid w:val="13D15742"/>
    <w:rsid w:val="13EA652B"/>
    <w:rsid w:val="13EE5AC5"/>
    <w:rsid w:val="14070F9D"/>
    <w:rsid w:val="14166E8B"/>
    <w:rsid w:val="142812E1"/>
    <w:rsid w:val="142D3770"/>
    <w:rsid w:val="14373691"/>
    <w:rsid w:val="14432F50"/>
    <w:rsid w:val="146125B1"/>
    <w:rsid w:val="14671667"/>
    <w:rsid w:val="147109EA"/>
    <w:rsid w:val="14713C00"/>
    <w:rsid w:val="147A1DAC"/>
    <w:rsid w:val="14804B2F"/>
    <w:rsid w:val="148349D2"/>
    <w:rsid w:val="148B67D3"/>
    <w:rsid w:val="148B7305"/>
    <w:rsid w:val="14A31E53"/>
    <w:rsid w:val="14A806BC"/>
    <w:rsid w:val="14AE3227"/>
    <w:rsid w:val="14B44A9E"/>
    <w:rsid w:val="14E35DAF"/>
    <w:rsid w:val="14E64696"/>
    <w:rsid w:val="14E82BDD"/>
    <w:rsid w:val="14F57BC9"/>
    <w:rsid w:val="14FA2E33"/>
    <w:rsid w:val="150008CC"/>
    <w:rsid w:val="152C1385"/>
    <w:rsid w:val="15316332"/>
    <w:rsid w:val="153E4883"/>
    <w:rsid w:val="154502CF"/>
    <w:rsid w:val="15485E9A"/>
    <w:rsid w:val="154D43A4"/>
    <w:rsid w:val="15545EB9"/>
    <w:rsid w:val="15576BDB"/>
    <w:rsid w:val="15652D74"/>
    <w:rsid w:val="157D3B19"/>
    <w:rsid w:val="15801DC8"/>
    <w:rsid w:val="15850914"/>
    <w:rsid w:val="15944E34"/>
    <w:rsid w:val="15A05E98"/>
    <w:rsid w:val="15BE242B"/>
    <w:rsid w:val="15C2295F"/>
    <w:rsid w:val="15D03B70"/>
    <w:rsid w:val="15E120AB"/>
    <w:rsid w:val="15E66C64"/>
    <w:rsid w:val="15F159DB"/>
    <w:rsid w:val="15F328C7"/>
    <w:rsid w:val="15F72D9B"/>
    <w:rsid w:val="15FA6BEA"/>
    <w:rsid w:val="15FB61F2"/>
    <w:rsid w:val="15FB6C43"/>
    <w:rsid w:val="16195F85"/>
    <w:rsid w:val="161A707A"/>
    <w:rsid w:val="161D275A"/>
    <w:rsid w:val="162E7BA7"/>
    <w:rsid w:val="164216F7"/>
    <w:rsid w:val="164A3AD6"/>
    <w:rsid w:val="164C3B1D"/>
    <w:rsid w:val="16546388"/>
    <w:rsid w:val="165A5C9E"/>
    <w:rsid w:val="16662DEC"/>
    <w:rsid w:val="16886C43"/>
    <w:rsid w:val="168C6ED5"/>
    <w:rsid w:val="16960B65"/>
    <w:rsid w:val="16983DE7"/>
    <w:rsid w:val="16B20D5F"/>
    <w:rsid w:val="16B643F7"/>
    <w:rsid w:val="16C44F84"/>
    <w:rsid w:val="16C91830"/>
    <w:rsid w:val="16D921F6"/>
    <w:rsid w:val="16E11600"/>
    <w:rsid w:val="170E5488"/>
    <w:rsid w:val="171F5FBF"/>
    <w:rsid w:val="17542842"/>
    <w:rsid w:val="175F64AA"/>
    <w:rsid w:val="17794CA3"/>
    <w:rsid w:val="1784001D"/>
    <w:rsid w:val="178C5789"/>
    <w:rsid w:val="17990E0D"/>
    <w:rsid w:val="17A95CA0"/>
    <w:rsid w:val="17B6382B"/>
    <w:rsid w:val="17B83838"/>
    <w:rsid w:val="17BB1EE3"/>
    <w:rsid w:val="17E60C33"/>
    <w:rsid w:val="17EB6307"/>
    <w:rsid w:val="17EB75BD"/>
    <w:rsid w:val="17EE105C"/>
    <w:rsid w:val="17F90C7E"/>
    <w:rsid w:val="18036EE8"/>
    <w:rsid w:val="1838796E"/>
    <w:rsid w:val="18401849"/>
    <w:rsid w:val="18472990"/>
    <w:rsid w:val="184D1999"/>
    <w:rsid w:val="184E25CB"/>
    <w:rsid w:val="1853036D"/>
    <w:rsid w:val="18567E5D"/>
    <w:rsid w:val="18595F1E"/>
    <w:rsid w:val="185C7114"/>
    <w:rsid w:val="18656E6E"/>
    <w:rsid w:val="187C1F63"/>
    <w:rsid w:val="1883686E"/>
    <w:rsid w:val="189F782C"/>
    <w:rsid w:val="18A17CB5"/>
    <w:rsid w:val="18A57274"/>
    <w:rsid w:val="18AE32F2"/>
    <w:rsid w:val="18B376BD"/>
    <w:rsid w:val="18B70BE2"/>
    <w:rsid w:val="18C86456"/>
    <w:rsid w:val="18C900E6"/>
    <w:rsid w:val="18CE1B94"/>
    <w:rsid w:val="18D54835"/>
    <w:rsid w:val="18E27FDE"/>
    <w:rsid w:val="18ED096A"/>
    <w:rsid w:val="18F31BC7"/>
    <w:rsid w:val="19034565"/>
    <w:rsid w:val="19150537"/>
    <w:rsid w:val="19293820"/>
    <w:rsid w:val="193A569C"/>
    <w:rsid w:val="193B2B9F"/>
    <w:rsid w:val="194A20AE"/>
    <w:rsid w:val="194C0F9B"/>
    <w:rsid w:val="195E2FAA"/>
    <w:rsid w:val="196D0985"/>
    <w:rsid w:val="198B67D8"/>
    <w:rsid w:val="19927FEA"/>
    <w:rsid w:val="19AC1288"/>
    <w:rsid w:val="19B70B2F"/>
    <w:rsid w:val="19BA6BF8"/>
    <w:rsid w:val="19C05ED6"/>
    <w:rsid w:val="19D25C0D"/>
    <w:rsid w:val="19E31B6C"/>
    <w:rsid w:val="19F65FCA"/>
    <w:rsid w:val="19FE6CA7"/>
    <w:rsid w:val="1A087034"/>
    <w:rsid w:val="1A0D737F"/>
    <w:rsid w:val="1A144382"/>
    <w:rsid w:val="1A180644"/>
    <w:rsid w:val="1A1C3315"/>
    <w:rsid w:val="1A205827"/>
    <w:rsid w:val="1A2119CE"/>
    <w:rsid w:val="1A2F18F5"/>
    <w:rsid w:val="1A674F1B"/>
    <w:rsid w:val="1A732ED9"/>
    <w:rsid w:val="1A793053"/>
    <w:rsid w:val="1A7F1BA0"/>
    <w:rsid w:val="1A7F7F97"/>
    <w:rsid w:val="1A932D34"/>
    <w:rsid w:val="1A9A2280"/>
    <w:rsid w:val="1AA47ECA"/>
    <w:rsid w:val="1AAA15F4"/>
    <w:rsid w:val="1AB04E05"/>
    <w:rsid w:val="1AB82101"/>
    <w:rsid w:val="1AC014ED"/>
    <w:rsid w:val="1ACA0101"/>
    <w:rsid w:val="1AD53722"/>
    <w:rsid w:val="1AE03DD6"/>
    <w:rsid w:val="1AE3118C"/>
    <w:rsid w:val="1AE4165F"/>
    <w:rsid w:val="1AF068B0"/>
    <w:rsid w:val="1AF816E8"/>
    <w:rsid w:val="1B141D1C"/>
    <w:rsid w:val="1B1B7916"/>
    <w:rsid w:val="1B1E39DE"/>
    <w:rsid w:val="1B232571"/>
    <w:rsid w:val="1B26235E"/>
    <w:rsid w:val="1B2705CA"/>
    <w:rsid w:val="1B3C1688"/>
    <w:rsid w:val="1B3E7DDB"/>
    <w:rsid w:val="1B4579A1"/>
    <w:rsid w:val="1B506269"/>
    <w:rsid w:val="1B7024BA"/>
    <w:rsid w:val="1B7776D3"/>
    <w:rsid w:val="1B7E1BA5"/>
    <w:rsid w:val="1B934BBE"/>
    <w:rsid w:val="1B941ABE"/>
    <w:rsid w:val="1B961B24"/>
    <w:rsid w:val="1BA157BD"/>
    <w:rsid w:val="1BAD4121"/>
    <w:rsid w:val="1BB00178"/>
    <w:rsid w:val="1BBA5347"/>
    <w:rsid w:val="1BBB4190"/>
    <w:rsid w:val="1BC06F9C"/>
    <w:rsid w:val="1BD103C9"/>
    <w:rsid w:val="1BD63812"/>
    <w:rsid w:val="1BE93168"/>
    <w:rsid w:val="1BEA45F7"/>
    <w:rsid w:val="1BEC33E8"/>
    <w:rsid w:val="1BFE2CE6"/>
    <w:rsid w:val="1C0E1F87"/>
    <w:rsid w:val="1C122871"/>
    <w:rsid w:val="1C19514A"/>
    <w:rsid w:val="1C1960D2"/>
    <w:rsid w:val="1C222F92"/>
    <w:rsid w:val="1C324E4F"/>
    <w:rsid w:val="1C3717C3"/>
    <w:rsid w:val="1C463555"/>
    <w:rsid w:val="1C546502"/>
    <w:rsid w:val="1C5C1609"/>
    <w:rsid w:val="1C5F05DA"/>
    <w:rsid w:val="1C78070F"/>
    <w:rsid w:val="1C952E58"/>
    <w:rsid w:val="1CAA2129"/>
    <w:rsid w:val="1CAC6AEE"/>
    <w:rsid w:val="1CC124E5"/>
    <w:rsid w:val="1CCF7473"/>
    <w:rsid w:val="1CD73D0A"/>
    <w:rsid w:val="1CDD459C"/>
    <w:rsid w:val="1CFE4B98"/>
    <w:rsid w:val="1D2064B7"/>
    <w:rsid w:val="1D28067A"/>
    <w:rsid w:val="1D2D2363"/>
    <w:rsid w:val="1D2E2F4E"/>
    <w:rsid w:val="1D2E7E1E"/>
    <w:rsid w:val="1D302D06"/>
    <w:rsid w:val="1D3D001E"/>
    <w:rsid w:val="1D414BF2"/>
    <w:rsid w:val="1D4372F5"/>
    <w:rsid w:val="1D47054A"/>
    <w:rsid w:val="1D7F0211"/>
    <w:rsid w:val="1D852BBC"/>
    <w:rsid w:val="1D8D16AD"/>
    <w:rsid w:val="1D906B40"/>
    <w:rsid w:val="1D9456B0"/>
    <w:rsid w:val="1D97789C"/>
    <w:rsid w:val="1DAE3F9A"/>
    <w:rsid w:val="1DB4038D"/>
    <w:rsid w:val="1DC40017"/>
    <w:rsid w:val="1DD31B32"/>
    <w:rsid w:val="1E114B90"/>
    <w:rsid w:val="1E237C42"/>
    <w:rsid w:val="1E2433DB"/>
    <w:rsid w:val="1E2A6014"/>
    <w:rsid w:val="1E526FC9"/>
    <w:rsid w:val="1E5D1A56"/>
    <w:rsid w:val="1E601C3F"/>
    <w:rsid w:val="1E635F6F"/>
    <w:rsid w:val="1E735344"/>
    <w:rsid w:val="1E876A90"/>
    <w:rsid w:val="1E8B7C87"/>
    <w:rsid w:val="1E8D0825"/>
    <w:rsid w:val="1EB220D3"/>
    <w:rsid w:val="1EB87D00"/>
    <w:rsid w:val="1EC51145"/>
    <w:rsid w:val="1EE9633B"/>
    <w:rsid w:val="1EEB3B7E"/>
    <w:rsid w:val="1EF328AA"/>
    <w:rsid w:val="1EF54A66"/>
    <w:rsid w:val="1EFD7EBE"/>
    <w:rsid w:val="1F0F2D70"/>
    <w:rsid w:val="1F117D2C"/>
    <w:rsid w:val="1F286A0B"/>
    <w:rsid w:val="1F3D03E1"/>
    <w:rsid w:val="1F49125F"/>
    <w:rsid w:val="1F526BCF"/>
    <w:rsid w:val="1F5B35C3"/>
    <w:rsid w:val="1F5F3FB9"/>
    <w:rsid w:val="1F6028E4"/>
    <w:rsid w:val="1F72194A"/>
    <w:rsid w:val="1F886FD2"/>
    <w:rsid w:val="1F977EC5"/>
    <w:rsid w:val="1F9803AC"/>
    <w:rsid w:val="1F9A4945"/>
    <w:rsid w:val="1F9E1F40"/>
    <w:rsid w:val="1FBC7F65"/>
    <w:rsid w:val="1FD53ACE"/>
    <w:rsid w:val="1FE37D66"/>
    <w:rsid w:val="1FE64331"/>
    <w:rsid w:val="1FE93381"/>
    <w:rsid w:val="1FEA7652"/>
    <w:rsid w:val="200F4CF4"/>
    <w:rsid w:val="200F6422"/>
    <w:rsid w:val="20180D29"/>
    <w:rsid w:val="2032464A"/>
    <w:rsid w:val="203A1DDE"/>
    <w:rsid w:val="2040047D"/>
    <w:rsid w:val="205F3DAC"/>
    <w:rsid w:val="20741FF8"/>
    <w:rsid w:val="2074293F"/>
    <w:rsid w:val="20841236"/>
    <w:rsid w:val="20850EBA"/>
    <w:rsid w:val="208B53C3"/>
    <w:rsid w:val="208D6DA3"/>
    <w:rsid w:val="20B50353"/>
    <w:rsid w:val="20B6410A"/>
    <w:rsid w:val="20C55147"/>
    <w:rsid w:val="20D1670E"/>
    <w:rsid w:val="20F41503"/>
    <w:rsid w:val="21062FBC"/>
    <w:rsid w:val="21065A8D"/>
    <w:rsid w:val="210E42B3"/>
    <w:rsid w:val="2125250F"/>
    <w:rsid w:val="212E69A2"/>
    <w:rsid w:val="215020DD"/>
    <w:rsid w:val="215F504D"/>
    <w:rsid w:val="215F744D"/>
    <w:rsid w:val="21673C3A"/>
    <w:rsid w:val="217858A1"/>
    <w:rsid w:val="2186672D"/>
    <w:rsid w:val="219727A3"/>
    <w:rsid w:val="21A02F7B"/>
    <w:rsid w:val="21A5207B"/>
    <w:rsid w:val="21AB6658"/>
    <w:rsid w:val="21D138E7"/>
    <w:rsid w:val="21F60764"/>
    <w:rsid w:val="2201521E"/>
    <w:rsid w:val="22090649"/>
    <w:rsid w:val="22473BF4"/>
    <w:rsid w:val="22543F8B"/>
    <w:rsid w:val="225F50CA"/>
    <w:rsid w:val="226C7D3C"/>
    <w:rsid w:val="22734673"/>
    <w:rsid w:val="22937D62"/>
    <w:rsid w:val="229436F9"/>
    <w:rsid w:val="229946FA"/>
    <w:rsid w:val="22A6068E"/>
    <w:rsid w:val="22BD7F42"/>
    <w:rsid w:val="22D93C11"/>
    <w:rsid w:val="22F83A17"/>
    <w:rsid w:val="230414FA"/>
    <w:rsid w:val="230961F8"/>
    <w:rsid w:val="23120EAB"/>
    <w:rsid w:val="2336262C"/>
    <w:rsid w:val="23400F0A"/>
    <w:rsid w:val="234E3C7B"/>
    <w:rsid w:val="23572D7A"/>
    <w:rsid w:val="23620641"/>
    <w:rsid w:val="236A34B1"/>
    <w:rsid w:val="2374545A"/>
    <w:rsid w:val="237919E2"/>
    <w:rsid w:val="237A78FB"/>
    <w:rsid w:val="23883766"/>
    <w:rsid w:val="238F4A93"/>
    <w:rsid w:val="23952917"/>
    <w:rsid w:val="239A04A7"/>
    <w:rsid w:val="239C7A0E"/>
    <w:rsid w:val="23A41AAB"/>
    <w:rsid w:val="23C74156"/>
    <w:rsid w:val="23CD6BF4"/>
    <w:rsid w:val="23E72CD7"/>
    <w:rsid w:val="23EF1939"/>
    <w:rsid w:val="23FA71F9"/>
    <w:rsid w:val="241267A4"/>
    <w:rsid w:val="24185AB9"/>
    <w:rsid w:val="24282422"/>
    <w:rsid w:val="24395050"/>
    <w:rsid w:val="243D2853"/>
    <w:rsid w:val="24722B14"/>
    <w:rsid w:val="24781EEB"/>
    <w:rsid w:val="2484271C"/>
    <w:rsid w:val="24896168"/>
    <w:rsid w:val="249066B4"/>
    <w:rsid w:val="24AA32E6"/>
    <w:rsid w:val="24B93275"/>
    <w:rsid w:val="24BC1939"/>
    <w:rsid w:val="24C220F1"/>
    <w:rsid w:val="24E46F1D"/>
    <w:rsid w:val="24F11CDA"/>
    <w:rsid w:val="24F327FA"/>
    <w:rsid w:val="24F353CE"/>
    <w:rsid w:val="25065FBC"/>
    <w:rsid w:val="25120E82"/>
    <w:rsid w:val="2524053B"/>
    <w:rsid w:val="252E750F"/>
    <w:rsid w:val="25320D10"/>
    <w:rsid w:val="2541210F"/>
    <w:rsid w:val="25440C3F"/>
    <w:rsid w:val="254D0D17"/>
    <w:rsid w:val="254D2812"/>
    <w:rsid w:val="255733A4"/>
    <w:rsid w:val="25670B1F"/>
    <w:rsid w:val="257B55B1"/>
    <w:rsid w:val="25840EEC"/>
    <w:rsid w:val="2586026D"/>
    <w:rsid w:val="25890B8B"/>
    <w:rsid w:val="25966F57"/>
    <w:rsid w:val="25973F8F"/>
    <w:rsid w:val="259E0257"/>
    <w:rsid w:val="25A71601"/>
    <w:rsid w:val="25A71CF8"/>
    <w:rsid w:val="25AD6F5A"/>
    <w:rsid w:val="25AE7098"/>
    <w:rsid w:val="25BD1B1C"/>
    <w:rsid w:val="25BF0315"/>
    <w:rsid w:val="25C74A12"/>
    <w:rsid w:val="25C94365"/>
    <w:rsid w:val="25D85ACC"/>
    <w:rsid w:val="25E20F82"/>
    <w:rsid w:val="25E50823"/>
    <w:rsid w:val="25F5564F"/>
    <w:rsid w:val="260D6749"/>
    <w:rsid w:val="261D3C1B"/>
    <w:rsid w:val="26231000"/>
    <w:rsid w:val="26252FF0"/>
    <w:rsid w:val="26304FF4"/>
    <w:rsid w:val="26357E70"/>
    <w:rsid w:val="263C7598"/>
    <w:rsid w:val="26405340"/>
    <w:rsid w:val="264858FA"/>
    <w:rsid w:val="264D248F"/>
    <w:rsid w:val="265A190D"/>
    <w:rsid w:val="269D0482"/>
    <w:rsid w:val="26A87C7E"/>
    <w:rsid w:val="26AC0878"/>
    <w:rsid w:val="26B156D4"/>
    <w:rsid w:val="26BE62B6"/>
    <w:rsid w:val="26C13C2A"/>
    <w:rsid w:val="26CF03B6"/>
    <w:rsid w:val="26D258EE"/>
    <w:rsid w:val="26D371E6"/>
    <w:rsid w:val="27127C7A"/>
    <w:rsid w:val="271B6F16"/>
    <w:rsid w:val="27207561"/>
    <w:rsid w:val="273571C2"/>
    <w:rsid w:val="27382820"/>
    <w:rsid w:val="274077EB"/>
    <w:rsid w:val="275C3AAB"/>
    <w:rsid w:val="276E6F72"/>
    <w:rsid w:val="27761235"/>
    <w:rsid w:val="277744C5"/>
    <w:rsid w:val="27792FF9"/>
    <w:rsid w:val="27861965"/>
    <w:rsid w:val="279F5E19"/>
    <w:rsid w:val="27A528AE"/>
    <w:rsid w:val="27C27B41"/>
    <w:rsid w:val="27C64D67"/>
    <w:rsid w:val="27D53DF2"/>
    <w:rsid w:val="27E80D73"/>
    <w:rsid w:val="27EB6814"/>
    <w:rsid w:val="280452F7"/>
    <w:rsid w:val="28313505"/>
    <w:rsid w:val="28352096"/>
    <w:rsid w:val="28480ED8"/>
    <w:rsid w:val="285854EB"/>
    <w:rsid w:val="28766137"/>
    <w:rsid w:val="28767625"/>
    <w:rsid w:val="28877283"/>
    <w:rsid w:val="28880771"/>
    <w:rsid w:val="288809CC"/>
    <w:rsid w:val="2894137D"/>
    <w:rsid w:val="28A27AA4"/>
    <w:rsid w:val="28BA2888"/>
    <w:rsid w:val="28C055AB"/>
    <w:rsid w:val="28CA4661"/>
    <w:rsid w:val="28CD418E"/>
    <w:rsid w:val="28F440FD"/>
    <w:rsid w:val="28F50F2D"/>
    <w:rsid w:val="28F76AB1"/>
    <w:rsid w:val="28FB48E2"/>
    <w:rsid w:val="28FD2C9D"/>
    <w:rsid w:val="29100A32"/>
    <w:rsid w:val="29233D8C"/>
    <w:rsid w:val="292E2C47"/>
    <w:rsid w:val="293778BF"/>
    <w:rsid w:val="293B5F34"/>
    <w:rsid w:val="293E139F"/>
    <w:rsid w:val="294508E9"/>
    <w:rsid w:val="29496228"/>
    <w:rsid w:val="294F5A3E"/>
    <w:rsid w:val="295328A7"/>
    <w:rsid w:val="2954094B"/>
    <w:rsid w:val="296B21A7"/>
    <w:rsid w:val="29700347"/>
    <w:rsid w:val="29744C93"/>
    <w:rsid w:val="29854BEB"/>
    <w:rsid w:val="29880F72"/>
    <w:rsid w:val="29934D81"/>
    <w:rsid w:val="29954FDC"/>
    <w:rsid w:val="29A31C67"/>
    <w:rsid w:val="29AE352A"/>
    <w:rsid w:val="29B13D79"/>
    <w:rsid w:val="29E25943"/>
    <w:rsid w:val="29E9515E"/>
    <w:rsid w:val="29EB39A1"/>
    <w:rsid w:val="29F660A7"/>
    <w:rsid w:val="29FF6315"/>
    <w:rsid w:val="2A025189"/>
    <w:rsid w:val="2A143CB8"/>
    <w:rsid w:val="2A16760D"/>
    <w:rsid w:val="2A236769"/>
    <w:rsid w:val="2A325E95"/>
    <w:rsid w:val="2A485229"/>
    <w:rsid w:val="2A573CC8"/>
    <w:rsid w:val="2A5D56A2"/>
    <w:rsid w:val="2A5F68DB"/>
    <w:rsid w:val="2A6F62CF"/>
    <w:rsid w:val="2AB84DE6"/>
    <w:rsid w:val="2ABC1DA2"/>
    <w:rsid w:val="2AC15198"/>
    <w:rsid w:val="2AC8179A"/>
    <w:rsid w:val="2AC92CA2"/>
    <w:rsid w:val="2AD461E4"/>
    <w:rsid w:val="2AD74AA7"/>
    <w:rsid w:val="2AE3322A"/>
    <w:rsid w:val="2AEA2DB3"/>
    <w:rsid w:val="2AF6248F"/>
    <w:rsid w:val="2B092190"/>
    <w:rsid w:val="2B136B46"/>
    <w:rsid w:val="2B3447E5"/>
    <w:rsid w:val="2B5037FA"/>
    <w:rsid w:val="2B590F2D"/>
    <w:rsid w:val="2B5C3DBC"/>
    <w:rsid w:val="2B85488A"/>
    <w:rsid w:val="2B8B537C"/>
    <w:rsid w:val="2B980796"/>
    <w:rsid w:val="2B986A2C"/>
    <w:rsid w:val="2BA15AC1"/>
    <w:rsid w:val="2BAE2BDD"/>
    <w:rsid w:val="2BB80DAB"/>
    <w:rsid w:val="2BD3449E"/>
    <w:rsid w:val="2BDF043E"/>
    <w:rsid w:val="2BFB17EB"/>
    <w:rsid w:val="2C03417C"/>
    <w:rsid w:val="2C056FC3"/>
    <w:rsid w:val="2C16129D"/>
    <w:rsid w:val="2C1F4644"/>
    <w:rsid w:val="2C3A1D45"/>
    <w:rsid w:val="2C557DCF"/>
    <w:rsid w:val="2CBC58D1"/>
    <w:rsid w:val="2CD0540B"/>
    <w:rsid w:val="2CD65645"/>
    <w:rsid w:val="2CEA42B7"/>
    <w:rsid w:val="2CFE0255"/>
    <w:rsid w:val="2D166F51"/>
    <w:rsid w:val="2D4C4B2E"/>
    <w:rsid w:val="2D5E1365"/>
    <w:rsid w:val="2D720E3E"/>
    <w:rsid w:val="2D7D4CFC"/>
    <w:rsid w:val="2D847E8B"/>
    <w:rsid w:val="2D8959B3"/>
    <w:rsid w:val="2D9461B0"/>
    <w:rsid w:val="2D9D410D"/>
    <w:rsid w:val="2DAE4C8E"/>
    <w:rsid w:val="2DB30829"/>
    <w:rsid w:val="2DCF003E"/>
    <w:rsid w:val="2DD3719D"/>
    <w:rsid w:val="2DF6381D"/>
    <w:rsid w:val="2E074B30"/>
    <w:rsid w:val="2E0A1A9F"/>
    <w:rsid w:val="2E2C0D50"/>
    <w:rsid w:val="2E324B61"/>
    <w:rsid w:val="2E327E20"/>
    <w:rsid w:val="2E4270DC"/>
    <w:rsid w:val="2E5B4368"/>
    <w:rsid w:val="2E606D77"/>
    <w:rsid w:val="2E6352D0"/>
    <w:rsid w:val="2E664F6B"/>
    <w:rsid w:val="2E877700"/>
    <w:rsid w:val="2E9C43C4"/>
    <w:rsid w:val="2E9E6300"/>
    <w:rsid w:val="2EBD728D"/>
    <w:rsid w:val="2EC46E21"/>
    <w:rsid w:val="2ED027A3"/>
    <w:rsid w:val="2EDD5C80"/>
    <w:rsid w:val="2EEB3529"/>
    <w:rsid w:val="2EF0783F"/>
    <w:rsid w:val="2F0E26C6"/>
    <w:rsid w:val="2F1C5ECF"/>
    <w:rsid w:val="2F212087"/>
    <w:rsid w:val="2F38113B"/>
    <w:rsid w:val="2F392065"/>
    <w:rsid w:val="2F3B558F"/>
    <w:rsid w:val="2F3C47A5"/>
    <w:rsid w:val="2F41192C"/>
    <w:rsid w:val="2F451992"/>
    <w:rsid w:val="2F471106"/>
    <w:rsid w:val="2F48087E"/>
    <w:rsid w:val="2F860821"/>
    <w:rsid w:val="2F8856C7"/>
    <w:rsid w:val="2F990599"/>
    <w:rsid w:val="2FA46986"/>
    <w:rsid w:val="2FCE1D68"/>
    <w:rsid w:val="2FE36023"/>
    <w:rsid w:val="2FFE59F9"/>
    <w:rsid w:val="30036DF7"/>
    <w:rsid w:val="301E354A"/>
    <w:rsid w:val="30240C07"/>
    <w:rsid w:val="30305D73"/>
    <w:rsid w:val="30392C11"/>
    <w:rsid w:val="30432B59"/>
    <w:rsid w:val="30500122"/>
    <w:rsid w:val="305F6BB5"/>
    <w:rsid w:val="306A2A1E"/>
    <w:rsid w:val="30700056"/>
    <w:rsid w:val="307A71D3"/>
    <w:rsid w:val="308939B8"/>
    <w:rsid w:val="308D2819"/>
    <w:rsid w:val="30A23DD7"/>
    <w:rsid w:val="30AE34E6"/>
    <w:rsid w:val="30B54058"/>
    <w:rsid w:val="30D31C14"/>
    <w:rsid w:val="30DB35E9"/>
    <w:rsid w:val="30DC7E37"/>
    <w:rsid w:val="30F244EB"/>
    <w:rsid w:val="3105334C"/>
    <w:rsid w:val="310971A4"/>
    <w:rsid w:val="310A7786"/>
    <w:rsid w:val="31143DF4"/>
    <w:rsid w:val="312F78E9"/>
    <w:rsid w:val="3135044D"/>
    <w:rsid w:val="31461E13"/>
    <w:rsid w:val="31557D3C"/>
    <w:rsid w:val="31586245"/>
    <w:rsid w:val="31685BE6"/>
    <w:rsid w:val="31692400"/>
    <w:rsid w:val="316F1911"/>
    <w:rsid w:val="317A7C58"/>
    <w:rsid w:val="31914BED"/>
    <w:rsid w:val="319F09E1"/>
    <w:rsid w:val="31A35157"/>
    <w:rsid w:val="31C83960"/>
    <w:rsid w:val="31F528CF"/>
    <w:rsid w:val="31F67ECC"/>
    <w:rsid w:val="31FC0302"/>
    <w:rsid w:val="31FD0170"/>
    <w:rsid w:val="32007938"/>
    <w:rsid w:val="32134DB1"/>
    <w:rsid w:val="32197357"/>
    <w:rsid w:val="322824C3"/>
    <w:rsid w:val="322A3648"/>
    <w:rsid w:val="32306893"/>
    <w:rsid w:val="323719D2"/>
    <w:rsid w:val="326A686F"/>
    <w:rsid w:val="326F2AFB"/>
    <w:rsid w:val="326F445C"/>
    <w:rsid w:val="327B4241"/>
    <w:rsid w:val="327C0898"/>
    <w:rsid w:val="328B6504"/>
    <w:rsid w:val="32A97FCE"/>
    <w:rsid w:val="32B46304"/>
    <w:rsid w:val="32CB6096"/>
    <w:rsid w:val="32DC73B7"/>
    <w:rsid w:val="32E55262"/>
    <w:rsid w:val="32F856F5"/>
    <w:rsid w:val="33065246"/>
    <w:rsid w:val="33220086"/>
    <w:rsid w:val="33486290"/>
    <w:rsid w:val="33570A12"/>
    <w:rsid w:val="33616FA3"/>
    <w:rsid w:val="33644970"/>
    <w:rsid w:val="336A23C5"/>
    <w:rsid w:val="33B24A0A"/>
    <w:rsid w:val="33B37634"/>
    <w:rsid w:val="33BB1298"/>
    <w:rsid w:val="33C013C7"/>
    <w:rsid w:val="33E15B27"/>
    <w:rsid w:val="33E750E9"/>
    <w:rsid w:val="33F3460F"/>
    <w:rsid w:val="33FC3328"/>
    <w:rsid w:val="343647D1"/>
    <w:rsid w:val="34386FE5"/>
    <w:rsid w:val="343F5AE2"/>
    <w:rsid w:val="34666E4F"/>
    <w:rsid w:val="347C640E"/>
    <w:rsid w:val="34817225"/>
    <w:rsid w:val="34A46DD9"/>
    <w:rsid w:val="34BA5036"/>
    <w:rsid w:val="34CC7220"/>
    <w:rsid w:val="34D728B0"/>
    <w:rsid w:val="34D9536D"/>
    <w:rsid w:val="34E57508"/>
    <w:rsid w:val="34E60104"/>
    <w:rsid w:val="35035980"/>
    <w:rsid w:val="35165B0E"/>
    <w:rsid w:val="351F1A4C"/>
    <w:rsid w:val="35213875"/>
    <w:rsid w:val="352E1B55"/>
    <w:rsid w:val="35513E72"/>
    <w:rsid w:val="35522BF0"/>
    <w:rsid w:val="356426ED"/>
    <w:rsid w:val="356D257E"/>
    <w:rsid w:val="35703D3C"/>
    <w:rsid w:val="357833AB"/>
    <w:rsid w:val="357907D4"/>
    <w:rsid w:val="35864E44"/>
    <w:rsid w:val="358821F6"/>
    <w:rsid w:val="35B54197"/>
    <w:rsid w:val="35C81148"/>
    <w:rsid w:val="35C97A69"/>
    <w:rsid w:val="35D5156F"/>
    <w:rsid w:val="35E679A8"/>
    <w:rsid w:val="35F235DF"/>
    <w:rsid w:val="35F777A8"/>
    <w:rsid w:val="35F8709C"/>
    <w:rsid w:val="35F960CD"/>
    <w:rsid w:val="3607536A"/>
    <w:rsid w:val="3608376B"/>
    <w:rsid w:val="361A1F4B"/>
    <w:rsid w:val="36280C33"/>
    <w:rsid w:val="3628411C"/>
    <w:rsid w:val="362A23B5"/>
    <w:rsid w:val="362C24D2"/>
    <w:rsid w:val="36320C73"/>
    <w:rsid w:val="36433A19"/>
    <w:rsid w:val="364C01C6"/>
    <w:rsid w:val="364C0754"/>
    <w:rsid w:val="364C4C48"/>
    <w:rsid w:val="36631982"/>
    <w:rsid w:val="36680F90"/>
    <w:rsid w:val="367003DE"/>
    <w:rsid w:val="36717AC5"/>
    <w:rsid w:val="36890313"/>
    <w:rsid w:val="368B674F"/>
    <w:rsid w:val="368E4029"/>
    <w:rsid w:val="369A12F2"/>
    <w:rsid w:val="369B150A"/>
    <w:rsid w:val="36A02F78"/>
    <w:rsid w:val="36A1178A"/>
    <w:rsid w:val="36B345F1"/>
    <w:rsid w:val="36B679E8"/>
    <w:rsid w:val="36DF0B4F"/>
    <w:rsid w:val="36E27268"/>
    <w:rsid w:val="36FF0293"/>
    <w:rsid w:val="36FF0E71"/>
    <w:rsid w:val="37060F75"/>
    <w:rsid w:val="370A471E"/>
    <w:rsid w:val="37135744"/>
    <w:rsid w:val="37191AEF"/>
    <w:rsid w:val="371A1A56"/>
    <w:rsid w:val="373132EA"/>
    <w:rsid w:val="373A0202"/>
    <w:rsid w:val="37421FB2"/>
    <w:rsid w:val="374A4E06"/>
    <w:rsid w:val="37600567"/>
    <w:rsid w:val="37894AFB"/>
    <w:rsid w:val="378D1068"/>
    <w:rsid w:val="37992E3C"/>
    <w:rsid w:val="37B46FCD"/>
    <w:rsid w:val="37BF5228"/>
    <w:rsid w:val="37CC4923"/>
    <w:rsid w:val="37CD1F65"/>
    <w:rsid w:val="37ED041A"/>
    <w:rsid w:val="37F9603B"/>
    <w:rsid w:val="38081EDF"/>
    <w:rsid w:val="38096FFE"/>
    <w:rsid w:val="38361BD8"/>
    <w:rsid w:val="3850049E"/>
    <w:rsid w:val="38595D03"/>
    <w:rsid w:val="386B525D"/>
    <w:rsid w:val="386C626C"/>
    <w:rsid w:val="38750555"/>
    <w:rsid w:val="38797524"/>
    <w:rsid w:val="38805FCE"/>
    <w:rsid w:val="38954B4B"/>
    <w:rsid w:val="389B2126"/>
    <w:rsid w:val="38A56AFD"/>
    <w:rsid w:val="38B23752"/>
    <w:rsid w:val="38C064A7"/>
    <w:rsid w:val="38CF70B7"/>
    <w:rsid w:val="38D10BEE"/>
    <w:rsid w:val="38E242A3"/>
    <w:rsid w:val="38E54BBA"/>
    <w:rsid w:val="390521DA"/>
    <w:rsid w:val="39132095"/>
    <w:rsid w:val="3914724D"/>
    <w:rsid w:val="39161217"/>
    <w:rsid w:val="39164225"/>
    <w:rsid w:val="391735FC"/>
    <w:rsid w:val="392534B4"/>
    <w:rsid w:val="3926738A"/>
    <w:rsid w:val="39303EDD"/>
    <w:rsid w:val="393D0322"/>
    <w:rsid w:val="393F0B82"/>
    <w:rsid w:val="3958538C"/>
    <w:rsid w:val="395908AF"/>
    <w:rsid w:val="39773D3E"/>
    <w:rsid w:val="397E4C82"/>
    <w:rsid w:val="39834472"/>
    <w:rsid w:val="39863DD9"/>
    <w:rsid w:val="39874A2E"/>
    <w:rsid w:val="398C449A"/>
    <w:rsid w:val="398D146B"/>
    <w:rsid w:val="399A7C5F"/>
    <w:rsid w:val="399C7AF9"/>
    <w:rsid w:val="39AE2CAC"/>
    <w:rsid w:val="39B217C1"/>
    <w:rsid w:val="39CF60D4"/>
    <w:rsid w:val="39DE624B"/>
    <w:rsid w:val="39E229CA"/>
    <w:rsid w:val="39E52EEC"/>
    <w:rsid w:val="39EF74E3"/>
    <w:rsid w:val="39FD0DA7"/>
    <w:rsid w:val="3A07203F"/>
    <w:rsid w:val="3A0F112B"/>
    <w:rsid w:val="3A375C4F"/>
    <w:rsid w:val="3A3D55D1"/>
    <w:rsid w:val="3A512D97"/>
    <w:rsid w:val="3A5E1261"/>
    <w:rsid w:val="3A8669EE"/>
    <w:rsid w:val="3A9B718D"/>
    <w:rsid w:val="3AAF08FE"/>
    <w:rsid w:val="3AB90087"/>
    <w:rsid w:val="3AC27689"/>
    <w:rsid w:val="3AC370E8"/>
    <w:rsid w:val="3AD975FE"/>
    <w:rsid w:val="3AFA7F85"/>
    <w:rsid w:val="3B045166"/>
    <w:rsid w:val="3B0B7552"/>
    <w:rsid w:val="3B0F4194"/>
    <w:rsid w:val="3B167957"/>
    <w:rsid w:val="3B181184"/>
    <w:rsid w:val="3B247C1B"/>
    <w:rsid w:val="3B337F8F"/>
    <w:rsid w:val="3B3F0B85"/>
    <w:rsid w:val="3B4007FC"/>
    <w:rsid w:val="3B51009F"/>
    <w:rsid w:val="3B582259"/>
    <w:rsid w:val="3B657737"/>
    <w:rsid w:val="3B72074A"/>
    <w:rsid w:val="3B7D20C6"/>
    <w:rsid w:val="3B8663E1"/>
    <w:rsid w:val="3B965B95"/>
    <w:rsid w:val="3BAF4C51"/>
    <w:rsid w:val="3BBD5B01"/>
    <w:rsid w:val="3BC658B8"/>
    <w:rsid w:val="3BCF6241"/>
    <w:rsid w:val="3BEA79D3"/>
    <w:rsid w:val="3BFE1C36"/>
    <w:rsid w:val="3C166588"/>
    <w:rsid w:val="3C486CBD"/>
    <w:rsid w:val="3C4C1552"/>
    <w:rsid w:val="3C4E5F41"/>
    <w:rsid w:val="3C545F7F"/>
    <w:rsid w:val="3C764176"/>
    <w:rsid w:val="3C7B0826"/>
    <w:rsid w:val="3C805399"/>
    <w:rsid w:val="3C8959ED"/>
    <w:rsid w:val="3C8C7A02"/>
    <w:rsid w:val="3C9634A6"/>
    <w:rsid w:val="3CA258A2"/>
    <w:rsid w:val="3CB034FE"/>
    <w:rsid w:val="3CBC4FDE"/>
    <w:rsid w:val="3CC365A0"/>
    <w:rsid w:val="3CCE7C1F"/>
    <w:rsid w:val="3CE31B82"/>
    <w:rsid w:val="3CE902FE"/>
    <w:rsid w:val="3D0F7127"/>
    <w:rsid w:val="3D124BBA"/>
    <w:rsid w:val="3D1604CA"/>
    <w:rsid w:val="3D161816"/>
    <w:rsid w:val="3D181CE8"/>
    <w:rsid w:val="3D5171F3"/>
    <w:rsid w:val="3D5F569B"/>
    <w:rsid w:val="3D6C00EE"/>
    <w:rsid w:val="3D6D113A"/>
    <w:rsid w:val="3D862833"/>
    <w:rsid w:val="3D945C38"/>
    <w:rsid w:val="3DA436E5"/>
    <w:rsid w:val="3DA522A6"/>
    <w:rsid w:val="3DAB54D9"/>
    <w:rsid w:val="3DAF3B3A"/>
    <w:rsid w:val="3DE00668"/>
    <w:rsid w:val="3DE1502A"/>
    <w:rsid w:val="3DE2421B"/>
    <w:rsid w:val="3DE874B5"/>
    <w:rsid w:val="3DEF1A42"/>
    <w:rsid w:val="3DF7585E"/>
    <w:rsid w:val="3E023006"/>
    <w:rsid w:val="3E0B356F"/>
    <w:rsid w:val="3E0C3BB0"/>
    <w:rsid w:val="3E183A99"/>
    <w:rsid w:val="3E290354"/>
    <w:rsid w:val="3E2E5F95"/>
    <w:rsid w:val="3E33362F"/>
    <w:rsid w:val="3E3871B2"/>
    <w:rsid w:val="3E3F04D2"/>
    <w:rsid w:val="3E497394"/>
    <w:rsid w:val="3E502AD5"/>
    <w:rsid w:val="3E557492"/>
    <w:rsid w:val="3E5D53F9"/>
    <w:rsid w:val="3E5E357F"/>
    <w:rsid w:val="3E640BE4"/>
    <w:rsid w:val="3E655E02"/>
    <w:rsid w:val="3E6A0E9A"/>
    <w:rsid w:val="3E70588C"/>
    <w:rsid w:val="3E777094"/>
    <w:rsid w:val="3E7E28B1"/>
    <w:rsid w:val="3E7E30BE"/>
    <w:rsid w:val="3E7E47ED"/>
    <w:rsid w:val="3E8279CC"/>
    <w:rsid w:val="3E8974A2"/>
    <w:rsid w:val="3E991829"/>
    <w:rsid w:val="3EA3328C"/>
    <w:rsid w:val="3EAB5531"/>
    <w:rsid w:val="3EAC445D"/>
    <w:rsid w:val="3EAE23F1"/>
    <w:rsid w:val="3EB55FA9"/>
    <w:rsid w:val="3ECD3897"/>
    <w:rsid w:val="3ED50157"/>
    <w:rsid w:val="3EDB155A"/>
    <w:rsid w:val="3EE30466"/>
    <w:rsid w:val="3EEF44CB"/>
    <w:rsid w:val="3F0160E4"/>
    <w:rsid w:val="3F0256F5"/>
    <w:rsid w:val="3F235316"/>
    <w:rsid w:val="3F32738C"/>
    <w:rsid w:val="3F3348D1"/>
    <w:rsid w:val="3F482066"/>
    <w:rsid w:val="3F544252"/>
    <w:rsid w:val="3F5817A0"/>
    <w:rsid w:val="3F5E5863"/>
    <w:rsid w:val="3F65236B"/>
    <w:rsid w:val="3F69657B"/>
    <w:rsid w:val="3F757081"/>
    <w:rsid w:val="3F77731A"/>
    <w:rsid w:val="3F8E0A65"/>
    <w:rsid w:val="3F9B0769"/>
    <w:rsid w:val="3FA05001"/>
    <w:rsid w:val="3FAF3AEF"/>
    <w:rsid w:val="3FB23F6B"/>
    <w:rsid w:val="3FB3089D"/>
    <w:rsid w:val="3FBB0422"/>
    <w:rsid w:val="3FC10E0A"/>
    <w:rsid w:val="3FCD1871"/>
    <w:rsid w:val="3FDB08DB"/>
    <w:rsid w:val="3FFA1CA8"/>
    <w:rsid w:val="4017174A"/>
    <w:rsid w:val="401B73EF"/>
    <w:rsid w:val="402D4E80"/>
    <w:rsid w:val="402D51B7"/>
    <w:rsid w:val="4045220D"/>
    <w:rsid w:val="40512B35"/>
    <w:rsid w:val="405A6DAA"/>
    <w:rsid w:val="40644D88"/>
    <w:rsid w:val="40645E05"/>
    <w:rsid w:val="406D22D9"/>
    <w:rsid w:val="40771CFE"/>
    <w:rsid w:val="40781B15"/>
    <w:rsid w:val="407F5888"/>
    <w:rsid w:val="40850193"/>
    <w:rsid w:val="40996605"/>
    <w:rsid w:val="40A12E50"/>
    <w:rsid w:val="40B1793A"/>
    <w:rsid w:val="40BC6B48"/>
    <w:rsid w:val="40CC569E"/>
    <w:rsid w:val="40CD2D5D"/>
    <w:rsid w:val="40D62E66"/>
    <w:rsid w:val="40FB736A"/>
    <w:rsid w:val="410C275D"/>
    <w:rsid w:val="41135833"/>
    <w:rsid w:val="41181813"/>
    <w:rsid w:val="411E3179"/>
    <w:rsid w:val="4122298E"/>
    <w:rsid w:val="41390579"/>
    <w:rsid w:val="413C58F7"/>
    <w:rsid w:val="41452319"/>
    <w:rsid w:val="414E587F"/>
    <w:rsid w:val="415474D3"/>
    <w:rsid w:val="417B2585"/>
    <w:rsid w:val="418A1095"/>
    <w:rsid w:val="419268FD"/>
    <w:rsid w:val="41B3797C"/>
    <w:rsid w:val="41C66565"/>
    <w:rsid w:val="41C82202"/>
    <w:rsid w:val="41DD1D33"/>
    <w:rsid w:val="41FA0BB6"/>
    <w:rsid w:val="41FD01E9"/>
    <w:rsid w:val="420408C0"/>
    <w:rsid w:val="4205595F"/>
    <w:rsid w:val="42110603"/>
    <w:rsid w:val="42201307"/>
    <w:rsid w:val="422918E9"/>
    <w:rsid w:val="4256411C"/>
    <w:rsid w:val="42674199"/>
    <w:rsid w:val="426F19A4"/>
    <w:rsid w:val="42707A60"/>
    <w:rsid w:val="4275514B"/>
    <w:rsid w:val="427A2A32"/>
    <w:rsid w:val="428E75AF"/>
    <w:rsid w:val="42902DFA"/>
    <w:rsid w:val="42923BDD"/>
    <w:rsid w:val="42976F25"/>
    <w:rsid w:val="429A5D85"/>
    <w:rsid w:val="429F6BB0"/>
    <w:rsid w:val="42D625DE"/>
    <w:rsid w:val="42D95813"/>
    <w:rsid w:val="42E76ADF"/>
    <w:rsid w:val="43033CB0"/>
    <w:rsid w:val="43483966"/>
    <w:rsid w:val="436D302C"/>
    <w:rsid w:val="436E541F"/>
    <w:rsid w:val="437842DC"/>
    <w:rsid w:val="438E65DA"/>
    <w:rsid w:val="4395169A"/>
    <w:rsid w:val="439519AA"/>
    <w:rsid w:val="43A16F73"/>
    <w:rsid w:val="43F20392"/>
    <w:rsid w:val="43FA39F8"/>
    <w:rsid w:val="4408720B"/>
    <w:rsid w:val="442D0F73"/>
    <w:rsid w:val="4430272A"/>
    <w:rsid w:val="443652DE"/>
    <w:rsid w:val="445C6678"/>
    <w:rsid w:val="44613DA3"/>
    <w:rsid w:val="44653FAE"/>
    <w:rsid w:val="446D5E16"/>
    <w:rsid w:val="44925401"/>
    <w:rsid w:val="44A217DF"/>
    <w:rsid w:val="44C656D8"/>
    <w:rsid w:val="44E11D11"/>
    <w:rsid w:val="44E3326A"/>
    <w:rsid w:val="44EE31B5"/>
    <w:rsid w:val="44F75EBD"/>
    <w:rsid w:val="45052395"/>
    <w:rsid w:val="45076F28"/>
    <w:rsid w:val="451A4565"/>
    <w:rsid w:val="451E7F92"/>
    <w:rsid w:val="455949F6"/>
    <w:rsid w:val="455C7493"/>
    <w:rsid w:val="455E08AA"/>
    <w:rsid w:val="455F6EA7"/>
    <w:rsid w:val="4571109B"/>
    <w:rsid w:val="4594599D"/>
    <w:rsid w:val="45957B80"/>
    <w:rsid w:val="459F7B5A"/>
    <w:rsid w:val="45A75BA2"/>
    <w:rsid w:val="45AA3413"/>
    <w:rsid w:val="45AB1B6F"/>
    <w:rsid w:val="45AB598A"/>
    <w:rsid w:val="45B21B97"/>
    <w:rsid w:val="45CC1670"/>
    <w:rsid w:val="45DC46A2"/>
    <w:rsid w:val="45DD5733"/>
    <w:rsid w:val="45ED39F7"/>
    <w:rsid w:val="45EE5BA9"/>
    <w:rsid w:val="45F1785E"/>
    <w:rsid w:val="45FF65BC"/>
    <w:rsid w:val="461716DC"/>
    <w:rsid w:val="462E09C0"/>
    <w:rsid w:val="4650264D"/>
    <w:rsid w:val="466B123A"/>
    <w:rsid w:val="466E276A"/>
    <w:rsid w:val="46717A8D"/>
    <w:rsid w:val="467722DB"/>
    <w:rsid w:val="46811268"/>
    <w:rsid w:val="46992463"/>
    <w:rsid w:val="46A71F91"/>
    <w:rsid w:val="46A75BA4"/>
    <w:rsid w:val="46D76561"/>
    <w:rsid w:val="46DC6C88"/>
    <w:rsid w:val="46E162AC"/>
    <w:rsid w:val="46E90C6A"/>
    <w:rsid w:val="46F55879"/>
    <w:rsid w:val="46FC1A4C"/>
    <w:rsid w:val="471321ED"/>
    <w:rsid w:val="47236191"/>
    <w:rsid w:val="472429A5"/>
    <w:rsid w:val="47261108"/>
    <w:rsid w:val="472937CB"/>
    <w:rsid w:val="474B01BB"/>
    <w:rsid w:val="475058C1"/>
    <w:rsid w:val="47543AA6"/>
    <w:rsid w:val="4765532C"/>
    <w:rsid w:val="47677A2B"/>
    <w:rsid w:val="47742D44"/>
    <w:rsid w:val="478B3568"/>
    <w:rsid w:val="47AD72A0"/>
    <w:rsid w:val="47B3391C"/>
    <w:rsid w:val="47E07BFD"/>
    <w:rsid w:val="47E21143"/>
    <w:rsid w:val="47F36C9C"/>
    <w:rsid w:val="480C17B5"/>
    <w:rsid w:val="480E3358"/>
    <w:rsid w:val="48117A58"/>
    <w:rsid w:val="48146484"/>
    <w:rsid w:val="481D00C7"/>
    <w:rsid w:val="48305022"/>
    <w:rsid w:val="484F39AD"/>
    <w:rsid w:val="4877344F"/>
    <w:rsid w:val="487F2935"/>
    <w:rsid w:val="48827A68"/>
    <w:rsid w:val="48855264"/>
    <w:rsid w:val="488D6BE8"/>
    <w:rsid w:val="48A15CFB"/>
    <w:rsid w:val="48A217AB"/>
    <w:rsid w:val="48A26E59"/>
    <w:rsid w:val="48C30EE8"/>
    <w:rsid w:val="48DC1D50"/>
    <w:rsid w:val="48DE44F5"/>
    <w:rsid w:val="48E919A8"/>
    <w:rsid w:val="48ED12D1"/>
    <w:rsid w:val="48F64AC6"/>
    <w:rsid w:val="48FB0FE8"/>
    <w:rsid w:val="49172C96"/>
    <w:rsid w:val="492D2689"/>
    <w:rsid w:val="492D27D0"/>
    <w:rsid w:val="4944651A"/>
    <w:rsid w:val="494722AB"/>
    <w:rsid w:val="494E66A1"/>
    <w:rsid w:val="49504727"/>
    <w:rsid w:val="495F13C3"/>
    <w:rsid w:val="496B0BF7"/>
    <w:rsid w:val="496D37E9"/>
    <w:rsid w:val="49764DDF"/>
    <w:rsid w:val="49813D13"/>
    <w:rsid w:val="49833F21"/>
    <w:rsid w:val="49867426"/>
    <w:rsid w:val="49911F17"/>
    <w:rsid w:val="49B56DFE"/>
    <w:rsid w:val="49C338EF"/>
    <w:rsid w:val="49CF0D08"/>
    <w:rsid w:val="49D95B1A"/>
    <w:rsid w:val="49E64202"/>
    <w:rsid w:val="49F01DD4"/>
    <w:rsid w:val="49F437BC"/>
    <w:rsid w:val="4A1F4057"/>
    <w:rsid w:val="4A28018A"/>
    <w:rsid w:val="4A422585"/>
    <w:rsid w:val="4A455513"/>
    <w:rsid w:val="4A4C2F5A"/>
    <w:rsid w:val="4A644923"/>
    <w:rsid w:val="4A751AC3"/>
    <w:rsid w:val="4A7623BD"/>
    <w:rsid w:val="4A843F01"/>
    <w:rsid w:val="4A9855AE"/>
    <w:rsid w:val="4AD234B3"/>
    <w:rsid w:val="4AE253C8"/>
    <w:rsid w:val="4AE40F4F"/>
    <w:rsid w:val="4AFB1DAB"/>
    <w:rsid w:val="4B0C0014"/>
    <w:rsid w:val="4B0D743B"/>
    <w:rsid w:val="4B1677F7"/>
    <w:rsid w:val="4B1B3E88"/>
    <w:rsid w:val="4B1D6488"/>
    <w:rsid w:val="4B2C09B8"/>
    <w:rsid w:val="4B392CD5"/>
    <w:rsid w:val="4B3B6352"/>
    <w:rsid w:val="4B430DCB"/>
    <w:rsid w:val="4B434B3F"/>
    <w:rsid w:val="4B7A7712"/>
    <w:rsid w:val="4B9A0871"/>
    <w:rsid w:val="4B9C2893"/>
    <w:rsid w:val="4BAD672F"/>
    <w:rsid w:val="4BBD4C3A"/>
    <w:rsid w:val="4BC35EF5"/>
    <w:rsid w:val="4BCF71DC"/>
    <w:rsid w:val="4BD77D5E"/>
    <w:rsid w:val="4BD809EB"/>
    <w:rsid w:val="4BF41F4C"/>
    <w:rsid w:val="4C0A4933"/>
    <w:rsid w:val="4C0D46FC"/>
    <w:rsid w:val="4C2335FF"/>
    <w:rsid w:val="4C2D221E"/>
    <w:rsid w:val="4C2F577D"/>
    <w:rsid w:val="4C430CC4"/>
    <w:rsid w:val="4C476ED1"/>
    <w:rsid w:val="4C5B0732"/>
    <w:rsid w:val="4C6228BF"/>
    <w:rsid w:val="4C672033"/>
    <w:rsid w:val="4C6A76CD"/>
    <w:rsid w:val="4C782051"/>
    <w:rsid w:val="4CA24CB4"/>
    <w:rsid w:val="4CAB6E64"/>
    <w:rsid w:val="4CBA1465"/>
    <w:rsid w:val="4CBD46D7"/>
    <w:rsid w:val="4CD13875"/>
    <w:rsid w:val="4CDB0356"/>
    <w:rsid w:val="4CDD6C8B"/>
    <w:rsid w:val="4CEE7096"/>
    <w:rsid w:val="4D003284"/>
    <w:rsid w:val="4D087323"/>
    <w:rsid w:val="4D0D4B8C"/>
    <w:rsid w:val="4D1861C4"/>
    <w:rsid w:val="4D317DE4"/>
    <w:rsid w:val="4D376567"/>
    <w:rsid w:val="4D4511EA"/>
    <w:rsid w:val="4D4B5961"/>
    <w:rsid w:val="4D4E2968"/>
    <w:rsid w:val="4D5078A4"/>
    <w:rsid w:val="4D514EA9"/>
    <w:rsid w:val="4D6410CA"/>
    <w:rsid w:val="4D645CE9"/>
    <w:rsid w:val="4D860440"/>
    <w:rsid w:val="4D8C4A2D"/>
    <w:rsid w:val="4D986944"/>
    <w:rsid w:val="4D9F72FA"/>
    <w:rsid w:val="4DAC27D5"/>
    <w:rsid w:val="4DB53618"/>
    <w:rsid w:val="4DC564F6"/>
    <w:rsid w:val="4DC578E0"/>
    <w:rsid w:val="4DCB6D07"/>
    <w:rsid w:val="4DDC41A8"/>
    <w:rsid w:val="4DDE7C8E"/>
    <w:rsid w:val="4DE20F39"/>
    <w:rsid w:val="4DE2784F"/>
    <w:rsid w:val="4DEC65C7"/>
    <w:rsid w:val="4DF437C5"/>
    <w:rsid w:val="4E082964"/>
    <w:rsid w:val="4E211CBB"/>
    <w:rsid w:val="4E2E5DC1"/>
    <w:rsid w:val="4E40026B"/>
    <w:rsid w:val="4E5D04EC"/>
    <w:rsid w:val="4E5D1F8F"/>
    <w:rsid w:val="4E625D90"/>
    <w:rsid w:val="4E7C4C7C"/>
    <w:rsid w:val="4E836E6E"/>
    <w:rsid w:val="4E8462BE"/>
    <w:rsid w:val="4E870795"/>
    <w:rsid w:val="4E893947"/>
    <w:rsid w:val="4EA567DE"/>
    <w:rsid w:val="4EB14A71"/>
    <w:rsid w:val="4EB83C38"/>
    <w:rsid w:val="4EBC327B"/>
    <w:rsid w:val="4EC05A55"/>
    <w:rsid w:val="4ECD0FFC"/>
    <w:rsid w:val="4ECE0172"/>
    <w:rsid w:val="4EE25DE6"/>
    <w:rsid w:val="4EEF104C"/>
    <w:rsid w:val="4EF330C8"/>
    <w:rsid w:val="4F057FB7"/>
    <w:rsid w:val="4F301DA9"/>
    <w:rsid w:val="4F3C3BFE"/>
    <w:rsid w:val="4F425F16"/>
    <w:rsid w:val="4F437129"/>
    <w:rsid w:val="4F4B1AB9"/>
    <w:rsid w:val="4F5A694A"/>
    <w:rsid w:val="4F5E0F7B"/>
    <w:rsid w:val="4F60312A"/>
    <w:rsid w:val="4F645602"/>
    <w:rsid w:val="4F740C30"/>
    <w:rsid w:val="4FA60258"/>
    <w:rsid w:val="4FB23F18"/>
    <w:rsid w:val="4FBD3B35"/>
    <w:rsid w:val="4FCD32A0"/>
    <w:rsid w:val="4FE34A9E"/>
    <w:rsid w:val="4FE40987"/>
    <w:rsid w:val="4FE8768C"/>
    <w:rsid w:val="4FFB37BF"/>
    <w:rsid w:val="500258B5"/>
    <w:rsid w:val="50191E2E"/>
    <w:rsid w:val="50263D0A"/>
    <w:rsid w:val="50320D48"/>
    <w:rsid w:val="503C14CC"/>
    <w:rsid w:val="50522173"/>
    <w:rsid w:val="506773A1"/>
    <w:rsid w:val="50757EB0"/>
    <w:rsid w:val="507D6CD7"/>
    <w:rsid w:val="509153B9"/>
    <w:rsid w:val="50986808"/>
    <w:rsid w:val="5099655E"/>
    <w:rsid w:val="50B37E70"/>
    <w:rsid w:val="50BD3AD5"/>
    <w:rsid w:val="50C524EE"/>
    <w:rsid w:val="50D07E7E"/>
    <w:rsid w:val="50D94B74"/>
    <w:rsid w:val="50DB6C0B"/>
    <w:rsid w:val="50EA4A7A"/>
    <w:rsid w:val="50EB553D"/>
    <w:rsid w:val="510A6D4E"/>
    <w:rsid w:val="51112598"/>
    <w:rsid w:val="511D44A4"/>
    <w:rsid w:val="511F1827"/>
    <w:rsid w:val="513D2D31"/>
    <w:rsid w:val="5140616E"/>
    <w:rsid w:val="51491D32"/>
    <w:rsid w:val="515025BA"/>
    <w:rsid w:val="51524424"/>
    <w:rsid w:val="51574F11"/>
    <w:rsid w:val="516279C1"/>
    <w:rsid w:val="516C1107"/>
    <w:rsid w:val="51810D04"/>
    <w:rsid w:val="51891C98"/>
    <w:rsid w:val="518D66CF"/>
    <w:rsid w:val="51BD1CF1"/>
    <w:rsid w:val="51D42C95"/>
    <w:rsid w:val="51DA256E"/>
    <w:rsid w:val="51F01791"/>
    <w:rsid w:val="52055179"/>
    <w:rsid w:val="520C66EB"/>
    <w:rsid w:val="521315E1"/>
    <w:rsid w:val="52154D45"/>
    <w:rsid w:val="521A60E2"/>
    <w:rsid w:val="522312D8"/>
    <w:rsid w:val="524242D3"/>
    <w:rsid w:val="525628E3"/>
    <w:rsid w:val="5263790D"/>
    <w:rsid w:val="526606C2"/>
    <w:rsid w:val="528717D2"/>
    <w:rsid w:val="52A224FC"/>
    <w:rsid w:val="52B70F1D"/>
    <w:rsid w:val="52BA2867"/>
    <w:rsid w:val="52C807F4"/>
    <w:rsid w:val="52CE1035"/>
    <w:rsid w:val="52D140E5"/>
    <w:rsid w:val="52DC674C"/>
    <w:rsid w:val="530218B9"/>
    <w:rsid w:val="53055CF3"/>
    <w:rsid w:val="530C6EE2"/>
    <w:rsid w:val="53230488"/>
    <w:rsid w:val="532D0566"/>
    <w:rsid w:val="533F13C1"/>
    <w:rsid w:val="534618D0"/>
    <w:rsid w:val="535444E8"/>
    <w:rsid w:val="53591E86"/>
    <w:rsid w:val="53624E0A"/>
    <w:rsid w:val="53643011"/>
    <w:rsid w:val="5384523D"/>
    <w:rsid w:val="53846CA7"/>
    <w:rsid w:val="538F07B4"/>
    <w:rsid w:val="539557FA"/>
    <w:rsid w:val="53956159"/>
    <w:rsid w:val="53D838C6"/>
    <w:rsid w:val="53DD0766"/>
    <w:rsid w:val="53DE6944"/>
    <w:rsid w:val="53EA183E"/>
    <w:rsid w:val="53F159F0"/>
    <w:rsid w:val="53FD2C8A"/>
    <w:rsid w:val="540C0C4B"/>
    <w:rsid w:val="541A5CB0"/>
    <w:rsid w:val="5420418E"/>
    <w:rsid w:val="54262366"/>
    <w:rsid w:val="54336352"/>
    <w:rsid w:val="543F151A"/>
    <w:rsid w:val="54402FF2"/>
    <w:rsid w:val="544A0306"/>
    <w:rsid w:val="54593B54"/>
    <w:rsid w:val="545B7BCF"/>
    <w:rsid w:val="54640BF5"/>
    <w:rsid w:val="5475623B"/>
    <w:rsid w:val="547E5FE0"/>
    <w:rsid w:val="548652C3"/>
    <w:rsid w:val="54A97AB6"/>
    <w:rsid w:val="54C3270F"/>
    <w:rsid w:val="54C52DD1"/>
    <w:rsid w:val="54C75B03"/>
    <w:rsid w:val="54CF4DC4"/>
    <w:rsid w:val="54D12115"/>
    <w:rsid w:val="54D23CD1"/>
    <w:rsid w:val="54D378D0"/>
    <w:rsid w:val="54D5163A"/>
    <w:rsid w:val="54D8521F"/>
    <w:rsid w:val="54E872A8"/>
    <w:rsid w:val="54F2275D"/>
    <w:rsid w:val="551C33CB"/>
    <w:rsid w:val="55292F33"/>
    <w:rsid w:val="552A05A0"/>
    <w:rsid w:val="554213AD"/>
    <w:rsid w:val="55495077"/>
    <w:rsid w:val="554A45E8"/>
    <w:rsid w:val="555E77E2"/>
    <w:rsid w:val="557A1513"/>
    <w:rsid w:val="557E66F9"/>
    <w:rsid w:val="55842191"/>
    <w:rsid w:val="55876D58"/>
    <w:rsid w:val="559240A1"/>
    <w:rsid w:val="55A90FF1"/>
    <w:rsid w:val="55B67488"/>
    <w:rsid w:val="55CE0A58"/>
    <w:rsid w:val="55DF2767"/>
    <w:rsid w:val="55DF6415"/>
    <w:rsid w:val="55EB7E93"/>
    <w:rsid w:val="560857B6"/>
    <w:rsid w:val="560874CC"/>
    <w:rsid w:val="562B67C9"/>
    <w:rsid w:val="56352B74"/>
    <w:rsid w:val="56491EBD"/>
    <w:rsid w:val="564C4BD7"/>
    <w:rsid w:val="565418E6"/>
    <w:rsid w:val="567B5A89"/>
    <w:rsid w:val="5683560F"/>
    <w:rsid w:val="568D022C"/>
    <w:rsid w:val="569006A2"/>
    <w:rsid w:val="56915E71"/>
    <w:rsid w:val="56A65031"/>
    <w:rsid w:val="56F35145"/>
    <w:rsid w:val="56FE5CEA"/>
    <w:rsid w:val="571B10B9"/>
    <w:rsid w:val="57225D22"/>
    <w:rsid w:val="573814C7"/>
    <w:rsid w:val="57803FD4"/>
    <w:rsid w:val="57940EC9"/>
    <w:rsid w:val="57A37B97"/>
    <w:rsid w:val="57A750E8"/>
    <w:rsid w:val="57AD1C83"/>
    <w:rsid w:val="57B277DD"/>
    <w:rsid w:val="57B52A62"/>
    <w:rsid w:val="57BB0DBC"/>
    <w:rsid w:val="57C67218"/>
    <w:rsid w:val="57D64190"/>
    <w:rsid w:val="57D76CE2"/>
    <w:rsid w:val="57E5552F"/>
    <w:rsid w:val="58014BE2"/>
    <w:rsid w:val="58123CFC"/>
    <w:rsid w:val="58132315"/>
    <w:rsid w:val="58161499"/>
    <w:rsid w:val="581D3A69"/>
    <w:rsid w:val="58236892"/>
    <w:rsid w:val="58257086"/>
    <w:rsid w:val="58397A56"/>
    <w:rsid w:val="5843374A"/>
    <w:rsid w:val="58523542"/>
    <w:rsid w:val="585E01AB"/>
    <w:rsid w:val="585E0A6D"/>
    <w:rsid w:val="585F1140"/>
    <w:rsid w:val="58957AED"/>
    <w:rsid w:val="58A5671E"/>
    <w:rsid w:val="58A57515"/>
    <w:rsid w:val="58B00C63"/>
    <w:rsid w:val="58E17088"/>
    <w:rsid w:val="58E56176"/>
    <w:rsid w:val="58EB2E9D"/>
    <w:rsid w:val="58EC2B31"/>
    <w:rsid w:val="58EE1D43"/>
    <w:rsid w:val="58F307D5"/>
    <w:rsid w:val="5909450C"/>
    <w:rsid w:val="590E1652"/>
    <w:rsid w:val="590F419A"/>
    <w:rsid w:val="59124845"/>
    <w:rsid w:val="59296CC1"/>
    <w:rsid w:val="592F0C88"/>
    <w:rsid w:val="593272C7"/>
    <w:rsid w:val="5939492F"/>
    <w:rsid w:val="594F0A7E"/>
    <w:rsid w:val="59545BCC"/>
    <w:rsid w:val="596F32A0"/>
    <w:rsid w:val="597A37A6"/>
    <w:rsid w:val="598C1383"/>
    <w:rsid w:val="598E2C16"/>
    <w:rsid w:val="598E7D48"/>
    <w:rsid w:val="5992097D"/>
    <w:rsid w:val="59921D24"/>
    <w:rsid w:val="5998364D"/>
    <w:rsid w:val="599D7038"/>
    <w:rsid w:val="59A10771"/>
    <w:rsid w:val="59A55F84"/>
    <w:rsid w:val="59AE4861"/>
    <w:rsid w:val="59D056C1"/>
    <w:rsid w:val="59E75CE1"/>
    <w:rsid w:val="59EB25DF"/>
    <w:rsid w:val="59FA79C7"/>
    <w:rsid w:val="5A1E20C2"/>
    <w:rsid w:val="5A2C2A54"/>
    <w:rsid w:val="5A2C6D21"/>
    <w:rsid w:val="5A5456C1"/>
    <w:rsid w:val="5A547866"/>
    <w:rsid w:val="5A6D1F2D"/>
    <w:rsid w:val="5A8C72C2"/>
    <w:rsid w:val="5A916D54"/>
    <w:rsid w:val="5A9E087D"/>
    <w:rsid w:val="5AB26564"/>
    <w:rsid w:val="5AD4209C"/>
    <w:rsid w:val="5AD55C9D"/>
    <w:rsid w:val="5ADF33DE"/>
    <w:rsid w:val="5B023D5B"/>
    <w:rsid w:val="5B051CDC"/>
    <w:rsid w:val="5B0642E0"/>
    <w:rsid w:val="5B1B19FC"/>
    <w:rsid w:val="5B252638"/>
    <w:rsid w:val="5B264ED4"/>
    <w:rsid w:val="5B266F26"/>
    <w:rsid w:val="5B2F2E7A"/>
    <w:rsid w:val="5B372D50"/>
    <w:rsid w:val="5B4920B5"/>
    <w:rsid w:val="5B5E2C87"/>
    <w:rsid w:val="5B705474"/>
    <w:rsid w:val="5B7C5E45"/>
    <w:rsid w:val="5B87226B"/>
    <w:rsid w:val="5BA22A36"/>
    <w:rsid w:val="5BE827D0"/>
    <w:rsid w:val="5BEF72DC"/>
    <w:rsid w:val="5BF20D8F"/>
    <w:rsid w:val="5BF9258D"/>
    <w:rsid w:val="5BFB1173"/>
    <w:rsid w:val="5C0123B1"/>
    <w:rsid w:val="5C01398A"/>
    <w:rsid w:val="5C157DDC"/>
    <w:rsid w:val="5C1714D4"/>
    <w:rsid w:val="5C1765D4"/>
    <w:rsid w:val="5C3567CA"/>
    <w:rsid w:val="5C3C3BF9"/>
    <w:rsid w:val="5C4B6CC8"/>
    <w:rsid w:val="5C583F6D"/>
    <w:rsid w:val="5C5A6DAF"/>
    <w:rsid w:val="5C8C1002"/>
    <w:rsid w:val="5C94252E"/>
    <w:rsid w:val="5C952F4A"/>
    <w:rsid w:val="5CC0411F"/>
    <w:rsid w:val="5CFE41D7"/>
    <w:rsid w:val="5D052C3F"/>
    <w:rsid w:val="5D0B2CBD"/>
    <w:rsid w:val="5D146135"/>
    <w:rsid w:val="5D267F52"/>
    <w:rsid w:val="5D37570B"/>
    <w:rsid w:val="5D375D87"/>
    <w:rsid w:val="5D4B51E4"/>
    <w:rsid w:val="5D547558"/>
    <w:rsid w:val="5D677EDE"/>
    <w:rsid w:val="5DA03974"/>
    <w:rsid w:val="5DA56E48"/>
    <w:rsid w:val="5DB433AE"/>
    <w:rsid w:val="5DCF1843"/>
    <w:rsid w:val="5DD918DF"/>
    <w:rsid w:val="5DE84681"/>
    <w:rsid w:val="5E0031A4"/>
    <w:rsid w:val="5E09184B"/>
    <w:rsid w:val="5E0B2D45"/>
    <w:rsid w:val="5E2A4C1E"/>
    <w:rsid w:val="5E422DAD"/>
    <w:rsid w:val="5E49074C"/>
    <w:rsid w:val="5E547DF0"/>
    <w:rsid w:val="5E58123C"/>
    <w:rsid w:val="5E657279"/>
    <w:rsid w:val="5E77751C"/>
    <w:rsid w:val="5E7B56A8"/>
    <w:rsid w:val="5E7C1CD5"/>
    <w:rsid w:val="5E802355"/>
    <w:rsid w:val="5E861426"/>
    <w:rsid w:val="5E875C48"/>
    <w:rsid w:val="5E8D2D43"/>
    <w:rsid w:val="5E8F0E8F"/>
    <w:rsid w:val="5E950E20"/>
    <w:rsid w:val="5EA52D7F"/>
    <w:rsid w:val="5EAD73F2"/>
    <w:rsid w:val="5EB758A1"/>
    <w:rsid w:val="5EF32781"/>
    <w:rsid w:val="5EFC63CC"/>
    <w:rsid w:val="5F1C4B42"/>
    <w:rsid w:val="5F1E7DDA"/>
    <w:rsid w:val="5F21539D"/>
    <w:rsid w:val="5F4F7A75"/>
    <w:rsid w:val="5F546BDB"/>
    <w:rsid w:val="5F627682"/>
    <w:rsid w:val="5F653149"/>
    <w:rsid w:val="5F6944F4"/>
    <w:rsid w:val="5F720EF2"/>
    <w:rsid w:val="5F726DFA"/>
    <w:rsid w:val="5F751BA8"/>
    <w:rsid w:val="5F8B5F53"/>
    <w:rsid w:val="5F9D1B10"/>
    <w:rsid w:val="5FB235C4"/>
    <w:rsid w:val="5FB769F5"/>
    <w:rsid w:val="5FBE00F7"/>
    <w:rsid w:val="5FC14AC0"/>
    <w:rsid w:val="5FC64144"/>
    <w:rsid w:val="5FD11675"/>
    <w:rsid w:val="5FE05670"/>
    <w:rsid w:val="5FE200CF"/>
    <w:rsid w:val="5FFB7AB1"/>
    <w:rsid w:val="5FFD2088"/>
    <w:rsid w:val="600879A6"/>
    <w:rsid w:val="6013011F"/>
    <w:rsid w:val="603431D7"/>
    <w:rsid w:val="603949C5"/>
    <w:rsid w:val="60421B4F"/>
    <w:rsid w:val="606A77CD"/>
    <w:rsid w:val="606E6554"/>
    <w:rsid w:val="60763C7E"/>
    <w:rsid w:val="6078146D"/>
    <w:rsid w:val="60854BB4"/>
    <w:rsid w:val="609B7162"/>
    <w:rsid w:val="60B130C4"/>
    <w:rsid w:val="60B154EC"/>
    <w:rsid w:val="60B41EB1"/>
    <w:rsid w:val="60C614D4"/>
    <w:rsid w:val="60E07FA8"/>
    <w:rsid w:val="60FC4328"/>
    <w:rsid w:val="61001005"/>
    <w:rsid w:val="610F3C0A"/>
    <w:rsid w:val="612163FE"/>
    <w:rsid w:val="61242211"/>
    <w:rsid w:val="612F23A8"/>
    <w:rsid w:val="613D270C"/>
    <w:rsid w:val="61875E77"/>
    <w:rsid w:val="618C209E"/>
    <w:rsid w:val="618C4C10"/>
    <w:rsid w:val="61932119"/>
    <w:rsid w:val="619838C2"/>
    <w:rsid w:val="61992377"/>
    <w:rsid w:val="61AA5C05"/>
    <w:rsid w:val="61B61786"/>
    <w:rsid w:val="61CA3A08"/>
    <w:rsid w:val="61CB7DD8"/>
    <w:rsid w:val="61E92346"/>
    <w:rsid w:val="62072FF7"/>
    <w:rsid w:val="620B470C"/>
    <w:rsid w:val="6210516B"/>
    <w:rsid w:val="62142253"/>
    <w:rsid w:val="62145FD9"/>
    <w:rsid w:val="622153A4"/>
    <w:rsid w:val="62246EAC"/>
    <w:rsid w:val="622F3CE2"/>
    <w:rsid w:val="62386666"/>
    <w:rsid w:val="623A42B8"/>
    <w:rsid w:val="626252DE"/>
    <w:rsid w:val="62672BE2"/>
    <w:rsid w:val="62822622"/>
    <w:rsid w:val="62926DC6"/>
    <w:rsid w:val="62946B85"/>
    <w:rsid w:val="6296460E"/>
    <w:rsid w:val="62B4200E"/>
    <w:rsid w:val="62BD283C"/>
    <w:rsid w:val="62BF0A81"/>
    <w:rsid w:val="62C902BC"/>
    <w:rsid w:val="62CD1314"/>
    <w:rsid w:val="62CE5FA5"/>
    <w:rsid w:val="62D73E6A"/>
    <w:rsid w:val="63033FD2"/>
    <w:rsid w:val="630B18F7"/>
    <w:rsid w:val="63112DD4"/>
    <w:rsid w:val="631251DE"/>
    <w:rsid w:val="631C253B"/>
    <w:rsid w:val="631F19E0"/>
    <w:rsid w:val="632641AF"/>
    <w:rsid w:val="6328209F"/>
    <w:rsid w:val="63481684"/>
    <w:rsid w:val="63523EE1"/>
    <w:rsid w:val="63654DAB"/>
    <w:rsid w:val="63675F95"/>
    <w:rsid w:val="6375786D"/>
    <w:rsid w:val="639C39BD"/>
    <w:rsid w:val="63A116B1"/>
    <w:rsid w:val="63A40101"/>
    <w:rsid w:val="63D25B27"/>
    <w:rsid w:val="63D56C42"/>
    <w:rsid w:val="63DB32C8"/>
    <w:rsid w:val="63E40780"/>
    <w:rsid w:val="63FC56E3"/>
    <w:rsid w:val="64033973"/>
    <w:rsid w:val="641F0121"/>
    <w:rsid w:val="6449122A"/>
    <w:rsid w:val="64661402"/>
    <w:rsid w:val="646D29BB"/>
    <w:rsid w:val="64805B23"/>
    <w:rsid w:val="64A074F5"/>
    <w:rsid w:val="64AE246B"/>
    <w:rsid w:val="64B47E42"/>
    <w:rsid w:val="64C02A7F"/>
    <w:rsid w:val="64C609D8"/>
    <w:rsid w:val="64CF02FD"/>
    <w:rsid w:val="64E73896"/>
    <w:rsid w:val="64EC5E76"/>
    <w:rsid w:val="64F4260F"/>
    <w:rsid w:val="65003FA7"/>
    <w:rsid w:val="650669E1"/>
    <w:rsid w:val="6514106B"/>
    <w:rsid w:val="65176B7D"/>
    <w:rsid w:val="65251A7C"/>
    <w:rsid w:val="65382575"/>
    <w:rsid w:val="653A5FEF"/>
    <w:rsid w:val="654C3747"/>
    <w:rsid w:val="65513E31"/>
    <w:rsid w:val="65531CD2"/>
    <w:rsid w:val="65561543"/>
    <w:rsid w:val="65566374"/>
    <w:rsid w:val="655F26E6"/>
    <w:rsid w:val="65665E4E"/>
    <w:rsid w:val="6576554A"/>
    <w:rsid w:val="6577724D"/>
    <w:rsid w:val="657B486F"/>
    <w:rsid w:val="657E577F"/>
    <w:rsid w:val="6594739E"/>
    <w:rsid w:val="65950135"/>
    <w:rsid w:val="65A90EBC"/>
    <w:rsid w:val="65AA223B"/>
    <w:rsid w:val="65AA6E64"/>
    <w:rsid w:val="65B4533B"/>
    <w:rsid w:val="65B516AD"/>
    <w:rsid w:val="65B7583B"/>
    <w:rsid w:val="65B917D5"/>
    <w:rsid w:val="65BC6560"/>
    <w:rsid w:val="65BF7165"/>
    <w:rsid w:val="65C10F06"/>
    <w:rsid w:val="65C378B4"/>
    <w:rsid w:val="65D54C8C"/>
    <w:rsid w:val="65F845C8"/>
    <w:rsid w:val="65FA472E"/>
    <w:rsid w:val="65FF2CD0"/>
    <w:rsid w:val="66063A67"/>
    <w:rsid w:val="66091813"/>
    <w:rsid w:val="6610728C"/>
    <w:rsid w:val="661C1784"/>
    <w:rsid w:val="66470F5F"/>
    <w:rsid w:val="664C19D8"/>
    <w:rsid w:val="66591DEA"/>
    <w:rsid w:val="666C505B"/>
    <w:rsid w:val="666E0A7A"/>
    <w:rsid w:val="667F1A71"/>
    <w:rsid w:val="66854974"/>
    <w:rsid w:val="66893E19"/>
    <w:rsid w:val="66967370"/>
    <w:rsid w:val="66A45A2E"/>
    <w:rsid w:val="66B411BA"/>
    <w:rsid w:val="66B93E88"/>
    <w:rsid w:val="66BA5A33"/>
    <w:rsid w:val="66BF1F2A"/>
    <w:rsid w:val="66CD6B09"/>
    <w:rsid w:val="66CF7336"/>
    <w:rsid w:val="66D13D78"/>
    <w:rsid w:val="66D44A21"/>
    <w:rsid w:val="66E77BCB"/>
    <w:rsid w:val="66F3471C"/>
    <w:rsid w:val="670C7632"/>
    <w:rsid w:val="67180ADD"/>
    <w:rsid w:val="671A6296"/>
    <w:rsid w:val="672911E4"/>
    <w:rsid w:val="6745154D"/>
    <w:rsid w:val="674D05F7"/>
    <w:rsid w:val="675863D3"/>
    <w:rsid w:val="67611F2E"/>
    <w:rsid w:val="676E5248"/>
    <w:rsid w:val="67827EBA"/>
    <w:rsid w:val="67874F0A"/>
    <w:rsid w:val="67893694"/>
    <w:rsid w:val="678E1391"/>
    <w:rsid w:val="67930E35"/>
    <w:rsid w:val="67A664DA"/>
    <w:rsid w:val="67B149F5"/>
    <w:rsid w:val="67BF7F70"/>
    <w:rsid w:val="67C3512C"/>
    <w:rsid w:val="67CD3F14"/>
    <w:rsid w:val="67D46BC8"/>
    <w:rsid w:val="67D503FD"/>
    <w:rsid w:val="67E549DC"/>
    <w:rsid w:val="67E7233E"/>
    <w:rsid w:val="68047086"/>
    <w:rsid w:val="680D5A3C"/>
    <w:rsid w:val="681A745E"/>
    <w:rsid w:val="6836187C"/>
    <w:rsid w:val="68386804"/>
    <w:rsid w:val="68484DA6"/>
    <w:rsid w:val="68490CFE"/>
    <w:rsid w:val="684A0BCC"/>
    <w:rsid w:val="684E59D4"/>
    <w:rsid w:val="685C618B"/>
    <w:rsid w:val="68657B43"/>
    <w:rsid w:val="68691A39"/>
    <w:rsid w:val="686B65DA"/>
    <w:rsid w:val="686D36B1"/>
    <w:rsid w:val="687208FE"/>
    <w:rsid w:val="688320DE"/>
    <w:rsid w:val="68950336"/>
    <w:rsid w:val="689B57EB"/>
    <w:rsid w:val="68A629EB"/>
    <w:rsid w:val="68B4049D"/>
    <w:rsid w:val="68BF16F5"/>
    <w:rsid w:val="68C5213D"/>
    <w:rsid w:val="68D16203"/>
    <w:rsid w:val="68D4715D"/>
    <w:rsid w:val="68DE12BC"/>
    <w:rsid w:val="68E16BD2"/>
    <w:rsid w:val="68F32167"/>
    <w:rsid w:val="68F32D41"/>
    <w:rsid w:val="68FD6AFA"/>
    <w:rsid w:val="69081181"/>
    <w:rsid w:val="690F790C"/>
    <w:rsid w:val="691137A4"/>
    <w:rsid w:val="69276FFB"/>
    <w:rsid w:val="695232F6"/>
    <w:rsid w:val="69582ADD"/>
    <w:rsid w:val="69590F75"/>
    <w:rsid w:val="695A25BD"/>
    <w:rsid w:val="696A576E"/>
    <w:rsid w:val="69736BFB"/>
    <w:rsid w:val="697B239A"/>
    <w:rsid w:val="69813290"/>
    <w:rsid w:val="6985204A"/>
    <w:rsid w:val="698765EF"/>
    <w:rsid w:val="69884EE6"/>
    <w:rsid w:val="699D06C2"/>
    <w:rsid w:val="699F403E"/>
    <w:rsid w:val="69B46675"/>
    <w:rsid w:val="69BD2980"/>
    <w:rsid w:val="69CC6A61"/>
    <w:rsid w:val="69D30D43"/>
    <w:rsid w:val="69D81A4D"/>
    <w:rsid w:val="69D925D7"/>
    <w:rsid w:val="69E20020"/>
    <w:rsid w:val="69E61764"/>
    <w:rsid w:val="69F95FE6"/>
    <w:rsid w:val="6A050891"/>
    <w:rsid w:val="6A1551DE"/>
    <w:rsid w:val="6A225BE9"/>
    <w:rsid w:val="6A38376E"/>
    <w:rsid w:val="6A3937C1"/>
    <w:rsid w:val="6A3B2734"/>
    <w:rsid w:val="6A4A37DD"/>
    <w:rsid w:val="6A523C26"/>
    <w:rsid w:val="6A5A1DEB"/>
    <w:rsid w:val="6A600258"/>
    <w:rsid w:val="6A864514"/>
    <w:rsid w:val="6A906F5C"/>
    <w:rsid w:val="6A916719"/>
    <w:rsid w:val="6AA06DFA"/>
    <w:rsid w:val="6AA91504"/>
    <w:rsid w:val="6AC70D01"/>
    <w:rsid w:val="6ADD5433"/>
    <w:rsid w:val="6AE4035F"/>
    <w:rsid w:val="6AF05468"/>
    <w:rsid w:val="6AF117A2"/>
    <w:rsid w:val="6B0022F4"/>
    <w:rsid w:val="6B17316D"/>
    <w:rsid w:val="6B1C4D21"/>
    <w:rsid w:val="6B1F3C87"/>
    <w:rsid w:val="6B2626D6"/>
    <w:rsid w:val="6B29260E"/>
    <w:rsid w:val="6B2E7E1E"/>
    <w:rsid w:val="6B3B2C2F"/>
    <w:rsid w:val="6B432E7B"/>
    <w:rsid w:val="6B5111B1"/>
    <w:rsid w:val="6B5F7DE8"/>
    <w:rsid w:val="6B780989"/>
    <w:rsid w:val="6B94488C"/>
    <w:rsid w:val="6BAB41DF"/>
    <w:rsid w:val="6BB2490A"/>
    <w:rsid w:val="6BB51070"/>
    <w:rsid w:val="6BC337CF"/>
    <w:rsid w:val="6BCA4782"/>
    <w:rsid w:val="6BCF6190"/>
    <w:rsid w:val="6BD0704B"/>
    <w:rsid w:val="6BDD3DB5"/>
    <w:rsid w:val="6BE25346"/>
    <w:rsid w:val="6BF714CB"/>
    <w:rsid w:val="6BFF2E2E"/>
    <w:rsid w:val="6C021BC5"/>
    <w:rsid w:val="6C0B04AD"/>
    <w:rsid w:val="6C0E0F4A"/>
    <w:rsid w:val="6C295B47"/>
    <w:rsid w:val="6C2A51A1"/>
    <w:rsid w:val="6C2E783A"/>
    <w:rsid w:val="6C384A25"/>
    <w:rsid w:val="6C3D3559"/>
    <w:rsid w:val="6C57134F"/>
    <w:rsid w:val="6C5D7C82"/>
    <w:rsid w:val="6C696448"/>
    <w:rsid w:val="6C6F5185"/>
    <w:rsid w:val="6C8251EB"/>
    <w:rsid w:val="6C8374F0"/>
    <w:rsid w:val="6CB06CB1"/>
    <w:rsid w:val="6CB8194B"/>
    <w:rsid w:val="6CBA4F14"/>
    <w:rsid w:val="6CBF4D9D"/>
    <w:rsid w:val="6CDB6C4B"/>
    <w:rsid w:val="6CE84D8B"/>
    <w:rsid w:val="6CF070AE"/>
    <w:rsid w:val="6D0061F6"/>
    <w:rsid w:val="6D153287"/>
    <w:rsid w:val="6D284A9A"/>
    <w:rsid w:val="6D366B80"/>
    <w:rsid w:val="6D401DE3"/>
    <w:rsid w:val="6D404071"/>
    <w:rsid w:val="6D5A526F"/>
    <w:rsid w:val="6D6977EC"/>
    <w:rsid w:val="6D85677A"/>
    <w:rsid w:val="6D89777F"/>
    <w:rsid w:val="6D9A53F6"/>
    <w:rsid w:val="6DAC42B6"/>
    <w:rsid w:val="6DB12EB9"/>
    <w:rsid w:val="6DD6278C"/>
    <w:rsid w:val="6DEC1F6B"/>
    <w:rsid w:val="6DFE117A"/>
    <w:rsid w:val="6E012AA3"/>
    <w:rsid w:val="6E090C86"/>
    <w:rsid w:val="6E1421DD"/>
    <w:rsid w:val="6E1F50AB"/>
    <w:rsid w:val="6E211F53"/>
    <w:rsid w:val="6E396833"/>
    <w:rsid w:val="6E626484"/>
    <w:rsid w:val="6E6767F5"/>
    <w:rsid w:val="6E6A701B"/>
    <w:rsid w:val="6E7E309C"/>
    <w:rsid w:val="6E7F093E"/>
    <w:rsid w:val="6E7F1F63"/>
    <w:rsid w:val="6E8442CF"/>
    <w:rsid w:val="6E895AD7"/>
    <w:rsid w:val="6E8C0438"/>
    <w:rsid w:val="6EA246AD"/>
    <w:rsid w:val="6EAB4241"/>
    <w:rsid w:val="6EAD0FB6"/>
    <w:rsid w:val="6EB873D1"/>
    <w:rsid w:val="6EBC413D"/>
    <w:rsid w:val="6EC621F4"/>
    <w:rsid w:val="6EE57015"/>
    <w:rsid w:val="6EE80D54"/>
    <w:rsid w:val="6EE94F0A"/>
    <w:rsid w:val="6F0A2DD8"/>
    <w:rsid w:val="6F183E33"/>
    <w:rsid w:val="6F2974DF"/>
    <w:rsid w:val="6F482A36"/>
    <w:rsid w:val="6F50425B"/>
    <w:rsid w:val="6F514088"/>
    <w:rsid w:val="6F542C63"/>
    <w:rsid w:val="6F6150F1"/>
    <w:rsid w:val="6F656D4F"/>
    <w:rsid w:val="6F672B2E"/>
    <w:rsid w:val="6F6F7734"/>
    <w:rsid w:val="6F767D3E"/>
    <w:rsid w:val="6FAB668A"/>
    <w:rsid w:val="6FAD24DC"/>
    <w:rsid w:val="6FC2605C"/>
    <w:rsid w:val="6FC708AE"/>
    <w:rsid w:val="6FD57E69"/>
    <w:rsid w:val="6FEF189F"/>
    <w:rsid w:val="6FF260A2"/>
    <w:rsid w:val="70047E97"/>
    <w:rsid w:val="700514B8"/>
    <w:rsid w:val="701318C7"/>
    <w:rsid w:val="7026560F"/>
    <w:rsid w:val="702B7EB0"/>
    <w:rsid w:val="703817E6"/>
    <w:rsid w:val="703F4BA4"/>
    <w:rsid w:val="70565530"/>
    <w:rsid w:val="705B6375"/>
    <w:rsid w:val="705C4CCE"/>
    <w:rsid w:val="706F7292"/>
    <w:rsid w:val="7071218F"/>
    <w:rsid w:val="70825A31"/>
    <w:rsid w:val="70A36E95"/>
    <w:rsid w:val="70AA0989"/>
    <w:rsid w:val="70AA0E27"/>
    <w:rsid w:val="70AD2E0A"/>
    <w:rsid w:val="70AD3C34"/>
    <w:rsid w:val="70BC1BAE"/>
    <w:rsid w:val="70DB74A5"/>
    <w:rsid w:val="70E508FB"/>
    <w:rsid w:val="70EF2237"/>
    <w:rsid w:val="71092ED4"/>
    <w:rsid w:val="710F044A"/>
    <w:rsid w:val="711241F2"/>
    <w:rsid w:val="71156C62"/>
    <w:rsid w:val="711E0D35"/>
    <w:rsid w:val="7123493C"/>
    <w:rsid w:val="71302923"/>
    <w:rsid w:val="71315B25"/>
    <w:rsid w:val="7158595D"/>
    <w:rsid w:val="7169742F"/>
    <w:rsid w:val="717F3473"/>
    <w:rsid w:val="71802DFF"/>
    <w:rsid w:val="71BE0EB7"/>
    <w:rsid w:val="71C57187"/>
    <w:rsid w:val="71D10C94"/>
    <w:rsid w:val="71D704D0"/>
    <w:rsid w:val="71F37CA7"/>
    <w:rsid w:val="71F57E45"/>
    <w:rsid w:val="71F71793"/>
    <w:rsid w:val="71F944A4"/>
    <w:rsid w:val="71FD4E21"/>
    <w:rsid w:val="7210218F"/>
    <w:rsid w:val="721A17B7"/>
    <w:rsid w:val="721F3A3A"/>
    <w:rsid w:val="721F4211"/>
    <w:rsid w:val="722B475E"/>
    <w:rsid w:val="72357D80"/>
    <w:rsid w:val="72547E62"/>
    <w:rsid w:val="728876D1"/>
    <w:rsid w:val="728E62F7"/>
    <w:rsid w:val="7296631E"/>
    <w:rsid w:val="72984ADA"/>
    <w:rsid w:val="72A40476"/>
    <w:rsid w:val="72A51193"/>
    <w:rsid w:val="72A76461"/>
    <w:rsid w:val="72B05C45"/>
    <w:rsid w:val="72BC06CF"/>
    <w:rsid w:val="72C84798"/>
    <w:rsid w:val="72CC7199"/>
    <w:rsid w:val="72E74AAF"/>
    <w:rsid w:val="730A3E6A"/>
    <w:rsid w:val="73136A7B"/>
    <w:rsid w:val="733046A8"/>
    <w:rsid w:val="73322E72"/>
    <w:rsid w:val="733D5340"/>
    <w:rsid w:val="73412411"/>
    <w:rsid w:val="73467AF6"/>
    <w:rsid w:val="73537529"/>
    <w:rsid w:val="735F0AE9"/>
    <w:rsid w:val="73707E31"/>
    <w:rsid w:val="73760617"/>
    <w:rsid w:val="737F124B"/>
    <w:rsid w:val="738824EE"/>
    <w:rsid w:val="73B07BA4"/>
    <w:rsid w:val="73B2144B"/>
    <w:rsid w:val="73B5747D"/>
    <w:rsid w:val="73DD3343"/>
    <w:rsid w:val="73DD54A5"/>
    <w:rsid w:val="73F07B09"/>
    <w:rsid w:val="74070338"/>
    <w:rsid w:val="741518E7"/>
    <w:rsid w:val="74234A5B"/>
    <w:rsid w:val="742F1EA8"/>
    <w:rsid w:val="743A6E06"/>
    <w:rsid w:val="743E4A75"/>
    <w:rsid w:val="745E6C4C"/>
    <w:rsid w:val="746C5134"/>
    <w:rsid w:val="746E3039"/>
    <w:rsid w:val="7482099B"/>
    <w:rsid w:val="74985024"/>
    <w:rsid w:val="749A4977"/>
    <w:rsid w:val="74AD4DC4"/>
    <w:rsid w:val="74AE4C60"/>
    <w:rsid w:val="74C9637A"/>
    <w:rsid w:val="74CA4C0D"/>
    <w:rsid w:val="74D330D9"/>
    <w:rsid w:val="74DB39B8"/>
    <w:rsid w:val="74E57FAB"/>
    <w:rsid w:val="74E65DC9"/>
    <w:rsid w:val="75181056"/>
    <w:rsid w:val="75234E37"/>
    <w:rsid w:val="752712D7"/>
    <w:rsid w:val="75287D2D"/>
    <w:rsid w:val="75401397"/>
    <w:rsid w:val="75663430"/>
    <w:rsid w:val="758F3087"/>
    <w:rsid w:val="75956AD0"/>
    <w:rsid w:val="75A115E3"/>
    <w:rsid w:val="75AE5E97"/>
    <w:rsid w:val="75B53AD6"/>
    <w:rsid w:val="75B62DBD"/>
    <w:rsid w:val="75BE3885"/>
    <w:rsid w:val="75D24F6D"/>
    <w:rsid w:val="75E0097E"/>
    <w:rsid w:val="75E50E1F"/>
    <w:rsid w:val="75E832AF"/>
    <w:rsid w:val="75EB114A"/>
    <w:rsid w:val="760B3474"/>
    <w:rsid w:val="76136D69"/>
    <w:rsid w:val="761B55CB"/>
    <w:rsid w:val="76213127"/>
    <w:rsid w:val="76264037"/>
    <w:rsid w:val="762A209E"/>
    <w:rsid w:val="76360BF4"/>
    <w:rsid w:val="76445F48"/>
    <w:rsid w:val="76517D10"/>
    <w:rsid w:val="765257F4"/>
    <w:rsid w:val="76557EC2"/>
    <w:rsid w:val="7662232D"/>
    <w:rsid w:val="7668360B"/>
    <w:rsid w:val="76684159"/>
    <w:rsid w:val="7677355A"/>
    <w:rsid w:val="769B61A4"/>
    <w:rsid w:val="76A3740D"/>
    <w:rsid w:val="76A83177"/>
    <w:rsid w:val="76BF4C57"/>
    <w:rsid w:val="76D236CA"/>
    <w:rsid w:val="76ED4FFF"/>
    <w:rsid w:val="76EE7546"/>
    <w:rsid w:val="76EF36ED"/>
    <w:rsid w:val="76F04470"/>
    <w:rsid w:val="76F242FB"/>
    <w:rsid w:val="770E3AD7"/>
    <w:rsid w:val="77117B4E"/>
    <w:rsid w:val="77425A66"/>
    <w:rsid w:val="774B4D5A"/>
    <w:rsid w:val="7759121E"/>
    <w:rsid w:val="775916A3"/>
    <w:rsid w:val="77696342"/>
    <w:rsid w:val="77C80083"/>
    <w:rsid w:val="77CC6333"/>
    <w:rsid w:val="77EA31B6"/>
    <w:rsid w:val="77FF3359"/>
    <w:rsid w:val="78143786"/>
    <w:rsid w:val="781A476C"/>
    <w:rsid w:val="78367CA6"/>
    <w:rsid w:val="786D0F5C"/>
    <w:rsid w:val="787D17F1"/>
    <w:rsid w:val="78842D29"/>
    <w:rsid w:val="789A38DD"/>
    <w:rsid w:val="78A333BC"/>
    <w:rsid w:val="78C20B88"/>
    <w:rsid w:val="78CC7CC3"/>
    <w:rsid w:val="78E4189A"/>
    <w:rsid w:val="78E7062E"/>
    <w:rsid w:val="78FF551C"/>
    <w:rsid w:val="790E3732"/>
    <w:rsid w:val="791D427A"/>
    <w:rsid w:val="791E1470"/>
    <w:rsid w:val="791E1794"/>
    <w:rsid w:val="79216EEA"/>
    <w:rsid w:val="792A22DB"/>
    <w:rsid w:val="792D5B76"/>
    <w:rsid w:val="79314B57"/>
    <w:rsid w:val="79520DCD"/>
    <w:rsid w:val="796A0C25"/>
    <w:rsid w:val="797E03EC"/>
    <w:rsid w:val="79853A93"/>
    <w:rsid w:val="79876FEC"/>
    <w:rsid w:val="798A5F70"/>
    <w:rsid w:val="798F5344"/>
    <w:rsid w:val="79A44BBD"/>
    <w:rsid w:val="79AA42EF"/>
    <w:rsid w:val="79AC713F"/>
    <w:rsid w:val="79B847EB"/>
    <w:rsid w:val="79B95EB5"/>
    <w:rsid w:val="79C1381A"/>
    <w:rsid w:val="79DA1E1A"/>
    <w:rsid w:val="79F02F42"/>
    <w:rsid w:val="79FB2928"/>
    <w:rsid w:val="7A080AFF"/>
    <w:rsid w:val="7A106FE1"/>
    <w:rsid w:val="7A1710BC"/>
    <w:rsid w:val="7A18177B"/>
    <w:rsid w:val="7A2C441B"/>
    <w:rsid w:val="7A2E4667"/>
    <w:rsid w:val="7A3875E6"/>
    <w:rsid w:val="7A4B1AE2"/>
    <w:rsid w:val="7A4C6049"/>
    <w:rsid w:val="7A5E42A2"/>
    <w:rsid w:val="7A654DEB"/>
    <w:rsid w:val="7A697939"/>
    <w:rsid w:val="7A7A484D"/>
    <w:rsid w:val="7AA109E0"/>
    <w:rsid w:val="7AA2201B"/>
    <w:rsid w:val="7AA45E06"/>
    <w:rsid w:val="7AD3427A"/>
    <w:rsid w:val="7ADA473C"/>
    <w:rsid w:val="7AF4277D"/>
    <w:rsid w:val="7B0637D4"/>
    <w:rsid w:val="7B130B75"/>
    <w:rsid w:val="7B164E33"/>
    <w:rsid w:val="7B190B2E"/>
    <w:rsid w:val="7B1B5485"/>
    <w:rsid w:val="7B1C18B6"/>
    <w:rsid w:val="7B370B20"/>
    <w:rsid w:val="7B501DFB"/>
    <w:rsid w:val="7B536393"/>
    <w:rsid w:val="7B781022"/>
    <w:rsid w:val="7B86755B"/>
    <w:rsid w:val="7B8808B8"/>
    <w:rsid w:val="7B987C43"/>
    <w:rsid w:val="7B9F5AFD"/>
    <w:rsid w:val="7BB551A9"/>
    <w:rsid w:val="7BCC0150"/>
    <w:rsid w:val="7BD06079"/>
    <w:rsid w:val="7BD112DE"/>
    <w:rsid w:val="7BDC1277"/>
    <w:rsid w:val="7BE24534"/>
    <w:rsid w:val="7BE447F0"/>
    <w:rsid w:val="7C0B1B1C"/>
    <w:rsid w:val="7C220E58"/>
    <w:rsid w:val="7C274177"/>
    <w:rsid w:val="7C2D2F77"/>
    <w:rsid w:val="7C382D61"/>
    <w:rsid w:val="7C4A4D85"/>
    <w:rsid w:val="7C5B049B"/>
    <w:rsid w:val="7C5C4BB4"/>
    <w:rsid w:val="7C614AED"/>
    <w:rsid w:val="7C6178F6"/>
    <w:rsid w:val="7C68172B"/>
    <w:rsid w:val="7C687E75"/>
    <w:rsid w:val="7C6A1EED"/>
    <w:rsid w:val="7C6E4EB0"/>
    <w:rsid w:val="7C721141"/>
    <w:rsid w:val="7C8336F1"/>
    <w:rsid w:val="7CB84E09"/>
    <w:rsid w:val="7CCD4D16"/>
    <w:rsid w:val="7CCE3522"/>
    <w:rsid w:val="7CD12425"/>
    <w:rsid w:val="7CE6701C"/>
    <w:rsid w:val="7CFC10CD"/>
    <w:rsid w:val="7D19314F"/>
    <w:rsid w:val="7D2F5AB3"/>
    <w:rsid w:val="7D3C3975"/>
    <w:rsid w:val="7D495894"/>
    <w:rsid w:val="7D4B23F2"/>
    <w:rsid w:val="7D5B670C"/>
    <w:rsid w:val="7D6A386F"/>
    <w:rsid w:val="7D6C1375"/>
    <w:rsid w:val="7D8111BA"/>
    <w:rsid w:val="7D886841"/>
    <w:rsid w:val="7D8B319F"/>
    <w:rsid w:val="7D8C1D97"/>
    <w:rsid w:val="7D947B87"/>
    <w:rsid w:val="7D9536C0"/>
    <w:rsid w:val="7DAC5273"/>
    <w:rsid w:val="7DD44F9C"/>
    <w:rsid w:val="7DDF2C35"/>
    <w:rsid w:val="7DEA18F6"/>
    <w:rsid w:val="7DF24969"/>
    <w:rsid w:val="7DF6764D"/>
    <w:rsid w:val="7DFC3489"/>
    <w:rsid w:val="7E0C62E4"/>
    <w:rsid w:val="7E317C02"/>
    <w:rsid w:val="7E4559A9"/>
    <w:rsid w:val="7E525835"/>
    <w:rsid w:val="7E835005"/>
    <w:rsid w:val="7E8B2609"/>
    <w:rsid w:val="7EA5385D"/>
    <w:rsid w:val="7EAC7098"/>
    <w:rsid w:val="7ECB2A5E"/>
    <w:rsid w:val="7ED475BF"/>
    <w:rsid w:val="7EDE4BE8"/>
    <w:rsid w:val="7EE700FE"/>
    <w:rsid w:val="7EF023FC"/>
    <w:rsid w:val="7F2D7273"/>
    <w:rsid w:val="7F5874FA"/>
    <w:rsid w:val="7F5B6D59"/>
    <w:rsid w:val="7F627628"/>
    <w:rsid w:val="7F8200C2"/>
    <w:rsid w:val="7F9A576A"/>
    <w:rsid w:val="7FB52F6C"/>
    <w:rsid w:val="7FC94EE9"/>
    <w:rsid w:val="7FCB7484"/>
    <w:rsid w:val="7FDA327E"/>
    <w:rsid w:val="7FDD0388"/>
    <w:rsid w:val="7FF56C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6"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nhideWhenUsed="0" w:uiPriority="0" w:semiHidden="0"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58"/>
    <w:qFormat/>
    <w:uiPriority w:val="0"/>
    <w:pPr>
      <w:keepNext/>
      <w:jc w:val="center"/>
      <w:outlineLvl w:val="0"/>
    </w:pPr>
    <w:rPr>
      <w:b/>
      <w:bCs/>
      <w:sz w:val="24"/>
      <w:szCs w:val="20"/>
    </w:rPr>
  </w:style>
  <w:style w:type="paragraph" w:styleId="4">
    <w:name w:val="heading 2"/>
    <w:basedOn w:val="1"/>
    <w:next w:val="1"/>
    <w:link w:val="159"/>
    <w:qFormat/>
    <w:uiPriority w:val="0"/>
    <w:pPr>
      <w:keepNext/>
      <w:keepLines/>
      <w:spacing w:line="360" w:lineRule="auto"/>
      <w:outlineLvl w:val="1"/>
    </w:pPr>
    <w:rPr>
      <w:rFonts w:ascii="Arial" w:hAnsi="Arial"/>
      <w:b/>
      <w:bCs/>
      <w:sz w:val="24"/>
      <w:szCs w:val="32"/>
    </w:rPr>
  </w:style>
  <w:style w:type="paragraph" w:styleId="5">
    <w:name w:val="heading 3"/>
    <w:basedOn w:val="1"/>
    <w:next w:val="1"/>
    <w:link w:val="113"/>
    <w:autoRedefine/>
    <w:qFormat/>
    <w:uiPriority w:val="0"/>
    <w:pPr>
      <w:keepNext/>
      <w:keepLines/>
      <w:spacing w:before="260" w:after="260" w:line="416" w:lineRule="auto"/>
      <w:outlineLvl w:val="2"/>
    </w:pPr>
    <w:rPr>
      <w:b/>
      <w:bCs/>
      <w:sz w:val="32"/>
      <w:szCs w:val="32"/>
    </w:rPr>
  </w:style>
  <w:style w:type="paragraph" w:styleId="2">
    <w:name w:val="heading 4"/>
    <w:basedOn w:val="1"/>
    <w:next w:val="1"/>
    <w:link w:val="9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172"/>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44"/>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15"/>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47"/>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96"/>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style>
  <w:style w:type="paragraph" w:styleId="12">
    <w:name w:val="toc 7"/>
    <w:basedOn w:val="1"/>
    <w:next w:val="1"/>
    <w:autoRedefine/>
    <w:unhideWhenUsed/>
    <w:qFormat/>
    <w:uiPriority w:val="0"/>
    <w:pPr>
      <w:ind w:left="2520" w:leftChars="1200"/>
    </w:pPr>
    <w:rPr>
      <w:szCs w:val="22"/>
    </w:rPr>
  </w:style>
  <w:style w:type="paragraph" w:styleId="13">
    <w:name w:val="Normal Indent"/>
    <w:basedOn w:val="1"/>
    <w:link w:val="77"/>
    <w:autoRedefine/>
    <w:qFormat/>
    <w:uiPriority w:val="0"/>
    <w:pPr>
      <w:widowControl/>
      <w:ind w:firstLine="420"/>
      <w:jc w:val="left"/>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ind w:left="100" w:leftChars="200" w:hanging="200" w:hangingChars="200"/>
    </w:pPr>
    <w:rPr>
      <w:rFonts w:hint="eastAsia"/>
    </w:rPr>
  </w:style>
  <w:style w:type="paragraph" w:styleId="16">
    <w:name w:val="Document Map"/>
    <w:basedOn w:val="1"/>
    <w:link w:val="134"/>
    <w:autoRedefine/>
    <w:qFormat/>
    <w:uiPriority w:val="0"/>
    <w:pPr>
      <w:shd w:val="clear" w:color="auto" w:fill="000080"/>
    </w:pPr>
  </w:style>
  <w:style w:type="paragraph" w:styleId="17">
    <w:name w:val="annotation text"/>
    <w:basedOn w:val="1"/>
    <w:link w:val="118"/>
    <w:autoRedefine/>
    <w:qFormat/>
    <w:uiPriority w:val="0"/>
    <w:pPr>
      <w:jc w:val="left"/>
    </w:pPr>
  </w:style>
  <w:style w:type="paragraph" w:styleId="18">
    <w:name w:val="Salutation"/>
    <w:basedOn w:val="1"/>
    <w:next w:val="1"/>
    <w:link w:val="66"/>
    <w:autoRedefine/>
    <w:qFormat/>
    <w:uiPriority w:val="0"/>
    <w:rPr>
      <w:rFonts w:ascii="仿宋_GB2312" w:eastAsia="仿宋_GB2312"/>
      <w:sz w:val="24"/>
    </w:rPr>
  </w:style>
  <w:style w:type="paragraph" w:styleId="19">
    <w:name w:val="Body Text 3"/>
    <w:basedOn w:val="1"/>
    <w:link w:val="89"/>
    <w:autoRedefine/>
    <w:qFormat/>
    <w:uiPriority w:val="0"/>
    <w:pPr>
      <w:spacing w:after="120"/>
    </w:pPr>
    <w:rPr>
      <w:sz w:val="16"/>
      <w:szCs w:val="20"/>
    </w:rPr>
  </w:style>
  <w:style w:type="paragraph" w:styleId="20">
    <w:name w:val="Body Text"/>
    <w:basedOn w:val="1"/>
    <w:next w:val="1"/>
    <w:link w:val="125"/>
    <w:autoRedefine/>
    <w:qFormat/>
    <w:uiPriority w:val="0"/>
    <w:pPr>
      <w:spacing w:after="120"/>
    </w:pPr>
  </w:style>
  <w:style w:type="paragraph" w:styleId="21">
    <w:name w:val="Body Text Indent"/>
    <w:basedOn w:val="1"/>
    <w:link w:val="138"/>
    <w:autoRedefine/>
    <w:qFormat/>
    <w:uiPriority w:val="0"/>
    <w:pPr>
      <w:spacing w:after="120"/>
      <w:ind w:left="420" w:leftChars="200"/>
    </w:pPr>
  </w:style>
  <w:style w:type="paragraph" w:styleId="22">
    <w:name w:val="List 2"/>
    <w:basedOn w:val="1"/>
    <w:autoRedefine/>
    <w:qFormat/>
    <w:uiPriority w:val="0"/>
    <w:pPr>
      <w:ind w:left="100" w:leftChars="200" w:hanging="200" w:hangingChars="200"/>
    </w:pPr>
  </w:style>
  <w:style w:type="paragraph" w:styleId="23">
    <w:name w:val="Block Text"/>
    <w:basedOn w:val="1"/>
    <w:autoRedefine/>
    <w:qFormat/>
    <w:uiPriority w:val="0"/>
    <w:pPr>
      <w:ind w:left="1171" w:right="91" w:hanging="1080"/>
    </w:pPr>
    <w:rPr>
      <w:rFonts w:eastAsia="楷体_GB2312"/>
      <w:szCs w:val="20"/>
    </w:rPr>
  </w:style>
  <w:style w:type="paragraph" w:styleId="24">
    <w:name w:val="index 4"/>
    <w:basedOn w:val="1"/>
    <w:next w:val="1"/>
    <w:autoRedefine/>
    <w:unhideWhenUsed/>
    <w:qFormat/>
    <w:uiPriority w:val="99"/>
    <w:pPr>
      <w:ind w:left="600" w:leftChars="600"/>
    </w:pPr>
    <w:rPr>
      <w:rFonts w:ascii="Verdana" w:hAnsi="Verdana"/>
      <w:szCs w:val="20"/>
    </w:rPr>
  </w:style>
  <w:style w:type="paragraph" w:styleId="25">
    <w:name w:val="toc 5"/>
    <w:basedOn w:val="1"/>
    <w:next w:val="1"/>
    <w:autoRedefine/>
    <w:unhideWhenUsed/>
    <w:qFormat/>
    <w:uiPriority w:val="0"/>
    <w:pPr>
      <w:ind w:left="1680" w:leftChars="800"/>
    </w:pPr>
    <w:rPr>
      <w:szCs w:val="22"/>
    </w:rPr>
  </w:style>
  <w:style w:type="paragraph" w:styleId="26">
    <w:name w:val="toc 3"/>
    <w:basedOn w:val="1"/>
    <w:next w:val="1"/>
    <w:autoRedefine/>
    <w:unhideWhenUsed/>
    <w:qFormat/>
    <w:uiPriority w:val="0"/>
    <w:pPr>
      <w:ind w:left="840" w:leftChars="400"/>
    </w:pPr>
  </w:style>
  <w:style w:type="paragraph" w:styleId="27">
    <w:name w:val="Plain Text"/>
    <w:basedOn w:val="1"/>
    <w:link w:val="85"/>
    <w:autoRedefine/>
    <w:qFormat/>
    <w:uiPriority w:val="0"/>
    <w:rPr>
      <w:rFonts w:ascii="宋体" w:hAnsi="Courier New" w:cs="Courier New"/>
      <w:szCs w:val="21"/>
    </w:rPr>
  </w:style>
  <w:style w:type="paragraph" w:styleId="28">
    <w:name w:val="toc 8"/>
    <w:basedOn w:val="1"/>
    <w:next w:val="1"/>
    <w:autoRedefine/>
    <w:unhideWhenUsed/>
    <w:qFormat/>
    <w:uiPriority w:val="0"/>
    <w:pPr>
      <w:ind w:left="2940" w:leftChars="1400"/>
    </w:pPr>
    <w:rPr>
      <w:szCs w:val="22"/>
    </w:rPr>
  </w:style>
  <w:style w:type="paragraph" w:styleId="29">
    <w:name w:val="Date"/>
    <w:basedOn w:val="1"/>
    <w:next w:val="1"/>
    <w:link w:val="122"/>
    <w:autoRedefine/>
    <w:qFormat/>
    <w:uiPriority w:val="0"/>
    <w:rPr>
      <w:sz w:val="24"/>
      <w:szCs w:val="20"/>
    </w:rPr>
  </w:style>
  <w:style w:type="paragraph" w:styleId="30">
    <w:name w:val="Body Text Indent 2"/>
    <w:basedOn w:val="1"/>
    <w:link w:val="176"/>
    <w:autoRedefine/>
    <w:qFormat/>
    <w:uiPriority w:val="0"/>
    <w:pPr>
      <w:spacing w:after="120" w:line="480" w:lineRule="auto"/>
      <w:ind w:left="420" w:leftChars="200"/>
    </w:pPr>
  </w:style>
  <w:style w:type="paragraph" w:styleId="31">
    <w:name w:val="Balloon Text"/>
    <w:basedOn w:val="1"/>
    <w:link w:val="150"/>
    <w:autoRedefine/>
    <w:qFormat/>
    <w:uiPriority w:val="0"/>
    <w:rPr>
      <w:sz w:val="18"/>
      <w:szCs w:val="18"/>
    </w:rPr>
  </w:style>
  <w:style w:type="paragraph" w:styleId="32">
    <w:name w:val="footer"/>
    <w:basedOn w:val="1"/>
    <w:link w:val="156"/>
    <w:autoRedefine/>
    <w:qFormat/>
    <w:uiPriority w:val="0"/>
    <w:pPr>
      <w:tabs>
        <w:tab w:val="center" w:pos="4153"/>
        <w:tab w:val="right" w:pos="8306"/>
      </w:tabs>
      <w:snapToGrid w:val="0"/>
      <w:jc w:val="left"/>
    </w:pPr>
    <w:rPr>
      <w:sz w:val="18"/>
      <w:szCs w:val="18"/>
    </w:rPr>
  </w:style>
  <w:style w:type="paragraph" w:styleId="33">
    <w:name w:val="envelope return"/>
    <w:basedOn w:val="1"/>
    <w:autoRedefine/>
    <w:qFormat/>
    <w:uiPriority w:val="99"/>
    <w:pPr>
      <w:snapToGrid w:val="0"/>
    </w:pPr>
    <w:rPr>
      <w:rFonts w:ascii="Arial" w:hAnsi="Arial"/>
    </w:rPr>
  </w:style>
  <w:style w:type="paragraph" w:styleId="34">
    <w:name w:val="header"/>
    <w:basedOn w:val="1"/>
    <w:link w:val="168"/>
    <w:autoRedefine/>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autoRedefine/>
    <w:qFormat/>
    <w:uiPriority w:val="0"/>
    <w:rPr>
      <w:rFonts w:ascii="华文中宋" w:hAnsi="华文中宋" w:eastAsia="华文中宋"/>
      <w:b/>
      <w:sz w:val="28"/>
      <w:szCs w:val="28"/>
    </w:rPr>
  </w:style>
  <w:style w:type="paragraph" w:styleId="36">
    <w:name w:val="toc 4"/>
    <w:basedOn w:val="1"/>
    <w:next w:val="1"/>
    <w:autoRedefine/>
    <w:unhideWhenUsed/>
    <w:qFormat/>
    <w:uiPriority w:val="0"/>
    <w:pPr>
      <w:ind w:left="1260" w:leftChars="600"/>
    </w:pPr>
  </w:style>
  <w:style w:type="paragraph" w:styleId="37">
    <w:name w:val="Subtitle"/>
    <w:basedOn w:val="1"/>
    <w:next w:val="1"/>
    <w:link w:val="152"/>
    <w:autoRedefine/>
    <w:qFormat/>
    <w:uiPriority w:val="0"/>
    <w:pPr>
      <w:spacing w:before="240" w:after="60" w:line="312" w:lineRule="auto"/>
      <w:jc w:val="center"/>
      <w:outlineLvl w:val="1"/>
    </w:pPr>
    <w:rPr>
      <w:rFonts w:ascii="Cambria" w:hAnsi="Cambria" w:cs="黑体"/>
      <w:b/>
      <w:bCs/>
      <w:kern w:val="28"/>
      <w:sz w:val="28"/>
      <w:szCs w:val="28"/>
    </w:rPr>
  </w:style>
  <w:style w:type="paragraph" w:styleId="38">
    <w:name w:val="List"/>
    <w:basedOn w:val="1"/>
    <w:autoRedefine/>
    <w:qFormat/>
    <w:uiPriority w:val="0"/>
    <w:pPr>
      <w:ind w:left="200" w:hanging="200" w:hangingChars="200"/>
    </w:pPr>
  </w:style>
  <w:style w:type="paragraph" w:styleId="39">
    <w:name w:val="toc 6"/>
    <w:basedOn w:val="1"/>
    <w:next w:val="1"/>
    <w:autoRedefine/>
    <w:unhideWhenUsed/>
    <w:qFormat/>
    <w:uiPriority w:val="0"/>
    <w:pPr>
      <w:ind w:left="2100" w:leftChars="1000"/>
    </w:pPr>
    <w:rPr>
      <w:szCs w:val="22"/>
    </w:rPr>
  </w:style>
  <w:style w:type="paragraph" w:styleId="40">
    <w:name w:val="Body Text Indent 3"/>
    <w:basedOn w:val="1"/>
    <w:link w:val="82"/>
    <w:autoRedefine/>
    <w:qFormat/>
    <w:uiPriority w:val="0"/>
    <w:pPr>
      <w:spacing w:after="120"/>
      <w:ind w:left="420" w:leftChars="200"/>
    </w:pPr>
    <w:rPr>
      <w:sz w:val="16"/>
      <w:szCs w:val="16"/>
    </w:rPr>
  </w:style>
  <w:style w:type="paragraph" w:styleId="41">
    <w:name w:val="toc 2"/>
    <w:basedOn w:val="1"/>
    <w:next w:val="1"/>
    <w:autoRedefine/>
    <w:unhideWhenUsed/>
    <w:qFormat/>
    <w:uiPriority w:val="0"/>
    <w:pPr>
      <w:ind w:left="420" w:leftChars="200"/>
    </w:pPr>
  </w:style>
  <w:style w:type="paragraph" w:styleId="42">
    <w:name w:val="toc 9"/>
    <w:basedOn w:val="1"/>
    <w:next w:val="1"/>
    <w:autoRedefine/>
    <w:unhideWhenUsed/>
    <w:qFormat/>
    <w:uiPriority w:val="0"/>
    <w:pPr>
      <w:ind w:left="3360" w:leftChars="1600"/>
    </w:pPr>
    <w:rPr>
      <w:szCs w:val="22"/>
    </w:rPr>
  </w:style>
  <w:style w:type="paragraph" w:styleId="43">
    <w:name w:val="Body Text 2"/>
    <w:basedOn w:val="1"/>
    <w:link w:val="128"/>
    <w:autoRedefine/>
    <w:qFormat/>
    <w:uiPriority w:val="0"/>
    <w:pPr>
      <w:spacing w:after="120" w:line="480" w:lineRule="auto"/>
    </w:pPr>
  </w:style>
  <w:style w:type="paragraph" w:styleId="44">
    <w:name w:val="HTML Preformatted"/>
    <w:basedOn w:val="1"/>
    <w:link w:val="15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5">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6">
    <w:name w:val="index 1"/>
    <w:basedOn w:val="1"/>
    <w:next w:val="1"/>
    <w:autoRedefine/>
    <w:qFormat/>
    <w:uiPriority w:val="0"/>
    <w:pPr>
      <w:spacing w:line="220" w:lineRule="exact"/>
      <w:jc w:val="center"/>
    </w:pPr>
    <w:rPr>
      <w:rFonts w:ascii="仿宋_GB2312" w:eastAsia="仿宋_GB2312"/>
      <w:szCs w:val="20"/>
    </w:rPr>
  </w:style>
  <w:style w:type="paragraph" w:styleId="47">
    <w:name w:val="Title"/>
    <w:basedOn w:val="1"/>
    <w:next w:val="1"/>
    <w:link w:val="162"/>
    <w:autoRedefine/>
    <w:qFormat/>
    <w:uiPriority w:val="0"/>
    <w:pPr>
      <w:spacing w:before="240" w:after="60"/>
      <w:jc w:val="center"/>
      <w:outlineLvl w:val="0"/>
    </w:pPr>
    <w:rPr>
      <w:rFonts w:ascii="Cambria" w:hAnsi="Cambria"/>
      <w:b/>
      <w:bCs/>
      <w:sz w:val="32"/>
      <w:szCs w:val="32"/>
    </w:rPr>
  </w:style>
  <w:style w:type="paragraph" w:styleId="48">
    <w:name w:val="annotation subject"/>
    <w:basedOn w:val="17"/>
    <w:next w:val="1"/>
    <w:link w:val="121"/>
    <w:autoRedefine/>
    <w:qFormat/>
    <w:uiPriority w:val="0"/>
    <w:rPr>
      <w:b/>
      <w:bCs/>
    </w:rPr>
  </w:style>
  <w:style w:type="paragraph" w:styleId="49">
    <w:name w:val="Body Text First Indent 2"/>
    <w:basedOn w:val="21"/>
    <w:autoRedefine/>
    <w:qFormat/>
    <w:uiPriority w:val="6"/>
    <w:pPr>
      <w:ind w:firstLine="420"/>
      <w:jc w:val="left"/>
    </w:pPr>
    <w:rPr>
      <w:rFonts w:ascii="Calibri" w:hAnsi="Calibri" w:cs="Calibri"/>
      <w:kern w:val="0"/>
      <w:sz w:val="21"/>
    </w:rPr>
  </w:style>
  <w:style w:type="table" w:styleId="51">
    <w:name w:val="Table Grid"/>
    <w:basedOn w:val="5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autoRedefine/>
    <w:qFormat/>
    <w:uiPriority w:val="0"/>
    <w:rPr>
      <w:b/>
      <w:bCs/>
    </w:rPr>
  </w:style>
  <w:style w:type="character" w:styleId="54">
    <w:name w:val="page number"/>
    <w:basedOn w:val="52"/>
    <w:autoRedefine/>
    <w:qFormat/>
    <w:uiPriority w:val="0"/>
  </w:style>
  <w:style w:type="character" w:styleId="55">
    <w:name w:val="FollowedHyperlink"/>
    <w:basedOn w:val="52"/>
    <w:autoRedefine/>
    <w:qFormat/>
    <w:uiPriority w:val="0"/>
    <w:rPr>
      <w:color w:val="800080"/>
      <w:u w:val="single"/>
    </w:rPr>
  </w:style>
  <w:style w:type="character" w:styleId="56">
    <w:name w:val="Emphasis"/>
    <w:basedOn w:val="52"/>
    <w:autoRedefine/>
    <w:qFormat/>
    <w:uiPriority w:val="0"/>
    <w:rPr>
      <w:rFonts w:hint="default" w:ascii="Times New Roman" w:hAnsi="Times New Roman" w:eastAsia="宋体" w:cs="Times New Roman"/>
    </w:rPr>
  </w:style>
  <w:style w:type="character" w:styleId="57">
    <w:name w:val="HTML Definition"/>
    <w:basedOn w:val="52"/>
    <w:autoRedefine/>
    <w:unhideWhenUsed/>
    <w:qFormat/>
    <w:uiPriority w:val="0"/>
    <w:rPr>
      <w:rFonts w:hint="default" w:ascii="Times New Roman" w:hAnsi="Times New Roman" w:eastAsia="宋体" w:cs="Times New Roman"/>
    </w:rPr>
  </w:style>
  <w:style w:type="character" w:styleId="58">
    <w:name w:val="HTML Variable"/>
    <w:basedOn w:val="52"/>
    <w:autoRedefine/>
    <w:unhideWhenUsed/>
    <w:qFormat/>
    <w:uiPriority w:val="0"/>
    <w:rPr>
      <w:rFonts w:hint="default" w:ascii="Times New Roman" w:hAnsi="Times New Roman" w:eastAsia="宋体" w:cs="Times New Roman"/>
    </w:rPr>
  </w:style>
  <w:style w:type="character" w:styleId="59">
    <w:name w:val="Hyperlink"/>
    <w:basedOn w:val="52"/>
    <w:autoRedefine/>
    <w:qFormat/>
    <w:uiPriority w:val="0"/>
    <w:rPr>
      <w:color w:val="136EC2"/>
      <w:u w:val="single"/>
    </w:rPr>
  </w:style>
  <w:style w:type="character" w:styleId="60">
    <w:name w:val="HTML Code"/>
    <w:basedOn w:val="52"/>
    <w:autoRedefine/>
    <w:unhideWhenUsed/>
    <w:qFormat/>
    <w:uiPriority w:val="0"/>
    <w:rPr>
      <w:rFonts w:hint="default" w:ascii="Courier New" w:hAnsi="Courier New" w:eastAsia="Courier New" w:cs="Courier New"/>
      <w:sz w:val="24"/>
      <w:szCs w:val="24"/>
    </w:rPr>
  </w:style>
  <w:style w:type="character" w:styleId="61">
    <w:name w:val="annotation reference"/>
    <w:basedOn w:val="52"/>
    <w:autoRedefine/>
    <w:qFormat/>
    <w:uiPriority w:val="0"/>
    <w:rPr>
      <w:sz w:val="21"/>
      <w:szCs w:val="21"/>
    </w:rPr>
  </w:style>
  <w:style w:type="character" w:styleId="62">
    <w:name w:val="HTML Cite"/>
    <w:basedOn w:val="52"/>
    <w:autoRedefine/>
    <w:unhideWhenUsed/>
    <w:qFormat/>
    <w:uiPriority w:val="0"/>
    <w:rPr>
      <w:rFonts w:hint="default" w:ascii="Times New Roman" w:hAnsi="Times New Roman" w:eastAsia="宋体" w:cs="Times New Roman"/>
    </w:rPr>
  </w:style>
  <w:style w:type="character" w:styleId="63">
    <w:name w:val="HTML Keyboard"/>
    <w:basedOn w:val="52"/>
    <w:autoRedefine/>
    <w:unhideWhenUsed/>
    <w:qFormat/>
    <w:uiPriority w:val="0"/>
    <w:rPr>
      <w:rFonts w:hint="default" w:ascii="Courier New" w:hAnsi="Courier New" w:eastAsia="Courier New" w:cs="Courier New"/>
      <w:sz w:val="24"/>
      <w:szCs w:val="24"/>
    </w:rPr>
  </w:style>
  <w:style w:type="character" w:styleId="64">
    <w:name w:val="HTML Sample"/>
    <w:basedOn w:val="52"/>
    <w:autoRedefine/>
    <w:unhideWhenUsed/>
    <w:qFormat/>
    <w:uiPriority w:val="0"/>
    <w:rPr>
      <w:rFonts w:hint="default" w:ascii="Courier New" w:hAnsi="Courier New" w:eastAsia="Courier New" w:cs="Courier New"/>
    </w:rPr>
  </w:style>
  <w:style w:type="paragraph" w:customStyle="1" w:styleId="65">
    <w:name w:val="表格文字"/>
    <w:basedOn w:val="1"/>
    <w:autoRedefine/>
    <w:qFormat/>
    <w:uiPriority w:val="0"/>
    <w:pPr>
      <w:spacing w:before="25" w:beforeLines="0" w:after="25" w:afterLines="0" w:line="240" w:lineRule="auto"/>
      <w:ind w:firstLine="0"/>
      <w:jc w:val="left"/>
    </w:pPr>
    <w:rPr>
      <w:bCs/>
      <w:spacing w:val="10"/>
      <w:kern w:val="0"/>
      <w:sz w:val="24"/>
    </w:rPr>
  </w:style>
  <w:style w:type="character" w:customStyle="1" w:styleId="66">
    <w:name w:val="称呼 Char"/>
    <w:basedOn w:val="52"/>
    <w:link w:val="18"/>
    <w:autoRedefine/>
    <w:qFormat/>
    <w:uiPriority w:val="0"/>
    <w:rPr>
      <w:rFonts w:ascii="仿宋_GB2312" w:eastAsia="仿宋_GB2312"/>
      <w:kern w:val="2"/>
      <w:sz w:val="24"/>
      <w:szCs w:val="24"/>
    </w:rPr>
  </w:style>
  <w:style w:type="character" w:customStyle="1" w:styleId="67">
    <w:name w:val="sort1"/>
    <w:basedOn w:val="52"/>
    <w:autoRedefine/>
    <w:qFormat/>
    <w:uiPriority w:val="0"/>
    <w:rPr>
      <w:rFonts w:hint="default" w:ascii="Times New Roman" w:hAnsi="Times New Roman" w:eastAsia="宋体" w:cs="Times New Roman"/>
    </w:rPr>
  </w:style>
  <w:style w:type="character" w:customStyle="1" w:styleId="68">
    <w:name w:val="Font Style124"/>
    <w:basedOn w:val="52"/>
    <w:autoRedefine/>
    <w:qFormat/>
    <w:uiPriority w:val="0"/>
    <w:rPr>
      <w:rFonts w:hint="eastAsia" w:ascii="宋体" w:hAnsi="宋体" w:eastAsia="宋体"/>
      <w:spacing w:val="30"/>
      <w:sz w:val="24"/>
    </w:rPr>
  </w:style>
  <w:style w:type="character" w:customStyle="1" w:styleId="69">
    <w:name w:val="p0 Char"/>
    <w:autoRedefine/>
    <w:qFormat/>
    <w:locked/>
    <w:uiPriority w:val="0"/>
    <w:rPr>
      <w:sz w:val="21"/>
      <w:szCs w:val="21"/>
    </w:rPr>
  </w:style>
  <w:style w:type="character" w:customStyle="1" w:styleId="70">
    <w:name w:val="标题 Char2"/>
    <w:basedOn w:val="52"/>
    <w:autoRedefine/>
    <w:qFormat/>
    <w:locked/>
    <w:uiPriority w:val="0"/>
    <w:rPr>
      <w:rFonts w:ascii="Cambria" w:hAnsi="Cambria"/>
      <w:b/>
      <w:kern w:val="2"/>
      <w:sz w:val="32"/>
      <w:szCs w:val="24"/>
    </w:rPr>
  </w:style>
  <w:style w:type="character" w:customStyle="1" w:styleId="71">
    <w:name w:val="font81"/>
    <w:basedOn w:val="52"/>
    <w:autoRedefine/>
    <w:qFormat/>
    <w:uiPriority w:val="0"/>
    <w:rPr>
      <w:rFonts w:hint="eastAsia" w:ascii="宋体" w:hAnsi="宋体" w:eastAsia="宋体"/>
      <w:color w:val="000000"/>
      <w:sz w:val="18"/>
      <w:szCs w:val="18"/>
      <w:u w:val="none"/>
    </w:rPr>
  </w:style>
  <w:style w:type="character" w:customStyle="1" w:styleId="72">
    <w:name w:val="sidecatalog-dot1"/>
    <w:basedOn w:val="52"/>
    <w:autoRedefine/>
    <w:qFormat/>
    <w:uiPriority w:val="0"/>
    <w:rPr>
      <w:rFonts w:hint="default" w:ascii="Times New Roman" w:hAnsi="Times New Roman" w:eastAsia="宋体" w:cs="Times New Roman"/>
    </w:rPr>
  </w:style>
  <w:style w:type="character" w:customStyle="1" w:styleId="73">
    <w:name w:val="polysemyred"/>
    <w:basedOn w:val="52"/>
    <w:autoRedefine/>
    <w:qFormat/>
    <w:uiPriority w:val="0"/>
    <w:rPr>
      <w:rFonts w:hint="default" w:ascii="Times New Roman" w:hAnsi="Times New Roman" w:eastAsia="宋体" w:cs="Times New Roman"/>
      <w:color w:val="FF6666"/>
      <w:sz w:val="18"/>
      <w:szCs w:val="18"/>
    </w:rPr>
  </w:style>
  <w:style w:type="character" w:customStyle="1" w:styleId="74">
    <w:name w:val="sort"/>
    <w:basedOn w:val="52"/>
    <w:autoRedefine/>
    <w:qFormat/>
    <w:uiPriority w:val="0"/>
    <w:rPr>
      <w:rFonts w:hint="default" w:ascii="Times New Roman" w:hAnsi="Times New Roman" w:eastAsia="宋体" w:cs="Times New Roman"/>
      <w:color w:val="FFFFFF"/>
      <w:bdr w:val="single" w:color="auto" w:sz="24" w:space="0"/>
    </w:rPr>
  </w:style>
  <w:style w:type="character" w:customStyle="1" w:styleId="75">
    <w:name w:val="Font Style116"/>
    <w:basedOn w:val="52"/>
    <w:autoRedefine/>
    <w:qFormat/>
    <w:uiPriority w:val="0"/>
    <w:rPr>
      <w:rFonts w:hint="eastAsia" w:ascii="宋体" w:hAnsi="宋体" w:eastAsia="宋体"/>
      <w:spacing w:val="-20"/>
      <w:sz w:val="24"/>
    </w:rPr>
  </w:style>
  <w:style w:type="character" w:customStyle="1" w:styleId="76">
    <w:name w:val="Font Style133"/>
    <w:basedOn w:val="52"/>
    <w:autoRedefine/>
    <w:qFormat/>
    <w:uiPriority w:val="0"/>
    <w:rPr>
      <w:rFonts w:hint="eastAsia" w:ascii="宋体" w:hAnsi="宋体" w:eastAsia="宋体"/>
      <w:spacing w:val="30"/>
      <w:sz w:val="24"/>
    </w:rPr>
  </w:style>
  <w:style w:type="character" w:customStyle="1" w:styleId="77">
    <w:name w:val="正文缩进 Char"/>
    <w:link w:val="13"/>
    <w:autoRedefine/>
    <w:qFormat/>
    <w:uiPriority w:val="0"/>
    <w:rPr>
      <w:rFonts w:eastAsia="宋体"/>
      <w:lang w:val="en-US" w:eastAsia="zh-CN" w:bidi="ar-SA"/>
    </w:rPr>
  </w:style>
  <w:style w:type="character" w:customStyle="1" w:styleId="78">
    <w:name w:val="标题 8 Char1"/>
    <w:autoRedefine/>
    <w:semiHidden/>
    <w:qFormat/>
    <w:locked/>
    <w:uiPriority w:val="0"/>
    <w:rPr>
      <w:rFonts w:ascii="Arial" w:hAnsi="Arial" w:eastAsia="黑体"/>
      <w:sz w:val="24"/>
      <w:szCs w:val="24"/>
    </w:rPr>
  </w:style>
  <w:style w:type="character" w:customStyle="1" w:styleId="79">
    <w:name w:val="Font Style94"/>
    <w:basedOn w:val="52"/>
    <w:autoRedefine/>
    <w:qFormat/>
    <w:uiPriority w:val="0"/>
    <w:rPr>
      <w:rFonts w:hint="default" w:ascii="Times New Roman" w:hAnsi="Times New Roman" w:eastAsia="Times New Roman" w:cs="Times New Roman"/>
      <w:sz w:val="28"/>
    </w:rPr>
  </w:style>
  <w:style w:type="character" w:customStyle="1" w:styleId="80">
    <w:name w:val="Font Style104"/>
    <w:basedOn w:val="52"/>
    <w:autoRedefine/>
    <w:qFormat/>
    <w:uiPriority w:val="0"/>
    <w:rPr>
      <w:rFonts w:hint="eastAsia" w:ascii="宋体" w:hAnsi="宋体" w:eastAsia="宋体"/>
      <w:spacing w:val="30"/>
      <w:sz w:val="18"/>
    </w:rPr>
  </w:style>
  <w:style w:type="character" w:customStyle="1" w:styleId="81">
    <w:name w:val="font31"/>
    <w:basedOn w:val="52"/>
    <w:autoRedefine/>
    <w:qFormat/>
    <w:uiPriority w:val="0"/>
    <w:rPr>
      <w:rFonts w:hint="eastAsia" w:ascii="宋体" w:hAnsi="宋体" w:eastAsia="宋体"/>
      <w:b/>
      <w:bCs/>
      <w:i/>
      <w:iCs/>
      <w:color w:val="000000"/>
      <w:sz w:val="18"/>
      <w:szCs w:val="18"/>
      <w:u w:val="none"/>
    </w:rPr>
  </w:style>
  <w:style w:type="character" w:customStyle="1" w:styleId="82">
    <w:name w:val="正文文本缩进 3 Char"/>
    <w:basedOn w:val="52"/>
    <w:link w:val="40"/>
    <w:autoRedefine/>
    <w:qFormat/>
    <w:uiPriority w:val="0"/>
    <w:rPr>
      <w:kern w:val="2"/>
      <w:sz w:val="16"/>
      <w:szCs w:val="16"/>
    </w:rPr>
  </w:style>
  <w:style w:type="character" w:customStyle="1" w:styleId="83">
    <w:name w:val="Font Style115"/>
    <w:basedOn w:val="52"/>
    <w:autoRedefine/>
    <w:qFormat/>
    <w:uiPriority w:val="0"/>
    <w:rPr>
      <w:rFonts w:hint="default" w:ascii="Times New Roman" w:hAnsi="Times New Roman" w:eastAsia="Times New Roman" w:cs="Times New Roman"/>
      <w:sz w:val="16"/>
    </w:rPr>
  </w:style>
  <w:style w:type="character" w:customStyle="1" w:styleId="84">
    <w:name w:val="font51"/>
    <w:basedOn w:val="52"/>
    <w:autoRedefine/>
    <w:qFormat/>
    <w:uiPriority w:val="0"/>
    <w:rPr>
      <w:rFonts w:hint="eastAsia" w:ascii="宋体" w:hAnsi="宋体" w:eastAsia="宋体" w:cs="宋体"/>
      <w:color w:val="000000"/>
      <w:sz w:val="20"/>
      <w:szCs w:val="20"/>
      <w:u w:val="single"/>
    </w:rPr>
  </w:style>
  <w:style w:type="character" w:customStyle="1" w:styleId="85">
    <w:name w:val="纯文本 Char"/>
    <w:basedOn w:val="52"/>
    <w:link w:val="27"/>
    <w:autoRedefine/>
    <w:qFormat/>
    <w:uiPriority w:val="0"/>
    <w:rPr>
      <w:rFonts w:ascii="宋体" w:hAnsi="Courier New" w:cs="Courier New"/>
      <w:kern w:val="2"/>
      <w:sz w:val="21"/>
      <w:szCs w:val="21"/>
    </w:rPr>
  </w:style>
  <w:style w:type="character" w:customStyle="1" w:styleId="86">
    <w:name w:val="Font Style86"/>
    <w:basedOn w:val="52"/>
    <w:autoRedefine/>
    <w:qFormat/>
    <w:uiPriority w:val="0"/>
    <w:rPr>
      <w:rFonts w:hint="eastAsia" w:ascii="黑体" w:hAnsi="黑体" w:eastAsia="黑体"/>
      <w:spacing w:val="10"/>
      <w:sz w:val="30"/>
    </w:rPr>
  </w:style>
  <w:style w:type="character" w:customStyle="1" w:styleId="87">
    <w:name w:val="标题 6 Char1"/>
    <w:autoRedefine/>
    <w:semiHidden/>
    <w:qFormat/>
    <w:locked/>
    <w:uiPriority w:val="0"/>
    <w:rPr>
      <w:rFonts w:ascii="Arial" w:hAnsi="Arial" w:eastAsia="黑体"/>
      <w:b/>
      <w:bCs/>
      <w:sz w:val="24"/>
      <w:szCs w:val="24"/>
    </w:rPr>
  </w:style>
  <w:style w:type="character" w:customStyle="1" w:styleId="88">
    <w:name w:val="Font Style123"/>
    <w:basedOn w:val="52"/>
    <w:autoRedefine/>
    <w:qFormat/>
    <w:uiPriority w:val="0"/>
    <w:rPr>
      <w:rFonts w:hint="eastAsia" w:ascii="宋体" w:hAnsi="宋体" w:eastAsia="宋体"/>
      <w:b/>
      <w:sz w:val="32"/>
    </w:rPr>
  </w:style>
  <w:style w:type="character" w:customStyle="1" w:styleId="89">
    <w:name w:val="正文文本 3 Char"/>
    <w:link w:val="19"/>
    <w:autoRedefine/>
    <w:qFormat/>
    <w:uiPriority w:val="0"/>
    <w:rPr>
      <w:rFonts w:hint="default" w:eastAsia="宋体"/>
      <w:kern w:val="2"/>
      <w:sz w:val="16"/>
      <w:lang w:val="en-US" w:eastAsia="zh-CN"/>
    </w:rPr>
  </w:style>
  <w:style w:type="character" w:customStyle="1" w:styleId="90">
    <w:name w:val="sidecatalog-index2"/>
    <w:basedOn w:val="52"/>
    <w:autoRedefine/>
    <w:qFormat/>
    <w:uiPriority w:val="0"/>
    <w:rPr>
      <w:rFonts w:hint="default" w:ascii="Arail" w:hAnsi="Arail" w:eastAsia="Arail" w:cs="Arail"/>
      <w:color w:val="999999"/>
      <w:sz w:val="21"/>
      <w:szCs w:val="21"/>
    </w:rPr>
  </w:style>
  <w:style w:type="character" w:customStyle="1" w:styleId="91">
    <w:name w:val="Font Style134"/>
    <w:basedOn w:val="52"/>
    <w:autoRedefine/>
    <w:qFormat/>
    <w:uiPriority w:val="0"/>
    <w:rPr>
      <w:rFonts w:hint="eastAsia" w:ascii="宋体" w:hAnsi="宋体" w:eastAsia="宋体"/>
      <w:spacing w:val="20"/>
      <w:sz w:val="22"/>
    </w:rPr>
  </w:style>
  <w:style w:type="character" w:customStyle="1" w:styleId="92">
    <w:name w:val="标题 7 Char1"/>
    <w:autoRedefine/>
    <w:semiHidden/>
    <w:qFormat/>
    <w:locked/>
    <w:uiPriority w:val="0"/>
    <w:rPr>
      <w:b/>
      <w:bCs/>
      <w:sz w:val="24"/>
      <w:szCs w:val="24"/>
    </w:rPr>
  </w:style>
  <w:style w:type="character" w:customStyle="1" w:styleId="93">
    <w:name w:val="font01"/>
    <w:basedOn w:val="52"/>
    <w:autoRedefine/>
    <w:qFormat/>
    <w:uiPriority w:val="0"/>
    <w:rPr>
      <w:rFonts w:hint="default" w:ascii="Times New Roman" w:hAnsi="Times New Roman" w:cs="Times New Roman"/>
      <w:color w:val="000000"/>
      <w:sz w:val="18"/>
      <w:szCs w:val="18"/>
      <w:u w:val="none"/>
    </w:rPr>
  </w:style>
  <w:style w:type="character" w:customStyle="1" w:styleId="94">
    <w:name w:val="标题 3 Char1"/>
    <w:autoRedefine/>
    <w:semiHidden/>
    <w:qFormat/>
    <w:locked/>
    <w:uiPriority w:val="0"/>
    <w:rPr>
      <w:b/>
      <w:bCs/>
      <w:kern w:val="2"/>
      <w:sz w:val="32"/>
      <w:szCs w:val="32"/>
    </w:rPr>
  </w:style>
  <w:style w:type="character" w:customStyle="1" w:styleId="95">
    <w:name w:val="标题 4 Char"/>
    <w:basedOn w:val="52"/>
    <w:link w:val="2"/>
    <w:autoRedefine/>
    <w:qFormat/>
    <w:uiPriority w:val="0"/>
    <w:rPr>
      <w:rFonts w:ascii="Arial" w:hAnsi="Arial" w:eastAsia="黑体"/>
      <w:b/>
      <w:bCs/>
      <w:kern w:val="2"/>
      <w:sz w:val="28"/>
      <w:szCs w:val="28"/>
    </w:rPr>
  </w:style>
  <w:style w:type="character" w:customStyle="1" w:styleId="96">
    <w:name w:val="标题 9 Char"/>
    <w:basedOn w:val="52"/>
    <w:link w:val="10"/>
    <w:autoRedefine/>
    <w:qFormat/>
    <w:uiPriority w:val="0"/>
    <w:rPr>
      <w:rFonts w:ascii="Arial" w:hAnsi="Arial" w:eastAsia="黑体"/>
      <w:sz w:val="21"/>
      <w:szCs w:val="21"/>
    </w:rPr>
  </w:style>
  <w:style w:type="character" w:customStyle="1" w:styleId="97">
    <w:name w:val="plus"/>
    <w:basedOn w:val="52"/>
    <w:autoRedefine/>
    <w:qFormat/>
    <w:uiPriority w:val="0"/>
    <w:rPr>
      <w:rFonts w:hint="default" w:ascii="Times New Roman" w:hAnsi="Times New Roman" w:eastAsia="宋体" w:cs="Times New Roman"/>
      <w:b/>
      <w:vanish/>
      <w:color w:val="1F8DEF"/>
      <w:sz w:val="24"/>
      <w:szCs w:val="24"/>
    </w:rPr>
  </w:style>
  <w:style w:type="character" w:customStyle="1" w:styleId="98">
    <w:name w:val="font21"/>
    <w:basedOn w:val="52"/>
    <w:autoRedefine/>
    <w:qFormat/>
    <w:uiPriority w:val="0"/>
    <w:rPr>
      <w:rFonts w:hint="eastAsia" w:ascii="宋体" w:hAnsi="宋体" w:eastAsia="宋体"/>
      <w:color w:val="000000"/>
      <w:sz w:val="18"/>
      <w:szCs w:val="18"/>
      <w:u w:val="none"/>
    </w:rPr>
  </w:style>
  <w:style w:type="character" w:customStyle="1" w:styleId="99">
    <w:name w:val="Char Char17"/>
    <w:basedOn w:val="52"/>
    <w:autoRedefine/>
    <w:qFormat/>
    <w:uiPriority w:val="0"/>
    <w:rPr>
      <w:rFonts w:hint="eastAsia" w:ascii="宋体" w:hAnsi="Times New Roman" w:eastAsia="宋体"/>
      <w:b/>
      <w:sz w:val="28"/>
      <w:lang w:val="en-US" w:eastAsia="zh-CN" w:bidi="ar-SA"/>
    </w:rPr>
  </w:style>
  <w:style w:type="character" w:customStyle="1" w:styleId="100">
    <w:name w:val="Font Style122"/>
    <w:basedOn w:val="52"/>
    <w:autoRedefine/>
    <w:qFormat/>
    <w:uiPriority w:val="0"/>
    <w:rPr>
      <w:rFonts w:hint="eastAsia" w:ascii="宋体" w:hAnsi="宋体" w:eastAsia="宋体"/>
      <w:spacing w:val="20"/>
      <w:sz w:val="24"/>
    </w:rPr>
  </w:style>
  <w:style w:type="character" w:customStyle="1" w:styleId="101">
    <w:name w:val="Font Style105"/>
    <w:basedOn w:val="52"/>
    <w:autoRedefine/>
    <w:qFormat/>
    <w:uiPriority w:val="0"/>
    <w:rPr>
      <w:rFonts w:hint="default" w:ascii="Times New Roman" w:hAnsi="Times New Roman" w:eastAsia="Times New Roman" w:cs="Times New Roman"/>
      <w:w w:val="60"/>
      <w:sz w:val="26"/>
    </w:rPr>
  </w:style>
  <w:style w:type="character" w:customStyle="1" w:styleId="102">
    <w:name w:val="标书的正文 Char Char"/>
    <w:link w:val="103"/>
    <w:autoRedefine/>
    <w:qFormat/>
    <w:uiPriority w:val="0"/>
    <w:rPr>
      <w:rFonts w:ascii="宋体" w:hAnsi="宋体" w:eastAsia="宋体"/>
      <w:kern w:val="2"/>
      <w:sz w:val="24"/>
      <w:lang w:val="en-US" w:eastAsia="zh-CN" w:bidi="ar-SA"/>
    </w:rPr>
  </w:style>
  <w:style w:type="paragraph" w:customStyle="1" w:styleId="103">
    <w:name w:val="标书的正文"/>
    <w:basedOn w:val="1"/>
    <w:link w:val="102"/>
    <w:autoRedefine/>
    <w:qFormat/>
    <w:uiPriority w:val="0"/>
    <w:pPr>
      <w:spacing w:line="312" w:lineRule="auto"/>
      <w:ind w:firstLine="480" w:firstLineChars="200"/>
      <w:jc w:val="left"/>
    </w:pPr>
    <w:rPr>
      <w:rFonts w:ascii="宋体" w:hAnsi="宋体"/>
      <w:sz w:val="24"/>
      <w:szCs w:val="20"/>
    </w:rPr>
  </w:style>
  <w:style w:type="character" w:customStyle="1" w:styleId="104">
    <w:name w:val="font11"/>
    <w:basedOn w:val="52"/>
    <w:autoRedefine/>
    <w:qFormat/>
    <w:uiPriority w:val="0"/>
    <w:rPr>
      <w:rFonts w:hint="eastAsia" w:ascii="宋体" w:hAnsi="宋体" w:eastAsia="宋体"/>
      <w:color w:val="000000"/>
      <w:sz w:val="18"/>
      <w:szCs w:val="18"/>
      <w:u w:val="none"/>
    </w:rPr>
  </w:style>
  <w:style w:type="character" w:customStyle="1" w:styleId="105">
    <w:name w:val="Font Style90"/>
    <w:basedOn w:val="52"/>
    <w:autoRedefine/>
    <w:qFormat/>
    <w:uiPriority w:val="0"/>
    <w:rPr>
      <w:rFonts w:hint="eastAsia" w:ascii="宋体" w:hAnsi="宋体" w:eastAsia="宋体"/>
      <w:b/>
      <w:spacing w:val="-20"/>
      <w:sz w:val="40"/>
    </w:rPr>
  </w:style>
  <w:style w:type="character" w:customStyle="1" w:styleId="106">
    <w:name w:val="批注文字 Char1"/>
    <w:autoRedefine/>
    <w:semiHidden/>
    <w:qFormat/>
    <w:locked/>
    <w:uiPriority w:val="0"/>
    <w:rPr>
      <w:kern w:val="2"/>
      <w:sz w:val="21"/>
      <w:szCs w:val="24"/>
    </w:rPr>
  </w:style>
  <w:style w:type="character" w:customStyle="1" w:styleId="107">
    <w:name w:val="polysemyexp"/>
    <w:basedOn w:val="52"/>
    <w:autoRedefine/>
    <w:qFormat/>
    <w:uiPriority w:val="0"/>
    <w:rPr>
      <w:rFonts w:hint="default" w:ascii="Times New Roman" w:hAnsi="Times New Roman" w:eastAsia="宋体" w:cs="Times New Roman"/>
      <w:color w:val="AAAAAA"/>
      <w:sz w:val="18"/>
      <w:szCs w:val="18"/>
    </w:rPr>
  </w:style>
  <w:style w:type="character" w:customStyle="1" w:styleId="108">
    <w:name w:val="标题 Char1"/>
    <w:basedOn w:val="52"/>
    <w:autoRedefine/>
    <w:qFormat/>
    <w:uiPriority w:val="0"/>
    <w:rPr>
      <w:rFonts w:hint="default" w:ascii="Cambria" w:hAnsi="Cambria" w:eastAsia="宋体" w:cs="Times New Roman"/>
      <w:b/>
      <w:bCs/>
      <w:sz w:val="32"/>
      <w:szCs w:val="32"/>
    </w:rPr>
  </w:style>
  <w:style w:type="character" w:customStyle="1" w:styleId="109">
    <w:name w:val="页眉 Char1"/>
    <w:autoRedefine/>
    <w:qFormat/>
    <w:locked/>
    <w:uiPriority w:val="0"/>
    <w:rPr>
      <w:kern w:val="2"/>
      <w:sz w:val="18"/>
      <w:szCs w:val="18"/>
    </w:rPr>
  </w:style>
  <w:style w:type="character" w:customStyle="1" w:styleId="110">
    <w:name w:val="morelink-item"/>
    <w:basedOn w:val="52"/>
    <w:autoRedefine/>
    <w:qFormat/>
    <w:uiPriority w:val="0"/>
    <w:rPr>
      <w:rFonts w:hint="default" w:ascii="Times New Roman" w:hAnsi="Times New Roman" w:eastAsia="宋体" w:cs="Times New Roman"/>
    </w:rPr>
  </w:style>
  <w:style w:type="character" w:customStyle="1" w:styleId="111">
    <w:name w:val="Font Style128"/>
    <w:basedOn w:val="52"/>
    <w:autoRedefine/>
    <w:qFormat/>
    <w:uiPriority w:val="0"/>
    <w:rPr>
      <w:rFonts w:hint="default" w:ascii="Times New Roman" w:hAnsi="Times New Roman" w:eastAsia="Times New Roman" w:cs="Times New Roman"/>
      <w:sz w:val="16"/>
    </w:rPr>
  </w:style>
  <w:style w:type="character" w:customStyle="1" w:styleId="112">
    <w:name w:val="sidecatalog-index1"/>
    <w:basedOn w:val="52"/>
    <w:autoRedefine/>
    <w:qFormat/>
    <w:uiPriority w:val="0"/>
    <w:rPr>
      <w:rFonts w:hint="default" w:ascii="Arial" w:hAnsi="Arial" w:eastAsia="宋体" w:cs="Arial"/>
      <w:b/>
      <w:color w:val="999999"/>
      <w:sz w:val="21"/>
      <w:szCs w:val="21"/>
    </w:rPr>
  </w:style>
  <w:style w:type="character" w:customStyle="1" w:styleId="113">
    <w:name w:val="标题 3 Char"/>
    <w:link w:val="5"/>
    <w:autoRedefine/>
    <w:qFormat/>
    <w:uiPriority w:val="0"/>
    <w:rPr>
      <w:rFonts w:eastAsia="宋体"/>
      <w:b/>
      <w:bCs/>
      <w:kern w:val="2"/>
      <w:sz w:val="32"/>
      <w:szCs w:val="32"/>
      <w:lang w:val="en-US" w:eastAsia="zh-CN" w:bidi="ar-SA"/>
    </w:rPr>
  </w:style>
  <w:style w:type="character" w:customStyle="1" w:styleId="114">
    <w:name w:val="font61"/>
    <w:basedOn w:val="52"/>
    <w:autoRedefine/>
    <w:qFormat/>
    <w:uiPriority w:val="0"/>
    <w:rPr>
      <w:rFonts w:ascii="Arial" w:hAnsi="Arial" w:cs="Arial"/>
      <w:color w:val="000000"/>
      <w:sz w:val="20"/>
      <w:szCs w:val="20"/>
      <w:u w:val="none"/>
    </w:rPr>
  </w:style>
  <w:style w:type="character" w:customStyle="1" w:styleId="115">
    <w:name w:val="标题 7 Char"/>
    <w:basedOn w:val="52"/>
    <w:link w:val="8"/>
    <w:autoRedefine/>
    <w:qFormat/>
    <w:uiPriority w:val="0"/>
    <w:rPr>
      <w:b/>
      <w:bCs/>
      <w:sz w:val="24"/>
      <w:szCs w:val="24"/>
    </w:rPr>
  </w:style>
  <w:style w:type="character" w:customStyle="1" w:styleId="116">
    <w:name w:val="批注文字 Char Char"/>
    <w:autoRedefine/>
    <w:qFormat/>
    <w:uiPriority w:val="0"/>
    <w:rPr>
      <w:kern w:val="2"/>
      <w:sz w:val="21"/>
      <w:szCs w:val="24"/>
      <w:lang w:bidi="ar-SA"/>
    </w:rPr>
  </w:style>
  <w:style w:type="character" w:customStyle="1" w:styleId="117">
    <w:name w:val="bds_nopic1"/>
    <w:basedOn w:val="52"/>
    <w:autoRedefine/>
    <w:qFormat/>
    <w:uiPriority w:val="0"/>
    <w:rPr>
      <w:rFonts w:hint="default" w:ascii="Times New Roman" w:hAnsi="Times New Roman" w:eastAsia="宋体" w:cs="Times New Roman"/>
    </w:rPr>
  </w:style>
  <w:style w:type="character" w:customStyle="1" w:styleId="118">
    <w:name w:val="批注文字 Char"/>
    <w:basedOn w:val="52"/>
    <w:link w:val="17"/>
    <w:autoRedefine/>
    <w:qFormat/>
    <w:uiPriority w:val="0"/>
    <w:rPr>
      <w:kern w:val="2"/>
      <w:sz w:val="21"/>
      <w:szCs w:val="24"/>
    </w:rPr>
  </w:style>
  <w:style w:type="character" w:customStyle="1" w:styleId="119">
    <w:name w:val="页脚 Char1"/>
    <w:autoRedefine/>
    <w:qFormat/>
    <w:locked/>
    <w:uiPriority w:val="0"/>
    <w:rPr>
      <w:kern w:val="2"/>
      <w:sz w:val="18"/>
      <w:szCs w:val="18"/>
    </w:rPr>
  </w:style>
  <w:style w:type="character" w:customStyle="1" w:styleId="120">
    <w:name w:val="bds_more8"/>
    <w:basedOn w:val="52"/>
    <w:autoRedefine/>
    <w:qFormat/>
    <w:uiPriority w:val="0"/>
    <w:rPr>
      <w:rFonts w:hint="default" w:ascii="Times New Roman" w:hAnsi="Times New Roman" w:eastAsia="宋体" w:cs="Times New Roman"/>
    </w:rPr>
  </w:style>
  <w:style w:type="character" w:customStyle="1" w:styleId="121">
    <w:name w:val="批注主题 Char"/>
    <w:basedOn w:val="118"/>
    <w:link w:val="48"/>
    <w:autoRedefine/>
    <w:qFormat/>
    <w:uiPriority w:val="0"/>
    <w:rPr>
      <w:b/>
      <w:bCs/>
    </w:rPr>
  </w:style>
  <w:style w:type="character" w:customStyle="1" w:styleId="122">
    <w:name w:val="日期 Char"/>
    <w:basedOn w:val="52"/>
    <w:link w:val="29"/>
    <w:autoRedefine/>
    <w:qFormat/>
    <w:uiPriority w:val="0"/>
    <w:rPr>
      <w:kern w:val="2"/>
      <w:sz w:val="24"/>
    </w:rPr>
  </w:style>
  <w:style w:type="character" w:customStyle="1" w:styleId="123">
    <w:name w:val="bds_more9"/>
    <w:basedOn w:val="52"/>
    <w:autoRedefine/>
    <w:qFormat/>
    <w:uiPriority w:val="0"/>
    <w:rPr>
      <w:rFonts w:hint="default" w:ascii="Times New Roman" w:hAnsi="Times New Roman" w:eastAsia="宋体" w:cs="Times New Roman"/>
    </w:rPr>
  </w:style>
  <w:style w:type="character" w:customStyle="1" w:styleId="124">
    <w:name w:val="sidecatalog-dot"/>
    <w:basedOn w:val="52"/>
    <w:autoRedefine/>
    <w:qFormat/>
    <w:uiPriority w:val="0"/>
    <w:rPr>
      <w:rFonts w:hint="default" w:ascii="Times New Roman" w:hAnsi="Times New Roman" w:eastAsia="宋体" w:cs="Times New Roman"/>
    </w:rPr>
  </w:style>
  <w:style w:type="character" w:customStyle="1" w:styleId="125">
    <w:name w:val="正文文本 Char"/>
    <w:link w:val="20"/>
    <w:autoRedefine/>
    <w:qFormat/>
    <w:locked/>
    <w:uiPriority w:val="0"/>
    <w:rPr>
      <w:rFonts w:eastAsia="宋体"/>
      <w:kern w:val="2"/>
      <w:sz w:val="21"/>
      <w:szCs w:val="24"/>
      <w:lang w:val="en-US" w:eastAsia="zh-CN" w:bidi="ar-SA"/>
    </w:rPr>
  </w:style>
  <w:style w:type="character" w:customStyle="1" w:styleId="126">
    <w:name w:val="p0 Char Char"/>
    <w:link w:val="127"/>
    <w:autoRedefine/>
    <w:qFormat/>
    <w:uiPriority w:val="0"/>
    <w:rPr>
      <w:rFonts w:eastAsia="宋体"/>
      <w:sz w:val="21"/>
      <w:szCs w:val="21"/>
      <w:lang w:val="en-US" w:eastAsia="zh-CN" w:bidi="ar-SA"/>
    </w:rPr>
  </w:style>
  <w:style w:type="paragraph" w:customStyle="1" w:styleId="127">
    <w:name w:val="p0"/>
    <w:basedOn w:val="1"/>
    <w:link w:val="126"/>
    <w:autoRedefine/>
    <w:qFormat/>
    <w:uiPriority w:val="0"/>
    <w:pPr>
      <w:widowControl/>
    </w:pPr>
    <w:rPr>
      <w:kern w:val="0"/>
      <w:szCs w:val="21"/>
    </w:rPr>
  </w:style>
  <w:style w:type="character" w:customStyle="1" w:styleId="128">
    <w:name w:val="正文文本 2 Char"/>
    <w:basedOn w:val="52"/>
    <w:link w:val="43"/>
    <w:autoRedefine/>
    <w:qFormat/>
    <w:uiPriority w:val="0"/>
    <w:rPr>
      <w:kern w:val="2"/>
      <w:sz w:val="21"/>
      <w:szCs w:val="24"/>
    </w:rPr>
  </w:style>
  <w:style w:type="character" w:customStyle="1" w:styleId="129">
    <w:name w:val="日期 Char1"/>
    <w:autoRedefine/>
    <w:qFormat/>
    <w:locked/>
    <w:uiPriority w:val="0"/>
    <w:rPr>
      <w:kern w:val="2"/>
      <w:sz w:val="24"/>
    </w:rPr>
  </w:style>
  <w:style w:type="character" w:customStyle="1" w:styleId="130">
    <w:name w:val="批注主题 Char1"/>
    <w:autoRedefine/>
    <w:qFormat/>
    <w:locked/>
    <w:uiPriority w:val="0"/>
    <w:rPr>
      <w:b/>
      <w:bCs/>
      <w:kern w:val="2"/>
      <w:sz w:val="21"/>
      <w:szCs w:val="24"/>
    </w:rPr>
  </w:style>
  <w:style w:type="character" w:customStyle="1" w:styleId="131">
    <w:name w:val="样式21 Char Char"/>
    <w:basedOn w:val="52"/>
    <w:link w:val="132"/>
    <w:autoRedefine/>
    <w:qFormat/>
    <w:uiPriority w:val="0"/>
    <w:rPr>
      <w:rFonts w:ascii="宋体" w:hAnsi="宋体"/>
      <w:color w:val="000000"/>
      <w:kern w:val="2"/>
      <w:sz w:val="21"/>
      <w:szCs w:val="24"/>
      <w:lang w:bidi="ar-SA"/>
    </w:rPr>
  </w:style>
  <w:style w:type="paragraph" w:customStyle="1" w:styleId="132">
    <w:name w:val="样式21"/>
    <w:basedOn w:val="1"/>
    <w:link w:val="131"/>
    <w:autoRedefine/>
    <w:qFormat/>
    <w:uiPriority w:val="0"/>
    <w:pPr>
      <w:spacing w:line="400" w:lineRule="exact"/>
      <w:ind w:firstLine="200" w:firstLineChars="200"/>
    </w:pPr>
    <w:rPr>
      <w:rFonts w:ascii="宋体" w:hAnsi="宋体" w:eastAsia="Times New Roman"/>
      <w:color w:val="000000"/>
    </w:rPr>
  </w:style>
  <w:style w:type="character" w:customStyle="1" w:styleId="133">
    <w:name w:val="lemmatitleh12"/>
    <w:basedOn w:val="52"/>
    <w:autoRedefine/>
    <w:qFormat/>
    <w:uiPriority w:val="0"/>
    <w:rPr>
      <w:rFonts w:hint="default" w:ascii="Times New Roman" w:hAnsi="Times New Roman" w:eastAsia="宋体" w:cs="Times New Roman"/>
    </w:rPr>
  </w:style>
  <w:style w:type="character" w:customStyle="1" w:styleId="134">
    <w:name w:val="文档结构图 Char"/>
    <w:basedOn w:val="52"/>
    <w:link w:val="16"/>
    <w:autoRedefine/>
    <w:qFormat/>
    <w:uiPriority w:val="0"/>
    <w:rPr>
      <w:kern w:val="2"/>
      <w:sz w:val="21"/>
      <w:szCs w:val="24"/>
      <w:shd w:val="clear" w:color="auto" w:fill="000080"/>
    </w:rPr>
  </w:style>
  <w:style w:type="character" w:customStyle="1" w:styleId="135">
    <w:name w:val="标题 1 Char1"/>
    <w:autoRedefine/>
    <w:qFormat/>
    <w:locked/>
    <w:uiPriority w:val="0"/>
    <w:rPr>
      <w:b/>
      <w:bCs/>
      <w:kern w:val="2"/>
      <w:sz w:val="24"/>
    </w:rPr>
  </w:style>
  <w:style w:type="character" w:customStyle="1" w:styleId="136">
    <w:name w:val="Char Char13"/>
    <w:basedOn w:val="52"/>
    <w:autoRedefine/>
    <w:qFormat/>
    <w:uiPriority w:val="0"/>
    <w:rPr>
      <w:rFonts w:hint="eastAsia" w:ascii="宋体" w:hAnsi="宋体" w:eastAsia="宋体"/>
      <w:kern w:val="2"/>
      <w:sz w:val="21"/>
      <w:szCs w:val="24"/>
      <w:lang w:val="en-US" w:eastAsia="zh-CN" w:bidi="ar-SA"/>
    </w:rPr>
  </w:style>
  <w:style w:type="character" w:customStyle="1" w:styleId="137">
    <w:name w:val="Char Char14"/>
    <w:basedOn w:val="52"/>
    <w:autoRedefine/>
    <w:qFormat/>
    <w:uiPriority w:val="0"/>
    <w:rPr>
      <w:rFonts w:hint="default" w:ascii="Arial" w:hAnsi="Arial" w:eastAsia="黑体" w:cs="Arial"/>
      <w:b/>
      <w:bCs/>
      <w:sz w:val="28"/>
      <w:szCs w:val="28"/>
      <w:lang w:val="en-US" w:eastAsia="zh-CN" w:bidi="ar-SA"/>
    </w:rPr>
  </w:style>
  <w:style w:type="character" w:customStyle="1" w:styleId="138">
    <w:name w:val="正文文本缩进 Char"/>
    <w:basedOn w:val="52"/>
    <w:link w:val="21"/>
    <w:autoRedefine/>
    <w:qFormat/>
    <w:uiPriority w:val="0"/>
    <w:rPr>
      <w:kern w:val="2"/>
      <w:sz w:val="21"/>
      <w:szCs w:val="24"/>
    </w:rPr>
  </w:style>
  <w:style w:type="character" w:customStyle="1" w:styleId="139">
    <w:name w:val="Char Char16"/>
    <w:basedOn w:val="52"/>
    <w:autoRedefine/>
    <w:qFormat/>
    <w:uiPriority w:val="0"/>
    <w:rPr>
      <w:rFonts w:hint="eastAsia" w:ascii="宋体" w:hAnsi="Times New Roman" w:eastAsia="宋体"/>
      <w:b/>
      <w:sz w:val="24"/>
      <w:lang w:val="en-US" w:eastAsia="zh-CN" w:bidi="ar-SA"/>
    </w:rPr>
  </w:style>
  <w:style w:type="character" w:customStyle="1" w:styleId="140">
    <w:name w:val="标题 5 Char1"/>
    <w:autoRedefine/>
    <w:semiHidden/>
    <w:qFormat/>
    <w:locked/>
    <w:uiPriority w:val="0"/>
    <w:rPr>
      <w:b/>
      <w:bCs/>
      <w:sz w:val="28"/>
      <w:szCs w:val="28"/>
    </w:rPr>
  </w:style>
  <w:style w:type="character" w:customStyle="1" w:styleId="141">
    <w:name w:val="bds_more6"/>
    <w:basedOn w:val="52"/>
    <w:autoRedefine/>
    <w:qFormat/>
    <w:uiPriority w:val="0"/>
    <w:rPr>
      <w:rFonts w:hint="eastAsia" w:ascii="宋体" w:hAnsi="宋体" w:eastAsia="宋体" w:cs="宋体"/>
    </w:rPr>
  </w:style>
  <w:style w:type="character" w:customStyle="1" w:styleId="142">
    <w:name w:val="bds_nopic"/>
    <w:basedOn w:val="52"/>
    <w:autoRedefine/>
    <w:qFormat/>
    <w:uiPriority w:val="0"/>
    <w:rPr>
      <w:rFonts w:hint="default" w:ascii="Times New Roman" w:hAnsi="Times New Roman" w:eastAsia="宋体" w:cs="Times New Roman"/>
    </w:rPr>
  </w:style>
  <w:style w:type="character" w:customStyle="1" w:styleId="143">
    <w:name w:val="标题 4 Char1"/>
    <w:autoRedefine/>
    <w:semiHidden/>
    <w:qFormat/>
    <w:locked/>
    <w:uiPriority w:val="0"/>
    <w:rPr>
      <w:rFonts w:ascii="Arial" w:hAnsi="Arial" w:eastAsia="黑体"/>
      <w:b/>
      <w:bCs/>
      <w:kern w:val="2"/>
      <w:sz w:val="28"/>
      <w:szCs w:val="28"/>
    </w:rPr>
  </w:style>
  <w:style w:type="character" w:customStyle="1" w:styleId="144">
    <w:name w:val="标题 6 Char"/>
    <w:basedOn w:val="52"/>
    <w:link w:val="7"/>
    <w:autoRedefine/>
    <w:qFormat/>
    <w:uiPriority w:val="0"/>
    <w:rPr>
      <w:rFonts w:ascii="Arial" w:hAnsi="Arial" w:eastAsia="黑体"/>
      <w:b/>
      <w:bCs/>
      <w:sz w:val="24"/>
      <w:szCs w:val="24"/>
    </w:rPr>
  </w:style>
  <w:style w:type="character" w:customStyle="1" w:styleId="145">
    <w:name w:val="Char Char15"/>
    <w:autoRedefine/>
    <w:qFormat/>
    <w:uiPriority w:val="0"/>
    <w:rPr>
      <w:b/>
      <w:bCs/>
      <w:sz w:val="24"/>
      <w:szCs w:val="24"/>
    </w:rPr>
  </w:style>
  <w:style w:type="character" w:customStyle="1" w:styleId="146">
    <w:name w:val="样式2 Char Char"/>
    <w:autoRedefine/>
    <w:qFormat/>
    <w:uiPriority w:val="0"/>
    <w:rPr>
      <w:rFonts w:hint="eastAsia" w:ascii="宋体" w:hAnsi="宋体" w:eastAsia="宋体"/>
      <w:kern w:val="2"/>
      <w:sz w:val="18"/>
      <w:szCs w:val="18"/>
      <w:lang w:val="en-US" w:eastAsia="zh-CN" w:bidi="ar-SA"/>
    </w:rPr>
  </w:style>
  <w:style w:type="character" w:customStyle="1" w:styleId="147">
    <w:name w:val="标题 8 Char"/>
    <w:basedOn w:val="52"/>
    <w:link w:val="9"/>
    <w:autoRedefine/>
    <w:qFormat/>
    <w:uiPriority w:val="0"/>
    <w:rPr>
      <w:rFonts w:ascii="Arial" w:hAnsi="Arial" w:eastAsia="黑体"/>
      <w:sz w:val="24"/>
      <w:szCs w:val="24"/>
    </w:rPr>
  </w:style>
  <w:style w:type="character" w:customStyle="1" w:styleId="148">
    <w:name w:val="标题 9 Char1"/>
    <w:autoRedefine/>
    <w:semiHidden/>
    <w:qFormat/>
    <w:locked/>
    <w:uiPriority w:val="0"/>
    <w:rPr>
      <w:rFonts w:ascii="Arial" w:hAnsi="Arial" w:eastAsia="黑体"/>
      <w:sz w:val="21"/>
      <w:szCs w:val="21"/>
    </w:rPr>
  </w:style>
  <w:style w:type="character" w:customStyle="1" w:styleId="149">
    <w:name w:val="正文文本缩进 3 Char1"/>
    <w:autoRedefine/>
    <w:qFormat/>
    <w:locked/>
    <w:uiPriority w:val="0"/>
    <w:rPr>
      <w:kern w:val="2"/>
      <w:sz w:val="16"/>
      <w:szCs w:val="16"/>
    </w:rPr>
  </w:style>
  <w:style w:type="character" w:customStyle="1" w:styleId="150">
    <w:name w:val="批注框文本 Char"/>
    <w:basedOn w:val="52"/>
    <w:link w:val="31"/>
    <w:autoRedefine/>
    <w:qFormat/>
    <w:uiPriority w:val="0"/>
    <w:rPr>
      <w:kern w:val="2"/>
      <w:sz w:val="18"/>
      <w:szCs w:val="18"/>
    </w:rPr>
  </w:style>
  <w:style w:type="character" w:customStyle="1" w:styleId="151">
    <w:name w:val="desc"/>
    <w:basedOn w:val="52"/>
    <w:autoRedefine/>
    <w:qFormat/>
    <w:uiPriority w:val="0"/>
    <w:rPr>
      <w:rFonts w:hint="default" w:ascii="Times New Roman" w:hAnsi="Times New Roman" w:eastAsia="宋体" w:cs="Times New Roman"/>
      <w:color w:val="000000"/>
      <w:sz w:val="18"/>
      <w:szCs w:val="18"/>
    </w:rPr>
  </w:style>
  <w:style w:type="character" w:customStyle="1" w:styleId="152">
    <w:name w:val="副标题 Char"/>
    <w:basedOn w:val="52"/>
    <w:link w:val="37"/>
    <w:autoRedefine/>
    <w:qFormat/>
    <w:uiPriority w:val="0"/>
    <w:rPr>
      <w:rFonts w:ascii="Cambria" w:hAnsi="Cambria" w:cs="黑体"/>
      <w:b/>
      <w:bCs/>
      <w:kern w:val="28"/>
      <w:sz w:val="28"/>
      <w:szCs w:val="28"/>
    </w:rPr>
  </w:style>
  <w:style w:type="character" w:customStyle="1" w:styleId="153">
    <w:name w:val="Font Style127"/>
    <w:basedOn w:val="52"/>
    <w:autoRedefine/>
    <w:qFormat/>
    <w:uiPriority w:val="0"/>
    <w:rPr>
      <w:rFonts w:hint="default" w:ascii="Times New Roman" w:hAnsi="Times New Roman" w:eastAsia="Times New Roman" w:cs="Times New Roman"/>
      <w:sz w:val="20"/>
    </w:rPr>
  </w:style>
  <w:style w:type="character" w:customStyle="1" w:styleId="154">
    <w:name w:val="bds_more7"/>
    <w:basedOn w:val="52"/>
    <w:autoRedefine/>
    <w:qFormat/>
    <w:uiPriority w:val="0"/>
    <w:rPr>
      <w:rFonts w:hint="default" w:ascii="Times New Roman" w:hAnsi="Times New Roman" w:eastAsia="宋体" w:cs="Times New Roman"/>
    </w:rPr>
  </w:style>
  <w:style w:type="character" w:customStyle="1" w:styleId="155">
    <w:name w:val="HTML 预设格式 Char"/>
    <w:basedOn w:val="52"/>
    <w:link w:val="44"/>
    <w:autoRedefine/>
    <w:qFormat/>
    <w:uiPriority w:val="0"/>
    <w:rPr>
      <w:rFonts w:ascii="Arial" w:hAnsi="Arial" w:cs="Arial"/>
      <w:sz w:val="24"/>
      <w:szCs w:val="24"/>
    </w:rPr>
  </w:style>
  <w:style w:type="character" w:customStyle="1" w:styleId="156">
    <w:name w:val="页脚 Char"/>
    <w:link w:val="32"/>
    <w:autoRedefine/>
    <w:qFormat/>
    <w:uiPriority w:val="0"/>
    <w:rPr>
      <w:rFonts w:eastAsia="宋体"/>
      <w:kern w:val="2"/>
      <w:sz w:val="18"/>
      <w:szCs w:val="18"/>
      <w:lang w:val="en-US" w:eastAsia="zh-CN" w:bidi="ar-SA"/>
    </w:rPr>
  </w:style>
  <w:style w:type="character" w:customStyle="1" w:styleId="157">
    <w:name w:val="标题 4 Char Char"/>
    <w:autoRedefine/>
    <w:qFormat/>
    <w:uiPriority w:val="0"/>
    <w:rPr>
      <w:rFonts w:hint="default" w:ascii="Arial" w:hAnsi="Arial" w:eastAsia="宋体" w:cs="Arial"/>
      <w:b/>
      <w:bCs/>
      <w:kern w:val="2"/>
      <w:sz w:val="21"/>
      <w:szCs w:val="28"/>
      <w:lang w:val="en-US" w:eastAsia="zh-CN" w:bidi="ar-SA"/>
    </w:rPr>
  </w:style>
  <w:style w:type="character" w:customStyle="1" w:styleId="158">
    <w:name w:val="标题 1 Char"/>
    <w:link w:val="3"/>
    <w:autoRedefine/>
    <w:qFormat/>
    <w:uiPriority w:val="0"/>
    <w:rPr>
      <w:rFonts w:eastAsia="宋体"/>
      <w:b/>
      <w:bCs/>
      <w:kern w:val="2"/>
      <w:sz w:val="24"/>
      <w:lang w:val="en-US" w:eastAsia="zh-CN" w:bidi="ar-SA"/>
    </w:rPr>
  </w:style>
  <w:style w:type="character" w:customStyle="1" w:styleId="159">
    <w:name w:val="标题 2 Char"/>
    <w:basedOn w:val="52"/>
    <w:link w:val="4"/>
    <w:autoRedefine/>
    <w:qFormat/>
    <w:uiPriority w:val="0"/>
    <w:rPr>
      <w:rFonts w:ascii="Arial" w:hAnsi="Arial"/>
      <w:b/>
      <w:bCs/>
      <w:kern w:val="2"/>
      <w:sz w:val="24"/>
      <w:szCs w:val="32"/>
    </w:rPr>
  </w:style>
  <w:style w:type="character" w:customStyle="1" w:styleId="160">
    <w:name w:val="bds_nopic2"/>
    <w:basedOn w:val="52"/>
    <w:autoRedefine/>
    <w:qFormat/>
    <w:uiPriority w:val="0"/>
    <w:rPr>
      <w:rFonts w:hint="default" w:ascii="Times New Roman" w:hAnsi="Times New Roman" w:eastAsia="宋体" w:cs="Times New Roman"/>
    </w:rPr>
  </w:style>
  <w:style w:type="character" w:customStyle="1" w:styleId="161">
    <w:name w:val="标题 2 Char1"/>
    <w:autoRedefine/>
    <w:semiHidden/>
    <w:qFormat/>
    <w:locked/>
    <w:uiPriority w:val="0"/>
    <w:rPr>
      <w:rFonts w:ascii="Arial" w:hAnsi="Arial"/>
      <w:b/>
      <w:bCs/>
      <w:kern w:val="2"/>
      <w:sz w:val="24"/>
      <w:szCs w:val="32"/>
    </w:rPr>
  </w:style>
  <w:style w:type="character" w:customStyle="1" w:styleId="162">
    <w:name w:val="标题 Char"/>
    <w:link w:val="47"/>
    <w:autoRedefine/>
    <w:qFormat/>
    <w:uiPriority w:val="0"/>
    <w:rPr>
      <w:rFonts w:ascii="Cambria" w:hAnsi="Cambria" w:eastAsia="宋体"/>
      <w:b/>
      <w:bCs/>
      <w:kern w:val="2"/>
      <w:sz w:val="32"/>
      <w:szCs w:val="32"/>
      <w:lang w:val="en-US" w:eastAsia="zh-CN" w:bidi="ar-SA"/>
    </w:rPr>
  </w:style>
  <w:style w:type="character" w:customStyle="1" w:styleId="163">
    <w:name w:val="Font Style126"/>
    <w:basedOn w:val="52"/>
    <w:autoRedefine/>
    <w:qFormat/>
    <w:uiPriority w:val="0"/>
    <w:rPr>
      <w:rFonts w:hint="eastAsia" w:ascii="宋体" w:hAnsi="宋体" w:eastAsia="宋体"/>
      <w:b/>
      <w:spacing w:val="-30"/>
      <w:sz w:val="28"/>
    </w:rPr>
  </w:style>
  <w:style w:type="character" w:customStyle="1" w:styleId="164">
    <w:name w:val="Font Style121"/>
    <w:basedOn w:val="52"/>
    <w:autoRedefine/>
    <w:qFormat/>
    <w:uiPriority w:val="0"/>
    <w:rPr>
      <w:rFonts w:hint="eastAsia" w:ascii="宋体" w:hAnsi="宋体" w:eastAsia="宋体"/>
      <w:spacing w:val="-10"/>
      <w:sz w:val="30"/>
    </w:rPr>
  </w:style>
  <w:style w:type="character" w:customStyle="1" w:styleId="165">
    <w:name w:val="bds_more10"/>
    <w:basedOn w:val="52"/>
    <w:autoRedefine/>
    <w:qFormat/>
    <w:uiPriority w:val="0"/>
    <w:rPr>
      <w:rFonts w:hint="default" w:ascii="Times New Roman" w:hAnsi="Times New Roman" w:eastAsia="宋体" w:cs="Times New Roman"/>
    </w:rPr>
  </w:style>
  <w:style w:type="character" w:customStyle="1" w:styleId="166">
    <w:name w:val="Char Char6"/>
    <w:autoRedefine/>
    <w:qFormat/>
    <w:uiPriority w:val="0"/>
    <w:rPr>
      <w:rFonts w:hint="default" w:ascii="Arial" w:hAnsi="Arial" w:eastAsia="黑体" w:cs="Arial"/>
      <w:sz w:val="24"/>
      <w:szCs w:val="24"/>
      <w:lang w:val="en-US" w:eastAsia="zh-CN" w:bidi="ar-SA"/>
    </w:rPr>
  </w:style>
  <w:style w:type="character" w:customStyle="1" w:styleId="167">
    <w:name w:val="Char Char Char Char Char"/>
    <w:autoRedefine/>
    <w:qFormat/>
    <w:uiPriority w:val="0"/>
    <w:rPr>
      <w:rFonts w:eastAsia="宋体"/>
      <w:kern w:val="2"/>
      <w:sz w:val="16"/>
      <w:szCs w:val="16"/>
      <w:lang w:val="en-US" w:eastAsia="zh-CN" w:bidi="ar-SA"/>
    </w:rPr>
  </w:style>
  <w:style w:type="character" w:customStyle="1" w:styleId="168">
    <w:name w:val="页眉 Char"/>
    <w:link w:val="34"/>
    <w:autoRedefine/>
    <w:qFormat/>
    <w:uiPriority w:val="0"/>
    <w:rPr>
      <w:rFonts w:eastAsia="宋体"/>
      <w:kern w:val="2"/>
      <w:sz w:val="18"/>
      <w:szCs w:val="18"/>
      <w:lang w:val="en-US" w:eastAsia="zh-CN" w:bidi="ar-SA"/>
    </w:rPr>
  </w:style>
  <w:style w:type="character" w:customStyle="1" w:styleId="169">
    <w:name w:val="Font Style125"/>
    <w:basedOn w:val="52"/>
    <w:autoRedefine/>
    <w:qFormat/>
    <w:uiPriority w:val="0"/>
    <w:rPr>
      <w:rFonts w:hint="eastAsia" w:ascii="宋体" w:hAnsi="宋体" w:eastAsia="宋体"/>
      <w:b/>
      <w:sz w:val="26"/>
    </w:rPr>
  </w:style>
  <w:style w:type="character" w:customStyle="1" w:styleId="170">
    <w:name w:val="Font Style131"/>
    <w:basedOn w:val="52"/>
    <w:autoRedefine/>
    <w:qFormat/>
    <w:uiPriority w:val="0"/>
    <w:rPr>
      <w:rFonts w:hint="default" w:ascii="Times New Roman" w:hAnsi="Times New Roman" w:eastAsia="Times New Roman" w:cs="Times New Roman"/>
      <w:sz w:val="18"/>
    </w:rPr>
  </w:style>
  <w:style w:type="character" w:customStyle="1" w:styleId="171">
    <w:name w:val="Font Style119"/>
    <w:basedOn w:val="52"/>
    <w:autoRedefine/>
    <w:qFormat/>
    <w:uiPriority w:val="0"/>
    <w:rPr>
      <w:rFonts w:hint="eastAsia" w:ascii="宋体" w:hAnsi="宋体" w:eastAsia="宋体"/>
      <w:sz w:val="24"/>
    </w:rPr>
  </w:style>
  <w:style w:type="character" w:customStyle="1" w:styleId="172">
    <w:name w:val="标题 5 Char"/>
    <w:basedOn w:val="52"/>
    <w:link w:val="6"/>
    <w:autoRedefine/>
    <w:qFormat/>
    <w:uiPriority w:val="0"/>
    <w:rPr>
      <w:b/>
      <w:bCs/>
      <w:sz w:val="28"/>
      <w:szCs w:val="28"/>
    </w:rPr>
  </w:style>
  <w:style w:type="character" w:customStyle="1" w:styleId="173">
    <w:name w:val="批注框文本 Char1"/>
    <w:autoRedefine/>
    <w:qFormat/>
    <w:locked/>
    <w:uiPriority w:val="0"/>
    <w:rPr>
      <w:rFonts w:hint="default" w:ascii="Calibri" w:hAnsi="Calibri"/>
      <w:kern w:val="2"/>
      <w:sz w:val="18"/>
      <w:szCs w:val="18"/>
    </w:rPr>
  </w:style>
  <w:style w:type="character" w:customStyle="1" w:styleId="174">
    <w:name w:val="font91"/>
    <w:basedOn w:val="52"/>
    <w:autoRedefine/>
    <w:qFormat/>
    <w:uiPriority w:val="0"/>
    <w:rPr>
      <w:rFonts w:ascii="Arial" w:hAnsi="Arial" w:cs="Arial"/>
      <w:color w:val="000000"/>
      <w:sz w:val="20"/>
      <w:szCs w:val="20"/>
      <w:u w:val="none"/>
    </w:rPr>
  </w:style>
  <w:style w:type="character" w:customStyle="1" w:styleId="175">
    <w:name w:val="Char Char Char Char Char Char"/>
    <w:autoRedefine/>
    <w:qFormat/>
    <w:uiPriority w:val="0"/>
    <w:rPr>
      <w:rFonts w:hint="default" w:eastAsia="宋体"/>
      <w:kern w:val="2"/>
      <w:sz w:val="16"/>
      <w:lang w:val="en-US" w:eastAsia="zh-CN"/>
    </w:rPr>
  </w:style>
  <w:style w:type="character" w:customStyle="1" w:styleId="176">
    <w:name w:val="正文文本缩进 2 Char"/>
    <w:basedOn w:val="52"/>
    <w:link w:val="30"/>
    <w:autoRedefine/>
    <w:qFormat/>
    <w:uiPriority w:val="0"/>
    <w:rPr>
      <w:kern w:val="2"/>
      <w:sz w:val="21"/>
      <w:szCs w:val="24"/>
    </w:rPr>
  </w:style>
  <w:style w:type="character" w:customStyle="1" w:styleId="177">
    <w:name w:val="Font Style117"/>
    <w:basedOn w:val="52"/>
    <w:autoRedefine/>
    <w:qFormat/>
    <w:uiPriority w:val="0"/>
    <w:rPr>
      <w:rFonts w:hint="eastAsia" w:ascii="宋体" w:hAnsi="宋体" w:eastAsia="宋体"/>
      <w:spacing w:val="20"/>
      <w:sz w:val="24"/>
    </w:rPr>
  </w:style>
  <w:style w:type="paragraph" w:customStyle="1" w:styleId="178">
    <w:name w:val="Char1 Char Char Char"/>
    <w:basedOn w:val="1"/>
    <w:autoRedefine/>
    <w:qFormat/>
    <w:uiPriority w:val="0"/>
    <w:pPr>
      <w:widowControl/>
      <w:spacing w:after="160" w:line="240" w:lineRule="exact"/>
      <w:jc w:val="left"/>
    </w:pPr>
    <w:rPr>
      <w:kern w:val="0"/>
      <w:sz w:val="24"/>
      <w:szCs w:val="20"/>
    </w:rPr>
  </w:style>
  <w:style w:type="paragraph" w:customStyle="1" w:styleId="179">
    <w:name w:val="Style60"/>
    <w:basedOn w:val="1"/>
    <w:autoRedefine/>
    <w:qFormat/>
    <w:uiPriority w:val="0"/>
    <w:pPr>
      <w:spacing w:line="566" w:lineRule="exact"/>
    </w:pPr>
  </w:style>
  <w:style w:type="paragraph" w:customStyle="1" w:styleId="180">
    <w:name w:val="MM Topic 1"/>
    <w:basedOn w:val="3"/>
    <w:autoRedefine/>
    <w:qFormat/>
    <w:uiPriority w:val="0"/>
    <w:pPr>
      <w:keepLines/>
      <w:tabs>
        <w:tab w:val="left" w:pos="1320"/>
      </w:tabs>
      <w:spacing w:before="340" w:after="330" w:line="578" w:lineRule="auto"/>
      <w:ind w:left="1320" w:hanging="720"/>
      <w:jc w:val="both"/>
    </w:pPr>
    <w:rPr>
      <w:kern w:val="44"/>
      <w:sz w:val="44"/>
      <w:szCs w:val="44"/>
    </w:rPr>
  </w:style>
  <w:style w:type="paragraph" w:customStyle="1" w:styleId="181">
    <w:name w:val="Style47"/>
    <w:basedOn w:val="1"/>
    <w:autoRedefine/>
    <w:qFormat/>
    <w:uiPriority w:val="0"/>
  </w:style>
  <w:style w:type="paragraph" w:customStyle="1" w:styleId="182">
    <w:name w:val="Style64"/>
    <w:basedOn w:val="1"/>
    <w:autoRedefine/>
    <w:qFormat/>
    <w:uiPriority w:val="0"/>
  </w:style>
  <w:style w:type="paragraph" w:customStyle="1" w:styleId="183">
    <w:name w:val="Style72"/>
    <w:basedOn w:val="1"/>
    <w:autoRedefine/>
    <w:qFormat/>
    <w:uiPriority w:val="0"/>
  </w:style>
  <w:style w:type="paragraph" w:customStyle="1" w:styleId="184">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5">
    <w:name w:val="Style45"/>
    <w:basedOn w:val="1"/>
    <w:autoRedefine/>
    <w:qFormat/>
    <w:uiPriority w:val="0"/>
  </w:style>
  <w:style w:type="paragraph" w:customStyle="1" w:styleId="186">
    <w:name w:val="p16"/>
    <w:basedOn w:val="1"/>
    <w:autoRedefine/>
    <w:qFormat/>
    <w:uiPriority w:val="0"/>
    <w:pPr>
      <w:widowControl/>
      <w:jc w:val="left"/>
    </w:pPr>
    <w:rPr>
      <w:kern w:val="0"/>
      <w:szCs w:val="21"/>
    </w:rPr>
  </w:style>
  <w:style w:type="paragraph" w:customStyle="1" w:styleId="187">
    <w:name w:val="附录标识"/>
    <w:basedOn w:val="188"/>
    <w:autoRedefine/>
    <w:qFormat/>
    <w:uiPriority w:val="0"/>
    <w:pPr>
      <w:tabs>
        <w:tab w:val="left" w:pos="360"/>
        <w:tab w:val="left" w:pos="720"/>
        <w:tab w:val="left" w:pos="6405"/>
      </w:tabs>
      <w:spacing w:after="200"/>
    </w:pPr>
    <w:rPr>
      <w:sz w:val="21"/>
    </w:rPr>
  </w:style>
  <w:style w:type="paragraph" w:customStyle="1" w:styleId="188">
    <w:name w:val="前言、引言标题"/>
    <w:next w:val="1"/>
    <w:autoRedefine/>
    <w:qFormat/>
    <w:uiPriority w:val="0"/>
    <w:pPr>
      <w:shd w:val="clear" w:color="auto" w:fill="FFFFFF"/>
      <w:tabs>
        <w:tab w:val="left" w:pos="360"/>
        <w:tab w:val="left" w:pos="720"/>
      </w:tabs>
      <w:spacing w:before="640" w:after="560"/>
      <w:ind w:left="720" w:hanging="720"/>
      <w:jc w:val="center"/>
      <w:outlineLvl w:val="0"/>
    </w:pPr>
    <w:rPr>
      <w:rFonts w:ascii="黑体" w:hAnsi="Calibri" w:eastAsia="黑体" w:cs="Times New Roman"/>
      <w:sz w:val="32"/>
      <w:lang w:val="en-US" w:eastAsia="zh-CN" w:bidi="ar-SA"/>
    </w:rPr>
  </w:style>
  <w:style w:type="paragraph" w:customStyle="1" w:styleId="189">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0">
    <w:name w:val="Char1 Char Char Char 字元 Char Char 字元 Char 字元 Char1 Char Char Char"/>
    <w:basedOn w:val="1"/>
    <w:autoRedefine/>
    <w:qFormat/>
    <w:uiPriority w:val="0"/>
    <w:rPr>
      <w:szCs w:val="20"/>
    </w:rPr>
  </w:style>
  <w:style w:type="paragraph" w:customStyle="1" w:styleId="191">
    <w:name w:val="Style21"/>
    <w:basedOn w:val="1"/>
    <w:autoRedefine/>
    <w:qFormat/>
    <w:uiPriority w:val="0"/>
    <w:pPr>
      <w:spacing w:line="566" w:lineRule="exact"/>
      <w:ind w:firstLine="682"/>
    </w:pPr>
  </w:style>
  <w:style w:type="paragraph" w:customStyle="1" w:styleId="192">
    <w:name w:val="Char"/>
    <w:basedOn w:val="1"/>
    <w:autoRedefine/>
    <w:qFormat/>
    <w:uiPriority w:val="0"/>
    <w:pPr>
      <w:tabs>
        <w:tab w:val="left" w:pos="360"/>
      </w:tabs>
      <w:ind w:left="360" w:hanging="360" w:hangingChars="200"/>
    </w:pPr>
    <w:rPr>
      <w:sz w:val="24"/>
    </w:rPr>
  </w:style>
  <w:style w:type="paragraph" w:customStyle="1" w:styleId="193">
    <w:name w:val="表格内容"/>
    <w:basedOn w:val="20"/>
    <w:autoRedefine/>
    <w:qFormat/>
    <w:uiPriority w:val="0"/>
    <w:pPr>
      <w:suppressLineNumbers/>
      <w:suppressAutoHyphens/>
      <w:jc w:val="left"/>
    </w:pPr>
    <w:rPr>
      <w:rFonts w:cs="Tahoma"/>
      <w:kern w:val="0"/>
      <w:sz w:val="24"/>
    </w:rPr>
  </w:style>
  <w:style w:type="paragraph" w:customStyle="1" w:styleId="194">
    <w:name w:val="Style77"/>
    <w:basedOn w:val="1"/>
    <w:autoRedefine/>
    <w:qFormat/>
    <w:uiPriority w:val="0"/>
  </w:style>
  <w:style w:type="paragraph" w:customStyle="1" w:styleId="195">
    <w:name w:val="Char Char1 Char Char Char Char Char1 Char Char Char Char"/>
    <w:basedOn w:val="16"/>
    <w:autoRedefine/>
    <w:qFormat/>
    <w:uiPriority w:val="0"/>
    <w:rPr>
      <w:rFonts w:ascii="Tahoma" w:hAnsi="Tahoma"/>
    </w:rPr>
  </w:style>
  <w:style w:type="paragraph" w:customStyle="1" w:styleId="196">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97">
    <w:name w:val="正文 New New New"/>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8">
    <w:name w:val="Style26"/>
    <w:basedOn w:val="1"/>
    <w:autoRedefine/>
    <w:qFormat/>
    <w:uiPriority w:val="0"/>
  </w:style>
  <w:style w:type="paragraph" w:customStyle="1" w:styleId="199">
    <w:name w:val="Style63"/>
    <w:basedOn w:val="1"/>
    <w:autoRedefine/>
    <w:qFormat/>
    <w:uiPriority w:val="0"/>
    <w:pPr>
      <w:spacing w:line="564" w:lineRule="exact"/>
      <w:ind w:firstLine="682"/>
    </w:pPr>
  </w:style>
  <w:style w:type="paragraph" w:customStyle="1" w:styleId="200">
    <w:name w:val="表正文"/>
    <w:autoRedefine/>
    <w:qFormat/>
    <w:uiPriority w:val="0"/>
    <w:pPr>
      <w:widowControl w:val="0"/>
      <w:ind w:left="840" w:leftChars="350"/>
      <w:jc w:val="both"/>
      <w:outlineLvl w:val="0"/>
    </w:pPr>
    <w:rPr>
      <w:rFonts w:ascii="宋体" w:hAnsi="Calibri" w:eastAsia="宋体" w:cs="Times New Roman"/>
      <w:b/>
      <w:sz w:val="24"/>
      <w:lang w:val="en-US" w:eastAsia="zh-CN" w:bidi="ar-SA"/>
    </w:rPr>
  </w:style>
  <w:style w:type="paragraph" w:customStyle="1" w:styleId="201">
    <w:name w:val="Style52"/>
    <w:basedOn w:val="1"/>
    <w:autoRedefine/>
    <w:qFormat/>
    <w:uiPriority w:val="0"/>
    <w:pPr>
      <w:spacing w:line="682" w:lineRule="exact"/>
      <w:ind w:firstLine="557"/>
    </w:pPr>
  </w:style>
  <w:style w:type="paragraph" w:customStyle="1" w:styleId="202">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03">
    <w:name w:val="Style13"/>
    <w:basedOn w:val="1"/>
    <w:autoRedefine/>
    <w:qFormat/>
    <w:uiPriority w:val="0"/>
  </w:style>
  <w:style w:type="paragraph" w:customStyle="1" w:styleId="204">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5">
    <w:name w:val="Style27"/>
    <w:basedOn w:val="1"/>
    <w:autoRedefine/>
    <w:qFormat/>
    <w:uiPriority w:val="0"/>
  </w:style>
  <w:style w:type="paragraph" w:customStyle="1" w:styleId="206">
    <w:name w:val="Style42"/>
    <w:basedOn w:val="1"/>
    <w:autoRedefine/>
    <w:qFormat/>
    <w:uiPriority w:val="0"/>
    <w:pPr>
      <w:spacing w:line="542" w:lineRule="exact"/>
      <w:ind w:firstLine="547"/>
    </w:pPr>
  </w:style>
  <w:style w:type="paragraph" w:customStyle="1" w:styleId="207">
    <w:name w:val="NO3"/>
    <w:basedOn w:val="1"/>
    <w:autoRedefine/>
    <w:qFormat/>
    <w:uiPriority w:val="0"/>
    <w:pPr>
      <w:tabs>
        <w:tab w:val="left" w:pos="907"/>
      </w:tabs>
      <w:spacing w:line="360" w:lineRule="auto"/>
    </w:pPr>
    <w:rPr>
      <w:rFonts w:ascii="宋体" w:hAnsi="宋体"/>
      <w:sz w:val="24"/>
    </w:rPr>
  </w:style>
  <w:style w:type="paragraph" w:customStyle="1" w:styleId="208">
    <w:name w:val="Style67"/>
    <w:basedOn w:val="1"/>
    <w:autoRedefine/>
    <w:qFormat/>
    <w:uiPriority w:val="0"/>
    <w:pPr>
      <w:spacing w:line="566" w:lineRule="exact"/>
      <w:ind w:firstLine="552"/>
    </w:pPr>
  </w:style>
  <w:style w:type="paragraph" w:customStyle="1" w:styleId="20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10">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211">
    <w:name w:val="修订1"/>
    <w:autoRedefine/>
    <w:semiHidden/>
    <w:qFormat/>
    <w:uiPriority w:val="0"/>
    <w:rPr>
      <w:rFonts w:ascii="Calibri" w:hAnsi="Calibri" w:eastAsia="宋体" w:cs="Times New Roman"/>
      <w:kern w:val="2"/>
      <w:sz w:val="21"/>
      <w:szCs w:val="24"/>
      <w:lang w:val="en-US" w:eastAsia="zh-CN" w:bidi="ar-SA"/>
    </w:rPr>
  </w:style>
  <w:style w:type="paragraph" w:customStyle="1" w:styleId="212">
    <w:name w:val="Style76"/>
    <w:basedOn w:val="1"/>
    <w:autoRedefine/>
    <w:qFormat/>
    <w:uiPriority w:val="0"/>
  </w:style>
  <w:style w:type="paragraph" w:customStyle="1" w:styleId="213">
    <w:name w:val="Style71"/>
    <w:basedOn w:val="1"/>
    <w:autoRedefine/>
    <w:qFormat/>
    <w:uiPriority w:val="0"/>
    <w:pPr>
      <w:spacing w:line="538" w:lineRule="exact"/>
      <w:ind w:firstLine="101"/>
    </w:pPr>
  </w:style>
  <w:style w:type="paragraph" w:customStyle="1" w:styleId="214">
    <w:name w:val="列出段落1"/>
    <w:basedOn w:val="1"/>
    <w:autoRedefine/>
    <w:qFormat/>
    <w:uiPriority w:val="0"/>
    <w:pPr>
      <w:ind w:firstLine="420" w:firstLineChars="200"/>
    </w:pPr>
    <w:rPr>
      <w:rFonts w:cs="黑体"/>
      <w:szCs w:val="22"/>
    </w:rPr>
  </w:style>
  <w:style w:type="paragraph" w:customStyle="1" w:styleId="215">
    <w:name w:val="Style28"/>
    <w:basedOn w:val="1"/>
    <w:autoRedefine/>
    <w:qFormat/>
    <w:uiPriority w:val="0"/>
    <w:pPr>
      <w:spacing w:line="552" w:lineRule="exact"/>
      <w:ind w:firstLine="547"/>
    </w:pPr>
  </w:style>
  <w:style w:type="paragraph" w:customStyle="1" w:styleId="216">
    <w:name w:val="Style8"/>
    <w:basedOn w:val="1"/>
    <w:autoRedefine/>
    <w:qFormat/>
    <w:uiPriority w:val="0"/>
    <w:pPr>
      <w:spacing w:line="566" w:lineRule="exact"/>
      <w:jc w:val="center"/>
    </w:pPr>
  </w:style>
  <w:style w:type="paragraph" w:customStyle="1" w:styleId="217">
    <w:name w:val="列出段落2"/>
    <w:basedOn w:val="1"/>
    <w:autoRedefine/>
    <w:qFormat/>
    <w:uiPriority w:val="0"/>
    <w:pPr>
      <w:widowControl/>
      <w:ind w:firstLine="420" w:firstLineChars="200"/>
      <w:jc w:val="left"/>
    </w:pPr>
    <w:rPr>
      <w:rFonts w:ascii="宋体" w:hAnsi="宋体" w:cs="宋体"/>
      <w:kern w:val="0"/>
      <w:sz w:val="24"/>
    </w:rPr>
  </w:style>
  <w:style w:type="paragraph" w:customStyle="1" w:styleId="218">
    <w:name w:val="样式 标题 2 + Times New Roman 四号 非加粗 段前: 5 磅 段后: 0 磅 行距: 固定值 20..."/>
    <w:basedOn w:val="4"/>
    <w:autoRedefine/>
    <w:qFormat/>
    <w:uiPriority w:val="0"/>
    <w:pPr>
      <w:spacing w:before="100" w:line="400" w:lineRule="exact"/>
    </w:pPr>
    <w:rPr>
      <w:rFonts w:ascii="Times New Roman" w:hAnsi="Times New Roman" w:eastAsia="黑体"/>
      <w:b w:val="0"/>
      <w:bCs w:val="0"/>
      <w:sz w:val="28"/>
      <w:szCs w:val="20"/>
    </w:rPr>
  </w:style>
  <w:style w:type="paragraph" w:customStyle="1" w:styleId="219">
    <w:name w:val="Style15"/>
    <w:basedOn w:val="1"/>
    <w:autoRedefine/>
    <w:qFormat/>
    <w:uiPriority w:val="0"/>
    <w:pPr>
      <w:spacing w:line="557" w:lineRule="exact"/>
      <w:ind w:firstLine="672"/>
    </w:pPr>
  </w:style>
  <w:style w:type="paragraph" w:customStyle="1" w:styleId="220">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221">
    <w:name w:val="Char2"/>
    <w:basedOn w:val="1"/>
    <w:autoRedefine/>
    <w:qFormat/>
    <w:uiPriority w:val="0"/>
    <w:rPr>
      <w:rFonts w:ascii="Tahoma" w:hAnsi="Tahoma"/>
      <w:sz w:val="24"/>
      <w:szCs w:val="20"/>
    </w:rPr>
  </w:style>
  <w:style w:type="paragraph" w:customStyle="1" w:styleId="222">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23">
    <w:name w:val="Style4"/>
    <w:basedOn w:val="1"/>
    <w:autoRedefine/>
    <w:qFormat/>
    <w:uiPriority w:val="0"/>
  </w:style>
  <w:style w:type="paragraph" w:customStyle="1" w:styleId="224">
    <w:name w:val="List Paragraph1"/>
    <w:basedOn w:val="1"/>
    <w:autoRedefine/>
    <w:qFormat/>
    <w:uiPriority w:val="0"/>
    <w:pPr>
      <w:ind w:firstLine="420" w:firstLineChars="200"/>
    </w:pPr>
  </w:style>
  <w:style w:type="paragraph" w:customStyle="1" w:styleId="225">
    <w:name w:val="标题3"/>
    <w:basedOn w:val="3"/>
    <w:autoRedefine/>
    <w:qFormat/>
    <w:uiPriority w:val="0"/>
    <w:pPr>
      <w:spacing w:beforeLines="50" w:afterLines="50" w:line="400" w:lineRule="exact"/>
      <w:jc w:val="both"/>
    </w:pPr>
    <w:rPr>
      <w:rFonts w:ascii="宋体" w:hAnsi="宋体"/>
      <w:kern w:val="32"/>
      <w:szCs w:val="32"/>
    </w:rPr>
  </w:style>
  <w:style w:type="paragraph" w:customStyle="1" w:styleId="226">
    <w:name w:val="1"/>
    <w:basedOn w:val="1"/>
    <w:autoRedefine/>
    <w:qFormat/>
    <w:uiPriority w:val="0"/>
    <w:pPr>
      <w:spacing w:afterLines="50" w:line="360" w:lineRule="auto"/>
    </w:pPr>
    <w:rPr>
      <w:rFonts w:ascii="宋体" w:hAnsi="宋体"/>
      <w:b/>
      <w:sz w:val="30"/>
      <w:szCs w:val="21"/>
    </w:rPr>
  </w:style>
  <w:style w:type="paragraph" w:customStyle="1" w:styleId="227">
    <w:name w:val="Style61"/>
    <w:basedOn w:val="1"/>
    <w:autoRedefine/>
    <w:qFormat/>
    <w:uiPriority w:val="0"/>
  </w:style>
  <w:style w:type="paragraph" w:customStyle="1" w:styleId="228">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29">
    <w:name w:val="Style62"/>
    <w:basedOn w:val="1"/>
    <w:autoRedefine/>
    <w:qFormat/>
    <w:uiPriority w:val="0"/>
  </w:style>
  <w:style w:type="paragraph" w:customStyle="1" w:styleId="230">
    <w:name w:val="标题2"/>
    <w:basedOn w:val="47"/>
    <w:autoRedefine/>
    <w:qFormat/>
    <w:uiPriority w:val="0"/>
    <w:pPr>
      <w:spacing w:after="240"/>
      <w:jc w:val="left"/>
    </w:pPr>
    <w:rPr>
      <w:bCs w:val="0"/>
      <w:sz w:val="30"/>
      <w:szCs w:val="24"/>
    </w:rPr>
  </w:style>
  <w:style w:type="paragraph" w:customStyle="1" w:styleId="231">
    <w:name w:val="1 Char Char Char Char"/>
    <w:basedOn w:val="1"/>
    <w:autoRedefine/>
    <w:qFormat/>
    <w:uiPriority w:val="0"/>
  </w:style>
  <w:style w:type="paragraph" w:customStyle="1" w:styleId="232">
    <w:name w:val="Style41"/>
    <w:basedOn w:val="1"/>
    <w:autoRedefine/>
    <w:qFormat/>
    <w:uiPriority w:val="0"/>
    <w:pPr>
      <w:spacing w:line="542" w:lineRule="exact"/>
      <w:ind w:firstLine="125"/>
    </w:pPr>
  </w:style>
  <w:style w:type="paragraph" w:customStyle="1" w:styleId="233">
    <w:name w:val="Style5"/>
    <w:basedOn w:val="1"/>
    <w:autoRedefine/>
    <w:qFormat/>
    <w:uiPriority w:val="0"/>
  </w:style>
  <w:style w:type="paragraph" w:customStyle="1" w:styleId="234">
    <w:name w:val="Style59"/>
    <w:basedOn w:val="1"/>
    <w:autoRedefine/>
    <w:qFormat/>
    <w:uiPriority w:val="0"/>
  </w:style>
  <w:style w:type="paragraph" w:customStyle="1" w:styleId="235">
    <w:name w:val="Char Char Char"/>
    <w:basedOn w:val="1"/>
    <w:autoRedefine/>
    <w:qFormat/>
    <w:uiPriority w:val="0"/>
    <w:rPr>
      <w:rFonts w:ascii="宋体" w:hAnsi="宋体"/>
      <w:b/>
      <w:sz w:val="28"/>
      <w:szCs w:val="28"/>
    </w:rPr>
  </w:style>
  <w:style w:type="paragraph" w:customStyle="1" w:styleId="236">
    <w:name w:val="Style74"/>
    <w:basedOn w:val="1"/>
    <w:autoRedefine/>
    <w:qFormat/>
    <w:uiPriority w:val="0"/>
    <w:pPr>
      <w:spacing w:line="437" w:lineRule="exact"/>
    </w:pPr>
  </w:style>
  <w:style w:type="paragraph" w:customStyle="1" w:styleId="237">
    <w:name w:val="Style54"/>
    <w:basedOn w:val="1"/>
    <w:autoRedefine/>
    <w:qFormat/>
    <w:uiPriority w:val="0"/>
  </w:style>
  <w:style w:type="paragraph" w:customStyle="1" w:styleId="238">
    <w:name w:val="Style24"/>
    <w:basedOn w:val="1"/>
    <w:autoRedefine/>
    <w:qFormat/>
    <w:uiPriority w:val="0"/>
  </w:style>
  <w:style w:type="paragraph" w:customStyle="1" w:styleId="239">
    <w:name w:val="_Style 37"/>
    <w:basedOn w:val="1"/>
    <w:autoRedefine/>
    <w:qFormat/>
    <w:uiPriority w:val="0"/>
  </w:style>
  <w:style w:type="paragraph" w:customStyle="1" w:styleId="240">
    <w:name w:val="Style81"/>
    <w:basedOn w:val="1"/>
    <w:autoRedefine/>
    <w:qFormat/>
    <w:uiPriority w:val="0"/>
    <w:pPr>
      <w:spacing w:line="547" w:lineRule="exact"/>
    </w:pPr>
  </w:style>
  <w:style w:type="paragraph" w:customStyle="1" w:styleId="241">
    <w:name w:val="Default"/>
    <w:autoRedefine/>
    <w:qFormat/>
    <w:uiPriority w:val="0"/>
    <w:pPr>
      <w:widowControl w:val="0"/>
      <w:autoSpaceDE w:val="0"/>
      <w:autoSpaceDN w:val="0"/>
      <w:adjustRightInd w:val="0"/>
    </w:pPr>
    <w:rPr>
      <w:rFonts w:ascii="黑体" w:hAnsi="Calibri" w:eastAsia="黑体" w:cs="Times New Roman"/>
      <w:lang w:val="en-US" w:eastAsia="zh-CN" w:bidi="ar-SA"/>
    </w:rPr>
  </w:style>
  <w:style w:type="paragraph" w:customStyle="1" w:styleId="242">
    <w:name w:val="Style23"/>
    <w:basedOn w:val="1"/>
    <w:autoRedefine/>
    <w:qFormat/>
    <w:uiPriority w:val="0"/>
  </w:style>
  <w:style w:type="paragraph" w:customStyle="1" w:styleId="243">
    <w:name w:val="Style78"/>
    <w:basedOn w:val="1"/>
    <w:autoRedefine/>
    <w:qFormat/>
    <w:uiPriority w:val="0"/>
  </w:style>
  <w:style w:type="paragraph" w:customStyle="1" w:styleId="244">
    <w:name w:val="Style46"/>
    <w:basedOn w:val="1"/>
    <w:autoRedefine/>
    <w:qFormat/>
    <w:uiPriority w:val="0"/>
    <w:pPr>
      <w:spacing w:line="672" w:lineRule="exact"/>
    </w:pPr>
  </w:style>
  <w:style w:type="paragraph" w:customStyle="1" w:styleId="245">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6">
    <w:name w:val="_Style 39"/>
    <w:basedOn w:val="197"/>
    <w:autoRedefine/>
    <w:qFormat/>
    <w:uiPriority w:val="0"/>
  </w:style>
  <w:style w:type="paragraph" w:customStyle="1" w:styleId="247">
    <w:name w:val="Style9"/>
    <w:basedOn w:val="1"/>
    <w:autoRedefine/>
    <w:qFormat/>
    <w:uiPriority w:val="0"/>
  </w:style>
  <w:style w:type="paragraph" w:customStyle="1" w:styleId="248">
    <w:name w:val="Char Char1 Char Char Char"/>
    <w:basedOn w:val="1"/>
    <w:autoRedefine/>
    <w:qFormat/>
    <w:uiPriority w:val="0"/>
    <w:rPr>
      <w:kern w:val="0"/>
      <w:sz w:val="20"/>
      <w:szCs w:val="20"/>
    </w:rPr>
  </w:style>
  <w:style w:type="paragraph" w:customStyle="1" w:styleId="249">
    <w:name w:val="文档正文"/>
    <w:basedOn w:val="1"/>
    <w:autoRedefine/>
    <w:qFormat/>
    <w:uiPriority w:val="0"/>
    <w:pPr>
      <w:suppressAutoHyphens/>
      <w:spacing w:line="312" w:lineRule="atLeast"/>
      <w:ind w:firstLine="567"/>
      <w:jc w:val="left"/>
    </w:pPr>
    <w:rPr>
      <w:rFonts w:ascii="长城仿宋" w:hAnsi="长城仿宋" w:eastAsia="长城仿宋" w:cs="Tahoma"/>
      <w:b/>
      <w:w w:val="80"/>
      <w:sz w:val="28"/>
      <w:szCs w:val="20"/>
    </w:rPr>
  </w:style>
  <w:style w:type="paragraph" w:customStyle="1" w:styleId="250">
    <w:name w:val="Style70"/>
    <w:basedOn w:val="1"/>
    <w:autoRedefine/>
    <w:qFormat/>
    <w:uiPriority w:val="0"/>
    <w:pPr>
      <w:spacing w:line="549" w:lineRule="exact"/>
      <w:ind w:firstLine="686"/>
    </w:pPr>
  </w:style>
  <w:style w:type="paragraph" w:customStyle="1" w:styleId="251">
    <w:name w:val="标题 1 +"/>
    <w:basedOn w:val="3"/>
    <w:next w:val="1"/>
    <w:autoRedefine/>
    <w:qFormat/>
    <w:uiPriority w:val="0"/>
    <w:pPr>
      <w:keepLines/>
      <w:spacing w:line="600" w:lineRule="auto"/>
    </w:pPr>
    <w:rPr>
      <w:rFonts w:eastAsia="黑体"/>
      <w:kern w:val="0"/>
      <w:sz w:val="32"/>
      <w:szCs w:val="32"/>
    </w:rPr>
  </w:style>
  <w:style w:type="paragraph" w:customStyle="1" w:styleId="252">
    <w:name w:val="Style16"/>
    <w:basedOn w:val="1"/>
    <w:autoRedefine/>
    <w:qFormat/>
    <w:uiPriority w:val="0"/>
    <w:pPr>
      <w:jc w:val="right"/>
    </w:pPr>
  </w:style>
  <w:style w:type="paragraph" w:customStyle="1" w:styleId="253">
    <w:name w:val="Style44"/>
    <w:basedOn w:val="1"/>
    <w:autoRedefine/>
    <w:qFormat/>
    <w:uiPriority w:val="0"/>
  </w:style>
  <w:style w:type="paragraph" w:customStyle="1" w:styleId="254">
    <w:name w:val="Style36"/>
    <w:basedOn w:val="1"/>
    <w:autoRedefine/>
    <w:qFormat/>
    <w:uiPriority w:val="0"/>
  </w:style>
  <w:style w:type="paragraph" w:customStyle="1" w:styleId="255">
    <w:name w:val="Style69"/>
    <w:basedOn w:val="1"/>
    <w:autoRedefine/>
    <w:qFormat/>
    <w:uiPriority w:val="0"/>
    <w:pPr>
      <w:spacing w:line="557" w:lineRule="exact"/>
      <w:ind w:firstLine="1666"/>
    </w:pPr>
  </w:style>
  <w:style w:type="paragraph" w:customStyle="1" w:styleId="256">
    <w:name w:val="Style12"/>
    <w:basedOn w:val="1"/>
    <w:autoRedefine/>
    <w:qFormat/>
    <w:uiPriority w:val="0"/>
    <w:pPr>
      <w:spacing w:line="564" w:lineRule="exact"/>
      <w:ind w:hanging="115"/>
    </w:pPr>
  </w:style>
  <w:style w:type="paragraph" w:customStyle="1" w:styleId="257">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58">
    <w:name w:val="默认段落字体 Para Char Char Char Char Char Char Char Char Char Char Char Char Char Char Char Char Char Char Char"/>
    <w:basedOn w:val="1"/>
    <w:autoRedefine/>
    <w:qFormat/>
    <w:uiPriority w:val="0"/>
  </w:style>
  <w:style w:type="paragraph" w:customStyle="1" w:styleId="259">
    <w:name w:val="Style10"/>
    <w:basedOn w:val="1"/>
    <w:autoRedefine/>
    <w:qFormat/>
    <w:uiPriority w:val="0"/>
    <w:pPr>
      <w:spacing w:line="538" w:lineRule="exact"/>
    </w:pPr>
  </w:style>
  <w:style w:type="paragraph" w:customStyle="1" w:styleId="260">
    <w:name w:val="p17"/>
    <w:basedOn w:val="1"/>
    <w:autoRedefine/>
    <w:qFormat/>
    <w:uiPriority w:val="0"/>
    <w:pPr>
      <w:widowControl/>
      <w:spacing w:after="120"/>
    </w:pPr>
    <w:rPr>
      <w:kern w:val="0"/>
      <w:szCs w:val="21"/>
    </w:rPr>
  </w:style>
  <w:style w:type="paragraph" w:customStyle="1" w:styleId="261">
    <w:name w:val="Style11"/>
    <w:basedOn w:val="1"/>
    <w:autoRedefine/>
    <w:qFormat/>
    <w:uiPriority w:val="0"/>
    <w:pPr>
      <w:spacing w:line="559" w:lineRule="exact"/>
      <w:ind w:firstLine="590"/>
    </w:pPr>
  </w:style>
  <w:style w:type="paragraph" w:customStyle="1" w:styleId="262">
    <w:name w:val="4"/>
    <w:basedOn w:val="1"/>
    <w:autoRedefine/>
    <w:qFormat/>
    <w:uiPriority w:val="0"/>
    <w:rPr>
      <w:rFonts w:ascii="Tahoma" w:hAnsi="Tahoma"/>
      <w:sz w:val="24"/>
      <w:szCs w:val="20"/>
    </w:rPr>
  </w:style>
  <w:style w:type="paragraph" w:customStyle="1" w:styleId="26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styleId="264">
    <w:name w:val="List Paragraph"/>
    <w:basedOn w:val="1"/>
    <w:autoRedefine/>
    <w:qFormat/>
    <w:uiPriority w:val="0"/>
    <w:pPr>
      <w:widowControl/>
      <w:ind w:firstLine="420" w:firstLineChars="200"/>
      <w:jc w:val="left"/>
    </w:pPr>
    <w:rPr>
      <w:rFonts w:ascii="宋体" w:hAnsi="宋体" w:cs="宋体"/>
      <w:kern w:val="0"/>
      <w:sz w:val="24"/>
    </w:rPr>
  </w:style>
  <w:style w:type="paragraph" w:customStyle="1" w:styleId="265">
    <w:name w:val="Style73"/>
    <w:basedOn w:val="1"/>
    <w:autoRedefine/>
    <w:qFormat/>
    <w:uiPriority w:val="0"/>
    <w:pPr>
      <w:spacing w:line="538" w:lineRule="exact"/>
      <w:ind w:firstLine="533"/>
    </w:pPr>
  </w:style>
  <w:style w:type="paragraph" w:customStyle="1" w:styleId="266">
    <w:name w:val="样式 标题 2 + 宋体 五号 行距: 单倍行距"/>
    <w:basedOn w:val="4"/>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67">
    <w:name w:val="p18"/>
    <w:basedOn w:val="1"/>
    <w:autoRedefine/>
    <w:qFormat/>
    <w:uiPriority w:val="0"/>
    <w:pPr>
      <w:widowControl/>
      <w:spacing w:before="340" w:after="330" w:line="576" w:lineRule="auto"/>
      <w:ind w:left="1320" w:hanging="720"/>
    </w:pPr>
    <w:rPr>
      <w:b/>
      <w:bCs/>
      <w:kern w:val="0"/>
      <w:sz w:val="44"/>
      <w:szCs w:val="44"/>
    </w:rPr>
  </w:style>
  <w:style w:type="paragraph" w:customStyle="1" w:styleId="268">
    <w:name w:val="Style56"/>
    <w:basedOn w:val="1"/>
    <w:autoRedefine/>
    <w:qFormat/>
    <w:uiPriority w:val="0"/>
  </w:style>
  <w:style w:type="paragraph" w:customStyle="1" w:styleId="269">
    <w:name w:val="Style29"/>
    <w:basedOn w:val="1"/>
    <w:autoRedefine/>
    <w:qFormat/>
    <w:uiPriority w:val="0"/>
    <w:pPr>
      <w:spacing w:line="547" w:lineRule="exact"/>
      <w:ind w:firstLine="547"/>
    </w:pPr>
  </w:style>
  <w:style w:type="paragraph" w:customStyle="1" w:styleId="270">
    <w:name w:val="Style50"/>
    <w:basedOn w:val="1"/>
    <w:autoRedefine/>
    <w:qFormat/>
    <w:uiPriority w:val="0"/>
  </w:style>
  <w:style w:type="paragraph" w:customStyle="1" w:styleId="271">
    <w:name w:val="Char11"/>
    <w:basedOn w:val="1"/>
    <w:autoRedefine/>
    <w:qFormat/>
    <w:uiPriority w:val="0"/>
    <w:pPr>
      <w:widowControl/>
      <w:spacing w:after="160" w:line="240" w:lineRule="exact"/>
      <w:jc w:val="left"/>
    </w:pPr>
    <w:rPr>
      <w:sz w:val="16"/>
    </w:rPr>
  </w:style>
  <w:style w:type="paragraph" w:customStyle="1" w:styleId="272">
    <w:name w:val="Style53"/>
    <w:basedOn w:val="1"/>
    <w:autoRedefine/>
    <w:qFormat/>
    <w:uiPriority w:val="0"/>
    <w:pPr>
      <w:spacing w:line="533" w:lineRule="exact"/>
      <w:ind w:firstLine="581"/>
    </w:pPr>
  </w:style>
  <w:style w:type="paragraph" w:customStyle="1" w:styleId="273">
    <w:name w:val="Style58"/>
    <w:basedOn w:val="1"/>
    <w:autoRedefine/>
    <w:qFormat/>
    <w:uiPriority w:val="0"/>
    <w:pPr>
      <w:spacing w:line="413" w:lineRule="exact"/>
    </w:pPr>
  </w:style>
  <w:style w:type="paragraph" w:customStyle="1" w:styleId="274">
    <w:name w:val="Char Char1 Char Char Char Char Char Char Char"/>
    <w:basedOn w:val="1"/>
    <w:autoRedefine/>
    <w:qFormat/>
    <w:uiPriority w:val="0"/>
    <w:pPr>
      <w:widowControl/>
      <w:spacing w:after="160" w:line="240" w:lineRule="exact"/>
      <w:jc w:val="left"/>
    </w:pPr>
  </w:style>
  <w:style w:type="paragraph" w:customStyle="1" w:styleId="275">
    <w:name w:val="Style65"/>
    <w:basedOn w:val="1"/>
    <w:autoRedefine/>
    <w:qFormat/>
    <w:uiPriority w:val="0"/>
  </w:style>
  <w:style w:type="paragraph" w:customStyle="1" w:styleId="276">
    <w:name w:val="Style80"/>
    <w:basedOn w:val="1"/>
    <w:autoRedefine/>
    <w:qFormat/>
    <w:uiPriority w:val="0"/>
  </w:style>
  <w:style w:type="paragraph" w:customStyle="1" w:styleId="277">
    <w:name w:val="Style48"/>
    <w:basedOn w:val="1"/>
    <w:autoRedefine/>
    <w:qFormat/>
    <w:uiPriority w:val="0"/>
    <w:pPr>
      <w:spacing w:line="542" w:lineRule="exact"/>
      <w:jc w:val="right"/>
    </w:pPr>
  </w:style>
  <w:style w:type="paragraph" w:customStyle="1" w:styleId="278">
    <w:name w:val="Char1 Char Char Char Char Char Char Char Char Char"/>
    <w:basedOn w:val="1"/>
    <w:autoRedefine/>
    <w:qFormat/>
    <w:uiPriority w:val="0"/>
    <w:rPr>
      <w:szCs w:val="20"/>
    </w:rPr>
  </w:style>
  <w:style w:type="paragraph" w:customStyle="1" w:styleId="279">
    <w:name w:val="Style34"/>
    <w:basedOn w:val="1"/>
    <w:autoRedefine/>
    <w:qFormat/>
    <w:uiPriority w:val="0"/>
    <w:pPr>
      <w:spacing w:line="375" w:lineRule="exact"/>
    </w:pPr>
  </w:style>
  <w:style w:type="paragraph" w:customStyle="1" w:styleId="280">
    <w:name w:val="Style68"/>
    <w:basedOn w:val="1"/>
    <w:autoRedefine/>
    <w:qFormat/>
    <w:uiPriority w:val="0"/>
    <w:pPr>
      <w:spacing w:line="547" w:lineRule="exact"/>
    </w:pPr>
  </w:style>
  <w:style w:type="paragraph" w:customStyle="1" w:styleId="281">
    <w:name w:val="TOC 标题"/>
    <w:basedOn w:val="3"/>
    <w:next w:val="1"/>
    <w:autoRedefine/>
    <w:qFormat/>
    <w:uiPriority w:val="39"/>
    <w:pPr>
      <w:keepNext/>
      <w:keepLines/>
      <w:spacing w:before="480" w:beforeAutospacing="0" w:after="0" w:afterAutospacing="0" w:line="276" w:lineRule="auto"/>
      <w:outlineLvl w:val="9"/>
    </w:pPr>
    <w:rPr>
      <w:rFonts w:ascii="仿宋" w:hAnsi="仿宋" w:eastAsia="仿宋"/>
      <w:color w:val="000000"/>
      <w:kern w:val="0"/>
      <w:sz w:val="32"/>
      <w:szCs w:val="32"/>
      <w:lang w:val="en-US" w:eastAsia="zh-CN"/>
    </w:rPr>
  </w:style>
  <w:style w:type="paragraph" w:styleId="282">
    <w:name w:val="No Spacing"/>
    <w:autoRedefine/>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3">
    <w:name w:val="表格"/>
    <w:basedOn w:val="1"/>
    <w:autoRedefine/>
    <w:qFormat/>
    <w:uiPriority w:val="0"/>
    <w:pPr>
      <w:snapToGrid w:val="0"/>
      <w:ind w:firstLine="42" w:firstLineChars="21"/>
    </w:pPr>
    <w:rPr>
      <w:rFonts w:ascii="宋体" w:hAnsi="宋体"/>
      <w:kern w:val="0"/>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58</Pages>
  <Words>24174</Words>
  <Characters>25259</Characters>
  <Lines>290</Lines>
  <Paragraphs>81</Paragraphs>
  <TotalTime>0</TotalTime>
  <ScaleCrop>false</ScaleCrop>
  <LinksUpToDate>false</LinksUpToDate>
  <CharactersWithSpaces>28284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2018-05-30T08:17:00Z</dcterms:created>
  <dc:creator>User</dc:creator>
  <cp:lastModifiedBy>玲兒</cp:lastModifiedBy>
  <cp:lastPrinted>2024-01-16T03:46:00Z</cp:lastPrinted>
  <dcterms:modified xsi:type="dcterms:W3CDTF">2024-08-28T03:55:53Z</dcterms:modified>
  <dc:title>附件：Ⅲ-1-1</dc:title>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57309B8F008B49E4A481A94CD1BB1324_13</vt:lpwstr>
  </property>
</Properties>
</file>