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C7A8D36">
      <w:pPr>
        <w:rPr>
          <w:rFonts w:ascii="宋体" w:hAnsi="宋体"/>
          <w:b/>
          <w:color w:val="000000" w:themeColor="text1"/>
          <w:w w:val="150"/>
          <w:sz w:val="52"/>
          <w14:textFill>
            <w14:solidFill>
              <w14:schemeClr w14:val="tx1"/>
            </w14:solidFill>
          </w14:textFill>
        </w:rPr>
      </w:pPr>
    </w:p>
    <w:p w14:paraId="783CF573">
      <w:pPr>
        <w:rPr>
          <w:rFonts w:ascii="宋体" w:hAnsi="宋体"/>
          <w:b/>
          <w:color w:val="000000" w:themeColor="text1"/>
          <w:w w:val="150"/>
          <w:sz w:val="52"/>
          <w14:textFill>
            <w14:solidFill>
              <w14:schemeClr w14:val="tx1"/>
            </w14:solidFill>
          </w14:textFill>
        </w:rPr>
      </w:pPr>
    </w:p>
    <w:p w14:paraId="0AF1366B">
      <w:pPr>
        <w:jc w:val="center"/>
        <w:rPr>
          <w:rFonts w:ascii="黑体" w:hAnsi="宋体" w:eastAsia="黑体"/>
          <w:b/>
          <w:color w:val="000000" w:themeColor="text1"/>
          <w:w w:val="150"/>
          <w:sz w:val="84"/>
          <w:szCs w:val="84"/>
          <w14:textFill>
            <w14:solidFill>
              <w14:schemeClr w14:val="tx1"/>
            </w14:solidFill>
          </w14:textFill>
        </w:rPr>
      </w:pPr>
      <w:r>
        <w:rPr>
          <w:rFonts w:hint="eastAsia" w:ascii="黑体" w:hAnsi="宋体" w:eastAsia="黑体"/>
          <w:b/>
          <w:color w:val="000000" w:themeColor="text1"/>
          <w:w w:val="150"/>
          <w:sz w:val="84"/>
          <w:szCs w:val="84"/>
          <w14:textFill>
            <w14:solidFill>
              <w14:schemeClr w14:val="tx1"/>
            </w14:solidFill>
          </w14:textFill>
        </w:rPr>
        <w:t>竞争性磋商</w:t>
      </w:r>
    </w:p>
    <w:p w14:paraId="302F2A22">
      <w:pPr>
        <w:jc w:val="center"/>
        <w:rPr>
          <w:rFonts w:ascii="黑体" w:hAnsi="宋体" w:eastAsia="黑体"/>
          <w:b/>
          <w:color w:val="000000" w:themeColor="text1"/>
          <w:w w:val="150"/>
          <w:sz w:val="84"/>
          <w:szCs w:val="84"/>
          <w14:textFill>
            <w14:solidFill>
              <w14:schemeClr w14:val="tx1"/>
            </w14:solidFill>
          </w14:textFill>
        </w:rPr>
      </w:pPr>
      <w:r>
        <w:rPr>
          <w:rFonts w:hint="eastAsia" w:ascii="黑体" w:hAnsi="宋体" w:eastAsia="黑体"/>
          <w:b/>
          <w:color w:val="000000" w:themeColor="text1"/>
          <w:w w:val="150"/>
          <w:sz w:val="84"/>
          <w:szCs w:val="84"/>
          <w14:textFill>
            <w14:solidFill>
              <w14:schemeClr w14:val="tx1"/>
            </w14:solidFill>
          </w14:textFill>
        </w:rPr>
        <w:t>采购文件</w:t>
      </w:r>
    </w:p>
    <w:p w14:paraId="66231535">
      <w:pPr>
        <w:jc w:val="center"/>
        <w:rPr>
          <w:rFonts w:ascii="宋体" w:hAnsi="宋体"/>
          <w:color w:val="000000" w:themeColor="text1"/>
          <w:sz w:val="44"/>
          <w:szCs w:val="44"/>
          <w14:textFill>
            <w14:solidFill>
              <w14:schemeClr w14:val="tx1"/>
            </w14:solidFill>
          </w14:textFill>
        </w:rPr>
      </w:pPr>
    </w:p>
    <w:p w14:paraId="0AB7D03A">
      <w:pPr>
        <w:rPr>
          <w:rFonts w:ascii="黑体" w:eastAsia="黑体"/>
          <w:color w:val="000000" w:themeColor="text1"/>
          <w14:textFill>
            <w14:solidFill>
              <w14:schemeClr w14:val="tx1"/>
            </w14:solidFill>
          </w14:textFill>
        </w:rPr>
      </w:pPr>
    </w:p>
    <w:p w14:paraId="7A749DBC">
      <w:pPr>
        <w:rPr>
          <w:rFonts w:ascii="黑体" w:eastAsia="黑体"/>
          <w:color w:val="000000" w:themeColor="text1"/>
          <w14:textFill>
            <w14:solidFill>
              <w14:schemeClr w14:val="tx1"/>
            </w14:solidFill>
          </w14:textFill>
        </w:rPr>
      </w:pPr>
    </w:p>
    <w:p w14:paraId="284A7F7D">
      <w:pPr>
        <w:rPr>
          <w:rFonts w:ascii="黑体" w:eastAsia="黑体"/>
          <w:color w:val="000000" w:themeColor="text1"/>
          <w14:textFill>
            <w14:solidFill>
              <w14:schemeClr w14:val="tx1"/>
            </w14:solidFill>
          </w14:textFill>
        </w:rPr>
      </w:pPr>
    </w:p>
    <w:p w14:paraId="06EE22F7">
      <w:pPr>
        <w:tabs>
          <w:tab w:val="left" w:pos="1140"/>
        </w:tabs>
        <w:rPr>
          <w:rFonts w:ascii="黑体" w:hAnsi="Arial" w:eastAsia="黑体"/>
          <w:color w:val="000000" w:themeColor="text1"/>
          <w:sz w:val="32"/>
          <w14:textFill>
            <w14:solidFill>
              <w14:schemeClr w14:val="tx1"/>
            </w14:solidFill>
          </w14:textFill>
        </w:rPr>
      </w:pPr>
    </w:p>
    <w:p w14:paraId="32B67BA5">
      <w:pPr>
        <w:pStyle w:val="41"/>
        <w:ind w:firstLine="418"/>
        <w:rPr>
          <w:rFonts w:hint="eastAsia"/>
          <w:color w:val="000000" w:themeColor="text1"/>
          <w14:textFill>
            <w14:solidFill>
              <w14:schemeClr w14:val="tx1"/>
            </w14:solidFill>
          </w14:textFill>
        </w:rPr>
      </w:pPr>
    </w:p>
    <w:p w14:paraId="4060E370">
      <w:pPr>
        <w:tabs>
          <w:tab w:val="left" w:pos="1140"/>
        </w:tabs>
        <w:rPr>
          <w:rFonts w:ascii="黑体" w:hAnsi="Arial" w:eastAsia="黑体"/>
          <w:color w:val="000000" w:themeColor="text1"/>
          <w:sz w:val="32"/>
          <w14:textFill>
            <w14:solidFill>
              <w14:schemeClr w14:val="tx1"/>
            </w14:solidFill>
          </w14:textFill>
        </w:rPr>
      </w:pPr>
    </w:p>
    <w:p w14:paraId="52553E3A">
      <w:pPr>
        <w:spacing w:line="360" w:lineRule="auto"/>
        <w:ind w:firstLine="1084" w:firstLineChars="300"/>
        <w:jc w:val="left"/>
        <w:rPr>
          <w:rFonts w:ascii="黑体" w:hAnsi="Arial" w:eastAsia="黑体" w:cs="Arial"/>
          <w:b/>
          <w:color w:val="000000" w:themeColor="text1"/>
          <w:sz w:val="36"/>
          <w:szCs w:val="36"/>
          <w:u w:val="single"/>
          <w14:textFill>
            <w14:solidFill>
              <w14:schemeClr w14:val="tx1"/>
            </w14:solidFill>
          </w14:textFill>
        </w:rPr>
      </w:pPr>
      <w:r>
        <w:rPr>
          <w:rFonts w:hint="eastAsia" w:ascii="黑体" w:hAnsi="宋体" w:eastAsia="黑体"/>
          <w:b/>
          <w:color w:val="000000" w:themeColor="text1"/>
          <w:sz w:val="36"/>
          <w:szCs w:val="36"/>
          <w14:textFill>
            <w14:solidFill>
              <w14:schemeClr w14:val="tx1"/>
            </w14:solidFill>
          </w14:textFill>
        </w:rPr>
        <w:t>采购编号：</w:t>
      </w:r>
      <w:r>
        <w:rPr>
          <w:rFonts w:hint="eastAsia" w:ascii="黑体" w:hAnsi="Arial" w:eastAsia="黑体" w:cs="Arial"/>
          <w:b/>
          <w:color w:val="000000" w:themeColor="text1"/>
          <w:sz w:val="32"/>
          <w:szCs w:val="32"/>
          <w:u w:val="single"/>
          <w14:textFill>
            <w14:solidFill>
              <w14:schemeClr w14:val="tx1"/>
            </w14:solidFill>
          </w14:textFill>
        </w:rPr>
        <w:t>XSCGDH2024137S</w:t>
      </w:r>
    </w:p>
    <w:p w14:paraId="4FC0D81D">
      <w:pPr>
        <w:spacing w:line="360" w:lineRule="auto"/>
        <w:ind w:left="2857" w:leftChars="500" w:hanging="1807" w:hangingChars="500"/>
        <w:jc w:val="left"/>
        <w:rPr>
          <w:rFonts w:ascii="黑体" w:hAnsi="Arial" w:eastAsia="黑体" w:cs="Arial"/>
          <w:b/>
          <w:color w:val="000000" w:themeColor="text1"/>
          <w:sz w:val="36"/>
          <w:szCs w:val="36"/>
          <w:u w:val="single"/>
          <w14:textFill>
            <w14:solidFill>
              <w14:schemeClr w14:val="tx1"/>
            </w14:solidFill>
          </w14:textFill>
        </w:rPr>
      </w:pPr>
      <w:r>
        <w:rPr>
          <w:rFonts w:hint="eastAsia" w:ascii="黑体" w:hAnsi="宋体" w:eastAsia="黑体"/>
          <w:b/>
          <w:color w:val="000000" w:themeColor="text1"/>
          <w:sz w:val="36"/>
          <w:szCs w:val="36"/>
          <w14:textFill>
            <w14:solidFill>
              <w14:schemeClr w14:val="tx1"/>
            </w14:solidFill>
          </w14:textFill>
        </w:rPr>
        <w:t>项目名称：</w:t>
      </w:r>
      <w:r>
        <w:rPr>
          <w:rFonts w:hint="eastAsia" w:ascii="黑体" w:hAnsi="Arial" w:eastAsia="黑体" w:cs="Arial"/>
          <w:b/>
          <w:color w:val="000000" w:themeColor="text1"/>
          <w:sz w:val="36"/>
          <w:szCs w:val="36"/>
          <w:u w:val="single"/>
          <w14:textFill>
            <w14:solidFill>
              <w14:schemeClr w14:val="tx1"/>
            </w14:solidFill>
          </w14:textFill>
        </w:rPr>
        <w:t xml:space="preserve">德化第二中学操场训练场地提级改造工程 </w:t>
      </w:r>
    </w:p>
    <w:p w14:paraId="75467CD2">
      <w:pPr>
        <w:ind w:firstLine="1084" w:firstLineChars="300"/>
        <w:jc w:val="left"/>
        <w:rPr>
          <w:rFonts w:ascii="黑体" w:hAnsi="宋体" w:eastAsia="黑体"/>
          <w:b/>
          <w:color w:val="000000" w:themeColor="text1"/>
          <w:sz w:val="36"/>
          <w:szCs w:val="36"/>
          <w:u w:val="single"/>
          <w14:textFill>
            <w14:solidFill>
              <w14:schemeClr w14:val="tx1"/>
            </w14:solidFill>
          </w14:textFill>
        </w:rPr>
      </w:pPr>
      <w:r>
        <w:rPr>
          <w:rFonts w:hint="eastAsia" w:ascii="黑体" w:hAnsi="宋体" w:eastAsia="黑体"/>
          <w:b/>
          <w:color w:val="000000" w:themeColor="text1"/>
          <w:sz w:val="36"/>
          <w:szCs w:val="36"/>
          <w14:textFill>
            <w14:solidFill>
              <w14:schemeClr w14:val="tx1"/>
            </w14:solidFill>
          </w14:textFill>
        </w:rPr>
        <w:t>采 购 人：</w:t>
      </w:r>
      <w:r>
        <w:rPr>
          <w:rFonts w:hint="eastAsia" w:ascii="黑体" w:hAnsi="Arial" w:eastAsia="黑体" w:cs="Arial"/>
          <w:b/>
          <w:color w:val="000000" w:themeColor="text1"/>
          <w:sz w:val="36"/>
          <w:szCs w:val="36"/>
          <w:u w:val="single"/>
          <w14:textFill>
            <w14:solidFill>
              <w14:schemeClr w14:val="tx1"/>
            </w14:solidFill>
          </w14:textFill>
        </w:rPr>
        <w:t>福建省德化第二中学</w:t>
      </w:r>
    </w:p>
    <w:p w14:paraId="5761903E">
      <w:pPr>
        <w:rPr>
          <w:rFonts w:ascii="黑体" w:eastAsia="黑体"/>
          <w:color w:val="000000" w:themeColor="text1"/>
          <w:sz w:val="24"/>
          <w14:textFill>
            <w14:solidFill>
              <w14:schemeClr w14:val="tx1"/>
            </w14:solidFill>
          </w14:textFill>
        </w:rPr>
      </w:pPr>
    </w:p>
    <w:p w14:paraId="0FBF8687">
      <w:pPr>
        <w:rPr>
          <w:rFonts w:ascii="黑体" w:eastAsia="黑体"/>
          <w:color w:val="000000" w:themeColor="text1"/>
          <w14:textFill>
            <w14:solidFill>
              <w14:schemeClr w14:val="tx1"/>
            </w14:solidFill>
          </w14:textFill>
        </w:rPr>
      </w:pPr>
    </w:p>
    <w:p w14:paraId="55D4D1C7">
      <w:pPr>
        <w:rPr>
          <w:rFonts w:ascii="黑体" w:eastAsia="黑体"/>
          <w:color w:val="000000" w:themeColor="text1"/>
          <w14:textFill>
            <w14:solidFill>
              <w14:schemeClr w14:val="tx1"/>
            </w14:solidFill>
          </w14:textFill>
        </w:rPr>
      </w:pPr>
    </w:p>
    <w:p w14:paraId="304D1865">
      <w:pPr>
        <w:rPr>
          <w:rFonts w:ascii="黑体" w:eastAsia="黑体"/>
          <w:color w:val="000000" w:themeColor="text1"/>
          <w14:textFill>
            <w14:solidFill>
              <w14:schemeClr w14:val="tx1"/>
            </w14:solidFill>
          </w14:textFill>
        </w:rPr>
      </w:pPr>
    </w:p>
    <w:p w14:paraId="3469B373">
      <w:pPr>
        <w:rPr>
          <w:rFonts w:ascii="黑体" w:hAnsi="宋体" w:eastAsia="黑体"/>
          <w:color w:val="000000" w:themeColor="text1"/>
          <w:sz w:val="36"/>
          <w14:textFill>
            <w14:solidFill>
              <w14:schemeClr w14:val="tx1"/>
            </w14:solidFill>
          </w14:textFill>
        </w:rPr>
      </w:pPr>
    </w:p>
    <w:p w14:paraId="58289E2A">
      <w:pPr>
        <w:ind w:firstLine="1792" w:firstLineChars="498"/>
        <w:rPr>
          <w:rFonts w:ascii="黑体" w:hAnsi="宋体" w:eastAsia="黑体"/>
          <w:color w:val="000000" w:themeColor="text1"/>
          <w:sz w:val="36"/>
          <w14:textFill>
            <w14:solidFill>
              <w14:schemeClr w14:val="tx1"/>
            </w14:solidFill>
          </w14:textFill>
        </w:rPr>
      </w:pPr>
    </w:p>
    <w:p w14:paraId="14359A9D">
      <w:pPr>
        <w:ind w:firstLine="1792" w:firstLineChars="498"/>
        <w:rPr>
          <w:rFonts w:ascii="黑体" w:hAnsi="宋体" w:eastAsia="黑体"/>
          <w:color w:val="000000" w:themeColor="text1"/>
          <w:sz w:val="36"/>
          <w14:textFill>
            <w14:solidFill>
              <w14:schemeClr w14:val="tx1"/>
            </w14:solidFill>
          </w14:textFill>
        </w:rPr>
      </w:pPr>
    </w:p>
    <w:p w14:paraId="63BD03A1">
      <w:pPr>
        <w:jc w:val="center"/>
        <w:rPr>
          <w:rFonts w:ascii="黑体" w:hAnsi="宋体" w:eastAsia="黑体"/>
          <w:b/>
          <w:color w:val="000000" w:themeColor="text1"/>
          <w:sz w:val="36"/>
          <w:szCs w:val="36"/>
          <w14:textFill>
            <w14:solidFill>
              <w14:schemeClr w14:val="tx1"/>
            </w14:solidFill>
          </w14:textFill>
        </w:rPr>
      </w:pPr>
      <w:r>
        <w:rPr>
          <w:rFonts w:hint="eastAsia" w:ascii="黑体" w:hAnsi="宋体" w:eastAsia="黑体"/>
          <w:b/>
          <w:color w:val="000000" w:themeColor="text1"/>
          <w:sz w:val="36"/>
          <w:szCs w:val="36"/>
          <w14:textFill>
            <w14:solidFill>
              <w14:schemeClr w14:val="tx1"/>
            </w14:solidFill>
          </w14:textFill>
        </w:rPr>
        <w:t>福建鑫盛项目管理咨询有限公司</w:t>
      </w:r>
    </w:p>
    <w:p w14:paraId="4AE79560">
      <w:pPr>
        <w:spacing w:line="360" w:lineRule="exact"/>
        <w:jc w:val="center"/>
        <w:rPr>
          <w:b/>
          <w:color w:val="000000" w:themeColor="text1"/>
          <w:sz w:val="30"/>
          <w:szCs w:val="30"/>
          <w14:textFill>
            <w14:solidFill>
              <w14:schemeClr w14:val="tx1"/>
            </w14:solidFill>
          </w14:textFill>
        </w:rPr>
      </w:pPr>
      <w:r>
        <w:rPr>
          <w:rFonts w:hint="eastAsia" w:ascii="黑体" w:hAnsi="宋体" w:eastAsia="黑体"/>
          <w:b/>
          <w:color w:val="000000" w:themeColor="text1"/>
          <w:sz w:val="36"/>
          <w:szCs w:val="36"/>
          <w14:textFill>
            <w14:solidFill>
              <w14:schemeClr w14:val="tx1"/>
            </w14:solidFill>
          </w14:textFill>
        </w:rPr>
        <w:t>二○二四年七月</w:t>
      </w:r>
      <w:r>
        <w:rPr>
          <w:b/>
          <w:color w:val="000000" w:themeColor="text1"/>
          <w:spacing w:val="400"/>
          <w:sz w:val="30"/>
          <w:szCs w:val="30"/>
          <w14:textFill>
            <w14:solidFill>
              <w14:schemeClr w14:val="tx1"/>
            </w14:solidFill>
          </w14:textFill>
        </w:rPr>
        <w:br w:type="page"/>
      </w:r>
      <w:r>
        <w:rPr>
          <w:rFonts w:hint="eastAsia"/>
          <w:b/>
          <w:color w:val="000000" w:themeColor="text1"/>
          <w:spacing w:val="400"/>
          <w:sz w:val="30"/>
          <w:szCs w:val="30"/>
          <w14:textFill>
            <w14:solidFill>
              <w14:schemeClr w14:val="tx1"/>
            </w14:solidFill>
          </w14:textFill>
        </w:rPr>
        <w:t>目</w:t>
      </w:r>
      <w:r>
        <w:rPr>
          <w:rFonts w:hint="eastAsia"/>
          <w:b/>
          <w:color w:val="000000" w:themeColor="text1"/>
          <w:sz w:val="30"/>
          <w:szCs w:val="30"/>
          <w14:textFill>
            <w14:solidFill>
              <w14:schemeClr w14:val="tx1"/>
            </w14:solidFill>
          </w14:textFill>
        </w:rPr>
        <w:t>录</w:t>
      </w:r>
    </w:p>
    <w:p w14:paraId="252B9C78">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"1-1" \h \z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"_Toc137562986"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第一部分</w:t>
      </w:r>
      <w:r>
        <w:rPr>
          <w:rStyle w:val="39"/>
          <w:rFonts w:ascii="宋体" w:hAnsi="宋体"/>
          <w:color w:val="000000" w:themeColor="text1"/>
          <w14:textFill>
            <w14:solidFill>
              <w14:schemeClr w14:val="tx1"/>
            </w14:solidFill>
          </w14:textFill>
        </w:rPr>
        <w:t xml:space="preserve">    </w:t>
      </w:r>
      <w:r>
        <w:rPr>
          <w:rStyle w:val="39"/>
          <w:rFonts w:hint="eastAsia" w:ascii="宋体" w:hAnsi="宋体"/>
          <w:color w:val="000000" w:themeColor="text1"/>
          <w14:textFill>
            <w14:solidFill>
              <w14:schemeClr w14:val="tx1"/>
            </w14:solidFill>
          </w14:textFill>
        </w:rPr>
        <w:t>磋商邀请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9FA1EE2">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"_Toc137562987"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磋商项目一览表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44B48F8">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"_Toc137562988"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第二部分</w:t>
      </w:r>
      <w:r>
        <w:rPr>
          <w:rStyle w:val="39"/>
          <w:rFonts w:ascii="宋体" w:hAnsi="宋体"/>
          <w:color w:val="000000" w:themeColor="text1"/>
          <w14:textFill>
            <w14:solidFill>
              <w14:schemeClr w14:val="tx1"/>
            </w14:solidFill>
          </w14:textFill>
        </w:rPr>
        <w:t xml:space="preserve">    </w:t>
      </w:r>
      <w:r>
        <w:rPr>
          <w:rStyle w:val="39"/>
          <w:rFonts w:hint="eastAsia" w:ascii="宋体" w:hAnsi="宋体"/>
          <w:color w:val="000000" w:themeColor="text1"/>
          <w14:textFill>
            <w14:solidFill>
              <w14:schemeClr w14:val="tx1"/>
            </w14:solidFill>
          </w14:textFill>
        </w:rPr>
        <w:t>磋商供应商须知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D9EB6B0">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"_Toc137562989"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磋商供应商须知前附表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C8F464D">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"_Toc137562990" </w:instrText>
      </w:r>
      <w:r>
        <w:rPr>
          <w:color w:val="000000" w:themeColor="text1"/>
          <w14:textFill>
            <w14:solidFill>
              <w14:schemeClr w14:val="tx1"/>
            </w14:solidFill>
          </w14:textFill>
        </w:rPr>
        <w:fldChar w:fldCharType="separate"/>
      </w:r>
      <w:r>
        <w:rPr>
          <w:rStyle w:val="39"/>
          <w:rFonts w:hint="eastAsia"/>
          <w:color w:val="000000" w:themeColor="text1"/>
          <w14:textFill>
            <w14:solidFill>
              <w14:schemeClr w14:val="tx1"/>
            </w14:solidFill>
          </w14:textFill>
        </w:rPr>
        <w:t>一、概述</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080518F">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"_Toc137562991"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w:t>
      </w:r>
      <w:r>
        <w:rPr>
          <w:rStyle w:val="39"/>
          <w:rFonts w:hint="eastAsia" w:ascii="宋体" w:hAnsi="宋体"/>
          <w:color w:val="000000" w:themeColor="text1"/>
          <w14:textFill>
            <w14:solidFill>
              <w14:schemeClr w14:val="tx1"/>
            </w14:solidFill>
          </w14:textFill>
        </w:rPr>
        <w:t>．适用范围</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FD3C8FA">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"_Toc137562992"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2</w:t>
      </w:r>
      <w:r>
        <w:rPr>
          <w:rStyle w:val="39"/>
          <w:rFonts w:hint="eastAsia" w:ascii="宋体" w:hAnsi="宋体"/>
          <w:color w:val="000000" w:themeColor="text1"/>
          <w14:textFill>
            <w14:solidFill>
              <w14:schemeClr w14:val="tx1"/>
            </w14:solidFill>
          </w14:textFill>
        </w:rPr>
        <w:t>．定义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F8018EB">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"_Toc137562993"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3</w:t>
      </w:r>
      <w:r>
        <w:rPr>
          <w:rStyle w:val="39"/>
          <w:rFonts w:hint="eastAsia" w:ascii="宋体" w:hAnsi="宋体"/>
          <w:color w:val="000000" w:themeColor="text1"/>
          <w14:textFill>
            <w14:solidFill>
              <w14:schemeClr w14:val="tx1"/>
            </w14:solidFill>
          </w14:textFill>
        </w:rPr>
        <w:t>．合格的磋商供应商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16FCD9E">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"_Toc137562994"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4</w:t>
      </w:r>
      <w:r>
        <w:rPr>
          <w:rStyle w:val="39"/>
          <w:rFonts w:hint="eastAsia" w:ascii="宋体" w:hAnsi="宋体"/>
          <w:color w:val="000000" w:themeColor="text1"/>
          <w14:textFill>
            <w14:solidFill>
              <w14:schemeClr w14:val="tx1"/>
            </w14:solidFill>
          </w14:textFill>
        </w:rPr>
        <w:t>．废标与无效磋商界定</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740E0DC">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"_Toc137562995"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5</w:t>
      </w:r>
      <w:r>
        <w:rPr>
          <w:rStyle w:val="39"/>
          <w:rFonts w:hint="eastAsia" w:ascii="宋体" w:hAnsi="宋体"/>
          <w:color w:val="000000" w:themeColor="text1"/>
          <w14:textFill>
            <w14:solidFill>
              <w14:schemeClr w14:val="tx1"/>
            </w14:solidFill>
          </w14:textFill>
        </w:rPr>
        <w:t>．联合体（本项目不接受联合体参加磋商）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D36EE7B">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"_Toc137562996"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6</w:t>
      </w:r>
      <w:r>
        <w:rPr>
          <w:rStyle w:val="39"/>
          <w:rFonts w:hint="eastAsia" w:ascii="宋体" w:hAnsi="宋体"/>
          <w:color w:val="000000" w:themeColor="text1"/>
          <w14:textFill>
            <w14:solidFill>
              <w14:schemeClr w14:val="tx1"/>
            </w14:solidFill>
          </w14:textFill>
        </w:rPr>
        <w:t>．磋商费用及风险</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65DA242">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"_Toc137562997"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7</w:t>
      </w:r>
      <w:r>
        <w:rPr>
          <w:rStyle w:val="39"/>
          <w:rFonts w:hint="eastAsia" w:ascii="宋体" w:hAnsi="宋体"/>
          <w:color w:val="000000" w:themeColor="text1"/>
          <w14:textFill>
            <w14:solidFill>
              <w14:schemeClr w14:val="tx1"/>
            </w14:solidFill>
          </w14:textFill>
        </w:rPr>
        <w:t>．磋商代表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11F83B8">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"_Toc137562998"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8</w:t>
      </w:r>
      <w:r>
        <w:rPr>
          <w:rStyle w:val="39"/>
          <w:rFonts w:hint="eastAsia" w:ascii="宋体" w:hAnsi="宋体"/>
          <w:color w:val="000000" w:themeColor="text1"/>
          <w14:textFill>
            <w14:solidFill>
              <w14:schemeClr w14:val="tx1"/>
            </w14:solidFill>
          </w14:textFill>
        </w:rPr>
        <w:t>．专利说明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1ED0B99">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"_Toc137562999"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二、磋商文件说明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_Toc137562999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3B4AC7E">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"_Toc137563000"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9</w:t>
      </w:r>
      <w:r>
        <w:rPr>
          <w:rStyle w:val="39"/>
          <w:rFonts w:hint="eastAsia" w:ascii="宋体" w:hAnsi="宋体"/>
          <w:color w:val="000000" w:themeColor="text1"/>
          <w14:textFill>
            <w14:solidFill>
              <w14:schemeClr w14:val="tx1"/>
            </w14:solidFill>
          </w14:textFill>
        </w:rPr>
        <w:t>．磋商文件构成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1903E1B">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"_Toc137563001"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10.</w:t>
      </w:r>
      <w:r>
        <w:rPr>
          <w:rStyle w:val="39"/>
          <w:rFonts w:hint="eastAsia" w:ascii="宋体" w:hAnsi="宋体"/>
          <w:color w:val="000000" w:themeColor="text1"/>
          <w14:textFill>
            <w14:solidFill>
              <w14:schemeClr w14:val="tx1"/>
            </w14:solidFill>
          </w14:textFill>
        </w:rPr>
        <w:t>磋商文件的澄清、修改或时间变更</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D65B4FD">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"_Toc137563002"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三、磋商响应文件的编写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219084C">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"_Toc137563003"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11</w:t>
      </w:r>
      <w:r>
        <w:rPr>
          <w:rStyle w:val="39"/>
          <w:rFonts w:hint="eastAsia" w:ascii="宋体" w:hAnsi="宋体"/>
          <w:color w:val="000000" w:themeColor="text1"/>
          <w14:textFill>
            <w14:solidFill>
              <w14:schemeClr w14:val="tx1"/>
            </w14:solidFill>
          </w14:textFill>
        </w:rPr>
        <w:t>．要求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E80D80B">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"_Toc137563004"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12</w:t>
      </w:r>
      <w:r>
        <w:rPr>
          <w:rStyle w:val="39"/>
          <w:rFonts w:hint="eastAsia" w:ascii="宋体" w:hAnsi="宋体"/>
          <w:color w:val="000000" w:themeColor="text1"/>
          <w14:textFill>
            <w14:solidFill>
              <w14:schemeClr w14:val="tx1"/>
            </w14:solidFill>
          </w14:textFill>
        </w:rPr>
        <w:t>．报价语言及计量单位</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_Toc137563004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0BD0E6C">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"_Toc137563005"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13</w:t>
      </w:r>
      <w:r>
        <w:rPr>
          <w:rStyle w:val="39"/>
          <w:rFonts w:hint="eastAsia" w:ascii="宋体" w:hAnsi="宋体"/>
          <w:color w:val="000000" w:themeColor="text1"/>
          <w14:textFill>
            <w14:solidFill>
              <w14:schemeClr w14:val="tx1"/>
            </w14:solidFill>
          </w14:textFill>
        </w:rPr>
        <w:t>．磋商响应文件的组成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_Toc137563005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1BC708F">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"_Toc137563006"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14</w:t>
      </w:r>
      <w:r>
        <w:rPr>
          <w:rStyle w:val="39"/>
          <w:rFonts w:hint="eastAsia" w:ascii="宋体" w:hAnsi="宋体"/>
          <w:color w:val="000000" w:themeColor="text1"/>
          <w14:textFill>
            <w14:solidFill>
              <w14:schemeClr w14:val="tx1"/>
            </w14:solidFill>
          </w14:textFill>
        </w:rPr>
        <w:t>．磋商响应文件格式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_Toc137563006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43BE68E">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"_Toc137563007"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15.</w:t>
      </w:r>
      <w:r>
        <w:rPr>
          <w:rStyle w:val="39"/>
          <w:rFonts w:hint="eastAsia" w:ascii="宋体" w:hAnsi="宋体"/>
          <w:color w:val="000000" w:themeColor="text1"/>
          <w14:textFill>
            <w14:solidFill>
              <w14:schemeClr w14:val="tx1"/>
            </w14:solidFill>
          </w14:textFill>
        </w:rPr>
        <w:t>磋商供应商资格证明文件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_Toc137563007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0B3EC34">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"_Toc137563008"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16</w:t>
      </w:r>
      <w:r>
        <w:rPr>
          <w:rStyle w:val="39"/>
          <w:rFonts w:hint="eastAsia" w:ascii="宋体" w:hAnsi="宋体"/>
          <w:color w:val="000000" w:themeColor="text1"/>
          <w14:textFill>
            <w14:solidFill>
              <w14:schemeClr w14:val="tx1"/>
            </w14:solidFill>
          </w14:textFill>
        </w:rPr>
        <w:t>．符合磋商文件规定的技术响应文件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03AA043">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"_Toc137563009"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17</w:t>
      </w:r>
      <w:r>
        <w:rPr>
          <w:rStyle w:val="39"/>
          <w:rFonts w:hint="eastAsia" w:ascii="宋体" w:hAnsi="宋体"/>
          <w:color w:val="000000" w:themeColor="text1"/>
          <w14:textFill>
            <w14:solidFill>
              <w14:schemeClr w14:val="tx1"/>
            </w14:solidFill>
          </w14:textFill>
        </w:rPr>
        <w:t>．磋商保证金、履约保证金和成交服务费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2BEBAED">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"_Toc137563010"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18</w:t>
      </w:r>
      <w:r>
        <w:rPr>
          <w:rStyle w:val="39"/>
          <w:rFonts w:hint="eastAsia" w:ascii="宋体" w:hAnsi="宋体"/>
          <w:color w:val="000000" w:themeColor="text1"/>
          <w14:textFill>
            <w14:solidFill>
              <w14:schemeClr w14:val="tx1"/>
            </w14:solidFill>
          </w14:textFill>
        </w:rPr>
        <w:t>．磋商有效期</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A58D2A2">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"_Toc137563011"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19</w:t>
      </w:r>
      <w:r>
        <w:rPr>
          <w:rStyle w:val="39"/>
          <w:rFonts w:hint="eastAsia" w:ascii="宋体" w:hAnsi="宋体"/>
          <w:color w:val="000000" w:themeColor="text1"/>
          <w14:textFill>
            <w14:solidFill>
              <w14:schemeClr w14:val="tx1"/>
            </w14:solidFill>
          </w14:textFill>
        </w:rPr>
        <w:t>．磋商响应文件的签署及规定</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0DE5AAB">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"_Toc137563012"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19.1</w:t>
      </w:r>
      <w:r>
        <w:rPr>
          <w:rStyle w:val="39"/>
          <w:rFonts w:hint="eastAsia" w:ascii="宋体" w:hAnsi="宋体"/>
          <w:color w:val="000000" w:themeColor="text1"/>
          <w14:textFill>
            <w14:solidFill>
              <w14:schemeClr w14:val="tx1"/>
            </w14:solidFill>
          </w14:textFill>
        </w:rPr>
        <w:t>递交磋商响应文件的份数；（具体见磋商供应商须知前附表中的规定）</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_Toc137563012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3CA1EEF">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"_Toc137563013"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四、磋商响应文件的递交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_Toc137563013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0323C8B">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"_Toc137563014"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20</w:t>
      </w:r>
      <w:r>
        <w:rPr>
          <w:rStyle w:val="39"/>
          <w:rFonts w:hint="eastAsia" w:ascii="宋体" w:hAnsi="宋体"/>
          <w:color w:val="000000" w:themeColor="text1"/>
          <w14:textFill>
            <w14:solidFill>
              <w14:schemeClr w14:val="tx1"/>
            </w14:solidFill>
          </w14:textFill>
        </w:rPr>
        <w:t>．磋商响应文件的密封和标记</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0D1D862">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"_Toc137563015"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21</w:t>
      </w:r>
      <w:r>
        <w:rPr>
          <w:rStyle w:val="39"/>
          <w:rFonts w:hint="eastAsia" w:ascii="宋体" w:hAnsi="宋体"/>
          <w:color w:val="000000" w:themeColor="text1"/>
          <w14:textFill>
            <w14:solidFill>
              <w14:schemeClr w14:val="tx1"/>
            </w14:solidFill>
          </w14:textFill>
        </w:rPr>
        <w:t>．递交磋商响应文件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_Toc137563015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B646285">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"_Toc137563016"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22</w:t>
      </w:r>
      <w:r>
        <w:rPr>
          <w:rStyle w:val="39"/>
          <w:rFonts w:hint="eastAsia" w:ascii="宋体" w:hAnsi="宋体"/>
          <w:color w:val="000000" w:themeColor="text1"/>
          <w14:textFill>
            <w14:solidFill>
              <w14:schemeClr w14:val="tx1"/>
            </w14:solidFill>
          </w14:textFill>
        </w:rPr>
        <w:t>．磋商截止时间</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4CD2988">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"_Toc137563017"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23</w:t>
      </w:r>
      <w:r>
        <w:rPr>
          <w:rStyle w:val="39"/>
          <w:rFonts w:hint="eastAsia" w:ascii="宋体" w:hAnsi="宋体"/>
          <w:color w:val="000000" w:themeColor="text1"/>
          <w14:textFill>
            <w14:solidFill>
              <w14:schemeClr w14:val="tx1"/>
            </w14:solidFill>
          </w14:textFill>
        </w:rPr>
        <w:t>．迟交的磋商响应文件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_Toc137563017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00F4EB7">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"_Toc137563018"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24</w:t>
      </w:r>
      <w:r>
        <w:rPr>
          <w:rStyle w:val="39"/>
          <w:rFonts w:hint="eastAsia" w:ascii="宋体" w:hAnsi="宋体"/>
          <w:color w:val="000000" w:themeColor="text1"/>
          <w14:textFill>
            <w14:solidFill>
              <w14:schemeClr w14:val="tx1"/>
            </w14:solidFill>
          </w14:textFill>
        </w:rPr>
        <w:t>．磋商响应文件的修改与撤回</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_Toc137563018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6A9DFCB">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"_Toc137563019"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五、磋商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E9D226C">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"_Toc137563020"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25</w:t>
      </w:r>
      <w:r>
        <w:rPr>
          <w:rStyle w:val="39"/>
          <w:rFonts w:hint="eastAsia" w:ascii="宋体" w:hAnsi="宋体"/>
          <w:color w:val="000000" w:themeColor="text1"/>
          <w14:textFill>
            <w14:solidFill>
              <w14:schemeClr w14:val="tx1"/>
            </w14:solidFill>
          </w14:textFill>
        </w:rPr>
        <w:t>．磋商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_Toc137563020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71FB461">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"_Toc137563021"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六、评审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32B862C">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"_Toc137563022"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26</w:t>
      </w:r>
      <w:r>
        <w:rPr>
          <w:rStyle w:val="39"/>
          <w:rFonts w:hint="eastAsia" w:ascii="宋体" w:hAnsi="宋体"/>
          <w:color w:val="000000" w:themeColor="text1"/>
          <w14:textFill>
            <w14:solidFill>
              <w14:schemeClr w14:val="tx1"/>
            </w14:solidFill>
          </w14:textFill>
        </w:rPr>
        <w:t>．磋商小组</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4F1B8CC">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"_Toc137563023"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27</w:t>
      </w:r>
      <w:r>
        <w:rPr>
          <w:rStyle w:val="39"/>
          <w:rFonts w:hint="eastAsia" w:ascii="宋体" w:hAnsi="宋体"/>
          <w:color w:val="000000" w:themeColor="text1"/>
          <w14:textFill>
            <w14:solidFill>
              <w14:schemeClr w14:val="tx1"/>
            </w14:solidFill>
          </w14:textFill>
        </w:rPr>
        <w:t>．澄清有关问题</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7750D4B">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"_Toc137563024"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28</w:t>
      </w:r>
      <w:r>
        <w:rPr>
          <w:rStyle w:val="39"/>
          <w:rFonts w:hint="eastAsia" w:ascii="宋体" w:hAnsi="宋体"/>
          <w:color w:val="000000" w:themeColor="text1"/>
          <w14:textFill>
            <w14:solidFill>
              <w14:schemeClr w14:val="tx1"/>
            </w14:solidFill>
          </w14:textFill>
        </w:rPr>
        <w:t>．评审程序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D136396">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"_Toc137563025"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29</w:t>
      </w:r>
      <w:r>
        <w:rPr>
          <w:rStyle w:val="39"/>
          <w:rFonts w:hint="eastAsia" w:ascii="宋体" w:hAnsi="宋体"/>
          <w:color w:val="000000" w:themeColor="text1"/>
          <w14:textFill>
            <w14:solidFill>
              <w14:schemeClr w14:val="tx1"/>
            </w14:solidFill>
          </w14:textFill>
        </w:rPr>
        <w:t>．被推荐的成交候选供应商的确定</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A594577">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"_Toc137563026"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30.</w:t>
      </w:r>
      <w:r>
        <w:rPr>
          <w:rStyle w:val="39"/>
          <w:rFonts w:hint="eastAsia" w:ascii="宋体" w:hAnsi="宋体"/>
          <w:color w:val="000000" w:themeColor="text1"/>
          <w14:textFill>
            <w14:solidFill>
              <w14:schemeClr w14:val="tx1"/>
            </w14:solidFill>
          </w14:textFill>
        </w:rPr>
        <w:t>成交原则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D5AF052">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"_Toc137563027"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31</w:t>
      </w:r>
      <w:r>
        <w:rPr>
          <w:rStyle w:val="39"/>
          <w:rFonts w:hint="eastAsia" w:ascii="宋体" w:hAnsi="宋体"/>
          <w:color w:val="000000" w:themeColor="text1"/>
          <w14:textFill>
            <w14:solidFill>
              <w14:schemeClr w14:val="tx1"/>
            </w14:solidFill>
          </w14:textFill>
        </w:rPr>
        <w:t>．保密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39B75BA">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"_Toc137563028"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七、授予合同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_Toc137563028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013A1AA">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"_Toc137563029"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32</w:t>
      </w:r>
      <w:r>
        <w:rPr>
          <w:rStyle w:val="39"/>
          <w:rFonts w:hint="eastAsia" w:ascii="宋体" w:hAnsi="宋体"/>
          <w:color w:val="000000" w:themeColor="text1"/>
          <w14:textFill>
            <w14:solidFill>
              <w14:schemeClr w14:val="tx1"/>
            </w14:solidFill>
          </w14:textFill>
        </w:rPr>
        <w:t>．成交候选供应商资格最终审查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_Toc137563029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F8A9190">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"_Toc137563030"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33</w:t>
      </w:r>
      <w:r>
        <w:rPr>
          <w:rStyle w:val="39"/>
          <w:rFonts w:hint="eastAsia" w:ascii="宋体" w:hAnsi="宋体"/>
          <w:color w:val="000000" w:themeColor="text1"/>
          <w14:textFill>
            <w14:solidFill>
              <w14:schemeClr w14:val="tx1"/>
            </w14:solidFill>
          </w14:textFill>
        </w:rPr>
        <w:t>．合同授予标准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_Toc137563030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4C15A0D">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"_Toc137563031"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34</w:t>
      </w:r>
      <w:r>
        <w:rPr>
          <w:rStyle w:val="39"/>
          <w:rFonts w:hint="eastAsia" w:ascii="宋体" w:hAnsi="宋体"/>
          <w:color w:val="000000" w:themeColor="text1"/>
          <w14:textFill>
            <w14:solidFill>
              <w14:schemeClr w14:val="tx1"/>
            </w14:solidFill>
          </w14:textFill>
        </w:rPr>
        <w:t>．授标时更改采购货物数量的权力</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_Toc137563031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8963F18">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"_Toc137563032"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35</w:t>
      </w:r>
      <w:r>
        <w:rPr>
          <w:rStyle w:val="39"/>
          <w:rFonts w:hint="eastAsia" w:ascii="宋体" w:hAnsi="宋体"/>
          <w:color w:val="000000" w:themeColor="text1"/>
          <w14:textFill>
            <w14:solidFill>
              <w14:schemeClr w14:val="tx1"/>
            </w14:solidFill>
          </w14:textFill>
        </w:rPr>
        <w:t>．成交通知书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08ABD5A">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"_Toc137563033" </w:instrText>
      </w:r>
      <w:r>
        <w:rPr>
          <w:color w:val="000000" w:themeColor="text1"/>
          <w14:textFill>
            <w14:solidFill>
              <w14:schemeClr w14:val="tx1"/>
            </w14:solidFill>
          </w14:textFill>
        </w:rPr>
        <w:fldChar w:fldCharType="separate"/>
      </w:r>
      <w:r>
        <w:rPr>
          <w:rStyle w:val="39"/>
          <w:rFonts w:ascii="宋体" w:hAnsi="宋体"/>
          <w:color w:val="000000" w:themeColor="text1"/>
          <w14:textFill>
            <w14:solidFill>
              <w14:schemeClr w14:val="tx1"/>
            </w14:solidFill>
          </w14:textFill>
        </w:rPr>
        <w:t>36</w:t>
      </w:r>
      <w:r>
        <w:rPr>
          <w:rStyle w:val="39"/>
          <w:rFonts w:hint="eastAsia" w:ascii="宋体" w:hAnsi="宋体"/>
          <w:color w:val="000000" w:themeColor="text1"/>
          <w14:textFill>
            <w14:solidFill>
              <w14:schemeClr w14:val="tx1"/>
            </w14:solidFill>
          </w14:textFill>
        </w:rPr>
        <w:t>．签定合同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_Toc137563033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42FC12D">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"_Toc137563034"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第三部分</w:t>
      </w:r>
      <w:r>
        <w:rPr>
          <w:rStyle w:val="39"/>
          <w:rFonts w:ascii="宋体" w:hAnsi="宋体"/>
          <w:color w:val="000000" w:themeColor="text1"/>
          <w14:textFill>
            <w14:solidFill>
              <w14:schemeClr w14:val="tx1"/>
            </w14:solidFill>
          </w14:textFill>
        </w:rPr>
        <w:t xml:space="preserve">    </w:t>
      </w:r>
      <w:r>
        <w:rPr>
          <w:rStyle w:val="39"/>
          <w:rFonts w:hint="eastAsia" w:ascii="宋体" w:hAnsi="宋体"/>
          <w:color w:val="000000" w:themeColor="text1"/>
          <w14:textFill>
            <w14:solidFill>
              <w14:schemeClr w14:val="tx1"/>
            </w14:solidFill>
          </w14:textFill>
        </w:rPr>
        <w:t>磋商项目说明及要求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_Toc137563034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7C0BEBB">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"_Toc137563036"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第四部分</w:t>
      </w:r>
      <w:r>
        <w:rPr>
          <w:rStyle w:val="39"/>
          <w:rFonts w:ascii="宋体" w:hAnsi="宋体"/>
          <w:color w:val="000000" w:themeColor="text1"/>
          <w14:textFill>
            <w14:solidFill>
              <w14:schemeClr w14:val="tx1"/>
            </w14:solidFill>
          </w14:textFill>
        </w:rPr>
        <w:t xml:space="preserve">    </w:t>
      </w:r>
      <w:r>
        <w:rPr>
          <w:rStyle w:val="39"/>
          <w:rFonts w:hint="eastAsia" w:ascii="宋体" w:hAnsi="宋体"/>
          <w:color w:val="000000" w:themeColor="text1"/>
          <w14:textFill>
            <w14:solidFill>
              <w14:schemeClr w14:val="tx1"/>
            </w14:solidFill>
          </w14:textFill>
        </w:rPr>
        <w:t>磋商响应文件格式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_Toc137563036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C4BB88">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"_Toc137563037"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磋</w:t>
      </w:r>
      <w:r>
        <w:rPr>
          <w:rStyle w:val="39"/>
          <w:rFonts w:ascii="宋体" w:hAnsi="宋体"/>
          <w:color w:val="000000" w:themeColor="text1"/>
          <w14:textFill>
            <w14:solidFill>
              <w14:schemeClr w14:val="tx1"/>
            </w14:solidFill>
          </w14:textFill>
        </w:rPr>
        <w:t xml:space="preserve">  </w:t>
      </w:r>
      <w:r>
        <w:rPr>
          <w:rStyle w:val="39"/>
          <w:rFonts w:hint="eastAsia" w:ascii="宋体" w:hAnsi="宋体"/>
          <w:color w:val="000000" w:themeColor="text1"/>
          <w14:textFill>
            <w14:solidFill>
              <w14:schemeClr w14:val="tx1"/>
            </w14:solidFill>
          </w14:textFill>
        </w:rPr>
        <w:t>商</w:t>
      </w:r>
      <w:r>
        <w:rPr>
          <w:rStyle w:val="39"/>
          <w:rFonts w:ascii="宋体" w:hAnsi="宋体"/>
          <w:color w:val="000000" w:themeColor="text1"/>
          <w14:textFill>
            <w14:solidFill>
              <w14:schemeClr w14:val="tx1"/>
            </w14:solidFill>
          </w14:textFill>
        </w:rPr>
        <w:t xml:space="preserve">  </w:t>
      </w:r>
      <w:r>
        <w:rPr>
          <w:rStyle w:val="39"/>
          <w:rFonts w:hint="eastAsia" w:ascii="宋体" w:hAnsi="宋体"/>
          <w:color w:val="000000" w:themeColor="text1"/>
          <w14:textFill>
            <w14:solidFill>
              <w14:schemeClr w14:val="tx1"/>
            </w14:solidFill>
          </w14:textFill>
        </w:rPr>
        <w:t>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_Toc137563037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75F760A">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"_Toc137563038"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首次报价一览表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9AA2798">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"_Toc137563039"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分项报价明细表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_Toc137563039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B9A5E04">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"_Toc137563040"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中小企业声明函（价格扣除适用，若有）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_Toc137563040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F597455">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"_Toc137563041"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中小企业声明函（工程、服务）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_Toc137563041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AEFF6F2">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"_Toc137563042"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小型、微型企业产品等统计表（价格扣除适用，若有）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_Toc137563042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D45ACFF">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"_Toc137563043"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残疾人福利性单位声明函（价格扣除适用，若有）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_Toc137563043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EE84C1F">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"_Toc137563044"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资格声明函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_Toc137563044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D07FD9D">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"_Toc137563045"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单位负责人授权书</w:t>
      </w:r>
      <w:r>
        <w:rPr>
          <w:rStyle w:val="39"/>
          <w:rFonts w:ascii="宋体" w:hAnsi="宋体"/>
          <w:color w:val="000000" w:themeColor="text1"/>
          <w14:textFill>
            <w14:solidFill>
              <w14:schemeClr w14:val="tx1"/>
            </w14:solidFill>
          </w14:textFill>
        </w:rPr>
        <w:t>(</w:t>
      </w:r>
      <w:r>
        <w:rPr>
          <w:rStyle w:val="39"/>
          <w:rFonts w:hint="eastAsia" w:ascii="宋体" w:hAnsi="宋体"/>
          <w:color w:val="000000" w:themeColor="text1"/>
          <w14:textFill>
            <w14:solidFill>
              <w14:schemeClr w14:val="tx1"/>
            </w14:solidFill>
          </w14:textFill>
        </w:rPr>
        <w:t>原件</w:t>
      </w:r>
      <w:r>
        <w:rPr>
          <w:rStyle w:val="39"/>
          <w:rFonts w:ascii="宋体" w:hAnsi="宋体"/>
          <w:color w:val="000000" w:themeColor="text1"/>
          <w14:textFill>
            <w14:solidFill>
              <w14:schemeClr w14:val="tx1"/>
            </w14:solidFill>
          </w14:textFill>
        </w:rPr>
        <w:t>)</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_Toc137563045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A3D6E63">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"_Toc137563046"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服务承诺函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_Toc137563046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A1F1955">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"_Toc137563047"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其它材料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_Toc137563047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02F5C71">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"_Toc137563048"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磋商资格及磋商响应文件内容承诺书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_Toc137563048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5F32AF5">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"_Toc137563049" </w:instrText>
      </w:r>
      <w:r>
        <w:rPr>
          <w:color w:val="000000" w:themeColor="text1"/>
          <w14:textFill>
            <w14:solidFill>
              <w14:schemeClr w14:val="tx1"/>
            </w14:solidFill>
          </w14:textFill>
        </w:rPr>
        <w:fldChar w:fldCharType="separate"/>
      </w:r>
      <w:r>
        <w:rPr>
          <w:rStyle w:val="39"/>
          <w:rFonts w:hint="eastAsia" w:ascii="宋体" w:hAnsi="宋体"/>
          <w:color w:val="000000" w:themeColor="text1"/>
          <w14:textFill>
            <w14:solidFill>
              <w14:schemeClr w14:val="tx1"/>
            </w14:solidFill>
          </w14:textFill>
        </w:rPr>
        <w:t>成交服务费缴交承诺书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_Toc137563049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BA3AD1D">
      <w:pPr>
        <w:pStyle w:val="24"/>
        <w:rPr>
          <w:rFonts w:asciiTheme="minorHAnsi" w:hAnsiTheme="minorHAnsi" w:eastAsiaTheme="minorEastAsia" w:cstheme="minorBidi"/>
          <w:b w:val="0"/>
          <w:bCs w:val="0"/>
          <w:caps w:val="0"/>
          <w:color w:val="000000" w:themeColor="text1"/>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"_Toc137563050" </w:instrText>
      </w:r>
      <w:r>
        <w:rPr>
          <w:color w:val="000000" w:themeColor="text1"/>
          <w14:textFill>
            <w14:solidFill>
              <w14:schemeClr w14:val="tx1"/>
            </w14:solidFill>
          </w14:textFill>
        </w:rPr>
        <w:fldChar w:fldCharType="separate"/>
      </w:r>
      <w:r>
        <w:rPr>
          <w:rStyle w:val="39"/>
          <w:rFonts w:hint="eastAsia" w:ascii="宋体" w:hAnsi="宋体" w:cs="宋体"/>
          <w:color w:val="000000" w:themeColor="text1"/>
          <w:kern w:val="0"/>
          <w14:textFill>
            <w14:solidFill>
              <w14:schemeClr w14:val="tx1"/>
            </w14:solidFill>
          </w14:textFill>
        </w:rPr>
        <w:t>第五部分</w:t>
      </w:r>
      <w:r>
        <w:rPr>
          <w:rStyle w:val="39"/>
          <w:rFonts w:ascii="宋体" w:hAnsi="宋体" w:cs="宋体"/>
          <w:color w:val="000000" w:themeColor="text1"/>
          <w:kern w:val="0"/>
          <w14:textFill>
            <w14:solidFill>
              <w14:schemeClr w14:val="tx1"/>
            </w14:solidFill>
          </w14:textFill>
        </w:rPr>
        <w:t xml:space="preserve">    </w:t>
      </w:r>
      <w:r>
        <w:rPr>
          <w:rStyle w:val="39"/>
          <w:rFonts w:hint="eastAsia" w:ascii="宋体" w:hAnsi="宋体" w:cs="宋体"/>
          <w:color w:val="000000" w:themeColor="text1"/>
          <w:kern w:val="0"/>
          <w14:textFill>
            <w14:solidFill>
              <w14:schemeClr w14:val="tx1"/>
            </w14:solidFill>
          </w14:textFill>
        </w:rPr>
        <w:t>采购合同（参考文本）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_Toc137563050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2C9541F">
      <w:pPr>
        <w:rPr>
          <w:color w:val="000000" w:themeColor="text1"/>
          <w14:textFill>
            <w14:solidFill>
              <w14:schemeClr w14:val="tx1"/>
            </w14:solidFill>
          </w14:textFill>
        </w:rPr>
      </w:pPr>
      <w:r>
        <w:rPr>
          <w:color w:val="000000" w:themeColor="text1"/>
          <w14:textFill>
            <w14:solidFill>
              <w14:schemeClr w14:val="tx1"/>
            </w14:solidFill>
          </w14:textFill>
        </w:rPr>
        <w:fldChar w:fldCharType="end"/>
      </w:r>
      <w:bookmarkStart w:id="0" w:name="_Toc134733479"/>
    </w:p>
    <w:p w14:paraId="5C6027B5">
      <w:pPr>
        <w:rPr>
          <w:color w:val="000000" w:themeColor="text1"/>
          <w14:textFill>
            <w14:solidFill>
              <w14:schemeClr w14:val="tx1"/>
            </w14:solidFill>
          </w14:textFill>
        </w:rPr>
      </w:pPr>
    </w:p>
    <w:p w14:paraId="3795F67A">
      <w:pPr>
        <w:rPr>
          <w:color w:val="000000" w:themeColor="text1"/>
          <w14:textFill>
            <w14:solidFill>
              <w14:schemeClr w14:val="tx1"/>
            </w14:solidFill>
          </w14:textFill>
        </w:rPr>
      </w:pPr>
    </w:p>
    <w:p w14:paraId="04A1BEDC">
      <w:pPr>
        <w:rPr>
          <w:color w:val="000000" w:themeColor="text1"/>
          <w14:textFill>
            <w14:solidFill>
              <w14:schemeClr w14:val="tx1"/>
            </w14:solidFill>
          </w14:textFill>
        </w:rPr>
      </w:pPr>
    </w:p>
    <w:p w14:paraId="0A9E1F70">
      <w:pPr>
        <w:pStyle w:val="20"/>
        <w:rPr>
          <w:color w:val="000000" w:themeColor="text1"/>
          <w14:textFill>
            <w14:solidFill>
              <w14:schemeClr w14:val="tx1"/>
            </w14:solidFill>
          </w14:textFill>
        </w:rPr>
      </w:pPr>
    </w:p>
    <w:p w14:paraId="1C7EFA7C">
      <w:pPr>
        <w:pStyle w:val="20"/>
        <w:rPr>
          <w:color w:val="000000" w:themeColor="text1"/>
          <w14:textFill>
            <w14:solidFill>
              <w14:schemeClr w14:val="tx1"/>
            </w14:solidFill>
          </w14:textFill>
        </w:rPr>
      </w:pPr>
    </w:p>
    <w:p w14:paraId="16B32607">
      <w:pPr>
        <w:pStyle w:val="20"/>
        <w:rPr>
          <w:color w:val="000000" w:themeColor="text1"/>
          <w14:textFill>
            <w14:solidFill>
              <w14:schemeClr w14:val="tx1"/>
            </w14:solidFill>
          </w14:textFill>
        </w:rPr>
      </w:pPr>
    </w:p>
    <w:p w14:paraId="4B8EAB37">
      <w:pPr>
        <w:pStyle w:val="20"/>
        <w:rPr>
          <w:color w:val="000000" w:themeColor="text1"/>
          <w14:textFill>
            <w14:solidFill>
              <w14:schemeClr w14:val="tx1"/>
            </w14:solidFill>
          </w14:textFill>
        </w:rPr>
      </w:pPr>
    </w:p>
    <w:p w14:paraId="767DA952">
      <w:pPr>
        <w:pStyle w:val="20"/>
        <w:rPr>
          <w:color w:val="000000" w:themeColor="text1"/>
          <w14:textFill>
            <w14:solidFill>
              <w14:schemeClr w14:val="tx1"/>
            </w14:solidFill>
          </w14:textFill>
        </w:rPr>
      </w:pPr>
    </w:p>
    <w:p w14:paraId="596C7DB2">
      <w:pPr>
        <w:pStyle w:val="20"/>
        <w:rPr>
          <w:color w:val="000000" w:themeColor="text1"/>
          <w14:textFill>
            <w14:solidFill>
              <w14:schemeClr w14:val="tx1"/>
            </w14:solidFill>
          </w14:textFill>
        </w:rPr>
      </w:pPr>
    </w:p>
    <w:p w14:paraId="6F3F01FD">
      <w:pPr>
        <w:pStyle w:val="20"/>
        <w:rPr>
          <w:color w:val="000000" w:themeColor="text1"/>
          <w14:textFill>
            <w14:solidFill>
              <w14:schemeClr w14:val="tx1"/>
            </w14:solidFill>
          </w14:textFill>
        </w:rPr>
      </w:pPr>
    </w:p>
    <w:p w14:paraId="084A65B4">
      <w:pPr>
        <w:pStyle w:val="20"/>
        <w:rPr>
          <w:color w:val="000000" w:themeColor="text1"/>
          <w14:textFill>
            <w14:solidFill>
              <w14:schemeClr w14:val="tx1"/>
            </w14:solidFill>
          </w14:textFill>
        </w:rPr>
      </w:pPr>
    </w:p>
    <w:p w14:paraId="1502CCCC">
      <w:pPr>
        <w:pStyle w:val="20"/>
        <w:rPr>
          <w:color w:val="000000" w:themeColor="text1"/>
          <w14:textFill>
            <w14:solidFill>
              <w14:schemeClr w14:val="tx1"/>
            </w14:solidFill>
          </w14:textFill>
        </w:rPr>
      </w:pPr>
    </w:p>
    <w:p w14:paraId="06E21545">
      <w:pPr>
        <w:pStyle w:val="20"/>
        <w:rPr>
          <w:color w:val="000000" w:themeColor="text1"/>
          <w14:textFill>
            <w14:solidFill>
              <w14:schemeClr w14:val="tx1"/>
            </w14:solidFill>
          </w14:textFill>
        </w:rPr>
      </w:pPr>
    </w:p>
    <w:p w14:paraId="28AF90A5">
      <w:pPr>
        <w:pStyle w:val="20"/>
        <w:rPr>
          <w:color w:val="000000" w:themeColor="text1"/>
          <w14:textFill>
            <w14:solidFill>
              <w14:schemeClr w14:val="tx1"/>
            </w14:solidFill>
          </w14:textFill>
        </w:rPr>
      </w:pPr>
    </w:p>
    <w:p w14:paraId="377BD89B">
      <w:pPr>
        <w:pStyle w:val="20"/>
        <w:rPr>
          <w:color w:val="000000" w:themeColor="text1"/>
          <w14:textFill>
            <w14:solidFill>
              <w14:schemeClr w14:val="tx1"/>
            </w14:solidFill>
          </w14:textFill>
        </w:rPr>
      </w:pPr>
    </w:p>
    <w:p w14:paraId="6B1FDDDD">
      <w:pPr>
        <w:pStyle w:val="20"/>
        <w:rPr>
          <w:color w:val="000000" w:themeColor="text1"/>
          <w14:textFill>
            <w14:solidFill>
              <w14:schemeClr w14:val="tx1"/>
            </w14:solidFill>
          </w14:textFill>
        </w:rPr>
      </w:pPr>
    </w:p>
    <w:p w14:paraId="365B1983">
      <w:pPr>
        <w:pStyle w:val="20"/>
        <w:rPr>
          <w:color w:val="000000" w:themeColor="text1"/>
          <w14:textFill>
            <w14:solidFill>
              <w14:schemeClr w14:val="tx1"/>
            </w14:solidFill>
          </w14:textFill>
        </w:rPr>
      </w:pPr>
    </w:p>
    <w:p w14:paraId="753C2715">
      <w:pPr>
        <w:pStyle w:val="20"/>
        <w:rPr>
          <w:color w:val="000000" w:themeColor="text1"/>
          <w14:textFill>
            <w14:solidFill>
              <w14:schemeClr w14:val="tx1"/>
            </w14:solidFill>
          </w14:textFill>
        </w:rPr>
      </w:pPr>
    </w:p>
    <w:p w14:paraId="6D907470">
      <w:pPr>
        <w:pStyle w:val="3"/>
        <w:spacing w:before="120" w:after="120" w:line="400" w:lineRule="exact"/>
        <w:jc w:val="center"/>
        <w:rPr>
          <w:rFonts w:ascii="宋体" w:hAnsi="宋体" w:eastAsia="宋体"/>
          <w:color w:val="000000" w:themeColor="text1"/>
          <w:szCs w:val="32"/>
          <w14:textFill>
            <w14:solidFill>
              <w14:schemeClr w14:val="tx1"/>
            </w14:solidFill>
          </w14:textFill>
        </w:rPr>
      </w:pPr>
      <w:bookmarkStart w:id="1" w:name="_Toc137562986"/>
      <w:r>
        <w:rPr>
          <w:rFonts w:hint="eastAsia" w:ascii="宋体" w:hAnsi="宋体" w:eastAsia="宋体"/>
          <w:color w:val="000000" w:themeColor="text1"/>
          <w:szCs w:val="32"/>
          <w14:textFill>
            <w14:solidFill>
              <w14:schemeClr w14:val="tx1"/>
            </w14:solidFill>
          </w14:textFill>
        </w:rPr>
        <w:t>第一部分    磋商邀请</w:t>
      </w:r>
      <w:bookmarkEnd w:id="0"/>
      <w:bookmarkEnd w:id="1"/>
    </w:p>
    <w:p w14:paraId="2102179D">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福建鑫盛项目管理咨询有限公司</w:t>
      </w:r>
      <w:r>
        <w:rPr>
          <w:rFonts w:hint="eastAsia" w:ascii="宋体" w:hAnsi="宋体"/>
          <w:color w:val="000000" w:themeColor="text1"/>
          <w:szCs w:val="21"/>
          <w14:textFill>
            <w14:solidFill>
              <w14:schemeClr w14:val="tx1"/>
            </w14:solidFill>
          </w14:textFill>
        </w:rPr>
        <w:t>受</w:t>
      </w:r>
      <w:r>
        <w:rPr>
          <w:rFonts w:hint="eastAsia" w:ascii="宋体" w:hAnsi="宋体"/>
          <w:color w:val="000000" w:themeColor="text1"/>
          <w:szCs w:val="21"/>
          <w:u w:val="single"/>
          <w14:textFill>
            <w14:solidFill>
              <w14:schemeClr w14:val="tx1"/>
            </w14:solidFill>
          </w14:textFill>
        </w:rPr>
        <w:t>福建省德化第二中学</w:t>
      </w:r>
      <w:r>
        <w:rPr>
          <w:rFonts w:hint="eastAsia" w:ascii="宋体" w:hAnsi="宋体"/>
          <w:color w:val="000000" w:themeColor="text1"/>
          <w:szCs w:val="21"/>
          <w14:textFill>
            <w14:solidFill>
              <w14:schemeClr w14:val="tx1"/>
            </w14:solidFill>
          </w14:textFill>
        </w:rPr>
        <w:t>的委托，</w:t>
      </w:r>
      <w:r>
        <w:rPr>
          <w:rFonts w:hint="eastAsia" w:ascii="宋体" w:hAnsi="宋体"/>
          <w:color w:val="000000" w:themeColor="text1"/>
          <w:spacing w:val="-6"/>
          <w:szCs w:val="21"/>
          <w14:textFill>
            <w14:solidFill>
              <w14:schemeClr w14:val="tx1"/>
            </w14:solidFill>
          </w14:textFill>
        </w:rPr>
        <w:t>以</w:t>
      </w:r>
      <w:r>
        <w:rPr>
          <w:rFonts w:hint="eastAsia" w:ascii="宋体" w:hAnsi="宋体"/>
          <w:b/>
          <w:bCs/>
          <w:color w:val="000000" w:themeColor="text1"/>
          <w:spacing w:val="-6"/>
          <w:szCs w:val="21"/>
          <w:u w:val="single"/>
          <w14:textFill>
            <w14:solidFill>
              <w14:schemeClr w14:val="tx1"/>
            </w14:solidFill>
          </w14:textFill>
        </w:rPr>
        <w:t>竞争性磋商</w:t>
      </w:r>
      <w:r>
        <w:rPr>
          <w:rFonts w:hint="eastAsia" w:ascii="宋体" w:hAnsi="宋体"/>
          <w:bCs/>
          <w:color w:val="000000" w:themeColor="text1"/>
          <w:spacing w:val="-6"/>
          <w:szCs w:val="21"/>
          <w14:textFill>
            <w14:solidFill>
              <w14:schemeClr w14:val="tx1"/>
            </w14:solidFill>
          </w14:textFill>
        </w:rPr>
        <w:t>的</w:t>
      </w:r>
      <w:r>
        <w:rPr>
          <w:rFonts w:hint="eastAsia" w:ascii="宋体" w:hAnsi="宋体"/>
          <w:color w:val="000000" w:themeColor="text1"/>
          <w:spacing w:val="-6"/>
          <w:szCs w:val="21"/>
          <w14:textFill>
            <w14:solidFill>
              <w14:schemeClr w14:val="tx1"/>
            </w14:solidFill>
          </w14:textFill>
        </w:rPr>
        <w:t>方式对以下项目进行采购，欢迎合格的供应商参加磋商。</w:t>
      </w:r>
    </w:p>
    <w:p w14:paraId="718F0E15">
      <w:pPr>
        <w:numPr>
          <w:ilvl w:val="0"/>
          <w:numId w:val="1"/>
        </w:numPr>
        <w:tabs>
          <w:tab w:val="left" w:pos="4140"/>
          <w:tab w:val="left" w:pos="6660"/>
        </w:tabs>
        <w:spacing w:line="360" w:lineRule="auto"/>
        <w:ind w:firstLine="420" w:firstLineChars="200"/>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采购编号：</w:t>
      </w:r>
      <w:r>
        <w:rPr>
          <w:rFonts w:hint="eastAsia" w:ascii="宋体" w:hAnsi="宋体"/>
          <w:color w:val="000000" w:themeColor="text1"/>
          <w:szCs w:val="21"/>
          <w:u w:val="single"/>
          <w14:textFill>
            <w14:solidFill>
              <w14:schemeClr w14:val="tx1"/>
            </w14:solidFill>
          </w14:textFill>
        </w:rPr>
        <w:t>XSCGDH2024137S</w:t>
      </w:r>
    </w:p>
    <w:p w14:paraId="212C22AD">
      <w:pPr>
        <w:numPr>
          <w:ilvl w:val="0"/>
          <w:numId w:val="1"/>
        </w:numPr>
        <w:tabs>
          <w:tab w:val="left" w:pos="4140"/>
          <w:tab w:val="left" w:pos="6660"/>
        </w:tabs>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德化第二中学操场训练场地提级改造工程 </w:t>
      </w:r>
    </w:p>
    <w:p w14:paraId="6B7309B0">
      <w:pPr>
        <w:tabs>
          <w:tab w:val="left" w:pos="3630"/>
        </w:tabs>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三、项目内容、服务要求：详见本磋商文件第三部分。</w:t>
      </w:r>
    </w:p>
    <w:p w14:paraId="15A84E22">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四、磋商资格要求：  </w:t>
      </w:r>
    </w:p>
    <w:p w14:paraId="602C4233">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1、磋商供应商应符合《政府采购法》第二十二条、《政府采购法实施条例》第十九条第二款的规定条件；</w:t>
      </w:r>
    </w:p>
    <w:p w14:paraId="4DAF4D92">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磋商商供应商不得被列入严重失信主体名单、重大税收违法案件当事人名单、政府采购严重违法失信行为记录名单。磋商供应商须提供本项目采购公告发布日期之后通过“信用中国”网站(www.creditchina.gov.cn)、中国政府采购网(www.ccgp.gov.cn)查询其上述信用记录的信用信息查询结果网页打印件或截图；</w:t>
      </w:r>
    </w:p>
    <w:p w14:paraId="1FC8AF47">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本次采购项目预算金额为人民币壹拾伍万陆仟柒佰零肆元整（¥156704.00），超过预算金额的将视为无效磋商；</w:t>
      </w:r>
    </w:p>
    <w:p w14:paraId="6C1D3D9D">
      <w:pPr>
        <w:pStyle w:val="20"/>
        <w:ind w:left="0" w:leftChars="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4、磋商</w:t>
      </w:r>
      <w:r>
        <w:rPr>
          <w:rFonts w:hint="eastAsia" w:ascii="宋体" w:hAnsi="宋体"/>
          <w:color w:val="000000" w:themeColor="text1"/>
          <w:szCs w:val="21"/>
          <w14:textFill>
            <w14:solidFill>
              <w14:schemeClr w14:val="tx1"/>
            </w14:solidFill>
          </w14:textFill>
        </w:rPr>
        <w:t>供应商须具备建设行政主管部门核发有效的</w:t>
      </w:r>
      <w:r>
        <w:rPr>
          <w:rFonts w:hint="eastAsia" w:ascii="宋体" w:hAnsi="宋体"/>
          <w:color w:val="000000" w:themeColor="text1"/>
          <w:szCs w:val="21"/>
          <w14:textFill>
            <w14:solidFill>
              <w14:schemeClr w14:val="tx1"/>
            </w14:solidFill>
          </w14:textFill>
        </w:rPr>
        <w:t>叁级及以上建筑工程施工总承包资质</w:t>
      </w:r>
      <w:r>
        <w:rPr>
          <w:rFonts w:hint="eastAsia" w:ascii="宋体" w:hAnsi="宋体"/>
          <w:color w:val="000000" w:themeColor="text1"/>
          <w:szCs w:val="21"/>
          <w14:textFill>
            <w14:solidFill>
              <w14:schemeClr w14:val="tx1"/>
            </w14:solidFill>
          </w14:textFill>
        </w:rPr>
        <w:t>并具备《施工企业安全生产许可证》</w:t>
      </w:r>
      <w:r>
        <w:rPr>
          <w:rFonts w:hint="eastAsia" w:ascii="宋体" w:hAnsi="宋体"/>
          <w:color w:val="000000" w:themeColor="text1"/>
          <w14:textFill>
            <w14:solidFill>
              <w14:schemeClr w14:val="tx1"/>
            </w14:solidFill>
          </w14:textFill>
        </w:rPr>
        <w:t>。</w:t>
      </w:r>
    </w:p>
    <w:p w14:paraId="525B741E">
      <w:pPr>
        <w:spacing w:line="360" w:lineRule="auto"/>
        <w:ind w:left="420" w:left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5、本项目不接受联合体参加磋商。</w:t>
      </w:r>
    </w:p>
    <w:p w14:paraId="6A23210F">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五、磋商公告期限：</w:t>
      </w:r>
      <w:r>
        <w:rPr>
          <w:rFonts w:hint="eastAsia" w:ascii="宋体" w:hAnsi="宋体"/>
          <w:color w:val="000000" w:themeColor="text1"/>
          <w:szCs w:val="21"/>
          <w:u w:val="single"/>
          <w14:textFill>
            <w14:solidFill>
              <w14:schemeClr w14:val="tx1"/>
            </w14:solidFill>
          </w14:textFill>
        </w:rPr>
        <w:t>2024</w:t>
      </w:r>
      <w:r>
        <w:rPr>
          <w:rFonts w:hint="eastAsia" w:ascii="宋体" w:hAnsi="宋体"/>
          <w:color w:val="000000" w:themeColor="text1"/>
          <w:szCs w:val="21"/>
          <w14:textFill>
            <w14:solidFill>
              <w14:schemeClr w14:val="tx1"/>
            </w14:solidFill>
          </w14:textFill>
        </w:rPr>
        <w:t xml:space="preserve">年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日起至</w:t>
      </w:r>
      <w:r>
        <w:rPr>
          <w:rFonts w:hint="eastAsia" w:ascii="宋体" w:hAnsi="宋体"/>
          <w:color w:val="000000" w:themeColor="text1"/>
          <w:szCs w:val="21"/>
          <w:u w:val="single"/>
          <w14:textFill>
            <w14:solidFill>
              <w14:schemeClr w14:val="tx1"/>
            </w14:solidFill>
          </w14:textFill>
        </w:rPr>
        <w:t>2024</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日止。</w:t>
      </w:r>
    </w:p>
    <w:p w14:paraId="70F6F9D7">
      <w:pPr>
        <w:spacing w:line="360" w:lineRule="auto"/>
        <w:ind w:firstLine="420" w:firstLineChars="2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六、购买磋商文件时间：</w:t>
      </w:r>
      <w:r>
        <w:rPr>
          <w:rFonts w:hint="eastAsia" w:ascii="宋体" w:hAnsi="宋体"/>
          <w:color w:val="000000" w:themeColor="text1"/>
          <w:szCs w:val="21"/>
          <w:u w:val="single"/>
          <w14:textFill>
            <w14:solidFill>
              <w14:schemeClr w14:val="tx1"/>
            </w14:solidFill>
          </w14:textFill>
        </w:rPr>
        <w:t>2024</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日起至</w:t>
      </w:r>
      <w:r>
        <w:rPr>
          <w:rFonts w:hint="eastAsia" w:ascii="宋体" w:hAnsi="宋体"/>
          <w:color w:val="000000" w:themeColor="text1"/>
          <w:szCs w:val="21"/>
          <w:u w:val="single"/>
          <w14:textFill>
            <w14:solidFill>
              <w14:schemeClr w14:val="tx1"/>
            </w14:solidFill>
          </w14:textFill>
        </w:rPr>
        <w:t>2024</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日止，每天上午8：</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0～1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0时，下午14：</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0～17：30时(北京时间)；磋商文件(纸质或电子版)每套售价200元，</w:t>
      </w:r>
      <w:r>
        <w:rPr>
          <w:rFonts w:hint="eastAsia" w:ascii="宋体" w:hAnsi="宋体" w:cs="宋体"/>
          <w:color w:val="000000" w:themeColor="text1"/>
          <w:kern w:val="0"/>
          <w:szCs w:val="21"/>
          <w14:textFill>
            <w14:solidFill>
              <w14:schemeClr w14:val="tx1"/>
            </w14:solidFill>
          </w14:textFill>
        </w:rPr>
        <w:t>一经出售，</w:t>
      </w:r>
      <w:r>
        <w:rPr>
          <w:rFonts w:hint="eastAsia" w:ascii="宋体" w:hAnsi="宋体"/>
          <w:color w:val="000000" w:themeColor="text1"/>
          <w:szCs w:val="21"/>
          <w14:textFill>
            <w14:solidFill>
              <w14:schemeClr w14:val="tx1"/>
            </w14:solidFill>
          </w14:textFill>
        </w:rPr>
        <w:t>谢绝退还。若需邮寄，请加付邮寄费50元；对邮寄过程中可能发生的延误或丢失，代理机构概不负责。</w:t>
      </w:r>
      <w:r>
        <w:rPr>
          <w:rFonts w:hint="eastAsia" w:ascii="宋体" w:hAnsi="宋体"/>
          <w:b/>
          <w:color w:val="000000" w:themeColor="text1"/>
          <w:szCs w:val="21"/>
          <w14:textFill>
            <w14:solidFill>
              <w14:schemeClr w14:val="tx1"/>
            </w14:solidFill>
          </w14:textFill>
        </w:rPr>
        <w:t>磋商供应商购买磋商文件后，应将交易登记卡保存好，在递交磋商响应文件时必须提供交易登记卡给我司核对，否则其磋商响应文件恕不接受。若出现磋商供应商伪造交易登记卡，将取消其磋商资格</w:t>
      </w:r>
      <w:r>
        <w:rPr>
          <w:rFonts w:ascii="宋体" w:hAnsi="宋体"/>
          <w:b/>
          <w:color w:val="000000" w:themeColor="text1"/>
          <w:szCs w:val="21"/>
          <w14:textFill>
            <w14:solidFill>
              <w14:schemeClr w14:val="tx1"/>
            </w14:solidFill>
          </w14:textFill>
        </w:rPr>
        <w:t>。</w:t>
      </w:r>
    </w:p>
    <w:p w14:paraId="220881F2">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七、提交磋商响应文件截止时间：</w:t>
      </w:r>
      <w:r>
        <w:rPr>
          <w:rFonts w:hint="eastAsia" w:ascii="宋体" w:hAnsi="宋体"/>
          <w:color w:val="000000" w:themeColor="text1"/>
          <w:szCs w:val="21"/>
          <w:u w:val="single"/>
          <w14:textFill>
            <w14:solidFill>
              <w14:schemeClr w14:val="tx1"/>
            </w14:solidFill>
          </w14:textFill>
        </w:rPr>
        <w:t>2024</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r>
        <w:rPr>
          <w:rFonts w:hint="eastAsia" w:ascii="宋体" w:hAnsi="宋体"/>
          <w:color w:val="000000" w:themeColor="text1"/>
          <w:szCs w:val="21"/>
          <w:u w:val="single"/>
          <w14:textFill>
            <w14:solidFill>
              <w14:schemeClr w14:val="tx1"/>
            </w14:solidFill>
          </w14:textFill>
        </w:rPr>
        <w:t>15:3</w:t>
      </w:r>
      <w:r>
        <w:rPr>
          <w:rFonts w:ascii="宋体" w:hAnsi="宋体"/>
          <w:color w:val="000000" w:themeColor="text1"/>
          <w:szCs w:val="21"/>
          <w:u w:val="single"/>
          <w14:textFill>
            <w14:solidFill>
              <w14:schemeClr w14:val="tx1"/>
            </w14:solidFill>
          </w14:textFill>
        </w:rPr>
        <w:t>0</w:t>
      </w:r>
      <w:r>
        <w:rPr>
          <w:rFonts w:hint="eastAsia" w:ascii="宋体" w:hAnsi="宋体"/>
          <w:color w:val="000000" w:themeColor="text1"/>
          <w:szCs w:val="21"/>
          <w14:textFill>
            <w14:solidFill>
              <w14:schemeClr w14:val="tx1"/>
            </w14:solidFill>
          </w14:textFill>
        </w:rPr>
        <w:t>时(北京时间)。届时请磋商代表出席，逾期送达或不符合磋商文件规定的磋商响应文件恕不接受。</w:t>
      </w:r>
    </w:p>
    <w:p w14:paraId="5242FEE9">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八、磋商开始时间：</w:t>
      </w:r>
      <w:r>
        <w:rPr>
          <w:rFonts w:hint="eastAsia" w:ascii="宋体" w:hAnsi="宋体"/>
          <w:color w:val="000000" w:themeColor="text1"/>
          <w:szCs w:val="21"/>
          <w:u w:val="single"/>
          <w14:textFill>
            <w14:solidFill>
              <w14:schemeClr w14:val="tx1"/>
            </w14:solidFill>
          </w14:textFill>
        </w:rPr>
        <w:t xml:space="preserve"> 2024</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r>
        <w:rPr>
          <w:rFonts w:hint="eastAsia" w:ascii="宋体" w:hAnsi="宋体"/>
          <w:color w:val="000000" w:themeColor="text1"/>
          <w:szCs w:val="21"/>
          <w:u w:val="single"/>
          <w14:textFill>
            <w14:solidFill>
              <w14:schemeClr w14:val="tx1"/>
            </w14:solidFill>
          </w14:textFill>
        </w:rPr>
        <w:t>15:3</w:t>
      </w:r>
      <w:r>
        <w:rPr>
          <w:rFonts w:ascii="宋体" w:hAnsi="宋体"/>
          <w:color w:val="000000" w:themeColor="text1"/>
          <w:szCs w:val="21"/>
          <w:u w:val="single"/>
          <w14:textFill>
            <w14:solidFill>
              <w14:schemeClr w14:val="tx1"/>
            </w14:solidFill>
          </w14:textFill>
        </w:rPr>
        <w:t>0</w:t>
      </w:r>
      <w:r>
        <w:rPr>
          <w:rFonts w:hint="eastAsia" w:ascii="宋体" w:hAnsi="宋体"/>
          <w:color w:val="000000" w:themeColor="text1"/>
          <w:szCs w:val="21"/>
          <w14:textFill>
            <w14:solidFill>
              <w14:schemeClr w14:val="tx1"/>
            </w14:solidFill>
          </w14:textFill>
        </w:rPr>
        <w:t>时(北京时间)</w:t>
      </w:r>
    </w:p>
    <w:p w14:paraId="59114C4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九、磋商文件发售、磋商响应文件递交及磋商地点：福建鑫盛项目管理咨询有限公司德化分公司地址：福建省泉州市德化县浔中镇新华书店五楼)</w:t>
      </w:r>
    </w:p>
    <w:p w14:paraId="0379FD04">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十、凡对本次采购有疑义的，请以信函、电话、传真或来人与我司联系，联系人：小邓，联系电话：18020659087，传真：0595-28252555，邮编 362500。采购单位：福建省德化第二中学(地址：泉州市德化县龙浔镇实验小学分校西南角）。联系人：苏先生，联系电话：13599215518。</w:t>
      </w:r>
    </w:p>
    <w:p w14:paraId="7738550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十一、有关本次</w:t>
      </w:r>
      <w:r>
        <w:rPr>
          <w:rFonts w:hint="eastAsia" w:ascii="宋体" w:hAnsi="宋体"/>
          <w:color w:val="000000" w:themeColor="text1"/>
          <w:spacing w:val="-6"/>
          <w:szCs w:val="21"/>
          <w14:textFill>
            <w14:solidFill>
              <w14:schemeClr w14:val="tx1"/>
            </w14:solidFill>
          </w14:textFill>
        </w:rPr>
        <w:t>磋商</w:t>
      </w:r>
      <w:r>
        <w:rPr>
          <w:rFonts w:hint="eastAsia" w:ascii="宋体" w:hAnsi="宋体"/>
          <w:color w:val="000000" w:themeColor="text1"/>
          <w:szCs w:val="21"/>
          <w14:textFill>
            <w14:solidFill>
              <w14:schemeClr w14:val="tx1"/>
            </w14:solidFill>
          </w14:textFill>
        </w:rPr>
        <w:t>的相关信息(包括</w:t>
      </w:r>
      <w:r>
        <w:rPr>
          <w:rFonts w:hint="eastAsia" w:ascii="宋体" w:hAnsi="宋体"/>
          <w:color w:val="000000" w:themeColor="text1"/>
          <w:spacing w:val="-6"/>
          <w:szCs w:val="21"/>
          <w14:textFill>
            <w14:solidFill>
              <w14:schemeClr w14:val="tx1"/>
            </w14:solidFill>
          </w14:textFill>
        </w:rPr>
        <w:t>磋商</w:t>
      </w:r>
      <w:r>
        <w:rPr>
          <w:rFonts w:hint="eastAsia" w:ascii="宋体" w:hAnsi="宋体"/>
          <w:color w:val="000000" w:themeColor="text1"/>
          <w:szCs w:val="21"/>
          <w14:textFill>
            <w14:solidFill>
              <w14:schemeClr w14:val="tx1"/>
            </w14:solidFill>
          </w14:textFill>
        </w:rPr>
        <w:t>文件若有修改)都将在以下采购信息发布媒体</w:t>
      </w:r>
      <w:r>
        <w:rPr>
          <w:rFonts w:hint="eastAsia" w:ascii="宋体" w:hAnsi="宋体"/>
          <w:color w:val="000000" w:themeColor="text1"/>
          <w:szCs w:val="21"/>
          <w14:textFill>
            <w14:solidFill>
              <w14:schemeClr w14:val="tx1"/>
            </w14:solidFill>
          </w14:textFill>
        </w:rPr>
        <w:t>中国政府采购网（www.ccgp.gov.cn）</w:t>
      </w:r>
      <w:r>
        <w:rPr>
          <w:rFonts w:hint="eastAsia" w:ascii="宋体" w:hAnsi="宋体"/>
          <w:color w:val="000000" w:themeColor="text1"/>
          <w:szCs w:val="21"/>
          <w14:textFill>
            <w14:solidFill>
              <w14:schemeClr w14:val="tx1"/>
            </w14:solidFill>
          </w14:textFill>
        </w:rPr>
        <w:t>上公布，请潜在供应商随时关注相关网站，以免错漏重要信息。</w:t>
      </w:r>
    </w:p>
    <w:p w14:paraId="3A89E4A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三、根据《政府采购法》第五十二条及《政府采购法实施条例》第五十三条规定，供应商认为采购文件、采购过程和中标、成交结果使自己的权益受到损害的，可以在知道或者应知其权益受到损害之日（对采购文件质疑的，可在收到采购文件之日或者采购文件公告期限届满之日；对采购过程质疑的，可在各采购程序环节结束之日；对中标、成交结果质疑的，可以在中标、成交结果公告期限届满之日）起七个工作日内，均以书面形式向采购人提出质疑。口头质疑或质疑期限届满后提出的质疑不予接受。</w:t>
      </w:r>
    </w:p>
    <w:p w14:paraId="52268815">
      <w:pPr>
        <w:spacing w:line="360" w:lineRule="auto"/>
        <w:ind w:firstLine="420" w:firstLineChars="200"/>
        <w:rPr>
          <w:rFonts w:ascii="宋体" w:hAnsi="宋体"/>
          <w:color w:val="000000" w:themeColor="text1"/>
          <w:szCs w:val="21"/>
          <w14:textFill>
            <w14:solidFill>
              <w14:schemeClr w14:val="tx1"/>
            </w14:solidFill>
          </w14:textFill>
        </w:rPr>
      </w:pPr>
    </w:p>
    <w:p w14:paraId="697BF576">
      <w:pPr>
        <w:spacing w:line="360" w:lineRule="auto"/>
        <w:ind w:firstLine="6561" w:firstLineChars="3112"/>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福建鑫盛项目管理咨询有限公司</w:t>
      </w:r>
    </w:p>
    <w:p w14:paraId="50320A6A">
      <w:pPr>
        <w:spacing w:line="360" w:lineRule="auto"/>
        <w:ind w:firstLine="7168" w:firstLineChars="3400"/>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20</w:t>
      </w:r>
      <w:r>
        <w:rPr>
          <w:rFonts w:ascii="宋体" w:hAnsi="宋体"/>
          <w:b/>
          <w:bCs/>
          <w:color w:val="000000" w:themeColor="text1"/>
          <w:szCs w:val="21"/>
          <w14:textFill>
            <w14:solidFill>
              <w14:schemeClr w14:val="tx1"/>
            </w14:solidFill>
          </w14:textFill>
        </w:rPr>
        <w:t>2</w:t>
      </w:r>
      <w:r>
        <w:rPr>
          <w:rFonts w:hint="eastAsia" w:ascii="宋体" w:hAnsi="宋体"/>
          <w:b/>
          <w:bCs/>
          <w:color w:val="000000" w:themeColor="text1"/>
          <w:szCs w:val="21"/>
          <w14:textFill>
            <w14:solidFill>
              <w14:schemeClr w14:val="tx1"/>
            </w14:solidFill>
          </w14:textFill>
        </w:rPr>
        <w:t>4年  月  日</w:t>
      </w:r>
    </w:p>
    <w:p w14:paraId="70B6B191">
      <w:pPr>
        <w:spacing w:line="360" w:lineRule="auto"/>
        <w:ind w:firstLine="6664" w:firstLineChars="3161"/>
        <w:rPr>
          <w:rFonts w:ascii="宋体" w:hAnsi="宋体"/>
          <w:b/>
          <w:bCs/>
          <w:color w:val="000000" w:themeColor="text1"/>
          <w:szCs w:val="21"/>
          <w14:textFill>
            <w14:solidFill>
              <w14:schemeClr w14:val="tx1"/>
            </w14:solidFill>
          </w14:textFill>
        </w:rPr>
      </w:pPr>
    </w:p>
    <w:p w14:paraId="6D0566D3">
      <w:pPr>
        <w:spacing w:line="340" w:lineRule="exact"/>
        <w:rPr>
          <w:rFonts w:ascii="宋体" w:hAnsi="宋体"/>
          <w:b/>
          <w:bCs/>
          <w:color w:val="000000" w:themeColor="text1"/>
          <w:szCs w:val="21"/>
          <w14:textFill>
            <w14:solidFill>
              <w14:schemeClr w14:val="tx1"/>
            </w14:solidFill>
          </w14:textFill>
        </w:rPr>
      </w:pPr>
    </w:p>
    <w:p w14:paraId="691F4FBA">
      <w:pPr>
        <w:spacing w:line="340" w:lineRule="exact"/>
        <w:rPr>
          <w:rFonts w:ascii="宋体" w:hAnsi="宋体"/>
          <w:b/>
          <w:bCs/>
          <w:color w:val="000000" w:themeColor="text1"/>
          <w:szCs w:val="21"/>
          <w14:textFill>
            <w14:solidFill>
              <w14:schemeClr w14:val="tx1"/>
            </w14:solidFill>
          </w14:textFill>
        </w:rPr>
      </w:pPr>
    </w:p>
    <w:p w14:paraId="701BF31F">
      <w:pPr>
        <w:spacing w:line="340" w:lineRule="exact"/>
        <w:rPr>
          <w:rFonts w:ascii="宋体" w:hAnsi="宋体"/>
          <w:b/>
          <w:bCs/>
          <w:color w:val="000000" w:themeColor="text1"/>
          <w:szCs w:val="21"/>
          <w14:textFill>
            <w14:solidFill>
              <w14:schemeClr w14:val="tx1"/>
            </w14:solidFill>
          </w14:textFill>
        </w:rPr>
      </w:pPr>
    </w:p>
    <w:p w14:paraId="0C5717BE">
      <w:pPr>
        <w:spacing w:line="340" w:lineRule="exact"/>
        <w:rPr>
          <w:rFonts w:ascii="宋体" w:hAnsi="宋体"/>
          <w:b/>
          <w:bCs/>
          <w:color w:val="000000" w:themeColor="text1"/>
          <w:szCs w:val="21"/>
          <w14:textFill>
            <w14:solidFill>
              <w14:schemeClr w14:val="tx1"/>
            </w14:solidFill>
          </w14:textFill>
        </w:rPr>
      </w:pPr>
    </w:p>
    <w:p w14:paraId="785EC922">
      <w:pPr>
        <w:spacing w:line="340" w:lineRule="exact"/>
        <w:rPr>
          <w:rFonts w:ascii="宋体" w:hAnsi="宋体"/>
          <w:b/>
          <w:bCs/>
          <w:color w:val="000000" w:themeColor="text1"/>
          <w:szCs w:val="21"/>
          <w14:textFill>
            <w14:solidFill>
              <w14:schemeClr w14:val="tx1"/>
            </w14:solidFill>
          </w14:textFill>
        </w:rPr>
      </w:pPr>
    </w:p>
    <w:p w14:paraId="0A511EEA">
      <w:pPr>
        <w:spacing w:line="340" w:lineRule="exact"/>
        <w:rPr>
          <w:rFonts w:ascii="宋体" w:hAnsi="宋体"/>
          <w:b/>
          <w:bCs/>
          <w:color w:val="000000" w:themeColor="text1"/>
          <w:szCs w:val="21"/>
          <w14:textFill>
            <w14:solidFill>
              <w14:schemeClr w14:val="tx1"/>
            </w14:solidFill>
          </w14:textFill>
        </w:rPr>
      </w:pPr>
    </w:p>
    <w:p w14:paraId="019BE2CE">
      <w:pPr>
        <w:spacing w:line="340" w:lineRule="exact"/>
        <w:rPr>
          <w:rFonts w:ascii="宋体" w:hAnsi="宋体"/>
          <w:b/>
          <w:bCs/>
          <w:color w:val="000000" w:themeColor="text1"/>
          <w:szCs w:val="21"/>
          <w14:textFill>
            <w14:solidFill>
              <w14:schemeClr w14:val="tx1"/>
            </w14:solidFill>
          </w14:textFill>
        </w:rPr>
      </w:pPr>
    </w:p>
    <w:p w14:paraId="727586F9">
      <w:pPr>
        <w:spacing w:line="340" w:lineRule="exact"/>
        <w:rPr>
          <w:rFonts w:ascii="宋体" w:hAnsi="宋体"/>
          <w:b/>
          <w:bCs/>
          <w:color w:val="000000" w:themeColor="text1"/>
          <w:szCs w:val="21"/>
          <w14:textFill>
            <w14:solidFill>
              <w14:schemeClr w14:val="tx1"/>
            </w14:solidFill>
          </w14:textFill>
        </w:rPr>
      </w:pPr>
    </w:p>
    <w:p w14:paraId="227EC843">
      <w:pPr>
        <w:spacing w:line="340" w:lineRule="exact"/>
        <w:rPr>
          <w:rFonts w:ascii="宋体" w:hAnsi="宋体"/>
          <w:b/>
          <w:bCs/>
          <w:color w:val="000000" w:themeColor="text1"/>
          <w:szCs w:val="21"/>
          <w14:textFill>
            <w14:solidFill>
              <w14:schemeClr w14:val="tx1"/>
            </w14:solidFill>
          </w14:textFill>
        </w:rPr>
      </w:pPr>
    </w:p>
    <w:p w14:paraId="51EC050D">
      <w:pPr>
        <w:spacing w:line="340" w:lineRule="exact"/>
        <w:rPr>
          <w:rFonts w:ascii="宋体" w:hAnsi="宋体"/>
          <w:b/>
          <w:bCs/>
          <w:color w:val="000000" w:themeColor="text1"/>
          <w:szCs w:val="21"/>
          <w14:textFill>
            <w14:solidFill>
              <w14:schemeClr w14:val="tx1"/>
            </w14:solidFill>
          </w14:textFill>
        </w:rPr>
      </w:pPr>
    </w:p>
    <w:p w14:paraId="037FD8E2">
      <w:pPr>
        <w:spacing w:line="400" w:lineRule="exact"/>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r>
      <w:r>
        <w:rPr>
          <w:rFonts w:hint="eastAsia" w:ascii="宋体" w:hAnsi="宋体"/>
          <w:b/>
          <w:color w:val="000000" w:themeColor="text1"/>
          <w:sz w:val="32"/>
          <w:szCs w:val="32"/>
          <w14:textFill>
            <w14:solidFill>
              <w14:schemeClr w14:val="tx1"/>
            </w14:solidFill>
          </w14:textFill>
        </w:rPr>
        <w:t>附：</w:t>
      </w:r>
    </w:p>
    <w:p w14:paraId="27226612">
      <w:pPr>
        <w:spacing w:line="400" w:lineRule="exact"/>
        <w:jc w:val="center"/>
        <w:outlineLvl w:val="0"/>
        <w:rPr>
          <w:rFonts w:ascii="宋体" w:hAnsi="宋体"/>
          <w:b/>
          <w:color w:val="000000" w:themeColor="text1"/>
          <w:sz w:val="32"/>
          <w:szCs w:val="32"/>
          <w14:textFill>
            <w14:solidFill>
              <w14:schemeClr w14:val="tx1"/>
            </w14:solidFill>
          </w14:textFill>
        </w:rPr>
      </w:pPr>
      <w:bookmarkStart w:id="2" w:name="_Toc137562987"/>
      <w:bookmarkStart w:id="3" w:name="_Toc134733480"/>
      <w:r>
        <w:rPr>
          <w:rFonts w:hint="eastAsia" w:ascii="宋体" w:hAnsi="宋体"/>
          <w:b/>
          <w:color w:val="000000" w:themeColor="text1"/>
          <w:sz w:val="32"/>
          <w:szCs w:val="32"/>
          <w14:textFill>
            <w14:solidFill>
              <w14:schemeClr w14:val="tx1"/>
            </w14:solidFill>
          </w14:textFill>
        </w:rPr>
        <w:t>磋商项目一览表</w:t>
      </w:r>
      <w:bookmarkEnd w:id="2"/>
      <w:bookmarkEnd w:id="3"/>
    </w:p>
    <w:p w14:paraId="052BC461">
      <w:pPr>
        <w:pStyle w:val="20"/>
        <w:rPr>
          <w:color w:val="000000" w:themeColor="text1"/>
          <w14:textFill>
            <w14:solidFill>
              <w14:schemeClr w14:val="tx1"/>
            </w14:solidFill>
          </w14:textFill>
        </w:rPr>
      </w:pPr>
    </w:p>
    <w:tbl>
      <w:tblPr>
        <w:tblStyle w:val="34"/>
        <w:tblW w:w="4772"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4146"/>
        <w:gridCol w:w="1275"/>
        <w:gridCol w:w="2850"/>
      </w:tblGrid>
      <w:tr w14:paraId="76C41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03" w:type="pct"/>
            <w:vAlign w:val="center"/>
          </w:tcPr>
          <w:p w14:paraId="223DDD80">
            <w:pPr>
              <w:snapToGrid w:val="0"/>
              <w:spacing w:line="360" w:lineRule="auto"/>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序号</w:t>
            </w:r>
          </w:p>
        </w:tc>
        <w:tc>
          <w:tcPr>
            <w:tcW w:w="2204" w:type="pct"/>
            <w:vAlign w:val="center"/>
          </w:tcPr>
          <w:p w14:paraId="6F29D2E1">
            <w:pPr>
              <w:snapToGrid w:val="0"/>
              <w:spacing w:line="360" w:lineRule="auto"/>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项目名称</w:t>
            </w:r>
          </w:p>
        </w:tc>
        <w:tc>
          <w:tcPr>
            <w:tcW w:w="678" w:type="pct"/>
            <w:vAlign w:val="center"/>
          </w:tcPr>
          <w:p w14:paraId="087C3313">
            <w:pPr>
              <w:snapToGrid w:val="0"/>
              <w:spacing w:line="360" w:lineRule="auto"/>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数量</w:t>
            </w:r>
          </w:p>
        </w:tc>
        <w:tc>
          <w:tcPr>
            <w:tcW w:w="1515" w:type="pct"/>
            <w:vAlign w:val="center"/>
          </w:tcPr>
          <w:p w14:paraId="4B5FD229">
            <w:pPr>
              <w:snapToGrid w:val="0"/>
              <w:spacing w:line="360" w:lineRule="auto"/>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技术要求</w:t>
            </w:r>
          </w:p>
        </w:tc>
      </w:tr>
      <w:tr w14:paraId="0EC6F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603" w:type="pct"/>
            <w:vAlign w:val="center"/>
          </w:tcPr>
          <w:p w14:paraId="471B11BB">
            <w:pPr>
              <w:snapToGrid w:val="0"/>
              <w:spacing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p>
        </w:tc>
        <w:tc>
          <w:tcPr>
            <w:tcW w:w="2204" w:type="pct"/>
            <w:vAlign w:val="center"/>
          </w:tcPr>
          <w:p w14:paraId="52E77B40">
            <w:pPr>
              <w:snapToGrid w:val="0"/>
              <w:jc w:val="center"/>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德化第二中学操场训练场</w:t>
            </w:r>
            <w:bookmarkStart w:id="212" w:name="_GoBack"/>
            <w:bookmarkEnd w:id="212"/>
            <w:r>
              <w:rPr>
                <w:rFonts w:hint="eastAsia"/>
                <w:color w:val="000000" w:themeColor="text1"/>
                <w14:textFill>
                  <w14:solidFill>
                    <w14:schemeClr w14:val="tx1"/>
                  </w14:solidFill>
                </w14:textFill>
              </w:rPr>
              <w:t xml:space="preserve">地提级改造工程   </w:t>
            </w:r>
          </w:p>
        </w:tc>
        <w:tc>
          <w:tcPr>
            <w:tcW w:w="678" w:type="pct"/>
            <w:vAlign w:val="center"/>
          </w:tcPr>
          <w:p w14:paraId="739F58A6">
            <w:pPr>
              <w:snapToGrid w:val="0"/>
              <w:spacing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1项</w:t>
            </w:r>
          </w:p>
        </w:tc>
        <w:tc>
          <w:tcPr>
            <w:tcW w:w="1515" w:type="pct"/>
            <w:vAlign w:val="center"/>
          </w:tcPr>
          <w:p w14:paraId="176152F2">
            <w:pPr>
              <w:snapToGrid w:val="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详见本磋商文件第三部分</w:t>
            </w:r>
          </w:p>
        </w:tc>
      </w:tr>
    </w:tbl>
    <w:p w14:paraId="36C1C8C6">
      <w:pPr>
        <w:spacing w:line="400" w:lineRule="exact"/>
        <w:outlineLvl w:val="0"/>
        <w:rPr>
          <w:rFonts w:ascii="宋体" w:hAnsi="宋体"/>
          <w:b/>
          <w:color w:val="000000" w:themeColor="text1"/>
          <w:sz w:val="32"/>
          <w:szCs w:val="32"/>
          <w14:textFill>
            <w14:solidFill>
              <w14:schemeClr w14:val="tx1"/>
            </w14:solidFill>
          </w14:textFill>
        </w:rPr>
      </w:pPr>
    </w:p>
    <w:p w14:paraId="6598013F">
      <w:pPr>
        <w:tabs>
          <w:tab w:val="left" w:pos="8360"/>
        </w:tabs>
        <w:snapToGrid w:val="0"/>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 </w:t>
      </w:r>
    </w:p>
    <w:p w14:paraId="04533DE3">
      <w:pPr>
        <w:tabs>
          <w:tab w:val="left" w:pos="8360"/>
        </w:tabs>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1、本次采购为</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个合同包，对各合同包内所有品目号内容响应时必须完整。评标与授标以合同包为单位。</w:t>
      </w:r>
    </w:p>
    <w:p w14:paraId="1005B6B9">
      <w:pPr>
        <w:autoSpaceDE w:val="0"/>
        <w:autoSpaceDN w:val="0"/>
        <w:adjustRightIn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2、磋商供应商不得转包他人，若发现转包，采购人有权终止合同。</w:t>
      </w:r>
    </w:p>
    <w:p w14:paraId="07E281E6">
      <w:pPr>
        <w:pStyle w:val="20"/>
        <w:ind w:left="0" w:leftChars="0"/>
        <w:rPr>
          <w:color w:val="000000" w:themeColor="text1"/>
          <w14:textFill>
            <w14:solidFill>
              <w14:schemeClr w14:val="tx1"/>
            </w14:solidFill>
          </w14:textFill>
        </w:rPr>
      </w:pPr>
    </w:p>
    <w:p w14:paraId="747AECA4">
      <w:pPr>
        <w:spacing w:line="360" w:lineRule="exact"/>
        <w:rPr>
          <w:rFonts w:ascii="宋体" w:hAnsi="宋体"/>
          <w:color w:val="000000" w:themeColor="text1"/>
          <w:szCs w:val="21"/>
          <w14:textFill>
            <w14:solidFill>
              <w14:schemeClr w14:val="tx1"/>
            </w14:solidFill>
          </w14:textFill>
        </w:rPr>
      </w:pPr>
    </w:p>
    <w:p w14:paraId="443B00C8">
      <w:pPr>
        <w:spacing w:line="360" w:lineRule="exact"/>
        <w:rPr>
          <w:rFonts w:ascii="宋体" w:hAnsi="宋体"/>
          <w:color w:val="000000" w:themeColor="text1"/>
          <w:szCs w:val="21"/>
          <w14:textFill>
            <w14:solidFill>
              <w14:schemeClr w14:val="tx1"/>
            </w14:solidFill>
          </w14:textFill>
        </w:rPr>
      </w:pPr>
    </w:p>
    <w:p w14:paraId="1735D0E0">
      <w:pPr>
        <w:spacing w:line="400" w:lineRule="exact"/>
        <w:rPr>
          <w:rFonts w:ascii="Arial" w:hAnsi="Arial"/>
          <w:color w:val="000000" w:themeColor="text1"/>
          <w:sz w:val="24"/>
          <w14:textFill>
            <w14:solidFill>
              <w14:schemeClr w14:val="tx1"/>
            </w14:solidFill>
          </w14:textFill>
        </w:rPr>
      </w:pPr>
    </w:p>
    <w:p w14:paraId="3EB29207">
      <w:pPr>
        <w:spacing w:line="400" w:lineRule="exact"/>
        <w:rPr>
          <w:rFonts w:ascii="Arial" w:hAnsi="Arial"/>
          <w:color w:val="000000" w:themeColor="text1"/>
          <w:sz w:val="24"/>
          <w14:textFill>
            <w14:solidFill>
              <w14:schemeClr w14:val="tx1"/>
            </w14:solidFill>
          </w14:textFill>
        </w:rPr>
      </w:pPr>
    </w:p>
    <w:p w14:paraId="345E37C3">
      <w:pPr>
        <w:spacing w:line="400" w:lineRule="exact"/>
        <w:rPr>
          <w:rFonts w:ascii="Arial" w:hAnsi="Arial"/>
          <w:color w:val="000000" w:themeColor="text1"/>
          <w:sz w:val="24"/>
          <w14:textFill>
            <w14:solidFill>
              <w14:schemeClr w14:val="tx1"/>
            </w14:solidFill>
          </w14:textFill>
        </w:rPr>
      </w:pPr>
    </w:p>
    <w:p w14:paraId="1F83C554">
      <w:pPr>
        <w:spacing w:line="400" w:lineRule="exact"/>
        <w:rPr>
          <w:rFonts w:ascii="Arial" w:hAnsi="Arial"/>
          <w:color w:val="000000" w:themeColor="text1"/>
          <w:sz w:val="24"/>
          <w14:textFill>
            <w14:solidFill>
              <w14:schemeClr w14:val="tx1"/>
            </w14:solidFill>
          </w14:textFill>
        </w:rPr>
      </w:pPr>
    </w:p>
    <w:p w14:paraId="3CF4800F">
      <w:pPr>
        <w:spacing w:line="400" w:lineRule="exact"/>
        <w:rPr>
          <w:rFonts w:ascii="Arial" w:hAnsi="Arial"/>
          <w:color w:val="000000" w:themeColor="text1"/>
          <w:sz w:val="24"/>
          <w14:textFill>
            <w14:solidFill>
              <w14:schemeClr w14:val="tx1"/>
            </w14:solidFill>
          </w14:textFill>
        </w:rPr>
      </w:pPr>
    </w:p>
    <w:p w14:paraId="54001AD1">
      <w:pPr>
        <w:spacing w:line="400" w:lineRule="exact"/>
        <w:rPr>
          <w:rFonts w:ascii="Arial" w:hAnsi="Arial"/>
          <w:color w:val="000000" w:themeColor="text1"/>
          <w:sz w:val="24"/>
          <w14:textFill>
            <w14:solidFill>
              <w14:schemeClr w14:val="tx1"/>
            </w14:solidFill>
          </w14:textFill>
        </w:rPr>
      </w:pPr>
    </w:p>
    <w:p w14:paraId="05DB110D">
      <w:pPr>
        <w:spacing w:line="400" w:lineRule="exact"/>
        <w:rPr>
          <w:rFonts w:ascii="Arial" w:hAnsi="Arial"/>
          <w:color w:val="000000" w:themeColor="text1"/>
          <w:sz w:val="24"/>
          <w14:textFill>
            <w14:solidFill>
              <w14:schemeClr w14:val="tx1"/>
            </w14:solidFill>
          </w14:textFill>
        </w:rPr>
      </w:pPr>
    </w:p>
    <w:p w14:paraId="1D350608">
      <w:pPr>
        <w:spacing w:line="400" w:lineRule="exact"/>
        <w:rPr>
          <w:rFonts w:ascii="Arial" w:hAnsi="Arial"/>
          <w:color w:val="000000" w:themeColor="text1"/>
          <w:sz w:val="24"/>
          <w14:textFill>
            <w14:solidFill>
              <w14:schemeClr w14:val="tx1"/>
            </w14:solidFill>
          </w14:textFill>
        </w:rPr>
      </w:pPr>
    </w:p>
    <w:p w14:paraId="2411B0C3">
      <w:pPr>
        <w:spacing w:line="400" w:lineRule="exact"/>
        <w:rPr>
          <w:rFonts w:ascii="Arial" w:hAnsi="Arial"/>
          <w:color w:val="000000" w:themeColor="text1"/>
          <w:sz w:val="24"/>
          <w14:textFill>
            <w14:solidFill>
              <w14:schemeClr w14:val="tx1"/>
            </w14:solidFill>
          </w14:textFill>
        </w:rPr>
      </w:pPr>
    </w:p>
    <w:p w14:paraId="199AB70B">
      <w:pPr>
        <w:spacing w:line="400" w:lineRule="exact"/>
        <w:rPr>
          <w:rFonts w:ascii="Arial" w:hAnsi="Arial"/>
          <w:color w:val="000000" w:themeColor="text1"/>
          <w:sz w:val="24"/>
          <w14:textFill>
            <w14:solidFill>
              <w14:schemeClr w14:val="tx1"/>
            </w14:solidFill>
          </w14:textFill>
        </w:rPr>
      </w:pPr>
    </w:p>
    <w:p w14:paraId="38019D35">
      <w:pPr>
        <w:spacing w:line="400" w:lineRule="exact"/>
        <w:rPr>
          <w:rFonts w:ascii="Arial" w:hAnsi="Arial"/>
          <w:color w:val="000000" w:themeColor="text1"/>
          <w:sz w:val="24"/>
          <w14:textFill>
            <w14:solidFill>
              <w14:schemeClr w14:val="tx1"/>
            </w14:solidFill>
          </w14:textFill>
        </w:rPr>
      </w:pPr>
    </w:p>
    <w:p w14:paraId="004A3DBB">
      <w:pPr>
        <w:spacing w:line="400" w:lineRule="exact"/>
        <w:rPr>
          <w:rFonts w:ascii="Arial" w:hAnsi="Arial"/>
          <w:color w:val="000000" w:themeColor="text1"/>
          <w:sz w:val="24"/>
          <w14:textFill>
            <w14:solidFill>
              <w14:schemeClr w14:val="tx1"/>
            </w14:solidFill>
          </w14:textFill>
        </w:rPr>
      </w:pPr>
    </w:p>
    <w:p w14:paraId="5153BF9F">
      <w:pPr>
        <w:spacing w:line="400" w:lineRule="exact"/>
        <w:rPr>
          <w:rFonts w:ascii="Arial" w:hAnsi="Arial"/>
          <w:color w:val="000000" w:themeColor="text1"/>
          <w:sz w:val="24"/>
          <w14:textFill>
            <w14:solidFill>
              <w14:schemeClr w14:val="tx1"/>
            </w14:solidFill>
          </w14:textFill>
        </w:rPr>
      </w:pPr>
    </w:p>
    <w:p w14:paraId="124C7C45">
      <w:pPr>
        <w:spacing w:line="400" w:lineRule="exact"/>
        <w:rPr>
          <w:rFonts w:ascii="Arial" w:hAnsi="Arial"/>
          <w:color w:val="000000" w:themeColor="text1"/>
          <w:sz w:val="24"/>
          <w14:textFill>
            <w14:solidFill>
              <w14:schemeClr w14:val="tx1"/>
            </w14:solidFill>
          </w14:textFill>
        </w:rPr>
      </w:pPr>
    </w:p>
    <w:p w14:paraId="4478DAA2">
      <w:pPr>
        <w:spacing w:line="400" w:lineRule="exact"/>
        <w:rPr>
          <w:rFonts w:ascii="Arial" w:hAnsi="Arial"/>
          <w:color w:val="000000" w:themeColor="text1"/>
          <w:sz w:val="24"/>
          <w14:textFill>
            <w14:solidFill>
              <w14:schemeClr w14:val="tx1"/>
            </w14:solidFill>
          </w14:textFill>
        </w:rPr>
      </w:pPr>
    </w:p>
    <w:p w14:paraId="357873BA">
      <w:pPr>
        <w:spacing w:line="400" w:lineRule="exact"/>
        <w:rPr>
          <w:rFonts w:ascii="Arial" w:hAnsi="Arial"/>
          <w:color w:val="000000" w:themeColor="text1"/>
          <w:sz w:val="24"/>
          <w14:textFill>
            <w14:solidFill>
              <w14:schemeClr w14:val="tx1"/>
            </w14:solidFill>
          </w14:textFill>
        </w:rPr>
      </w:pPr>
    </w:p>
    <w:p w14:paraId="1DA4F2CD">
      <w:pPr>
        <w:spacing w:line="400" w:lineRule="exact"/>
        <w:rPr>
          <w:rFonts w:ascii="Arial" w:hAnsi="Arial"/>
          <w:color w:val="000000" w:themeColor="text1"/>
          <w:sz w:val="24"/>
          <w14:textFill>
            <w14:solidFill>
              <w14:schemeClr w14:val="tx1"/>
            </w14:solidFill>
          </w14:textFill>
        </w:rPr>
      </w:pPr>
    </w:p>
    <w:p w14:paraId="43552A8A">
      <w:pPr>
        <w:spacing w:line="400" w:lineRule="exact"/>
        <w:rPr>
          <w:rFonts w:ascii="Arial" w:hAnsi="Arial"/>
          <w:color w:val="000000" w:themeColor="text1"/>
          <w:sz w:val="24"/>
          <w14:textFill>
            <w14:solidFill>
              <w14:schemeClr w14:val="tx1"/>
            </w14:solidFill>
          </w14:textFill>
        </w:rPr>
      </w:pPr>
    </w:p>
    <w:p w14:paraId="58C8C499">
      <w:pPr>
        <w:spacing w:line="400" w:lineRule="exact"/>
        <w:rPr>
          <w:rFonts w:ascii="Arial" w:hAnsi="Arial"/>
          <w:color w:val="000000" w:themeColor="text1"/>
          <w:sz w:val="24"/>
          <w14:textFill>
            <w14:solidFill>
              <w14:schemeClr w14:val="tx1"/>
            </w14:solidFill>
          </w14:textFill>
        </w:rPr>
      </w:pPr>
    </w:p>
    <w:p w14:paraId="63101E30">
      <w:pPr>
        <w:spacing w:line="400" w:lineRule="exact"/>
        <w:rPr>
          <w:rFonts w:ascii="Arial" w:hAnsi="Arial"/>
          <w:color w:val="000000" w:themeColor="text1"/>
          <w:sz w:val="24"/>
          <w14:textFill>
            <w14:solidFill>
              <w14:schemeClr w14:val="tx1"/>
            </w14:solidFill>
          </w14:textFill>
        </w:rPr>
      </w:pPr>
    </w:p>
    <w:p w14:paraId="56160E02">
      <w:pPr>
        <w:pStyle w:val="3"/>
        <w:spacing w:before="120" w:after="120" w:line="400" w:lineRule="exact"/>
        <w:jc w:val="center"/>
        <w:rPr>
          <w:rFonts w:ascii="宋体" w:hAnsi="宋体" w:eastAsia="宋体"/>
          <w:color w:val="000000" w:themeColor="text1"/>
          <w:szCs w:val="32"/>
          <w14:textFill>
            <w14:solidFill>
              <w14:schemeClr w14:val="tx1"/>
            </w14:solidFill>
          </w14:textFill>
        </w:rPr>
      </w:pPr>
      <w:bookmarkStart w:id="4" w:name="_Toc134733482"/>
      <w:bookmarkStart w:id="5" w:name="_Toc137562988"/>
      <w:r>
        <w:rPr>
          <w:rFonts w:hint="eastAsia" w:ascii="宋体" w:hAnsi="宋体" w:eastAsia="宋体"/>
          <w:color w:val="000000" w:themeColor="text1"/>
          <w:szCs w:val="32"/>
          <w14:textFill>
            <w14:solidFill>
              <w14:schemeClr w14:val="tx1"/>
            </w14:solidFill>
          </w14:textFill>
        </w:rPr>
        <w:t xml:space="preserve">第二部分    </w:t>
      </w:r>
      <w:bookmarkEnd w:id="4"/>
      <w:r>
        <w:rPr>
          <w:rFonts w:hint="eastAsia" w:ascii="宋体" w:hAnsi="宋体" w:eastAsia="宋体"/>
          <w:color w:val="000000" w:themeColor="text1"/>
          <w:szCs w:val="32"/>
          <w14:textFill>
            <w14:solidFill>
              <w14:schemeClr w14:val="tx1"/>
            </w14:solidFill>
          </w14:textFill>
        </w:rPr>
        <w:t>磋商供应商须知</w:t>
      </w:r>
      <w:bookmarkEnd w:id="5"/>
    </w:p>
    <w:p w14:paraId="2C98F7E6">
      <w:pPr>
        <w:spacing w:before="156" w:beforeLines="50" w:after="156" w:afterLines="50" w:line="260" w:lineRule="exact"/>
        <w:jc w:val="center"/>
        <w:outlineLvl w:val="0"/>
        <w:rPr>
          <w:rFonts w:ascii="宋体" w:hAnsi="宋体"/>
          <w:b/>
          <w:color w:val="000000" w:themeColor="text1"/>
          <w:sz w:val="24"/>
          <w14:textFill>
            <w14:solidFill>
              <w14:schemeClr w14:val="tx1"/>
            </w14:solidFill>
          </w14:textFill>
        </w:rPr>
      </w:pPr>
      <w:bookmarkStart w:id="6" w:name="_Toc137562989"/>
      <w:r>
        <w:rPr>
          <w:rFonts w:hint="eastAsia" w:ascii="宋体" w:hAnsi="宋体"/>
          <w:b/>
          <w:color w:val="000000" w:themeColor="text1"/>
          <w:sz w:val="24"/>
          <w14:textFill>
            <w14:solidFill>
              <w14:schemeClr w14:val="tx1"/>
            </w14:solidFill>
          </w14:textFill>
        </w:rPr>
        <w:t>磋商供应商须知前附表</w:t>
      </w:r>
      <w:bookmarkEnd w:id="6"/>
    </w:p>
    <w:p w14:paraId="7DA450BA">
      <w:pPr>
        <w:spacing w:line="2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磋商供应商须知前附表是对磋商供应商须知的补充，二者如有矛盾，以前附表为准。</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9016"/>
      </w:tblGrid>
      <w:tr w14:paraId="14F7B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41" w:type="dxa"/>
            <w:vAlign w:val="center"/>
          </w:tcPr>
          <w:p w14:paraId="327F32F8">
            <w:pPr>
              <w:spacing w:line="360" w:lineRule="exact"/>
              <w:jc w:val="center"/>
              <w:rPr>
                <w:b/>
                <w:color w:val="000000" w:themeColor="text1"/>
                <w:szCs w:val="21"/>
                <w14:textFill>
                  <w14:solidFill>
                    <w14:schemeClr w14:val="tx1"/>
                  </w14:solidFill>
                </w14:textFill>
              </w:rPr>
            </w:pPr>
            <w:bookmarkStart w:id="7" w:name="_Toc134733483"/>
            <w:r>
              <w:rPr>
                <w:rFonts w:hint="eastAsia"/>
                <w:b/>
                <w:color w:val="000000" w:themeColor="text1"/>
                <w:szCs w:val="21"/>
                <w14:textFill>
                  <w14:solidFill>
                    <w14:schemeClr w14:val="tx1"/>
                  </w14:solidFill>
                </w14:textFill>
              </w:rPr>
              <w:t>条款号</w:t>
            </w:r>
          </w:p>
        </w:tc>
        <w:tc>
          <w:tcPr>
            <w:tcW w:w="9016" w:type="dxa"/>
            <w:vAlign w:val="center"/>
          </w:tcPr>
          <w:p w14:paraId="33D8303A">
            <w:pPr>
              <w:spacing w:line="36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内</w:t>
            </w:r>
            <w:r>
              <w:rPr>
                <w:b/>
                <w:color w:val="000000" w:themeColor="text1"/>
                <w:szCs w:val="21"/>
                <w14:textFill>
                  <w14:solidFill>
                    <w14:schemeClr w14:val="tx1"/>
                  </w14:solidFill>
                </w14:textFill>
              </w:rPr>
              <w:t xml:space="preserve">  </w:t>
            </w:r>
            <w:r>
              <w:rPr>
                <w:rFonts w:hint="eastAsia"/>
                <w:b/>
                <w:color w:val="000000" w:themeColor="text1"/>
                <w:szCs w:val="21"/>
                <w14:textFill>
                  <w14:solidFill>
                    <w14:schemeClr w14:val="tx1"/>
                  </w14:solidFill>
                </w14:textFill>
              </w:rPr>
              <w:t>容</w:t>
            </w:r>
          </w:p>
        </w:tc>
      </w:tr>
      <w:tr w14:paraId="61C9A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941" w:type="dxa"/>
            <w:vAlign w:val="center"/>
          </w:tcPr>
          <w:p w14:paraId="7F685312">
            <w:pPr>
              <w:spacing w:line="36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2.</w:t>
            </w:r>
            <w:r>
              <w:rPr>
                <w:b/>
                <w:color w:val="000000" w:themeColor="text1"/>
                <w:szCs w:val="21"/>
                <w14:textFill>
                  <w14:solidFill>
                    <w14:schemeClr w14:val="tx1"/>
                  </w14:solidFill>
                </w14:textFill>
              </w:rPr>
              <w:t>1</w:t>
            </w:r>
          </w:p>
        </w:tc>
        <w:tc>
          <w:tcPr>
            <w:tcW w:w="9016" w:type="dxa"/>
            <w:vAlign w:val="center"/>
          </w:tcPr>
          <w:p w14:paraId="19262EE4">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采购代理机构名称：福建鑫盛项目管理咨询有限公司；</w:t>
            </w:r>
          </w:p>
          <w:p w14:paraId="7E97460C">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电话：0595-28679988；传真：0595-28252555；邮编：362000；</w:t>
            </w:r>
          </w:p>
          <w:p w14:paraId="280AC0B4">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地址：福建省泉州市丰泽区海星街100号东海大厦B栋24层。</w:t>
            </w:r>
          </w:p>
        </w:tc>
      </w:tr>
      <w:tr w14:paraId="5EC0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41" w:type="dxa"/>
            <w:vAlign w:val="center"/>
          </w:tcPr>
          <w:p w14:paraId="7AD0D50B">
            <w:pPr>
              <w:spacing w:line="36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2.2</w:t>
            </w:r>
          </w:p>
        </w:tc>
        <w:tc>
          <w:tcPr>
            <w:tcW w:w="9016" w:type="dxa"/>
            <w:vAlign w:val="center"/>
          </w:tcPr>
          <w:p w14:paraId="47181FAE">
            <w:pPr>
              <w:spacing w:line="360" w:lineRule="exact"/>
              <w:rPr>
                <w:rFonts w:ascii="Arial" w:hAnsi="Arial"/>
                <w:color w:val="000000" w:themeColor="text1"/>
                <w:szCs w:val="21"/>
                <w14:textFill>
                  <w14:solidFill>
                    <w14:schemeClr w14:val="tx1"/>
                  </w14:solidFill>
                </w14:textFill>
              </w:rPr>
            </w:pPr>
            <w:r>
              <w:rPr>
                <w:rFonts w:hint="eastAsia" w:ascii="Arial" w:hAnsi="Arial"/>
                <w:color w:val="000000" w:themeColor="text1"/>
                <w:szCs w:val="21"/>
                <w14:textFill>
                  <w14:solidFill>
                    <w14:schemeClr w14:val="tx1"/>
                  </w14:solidFill>
                </w14:textFill>
              </w:rPr>
              <w:t>采购人： 福建省德化第二中学</w:t>
            </w:r>
          </w:p>
        </w:tc>
      </w:tr>
      <w:tr w14:paraId="21003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941" w:type="dxa"/>
            <w:vAlign w:val="center"/>
          </w:tcPr>
          <w:p w14:paraId="73C50843">
            <w:pPr>
              <w:spacing w:line="36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3.2</w:t>
            </w:r>
          </w:p>
        </w:tc>
        <w:tc>
          <w:tcPr>
            <w:tcW w:w="9016" w:type="dxa"/>
            <w:vAlign w:val="center"/>
          </w:tcPr>
          <w:p w14:paraId="6349D9FB">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磋商供应商参加本次政府采购活动应当符合资格条件：</w:t>
            </w:r>
          </w:p>
          <w:p w14:paraId="131F6EFA">
            <w:pPr>
              <w:spacing w:line="360" w:lineRule="exact"/>
              <w:rPr>
                <w:rFonts w:ascii="Arial" w:hAnsi="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详见本磋商文件的“第一部分磋商邀请第四条磋商资格要求”</w:t>
            </w:r>
          </w:p>
        </w:tc>
      </w:tr>
      <w:tr w14:paraId="482FC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941" w:type="dxa"/>
            <w:vAlign w:val="center"/>
          </w:tcPr>
          <w:p w14:paraId="561CC6F0">
            <w:pPr>
              <w:spacing w:line="36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15.1</w:t>
            </w:r>
          </w:p>
        </w:tc>
        <w:tc>
          <w:tcPr>
            <w:tcW w:w="9016" w:type="dxa"/>
            <w:vAlign w:val="center"/>
          </w:tcPr>
          <w:p w14:paraId="32604BC3">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磋商供应商必须在磋商文件中提供以下证明其有资格进行报价和有能力履行合同的文件(加盖磋商供应商公章)：</w:t>
            </w:r>
          </w:p>
          <w:p w14:paraId="5959E23B">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1、营业执照副本有效复印件；</w:t>
            </w:r>
          </w:p>
          <w:p w14:paraId="1DF8FDB8">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2、单位负责人对磋商代表的授权委托书原件(如单位负责人未参加时)；</w:t>
            </w:r>
          </w:p>
          <w:p w14:paraId="6F929F2A">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单位负责人</w:t>
            </w:r>
            <w:r>
              <w:rPr>
                <w:rFonts w:hint="eastAsia" w:ascii="宋体" w:hAnsi="宋体"/>
                <w:color w:val="000000" w:themeColor="text1"/>
                <w:szCs w:val="21"/>
                <w14:textFill>
                  <w14:solidFill>
                    <w14:schemeClr w14:val="tx1"/>
                  </w14:solidFill>
                </w14:textFill>
              </w:rPr>
              <w:t>身份证(双面复印)有效复印件；</w:t>
            </w:r>
          </w:p>
          <w:p w14:paraId="1201D817">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4、磋商代表身份证(双面复印)有效复印件；</w:t>
            </w:r>
          </w:p>
          <w:p w14:paraId="2CF75046">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5、磋商资格及磋商响应文件内容承诺书 (格式附后)；</w:t>
            </w:r>
          </w:p>
          <w:p w14:paraId="06BAD2F3">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提供磋商供应商2023年度的经审计的财务报告或银行资信证明，供应商参与磋商截止时间前六个月内任一个月有依法缴纳税收(提供相关机构出具的缴纳税收证明或免税证明)和社会保障资金(提供相关机构出具的社会保障资金缴费证明)的相关材料；</w:t>
            </w:r>
          </w:p>
          <w:p w14:paraId="0C27D947">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磋商商供应商不得被列入严重失信主体名单、重大税收违法案件当事人名单、政府采购严重违法失信行为记录名单。磋商供应商须提供本项目采购公告发布日期之后通过“信用中国”网站(www.creditchina.gov.cn)、中国政府采购网(www.ccgp.gov.cn)查询其上述信用记录的信用信息查询结果网页打印件或截图；</w:t>
            </w:r>
          </w:p>
          <w:p w14:paraId="32B72206">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w:t>
            </w:r>
            <w:r>
              <w:rPr>
                <w:rFonts w:hint="eastAsia"/>
                <w:color w:val="000000" w:themeColor="text1"/>
                <w14:textFill>
                  <w14:solidFill>
                    <w14:schemeClr w14:val="tx1"/>
                  </w14:solidFill>
                </w14:textFill>
              </w:rPr>
              <w:t>磋商</w:t>
            </w:r>
            <w:r>
              <w:rPr>
                <w:rFonts w:hint="eastAsia" w:ascii="宋体" w:hAnsi="宋体"/>
                <w:color w:val="000000" w:themeColor="text1"/>
                <w:szCs w:val="21"/>
                <w14:textFill>
                  <w14:solidFill>
                    <w14:schemeClr w14:val="tx1"/>
                  </w14:solidFill>
                </w14:textFill>
              </w:rPr>
              <w:t>供应商须具备建设行政主管部门核发有效</w:t>
            </w:r>
            <w:r>
              <w:rPr>
                <w:rFonts w:hint="eastAsia" w:ascii="宋体" w:hAnsi="宋体"/>
                <w:color w:val="000000" w:themeColor="text1"/>
                <w:szCs w:val="21"/>
                <w14:textFill>
                  <w14:solidFill>
                    <w14:schemeClr w14:val="tx1"/>
                  </w14:solidFill>
                </w14:textFill>
              </w:rPr>
              <w:t>的叁级及以上建筑工程施工总承包资质</w:t>
            </w:r>
            <w:r>
              <w:rPr>
                <w:rFonts w:hint="eastAsia" w:ascii="宋体" w:hAnsi="宋体"/>
                <w:color w:val="000000" w:themeColor="text1"/>
                <w:szCs w:val="21"/>
                <w14:textFill>
                  <w14:solidFill>
                    <w14:schemeClr w14:val="tx1"/>
                  </w14:solidFill>
                </w14:textFill>
              </w:rPr>
              <w:t>并具备《施工企业安全生产许可证》。</w:t>
            </w:r>
          </w:p>
          <w:p w14:paraId="5965D969">
            <w:pPr>
              <w:spacing w:line="360" w:lineRule="exact"/>
              <w:ind w:firstLine="422" w:firstLineChars="200"/>
              <w:rPr>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特别说明：磋商供应商必须对上述资格证明文件的真实性负责，原件备查；如果磋商供应商虚报上述证明文件骗取成交，其成交资格无效。</w:t>
            </w:r>
          </w:p>
        </w:tc>
      </w:tr>
      <w:tr w14:paraId="3985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41" w:type="dxa"/>
            <w:vAlign w:val="center"/>
          </w:tcPr>
          <w:p w14:paraId="7EF64566">
            <w:pPr>
              <w:spacing w:line="36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17.1.4</w:t>
            </w:r>
          </w:p>
        </w:tc>
        <w:tc>
          <w:tcPr>
            <w:tcW w:w="9016" w:type="dxa"/>
            <w:vAlign w:val="center"/>
          </w:tcPr>
          <w:p w14:paraId="08F812C7">
            <w:pPr>
              <w:spacing w:line="36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磋商保证金：本项目不要求。</w:t>
            </w:r>
          </w:p>
        </w:tc>
      </w:tr>
      <w:tr w14:paraId="0EA01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1" w:type="dxa"/>
            <w:vAlign w:val="center"/>
          </w:tcPr>
          <w:p w14:paraId="41A1BAC8">
            <w:pPr>
              <w:spacing w:line="36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17.2.1</w:t>
            </w:r>
          </w:p>
        </w:tc>
        <w:tc>
          <w:tcPr>
            <w:tcW w:w="9016" w:type="dxa"/>
            <w:vAlign w:val="center"/>
          </w:tcPr>
          <w:p w14:paraId="74B48E89">
            <w:pPr>
              <w:spacing w:line="36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履约保证金：</w:t>
            </w:r>
            <w:r>
              <w:rPr>
                <w:rFonts w:ascii="宋体" w:hAnsi="宋体" w:cs="宋体"/>
                <w:color w:val="000000" w:themeColor="text1"/>
                <w14:textFill>
                  <w14:solidFill>
                    <w14:schemeClr w14:val="tx1"/>
                  </w14:solidFill>
                </w14:textFill>
              </w:rPr>
              <w:t>是。履约保证金比例：2%。 说明：1、签订采购合同前应向采购人缴纳金额为合同总金额2%作为履约保证金。该履约保证金于本项目无质量问题且成交供应商无违约的前提下，从</w:t>
            </w:r>
            <w:r>
              <w:rPr>
                <w:rFonts w:ascii="宋体" w:hAnsi="宋体" w:cs="宋体"/>
                <w:color w:val="000000" w:themeColor="text1"/>
                <w14:textFill>
                  <w14:solidFill>
                    <w14:schemeClr w14:val="tx1"/>
                  </w14:solidFill>
                </w14:textFill>
              </w:rPr>
              <w:t>验收合格交付使用之日起满2年期后采</w:t>
            </w:r>
            <w:r>
              <w:rPr>
                <w:rFonts w:ascii="宋体" w:hAnsi="宋体" w:cs="宋体"/>
                <w:color w:val="000000" w:themeColor="text1"/>
                <w14:textFill>
                  <w14:solidFill>
                    <w14:schemeClr w14:val="tx1"/>
                  </w14:solidFill>
                </w14:textFill>
              </w:rPr>
              <w:t>购人在15个工作日内无息退还。</w:t>
            </w:r>
            <w:r>
              <w:rPr>
                <w:rFonts w:hint="eastAsia" w:ascii="宋体" w:hAnsi="宋体" w:cs="宋体"/>
                <w:color w:val="000000" w:themeColor="text1"/>
                <w14:textFill>
                  <w14:solidFill>
                    <w14:schemeClr w14:val="tx1"/>
                  </w14:solidFill>
                </w14:textFill>
              </w:rPr>
              <w:t>成交供应商</w:t>
            </w:r>
            <w:r>
              <w:rPr>
                <w:rFonts w:ascii="宋体" w:hAnsi="宋体" w:cs="宋体"/>
                <w:color w:val="000000" w:themeColor="text1"/>
                <w14:textFill>
                  <w14:solidFill>
                    <w14:schemeClr w14:val="tx1"/>
                  </w14:solidFill>
                </w14:textFill>
              </w:rPr>
              <w:t>未能按期提供履约保证金，视为自动放弃</w:t>
            </w:r>
            <w:r>
              <w:rPr>
                <w:rFonts w:hint="eastAsia" w:ascii="宋体" w:hAnsi="宋体" w:cs="宋体"/>
                <w:color w:val="000000" w:themeColor="text1"/>
                <w14:textFill>
                  <w14:solidFill>
                    <w14:schemeClr w14:val="tx1"/>
                  </w14:solidFill>
                </w14:textFill>
              </w:rPr>
              <w:t>成交资格</w:t>
            </w:r>
            <w:r>
              <w:rPr>
                <w:rFonts w:ascii="宋体" w:hAnsi="宋体" w:cs="宋体"/>
                <w:color w:val="000000" w:themeColor="text1"/>
                <w14:textFill>
                  <w14:solidFill>
                    <w14:schemeClr w14:val="tx1"/>
                  </w14:solidFill>
                </w14:textFill>
              </w:rPr>
              <w:t>，采购人不与其签订合同。2、履约保证金应在签订合前提交，提交方式为：银行转账、电汇、现金或银行保函（基本户开具）等形式</w:t>
            </w:r>
            <w:r>
              <w:rPr>
                <w:rFonts w:hint="eastAsia" w:ascii="宋体" w:hAnsi="宋体"/>
                <w:bCs/>
                <w:color w:val="000000" w:themeColor="text1"/>
                <w:szCs w:val="21"/>
                <w14:textFill>
                  <w14:solidFill>
                    <w14:schemeClr w14:val="tx1"/>
                  </w14:solidFill>
                </w14:textFill>
              </w:rPr>
              <w:t>。</w:t>
            </w:r>
          </w:p>
        </w:tc>
      </w:tr>
      <w:tr w14:paraId="32A90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941" w:type="dxa"/>
            <w:vAlign w:val="center"/>
          </w:tcPr>
          <w:p w14:paraId="5E6CEC31">
            <w:pPr>
              <w:spacing w:line="36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17.3.2</w:t>
            </w:r>
          </w:p>
        </w:tc>
        <w:tc>
          <w:tcPr>
            <w:tcW w:w="9016" w:type="dxa"/>
            <w:vAlign w:val="center"/>
          </w:tcPr>
          <w:p w14:paraId="63AF9F83">
            <w:pPr>
              <w:spacing w:line="35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成交服务费：经与采购人协商成交服务费向成交供应商收取，</w:t>
            </w:r>
            <w:r>
              <w:rPr>
                <w:rFonts w:hint="eastAsia" w:ascii="宋体" w:hAnsi="宋体"/>
                <w:color w:val="000000" w:themeColor="text1"/>
                <w:szCs w:val="21"/>
                <w14:textFill>
                  <w14:solidFill>
                    <w14:schemeClr w14:val="tx1"/>
                  </w14:solidFill>
                </w14:textFill>
              </w:rPr>
              <w:t>代理服务费经与采购人协商约定由成交供应商支付，按差额定率累进法计算。标准如下：100万元以下*1.0%，100万元-400万元*0.7%服务费不足叁仟元的按叁仟元收取。</w:t>
            </w:r>
          </w:p>
        </w:tc>
      </w:tr>
      <w:tr w14:paraId="19B31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41" w:type="dxa"/>
            <w:vAlign w:val="center"/>
          </w:tcPr>
          <w:p w14:paraId="540FAD05">
            <w:pPr>
              <w:spacing w:line="36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18.1</w:t>
            </w:r>
          </w:p>
        </w:tc>
        <w:tc>
          <w:tcPr>
            <w:tcW w:w="9016" w:type="dxa"/>
            <w:vAlign w:val="center"/>
          </w:tcPr>
          <w:p w14:paraId="47C69C17">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磋商有效期：自磋商开始之日起，磋商有效期为</w:t>
            </w:r>
            <w:r>
              <w:rPr>
                <w:color w:val="000000" w:themeColor="text1"/>
                <w:szCs w:val="21"/>
                <w14:textFill>
                  <w14:solidFill>
                    <w14:schemeClr w14:val="tx1"/>
                  </w14:solidFill>
                </w14:textFill>
              </w:rPr>
              <w:t>90</w:t>
            </w:r>
            <w:r>
              <w:rPr>
                <w:rFonts w:hint="eastAsia"/>
                <w:color w:val="000000" w:themeColor="text1"/>
                <w:szCs w:val="21"/>
                <w14:textFill>
                  <w14:solidFill>
                    <w14:schemeClr w14:val="tx1"/>
                  </w14:solidFill>
                </w14:textFill>
              </w:rPr>
              <w:t>天。</w:t>
            </w:r>
          </w:p>
        </w:tc>
      </w:tr>
      <w:tr w14:paraId="7700A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941" w:type="dxa"/>
            <w:vAlign w:val="center"/>
          </w:tcPr>
          <w:p w14:paraId="2619C6FD">
            <w:pPr>
              <w:spacing w:line="360" w:lineRule="exact"/>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19.1</w:t>
            </w:r>
          </w:p>
        </w:tc>
        <w:tc>
          <w:tcPr>
            <w:tcW w:w="9016" w:type="dxa"/>
            <w:vAlign w:val="center"/>
          </w:tcPr>
          <w:p w14:paraId="03E8836A">
            <w:pPr>
              <w:spacing w:line="360" w:lineRule="exact"/>
              <w:rPr>
                <w:rFonts w:ascii="黑体" w:eastAsia="黑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递交磋商响应文件的份数：磋商响应文件技术商务部份正本一份、副本叁份，报价部份正本一份、副本叁份；技术商务部份和报价部分按正本和副本分开密封；磋商响应文件技术商务部份正、副本中不得出现其他与总报价有关的任何价格内容。磋商响应文件必须采用胶装(为永久性、无破坏不可拆分)装订成册；不按规定提交磋商响应文件的供应商，将视为无效标。</w:t>
            </w:r>
          </w:p>
        </w:tc>
      </w:tr>
      <w:tr w14:paraId="38E4C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941" w:type="dxa"/>
            <w:vAlign w:val="center"/>
          </w:tcPr>
          <w:p w14:paraId="1986717E">
            <w:pPr>
              <w:spacing w:line="36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28</w:t>
            </w:r>
            <w:r>
              <w:rPr>
                <w:b/>
                <w:color w:val="000000" w:themeColor="text1"/>
                <w:szCs w:val="21"/>
                <w14:textFill>
                  <w14:solidFill>
                    <w14:schemeClr w14:val="tx1"/>
                  </w14:solidFill>
                </w14:textFill>
              </w:rPr>
              <w:t>.</w:t>
            </w:r>
            <w:r>
              <w:rPr>
                <w:rFonts w:hint="eastAsia"/>
                <w:b/>
                <w:color w:val="000000" w:themeColor="text1"/>
                <w:szCs w:val="21"/>
                <w14:textFill>
                  <w14:solidFill>
                    <w14:schemeClr w14:val="tx1"/>
                  </w14:solidFill>
                </w14:textFill>
              </w:rPr>
              <w:t>6</w:t>
            </w:r>
          </w:p>
        </w:tc>
        <w:tc>
          <w:tcPr>
            <w:tcW w:w="9016" w:type="dxa"/>
            <w:vAlign w:val="center"/>
          </w:tcPr>
          <w:p w14:paraId="1E6B422B">
            <w:pPr>
              <w:tabs>
                <w:tab w:val="left" w:pos="9344"/>
              </w:tabs>
              <w:spacing w:line="360" w:lineRule="exact"/>
              <w:jc w:val="left"/>
              <w:rPr>
                <w:rFonts w:ascii="宋体" w:hAns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评审方法：</w:t>
            </w:r>
            <w:r>
              <w:rPr>
                <w:rFonts w:hint="eastAsia" w:ascii="宋体" w:hAnsi="宋体"/>
                <w:color w:val="000000" w:themeColor="text1"/>
                <w:szCs w:val="21"/>
                <w14:textFill>
                  <w14:solidFill>
                    <w14:schemeClr w14:val="tx1"/>
                  </w14:solidFill>
                </w14:textFill>
              </w:rPr>
              <w:t>本次磋商采用</w:t>
            </w:r>
            <w:r>
              <w:rPr>
                <w:rFonts w:hint="eastAsia" w:ascii="宋体" w:hAnsi="宋体"/>
                <w:b/>
                <w:color w:val="000000" w:themeColor="text1"/>
                <w:szCs w:val="21"/>
                <w:u w:val="single"/>
                <w14:textFill>
                  <w14:solidFill>
                    <w14:schemeClr w14:val="tx1"/>
                  </w14:solidFill>
                </w14:textFill>
              </w:rPr>
              <w:t>综合评分法</w:t>
            </w:r>
            <w:r>
              <w:rPr>
                <w:rFonts w:hint="eastAsia" w:ascii="宋体" w:hAnsi="宋体"/>
                <w:color w:val="000000" w:themeColor="text1"/>
                <w:szCs w:val="21"/>
                <w14:textFill>
                  <w14:solidFill>
                    <w14:schemeClr w14:val="tx1"/>
                  </w14:solidFill>
                </w14:textFill>
              </w:rPr>
              <w:t>。（详见附件）</w:t>
            </w:r>
          </w:p>
        </w:tc>
      </w:tr>
      <w:tr w14:paraId="4B4C6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941" w:type="dxa"/>
            <w:vAlign w:val="center"/>
          </w:tcPr>
          <w:p w14:paraId="2A384E9B">
            <w:pPr>
              <w:spacing w:line="36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36.1</w:t>
            </w:r>
          </w:p>
        </w:tc>
        <w:tc>
          <w:tcPr>
            <w:tcW w:w="9016" w:type="dxa"/>
            <w:vAlign w:val="center"/>
          </w:tcPr>
          <w:p w14:paraId="7BBCDEC7">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成交供应商接到《成交通知书》后30天内，持《成交通知书》依法与采购人签订合同，逾期按磋商开始后撤回磋商响应处理。</w:t>
            </w:r>
          </w:p>
        </w:tc>
      </w:tr>
      <w:tr w14:paraId="7B16D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941" w:type="dxa"/>
            <w:vAlign w:val="center"/>
          </w:tcPr>
          <w:p w14:paraId="5B7E457F">
            <w:pPr>
              <w:spacing w:line="36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4.1</w:t>
            </w:r>
          </w:p>
        </w:tc>
        <w:tc>
          <w:tcPr>
            <w:tcW w:w="9016" w:type="dxa"/>
            <w:vAlign w:val="center"/>
          </w:tcPr>
          <w:p w14:paraId="42C61305">
            <w:pPr>
              <w:spacing w:line="360" w:lineRule="exact"/>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出现下列情形之一的，采购人或者采购代理机构将终止磋商采购活动，发布项目终止公告并说明原因，或重新开展采购活动：</w:t>
            </w:r>
          </w:p>
          <w:p w14:paraId="71929811">
            <w:pPr>
              <w:spacing w:line="360" w:lineRule="exact"/>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4.1.1因情况变化，不再符合规定的竞争性磋商采购方式适用情形的；</w:t>
            </w:r>
          </w:p>
          <w:p w14:paraId="4550D40F">
            <w:pPr>
              <w:spacing w:line="360" w:lineRule="exact"/>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4.1.2出现影响采购公正的违法、违规行为的；</w:t>
            </w:r>
          </w:p>
          <w:p w14:paraId="0570F5E9">
            <w:pPr>
              <w:spacing w:line="360" w:lineRule="exact"/>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4.1.3除《政府采购竞争性磋商采购方式管理暂行办法》第二十一条第三款规定的情形外，在采购过程中符合要求的供应商或者报价未超过采购预算的供应商不足3家的。</w:t>
            </w:r>
          </w:p>
          <w:p w14:paraId="09D52344">
            <w:pPr>
              <w:spacing w:line="360" w:lineRule="exact"/>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4.1.4因重大变故，采购任务取消的。</w:t>
            </w:r>
          </w:p>
        </w:tc>
      </w:tr>
      <w:tr w14:paraId="11F4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41" w:type="dxa"/>
            <w:vAlign w:val="center"/>
          </w:tcPr>
          <w:p w14:paraId="3D5DA6D9">
            <w:pPr>
              <w:spacing w:line="36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4.2</w:t>
            </w:r>
          </w:p>
        </w:tc>
        <w:tc>
          <w:tcPr>
            <w:tcW w:w="9016" w:type="dxa"/>
            <w:vAlign w:val="center"/>
          </w:tcPr>
          <w:p w14:paraId="70CF8BEB">
            <w:pPr>
              <w:spacing w:line="360" w:lineRule="exact"/>
              <w:rPr>
                <w:rFonts w:ascii="宋体" w:hAnsi="宋体"/>
                <w:color w:val="000000" w:themeColor="text1"/>
                <w:szCs w:val="21"/>
                <w:lang w:val="zh-CN"/>
                <w14:textFill>
                  <w14:solidFill>
                    <w14:schemeClr w14:val="tx1"/>
                  </w14:solidFill>
                </w14:textFill>
              </w:rPr>
            </w:pPr>
            <w:r>
              <w:rPr>
                <w:rFonts w:hint="eastAsia" w:ascii="宋体" w:hAnsi="宋体"/>
                <w:bCs/>
                <w:color w:val="000000" w:themeColor="text1"/>
                <w:szCs w:val="21"/>
                <w14:textFill>
                  <w14:solidFill>
                    <w14:schemeClr w14:val="tx1"/>
                  </w14:solidFill>
                </w14:textFill>
              </w:rPr>
              <w:t>无效磋商条款：</w:t>
            </w:r>
          </w:p>
          <w:p w14:paraId="00A94FC4">
            <w:pPr>
              <w:numPr>
                <w:ilvl w:val="0"/>
                <w:numId w:val="2"/>
              </w:numPr>
              <w:tabs>
                <w:tab w:val="left" w:pos="612"/>
              </w:tabs>
              <w:spacing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未在磋商截止时间前送达磋商响应文件的；</w:t>
            </w:r>
          </w:p>
          <w:p w14:paraId="73DF9B01">
            <w:pPr>
              <w:numPr>
                <w:ilvl w:val="0"/>
                <w:numId w:val="2"/>
              </w:numPr>
              <w:tabs>
                <w:tab w:val="left" w:pos="612"/>
              </w:tabs>
              <w:spacing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未符合磋商文件规定资格标准的或提供资格证明文件不全的；</w:t>
            </w:r>
          </w:p>
          <w:p w14:paraId="6279EDFA">
            <w:pPr>
              <w:numPr>
                <w:ilvl w:val="0"/>
                <w:numId w:val="2"/>
              </w:numPr>
              <w:tabs>
                <w:tab w:val="left" w:pos="612"/>
              </w:tabs>
              <w:spacing w:before="100" w:beforeAutospacing="1"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磋商响应文件未按照规定分为报价标和技术商务标的；未按照规定进行</w:t>
            </w:r>
            <w:r>
              <w:rPr>
                <w:rFonts w:hint="eastAsia"/>
                <w:color w:val="000000" w:themeColor="text1"/>
                <w14:textFill>
                  <w14:solidFill>
                    <w14:schemeClr w14:val="tx1"/>
                  </w14:solidFill>
                </w14:textFill>
              </w:rPr>
              <w:t>胶装的；</w:t>
            </w:r>
            <w:r>
              <w:rPr>
                <w:rFonts w:hint="eastAsia" w:ascii="宋体" w:hAnsi="宋体"/>
                <w:color w:val="000000" w:themeColor="text1"/>
                <w:szCs w:val="21"/>
                <w14:textFill>
                  <w14:solidFill>
                    <w14:schemeClr w14:val="tx1"/>
                  </w14:solidFill>
                </w14:textFill>
              </w:rPr>
              <w:t>未按照规定进行密封、标记的；技术商务标出现报价内容的；</w:t>
            </w:r>
          </w:p>
          <w:p w14:paraId="376E5B47">
            <w:pPr>
              <w:numPr>
                <w:ilvl w:val="0"/>
                <w:numId w:val="2"/>
              </w:numPr>
              <w:tabs>
                <w:tab w:val="left" w:pos="612"/>
              </w:tabs>
              <w:spacing w:before="100" w:beforeAutospacing="1"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磋商响应文件未按规定由供应商的单位负责人或其授权代表在格式中出现签名的相应处签名的；未在格式中出现盖章的相应处盖章的；签名人未经</w:t>
            </w:r>
            <w:r>
              <w:rPr>
                <w:rFonts w:hint="eastAsia" w:ascii="宋体" w:hAnsi="宋体" w:cs="宋体"/>
                <w:color w:val="000000" w:themeColor="text1"/>
                <w:szCs w:val="21"/>
                <w14:textFill>
                  <w14:solidFill>
                    <w14:schemeClr w14:val="tx1"/>
                  </w14:solidFill>
                </w14:textFill>
              </w:rPr>
              <w:t>单位负责人</w:t>
            </w:r>
            <w:r>
              <w:rPr>
                <w:rFonts w:hint="eastAsia" w:ascii="宋体" w:hAnsi="宋体"/>
                <w:color w:val="000000" w:themeColor="text1"/>
                <w:szCs w:val="21"/>
                <w14:textFill>
                  <w14:solidFill>
                    <w14:schemeClr w14:val="tx1"/>
                  </w14:solidFill>
                </w14:textFill>
              </w:rPr>
              <w:t>有效授权委托的；</w:t>
            </w:r>
          </w:p>
          <w:p w14:paraId="107B58CC">
            <w:pPr>
              <w:numPr>
                <w:ilvl w:val="0"/>
                <w:numId w:val="2"/>
              </w:numPr>
              <w:tabs>
                <w:tab w:val="left" w:pos="612"/>
              </w:tabs>
              <w:spacing w:before="100" w:beforeAutospacing="1"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未按规定时间及金额提交磋商保证金的（若有）；</w:t>
            </w:r>
          </w:p>
          <w:p w14:paraId="129572CE">
            <w:pPr>
              <w:numPr>
                <w:ilvl w:val="0"/>
                <w:numId w:val="2"/>
              </w:numPr>
              <w:tabs>
                <w:tab w:val="left" w:pos="612"/>
              </w:tabs>
              <w:spacing w:before="100" w:beforeAutospacing="1"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磋商有效期不满足磋商文件要求的；</w:t>
            </w:r>
          </w:p>
          <w:p w14:paraId="429E0807">
            <w:pPr>
              <w:numPr>
                <w:ilvl w:val="0"/>
                <w:numId w:val="2"/>
              </w:numPr>
              <w:tabs>
                <w:tab w:val="left" w:pos="612"/>
              </w:tabs>
              <w:spacing w:before="100" w:beforeAutospacing="1"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磋商响应内容与采购内容及要求有严重缺漏项目、重大偏离或保留的，</w:t>
            </w:r>
            <w:r>
              <w:rPr>
                <w:rFonts w:hint="eastAsia" w:ascii="宋体" w:hAnsi="宋体"/>
                <w:bCs/>
                <w:color w:val="000000" w:themeColor="text1"/>
                <w:szCs w:val="21"/>
                <w14:textFill>
                  <w14:solidFill>
                    <w14:schemeClr w14:val="tx1"/>
                  </w14:solidFill>
                </w14:textFill>
              </w:rPr>
              <w:t>磋商响应内容与采购内容不符合或不能满足采购文件中的主要技术及商务要求的；</w:t>
            </w:r>
          </w:p>
          <w:p w14:paraId="2FD80EB3">
            <w:pPr>
              <w:numPr>
                <w:ilvl w:val="0"/>
                <w:numId w:val="2"/>
              </w:numPr>
              <w:tabs>
                <w:tab w:val="left" w:pos="612"/>
              </w:tabs>
              <w:spacing w:before="100" w:beforeAutospacing="1"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供应商提交的是可选择报价的；供应商未按规定对报价进行分项明细报价，报价有严重缺漏项目的；磋商最后报价超过采购预算（最高限价）的；</w:t>
            </w:r>
          </w:p>
          <w:p w14:paraId="79645550">
            <w:pPr>
              <w:numPr>
                <w:ilvl w:val="0"/>
                <w:numId w:val="2"/>
              </w:numPr>
              <w:tabs>
                <w:tab w:val="left" w:pos="612"/>
              </w:tabs>
              <w:spacing w:before="100" w:beforeAutospacing="1"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磋商响应文件组成及份数不符合磋商文件要求的；</w:t>
            </w:r>
          </w:p>
          <w:p w14:paraId="58D4350D">
            <w:pPr>
              <w:numPr>
                <w:ilvl w:val="0"/>
                <w:numId w:val="2"/>
              </w:numPr>
              <w:tabs>
                <w:tab w:val="left" w:pos="612"/>
              </w:tabs>
              <w:spacing w:before="100" w:beforeAutospacing="1"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超出营业执照允许经营范围参加磋商的，磋商响应文件中提供虚假或失实资料的；</w:t>
            </w:r>
          </w:p>
          <w:p w14:paraId="5F70CBD1">
            <w:pPr>
              <w:numPr>
                <w:ilvl w:val="0"/>
                <w:numId w:val="2"/>
              </w:numPr>
              <w:tabs>
                <w:tab w:val="left" w:pos="612"/>
              </w:tabs>
              <w:spacing w:before="100" w:beforeAutospacing="1"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干扰或试图对采购人、采购代理机构和磋商小组的评标、比较或评审结果的决定进行影响的；供应商之间存在串通投标行为的；</w:t>
            </w:r>
          </w:p>
          <w:p w14:paraId="7A06388E">
            <w:pPr>
              <w:numPr>
                <w:ilvl w:val="0"/>
                <w:numId w:val="2"/>
              </w:numPr>
              <w:tabs>
                <w:tab w:val="left" w:pos="612"/>
              </w:tabs>
              <w:spacing w:before="100" w:beforeAutospacing="1" w:line="360" w:lineRule="exact"/>
              <w:ind w:hanging="58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不符合法律、法规和采购文件中规定的其他实质性要求的。</w:t>
            </w:r>
          </w:p>
        </w:tc>
      </w:tr>
      <w:bookmarkEnd w:id="7"/>
    </w:tbl>
    <w:p w14:paraId="2DBF5170">
      <w:pPr>
        <w:spacing w:line="360" w:lineRule="exact"/>
        <w:rPr>
          <w:rFonts w:ascii="宋体" w:hAnsi="宋体"/>
          <w:b/>
          <w:color w:val="000000" w:themeColor="text1"/>
          <w:szCs w:val="21"/>
          <w14:textFill>
            <w14:solidFill>
              <w14:schemeClr w14:val="tx1"/>
            </w14:solidFill>
          </w14:textFill>
        </w:rPr>
      </w:pPr>
    </w:p>
    <w:p w14:paraId="44035598">
      <w:pPr>
        <w:spacing w:line="360" w:lineRule="exact"/>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附件：评标标准和方法：</w:t>
      </w:r>
      <w:r>
        <w:rPr>
          <w:rFonts w:hint="eastAsia" w:ascii="宋体" w:hAnsi="宋体"/>
          <w:b/>
          <w:color w:val="000000" w:themeColor="text1"/>
          <w:szCs w:val="21"/>
          <w:u w:val="single"/>
          <w14:textFill>
            <w14:solidFill>
              <w14:schemeClr w14:val="tx1"/>
            </w14:solidFill>
          </w14:textFill>
        </w:rPr>
        <w:t>综合评分法</w:t>
      </w:r>
    </w:p>
    <w:p w14:paraId="0DE72BBC">
      <w:pPr>
        <w:spacing w:line="36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综合评分法，是指磋商响应文件满足磋商文件全部实质性要求且按评审因素的量化指标评审得分最高的供应商为成交候选供应商的评审方法。</w:t>
      </w:r>
    </w:p>
    <w:p w14:paraId="499F6AA2">
      <w:pPr>
        <w:spacing w:line="36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磋商小组应当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color w:val="000000" w:themeColor="text1"/>
          <w:szCs w:val="21"/>
          <w14:textFill>
            <w14:solidFill>
              <w14:schemeClr w14:val="tx1"/>
            </w14:solidFill>
          </w14:textFill>
        </w:rPr>
        <w:t>(最后报价、技术商务得分的计算采用四舍五入法，保留小数点后两位数。)</w:t>
      </w:r>
      <w:r>
        <w:rPr>
          <w:rFonts w:hint="eastAsia" w:ascii="宋体" w:hAnsi="宋体"/>
          <w:b/>
          <w:color w:val="000000" w:themeColor="text1"/>
          <w:szCs w:val="21"/>
          <w14:textFill>
            <w14:solidFill>
              <w14:schemeClr w14:val="tx1"/>
            </w14:solidFill>
          </w14:textFill>
        </w:rPr>
        <w:t xml:space="preserve"> </w:t>
      </w:r>
    </w:p>
    <w:p w14:paraId="3C085088">
      <w:pPr>
        <w:spacing w:line="360" w:lineRule="exact"/>
        <w:rPr>
          <w:rFonts w:ascii="宋体" w:hAnsi="宋体"/>
          <w:b/>
          <w:color w:val="000000" w:themeColor="text1"/>
          <w:kern w:val="10"/>
          <w:szCs w:val="21"/>
          <w14:textFill>
            <w14:solidFill>
              <w14:schemeClr w14:val="tx1"/>
            </w14:solidFill>
          </w14:textFill>
        </w:rPr>
      </w:pPr>
      <w:r>
        <w:rPr>
          <w:rFonts w:hint="eastAsia" w:ascii="宋体" w:hAnsi="宋体"/>
          <w:b/>
          <w:color w:val="000000" w:themeColor="text1"/>
          <w:kern w:val="10"/>
          <w:szCs w:val="21"/>
          <w14:textFill>
            <w14:solidFill>
              <w14:schemeClr w14:val="tx1"/>
            </w14:solidFill>
          </w14:textFill>
        </w:rPr>
        <w:t>(一)价格分值---满分</w:t>
      </w:r>
      <w:r>
        <w:rPr>
          <w:rFonts w:hint="eastAsia" w:ascii="宋体" w:hAnsi="宋体"/>
          <w:b/>
          <w:color w:val="000000" w:themeColor="text1"/>
          <w:kern w:val="10"/>
          <w:szCs w:val="21"/>
          <w:lang w:val="en-US" w:eastAsia="zh-CN"/>
          <w14:textFill>
            <w14:solidFill>
              <w14:schemeClr w14:val="tx1"/>
            </w14:solidFill>
          </w14:textFill>
        </w:rPr>
        <w:t>45</w:t>
      </w:r>
      <w:r>
        <w:rPr>
          <w:rFonts w:hint="eastAsia" w:ascii="宋体" w:hAnsi="宋体"/>
          <w:b/>
          <w:color w:val="000000" w:themeColor="text1"/>
          <w:kern w:val="10"/>
          <w:szCs w:val="21"/>
          <w14:textFill>
            <w14:solidFill>
              <w14:schemeClr w14:val="tx1"/>
            </w14:solidFill>
          </w14:textFill>
        </w:rPr>
        <w:t>分</w:t>
      </w:r>
    </w:p>
    <w:p w14:paraId="42ACFFC0">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综合评分法中的价格分统一采用低价优先法计算，即满足磋商文件要求且最后报价最低的供应商的价格为磋商基准价为A，其价格分为满分（</w:t>
      </w:r>
      <w:r>
        <w:rPr>
          <w:rFonts w:hint="eastAsia" w:ascii="宋体" w:hAnsi="宋体"/>
          <w:color w:val="000000" w:themeColor="text1"/>
          <w:szCs w:val="21"/>
          <w14:textFill>
            <w14:solidFill>
              <w14:schemeClr w14:val="tx1"/>
            </w14:solidFill>
          </w14:textFill>
        </w:rPr>
        <w:t>A=</w:t>
      </w:r>
      <w:r>
        <w:rPr>
          <w:rFonts w:hint="eastAsia" w:ascii="宋体" w:hAnsi="宋体"/>
          <w:color w:val="000000" w:themeColor="text1"/>
          <w:szCs w:val="21"/>
          <w:lang w:val="en-US" w:eastAsia="zh-CN"/>
          <w14:textFill>
            <w14:solidFill>
              <w14:schemeClr w14:val="tx1"/>
            </w14:solidFill>
          </w14:textFill>
        </w:rPr>
        <w:t>45</w:t>
      </w:r>
      <w:r>
        <w:rPr>
          <w:rFonts w:hint="eastAsia" w:ascii="宋体" w:hAnsi="宋体"/>
          <w:color w:val="000000" w:themeColor="text1"/>
          <w:szCs w:val="21"/>
          <w14:textFill>
            <w14:solidFill>
              <w14:schemeClr w14:val="tx1"/>
            </w14:solidFill>
          </w14:textFill>
        </w:rPr>
        <w:t>）。其他供应商的价格分统一按照下列公式计算：</w:t>
      </w:r>
    </w:p>
    <w:p w14:paraId="7938A734">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磋商报价得分=（磋商基准价/磋商最后报价）×价格权值×100</w:t>
      </w:r>
    </w:p>
    <w:p w14:paraId="3ACC0217">
      <w:pPr>
        <w:tabs>
          <w:tab w:val="left" w:pos="9344"/>
        </w:tabs>
        <w:spacing w:line="360" w:lineRule="exact"/>
        <w:ind w:firstLine="420" w:firstLineChars="200"/>
        <w:jc w:val="left"/>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即：各磋商报价得分</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45</w:t>
      </w:r>
      <w:r>
        <w:rPr>
          <w:rFonts w:hint="eastAsia" w:ascii="宋体" w:hAnsi="宋体"/>
          <w:color w:val="000000" w:themeColor="text1"/>
          <w:szCs w:val="21"/>
          <w14:textFill>
            <w14:solidFill>
              <w14:schemeClr w14:val="tx1"/>
            </w14:solidFill>
          </w14:textFill>
        </w:rPr>
        <w:t>×A÷该磋商报价；</w:t>
      </w:r>
    </w:p>
    <w:p w14:paraId="06B81547">
      <w:pPr>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(二)商务部分---满分</w:t>
      </w:r>
      <w:r>
        <w:rPr>
          <w:rFonts w:hint="eastAsia" w:ascii="宋体" w:hAnsi="宋体"/>
          <w:b/>
          <w:color w:val="000000" w:themeColor="text1"/>
          <w:szCs w:val="21"/>
          <w:lang w:val="en-US" w:eastAsia="zh-CN"/>
          <w14:textFill>
            <w14:solidFill>
              <w14:schemeClr w14:val="tx1"/>
            </w14:solidFill>
          </w14:textFill>
        </w:rPr>
        <w:t>15</w:t>
      </w:r>
      <w:r>
        <w:rPr>
          <w:rFonts w:hint="eastAsia" w:ascii="宋体" w:hAnsi="宋体"/>
          <w:b/>
          <w:color w:val="000000" w:themeColor="text1"/>
          <w:szCs w:val="21"/>
          <w14:textFill>
            <w14:solidFill>
              <w14:schemeClr w14:val="tx1"/>
            </w14:solidFill>
          </w14:textFill>
        </w:rPr>
        <w:t>分</w:t>
      </w:r>
    </w:p>
    <w:tbl>
      <w:tblPr>
        <w:tblStyle w:val="34"/>
        <w:tblW w:w="9663" w:type="dxa"/>
        <w:tblInd w:w="-16"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200"/>
        <w:gridCol w:w="525"/>
        <w:gridCol w:w="7938"/>
      </w:tblGrid>
      <w:tr w14:paraId="587282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10" w:hRule="atLeast"/>
          <w:tblHeader/>
        </w:trPr>
        <w:tc>
          <w:tcPr>
            <w:tcW w:w="1200" w:type="dxa"/>
            <w:tcBorders>
              <w:top w:val="outset" w:color="auto" w:sz="6" w:space="0"/>
              <w:left w:val="outset" w:color="auto" w:sz="6" w:space="0"/>
              <w:bottom w:val="outset" w:color="auto" w:sz="6" w:space="0"/>
              <w:right w:val="outset" w:color="auto" w:sz="6" w:space="0"/>
            </w:tcBorders>
            <w:noWrap/>
            <w:vAlign w:val="center"/>
          </w:tcPr>
          <w:p w14:paraId="74AD3231">
            <w:pPr>
              <w:rPr>
                <w:rFonts w:hint="eastAsia"/>
                <w:color w:val="000000" w:themeColor="text1"/>
                <w14:textFill>
                  <w14:solidFill>
                    <w14:schemeClr w14:val="tx1"/>
                  </w14:solidFill>
                </w14:textFill>
              </w:rPr>
            </w:pPr>
            <w:r>
              <w:rPr>
                <w:color w:val="000000" w:themeColor="text1"/>
                <w14:textFill>
                  <w14:solidFill>
                    <w14:schemeClr w14:val="tx1"/>
                  </w14:solidFill>
                </w14:textFill>
              </w:rPr>
              <w:t>评</w:t>
            </w:r>
            <w:r>
              <w:rPr>
                <w:rFonts w:hint="eastAsia"/>
                <w:color w:val="000000" w:themeColor="text1"/>
                <w14:textFill>
                  <w14:solidFill>
                    <w14:schemeClr w14:val="tx1"/>
                  </w14:solidFill>
                </w14:textFill>
              </w:rPr>
              <w:t>分</w:t>
            </w:r>
            <w:r>
              <w:rPr>
                <w:color w:val="000000" w:themeColor="text1"/>
                <w14:textFill>
                  <w14:solidFill>
                    <w14:schemeClr w14:val="tx1"/>
                  </w14:solidFill>
                </w14:textFill>
              </w:rPr>
              <w:t>项</w:t>
            </w:r>
          </w:p>
        </w:tc>
        <w:tc>
          <w:tcPr>
            <w:tcW w:w="525" w:type="dxa"/>
            <w:tcBorders>
              <w:top w:val="outset" w:color="auto" w:sz="6" w:space="0"/>
              <w:left w:val="outset" w:color="auto" w:sz="6" w:space="0"/>
              <w:bottom w:val="outset" w:color="auto" w:sz="6" w:space="0"/>
              <w:right w:val="outset" w:color="auto" w:sz="6" w:space="0"/>
            </w:tcBorders>
            <w:noWrap/>
            <w:vAlign w:val="center"/>
          </w:tcPr>
          <w:p w14:paraId="165C9BA7">
            <w:pPr>
              <w:rPr>
                <w:color w:val="000000" w:themeColor="text1"/>
                <w14:textFill>
                  <w14:solidFill>
                    <w14:schemeClr w14:val="tx1"/>
                  </w14:solidFill>
                </w14:textFill>
              </w:rPr>
            </w:pPr>
            <w:r>
              <w:rPr>
                <w:color w:val="000000" w:themeColor="text1"/>
                <w14:textFill>
                  <w14:solidFill>
                    <w14:schemeClr w14:val="tx1"/>
                  </w14:solidFill>
                </w14:textFill>
              </w:rPr>
              <w:t>分值</w:t>
            </w:r>
          </w:p>
        </w:tc>
        <w:tc>
          <w:tcPr>
            <w:tcW w:w="7938" w:type="dxa"/>
            <w:tcBorders>
              <w:top w:val="outset" w:color="auto" w:sz="6" w:space="0"/>
              <w:left w:val="outset" w:color="auto" w:sz="6" w:space="0"/>
              <w:bottom w:val="outset" w:color="auto" w:sz="6" w:space="0"/>
              <w:right w:val="outset" w:color="auto" w:sz="6" w:space="0"/>
            </w:tcBorders>
            <w:noWrap/>
            <w:vAlign w:val="center"/>
          </w:tcPr>
          <w:p w14:paraId="6D27A612">
            <w:pPr>
              <w:rPr>
                <w:color w:val="000000" w:themeColor="text1"/>
                <w14:textFill>
                  <w14:solidFill>
                    <w14:schemeClr w14:val="tx1"/>
                  </w14:solidFill>
                </w14:textFill>
              </w:rPr>
            </w:pPr>
            <w:r>
              <w:rPr>
                <w:color w:val="000000" w:themeColor="text1"/>
                <w14:textFill>
                  <w14:solidFill>
                    <w14:schemeClr w14:val="tx1"/>
                  </w14:solidFill>
                </w14:textFill>
              </w:rPr>
              <w:t>描述</w:t>
            </w:r>
          </w:p>
        </w:tc>
      </w:tr>
      <w:tr w14:paraId="6EA52C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04" w:hRule="atLeast"/>
        </w:trPr>
        <w:tc>
          <w:tcPr>
            <w:tcW w:w="1200" w:type="dxa"/>
            <w:tcBorders>
              <w:left w:val="outset" w:color="auto" w:sz="6" w:space="0"/>
              <w:right w:val="outset" w:color="auto" w:sz="6" w:space="0"/>
            </w:tcBorders>
            <w:noWrap/>
            <w:vAlign w:val="center"/>
          </w:tcPr>
          <w:p w14:paraId="7A9EDEC4">
            <w:pPr>
              <w:jc w:val="left"/>
              <w:rPr>
                <w:color w:val="000000" w:themeColor="text1"/>
                <w14:textFill>
                  <w14:solidFill>
                    <w14:schemeClr w14:val="tx1"/>
                  </w14:solidFill>
                </w14:textFill>
              </w:rPr>
            </w:pPr>
            <w:r>
              <w:rPr>
                <w:color w:val="000000" w:themeColor="text1"/>
                <w14:textFill>
                  <w14:solidFill>
                    <w14:schemeClr w14:val="tx1"/>
                  </w14:solidFill>
                </w14:textFill>
              </w:rPr>
              <w:t>业绩</w:t>
            </w:r>
          </w:p>
        </w:tc>
        <w:tc>
          <w:tcPr>
            <w:tcW w:w="525" w:type="dxa"/>
            <w:tcBorders>
              <w:top w:val="outset" w:color="auto" w:sz="6" w:space="0"/>
              <w:left w:val="outset" w:color="auto" w:sz="6" w:space="0"/>
              <w:bottom w:val="outset" w:color="auto" w:sz="6" w:space="0"/>
              <w:right w:val="outset" w:color="auto" w:sz="6" w:space="0"/>
            </w:tcBorders>
            <w:noWrap/>
            <w:vAlign w:val="center"/>
          </w:tcPr>
          <w:p w14:paraId="6AB5F5E7">
            <w:pPr>
              <w:rPr>
                <w:color w:val="000000" w:themeColor="text1"/>
                <w14:textFill>
                  <w14:solidFill>
                    <w14:schemeClr w14:val="tx1"/>
                  </w14:solidFill>
                </w14:textFill>
              </w:rPr>
            </w:pPr>
            <w:r>
              <w:rPr>
                <w:color w:val="000000" w:themeColor="text1"/>
                <w14:textFill>
                  <w14:solidFill>
                    <w14:schemeClr w14:val="tx1"/>
                  </w14:solidFill>
                </w14:textFill>
              </w:rPr>
              <w:t>3.00</w:t>
            </w:r>
          </w:p>
        </w:tc>
        <w:tc>
          <w:tcPr>
            <w:tcW w:w="7938" w:type="dxa"/>
            <w:tcBorders>
              <w:top w:val="outset" w:color="auto" w:sz="6" w:space="0"/>
              <w:left w:val="outset" w:color="auto" w:sz="6" w:space="0"/>
              <w:bottom w:val="outset" w:color="auto" w:sz="6" w:space="0"/>
              <w:right w:val="outset" w:color="auto" w:sz="6" w:space="0"/>
            </w:tcBorders>
            <w:noWrap/>
          </w:tcPr>
          <w:p w14:paraId="197EDD5F">
            <w:pPr>
              <w:rPr>
                <w:color w:val="000000" w:themeColor="text1"/>
                <w14:textFill>
                  <w14:solidFill>
                    <w14:schemeClr w14:val="tx1"/>
                  </w14:solidFill>
                </w14:textFill>
              </w:rPr>
            </w:pPr>
            <w:r>
              <w:rPr>
                <w:color w:val="000000" w:themeColor="text1"/>
                <w14:textFill>
                  <w14:solidFill>
                    <w14:schemeClr w14:val="tx1"/>
                  </w14:solidFill>
                </w14:textFill>
              </w:rPr>
              <w:t>自2021年01月01日起至本项目提交磋商响应文件截止时间以来（以合同签订时间为准），供应商独立完成的与本项目同类的项目业绩情况，</w:t>
            </w:r>
            <w:r>
              <w:rPr>
                <w:color w:val="000000" w:themeColor="text1"/>
                <w14:textFill>
                  <w14:solidFill>
                    <w14:schemeClr w14:val="tx1"/>
                  </w14:solidFill>
                </w14:textFill>
              </w:rPr>
              <w:t>每提供1份完整业绩证明材料的得3分</w:t>
            </w:r>
            <w:r>
              <w:rPr>
                <w:color w:val="000000" w:themeColor="text1"/>
                <w14:textFill>
                  <w14:solidFill>
                    <w14:schemeClr w14:val="tx1"/>
                  </w14:solidFill>
                </w14:textFill>
              </w:rPr>
              <w:t>。 供应商须同时提供中标（成交）公告（提供相关网站中标公告的下载网页并注明网址）、中标（成交）通知书复印件、合同文本复印件，未提供或提供不全的不得分。</w:t>
            </w:r>
          </w:p>
        </w:tc>
      </w:tr>
      <w:tr w14:paraId="6734D8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61" w:hRule="atLeast"/>
        </w:trPr>
        <w:tc>
          <w:tcPr>
            <w:tcW w:w="1200" w:type="dxa"/>
            <w:tcBorders>
              <w:left w:val="outset" w:color="auto" w:sz="6" w:space="0"/>
              <w:right w:val="outset" w:color="auto" w:sz="6" w:space="0"/>
            </w:tcBorders>
            <w:noWrap/>
            <w:vAlign w:val="center"/>
          </w:tcPr>
          <w:p w14:paraId="7A8A0132">
            <w:pPr>
              <w:jc w:val="left"/>
              <w:rPr>
                <w:color w:val="000000" w:themeColor="text1"/>
                <w14:textFill>
                  <w14:solidFill>
                    <w14:schemeClr w14:val="tx1"/>
                  </w14:solidFill>
                </w14:textFill>
              </w:rPr>
            </w:pPr>
            <w:r>
              <w:rPr>
                <w:color w:val="000000" w:themeColor="text1"/>
                <w14:textFill>
                  <w14:solidFill>
                    <w14:schemeClr w14:val="tx1"/>
                  </w14:solidFill>
                </w14:textFill>
              </w:rPr>
              <w:t>体系认证</w:t>
            </w:r>
          </w:p>
        </w:tc>
        <w:tc>
          <w:tcPr>
            <w:tcW w:w="525" w:type="dxa"/>
            <w:tcBorders>
              <w:top w:val="outset" w:color="auto" w:sz="6" w:space="0"/>
              <w:left w:val="outset" w:color="auto" w:sz="6" w:space="0"/>
              <w:bottom w:val="outset" w:color="auto" w:sz="6" w:space="0"/>
              <w:right w:val="outset" w:color="auto" w:sz="6" w:space="0"/>
            </w:tcBorders>
            <w:noWrap/>
            <w:vAlign w:val="center"/>
          </w:tcPr>
          <w:p w14:paraId="21916107">
            <w:pPr>
              <w:rPr>
                <w:color w:val="000000" w:themeColor="text1"/>
                <w14:textFill>
                  <w14:solidFill>
                    <w14:schemeClr w14:val="tx1"/>
                  </w14:solidFill>
                </w14:textFill>
              </w:rPr>
            </w:pPr>
            <w:r>
              <w:rPr>
                <w:color w:val="000000" w:themeColor="text1"/>
                <w14:textFill>
                  <w14:solidFill>
                    <w14:schemeClr w14:val="tx1"/>
                  </w14:solidFill>
                </w14:textFill>
              </w:rPr>
              <w:t>3.00</w:t>
            </w:r>
          </w:p>
        </w:tc>
        <w:tc>
          <w:tcPr>
            <w:tcW w:w="7938" w:type="dxa"/>
            <w:tcBorders>
              <w:top w:val="outset" w:color="auto" w:sz="6" w:space="0"/>
              <w:left w:val="outset" w:color="auto" w:sz="6" w:space="0"/>
              <w:bottom w:val="outset" w:color="auto" w:sz="6" w:space="0"/>
              <w:right w:val="outset" w:color="auto" w:sz="6" w:space="0"/>
            </w:tcBorders>
            <w:noWrap/>
          </w:tcPr>
          <w:p w14:paraId="700DDD4D">
            <w:pPr>
              <w:rPr>
                <w:color w:val="000000" w:themeColor="text1"/>
                <w14:textFill>
                  <w14:solidFill>
                    <w14:schemeClr w14:val="tx1"/>
                  </w14:solidFill>
                </w14:textFill>
              </w:rPr>
            </w:pPr>
            <w:r>
              <w:rPr>
                <w:color w:val="000000" w:themeColor="text1"/>
                <w14:textFill>
                  <w14:solidFill>
                    <w14:schemeClr w14:val="tx1"/>
                  </w14:solidFill>
                </w14:textFill>
              </w:rPr>
              <w:t>供应商同时提供合格有效有效职业健康安全管理体系认证、质量管理体系、环境管理体系认证证书，</w:t>
            </w:r>
            <w:r>
              <w:rPr>
                <w:color w:val="000000" w:themeColor="text1"/>
                <w14:textFill>
                  <w14:solidFill>
                    <w14:schemeClr w14:val="tx1"/>
                  </w14:solidFill>
                </w14:textFill>
              </w:rPr>
              <w:t>且证书范围涵盖“建筑工程”，</w:t>
            </w:r>
            <w:r>
              <w:rPr>
                <w:color w:val="000000" w:themeColor="text1"/>
                <w14:textFill>
                  <w14:solidFill>
                    <w14:schemeClr w14:val="tx1"/>
                  </w14:solidFill>
                </w14:textFill>
              </w:rPr>
              <w:t>每提供一个认证证书的得1分，满分3分（供应商须提供证书复印件并加盖供应商公章，以上认证证书必须在有效期内，并且提供在平台 (http://cx.cnca.cn)上证书状态为“有效”的查询结果网页或截图），未提供或提供不全不得分。</w:t>
            </w:r>
          </w:p>
        </w:tc>
      </w:tr>
      <w:tr w14:paraId="38877A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46" w:hRule="atLeast"/>
        </w:trPr>
        <w:tc>
          <w:tcPr>
            <w:tcW w:w="1200" w:type="dxa"/>
            <w:tcBorders>
              <w:left w:val="outset" w:color="auto" w:sz="6" w:space="0"/>
              <w:right w:val="outset" w:color="auto" w:sz="6" w:space="0"/>
            </w:tcBorders>
            <w:noWrap/>
            <w:vAlign w:val="center"/>
          </w:tcPr>
          <w:p w14:paraId="52410549">
            <w:pPr>
              <w:jc w:val="left"/>
              <w:rPr>
                <w:color w:val="000000" w:themeColor="text1"/>
                <w14:textFill>
                  <w14:solidFill>
                    <w14:schemeClr w14:val="tx1"/>
                  </w14:solidFill>
                </w14:textFill>
              </w:rPr>
            </w:pPr>
            <w:r>
              <w:rPr>
                <w:color w:val="000000" w:themeColor="text1"/>
                <w14:textFill>
                  <w14:solidFill>
                    <w14:schemeClr w14:val="tx1"/>
                  </w14:solidFill>
                </w14:textFill>
              </w:rPr>
              <w:t>项目负责人</w:t>
            </w:r>
          </w:p>
        </w:tc>
        <w:tc>
          <w:tcPr>
            <w:tcW w:w="525" w:type="dxa"/>
            <w:tcBorders>
              <w:top w:val="outset" w:color="auto" w:sz="6" w:space="0"/>
              <w:left w:val="outset" w:color="auto" w:sz="6" w:space="0"/>
              <w:bottom w:val="outset" w:color="auto" w:sz="6" w:space="0"/>
              <w:right w:val="outset" w:color="auto" w:sz="6" w:space="0"/>
            </w:tcBorders>
            <w:noWrap/>
            <w:vAlign w:val="center"/>
          </w:tcPr>
          <w:p w14:paraId="4B4CF8A1">
            <w:pPr>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color w:val="000000" w:themeColor="text1"/>
                <w14:textFill>
                  <w14:solidFill>
                    <w14:schemeClr w14:val="tx1"/>
                  </w14:solidFill>
                </w14:textFill>
              </w:rPr>
              <w:t>.00</w:t>
            </w:r>
          </w:p>
        </w:tc>
        <w:tc>
          <w:tcPr>
            <w:tcW w:w="7938" w:type="dxa"/>
            <w:tcBorders>
              <w:top w:val="outset" w:color="auto" w:sz="6" w:space="0"/>
              <w:left w:val="outset" w:color="auto" w:sz="6" w:space="0"/>
              <w:bottom w:val="outset" w:color="auto" w:sz="6" w:space="0"/>
              <w:right w:val="outset" w:color="auto" w:sz="6" w:space="0"/>
            </w:tcBorders>
            <w:noWrap/>
          </w:tcPr>
          <w:p w14:paraId="21C32361">
            <w:pPr>
              <w:rPr>
                <w:color w:val="000000" w:themeColor="text1"/>
                <w14:textFill>
                  <w14:solidFill>
                    <w14:schemeClr w14:val="tx1"/>
                  </w14:solidFill>
                </w14:textFill>
              </w:rPr>
            </w:pPr>
            <w:r>
              <w:rPr>
                <w:rFonts w:hint="eastAsia"/>
                <w:color w:val="000000" w:themeColor="text1"/>
                <w14:textFill>
                  <w14:solidFill>
                    <w14:schemeClr w14:val="tx1"/>
                  </w14:solidFill>
                </w14:textFill>
              </w:rPr>
              <w:t>根据供应商拟派的项目负责人，具备建筑工程相关专业</w:t>
            </w:r>
            <w:r>
              <w:rPr>
                <w:rFonts w:hint="eastAsia"/>
                <w:color w:val="000000" w:themeColor="text1"/>
                <w14:textFill>
                  <w14:solidFill>
                    <w14:schemeClr w14:val="tx1"/>
                  </w14:solidFill>
                </w14:textFill>
              </w:rPr>
              <w:t>高级工程师或以上职称</w:t>
            </w:r>
            <w:r>
              <w:rPr>
                <w:rFonts w:hint="eastAsia"/>
                <w:color w:val="000000" w:themeColor="text1"/>
                <w14:textFill>
                  <w14:solidFill>
                    <w14:schemeClr w14:val="tx1"/>
                  </w14:solidFill>
                </w14:textFill>
              </w:rPr>
              <w:t>的得3分；具备建筑工程相关专业</w:t>
            </w:r>
            <w:r>
              <w:rPr>
                <w:rFonts w:hint="eastAsia"/>
                <w:color w:val="000000" w:themeColor="text1"/>
                <w14:textFill>
                  <w14:solidFill>
                    <w14:schemeClr w14:val="tx1"/>
                  </w14:solidFill>
                </w14:textFill>
              </w:rPr>
              <w:t>中级工程师职称</w:t>
            </w:r>
            <w:r>
              <w:rPr>
                <w:rFonts w:hint="eastAsia"/>
                <w:color w:val="000000" w:themeColor="text1"/>
                <w14:textFill>
                  <w14:solidFill>
                    <w14:schemeClr w14:val="tx1"/>
                  </w14:solidFill>
                </w14:textFill>
              </w:rPr>
              <w:t>的得1.5分；提供职称证书复印件及本单位为其缴纳的磋商截止前（不含磋商截止当月）6个月任意一个月的社保缴纳证明，未同时提供以上证明材料的或材料不符合要求的本项不得分。</w:t>
            </w:r>
          </w:p>
        </w:tc>
      </w:tr>
      <w:tr w14:paraId="5263ED2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86" w:hRule="atLeast"/>
        </w:trPr>
        <w:tc>
          <w:tcPr>
            <w:tcW w:w="1200" w:type="dxa"/>
            <w:tcBorders>
              <w:left w:val="outset" w:color="auto" w:sz="6" w:space="0"/>
              <w:right w:val="outset" w:color="auto" w:sz="6" w:space="0"/>
            </w:tcBorders>
            <w:noWrap/>
            <w:vAlign w:val="center"/>
          </w:tcPr>
          <w:p w14:paraId="4D07A38E">
            <w:pPr>
              <w:jc w:val="left"/>
              <w:rPr>
                <w:color w:val="000000" w:themeColor="text1"/>
                <w14:textFill>
                  <w14:solidFill>
                    <w14:schemeClr w14:val="tx1"/>
                  </w14:solidFill>
                </w14:textFill>
              </w:rPr>
            </w:pPr>
            <w:r>
              <w:rPr>
                <w:color w:val="000000" w:themeColor="text1"/>
                <w14:textFill>
                  <w14:solidFill>
                    <w14:schemeClr w14:val="tx1"/>
                  </w14:solidFill>
                </w14:textFill>
              </w:rPr>
              <w:t>项目技术负责人</w:t>
            </w:r>
          </w:p>
        </w:tc>
        <w:tc>
          <w:tcPr>
            <w:tcW w:w="525" w:type="dxa"/>
            <w:tcBorders>
              <w:top w:val="outset" w:color="auto" w:sz="6" w:space="0"/>
              <w:left w:val="outset" w:color="auto" w:sz="6" w:space="0"/>
              <w:bottom w:val="outset" w:color="auto" w:sz="6" w:space="0"/>
              <w:right w:val="outset" w:color="auto" w:sz="6" w:space="0"/>
            </w:tcBorders>
            <w:noWrap/>
            <w:vAlign w:val="center"/>
          </w:tcPr>
          <w:p w14:paraId="793426FA">
            <w:pPr>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color w:val="000000" w:themeColor="text1"/>
                <w14:textFill>
                  <w14:solidFill>
                    <w14:schemeClr w14:val="tx1"/>
                  </w14:solidFill>
                </w14:textFill>
              </w:rPr>
              <w:t>.00</w:t>
            </w:r>
          </w:p>
        </w:tc>
        <w:tc>
          <w:tcPr>
            <w:tcW w:w="7938" w:type="dxa"/>
            <w:tcBorders>
              <w:top w:val="outset" w:color="auto" w:sz="6" w:space="0"/>
              <w:left w:val="outset" w:color="auto" w:sz="6" w:space="0"/>
              <w:bottom w:val="outset" w:color="auto" w:sz="6" w:space="0"/>
              <w:right w:val="outset" w:color="auto" w:sz="6" w:space="0"/>
            </w:tcBorders>
            <w:noWrap/>
          </w:tcPr>
          <w:p w14:paraId="7C35E015">
            <w:pPr>
              <w:rPr>
                <w:color w:val="000000" w:themeColor="text1"/>
                <w14:textFill>
                  <w14:solidFill>
                    <w14:schemeClr w14:val="tx1"/>
                  </w14:solidFill>
                </w14:textFill>
              </w:rPr>
            </w:pPr>
            <w:r>
              <w:rPr>
                <w:rFonts w:hint="eastAsia"/>
                <w:color w:val="000000" w:themeColor="text1"/>
                <w14:textFill>
                  <w14:solidFill>
                    <w14:schemeClr w14:val="tx1"/>
                  </w14:solidFill>
                </w14:textFill>
              </w:rPr>
              <w:t>根据各供应商拟派的项目技术负责人（和项目负责人不得兼任），具备</w:t>
            </w:r>
            <w:r>
              <w:rPr>
                <w:rFonts w:hint="eastAsia"/>
                <w:color w:val="000000" w:themeColor="text1"/>
                <w14:textFill>
                  <w14:solidFill>
                    <w14:schemeClr w14:val="tx1"/>
                  </w14:solidFill>
                </w14:textFill>
              </w:rPr>
              <w:t>建筑工程建造师执业证书的</w:t>
            </w:r>
            <w:r>
              <w:rPr>
                <w:rFonts w:hint="eastAsia"/>
                <w:color w:val="000000" w:themeColor="text1"/>
                <w14:textFill>
                  <w14:solidFill>
                    <w14:schemeClr w14:val="tx1"/>
                  </w14:solidFill>
                </w14:textFill>
              </w:rPr>
              <w:t>得3分；提供证书复印件及本单位为其缴纳的磋商截止前（不含磋商截止当月）6个月任意一个月的社保缴纳证明，未同时提供以上证明材料的或材料不符合要求的本项不得分。</w:t>
            </w:r>
          </w:p>
        </w:tc>
      </w:tr>
      <w:tr w14:paraId="189757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86" w:hRule="atLeast"/>
        </w:trPr>
        <w:tc>
          <w:tcPr>
            <w:tcW w:w="1200" w:type="dxa"/>
            <w:tcBorders>
              <w:left w:val="outset" w:color="auto" w:sz="6" w:space="0"/>
              <w:right w:val="outset" w:color="auto" w:sz="6" w:space="0"/>
            </w:tcBorders>
            <w:noWrap/>
            <w:vAlign w:val="center"/>
          </w:tcPr>
          <w:p w14:paraId="1A5FEDF1">
            <w:pPr>
              <w:jc w:val="left"/>
              <w:rPr>
                <w:color w:val="000000" w:themeColor="text1"/>
                <w14:textFill>
                  <w14:solidFill>
                    <w14:schemeClr w14:val="tx1"/>
                  </w14:solidFill>
                </w14:textFill>
              </w:rPr>
            </w:pPr>
            <w:r>
              <w:rPr>
                <w:color w:val="000000" w:themeColor="text1"/>
                <w14:textFill>
                  <w14:solidFill>
                    <w14:schemeClr w14:val="tx1"/>
                  </w14:solidFill>
                </w14:textFill>
              </w:rPr>
              <w:t>项目成员组</w:t>
            </w:r>
          </w:p>
        </w:tc>
        <w:tc>
          <w:tcPr>
            <w:tcW w:w="525" w:type="dxa"/>
            <w:tcBorders>
              <w:top w:val="outset" w:color="auto" w:sz="6" w:space="0"/>
              <w:left w:val="outset" w:color="auto" w:sz="6" w:space="0"/>
              <w:bottom w:val="outset" w:color="auto" w:sz="6" w:space="0"/>
              <w:right w:val="outset" w:color="auto" w:sz="6" w:space="0"/>
            </w:tcBorders>
            <w:noWrap/>
            <w:vAlign w:val="center"/>
          </w:tcPr>
          <w:p w14:paraId="0021A3BB">
            <w:pPr>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color w:val="000000" w:themeColor="text1"/>
                <w14:textFill>
                  <w14:solidFill>
                    <w14:schemeClr w14:val="tx1"/>
                  </w14:solidFill>
                </w14:textFill>
              </w:rPr>
              <w:t>.00</w:t>
            </w:r>
          </w:p>
        </w:tc>
        <w:tc>
          <w:tcPr>
            <w:tcW w:w="7938" w:type="dxa"/>
            <w:tcBorders>
              <w:top w:val="outset" w:color="auto" w:sz="6" w:space="0"/>
              <w:left w:val="outset" w:color="auto" w:sz="6" w:space="0"/>
              <w:bottom w:val="outset" w:color="auto" w:sz="6" w:space="0"/>
              <w:right w:val="outset" w:color="auto" w:sz="6" w:space="0"/>
            </w:tcBorders>
            <w:noWrap/>
          </w:tcPr>
          <w:p w14:paraId="39A4FDFD">
            <w:pPr>
              <w:rPr>
                <w:color w:val="000000" w:themeColor="text1"/>
                <w14:textFill>
                  <w14:solidFill>
                    <w14:schemeClr w14:val="tx1"/>
                  </w14:solidFill>
                </w14:textFill>
              </w:rPr>
            </w:pPr>
            <w:r>
              <w:rPr>
                <w:rFonts w:hint="eastAsia"/>
                <w:color w:val="000000" w:themeColor="text1"/>
                <w14:textFill>
                  <w14:solidFill>
                    <w14:schemeClr w14:val="tx1"/>
                  </w14:solidFill>
                </w14:textFill>
              </w:rPr>
              <w:t>根据各供应商拟派的项目组其他人员中（除项目负责人和技术负责人），具备</w:t>
            </w:r>
            <w:r>
              <w:rPr>
                <w:rFonts w:hint="eastAsia"/>
                <w:color w:val="000000" w:themeColor="text1"/>
                <w14:textFill>
                  <w14:solidFill>
                    <w14:schemeClr w14:val="tx1"/>
                  </w14:solidFill>
                </w14:textFill>
              </w:rPr>
              <w:t>建筑工程建造师执业证书的</w:t>
            </w:r>
            <w:r>
              <w:rPr>
                <w:rFonts w:hint="eastAsia"/>
                <w:color w:val="000000" w:themeColor="text1"/>
                <w14:textFill>
                  <w14:solidFill>
                    <w14:schemeClr w14:val="tx1"/>
                  </w14:solidFill>
                </w14:textFill>
              </w:rPr>
              <w:t>提供1本得1.5分；具备建筑工程</w:t>
            </w:r>
            <w:r>
              <w:rPr>
                <w:rFonts w:hint="eastAsia"/>
                <w:color w:val="000000" w:themeColor="text1"/>
                <w14:textFill>
                  <w14:solidFill>
                    <w14:schemeClr w14:val="tx1"/>
                  </w14:solidFill>
                </w14:textFill>
              </w:rPr>
              <w:t>相关专业中级或以上职称证书</w:t>
            </w:r>
            <w:r>
              <w:rPr>
                <w:rFonts w:hint="eastAsia"/>
                <w:color w:val="000000" w:themeColor="text1"/>
                <w14:textFill>
                  <w14:solidFill>
                    <w14:schemeClr w14:val="tx1"/>
                  </w14:solidFill>
                </w14:textFill>
              </w:rPr>
              <w:t>的提供1本得0.5分，满分3分。需提供证书复印件及本单位为其缴纳的磋商截止前（不含磋商截止当月）6个月任意一个月的社保缴纳证明，未同时提供以上证明材料的或材料不符合要求的本项不得分。</w:t>
            </w:r>
          </w:p>
        </w:tc>
      </w:tr>
    </w:tbl>
    <w:p w14:paraId="2C09A597">
      <w:pPr>
        <w:pStyle w:val="20"/>
        <w:rPr>
          <w:color w:val="000000" w:themeColor="text1"/>
          <w14:textFill>
            <w14:solidFill>
              <w14:schemeClr w14:val="tx1"/>
            </w14:solidFill>
          </w14:textFill>
        </w:rPr>
      </w:pPr>
    </w:p>
    <w:p w14:paraId="65328F2F">
      <w:pPr>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(三)技术部分---满分</w:t>
      </w:r>
      <w:r>
        <w:rPr>
          <w:rFonts w:hint="eastAsia" w:ascii="宋体" w:hAnsi="宋体"/>
          <w:b/>
          <w:color w:val="000000" w:themeColor="text1"/>
          <w:szCs w:val="21"/>
          <w:lang w:val="en-US" w:eastAsia="zh-CN"/>
          <w14:textFill>
            <w14:solidFill>
              <w14:schemeClr w14:val="tx1"/>
            </w14:solidFill>
          </w14:textFill>
        </w:rPr>
        <w:t>40</w:t>
      </w:r>
      <w:r>
        <w:rPr>
          <w:rFonts w:hint="eastAsia" w:ascii="宋体" w:hAnsi="宋体"/>
          <w:b/>
          <w:color w:val="000000" w:themeColor="text1"/>
          <w:szCs w:val="21"/>
          <w14:textFill>
            <w14:solidFill>
              <w14:schemeClr w14:val="tx1"/>
            </w14:solidFill>
          </w14:textFill>
        </w:rPr>
        <w:t>分</w:t>
      </w:r>
    </w:p>
    <w:tbl>
      <w:tblPr>
        <w:tblStyle w:val="34"/>
        <w:tblW w:w="9633" w:type="dxa"/>
        <w:tblInd w:w="114"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9"/>
        <w:gridCol w:w="648"/>
        <w:gridCol w:w="7796"/>
      </w:tblGrid>
      <w:tr w14:paraId="0AE559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5" w:hRule="atLeast"/>
        </w:trPr>
        <w:tc>
          <w:tcPr>
            <w:tcW w:w="1189" w:type="dxa"/>
            <w:vAlign w:val="center"/>
          </w:tcPr>
          <w:p w14:paraId="69EAF5F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评分</w:t>
            </w:r>
            <w:r>
              <w:rPr>
                <w:color w:val="000000" w:themeColor="text1"/>
                <w14:textFill>
                  <w14:solidFill>
                    <w14:schemeClr w14:val="tx1"/>
                  </w14:solidFill>
                </w14:textFill>
              </w:rPr>
              <w:t>项</w:t>
            </w:r>
          </w:p>
        </w:tc>
        <w:tc>
          <w:tcPr>
            <w:tcW w:w="648" w:type="dxa"/>
            <w:vAlign w:val="center"/>
          </w:tcPr>
          <w:p w14:paraId="428B25B4">
            <w:pPr>
              <w:rPr>
                <w:color w:val="000000" w:themeColor="text1"/>
                <w14:textFill>
                  <w14:solidFill>
                    <w14:schemeClr w14:val="tx1"/>
                  </w14:solidFill>
                </w14:textFill>
              </w:rPr>
            </w:pPr>
            <w:r>
              <w:rPr>
                <w:color w:val="000000" w:themeColor="text1"/>
                <w14:textFill>
                  <w14:solidFill>
                    <w14:schemeClr w14:val="tx1"/>
                  </w14:solidFill>
                </w14:textFill>
              </w:rPr>
              <w:t>分值</w:t>
            </w:r>
          </w:p>
        </w:tc>
        <w:tc>
          <w:tcPr>
            <w:tcW w:w="7796" w:type="dxa"/>
            <w:vAlign w:val="center"/>
          </w:tcPr>
          <w:p w14:paraId="6498F4A4">
            <w:pPr>
              <w:rPr>
                <w:color w:val="000000" w:themeColor="text1"/>
                <w14:textFill>
                  <w14:solidFill>
                    <w14:schemeClr w14:val="tx1"/>
                  </w14:solidFill>
                </w14:textFill>
              </w:rPr>
            </w:pPr>
            <w:r>
              <w:rPr>
                <w:color w:val="000000" w:themeColor="text1"/>
                <w14:textFill>
                  <w14:solidFill>
                    <w14:schemeClr w14:val="tx1"/>
                  </w14:solidFill>
                </w14:textFill>
              </w:rPr>
              <w:t>描述</w:t>
            </w:r>
          </w:p>
        </w:tc>
      </w:tr>
      <w:tr w14:paraId="1A0095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18" w:hRule="atLeast"/>
        </w:trPr>
        <w:tc>
          <w:tcPr>
            <w:tcW w:w="1189" w:type="dxa"/>
            <w:vAlign w:val="center"/>
          </w:tcPr>
          <w:p w14:paraId="6DF32732">
            <w:pPr>
              <w:rPr>
                <w:color w:val="000000" w:themeColor="text1"/>
                <w14:textFill>
                  <w14:solidFill>
                    <w14:schemeClr w14:val="tx1"/>
                  </w14:solidFill>
                </w14:textFill>
              </w:rPr>
            </w:pPr>
            <w:r>
              <w:rPr>
                <w:color w:val="000000" w:themeColor="text1"/>
                <w14:textFill>
                  <w14:solidFill>
                    <w14:schemeClr w14:val="tx1"/>
                  </w14:solidFill>
                </w14:textFill>
              </w:rPr>
              <w:t>施工总体组织方案</w:t>
            </w:r>
          </w:p>
        </w:tc>
        <w:tc>
          <w:tcPr>
            <w:tcW w:w="648" w:type="dxa"/>
            <w:vAlign w:val="center"/>
          </w:tcPr>
          <w:p w14:paraId="5818A642">
            <w:pP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.00</w:t>
            </w:r>
          </w:p>
        </w:tc>
        <w:tc>
          <w:tcPr>
            <w:tcW w:w="7796" w:type="dxa"/>
            <w:vAlign w:val="center"/>
          </w:tcPr>
          <w:p w14:paraId="594EDD17">
            <w:pPr>
              <w:rPr>
                <w:color w:val="000000" w:themeColor="text1"/>
                <w14:textFill>
                  <w14:solidFill>
                    <w14:schemeClr w14:val="tx1"/>
                  </w14:solidFill>
                </w14:textFill>
              </w:rPr>
            </w:pPr>
            <w:r>
              <w:rPr>
                <w:color w:val="000000" w:themeColor="text1"/>
                <w14:textFill>
                  <w14:solidFill>
                    <w14:schemeClr w14:val="tx1"/>
                  </w14:solidFill>
                </w14:textFill>
              </w:rPr>
              <w:t>根据磋商供应商针对项目要求提供的项目前期和总体施工组织（包括工程概括、总体施工组织、施工流程等内容），由磋商小组进行评分：</w:t>
            </w:r>
            <w:r>
              <w:rPr>
                <w:rFonts w:hint="eastAsia" w:ascii="宋体" w:hAnsi="宋体" w:cs="宋体"/>
                <w:color w:val="000000" w:themeColor="text1"/>
                <w14:textFill>
                  <w14:solidFill>
                    <w14:schemeClr w14:val="tx1"/>
                  </w14:solidFill>
                </w14:textFill>
              </w:rPr>
              <w:t>①</w:t>
            </w:r>
            <w:r>
              <w:rPr>
                <w:color w:val="000000" w:themeColor="text1"/>
                <w14:textFill>
                  <w14:solidFill>
                    <w14:schemeClr w14:val="tx1"/>
                  </w14:solidFill>
                </w14:textFill>
              </w:rPr>
              <w:t>提供的方案要点齐全、有相应措施的得1分；</w:t>
            </w:r>
            <w:r>
              <w:rPr>
                <w:rFonts w:hint="eastAsia" w:ascii="宋体" w:hAnsi="宋体" w:cs="宋体"/>
                <w:color w:val="000000" w:themeColor="text1"/>
                <w14:textFill>
                  <w14:solidFill>
                    <w14:schemeClr w14:val="tx1"/>
                  </w14:solidFill>
                </w14:textFill>
              </w:rPr>
              <w:t>②</w:t>
            </w:r>
            <w:r>
              <w:rPr>
                <w:color w:val="000000" w:themeColor="text1"/>
                <w14:textFill>
                  <w14:solidFill>
                    <w14:schemeClr w14:val="tx1"/>
                  </w14:solidFill>
                </w14:textFill>
              </w:rPr>
              <w:t>方案要点齐全、内容明确，有相应措施，具有一定操作性的得</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③</w:t>
            </w:r>
            <w:r>
              <w:rPr>
                <w:color w:val="000000" w:themeColor="text1"/>
                <w14:textFill>
                  <w14:solidFill>
                    <w14:schemeClr w14:val="tx1"/>
                  </w14:solidFill>
                </w14:textFill>
              </w:rPr>
              <w:t>方案要点齐全，全面完善、内容完整明确，措施具体，与本项目实际操作相符，具有可行性、操作性的得</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④</w:t>
            </w:r>
            <w:r>
              <w:rPr>
                <w:color w:val="000000" w:themeColor="text1"/>
                <w14:textFill>
                  <w14:solidFill>
                    <w14:schemeClr w14:val="tx1"/>
                  </w14:solidFill>
                </w14:textFill>
              </w:rPr>
              <w:t>未提供或提供的内容与项目情况不相符、有明显错误的或没有针对本项目特点的均不得分。</w:t>
            </w:r>
          </w:p>
        </w:tc>
      </w:tr>
      <w:tr w14:paraId="272230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83" w:hRule="atLeast"/>
        </w:trPr>
        <w:tc>
          <w:tcPr>
            <w:tcW w:w="1189" w:type="dxa"/>
            <w:vAlign w:val="center"/>
          </w:tcPr>
          <w:p w14:paraId="68ECBC39">
            <w:pPr>
              <w:rPr>
                <w:color w:val="000000" w:themeColor="text1"/>
                <w14:textFill>
                  <w14:solidFill>
                    <w14:schemeClr w14:val="tx1"/>
                  </w14:solidFill>
                </w14:textFill>
              </w:rPr>
            </w:pPr>
            <w:r>
              <w:rPr>
                <w:color w:val="000000" w:themeColor="text1"/>
                <w14:textFill>
                  <w14:solidFill>
                    <w14:schemeClr w14:val="tx1"/>
                  </w14:solidFill>
                </w14:textFill>
              </w:rPr>
              <w:t>施工组织方案及技术措施</w:t>
            </w:r>
          </w:p>
        </w:tc>
        <w:tc>
          <w:tcPr>
            <w:tcW w:w="648" w:type="dxa"/>
            <w:vAlign w:val="center"/>
          </w:tcPr>
          <w:p w14:paraId="4EB5B3EB">
            <w:pP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.00</w:t>
            </w:r>
          </w:p>
        </w:tc>
        <w:tc>
          <w:tcPr>
            <w:tcW w:w="7796" w:type="dxa"/>
            <w:vAlign w:val="center"/>
          </w:tcPr>
          <w:p w14:paraId="11AD2FFE">
            <w:pPr>
              <w:rPr>
                <w:color w:val="000000" w:themeColor="text1"/>
                <w14:textFill>
                  <w14:solidFill>
                    <w14:schemeClr w14:val="tx1"/>
                  </w14:solidFill>
                </w14:textFill>
              </w:rPr>
            </w:pPr>
            <w:r>
              <w:rPr>
                <w:color w:val="000000" w:themeColor="text1"/>
                <w14:textFill>
                  <w14:solidFill>
                    <w14:schemeClr w14:val="tx1"/>
                  </w14:solidFill>
                </w14:textFill>
              </w:rPr>
              <w:t>根据磋商供应商针对项目要求提供的施工组织及技术措施（包括但不限于技术准备、施工方法、重难点分析等内容）由磋商小组进行评分：</w:t>
            </w:r>
            <w:r>
              <w:rPr>
                <w:rFonts w:hint="eastAsia" w:ascii="宋体" w:hAnsi="宋体" w:cs="宋体"/>
                <w:color w:val="000000" w:themeColor="text1"/>
                <w14:textFill>
                  <w14:solidFill>
                    <w14:schemeClr w14:val="tx1"/>
                  </w14:solidFill>
                </w14:textFill>
              </w:rPr>
              <w:t>①</w:t>
            </w:r>
            <w:r>
              <w:rPr>
                <w:color w:val="000000" w:themeColor="text1"/>
                <w14:textFill>
                  <w14:solidFill>
                    <w14:schemeClr w14:val="tx1"/>
                  </w14:solidFill>
                </w14:textFill>
              </w:rPr>
              <w:t>提供的方案要点齐全、有相应措施的得1分；</w:t>
            </w:r>
            <w:r>
              <w:rPr>
                <w:rFonts w:hint="eastAsia" w:ascii="宋体" w:hAnsi="宋体" w:cs="宋体"/>
                <w:color w:val="000000" w:themeColor="text1"/>
                <w14:textFill>
                  <w14:solidFill>
                    <w14:schemeClr w14:val="tx1"/>
                  </w14:solidFill>
                </w14:textFill>
              </w:rPr>
              <w:t>②</w:t>
            </w:r>
            <w:r>
              <w:rPr>
                <w:color w:val="000000" w:themeColor="text1"/>
                <w14:textFill>
                  <w14:solidFill>
                    <w14:schemeClr w14:val="tx1"/>
                  </w14:solidFill>
                </w14:textFill>
              </w:rPr>
              <w:t>方案要点齐全、内容明确，有相应措施，具有一定操作性的得</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③</w:t>
            </w:r>
            <w:r>
              <w:rPr>
                <w:color w:val="000000" w:themeColor="text1"/>
                <w14:textFill>
                  <w14:solidFill>
                    <w14:schemeClr w14:val="tx1"/>
                  </w14:solidFill>
                </w14:textFill>
              </w:rPr>
              <w:t>方案要点齐全，全面完善、内容完整明确，措施具体，与本项目实际操作相符，具有可行性、操作性的得</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④</w:t>
            </w:r>
            <w:r>
              <w:rPr>
                <w:color w:val="000000" w:themeColor="text1"/>
                <w14:textFill>
                  <w14:solidFill>
                    <w14:schemeClr w14:val="tx1"/>
                  </w14:solidFill>
                </w14:textFill>
              </w:rPr>
              <w:t>未提供或提供的内容与项目情况不相符、有明显错误的或没有针对本项目特点的均不得分。</w:t>
            </w:r>
          </w:p>
        </w:tc>
      </w:tr>
      <w:tr w14:paraId="6F3791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9" w:type="dxa"/>
            <w:vAlign w:val="center"/>
          </w:tcPr>
          <w:p w14:paraId="2A1C88D5">
            <w:pPr>
              <w:rPr>
                <w:color w:val="000000" w:themeColor="text1"/>
                <w14:textFill>
                  <w14:solidFill>
                    <w14:schemeClr w14:val="tx1"/>
                  </w14:solidFill>
                </w14:textFill>
              </w:rPr>
            </w:pPr>
            <w:r>
              <w:rPr>
                <w:color w:val="000000" w:themeColor="text1"/>
                <w14:textFill>
                  <w14:solidFill>
                    <w14:schemeClr w14:val="tx1"/>
                  </w14:solidFill>
                </w14:textFill>
              </w:rPr>
              <w:t>工程进度计划</w:t>
            </w:r>
          </w:p>
        </w:tc>
        <w:tc>
          <w:tcPr>
            <w:tcW w:w="648" w:type="dxa"/>
            <w:vAlign w:val="center"/>
          </w:tcPr>
          <w:p w14:paraId="381F3F25">
            <w:pP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.00</w:t>
            </w:r>
          </w:p>
        </w:tc>
        <w:tc>
          <w:tcPr>
            <w:tcW w:w="7796" w:type="dxa"/>
          </w:tcPr>
          <w:p w14:paraId="503AECBE">
            <w:pPr>
              <w:rPr>
                <w:color w:val="000000" w:themeColor="text1"/>
                <w14:textFill>
                  <w14:solidFill>
                    <w14:schemeClr w14:val="tx1"/>
                  </w14:solidFill>
                </w14:textFill>
              </w:rPr>
            </w:pPr>
            <w:r>
              <w:rPr>
                <w:color w:val="000000" w:themeColor="text1"/>
                <w14:textFill>
                  <w14:solidFill>
                    <w14:schemeClr w14:val="tx1"/>
                  </w14:solidFill>
                </w14:textFill>
              </w:rPr>
              <w:t>根据磋商供应商针对项目要求提供的工程进度计划（包括工期目标、工期保证体系 、施工总进度计划、工期保障措施等），由磋商小组进行评分：</w:t>
            </w:r>
            <w:r>
              <w:rPr>
                <w:rFonts w:hint="eastAsia" w:ascii="宋体" w:hAnsi="宋体" w:cs="宋体"/>
                <w:color w:val="000000" w:themeColor="text1"/>
                <w14:textFill>
                  <w14:solidFill>
                    <w14:schemeClr w14:val="tx1"/>
                  </w14:solidFill>
                </w14:textFill>
              </w:rPr>
              <w:t>①</w:t>
            </w:r>
            <w:r>
              <w:rPr>
                <w:color w:val="000000" w:themeColor="text1"/>
                <w14:textFill>
                  <w14:solidFill>
                    <w14:schemeClr w14:val="tx1"/>
                  </w14:solidFill>
                </w14:textFill>
              </w:rPr>
              <w:t>提供的方案要点齐全、有相应措施的得1分；</w:t>
            </w:r>
            <w:r>
              <w:rPr>
                <w:rFonts w:hint="eastAsia" w:ascii="宋体" w:hAnsi="宋体" w:cs="宋体"/>
                <w:color w:val="000000" w:themeColor="text1"/>
                <w14:textFill>
                  <w14:solidFill>
                    <w14:schemeClr w14:val="tx1"/>
                  </w14:solidFill>
                </w14:textFill>
              </w:rPr>
              <w:t>②</w:t>
            </w:r>
            <w:r>
              <w:rPr>
                <w:color w:val="000000" w:themeColor="text1"/>
                <w14:textFill>
                  <w14:solidFill>
                    <w14:schemeClr w14:val="tx1"/>
                  </w14:solidFill>
                </w14:textFill>
              </w:rPr>
              <w:t>方案要点齐全、内容明确，有相应措施，具有一定操作性的得</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③</w:t>
            </w:r>
            <w:r>
              <w:rPr>
                <w:color w:val="000000" w:themeColor="text1"/>
                <w14:textFill>
                  <w14:solidFill>
                    <w14:schemeClr w14:val="tx1"/>
                  </w14:solidFill>
                </w14:textFill>
              </w:rPr>
              <w:t>方案要点齐全，全面完善、内容完整明确，措施具体，与本项目实际操作相符，具有可行性、操作性的得</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④</w:t>
            </w:r>
            <w:r>
              <w:rPr>
                <w:color w:val="000000" w:themeColor="text1"/>
                <w14:textFill>
                  <w14:solidFill>
                    <w14:schemeClr w14:val="tx1"/>
                  </w14:solidFill>
                </w14:textFill>
              </w:rPr>
              <w:t>未提供或提供的内容与项目情况不相符、有明显错误的或没有针对本项目特点的均不得分。</w:t>
            </w:r>
          </w:p>
        </w:tc>
      </w:tr>
      <w:tr w14:paraId="04463A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38" w:hRule="atLeast"/>
        </w:trPr>
        <w:tc>
          <w:tcPr>
            <w:tcW w:w="1189" w:type="dxa"/>
            <w:vAlign w:val="center"/>
          </w:tcPr>
          <w:p w14:paraId="4E9EAF80">
            <w:pPr>
              <w:rPr>
                <w:color w:val="000000" w:themeColor="text1"/>
                <w14:textFill>
                  <w14:solidFill>
                    <w14:schemeClr w14:val="tx1"/>
                  </w14:solidFill>
                </w14:textFill>
              </w:rPr>
            </w:pPr>
            <w:r>
              <w:rPr>
                <w:color w:val="000000" w:themeColor="text1"/>
                <w14:textFill>
                  <w14:solidFill>
                    <w14:schemeClr w14:val="tx1"/>
                  </w14:solidFill>
                </w14:textFill>
              </w:rPr>
              <w:t>施工人材机配置方案</w:t>
            </w:r>
          </w:p>
        </w:tc>
        <w:tc>
          <w:tcPr>
            <w:tcW w:w="648" w:type="dxa"/>
            <w:vAlign w:val="center"/>
          </w:tcPr>
          <w:p w14:paraId="0D27FF88">
            <w:pP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.00</w:t>
            </w:r>
          </w:p>
        </w:tc>
        <w:tc>
          <w:tcPr>
            <w:tcW w:w="7796" w:type="dxa"/>
          </w:tcPr>
          <w:p w14:paraId="1B9761BA">
            <w:pPr>
              <w:rPr>
                <w:color w:val="000000" w:themeColor="text1"/>
                <w14:textFill>
                  <w14:solidFill>
                    <w14:schemeClr w14:val="tx1"/>
                  </w14:solidFill>
                </w14:textFill>
              </w:rPr>
            </w:pPr>
            <w:r>
              <w:rPr>
                <w:color w:val="000000" w:themeColor="text1"/>
                <w14:textFill>
                  <w14:solidFill>
                    <w14:schemeClr w14:val="tx1"/>
                  </w14:solidFill>
                </w14:textFill>
              </w:rPr>
              <w:t>根据磋商供应商针对项目要求提供的施工人材机配置方案（包括主材配置、机械和设备配置等预案内容），由磋商小组进行评分：</w:t>
            </w:r>
            <w:r>
              <w:rPr>
                <w:rFonts w:hint="eastAsia" w:ascii="宋体" w:hAnsi="宋体" w:cs="宋体"/>
                <w:color w:val="000000" w:themeColor="text1"/>
                <w14:textFill>
                  <w14:solidFill>
                    <w14:schemeClr w14:val="tx1"/>
                  </w14:solidFill>
                </w14:textFill>
              </w:rPr>
              <w:t>①</w:t>
            </w:r>
            <w:r>
              <w:rPr>
                <w:color w:val="000000" w:themeColor="text1"/>
                <w14:textFill>
                  <w14:solidFill>
                    <w14:schemeClr w14:val="tx1"/>
                  </w14:solidFill>
                </w14:textFill>
              </w:rPr>
              <w:t>提供的方案要点齐全、有相应措施的得1分；</w:t>
            </w:r>
            <w:r>
              <w:rPr>
                <w:rFonts w:hint="eastAsia" w:ascii="宋体" w:hAnsi="宋体" w:cs="宋体"/>
                <w:color w:val="000000" w:themeColor="text1"/>
                <w14:textFill>
                  <w14:solidFill>
                    <w14:schemeClr w14:val="tx1"/>
                  </w14:solidFill>
                </w14:textFill>
              </w:rPr>
              <w:t>②</w:t>
            </w:r>
            <w:r>
              <w:rPr>
                <w:color w:val="000000" w:themeColor="text1"/>
                <w14:textFill>
                  <w14:solidFill>
                    <w14:schemeClr w14:val="tx1"/>
                  </w14:solidFill>
                </w14:textFill>
              </w:rPr>
              <w:t>方案要点齐全、内容明确，有相应措施，具有一定操作性的得</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③</w:t>
            </w:r>
            <w:r>
              <w:rPr>
                <w:color w:val="000000" w:themeColor="text1"/>
                <w14:textFill>
                  <w14:solidFill>
                    <w14:schemeClr w14:val="tx1"/>
                  </w14:solidFill>
                </w14:textFill>
              </w:rPr>
              <w:t>方案要点齐全，全面完善、内容完整明确，措施具体，与本项目实际操作相符，具有可行性、操作性的得</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④</w:t>
            </w:r>
            <w:r>
              <w:rPr>
                <w:color w:val="000000" w:themeColor="text1"/>
                <w14:textFill>
                  <w14:solidFill>
                    <w14:schemeClr w14:val="tx1"/>
                  </w14:solidFill>
                </w14:textFill>
              </w:rPr>
              <w:t>未提供或提供的内容与项目情况不相符、有明显错误的或没有针对本项目特点的均不得分。</w:t>
            </w:r>
          </w:p>
        </w:tc>
      </w:tr>
      <w:tr w14:paraId="6CAF47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9" w:type="dxa"/>
            <w:vAlign w:val="center"/>
          </w:tcPr>
          <w:p w14:paraId="780AC8FC">
            <w:pPr>
              <w:rPr>
                <w:color w:val="000000" w:themeColor="text1"/>
                <w14:textFill>
                  <w14:solidFill>
                    <w14:schemeClr w14:val="tx1"/>
                  </w14:solidFill>
                </w14:textFill>
              </w:rPr>
            </w:pPr>
            <w:r>
              <w:rPr>
                <w:color w:val="000000" w:themeColor="text1"/>
                <w14:textFill>
                  <w14:solidFill>
                    <w14:schemeClr w14:val="tx1"/>
                  </w14:solidFill>
                </w14:textFill>
              </w:rPr>
              <w:t>安全管理体系和措施</w:t>
            </w:r>
          </w:p>
        </w:tc>
        <w:tc>
          <w:tcPr>
            <w:tcW w:w="648" w:type="dxa"/>
            <w:vAlign w:val="center"/>
          </w:tcPr>
          <w:p w14:paraId="32D86AE7">
            <w:pP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.00</w:t>
            </w:r>
          </w:p>
        </w:tc>
        <w:tc>
          <w:tcPr>
            <w:tcW w:w="7796" w:type="dxa"/>
          </w:tcPr>
          <w:p w14:paraId="489E3C1B">
            <w:pPr>
              <w:rPr>
                <w:color w:val="000000" w:themeColor="text1"/>
                <w14:textFill>
                  <w14:solidFill>
                    <w14:schemeClr w14:val="tx1"/>
                  </w14:solidFill>
                </w14:textFill>
              </w:rPr>
            </w:pPr>
            <w:r>
              <w:rPr>
                <w:color w:val="000000" w:themeColor="text1"/>
                <w14:textFill>
                  <w14:solidFill>
                    <w14:schemeClr w14:val="tx1"/>
                  </w14:solidFill>
                </w14:textFill>
              </w:rPr>
              <w:t>根据磋商供应商针对项目要求提供的安全管理体系和措施（包括施工安全管理目标 、施工安全生产总体措施 、施工安全生产责任制度、施工专职安全管理人员配备等内容），由磋商小组进行评分：</w:t>
            </w:r>
            <w:r>
              <w:rPr>
                <w:rFonts w:hint="eastAsia" w:ascii="宋体" w:hAnsi="宋体" w:cs="宋体"/>
                <w:color w:val="000000" w:themeColor="text1"/>
                <w14:textFill>
                  <w14:solidFill>
                    <w14:schemeClr w14:val="tx1"/>
                  </w14:solidFill>
                </w14:textFill>
              </w:rPr>
              <w:t>①</w:t>
            </w:r>
            <w:r>
              <w:rPr>
                <w:color w:val="000000" w:themeColor="text1"/>
                <w14:textFill>
                  <w14:solidFill>
                    <w14:schemeClr w14:val="tx1"/>
                  </w14:solidFill>
                </w14:textFill>
              </w:rPr>
              <w:t>提供的方案要点齐全、有相应措施的得1分；</w:t>
            </w:r>
            <w:r>
              <w:rPr>
                <w:rFonts w:hint="eastAsia" w:ascii="宋体" w:hAnsi="宋体" w:cs="宋体"/>
                <w:color w:val="000000" w:themeColor="text1"/>
                <w14:textFill>
                  <w14:solidFill>
                    <w14:schemeClr w14:val="tx1"/>
                  </w14:solidFill>
                </w14:textFill>
              </w:rPr>
              <w:t>②</w:t>
            </w:r>
            <w:r>
              <w:rPr>
                <w:color w:val="000000" w:themeColor="text1"/>
                <w14:textFill>
                  <w14:solidFill>
                    <w14:schemeClr w14:val="tx1"/>
                  </w14:solidFill>
                </w14:textFill>
              </w:rPr>
              <w:t>方案要点齐全、内容明确，有相应措施，具有一定操作性的得</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③</w:t>
            </w:r>
            <w:r>
              <w:rPr>
                <w:color w:val="000000" w:themeColor="text1"/>
                <w14:textFill>
                  <w14:solidFill>
                    <w14:schemeClr w14:val="tx1"/>
                  </w14:solidFill>
                </w14:textFill>
              </w:rPr>
              <w:t>方案要点齐全，全面完善、内容完整明确，措施具体，与本项目实际操作相符，具有可行性、操作性的得</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④</w:t>
            </w:r>
            <w:r>
              <w:rPr>
                <w:color w:val="000000" w:themeColor="text1"/>
                <w14:textFill>
                  <w14:solidFill>
                    <w14:schemeClr w14:val="tx1"/>
                  </w14:solidFill>
                </w14:textFill>
              </w:rPr>
              <w:t>未提供或提供的内容与项目情况不相符、有明显错误的或没有针对本项目特点的均不得分。</w:t>
            </w:r>
          </w:p>
        </w:tc>
      </w:tr>
      <w:tr w14:paraId="63A80E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9" w:type="dxa"/>
            <w:vAlign w:val="center"/>
          </w:tcPr>
          <w:p w14:paraId="23EDE6EC">
            <w:pPr>
              <w:rPr>
                <w:color w:val="000000" w:themeColor="text1"/>
                <w14:textFill>
                  <w14:solidFill>
                    <w14:schemeClr w14:val="tx1"/>
                  </w14:solidFill>
                </w14:textFill>
              </w:rPr>
            </w:pPr>
            <w:r>
              <w:rPr>
                <w:color w:val="000000" w:themeColor="text1"/>
                <w14:textFill>
                  <w14:solidFill>
                    <w14:schemeClr w14:val="tx1"/>
                  </w14:solidFill>
                </w14:textFill>
              </w:rPr>
              <w:t>安全文明施工</w:t>
            </w:r>
          </w:p>
        </w:tc>
        <w:tc>
          <w:tcPr>
            <w:tcW w:w="648" w:type="dxa"/>
            <w:vAlign w:val="center"/>
          </w:tcPr>
          <w:p w14:paraId="4FFB3514">
            <w:pP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00</w:t>
            </w:r>
          </w:p>
        </w:tc>
        <w:tc>
          <w:tcPr>
            <w:tcW w:w="7796" w:type="dxa"/>
          </w:tcPr>
          <w:p w14:paraId="738F32C9">
            <w:pPr>
              <w:rPr>
                <w:color w:val="000000" w:themeColor="text1"/>
                <w14:textFill>
                  <w14:solidFill>
                    <w14:schemeClr w14:val="tx1"/>
                  </w14:solidFill>
                </w14:textFill>
              </w:rPr>
            </w:pPr>
            <w:r>
              <w:rPr>
                <w:color w:val="000000" w:themeColor="text1"/>
                <w14:textFill>
                  <w14:solidFill>
                    <w14:schemeClr w14:val="tx1"/>
                  </w14:solidFill>
                </w14:textFill>
              </w:rPr>
              <w:t>根据磋商供应商针对项目要求提供的安全文明施工措施（包括但不限于文明施工、噪声、废气、废水及扬尘控制措施、节能减排施工管理措施等内容），由磋商小组进行评分：</w:t>
            </w:r>
            <w:r>
              <w:rPr>
                <w:rFonts w:hint="eastAsia" w:ascii="宋体" w:hAnsi="宋体" w:cs="宋体"/>
                <w:color w:val="000000" w:themeColor="text1"/>
                <w14:textFill>
                  <w14:solidFill>
                    <w14:schemeClr w14:val="tx1"/>
                  </w14:solidFill>
                </w14:textFill>
              </w:rPr>
              <w:t>①</w:t>
            </w:r>
            <w:r>
              <w:rPr>
                <w:color w:val="000000" w:themeColor="text1"/>
                <w14:textFill>
                  <w14:solidFill>
                    <w14:schemeClr w14:val="tx1"/>
                  </w14:solidFill>
                </w14:textFill>
              </w:rPr>
              <w:t>提供的方案要点齐全、有相应措施的得1分；</w:t>
            </w:r>
            <w:r>
              <w:rPr>
                <w:rFonts w:hint="eastAsia" w:ascii="宋体" w:hAnsi="宋体" w:cs="宋体"/>
                <w:color w:val="000000" w:themeColor="text1"/>
                <w14:textFill>
                  <w14:solidFill>
                    <w14:schemeClr w14:val="tx1"/>
                  </w14:solidFill>
                </w14:textFill>
              </w:rPr>
              <w:t>②</w:t>
            </w:r>
            <w:r>
              <w:rPr>
                <w:color w:val="000000" w:themeColor="text1"/>
                <w14:textFill>
                  <w14:solidFill>
                    <w14:schemeClr w14:val="tx1"/>
                  </w14:solidFill>
                </w14:textFill>
              </w:rPr>
              <w:t>方案要点齐全、内容明确，有相应措施，具有一定操作性的得</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③</w:t>
            </w:r>
            <w:r>
              <w:rPr>
                <w:color w:val="000000" w:themeColor="text1"/>
                <w14:textFill>
                  <w14:solidFill>
                    <w14:schemeClr w14:val="tx1"/>
                  </w14:solidFill>
                </w14:textFill>
              </w:rPr>
              <w:t>方案要点齐全，全面完善、内容完整明确，措施具体，与本项目实际操作相符，具有可行性、操作性的得</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④</w:t>
            </w:r>
            <w:r>
              <w:rPr>
                <w:color w:val="000000" w:themeColor="text1"/>
                <w14:textFill>
                  <w14:solidFill>
                    <w14:schemeClr w14:val="tx1"/>
                  </w14:solidFill>
                </w14:textFill>
              </w:rPr>
              <w:t>未提供或提供的内容与项目情况不相符、有明显错误的或没有针对本项目特点的均不得分。</w:t>
            </w:r>
          </w:p>
        </w:tc>
      </w:tr>
      <w:tr w14:paraId="1AA15A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9" w:type="dxa"/>
            <w:vAlign w:val="center"/>
          </w:tcPr>
          <w:p w14:paraId="23E9CF69">
            <w:pPr>
              <w:rPr>
                <w:color w:val="000000" w:themeColor="text1"/>
                <w14:textFill>
                  <w14:solidFill>
                    <w14:schemeClr w14:val="tx1"/>
                  </w14:solidFill>
                </w14:textFill>
              </w:rPr>
            </w:pPr>
            <w:r>
              <w:rPr>
                <w:color w:val="000000" w:themeColor="text1"/>
                <w14:textFill>
                  <w14:solidFill>
                    <w14:schemeClr w14:val="tx1"/>
                  </w14:solidFill>
                </w14:textFill>
              </w:rPr>
              <w:t>施工质量保证</w:t>
            </w:r>
          </w:p>
        </w:tc>
        <w:tc>
          <w:tcPr>
            <w:tcW w:w="648" w:type="dxa"/>
            <w:vAlign w:val="center"/>
          </w:tcPr>
          <w:p w14:paraId="40DFC22E">
            <w:pP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.00</w:t>
            </w:r>
          </w:p>
        </w:tc>
        <w:tc>
          <w:tcPr>
            <w:tcW w:w="7796" w:type="dxa"/>
            <w:vAlign w:val="center"/>
          </w:tcPr>
          <w:p w14:paraId="0A3EFB94">
            <w:pPr>
              <w:rPr>
                <w:color w:val="000000" w:themeColor="text1"/>
                <w14:textFill>
                  <w14:solidFill>
                    <w14:schemeClr w14:val="tx1"/>
                  </w14:solidFill>
                </w14:textFill>
              </w:rPr>
            </w:pPr>
            <w:r>
              <w:rPr>
                <w:color w:val="000000" w:themeColor="text1"/>
                <w14:textFill>
                  <w14:solidFill>
                    <w14:schemeClr w14:val="tx1"/>
                  </w14:solidFill>
                </w14:textFill>
              </w:rPr>
              <w:t>根据磋商供应商针对项目要求提供的质量保证措施（包括但不限于质量目标、质量技术组织措施、物资材料质量保证措施等内容），由磋商小组进行评分：</w:t>
            </w:r>
            <w:r>
              <w:rPr>
                <w:rFonts w:hint="eastAsia" w:ascii="宋体" w:hAnsi="宋体" w:cs="宋体"/>
                <w:color w:val="000000" w:themeColor="text1"/>
                <w14:textFill>
                  <w14:solidFill>
                    <w14:schemeClr w14:val="tx1"/>
                  </w14:solidFill>
                </w14:textFill>
              </w:rPr>
              <w:t>①</w:t>
            </w:r>
            <w:r>
              <w:rPr>
                <w:color w:val="000000" w:themeColor="text1"/>
                <w14:textFill>
                  <w14:solidFill>
                    <w14:schemeClr w14:val="tx1"/>
                  </w14:solidFill>
                </w14:textFill>
              </w:rPr>
              <w:t>提供的方案要点齐全、有相应措施的得1分；</w:t>
            </w:r>
            <w:r>
              <w:rPr>
                <w:rFonts w:hint="eastAsia" w:ascii="宋体" w:hAnsi="宋体" w:cs="宋体"/>
                <w:color w:val="000000" w:themeColor="text1"/>
                <w14:textFill>
                  <w14:solidFill>
                    <w14:schemeClr w14:val="tx1"/>
                  </w14:solidFill>
                </w14:textFill>
              </w:rPr>
              <w:t>②</w:t>
            </w:r>
            <w:r>
              <w:rPr>
                <w:color w:val="000000" w:themeColor="text1"/>
                <w14:textFill>
                  <w14:solidFill>
                    <w14:schemeClr w14:val="tx1"/>
                  </w14:solidFill>
                </w14:textFill>
              </w:rPr>
              <w:t>方案要点齐全、内容明确，有相应措施，具有一定操作性的得</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③</w:t>
            </w:r>
            <w:r>
              <w:rPr>
                <w:color w:val="000000" w:themeColor="text1"/>
                <w14:textFill>
                  <w14:solidFill>
                    <w14:schemeClr w14:val="tx1"/>
                  </w14:solidFill>
                </w14:textFill>
              </w:rPr>
              <w:t>方案要点齐全，全面完善、内容完整明确，措施具体，与本项目实际操作相符，具有可行性、操作性的得</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④</w:t>
            </w:r>
            <w:r>
              <w:rPr>
                <w:color w:val="000000" w:themeColor="text1"/>
                <w14:textFill>
                  <w14:solidFill>
                    <w14:schemeClr w14:val="tx1"/>
                  </w14:solidFill>
                </w14:textFill>
              </w:rPr>
              <w:t>未提供或提供的内容与项目情况不相符、有明显错误的或没有针对本项目特点的均不得分。</w:t>
            </w:r>
          </w:p>
        </w:tc>
      </w:tr>
      <w:tr w14:paraId="38465F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9" w:type="dxa"/>
            <w:vAlign w:val="center"/>
          </w:tcPr>
          <w:p w14:paraId="0DB9B055">
            <w:pPr>
              <w:rPr>
                <w:color w:val="000000" w:themeColor="text1"/>
                <w14:textFill>
                  <w14:solidFill>
                    <w14:schemeClr w14:val="tx1"/>
                  </w14:solidFill>
                </w14:textFill>
              </w:rPr>
            </w:pPr>
            <w:r>
              <w:rPr>
                <w:color w:val="000000" w:themeColor="text1"/>
                <w14:textFill>
                  <w14:solidFill>
                    <w14:schemeClr w14:val="tx1"/>
                  </w14:solidFill>
                </w14:textFill>
              </w:rPr>
              <w:t>项目实施与验收措施方案</w:t>
            </w:r>
          </w:p>
        </w:tc>
        <w:tc>
          <w:tcPr>
            <w:tcW w:w="648" w:type="dxa"/>
            <w:vAlign w:val="center"/>
          </w:tcPr>
          <w:p w14:paraId="2838F241">
            <w:pP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.00</w:t>
            </w:r>
          </w:p>
        </w:tc>
        <w:tc>
          <w:tcPr>
            <w:tcW w:w="7796" w:type="dxa"/>
            <w:vAlign w:val="center"/>
          </w:tcPr>
          <w:p w14:paraId="5F288E3D">
            <w:pPr>
              <w:rPr>
                <w:color w:val="000000" w:themeColor="text1"/>
                <w14:textFill>
                  <w14:solidFill>
                    <w14:schemeClr w14:val="tx1"/>
                  </w14:solidFill>
                </w14:textFill>
              </w:rPr>
            </w:pPr>
            <w:r>
              <w:rPr>
                <w:color w:val="000000" w:themeColor="text1"/>
                <w14:textFill>
                  <w14:solidFill>
                    <w14:schemeClr w14:val="tx1"/>
                  </w14:solidFill>
                </w14:textFill>
              </w:rPr>
              <w:t>根据磋商供应商针对项目要求提供的项目实施与验收措施方案（包括但不限于项目管理计划、验收方案等内容）由磋商小组进行评分：</w:t>
            </w:r>
            <w:r>
              <w:rPr>
                <w:rFonts w:hint="eastAsia" w:ascii="宋体" w:hAnsi="宋体" w:cs="宋体"/>
                <w:color w:val="000000" w:themeColor="text1"/>
                <w14:textFill>
                  <w14:solidFill>
                    <w14:schemeClr w14:val="tx1"/>
                  </w14:solidFill>
                </w14:textFill>
              </w:rPr>
              <w:t>①</w:t>
            </w:r>
            <w:r>
              <w:rPr>
                <w:color w:val="000000" w:themeColor="text1"/>
                <w14:textFill>
                  <w14:solidFill>
                    <w14:schemeClr w14:val="tx1"/>
                  </w14:solidFill>
                </w14:textFill>
              </w:rPr>
              <w:t>提供的方案要点齐全、有相应措施的得1分；</w:t>
            </w:r>
            <w:r>
              <w:rPr>
                <w:rFonts w:hint="eastAsia" w:ascii="宋体" w:hAnsi="宋体" w:cs="宋体"/>
                <w:color w:val="000000" w:themeColor="text1"/>
                <w14:textFill>
                  <w14:solidFill>
                    <w14:schemeClr w14:val="tx1"/>
                  </w14:solidFill>
                </w14:textFill>
              </w:rPr>
              <w:t>②</w:t>
            </w:r>
            <w:r>
              <w:rPr>
                <w:color w:val="000000" w:themeColor="text1"/>
                <w14:textFill>
                  <w14:solidFill>
                    <w14:schemeClr w14:val="tx1"/>
                  </w14:solidFill>
                </w14:textFill>
              </w:rPr>
              <w:t>方案要点齐全、内容明确，有相应措施，具有一定操作性的得</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③</w:t>
            </w:r>
            <w:r>
              <w:rPr>
                <w:color w:val="000000" w:themeColor="text1"/>
                <w14:textFill>
                  <w14:solidFill>
                    <w14:schemeClr w14:val="tx1"/>
                  </w14:solidFill>
                </w14:textFill>
              </w:rPr>
              <w:t>方案要点齐全，全面完善、内容完整明确，措施具体，与本项目实际操作相符，具有可行性、操作性的得</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④</w:t>
            </w:r>
            <w:r>
              <w:rPr>
                <w:color w:val="000000" w:themeColor="text1"/>
                <w14:textFill>
                  <w14:solidFill>
                    <w14:schemeClr w14:val="tx1"/>
                  </w14:solidFill>
                </w14:textFill>
              </w:rPr>
              <w:t>未提供或提供的内容与项目情况不相符、有明显错误的或没有针对本项目特点的均不得分。</w:t>
            </w:r>
          </w:p>
        </w:tc>
      </w:tr>
    </w:tbl>
    <w:p w14:paraId="7F47B2C1">
      <w:pPr>
        <w:spacing w:line="360" w:lineRule="exact"/>
        <w:ind w:firstLine="413" w:firstLineChars="196"/>
        <w:rPr>
          <w:rFonts w:ascii="宋体" w:hAnsi="宋体"/>
          <w:b/>
          <w:color w:val="000000" w:themeColor="text1"/>
          <w:szCs w:val="21"/>
          <w14:textFill>
            <w14:solidFill>
              <w14:schemeClr w14:val="tx1"/>
            </w14:solidFill>
          </w14:textFill>
        </w:rPr>
      </w:pPr>
    </w:p>
    <w:p w14:paraId="23903D07">
      <w:pPr>
        <w:spacing w:line="36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kern w:val="10"/>
          <w:szCs w:val="21"/>
          <w14:textFill>
            <w14:solidFill>
              <w14:schemeClr w14:val="tx1"/>
            </w14:solidFill>
          </w14:textFill>
        </w:rPr>
        <w:t xml:space="preserve"> (四)</w:t>
      </w:r>
      <w:r>
        <w:rPr>
          <w:rFonts w:hint="eastAsia" w:ascii="宋体" w:hAnsi="宋体"/>
          <w:b/>
          <w:color w:val="000000" w:themeColor="text1"/>
          <w:szCs w:val="21"/>
          <w14:textFill>
            <w14:solidFill>
              <w14:schemeClr w14:val="tx1"/>
            </w14:solidFill>
          </w14:textFill>
        </w:rPr>
        <w:t>各有效磋商供应商的综合得分＝技术商务部分得分＋价格部分得分</w:t>
      </w:r>
    </w:p>
    <w:p w14:paraId="65066978">
      <w:pPr>
        <w:adjustRightInd w:val="0"/>
        <w:snapToGrid w:val="0"/>
        <w:spacing w:line="356"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小组根据磋商文件、磋商响应文件（内容包括各磋商供应商的策划及设计方案、服务质量及服务能力、报价等因素），经综合分析、比较、算术性修正、评标价格量化；按满足磋商文件实质性要求，根据综合评分情况，按照评审综合得分由高到低顺序推荐成交候选供应商3名，磋商小组推荐的成交候选供应商交由采购人依法确定成交供应商。</w:t>
      </w:r>
    </w:p>
    <w:p w14:paraId="015DE946">
      <w:pPr>
        <w:spacing w:line="360" w:lineRule="exact"/>
        <w:ind w:firstLine="422" w:firstLineChars="200"/>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1.评标价=最后</w:t>
      </w:r>
      <w:r>
        <w:rPr>
          <w:rFonts w:hint="eastAsia" w:ascii="宋体" w:hAnsi="宋体"/>
          <w:b/>
          <w:color w:val="000000" w:themeColor="text1"/>
          <w:szCs w:val="21"/>
          <w:lang w:eastAsia="zh-CN"/>
          <w14:textFill>
            <w14:solidFill>
              <w14:schemeClr w14:val="tx1"/>
            </w14:solidFill>
          </w14:textFill>
        </w:rPr>
        <w:t>磋商</w:t>
      </w:r>
      <w:r>
        <w:rPr>
          <w:rFonts w:hint="eastAsia" w:ascii="宋体" w:hAnsi="宋体"/>
          <w:b/>
          <w:color w:val="000000" w:themeColor="text1"/>
          <w:szCs w:val="21"/>
          <w14:textFill>
            <w14:solidFill>
              <w14:schemeClr w14:val="tx1"/>
            </w14:solidFill>
          </w14:textFill>
        </w:rPr>
        <w:t>报价-扣除价</w:t>
      </w:r>
    </w:p>
    <w:p w14:paraId="27194953">
      <w:pPr>
        <w:spacing w:line="280" w:lineRule="exact"/>
        <w:ind w:firstLine="422" w:firstLineChars="200"/>
        <w:rPr>
          <w:rFonts w:hint="eastAsia"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u w:val="single"/>
          <w14:textFill>
            <w14:solidFill>
              <w14:schemeClr w14:val="tx1"/>
            </w14:solidFill>
          </w14:textFill>
        </w:rPr>
        <w:t>1.2中小企业参与价格扣除：（若有）</w:t>
      </w:r>
    </w:p>
    <w:p w14:paraId="58EAC59F">
      <w:pPr>
        <w:tabs>
          <w:tab w:val="left" w:pos="9344"/>
        </w:tabs>
        <w:spacing w:line="280" w:lineRule="exact"/>
        <w:ind w:firstLine="360" w:firstLineChars="200"/>
        <w:jc w:val="left"/>
        <w:rPr>
          <w:rFonts w:hint="default" w:ascii="宋体" w:hAnsi="宋体" w:eastAsia="宋体"/>
          <w:color w:val="000000" w:themeColor="text1"/>
          <w:sz w:val="18"/>
          <w:szCs w:val="18"/>
          <w:lang w:val="en-US" w:eastAsia="zh-CN"/>
          <w14:textFill>
            <w14:solidFill>
              <w14:schemeClr w14:val="tx1"/>
            </w14:solidFill>
          </w14:textFill>
        </w:rPr>
      </w:pPr>
      <w:r>
        <w:rPr>
          <w:rFonts w:hint="eastAsia" w:ascii="宋体" w:hAnsi="宋体"/>
          <w:color w:val="000000" w:themeColor="text1"/>
          <w:sz w:val="18"/>
          <w:szCs w:val="18"/>
          <w14:textFill>
            <w14:solidFill>
              <w14:schemeClr w14:val="tx1"/>
            </w14:solidFill>
          </w14:textFill>
        </w:rPr>
        <w:t>1、根据《财政部、工业和信息化部关于印发&lt;政府采购促进中小企业发展管理办法&gt;的通知》（财库〔2020〕46号）文件的相关规定。①对于经主管预算单位统筹后未预留份额专门面向中小企业采购的采购项目，以及预留份额项目中的非预留部分采购包，小微企业的报价给予15%的扣除（工程项目为5%）；②接受大中型企业与小微企业组成联合体或者允许大中型企业向一家或者多家小微企业分包的，对于联合协议或者分包意向协议约定小微企业的合同份额占到合同总金额30%以上的，给予联合体或者大中型企业的报价给予5%的扣除（工程项目为2%）。组成联合体或者接受分包的小微企业与联合体内其他企业、分包企业之间存在直接控股、管理关系的，不享受价格扣除优惠政策。③小微型企业适用价格扣除办法时应提供以下资料，并用扣除后的价格参与评审：《中小企业声明函》（格式附后）。（本项所称货物不包括使用大型企业商号或者注册商标的货物。所提供的货物既有中小企业制造货物，也有大型企业制造货物的，不享受本办法规定的中小企业扶持政策。） 2、根据财库[2014]68号文《关于政府采购支持监狱企业发展有关问题的通知》的规定，在政府采购活动中，监狱企业视同小型、微型企业，享受预留份额、评审中价格扣除等政府采购促进中小企业发展的政府采购政策。本项目享受与本表条款1相同的价格扣除优惠办法。监狱企业参加政府采购活动时，应当提供由省级以上监狱管理局、戒毒管理局（含新疆生产建设兵团）出具的属于监狱企业的证明文件。 3、根据财政部、民政部、中国残疾人联合会联合发布《关于促进残疾人就业政府采购政策的通知》（财库〔2017〕141号）文件规定，残疾人福利性单位视同小型、微型企业，享受评审中价格扣除的政府采购政策。残疾人福利性单位属于小型、微型企业的，不重复享受政策。对残疾人福利性单位产品价格给予15%的扣除（工程项目为5%）；接受大中型企业与残疾人福利性单位组成联合体或者允许大中型企业向一家或者多家残疾人福利性单位分包的，对于联合协议或者分包意向协议约定残疾人福利性单位的合同份额占到合同总金额30%以上的，给予联合体或者大中型企业的报价给予5%的扣除（工程项目为2%）。残疾人福利性单位参加投标的需提供《残疾人福利性单位声明函》，并对声明的真实性负责。残疾人福利性单位享受价格扣除的货物是指只由本单位制造的货物，或者只由其他残疾人福利性单位制造的货物。残疾人福利性单位应当在投标文件中写明具体哪些货物是由本单位制造，或者由其他残疾人福利性单位制造（不包括使用非残疾人福利性单位商号或者注册商标的货物），并对其进行标注。仅有标明部分的货物才能启动价格扣除。</w:t>
      </w:r>
      <w:r>
        <w:rPr>
          <w:rFonts w:hint="eastAsia" w:ascii="宋体" w:hAnsi="宋体"/>
          <w:color w:val="000000" w:themeColor="text1"/>
          <w:sz w:val="18"/>
          <w:szCs w:val="18"/>
          <w:lang w:val="en-US" w:eastAsia="zh-CN"/>
          <w14:textFill>
            <w14:solidFill>
              <w14:schemeClr w14:val="tx1"/>
            </w14:solidFill>
          </w14:textFill>
        </w:rPr>
        <w:t>本项目所属行业为建筑业。</w:t>
      </w:r>
    </w:p>
    <w:p w14:paraId="22E8E09D">
      <w:pPr>
        <w:pStyle w:val="41"/>
        <w:ind w:firstLine="418"/>
        <w:rPr>
          <w:color w:val="000000" w:themeColor="text1"/>
          <w14:textFill>
            <w14:solidFill>
              <w14:schemeClr w14:val="tx1"/>
            </w14:solidFill>
          </w14:textFill>
        </w:rPr>
      </w:pPr>
    </w:p>
    <w:p w14:paraId="5BE4357D">
      <w:pPr>
        <w:pStyle w:val="41"/>
        <w:ind w:firstLine="418"/>
        <w:rPr>
          <w:rFonts w:hint="eastAsia"/>
          <w:color w:val="000000" w:themeColor="text1"/>
          <w14:textFill>
            <w14:solidFill>
              <w14:schemeClr w14:val="tx1"/>
            </w14:solidFill>
          </w14:textFill>
        </w:rPr>
      </w:pPr>
    </w:p>
    <w:p w14:paraId="4ED32B86">
      <w:pPr>
        <w:pStyle w:val="41"/>
        <w:ind w:firstLine="418"/>
        <w:rPr>
          <w:rFonts w:hint="eastAsia"/>
          <w:color w:val="000000" w:themeColor="text1"/>
          <w14:textFill>
            <w14:solidFill>
              <w14:schemeClr w14:val="tx1"/>
            </w14:solidFill>
          </w14:textFill>
        </w:rPr>
      </w:pPr>
    </w:p>
    <w:p w14:paraId="4996BBA5">
      <w:pPr>
        <w:pStyle w:val="41"/>
        <w:ind w:firstLine="418"/>
        <w:rPr>
          <w:rFonts w:hint="eastAsia"/>
          <w:color w:val="000000" w:themeColor="text1"/>
          <w14:textFill>
            <w14:solidFill>
              <w14:schemeClr w14:val="tx1"/>
            </w14:solidFill>
          </w14:textFill>
        </w:rPr>
      </w:pPr>
    </w:p>
    <w:p w14:paraId="39DEA7B1">
      <w:pPr>
        <w:pStyle w:val="41"/>
        <w:ind w:firstLine="418"/>
        <w:rPr>
          <w:rFonts w:hint="eastAsia"/>
          <w:color w:val="000000" w:themeColor="text1"/>
          <w14:textFill>
            <w14:solidFill>
              <w14:schemeClr w14:val="tx1"/>
            </w14:solidFill>
          </w14:textFill>
        </w:rPr>
      </w:pPr>
    </w:p>
    <w:p w14:paraId="5F071C85">
      <w:pPr>
        <w:pStyle w:val="41"/>
        <w:ind w:firstLine="418"/>
        <w:rPr>
          <w:rFonts w:hint="eastAsia"/>
          <w:color w:val="000000" w:themeColor="text1"/>
          <w14:textFill>
            <w14:solidFill>
              <w14:schemeClr w14:val="tx1"/>
            </w14:solidFill>
          </w14:textFill>
        </w:rPr>
      </w:pPr>
    </w:p>
    <w:p w14:paraId="609A706A">
      <w:pPr>
        <w:pStyle w:val="41"/>
        <w:ind w:firstLine="418"/>
        <w:rPr>
          <w:rFonts w:hint="eastAsia"/>
          <w:color w:val="000000" w:themeColor="text1"/>
          <w14:textFill>
            <w14:solidFill>
              <w14:schemeClr w14:val="tx1"/>
            </w14:solidFill>
          </w14:textFill>
        </w:rPr>
      </w:pPr>
    </w:p>
    <w:p w14:paraId="752BE3C0">
      <w:pPr>
        <w:pStyle w:val="41"/>
        <w:ind w:firstLine="418"/>
        <w:rPr>
          <w:rFonts w:hint="eastAsia"/>
          <w:color w:val="000000" w:themeColor="text1"/>
          <w14:textFill>
            <w14:solidFill>
              <w14:schemeClr w14:val="tx1"/>
            </w14:solidFill>
          </w14:textFill>
        </w:rPr>
      </w:pPr>
    </w:p>
    <w:p w14:paraId="3F3E5B0A">
      <w:pPr>
        <w:pStyle w:val="41"/>
        <w:ind w:firstLine="418"/>
        <w:rPr>
          <w:rFonts w:hint="eastAsia"/>
          <w:color w:val="000000" w:themeColor="text1"/>
          <w14:textFill>
            <w14:solidFill>
              <w14:schemeClr w14:val="tx1"/>
            </w14:solidFill>
          </w14:textFill>
        </w:rPr>
      </w:pPr>
    </w:p>
    <w:p w14:paraId="00AAFBDA">
      <w:pPr>
        <w:pStyle w:val="41"/>
        <w:ind w:firstLine="418"/>
        <w:rPr>
          <w:rFonts w:hint="eastAsia"/>
          <w:color w:val="000000" w:themeColor="text1"/>
          <w14:textFill>
            <w14:solidFill>
              <w14:schemeClr w14:val="tx1"/>
            </w14:solidFill>
          </w14:textFill>
        </w:rPr>
      </w:pPr>
    </w:p>
    <w:p w14:paraId="3EC7671A">
      <w:pPr>
        <w:pStyle w:val="41"/>
        <w:ind w:firstLine="418"/>
        <w:rPr>
          <w:rFonts w:hint="eastAsia"/>
          <w:color w:val="000000" w:themeColor="text1"/>
          <w14:textFill>
            <w14:solidFill>
              <w14:schemeClr w14:val="tx1"/>
            </w14:solidFill>
          </w14:textFill>
        </w:rPr>
      </w:pPr>
    </w:p>
    <w:p w14:paraId="7618E580">
      <w:pPr>
        <w:pStyle w:val="41"/>
        <w:ind w:firstLine="418"/>
        <w:rPr>
          <w:rFonts w:hint="eastAsia"/>
          <w:color w:val="000000" w:themeColor="text1"/>
          <w14:textFill>
            <w14:solidFill>
              <w14:schemeClr w14:val="tx1"/>
            </w14:solidFill>
          </w14:textFill>
        </w:rPr>
      </w:pPr>
    </w:p>
    <w:p w14:paraId="55E5D342">
      <w:pPr>
        <w:pStyle w:val="41"/>
        <w:ind w:firstLine="418"/>
        <w:rPr>
          <w:rFonts w:hint="eastAsia"/>
          <w:color w:val="000000" w:themeColor="text1"/>
          <w14:textFill>
            <w14:solidFill>
              <w14:schemeClr w14:val="tx1"/>
            </w14:solidFill>
          </w14:textFill>
        </w:rPr>
      </w:pPr>
    </w:p>
    <w:p w14:paraId="4EE5EEDF">
      <w:pPr>
        <w:pStyle w:val="41"/>
        <w:ind w:firstLine="418"/>
        <w:rPr>
          <w:rFonts w:hint="eastAsia"/>
          <w:color w:val="000000" w:themeColor="text1"/>
          <w14:textFill>
            <w14:solidFill>
              <w14:schemeClr w14:val="tx1"/>
            </w14:solidFill>
          </w14:textFill>
        </w:rPr>
      </w:pPr>
    </w:p>
    <w:p w14:paraId="42E5F593">
      <w:pPr>
        <w:pStyle w:val="41"/>
        <w:ind w:firstLine="418"/>
        <w:rPr>
          <w:rFonts w:hint="eastAsia"/>
          <w:color w:val="000000" w:themeColor="text1"/>
          <w14:textFill>
            <w14:solidFill>
              <w14:schemeClr w14:val="tx1"/>
            </w14:solidFill>
          </w14:textFill>
        </w:rPr>
      </w:pPr>
    </w:p>
    <w:p w14:paraId="53523AF1">
      <w:pPr>
        <w:pStyle w:val="41"/>
        <w:ind w:firstLine="418"/>
        <w:rPr>
          <w:rFonts w:hint="eastAsia"/>
          <w:color w:val="000000" w:themeColor="text1"/>
          <w14:textFill>
            <w14:solidFill>
              <w14:schemeClr w14:val="tx1"/>
            </w14:solidFill>
          </w14:textFill>
        </w:rPr>
      </w:pPr>
    </w:p>
    <w:p w14:paraId="172EFFC5">
      <w:pPr>
        <w:pStyle w:val="41"/>
        <w:ind w:firstLine="418"/>
        <w:rPr>
          <w:rFonts w:hint="eastAsia"/>
          <w:color w:val="000000" w:themeColor="text1"/>
          <w14:textFill>
            <w14:solidFill>
              <w14:schemeClr w14:val="tx1"/>
            </w14:solidFill>
          </w14:textFill>
        </w:rPr>
      </w:pPr>
    </w:p>
    <w:p w14:paraId="77DCD913">
      <w:pPr>
        <w:pStyle w:val="41"/>
        <w:ind w:firstLine="418"/>
        <w:rPr>
          <w:rFonts w:hint="eastAsia"/>
          <w:color w:val="000000" w:themeColor="text1"/>
          <w14:textFill>
            <w14:solidFill>
              <w14:schemeClr w14:val="tx1"/>
            </w14:solidFill>
          </w14:textFill>
        </w:rPr>
      </w:pPr>
    </w:p>
    <w:p w14:paraId="116EF8F5">
      <w:pPr>
        <w:pStyle w:val="41"/>
        <w:ind w:firstLine="418"/>
        <w:rPr>
          <w:rFonts w:hint="eastAsia"/>
          <w:color w:val="000000" w:themeColor="text1"/>
          <w14:textFill>
            <w14:solidFill>
              <w14:schemeClr w14:val="tx1"/>
            </w14:solidFill>
          </w14:textFill>
        </w:rPr>
      </w:pPr>
    </w:p>
    <w:p w14:paraId="7FF219AA">
      <w:pPr>
        <w:pStyle w:val="41"/>
        <w:ind w:firstLine="418"/>
        <w:rPr>
          <w:rFonts w:hint="eastAsia"/>
          <w:color w:val="000000" w:themeColor="text1"/>
          <w14:textFill>
            <w14:solidFill>
              <w14:schemeClr w14:val="tx1"/>
            </w14:solidFill>
          </w14:textFill>
        </w:rPr>
      </w:pPr>
    </w:p>
    <w:p w14:paraId="4378C49D">
      <w:pPr>
        <w:pStyle w:val="41"/>
        <w:ind w:firstLine="418"/>
        <w:rPr>
          <w:rFonts w:hint="eastAsia"/>
          <w:color w:val="000000" w:themeColor="text1"/>
          <w14:textFill>
            <w14:solidFill>
              <w14:schemeClr w14:val="tx1"/>
            </w14:solidFill>
          </w14:textFill>
        </w:rPr>
      </w:pPr>
    </w:p>
    <w:p w14:paraId="6DA9146B">
      <w:pPr>
        <w:pStyle w:val="41"/>
        <w:ind w:firstLine="418"/>
        <w:rPr>
          <w:rFonts w:hint="eastAsia"/>
          <w:color w:val="000000" w:themeColor="text1"/>
          <w14:textFill>
            <w14:solidFill>
              <w14:schemeClr w14:val="tx1"/>
            </w14:solidFill>
          </w14:textFill>
        </w:rPr>
      </w:pPr>
    </w:p>
    <w:p w14:paraId="20DD63A6">
      <w:pPr>
        <w:pStyle w:val="41"/>
        <w:ind w:firstLine="418"/>
        <w:rPr>
          <w:rFonts w:hint="eastAsia"/>
          <w:color w:val="000000" w:themeColor="text1"/>
          <w14:textFill>
            <w14:solidFill>
              <w14:schemeClr w14:val="tx1"/>
            </w14:solidFill>
          </w14:textFill>
        </w:rPr>
      </w:pPr>
    </w:p>
    <w:p w14:paraId="1FAAB4C6">
      <w:pPr>
        <w:pStyle w:val="41"/>
        <w:ind w:firstLine="418"/>
        <w:rPr>
          <w:rFonts w:hint="eastAsia"/>
          <w:color w:val="000000" w:themeColor="text1"/>
          <w14:textFill>
            <w14:solidFill>
              <w14:schemeClr w14:val="tx1"/>
            </w14:solidFill>
          </w14:textFill>
        </w:rPr>
      </w:pPr>
    </w:p>
    <w:p w14:paraId="6743FE4D">
      <w:pPr>
        <w:pStyle w:val="41"/>
        <w:ind w:firstLine="418"/>
        <w:rPr>
          <w:rFonts w:hint="eastAsia"/>
          <w:color w:val="000000" w:themeColor="text1"/>
          <w14:textFill>
            <w14:solidFill>
              <w14:schemeClr w14:val="tx1"/>
            </w14:solidFill>
          </w14:textFill>
        </w:rPr>
      </w:pPr>
    </w:p>
    <w:p w14:paraId="29FC67F3">
      <w:pPr>
        <w:spacing w:line="360" w:lineRule="exact"/>
        <w:ind w:firstLine="630" w:firstLineChars="196"/>
        <w:jc w:val="center"/>
        <w:rPr>
          <w:rFonts w:hint="eastAsia"/>
          <w:b/>
          <w:color w:val="000000" w:themeColor="text1"/>
          <w:sz w:val="32"/>
          <w:szCs w:val="32"/>
          <w14:textFill>
            <w14:solidFill>
              <w14:schemeClr w14:val="tx1"/>
            </w14:solidFill>
          </w14:textFill>
        </w:rPr>
      </w:pPr>
    </w:p>
    <w:p w14:paraId="5CACE828">
      <w:pPr>
        <w:spacing w:line="360" w:lineRule="exact"/>
        <w:ind w:firstLine="630" w:firstLineChars="196"/>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磋商供应商须知</w:t>
      </w:r>
    </w:p>
    <w:p w14:paraId="1EB6E863">
      <w:pPr>
        <w:spacing w:line="360" w:lineRule="exact"/>
        <w:ind w:firstLine="4322" w:firstLineChars="2050"/>
        <w:outlineLvl w:val="0"/>
        <w:rPr>
          <w:b/>
          <w:color w:val="000000" w:themeColor="text1"/>
          <w:szCs w:val="21"/>
          <w14:textFill>
            <w14:solidFill>
              <w14:schemeClr w14:val="tx1"/>
            </w14:solidFill>
          </w14:textFill>
        </w:rPr>
      </w:pPr>
      <w:bookmarkStart w:id="8" w:name="_Toc390167016"/>
      <w:bookmarkStart w:id="9" w:name="_Toc106638035"/>
      <w:bookmarkStart w:id="10" w:name="_Toc137562990"/>
      <w:r>
        <w:rPr>
          <w:rFonts w:hint="eastAsia"/>
          <w:b/>
          <w:color w:val="000000" w:themeColor="text1"/>
          <w:szCs w:val="21"/>
          <w14:textFill>
            <w14:solidFill>
              <w14:schemeClr w14:val="tx1"/>
            </w14:solidFill>
          </w14:textFill>
        </w:rPr>
        <w:t>一、概述</w:t>
      </w:r>
      <w:bookmarkEnd w:id="8"/>
      <w:bookmarkEnd w:id="9"/>
      <w:bookmarkEnd w:id="10"/>
      <w:bookmarkStart w:id="11" w:name="_Toc75338300"/>
      <w:bookmarkStart w:id="12" w:name="_Toc390167017"/>
    </w:p>
    <w:p w14:paraId="5BEE2AE7">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3" w:name="_Toc137562991"/>
      <w:r>
        <w:rPr>
          <w:rFonts w:hint="eastAsia" w:ascii="宋体" w:hAnsi="宋体"/>
          <w:b/>
          <w:color w:val="000000" w:themeColor="text1"/>
          <w:szCs w:val="21"/>
          <w14:textFill>
            <w14:solidFill>
              <w14:schemeClr w14:val="tx1"/>
            </w14:solidFill>
          </w14:textFill>
        </w:rPr>
        <w:t>1．适用范围</w:t>
      </w:r>
      <w:bookmarkEnd w:id="11"/>
      <w:bookmarkEnd w:id="12"/>
      <w:bookmarkEnd w:id="13"/>
    </w:p>
    <w:p w14:paraId="4C24D89D">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w:t>
      </w:r>
      <w:r>
        <w:rPr>
          <w:rFonts w:hint="eastAsia" w:ascii="宋体" w:hAnsi="宋体"/>
          <w:b/>
          <w:color w:val="000000" w:themeColor="text1"/>
          <w:szCs w:val="21"/>
          <w14:textFill>
            <w14:solidFill>
              <w14:schemeClr w14:val="tx1"/>
            </w14:solidFill>
          </w14:textFill>
        </w:rPr>
        <w:t>本磋商文件仅适用于本次磋商文件中所叙述项目的货物及服务采购。本磋商文件的最终解释权属于</w:t>
      </w:r>
      <w:r>
        <w:rPr>
          <w:rFonts w:hint="eastAsia" w:ascii="宋体" w:hAnsi="宋体"/>
          <w:b/>
          <w:bCs/>
          <w:color w:val="000000" w:themeColor="text1"/>
          <w:szCs w:val="21"/>
          <w14:textFill>
            <w14:solidFill>
              <w14:schemeClr w14:val="tx1"/>
            </w14:solidFill>
          </w14:textFill>
        </w:rPr>
        <w:t>福建鑫盛项目管理咨询有限公司，未经许可，任何单位和个人不得复制、仿制以及对外公开，否则将依法追究其法律责任。</w:t>
      </w:r>
    </w:p>
    <w:p w14:paraId="7E30B1D7">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4" w:name="_Toc390167018"/>
      <w:bookmarkStart w:id="15" w:name="_Toc75338301"/>
      <w:bookmarkStart w:id="16" w:name="_Toc137562992"/>
      <w:r>
        <w:rPr>
          <w:rFonts w:hint="eastAsia" w:ascii="宋体" w:hAnsi="宋体"/>
          <w:b/>
          <w:color w:val="000000" w:themeColor="text1"/>
          <w:szCs w:val="21"/>
          <w14:textFill>
            <w14:solidFill>
              <w14:schemeClr w14:val="tx1"/>
            </w14:solidFill>
          </w14:textFill>
        </w:rPr>
        <w:t>2．定义</w:t>
      </w:r>
      <w:bookmarkEnd w:id="14"/>
      <w:bookmarkEnd w:id="15"/>
      <w:bookmarkEnd w:id="16"/>
    </w:p>
    <w:p w14:paraId="68D551BA">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2.1“采购代理机构”系指依法取得采购资格、从事采购代理业务并提供相关服务的专门机构。</w:t>
      </w:r>
    </w:p>
    <w:p w14:paraId="03224BE7">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2.2“采购人或采购单位”系指依法进行采购并获得资金/贷款的国家机关、企事业单位或者其他社会组织，或称买方、业主、招标人。</w:t>
      </w:r>
    </w:p>
    <w:p w14:paraId="2846B39D">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2.3“磋商供应商”系指向采购人提供货物、工程或者服务的法人、其他组织或者自然人。</w:t>
      </w:r>
    </w:p>
    <w:p w14:paraId="739F552B">
      <w:pPr>
        <w:pStyle w:val="81"/>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2.4“货物”系指磋商供应商按磋商文件规定须向采购人提供的一切设备、机械、仪器仪表、备品备件、工具、手册及其它有关技术资料和材料等各种形态和种类的物品(包括原材料、燃料、设备、产品等)。</w:t>
      </w:r>
    </w:p>
    <w:p w14:paraId="4A013C3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2.5“服务”系指磋商文件规定磋商供应商须承担的设计、安装、调试、技术协助、校准、培训及其它类似的义务。</w:t>
      </w:r>
    </w:p>
    <w:p w14:paraId="73584EA1">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2.6“单位负责人” 系指单位法定代表人或者法律、行政法规规定代表单位行使职权的主要负责人。</w:t>
      </w:r>
    </w:p>
    <w:p w14:paraId="76E6F268">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7" w:name="_Toc390167019"/>
      <w:bookmarkStart w:id="18" w:name="_Toc75338302"/>
      <w:bookmarkStart w:id="19" w:name="_Toc137562993"/>
      <w:r>
        <w:rPr>
          <w:rFonts w:hint="eastAsia" w:ascii="宋体" w:hAnsi="宋体"/>
          <w:b/>
          <w:color w:val="000000" w:themeColor="text1"/>
          <w:szCs w:val="21"/>
          <w14:textFill>
            <w14:solidFill>
              <w14:schemeClr w14:val="tx1"/>
            </w14:solidFill>
          </w14:textFill>
        </w:rPr>
        <w:t>3．合格的磋商供应商</w:t>
      </w:r>
      <w:bookmarkEnd w:id="17"/>
      <w:bookmarkEnd w:id="18"/>
      <w:bookmarkEnd w:id="19"/>
    </w:p>
    <w:p w14:paraId="334DC2C4">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 磋商供应商应符合《政府采购法》第二十二条的要求。</w:t>
      </w:r>
    </w:p>
    <w:p w14:paraId="60B099C2">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3.2本次采购规定磋商供应商的特定条件，参加报价的供应商必须具备规定的特定条件(具体见磋商供应商须知前附表中的规定)。</w:t>
      </w:r>
    </w:p>
    <w:p w14:paraId="3F7D25F8">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3.3一个磋商供应商只能提交一个磋商响应文件。但如果磋商供应商之间存在下列互为关联关系的情形之一的，不得同时参加本项目报价：</w:t>
      </w:r>
    </w:p>
    <w:p w14:paraId="7FD1840E">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3.3.1单位负责人为同一人的两个及两个以上法人的；</w:t>
      </w:r>
    </w:p>
    <w:p w14:paraId="51E8EA0C">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3.3.2母公司、直接或间接持股50%及以上的被投资公司的；</w:t>
      </w:r>
    </w:p>
    <w:p w14:paraId="7111F3BC">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3.3.3均为同一家母公司直接或间接持股50%及以上的被投资公司的。</w:t>
      </w:r>
    </w:p>
    <w:p w14:paraId="415A76A2">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3.4磋商供应商不得与本次磋商项目设计、编制技术规格和其它文件的公司或提供咨询服务的公司包括其附属机构有任何关联。</w:t>
      </w:r>
    </w:p>
    <w:p w14:paraId="2D3787EF">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3.5报价代理人在一个项目中只能接受一个磋商供应商的委托参加报价。</w:t>
      </w:r>
    </w:p>
    <w:p w14:paraId="57A7C60F">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3.6同一合同包内，同一品牌同一型号的整机设备只允许唯一供应商参与磋商。否则，由磋商小组对响应文件进行符合性审查，满足符合性要求的，以报价最低者为有效标。</w:t>
      </w:r>
    </w:p>
    <w:p w14:paraId="7B993A8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所提供产品是由系列子产品组成的，若不同供应商所提供某(或某几项)子产品品牌型号相同，该(或其中某几项)子产品报价金额（合计）占总价达50%及以上，按同一品牌同一型号相关规定处置。</w:t>
      </w:r>
    </w:p>
    <w:p w14:paraId="18EE29F3">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20" w:name="_Toc390167020"/>
      <w:bookmarkStart w:id="21" w:name="_Toc75338303"/>
      <w:bookmarkStart w:id="22" w:name="_Toc137562994"/>
      <w:r>
        <w:rPr>
          <w:rFonts w:hint="eastAsia" w:ascii="宋体" w:hAnsi="宋体"/>
          <w:b/>
          <w:color w:val="000000" w:themeColor="text1"/>
          <w:szCs w:val="21"/>
          <w14:textFill>
            <w14:solidFill>
              <w14:schemeClr w14:val="tx1"/>
            </w14:solidFill>
          </w14:textFill>
        </w:rPr>
        <w:t>4．废标与无效磋商界定</w:t>
      </w:r>
      <w:bookmarkEnd w:id="20"/>
      <w:bookmarkEnd w:id="21"/>
      <w:bookmarkEnd w:id="22"/>
    </w:p>
    <w:p w14:paraId="3EE72C5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4.1出现下列情形之一的，本次磋商采购应予废标：详见磋商供应商须知前附表4.1条款。</w:t>
      </w:r>
    </w:p>
    <w:p w14:paraId="05B5FDFD">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4.2凡有下列情况之一的，其</w:t>
      </w:r>
      <w:r>
        <w:rPr>
          <w:rFonts w:hint="eastAsia" w:ascii="宋体" w:hAnsi="宋体"/>
          <w:bCs/>
          <w:color w:val="000000" w:themeColor="text1"/>
          <w:szCs w:val="21"/>
          <w14:textFill>
            <w14:solidFill>
              <w14:schemeClr w14:val="tx1"/>
            </w14:solidFill>
          </w14:textFill>
        </w:rPr>
        <w:t>磋商</w:t>
      </w:r>
      <w:r>
        <w:rPr>
          <w:rFonts w:hint="eastAsia" w:ascii="宋体" w:hAnsi="宋体"/>
          <w:color w:val="000000" w:themeColor="text1"/>
          <w:szCs w:val="21"/>
          <w14:textFill>
            <w14:solidFill>
              <w14:schemeClr w14:val="tx1"/>
            </w14:solidFill>
          </w14:textFill>
        </w:rPr>
        <w:t>将按照</w:t>
      </w:r>
      <w:r>
        <w:rPr>
          <w:rFonts w:hint="eastAsia" w:ascii="宋体" w:hAnsi="宋体"/>
          <w:bCs/>
          <w:color w:val="000000" w:themeColor="text1"/>
          <w:szCs w:val="21"/>
          <w14:textFill>
            <w14:solidFill>
              <w14:schemeClr w14:val="tx1"/>
            </w14:solidFill>
          </w14:textFill>
        </w:rPr>
        <w:t>无效磋商处理</w:t>
      </w:r>
      <w:r>
        <w:rPr>
          <w:rFonts w:hint="eastAsia" w:ascii="宋体" w:hAnsi="宋体"/>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详见磋商供应商须知前附表4.2条款。</w:t>
      </w:r>
    </w:p>
    <w:p w14:paraId="1CC9DE6D">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23" w:name="_Toc137562995"/>
      <w:bookmarkStart w:id="24" w:name="_Toc75338304"/>
      <w:bookmarkStart w:id="25" w:name="_Toc390167021"/>
      <w:r>
        <w:rPr>
          <w:rFonts w:hint="eastAsia" w:ascii="宋体" w:hAnsi="宋体"/>
          <w:b/>
          <w:color w:val="000000" w:themeColor="text1"/>
          <w:szCs w:val="21"/>
          <w14:textFill>
            <w14:solidFill>
              <w14:schemeClr w14:val="tx1"/>
            </w14:solidFill>
          </w14:textFill>
        </w:rPr>
        <w:t>5．联合体（本项目不接受联合体参加磋商）</w:t>
      </w:r>
      <w:bookmarkEnd w:id="23"/>
      <w:bookmarkEnd w:id="24"/>
      <w:bookmarkEnd w:id="25"/>
    </w:p>
    <w:p w14:paraId="0DFA9306">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26" w:name="_Toc137562996"/>
      <w:bookmarkStart w:id="27" w:name="_Toc390167022"/>
      <w:bookmarkStart w:id="28" w:name="_Toc75338305"/>
      <w:r>
        <w:rPr>
          <w:rFonts w:hint="eastAsia" w:ascii="宋体" w:hAnsi="宋体"/>
          <w:b/>
          <w:color w:val="000000" w:themeColor="text1"/>
          <w:szCs w:val="21"/>
          <w14:textFill>
            <w14:solidFill>
              <w14:schemeClr w14:val="tx1"/>
            </w14:solidFill>
          </w14:textFill>
        </w:rPr>
        <w:t>6．磋商费用及风险</w:t>
      </w:r>
      <w:bookmarkEnd w:id="26"/>
      <w:bookmarkEnd w:id="27"/>
      <w:bookmarkEnd w:id="28"/>
    </w:p>
    <w:p w14:paraId="2D371A34">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6.1磋商供应商应自行承担所有与准备和参加磋商有关的全部费用及风险。不论磋商结果如何，采购代理机构和采购人在任何情况下均无义务和责任承担这些费用及风险。</w:t>
      </w:r>
    </w:p>
    <w:p w14:paraId="12B9E89D">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29" w:name="_Toc75338306"/>
      <w:bookmarkStart w:id="30" w:name="_Toc390167023"/>
      <w:bookmarkStart w:id="31" w:name="_Toc137562997"/>
      <w:r>
        <w:rPr>
          <w:rFonts w:hint="eastAsia" w:ascii="宋体" w:hAnsi="宋体"/>
          <w:b/>
          <w:color w:val="000000" w:themeColor="text1"/>
          <w:szCs w:val="21"/>
          <w14:textFill>
            <w14:solidFill>
              <w14:schemeClr w14:val="tx1"/>
            </w14:solidFill>
          </w14:textFill>
        </w:rPr>
        <w:t>7．磋商代表</w:t>
      </w:r>
      <w:bookmarkEnd w:id="29"/>
      <w:bookmarkEnd w:id="30"/>
      <w:bookmarkEnd w:id="31"/>
    </w:p>
    <w:p w14:paraId="05FB6AED">
      <w:pPr>
        <w:spacing w:line="360" w:lineRule="exact"/>
        <w:ind w:firstLine="420" w:firstLineChars="200"/>
        <w:rPr>
          <w:rFonts w:ascii="宋体" w:hAnsi="宋体"/>
          <w:color w:val="000000" w:themeColor="text1"/>
          <w:szCs w:val="21"/>
          <w14:textFill>
            <w14:solidFill>
              <w14:schemeClr w14:val="tx1"/>
            </w14:solidFill>
          </w14:textFill>
        </w:rPr>
      </w:pPr>
      <w:bookmarkStart w:id="32" w:name="_Toc398316064"/>
      <w:bookmarkStart w:id="33" w:name="_Toc400790125"/>
      <w:bookmarkStart w:id="34" w:name="_Toc398315913"/>
      <w:bookmarkStart w:id="35" w:name="_Toc392689695"/>
      <w:bookmarkStart w:id="36" w:name="_Toc401742065"/>
      <w:bookmarkStart w:id="37" w:name="_Toc390167024"/>
      <w:bookmarkStart w:id="38" w:name="_Toc401741951"/>
      <w:r>
        <w:rPr>
          <w:rFonts w:hint="eastAsia" w:ascii="宋体" w:hAnsi="宋体"/>
          <w:color w:val="000000" w:themeColor="text1"/>
          <w:szCs w:val="21"/>
          <w14:textFill>
            <w14:solidFill>
              <w14:schemeClr w14:val="tx1"/>
            </w14:solidFill>
          </w14:textFill>
        </w:rPr>
        <w:t>7.1磋商代表指全权代表磋商供应商参加政府采购活动并签署磋商响应文件的人，如果磋商供应商代表不是单位负责人，须提供单位负责人授权书(原件)的证明文件。</w:t>
      </w:r>
      <w:bookmarkEnd w:id="32"/>
      <w:bookmarkEnd w:id="33"/>
      <w:bookmarkEnd w:id="34"/>
      <w:bookmarkEnd w:id="35"/>
      <w:bookmarkEnd w:id="36"/>
      <w:bookmarkEnd w:id="37"/>
      <w:bookmarkEnd w:id="38"/>
    </w:p>
    <w:p w14:paraId="4B32F06C">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39" w:name="_Toc75338307"/>
      <w:bookmarkStart w:id="40" w:name="_Toc390167025"/>
      <w:bookmarkStart w:id="41" w:name="_Toc137562998"/>
      <w:r>
        <w:rPr>
          <w:rFonts w:hint="eastAsia" w:ascii="宋体" w:hAnsi="宋体"/>
          <w:b/>
          <w:color w:val="000000" w:themeColor="text1"/>
          <w:szCs w:val="21"/>
          <w14:textFill>
            <w14:solidFill>
              <w14:schemeClr w14:val="tx1"/>
            </w14:solidFill>
          </w14:textFill>
        </w:rPr>
        <w:t>8．专利说明</w:t>
      </w:r>
      <w:bookmarkEnd w:id="39"/>
      <w:bookmarkEnd w:id="40"/>
      <w:bookmarkEnd w:id="41"/>
    </w:p>
    <w:p w14:paraId="405E375F">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8.1成交供应商应保证福建鑫盛项目管理咨询有限公司和用户不受到第三方关于侵犯专利权的指控，任何第三方如果提出指控，成交供应商应与第三方交涉，承担可能发生的一切法律责任、费用和后果，并赔偿福建鑫盛项目管理咨询有限公司和用户的损失。</w:t>
      </w:r>
    </w:p>
    <w:p w14:paraId="0EB83803">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8.2磋商供应商不得以任何形式向与本项目无关的其他单位或人员提供磋商文件及所附的有关资料，如违反，必须赔偿福建鑫盛项目管理咨询有限公司和用户的所有损失，且福建鑫盛项目管理咨询有限公司和用户保留追究法律责任的权力。</w:t>
      </w:r>
    </w:p>
    <w:p w14:paraId="3C63B747">
      <w:pPr>
        <w:spacing w:line="360" w:lineRule="exact"/>
        <w:ind w:firstLine="413" w:firstLineChars="196"/>
        <w:jc w:val="center"/>
        <w:outlineLvl w:val="0"/>
        <w:rPr>
          <w:rFonts w:ascii="宋体" w:hAnsi="宋体"/>
          <w:b/>
          <w:color w:val="000000" w:themeColor="text1"/>
          <w:szCs w:val="21"/>
          <w14:textFill>
            <w14:solidFill>
              <w14:schemeClr w14:val="tx1"/>
            </w14:solidFill>
          </w14:textFill>
        </w:rPr>
      </w:pPr>
      <w:bookmarkStart w:id="42" w:name="_Toc390167026"/>
      <w:bookmarkStart w:id="43" w:name="_Toc137562999"/>
      <w:bookmarkStart w:id="44" w:name="_Toc75338308"/>
      <w:r>
        <w:rPr>
          <w:rFonts w:hint="eastAsia" w:ascii="宋体" w:hAnsi="宋体"/>
          <w:b/>
          <w:color w:val="000000" w:themeColor="text1"/>
          <w:szCs w:val="21"/>
          <w14:textFill>
            <w14:solidFill>
              <w14:schemeClr w14:val="tx1"/>
            </w14:solidFill>
          </w14:textFill>
        </w:rPr>
        <w:t>二、磋商文件说明</w:t>
      </w:r>
      <w:bookmarkEnd w:id="42"/>
      <w:bookmarkEnd w:id="43"/>
      <w:bookmarkEnd w:id="44"/>
    </w:p>
    <w:p w14:paraId="0DBC56A9">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45" w:name="_Toc137563000"/>
      <w:bookmarkStart w:id="46" w:name="_Toc390167027"/>
      <w:bookmarkStart w:id="47" w:name="_Toc75338309"/>
      <w:r>
        <w:rPr>
          <w:rFonts w:hint="eastAsia" w:ascii="宋体" w:hAnsi="宋体"/>
          <w:b/>
          <w:color w:val="000000" w:themeColor="text1"/>
          <w:szCs w:val="21"/>
          <w14:textFill>
            <w14:solidFill>
              <w14:schemeClr w14:val="tx1"/>
            </w14:solidFill>
          </w14:textFill>
        </w:rPr>
        <w:t>9．磋商文件构成</w:t>
      </w:r>
      <w:bookmarkEnd w:id="45"/>
      <w:bookmarkEnd w:id="46"/>
      <w:bookmarkEnd w:id="47"/>
    </w:p>
    <w:p w14:paraId="14304F76">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9.1磋商文件用以阐明所需货物及服务、磋商程序和合同条款。磋商文件由下述部分组成：</w:t>
      </w:r>
    </w:p>
    <w:p w14:paraId="288DD023">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9.1.1目录；</w:t>
      </w:r>
    </w:p>
    <w:p w14:paraId="55F8AB0D">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9.1.2磋商邀请；</w:t>
      </w:r>
    </w:p>
    <w:p w14:paraId="7567F8F5">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9.1.3磋商供应商须知前附表；</w:t>
      </w:r>
    </w:p>
    <w:p w14:paraId="7DFC2D6E">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9.1.4磋商供应商须知；</w:t>
      </w:r>
    </w:p>
    <w:p w14:paraId="5A07CDBD">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9.1.5采购项目说明及要求；</w:t>
      </w:r>
    </w:p>
    <w:p w14:paraId="07051245">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9.1.6磋商响应文件格式；</w:t>
      </w:r>
    </w:p>
    <w:p w14:paraId="0AFD873E">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9.1.7政府采购合同(供参考)。</w:t>
      </w:r>
    </w:p>
    <w:p w14:paraId="731EFD1D">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9.2除非有特殊理由，磋商文件不单独提供采购货物使用地的自然环境、气候条件、公共设施等情况，磋商供应商被视为熟悉上述与履行合同有关的一切情况。</w:t>
      </w:r>
    </w:p>
    <w:p w14:paraId="76852E9C">
      <w:pPr>
        <w:spacing w:line="36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9.3磋商供应商对本磋商文件内容如有疑义，必须在磋商截止时间3日前，以书面方式向采购代理机构提交，质疑书必须为原件并由单位负责人或单位负责人的授权委托人(提供单位负责人授权书，格式详见</w:t>
      </w:r>
      <w:r>
        <w:rPr>
          <w:rFonts w:ascii="宋体" w:hAnsi="宋体"/>
          <w:b/>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磋商文件格式)签字并加盖磋商供应商公章。逾期送达或不符合规定的质疑书则不予受理，视同接受本磋商文件的所有内容。</w:t>
      </w:r>
    </w:p>
    <w:p w14:paraId="7E8E8793">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48" w:name="_Toc137563001"/>
      <w:bookmarkStart w:id="49" w:name="_Toc390167028"/>
      <w:bookmarkStart w:id="50" w:name="_Toc75338310"/>
      <w:r>
        <w:rPr>
          <w:rFonts w:hint="eastAsia" w:ascii="宋体" w:hAnsi="宋体"/>
          <w:b/>
          <w:color w:val="000000" w:themeColor="text1"/>
          <w:szCs w:val="21"/>
          <w14:textFill>
            <w14:solidFill>
              <w14:schemeClr w14:val="tx1"/>
            </w14:solidFill>
          </w14:textFill>
        </w:rPr>
        <w:t>10.磋商文件的澄清、修改或时间变更</w:t>
      </w:r>
      <w:bookmarkEnd w:id="48"/>
      <w:bookmarkEnd w:id="49"/>
      <w:bookmarkEnd w:id="50"/>
    </w:p>
    <w:p w14:paraId="1FAA6B62">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10.1在条件允许的情况下，采购代理机构对磋商供应商口头提出的澄清要求也应予以答复，但答复内容均不能成为依据。</w:t>
      </w:r>
    </w:p>
    <w:p w14:paraId="752983B4">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10.2提交首次</w:t>
      </w:r>
      <w:r>
        <w:rPr>
          <w:rFonts w:hint="eastAsia" w:ascii="宋体" w:hAnsi="宋体" w:cs="宋体"/>
          <w:color w:val="000000" w:themeColor="text1"/>
          <w:kern w:val="0"/>
          <w:szCs w:val="21"/>
          <w14:textFill>
            <w14:solidFill>
              <w14:schemeClr w14:val="tx1"/>
            </w14:solidFill>
          </w14:textFill>
        </w:rPr>
        <w:t>磋商</w:t>
      </w:r>
      <w:r>
        <w:rPr>
          <w:rFonts w:hint="eastAsia" w:ascii="宋体" w:hAnsi="宋体"/>
          <w:color w:val="000000" w:themeColor="text1"/>
          <w:szCs w:val="21"/>
          <w14:textFill>
            <w14:solidFill>
              <w14:schemeClr w14:val="tx1"/>
            </w14:solidFill>
          </w14:textFill>
        </w:rPr>
        <w:t>响应文件截止之日前，采购人、采购代理机构或者磋商小组可以对已发出的磋商文件进行必要的澄清或者修改，澄清或者修改的内容作为磋商文件的组成部分；并对磋商供应商具有约束力。澄清或者修改的内容可能影响</w:t>
      </w:r>
      <w:r>
        <w:rPr>
          <w:rFonts w:hint="eastAsia" w:ascii="宋体" w:hAnsi="宋体" w:cs="宋体"/>
          <w:color w:val="000000" w:themeColor="text1"/>
          <w:kern w:val="0"/>
          <w:szCs w:val="21"/>
          <w14:textFill>
            <w14:solidFill>
              <w14:schemeClr w14:val="tx1"/>
            </w14:solidFill>
          </w14:textFill>
        </w:rPr>
        <w:t>磋商</w:t>
      </w:r>
      <w:r>
        <w:rPr>
          <w:rFonts w:hint="eastAsia" w:ascii="宋体" w:hAnsi="宋体"/>
          <w:color w:val="000000" w:themeColor="text1"/>
          <w:szCs w:val="21"/>
          <w14:textFill>
            <w14:solidFill>
              <w14:schemeClr w14:val="tx1"/>
            </w14:solidFill>
          </w14:textFill>
        </w:rPr>
        <w:t>响应文件编制的，采购人、采购代理机构应当在提交首次</w:t>
      </w:r>
      <w:r>
        <w:rPr>
          <w:rFonts w:hint="eastAsia" w:ascii="宋体" w:hAnsi="宋体" w:cs="宋体"/>
          <w:color w:val="000000" w:themeColor="text1"/>
          <w:kern w:val="0"/>
          <w:szCs w:val="21"/>
          <w14:textFill>
            <w14:solidFill>
              <w14:schemeClr w14:val="tx1"/>
            </w14:solidFill>
          </w14:textFill>
        </w:rPr>
        <w:t>磋商</w:t>
      </w:r>
      <w:r>
        <w:rPr>
          <w:rFonts w:hint="eastAsia" w:ascii="宋体" w:hAnsi="宋体"/>
          <w:color w:val="000000" w:themeColor="text1"/>
          <w:szCs w:val="21"/>
          <w14:textFill>
            <w14:solidFill>
              <w14:schemeClr w14:val="tx1"/>
            </w14:solidFill>
          </w14:textFill>
        </w:rPr>
        <w:t>响应文件截止时间至少5日前，以书面形式通知所有获取磋商文件的供应商；不足5日的，采购人、采购代理机构应当顺延提交首次响应文件截止时间。</w:t>
      </w:r>
    </w:p>
    <w:p w14:paraId="6DBC061D">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10.3澄清或者修改的内容以及延期公告均发布于德化网https://www.dehua.net/，磋商供应商应通过上述网站查阅澄清或修改的通知；否则将被视为编制磋商响应文件时已考虑了上述修改。</w:t>
      </w:r>
    </w:p>
    <w:p w14:paraId="5783AFA5">
      <w:pPr>
        <w:spacing w:line="360" w:lineRule="exact"/>
        <w:ind w:firstLine="413" w:firstLineChars="196"/>
        <w:jc w:val="center"/>
        <w:outlineLvl w:val="0"/>
        <w:rPr>
          <w:rFonts w:ascii="宋体" w:hAnsi="宋体"/>
          <w:b/>
          <w:color w:val="000000" w:themeColor="text1"/>
          <w:szCs w:val="21"/>
          <w14:textFill>
            <w14:solidFill>
              <w14:schemeClr w14:val="tx1"/>
            </w14:solidFill>
          </w14:textFill>
        </w:rPr>
      </w:pPr>
      <w:bookmarkStart w:id="51" w:name="_Toc390167029"/>
      <w:bookmarkStart w:id="52" w:name="_Toc137563002"/>
      <w:bookmarkStart w:id="53" w:name="_Toc75338311"/>
      <w:r>
        <w:rPr>
          <w:rFonts w:hint="eastAsia" w:ascii="宋体" w:hAnsi="宋体"/>
          <w:b/>
          <w:color w:val="000000" w:themeColor="text1"/>
          <w:szCs w:val="21"/>
          <w14:textFill>
            <w14:solidFill>
              <w14:schemeClr w14:val="tx1"/>
            </w14:solidFill>
          </w14:textFill>
        </w:rPr>
        <w:t>三、磋商响应文件的编写</w:t>
      </w:r>
      <w:bookmarkEnd w:id="51"/>
      <w:bookmarkEnd w:id="52"/>
      <w:bookmarkEnd w:id="53"/>
    </w:p>
    <w:p w14:paraId="0C31B2B8">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54" w:name="_Toc137563003"/>
      <w:bookmarkStart w:id="55" w:name="_Toc390167030"/>
      <w:bookmarkStart w:id="56" w:name="_Toc75338312"/>
      <w:r>
        <w:rPr>
          <w:rFonts w:hint="eastAsia" w:ascii="宋体" w:hAnsi="宋体"/>
          <w:b/>
          <w:color w:val="000000" w:themeColor="text1"/>
          <w:szCs w:val="21"/>
          <w14:textFill>
            <w14:solidFill>
              <w14:schemeClr w14:val="tx1"/>
            </w14:solidFill>
          </w14:textFill>
        </w:rPr>
        <w:t>11．要求</w:t>
      </w:r>
      <w:bookmarkEnd w:id="54"/>
      <w:bookmarkEnd w:id="55"/>
      <w:bookmarkEnd w:id="56"/>
    </w:p>
    <w:p w14:paraId="75F5440A">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磋商供应商应认真阅读磋商文件中所有的事项、格式、条款和技术规范等。如果磋商供应商没有按照磋商文件要求提交全部资料，或者提交的资料没有对磋商文件在各方面都作出实质性响应，其磋商将被拒绝，该风险由磋商供应商承担。</w:t>
      </w:r>
    </w:p>
    <w:p w14:paraId="7480929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11.2磋商供应商应当按照磋商文件的要求编制磋商响应文件，并保证所提供的全部资料的真实性及准确性(其中技术响应文件，包括配置表等应由制造商确认)，磋商响应文件应对磋商文件提出的实质性要求和条件作出完全响应，否则，其磋商将被拒绝。弄虚作假者，将依据有关规定和本磋商文件规定进行处理。</w:t>
      </w:r>
    </w:p>
    <w:p w14:paraId="792A6401">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57" w:name="_Toc75338313"/>
      <w:bookmarkStart w:id="58" w:name="_Toc390167031"/>
      <w:bookmarkStart w:id="59" w:name="_Toc137563004"/>
      <w:r>
        <w:rPr>
          <w:rFonts w:hint="eastAsia" w:ascii="宋体" w:hAnsi="宋体"/>
          <w:b/>
          <w:color w:val="000000" w:themeColor="text1"/>
          <w:szCs w:val="21"/>
          <w14:textFill>
            <w14:solidFill>
              <w14:schemeClr w14:val="tx1"/>
            </w14:solidFill>
          </w14:textFill>
        </w:rPr>
        <w:t>12．报价语言及计量单位</w:t>
      </w:r>
      <w:bookmarkEnd w:id="57"/>
      <w:bookmarkEnd w:id="58"/>
      <w:bookmarkEnd w:id="59"/>
      <w:r>
        <w:rPr>
          <w:rFonts w:hint="eastAsia" w:ascii="宋体" w:hAnsi="宋体"/>
          <w:b/>
          <w:color w:val="000000" w:themeColor="text1"/>
          <w:szCs w:val="21"/>
          <w14:textFill>
            <w14:solidFill>
              <w14:schemeClr w14:val="tx1"/>
            </w14:solidFill>
          </w14:textFill>
        </w:rPr>
        <w:t xml:space="preserve"> </w:t>
      </w:r>
    </w:p>
    <w:p w14:paraId="254F6BA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12.1磋商响应文件及磋商供应商和采购代理机构、采购人就有关磋商交换的文件和来往信件，应以中文形式书写；</w:t>
      </w:r>
      <w:r>
        <w:rPr>
          <w:rFonts w:hint="eastAsia" w:ascii="宋体" w:hAnsi="宋体"/>
          <w:b/>
          <w:color w:val="000000" w:themeColor="text1"/>
          <w:szCs w:val="21"/>
          <w14:textFill>
            <w14:solidFill>
              <w14:schemeClr w14:val="tx1"/>
            </w14:solidFill>
          </w14:textFill>
        </w:rPr>
        <w:t>涉及到的外文资料应给予正确翻译成中文。</w:t>
      </w:r>
    </w:p>
    <w:p w14:paraId="39747342">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12.2磋商文件的技术规格中另有规定外，计量单位应使用中华人民共和国法定计量单位。</w:t>
      </w:r>
    </w:p>
    <w:p w14:paraId="0380EAEE">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12.3磋商涉及到的价格、金额一律以人民币为货币单位(磋商文件另有要求的除外)。</w:t>
      </w:r>
    </w:p>
    <w:p w14:paraId="343DE743">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60" w:name="_Toc75338314"/>
      <w:bookmarkStart w:id="61" w:name="_Toc390167032"/>
      <w:bookmarkStart w:id="62" w:name="_Toc137563005"/>
      <w:r>
        <w:rPr>
          <w:rFonts w:hint="eastAsia" w:ascii="宋体" w:hAnsi="宋体"/>
          <w:b/>
          <w:color w:val="000000" w:themeColor="text1"/>
          <w:szCs w:val="21"/>
          <w14:textFill>
            <w14:solidFill>
              <w14:schemeClr w14:val="tx1"/>
            </w14:solidFill>
          </w14:textFill>
        </w:rPr>
        <w:t>13．磋商响应文件的组成</w:t>
      </w:r>
      <w:bookmarkEnd w:id="60"/>
      <w:bookmarkEnd w:id="61"/>
      <w:bookmarkEnd w:id="62"/>
    </w:p>
    <w:p w14:paraId="02C216DA">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13.1磋商响应文件应包括下列部分：</w:t>
      </w:r>
    </w:p>
    <w:p w14:paraId="1CAD9F3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13.1.1磋商书、磋商一览表、磋商价格表、货物或服务简要说明一览表、售后服务承诺、质量保证承诺等；</w:t>
      </w:r>
    </w:p>
    <w:p w14:paraId="3EBE9E16">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13.1.2磋商供应商资格证明文件；</w:t>
      </w:r>
    </w:p>
    <w:p w14:paraId="39C9C323">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13.1.3技术商务应答书；</w:t>
      </w:r>
    </w:p>
    <w:p w14:paraId="3F5E9A21">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13.1.4符合磋商文件规定的证明文件、技术响应文件和磋商供应商认为需加以说明的其它内容。</w:t>
      </w:r>
    </w:p>
    <w:p w14:paraId="1A2DB228">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13.2</w:t>
      </w:r>
      <w:r>
        <w:rPr>
          <w:rFonts w:hint="eastAsia" w:ascii="宋体" w:hAnsi="宋体"/>
          <w:b/>
          <w:color w:val="000000" w:themeColor="text1"/>
          <w:szCs w:val="21"/>
          <w14:textFill>
            <w14:solidFill>
              <w14:schemeClr w14:val="tx1"/>
            </w14:solidFill>
          </w14:textFill>
        </w:rPr>
        <w:t>磋商供应商应将“磋商响应文件”装订成册，并填写“磋商响应文件目录或资料清单”。</w:t>
      </w:r>
    </w:p>
    <w:p w14:paraId="49F1A4C6">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63" w:name="_Toc390167033"/>
      <w:bookmarkStart w:id="64" w:name="_Toc137563006"/>
      <w:bookmarkStart w:id="65" w:name="_Toc75338315"/>
      <w:r>
        <w:rPr>
          <w:rFonts w:hint="eastAsia" w:ascii="宋体" w:hAnsi="宋体"/>
          <w:b/>
          <w:color w:val="000000" w:themeColor="text1"/>
          <w:szCs w:val="21"/>
          <w14:textFill>
            <w14:solidFill>
              <w14:schemeClr w14:val="tx1"/>
            </w14:solidFill>
          </w14:textFill>
        </w:rPr>
        <w:t>14．磋商响应文件格式</w:t>
      </w:r>
      <w:bookmarkEnd w:id="63"/>
      <w:bookmarkEnd w:id="64"/>
      <w:bookmarkEnd w:id="65"/>
    </w:p>
    <w:p w14:paraId="48F40772">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14.1磋商供应商应按磋商文件中提供的磋商响应文件格式填写磋商书、磋商一览表及货物或服务简要说明一览表，注明提供货物或服务的名称、数量和价格等（见格式）。</w:t>
      </w:r>
    </w:p>
    <w:p w14:paraId="40E79284">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14.2磋商供应商应按磋商文件要求填写单价和磋商总报价。如果单价与总价有出入，以单价为准。磋商供应商对每个分项只能有一个报价，不接受有选择的报价。</w:t>
      </w:r>
    </w:p>
    <w:p w14:paraId="1F9EB833">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14.3特别要求的安装、调试、培训及其它附带服务的费用；</w:t>
      </w:r>
    </w:p>
    <w:p w14:paraId="5FFB160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14.4磋商文件中没有提供格式的要求响应的文件，磋商供应商可以自拟文件格式。</w:t>
      </w:r>
    </w:p>
    <w:p w14:paraId="04E9123F">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66" w:name="_Toc75338316"/>
      <w:bookmarkStart w:id="67" w:name="_Toc137563007"/>
      <w:bookmarkStart w:id="68" w:name="_Toc390167034"/>
      <w:r>
        <w:rPr>
          <w:rFonts w:hint="eastAsia" w:ascii="宋体" w:hAnsi="宋体"/>
          <w:b/>
          <w:color w:val="000000" w:themeColor="text1"/>
          <w:szCs w:val="21"/>
          <w14:textFill>
            <w14:solidFill>
              <w14:schemeClr w14:val="tx1"/>
            </w14:solidFill>
          </w14:textFill>
        </w:rPr>
        <w:t>15.磋商供应商资格证明文件</w:t>
      </w:r>
      <w:bookmarkEnd w:id="66"/>
      <w:bookmarkEnd w:id="67"/>
      <w:bookmarkEnd w:id="68"/>
    </w:p>
    <w:p w14:paraId="141DE86F">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15.1磋商供应商应提交证明其有资格参加磋商和成交后有能力履行合同的文件，并作为其磋商响应文件的一部分，否则其磋商将被拒绝（具体见磋商供应商须知前附表中的规定）。</w:t>
      </w:r>
    </w:p>
    <w:p w14:paraId="1D8106B6">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15.2磋商供应商提交的资格证明文件应是合法有效。</w:t>
      </w:r>
    </w:p>
    <w:p w14:paraId="3A564180">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15.3磋商供应商需提供具有履行合同所需的财务、技术和生产能力的证明文件。</w:t>
      </w:r>
    </w:p>
    <w:p w14:paraId="332ACAAF">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69" w:name="_Toc390167035"/>
      <w:bookmarkStart w:id="70" w:name="_Toc75338317"/>
      <w:bookmarkStart w:id="71" w:name="_Toc137563008"/>
      <w:r>
        <w:rPr>
          <w:rFonts w:hint="eastAsia" w:ascii="宋体" w:hAnsi="宋体"/>
          <w:b/>
          <w:color w:val="000000" w:themeColor="text1"/>
          <w:szCs w:val="21"/>
          <w14:textFill>
            <w14:solidFill>
              <w14:schemeClr w14:val="tx1"/>
            </w14:solidFill>
          </w14:textFill>
        </w:rPr>
        <w:t>16．符合磋商文件规定的技术响应文件</w:t>
      </w:r>
      <w:bookmarkEnd w:id="69"/>
      <w:bookmarkEnd w:id="70"/>
      <w:bookmarkEnd w:id="71"/>
    </w:p>
    <w:p w14:paraId="38CE6AA4">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16.1磋商供应商须提交证明其提供货物或服务符合磋商文件规定的技术响应文件，作为磋商响应文件的一部分。</w:t>
      </w:r>
    </w:p>
    <w:p w14:paraId="772BDC9D">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16.2货物或服务符合性的证明应包括磋商价格表中对货物和服务原产地的说明。</w:t>
      </w:r>
    </w:p>
    <w:p w14:paraId="0009643C">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16.3证明货物或服务与磋商文件的要求相一致的文件，可以是文字资料、图纸和数据。</w:t>
      </w:r>
    </w:p>
    <w:p w14:paraId="027FB843">
      <w:pPr>
        <w:spacing w:line="360" w:lineRule="exact"/>
        <w:ind w:firstLine="420" w:firstLineChars="20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16.3.1对照磋商文件要求，逐条说明所提供货物或服务已对采购人的技术规格、商务要求做出了实质性的响应，或申明与技术规格、商务要求条文的偏差和例外并列于《技术、商务偏离表》中。</w:t>
      </w:r>
    </w:p>
    <w:p w14:paraId="046F0D54">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72" w:name="_Toc137563009"/>
      <w:bookmarkStart w:id="73" w:name="_Toc75338318"/>
      <w:bookmarkStart w:id="74" w:name="_Toc390167036"/>
      <w:r>
        <w:rPr>
          <w:rFonts w:hint="eastAsia" w:ascii="宋体" w:hAnsi="宋体"/>
          <w:b/>
          <w:color w:val="000000" w:themeColor="text1"/>
          <w:szCs w:val="21"/>
          <w14:textFill>
            <w14:solidFill>
              <w14:schemeClr w14:val="tx1"/>
            </w14:solidFill>
          </w14:textFill>
        </w:rPr>
        <w:t>17．磋商保证金、履约保证金和成交服务费</w:t>
      </w:r>
      <w:bookmarkEnd w:id="72"/>
      <w:bookmarkEnd w:id="73"/>
      <w:bookmarkEnd w:id="74"/>
    </w:p>
    <w:p w14:paraId="7BD8E70F">
      <w:pPr>
        <w:spacing w:line="36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17.1磋商保证金</w:t>
      </w:r>
    </w:p>
    <w:p w14:paraId="5661019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17.1.1磋商保证金为磋商响应文件的组成部分之一。</w:t>
      </w:r>
    </w:p>
    <w:p w14:paraId="4D4B1E98">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17.1.2按国家有关法律规定，磋商保证金用于保护本次磋商免受磋商供应商的行为而引起的风险。</w:t>
      </w:r>
    </w:p>
    <w:p w14:paraId="1CDCE9FE">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17.1.3磋商保证金币种应与磋商报价币种相同，可以转帐支票、汇票或电汇等形式按磋商文件中规定时间前提交并到达采购代理机构指定的帐户。</w:t>
      </w:r>
    </w:p>
    <w:p w14:paraId="2140548E">
      <w:pPr>
        <w:spacing w:line="360" w:lineRule="exact"/>
        <w:ind w:firstLine="420" w:firstLineChars="200"/>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17.1.4磋商供应商应向采购代理机构指定的账户，提交本次磋商规定的磋商保证金（具体见磋商供应商须知前附表中的规定）。</w:t>
      </w:r>
    </w:p>
    <w:p w14:paraId="3CF38FFD">
      <w:pPr>
        <w:spacing w:line="360" w:lineRule="exact"/>
        <w:ind w:firstLine="422" w:firstLineChars="200"/>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17.1.5未按规定提交磋商保证金的，将被视为无效磋商。</w:t>
      </w:r>
    </w:p>
    <w:p w14:paraId="117152C8">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w:t>
      </w:r>
      <w:r>
        <w:rPr>
          <w:rFonts w:ascii="宋体" w:hAnsi="宋体"/>
          <w:color w:val="000000" w:themeColor="text1"/>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成交供应商的磋商保证金在采购合同签订后5个工作日内予以无息退还。</w:t>
      </w:r>
    </w:p>
    <w:p w14:paraId="649D31E1">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17.1.7未成交供应商的磋商保证金在《成交通知书》发出后5个工作日内退还。</w:t>
      </w:r>
    </w:p>
    <w:p w14:paraId="577F3A31">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17.1.8发生以下情况之一者，磋商保证金将不予退还：</w:t>
      </w:r>
    </w:p>
    <w:p w14:paraId="12D2C06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17.1.8.1磋商供应商在提交磋商响应文件截止时间后撤回磋商响应文件的；</w:t>
      </w:r>
    </w:p>
    <w:p w14:paraId="31E21C84">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17.1.8.2磋商供应商在磋商响应文件中提供虚假材料的；</w:t>
      </w:r>
    </w:p>
    <w:p w14:paraId="5E56D5DE">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17.1.8.3除因不可抗力或磋商文件认可的情形以外，成交供应商不与采购人签订合同的；</w:t>
      </w:r>
    </w:p>
    <w:p w14:paraId="21E40B07">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17.1.8.4磋商供应商与采购人、其他磋商供应商或者采购代理机构恶意串通的；</w:t>
      </w:r>
    </w:p>
    <w:p w14:paraId="6CC09865">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17.1.8.5磋商文件规定的其他情形。</w:t>
      </w:r>
    </w:p>
    <w:p w14:paraId="6DC68CF2">
      <w:pPr>
        <w:spacing w:line="36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17.2履约保证金</w:t>
      </w:r>
    </w:p>
    <w:p w14:paraId="5433F4F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17.2.1成交供应商在签定合同前必须向采购人提交履约保证金（具体见磋商供应商须知前附表中的规定）。若无，则不必提交。</w:t>
      </w:r>
    </w:p>
    <w:p w14:paraId="371F065E">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17.2.2若成交供应商未能履行合同规定的任何义务，经核查属实，情节严重的，将按有关规定对成交供应商进行处罚，没收其履约保证金。</w:t>
      </w:r>
    </w:p>
    <w:p w14:paraId="540F666B">
      <w:pPr>
        <w:spacing w:line="36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17.3成交服务费</w:t>
      </w:r>
    </w:p>
    <w:p w14:paraId="30070CB7">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17.3.1以《成交通知书》中确定的成交总金额作为收费的计算基数。</w:t>
      </w:r>
    </w:p>
    <w:p w14:paraId="5969F2C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17.3.2成交服务费按标准和规定收取（具体见磋商供应商须知前附表中的规定）。</w:t>
      </w:r>
    </w:p>
    <w:p w14:paraId="0C938225">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17.3.3成交服务费币种为人民币。</w:t>
      </w:r>
    </w:p>
    <w:p w14:paraId="6B7E38CF">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17.3.4成交服务费的交纳方式：必须在收到成交服务费缴交通知书后或在领取《成交通知书》前向采购代理机构直接交纳成交服务费。可用支票、汇票、电汇、现金等付款方式一次性缴清。</w:t>
      </w:r>
    </w:p>
    <w:p w14:paraId="6D3A78ED">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75" w:name="_Toc137563010"/>
      <w:bookmarkStart w:id="76" w:name="_Toc390167037"/>
      <w:bookmarkStart w:id="77" w:name="_Toc75338319"/>
      <w:r>
        <w:rPr>
          <w:rFonts w:hint="eastAsia" w:ascii="宋体" w:hAnsi="宋体"/>
          <w:b/>
          <w:color w:val="000000" w:themeColor="text1"/>
          <w:szCs w:val="21"/>
          <w14:textFill>
            <w14:solidFill>
              <w14:schemeClr w14:val="tx1"/>
            </w14:solidFill>
          </w14:textFill>
        </w:rPr>
        <w:t>18．磋商有效期</w:t>
      </w:r>
      <w:bookmarkEnd w:id="75"/>
      <w:bookmarkEnd w:id="76"/>
      <w:bookmarkEnd w:id="77"/>
    </w:p>
    <w:p w14:paraId="2B58721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18.1本次磋商有效期在本磋商文件中所规定的时间内保持有效（</w:t>
      </w:r>
      <w:bookmarkStart w:id="78" w:name="_Hlk74300674"/>
      <w:r>
        <w:rPr>
          <w:rFonts w:hint="eastAsia" w:ascii="宋体" w:hAnsi="宋体"/>
          <w:color w:val="000000" w:themeColor="text1"/>
          <w:szCs w:val="21"/>
          <w14:textFill>
            <w14:solidFill>
              <w14:schemeClr w14:val="tx1"/>
            </w14:solidFill>
          </w14:textFill>
        </w:rPr>
        <w:t>具体见磋商供应商须知前附表中的规定</w:t>
      </w:r>
      <w:bookmarkEnd w:id="78"/>
      <w:r>
        <w:rPr>
          <w:rFonts w:hint="eastAsia" w:ascii="宋体" w:hAnsi="宋体"/>
          <w:color w:val="000000" w:themeColor="text1"/>
          <w:szCs w:val="21"/>
          <w14:textFill>
            <w14:solidFill>
              <w14:schemeClr w14:val="tx1"/>
            </w14:solidFill>
          </w14:textFill>
        </w:rPr>
        <w:t>）。</w:t>
      </w:r>
    </w:p>
    <w:p w14:paraId="720F5688">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18.2特殊情况下，在原磋商有效期截止之前，采购代理机构可要求磋商供应商同意延长磋商有效期。这种要求与答复均应以书面形式提交。磋商供应商可拒绝采购代理机构的这种要求，其磋商保证金将不会被没收。接受延长磋商有效期的磋商供应商将不会被要求和允许修正其报价，而只会被要求相应地延长其磋商保证金的有效期。在这种情况下，本须知第17.1条款有关磋商保证金的退还和没收的规定将在延长了的有效期内继续有效。</w:t>
      </w:r>
    </w:p>
    <w:p w14:paraId="718C4CDC">
      <w:pPr>
        <w:spacing w:line="440" w:lineRule="exact"/>
        <w:ind w:firstLine="422" w:firstLineChars="200"/>
        <w:outlineLvl w:val="0"/>
        <w:rPr>
          <w:rFonts w:ascii="宋体" w:hAnsi="宋体"/>
          <w:b/>
          <w:color w:val="000000" w:themeColor="text1"/>
          <w:szCs w:val="21"/>
          <w14:textFill>
            <w14:solidFill>
              <w14:schemeClr w14:val="tx1"/>
            </w14:solidFill>
          </w14:textFill>
        </w:rPr>
      </w:pPr>
      <w:bookmarkStart w:id="79" w:name="_Toc390167038"/>
      <w:bookmarkStart w:id="80" w:name="_Toc75338320"/>
      <w:bookmarkStart w:id="81" w:name="_Toc137563011"/>
      <w:r>
        <w:rPr>
          <w:rFonts w:hint="eastAsia" w:ascii="宋体" w:hAnsi="宋体"/>
          <w:b/>
          <w:color w:val="000000" w:themeColor="text1"/>
          <w:szCs w:val="21"/>
          <w14:textFill>
            <w14:solidFill>
              <w14:schemeClr w14:val="tx1"/>
            </w14:solidFill>
          </w14:textFill>
        </w:rPr>
        <w:t>19．磋商响应文件的签署及规定</w:t>
      </w:r>
      <w:bookmarkEnd w:id="79"/>
      <w:bookmarkEnd w:id="80"/>
      <w:bookmarkEnd w:id="81"/>
    </w:p>
    <w:p w14:paraId="468A7313">
      <w:pPr>
        <w:spacing w:line="440" w:lineRule="exact"/>
        <w:ind w:firstLine="422" w:firstLineChars="200"/>
        <w:outlineLvl w:val="0"/>
        <w:rPr>
          <w:rFonts w:ascii="宋体" w:hAnsi="宋体"/>
          <w:b/>
          <w:color w:val="000000" w:themeColor="text1"/>
          <w:szCs w:val="21"/>
          <w14:textFill>
            <w14:solidFill>
              <w14:schemeClr w14:val="tx1"/>
            </w14:solidFill>
          </w14:textFill>
        </w:rPr>
      </w:pPr>
      <w:bookmarkStart w:id="82" w:name="_Toc75338257"/>
      <w:bookmarkStart w:id="83" w:name="_Toc75338321"/>
      <w:bookmarkStart w:id="84" w:name="_Toc137563012"/>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9.1</w:t>
      </w:r>
      <w:r>
        <w:rPr>
          <w:rFonts w:hint="eastAsia" w:ascii="宋体" w:hAnsi="宋体"/>
          <w:b/>
          <w:color w:val="000000" w:themeColor="text1"/>
          <w:szCs w:val="21"/>
          <w14:textFill>
            <w14:solidFill>
              <w14:schemeClr w14:val="tx1"/>
            </w14:solidFill>
          </w14:textFill>
        </w:rPr>
        <w:t>递交磋商响应文件的份数；（具体见磋商供应商须知前附表中的规定）</w:t>
      </w:r>
      <w:bookmarkEnd w:id="82"/>
      <w:bookmarkEnd w:id="83"/>
      <w:bookmarkEnd w:id="84"/>
    </w:p>
    <w:p w14:paraId="5F814383">
      <w:pPr>
        <w:spacing w:line="44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19.2磋商响应文件须加盖磋商供应商印章或由磋商代表签名，并标明采购编号、磋商项目名称，否则将被视为无效磋商响应文件，采购代理机构拒绝接收。</w:t>
      </w:r>
    </w:p>
    <w:p w14:paraId="31A30819">
      <w:pPr>
        <w:spacing w:line="44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19.3磋商响应文件的文字除签字及与签字相关日期外均应使用不能擦去的墨料或墨水打印、书写或复印成册，否则其磋商将被拒绝。</w:t>
      </w:r>
    </w:p>
    <w:p w14:paraId="7FF6D000">
      <w:pPr>
        <w:spacing w:line="440" w:lineRule="exact"/>
        <w:ind w:firstLine="422" w:firstLineChars="200"/>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19.4磋商供应商应根据磋商文件的要求，在磋商响应文件中签字和加盖磋商供应商公章，若盖合同专用章或其他内部章时，将视为无效磋商响应文件。</w:t>
      </w:r>
    </w:p>
    <w:p w14:paraId="0F3DB79E">
      <w:pPr>
        <w:spacing w:line="44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19.5除磋商供应商对错处做必要的修改外，磋商响应文件中不允许有加行、涂抹、字迹模糊不清或改写，否则将视为无效磋商响应文件；若有修改或以补充形式说明的，须经单位负责人或磋商代表签字或加盖公章，否则将视为无效磋商。</w:t>
      </w:r>
    </w:p>
    <w:p w14:paraId="22847D14">
      <w:pPr>
        <w:spacing w:line="440" w:lineRule="exact"/>
        <w:ind w:firstLine="420" w:firstLineChars="200"/>
        <w:rPr>
          <w:rFonts w:ascii="宋体" w:hAnsi="宋体"/>
          <w:b/>
          <w:color w:val="000000" w:themeColor="text1"/>
          <w:szCs w:val="21"/>
          <w14:textFill>
            <w14:solidFill>
              <w14:schemeClr w14:val="tx1"/>
            </w14:solidFill>
          </w14:textFill>
        </w:rPr>
      </w:pPr>
      <w:bookmarkStart w:id="85" w:name="_Toc401741966"/>
      <w:bookmarkStart w:id="86" w:name="_Toc390167039"/>
      <w:bookmarkStart w:id="87" w:name="_Toc398316079"/>
      <w:r>
        <w:rPr>
          <w:rFonts w:hint="eastAsia" w:ascii="宋体" w:hAnsi="宋体"/>
          <w:color w:val="000000" w:themeColor="text1"/>
          <w:szCs w:val="21"/>
          <w14:textFill>
            <w14:solidFill>
              <w14:schemeClr w14:val="tx1"/>
            </w14:solidFill>
          </w14:textFill>
        </w:rPr>
        <w:t>19.6以电报、电话、传真或电子邮件等方式的磋商概不接受。</w:t>
      </w:r>
      <w:bookmarkEnd w:id="85"/>
      <w:bookmarkEnd w:id="86"/>
      <w:bookmarkEnd w:id="87"/>
    </w:p>
    <w:p w14:paraId="37F14ABB">
      <w:pPr>
        <w:spacing w:line="360" w:lineRule="exact"/>
        <w:ind w:firstLine="422" w:firstLineChars="200"/>
        <w:jc w:val="center"/>
        <w:outlineLvl w:val="0"/>
        <w:rPr>
          <w:rFonts w:ascii="宋体" w:hAnsi="宋体"/>
          <w:b/>
          <w:color w:val="000000" w:themeColor="text1"/>
          <w:szCs w:val="21"/>
          <w14:textFill>
            <w14:solidFill>
              <w14:schemeClr w14:val="tx1"/>
            </w14:solidFill>
          </w14:textFill>
        </w:rPr>
      </w:pPr>
      <w:bookmarkStart w:id="88" w:name="_Toc75338322"/>
      <w:bookmarkStart w:id="89" w:name="_Toc390167040"/>
      <w:bookmarkStart w:id="90" w:name="_Toc137563013"/>
      <w:r>
        <w:rPr>
          <w:rFonts w:hint="eastAsia" w:ascii="宋体" w:hAnsi="宋体"/>
          <w:b/>
          <w:color w:val="000000" w:themeColor="text1"/>
          <w:szCs w:val="21"/>
          <w14:textFill>
            <w14:solidFill>
              <w14:schemeClr w14:val="tx1"/>
            </w14:solidFill>
          </w14:textFill>
        </w:rPr>
        <w:t>四、磋商响应文件的递交</w:t>
      </w:r>
      <w:bookmarkEnd w:id="88"/>
      <w:bookmarkEnd w:id="89"/>
      <w:bookmarkEnd w:id="90"/>
    </w:p>
    <w:p w14:paraId="6876E758">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91" w:name="_Toc137563014"/>
      <w:bookmarkStart w:id="92" w:name="_Toc75338323"/>
      <w:bookmarkStart w:id="93" w:name="_Toc390167041"/>
      <w:r>
        <w:rPr>
          <w:rFonts w:hint="eastAsia" w:ascii="宋体" w:hAnsi="宋体"/>
          <w:b/>
          <w:color w:val="000000" w:themeColor="text1"/>
          <w:szCs w:val="21"/>
          <w14:textFill>
            <w14:solidFill>
              <w14:schemeClr w14:val="tx1"/>
            </w14:solidFill>
          </w14:textFill>
        </w:rPr>
        <w:t>20．磋商响应文件的密封和标记</w:t>
      </w:r>
      <w:bookmarkEnd w:id="91"/>
      <w:bookmarkEnd w:id="92"/>
      <w:bookmarkEnd w:id="93"/>
    </w:p>
    <w:p w14:paraId="5179C379">
      <w:pPr>
        <w:spacing w:line="360" w:lineRule="exact"/>
        <w:ind w:firstLine="525" w:firstLineChars="250"/>
        <w:rPr>
          <w:rFonts w:ascii="宋体" w:hAns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20</w:t>
      </w:r>
      <w:r>
        <w:rPr>
          <w:rFonts w:hint="eastAsia" w:ascii="宋体" w:hAnsi="宋体"/>
          <w:color w:val="000000" w:themeColor="text1"/>
          <w:szCs w:val="21"/>
          <w14:textFill>
            <w14:solidFill>
              <w14:schemeClr w14:val="tx1"/>
            </w14:solidFill>
          </w14:textFill>
        </w:rPr>
        <w:t>.1</w:t>
      </w:r>
      <w:r>
        <w:rPr>
          <w:rFonts w:hint="eastAsia" w:ascii="宋体" w:hAnsi="宋体"/>
          <w:b/>
          <w:bCs/>
          <w:color w:val="000000" w:themeColor="text1"/>
          <w:szCs w:val="21"/>
          <w14:textFill>
            <w14:solidFill>
              <w14:schemeClr w14:val="tx1"/>
            </w14:solidFill>
          </w14:textFill>
        </w:rPr>
        <w:t>投标供应商应将投标文件正本和副本分别用档案袋密封，并提供电子文档一份（光盘或软盘，Word或PDF格式文档，并注明公司名称、项目编号和项目名称。单独密封）。</w:t>
      </w:r>
      <w:r>
        <w:rPr>
          <w:rFonts w:hint="eastAsia" w:ascii="宋体" w:hAnsi="宋体"/>
          <w:color w:val="000000" w:themeColor="text1"/>
          <w:szCs w:val="21"/>
          <w14:textFill>
            <w14:solidFill>
              <w14:schemeClr w14:val="tx1"/>
            </w14:solidFill>
          </w14:textFill>
        </w:rPr>
        <w:t>在每一份投标文件及封袋上应明确注明“正本”或“副本”字样，若正本和副本有差异，以正本为准。</w:t>
      </w:r>
    </w:p>
    <w:p w14:paraId="2C3BEA45">
      <w:pPr>
        <w:spacing w:line="36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20.2每一密封袋上注明“于</w:t>
      </w:r>
      <w:r>
        <w:rPr>
          <w:rFonts w:hint="eastAsia" w:ascii="宋体" w:hAnsi="宋体"/>
          <w:b/>
          <w:color w:val="000000" w:themeColor="text1"/>
          <w:szCs w:val="21"/>
          <w:u w:val="single"/>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之前(指磋商邀请中规定的评审日期及时间)不得启封”的字样。</w:t>
      </w:r>
    </w:p>
    <w:p w14:paraId="590E5333">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20.3如果磋商响应文件由专人送交，磋商供应商应将磋商响应文件按本须知第20.1-20.3条款中的规定进行密封和标记后，按磋商邀请注明的地址送达报价指定地点。</w:t>
      </w:r>
    </w:p>
    <w:p w14:paraId="1DF7F571">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20.4如果磋商响应文件通过邮寄递交，磋商供应商应将磋商响应文件用内、外两层封袋进行密封及应确保其磋商响应文件能及时递交到项目联系人手中。</w:t>
      </w:r>
    </w:p>
    <w:p w14:paraId="6208400E">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20.4.1内层封袋的封装与标记同本须知第20.1-20.3条款规定。</w:t>
      </w:r>
    </w:p>
    <w:p w14:paraId="3362F6BD">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20.4.2外层封袋装入本须知第20.1条款及本须知第20.2条款所述全部内封资料，并注明项目编号、项目名称、采购代理机构名称、地址、邮政编码。同时应写明磋商供应商的名称、地址、联系人、联系电话，以便将迟交的磋商响应文件原封退还。</w:t>
      </w:r>
    </w:p>
    <w:p w14:paraId="07E3267F">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20.5如果磋商供应商不按本须知第20.1-20.5条款规定要求密封和标记，其产生的后果，采购代理机构不负责任。</w:t>
      </w:r>
    </w:p>
    <w:p w14:paraId="34564398">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94" w:name="_Toc137563015"/>
      <w:bookmarkStart w:id="95" w:name="_Toc75338324"/>
      <w:bookmarkStart w:id="96" w:name="_Toc390167042"/>
      <w:r>
        <w:rPr>
          <w:rFonts w:hint="eastAsia" w:ascii="宋体" w:hAnsi="宋体"/>
          <w:b/>
          <w:color w:val="000000" w:themeColor="text1"/>
          <w:szCs w:val="21"/>
          <w14:textFill>
            <w14:solidFill>
              <w14:schemeClr w14:val="tx1"/>
            </w14:solidFill>
          </w14:textFill>
        </w:rPr>
        <w:t>21．递交磋商响应文件</w:t>
      </w:r>
      <w:bookmarkEnd w:id="94"/>
      <w:bookmarkEnd w:id="95"/>
      <w:bookmarkEnd w:id="96"/>
    </w:p>
    <w:p w14:paraId="4C6BD63A">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21.1所有磋商响应文件及样品(如果有)都必须按磋商文件规定的时间和地点由磋商供应商代表送达。</w:t>
      </w:r>
    </w:p>
    <w:p w14:paraId="7CED83D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21.2磋商供应商代表递交磋商响应文件时须凭下列证明办理报价登记手续。</w:t>
      </w:r>
    </w:p>
    <w:p w14:paraId="2A8309FD">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21.2.1磋商供应商代表身份证原件。</w:t>
      </w:r>
    </w:p>
    <w:p w14:paraId="0304336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21.2.2若以电汇或转账方式交纳磋商保证金的，磋商供应商在递交磋商响应文件时应出具银行单证复印件。</w:t>
      </w:r>
    </w:p>
    <w:p w14:paraId="16BEE9BD">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97" w:name="_Toc75338325"/>
      <w:bookmarkStart w:id="98" w:name="_Toc137563016"/>
      <w:bookmarkStart w:id="99" w:name="_Toc390167043"/>
      <w:r>
        <w:rPr>
          <w:rFonts w:hint="eastAsia" w:ascii="宋体" w:hAnsi="宋体"/>
          <w:b/>
          <w:color w:val="000000" w:themeColor="text1"/>
          <w:szCs w:val="21"/>
          <w14:textFill>
            <w14:solidFill>
              <w14:schemeClr w14:val="tx1"/>
            </w14:solidFill>
          </w14:textFill>
        </w:rPr>
        <w:t>22．磋商截止时间</w:t>
      </w:r>
      <w:bookmarkEnd w:id="97"/>
      <w:bookmarkEnd w:id="98"/>
      <w:bookmarkEnd w:id="99"/>
    </w:p>
    <w:p w14:paraId="6E90E71A">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22.1根据本须知第23条款规定，所有磋商响应文件不论派人送交还是通过邮寄递交，都必须按采购代理机构在磋商文件中规定的磋商截止时间之前送达磋商指定地点。</w:t>
      </w:r>
    </w:p>
    <w:p w14:paraId="7F0B5693">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22.2出现本须知第10.3条款规定因磋商文件中规定的修改推迟磋商截止日期时，则按采购代理机构修改通知规定的时间递交。</w:t>
      </w:r>
    </w:p>
    <w:p w14:paraId="2510127B">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00" w:name="_Toc137563017"/>
      <w:bookmarkStart w:id="101" w:name="_Toc75338326"/>
      <w:bookmarkStart w:id="102" w:name="_Toc390167044"/>
      <w:r>
        <w:rPr>
          <w:rFonts w:hint="eastAsia" w:ascii="宋体" w:hAnsi="宋体"/>
          <w:b/>
          <w:color w:val="000000" w:themeColor="text1"/>
          <w:szCs w:val="21"/>
          <w14:textFill>
            <w14:solidFill>
              <w14:schemeClr w14:val="tx1"/>
            </w14:solidFill>
          </w14:textFill>
        </w:rPr>
        <w:t>23．迟交的磋商响应文件</w:t>
      </w:r>
      <w:bookmarkEnd w:id="100"/>
      <w:bookmarkEnd w:id="101"/>
      <w:bookmarkEnd w:id="102"/>
    </w:p>
    <w:p w14:paraId="4AD71BF0">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23.1在磋商截止时间后送达的磋商响应文件为无效文件，采购代理机构、磋商小组将拒绝接收。</w:t>
      </w:r>
    </w:p>
    <w:p w14:paraId="61FE76EF">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03" w:name="_Toc390167045"/>
      <w:bookmarkStart w:id="104" w:name="_Toc137563018"/>
      <w:bookmarkStart w:id="105" w:name="_Toc75338327"/>
      <w:r>
        <w:rPr>
          <w:rFonts w:hint="eastAsia" w:ascii="宋体" w:hAnsi="宋体"/>
          <w:b/>
          <w:color w:val="000000" w:themeColor="text1"/>
          <w:szCs w:val="21"/>
          <w14:textFill>
            <w14:solidFill>
              <w14:schemeClr w14:val="tx1"/>
            </w14:solidFill>
          </w14:textFill>
        </w:rPr>
        <w:t>24．磋商响应文件的修改与撤回</w:t>
      </w:r>
      <w:bookmarkEnd w:id="103"/>
      <w:bookmarkEnd w:id="104"/>
      <w:bookmarkEnd w:id="105"/>
    </w:p>
    <w:p w14:paraId="32C6CCA5">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24.1磋商供应商在提交磋商响应文件后可对其磋商响应文件进行补充、修改或者撤回，但采购代理机构须在磋商截止时间之前收到该补充、修改或者撤回的书面通知，且该通知须经正式授权的磋商供应商代表签字方为有效。补充、修改的内容为磋商响应文件的组成部分。补充、修改的内容与磋商响应文件不一致的，以补充、修改的内容为准。</w:t>
      </w:r>
    </w:p>
    <w:p w14:paraId="0F8EB378">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24.2 磋商供应商的补充、修改或撤回通知应按本须知第20条款规定编制、密封和发送，并在封面注明“补充、修改磋商响应文件”或“撤回磋商”字样。</w:t>
      </w:r>
    </w:p>
    <w:p w14:paraId="263EF7A1">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24.3 在规定的磋商截止时间之后，磋商供应商不得对其磋商响应文件做任何补充和修改。</w:t>
      </w:r>
    </w:p>
    <w:p w14:paraId="084F569D">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24.4从规定的磋商截止时间至磋商供应商在磋商书格式中确定的磋商有效期之间的这段时间内，磋商供应商不得撤回其磋商，否则其磋商保证金将按照本须知第17.1.8条款的规定处理。</w:t>
      </w:r>
    </w:p>
    <w:p w14:paraId="6C02900F">
      <w:pPr>
        <w:spacing w:line="360" w:lineRule="exact"/>
        <w:ind w:firstLine="422" w:firstLineChars="200"/>
        <w:jc w:val="center"/>
        <w:outlineLvl w:val="0"/>
        <w:rPr>
          <w:rFonts w:ascii="宋体" w:hAnsi="宋体"/>
          <w:b/>
          <w:color w:val="000000" w:themeColor="text1"/>
          <w:szCs w:val="21"/>
          <w14:textFill>
            <w14:solidFill>
              <w14:schemeClr w14:val="tx1"/>
            </w14:solidFill>
          </w14:textFill>
        </w:rPr>
      </w:pPr>
      <w:bookmarkStart w:id="106" w:name="_Toc390167046"/>
      <w:bookmarkStart w:id="107" w:name="_Toc137563019"/>
      <w:bookmarkStart w:id="108" w:name="_Toc75338328"/>
      <w:r>
        <w:rPr>
          <w:rFonts w:hint="eastAsia" w:ascii="宋体" w:hAnsi="宋体"/>
          <w:b/>
          <w:color w:val="000000" w:themeColor="text1"/>
          <w:szCs w:val="21"/>
          <w14:textFill>
            <w14:solidFill>
              <w14:schemeClr w14:val="tx1"/>
            </w14:solidFill>
          </w14:textFill>
        </w:rPr>
        <w:t>五、磋商</w:t>
      </w:r>
      <w:bookmarkEnd w:id="106"/>
      <w:bookmarkEnd w:id="107"/>
      <w:bookmarkEnd w:id="108"/>
    </w:p>
    <w:p w14:paraId="3F2F66C0">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09" w:name="_Toc390167047"/>
      <w:bookmarkStart w:id="110" w:name="_Toc137563020"/>
      <w:bookmarkStart w:id="111" w:name="_Toc75338329"/>
      <w:r>
        <w:rPr>
          <w:rFonts w:hint="eastAsia" w:ascii="宋体" w:hAnsi="宋体"/>
          <w:b/>
          <w:color w:val="000000" w:themeColor="text1"/>
          <w:szCs w:val="21"/>
          <w14:textFill>
            <w14:solidFill>
              <w14:schemeClr w14:val="tx1"/>
            </w14:solidFill>
          </w14:textFill>
        </w:rPr>
        <w:t>25．磋商</w:t>
      </w:r>
      <w:bookmarkEnd w:id="109"/>
      <w:bookmarkEnd w:id="110"/>
      <w:bookmarkEnd w:id="111"/>
    </w:p>
    <w:p w14:paraId="7AB0F38F">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25.1采购代理机构在采购公告或磋商邀请函规定的时间和地点进行磋商，磋商由采购代理机构主持，采购人、磋商供应商和有关方面代表参加。</w:t>
      </w:r>
    </w:p>
    <w:p w14:paraId="078B44D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25.2</w:t>
      </w:r>
      <w:r>
        <w:rPr>
          <w:rFonts w:hint="eastAsia" w:ascii="宋体" w:hAnsi="宋体" w:cs="宋体"/>
          <w:color w:val="000000" w:themeColor="text1"/>
          <w:kern w:val="0"/>
          <w:szCs w:val="21"/>
          <w14:textFill>
            <w14:solidFill>
              <w14:schemeClr w14:val="tx1"/>
            </w14:solidFill>
          </w14:textFill>
        </w:rPr>
        <w:t>参加磋商的代表应签名报到以证明其出席。</w:t>
      </w:r>
    </w:p>
    <w:p w14:paraId="31A27776">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25.3磋商时，先由磋商代表、授权代表检查磋商响应文件的密封情况，经确定无误后，由采购代理机构当众拆封正本。报价部分须等到进行价格磋商时再拆封。</w:t>
      </w:r>
    </w:p>
    <w:p w14:paraId="62EDA1E1">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25.4所有磋商供应商应在现场监督人员或有关部门的监督下，通过抽签来确定进入磋商的顺序。</w:t>
      </w:r>
    </w:p>
    <w:p w14:paraId="1E261F1D">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25.5</w:t>
      </w:r>
      <w:r>
        <w:rPr>
          <w:rFonts w:ascii="宋体" w:hAnsi="宋体" w:cs="宋体"/>
          <w:color w:val="000000" w:themeColor="text1"/>
          <w:kern w:val="0"/>
          <w:szCs w:val="21"/>
          <w14:textFill>
            <w14:solidFill>
              <w14:schemeClr w14:val="tx1"/>
            </w14:solidFill>
          </w14:textFill>
        </w:rPr>
        <w:t>磋商小组所有成员应当集中与单一供应商分别进行磋商，并给予所有参加磋商的供应商平等的磋商机会。</w:t>
      </w:r>
    </w:p>
    <w:p w14:paraId="75413617">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25.5.1围绕磋商要点，磋商小组按抽签顺序与各家磋商供应商分别进行一轮或多轮次“一对一</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背靠背”磋商，磋商内容为技术、商务及价格。逐家磋商一次为一个轮次，磋商轮次由磋商小组视情况决定。</w:t>
      </w:r>
    </w:p>
    <w:p w14:paraId="5E61997B">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25.5.2</w:t>
      </w:r>
      <w:r>
        <w:rPr>
          <w:rFonts w:ascii="宋体" w:hAnsi="宋体" w:cs="宋体"/>
          <w:color w:val="000000" w:themeColor="text1"/>
          <w:kern w:val="0"/>
          <w:szCs w:val="21"/>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14:paraId="600C6580">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25.5.3</w:t>
      </w:r>
      <w:r>
        <w:rPr>
          <w:rFonts w:ascii="宋体" w:hAnsi="宋体" w:cs="宋体"/>
          <w:color w:val="000000" w:themeColor="text1"/>
          <w:kern w:val="0"/>
          <w:szCs w:val="21"/>
          <w14:textFill>
            <w14:solidFill>
              <w14:schemeClr w14:val="tx1"/>
            </w14:solidFill>
          </w14:textFill>
        </w:rPr>
        <w:t>对磋商文件作出的实质性变动是磋商文件的有效组成部分，磋商小组应当及时以书面形式同时通知所有参加磋商的供应商。</w:t>
      </w:r>
    </w:p>
    <w:p w14:paraId="3B417409">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25.5.4</w:t>
      </w:r>
      <w:r>
        <w:rPr>
          <w:rFonts w:ascii="宋体" w:hAnsi="宋体" w:cs="宋体"/>
          <w:color w:val="000000" w:themeColor="text1"/>
          <w:kern w:val="0"/>
          <w:szCs w:val="21"/>
          <w14:textFill>
            <w14:solidFill>
              <w14:schemeClr w14:val="tx1"/>
            </w14:solidFill>
          </w14:textFill>
        </w:rPr>
        <w:t>供应商应当按照磋商文件的变动情况和磋商小组的要求重新提交</w:t>
      </w:r>
      <w:r>
        <w:rPr>
          <w:rFonts w:hint="eastAsia" w:ascii="宋体" w:hAnsi="宋体" w:cs="宋体"/>
          <w:color w:val="000000" w:themeColor="text1"/>
          <w:kern w:val="0"/>
          <w:szCs w:val="21"/>
          <w14:textFill>
            <w14:solidFill>
              <w14:schemeClr w14:val="tx1"/>
            </w14:solidFill>
          </w14:textFill>
        </w:rPr>
        <w:t>磋商</w:t>
      </w:r>
      <w:r>
        <w:rPr>
          <w:rFonts w:ascii="宋体" w:hAnsi="宋体" w:cs="宋体"/>
          <w:color w:val="000000" w:themeColor="text1"/>
          <w:kern w:val="0"/>
          <w:szCs w:val="21"/>
          <w14:textFill>
            <w14:solidFill>
              <w14:schemeClr w14:val="tx1"/>
            </w14:solidFill>
          </w14:textFill>
        </w:rPr>
        <w:t>响应文件，并由其单位负责人或授权代表签字或者加盖公章。由授权代表签字的，应当附单位负责人授权书。供应商为自然人的，应当由本人签字并附身份证明。</w:t>
      </w:r>
    </w:p>
    <w:p w14:paraId="4C9858F6">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25.5.5</w:t>
      </w:r>
      <w:r>
        <w:rPr>
          <w:rFonts w:ascii="宋体" w:hAnsi="宋体" w:cs="宋体"/>
          <w:color w:val="000000" w:themeColor="text1"/>
          <w:kern w:val="0"/>
          <w:szCs w:val="21"/>
          <w14:textFill>
            <w14:solidFill>
              <w14:schemeClr w14:val="tx1"/>
            </w14:solidFill>
          </w14:textFill>
        </w:rPr>
        <w:t>磋商文件能够详细列明采购标的的技术、服务要求的，磋商结束后，磋商小组应当要求所有继续参加磋商的供应商在规定时间内提交最后报价。</w:t>
      </w:r>
    </w:p>
    <w:p w14:paraId="7A3B7EAF">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25.5.6</w:t>
      </w:r>
      <w:r>
        <w:rPr>
          <w:rFonts w:ascii="宋体" w:hAnsi="宋体" w:cs="宋体"/>
          <w:color w:val="000000" w:themeColor="text1"/>
          <w:kern w:val="0"/>
          <w:szCs w:val="21"/>
          <w14:textFill>
            <w14:solidFill>
              <w14:schemeClr w14:val="tx1"/>
            </w14:solidFill>
          </w14:textFill>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D5F69B0">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25.5.7</w:t>
      </w:r>
      <w:r>
        <w:rPr>
          <w:rFonts w:ascii="宋体" w:hAnsi="宋体" w:cs="宋体"/>
          <w:color w:val="000000" w:themeColor="text1"/>
          <w:kern w:val="0"/>
          <w:szCs w:val="21"/>
          <w14:textFill>
            <w14:solidFill>
              <w14:schemeClr w14:val="tx1"/>
            </w14:solidFill>
          </w14:textFill>
        </w:rPr>
        <w:t>最后报价是供应商</w:t>
      </w:r>
      <w:r>
        <w:rPr>
          <w:rFonts w:hint="eastAsia" w:ascii="宋体" w:hAnsi="宋体" w:cs="宋体"/>
          <w:color w:val="000000" w:themeColor="text1"/>
          <w:kern w:val="0"/>
          <w:szCs w:val="21"/>
          <w14:textFill>
            <w14:solidFill>
              <w14:schemeClr w14:val="tx1"/>
            </w14:solidFill>
          </w14:textFill>
        </w:rPr>
        <w:t>磋商</w:t>
      </w:r>
      <w:r>
        <w:rPr>
          <w:rFonts w:ascii="宋体" w:hAnsi="宋体" w:cs="宋体"/>
          <w:color w:val="000000" w:themeColor="text1"/>
          <w:kern w:val="0"/>
          <w:szCs w:val="21"/>
          <w14:textFill>
            <w14:solidFill>
              <w14:schemeClr w14:val="tx1"/>
            </w14:solidFill>
          </w14:textFill>
        </w:rPr>
        <w:t>响应文件的有效组成部分。</w:t>
      </w:r>
    </w:p>
    <w:p w14:paraId="3E99A7EF">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25.5.8经磋商确定最终采购需求和提交最后报价的供应商后，由磋商小组采用综合评分法对提交最后报价的供应商的磋商响应文件和最后报价进行综合评分。</w:t>
      </w:r>
    </w:p>
    <w:p w14:paraId="1203D8B2">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25.6磋商供应商应在磋商响应文件中的磋商书及磋商一览表上，明确标明本次磋商的报价，该报价在磋商后可在规定时间内进行一次或多次报价，最后一次报价的价格系最终唯一的报价。磋商结束后，磋商小组将要求所有磋商供应商在规定时间内确定最后报价。未提供最后报价的视为放弃本次采购活动。</w:t>
      </w:r>
    </w:p>
    <w:p w14:paraId="0AB9274C">
      <w:pPr>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25.7提交了可接受的“撤回”通知的磋商将不予开启。</w:t>
      </w:r>
    </w:p>
    <w:p w14:paraId="2BBCCE6A">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25.8磋商</w:t>
      </w:r>
      <w:r>
        <w:rPr>
          <w:rFonts w:hint="eastAsia" w:ascii="宋体" w:hAnsi="宋体"/>
          <w:color w:val="000000" w:themeColor="text1"/>
          <w:szCs w:val="21"/>
          <w14:textFill>
            <w14:solidFill>
              <w14:schemeClr w14:val="tx1"/>
            </w14:solidFill>
          </w14:textFill>
        </w:rPr>
        <w:t>时，磋商响应文件中磋商一览表（报价表）内容与磋商响应文件中明细表内容不一致的，以磋商一览表为准。</w:t>
      </w:r>
    </w:p>
    <w:p w14:paraId="4A200DEC">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25.8.1磋商响应文件的大写金额和小写金额不一致的，以大写金额为准；总价金额与按单价汇总金额不一致的，以单价金额计算结果为准；但单价金额小数点有明显错位的，应以总价为准，并修改单价；对不同文字文本磋商响应文件的解释发生异议的，以中文文本为准。</w:t>
      </w:r>
    </w:p>
    <w:p w14:paraId="57130994">
      <w:pPr>
        <w:spacing w:line="360" w:lineRule="exact"/>
        <w:ind w:firstLine="422" w:firstLineChars="200"/>
        <w:jc w:val="center"/>
        <w:outlineLvl w:val="0"/>
        <w:rPr>
          <w:rFonts w:ascii="宋体" w:hAnsi="宋体"/>
          <w:b/>
          <w:color w:val="000000" w:themeColor="text1"/>
          <w:szCs w:val="21"/>
          <w14:textFill>
            <w14:solidFill>
              <w14:schemeClr w14:val="tx1"/>
            </w14:solidFill>
          </w14:textFill>
        </w:rPr>
      </w:pPr>
      <w:bookmarkStart w:id="112" w:name="_Toc390167048"/>
      <w:bookmarkStart w:id="113" w:name="_Toc137563021"/>
      <w:bookmarkStart w:id="114" w:name="_Toc75338330"/>
      <w:r>
        <w:rPr>
          <w:rFonts w:hint="eastAsia" w:ascii="宋体" w:hAnsi="宋体"/>
          <w:b/>
          <w:color w:val="000000" w:themeColor="text1"/>
          <w:szCs w:val="21"/>
          <w14:textFill>
            <w14:solidFill>
              <w14:schemeClr w14:val="tx1"/>
            </w14:solidFill>
          </w14:textFill>
        </w:rPr>
        <w:t>六、评审</w:t>
      </w:r>
      <w:bookmarkEnd w:id="112"/>
      <w:bookmarkEnd w:id="113"/>
      <w:bookmarkEnd w:id="114"/>
    </w:p>
    <w:p w14:paraId="212A3104">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15" w:name="_Toc137563022"/>
      <w:bookmarkStart w:id="116" w:name="_Toc75338331"/>
      <w:bookmarkStart w:id="117" w:name="_Toc390167049"/>
      <w:r>
        <w:rPr>
          <w:rFonts w:hint="eastAsia" w:ascii="宋体" w:hAnsi="宋体"/>
          <w:b/>
          <w:color w:val="000000" w:themeColor="text1"/>
          <w:szCs w:val="21"/>
          <w14:textFill>
            <w14:solidFill>
              <w14:schemeClr w14:val="tx1"/>
            </w14:solidFill>
          </w14:textFill>
        </w:rPr>
        <w:t>26．磋商小组</w:t>
      </w:r>
      <w:bookmarkEnd w:id="115"/>
      <w:bookmarkEnd w:id="116"/>
      <w:bookmarkEnd w:id="117"/>
    </w:p>
    <w:p w14:paraId="512E2646">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26.1采购代理机构将根据磋商项目的特点依法组建磋商小组，磋商小组由采购人的代表和有关评审专家3人以上单数组成，其中评审专家的人数不得少于磋商小组成员总数的三分之二。</w:t>
      </w:r>
    </w:p>
    <w:p w14:paraId="00532EA4">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26.2评审工作由采购代理机构负责组织，具体评审事务由采购代理机构依法组建的磋商小组负责，并独立履行以下职责：</w:t>
      </w:r>
    </w:p>
    <w:p w14:paraId="492A1277">
      <w:pPr>
        <w:spacing w:line="360" w:lineRule="exact"/>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6</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2.1审查磋商响应文件是否符合磋商文件要求(包括资格性检查、符合性检查等)，并作出评价。</w:t>
      </w:r>
    </w:p>
    <w:p w14:paraId="20EA95EB">
      <w:pPr>
        <w:spacing w:line="360" w:lineRule="exact"/>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6</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2.2要求磋商供应商对磋商响应文件有关事项作出解释或者澄清；</w:t>
      </w:r>
    </w:p>
    <w:p w14:paraId="749690BE">
      <w:pPr>
        <w:spacing w:line="360" w:lineRule="exact"/>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6</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2.3推荐成交候选供应商名单，或者受采购人委托按照事先确定的办法直接确定成交供应商；</w:t>
      </w:r>
    </w:p>
    <w:p w14:paraId="4878A585">
      <w:pPr>
        <w:spacing w:line="360" w:lineRule="exact"/>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6</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2.4向采购单位或者有关部门报告非法干预评审工作的行为。</w:t>
      </w:r>
    </w:p>
    <w:p w14:paraId="1BB5F691">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26.3磋商小组成员名单原则上应在评审开始的当天从相应的专家库中随机抽取产生。与磋商供应商有利害关系的评审专家不得进入磋商小组。评审专家名单在采购结果确定前应当保密。</w:t>
      </w:r>
    </w:p>
    <w:p w14:paraId="17B2548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hint="eastAsia" w:ascii="宋体" w:hAnsi="宋体"/>
          <w:color w:val="000000" w:themeColor="text1"/>
          <w:szCs w:val="21"/>
          <w:lang w:val="zh-CN"/>
          <w14:textFill>
            <w14:solidFill>
              <w14:schemeClr w14:val="tx1"/>
            </w14:solidFill>
          </w14:textFill>
        </w:rPr>
        <w:t>《政府采购竞争性磋商采购方式管理暂行办法》</w:t>
      </w:r>
      <w:r>
        <w:rPr>
          <w:rFonts w:hint="eastAsia" w:ascii="宋体" w:hAnsi="宋体"/>
          <w:color w:val="000000" w:themeColor="text1"/>
          <w:szCs w:val="21"/>
          <w14:textFill>
            <w14:solidFill>
              <w14:schemeClr w14:val="tx1"/>
            </w14:solidFill>
          </w14:textFill>
        </w:rPr>
        <w:t>第三条第四项规定情形的项目，以及情况特殊、通过随机方式难以确定合适的评审专家的项目，经主管预算单位同意，可以自行选定评审专家。技术复杂、专业性强的采购项目，评审专家中应当包含1名法律专家。</w:t>
      </w:r>
    </w:p>
    <w:p w14:paraId="5D5D4465">
      <w:pPr>
        <w:spacing w:line="360" w:lineRule="exact"/>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6</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4</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磋商小组经评审，认为所有磋商都不符合磋商文件要求的，可以否决所有磋商响应文件。</w:t>
      </w:r>
    </w:p>
    <w:p w14:paraId="04BA819E">
      <w:pPr>
        <w:spacing w:line="360" w:lineRule="exact"/>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6</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5磋商小组成员对所提出的评审意见承担个人责任。</w:t>
      </w:r>
    </w:p>
    <w:p w14:paraId="44EF757E">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18" w:name="_Toc137563023"/>
      <w:bookmarkStart w:id="119" w:name="_Toc75338332"/>
      <w:bookmarkStart w:id="120" w:name="_Toc390167050"/>
      <w:r>
        <w:rPr>
          <w:rFonts w:hint="eastAsia" w:ascii="宋体" w:hAnsi="宋体"/>
          <w:b/>
          <w:color w:val="000000" w:themeColor="text1"/>
          <w:szCs w:val="21"/>
          <w14:textFill>
            <w14:solidFill>
              <w14:schemeClr w14:val="tx1"/>
            </w14:solidFill>
          </w14:textFill>
        </w:rPr>
        <w:t>27．澄清</w:t>
      </w:r>
      <w:r>
        <w:rPr>
          <w:rFonts w:hint="eastAsia" w:ascii="宋体" w:hAnsi="宋体"/>
          <w:b/>
          <w:bCs/>
          <w:color w:val="000000" w:themeColor="text1"/>
          <w:szCs w:val="21"/>
          <w14:textFill>
            <w14:solidFill>
              <w14:schemeClr w14:val="tx1"/>
            </w14:solidFill>
          </w14:textFill>
        </w:rPr>
        <w:t>有关问题</w:t>
      </w:r>
      <w:bookmarkEnd w:id="118"/>
      <w:bookmarkEnd w:id="119"/>
      <w:bookmarkEnd w:id="120"/>
    </w:p>
    <w:p w14:paraId="33E0DAC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27</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1磋商小组在对磋商响应文件的有效性、完整性和响应程度进行审查时，可以要求磋商供应商对磋商响应文件中含义不明确、同类问题表述不一致或者有明显文字和计算错误的内容，磋商小组可以书面形式（由磋商小组成员签字）要求磋商供应商作出必要的澄清、说明或者纠正。</w:t>
      </w:r>
    </w:p>
    <w:p w14:paraId="73A4A94C">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27</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2磋商供应商有责任按照磋商小组通知的时间、地点和方式进行澄清。</w:t>
      </w:r>
    </w:p>
    <w:p w14:paraId="0F0EB73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27</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3磋商供应商的澄清、说明或者补正应当采用书面形式，由其授权的代表签字，答复的内容将成为磋商响应文件的一部分，并不得超出磋商响应文件的范围或者改变磋商响应文件的实质性内容。</w:t>
      </w:r>
    </w:p>
    <w:p w14:paraId="3DB5D83B">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21" w:name="_Toc390167051"/>
      <w:bookmarkStart w:id="122" w:name="_Toc137563024"/>
      <w:bookmarkStart w:id="123" w:name="_Toc75338333"/>
      <w:r>
        <w:rPr>
          <w:rFonts w:hint="eastAsia" w:ascii="宋体" w:hAnsi="宋体"/>
          <w:b/>
          <w:color w:val="000000" w:themeColor="text1"/>
          <w:szCs w:val="21"/>
          <w14:textFill>
            <w14:solidFill>
              <w14:schemeClr w14:val="tx1"/>
            </w14:solidFill>
          </w14:textFill>
        </w:rPr>
        <w:t>28．评审程序</w:t>
      </w:r>
      <w:bookmarkEnd w:id="121"/>
      <w:bookmarkEnd w:id="122"/>
      <w:bookmarkEnd w:id="123"/>
    </w:p>
    <w:p w14:paraId="246F106A">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1磋商小组负责本次的评审工作，根据磋商文件、磋商响应文件和评审标准对磋商供应商和磋商货物或服务进行资格审查和评价、比较。</w:t>
      </w:r>
    </w:p>
    <w:p w14:paraId="76B86BF2">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w:t>
      </w:r>
      <w:r>
        <w:rPr>
          <w:rFonts w:hint="eastAsia" w:ascii="宋体" w:hAnsi="宋体"/>
          <w:b/>
          <w:bCs/>
          <w:color w:val="000000" w:themeColor="text1"/>
          <w:szCs w:val="21"/>
          <w14:textFill>
            <w14:solidFill>
              <w14:schemeClr w14:val="tx1"/>
            </w14:solidFill>
          </w14:textFill>
        </w:rPr>
        <w:t>磋商响应文件初审。初审分为资格性检查和符合性检查。</w:t>
      </w:r>
    </w:p>
    <w:p w14:paraId="36A196E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1</w:t>
      </w:r>
      <w:r>
        <w:rPr>
          <w:rFonts w:hint="eastAsia" w:ascii="宋体" w:hAnsi="宋体"/>
          <w:b/>
          <w:bCs/>
          <w:color w:val="000000" w:themeColor="text1"/>
          <w:szCs w:val="21"/>
          <w14:textFill>
            <w14:solidFill>
              <w14:schemeClr w14:val="tx1"/>
            </w14:solidFill>
          </w14:textFill>
        </w:rPr>
        <w:t>符合性检查</w:t>
      </w:r>
      <w:r>
        <w:rPr>
          <w:rFonts w:hint="eastAsia" w:ascii="宋体" w:hAnsi="宋体"/>
          <w:color w:val="000000" w:themeColor="text1"/>
          <w:szCs w:val="21"/>
          <w14:textFill>
            <w14:solidFill>
              <w14:schemeClr w14:val="tx1"/>
            </w14:solidFill>
          </w14:textFill>
        </w:rPr>
        <w:t>。磋商小组依据磋商文件的规定，从磋商响应文件的有效性、完整性和对磋商文件的响应程度进行审查，以确定是否对磋商文件的实质性要求作出响应。实质性响应是指符合磋商文件的所有条款、条件和规定且没有重大偏离或保留。重大偏离或保留系指影响到磋商文件规定的范围、质量和性能，或限制了采购人的权力或磋商供应商的义务的规定，而纠正这些偏离将影响到其他提交实质性响应磋商要求的磋商供应商的公平竞争地位。磋商小组决定磋商的响应性只根据磋商响应文件本身的内容，而不寻求外部的证据。</w:t>
      </w:r>
    </w:p>
    <w:p w14:paraId="5A8530A8">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2对于磋商响应文件中不构成实质性偏差的微小的非不正规、不一致或不规范，磋商小组可以接受，但这种接受不能损害或影响任何磋商供应商的相对排序。</w:t>
      </w:r>
    </w:p>
    <w:p w14:paraId="753C64D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6FD21C4">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4磋商小组要求供应商澄清、说明或者更正响应文件应当以书面形式作出。供应商的澄清、说明或者更正应当由单位负责人或其授权代表签字或者加盖公章。由授权代表签字的，应当附单位负责人授权书。供应商为自然人的，应当由本人签字并附身份证明。</w:t>
      </w:r>
    </w:p>
    <w:p w14:paraId="741A766C">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5实质上没有响应磋商文件要求的磋商将被拒绝。如有出现本须知4.2条款情况之一的，其磋商将被拒绝。</w:t>
      </w:r>
    </w:p>
    <w:p w14:paraId="54A13D78">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6</w:t>
      </w:r>
      <w:r>
        <w:rPr>
          <w:rFonts w:hint="eastAsia" w:ascii="宋体" w:hAnsi="宋体"/>
          <w:b/>
          <w:bCs/>
          <w:color w:val="000000" w:themeColor="text1"/>
          <w:szCs w:val="21"/>
          <w14:textFill>
            <w14:solidFill>
              <w14:schemeClr w14:val="tx1"/>
            </w14:solidFill>
          </w14:textFill>
        </w:rPr>
        <w:t>比较与评价</w:t>
      </w:r>
      <w:r>
        <w:rPr>
          <w:rFonts w:hint="eastAsia" w:ascii="宋体" w:hAnsi="宋体"/>
          <w:color w:val="000000" w:themeColor="text1"/>
          <w:szCs w:val="21"/>
          <w14:textFill>
            <w14:solidFill>
              <w14:schemeClr w14:val="tx1"/>
            </w14:solidFill>
          </w14:textFill>
        </w:rPr>
        <w:t>。磋商小组按磋商文件中规定的评审方法和标准，对资格性检查和符合性检查均合格的磋商响应文件进行商务和技术评估，综合比较与评价。</w:t>
      </w:r>
    </w:p>
    <w:p w14:paraId="0AC46EFC">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3评审时除考虑磋商价格外，还将根据具体情况考虑以下因素：</w:t>
      </w:r>
    </w:p>
    <w:p w14:paraId="14ADB4E0">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1磋商响应文件中所报交货期及付款方式和条件的偏差。</w:t>
      </w:r>
    </w:p>
    <w:p w14:paraId="3DDC6210">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货物的技术水平、性能和生产能力。</w:t>
      </w:r>
    </w:p>
    <w:p w14:paraId="273C1AF8">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货物的质量及适用性。</w:t>
      </w:r>
    </w:p>
    <w:p w14:paraId="2CBCC1A1">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4</w:t>
      </w:r>
      <w:r>
        <w:rPr>
          <w:rFonts w:hint="eastAsia" w:ascii="宋体"/>
          <w:color w:val="000000" w:themeColor="text1"/>
          <w:szCs w:val="21"/>
          <w14:textFill>
            <w14:solidFill>
              <w14:schemeClr w14:val="tx1"/>
            </w14:solidFill>
          </w14:textFill>
        </w:rPr>
        <w:t>配套设备的齐全性。</w:t>
      </w:r>
    </w:p>
    <w:p w14:paraId="78B30A64">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5人员的业务素质和工作经验。</w:t>
      </w:r>
    </w:p>
    <w:p w14:paraId="46CDD6C3">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6所要求的技术服务费及其它有关服务的费用。</w:t>
      </w:r>
    </w:p>
    <w:p w14:paraId="70AEF271">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7其它特殊要求因素，如安全、环保等。</w:t>
      </w:r>
    </w:p>
    <w:p w14:paraId="5A4CD316">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8技术规格所要求的技术服务费及其它有关服务的费用。</w:t>
      </w:r>
    </w:p>
    <w:p w14:paraId="23BB97E2">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9其它特殊要求因素，如安全、环保等。</w:t>
      </w:r>
    </w:p>
    <w:p w14:paraId="269C5A5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10</w:t>
      </w:r>
      <w:r>
        <w:rPr>
          <w:rFonts w:hint="eastAsia" w:ascii="宋体"/>
          <w:color w:val="000000" w:themeColor="text1"/>
          <w:szCs w:val="21"/>
          <w14:textFill>
            <w14:solidFill>
              <w14:schemeClr w14:val="tx1"/>
            </w14:solidFill>
          </w14:textFill>
        </w:rPr>
        <w:t>货物的业绩及供应商经营信誉。</w:t>
      </w:r>
    </w:p>
    <w:p w14:paraId="0035E71F">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4对所有磋商供应商的磋商响应文件评审，都采用相同的程序和相同的标准。</w:t>
      </w:r>
    </w:p>
    <w:p w14:paraId="13F870A7">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5若磋商供应商在磋商时附有采购人不能接受的附加条件，则其磋商作无效标处理。</w:t>
      </w:r>
    </w:p>
    <w:p w14:paraId="0FBB72C8">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6具体评审标准方法以磋商供应商须知前附表中的有关规定为准。</w:t>
      </w:r>
    </w:p>
    <w:p w14:paraId="509D7095">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7对漏(缺)报项的处理：磋商文件中要求列入报价的费用(含配置、功能)，漏(缺)报的视同已含在总报价中。但在评审时取有效磋商供应商该项最高报价加入评审价进行评审。对多报项及赠送项的价格评审时不予核减，全部进入评审价评议。</w:t>
      </w:r>
    </w:p>
    <w:p w14:paraId="69729200">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28.8最后报价是供应商响应文件的有效组成部分。如果供应商的最后报价明显低于其他最后报价，使得其最后报价有可能影响商品或服务质量或者不能诚信履约的，供应商应当按照磋商小组要求，在规定时间内作出书面说明，必要时提交相关证明材料；供应商不能合理说明其报价合理性的，磋商小组可以做无效响应文件和无效报价处理。</w:t>
      </w:r>
    </w:p>
    <w:p w14:paraId="26CD5C86">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24" w:name="_Toc137563025"/>
      <w:bookmarkStart w:id="125" w:name="_Toc75338334"/>
      <w:bookmarkStart w:id="126" w:name="_Toc390167052"/>
      <w:r>
        <w:rPr>
          <w:rFonts w:hint="eastAsia" w:ascii="宋体" w:hAnsi="宋体"/>
          <w:b/>
          <w:color w:val="000000" w:themeColor="text1"/>
          <w:szCs w:val="21"/>
          <w14:textFill>
            <w14:solidFill>
              <w14:schemeClr w14:val="tx1"/>
            </w14:solidFill>
          </w14:textFill>
        </w:rPr>
        <w:t>29．被推荐的成交候选供应商的确定</w:t>
      </w:r>
      <w:bookmarkEnd w:id="124"/>
      <w:bookmarkEnd w:id="125"/>
      <w:bookmarkEnd w:id="126"/>
    </w:p>
    <w:p w14:paraId="3268C6B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29</w:t>
      </w:r>
      <w:r>
        <w:rPr>
          <w:rFonts w:hint="eastAsia" w:ascii="宋体" w:hAnsi="宋体"/>
          <w:b/>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1根据本须知第28条款的规定推荐成交候选供应商。</w:t>
      </w:r>
    </w:p>
    <w:p w14:paraId="0D83AAB0">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29.2成交候选供应商推荐的办法以磋商供应商须知前附表中的有关规定为准。</w:t>
      </w:r>
    </w:p>
    <w:p w14:paraId="52D2FD8D">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27" w:name="_Toc75338335"/>
      <w:bookmarkStart w:id="128" w:name="_Toc137563026"/>
      <w:bookmarkStart w:id="129" w:name="_Toc390167053"/>
      <w:r>
        <w:rPr>
          <w:rFonts w:hint="eastAsia" w:ascii="宋体" w:hAnsi="宋体"/>
          <w:b/>
          <w:color w:val="000000" w:themeColor="text1"/>
          <w:szCs w:val="21"/>
          <w14:textFill>
            <w14:solidFill>
              <w14:schemeClr w14:val="tx1"/>
            </w14:solidFill>
          </w14:textFill>
        </w:rPr>
        <w:t>30.成交原则</w:t>
      </w:r>
      <w:bookmarkEnd w:id="127"/>
      <w:bookmarkEnd w:id="128"/>
      <w:bookmarkEnd w:id="129"/>
    </w:p>
    <w:p w14:paraId="71AD1442">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30</w:t>
      </w:r>
      <w:r>
        <w:rPr>
          <w:rFonts w:hint="eastAsia" w:ascii="宋体" w:hAnsi="宋体"/>
          <w:b/>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1 成交原则以磋商供应商须知前附表中的有关规定为准。</w:t>
      </w:r>
    </w:p>
    <w:p w14:paraId="466212A6">
      <w:pPr>
        <w:spacing w:line="360" w:lineRule="exact"/>
        <w:ind w:firstLine="422" w:firstLineChars="200"/>
        <w:outlineLvl w:val="0"/>
        <w:rPr>
          <w:rFonts w:ascii="宋体" w:hAnsi="宋体"/>
          <w:color w:val="000000" w:themeColor="text1"/>
          <w:szCs w:val="21"/>
          <w14:textFill>
            <w14:solidFill>
              <w14:schemeClr w14:val="tx1"/>
            </w14:solidFill>
          </w14:textFill>
        </w:rPr>
      </w:pPr>
      <w:bookmarkStart w:id="130" w:name="_Toc390167054"/>
      <w:bookmarkStart w:id="131" w:name="_Toc75338336"/>
      <w:bookmarkStart w:id="132" w:name="_Toc137563027"/>
      <w:r>
        <w:rPr>
          <w:rFonts w:hint="eastAsia" w:ascii="宋体" w:hAnsi="宋体"/>
          <w:b/>
          <w:color w:val="000000" w:themeColor="text1"/>
          <w:szCs w:val="21"/>
          <w14:textFill>
            <w14:solidFill>
              <w14:schemeClr w14:val="tx1"/>
            </w14:solidFill>
          </w14:textFill>
        </w:rPr>
        <w:t>31．保密</w:t>
      </w:r>
      <w:bookmarkEnd w:id="130"/>
      <w:bookmarkEnd w:id="131"/>
      <w:bookmarkEnd w:id="132"/>
    </w:p>
    <w:p w14:paraId="27D585F3">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31.1参加评审的相关人员，不得将有关磋商响应文件的审查、澄清、评估和比较以及会影响评审工作的一切情况透露给任一磋商供应商或与上述评审工作无关的人员。</w:t>
      </w:r>
    </w:p>
    <w:p w14:paraId="266D14A0">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31.2磋商供应商不得干扰采购代理机构组织的评审活动，否则将取消其报价资格。</w:t>
      </w:r>
    </w:p>
    <w:p w14:paraId="69A1F088">
      <w:pPr>
        <w:spacing w:line="360" w:lineRule="exact"/>
        <w:ind w:firstLine="422" w:firstLineChars="200"/>
        <w:jc w:val="center"/>
        <w:outlineLvl w:val="0"/>
        <w:rPr>
          <w:rFonts w:ascii="宋体" w:hAnsi="宋体"/>
          <w:b/>
          <w:color w:val="000000" w:themeColor="text1"/>
          <w:szCs w:val="21"/>
          <w14:textFill>
            <w14:solidFill>
              <w14:schemeClr w14:val="tx1"/>
            </w14:solidFill>
          </w14:textFill>
        </w:rPr>
      </w:pPr>
      <w:bookmarkStart w:id="133" w:name="_Toc390167055"/>
      <w:bookmarkStart w:id="134" w:name="_Toc137563028"/>
      <w:bookmarkStart w:id="135" w:name="_Toc75338337"/>
      <w:r>
        <w:rPr>
          <w:rFonts w:hint="eastAsia" w:ascii="宋体" w:hAnsi="宋体"/>
          <w:b/>
          <w:color w:val="000000" w:themeColor="text1"/>
          <w:szCs w:val="21"/>
          <w14:textFill>
            <w14:solidFill>
              <w14:schemeClr w14:val="tx1"/>
            </w14:solidFill>
          </w14:textFill>
        </w:rPr>
        <w:t>七、授予合同</w:t>
      </w:r>
      <w:bookmarkEnd w:id="133"/>
      <w:bookmarkEnd w:id="134"/>
      <w:bookmarkEnd w:id="135"/>
    </w:p>
    <w:p w14:paraId="72BAF308">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36" w:name="_Toc137563029"/>
      <w:bookmarkStart w:id="137" w:name="_Toc390167056"/>
      <w:bookmarkStart w:id="138" w:name="_Toc75338338"/>
      <w:r>
        <w:rPr>
          <w:rFonts w:hint="eastAsia" w:ascii="宋体" w:hAnsi="宋体"/>
          <w:b/>
          <w:color w:val="000000" w:themeColor="text1"/>
          <w:szCs w:val="21"/>
          <w14:textFill>
            <w14:solidFill>
              <w14:schemeClr w14:val="tx1"/>
            </w14:solidFill>
          </w14:textFill>
        </w:rPr>
        <w:t>32．成交候选供应商资格最终审查</w:t>
      </w:r>
      <w:bookmarkEnd w:id="136"/>
      <w:bookmarkEnd w:id="137"/>
      <w:bookmarkEnd w:id="138"/>
    </w:p>
    <w:p w14:paraId="584930E7">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32.1采购人将根据本须知第3、15、16条款列出的标准审查被推荐的成交候选供应商是否有能力令人满意的履行合同。</w:t>
      </w:r>
    </w:p>
    <w:p w14:paraId="016D48C3">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32.2授标决定将考虑磋商供应商的财务、技术和生产能力，其基础是审查磋商供应商提交的资格证明文件和采购人认为必要的、合适的其它资料。</w:t>
      </w:r>
    </w:p>
    <w:p w14:paraId="1E811632">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32.3如果审查通过，采购人将把合同授予该磋商供应商；如果审查没有通过，采购人将拒绝授予合同，并对下一个被推荐的成交候选供应商能否令人满意的履行合同作类似审查。</w:t>
      </w:r>
    </w:p>
    <w:p w14:paraId="15237387">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32.4根据磋商和评审情况，采购结果可能是一次定标，也不排除再次竞争的可能性。</w:t>
      </w:r>
    </w:p>
    <w:p w14:paraId="5B85ADA4">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39" w:name="_Toc390167057"/>
      <w:bookmarkStart w:id="140" w:name="_Toc137563030"/>
      <w:bookmarkStart w:id="141" w:name="_Toc75338339"/>
      <w:r>
        <w:rPr>
          <w:rFonts w:hint="eastAsia" w:ascii="宋体" w:hAnsi="宋体"/>
          <w:b/>
          <w:color w:val="000000" w:themeColor="text1"/>
          <w:szCs w:val="21"/>
          <w14:textFill>
            <w14:solidFill>
              <w14:schemeClr w14:val="tx1"/>
            </w14:solidFill>
          </w14:textFill>
        </w:rPr>
        <w:t>33．合同授予标准</w:t>
      </w:r>
      <w:bookmarkEnd w:id="139"/>
      <w:bookmarkEnd w:id="140"/>
      <w:bookmarkEnd w:id="141"/>
    </w:p>
    <w:p w14:paraId="18E3DFA9">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33.1除第35条款的规定之外，采购人将把合同授予被确定为实质上响应磋商文件的要求并有履行合同能力的被推荐的成交候选供应商。</w:t>
      </w:r>
    </w:p>
    <w:p w14:paraId="54FB308B">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42" w:name="_Toc75338340"/>
      <w:bookmarkStart w:id="143" w:name="_Toc137563031"/>
      <w:bookmarkStart w:id="144" w:name="_Toc390167058"/>
      <w:r>
        <w:rPr>
          <w:rFonts w:hint="eastAsia" w:ascii="宋体" w:hAnsi="宋体"/>
          <w:b/>
          <w:color w:val="000000" w:themeColor="text1"/>
          <w:szCs w:val="21"/>
          <w14:textFill>
            <w14:solidFill>
              <w14:schemeClr w14:val="tx1"/>
            </w14:solidFill>
          </w14:textFill>
        </w:rPr>
        <w:t>34．授标时更改采购货物数量的权力</w:t>
      </w:r>
      <w:bookmarkEnd w:id="142"/>
      <w:bookmarkEnd w:id="143"/>
      <w:bookmarkEnd w:id="144"/>
    </w:p>
    <w:p w14:paraId="2A0AF7A0">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34.1采购人在授予合同时有权对“磋商项目一览表”中规定的货物数量和服务予以增加或减少。</w:t>
      </w:r>
    </w:p>
    <w:p w14:paraId="39891AD4">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45" w:name="_Toc75338341"/>
      <w:bookmarkStart w:id="146" w:name="_Toc390167059"/>
      <w:bookmarkStart w:id="147" w:name="_Toc137563032"/>
      <w:r>
        <w:rPr>
          <w:rFonts w:hint="eastAsia" w:ascii="宋体" w:hAnsi="宋体"/>
          <w:b/>
          <w:color w:val="000000" w:themeColor="text1"/>
          <w:szCs w:val="21"/>
          <w14:textFill>
            <w14:solidFill>
              <w14:schemeClr w14:val="tx1"/>
            </w14:solidFill>
          </w14:textFill>
        </w:rPr>
        <w:t>35．成交通知书</w:t>
      </w:r>
      <w:bookmarkEnd w:id="145"/>
      <w:bookmarkEnd w:id="146"/>
      <w:bookmarkEnd w:id="147"/>
    </w:p>
    <w:p w14:paraId="17597204">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35.1采购代理机构将对评审结果依法予以公告。</w:t>
      </w:r>
    </w:p>
    <w:p w14:paraId="0B71B5A2">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35.2定标后的2个工作日内，经采购人确定，采购代理机构以书面形式向成交供应商发出《成交通知书》，向未成交供应商发出《未成交通知书》。《成交通知书》对采购人和成交供应商具有同等法律效力。</w:t>
      </w:r>
    </w:p>
    <w:p w14:paraId="7773CA5F">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35.3《成交通知书》发出后，采购代理机构以原缴交方式向未成交的磋商供应商退还其报价保证金。</w:t>
      </w:r>
    </w:p>
    <w:p w14:paraId="4FC2AE63">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35.4《成交通知书》发出后，采购人改变成交结果的，或者成交供应商放弃成交的，应按相关法律、规章、规范性文件的要求承担相应的法律责任。</w:t>
      </w:r>
    </w:p>
    <w:p w14:paraId="290462BF">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35.5</w:t>
      </w:r>
      <w:r>
        <w:rPr>
          <w:rFonts w:hint="eastAsia" w:ascii="宋体" w:hAnsi="宋体"/>
          <w:color w:val="000000" w:themeColor="text1"/>
          <w:szCs w:val="21"/>
          <w:lang w:val="zh-CN"/>
          <w14:textFill>
            <w14:solidFill>
              <w14:schemeClr w14:val="tx1"/>
            </w14:solidFill>
          </w14:textFill>
        </w:rPr>
        <w:t>《成交通知书》</w:t>
      </w:r>
      <w:r>
        <w:rPr>
          <w:rFonts w:hint="eastAsia" w:ascii="宋体" w:hAnsi="宋体"/>
          <w:color w:val="000000" w:themeColor="text1"/>
          <w:szCs w:val="21"/>
          <w14:textFill>
            <w14:solidFill>
              <w14:schemeClr w14:val="tx1"/>
            </w14:solidFill>
          </w14:textFill>
        </w:rPr>
        <w:t>作为签订合同的依据，也是合同的一个组成部分。</w:t>
      </w:r>
    </w:p>
    <w:p w14:paraId="24848ED1">
      <w:pPr>
        <w:spacing w:line="360" w:lineRule="exact"/>
        <w:ind w:firstLine="422" w:firstLineChars="200"/>
        <w:outlineLvl w:val="0"/>
        <w:rPr>
          <w:rFonts w:ascii="宋体" w:hAnsi="宋体"/>
          <w:b/>
          <w:color w:val="000000" w:themeColor="text1"/>
          <w:szCs w:val="21"/>
          <w14:textFill>
            <w14:solidFill>
              <w14:schemeClr w14:val="tx1"/>
            </w14:solidFill>
          </w14:textFill>
        </w:rPr>
      </w:pPr>
      <w:bookmarkStart w:id="148" w:name="_Toc137563033"/>
      <w:bookmarkStart w:id="149" w:name="_Toc390167060"/>
      <w:bookmarkStart w:id="150" w:name="_Toc75338342"/>
      <w:r>
        <w:rPr>
          <w:rFonts w:hint="eastAsia" w:ascii="宋体" w:hAnsi="宋体"/>
          <w:b/>
          <w:color w:val="000000" w:themeColor="text1"/>
          <w:szCs w:val="21"/>
          <w14:textFill>
            <w14:solidFill>
              <w14:schemeClr w14:val="tx1"/>
            </w14:solidFill>
          </w14:textFill>
        </w:rPr>
        <w:t>36．签定合同</w:t>
      </w:r>
      <w:bookmarkEnd w:id="148"/>
      <w:bookmarkEnd w:id="149"/>
      <w:bookmarkEnd w:id="150"/>
    </w:p>
    <w:p w14:paraId="1067A9D8">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36.1</w:t>
      </w:r>
      <w:r>
        <w:rPr>
          <w:rFonts w:hint="eastAsia" w:ascii="宋体" w:hAnsi="宋体"/>
          <w:color w:val="000000" w:themeColor="text1"/>
          <w:szCs w:val="21"/>
          <w:lang w:val="zh-CN"/>
          <w14:textFill>
            <w14:solidFill>
              <w14:schemeClr w14:val="tx1"/>
            </w14:solidFill>
          </w14:textFill>
        </w:rPr>
        <w:t>采购人、成交供应商在《成交通知书》发出之日起在规定时间内，根据磋商文件确定的事项和成交供应商磋商响应文件签订合同。双方所签订的合同不得对磋商文件和成交供应商磋商响应文件作实质性修改。逾期未签订合同，按照有关法律规定承担相应的法律责任。</w:t>
      </w:r>
    </w:p>
    <w:p w14:paraId="235FDFA1">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36.2磋商文件、磋商文件的修改文件、成交供应商的磋商响应文件、补充或修改的文件及澄清或承诺文件等，均为双方签订《合同》的组成部分，并与《合同》一并作为本磋商文件所列采购项目的互补性法律文件，与《合同》具有同等法律效力。</w:t>
      </w:r>
    </w:p>
    <w:p w14:paraId="41AF0EEB">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36.3</w:t>
      </w:r>
      <w:r>
        <w:rPr>
          <w:rFonts w:hint="eastAsia" w:ascii="宋体" w:hAnsi="宋体"/>
          <w:color w:val="000000" w:themeColor="text1"/>
          <w:szCs w:val="21"/>
          <w:lang w:val="zh-CN"/>
          <w14:textFill>
            <w14:solidFill>
              <w14:schemeClr w14:val="tx1"/>
            </w14:solidFill>
          </w14:textFill>
        </w:rPr>
        <w:t>合同签订后7日内，成交供应商应将合同一份送采购代理机构备案。采购代理机构接到</w:t>
      </w:r>
      <w:r>
        <w:rPr>
          <w:rFonts w:hint="eastAsia" w:ascii="宋体" w:hAnsi="宋体"/>
          <w:color w:val="000000" w:themeColor="text1"/>
          <w:szCs w:val="21"/>
          <w14:textFill>
            <w14:solidFill>
              <w14:schemeClr w14:val="tx1"/>
            </w14:solidFill>
          </w14:textFill>
        </w:rPr>
        <w:t>《合同》后，以原缴交方式退还成交供应商的磋商保证金。</w:t>
      </w:r>
    </w:p>
    <w:p w14:paraId="5ADAEFE3">
      <w:pPr>
        <w:spacing w:line="360" w:lineRule="exact"/>
        <w:ind w:firstLine="411" w:firstLineChars="196"/>
        <w:jc w:val="left"/>
        <w:rPr>
          <w:rFonts w:ascii="宋体" w:hAnsi="宋体"/>
          <w:color w:val="000000" w:themeColor="text1"/>
          <w:szCs w:val="21"/>
          <w14:textFill>
            <w14:solidFill>
              <w14:schemeClr w14:val="tx1"/>
            </w14:solidFill>
          </w14:textFill>
        </w:rPr>
      </w:pPr>
    </w:p>
    <w:p w14:paraId="19738DEB">
      <w:pPr>
        <w:spacing w:line="360" w:lineRule="exact"/>
        <w:ind w:firstLine="525" w:firstLineChars="250"/>
        <w:rPr>
          <w:rFonts w:ascii="宋体" w:hAnsi="宋体"/>
          <w:color w:val="000000" w:themeColor="text1"/>
          <w:szCs w:val="21"/>
          <w14:textFill>
            <w14:solidFill>
              <w14:schemeClr w14:val="tx1"/>
            </w14:solidFill>
          </w14:textFill>
        </w:rPr>
      </w:pPr>
    </w:p>
    <w:p w14:paraId="3894E57E">
      <w:pPr>
        <w:spacing w:line="360" w:lineRule="exact"/>
        <w:ind w:firstLine="525" w:firstLineChars="250"/>
        <w:rPr>
          <w:rFonts w:ascii="宋体" w:hAnsi="宋体"/>
          <w:color w:val="000000" w:themeColor="text1"/>
          <w:szCs w:val="21"/>
          <w14:textFill>
            <w14:solidFill>
              <w14:schemeClr w14:val="tx1"/>
            </w14:solidFill>
          </w14:textFill>
        </w:rPr>
      </w:pPr>
    </w:p>
    <w:p w14:paraId="010D050B">
      <w:pPr>
        <w:spacing w:line="360" w:lineRule="exact"/>
        <w:ind w:firstLine="525" w:firstLineChars="250"/>
        <w:rPr>
          <w:rFonts w:ascii="宋体" w:hAnsi="宋体"/>
          <w:color w:val="000000" w:themeColor="text1"/>
          <w:szCs w:val="21"/>
          <w14:textFill>
            <w14:solidFill>
              <w14:schemeClr w14:val="tx1"/>
            </w14:solidFill>
          </w14:textFill>
        </w:rPr>
      </w:pPr>
    </w:p>
    <w:p w14:paraId="38237C4C">
      <w:pPr>
        <w:spacing w:line="360" w:lineRule="exact"/>
        <w:ind w:firstLine="525" w:firstLineChars="250"/>
        <w:rPr>
          <w:rFonts w:ascii="宋体" w:hAnsi="宋体"/>
          <w:color w:val="000000" w:themeColor="text1"/>
          <w:szCs w:val="21"/>
          <w14:textFill>
            <w14:solidFill>
              <w14:schemeClr w14:val="tx1"/>
            </w14:solidFill>
          </w14:textFill>
        </w:rPr>
      </w:pPr>
    </w:p>
    <w:p w14:paraId="1BCB078A">
      <w:pPr>
        <w:spacing w:line="360" w:lineRule="exact"/>
        <w:ind w:firstLine="525" w:firstLineChars="250"/>
        <w:rPr>
          <w:rFonts w:ascii="宋体" w:hAnsi="宋体"/>
          <w:color w:val="000000" w:themeColor="text1"/>
          <w:szCs w:val="21"/>
          <w14:textFill>
            <w14:solidFill>
              <w14:schemeClr w14:val="tx1"/>
            </w14:solidFill>
          </w14:textFill>
        </w:rPr>
      </w:pPr>
    </w:p>
    <w:p w14:paraId="4940FDCC">
      <w:pPr>
        <w:spacing w:line="360" w:lineRule="exact"/>
        <w:ind w:firstLine="525" w:firstLineChars="250"/>
        <w:rPr>
          <w:rFonts w:ascii="宋体" w:hAnsi="宋体"/>
          <w:color w:val="000000" w:themeColor="text1"/>
          <w:szCs w:val="21"/>
          <w14:textFill>
            <w14:solidFill>
              <w14:schemeClr w14:val="tx1"/>
            </w14:solidFill>
          </w14:textFill>
        </w:rPr>
      </w:pPr>
    </w:p>
    <w:p w14:paraId="30471D5B">
      <w:pPr>
        <w:spacing w:line="360" w:lineRule="exact"/>
        <w:ind w:firstLine="525" w:firstLineChars="250"/>
        <w:rPr>
          <w:rFonts w:ascii="宋体" w:hAnsi="宋体"/>
          <w:color w:val="000000" w:themeColor="text1"/>
          <w:szCs w:val="21"/>
          <w14:textFill>
            <w14:solidFill>
              <w14:schemeClr w14:val="tx1"/>
            </w14:solidFill>
          </w14:textFill>
        </w:rPr>
      </w:pPr>
    </w:p>
    <w:p w14:paraId="459EE50F">
      <w:pPr>
        <w:spacing w:line="360" w:lineRule="exact"/>
        <w:ind w:firstLine="525" w:firstLineChars="250"/>
        <w:rPr>
          <w:rFonts w:ascii="宋体" w:hAnsi="宋体"/>
          <w:color w:val="000000" w:themeColor="text1"/>
          <w:szCs w:val="21"/>
          <w14:textFill>
            <w14:solidFill>
              <w14:schemeClr w14:val="tx1"/>
            </w14:solidFill>
          </w14:textFill>
        </w:rPr>
      </w:pPr>
    </w:p>
    <w:p w14:paraId="5E2B7502">
      <w:pPr>
        <w:spacing w:line="360" w:lineRule="exact"/>
        <w:ind w:firstLine="525" w:firstLineChars="250"/>
        <w:rPr>
          <w:rFonts w:ascii="宋体" w:hAnsi="宋体"/>
          <w:color w:val="000000" w:themeColor="text1"/>
          <w:szCs w:val="21"/>
          <w14:textFill>
            <w14:solidFill>
              <w14:schemeClr w14:val="tx1"/>
            </w14:solidFill>
          </w14:textFill>
        </w:rPr>
      </w:pPr>
    </w:p>
    <w:p w14:paraId="5EBF9D87">
      <w:pPr>
        <w:spacing w:line="360" w:lineRule="exact"/>
        <w:ind w:firstLine="525" w:firstLineChars="250"/>
        <w:rPr>
          <w:rFonts w:ascii="宋体" w:hAnsi="宋体"/>
          <w:color w:val="000000" w:themeColor="text1"/>
          <w:szCs w:val="21"/>
          <w14:textFill>
            <w14:solidFill>
              <w14:schemeClr w14:val="tx1"/>
            </w14:solidFill>
          </w14:textFill>
        </w:rPr>
      </w:pPr>
    </w:p>
    <w:p w14:paraId="4565E473">
      <w:pPr>
        <w:spacing w:line="360" w:lineRule="exact"/>
        <w:ind w:firstLine="525" w:firstLineChars="250"/>
        <w:rPr>
          <w:rFonts w:ascii="宋体" w:hAnsi="宋体"/>
          <w:color w:val="000000" w:themeColor="text1"/>
          <w:szCs w:val="21"/>
          <w14:textFill>
            <w14:solidFill>
              <w14:schemeClr w14:val="tx1"/>
            </w14:solidFill>
          </w14:textFill>
        </w:rPr>
      </w:pPr>
    </w:p>
    <w:p w14:paraId="0233C035">
      <w:pPr>
        <w:spacing w:line="360" w:lineRule="exact"/>
        <w:ind w:firstLine="525" w:firstLineChars="250"/>
        <w:rPr>
          <w:rFonts w:ascii="宋体" w:hAnsi="宋体"/>
          <w:color w:val="000000" w:themeColor="text1"/>
          <w:szCs w:val="21"/>
          <w14:textFill>
            <w14:solidFill>
              <w14:schemeClr w14:val="tx1"/>
            </w14:solidFill>
          </w14:textFill>
        </w:rPr>
      </w:pPr>
    </w:p>
    <w:p w14:paraId="1D75F977">
      <w:pPr>
        <w:pStyle w:val="31"/>
        <w:rPr>
          <w:rFonts w:ascii="宋体" w:hAnsi="宋体"/>
          <w:color w:val="000000" w:themeColor="text1"/>
          <w:szCs w:val="21"/>
          <w14:textFill>
            <w14:solidFill>
              <w14:schemeClr w14:val="tx1"/>
            </w14:solidFill>
          </w14:textFill>
        </w:rPr>
      </w:pPr>
    </w:p>
    <w:p w14:paraId="3D83B3CD">
      <w:pPr>
        <w:rPr>
          <w:color w:val="000000" w:themeColor="text1"/>
          <w14:textFill>
            <w14:solidFill>
              <w14:schemeClr w14:val="tx1"/>
            </w14:solidFill>
          </w14:textFill>
        </w:rPr>
      </w:pPr>
    </w:p>
    <w:p w14:paraId="3CCD8E79">
      <w:pPr>
        <w:pStyle w:val="41"/>
        <w:ind w:firstLine="418"/>
        <w:rPr>
          <w:color w:val="000000" w:themeColor="text1"/>
          <w14:textFill>
            <w14:solidFill>
              <w14:schemeClr w14:val="tx1"/>
            </w14:solidFill>
          </w14:textFill>
        </w:rPr>
      </w:pPr>
    </w:p>
    <w:p w14:paraId="6FA01CD3">
      <w:pPr>
        <w:rPr>
          <w:rFonts w:ascii="宋体" w:hAnsi="宋体"/>
          <w:color w:val="000000" w:themeColor="text1"/>
          <w:szCs w:val="21"/>
          <w14:textFill>
            <w14:solidFill>
              <w14:schemeClr w14:val="tx1"/>
            </w14:solidFill>
          </w14:textFill>
        </w:rPr>
      </w:pPr>
    </w:p>
    <w:p w14:paraId="6523760C">
      <w:pPr>
        <w:pStyle w:val="41"/>
        <w:ind w:left="0" w:leftChars="0" w:firstLine="0" w:firstLineChars="0"/>
        <w:rPr>
          <w:color w:val="000000" w:themeColor="text1"/>
          <w14:textFill>
            <w14:solidFill>
              <w14:schemeClr w14:val="tx1"/>
            </w14:solidFill>
          </w14:textFill>
        </w:rPr>
      </w:pPr>
    </w:p>
    <w:p w14:paraId="0A152EA2">
      <w:pPr>
        <w:pStyle w:val="41"/>
        <w:ind w:left="0" w:leftChars="0" w:firstLine="0" w:firstLineChars="0"/>
        <w:rPr>
          <w:color w:val="000000" w:themeColor="text1"/>
          <w14:textFill>
            <w14:solidFill>
              <w14:schemeClr w14:val="tx1"/>
            </w14:solidFill>
          </w14:textFill>
        </w:rPr>
      </w:pPr>
    </w:p>
    <w:p w14:paraId="1DE455E2">
      <w:pPr>
        <w:pStyle w:val="41"/>
        <w:ind w:left="0" w:leftChars="0" w:firstLine="0" w:firstLineChars="0"/>
        <w:rPr>
          <w:rFonts w:hint="eastAsia"/>
          <w:color w:val="000000" w:themeColor="text1"/>
          <w14:textFill>
            <w14:solidFill>
              <w14:schemeClr w14:val="tx1"/>
            </w14:solidFill>
          </w14:textFill>
        </w:rPr>
      </w:pPr>
    </w:p>
    <w:p w14:paraId="0BB36ABE">
      <w:pPr>
        <w:pStyle w:val="3"/>
        <w:spacing w:line="360" w:lineRule="exact"/>
        <w:jc w:val="center"/>
        <w:rPr>
          <w:rFonts w:ascii="宋体" w:hAnsi="宋体" w:eastAsia="宋体"/>
          <w:color w:val="000000" w:themeColor="text1"/>
          <w:szCs w:val="32"/>
          <w14:textFill>
            <w14:solidFill>
              <w14:schemeClr w14:val="tx1"/>
            </w14:solidFill>
          </w14:textFill>
        </w:rPr>
      </w:pPr>
      <w:bookmarkStart w:id="151" w:name="_Toc137563034"/>
      <w:bookmarkStart w:id="152" w:name="_Toc498616375"/>
      <w:r>
        <w:rPr>
          <w:rFonts w:hint="eastAsia" w:ascii="宋体" w:hAnsi="宋体" w:eastAsia="宋体"/>
          <w:color w:val="000000" w:themeColor="text1"/>
          <w:szCs w:val="32"/>
          <w14:textFill>
            <w14:solidFill>
              <w14:schemeClr w14:val="tx1"/>
            </w14:solidFill>
          </w14:textFill>
        </w:rPr>
        <w:t>第三部分    磋商项目说明及要求</w:t>
      </w:r>
      <w:bookmarkEnd w:id="151"/>
      <w:bookmarkEnd w:id="152"/>
    </w:p>
    <w:p w14:paraId="231AA909">
      <w:pPr>
        <w:pStyle w:val="93"/>
        <w:spacing w:line="360" w:lineRule="auto"/>
        <w:outlineLvl w:val="2"/>
        <w:rPr>
          <w:rFonts w:hint="default"/>
          <w:color w:val="000000" w:themeColor="text1"/>
          <w:sz w:val="21"/>
          <w:szCs w:val="21"/>
          <w14:textFill>
            <w14:solidFill>
              <w14:schemeClr w14:val="tx1"/>
            </w14:solidFill>
          </w14:textFill>
        </w:rPr>
      </w:pPr>
      <w:bookmarkStart w:id="153" w:name="_Toc134733527"/>
      <w:r>
        <w:rPr>
          <w:b/>
          <w:color w:val="000000" w:themeColor="text1"/>
          <w:sz w:val="21"/>
          <w:szCs w:val="21"/>
          <w14:textFill>
            <w14:solidFill>
              <w14:schemeClr w14:val="tx1"/>
            </w14:solidFill>
          </w14:textFill>
        </w:rPr>
        <w:t>一、项目概况</w:t>
      </w:r>
    </w:p>
    <w:p w14:paraId="0DFB90EE">
      <w:pPr>
        <w:pStyle w:val="93"/>
        <w:spacing w:line="360" w:lineRule="auto"/>
        <w:ind w:firstLine="480"/>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本项目位于德化县</w:t>
      </w:r>
      <w:r>
        <w:rPr>
          <w:rFonts w:ascii="宋体" w:hAnsi="宋体" w:eastAsia="宋体" w:cs="宋体"/>
          <w:color w:val="000000" w:themeColor="text1"/>
          <w:sz w:val="21"/>
          <w:szCs w:val="21"/>
          <w:lang w:eastAsia="zh-CN"/>
          <w14:textFill>
            <w14:solidFill>
              <w14:schemeClr w14:val="tx1"/>
            </w14:solidFill>
          </w14:textFill>
        </w:rPr>
        <w:t>，施工主要内容为</w:t>
      </w:r>
      <w:r>
        <w:rPr>
          <w:rFonts w:ascii="宋体" w:hAnsi="宋体" w:eastAsia="宋体" w:cs="宋体"/>
          <w:color w:val="000000" w:themeColor="text1"/>
          <w:sz w:val="21"/>
          <w:szCs w:val="21"/>
          <w14:textFill>
            <w14:solidFill>
              <w14:schemeClr w14:val="tx1"/>
            </w14:solidFill>
          </w14:textFill>
        </w:rPr>
        <w:t>：操场挡土墙改造为排球足球训练场地，三级跳双杆区提升、新增三级跳坑、简易训练场搭盖</w:t>
      </w:r>
      <w:r>
        <w:rPr>
          <w:rFonts w:ascii="宋体" w:hAnsi="宋体" w:eastAsia="宋体" w:cs="宋体"/>
          <w:color w:val="000000" w:themeColor="text1"/>
          <w:sz w:val="21"/>
          <w:szCs w:val="21"/>
          <w:lang w:eastAsia="zh-CN"/>
          <w14:textFill>
            <w14:solidFill>
              <w14:schemeClr w14:val="tx1"/>
            </w14:solidFill>
          </w14:textFill>
        </w:rPr>
        <w:t>等</w:t>
      </w:r>
      <w:r>
        <w:rPr>
          <w:rFonts w:ascii="宋体" w:hAnsi="宋体" w:eastAsia="宋体" w:cs="宋体"/>
          <w:color w:val="000000" w:themeColor="text1"/>
          <w:sz w:val="21"/>
          <w:szCs w:val="21"/>
          <w14:textFill>
            <w14:solidFill>
              <w14:schemeClr w14:val="tx1"/>
            </w14:solidFill>
          </w14:textFill>
        </w:rPr>
        <w:t>；具体详见</w:t>
      </w:r>
      <w:r>
        <w:rPr>
          <w:rFonts w:ascii="宋体" w:hAnsi="宋体" w:eastAsia="宋体" w:cs="宋体"/>
          <w:color w:val="000000" w:themeColor="text1"/>
          <w:sz w:val="21"/>
          <w:szCs w:val="21"/>
          <w:lang w:eastAsia="zh-CN"/>
          <w14:textFill>
            <w14:solidFill>
              <w14:schemeClr w14:val="tx1"/>
            </w14:solidFill>
          </w14:textFill>
        </w:rPr>
        <w:t>采购</w:t>
      </w:r>
      <w:r>
        <w:rPr>
          <w:rFonts w:ascii="宋体" w:hAnsi="宋体" w:eastAsia="宋体" w:cs="宋体"/>
          <w:color w:val="000000" w:themeColor="text1"/>
          <w:sz w:val="21"/>
          <w:szCs w:val="21"/>
          <w14:textFill>
            <w14:solidFill>
              <w14:schemeClr w14:val="tx1"/>
            </w14:solidFill>
          </w14:textFill>
        </w:rPr>
        <w:t>人提供的施工图纸、工程量清单等有关说明。</w:t>
      </w:r>
    </w:p>
    <w:p w14:paraId="1651405A">
      <w:pPr>
        <w:pStyle w:val="93"/>
        <w:spacing w:line="360" w:lineRule="auto"/>
        <w:outlineLvl w:val="2"/>
        <w:rPr>
          <w:rFonts w:hint="default"/>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二、技术要求（以“★”标示的内容为不允许负偏离的实质性要求）</w:t>
      </w:r>
    </w:p>
    <w:p w14:paraId="1BD1651D">
      <w:pPr>
        <w:spacing w:line="360" w:lineRule="auto"/>
        <w:rPr>
          <w:rFonts w:ascii="宋体" w:hAnsi="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（一）人员配备要求</w:t>
      </w:r>
    </w:p>
    <w:p w14:paraId="66CD5401">
      <w:pPr>
        <w:widowControl/>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（1）本项目的施工技术要求具体以</w:t>
      </w:r>
      <w:r>
        <w:rPr>
          <w:rFonts w:hint="eastAsia" w:ascii="宋体" w:hAnsi="宋体"/>
          <w:color w:val="000000" w:themeColor="text1"/>
          <w:szCs w:val="21"/>
          <w14:textFill>
            <w14:solidFill>
              <w14:schemeClr w14:val="tx1"/>
            </w14:solidFill>
          </w14:textFill>
        </w:rPr>
        <w:t>工程预算文件（另附）及施工图纸</w:t>
      </w:r>
      <w:r>
        <w:rPr>
          <w:rFonts w:hint="eastAsia" w:ascii="宋体" w:hAnsi="宋体"/>
          <w:color w:val="000000" w:themeColor="text1"/>
          <w:szCs w:val="21"/>
          <w14:textFill>
            <w14:solidFill>
              <w14:schemeClr w14:val="tx1"/>
            </w14:solidFill>
          </w14:textFill>
        </w:rPr>
        <w:t>要求为准。</w:t>
      </w:r>
    </w:p>
    <w:p w14:paraId="1F93C045">
      <w:pPr>
        <w:widowControl/>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成交后，成交人提供的施工组织措施，必须含有详细的工期分析，合理科学安排施工时间，工期分析中必须有详细的数字依据，按施工步骤界定具体时间段及正常工作时段的工期保证措施。安全生产、室内设施保护、垃圾清运、防音降噪措施在施工组织设计中要有具体措施。</w:t>
      </w:r>
    </w:p>
    <w:p w14:paraId="35A496F7">
      <w:pPr>
        <w:widowControl/>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（3）项目组人员要求：拟派出的施工现场管理人员最低资格和人数应满足以下要求：</w:t>
      </w:r>
    </w:p>
    <w:p w14:paraId="5B06F1A5">
      <w:pPr>
        <w:widowControl/>
        <w:snapToGrid w:val="0"/>
        <w:spacing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①项目负责人</w:t>
      </w:r>
      <w:r>
        <w:rPr>
          <w:rFonts w:hint="eastAsia" w:ascii="宋体" w:hAnsi="宋体"/>
          <w:color w:val="000000" w:themeColor="text1"/>
          <w:szCs w:val="21"/>
          <w:u w:val="single"/>
          <w14:textFill>
            <w14:solidFill>
              <w14:schemeClr w14:val="tx1"/>
            </w14:solidFill>
          </w14:textFill>
        </w:rPr>
        <w:t xml:space="preserve"> 1 </w:t>
      </w:r>
      <w:r>
        <w:rPr>
          <w:rFonts w:hint="eastAsia" w:ascii="宋体" w:hAnsi="宋体"/>
          <w:color w:val="000000" w:themeColor="text1"/>
          <w:szCs w:val="21"/>
          <w14:textFill>
            <w14:solidFill>
              <w14:schemeClr w14:val="tx1"/>
            </w14:solidFill>
          </w14:textFill>
        </w:rPr>
        <w:t>人，具备</w:t>
      </w:r>
      <w:r>
        <w:rPr>
          <w:rFonts w:hint="eastAsia" w:ascii="宋体" w:hAnsi="宋体"/>
          <w:color w:val="000000" w:themeColor="text1"/>
          <w:szCs w:val="21"/>
          <w:u w:val="single"/>
          <w14:textFill>
            <w14:solidFill>
              <w14:schemeClr w14:val="tx1"/>
            </w14:solidFill>
          </w14:textFill>
        </w:rPr>
        <w:t>建筑工程专业贰级及以上</w:t>
      </w:r>
      <w:r>
        <w:rPr>
          <w:rFonts w:hint="eastAsia" w:ascii="宋体" w:hAnsi="宋体"/>
          <w:color w:val="000000" w:themeColor="text1"/>
          <w:szCs w:val="21"/>
          <w14:textFill>
            <w14:solidFill>
              <w14:schemeClr w14:val="tx1"/>
            </w14:solidFill>
          </w14:textFill>
        </w:rPr>
        <w:t>建造师注册证书；</w:t>
      </w:r>
    </w:p>
    <w:p w14:paraId="35638F86">
      <w:pPr>
        <w:widowControl/>
        <w:snapToGrid w:val="0"/>
        <w:spacing w:line="360" w:lineRule="auto"/>
        <w:ind w:firstLine="630" w:firstLineChars="3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②项目技术负责人</w:t>
      </w:r>
      <w:r>
        <w:rPr>
          <w:rFonts w:hint="eastAsia" w:ascii="宋体" w:hAnsi="宋体"/>
          <w:color w:val="000000" w:themeColor="text1"/>
          <w:szCs w:val="21"/>
          <w:u w:val="single"/>
          <w14:textFill>
            <w14:solidFill>
              <w14:schemeClr w14:val="tx1"/>
            </w14:solidFill>
          </w14:textFill>
        </w:rPr>
        <w:t xml:space="preserve">  1 </w:t>
      </w:r>
      <w:r>
        <w:rPr>
          <w:rFonts w:hint="eastAsia" w:ascii="宋体" w:hAnsi="宋体"/>
          <w:color w:val="000000" w:themeColor="text1"/>
          <w:szCs w:val="21"/>
          <w14:textFill>
            <w14:solidFill>
              <w14:schemeClr w14:val="tx1"/>
            </w14:solidFill>
          </w14:textFill>
        </w:rPr>
        <w:t>人，</w:t>
      </w:r>
      <w:r>
        <w:rPr>
          <w:rFonts w:hint="eastAsia" w:ascii="宋体" w:hAnsi="宋体"/>
          <w:color w:val="000000" w:themeColor="text1"/>
          <w:szCs w:val="21"/>
          <w:u w:val="single"/>
          <w14:textFill>
            <w14:solidFill>
              <w14:schemeClr w14:val="tx1"/>
            </w14:solidFill>
          </w14:textFill>
        </w:rPr>
        <w:t>中级及以上工程类职称</w:t>
      </w:r>
      <w:r>
        <w:rPr>
          <w:rFonts w:hint="eastAsia" w:ascii="宋体" w:hAnsi="宋体"/>
          <w:color w:val="000000" w:themeColor="text1"/>
          <w:szCs w:val="21"/>
          <w14:textFill>
            <w14:solidFill>
              <w14:schemeClr w14:val="tx1"/>
            </w14:solidFill>
          </w14:textFill>
        </w:rPr>
        <w:t>（只考核工程师职称等级，无需考核职称专业）；</w:t>
      </w:r>
    </w:p>
    <w:p w14:paraId="3305AFDD">
      <w:pPr>
        <w:snapToGrid w:val="0"/>
        <w:spacing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③土建施工员：</w:t>
      </w:r>
      <w:r>
        <w:rPr>
          <w:rFonts w:hint="eastAsia" w:ascii="宋体" w:hAnsi="宋体"/>
          <w:color w:val="000000" w:themeColor="text1"/>
          <w:szCs w:val="21"/>
          <w:u w:val="single"/>
          <w14:textFill>
            <w14:solidFill>
              <w14:schemeClr w14:val="tx1"/>
            </w14:solidFill>
          </w14:textFill>
        </w:rPr>
        <w:t>1</w:t>
      </w:r>
      <w:r>
        <w:rPr>
          <w:rFonts w:hint="eastAsia" w:ascii="宋体" w:hAnsi="宋体"/>
          <w:color w:val="000000" w:themeColor="text1"/>
          <w:szCs w:val="21"/>
          <w14:textFill>
            <w14:solidFill>
              <w14:schemeClr w14:val="tx1"/>
            </w14:solidFill>
          </w14:textFill>
        </w:rPr>
        <w:t>人；</w:t>
      </w:r>
    </w:p>
    <w:p w14:paraId="186D3CD6">
      <w:pPr>
        <w:snapToGrid w:val="0"/>
        <w:spacing w:line="360" w:lineRule="auto"/>
        <w:ind w:firstLine="630" w:firstLineChars="3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④土建质量员：</w:t>
      </w:r>
      <w:r>
        <w:rPr>
          <w:rFonts w:hint="eastAsia" w:ascii="宋体" w:hAnsi="宋体"/>
          <w:color w:val="000000" w:themeColor="text1"/>
          <w:szCs w:val="21"/>
          <w:u w:val="single"/>
          <w14:textFill>
            <w14:solidFill>
              <w14:schemeClr w14:val="tx1"/>
            </w14:solidFill>
          </w14:textFill>
        </w:rPr>
        <w:t>1</w:t>
      </w:r>
      <w:r>
        <w:rPr>
          <w:rFonts w:hint="eastAsia" w:ascii="宋体" w:hAnsi="宋体"/>
          <w:color w:val="000000" w:themeColor="text1"/>
          <w:szCs w:val="21"/>
          <w14:textFill>
            <w14:solidFill>
              <w14:schemeClr w14:val="tx1"/>
            </w14:solidFill>
          </w14:textFill>
        </w:rPr>
        <w:t>人；</w:t>
      </w:r>
    </w:p>
    <w:p w14:paraId="16F3FFDC">
      <w:pPr>
        <w:snapToGrid w:val="0"/>
        <w:spacing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⑤材料员：</w:t>
      </w:r>
      <w:r>
        <w:rPr>
          <w:rFonts w:hint="eastAsia" w:ascii="宋体" w:hAnsi="宋体"/>
          <w:color w:val="000000" w:themeColor="text1"/>
          <w:szCs w:val="21"/>
          <w:u w:val="single"/>
          <w14:textFill>
            <w14:solidFill>
              <w14:schemeClr w14:val="tx1"/>
            </w14:solidFill>
          </w14:textFill>
        </w:rPr>
        <w:t xml:space="preserve"> 1 </w:t>
      </w:r>
      <w:r>
        <w:rPr>
          <w:rFonts w:hint="eastAsia" w:ascii="宋体" w:hAnsi="宋体"/>
          <w:color w:val="000000" w:themeColor="text1"/>
          <w:szCs w:val="21"/>
          <w14:textFill>
            <w14:solidFill>
              <w14:schemeClr w14:val="tx1"/>
            </w14:solidFill>
          </w14:textFill>
        </w:rPr>
        <w:t>人；</w:t>
      </w:r>
    </w:p>
    <w:p w14:paraId="6594B325">
      <w:pPr>
        <w:snapToGrid w:val="0"/>
        <w:spacing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⑥机械员：</w:t>
      </w:r>
      <w:r>
        <w:rPr>
          <w:rFonts w:hint="eastAsia" w:ascii="宋体" w:hAnsi="宋体"/>
          <w:color w:val="000000" w:themeColor="text1"/>
          <w:szCs w:val="21"/>
          <w:u w:val="single"/>
          <w14:textFill>
            <w14:solidFill>
              <w14:schemeClr w14:val="tx1"/>
            </w14:solidFill>
          </w14:textFill>
        </w:rPr>
        <w:t xml:space="preserve"> 1 </w:t>
      </w:r>
      <w:r>
        <w:rPr>
          <w:rFonts w:hint="eastAsia" w:ascii="宋体" w:hAnsi="宋体"/>
          <w:color w:val="000000" w:themeColor="text1"/>
          <w:szCs w:val="21"/>
          <w14:textFill>
            <w14:solidFill>
              <w14:schemeClr w14:val="tx1"/>
            </w14:solidFill>
          </w14:textFill>
        </w:rPr>
        <w:t>人；</w:t>
      </w:r>
    </w:p>
    <w:p w14:paraId="6661FE39">
      <w:pPr>
        <w:snapToGrid w:val="0"/>
        <w:spacing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⑦劳务员：</w:t>
      </w:r>
      <w:r>
        <w:rPr>
          <w:rFonts w:hint="eastAsia" w:ascii="宋体" w:hAnsi="宋体"/>
          <w:color w:val="000000" w:themeColor="text1"/>
          <w:szCs w:val="21"/>
          <w:u w:val="single"/>
          <w14:textFill>
            <w14:solidFill>
              <w14:schemeClr w14:val="tx1"/>
            </w14:solidFill>
          </w14:textFill>
        </w:rPr>
        <w:t xml:space="preserve"> 1 </w:t>
      </w:r>
      <w:r>
        <w:rPr>
          <w:rFonts w:hint="eastAsia" w:ascii="宋体" w:hAnsi="宋体"/>
          <w:color w:val="000000" w:themeColor="text1"/>
          <w:szCs w:val="21"/>
          <w14:textFill>
            <w14:solidFill>
              <w14:schemeClr w14:val="tx1"/>
            </w14:solidFill>
          </w14:textFill>
        </w:rPr>
        <w:t>人；</w:t>
      </w:r>
    </w:p>
    <w:p w14:paraId="01259EBC">
      <w:pPr>
        <w:snapToGrid w:val="0"/>
        <w:spacing w:line="360" w:lineRule="auto"/>
        <w:ind w:firstLine="630" w:firstLineChars="300"/>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⑧具备</w:t>
      </w:r>
      <w:r>
        <w:rPr>
          <w:rFonts w:hint="eastAsia" w:ascii="宋体" w:hAnsi="宋体"/>
          <w:color w:val="000000" w:themeColor="text1"/>
          <w:szCs w:val="21"/>
          <w:u w:val="single"/>
          <w14:textFill>
            <w14:solidFill>
              <w14:schemeClr w14:val="tx1"/>
            </w14:solidFill>
          </w14:textFill>
        </w:rPr>
        <w:t>安全生产考核合格证书 C 证的专职</w:t>
      </w:r>
      <w:r>
        <w:rPr>
          <w:rFonts w:hint="eastAsia" w:ascii="宋体" w:hAnsi="宋体"/>
          <w:color w:val="000000" w:themeColor="text1"/>
          <w:szCs w:val="21"/>
          <w14:textFill>
            <w14:solidFill>
              <w14:schemeClr w14:val="tx1"/>
            </w14:solidFill>
          </w14:textFill>
        </w:rPr>
        <w:t>安全生产管理人员：</w:t>
      </w:r>
      <w:r>
        <w:rPr>
          <w:rFonts w:hint="eastAsia" w:ascii="宋体" w:hAnsi="宋体"/>
          <w:color w:val="000000" w:themeColor="text1"/>
          <w:szCs w:val="21"/>
          <w:u w:val="single"/>
          <w14:textFill>
            <w14:solidFill>
              <w14:schemeClr w14:val="tx1"/>
            </w14:solidFill>
          </w14:textFill>
        </w:rPr>
        <w:t>1</w:t>
      </w:r>
      <w:r>
        <w:rPr>
          <w:rFonts w:hint="eastAsia" w:ascii="宋体" w:hAnsi="宋体"/>
          <w:color w:val="000000" w:themeColor="text1"/>
          <w:szCs w:val="21"/>
          <w14:textFill>
            <w14:solidFill>
              <w14:schemeClr w14:val="tx1"/>
            </w14:solidFill>
          </w14:textFill>
        </w:rPr>
        <w:t>人；</w:t>
      </w:r>
    </w:p>
    <w:p w14:paraId="1F635C00">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备注说明：</w:t>
      </w:r>
    </w:p>
    <w:p w14:paraId="780B7B37">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①拟派出项目负责人须附上其有效的建造师注册证书、安全考核合格证书和合格有效的身份证等复印件（加盖供应商单位公章），且为供应商的本企业在岗人员，以建造师注册证书上的聘用企业为准。</w:t>
      </w:r>
    </w:p>
    <w:p w14:paraId="1811206C">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②拟派出本工程项目技术负责人须附上其职称证书、磋商截止时间前六个月（不含磋商截止时间的当月）内任意一个月的社保缴费证明或住房和城乡建设行政主管部门颁发的</w:t>
      </w:r>
      <w:r>
        <w:rPr>
          <w:rFonts w:hint="eastAsia" w:ascii="宋体" w:hAnsi="宋体"/>
          <w:color w:val="000000" w:themeColor="text1"/>
          <w:szCs w:val="21"/>
          <w14:textFill>
            <w14:solidFill>
              <w14:schemeClr w14:val="tx1"/>
            </w14:solidFill>
          </w14:textFill>
        </w:rPr>
        <w:t>有效执业注册证书</w:t>
      </w:r>
      <w:r>
        <w:rPr>
          <w:rFonts w:hint="eastAsia" w:ascii="宋体" w:hAnsi="宋体"/>
          <w:color w:val="000000" w:themeColor="text1"/>
          <w:szCs w:val="21"/>
          <w14:textFill>
            <w14:solidFill>
              <w14:schemeClr w14:val="tx1"/>
            </w14:solidFill>
          </w14:textFill>
        </w:rPr>
        <w:t>和合格有效的身份证等复印件（加盖供应商单位公章），且为供应商的本企业在岗人员。</w:t>
      </w:r>
    </w:p>
    <w:p w14:paraId="7E05CD86">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③施工员、质量员、材料员、机械员和安全员、劳务员等现场管理人员待项目成交后按照上述要求进行配备，磋商时无需提供其相关证件，且均为供应商本单位人员。</w:t>
      </w:r>
    </w:p>
    <w:p w14:paraId="7A6E5F12">
      <w:pPr>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④主要项目负责人必须全程跟进、直至交工完毕。</w:t>
      </w:r>
    </w:p>
    <w:p w14:paraId="338F438A">
      <w:pPr>
        <w:pStyle w:val="17"/>
        <w:adjustRightInd w:val="0"/>
        <w:snapToGrid w:val="0"/>
        <w:spacing w:line="360" w:lineRule="auto"/>
        <w:ind w:firstLine="420" w:firstLineChars="200"/>
        <w:outlineLvl w:val="0"/>
        <w:rPr>
          <w:rFonts w:hAnsi="宋体" w:cs="宋体"/>
          <w:color w:val="000000" w:themeColor="text1"/>
          <w14:textFill>
            <w14:solidFill>
              <w14:schemeClr w14:val="tx1"/>
            </w14:solidFill>
          </w14:textFill>
        </w:rPr>
      </w:pPr>
      <w:bookmarkStart w:id="154" w:name="_Toc28510"/>
      <w:r>
        <w:rPr>
          <w:rFonts w:hint="eastAsia" w:hAnsi="宋体" w:cs="宋体"/>
          <w:color w:val="000000" w:themeColor="text1"/>
          <w14:textFill>
            <w14:solidFill>
              <w14:schemeClr w14:val="tx1"/>
            </w14:solidFill>
          </w14:textFill>
        </w:rPr>
        <w:t>（4）其他要求以本项目合同内容为准。</w:t>
      </w:r>
      <w:bookmarkEnd w:id="154"/>
    </w:p>
    <w:p w14:paraId="2B4748A9">
      <w:pPr>
        <w:pStyle w:val="93"/>
        <w:spacing w:line="360" w:lineRule="auto"/>
        <w:ind w:firstLine="480"/>
        <w:rPr>
          <w:rFonts w:hint="default"/>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w:t>
      </w:r>
      <w:r>
        <w:rPr>
          <w:rFonts w:ascii="宋体" w:hAnsi="宋体" w:eastAsia="宋体" w:cs="宋体"/>
          <w:b/>
          <w:color w:val="000000" w:themeColor="text1"/>
          <w:sz w:val="21"/>
          <w:szCs w:val="21"/>
          <w14:textFill>
            <w14:solidFill>
              <w14:schemeClr w14:val="tx1"/>
            </w14:solidFill>
          </w14:textFill>
        </w:rPr>
        <w:t>（二）施工技术要求</w:t>
      </w:r>
    </w:p>
    <w:p w14:paraId="7B620C1D">
      <w:pPr>
        <w:pStyle w:val="93"/>
        <w:spacing w:line="360" w:lineRule="auto"/>
        <w:ind w:firstLine="48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1、所有材料、设备应经有关质量、安全部门认可后方可使用。材料进场时，成交供应商必须提供产品合格证、检测报告等必要的证书，经过采购单位验审后，方可进场使用，否则，采购人有权责令成交供应商更换，直至材料及设备符合磋商文件以及响应承诺的要求，所造成的损失由成交供应商负责。</w:t>
      </w:r>
    </w:p>
    <w:p w14:paraId="27476844">
      <w:pPr>
        <w:pStyle w:val="93"/>
        <w:spacing w:line="360" w:lineRule="auto"/>
        <w:ind w:firstLine="48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2、成交供应商提供的设备及材料必须是正规合格、品质优良的产品，技术规格、安装标准及技术规范等必须符合国家和行业规定标准、规范要求。</w:t>
      </w:r>
    </w:p>
    <w:p w14:paraId="7E14385B">
      <w:pPr>
        <w:pStyle w:val="93"/>
        <w:spacing w:line="360" w:lineRule="auto"/>
        <w:ind w:firstLine="48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3、依据工程量清单编制要求，本项目的材料、设备、施工必须达到现行的中华人民共和国的国家、行业和地方的一切与采购项目相关的工程建设标准强制性条文。常规的技术标准和规范如有不足之处，成交供应商</w:t>
      </w:r>
      <w:r>
        <w:rPr>
          <w:rFonts w:ascii="宋体" w:hAnsi="宋体" w:eastAsia="宋体" w:cs="宋体"/>
          <w:color w:val="000000" w:themeColor="text1"/>
          <w:sz w:val="21"/>
          <w:szCs w:val="21"/>
          <w14:textFill>
            <w14:solidFill>
              <w14:schemeClr w14:val="tx1"/>
            </w14:solidFill>
          </w14:textFill>
        </w:rPr>
        <w:t>应选用的设备和材料符合所有最新、最普遍的，适合于标准、规范和应用最新版本的要求，并提供所应用的最新版本有关技术依据性资料。</w:t>
      </w:r>
    </w:p>
    <w:p w14:paraId="76A348EA">
      <w:pPr>
        <w:pStyle w:val="93"/>
        <w:spacing w:line="360" w:lineRule="auto"/>
        <w:ind w:firstLine="60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5、成交供应商如果在规定的保证期内，发现材料的质量或规格与合同要求不符，或材料被证实有缺陷，包括潜在的缺陷,使用不合适的材料等，成交供应商应承担一切责任及相关费用。</w:t>
      </w:r>
    </w:p>
    <w:p w14:paraId="188DF228">
      <w:pPr>
        <w:pStyle w:val="93"/>
        <w:spacing w:line="360" w:lineRule="auto"/>
        <w:ind w:firstLine="60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6、成交供应商应按照竞争性磋商文件以及响应承诺配备项目负责人、项目技术负责人及其他现场施工管理人员</w:t>
      </w:r>
      <w:r>
        <w:rPr>
          <w:rFonts w:ascii="宋体" w:hAnsi="宋体" w:eastAsia="宋体" w:cs="宋体"/>
          <w:color w:val="000000" w:themeColor="text1"/>
          <w:sz w:val="21"/>
          <w:szCs w:val="21"/>
          <w:lang w:eastAsia="zh-CN"/>
          <w14:textFill>
            <w14:solidFill>
              <w14:schemeClr w14:val="tx1"/>
            </w14:solidFill>
          </w14:textFill>
        </w:rPr>
        <w:t>，</w:t>
      </w:r>
      <w:r>
        <w:rPr>
          <w:rFonts w:ascii="宋体" w:hAnsi="宋体" w:eastAsia="宋体" w:cs="宋体"/>
          <w:color w:val="000000" w:themeColor="text1"/>
          <w:sz w:val="21"/>
          <w:szCs w:val="21"/>
          <w14:textFill>
            <w14:solidFill>
              <w14:schemeClr w14:val="tx1"/>
            </w14:solidFill>
          </w14:textFill>
        </w:rPr>
        <w:t>以上人员每天向采购人签到报备。</w:t>
      </w:r>
    </w:p>
    <w:p w14:paraId="0BA95FB0">
      <w:pPr>
        <w:pStyle w:val="93"/>
        <w:spacing w:before="60" w:after="60" w:line="360" w:lineRule="auto"/>
        <w:ind w:firstLine="211" w:firstLineChars="100"/>
        <w:rPr>
          <w:rFonts w:hint="default"/>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w:t>
      </w:r>
      <w:r>
        <w:rPr>
          <w:rFonts w:ascii="宋体" w:hAnsi="宋体" w:eastAsia="宋体" w:cs="宋体"/>
          <w:b/>
          <w:color w:val="000000" w:themeColor="text1"/>
          <w:sz w:val="21"/>
          <w:szCs w:val="21"/>
          <w14:textFill>
            <w14:solidFill>
              <w14:schemeClr w14:val="tx1"/>
            </w14:solidFill>
          </w14:textFill>
        </w:rPr>
        <w:t>（三）施工要求</w:t>
      </w:r>
    </w:p>
    <w:p w14:paraId="3D0A4F6A">
      <w:pPr>
        <w:pStyle w:val="93"/>
        <w:spacing w:line="360" w:lineRule="auto"/>
        <w:ind w:firstLine="66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1、成交供应商须能提供良好的技术支持和快速的应急响应和处理能力。</w:t>
      </w:r>
    </w:p>
    <w:p w14:paraId="07FA2B11">
      <w:pPr>
        <w:pStyle w:val="93"/>
        <w:spacing w:line="360" w:lineRule="auto"/>
        <w:ind w:firstLine="66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2、成交供应商必须严格执行相关的施工工艺规范及相关规定，成交供应商自行承担与成交项目有关的安全责任。</w:t>
      </w:r>
    </w:p>
    <w:p w14:paraId="1528BD79">
      <w:pPr>
        <w:pStyle w:val="93"/>
        <w:spacing w:line="360" w:lineRule="auto"/>
        <w:ind w:firstLine="60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3、施工过程中，若出现重大安全事故，依据相关法律法规的规定成交供应商需暂停施工，由此对工期造成延误，成交供应商应承担相关的违约责任。</w:t>
      </w:r>
    </w:p>
    <w:p w14:paraId="24C40E00">
      <w:pPr>
        <w:pStyle w:val="93"/>
        <w:spacing w:line="360" w:lineRule="auto"/>
        <w:ind w:firstLine="60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4、成交供应商不得以任何形式将工程全部或部分转包给第三方。</w:t>
      </w:r>
    </w:p>
    <w:p w14:paraId="660D87B7">
      <w:pPr>
        <w:pStyle w:val="93"/>
        <w:spacing w:line="360" w:lineRule="auto"/>
        <w:ind w:firstLine="60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5、成交供应商如需采购人提供水电接口的，则须在接口处装表计量，装表费及水电等所有费用均由成交供应商承担。</w:t>
      </w:r>
    </w:p>
    <w:p w14:paraId="41398258">
      <w:pPr>
        <w:pStyle w:val="93"/>
        <w:spacing w:line="360" w:lineRule="auto"/>
        <w:ind w:firstLine="211" w:firstLineChars="100"/>
        <w:rPr>
          <w:rFonts w:hint="default"/>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w:t>
      </w:r>
      <w:r>
        <w:rPr>
          <w:rFonts w:ascii="宋体" w:hAnsi="宋体" w:eastAsia="宋体" w:cs="宋体"/>
          <w:b/>
          <w:color w:val="000000" w:themeColor="text1"/>
          <w:sz w:val="21"/>
          <w:szCs w:val="21"/>
          <w14:textFill>
            <w14:solidFill>
              <w14:schemeClr w14:val="tx1"/>
            </w14:solidFill>
          </w14:textFill>
        </w:rPr>
        <w:t>（四）质量要求</w:t>
      </w:r>
    </w:p>
    <w:p w14:paraId="28F7A0F3">
      <w:pPr>
        <w:pStyle w:val="93"/>
        <w:spacing w:line="360" w:lineRule="auto"/>
        <w:ind w:firstLine="60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1、因成交供应商原因</w:t>
      </w:r>
      <w:r>
        <w:rPr>
          <w:rFonts w:ascii="宋体" w:hAnsi="宋体" w:eastAsia="宋体" w:cs="宋体"/>
          <w:color w:val="000000" w:themeColor="text1"/>
          <w:sz w:val="21"/>
          <w:szCs w:val="21"/>
          <w14:textFill>
            <w14:solidFill>
              <w14:schemeClr w14:val="tx1"/>
            </w14:solidFill>
          </w14:textFill>
        </w:rPr>
        <w:t>工程质量达不到</w:t>
      </w:r>
      <w:r>
        <w:rPr>
          <w:rFonts w:ascii="宋体" w:hAnsi="宋体" w:eastAsia="宋体" w:cs="宋体"/>
          <w:color w:val="000000" w:themeColor="text1"/>
          <w:sz w:val="21"/>
          <w:szCs w:val="21"/>
          <w:lang w:eastAsia="zh-CN"/>
          <w14:textFill>
            <w14:solidFill>
              <w14:schemeClr w14:val="tx1"/>
            </w14:solidFill>
          </w14:textFill>
        </w:rPr>
        <w:t>合格</w:t>
      </w:r>
      <w:r>
        <w:rPr>
          <w:rFonts w:ascii="宋体" w:hAnsi="宋体" w:eastAsia="宋体" w:cs="宋体"/>
          <w:color w:val="000000" w:themeColor="text1"/>
          <w:sz w:val="21"/>
          <w:szCs w:val="21"/>
          <w14:textFill>
            <w14:solidFill>
              <w14:schemeClr w14:val="tx1"/>
            </w14:solidFill>
          </w14:textFill>
        </w:rPr>
        <w:t>的质量等级</w:t>
      </w:r>
      <w:r>
        <w:rPr>
          <w:rFonts w:ascii="宋体" w:hAnsi="宋体" w:eastAsia="宋体" w:cs="宋体"/>
          <w:color w:val="000000" w:themeColor="text1"/>
          <w:sz w:val="21"/>
          <w:szCs w:val="21"/>
          <w14:textFill>
            <w14:solidFill>
              <w14:schemeClr w14:val="tx1"/>
            </w14:solidFill>
          </w14:textFill>
        </w:rPr>
        <w:t>，成交供应商必须按合同约定承担违约金并承担采购人由此产生的其他损失，并在采购人要求的时间内无条件返修，质量验收合格后方交付使用，同时工期不予顺延。</w:t>
      </w:r>
    </w:p>
    <w:p w14:paraId="39F13D07">
      <w:pPr>
        <w:pStyle w:val="93"/>
        <w:spacing w:line="360" w:lineRule="auto"/>
        <w:ind w:firstLine="600"/>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2、成交供应商应遵守工程建设安全生产有关管理规定，严格按安全标准组织施工，并随时接受行业安全检查人员依法实施的监督检查，采取必要的安全防护措施，消除事故隐患。</w:t>
      </w:r>
    </w:p>
    <w:p w14:paraId="43C997EE">
      <w:pPr>
        <w:pStyle w:val="93"/>
        <w:spacing w:line="360" w:lineRule="auto"/>
        <w:ind w:firstLine="600"/>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3、由于成交供应商安全措施不力造成安全事故的责任和因此发生的费用，均由成交供应商承担。</w:t>
      </w:r>
    </w:p>
    <w:p w14:paraId="73B5D2B5">
      <w:pPr>
        <w:pStyle w:val="93"/>
        <w:spacing w:line="360" w:lineRule="auto"/>
        <w:ind w:firstLine="60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4、成交供应商应提供良好的服务，在施工的各个阶段应事先安排好各项具体工作及采购人需要配合的工作。</w:t>
      </w:r>
    </w:p>
    <w:p w14:paraId="4CC2ED44">
      <w:pPr>
        <w:pStyle w:val="93"/>
        <w:spacing w:line="360" w:lineRule="auto"/>
        <w:ind w:firstLine="211" w:firstLineChars="100"/>
        <w:jc w:val="both"/>
        <w:rPr>
          <w:rFonts w:hint="default"/>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w:t>
      </w:r>
      <w:r>
        <w:rPr>
          <w:rFonts w:ascii="宋体" w:hAnsi="宋体" w:eastAsia="宋体" w:cs="宋体"/>
          <w:b/>
          <w:color w:val="000000" w:themeColor="text1"/>
          <w:sz w:val="21"/>
          <w:szCs w:val="21"/>
          <w14:textFill>
            <w14:solidFill>
              <w14:schemeClr w14:val="tx1"/>
            </w14:solidFill>
          </w14:textFill>
        </w:rPr>
        <w:t>（五）验收条件</w:t>
      </w:r>
    </w:p>
    <w:p w14:paraId="6ADADCEF">
      <w:pPr>
        <w:pStyle w:val="93"/>
        <w:spacing w:line="360" w:lineRule="auto"/>
        <w:ind w:firstLine="480"/>
        <w:jc w:val="both"/>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1、工程验收时，成交供应商应派有经验和有能力的技术人员及施工人员配合。</w:t>
      </w:r>
    </w:p>
    <w:p w14:paraId="09628DFD">
      <w:pPr>
        <w:pStyle w:val="93"/>
        <w:spacing w:line="360" w:lineRule="auto"/>
        <w:ind w:firstLine="420" w:firstLineChars="200"/>
        <w:jc w:val="both"/>
        <w:rPr>
          <w:rFonts w:hint="default" w:ascii="宋体" w:hAnsi="宋体" w:eastAsia="宋体" w:cs="宋体"/>
          <w:b/>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2、工程验收时由采购人组织相关职能部门进行，若有需要，采购人可请第三方有资质专业机构参与验收（费用包含在磋商报价中），验收合格后成交供应商可向采购人办理移交手续。</w:t>
      </w:r>
    </w:p>
    <w:p w14:paraId="069E2C70">
      <w:pPr>
        <w:pStyle w:val="93"/>
        <w:spacing w:line="360" w:lineRule="auto"/>
        <w:outlineLvl w:val="2"/>
        <w:rPr>
          <w:rFonts w:hint="default"/>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三、商务</w:t>
      </w:r>
      <w:r>
        <w:rPr>
          <w:b/>
          <w:color w:val="000000" w:themeColor="text1"/>
          <w:sz w:val="21"/>
          <w:szCs w:val="21"/>
          <w:lang w:eastAsia="zh-CN"/>
          <w14:textFill>
            <w14:solidFill>
              <w14:schemeClr w14:val="tx1"/>
            </w14:solidFill>
          </w14:textFill>
        </w:rPr>
        <w:t>要求</w:t>
      </w:r>
      <w:r>
        <w:rPr>
          <w:rFonts w:ascii="宋体" w:hAnsi="宋体" w:eastAsia="宋体" w:cs="宋体"/>
          <w:color w:val="000000" w:themeColor="text1"/>
          <w:sz w:val="21"/>
          <w:szCs w:val="21"/>
          <w14:textFill>
            <w14:solidFill>
              <w14:schemeClr w14:val="tx1"/>
            </w14:solidFill>
          </w14:textFill>
        </w:rPr>
        <w:t>：</w:t>
      </w:r>
      <w:r>
        <w:rPr>
          <w:b/>
          <w:color w:val="000000" w:themeColor="text1"/>
          <w:sz w:val="21"/>
          <w:szCs w:val="21"/>
          <w14:textFill>
            <w14:solidFill>
              <w14:schemeClr w14:val="tx1"/>
            </w14:solidFill>
          </w14:textFill>
        </w:rPr>
        <w:t>（以“★”标示的内容为不允许负偏离的实质性要求）</w:t>
      </w:r>
    </w:p>
    <w:tbl>
      <w:tblPr>
        <w:tblStyle w:val="34"/>
        <w:tblW w:w="4819" w:type="pct"/>
        <w:tblInd w:w="1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98"/>
        <w:gridCol w:w="1145"/>
        <w:gridCol w:w="1394"/>
        <w:gridCol w:w="6260"/>
      </w:tblGrid>
      <w:tr w14:paraId="031C28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7" w:type="pct"/>
          </w:tcPr>
          <w:p w14:paraId="561DE4CC">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序号</w:t>
            </w:r>
          </w:p>
        </w:tc>
        <w:tc>
          <w:tcPr>
            <w:tcW w:w="603" w:type="pct"/>
          </w:tcPr>
          <w:p w14:paraId="718D5993">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参数性质</w:t>
            </w:r>
          </w:p>
        </w:tc>
        <w:tc>
          <w:tcPr>
            <w:tcW w:w="734" w:type="pct"/>
          </w:tcPr>
          <w:p w14:paraId="464D96B9">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类型</w:t>
            </w:r>
          </w:p>
        </w:tc>
        <w:tc>
          <w:tcPr>
            <w:tcW w:w="3295" w:type="pct"/>
          </w:tcPr>
          <w:p w14:paraId="1451716F">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要求</w:t>
            </w:r>
          </w:p>
        </w:tc>
      </w:tr>
      <w:tr w14:paraId="380A42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7" w:type="pct"/>
          </w:tcPr>
          <w:p w14:paraId="70E3D93D">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1</w:t>
            </w:r>
          </w:p>
        </w:tc>
        <w:tc>
          <w:tcPr>
            <w:tcW w:w="603" w:type="pct"/>
          </w:tcPr>
          <w:p w14:paraId="1AC21FDD">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w:t>
            </w:r>
          </w:p>
        </w:tc>
        <w:tc>
          <w:tcPr>
            <w:tcW w:w="734" w:type="pct"/>
          </w:tcPr>
          <w:p w14:paraId="588377C3">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交</w:t>
            </w:r>
            <w:r>
              <w:rPr>
                <w:rFonts w:ascii="宋体" w:hAnsi="宋体" w:eastAsia="宋体" w:cs="宋体"/>
                <w:color w:val="000000" w:themeColor="text1"/>
                <w:sz w:val="21"/>
                <w:szCs w:val="21"/>
                <w:lang w:eastAsia="zh-CN"/>
                <w14:textFill>
                  <w14:solidFill>
                    <w14:schemeClr w14:val="tx1"/>
                  </w14:solidFill>
                </w14:textFill>
              </w:rPr>
              <w:t>付</w:t>
            </w:r>
            <w:r>
              <w:rPr>
                <w:rFonts w:ascii="宋体" w:hAnsi="宋体" w:eastAsia="宋体" w:cs="宋体"/>
                <w:color w:val="000000" w:themeColor="text1"/>
                <w:sz w:val="21"/>
                <w:szCs w:val="21"/>
                <w14:textFill>
                  <w14:solidFill>
                    <w14:schemeClr w14:val="tx1"/>
                  </w14:solidFill>
                </w14:textFill>
              </w:rPr>
              <w:t>时间</w:t>
            </w:r>
          </w:p>
        </w:tc>
        <w:tc>
          <w:tcPr>
            <w:tcW w:w="3295" w:type="pct"/>
          </w:tcPr>
          <w:p w14:paraId="64502322">
            <w:pPr>
              <w:pStyle w:val="93"/>
              <w:spacing w:line="360" w:lineRule="auto"/>
              <w:jc w:val="both"/>
              <w:rPr>
                <w:rFonts w:hint="default" w:ascii="宋体" w:hAnsi="宋体" w:eastAsia="宋体" w:cs="宋体"/>
                <w:color w:val="000000" w:themeColor="text1"/>
                <w:sz w:val="21"/>
                <w:szCs w:val="21"/>
                <w:lang w:eastAsia="zh-CN"/>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自合同签订之日起</w:t>
            </w:r>
            <w:r>
              <w:rPr>
                <w:rFonts w:ascii="宋体" w:hAnsi="宋体" w:eastAsia="宋体" w:cs="宋体"/>
                <w:color w:val="000000" w:themeColor="text1"/>
                <w:sz w:val="21"/>
                <w:szCs w:val="21"/>
                <w:lang w:eastAsia="zh-CN"/>
                <w14:textFill>
                  <w14:solidFill>
                    <w14:schemeClr w14:val="tx1"/>
                  </w14:solidFill>
                </w14:textFill>
              </w:rPr>
              <w:t>30</w:t>
            </w:r>
            <w:r>
              <w:rPr>
                <w:rFonts w:ascii="宋体" w:hAnsi="宋体" w:eastAsia="宋体" w:cs="宋体"/>
                <w:color w:val="000000" w:themeColor="text1"/>
                <w:sz w:val="21"/>
                <w:szCs w:val="21"/>
                <w14:textFill>
                  <w14:solidFill>
                    <w14:schemeClr w14:val="tx1"/>
                  </w14:solidFill>
                </w14:textFill>
              </w:rPr>
              <w:t>日</w:t>
            </w:r>
            <w:r>
              <w:rPr>
                <w:rFonts w:ascii="宋体" w:hAnsi="宋体" w:eastAsia="宋体" w:cs="宋体"/>
                <w:color w:val="000000" w:themeColor="text1"/>
                <w:sz w:val="21"/>
                <w:szCs w:val="21"/>
                <w:lang w:eastAsia="zh-CN"/>
                <w14:textFill>
                  <w14:solidFill>
                    <w14:schemeClr w14:val="tx1"/>
                  </w14:solidFill>
                </w14:textFill>
              </w:rPr>
              <w:t>内</w:t>
            </w:r>
            <w:r>
              <w:rPr>
                <w:rFonts w:ascii="宋体" w:hAnsi="宋体" w:eastAsia="宋体" w:cs="宋体"/>
                <w:color w:val="000000" w:themeColor="text1"/>
                <w:sz w:val="21"/>
                <w:szCs w:val="21"/>
                <w:lang w:eastAsia="zh-CN"/>
                <w14:textFill>
                  <w14:solidFill>
                    <w14:schemeClr w14:val="tx1"/>
                  </w14:solidFill>
                </w14:textFill>
              </w:rPr>
              <w:t>完工</w:t>
            </w:r>
          </w:p>
        </w:tc>
      </w:tr>
      <w:tr w14:paraId="001C61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7" w:type="pct"/>
          </w:tcPr>
          <w:p w14:paraId="2008F46B">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2</w:t>
            </w:r>
          </w:p>
        </w:tc>
        <w:tc>
          <w:tcPr>
            <w:tcW w:w="603" w:type="pct"/>
          </w:tcPr>
          <w:p w14:paraId="4925DB99">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w:t>
            </w:r>
          </w:p>
        </w:tc>
        <w:tc>
          <w:tcPr>
            <w:tcW w:w="734" w:type="pct"/>
          </w:tcPr>
          <w:p w14:paraId="3B7FAEFB">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交</w:t>
            </w:r>
            <w:r>
              <w:rPr>
                <w:rFonts w:ascii="宋体" w:hAnsi="宋体" w:eastAsia="宋体" w:cs="宋体"/>
                <w:color w:val="000000" w:themeColor="text1"/>
                <w:sz w:val="21"/>
                <w:szCs w:val="21"/>
                <w:lang w:eastAsia="zh-CN"/>
                <w14:textFill>
                  <w14:solidFill>
                    <w14:schemeClr w14:val="tx1"/>
                  </w14:solidFill>
                </w14:textFill>
              </w:rPr>
              <w:t>付</w:t>
            </w:r>
            <w:r>
              <w:rPr>
                <w:rFonts w:ascii="宋体" w:hAnsi="宋体" w:eastAsia="宋体" w:cs="宋体"/>
                <w:color w:val="000000" w:themeColor="text1"/>
                <w:sz w:val="21"/>
                <w:szCs w:val="21"/>
                <w14:textFill>
                  <w14:solidFill>
                    <w14:schemeClr w14:val="tx1"/>
                  </w14:solidFill>
                </w14:textFill>
              </w:rPr>
              <w:t>地点</w:t>
            </w:r>
          </w:p>
        </w:tc>
        <w:tc>
          <w:tcPr>
            <w:tcW w:w="3295" w:type="pct"/>
          </w:tcPr>
          <w:p w14:paraId="0DD57A98">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采购人指定的施工地点。</w:t>
            </w:r>
          </w:p>
        </w:tc>
      </w:tr>
      <w:tr w14:paraId="117E0E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7" w:type="pct"/>
          </w:tcPr>
          <w:p w14:paraId="57C50443">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3</w:t>
            </w:r>
          </w:p>
        </w:tc>
        <w:tc>
          <w:tcPr>
            <w:tcW w:w="603" w:type="pct"/>
          </w:tcPr>
          <w:p w14:paraId="3F1DB8B1">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w:t>
            </w:r>
          </w:p>
        </w:tc>
        <w:tc>
          <w:tcPr>
            <w:tcW w:w="734" w:type="pct"/>
          </w:tcPr>
          <w:p w14:paraId="67620DC3">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交</w:t>
            </w:r>
            <w:r>
              <w:rPr>
                <w:rFonts w:ascii="宋体" w:hAnsi="宋体" w:eastAsia="宋体" w:cs="宋体"/>
                <w:color w:val="000000" w:themeColor="text1"/>
                <w:sz w:val="21"/>
                <w:szCs w:val="21"/>
                <w:lang w:eastAsia="zh-CN"/>
                <w14:textFill>
                  <w14:solidFill>
                    <w14:schemeClr w14:val="tx1"/>
                  </w14:solidFill>
                </w14:textFill>
              </w:rPr>
              <w:t>付</w:t>
            </w:r>
            <w:r>
              <w:rPr>
                <w:rFonts w:ascii="宋体" w:hAnsi="宋体" w:eastAsia="宋体" w:cs="宋体"/>
                <w:color w:val="000000" w:themeColor="text1"/>
                <w:sz w:val="21"/>
                <w:szCs w:val="21"/>
                <w14:textFill>
                  <w14:solidFill>
                    <w14:schemeClr w14:val="tx1"/>
                  </w14:solidFill>
                </w14:textFill>
              </w:rPr>
              <w:t>条件</w:t>
            </w:r>
          </w:p>
        </w:tc>
        <w:tc>
          <w:tcPr>
            <w:tcW w:w="3295" w:type="pct"/>
          </w:tcPr>
          <w:p w14:paraId="3B4BDEDF">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符合现行相关工程施工与质量验收规范的合格标准，并确保验收合格。</w:t>
            </w:r>
          </w:p>
        </w:tc>
      </w:tr>
      <w:tr w14:paraId="77C4A2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7" w:type="pct"/>
          </w:tcPr>
          <w:p w14:paraId="05CF0D38">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4</w:t>
            </w:r>
          </w:p>
        </w:tc>
        <w:tc>
          <w:tcPr>
            <w:tcW w:w="603" w:type="pct"/>
          </w:tcPr>
          <w:p w14:paraId="21EA62FB">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w:t>
            </w:r>
          </w:p>
        </w:tc>
        <w:tc>
          <w:tcPr>
            <w:tcW w:w="734" w:type="pct"/>
          </w:tcPr>
          <w:p w14:paraId="4E8C8457">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其他</w:t>
            </w:r>
          </w:p>
        </w:tc>
        <w:tc>
          <w:tcPr>
            <w:tcW w:w="3295" w:type="pct"/>
          </w:tcPr>
          <w:p w14:paraId="31AB057A">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是否收取履约保证金：是。履约保证金比例：2%。 说明：1、签订采购合同前应向采购人缴纳金额为合同总金额2%作为履约保证金。该履约保证金于本项目无质量问题且成交供应商无违约的前提下，从验收合格交付使用之日起满2年期后采购人在15个工作日内无息退还。</w:t>
            </w:r>
            <w:r>
              <w:rPr>
                <w:rFonts w:ascii="宋体" w:hAnsi="宋体" w:eastAsia="宋体" w:cs="宋体"/>
                <w:color w:val="000000" w:themeColor="text1"/>
                <w:sz w:val="21"/>
                <w:szCs w:val="21"/>
                <w:lang w:eastAsia="zh-CN"/>
                <w14:textFill>
                  <w14:solidFill>
                    <w14:schemeClr w14:val="tx1"/>
                  </w14:solidFill>
                </w14:textFill>
              </w:rPr>
              <w:t>成交供应商</w:t>
            </w:r>
            <w:r>
              <w:rPr>
                <w:rFonts w:ascii="宋体" w:hAnsi="宋体" w:eastAsia="宋体" w:cs="宋体"/>
                <w:color w:val="000000" w:themeColor="text1"/>
                <w:sz w:val="21"/>
                <w:szCs w:val="21"/>
                <w14:textFill>
                  <w14:solidFill>
                    <w14:schemeClr w14:val="tx1"/>
                  </w14:solidFill>
                </w14:textFill>
              </w:rPr>
              <w:t>未能按期提供履约保证金，视为自动放弃</w:t>
            </w:r>
            <w:r>
              <w:rPr>
                <w:rFonts w:ascii="宋体" w:hAnsi="宋体" w:eastAsia="宋体" w:cs="宋体"/>
                <w:color w:val="000000" w:themeColor="text1"/>
                <w:sz w:val="21"/>
                <w:szCs w:val="21"/>
                <w:lang w:eastAsia="zh-CN"/>
                <w14:textFill>
                  <w14:solidFill>
                    <w14:schemeClr w14:val="tx1"/>
                  </w14:solidFill>
                </w14:textFill>
              </w:rPr>
              <w:t>成交资格</w:t>
            </w:r>
            <w:r>
              <w:rPr>
                <w:rFonts w:ascii="宋体" w:hAnsi="宋体" w:eastAsia="宋体" w:cs="宋体"/>
                <w:color w:val="000000" w:themeColor="text1"/>
                <w:sz w:val="21"/>
                <w:szCs w:val="21"/>
                <w14:textFill>
                  <w14:solidFill>
                    <w14:schemeClr w14:val="tx1"/>
                  </w14:solidFill>
                </w14:textFill>
              </w:rPr>
              <w:t>，采购人不与其签订合同。2、履约保证金应在签订合前提交，提交方式为：银行转账、电汇、现金或银行保函（基本户开具）等形式。</w:t>
            </w:r>
          </w:p>
        </w:tc>
      </w:tr>
      <w:tr w14:paraId="163903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7" w:type="pct"/>
          </w:tcPr>
          <w:p w14:paraId="43B60BBF">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5</w:t>
            </w:r>
          </w:p>
        </w:tc>
        <w:tc>
          <w:tcPr>
            <w:tcW w:w="603" w:type="pct"/>
          </w:tcPr>
          <w:p w14:paraId="75D8DE37">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w:t>
            </w:r>
          </w:p>
        </w:tc>
        <w:tc>
          <w:tcPr>
            <w:tcW w:w="734" w:type="pct"/>
          </w:tcPr>
          <w:p w14:paraId="2FA5B1BB">
            <w:pPr>
              <w:pStyle w:val="93"/>
              <w:spacing w:line="360" w:lineRule="auto"/>
              <w:ind w:right="-107" w:rightChars="-51"/>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是否邀请</w:t>
            </w:r>
            <w:r>
              <w:rPr>
                <w:rFonts w:ascii="宋体" w:hAnsi="宋体" w:eastAsia="宋体" w:cs="宋体"/>
                <w:color w:val="000000" w:themeColor="text1"/>
                <w:sz w:val="21"/>
                <w:szCs w:val="21"/>
                <w:lang w:eastAsia="zh-CN"/>
                <w14:textFill>
                  <w14:solidFill>
                    <w14:schemeClr w14:val="tx1"/>
                  </w14:solidFill>
                </w14:textFill>
              </w:rPr>
              <w:t>供应商</w:t>
            </w:r>
            <w:r>
              <w:rPr>
                <w:rFonts w:ascii="宋体" w:hAnsi="宋体" w:eastAsia="宋体" w:cs="宋体"/>
                <w:color w:val="000000" w:themeColor="text1"/>
                <w:sz w:val="21"/>
                <w:szCs w:val="21"/>
                <w14:textFill>
                  <w14:solidFill>
                    <w14:schemeClr w14:val="tx1"/>
                  </w14:solidFill>
                </w14:textFill>
              </w:rPr>
              <w:t>验收</w:t>
            </w:r>
          </w:p>
        </w:tc>
        <w:tc>
          <w:tcPr>
            <w:tcW w:w="3295" w:type="pct"/>
          </w:tcPr>
          <w:p w14:paraId="5E49F287">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不邀请</w:t>
            </w:r>
            <w:r>
              <w:rPr>
                <w:rFonts w:ascii="宋体" w:hAnsi="宋体" w:eastAsia="宋体" w:cs="宋体"/>
                <w:color w:val="000000" w:themeColor="text1"/>
                <w:sz w:val="21"/>
                <w:szCs w:val="21"/>
                <w:lang w:eastAsia="zh-CN"/>
                <w14:textFill>
                  <w14:solidFill>
                    <w14:schemeClr w14:val="tx1"/>
                  </w14:solidFill>
                </w14:textFill>
              </w:rPr>
              <w:t>供应商</w:t>
            </w:r>
            <w:r>
              <w:rPr>
                <w:rFonts w:ascii="宋体" w:hAnsi="宋体" w:eastAsia="宋体" w:cs="宋体"/>
                <w:color w:val="000000" w:themeColor="text1"/>
                <w:sz w:val="21"/>
                <w:szCs w:val="21"/>
                <w14:textFill>
                  <w14:solidFill>
                    <w14:schemeClr w14:val="tx1"/>
                  </w14:solidFill>
                </w14:textFill>
              </w:rPr>
              <w:t>验收</w:t>
            </w:r>
          </w:p>
        </w:tc>
      </w:tr>
      <w:tr w14:paraId="2D3994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7" w:type="pct"/>
          </w:tcPr>
          <w:p w14:paraId="25C4EFF0">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6</w:t>
            </w:r>
          </w:p>
        </w:tc>
        <w:tc>
          <w:tcPr>
            <w:tcW w:w="603" w:type="pct"/>
          </w:tcPr>
          <w:p w14:paraId="5C8CD578">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w:t>
            </w:r>
          </w:p>
        </w:tc>
        <w:tc>
          <w:tcPr>
            <w:tcW w:w="734" w:type="pct"/>
          </w:tcPr>
          <w:p w14:paraId="2A65FB3E">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履约验收方式</w:t>
            </w:r>
          </w:p>
        </w:tc>
        <w:tc>
          <w:tcPr>
            <w:tcW w:w="3295" w:type="pct"/>
          </w:tcPr>
          <w:p w14:paraId="5C5039FE">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1、期次1，说明：所有工程符合施工图设计要求、变更文件要求和合同等要求，验收程序为：成交供应商经过自检，认为已达到相应的验收条件要求，并做好各项验收准备工作，即可按合同文件和各方协商确定的时限，向监理机构或采购人提交验收申请。采购人或监理机构在接到验收申请，应在规定的时间内对工程的完成情况、验收所需资料和其他准备工作进行检查，必要时应组织初验，经审查认为具备验收条件后，除工序验收和一般单元工程由监理工程师验收签证外，其余均应组织相应的主管部门联合验收。</w:t>
            </w:r>
          </w:p>
        </w:tc>
      </w:tr>
      <w:tr w14:paraId="7641EA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7" w:type="pct"/>
          </w:tcPr>
          <w:p w14:paraId="5C901698">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7</w:t>
            </w:r>
          </w:p>
        </w:tc>
        <w:tc>
          <w:tcPr>
            <w:tcW w:w="603" w:type="pct"/>
          </w:tcPr>
          <w:p w14:paraId="47A7228E">
            <w:pPr>
              <w:pStyle w:val="93"/>
              <w:spacing w:line="360" w:lineRule="auto"/>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w:t>
            </w:r>
          </w:p>
        </w:tc>
        <w:tc>
          <w:tcPr>
            <w:tcW w:w="734" w:type="pct"/>
          </w:tcPr>
          <w:p w14:paraId="731D96C5">
            <w:pPr>
              <w:pStyle w:val="93"/>
              <w:spacing w:line="360" w:lineRule="auto"/>
              <w:jc w:val="center"/>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合同支付方式</w:t>
            </w:r>
          </w:p>
        </w:tc>
        <w:tc>
          <w:tcPr>
            <w:tcW w:w="3295" w:type="pct"/>
          </w:tcPr>
          <w:p w14:paraId="45C3949B">
            <w:pPr>
              <w:pStyle w:val="93"/>
              <w:numPr>
                <w:ilvl w:val="0"/>
                <w:numId w:val="3"/>
              </w:numPr>
              <w:spacing w:line="360" w:lineRule="auto"/>
              <w:ind w:firstLine="480"/>
              <w:jc w:val="both"/>
              <w:rPr>
                <w:rFonts w:hint="default" w:ascii="宋体" w:hAnsi="宋体" w:eastAsia="宋体" w:cs="宋体"/>
                <w:color w:val="000000" w:themeColor="text1"/>
                <w:sz w:val="21"/>
                <w:szCs w:val="21"/>
                <w:lang w:eastAsia="zh-CN"/>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工程完工验收合格、内业资料归档完毕、工程相关手续移交完整、办理</w:t>
            </w:r>
            <w:r>
              <w:rPr>
                <w:rFonts w:ascii="宋体" w:hAnsi="宋体" w:eastAsia="宋体" w:cs="宋体"/>
                <w:color w:val="000000" w:themeColor="text1"/>
                <w:sz w:val="21"/>
                <w:szCs w:val="21"/>
                <w14:textFill>
                  <w14:solidFill>
                    <w14:schemeClr w14:val="tx1"/>
                  </w14:solidFill>
                </w14:textFill>
              </w:rPr>
              <w:t>工程完工证书</w:t>
            </w:r>
            <w:r>
              <w:rPr>
                <w:rFonts w:ascii="宋体" w:hAnsi="宋体" w:eastAsia="宋体" w:cs="宋体"/>
                <w:color w:val="000000" w:themeColor="text1"/>
                <w:sz w:val="21"/>
                <w:szCs w:val="21"/>
                <w:lang w:eastAsia="zh-CN"/>
                <w14:textFill>
                  <w14:solidFill>
                    <w14:schemeClr w14:val="tx1"/>
                  </w14:solidFill>
                </w14:textFill>
              </w:rPr>
              <w:t>支付合同金额的85%。</w:t>
            </w:r>
          </w:p>
          <w:p w14:paraId="028E5485">
            <w:pPr>
              <w:pStyle w:val="93"/>
              <w:numPr>
                <w:ilvl w:val="0"/>
                <w:numId w:val="3"/>
              </w:numPr>
              <w:spacing w:line="360" w:lineRule="auto"/>
              <w:ind w:firstLine="480"/>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经第三方有资质的造价咨询机构出具或批复工程结算结论书后付至结算总价的97%，余下3％作为工程质量保修金。</w:t>
            </w:r>
          </w:p>
          <w:p w14:paraId="6B151AC1">
            <w:pPr>
              <w:pStyle w:val="93"/>
              <w:spacing w:line="360" w:lineRule="auto"/>
              <w:ind w:firstLine="480"/>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lang w:eastAsia="zh-CN"/>
                <w14:textFill>
                  <w14:solidFill>
                    <w14:schemeClr w14:val="tx1"/>
                  </w14:solidFill>
                </w14:textFill>
              </w:rPr>
              <w:t>3、</w:t>
            </w:r>
            <w:r>
              <w:rPr>
                <w:rFonts w:ascii="宋体" w:hAnsi="宋体" w:eastAsia="宋体" w:cs="宋体"/>
                <w:color w:val="000000" w:themeColor="text1"/>
                <w:sz w:val="21"/>
                <w:szCs w:val="21"/>
                <w14:textFill>
                  <w14:solidFill>
                    <w14:schemeClr w14:val="tx1"/>
                  </w14:solidFill>
                </w14:textFill>
              </w:rPr>
              <w:t>全部工程保修期满并完成保修任务后结清工程款保修金（无息），即结算总造价的3%。</w:t>
            </w:r>
          </w:p>
        </w:tc>
      </w:tr>
    </w:tbl>
    <w:p w14:paraId="6E82A9E1">
      <w:pPr>
        <w:pStyle w:val="93"/>
        <w:spacing w:line="360" w:lineRule="auto"/>
        <w:rPr>
          <w:rFonts w:hint="default"/>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其他商务要求：</w:t>
      </w:r>
    </w:p>
    <w:p w14:paraId="43E1AC22">
      <w:pPr>
        <w:pStyle w:val="93"/>
        <w:spacing w:line="360" w:lineRule="auto"/>
        <w:ind w:firstLine="420" w:firstLineChars="20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1、本项目禁止转包、分包。</w:t>
      </w:r>
    </w:p>
    <w:p w14:paraId="5C623540">
      <w:pPr>
        <w:pStyle w:val="93"/>
        <w:spacing w:line="360" w:lineRule="auto"/>
        <w:ind w:firstLine="420"/>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2、本项目工程量清单、招标控制价（即最高限价）、编制说明、施工图纸详见附件。</w:t>
      </w:r>
    </w:p>
    <w:p w14:paraId="4EF68AD3">
      <w:pPr>
        <w:pStyle w:val="93"/>
        <w:spacing w:line="360" w:lineRule="auto"/>
        <w:ind w:firstLine="422"/>
        <w:rPr>
          <w:rFonts w:hint="default"/>
          <w:color w:val="000000" w:themeColor="text1"/>
          <w:sz w:val="21"/>
          <w:szCs w:val="21"/>
          <w14:textFill>
            <w14:solidFill>
              <w14:schemeClr w14:val="tx1"/>
            </w14:solidFill>
          </w14:textFill>
        </w:rPr>
      </w:pPr>
      <w:r>
        <w:rPr>
          <w:rFonts w:ascii="宋体" w:hAnsi="宋体" w:eastAsia="宋体" w:cs="宋体"/>
          <w:b/>
          <w:color w:val="000000" w:themeColor="text1"/>
          <w:sz w:val="21"/>
          <w:szCs w:val="21"/>
          <w14:textFill>
            <w14:solidFill>
              <w14:schemeClr w14:val="tx1"/>
            </w14:solidFill>
          </w14:textFill>
        </w:rPr>
        <w:t>3.报价要求</w:t>
      </w:r>
    </w:p>
    <w:p w14:paraId="75B9AB36">
      <w:pPr>
        <w:pStyle w:val="93"/>
        <w:spacing w:line="360" w:lineRule="auto"/>
        <w:ind w:firstLine="420"/>
        <w:jc w:val="both"/>
        <w:rPr>
          <w:rFonts w:hint="default"/>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3.1本项目为整体招标项目，</w:t>
      </w:r>
      <w:r>
        <w:rPr>
          <w:rFonts w:ascii="宋体" w:hAnsi="宋体" w:eastAsia="宋体" w:cs="宋体"/>
          <w:color w:val="000000" w:themeColor="text1"/>
          <w:sz w:val="21"/>
          <w:szCs w:val="21"/>
          <w:lang w:eastAsia="zh-CN"/>
          <w14:textFill>
            <w14:solidFill>
              <w14:schemeClr w14:val="tx1"/>
            </w14:solidFill>
          </w14:textFill>
        </w:rPr>
        <w:t>磋商</w:t>
      </w:r>
      <w:r>
        <w:rPr>
          <w:rFonts w:ascii="宋体" w:hAnsi="宋体" w:eastAsia="宋体" w:cs="宋体"/>
          <w:color w:val="000000" w:themeColor="text1"/>
          <w:sz w:val="21"/>
          <w:szCs w:val="21"/>
          <w14:textFill>
            <w14:solidFill>
              <w14:schemeClr w14:val="tx1"/>
            </w14:solidFill>
          </w14:textFill>
        </w:rPr>
        <w:t>供应商</w:t>
      </w:r>
      <w:r>
        <w:rPr>
          <w:rFonts w:ascii="宋体" w:hAnsi="宋体" w:eastAsia="宋体" w:cs="宋体"/>
          <w:color w:val="000000" w:themeColor="text1"/>
          <w:sz w:val="21"/>
          <w:szCs w:val="21"/>
          <w:lang w:eastAsia="zh-CN"/>
          <w14:textFill>
            <w14:solidFill>
              <w14:schemeClr w14:val="tx1"/>
            </w14:solidFill>
          </w14:textFill>
        </w:rPr>
        <w:t>应</w:t>
      </w:r>
      <w:r>
        <w:rPr>
          <w:rFonts w:ascii="宋体" w:hAnsi="宋体" w:eastAsia="宋体" w:cs="宋体"/>
          <w:color w:val="000000" w:themeColor="text1"/>
          <w:sz w:val="21"/>
          <w:szCs w:val="21"/>
          <w14:textFill>
            <w14:solidFill>
              <w14:schemeClr w14:val="tx1"/>
            </w14:solidFill>
          </w14:textFill>
        </w:rPr>
        <w:t>对项目中所有的内容必须完整响应，否则将视为无效</w:t>
      </w:r>
      <w:r>
        <w:rPr>
          <w:rFonts w:ascii="宋体" w:hAnsi="宋体" w:eastAsia="宋体" w:cs="宋体"/>
          <w:color w:val="000000" w:themeColor="text1"/>
          <w:sz w:val="21"/>
          <w:szCs w:val="21"/>
          <w:lang w:eastAsia="zh-CN"/>
          <w14:textFill>
            <w14:solidFill>
              <w14:schemeClr w14:val="tx1"/>
            </w14:solidFill>
          </w14:textFill>
        </w:rPr>
        <w:t>磋商</w:t>
      </w:r>
      <w:r>
        <w:rPr>
          <w:rFonts w:ascii="宋体" w:hAnsi="宋体" w:eastAsia="宋体" w:cs="宋体"/>
          <w:color w:val="000000" w:themeColor="text1"/>
          <w:sz w:val="21"/>
          <w:szCs w:val="21"/>
          <w14:textFill>
            <w14:solidFill>
              <w14:schemeClr w14:val="tx1"/>
            </w14:solidFill>
          </w14:textFill>
        </w:rPr>
        <w:t>。</w:t>
      </w:r>
    </w:p>
    <w:p w14:paraId="1CD8E770">
      <w:pPr>
        <w:pStyle w:val="93"/>
        <w:spacing w:line="360" w:lineRule="auto"/>
        <w:ind w:firstLine="420"/>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3.2本项目</w:t>
      </w:r>
      <w:r>
        <w:rPr>
          <w:rFonts w:ascii="宋体" w:hAnsi="宋体" w:eastAsia="宋体" w:cs="宋体"/>
          <w:color w:val="000000" w:themeColor="text1"/>
          <w:sz w:val="21"/>
          <w:szCs w:val="21"/>
          <w14:textFill>
            <w14:solidFill>
              <w14:schemeClr w14:val="tx1"/>
            </w14:solidFill>
          </w14:textFill>
        </w:rPr>
        <w:t>最高限价为156704元人民币（最高限价相关材料具体详见附件）</w:t>
      </w:r>
      <w:r>
        <w:rPr>
          <w:rFonts w:ascii="宋体" w:hAnsi="宋体" w:eastAsia="宋体" w:cs="宋体"/>
          <w:color w:val="000000" w:themeColor="text1"/>
          <w:sz w:val="21"/>
          <w:szCs w:val="21"/>
          <w14:textFill>
            <w14:solidFill>
              <w14:schemeClr w14:val="tx1"/>
            </w14:solidFill>
          </w14:textFill>
        </w:rPr>
        <w:t>，</w:t>
      </w:r>
      <w:r>
        <w:rPr>
          <w:rFonts w:ascii="宋体" w:hAnsi="宋体" w:eastAsia="宋体" w:cs="宋体"/>
          <w:color w:val="000000" w:themeColor="text1"/>
          <w:sz w:val="21"/>
          <w:szCs w:val="21"/>
          <w:lang w:eastAsia="zh-CN"/>
          <w14:textFill>
            <w14:solidFill>
              <w14:schemeClr w14:val="tx1"/>
            </w14:solidFill>
          </w14:textFill>
        </w:rPr>
        <w:t>磋商</w:t>
      </w:r>
      <w:r>
        <w:rPr>
          <w:rFonts w:ascii="宋体" w:hAnsi="宋体" w:eastAsia="宋体" w:cs="宋体"/>
          <w:color w:val="000000" w:themeColor="text1"/>
          <w:sz w:val="21"/>
          <w:szCs w:val="21"/>
          <w14:textFill>
            <w14:solidFill>
              <w14:schemeClr w14:val="tx1"/>
            </w14:solidFill>
          </w14:textFill>
        </w:rPr>
        <w:t>供应商报价超过最高限价者，按无效报价处理。</w:t>
      </w:r>
    </w:p>
    <w:p w14:paraId="0218EC2A">
      <w:pPr>
        <w:pStyle w:val="93"/>
        <w:spacing w:line="360" w:lineRule="auto"/>
        <w:ind w:firstLine="420"/>
        <w:jc w:val="both"/>
        <w:rPr>
          <w:rFonts w:hint="default"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首次报价</w:t>
      </w:r>
      <w:r>
        <w:rPr>
          <w:rFonts w:ascii="宋体" w:hAnsi="宋体" w:eastAsia="宋体" w:cs="宋体"/>
          <w:color w:val="000000" w:themeColor="text1"/>
          <w:sz w:val="21"/>
          <w:szCs w:val="21"/>
          <w:lang w:eastAsia="zh-CN"/>
          <w14:textFill>
            <w14:solidFill>
              <w14:schemeClr w14:val="tx1"/>
            </w14:solidFill>
          </w14:textFill>
        </w:rPr>
        <w:t>时，磋商</w:t>
      </w:r>
      <w:r>
        <w:rPr>
          <w:rFonts w:ascii="宋体" w:hAnsi="宋体" w:eastAsia="宋体" w:cs="宋体"/>
          <w:color w:val="000000" w:themeColor="text1"/>
          <w:sz w:val="21"/>
          <w:szCs w:val="21"/>
          <w14:textFill>
            <w14:solidFill>
              <w14:schemeClr w14:val="tx1"/>
            </w14:solidFill>
          </w14:textFill>
        </w:rPr>
        <w:t>供应商按《工程量清单》的格式做出详细完整的报价单价和合价，并汇总计算出报价总价</w:t>
      </w:r>
      <w:r>
        <w:rPr>
          <w:rFonts w:ascii="宋体" w:hAnsi="宋体" w:eastAsia="宋体" w:cs="宋体"/>
          <w:color w:val="000000" w:themeColor="text1"/>
          <w:sz w:val="21"/>
          <w:szCs w:val="21"/>
          <w:lang w:eastAsia="zh-CN"/>
          <w14:textFill>
            <w14:solidFill>
              <w14:schemeClr w14:val="tx1"/>
            </w14:solidFill>
          </w14:textFill>
        </w:rPr>
        <w:t>，该</w:t>
      </w:r>
      <w:r>
        <w:rPr>
          <w:rFonts w:ascii="宋体" w:hAnsi="宋体" w:eastAsia="宋体" w:cs="宋体"/>
          <w:color w:val="000000" w:themeColor="text1"/>
          <w:sz w:val="21"/>
          <w:szCs w:val="21"/>
          <w14:textFill>
            <w14:solidFill>
              <w14:schemeClr w14:val="tx1"/>
            </w14:solidFill>
          </w14:textFill>
        </w:rPr>
        <w:t>报价总价</w:t>
      </w:r>
      <w:r>
        <w:rPr>
          <w:rFonts w:ascii="宋体" w:hAnsi="宋体" w:eastAsia="宋体" w:cs="宋体"/>
          <w:color w:val="000000" w:themeColor="text1"/>
          <w:sz w:val="21"/>
          <w:szCs w:val="21"/>
          <w:lang w:eastAsia="zh-CN"/>
          <w14:textFill>
            <w14:solidFill>
              <w14:schemeClr w14:val="tx1"/>
            </w14:solidFill>
          </w14:textFill>
        </w:rPr>
        <w:t>须与首次报价部份一致。</w:t>
      </w:r>
    </w:p>
    <w:p w14:paraId="20712DB8">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各供应商在提交</w:t>
      </w:r>
      <w:r>
        <w:rPr>
          <w:rFonts w:ascii="宋体" w:hAnsi="宋体" w:eastAsia="宋体" w:cs="宋体"/>
          <w:color w:val="000000" w:themeColor="text1"/>
          <w:sz w:val="21"/>
          <w:szCs w:val="21"/>
          <w:lang w:eastAsia="zh-CN"/>
          <w14:textFill>
            <w14:solidFill>
              <w14:schemeClr w14:val="tx1"/>
            </w14:solidFill>
          </w14:textFill>
        </w:rPr>
        <w:t>最后</w:t>
      </w:r>
      <w:r>
        <w:rPr>
          <w:rFonts w:ascii="宋体" w:hAnsi="宋体" w:eastAsia="宋体" w:cs="宋体"/>
          <w:color w:val="000000" w:themeColor="text1"/>
          <w:sz w:val="21"/>
          <w:szCs w:val="21"/>
          <w14:textFill>
            <w14:solidFill>
              <w14:schemeClr w14:val="tx1"/>
            </w14:solidFill>
          </w14:textFill>
        </w:rPr>
        <w:t>报价时需提供本项目详细的分项</w:t>
      </w:r>
      <w:r>
        <w:rPr>
          <w:rFonts w:ascii="宋体" w:hAnsi="宋体" w:eastAsia="宋体" w:cs="宋体"/>
          <w:color w:val="000000" w:themeColor="text1"/>
          <w:sz w:val="21"/>
          <w14:textFill>
            <w14:solidFill>
              <w14:schemeClr w14:val="tx1"/>
            </w14:solidFill>
          </w14:textFill>
        </w:rPr>
        <w:t>报价(按《工程量清单》的格式)。</w:t>
      </w:r>
      <w:r>
        <w:rPr>
          <w:rFonts w:ascii="宋体" w:hAnsi="宋体" w:eastAsia="宋体" w:cs="宋体"/>
          <w:color w:val="000000" w:themeColor="text1"/>
          <w:sz w:val="21"/>
          <w:lang w:eastAsia="zh-CN"/>
          <w14:textFill>
            <w14:solidFill>
              <w14:schemeClr w14:val="tx1"/>
            </w14:solidFill>
          </w14:textFill>
        </w:rPr>
        <w:t>如果</w:t>
      </w:r>
      <w:r>
        <w:rPr>
          <w:rFonts w:ascii="宋体" w:hAnsi="宋体" w:eastAsia="宋体" w:cs="宋体"/>
          <w:color w:val="000000" w:themeColor="text1"/>
          <w:sz w:val="21"/>
          <w14:textFill>
            <w14:solidFill>
              <w14:schemeClr w14:val="tx1"/>
            </w14:solidFill>
          </w14:textFill>
        </w:rPr>
        <w:t>供应商</w:t>
      </w:r>
      <w:r>
        <w:rPr>
          <w:rFonts w:ascii="宋体" w:hAnsi="宋体" w:eastAsia="宋体" w:cs="宋体"/>
          <w:color w:val="000000" w:themeColor="text1"/>
          <w:sz w:val="21"/>
          <w:lang w:eastAsia="zh-CN"/>
          <w14:textFill>
            <w14:solidFill>
              <w14:schemeClr w14:val="tx1"/>
            </w14:solidFill>
          </w14:textFill>
        </w:rPr>
        <w:t>最后</w:t>
      </w:r>
      <w:r>
        <w:rPr>
          <w:rFonts w:ascii="宋体" w:hAnsi="宋体" w:eastAsia="宋体" w:cs="宋体"/>
          <w:color w:val="000000" w:themeColor="text1"/>
          <w:sz w:val="21"/>
          <w14:textFill>
            <w14:solidFill>
              <w14:schemeClr w14:val="tx1"/>
            </w14:solidFill>
          </w14:textFill>
        </w:rPr>
        <w:t>报价时</w:t>
      </w:r>
      <w:r>
        <w:rPr>
          <w:rFonts w:ascii="宋体" w:hAnsi="宋体" w:eastAsia="宋体" w:cs="宋体"/>
          <w:color w:val="000000" w:themeColor="text1"/>
          <w:sz w:val="21"/>
          <w:lang w:eastAsia="zh-CN"/>
          <w14:textFill>
            <w14:solidFill>
              <w14:schemeClr w14:val="tx1"/>
            </w14:solidFill>
          </w14:textFill>
        </w:rPr>
        <w:t>没有</w:t>
      </w:r>
      <w:r>
        <w:rPr>
          <w:rFonts w:ascii="宋体" w:hAnsi="宋体" w:eastAsia="宋体" w:cs="宋体"/>
          <w:color w:val="000000" w:themeColor="text1"/>
          <w:sz w:val="21"/>
          <w14:textFill>
            <w14:solidFill>
              <w14:schemeClr w14:val="tx1"/>
            </w14:solidFill>
          </w14:textFill>
        </w:rPr>
        <w:t>提供分项报价的，</w:t>
      </w:r>
      <w:r>
        <w:rPr>
          <w:rFonts w:ascii="宋体" w:hAnsi="宋体" w:eastAsia="宋体" w:cs="宋体"/>
          <w:color w:val="000000" w:themeColor="text1"/>
          <w:sz w:val="21"/>
          <w:lang w:eastAsia="zh-CN"/>
          <w14:textFill>
            <w14:solidFill>
              <w14:schemeClr w14:val="tx1"/>
            </w14:solidFill>
          </w14:textFill>
        </w:rPr>
        <w:t>则</w:t>
      </w:r>
      <w:r>
        <w:rPr>
          <w:rFonts w:ascii="宋体" w:hAnsi="宋体" w:eastAsia="宋体" w:cs="宋体"/>
          <w:color w:val="000000" w:themeColor="text1"/>
          <w:sz w:val="21"/>
          <w14:textFill>
            <w14:solidFill>
              <w14:schemeClr w14:val="tx1"/>
            </w14:solidFill>
          </w14:textFill>
        </w:rPr>
        <w:t>按该成交供应商首次报价总价与最后报价总价之间的下浮率来计算可竞争费用项目的单价</w:t>
      </w:r>
      <w:r>
        <w:rPr>
          <w:rFonts w:ascii="宋体" w:hAnsi="宋体" w:eastAsia="宋体" w:cs="宋体"/>
          <w:color w:val="000000" w:themeColor="text1"/>
          <w:sz w:val="21"/>
          <w:lang w:eastAsia="zh-CN"/>
          <w14:textFill>
            <w14:solidFill>
              <w14:schemeClr w14:val="tx1"/>
            </w14:solidFill>
          </w14:textFill>
        </w:rPr>
        <w:t>；</w:t>
      </w:r>
      <w:r>
        <w:rPr>
          <w:rFonts w:ascii="宋体" w:hAnsi="宋体" w:eastAsia="宋体" w:cs="宋体"/>
          <w:color w:val="000000" w:themeColor="text1"/>
          <w:sz w:val="21"/>
          <w14:textFill>
            <w14:solidFill>
              <w14:schemeClr w14:val="tx1"/>
            </w14:solidFill>
          </w14:textFill>
        </w:rPr>
        <w:t>成交供应商</w:t>
      </w:r>
      <w:r>
        <w:rPr>
          <w:rFonts w:ascii="宋体" w:hAnsi="宋体" w:eastAsia="宋体" w:cs="宋体"/>
          <w:color w:val="000000" w:themeColor="text1"/>
          <w:sz w:val="21"/>
          <w:lang w:eastAsia="zh-CN"/>
          <w14:textFill>
            <w14:solidFill>
              <w14:schemeClr w14:val="tx1"/>
            </w14:solidFill>
          </w14:textFill>
        </w:rPr>
        <w:t>须在签订合同前提供</w:t>
      </w:r>
      <w:r>
        <w:rPr>
          <w:rFonts w:ascii="宋体" w:hAnsi="宋体" w:eastAsia="宋体" w:cs="宋体"/>
          <w:color w:val="000000" w:themeColor="text1"/>
          <w:sz w:val="21"/>
          <w14:textFill>
            <w14:solidFill>
              <w14:schemeClr w14:val="tx1"/>
            </w14:solidFill>
          </w14:textFill>
        </w:rPr>
        <w:t>按《工程量清单》的格式做出详细完整的报价单价和合价，并汇总计算出报价总价</w:t>
      </w:r>
      <w:r>
        <w:rPr>
          <w:rFonts w:ascii="宋体" w:hAnsi="宋体" w:eastAsia="宋体" w:cs="宋体"/>
          <w:color w:val="000000" w:themeColor="text1"/>
          <w:sz w:val="21"/>
          <w:lang w:eastAsia="zh-CN"/>
          <w14:textFill>
            <w14:solidFill>
              <w14:schemeClr w14:val="tx1"/>
            </w14:solidFill>
          </w14:textFill>
        </w:rPr>
        <w:t>，该</w:t>
      </w:r>
      <w:r>
        <w:rPr>
          <w:rFonts w:ascii="宋体" w:hAnsi="宋体" w:eastAsia="宋体" w:cs="宋体"/>
          <w:color w:val="000000" w:themeColor="text1"/>
          <w:sz w:val="21"/>
          <w14:textFill>
            <w14:solidFill>
              <w14:schemeClr w14:val="tx1"/>
            </w14:solidFill>
          </w14:textFill>
        </w:rPr>
        <w:t>报价总价</w:t>
      </w:r>
      <w:r>
        <w:rPr>
          <w:rFonts w:ascii="宋体" w:hAnsi="宋体" w:eastAsia="宋体" w:cs="宋体"/>
          <w:color w:val="000000" w:themeColor="text1"/>
          <w:sz w:val="21"/>
          <w:lang w:eastAsia="zh-CN"/>
          <w14:textFill>
            <w14:solidFill>
              <w14:schemeClr w14:val="tx1"/>
            </w14:solidFill>
          </w14:textFill>
        </w:rPr>
        <w:t>须与最后报价一致。</w:t>
      </w:r>
    </w:p>
    <w:p w14:paraId="1ED89F52">
      <w:pPr>
        <w:pStyle w:val="93"/>
        <w:spacing w:after="120"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3.3磋商报价以人民币为货币单位，报价金额均四舍五入精确到元。</w:t>
      </w:r>
    </w:p>
    <w:p w14:paraId="69228EC3">
      <w:pPr>
        <w:pStyle w:val="93"/>
        <w:spacing w:after="120"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3.4采购人不组织现场踏勘，磋商供应商应自行踏勘，磋商供应商应根据本采购文件的工程说明和相关资料充分了解工地位置、情况、道路、储存空间、场地限制及任何其他影响承包价的情况，在磋商前应充分预测和判断合同期间内可能发生的各种风险情况。</w:t>
      </w:r>
    </w:p>
    <w:p w14:paraId="3ECCB1DE">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3.5磋商报价为完成工程项目施工并经验收合格交付使用过程中所有可能发生的一切费用，包含但不限于工程主辅材料费、机械设备费用、人工费、施工现场保护、施工现场附属物搬动费用、检验校核、税金、验收费用、保修服务、可能少报漏报的细目及磋商文件的特别规定等一切费用。上述费用供应商应纳入磋商总报价，否则将视为供应商已经知悉并免费提供。</w:t>
      </w:r>
    </w:p>
    <w:p w14:paraId="39EC6CDB">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3.6本工程实行</w:t>
      </w:r>
      <w:r>
        <w:rPr>
          <w:rFonts w:ascii="宋体" w:hAnsi="宋体" w:eastAsia="宋体" w:cs="宋体"/>
          <w:color w:val="000000" w:themeColor="text1"/>
          <w:sz w:val="21"/>
          <w14:textFill>
            <w14:solidFill>
              <w14:schemeClr w14:val="tx1"/>
            </w14:solidFill>
          </w14:textFill>
        </w:rPr>
        <w:t>固定单价合同承包方式</w:t>
      </w:r>
      <w:r>
        <w:rPr>
          <w:rFonts w:ascii="宋体" w:hAnsi="宋体" w:eastAsia="宋体" w:cs="宋体"/>
          <w:color w:val="000000" w:themeColor="text1"/>
          <w:sz w:val="21"/>
          <w14:textFill>
            <w14:solidFill>
              <w14:schemeClr w14:val="tx1"/>
            </w14:solidFill>
          </w14:textFill>
        </w:rPr>
        <w:t>，</w:t>
      </w:r>
      <w:r>
        <w:rPr>
          <w:rFonts w:ascii="宋体" w:hAnsi="宋体" w:eastAsia="宋体" w:cs="宋体"/>
          <w:color w:val="000000" w:themeColor="text1"/>
          <w:sz w:val="21"/>
          <w14:textFill>
            <w14:solidFill>
              <w14:schemeClr w14:val="tx1"/>
            </w14:solidFill>
          </w14:textFill>
        </w:rPr>
        <w:t>按实际完成的工程量进行结算</w:t>
      </w:r>
      <w:r>
        <w:rPr>
          <w:rFonts w:ascii="宋体" w:hAnsi="宋体" w:eastAsia="宋体" w:cs="宋体"/>
          <w:color w:val="000000" w:themeColor="text1"/>
          <w:sz w:val="21"/>
          <w14:textFill>
            <w14:solidFill>
              <w14:schemeClr w14:val="tx1"/>
            </w14:solidFill>
          </w14:textFill>
        </w:rPr>
        <w:t>。</w:t>
      </w:r>
    </w:p>
    <w:p w14:paraId="5FB2D21C">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3.7本工程实行风险包干制，单价不做调整，供应商报价至少须考虑并承担下列风险：①因市场变化、政策性调整导致人工、机械和材料价格变化的；②因天气、地形、地质等自然条件的变化，采取的临时措施。</w:t>
      </w:r>
    </w:p>
    <w:p w14:paraId="22ED82B4">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3.8本项目凡出现风险包干范围内的内容时单价不予调整，但出现非供应商原因造成的设计变更或现场签证，且变更程序和签证手续符合相关规定的，经相关部门确认后可相应调整。另外，采购人有权根据实际情况增加或减少施工量，采购人提出变更的子项按相应单价和实际施工量进行结算。</w:t>
      </w:r>
    </w:p>
    <w:p w14:paraId="759D8D95">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3.9变更估价原则</w:t>
      </w:r>
    </w:p>
    <w:p w14:paraId="0FC36287">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3.9.1增减工程量的单价确定</w:t>
      </w:r>
    </w:p>
    <w:p w14:paraId="3181A30A">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（1）在实物工程量清单之内的项目，按最高限价预算书综合单价乘以（1-下浮系数K1值）计算（备注：下浮系数K1值=1-供应商最终总报价/最高限价)；</w:t>
      </w:r>
    </w:p>
    <w:p w14:paraId="59862268">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2）不在工程量清单之内的项目，按照省、市造价主管部门颁布的施工期间的定额、费用标准、价格信息及下浮系数K1值计算。若定额缺项的，由成交供应商（中标人）提出适当的单价，经采购人会同监理工程师询价确定，决算价最终以审计审核为准。</w:t>
      </w:r>
    </w:p>
    <w:p w14:paraId="3E805275">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3.9.2材料变更时价格确定</w:t>
      </w:r>
    </w:p>
    <w:p w14:paraId="3F195970">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（1）工程招标最高限价材料价格明细表已有的材料，根据工程招标最高限价价格明细表所列的材料单价乘以（1-下浮系数K1值）计算；</w:t>
      </w:r>
    </w:p>
    <w:p w14:paraId="43C56C74">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（2）工程招标最高限价材料价格明细表中没有的材料，按照《泉州工程造价管理》施工期间公布的材料单价乘以（1-下浮系数K1值）计算；</w:t>
      </w:r>
    </w:p>
    <w:p w14:paraId="1155F5F5">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（3）《泉州工程造价管理》没有公布的材料，由中标人提出适当的价格，采购人会同监理工程师询价确定，以决算价为准。</w:t>
      </w:r>
    </w:p>
    <w:p w14:paraId="40C645CD">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对中标后的材料（设备）在施工中进行更换品牌种类的，只能计算材料（设备）单价增减价差部分和税金，不能计算其他一切费用。</w:t>
      </w:r>
    </w:p>
    <w:p w14:paraId="3E67394B">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3.10、本项目建筑垃圾外运均采用人工搬运，所发生的费用已包含在合同价款中，成交供应商在报价时须考虑此费用，采购人不再另行支付，成交供应商应自行承担。</w:t>
      </w:r>
    </w:p>
    <w:p w14:paraId="460FBF0C">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4、工程维保服务要求</w:t>
      </w:r>
    </w:p>
    <w:p w14:paraId="534A46D5">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4.1供应商应在响应文件中提供详细具体的工程维保服务承诺条款及保证。</w:t>
      </w:r>
    </w:p>
    <w:p w14:paraId="6B024092">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4.2本工程缺陷责任期(工程质量保修期)计算如下：工程通过合同工程完工验收移交后2年。从工程竣工验收合格并交付使用之日开始计算。</w:t>
      </w:r>
    </w:p>
    <w:p w14:paraId="493628FD">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4.3免费保修期内，除不可抗力外，所有施工项目任何维护或维修费用均由成交供应商承担。非人为原因而出现的任何问题，在接到采购人通知后2小时响应并及时到场处理；由成交供应商负责包修、包换，并承担修理、调换产生的相关费用。若成交供应商不及时履行保修义务，采购人有权自行邀请有资质专业机构进行维修，维修费用从履约保证金中支付，履约保证金不足支付维修费用的，采购有权向成交供应商进行索赔。</w:t>
      </w:r>
    </w:p>
    <w:p w14:paraId="26E8C793">
      <w:pPr>
        <w:pStyle w:val="93"/>
        <w:spacing w:line="360" w:lineRule="auto"/>
        <w:ind w:firstLine="420"/>
        <w:jc w:val="both"/>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5、违约责任</w:t>
      </w:r>
    </w:p>
    <w:p w14:paraId="75F4BB0E">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5.1</w:t>
      </w:r>
      <w:r>
        <w:rPr>
          <w:rFonts w:ascii="宋体" w:hAnsi="宋体" w:eastAsia="宋体" w:cs="宋体"/>
          <w:color w:val="000000" w:themeColor="text1"/>
          <w:sz w:val="21"/>
          <w:shd w:val="clear" w:color="auto" w:fill="FFFFFF"/>
          <w14:textFill>
            <w14:solidFill>
              <w14:schemeClr w14:val="tx1"/>
            </w14:solidFill>
          </w14:textFill>
        </w:rPr>
        <w:t>因成交供应商原因造成采购合同无法按时签订的，视为成交供应商违约，</w:t>
      </w:r>
      <w:r>
        <w:rPr>
          <w:rFonts w:ascii="宋体" w:hAnsi="宋体" w:eastAsia="宋体" w:cs="宋体"/>
          <w:color w:val="000000" w:themeColor="text1"/>
          <w:sz w:val="21"/>
          <w:shd w:val="clear" w:color="auto" w:fill="FFFFFF"/>
          <w14:textFill>
            <w14:solidFill>
              <w14:schemeClr w14:val="tx1"/>
            </w14:solidFill>
          </w14:textFill>
        </w:rPr>
        <w:t>违约金为合同总额的15%</w:t>
      </w:r>
      <w:r>
        <w:rPr>
          <w:rFonts w:ascii="宋体" w:hAnsi="宋体" w:eastAsia="宋体" w:cs="宋体"/>
          <w:color w:val="000000" w:themeColor="text1"/>
          <w:sz w:val="21"/>
          <w:shd w:val="clear" w:color="auto" w:fill="FFFFFF"/>
          <w:lang w:eastAsia="zh-CN"/>
          <w14:textFill>
            <w14:solidFill>
              <w14:schemeClr w14:val="tx1"/>
            </w14:solidFill>
          </w14:textFill>
        </w:rPr>
        <w:t>。</w:t>
      </w:r>
      <w:r>
        <w:rPr>
          <w:rFonts w:ascii="宋体" w:hAnsi="宋体" w:eastAsia="宋体" w:cs="宋体"/>
          <w:color w:val="000000" w:themeColor="text1"/>
          <w:sz w:val="21"/>
          <w:shd w:val="clear" w:color="auto" w:fill="FFFFFF"/>
          <w14:textFill>
            <w14:solidFill>
              <w14:schemeClr w14:val="tx1"/>
            </w14:solidFill>
          </w14:textFill>
        </w:rPr>
        <w:t>对采购人造成的损失的，成交供应商还需另行支付相应的赔偿。</w:t>
      </w:r>
    </w:p>
    <w:p w14:paraId="2259C4B5">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5.2</w:t>
      </w:r>
      <w:r>
        <w:rPr>
          <w:rFonts w:ascii="宋体" w:hAnsi="宋体" w:eastAsia="宋体" w:cs="宋体"/>
          <w:color w:val="000000" w:themeColor="text1"/>
          <w:sz w:val="21"/>
          <w:shd w:val="clear" w:color="auto" w:fill="FFFFFF"/>
          <w14:textFill>
            <w14:solidFill>
              <w14:schemeClr w14:val="tx1"/>
            </w14:solidFill>
          </w14:textFill>
        </w:rPr>
        <w:t>在签订采购合同之后，有下列情形之一的，将视为成交供应商违约，采购人有权提出追索和索赔：</w:t>
      </w:r>
    </w:p>
    <w:p w14:paraId="4A329F65">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5.2.1</w:t>
      </w:r>
      <w:r>
        <w:rPr>
          <w:rFonts w:ascii="宋体" w:hAnsi="宋体" w:eastAsia="宋体" w:cs="宋体"/>
          <w:color w:val="000000" w:themeColor="text1"/>
          <w:sz w:val="21"/>
          <w:shd w:val="clear" w:color="auto" w:fill="FFFFFF"/>
          <w14:textFill>
            <w14:solidFill>
              <w14:schemeClr w14:val="tx1"/>
            </w14:solidFill>
          </w14:textFill>
        </w:rPr>
        <w:t>签订合同后，成交供应商未按合同规定交付的；成交供应商对采购标的逾期交付的，每逾期一天，按2000元/天偿付违约金；逾期超过15个日历天（含15个日历天），采购人有权单方面解除合同，同时成交供应商向采购人支付合同总额的15%作为违约金；已完成的工程量不予支付合同款项。</w:t>
      </w:r>
    </w:p>
    <w:p w14:paraId="5A3A367E">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5.</w:t>
      </w:r>
      <w:r>
        <w:rPr>
          <w:rFonts w:ascii="宋体" w:hAnsi="宋体" w:eastAsia="宋体" w:cs="宋体"/>
          <w:color w:val="000000" w:themeColor="text1"/>
          <w:sz w:val="21"/>
          <w:shd w:val="clear" w:color="auto" w:fill="FFFFFF"/>
          <w14:textFill>
            <w14:solidFill>
              <w14:schemeClr w14:val="tx1"/>
            </w14:solidFill>
          </w14:textFill>
        </w:rPr>
        <w:t>2.2成交供应商未能按合同规定履行其义务的；在签订采购合同之后，成交供应商</w:t>
      </w:r>
      <w:r>
        <w:rPr>
          <w:rFonts w:ascii="宋体" w:hAnsi="宋体" w:eastAsia="宋体" w:cs="宋体"/>
          <w:color w:val="000000" w:themeColor="text1"/>
          <w:sz w:val="21"/>
          <w:shd w:val="clear" w:color="auto" w:fill="FFFFFF"/>
          <w:lang w:eastAsia="zh-CN"/>
          <w14:textFill>
            <w14:solidFill>
              <w14:schemeClr w14:val="tx1"/>
            </w14:solidFill>
          </w14:textFill>
        </w:rPr>
        <w:t>无正当理由</w:t>
      </w:r>
      <w:r>
        <w:rPr>
          <w:rFonts w:ascii="宋体" w:hAnsi="宋体" w:eastAsia="宋体" w:cs="宋体"/>
          <w:color w:val="000000" w:themeColor="text1"/>
          <w:sz w:val="21"/>
          <w:shd w:val="clear" w:color="auto" w:fill="FFFFFF"/>
          <w14:textFill>
            <w14:solidFill>
              <w14:schemeClr w14:val="tx1"/>
            </w14:solidFill>
          </w14:textFill>
        </w:rPr>
        <w:t>要求解除合同的，视为成交供应商违约，违约金为合同总额的15%</w:t>
      </w:r>
      <w:r>
        <w:rPr>
          <w:rFonts w:ascii="宋体" w:hAnsi="宋体" w:eastAsia="宋体" w:cs="宋体"/>
          <w:color w:val="000000" w:themeColor="text1"/>
          <w:sz w:val="21"/>
          <w:shd w:val="clear" w:color="auto" w:fill="FFFFFF"/>
          <w:lang w:eastAsia="zh-CN"/>
          <w14:textFill>
            <w14:solidFill>
              <w14:schemeClr w14:val="tx1"/>
            </w14:solidFill>
          </w14:textFill>
        </w:rPr>
        <w:t>。</w:t>
      </w:r>
      <w:r>
        <w:rPr>
          <w:rFonts w:ascii="宋体" w:hAnsi="宋体" w:eastAsia="宋体" w:cs="宋体"/>
          <w:color w:val="000000" w:themeColor="text1"/>
          <w:sz w:val="21"/>
          <w:shd w:val="clear" w:color="auto" w:fill="FFFFFF"/>
          <w14:textFill>
            <w14:solidFill>
              <w14:schemeClr w14:val="tx1"/>
            </w14:solidFill>
          </w14:textFill>
        </w:rPr>
        <w:t>成交供应商还需另行支付相应的赔偿。</w:t>
      </w:r>
    </w:p>
    <w:p w14:paraId="57504A3F">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5.</w:t>
      </w:r>
      <w:r>
        <w:rPr>
          <w:rFonts w:ascii="宋体" w:hAnsi="宋体" w:eastAsia="宋体" w:cs="宋体"/>
          <w:color w:val="000000" w:themeColor="text1"/>
          <w:sz w:val="21"/>
          <w:shd w:val="clear" w:color="auto" w:fill="FFFFFF"/>
          <w14:textFill>
            <w14:solidFill>
              <w14:schemeClr w14:val="tx1"/>
            </w14:solidFill>
          </w14:textFill>
        </w:rPr>
        <w:t>2.3本合同所有内容，都必须由成交供应商或在响应文件中明确的单位承担，不得以任何名义和理由进行分包或转包。如有发现，视为成交供应商违约，违约金为合同总额的15%</w:t>
      </w:r>
      <w:r>
        <w:rPr>
          <w:rFonts w:ascii="宋体" w:hAnsi="宋体" w:eastAsia="宋体" w:cs="宋体"/>
          <w:color w:val="000000" w:themeColor="text1"/>
          <w:sz w:val="21"/>
          <w:shd w:val="clear" w:color="auto" w:fill="FFFFFF"/>
          <w:lang w:eastAsia="zh-CN"/>
          <w14:textFill>
            <w14:solidFill>
              <w14:schemeClr w14:val="tx1"/>
            </w14:solidFill>
          </w14:textFill>
        </w:rPr>
        <w:t>。</w:t>
      </w:r>
      <w:r>
        <w:rPr>
          <w:rFonts w:ascii="宋体" w:hAnsi="宋体" w:eastAsia="宋体" w:cs="宋体"/>
          <w:color w:val="000000" w:themeColor="text1"/>
          <w:sz w:val="21"/>
          <w:shd w:val="clear" w:color="auto" w:fill="FFFFFF"/>
          <w14:textFill>
            <w14:solidFill>
              <w14:schemeClr w14:val="tx1"/>
            </w14:solidFill>
          </w14:textFill>
        </w:rPr>
        <w:t>采购人有权单方终止合同，对采购人造成损失的，需另行支付相应的赔偿。</w:t>
      </w:r>
    </w:p>
    <w:p w14:paraId="3AF93EED">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5.</w:t>
      </w:r>
      <w:r>
        <w:rPr>
          <w:rFonts w:ascii="宋体" w:hAnsi="宋体" w:eastAsia="宋体" w:cs="宋体"/>
          <w:color w:val="000000" w:themeColor="text1"/>
          <w:sz w:val="21"/>
          <w:shd w:val="clear" w:color="auto" w:fill="FFFFFF"/>
          <w14:textFill>
            <w14:solidFill>
              <w14:schemeClr w14:val="tx1"/>
            </w14:solidFill>
          </w14:textFill>
        </w:rPr>
        <w:t>3成交供应商履行义务不符合合同约定时，采购人有权向成交供应商进行索赔。</w:t>
      </w:r>
    </w:p>
    <w:p w14:paraId="1748F4A5">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5.</w:t>
      </w:r>
      <w:r>
        <w:rPr>
          <w:rFonts w:ascii="宋体" w:hAnsi="宋体" w:eastAsia="宋体" w:cs="宋体"/>
          <w:color w:val="000000" w:themeColor="text1"/>
          <w:sz w:val="21"/>
          <w:shd w:val="clear" w:color="auto" w:fill="FFFFFF"/>
          <w14:textFill>
            <w14:solidFill>
              <w14:schemeClr w14:val="tx1"/>
            </w14:solidFill>
          </w14:textFill>
        </w:rPr>
        <w:t>4因成交供应商原因发生重大质量事故，已完成的工程量不予支付合同款项；并向采购人支付合同总金额15%</w:t>
      </w:r>
      <w:r>
        <w:rPr>
          <w:rFonts w:ascii="宋体" w:hAnsi="宋体" w:eastAsia="宋体" w:cs="宋体"/>
          <w:color w:val="000000" w:themeColor="text1"/>
          <w:sz w:val="21"/>
          <w:shd w:val="clear" w:color="auto" w:fill="FFFFFF"/>
          <w:lang w:eastAsia="zh-CN"/>
          <w14:textFill>
            <w14:solidFill>
              <w14:schemeClr w14:val="tx1"/>
            </w14:solidFill>
          </w14:textFill>
        </w:rPr>
        <w:t>的违约</w:t>
      </w:r>
      <w:r>
        <w:rPr>
          <w:rFonts w:ascii="宋体" w:hAnsi="宋体" w:eastAsia="宋体" w:cs="宋体"/>
          <w:color w:val="000000" w:themeColor="text1"/>
          <w:sz w:val="21"/>
          <w:shd w:val="clear" w:color="auto" w:fill="FFFFFF"/>
          <w14:textFill>
            <w14:solidFill>
              <w14:schemeClr w14:val="tx1"/>
            </w14:solidFill>
          </w14:textFill>
        </w:rPr>
        <w:t>金，还将按有关质量管理办法规定执行。同时采购人有权保留更换成交供应商的权利，并报相关行政主管部门处罚。</w:t>
      </w:r>
    </w:p>
    <w:p w14:paraId="45979309">
      <w:pPr>
        <w:pStyle w:val="93"/>
        <w:spacing w:line="360" w:lineRule="auto"/>
        <w:ind w:firstLine="420"/>
        <w:rPr>
          <w:rFonts w:hint="default"/>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5.</w:t>
      </w:r>
      <w:r>
        <w:rPr>
          <w:rFonts w:ascii="宋体" w:hAnsi="宋体" w:eastAsia="宋体" w:cs="宋体"/>
          <w:color w:val="000000" w:themeColor="text1"/>
          <w:sz w:val="21"/>
          <w:shd w:val="clear" w:color="auto" w:fill="FFFFFF"/>
          <w14:textFill>
            <w14:solidFill>
              <w14:schemeClr w14:val="tx1"/>
            </w14:solidFill>
          </w14:textFill>
        </w:rPr>
        <w:t>5成交供应商应做好安全施工，施工中发生的一切安全事故由成交供应商承担全部责任，采购人不承担任何责任；出现安全隐患成交供应商应及时排除。若发生死亡安全事故，除按国家有关安全管理规定及采购人有关安全管理办法执行外，并报相关行政主管部门处罚；发生重大安全事故或特大安全事故，除按国家有关安全管理规定及采购人有关安全管理办法执行外，采购人有权终止合同，给采购人造成的损失，还应承担赔偿责任。</w:t>
      </w:r>
    </w:p>
    <w:p w14:paraId="084B651A">
      <w:pPr>
        <w:rPr>
          <w:color w:val="000000" w:themeColor="text1"/>
          <w14:textFill>
            <w14:solidFill>
              <w14:schemeClr w14:val="tx1"/>
            </w14:solidFill>
          </w14:textFill>
        </w:rPr>
      </w:pPr>
    </w:p>
    <w:p w14:paraId="5017D3BB">
      <w:pPr>
        <w:pStyle w:val="20"/>
        <w:rPr>
          <w:color w:val="000000" w:themeColor="text1"/>
          <w14:textFill>
            <w14:solidFill>
              <w14:schemeClr w14:val="tx1"/>
            </w14:solidFill>
          </w14:textFill>
        </w:rPr>
      </w:pPr>
    </w:p>
    <w:p w14:paraId="40941D6D">
      <w:pPr>
        <w:pStyle w:val="20"/>
        <w:rPr>
          <w:color w:val="000000" w:themeColor="text1"/>
          <w14:textFill>
            <w14:solidFill>
              <w14:schemeClr w14:val="tx1"/>
            </w14:solidFill>
          </w14:textFill>
        </w:rPr>
      </w:pPr>
    </w:p>
    <w:p w14:paraId="7A01AA01">
      <w:pPr>
        <w:pStyle w:val="20"/>
        <w:rPr>
          <w:color w:val="000000" w:themeColor="text1"/>
          <w14:textFill>
            <w14:solidFill>
              <w14:schemeClr w14:val="tx1"/>
            </w14:solidFill>
          </w14:textFill>
        </w:rPr>
      </w:pPr>
    </w:p>
    <w:p w14:paraId="11EA01CF">
      <w:pPr>
        <w:pStyle w:val="20"/>
        <w:rPr>
          <w:color w:val="000000" w:themeColor="text1"/>
          <w14:textFill>
            <w14:solidFill>
              <w14:schemeClr w14:val="tx1"/>
            </w14:solidFill>
          </w14:textFill>
        </w:rPr>
      </w:pPr>
    </w:p>
    <w:p w14:paraId="2DDFECF7">
      <w:pPr>
        <w:pStyle w:val="20"/>
        <w:rPr>
          <w:color w:val="000000" w:themeColor="text1"/>
          <w14:textFill>
            <w14:solidFill>
              <w14:schemeClr w14:val="tx1"/>
            </w14:solidFill>
          </w14:textFill>
        </w:rPr>
      </w:pPr>
    </w:p>
    <w:p w14:paraId="007850A2">
      <w:pPr>
        <w:pStyle w:val="20"/>
        <w:rPr>
          <w:color w:val="000000" w:themeColor="text1"/>
          <w14:textFill>
            <w14:solidFill>
              <w14:schemeClr w14:val="tx1"/>
            </w14:solidFill>
          </w14:textFill>
        </w:rPr>
      </w:pPr>
    </w:p>
    <w:p w14:paraId="250E7286">
      <w:pPr>
        <w:pStyle w:val="20"/>
        <w:rPr>
          <w:color w:val="000000" w:themeColor="text1"/>
          <w14:textFill>
            <w14:solidFill>
              <w14:schemeClr w14:val="tx1"/>
            </w14:solidFill>
          </w14:textFill>
        </w:rPr>
      </w:pPr>
    </w:p>
    <w:p w14:paraId="19A18AB6">
      <w:pPr>
        <w:pStyle w:val="20"/>
        <w:rPr>
          <w:color w:val="000000" w:themeColor="text1"/>
          <w14:textFill>
            <w14:solidFill>
              <w14:schemeClr w14:val="tx1"/>
            </w14:solidFill>
          </w14:textFill>
        </w:rPr>
      </w:pPr>
    </w:p>
    <w:p w14:paraId="7F112D7D">
      <w:pPr>
        <w:pStyle w:val="20"/>
        <w:rPr>
          <w:color w:val="000000" w:themeColor="text1"/>
          <w14:textFill>
            <w14:solidFill>
              <w14:schemeClr w14:val="tx1"/>
            </w14:solidFill>
          </w14:textFill>
        </w:rPr>
      </w:pPr>
    </w:p>
    <w:p w14:paraId="1F4DDC89">
      <w:pPr>
        <w:pStyle w:val="20"/>
        <w:rPr>
          <w:color w:val="000000" w:themeColor="text1"/>
          <w14:textFill>
            <w14:solidFill>
              <w14:schemeClr w14:val="tx1"/>
            </w14:solidFill>
          </w14:textFill>
        </w:rPr>
      </w:pPr>
    </w:p>
    <w:p w14:paraId="5AD547B5">
      <w:pPr>
        <w:pStyle w:val="20"/>
        <w:rPr>
          <w:color w:val="000000" w:themeColor="text1"/>
          <w14:textFill>
            <w14:solidFill>
              <w14:schemeClr w14:val="tx1"/>
            </w14:solidFill>
          </w14:textFill>
        </w:rPr>
      </w:pPr>
    </w:p>
    <w:p w14:paraId="3E3A89D8">
      <w:pPr>
        <w:pStyle w:val="20"/>
        <w:rPr>
          <w:color w:val="000000" w:themeColor="text1"/>
          <w14:textFill>
            <w14:solidFill>
              <w14:schemeClr w14:val="tx1"/>
            </w14:solidFill>
          </w14:textFill>
        </w:rPr>
      </w:pPr>
    </w:p>
    <w:p w14:paraId="2AA28CBF">
      <w:pPr>
        <w:pStyle w:val="20"/>
        <w:rPr>
          <w:color w:val="000000" w:themeColor="text1"/>
          <w14:textFill>
            <w14:solidFill>
              <w14:schemeClr w14:val="tx1"/>
            </w14:solidFill>
          </w14:textFill>
        </w:rPr>
      </w:pPr>
    </w:p>
    <w:bookmarkEnd w:id="153"/>
    <w:p w14:paraId="19AA5FE7">
      <w:pPr>
        <w:pStyle w:val="3"/>
        <w:spacing w:before="120" w:after="120" w:line="400" w:lineRule="exact"/>
        <w:jc w:val="center"/>
        <w:rPr>
          <w:rFonts w:ascii="宋体" w:hAnsi="宋体" w:eastAsia="宋体"/>
          <w:color w:val="000000" w:themeColor="text1"/>
          <w:szCs w:val="32"/>
          <w14:textFill>
            <w14:solidFill>
              <w14:schemeClr w14:val="tx1"/>
            </w14:solidFill>
          </w14:textFill>
        </w:rPr>
      </w:pPr>
      <w:bookmarkStart w:id="155" w:name="_Toc137563036"/>
      <w:bookmarkStart w:id="156" w:name="_Toc75338344"/>
      <w:bookmarkStart w:id="157" w:name="_Hlk75965690"/>
      <w:r>
        <w:rPr>
          <w:rFonts w:hint="eastAsia" w:ascii="宋体" w:hAnsi="宋体" w:eastAsia="宋体"/>
          <w:color w:val="000000" w:themeColor="text1"/>
          <w:szCs w:val="32"/>
          <w14:textFill>
            <w14:solidFill>
              <w14:schemeClr w14:val="tx1"/>
            </w14:solidFill>
          </w14:textFill>
        </w:rPr>
        <w:t>第四部分    磋商响应文件格式</w:t>
      </w:r>
      <w:bookmarkEnd w:id="155"/>
      <w:bookmarkEnd w:id="156"/>
    </w:p>
    <w:p w14:paraId="16D1F7C0">
      <w:pPr>
        <w:spacing w:line="360" w:lineRule="auto"/>
        <w:jc w:val="center"/>
        <w:rPr>
          <w:rFonts w:ascii="宋体" w:hAnsi="宋体"/>
          <w:b/>
          <w:color w:val="000000" w:themeColor="text1"/>
          <w:sz w:val="72"/>
          <w14:textFill>
            <w14:solidFill>
              <w14:schemeClr w14:val="tx1"/>
            </w14:solidFill>
          </w14:textFill>
        </w:rPr>
      </w:pPr>
    </w:p>
    <w:p w14:paraId="2F4E74B9">
      <w:pPr>
        <w:spacing w:line="360" w:lineRule="auto"/>
        <w:jc w:val="center"/>
        <w:rPr>
          <w:rFonts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磋商响应文件</w:t>
      </w:r>
    </w:p>
    <w:p w14:paraId="1D6B0788">
      <w:pPr>
        <w:spacing w:line="360" w:lineRule="auto"/>
        <w:jc w:val="center"/>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（报价部分）</w:t>
      </w:r>
    </w:p>
    <w:p w14:paraId="379F0812">
      <w:pPr>
        <w:spacing w:line="360" w:lineRule="auto"/>
        <w:jc w:val="center"/>
        <w:rPr>
          <w:rFonts w:ascii="宋体" w:hAnsi="宋体"/>
          <w:b/>
          <w:color w:val="000000" w:themeColor="text1"/>
          <w:sz w:val="36"/>
          <w14:textFill>
            <w14:solidFill>
              <w14:schemeClr w14:val="tx1"/>
            </w14:solidFill>
          </w14:textFill>
        </w:rPr>
      </w:pPr>
    </w:p>
    <w:p w14:paraId="60EFEF48">
      <w:pPr>
        <w:spacing w:line="360" w:lineRule="auto"/>
        <w:jc w:val="center"/>
        <w:rPr>
          <w:rFonts w:ascii="宋体" w:hAnsi="宋体"/>
          <w:b/>
          <w:color w:val="000000" w:themeColor="text1"/>
          <w:sz w:val="36"/>
          <w14:textFill>
            <w14:solidFill>
              <w14:schemeClr w14:val="tx1"/>
            </w14:solidFill>
          </w14:textFill>
        </w:rPr>
      </w:pPr>
    </w:p>
    <w:p w14:paraId="7911C716">
      <w:pPr>
        <w:spacing w:line="360" w:lineRule="auto"/>
        <w:jc w:val="center"/>
        <w:rPr>
          <w:rFonts w:ascii="宋体" w:hAnsi="宋体"/>
          <w:b/>
          <w:color w:val="000000" w:themeColor="text1"/>
          <w:sz w:val="36"/>
          <w14:textFill>
            <w14:solidFill>
              <w14:schemeClr w14:val="tx1"/>
            </w14:solidFill>
          </w14:textFill>
        </w:rPr>
      </w:pPr>
    </w:p>
    <w:p w14:paraId="26C5A8A2">
      <w:pPr>
        <w:spacing w:line="360" w:lineRule="auto"/>
        <w:jc w:val="center"/>
        <w:rPr>
          <w:rFonts w:ascii="宋体" w:hAnsi="宋体"/>
          <w:b/>
          <w:color w:val="000000" w:themeColor="text1"/>
          <w:sz w:val="36"/>
          <w14:textFill>
            <w14:solidFill>
              <w14:schemeClr w14:val="tx1"/>
            </w14:solidFill>
          </w14:textFill>
        </w:rPr>
      </w:pPr>
    </w:p>
    <w:p w14:paraId="28AA1609">
      <w:pPr>
        <w:spacing w:line="360" w:lineRule="auto"/>
        <w:ind w:firstLine="1619" w:firstLineChars="448"/>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项 目 名 称：</w:t>
      </w:r>
    </w:p>
    <w:p w14:paraId="7DE0F707">
      <w:pPr>
        <w:spacing w:line="360" w:lineRule="auto"/>
        <w:ind w:firstLine="1619" w:firstLineChars="448"/>
        <w:rPr>
          <w:rFonts w:ascii="宋体" w:hAnsi="宋体"/>
          <w:b/>
          <w:bCs/>
          <w:color w:val="000000" w:themeColor="text1"/>
          <w:sz w:val="32"/>
          <w14:textFill>
            <w14:solidFill>
              <w14:schemeClr w14:val="tx1"/>
            </w14:solidFill>
          </w14:textFill>
        </w:rPr>
      </w:pPr>
      <w:r>
        <w:rPr>
          <w:rFonts w:hint="eastAsia" w:ascii="宋体" w:hAnsi="宋体"/>
          <w:b/>
          <w:color w:val="000000" w:themeColor="text1"/>
          <w:sz w:val="36"/>
          <w14:textFill>
            <w14:solidFill>
              <w14:schemeClr w14:val="tx1"/>
            </w14:solidFill>
          </w14:textFill>
        </w:rPr>
        <w:t>采 购 编 号：</w:t>
      </w:r>
    </w:p>
    <w:p w14:paraId="6809324B">
      <w:pPr>
        <w:spacing w:line="360" w:lineRule="auto"/>
        <w:ind w:firstLine="1608" w:firstLineChars="445"/>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合 同 包 号：</w:t>
      </w:r>
    </w:p>
    <w:p w14:paraId="10C068F0">
      <w:pPr>
        <w:spacing w:line="360" w:lineRule="auto"/>
        <w:rPr>
          <w:rFonts w:ascii="宋体" w:hAnsi="宋体"/>
          <w:color w:val="000000" w:themeColor="text1"/>
          <w:sz w:val="28"/>
          <w:szCs w:val="28"/>
          <w14:textFill>
            <w14:solidFill>
              <w14:schemeClr w14:val="tx1"/>
            </w14:solidFill>
          </w14:textFill>
        </w:rPr>
      </w:pPr>
    </w:p>
    <w:p w14:paraId="7B35470B">
      <w:pPr>
        <w:spacing w:line="360" w:lineRule="auto"/>
        <w:rPr>
          <w:rFonts w:ascii="宋体" w:hAnsi="宋体"/>
          <w:b/>
          <w:color w:val="000000" w:themeColor="text1"/>
          <w:sz w:val="36"/>
          <w14:textFill>
            <w14:solidFill>
              <w14:schemeClr w14:val="tx1"/>
            </w14:solidFill>
          </w14:textFill>
        </w:rPr>
      </w:pPr>
    </w:p>
    <w:p w14:paraId="7F8C01D8">
      <w:pPr>
        <w:spacing w:line="360" w:lineRule="auto"/>
        <w:rPr>
          <w:rFonts w:ascii="宋体" w:hAnsi="宋体"/>
          <w:b/>
          <w:color w:val="000000" w:themeColor="text1"/>
          <w:sz w:val="36"/>
          <w14:textFill>
            <w14:solidFill>
              <w14:schemeClr w14:val="tx1"/>
            </w14:solidFill>
          </w14:textFill>
        </w:rPr>
      </w:pPr>
    </w:p>
    <w:p w14:paraId="75D50211">
      <w:pPr>
        <w:spacing w:line="360" w:lineRule="auto"/>
        <w:rPr>
          <w:rFonts w:ascii="宋体" w:hAnsi="宋体"/>
          <w:b/>
          <w:color w:val="000000" w:themeColor="text1"/>
          <w:sz w:val="36"/>
          <w14:textFill>
            <w14:solidFill>
              <w14:schemeClr w14:val="tx1"/>
            </w14:solidFill>
          </w14:textFill>
        </w:rPr>
      </w:pPr>
    </w:p>
    <w:p w14:paraId="279B3717">
      <w:pPr>
        <w:spacing w:line="360" w:lineRule="auto"/>
        <w:ind w:firstLine="1438" w:firstLineChars="398"/>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磋商供应商名称：</w:t>
      </w:r>
      <w:r>
        <w:rPr>
          <w:rFonts w:hint="eastAsia" w:ascii="宋体" w:hAnsi="宋体"/>
          <w:b/>
          <w:color w:val="000000" w:themeColor="text1"/>
          <w:sz w:val="36"/>
          <w:u w:val="single"/>
          <w14:textFill>
            <w14:solidFill>
              <w14:schemeClr w14:val="tx1"/>
            </w14:solidFill>
          </w14:textFill>
        </w:rPr>
        <w:t xml:space="preserve">               </w:t>
      </w:r>
    </w:p>
    <w:p w14:paraId="61667450">
      <w:pPr>
        <w:spacing w:line="360" w:lineRule="auto"/>
        <w:ind w:firstLine="1438" w:firstLineChars="398"/>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w:t>
      </w:r>
      <w:r>
        <w:rPr>
          <w:rFonts w:hint="eastAsia" w:ascii="宋体" w:hAnsi="宋体"/>
          <w:b/>
          <w:color w:val="000000" w:themeColor="text1"/>
          <w:sz w:val="36"/>
          <w:u w:val="single"/>
          <w14:textFill>
            <w14:solidFill>
              <w14:schemeClr w14:val="tx1"/>
            </w14:solidFill>
          </w14:textFill>
        </w:rPr>
        <w:t xml:space="preserve">               </w:t>
      </w:r>
    </w:p>
    <w:p w14:paraId="6352A684">
      <w:pPr>
        <w:spacing w:line="400" w:lineRule="exact"/>
        <w:outlineLvl w:val="0"/>
        <w:rPr>
          <w:rFonts w:ascii="宋体" w:hAnsi="宋体"/>
          <w:b/>
          <w:color w:val="000000" w:themeColor="text1"/>
          <w:sz w:val="24"/>
          <w14:textFill>
            <w14:solidFill>
              <w14:schemeClr w14:val="tx1"/>
            </w14:solidFill>
          </w14:textFill>
        </w:rPr>
      </w:pPr>
    </w:p>
    <w:p w14:paraId="606437D6">
      <w:pPr>
        <w:spacing w:line="400" w:lineRule="exact"/>
        <w:outlineLvl w:val="0"/>
        <w:rPr>
          <w:rFonts w:ascii="宋体" w:hAnsi="宋体"/>
          <w:b/>
          <w:color w:val="000000" w:themeColor="text1"/>
          <w:sz w:val="24"/>
          <w14:textFill>
            <w14:solidFill>
              <w14:schemeClr w14:val="tx1"/>
            </w14:solidFill>
          </w14:textFill>
        </w:rPr>
      </w:pPr>
    </w:p>
    <w:p w14:paraId="208A68B9">
      <w:pPr>
        <w:spacing w:line="360" w:lineRule="auto"/>
        <w:ind w:left="1540" w:hanging="1540" w:hangingChars="55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(编制提示：文件装订、密封、标识请注意按磋商供应商须知中的相应要求进行，以避免带来不良后果。)</w:t>
      </w:r>
    </w:p>
    <w:p w14:paraId="41D98A98">
      <w:pPr>
        <w:spacing w:line="400" w:lineRule="exact"/>
        <w:outlineLvl w:val="0"/>
        <w:rPr>
          <w:rFonts w:ascii="宋体" w:hAnsi="宋体"/>
          <w:b/>
          <w:color w:val="000000" w:themeColor="text1"/>
          <w:sz w:val="24"/>
          <w14:textFill>
            <w14:solidFill>
              <w14:schemeClr w14:val="tx1"/>
            </w14:solidFill>
          </w14:textFill>
        </w:rPr>
      </w:pPr>
    </w:p>
    <w:p w14:paraId="4E31C537">
      <w:pPr>
        <w:spacing w:line="400" w:lineRule="exact"/>
        <w:outlineLvl w:val="0"/>
        <w:rPr>
          <w:rFonts w:ascii="宋体" w:hAnsi="宋体"/>
          <w:b/>
          <w:color w:val="000000" w:themeColor="text1"/>
          <w:sz w:val="24"/>
          <w14:textFill>
            <w14:solidFill>
              <w14:schemeClr w14:val="tx1"/>
            </w14:solidFill>
          </w14:textFill>
        </w:rPr>
      </w:pPr>
    </w:p>
    <w:p w14:paraId="3A245D2F">
      <w:pPr>
        <w:pStyle w:val="41"/>
        <w:ind w:firstLine="418"/>
        <w:rPr>
          <w:color w:val="000000" w:themeColor="text1"/>
          <w14:textFill>
            <w14:solidFill>
              <w14:schemeClr w14:val="tx1"/>
            </w14:solidFill>
          </w14:textFill>
        </w:rPr>
      </w:pPr>
    </w:p>
    <w:p w14:paraId="5ED3A8EE">
      <w:pPr>
        <w:spacing w:line="200" w:lineRule="exact"/>
        <w:rPr>
          <w:rFonts w:ascii="黑体" w:hAnsi="Arial" w:eastAsia="黑体"/>
          <w:b/>
          <w:color w:val="000000" w:themeColor="text1"/>
          <w:sz w:val="28"/>
          <w:szCs w:val="28"/>
          <w14:textFill>
            <w14:solidFill>
              <w14:schemeClr w14:val="tx1"/>
            </w14:solidFill>
          </w14:textFill>
        </w:rPr>
      </w:pPr>
    </w:p>
    <w:p w14:paraId="2F36A895">
      <w:pPr>
        <w:spacing w:line="200" w:lineRule="exact"/>
        <w:rPr>
          <w:rFonts w:ascii="黑体" w:hAnsi="Arial" w:eastAsia="黑体"/>
          <w:b/>
          <w:color w:val="000000" w:themeColor="text1"/>
          <w:sz w:val="28"/>
          <w:szCs w:val="28"/>
          <w14:textFill>
            <w14:solidFill>
              <w14:schemeClr w14:val="tx1"/>
            </w14:solidFill>
          </w14:textFill>
        </w:rPr>
      </w:pPr>
    </w:p>
    <w:p w14:paraId="517119B4">
      <w:pPr>
        <w:spacing w:line="200" w:lineRule="exact"/>
        <w:rPr>
          <w:rFonts w:ascii="黑体" w:hAnsi="Arial" w:eastAsia="黑体"/>
          <w:b/>
          <w:color w:val="000000" w:themeColor="text1"/>
          <w:sz w:val="28"/>
          <w:szCs w:val="28"/>
          <w14:textFill>
            <w14:solidFill>
              <w14:schemeClr w14:val="tx1"/>
            </w14:solidFill>
          </w14:textFill>
        </w:rPr>
      </w:pPr>
    </w:p>
    <w:p w14:paraId="12CA7258">
      <w:pPr>
        <w:spacing w:line="400" w:lineRule="exact"/>
        <w:ind w:firstLine="413" w:firstLineChars="147"/>
        <w:outlineLvl w:val="0"/>
        <w:rPr>
          <w:rFonts w:ascii="宋体" w:hAnsi="宋体"/>
          <w:color w:val="000000" w:themeColor="text1"/>
          <w:sz w:val="28"/>
          <w:szCs w:val="28"/>
          <w14:textFill>
            <w14:solidFill>
              <w14:schemeClr w14:val="tx1"/>
            </w14:solidFill>
          </w14:textFill>
        </w:rPr>
      </w:pPr>
      <w:bookmarkStart w:id="158" w:name="_Toc134733528"/>
      <w:r>
        <w:rPr>
          <w:rFonts w:hint="eastAsia" w:ascii="宋体" w:hAnsi="宋体"/>
          <w:b/>
          <w:color w:val="000000" w:themeColor="text1"/>
          <w:sz w:val="28"/>
          <w:szCs w:val="28"/>
          <w14:textFill>
            <w14:solidFill>
              <w14:schemeClr w14:val="tx1"/>
            </w14:solidFill>
          </w14:textFill>
        </w:rPr>
        <w:t xml:space="preserve">                         </w:t>
      </w:r>
      <w:bookmarkEnd w:id="158"/>
      <w:bookmarkStart w:id="159" w:name="_Toc137563037"/>
      <w:bookmarkStart w:id="160" w:name="_Toc75338345"/>
      <w:r>
        <w:rPr>
          <w:rFonts w:hint="eastAsia" w:ascii="宋体" w:hAnsi="宋体"/>
          <w:b/>
          <w:color w:val="000000" w:themeColor="text1"/>
          <w:sz w:val="28"/>
          <w:szCs w:val="28"/>
          <w14:textFill>
            <w14:solidFill>
              <w14:schemeClr w14:val="tx1"/>
            </w14:solidFill>
          </w14:textFill>
        </w:rPr>
        <w:t xml:space="preserve">磋 </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商  书</w:t>
      </w:r>
      <w:bookmarkEnd w:id="159"/>
      <w:bookmarkEnd w:id="160"/>
    </w:p>
    <w:p w14:paraId="6FE6D9B6">
      <w:pPr>
        <w:pStyle w:val="19"/>
        <w:spacing w:line="200" w:lineRule="exact"/>
        <w:rPr>
          <w:color w:val="000000" w:themeColor="text1"/>
          <w:sz w:val="24"/>
          <w:szCs w:val="24"/>
          <w14:textFill>
            <w14:solidFill>
              <w14:schemeClr w14:val="tx1"/>
            </w14:solidFill>
          </w14:textFill>
        </w:rPr>
      </w:pPr>
    </w:p>
    <w:p w14:paraId="714030E5">
      <w:pPr>
        <w:pStyle w:val="19"/>
        <w:spacing w:line="40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致：</w:t>
      </w:r>
      <w:r>
        <w:rPr>
          <w:rFonts w:hint="eastAsia"/>
          <w:b/>
          <w:bCs/>
          <w:color w:val="000000" w:themeColor="text1"/>
          <w:sz w:val="21"/>
          <w:szCs w:val="21"/>
          <w14:textFill>
            <w14:solidFill>
              <w14:schemeClr w14:val="tx1"/>
            </w14:solidFill>
          </w14:textFill>
        </w:rPr>
        <w:t>福建鑫盛项目管理咨询有限公司</w:t>
      </w:r>
    </w:p>
    <w:p w14:paraId="446B1240">
      <w:pPr>
        <w:spacing w:line="400" w:lineRule="exact"/>
        <w:rPr>
          <w:rFonts w:ascii="宋体" w:hAnsi="宋体"/>
          <w:color w:val="000000" w:themeColor="text1"/>
          <w:szCs w:val="21"/>
          <w:u w:val="single"/>
          <w14:textFill>
            <w14:solidFill>
              <w14:schemeClr w14:val="tx1"/>
            </w14:solidFill>
          </w14:textFill>
        </w:rPr>
      </w:pPr>
      <w:r>
        <w:rPr>
          <w:rFonts w:hint="eastAsia" w:ascii="Arial" w:hAnsi="Arial"/>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根据贵方为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(采购编号、项目名称)采购项目及服务的磋商邀请，磋商代表</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(全名、职务)经正式授权并代表磋商供应商</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(磋商供应商全称、地址)提交以下文件。</w:t>
      </w:r>
    </w:p>
    <w:p w14:paraId="08038109">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 磋商书、磋商一览表、分项报价明细表；</w:t>
      </w:r>
    </w:p>
    <w:p w14:paraId="381BF553">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资格证明文件；</w:t>
      </w:r>
    </w:p>
    <w:p w14:paraId="75F06FD4">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 按磋商供应商须知要求提供的全部文件；</w:t>
      </w:r>
    </w:p>
    <w:p w14:paraId="3D2CF4CE">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 磋商供应商认为需加以说明的其它文件；</w:t>
      </w:r>
    </w:p>
    <w:p w14:paraId="02717F4F">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 按磋商文件要求提供的其他必要文件；</w:t>
      </w:r>
    </w:p>
    <w:p w14:paraId="34C0DBE4">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 以</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形式提交的磋商保证金，金额为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元。 </w:t>
      </w:r>
    </w:p>
    <w:p w14:paraId="4927467B">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据此函，磋商供应商同意遵守如下条款：</w:t>
      </w:r>
    </w:p>
    <w:p w14:paraId="404D4EAF">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1、磋商供应商将按磋商文件规定履行合同责任和义务。</w:t>
      </w:r>
    </w:p>
    <w:p w14:paraId="3D18F1A1">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2、磋商供应商已详细审查全部磋商文件，包括修改文件（如有的话）以及全部参考资料和相关附件。我们完全理解并同意放弃对这方面有不明及误解的权利。</w:t>
      </w:r>
    </w:p>
    <w:p w14:paraId="64700F63">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3、磋商自磋商开始之日起有效期为</w:t>
      </w:r>
      <w:r>
        <w:rPr>
          <w:rFonts w:ascii="宋体" w:hAnsi="宋体"/>
          <w:color w:val="000000" w:themeColor="text1"/>
          <w:szCs w:val="21"/>
          <w:u w:val="single"/>
          <w14:textFill>
            <w14:solidFill>
              <w14:schemeClr w14:val="tx1"/>
            </w14:solidFill>
          </w14:textFill>
        </w:rPr>
        <w:t>90</w:t>
      </w:r>
      <w:r>
        <w:rPr>
          <w:rFonts w:hint="eastAsia" w:ascii="宋体" w:hAnsi="宋体"/>
          <w:color w:val="000000" w:themeColor="text1"/>
          <w:szCs w:val="21"/>
          <w14:textFill>
            <w14:solidFill>
              <w14:schemeClr w14:val="tx1"/>
            </w14:solidFill>
          </w14:textFill>
        </w:rPr>
        <w:t>个日历日。</w:t>
      </w:r>
    </w:p>
    <w:p w14:paraId="0883BD00">
      <w:pPr>
        <w:tabs>
          <w:tab w:val="left" w:pos="900"/>
        </w:tabs>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4、如果在规定的磋商开始时间后，磋商供应商在磋商有效期内撤回磋商，其磋商保证金将被采购人没收。</w:t>
      </w:r>
    </w:p>
    <w:p w14:paraId="346E5281">
      <w:pPr>
        <w:tabs>
          <w:tab w:val="left" w:pos="900"/>
        </w:tabs>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5、磋商供应商同意提供按照采购人可能要求的与其磋商有关的一切数据或资料，完全理解采购人不一定要接受最低价的磋商或逾期收到的任何磋商。</w:t>
      </w:r>
    </w:p>
    <w:p w14:paraId="1A02D13F">
      <w:pPr>
        <w:spacing w:line="400" w:lineRule="exact"/>
        <w:ind w:firstLine="404" w:firstLineChars="200"/>
        <w:rPr>
          <w:rFonts w:ascii="宋体" w:hAnsi="宋体"/>
          <w:color w:val="000000" w:themeColor="text1"/>
          <w:spacing w:val="-4"/>
          <w:szCs w:val="21"/>
          <w14:textFill>
            <w14:solidFill>
              <w14:schemeClr w14:val="tx1"/>
            </w14:solidFill>
          </w14:textFill>
        </w:rPr>
      </w:pPr>
      <w:r>
        <w:rPr>
          <w:rFonts w:hint="eastAsia" w:ascii="宋体" w:hAnsi="宋体"/>
          <w:color w:val="000000" w:themeColor="text1"/>
          <w:spacing w:val="-4"/>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与本磋商有关的一切正式往来通讯请寄：</w:t>
      </w:r>
    </w:p>
    <w:p w14:paraId="10D03720">
      <w:pPr>
        <w:spacing w:line="400" w:lineRule="exact"/>
        <w:ind w:firstLine="404" w:firstLineChars="200"/>
        <w:rPr>
          <w:rFonts w:ascii="宋体" w:hAnsi="宋体"/>
          <w:color w:val="000000" w:themeColor="text1"/>
          <w:spacing w:val="-4"/>
          <w:szCs w:val="21"/>
          <w14:textFill>
            <w14:solidFill>
              <w14:schemeClr w14:val="tx1"/>
            </w14:solidFill>
          </w14:textFill>
        </w:rPr>
      </w:pPr>
      <w:r>
        <w:rPr>
          <w:rFonts w:hint="eastAsia" w:ascii="宋体" w:hAnsi="宋体"/>
          <w:color w:val="000000" w:themeColor="text1"/>
          <w:spacing w:val="-4"/>
          <w:szCs w:val="21"/>
          <w14:textFill>
            <w14:solidFill>
              <w14:schemeClr w14:val="tx1"/>
            </w14:solidFill>
          </w14:textFill>
        </w:rPr>
        <w:t xml:space="preserve">地址：                            邮编：              </w:t>
      </w:r>
    </w:p>
    <w:p w14:paraId="77E24743">
      <w:pPr>
        <w:spacing w:line="400" w:lineRule="exact"/>
        <w:ind w:firstLine="404" w:firstLineChars="200"/>
        <w:rPr>
          <w:rFonts w:ascii="宋体" w:hAnsi="宋体"/>
          <w:color w:val="000000" w:themeColor="text1"/>
          <w:spacing w:val="-4"/>
          <w:szCs w:val="21"/>
          <w14:textFill>
            <w14:solidFill>
              <w14:schemeClr w14:val="tx1"/>
            </w14:solidFill>
          </w14:textFill>
        </w:rPr>
      </w:pPr>
      <w:r>
        <w:rPr>
          <w:rFonts w:hint="eastAsia" w:ascii="宋体" w:hAnsi="宋体"/>
          <w:color w:val="000000" w:themeColor="text1"/>
          <w:spacing w:val="-4"/>
          <w:szCs w:val="21"/>
          <w14:textFill>
            <w14:solidFill>
              <w14:schemeClr w14:val="tx1"/>
            </w14:solidFill>
          </w14:textFill>
        </w:rPr>
        <w:t xml:space="preserve">电话：                            传真：            </w:t>
      </w:r>
    </w:p>
    <w:p w14:paraId="5779E315">
      <w:pPr>
        <w:spacing w:line="400" w:lineRule="exact"/>
        <w:ind w:firstLine="404" w:firstLineChars="200"/>
        <w:rPr>
          <w:rFonts w:ascii="宋体" w:hAnsi="宋体"/>
          <w:color w:val="000000" w:themeColor="text1"/>
          <w:spacing w:val="-4"/>
          <w:szCs w:val="21"/>
          <w14:textFill>
            <w14:solidFill>
              <w14:schemeClr w14:val="tx1"/>
            </w14:solidFill>
          </w14:textFill>
        </w:rPr>
      </w:pPr>
      <w:r>
        <w:rPr>
          <w:rFonts w:hint="eastAsia" w:ascii="宋体" w:hAnsi="宋体"/>
          <w:color w:val="000000" w:themeColor="text1"/>
          <w:spacing w:val="-4"/>
          <w:szCs w:val="21"/>
          <w14:textFill>
            <w14:solidFill>
              <w14:schemeClr w14:val="tx1"/>
            </w14:solidFill>
          </w14:textFill>
        </w:rPr>
        <w:t xml:space="preserve">磋商代表姓名、职务：                            </w:t>
      </w:r>
    </w:p>
    <w:p w14:paraId="6CEC53A3">
      <w:pPr>
        <w:spacing w:line="400" w:lineRule="exact"/>
        <w:ind w:firstLine="404" w:firstLineChars="200"/>
        <w:rPr>
          <w:rFonts w:ascii="宋体" w:hAnsi="宋体"/>
          <w:color w:val="000000" w:themeColor="text1"/>
          <w:spacing w:val="-4"/>
          <w:szCs w:val="21"/>
          <w14:textFill>
            <w14:solidFill>
              <w14:schemeClr w14:val="tx1"/>
            </w14:solidFill>
          </w14:textFill>
        </w:rPr>
      </w:pPr>
      <w:r>
        <w:rPr>
          <w:rFonts w:hint="eastAsia" w:ascii="宋体" w:hAnsi="宋体"/>
          <w:color w:val="000000" w:themeColor="text1"/>
          <w:spacing w:val="-4"/>
          <w:szCs w:val="21"/>
          <w14:textFill>
            <w14:solidFill>
              <w14:schemeClr w14:val="tx1"/>
            </w14:solidFill>
          </w14:textFill>
        </w:rPr>
        <w:t xml:space="preserve">磋商供应商全称（加盖公章）：                          </w:t>
      </w:r>
    </w:p>
    <w:p w14:paraId="08CB72FF">
      <w:pPr>
        <w:spacing w:line="360" w:lineRule="exact"/>
        <w:ind w:firstLine="404" w:firstLineChars="200"/>
        <w:rPr>
          <w:rFonts w:ascii="宋体" w:hAnsi="宋体"/>
          <w:color w:val="000000" w:themeColor="text1"/>
          <w:spacing w:val="-4"/>
          <w:szCs w:val="21"/>
          <w14:textFill>
            <w14:solidFill>
              <w14:schemeClr w14:val="tx1"/>
            </w14:solidFill>
          </w14:textFill>
        </w:rPr>
      </w:pPr>
      <w:r>
        <w:rPr>
          <w:rFonts w:hint="eastAsia" w:ascii="宋体" w:hAnsi="宋体"/>
          <w:color w:val="000000" w:themeColor="text1"/>
          <w:spacing w:val="-4"/>
          <w:szCs w:val="21"/>
          <w14:textFill>
            <w14:solidFill>
              <w14:schemeClr w14:val="tx1"/>
            </w14:solidFill>
          </w14:textFill>
        </w:rPr>
        <w:t>日期：</w:t>
      </w:r>
      <w:r>
        <w:rPr>
          <w:rFonts w:hint="eastAsia" w:ascii="宋体" w:hAnsi="宋体"/>
          <w:color w:val="000000" w:themeColor="text1"/>
          <w:spacing w:val="-4"/>
          <w:szCs w:val="21"/>
          <w:u w:val="single"/>
          <w14:textFill>
            <w14:solidFill>
              <w14:schemeClr w14:val="tx1"/>
            </w14:solidFill>
          </w14:textFill>
        </w:rPr>
        <w:t xml:space="preserve">    </w:t>
      </w:r>
      <w:r>
        <w:rPr>
          <w:rFonts w:hint="eastAsia" w:ascii="宋体" w:hAnsi="宋体"/>
          <w:color w:val="000000" w:themeColor="text1"/>
          <w:spacing w:val="-4"/>
          <w:szCs w:val="21"/>
          <w14:textFill>
            <w14:solidFill>
              <w14:schemeClr w14:val="tx1"/>
            </w14:solidFill>
          </w14:textFill>
        </w:rPr>
        <w:t>年</w:t>
      </w:r>
      <w:r>
        <w:rPr>
          <w:rFonts w:hint="eastAsia" w:ascii="宋体" w:hAnsi="宋体"/>
          <w:color w:val="000000" w:themeColor="text1"/>
          <w:spacing w:val="-4"/>
          <w:szCs w:val="21"/>
          <w:u w:val="single"/>
          <w14:textFill>
            <w14:solidFill>
              <w14:schemeClr w14:val="tx1"/>
            </w14:solidFill>
          </w14:textFill>
        </w:rPr>
        <w:t xml:space="preserve">   </w:t>
      </w:r>
      <w:r>
        <w:rPr>
          <w:rFonts w:hint="eastAsia" w:ascii="宋体" w:hAnsi="宋体"/>
          <w:color w:val="000000" w:themeColor="text1"/>
          <w:spacing w:val="-4"/>
          <w:szCs w:val="21"/>
          <w14:textFill>
            <w14:solidFill>
              <w14:schemeClr w14:val="tx1"/>
            </w14:solidFill>
          </w14:textFill>
        </w:rPr>
        <w:t>月</w:t>
      </w:r>
      <w:r>
        <w:rPr>
          <w:rFonts w:hint="eastAsia" w:ascii="宋体" w:hAnsi="宋体"/>
          <w:color w:val="000000" w:themeColor="text1"/>
          <w:spacing w:val="-4"/>
          <w:szCs w:val="21"/>
          <w:u w:val="single"/>
          <w14:textFill>
            <w14:solidFill>
              <w14:schemeClr w14:val="tx1"/>
            </w14:solidFill>
          </w14:textFill>
        </w:rPr>
        <w:t xml:space="preserve">   </w:t>
      </w:r>
      <w:r>
        <w:rPr>
          <w:rFonts w:hint="eastAsia" w:ascii="宋体" w:hAnsi="宋体"/>
          <w:color w:val="000000" w:themeColor="text1"/>
          <w:spacing w:val="-4"/>
          <w:szCs w:val="21"/>
          <w14:textFill>
            <w14:solidFill>
              <w14:schemeClr w14:val="tx1"/>
            </w14:solidFill>
          </w14:textFill>
        </w:rPr>
        <w:t>日</w:t>
      </w:r>
    </w:p>
    <w:p w14:paraId="33BF3305">
      <w:pPr>
        <w:spacing w:line="360" w:lineRule="exact"/>
        <w:ind w:firstLine="404" w:firstLineChars="200"/>
        <w:rPr>
          <w:rFonts w:ascii="宋体" w:hAnsi="宋体"/>
          <w:color w:val="000000" w:themeColor="text1"/>
          <w:spacing w:val="-4"/>
          <w:szCs w:val="21"/>
          <w14:textFill>
            <w14:solidFill>
              <w14:schemeClr w14:val="tx1"/>
            </w14:solidFill>
          </w14:textFill>
        </w:rPr>
      </w:pPr>
    </w:p>
    <w:p w14:paraId="0ADE0909">
      <w:pPr>
        <w:rPr>
          <w:rFonts w:ascii="宋体" w:hAnsi="宋体"/>
          <w:b/>
          <w:color w:val="000000" w:themeColor="text1"/>
          <w:sz w:val="18"/>
          <w:szCs w:val="18"/>
          <w14:textFill>
            <w14:solidFill>
              <w14:schemeClr w14:val="tx1"/>
            </w14:solidFill>
          </w14:textFill>
        </w:rPr>
      </w:pPr>
    </w:p>
    <w:p w14:paraId="51B959D9">
      <w:pPr>
        <w:rPr>
          <w:rFonts w:ascii="宋体" w:hAnsi="宋体"/>
          <w:b/>
          <w:color w:val="000000" w:themeColor="text1"/>
          <w:sz w:val="18"/>
          <w:szCs w:val="18"/>
          <w14:textFill>
            <w14:solidFill>
              <w14:schemeClr w14:val="tx1"/>
            </w14:solidFill>
          </w14:textFill>
        </w:rPr>
      </w:pPr>
    </w:p>
    <w:p w14:paraId="051CCB14">
      <w:pPr>
        <w:rPr>
          <w:rFonts w:ascii="宋体" w:hAnsi="宋体"/>
          <w:b/>
          <w:color w:val="000000" w:themeColor="text1"/>
          <w:sz w:val="18"/>
          <w:szCs w:val="18"/>
          <w14:textFill>
            <w14:solidFill>
              <w14:schemeClr w14:val="tx1"/>
            </w14:solidFill>
          </w14:textFill>
        </w:rPr>
      </w:pPr>
    </w:p>
    <w:p w14:paraId="49B53732">
      <w:pPr>
        <w:rPr>
          <w:rFonts w:ascii="黑体" w:eastAsia="黑体"/>
          <w:b/>
          <w:color w:val="000000" w:themeColor="text1"/>
          <w:sz w:val="24"/>
          <w14:textFill>
            <w14:solidFill>
              <w14:schemeClr w14:val="tx1"/>
            </w14:solidFill>
          </w14:textFill>
        </w:rPr>
      </w:pPr>
    </w:p>
    <w:p w14:paraId="41AE335E">
      <w:pPr>
        <w:rPr>
          <w:rFonts w:ascii="黑体" w:eastAsia="黑体"/>
          <w:b/>
          <w:color w:val="000000" w:themeColor="text1"/>
          <w:sz w:val="24"/>
          <w14:textFill>
            <w14:solidFill>
              <w14:schemeClr w14:val="tx1"/>
            </w14:solidFill>
          </w14:textFill>
        </w:rPr>
      </w:pPr>
    </w:p>
    <w:p w14:paraId="1DE134E3">
      <w:pPr>
        <w:rPr>
          <w:rFonts w:ascii="黑体" w:eastAsia="黑体"/>
          <w:b/>
          <w:color w:val="000000" w:themeColor="text1"/>
          <w:sz w:val="24"/>
          <w14:textFill>
            <w14:solidFill>
              <w14:schemeClr w14:val="tx1"/>
            </w14:solidFill>
          </w14:textFill>
        </w:rPr>
      </w:pPr>
    </w:p>
    <w:p w14:paraId="3077A5B4">
      <w:pPr>
        <w:rPr>
          <w:rFonts w:ascii="黑体" w:eastAsia="黑体"/>
          <w:b/>
          <w:color w:val="000000" w:themeColor="text1"/>
          <w:sz w:val="24"/>
          <w14:textFill>
            <w14:solidFill>
              <w14:schemeClr w14:val="tx1"/>
            </w14:solidFill>
          </w14:textFill>
        </w:rPr>
      </w:pPr>
    </w:p>
    <w:p w14:paraId="3EAFB496">
      <w:pPr>
        <w:rPr>
          <w:rFonts w:ascii="黑体" w:eastAsia="黑体"/>
          <w:b/>
          <w:color w:val="000000" w:themeColor="text1"/>
          <w:sz w:val="24"/>
          <w14:textFill>
            <w14:solidFill>
              <w14:schemeClr w14:val="tx1"/>
            </w14:solidFill>
          </w14:textFill>
        </w:rPr>
      </w:pPr>
    </w:p>
    <w:p w14:paraId="7AA8DC6A">
      <w:pPr>
        <w:rPr>
          <w:color w:val="000000" w:themeColor="text1"/>
          <w14:textFill>
            <w14:solidFill>
              <w14:schemeClr w14:val="tx1"/>
            </w14:solidFill>
          </w14:textFill>
        </w:rPr>
      </w:pPr>
    </w:p>
    <w:p w14:paraId="0FA98C29">
      <w:pPr>
        <w:rPr>
          <w:color w:val="000000" w:themeColor="text1"/>
          <w14:textFill>
            <w14:solidFill>
              <w14:schemeClr w14:val="tx1"/>
            </w14:solidFill>
          </w14:textFill>
        </w:rPr>
      </w:pPr>
    </w:p>
    <w:p w14:paraId="7305F4E7">
      <w:pPr>
        <w:rPr>
          <w:color w:val="000000" w:themeColor="text1"/>
          <w14:textFill>
            <w14:solidFill>
              <w14:schemeClr w14:val="tx1"/>
            </w14:solidFill>
          </w14:textFill>
        </w:rPr>
      </w:pPr>
    </w:p>
    <w:p w14:paraId="0DC9BBB3">
      <w:pPr>
        <w:pStyle w:val="41"/>
        <w:ind w:firstLine="418"/>
        <w:rPr>
          <w:color w:val="000000" w:themeColor="text1"/>
          <w14:textFill>
            <w14:solidFill>
              <w14:schemeClr w14:val="tx1"/>
            </w14:solidFill>
          </w14:textFill>
        </w:rPr>
      </w:pPr>
    </w:p>
    <w:p w14:paraId="3B5147C0">
      <w:pPr>
        <w:rPr>
          <w:color w:val="000000" w:themeColor="text1"/>
          <w14:textFill>
            <w14:solidFill>
              <w14:schemeClr w14:val="tx1"/>
            </w14:solidFill>
          </w14:textFill>
        </w:rPr>
      </w:pPr>
    </w:p>
    <w:p w14:paraId="0C610C43">
      <w:pPr>
        <w:rPr>
          <w:color w:val="000000" w:themeColor="text1"/>
          <w14:textFill>
            <w14:solidFill>
              <w14:schemeClr w14:val="tx1"/>
            </w14:solidFill>
          </w14:textFill>
        </w:rPr>
      </w:pPr>
    </w:p>
    <w:p w14:paraId="6C3B8ADD">
      <w:pPr>
        <w:rPr>
          <w:color w:val="000000" w:themeColor="text1"/>
          <w14:textFill>
            <w14:solidFill>
              <w14:schemeClr w14:val="tx1"/>
            </w14:solidFill>
          </w14:textFill>
        </w:rPr>
      </w:pPr>
    </w:p>
    <w:p w14:paraId="70E02D02">
      <w:pPr>
        <w:spacing w:line="400" w:lineRule="exact"/>
        <w:ind w:firstLine="413" w:firstLineChars="147"/>
        <w:jc w:val="center"/>
        <w:outlineLvl w:val="0"/>
        <w:rPr>
          <w:rFonts w:ascii="宋体" w:hAnsi="宋体"/>
          <w:color w:val="000000" w:themeColor="text1"/>
          <w:sz w:val="28"/>
          <w:szCs w:val="28"/>
          <w14:textFill>
            <w14:solidFill>
              <w14:schemeClr w14:val="tx1"/>
            </w14:solidFill>
          </w14:textFill>
        </w:rPr>
      </w:pPr>
      <w:bookmarkStart w:id="161" w:name="_Toc134733529"/>
      <w:bookmarkStart w:id="162" w:name="_Toc137563038"/>
      <w:bookmarkStart w:id="163" w:name="_Toc75338346"/>
      <w:r>
        <w:rPr>
          <w:rFonts w:hint="eastAsia" w:ascii="宋体" w:hAnsi="宋体"/>
          <w:b/>
          <w:color w:val="000000" w:themeColor="text1"/>
          <w:sz w:val="28"/>
          <w:szCs w:val="28"/>
          <w14:textFill>
            <w14:solidFill>
              <w14:schemeClr w14:val="tx1"/>
            </w14:solidFill>
          </w14:textFill>
        </w:rPr>
        <w:t>首次报价一览表</w:t>
      </w:r>
      <w:bookmarkEnd w:id="161"/>
      <w:bookmarkEnd w:id="162"/>
      <w:bookmarkEnd w:id="163"/>
    </w:p>
    <w:p w14:paraId="1AD79150">
      <w:pPr>
        <w:spacing w:line="400" w:lineRule="exact"/>
        <w:rPr>
          <w:rFonts w:ascii="Arial" w:hAnsi="Arial"/>
          <w:color w:val="000000" w:themeColor="text1"/>
          <w:sz w:val="24"/>
          <w14:textFill>
            <w14:solidFill>
              <w14:schemeClr w14:val="tx1"/>
            </w14:solidFill>
          </w14:textFill>
        </w:rPr>
      </w:pPr>
    </w:p>
    <w:p w14:paraId="7D2BDB04">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采购编号：  </w:t>
      </w:r>
      <w:r>
        <w:rPr>
          <w:rFonts w:hint="eastAsia" w:ascii="宋体" w:hAnsi="宋体"/>
          <w:color w:val="000000" w:themeColor="text1"/>
          <w:szCs w:val="21"/>
          <w:u w:val="single"/>
          <w14:textFill>
            <w14:solidFill>
              <w14:schemeClr w14:val="tx1"/>
            </w14:solidFill>
          </w14:textFill>
        </w:rPr>
        <w:t xml:space="preserve">              </w:t>
      </w:r>
    </w:p>
    <w:p w14:paraId="7DBDB507">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磋商供应商全称(加盖公章)：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340"/>
        <w:gridCol w:w="2700"/>
        <w:gridCol w:w="2325"/>
        <w:gridCol w:w="1095"/>
      </w:tblGrid>
      <w:tr w14:paraId="0B2AC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008" w:type="dxa"/>
            <w:vAlign w:val="center"/>
          </w:tcPr>
          <w:p w14:paraId="3DBEEBD2">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合同号</w:t>
            </w:r>
          </w:p>
        </w:tc>
        <w:tc>
          <w:tcPr>
            <w:tcW w:w="2340" w:type="dxa"/>
            <w:vAlign w:val="center"/>
          </w:tcPr>
          <w:p w14:paraId="11BA258A">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p>
        </w:tc>
        <w:tc>
          <w:tcPr>
            <w:tcW w:w="2700" w:type="dxa"/>
            <w:vAlign w:val="center"/>
          </w:tcPr>
          <w:p w14:paraId="374DDAAD">
            <w:pPr>
              <w:tabs>
                <w:tab w:val="left" w:pos="0"/>
              </w:tabs>
              <w:ind w:right="-9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 计（元）</w:t>
            </w:r>
          </w:p>
        </w:tc>
        <w:tc>
          <w:tcPr>
            <w:tcW w:w="2325" w:type="dxa"/>
            <w:vAlign w:val="center"/>
          </w:tcPr>
          <w:p w14:paraId="3423D0E8">
            <w:pPr>
              <w:tabs>
                <w:tab w:val="left" w:pos="0"/>
              </w:tabs>
              <w:ind w:right="-9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交付时间</w:t>
            </w:r>
          </w:p>
        </w:tc>
        <w:tc>
          <w:tcPr>
            <w:tcW w:w="1095" w:type="dxa"/>
            <w:vAlign w:val="center"/>
          </w:tcPr>
          <w:p w14:paraId="68D58D0F">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  注</w:t>
            </w:r>
          </w:p>
        </w:tc>
      </w:tr>
      <w:tr w14:paraId="34E31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trPr>
        <w:tc>
          <w:tcPr>
            <w:tcW w:w="1008" w:type="dxa"/>
            <w:vAlign w:val="center"/>
          </w:tcPr>
          <w:p w14:paraId="5FEF132A">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340" w:type="dxa"/>
            <w:vAlign w:val="center"/>
          </w:tcPr>
          <w:p w14:paraId="4754C930">
            <w:pPr>
              <w:tabs>
                <w:tab w:val="left" w:pos="0"/>
              </w:tabs>
              <w:jc w:val="center"/>
              <w:rPr>
                <w:rFonts w:ascii="宋体" w:hAnsi="宋体"/>
                <w:color w:val="000000" w:themeColor="text1"/>
                <w:szCs w:val="21"/>
                <w14:textFill>
                  <w14:solidFill>
                    <w14:schemeClr w14:val="tx1"/>
                  </w14:solidFill>
                </w14:textFill>
              </w:rPr>
            </w:pPr>
          </w:p>
        </w:tc>
        <w:tc>
          <w:tcPr>
            <w:tcW w:w="2700" w:type="dxa"/>
            <w:vAlign w:val="center"/>
          </w:tcPr>
          <w:p w14:paraId="61B0F23E">
            <w:pPr>
              <w:pStyle w:val="17"/>
              <w:spacing w:line="240" w:lineRule="atLeast"/>
              <w:rPr>
                <w:rFonts w:hAnsi="宋体"/>
                <w:color w:val="000000" w:themeColor="text1"/>
                <w14:textFill>
                  <w14:solidFill>
                    <w14:schemeClr w14:val="tx1"/>
                  </w14:solidFill>
                </w14:textFill>
              </w:rPr>
            </w:pPr>
          </w:p>
        </w:tc>
        <w:tc>
          <w:tcPr>
            <w:tcW w:w="2325" w:type="dxa"/>
            <w:vAlign w:val="center"/>
          </w:tcPr>
          <w:p w14:paraId="5E2FCF96">
            <w:pPr>
              <w:tabs>
                <w:tab w:val="left" w:pos="0"/>
              </w:tabs>
              <w:ind w:firstLine="279" w:firstLineChars="133"/>
              <w:jc w:val="center"/>
              <w:rPr>
                <w:rFonts w:ascii="宋体" w:hAnsi="宋体"/>
                <w:color w:val="000000" w:themeColor="text1"/>
                <w:szCs w:val="21"/>
                <w14:textFill>
                  <w14:solidFill>
                    <w14:schemeClr w14:val="tx1"/>
                  </w14:solidFill>
                </w14:textFill>
              </w:rPr>
            </w:pPr>
          </w:p>
        </w:tc>
        <w:tc>
          <w:tcPr>
            <w:tcW w:w="1095" w:type="dxa"/>
            <w:vAlign w:val="center"/>
          </w:tcPr>
          <w:p w14:paraId="05246629">
            <w:pPr>
              <w:tabs>
                <w:tab w:val="left" w:pos="0"/>
              </w:tabs>
              <w:jc w:val="center"/>
              <w:rPr>
                <w:rFonts w:ascii="宋体" w:hAnsi="宋体"/>
                <w:color w:val="000000" w:themeColor="text1"/>
                <w:szCs w:val="21"/>
                <w14:textFill>
                  <w14:solidFill>
                    <w14:schemeClr w14:val="tx1"/>
                  </w14:solidFill>
                </w14:textFill>
              </w:rPr>
            </w:pPr>
          </w:p>
        </w:tc>
      </w:tr>
      <w:tr w14:paraId="1DCFB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trPr>
        <w:tc>
          <w:tcPr>
            <w:tcW w:w="9468" w:type="dxa"/>
            <w:gridSpan w:val="5"/>
            <w:vAlign w:val="center"/>
          </w:tcPr>
          <w:p w14:paraId="405D79CE">
            <w:pPr>
              <w:tabs>
                <w:tab w:val="left" w:pos="0"/>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磋商总报价（大写）：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磋商总报价（小写）：</w:t>
            </w:r>
            <w:r>
              <w:rPr>
                <w:rFonts w:hint="eastAsia" w:ascii="宋体" w:hAnsi="宋体"/>
                <w:color w:val="000000" w:themeColor="text1"/>
                <w:szCs w:val="21"/>
                <w:u w:val="single"/>
                <w14:textFill>
                  <w14:solidFill>
                    <w14:schemeClr w14:val="tx1"/>
                  </w14:solidFill>
                </w14:textFill>
              </w:rPr>
              <w:t xml:space="preserve">                              </w:t>
            </w:r>
          </w:p>
        </w:tc>
      </w:tr>
    </w:tbl>
    <w:p w14:paraId="2966FC06">
      <w:pPr>
        <w:ind w:firstLine="360" w:firstLineChars="200"/>
        <w:rPr>
          <w:rFonts w:ascii="宋体" w:hAnsi="宋体"/>
          <w:color w:val="000000" w:themeColor="text1"/>
          <w:sz w:val="18"/>
          <w:szCs w:val="18"/>
          <w14:textFill>
            <w14:solidFill>
              <w14:schemeClr w14:val="tx1"/>
            </w14:solidFill>
          </w14:textFill>
        </w:rPr>
      </w:pPr>
    </w:p>
    <w:p w14:paraId="535B605F">
      <w:pPr>
        <w:spacing w:line="480" w:lineRule="exact"/>
        <w:rPr>
          <w:rFonts w:ascii="宋体" w:hAnsi="宋体"/>
          <w:b/>
          <w:color w:val="000000" w:themeColor="text1"/>
          <w:szCs w:val="21"/>
          <w14:textFill>
            <w14:solidFill>
              <w14:schemeClr w14:val="tx1"/>
            </w14:solidFill>
          </w14:textFill>
        </w:rPr>
      </w:pPr>
    </w:p>
    <w:p w14:paraId="41D1AFE8">
      <w:pPr>
        <w:spacing w:line="480" w:lineRule="exact"/>
        <w:rPr>
          <w:rFonts w:ascii="宋体" w:hAnsi="宋体"/>
          <w:b/>
          <w:color w:val="000000" w:themeColor="text1"/>
          <w:sz w:val="18"/>
          <w:szCs w:val="18"/>
          <w14:textFill>
            <w14:solidFill>
              <w14:schemeClr w14:val="tx1"/>
            </w14:solidFill>
          </w14:textFill>
        </w:rPr>
      </w:pPr>
    </w:p>
    <w:p w14:paraId="188A3109">
      <w:pPr>
        <w:spacing w:line="48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磋商代表签字：</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0A9DF0B3">
      <w:pPr>
        <w:spacing w:line="48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4CFA5956">
      <w:pPr>
        <w:spacing w:line="400" w:lineRule="exact"/>
        <w:rPr>
          <w:rFonts w:ascii="Arial" w:hAnsi="Arial"/>
          <w:color w:val="000000" w:themeColor="text1"/>
          <w:sz w:val="24"/>
          <w14:textFill>
            <w14:solidFill>
              <w14:schemeClr w14:val="tx1"/>
            </w14:solidFill>
          </w14:textFill>
        </w:rPr>
      </w:pPr>
    </w:p>
    <w:p w14:paraId="4569AE24">
      <w:pPr>
        <w:spacing w:line="400" w:lineRule="exact"/>
        <w:rPr>
          <w:rFonts w:ascii="Arial" w:hAnsi="Arial"/>
          <w:color w:val="000000" w:themeColor="text1"/>
          <w:sz w:val="24"/>
          <w14:textFill>
            <w14:solidFill>
              <w14:schemeClr w14:val="tx1"/>
            </w14:solidFill>
          </w14:textFill>
        </w:rPr>
      </w:pPr>
      <w:bookmarkStart w:id="164" w:name="_Toc134733531"/>
    </w:p>
    <w:p w14:paraId="10BD1E94">
      <w:pPr>
        <w:spacing w:line="400" w:lineRule="exact"/>
        <w:rPr>
          <w:rFonts w:ascii="Arial" w:hAnsi="Arial"/>
          <w:color w:val="000000" w:themeColor="text1"/>
          <w:sz w:val="24"/>
          <w14:textFill>
            <w14:solidFill>
              <w14:schemeClr w14:val="tx1"/>
            </w14:solidFill>
          </w14:textFill>
        </w:rPr>
      </w:pPr>
    </w:p>
    <w:p w14:paraId="50230053">
      <w:pPr>
        <w:spacing w:line="400" w:lineRule="exact"/>
        <w:rPr>
          <w:rFonts w:ascii="Arial" w:hAnsi="Arial"/>
          <w:color w:val="000000" w:themeColor="text1"/>
          <w:sz w:val="24"/>
          <w14:textFill>
            <w14:solidFill>
              <w14:schemeClr w14:val="tx1"/>
            </w14:solidFill>
          </w14:textFill>
        </w:rPr>
      </w:pPr>
    </w:p>
    <w:p w14:paraId="2E920B95">
      <w:pPr>
        <w:spacing w:line="400" w:lineRule="exact"/>
        <w:rPr>
          <w:rFonts w:ascii="Arial" w:hAnsi="Arial"/>
          <w:color w:val="000000" w:themeColor="text1"/>
          <w:sz w:val="24"/>
          <w14:textFill>
            <w14:solidFill>
              <w14:schemeClr w14:val="tx1"/>
            </w14:solidFill>
          </w14:textFill>
        </w:rPr>
      </w:pPr>
    </w:p>
    <w:p w14:paraId="179A3B93">
      <w:pPr>
        <w:spacing w:line="400" w:lineRule="exact"/>
        <w:rPr>
          <w:rFonts w:ascii="Arial" w:hAnsi="Arial"/>
          <w:color w:val="000000" w:themeColor="text1"/>
          <w:sz w:val="24"/>
          <w14:textFill>
            <w14:solidFill>
              <w14:schemeClr w14:val="tx1"/>
            </w14:solidFill>
          </w14:textFill>
        </w:rPr>
      </w:pPr>
    </w:p>
    <w:p w14:paraId="18B087C3">
      <w:pPr>
        <w:spacing w:line="400" w:lineRule="exact"/>
        <w:rPr>
          <w:rFonts w:ascii="Arial" w:hAnsi="Arial"/>
          <w:color w:val="000000" w:themeColor="text1"/>
          <w:sz w:val="24"/>
          <w14:textFill>
            <w14:solidFill>
              <w14:schemeClr w14:val="tx1"/>
            </w14:solidFill>
          </w14:textFill>
        </w:rPr>
      </w:pPr>
    </w:p>
    <w:p w14:paraId="7777C945">
      <w:pPr>
        <w:spacing w:line="400" w:lineRule="exact"/>
        <w:rPr>
          <w:rFonts w:ascii="Arial" w:hAnsi="Arial"/>
          <w:color w:val="000000" w:themeColor="text1"/>
          <w:sz w:val="24"/>
          <w14:textFill>
            <w14:solidFill>
              <w14:schemeClr w14:val="tx1"/>
            </w14:solidFill>
          </w14:textFill>
        </w:rPr>
      </w:pPr>
    </w:p>
    <w:p w14:paraId="607E562C">
      <w:pPr>
        <w:spacing w:line="400" w:lineRule="exact"/>
        <w:rPr>
          <w:rFonts w:ascii="Arial" w:hAnsi="Arial"/>
          <w:color w:val="000000" w:themeColor="text1"/>
          <w:sz w:val="24"/>
          <w14:textFill>
            <w14:solidFill>
              <w14:schemeClr w14:val="tx1"/>
            </w14:solidFill>
          </w14:textFill>
        </w:rPr>
      </w:pPr>
    </w:p>
    <w:p w14:paraId="410FF9D8">
      <w:pPr>
        <w:spacing w:line="400" w:lineRule="exact"/>
        <w:rPr>
          <w:rFonts w:ascii="Arial" w:hAnsi="Arial"/>
          <w:color w:val="000000" w:themeColor="text1"/>
          <w:sz w:val="24"/>
          <w14:textFill>
            <w14:solidFill>
              <w14:schemeClr w14:val="tx1"/>
            </w14:solidFill>
          </w14:textFill>
        </w:rPr>
      </w:pPr>
    </w:p>
    <w:p w14:paraId="4A9AAB6B">
      <w:pPr>
        <w:spacing w:line="400" w:lineRule="exact"/>
        <w:rPr>
          <w:rFonts w:ascii="Arial" w:hAnsi="Arial"/>
          <w:color w:val="000000" w:themeColor="text1"/>
          <w:sz w:val="24"/>
          <w14:textFill>
            <w14:solidFill>
              <w14:schemeClr w14:val="tx1"/>
            </w14:solidFill>
          </w14:textFill>
        </w:rPr>
      </w:pPr>
    </w:p>
    <w:p w14:paraId="12AE55CE">
      <w:pPr>
        <w:spacing w:line="400" w:lineRule="exact"/>
        <w:rPr>
          <w:rFonts w:ascii="Arial" w:hAnsi="Arial"/>
          <w:color w:val="000000" w:themeColor="text1"/>
          <w:sz w:val="24"/>
          <w14:textFill>
            <w14:solidFill>
              <w14:schemeClr w14:val="tx1"/>
            </w14:solidFill>
          </w14:textFill>
        </w:rPr>
      </w:pPr>
    </w:p>
    <w:p w14:paraId="53EB7B72">
      <w:pPr>
        <w:spacing w:line="400" w:lineRule="exact"/>
        <w:rPr>
          <w:rFonts w:ascii="Arial" w:hAnsi="Arial"/>
          <w:color w:val="000000" w:themeColor="text1"/>
          <w:sz w:val="24"/>
          <w14:textFill>
            <w14:solidFill>
              <w14:schemeClr w14:val="tx1"/>
            </w14:solidFill>
          </w14:textFill>
        </w:rPr>
      </w:pPr>
    </w:p>
    <w:p w14:paraId="2687B8FA">
      <w:pPr>
        <w:spacing w:line="400" w:lineRule="exact"/>
        <w:rPr>
          <w:rFonts w:ascii="Arial" w:hAnsi="Arial"/>
          <w:color w:val="000000" w:themeColor="text1"/>
          <w:sz w:val="24"/>
          <w14:textFill>
            <w14:solidFill>
              <w14:schemeClr w14:val="tx1"/>
            </w14:solidFill>
          </w14:textFill>
        </w:rPr>
      </w:pPr>
    </w:p>
    <w:p w14:paraId="69498710">
      <w:pPr>
        <w:spacing w:line="400" w:lineRule="exact"/>
        <w:ind w:firstLine="551" w:firstLineChars="196"/>
        <w:outlineLvl w:val="0"/>
        <w:rPr>
          <w:rFonts w:ascii="宋体" w:hAnsi="宋体"/>
          <w:b/>
          <w:color w:val="000000" w:themeColor="text1"/>
          <w:sz w:val="28"/>
          <w14:textFill>
            <w14:solidFill>
              <w14:schemeClr w14:val="tx1"/>
            </w14:solidFill>
          </w14:textFill>
        </w:rPr>
      </w:pPr>
      <w:bookmarkStart w:id="165" w:name="_Toc180394639"/>
      <w:r>
        <w:rPr>
          <w:rFonts w:hint="eastAsia" w:ascii="宋体" w:hAnsi="宋体"/>
          <w:b/>
          <w:color w:val="000000" w:themeColor="text1"/>
          <w:sz w:val="28"/>
          <w14:textFill>
            <w14:solidFill>
              <w14:schemeClr w14:val="tx1"/>
            </w14:solidFill>
          </w14:textFill>
        </w:rPr>
        <w:t xml:space="preserve">                   </w:t>
      </w:r>
    </w:p>
    <w:p w14:paraId="22FC43AF">
      <w:pPr>
        <w:spacing w:line="400" w:lineRule="exact"/>
        <w:ind w:firstLine="551" w:firstLineChars="196"/>
        <w:jc w:val="center"/>
        <w:outlineLvl w:val="0"/>
        <w:rPr>
          <w:rFonts w:ascii="宋体" w:hAnsi="宋体"/>
          <w:b/>
          <w:color w:val="000000" w:themeColor="text1"/>
          <w:sz w:val="28"/>
          <w14:textFill>
            <w14:solidFill>
              <w14:schemeClr w14:val="tx1"/>
            </w14:solidFill>
          </w14:textFill>
        </w:rPr>
      </w:pPr>
      <w:r>
        <w:rPr>
          <w:rFonts w:ascii="宋体" w:hAnsi="宋体"/>
          <w:b/>
          <w:color w:val="000000" w:themeColor="text1"/>
          <w:sz w:val="28"/>
          <w14:textFill>
            <w14:solidFill>
              <w14:schemeClr w14:val="tx1"/>
            </w14:solidFill>
          </w14:textFill>
        </w:rPr>
        <w:br w:type="page"/>
      </w:r>
      <w:bookmarkEnd w:id="165"/>
      <w:bookmarkStart w:id="166" w:name="_Toc137563039"/>
      <w:bookmarkStart w:id="167" w:name="_Toc75338347"/>
      <w:r>
        <w:rPr>
          <w:rFonts w:hint="eastAsia" w:ascii="宋体" w:hAnsi="宋体"/>
          <w:b/>
          <w:color w:val="000000" w:themeColor="text1"/>
          <w:sz w:val="28"/>
          <w14:textFill>
            <w14:solidFill>
              <w14:schemeClr w14:val="tx1"/>
            </w14:solidFill>
          </w14:textFill>
        </w:rPr>
        <w:t>分项报价明细表</w:t>
      </w:r>
      <w:bookmarkEnd w:id="166"/>
      <w:bookmarkEnd w:id="167"/>
    </w:p>
    <w:p w14:paraId="13685833">
      <w:pPr>
        <w:spacing w:line="400" w:lineRule="exact"/>
        <w:rPr>
          <w:rFonts w:ascii="宋体" w:hAnsi="宋体"/>
          <w:color w:val="000000" w:themeColor="text1"/>
          <w:szCs w:val="21"/>
          <w:u w:val="single"/>
          <w14:textFill>
            <w14:solidFill>
              <w14:schemeClr w14:val="tx1"/>
            </w14:solidFill>
          </w14:textFill>
        </w:rPr>
      </w:pPr>
    </w:p>
    <w:p w14:paraId="36F6B042">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采购编号：  </w:t>
      </w:r>
      <w:r>
        <w:rPr>
          <w:rFonts w:hint="eastAsia" w:ascii="宋体" w:hAnsi="宋体"/>
          <w:color w:val="000000" w:themeColor="text1"/>
          <w:szCs w:val="21"/>
          <w:u w:val="single"/>
          <w14:textFill>
            <w14:solidFill>
              <w14:schemeClr w14:val="tx1"/>
            </w14:solidFill>
          </w14:textFill>
        </w:rPr>
        <w:t xml:space="preserve">              </w:t>
      </w:r>
    </w:p>
    <w:p w14:paraId="1B56EBD8">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磋商供应商全称(加盖公章)：</w:t>
      </w:r>
      <w:r>
        <w:rPr>
          <w:rFonts w:hint="eastAsia" w:ascii="宋体" w:hAnsi="宋体"/>
          <w:color w:val="000000" w:themeColor="text1"/>
          <w:szCs w:val="21"/>
          <w:u w:val="single"/>
          <w14:textFill>
            <w14:solidFill>
              <w14:schemeClr w14:val="tx1"/>
            </w14:solidFill>
          </w14:textFill>
        </w:rPr>
        <w:t xml:space="preserve">                    </w:t>
      </w:r>
    </w:p>
    <w:p w14:paraId="0C9A2EDD">
      <w:pPr>
        <w:tabs>
          <w:tab w:val="left" w:pos="1500"/>
        </w:tabs>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p>
    <w:p w14:paraId="3788294B">
      <w:pPr>
        <w:tabs>
          <w:tab w:val="left" w:pos="1500"/>
        </w:tabs>
        <w:spacing w:line="400" w:lineRule="exact"/>
        <w:rPr>
          <w:rFonts w:ascii="宋体" w:hAnsi="宋体"/>
          <w:color w:val="000000" w:themeColor="text1"/>
          <w:szCs w:val="21"/>
          <w14:textFill>
            <w14:solidFill>
              <w14:schemeClr w14:val="tx1"/>
            </w14:solidFill>
          </w14:textFill>
        </w:rPr>
      </w:pPr>
    </w:p>
    <w:p w14:paraId="50C1D1D9">
      <w:pPr>
        <w:spacing w:line="40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（内容根据磋商文件要求自拟）</w:t>
      </w:r>
    </w:p>
    <w:p w14:paraId="59ADCD58">
      <w:pPr>
        <w:tabs>
          <w:tab w:val="left" w:pos="1500"/>
        </w:tabs>
        <w:spacing w:line="400" w:lineRule="exact"/>
        <w:rPr>
          <w:rFonts w:ascii="宋体" w:hAnsi="宋体"/>
          <w:color w:val="000000" w:themeColor="text1"/>
          <w:szCs w:val="21"/>
          <w14:textFill>
            <w14:solidFill>
              <w14:schemeClr w14:val="tx1"/>
            </w14:solidFill>
          </w14:textFill>
        </w:rPr>
      </w:pPr>
    </w:p>
    <w:p w14:paraId="2A91A58D">
      <w:pPr>
        <w:tabs>
          <w:tab w:val="left" w:pos="1500"/>
        </w:tabs>
        <w:spacing w:line="400" w:lineRule="exact"/>
        <w:rPr>
          <w:rFonts w:ascii="宋体" w:hAnsi="宋体"/>
          <w:color w:val="000000" w:themeColor="text1"/>
          <w:szCs w:val="21"/>
          <w14:textFill>
            <w14:solidFill>
              <w14:schemeClr w14:val="tx1"/>
            </w14:solidFill>
          </w14:textFill>
        </w:rPr>
      </w:pPr>
    </w:p>
    <w:p w14:paraId="6EECE93E">
      <w:pPr>
        <w:tabs>
          <w:tab w:val="left" w:pos="1500"/>
        </w:tabs>
        <w:spacing w:line="400" w:lineRule="exact"/>
        <w:rPr>
          <w:rFonts w:ascii="宋体" w:hAnsi="宋体"/>
          <w:color w:val="000000" w:themeColor="text1"/>
          <w:szCs w:val="21"/>
          <w14:textFill>
            <w14:solidFill>
              <w14:schemeClr w14:val="tx1"/>
            </w14:solidFill>
          </w14:textFill>
        </w:rPr>
      </w:pPr>
    </w:p>
    <w:p w14:paraId="18B9362D">
      <w:pPr>
        <w:tabs>
          <w:tab w:val="left" w:pos="1500"/>
        </w:tabs>
        <w:spacing w:line="400" w:lineRule="exact"/>
        <w:rPr>
          <w:rFonts w:ascii="宋体" w:hAnsi="宋体"/>
          <w:color w:val="000000" w:themeColor="text1"/>
          <w:szCs w:val="21"/>
          <w14:textFill>
            <w14:solidFill>
              <w14:schemeClr w14:val="tx1"/>
            </w14:solidFill>
          </w14:textFill>
        </w:rPr>
      </w:pPr>
    </w:p>
    <w:p w14:paraId="413420A3">
      <w:pPr>
        <w:tabs>
          <w:tab w:val="left" w:pos="1500"/>
        </w:tabs>
        <w:spacing w:line="400" w:lineRule="exact"/>
        <w:rPr>
          <w:rFonts w:ascii="宋体" w:hAnsi="宋体"/>
          <w:color w:val="000000" w:themeColor="text1"/>
          <w:szCs w:val="21"/>
          <w14:textFill>
            <w14:solidFill>
              <w14:schemeClr w14:val="tx1"/>
            </w14:solidFill>
          </w14:textFill>
        </w:rPr>
      </w:pPr>
    </w:p>
    <w:p w14:paraId="1228B388">
      <w:pPr>
        <w:tabs>
          <w:tab w:val="left" w:pos="1500"/>
        </w:tabs>
        <w:spacing w:line="400" w:lineRule="exact"/>
        <w:rPr>
          <w:rFonts w:ascii="宋体" w:hAnsi="宋体"/>
          <w:color w:val="000000" w:themeColor="text1"/>
          <w:szCs w:val="21"/>
          <w14:textFill>
            <w14:solidFill>
              <w14:schemeClr w14:val="tx1"/>
            </w14:solidFill>
          </w14:textFill>
        </w:rPr>
      </w:pPr>
    </w:p>
    <w:p w14:paraId="0C9286BE">
      <w:pPr>
        <w:tabs>
          <w:tab w:val="left" w:pos="1500"/>
        </w:tabs>
        <w:spacing w:line="400" w:lineRule="exact"/>
        <w:rPr>
          <w:rFonts w:ascii="宋体" w:hAnsi="宋体"/>
          <w:color w:val="000000" w:themeColor="text1"/>
          <w:szCs w:val="21"/>
          <w14:textFill>
            <w14:solidFill>
              <w14:schemeClr w14:val="tx1"/>
            </w14:solidFill>
          </w14:textFill>
        </w:rPr>
      </w:pPr>
    </w:p>
    <w:p w14:paraId="6AB45400">
      <w:pPr>
        <w:tabs>
          <w:tab w:val="left" w:pos="1500"/>
        </w:tabs>
        <w:spacing w:line="400" w:lineRule="exact"/>
        <w:rPr>
          <w:rFonts w:ascii="宋体" w:hAnsi="宋体"/>
          <w:color w:val="000000" w:themeColor="text1"/>
          <w:szCs w:val="21"/>
          <w14:textFill>
            <w14:solidFill>
              <w14:schemeClr w14:val="tx1"/>
            </w14:solidFill>
          </w14:textFill>
        </w:rPr>
      </w:pPr>
    </w:p>
    <w:p w14:paraId="36931D73">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w:t>
      </w:r>
    </w:p>
    <w:p w14:paraId="603FEE69">
      <w:pP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1、单价为完全综合单价，此单价包括完成质量标准规定的所有工作内容在内的人工、机械、材料、措施费、规费、利润、税金、政策性文件规定及合同包含的所有风险、责任等所有费用。</w:t>
      </w:r>
    </w:p>
    <w:p w14:paraId="0070110B">
      <w:pP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2、供应商可以根据磋商文件的要求以及各自的方案做出详细的报价书，详细列明为完成本项目所需各种细项费用和合计总价。按提供的《工程量清单》统一格式进行编制。（如果没有特别要求的，则格式由供应商根据项目特点自行拟制。）</w:t>
      </w:r>
    </w:p>
    <w:p w14:paraId="42462D15">
      <w:pPr>
        <w:spacing w:line="480" w:lineRule="exact"/>
        <w:rPr>
          <w:rFonts w:ascii="宋体" w:hAnsi="宋体"/>
          <w:color w:val="000000" w:themeColor="text1"/>
          <w:szCs w:val="21"/>
          <w14:textFill>
            <w14:solidFill>
              <w14:schemeClr w14:val="tx1"/>
            </w14:solidFill>
          </w14:textFill>
        </w:rPr>
      </w:pPr>
    </w:p>
    <w:p w14:paraId="6F877FD9">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磋商代表签字：</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p>
    <w:p w14:paraId="09ED78FD">
      <w:pPr>
        <w:rPr>
          <w:rFonts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mc:AlternateContent>
          <mc:Choice Requires="wps">
            <w:drawing>
              <wp:anchor distT="0" distB="0" distL="114300" distR="114300" simplePos="0" relativeHeight="251661312" behindDoc="0" locked="0" layoutInCell="0" allowOverlap="1">
                <wp:simplePos x="0" y="0"/>
                <wp:positionH relativeFrom="column">
                  <wp:posOffset>1143000</wp:posOffset>
                </wp:positionH>
                <wp:positionV relativeFrom="paragraph">
                  <wp:posOffset>143510</wp:posOffset>
                </wp:positionV>
                <wp:extent cx="0" cy="2540"/>
                <wp:effectExtent l="0" t="0" r="0" b="0"/>
                <wp:wrapNone/>
                <wp:docPr id="3" name="直线 45"/>
                <wp:cNvGraphicFramePr/>
                <a:graphic xmlns:a="http://schemas.openxmlformats.org/drawingml/2006/main">
                  <a:graphicData uri="http://schemas.microsoft.com/office/word/2010/wordprocessingShape">
                    <wps:wsp>
                      <wps:cNvCnPr/>
                      <wps:spPr>
                        <a:xfrm>
                          <a:off x="0" y="0"/>
                          <a:ext cx="0" cy="254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45" o:spid="_x0000_s1026" o:spt="20" style="position:absolute;left:0pt;margin-left:90pt;margin-top:11.3pt;height:0.2pt;width:0pt;z-index:251661312;mso-width-relative:page;mso-height-relative:page;" filled="f" stroked="t" coordsize="21600,21600" o:allowincell="f" o:gfxdata="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XBRhh1QAAAAkBAAAP&#10;AAAAAAAAAAEAIAAAACIAAABkcnMvZG93bnJldi54bWxQSwECFAAUAAAACACHTuJAFPXakeIBAADb&#10;AwAADgAAAAAAAAABACAAAAAkAQAAZHJzL2Uyb0RvYy54bWxQSwUGAAAAAAYABgBZAQAAeAUAAAAA&#10;">
                <v:fill on="f" focussize="0,0"/>
                <v:stroke color="#000000" joinstyle="round"/>
                <v:imagedata o:title=""/>
                <o:lock v:ext="edit" aspectratio="f"/>
              </v:line>
            </w:pict>
          </mc:Fallback>
        </mc:AlternateContent>
      </w:r>
      <w:r>
        <w:rPr>
          <w:rFonts w:hint="eastAsia" w:ascii="宋体" w:hAnsi="宋体"/>
          <w:color w:val="000000" w:themeColor="text1"/>
          <w:szCs w:val="21"/>
          <w14:textFill>
            <w14:solidFill>
              <w14:schemeClr w14:val="tx1"/>
            </w14:solidFill>
          </w14:textFill>
        </w:rPr>
        <w:t>日期：</w:t>
      </w:r>
      <w:r>
        <w:rPr>
          <w:rFonts w:ascii="宋体" w:hAnsi="宋体"/>
          <w:color w:val="000000" w:themeColor="text1"/>
          <w:szCs w:val="21"/>
          <w:u w:val="single"/>
          <w14:textFill>
            <w14:solidFill>
              <w14:schemeClr w14:val="tx1"/>
            </w14:solidFill>
          </w14:textFill>
        </w:rPr>
        <w:t xml:space="preserve">                 </w:t>
      </w:r>
    </w:p>
    <w:p w14:paraId="4769E612">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p>
    <w:p w14:paraId="70A3D254">
      <w:pPr>
        <w:spacing w:line="360" w:lineRule="exact"/>
        <w:rPr>
          <w:rFonts w:ascii="宋体" w:hAnsi="宋体"/>
          <w:color w:val="000000" w:themeColor="text1"/>
          <w:szCs w:val="21"/>
          <w:u w:val="single"/>
          <w14:textFill>
            <w14:solidFill>
              <w14:schemeClr w14:val="tx1"/>
            </w14:solidFill>
          </w14:textFill>
        </w:rPr>
      </w:pPr>
    </w:p>
    <w:p w14:paraId="6500165A">
      <w:pPr>
        <w:spacing w:line="400" w:lineRule="exact"/>
        <w:rPr>
          <w:rFonts w:ascii="宋体" w:hAnsi="宋体"/>
          <w:b/>
          <w:color w:val="000000" w:themeColor="text1"/>
          <w:szCs w:val="21"/>
          <w14:textFill>
            <w14:solidFill>
              <w14:schemeClr w14:val="tx1"/>
            </w14:solidFill>
          </w14:textFill>
        </w:rPr>
      </w:pPr>
    </w:p>
    <w:p w14:paraId="60965BD8">
      <w:pPr>
        <w:spacing w:line="400" w:lineRule="exact"/>
        <w:rPr>
          <w:rFonts w:ascii="宋体" w:hAnsi="宋体"/>
          <w:b/>
          <w:color w:val="000000" w:themeColor="text1"/>
          <w:szCs w:val="21"/>
          <w14:textFill>
            <w14:solidFill>
              <w14:schemeClr w14:val="tx1"/>
            </w14:solidFill>
          </w14:textFill>
        </w:rPr>
      </w:pPr>
    </w:p>
    <w:p w14:paraId="0464F778">
      <w:pPr>
        <w:spacing w:line="400" w:lineRule="exact"/>
        <w:rPr>
          <w:rFonts w:ascii="宋体" w:hAnsi="宋体"/>
          <w:b/>
          <w:color w:val="000000" w:themeColor="text1"/>
          <w:szCs w:val="21"/>
          <w14:textFill>
            <w14:solidFill>
              <w14:schemeClr w14:val="tx1"/>
            </w14:solidFill>
          </w14:textFill>
        </w:rPr>
      </w:pPr>
    </w:p>
    <w:p w14:paraId="4334F14E">
      <w:pPr>
        <w:spacing w:line="400" w:lineRule="exact"/>
        <w:rPr>
          <w:rFonts w:ascii="宋体" w:hAnsi="宋体"/>
          <w:b/>
          <w:color w:val="000000" w:themeColor="text1"/>
          <w:szCs w:val="21"/>
          <w14:textFill>
            <w14:solidFill>
              <w14:schemeClr w14:val="tx1"/>
            </w14:solidFill>
          </w14:textFill>
        </w:rPr>
      </w:pPr>
    </w:p>
    <w:p w14:paraId="667B5D43">
      <w:pPr>
        <w:spacing w:line="400" w:lineRule="exact"/>
        <w:rPr>
          <w:rFonts w:ascii="宋体" w:hAnsi="宋体"/>
          <w:b/>
          <w:color w:val="000000" w:themeColor="text1"/>
          <w:szCs w:val="21"/>
          <w14:textFill>
            <w14:solidFill>
              <w14:schemeClr w14:val="tx1"/>
            </w14:solidFill>
          </w14:textFill>
        </w:rPr>
      </w:pPr>
    </w:p>
    <w:p w14:paraId="3F3F1217">
      <w:pPr>
        <w:spacing w:line="400" w:lineRule="exact"/>
        <w:rPr>
          <w:rFonts w:ascii="宋体" w:hAnsi="宋体"/>
          <w:b/>
          <w:color w:val="000000" w:themeColor="text1"/>
          <w:szCs w:val="21"/>
          <w14:textFill>
            <w14:solidFill>
              <w14:schemeClr w14:val="tx1"/>
            </w14:solidFill>
          </w14:textFill>
        </w:rPr>
      </w:pPr>
    </w:p>
    <w:p w14:paraId="0FC94060">
      <w:pPr>
        <w:spacing w:line="400" w:lineRule="exact"/>
        <w:rPr>
          <w:rFonts w:ascii="宋体" w:hAnsi="宋体"/>
          <w:b/>
          <w:color w:val="000000" w:themeColor="text1"/>
          <w:szCs w:val="21"/>
          <w14:textFill>
            <w14:solidFill>
              <w14:schemeClr w14:val="tx1"/>
            </w14:solidFill>
          </w14:textFill>
        </w:rPr>
      </w:pPr>
    </w:p>
    <w:p w14:paraId="3FAAC2A5">
      <w:pPr>
        <w:spacing w:line="400" w:lineRule="exact"/>
        <w:rPr>
          <w:rFonts w:ascii="宋体" w:hAnsi="宋体"/>
          <w:b/>
          <w:color w:val="000000" w:themeColor="text1"/>
          <w:szCs w:val="21"/>
          <w14:textFill>
            <w14:solidFill>
              <w14:schemeClr w14:val="tx1"/>
            </w14:solidFill>
          </w14:textFill>
        </w:rPr>
      </w:pPr>
    </w:p>
    <w:p w14:paraId="270EEFE5">
      <w:pPr>
        <w:spacing w:line="400" w:lineRule="exact"/>
        <w:rPr>
          <w:rFonts w:ascii="宋体" w:hAnsi="宋体"/>
          <w:b/>
          <w:color w:val="000000" w:themeColor="text1"/>
          <w:szCs w:val="21"/>
          <w14:textFill>
            <w14:solidFill>
              <w14:schemeClr w14:val="tx1"/>
            </w14:solidFill>
          </w14:textFill>
        </w:rPr>
      </w:pPr>
    </w:p>
    <w:p w14:paraId="7538BFCA">
      <w:pPr>
        <w:spacing w:line="400" w:lineRule="exact"/>
        <w:rPr>
          <w:rFonts w:ascii="宋体" w:hAnsi="宋体"/>
          <w:b/>
          <w:color w:val="000000" w:themeColor="text1"/>
          <w:szCs w:val="21"/>
          <w14:textFill>
            <w14:solidFill>
              <w14:schemeClr w14:val="tx1"/>
            </w14:solidFill>
          </w14:textFill>
        </w:rPr>
      </w:pPr>
    </w:p>
    <w:p w14:paraId="57EEE095">
      <w:pPr>
        <w:spacing w:line="400" w:lineRule="exact"/>
        <w:rPr>
          <w:rFonts w:ascii="宋体" w:hAnsi="宋体"/>
          <w:b/>
          <w:color w:val="000000" w:themeColor="text1"/>
          <w:szCs w:val="21"/>
          <w14:textFill>
            <w14:solidFill>
              <w14:schemeClr w14:val="tx1"/>
            </w14:solidFill>
          </w14:textFill>
        </w:rPr>
      </w:pPr>
    </w:p>
    <w:p w14:paraId="61715FE2">
      <w:pPr>
        <w:spacing w:line="400" w:lineRule="exact"/>
        <w:rPr>
          <w:rFonts w:ascii="宋体" w:hAnsi="宋体"/>
          <w:b/>
          <w:color w:val="000000" w:themeColor="text1"/>
          <w:szCs w:val="21"/>
          <w14:textFill>
            <w14:solidFill>
              <w14:schemeClr w14:val="tx1"/>
            </w14:solidFill>
          </w14:textFill>
        </w:rPr>
      </w:pPr>
    </w:p>
    <w:p w14:paraId="0C0B6FAC">
      <w:pPr>
        <w:jc w:val="center"/>
        <w:outlineLvl w:val="0"/>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br w:type="page"/>
      </w:r>
      <w:bookmarkStart w:id="168" w:name="_Toc71729007"/>
      <w:bookmarkStart w:id="169" w:name="_Toc75338348"/>
      <w:bookmarkStart w:id="170" w:name="_Toc137563040"/>
      <w:bookmarkStart w:id="171" w:name="_Toc67574448"/>
      <w:bookmarkStart w:id="172" w:name="_Toc40862725"/>
      <w:bookmarkStart w:id="173" w:name="_Toc411547902"/>
      <w:bookmarkStart w:id="174" w:name="_Toc414293224"/>
      <w:r>
        <w:rPr>
          <w:rFonts w:hint="eastAsia" w:ascii="宋体" w:hAnsi="宋体"/>
          <w:b/>
          <w:color w:val="000000" w:themeColor="text1"/>
          <w:sz w:val="28"/>
          <w:szCs w:val="28"/>
          <w14:textFill>
            <w14:solidFill>
              <w14:schemeClr w14:val="tx1"/>
            </w14:solidFill>
          </w14:textFill>
        </w:rPr>
        <w:t>中小企业声明函（价格扣除适用，若有）</w:t>
      </w:r>
      <w:bookmarkEnd w:id="168"/>
      <w:bookmarkEnd w:id="169"/>
      <w:bookmarkEnd w:id="170"/>
      <w:bookmarkEnd w:id="171"/>
    </w:p>
    <w:p w14:paraId="229C978A">
      <w:pPr>
        <w:widowControl/>
        <w:spacing w:before="75" w:after="75"/>
        <w:ind w:firstLine="420"/>
        <w:jc w:val="center"/>
        <w:rPr>
          <w:rFonts w:ascii="宋体" w:hAnsi="宋体" w:cs="宋体"/>
          <w:color w:val="000000" w:themeColor="text1"/>
          <w:kern w:val="0"/>
          <w:szCs w:val="21"/>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中小企业声明函（货物）</w:t>
      </w:r>
    </w:p>
    <w:p w14:paraId="2855B651">
      <w:pPr>
        <w:widowControl/>
        <w:spacing w:before="75" w:after="75"/>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i/>
          <w:color w:val="000000" w:themeColor="text1"/>
          <w:kern w:val="0"/>
          <w:szCs w:val="21"/>
          <w:u w:val="single"/>
          <w14:textFill>
            <w14:solidFill>
              <w14:schemeClr w14:val="tx1"/>
            </w14:solidFill>
          </w14:textFill>
        </w:rPr>
        <w:t>单位名称</w:t>
      </w:r>
      <w:r>
        <w:rPr>
          <w:rFonts w:hint="eastAsia" w:ascii="宋体" w:hAnsi="宋体" w:cs="宋体"/>
          <w:color w:val="000000" w:themeColor="text1"/>
          <w:kern w:val="0"/>
          <w:szCs w:val="21"/>
          <w14:textFill>
            <w14:solidFill>
              <w14:schemeClr w14:val="tx1"/>
            </w14:solidFill>
          </w14:textFill>
        </w:rPr>
        <w:t>）的（</w:t>
      </w:r>
      <w:r>
        <w:rPr>
          <w:rFonts w:hint="eastAsia" w:ascii="宋体" w:hAnsi="宋体" w:cs="宋体"/>
          <w:i/>
          <w:color w:val="000000" w:themeColor="text1"/>
          <w:kern w:val="0"/>
          <w:szCs w:val="21"/>
          <w:u w:val="single"/>
          <w14:textFill>
            <w14:solidFill>
              <w14:schemeClr w14:val="tx1"/>
            </w14:solidFill>
          </w14:textFill>
        </w:rPr>
        <w:t>项目名称</w:t>
      </w:r>
      <w:r>
        <w:rPr>
          <w:rFonts w:hint="eastAsia" w:ascii="宋体" w:hAnsi="宋体" w:cs="宋体"/>
          <w:color w:val="000000" w:themeColor="text1"/>
          <w:kern w:val="0"/>
          <w:szCs w:val="21"/>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537A4D4C">
      <w:pPr>
        <w:widowControl/>
        <w:spacing w:before="75" w:after="75"/>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1.  </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i/>
          <w:color w:val="000000" w:themeColor="text1"/>
          <w:kern w:val="0"/>
          <w:szCs w:val="21"/>
          <w:u w:val="single"/>
          <w14:textFill>
            <w14:solidFill>
              <w14:schemeClr w14:val="tx1"/>
            </w14:solidFill>
          </w14:textFill>
        </w:rPr>
        <w:t>标的名称</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 ，属于</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i/>
          <w:color w:val="000000" w:themeColor="text1"/>
          <w:kern w:val="0"/>
          <w:szCs w:val="21"/>
          <w:u w:val="single"/>
          <w14:textFill>
            <w14:solidFill>
              <w14:schemeClr w14:val="tx1"/>
            </w14:solidFill>
          </w14:textFill>
        </w:rPr>
        <w:t>采购文件中明确的所属行业</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行业；制造商为</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i/>
          <w:color w:val="000000" w:themeColor="text1"/>
          <w:kern w:val="0"/>
          <w:szCs w:val="21"/>
          <w:u w:val="single"/>
          <w14:textFill>
            <w14:solidFill>
              <w14:schemeClr w14:val="tx1"/>
            </w14:solidFill>
          </w14:textFill>
        </w:rPr>
        <w:t>企业名称</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，从业人员</w:t>
      </w:r>
      <w:r>
        <w:rPr>
          <w:rFonts w:hint="eastAsia" w:ascii="宋体" w:hAnsi="宋体" w:cs="宋体"/>
          <w:color w:val="000000" w:themeColor="text1"/>
          <w:kern w:val="0"/>
          <w:szCs w:val="21"/>
          <w:u w:val="single"/>
          <w14:textFill>
            <w14:solidFill>
              <w14:schemeClr w14:val="tx1"/>
            </w14:solidFill>
          </w14:textFill>
        </w:rPr>
        <w:t>    </w:t>
      </w:r>
      <w:r>
        <w:rPr>
          <w:rFonts w:hint="eastAsia" w:ascii="宋体" w:hAnsi="宋体" w:cs="宋体"/>
          <w:color w:val="000000" w:themeColor="text1"/>
          <w:kern w:val="0"/>
          <w:szCs w:val="21"/>
          <w14:textFill>
            <w14:solidFill>
              <w14:schemeClr w14:val="tx1"/>
            </w14:solidFill>
          </w14:textFill>
        </w:rPr>
        <w:t>人，营业收入为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万元，资产总额为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万元</w:t>
      </w:r>
      <w:r>
        <w:rPr>
          <w:rFonts w:hint="eastAsia" w:ascii="宋体" w:hAnsi="宋体" w:cs="宋体"/>
          <w:color w:val="000000" w:themeColor="text1"/>
          <w:kern w:val="0"/>
          <w:szCs w:val="21"/>
          <w:vertAlign w:val="superscript"/>
          <w14:textFill>
            <w14:solidFill>
              <w14:schemeClr w14:val="tx1"/>
            </w14:solidFill>
          </w14:textFill>
        </w:rPr>
        <w:t>1</w:t>
      </w:r>
      <w:r>
        <w:rPr>
          <w:rFonts w:hint="eastAsia" w:ascii="宋体" w:hAnsi="宋体" w:cs="宋体"/>
          <w:color w:val="000000" w:themeColor="text1"/>
          <w:kern w:val="0"/>
          <w:szCs w:val="21"/>
          <w14:textFill>
            <w14:solidFill>
              <w14:schemeClr w14:val="tx1"/>
            </w14:solidFill>
          </w14:textFill>
        </w:rPr>
        <w:t>，属于</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i/>
          <w:color w:val="000000" w:themeColor="text1"/>
          <w:kern w:val="0"/>
          <w:szCs w:val="21"/>
          <w:u w:val="single"/>
          <w14:textFill>
            <w14:solidFill>
              <w14:schemeClr w14:val="tx1"/>
            </w14:solidFill>
          </w14:textFill>
        </w:rPr>
        <w:t>中型企业、小型企业、微型企业</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w:t>
      </w:r>
    </w:p>
    <w:p w14:paraId="5248B677">
      <w:pPr>
        <w:widowControl/>
        <w:spacing w:before="75" w:after="75"/>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2.  </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i/>
          <w:color w:val="000000" w:themeColor="text1"/>
          <w:kern w:val="0"/>
          <w:szCs w:val="21"/>
          <w:u w:val="single"/>
          <w14:textFill>
            <w14:solidFill>
              <w14:schemeClr w14:val="tx1"/>
            </w14:solidFill>
          </w14:textFill>
        </w:rPr>
        <w:t>标的名称</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 ，属于</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i/>
          <w:color w:val="000000" w:themeColor="text1"/>
          <w:kern w:val="0"/>
          <w:szCs w:val="21"/>
          <w:u w:val="single"/>
          <w14:textFill>
            <w14:solidFill>
              <w14:schemeClr w14:val="tx1"/>
            </w14:solidFill>
          </w14:textFill>
        </w:rPr>
        <w:t>采购文件中明确的所属行业</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行业；制造商为</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i/>
          <w:color w:val="000000" w:themeColor="text1"/>
          <w:kern w:val="0"/>
          <w:szCs w:val="21"/>
          <w:u w:val="single"/>
          <w14:textFill>
            <w14:solidFill>
              <w14:schemeClr w14:val="tx1"/>
            </w14:solidFill>
          </w14:textFill>
        </w:rPr>
        <w:t>企业名称</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，从业人员</w:t>
      </w:r>
      <w:r>
        <w:rPr>
          <w:rFonts w:hint="eastAsia" w:ascii="宋体" w:hAnsi="宋体" w:cs="宋体"/>
          <w:color w:val="000000" w:themeColor="text1"/>
          <w:kern w:val="0"/>
          <w:szCs w:val="21"/>
          <w:u w:val="single"/>
          <w14:textFill>
            <w14:solidFill>
              <w14:schemeClr w14:val="tx1"/>
            </w14:solidFill>
          </w14:textFill>
        </w:rPr>
        <w:t>    </w:t>
      </w:r>
      <w:r>
        <w:rPr>
          <w:rFonts w:hint="eastAsia" w:ascii="宋体" w:hAnsi="宋体" w:cs="宋体"/>
          <w:color w:val="000000" w:themeColor="text1"/>
          <w:kern w:val="0"/>
          <w:szCs w:val="21"/>
          <w14:textFill>
            <w14:solidFill>
              <w14:schemeClr w14:val="tx1"/>
            </w14:solidFill>
          </w14:textFill>
        </w:rPr>
        <w:t>人，营业收入为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万元，资产总额为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万元，属于</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i/>
          <w:color w:val="000000" w:themeColor="text1"/>
          <w:kern w:val="0"/>
          <w:szCs w:val="21"/>
          <w:u w:val="single"/>
          <w14:textFill>
            <w14:solidFill>
              <w14:schemeClr w14:val="tx1"/>
            </w14:solidFill>
          </w14:textFill>
        </w:rPr>
        <w:t>中型企业、小型企业、微型企业</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w:t>
      </w:r>
    </w:p>
    <w:p w14:paraId="2B098B99">
      <w:pPr>
        <w:widowControl/>
        <w:spacing w:before="75" w:after="75"/>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r>
        <w:rPr>
          <w:rFonts w:hint="eastAsia" w:ascii="宋体" w:hAnsi="宋体" w:cs="宋体"/>
          <w:color w:val="000000" w:themeColor="text1"/>
          <w:kern w:val="0"/>
          <w:szCs w:val="21"/>
          <w14:textFill>
            <w14:solidFill>
              <w14:schemeClr w14:val="tx1"/>
            </w14:solidFill>
          </w14:textFill>
        </w:rPr>
        <w:t>……</w:t>
      </w:r>
    </w:p>
    <w:p w14:paraId="16761A66">
      <w:pPr>
        <w:widowControl/>
        <w:spacing w:before="75" w:after="75"/>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以上企业，不属于大企业的分支机构，不存在控股股东为大企业的情形，也不存在与大企业的负责人为同一人的情形。</w:t>
      </w:r>
    </w:p>
    <w:p w14:paraId="7B6EE5F6">
      <w:pPr>
        <w:pStyle w:val="20"/>
        <w:rPr>
          <w:color w:val="000000" w:themeColor="text1"/>
          <w14:textFill>
            <w14:solidFill>
              <w14:schemeClr w14:val="tx1"/>
            </w14:solidFill>
          </w14:textFill>
        </w:rPr>
      </w:pPr>
    </w:p>
    <w:p w14:paraId="02C2258F">
      <w:pPr>
        <w:widowControl/>
        <w:spacing w:before="75" w:after="75"/>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本企业对上述声明内容的真实性负责。如有虚假，将依法承担相应责任。</w:t>
      </w:r>
    </w:p>
    <w:p w14:paraId="120AE472">
      <w:pPr>
        <w:pStyle w:val="20"/>
        <w:rPr>
          <w:color w:val="000000" w:themeColor="text1"/>
          <w14:textFill>
            <w14:solidFill>
              <w14:schemeClr w14:val="tx1"/>
            </w14:solidFill>
          </w14:textFill>
        </w:rPr>
      </w:pPr>
    </w:p>
    <w:p w14:paraId="3CC155B0">
      <w:pPr>
        <w:widowControl/>
        <w:spacing w:before="75" w:after="75"/>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企业名称（盖章）： </w:t>
      </w:r>
    </w:p>
    <w:p w14:paraId="73F510E8">
      <w:pPr>
        <w:widowControl/>
        <w:spacing w:before="75" w:after="75"/>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日期：</w:t>
      </w:r>
    </w:p>
    <w:p w14:paraId="5F22503D">
      <w:pPr>
        <w:widowControl/>
        <w:spacing w:before="75" w:after="75"/>
        <w:ind w:left="210" w:leftChars="100" w:firstLine="210" w:firstLineChars="100"/>
        <w:jc w:val="left"/>
        <w:rPr>
          <w:rFonts w:ascii="宋体" w:hAnsi="宋体" w:cs="宋体"/>
          <w:color w:val="000000" w:themeColor="text1"/>
          <w:kern w:val="0"/>
          <w:szCs w:val="21"/>
          <w:vertAlign w:val="superscript"/>
          <w14:textFill>
            <w14:solidFill>
              <w14:schemeClr w14:val="tx1"/>
            </w14:solidFill>
          </w14:textFill>
        </w:rPr>
      </w:pPr>
    </w:p>
    <w:p w14:paraId="5AF0EF81">
      <w:pPr>
        <w:widowControl/>
        <w:spacing w:before="75" w:after="75"/>
        <w:ind w:left="210" w:leftChars="100" w:firstLine="210" w:firstLineChars="1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Cs w:val="21"/>
          <w:vertAlign w:val="superscript"/>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从业人员、营业收入、资产总额填报上一年度数据，无上一年度数据的新成立企业可不填报。</w:t>
      </w:r>
      <w:r>
        <w:rPr>
          <w:rFonts w:hint="eastAsia" w:ascii="宋体" w:hAnsi="宋体" w:cs="宋体"/>
          <w:color w:val="000000" w:themeColor="text1"/>
          <w:kern w:val="0"/>
          <w:sz w:val="24"/>
          <w14:textFill>
            <w14:solidFill>
              <w14:schemeClr w14:val="tx1"/>
            </w14:solidFill>
          </w14:textFill>
        </w:rPr>
        <w:t>   </w:t>
      </w:r>
    </w:p>
    <w:p w14:paraId="252E2D14">
      <w:pPr>
        <w:widowControl/>
        <w:spacing w:before="75" w:after="75"/>
        <w:jc w:val="left"/>
        <w:rPr>
          <w:rFonts w:ascii="宋体" w:hAnsi="宋体" w:cs="宋体"/>
          <w:color w:val="000000" w:themeColor="text1"/>
          <w:kern w:val="0"/>
          <w:sz w:val="24"/>
          <w14:textFill>
            <w14:solidFill>
              <w14:schemeClr w14:val="tx1"/>
            </w14:solidFill>
          </w14:textFill>
        </w:rPr>
      </w:pPr>
    </w:p>
    <w:p w14:paraId="2BCA6CC1">
      <w:pPr>
        <w:jc w:val="center"/>
        <w:outlineLvl w:val="0"/>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br w:type="page"/>
      </w:r>
      <w:bookmarkStart w:id="175" w:name="_Toc137563041"/>
      <w:bookmarkStart w:id="176" w:name="_Toc67574449"/>
      <w:bookmarkStart w:id="177" w:name="_Toc71729008"/>
      <w:bookmarkStart w:id="178" w:name="_Toc75338349"/>
      <w:r>
        <w:rPr>
          <w:rFonts w:hint="eastAsia" w:ascii="宋体" w:hAnsi="宋体"/>
          <w:b/>
          <w:color w:val="000000" w:themeColor="text1"/>
          <w:sz w:val="28"/>
          <w:szCs w:val="28"/>
          <w14:textFill>
            <w14:solidFill>
              <w14:schemeClr w14:val="tx1"/>
            </w14:solidFill>
          </w14:textFill>
        </w:rPr>
        <w:t>中小企业声明函（工程、服务）</w:t>
      </w:r>
      <w:bookmarkEnd w:id="175"/>
      <w:bookmarkEnd w:id="176"/>
      <w:bookmarkEnd w:id="177"/>
      <w:bookmarkEnd w:id="178"/>
    </w:p>
    <w:p w14:paraId="1F6B8296">
      <w:pPr>
        <w:widowControl/>
        <w:spacing w:before="75" w:after="75"/>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i/>
          <w:color w:val="000000" w:themeColor="text1"/>
          <w:kern w:val="0"/>
          <w:szCs w:val="21"/>
          <w:u w:val="single"/>
          <w14:textFill>
            <w14:solidFill>
              <w14:schemeClr w14:val="tx1"/>
            </w14:solidFill>
          </w14:textFill>
        </w:rPr>
        <w:t>（单位名称）</w:t>
      </w:r>
      <w:r>
        <w:rPr>
          <w:rFonts w:hint="eastAsia" w:ascii="宋体" w:hAnsi="宋体" w:cs="宋体"/>
          <w:color w:val="000000" w:themeColor="text1"/>
          <w:kern w:val="0"/>
          <w:szCs w:val="21"/>
          <w14:textFill>
            <w14:solidFill>
              <w14:schemeClr w14:val="tx1"/>
            </w14:solidFill>
          </w14:textFill>
        </w:rPr>
        <w:t>的</w:t>
      </w:r>
      <w:r>
        <w:rPr>
          <w:rFonts w:hint="eastAsia" w:ascii="宋体" w:hAnsi="宋体" w:cs="宋体"/>
          <w:i/>
          <w:color w:val="000000" w:themeColor="text1"/>
          <w:kern w:val="0"/>
          <w:szCs w:val="21"/>
          <w:u w:val="single"/>
          <w14:textFill>
            <w14:solidFill>
              <w14:schemeClr w14:val="tx1"/>
            </w14:solidFill>
          </w14:textFill>
        </w:rPr>
        <w:t>（项目名称）</w:t>
      </w:r>
      <w:r>
        <w:rPr>
          <w:rFonts w:hint="eastAsia" w:ascii="宋体" w:hAnsi="宋体" w:cs="宋体"/>
          <w:color w:val="000000" w:themeColor="text1"/>
          <w:kern w:val="0"/>
          <w:szCs w:val="21"/>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E6DF4E7">
      <w:pPr>
        <w:widowControl/>
        <w:spacing w:before="75" w:after="75"/>
        <w:ind w:firstLine="42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1. </w:t>
      </w:r>
      <w:r>
        <w:rPr>
          <w:rFonts w:hint="eastAsia" w:ascii="宋体" w:hAnsi="宋体" w:cs="宋体"/>
          <w:i/>
          <w:color w:val="000000" w:themeColor="text1"/>
          <w:kern w:val="0"/>
          <w:szCs w:val="21"/>
          <w:u w:val="single"/>
          <w14:textFill>
            <w14:solidFill>
              <w14:schemeClr w14:val="tx1"/>
            </w14:solidFill>
          </w14:textFill>
        </w:rPr>
        <w:t>（标的名称）</w:t>
      </w:r>
      <w:r>
        <w:rPr>
          <w:rFonts w:hint="eastAsia" w:ascii="宋体" w:hAnsi="宋体" w:cs="宋体"/>
          <w:color w:val="000000" w:themeColor="text1"/>
          <w:kern w:val="0"/>
          <w:szCs w:val="21"/>
          <w14:textFill>
            <w14:solidFill>
              <w14:schemeClr w14:val="tx1"/>
            </w14:solidFill>
          </w14:textFill>
        </w:rPr>
        <w:t>，属于</w:t>
      </w:r>
      <w:r>
        <w:rPr>
          <w:rFonts w:hint="eastAsia" w:ascii="宋体" w:hAnsi="宋体" w:cs="宋体"/>
          <w:i/>
          <w:color w:val="000000" w:themeColor="text1"/>
          <w:kern w:val="0"/>
          <w:szCs w:val="21"/>
          <w:u w:val="single"/>
          <w14:textFill>
            <w14:solidFill>
              <w14:schemeClr w14:val="tx1"/>
            </w14:solidFill>
          </w14:textFill>
        </w:rPr>
        <w:t>（采购文件中明确的所属行业）</w:t>
      </w:r>
      <w:r>
        <w:rPr>
          <w:rFonts w:hint="eastAsia" w:ascii="宋体" w:hAnsi="宋体" w:cs="宋体"/>
          <w:color w:val="000000" w:themeColor="text1"/>
          <w:kern w:val="0"/>
          <w:szCs w:val="21"/>
          <w14:textFill>
            <w14:solidFill>
              <w14:schemeClr w14:val="tx1"/>
            </w14:solidFill>
          </w14:textFill>
        </w:rPr>
        <w:t>；承建（承接）企业为</w:t>
      </w:r>
      <w:r>
        <w:rPr>
          <w:rFonts w:hint="eastAsia" w:ascii="宋体" w:hAnsi="宋体" w:cs="宋体"/>
          <w:color w:val="000000" w:themeColor="text1"/>
          <w:kern w:val="0"/>
          <w:szCs w:val="21"/>
          <w:u w:val="single"/>
          <w14:textFill>
            <w14:solidFill>
              <w14:schemeClr w14:val="tx1"/>
            </w14:solidFill>
          </w14:textFill>
        </w:rPr>
        <w:t>（企业名称）</w:t>
      </w:r>
      <w:r>
        <w:rPr>
          <w:rFonts w:hint="eastAsia" w:ascii="宋体" w:hAnsi="宋体" w:cs="宋体"/>
          <w:color w:val="000000" w:themeColor="text1"/>
          <w:kern w:val="0"/>
          <w:szCs w:val="21"/>
          <w14:textFill>
            <w14:solidFill>
              <w14:schemeClr w14:val="tx1"/>
            </w14:solidFill>
          </w14:textFill>
        </w:rPr>
        <w:t>，从业人员</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人，营业收入为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万元，资产总额为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万元</w:t>
      </w:r>
      <w:r>
        <w:rPr>
          <w:rFonts w:hint="eastAsia" w:ascii="宋体" w:hAnsi="宋体" w:cs="宋体"/>
          <w:color w:val="000000" w:themeColor="text1"/>
          <w:kern w:val="0"/>
          <w:szCs w:val="21"/>
          <w:vertAlign w:val="superscript"/>
          <w14:textFill>
            <w14:solidFill>
              <w14:schemeClr w14:val="tx1"/>
            </w14:solidFill>
          </w14:textFill>
        </w:rPr>
        <w:t>1</w:t>
      </w:r>
      <w:r>
        <w:rPr>
          <w:rFonts w:hint="eastAsia" w:ascii="宋体" w:hAnsi="宋体" w:cs="宋体"/>
          <w:color w:val="000000" w:themeColor="text1"/>
          <w:kern w:val="0"/>
          <w:szCs w:val="21"/>
          <w14:textFill>
            <w14:solidFill>
              <w14:schemeClr w14:val="tx1"/>
            </w14:solidFill>
          </w14:textFill>
        </w:rPr>
        <w:t>，属于（</w:t>
      </w:r>
      <w:r>
        <w:rPr>
          <w:rFonts w:hint="eastAsia" w:ascii="宋体" w:hAnsi="宋体" w:cs="宋体"/>
          <w:i/>
          <w:color w:val="000000" w:themeColor="text1"/>
          <w:kern w:val="0"/>
          <w:szCs w:val="21"/>
          <w:u w:val="single"/>
          <w14:textFill>
            <w14:solidFill>
              <w14:schemeClr w14:val="tx1"/>
            </w14:solidFill>
          </w14:textFill>
        </w:rPr>
        <w:t>中型企业、小型企业、微型企业</w:t>
      </w:r>
      <w:r>
        <w:rPr>
          <w:rFonts w:hint="eastAsia" w:ascii="宋体" w:hAnsi="宋体" w:cs="宋体"/>
          <w:color w:val="000000" w:themeColor="text1"/>
          <w:kern w:val="0"/>
          <w:szCs w:val="21"/>
          <w14:textFill>
            <w14:solidFill>
              <w14:schemeClr w14:val="tx1"/>
            </w14:solidFill>
          </w14:textFill>
        </w:rPr>
        <w:t>）；</w:t>
      </w:r>
    </w:p>
    <w:p w14:paraId="1AA1252D">
      <w:pPr>
        <w:widowControl/>
        <w:spacing w:before="100" w:beforeAutospacing="1" w:after="100" w:afterAutospacing="1"/>
        <w:jc w:val="righ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2. </w:t>
      </w:r>
      <w:r>
        <w:rPr>
          <w:rFonts w:hint="eastAsia" w:ascii="宋体" w:hAnsi="宋体" w:cs="宋体"/>
          <w:i/>
          <w:color w:val="000000" w:themeColor="text1"/>
          <w:kern w:val="0"/>
          <w:szCs w:val="21"/>
          <w:u w:val="single"/>
          <w14:textFill>
            <w14:solidFill>
              <w14:schemeClr w14:val="tx1"/>
            </w14:solidFill>
          </w14:textFill>
        </w:rPr>
        <w:t>（标的名称）</w:t>
      </w:r>
      <w:r>
        <w:rPr>
          <w:rFonts w:hint="eastAsia" w:ascii="宋体" w:hAnsi="宋体" w:cs="宋体"/>
          <w:color w:val="000000" w:themeColor="text1"/>
          <w:kern w:val="0"/>
          <w:szCs w:val="21"/>
          <w14:textFill>
            <w14:solidFill>
              <w14:schemeClr w14:val="tx1"/>
            </w14:solidFill>
          </w14:textFill>
        </w:rPr>
        <w:t>，属于</w:t>
      </w:r>
      <w:r>
        <w:rPr>
          <w:rFonts w:hint="eastAsia" w:ascii="宋体" w:hAnsi="宋体" w:cs="宋体"/>
          <w:i/>
          <w:color w:val="000000" w:themeColor="text1"/>
          <w:kern w:val="0"/>
          <w:szCs w:val="21"/>
          <w:u w:val="single"/>
          <w14:textFill>
            <w14:solidFill>
              <w14:schemeClr w14:val="tx1"/>
            </w14:solidFill>
          </w14:textFill>
        </w:rPr>
        <w:t>（采购文件中明确的所属行业）</w:t>
      </w:r>
      <w:r>
        <w:rPr>
          <w:rFonts w:hint="eastAsia" w:ascii="宋体" w:hAnsi="宋体" w:cs="宋体"/>
          <w:color w:val="000000" w:themeColor="text1"/>
          <w:kern w:val="0"/>
          <w:szCs w:val="21"/>
          <w14:textFill>
            <w14:solidFill>
              <w14:schemeClr w14:val="tx1"/>
            </w14:solidFill>
          </w14:textFill>
        </w:rPr>
        <w:t>；承建（承接）企业为</w:t>
      </w:r>
      <w:r>
        <w:rPr>
          <w:rFonts w:hint="eastAsia" w:ascii="宋体" w:hAnsi="宋体" w:cs="宋体"/>
          <w:color w:val="000000" w:themeColor="text1"/>
          <w:kern w:val="0"/>
          <w:szCs w:val="21"/>
          <w:u w:val="single"/>
          <w14:textFill>
            <w14:solidFill>
              <w14:schemeClr w14:val="tx1"/>
            </w14:solidFill>
          </w14:textFill>
        </w:rPr>
        <w:t>（企业名称）</w:t>
      </w:r>
      <w:r>
        <w:rPr>
          <w:rFonts w:hint="eastAsia" w:ascii="宋体" w:hAnsi="宋体" w:cs="宋体"/>
          <w:color w:val="000000" w:themeColor="text1"/>
          <w:kern w:val="0"/>
          <w:szCs w:val="21"/>
          <w14:textFill>
            <w14:solidFill>
              <w14:schemeClr w14:val="tx1"/>
            </w14:solidFill>
          </w14:textFill>
        </w:rPr>
        <w:t>，从业人员</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人，营业收入为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万元，资产总额为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万元，属于（</w:t>
      </w:r>
      <w:r>
        <w:rPr>
          <w:rFonts w:hint="eastAsia" w:ascii="宋体" w:hAnsi="宋体" w:cs="宋体"/>
          <w:i/>
          <w:color w:val="000000" w:themeColor="text1"/>
          <w:kern w:val="0"/>
          <w:szCs w:val="21"/>
          <w:u w:val="single"/>
          <w14:textFill>
            <w14:solidFill>
              <w14:schemeClr w14:val="tx1"/>
            </w14:solidFill>
          </w14:textFill>
        </w:rPr>
        <w:t>中型企业、小型企业、微型企业</w:t>
      </w:r>
      <w:r>
        <w:rPr>
          <w:rFonts w:hint="eastAsia" w:ascii="宋体" w:hAnsi="宋体" w:cs="宋体"/>
          <w:color w:val="000000" w:themeColor="text1"/>
          <w:kern w:val="0"/>
          <w:szCs w:val="21"/>
          <w14:textFill>
            <w14:solidFill>
              <w14:schemeClr w14:val="tx1"/>
            </w14:solidFill>
          </w14:textFill>
        </w:rPr>
        <w:t>）；</w:t>
      </w:r>
    </w:p>
    <w:p w14:paraId="154F658E">
      <w:pPr>
        <w:widowControl/>
        <w:spacing w:before="100" w:beforeAutospacing="1" w:after="100" w:afterAutospacing="1"/>
        <w:jc w:val="righ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w:t>
      </w:r>
    </w:p>
    <w:p w14:paraId="24E0C6D0">
      <w:pPr>
        <w:widowControl/>
        <w:spacing w:before="100" w:beforeAutospacing="1" w:after="100" w:afterAutospacing="1"/>
        <w:jc w:val="righ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以上企业，不属于大企业的分支机构，不存在控股股东为大企业的情形，也不存在与大企业的负责人为同一人的情形。</w:t>
      </w:r>
    </w:p>
    <w:p w14:paraId="3B8A644D">
      <w:pPr>
        <w:pStyle w:val="20"/>
        <w:rPr>
          <w:color w:val="000000" w:themeColor="text1"/>
          <w14:textFill>
            <w14:solidFill>
              <w14:schemeClr w14:val="tx1"/>
            </w14:solidFill>
          </w14:textFill>
        </w:rPr>
      </w:pPr>
    </w:p>
    <w:p w14:paraId="0E3016F1">
      <w:pPr>
        <w:widowControl/>
        <w:spacing w:before="100" w:beforeAutospacing="1" w:after="100" w:afterAutospacing="1"/>
        <w:jc w:val="righ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本企业对上述声明内容的真实性负责。如有虚假，将依法承担相应责任。</w:t>
      </w:r>
    </w:p>
    <w:p w14:paraId="36C5DEE4">
      <w:pPr>
        <w:pStyle w:val="20"/>
        <w:rPr>
          <w:color w:val="000000" w:themeColor="text1"/>
          <w14:textFill>
            <w14:solidFill>
              <w14:schemeClr w14:val="tx1"/>
            </w14:solidFill>
          </w14:textFill>
        </w:rPr>
      </w:pPr>
    </w:p>
    <w:p w14:paraId="38D9D55D">
      <w:pPr>
        <w:widowControl/>
        <w:spacing w:before="100" w:beforeAutospacing="1" w:after="100" w:afterAutospacing="1"/>
        <w:jc w:val="righ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企业名称（盖章）： </w:t>
      </w:r>
    </w:p>
    <w:p w14:paraId="0B21E579">
      <w:pPr>
        <w:widowControl/>
        <w:spacing w:before="100" w:beforeAutospacing="1" w:after="100" w:afterAutospacing="1"/>
        <w:jc w:val="righ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日期：</w:t>
      </w:r>
    </w:p>
    <w:p w14:paraId="25C925FD">
      <w:pPr>
        <w:pStyle w:val="20"/>
        <w:rPr>
          <w:color w:val="000000" w:themeColor="text1"/>
          <w14:textFill>
            <w14:solidFill>
              <w14:schemeClr w14:val="tx1"/>
            </w14:solidFill>
          </w14:textFill>
        </w:rPr>
      </w:pPr>
    </w:p>
    <w:p w14:paraId="62281018">
      <w:pPr>
        <w:widowControl/>
        <w:spacing w:before="100" w:beforeAutospacing="1" w:after="100" w:afterAutospacing="1"/>
        <w:jc w:val="righ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w:t>
      </w:r>
      <w:r>
        <w:rPr>
          <w:rFonts w:hint="eastAsia" w:ascii="宋体" w:hAnsi="宋体" w:cs="宋体"/>
          <w:color w:val="000000" w:themeColor="text1"/>
          <w:kern w:val="0"/>
          <w:szCs w:val="21"/>
          <w:vertAlign w:val="superscript"/>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从业人员、营业收入、资产总额填报上一年度数据，无上一年度数据的新成立企业可不填报。</w:t>
      </w:r>
    </w:p>
    <w:p w14:paraId="49F04B38">
      <w:pPr>
        <w:spacing w:line="400" w:lineRule="exact"/>
        <w:jc w:val="center"/>
        <w:outlineLvl w:val="0"/>
        <w:rPr>
          <w:rFonts w:ascii="宋体" w:hAnsi="宋体"/>
          <w:b/>
          <w:color w:val="000000" w:themeColor="text1"/>
          <w:sz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br w:type="page"/>
      </w:r>
      <w:bookmarkEnd w:id="172"/>
      <w:bookmarkEnd w:id="173"/>
      <w:bookmarkEnd w:id="174"/>
      <w:bookmarkStart w:id="179" w:name="_Toc75338350"/>
      <w:bookmarkStart w:id="180" w:name="_Toc65068799"/>
      <w:bookmarkStart w:id="181" w:name="_Toc137563042"/>
      <w:bookmarkStart w:id="182" w:name="_Toc71729009"/>
      <w:bookmarkStart w:id="183" w:name="_Toc64728686"/>
      <w:bookmarkStart w:id="184" w:name="_Toc67574450"/>
      <w:r>
        <w:rPr>
          <w:rFonts w:hint="eastAsia" w:ascii="宋体" w:hAnsi="宋体"/>
          <w:b/>
          <w:color w:val="000000" w:themeColor="text1"/>
          <w:sz w:val="28"/>
          <w14:textFill>
            <w14:solidFill>
              <w14:schemeClr w14:val="tx1"/>
            </w14:solidFill>
          </w14:textFill>
        </w:rPr>
        <w:t>小型、微型企业产品等统计表（价格扣除适用，若有）</w:t>
      </w:r>
      <w:bookmarkEnd w:id="179"/>
      <w:bookmarkEnd w:id="180"/>
      <w:bookmarkEnd w:id="181"/>
      <w:bookmarkEnd w:id="182"/>
      <w:bookmarkEnd w:id="183"/>
      <w:bookmarkEnd w:id="184"/>
    </w:p>
    <w:p w14:paraId="22FA210B">
      <w:pPr>
        <w:rPr>
          <w:rFonts w:ascii="Calibri" w:hAnsi="Calibri"/>
          <w:color w:val="000000" w:themeColor="text1"/>
          <w14:textFill>
            <w14:solidFill>
              <w14:schemeClr w14:val="tx1"/>
            </w14:solidFill>
          </w14:textFill>
        </w:rPr>
      </w:pPr>
    </w:p>
    <w:p w14:paraId="73CD3BE4">
      <w:pPr>
        <w:rPr>
          <w:rFonts w:ascii="Calibri" w:hAnsi="Calibri"/>
          <w:color w:val="000000" w:themeColor="text1"/>
          <w14:textFill>
            <w14:solidFill>
              <w14:schemeClr w14:val="tx1"/>
            </w14:solidFill>
          </w14:textFill>
        </w:rPr>
      </w:pPr>
      <w:r>
        <w:rPr>
          <w:rFonts w:hint="eastAsia" w:ascii="Calibri" w:hAnsi="Calibri"/>
          <w:color w:val="000000" w:themeColor="text1"/>
          <w14:textFill>
            <w14:solidFill>
              <w14:schemeClr w14:val="tx1"/>
            </w14:solidFill>
          </w14:textFill>
        </w:rPr>
        <w:t>注：根据工信部联企业</w:t>
      </w:r>
      <w:r>
        <w:rPr>
          <w:rFonts w:ascii="Calibri" w:hAnsi="Calibri"/>
          <w:color w:val="000000" w:themeColor="text1"/>
          <w14:textFill>
            <w14:solidFill>
              <w14:schemeClr w14:val="tx1"/>
            </w14:solidFill>
          </w14:textFill>
        </w:rPr>
        <w:t>[2011]300</w:t>
      </w:r>
      <w:r>
        <w:rPr>
          <w:rFonts w:hint="eastAsia" w:ascii="Calibri" w:hAnsi="Calibri"/>
          <w:color w:val="000000" w:themeColor="text1"/>
          <w14:textFill>
            <w14:solidFill>
              <w14:schemeClr w14:val="tx1"/>
            </w14:solidFill>
          </w14:textFill>
        </w:rPr>
        <w:t>号规定的划分标准，若</w:t>
      </w:r>
      <w:r>
        <w:rPr>
          <w:rFonts w:hint="eastAsia" w:ascii="宋体" w:hAnsi="宋体"/>
          <w:color w:val="000000" w:themeColor="text1"/>
          <w:szCs w:val="21"/>
          <w14:textFill>
            <w14:solidFill>
              <w14:schemeClr w14:val="tx1"/>
            </w14:solidFill>
          </w14:textFill>
        </w:rPr>
        <w:t>所投</w:t>
      </w:r>
      <w:r>
        <w:rPr>
          <w:rFonts w:hint="eastAsia" w:ascii="Calibri" w:hAnsi="Calibri"/>
          <w:color w:val="000000" w:themeColor="text1"/>
          <w14:textFill>
            <w14:solidFill>
              <w14:schemeClr w14:val="tx1"/>
            </w14:solidFill>
          </w14:textFill>
        </w:rPr>
        <w:t>产品制造商为小</w:t>
      </w:r>
      <w:r>
        <w:rPr>
          <w:rFonts w:ascii="Calibri" w:hAnsi="Calibri"/>
          <w:color w:val="000000" w:themeColor="text1"/>
          <w14:textFill>
            <w14:solidFill>
              <w14:schemeClr w14:val="tx1"/>
            </w14:solidFill>
          </w14:textFill>
        </w:rPr>
        <w:t>/</w:t>
      </w:r>
      <w:r>
        <w:rPr>
          <w:rFonts w:hint="eastAsia" w:ascii="Calibri" w:hAnsi="Calibri"/>
          <w:color w:val="000000" w:themeColor="text1"/>
          <w14:textFill>
            <w14:solidFill>
              <w14:schemeClr w14:val="tx1"/>
            </w14:solidFill>
          </w14:textFill>
        </w:rPr>
        <w:t>微企业的，请如实填写下表要求，没有则不填。</w:t>
      </w:r>
    </w:p>
    <w:p w14:paraId="75CFB700">
      <w:pPr>
        <w:rPr>
          <w:rFonts w:ascii="Calibri" w:hAnsi="Calibri"/>
          <w:color w:val="000000" w:themeColor="text1"/>
          <w14:textFill>
            <w14:solidFill>
              <w14:schemeClr w14:val="tx1"/>
            </w14:solidFill>
          </w14:textFill>
        </w:rPr>
      </w:pP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1697"/>
        <w:gridCol w:w="1800"/>
        <w:gridCol w:w="1080"/>
        <w:gridCol w:w="1129"/>
        <w:gridCol w:w="1620"/>
        <w:gridCol w:w="1346"/>
      </w:tblGrid>
      <w:tr w14:paraId="26F0E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1" w:type="dxa"/>
            <w:tcBorders>
              <w:top w:val="single" w:color="auto" w:sz="4" w:space="0"/>
              <w:left w:val="single" w:color="auto" w:sz="4" w:space="0"/>
              <w:bottom w:val="single" w:color="auto" w:sz="4" w:space="0"/>
              <w:right w:val="single" w:color="auto" w:sz="4" w:space="0"/>
            </w:tcBorders>
          </w:tcPr>
          <w:p w14:paraId="1D2D9EAE">
            <w:pPr>
              <w:spacing w:line="2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合同包号</w:t>
            </w:r>
          </w:p>
        </w:tc>
        <w:tc>
          <w:tcPr>
            <w:tcW w:w="1697" w:type="dxa"/>
            <w:tcBorders>
              <w:top w:val="single" w:color="auto" w:sz="4" w:space="0"/>
              <w:left w:val="single" w:color="auto" w:sz="4" w:space="0"/>
              <w:bottom w:val="single" w:color="auto" w:sz="4" w:space="0"/>
              <w:right w:val="single" w:color="auto" w:sz="4" w:space="0"/>
            </w:tcBorders>
          </w:tcPr>
          <w:p w14:paraId="79A8C8E0">
            <w:pPr>
              <w:spacing w:line="2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小型和微型企业产品名称</w:t>
            </w:r>
          </w:p>
        </w:tc>
        <w:tc>
          <w:tcPr>
            <w:tcW w:w="1800" w:type="dxa"/>
            <w:tcBorders>
              <w:top w:val="single" w:color="auto" w:sz="4" w:space="0"/>
              <w:left w:val="single" w:color="auto" w:sz="4" w:space="0"/>
              <w:bottom w:val="single" w:color="auto" w:sz="4" w:space="0"/>
              <w:right w:val="single" w:color="auto" w:sz="4" w:space="0"/>
            </w:tcBorders>
          </w:tcPr>
          <w:p w14:paraId="06E0D00D">
            <w:pPr>
              <w:spacing w:line="2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生产厂家</w:t>
            </w:r>
          </w:p>
        </w:tc>
        <w:tc>
          <w:tcPr>
            <w:tcW w:w="1080" w:type="dxa"/>
            <w:tcBorders>
              <w:top w:val="single" w:color="auto" w:sz="4" w:space="0"/>
              <w:left w:val="single" w:color="auto" w:sz="4" w:space="0"/>
              <w:bottom w:val="single" w:color="auto" w:sz="4" w:space="0"/>
              <w:right w:val="single" w:color="auto" w:sz="4" w:space="0"/>
            </w:tcBorders>
          </w:tcPr>
          <w:p w14:paraId="102E55FD">
            <w:pPr>
              <w:spacing w:line="2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金额</w:t>
            </w:r>
          </w:p>
        </w:tc>
        <w:tc>
          <w:tcPr>
            <w:tcW w:w="1129" w:type="dxa"/>
            <w:tcBorders>
              <w:top w:val="single" w:color="auto" w:sz="4" w:space="0"/>
              <w:left w:val="single" w:color="auto" w:sz="4" w:space="0"/>
              <w:bottom w:val="single" w:color="auto" w:sz="4" w:space="0"/>
              <w:right w:val="single" w:color="auto" w:sz="4" w:space="0"/>
            </w:tcBorders>
          </w:tcPr>
          <w:p w14:paraId="2D00AB3B">
            <w:pPr>
              <w:spacing w:line="2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相应扣除比率%</w:t>
            </w:r>
          </w:p>
        </w:tc>
        <w:tc>
          <w:tcPr>
            <w:tcW w:w="1620" w:type="dxa"/>
            <w:tcBorders>
              <w:top w:val="single" w:color="auto" w:sz="4" w:space="0"/>
              <w:left w:val="single" w:color="auto" w:sz="4" w:space="0"/>
              <w:bottom w:val="single" w:color="auto" w:sz="4" w:space="0"/>
              <w:right w:val="single" w:color="auto" w:sz="4" w:space="0"/>
            </w:tcBorders>
          </w:tcPr>
          <w:p w14:paraId="5DCD7D50">
            <w:pPr>
              <w:spacing w:line="2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相应扣除价格</w:t>
            </w:r>
          </w:p>
        </w:tc>
        <w:tc>
          <w:tcPr>
            <w:tcW w:w="1346" w:type="dxa"/>
            <w:tcBorders>
              <w:top w:val="single" w:color="auto" w:sz="4" w:space="0"/>
              <w:left w:val="single" w:color="auto" w:sz="4" w:space="0"/>
              <w:bottom w:val="single" w:color="auto" w:sz="4" w:space="0"/>
              <w:right w:val="single" w:color="auto" w:sz="4" w:space="0"/>
            </w:tcBorders>
          </w:tcPr>
          <w:p w14:paraId="0BDE18F8">
            <w:pPr>
              <w:spacing w:line="2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扣除后价格</w:t>
            </w:r>
          </w:p>
        </w:tc>
      </w:tr>
      <w:tr w14:paraId="6DB3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1" w:type="dxa"/>
            <w:tcBorders>
              <w:top w:val="single" w:color="auto" w:sz="4" w:space="0"/>
              <w:left w:val="single" w:color="auto" w:sz="4" w:space="0"/>
              <w:bottom w:val="single" w:color="auto" w:sz="4" w:space="0"/>
              <w:right w:val="single" w:color="auto" w:sz="4" w:space="0"/>
            </w:tcBorders>
          </w:tcPr>
          <w:p w14:paraId="4CC9C2D1">
            <w:pPr>
              <w:spacing w:line="260" w:lineRule="exact"/>
              <w:jc w:val="center"/>
              <w:rPr>
                <w:rFonts w:ascii="宋体" w:hAnsi="宋体"/>
                <w:color w:val="000000" w:themeColor="text1"/>
                <w:szCs w:val="21"/>
                <w14:textFill>
                  <w14:solidFill>
                    <w14:schemeClr w14:val="tx1"/>
                  </w14:solidFill>
                </w14:textFill>
              </w:rPr>
            </w:pPr>
          </w:p>
        </w:tc>
        <w:tc>
          <w:tcPr>
            <w:tcW w:w="1697" w:type="dxa"/>
            <w:tcBorders>
              <w:top w:val="single" w:color="auto" w:sz="4" w:space="0"/>
              <w:left w:val="single" w:color="auto" w:sz="4" w:space="0"/>
              <w:bottom w:val="single" w:color="auto" w:sz="4" w:space="0"/>
              <w:right w:val="single" w:color="auto" w:sz="4" w:space="0"/>
            </w:tcBorders>
          </w:tcPr>
          <w:p w14:paraId="0C17AC33">
            <w:pPr>
              <w:spacing w:line="260" w:lineRule="exact"/>
              <w:jc w:val="center"/>
              <w:rPr>
                <w:rFonts w:ascii="宋体" w:hAnsi="宋体"/>
                <w:color w:val="000000" w:themeColor="text1"/>
                <w:szCs w:val="21"/>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4C7F35A3">
            <w:pPr>
              <w:spacing w:line="260" w:lineRule="exact"/>
              <w:jc w:val="center"/>
              <w:rPr>
                <w:rFonts w:ascii="宋体" w:hAnsi="宋体"/>
                <w:color w:val="000000" w:themeColor="text1"/>
                <w:szCs w:val="21"/>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6C63009F">
            <w:pPr>
              <w:spacing w:line="260" w:lineRule="exact"/>
              <w:jc w:val="center"/>
              <w:rPr>
                <w:rFonts w:ascii="宋体" w:hAnsi="宋体"/>
                <w:color w:val="000000" w:themeColor="text1"/>
                <w:szCs w:val="21"/>
                <w14:textFill>
                  <w14:solidFill>
                    <w14:schemeClr w14:val="tx1"/>
                  </w14:solidFill>
                </w14:textFill>
              </w:rPr>
            </w:pPr>
          </w:p>
        </w:tc>
        <w:tc>
          <w:tcPr>
            <w:tcW w:w="1129" w:type="dxa"/>
            <w:tcBorders>
              <w:top w:val="single" w:color="auto" w:sz="4" w:space="0"/>
              <w:left w:val="single" w:color="auto" w:sz="4" w:space="0"/>
              <w:bottom w:val="single" w:color="auto" w:sz="4" w:space="0"/>
              <w:right w:val="single" w:color="auto" w:sz="4" w:space="0"/>
            </w:tcBorders>
          </w:tcPr>
          <w:p w14:paraId="00F8643A">
            <w:pPr>
              <w:spacing w:line="260" w:lineRule="exact"/>
              <w:jc w:val="center"/>
              <w:rPr>
                <w:rFonts w:ascii="宋体" w:hAnsi="宋体"/>
                <w:color w:val="000000" w:themeColor="text1"/>
                <w:szCs w:val="21"/>
                <w14:textFill>
                  <w14:solidFill>
                    <w14:schemeClr w14:val="tx1"/>
                  </w14:solidFill>
                </w14:textFill>
              </w:rPr>
            </w:pPr>
          </w:p>
        </w:tc>
        <w:tc>
          <w:tcPr>
            <w:tcW w:w="1620" w:type="dxa"/>
            <w:tcBorders>
              <w:top w:val="single" w:color="auto" w:sz="4" w:space="0"/>
              <w:left w:val="single" w:color="auto" w:sz="4" w:space="0"/>
              <w:bottom w:val="single" w:color="auto" w:sz="4" w:space="0"/>
              <w:right w:val="single" w:color="auto" w:sz="4" w:space="0"/>
            </w:tcBorders>
          </w:tcPr>
          <w:p w14:paraId="6E3F4D27">
            <w:pPr>
              <w:spacing w:line="260" w:lineRule="exact"/>
              <w:jc w:val="center"/>
              <w:rPr>
                <w:rFonts w:ascii="宋体" w:hAnsi="宋体"/>
                <w:color w:val="000000" w:themeColor="text1"/>
                <w:szCs w:val="21"/>
                <w14:textFill>
                  <w14:solidFill>
                    <w14:schemeClr w14:val="tx1"/>
                  </w14:solidFill>
                </w14:textFill>
              </w:rPr>
            </w:pPr>
          </w:p>
        </w:tc>
        <w:tc>
          <w:tcPr>
            <w:tcW w:w="1346" w:type="dxa"/>
            <w:tcBorders>
              <w:top w:val="single" w:color="auto" w:sz="4" w:space="0"/>
              <w:left w:val="single" w:color="auto" w:sz="4" w:space="0"/>
              <w:bottom w:val="single" w:color="auto" w:sz="4" w:space="0"/>
              <w:right w:val="single" w:color="auto" w:sz="4" w:space="0"/>
            </w:tcBorders>
          </w:tcPr>
          <w:p w14:paraId="3E7586B9">
            <w:pPr>
              <w:spacing w:line="260" w:lineRule="exact"/>
              <w:jc w:val="center"/>
              <w:rPr>
                <w:rFonts w:ascii="宋体" w:hAnsi="宋体"/>
                <w:color w:val="000000" w:themeColor="text1"/>
                <w:szCs w:val="21"/>
                <w14:textFill>
                  <w14:solidFill>
                    <w14:schemeClr w14:val="tx1"/>
                  </w14:solidFill>
                </w14:textFill>
              </w:rPr>
            </w:pPr>
          </w:p>
        </w:tc>
      </w:tr>
      <w:tr w14:paraId="5BA09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1" w:type="dxa"/>
            <w:tcBorders>
              <w:top w:val="single" w:color="auto" w:sz="4" w:space="0"/>
              <w:left w:val="single" w:color="auto" w:sz="4" w:space="0"/>
              <w:bottom w:val="single" w:color="auto" w:sz="4" w:space="0"/>
              <w:right w:val="single" w:color="auto" w:sz="4" w:space="0"/>
            </w:tcBorders>
          </w:tcPr>
          <w:p w14:paraId="2BE5305E">
            <w:pPr>
              <w:spacing w:line="260" w:lineRule="exact"/>
              <w:rPr>
                <w:rFonts w:ascii="宋体" w:hAnsi="宋体"/>
                <w:color w:val="000000" w:themeColor="text1"/>
                <w:szCs w:val="21"/>
                <w14:textFill>
                  <w14:solidFill>
                    <w14:schemeClr w14:val="tx1"/>
                  </w14:solidFill>
                </w14:textFill>
              </w:rPr>
            </w:pPr>
          </w:p>
        </w:tc>
        <w:tc>
          <w:tcPr>
            <w:tcW w:w="1697" w:type="dxa"/>
            <w:tcBorders>
              <w:top w:val="single" w:color="auto" w:sz="4" w:space="0"/>
              <w:left w:val="single" w:color="auto" w:sz="4" w:space="0"/>
              <w:bottom w:val="single" w:color="auto" w:sz="4" w:space="0"/>
              <w:right w:val="single" w:color="auto" w:sz="4" w:space="0"/>
            </w:tcBorders>
          </w:tcPr>
          <w:p w14:paraId="7DADD99C">
            <w:pPr>
              <w:spacing w:line="260" w:lineRule="exact"/>
              <w:rPr>
                <w:rFonts w:ascii="宋体" w:hAnsi="宋体"/>
                <w:color w:val="000000" w:themeColor="text1"/>
                <w:szCs w:val="21"/>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101BB438">
            <w:pPr>
              <w:spacing w:line="260" w:lineRule="exact"/>
              <w:rPr>
                <w:rFonts w:ascii="宋体" w:hAnsi="宋体"/>
                <w:color w:val="000000" w:themeColor="text1"/>
                <w:szCs w:val="21"/>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5305154">
            <w:pPr>
              <w:spacing w:line="260" w:lineRule="exact"/>
              <w:rPr>
                <w:rFonts w:ascii="宋体" w:hAnsi="宋体"/>
                <w:color w:val="000000" w:themeColor="text1"/>
                <w:szCs w:val="21"/>
                <w14:textFill>
                  <w14:solidFill>
                    <w14:schemeClr w14:val="tx1"/>
                  </w14:solidFill>
                </w14:textFill>
              </w:rPr>
            </w:pPr>
          </w:p>
        </w:tc>
        <w:tc>
          <w:tcPr>
            <w:tcW w:w="1129" w:type="dxa"/>
            <w:tcBorders>
              <w:top w:val="single" w:color="auto" w:sz="4" w:space="0"/>
              <w:left w:val="single" w:color="auto" w:sz="4" w:space="0"/>
              <w:bottom w:val="single" w:color="auto" w:sz="4" w:space="0"/>
              <w:right w:val="single" w:color="auto" w:sz="4" w:space="0"/>
            </w:tcBorders>
          </w:tcPr>
          <w:p w14:paraId="70E5EE1F">
            <w:pPr>
              <w:spacing w:line="260" w:lineRule="exact"/>
              <w:rPr>
                <w:rFonts w:ascii="宋体" w:hAnsi="宋体"/>
                <w:color w:val="000000" w:themeColor="text1"/>
                <w:szCs w:val="21"/>
                <w14:textFill>
                  <w14:solidFill>
                    <w14:schemeClr w14:val="tx1"/>
                  </w14:solidFill>
                </w14:textFill>
              </w:rPr>
            </w:pPr>
          </w:p>
        </w:tc>
        <w:tc>
          <w:tcPr>
            <w:tcW w:w="1620" w:type="dxa"/>
            <w:tcBorders>
              <w:top w:val="single" w:color="auto" w:sz="4" w:space="0"/>
              <w:left w:val="single" w:color="auto" w:sz="4" w:space="0"/>
              <w:bottom w:val="single" w:color="auto" w:sz="4" w:space="0"/>
              <w:right w:val="single" w:color="auto" w:sz="4" w:space="0"/>
            </w:tcBorders>
          </w:tcPr>
          <w:p w14:paraId="3C0EC989">
            <w:pPr>
              <w:spacing w:line="260" w:lineRule="exact"/>
              <w:rPr>
                <w:rFonts w:ascii="宋体" w:hAnsi="宋体"/>
                <w:color w:val="000000" w:themeColor="text1"/>
                <w:szCs w:val="21"/>
                <w14:textFill>
                  <w14:solidFill>
                    <w14:schemeClr w14:val="tx1"/>
                  </w14:solidFill>
                </w14:textFill>
              </w:rPr>
            </w:pPr>
          </w:p>
        </w:tc>
        <w:tc>
          <w:tcPr>
            <w:tcW w:w="1346" w:type="dxa"/>
            <w:tcBorders>
              <w:top w:val="single" w:color="auto" w:sz="4" w:space="0"/>
              <w:left w:val="single" w:color="auto" w:sz="4" w:space="0"/>
              <w:bottom w:val="single" w:color="auto" w:sz="4" w:space="0"/>
              <w:right w:val="single" w:color="auto" w:sz="4" w:space="0"/>
            </w:tcBorders>
          </w:tcPr>
          <w:p w14:paraId="0D87CBB5">
            <w:pPr>
              <w:spacing w:line="260" w:lineRule="exact"/>
              <w:rPr>
                <w:rFonts w:ascii="宋体" w:hAnsi="宋体"/>
                <w:color w:val="000000" w:themeColor="text1"/>
                <w:szCs w:val="21"/>
                <w14:textFill>
                  <w14:solidFill>
                    <w14:schemeClr w14:val="tx1"/>
                  </w14:solidFill>
                </w14:textFill>
              </w:rPr>
            </w:pPr>
          </w:p>
        </w:tc>
      </w:tr>
      <w:tr w14:paraId="50BD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1" w:type="dxa"/>
            <w:tcBorders>
              <w:top w:val="single" w:color="auto" w:sz="4" w:space="0"/>
              <w:left w:val="single" w:color="auto" w:sz="4" w:space="0"/>
              <w:bottom w:val="single" w:color="auto" w:sz="4" w:space="0"/>
              <w:right w:val="single" w:color="auto" w:sz="4" w:space="0"/>
            </w:tcBorders>
          </w:tcPr>
          <w:p w14:paraId="28234ADB">
            <w:pPr>
              <w:spacing w:line="260" w:lineRule="exact"/>
              <w:rPr>
                <w:rFonts w:ascii="宋体" w:hAnsi="宋体"/>
                <w:color w:val="000000" w:themeColor="text1"/>
                <w:szCs w:val="21"/>
                <w14:textFill>
                  <w14:solidFill>
                    <w14:schemeClr w14:val="tx1"/>
                  </w14:solidFill>
                </w14:textFill>
              </w:rPr>
            </w:pPr>
          </w:p>
        </w:tc>
        <w:tc>
          <w:tcPr>
            <w:tcW w:w="1697" w:type="dxa"/>
            <w:tcBorders>
              <w:top w:val="single" w:color="auto" w:sz="4" w:space="0"/>
              <w:left w:val="single" w:color="auto" w:sz="4" w:space="0"/>
              <w:bottom w:val="single" w:color="auto" w:sz="4" w:space="0"/>
              <w:right w:val="single" w:color="auto" w:sz="4" w:space="0"/>
            </w:tcBorders>
          </w:tcPr>
          <w:p w14:paraId="7CA1041D">
            <w:pPr>
              <w:spacing w:line="260" w:lineRule="exact"/>
              <w:rPr>
                <w:rFonts w:ascii="宋体" w:hAnsi="宋体"/>
                <w:color w:val="000000" w:themeColor="text1"/>
                <w:szCs w:val="21"/>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28BF978F">
            <w:pPr>
              <w:spacing w:line="260" w:lineRule="exact"/>
              <w:rPr>
                <w:rFonts w:ascii="宋体" w:hAnsi="宋体"/>
                <w:color w:val="000000" w:themeColor="text1"/>
                <w:szCs w:val="21"/>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4A037562">
            <w:pPr>
              <w:spacing w:line="260" w:lineRule="exact"/>
              <w:rPr>
                <w:rFonts w:ascii="宋体" w:hAnsi="宋体"/>
                <w:color w:val="000000" w:themeColor="text1"/>
                <w:szCs w:val="21"/>
                <w14:textFill>
                  <w14:solidFill>
                    <w14:schemeClr w14:val="tx1"/>
                  </w14:solidFill>
                </w14:textFill>
              </w:rPr>
            </w:pPr>
          </w:p>
        </w:tc>
        <w:tc>
          <w:tcPr>
            <w:tcW w:w="1129" w:type="dxa"/>
            <w:tcBorders>
              <w:top w:val="single" w:color="auto" w:sz="4" w:space="0"/>
              <w:left w:val="single" w:color="auto" w:sz="4" w:space="0"/>
              <w:bottom w:val="single" w:color="auto" w:sz="4" w:space="0"/>
              <w:right w:val="single" w:color="auto" w:sz="4" w:space="0"/>
            </w:tcBorders>
          </w:tcPr>
          <w:p w14:paraId="0339C63C">
            <w:pPr>
              <w:spacing w:line="260" w:lineRule="exact"/>
              <w:rPr>
                <w:rFonts w:ascii="宋体" w:hAnsi="宋体"/>
                <w:color w:val="000000" w:themeColor="text1"/>
                <w:szCs w:val="21"/>
                <w14:textFill>
                  <w14:solidFill>
                    <w14:schemeClr w14:val="tx1"/>
                  </w14:solidFill>
                </w14:textFill>
              </w:rPr>
            </w:pPr>
          </w:p>
        </w:tc>
        <w:tc>
          <w:tcPr>
            <w:tcW w:w="1620" w:type="dxa"/>
            <w:tcBorders>
              <w:top w:val="single" w:color="auto" w:sz="4" w:space="0"/>
              <w:left w:val="single" w:color="auto" w:sz="4" w:space="0"/>
              <w:bottom w:val="single" w:color="auto" w:sz="4" w:space="0"/>
              <w:right w:val="single" w:color="auto" w:sz="4" w:space="0"/>
            </w:tcBorders>
          </w:tcPr>
          <w:p w14:paraId="42523926">
            <w:pPr>
              <w:spacing w:line="260" w:lineRule="exact"/>
              <w:rPr>
                <w:rFonts w:ascii="宋体" w:hAnsi="宋体"/>
                <w:color w:val="000000" w:themeColor="text1"/>
                <w:szCs w:val="21"/>
                <w14:textFill>
                  <w14:solidFill>
                    <w14:schemeClr w14:val="tx1"/>
                  </w14:solidFill>
                </w14:textFill>
              </w:rPr>
            </w:pPr>
          </w:p>
        </w:tc>
        <w:tc>
          <w:tcPr>
            <w:tcW w:w="1346" w:type="dxa"/>
            <w:tcBorders>
              <w:top w:val="single" w:color="auto" w:sz="4" w:space="0"/>
              <w:left w:val="single" w:color="auto" w:sz="4" w:space="0"/>
              <w:bottom w:val="single" w:color="auto" w:sz="4" w:space="0"/>
              <w:right w:val="single" w:color="auto" w:sz="4" w:space="0"/>
            </w:tcBorders>
          </w:tcPr>
          <w:p w14:paraId="784E2E05">
            <w:pPr>
              <w:spacing w:line="260" w:lineRule="exact"/>
              <w:rPr>
                <w:rFonts w:ascii="宋体" w:hAnsi="宋体"/>
                <w:color w:val="000000" w:themeColor="text1"/>
                <w:szCs w:val="21"/>
                <w14:textFill>
                  <w14:solidFill>
                    <w14:schemeClr w14:val="tx1"/>
                  </w14:solidFill>
                </w14:textFill>
              </w:rPr>
            </w:pPr>
          </w:p>
        </w:tc>
      </w:tr>
      <w:tr w14:paraId="3ABC6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1" w:type="dxa"/>
            <w:tcBorders>
              <w:top w:val="single" w:color="auto" w:sz="4" w:space="0"/>
              <w:left w:val="single" w:color="auto" w:sz="4" w:space="0"/>
              <w:bottom w:val="single" w:color="auto" w:sz="4" w:space="0"/>
              <w:right w:val="single" w:color="auto" w:sz="4" w:space="0"/>
            </w:tcBorders>
          </w:tcPr>
          <w:p w14:paraId="2BE170BE">
            <w:pPr>
              <w:spacing w:line="260" w:lineRule="exact"/>
              <w:rPr>
                <w:rFonts w:ascii="宋体" w:hAnsi="宋体"/>
                <w:color w:val="000000" w:themeColor="text1"/>
                <w:szCs w:val="21"/>
                <w14:textFill>
                  <w14:solidFill>
                    <w14:schemeClr w14:val="tx1"/>
                  </w14:solidFill>
                </w14:textFill>
              </w:rPr>
            </w:pPr>
          </w:p>
        </w:tc>
        <w:tc>
          <w:tcPr>
            <w:tcW w:w="1697" w:type="dxa"/>
            <w:tcBorders>
              <w:top w:val="single" w:color="auto" w:sz="4" w:space="0"/>
              <w:left w:val="single" w:color="auto" w:sz="4" w:space="0"/>
              <w:bottom w:val="single" w:color="auto" w:sz="4" w:space="0"/>
              <w:right w:val="single" w:color="auto" w:sz="4" w:space="0"/>
            </w:tcBorders>
          </w:tcPr>
          <w:p w14:paraId="06FCB2EE">
            <w:pPr>
              <w:spacing w:line="260" w:lineRule="exact"/>
              <w:rPr>
                <w:rFonts w:ascii="宋体" w:hAnsi="宋体"/>
                <w:color w:val="000000" w:themeColor="text1"/>
                <w:szCs w:val="21"/>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6AB23916">
            <w:pPr>
              <w:spacing w:line="260" w:lineRule="exact"/>
              <w:rPr>
                <w:rFonts w:ascii="宋体" w:hAnsi="宋体"/>
                <w:color w:val="000000" w:themeColor="text1"/>
                <w:szCs w:val="21"/>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0852FCDC">
            <w:pPr>
              <w:spacing w:line="260" w:lineRule="exact"/>
              <w:rPr>
                <w:rFonts w:ascii="宋体" w:hAnsi="宋体"/>
                <w:color w:val="000000" w:themeColor="text1"/>
                <w:szCs w:val="21"/>
                <w14:textFill>
                  <w14:solidFill>
                    <w14:schemeClr w14:val="tx1"/>
                  </w14:solidFill>
                </w14:textFill>
              </w:rPr>
            </w:pPr>
          </w:p>
        </w:tc>
        <w:tc>
          <w:tcPr>
            <w:tcW w:w="1129" w:type="dxa"/>
            <w:tcBorders>
              <w:top w:val="single" w:color="auto" w:sz="4" w:space="0"/>
              <w:left w:val="single" w:color="auto" w:sz="4" w:space="0"/>
              <w:bottom w:val="single" w:color="auto" w:sz="4" w:space="0"/>
              <w:right w:val="single" w:color="auto" w:sz="4" w:space="0"/>
            </w:tcBorders>
          </w:tcPr>
          <w:p w14:paraId="45625ECA">
            <w:pPr>
              <w:spacing w:line="260" w:lineRule="exact"/>
              <w:rPr>
                <w:rFonts w:ascii="宋体" w:hAnsi="宋体"/>
                <w:color w:val="000000" w:themeColor="text1"/>
                <w:szCs w:val="21"/>
                <w14:textFill>
                  <w14:solidFill>
                    <w14:schemeClr w14:val="tx1"/>
                  </w14:solidFill>
                </w14:textFill>
              </w:rPr>
            </w:pPr>
          </w:p>
        </w:tc>
        <w:tc>
          <w:tcPr>
            <w:tcW w:w="1620" w:type="dxa"/>
            <w:tcBorders>
              <w:top w:val="single" w:color="auto" w:sz="4" w:space="0"/>
              <w:left w:val="single" w:color="auto" w:sz="4" w:space="0"/>
              <w:bottom w:val="single" w:color="auto" w:sz="4" w:space="0"/>
              <w:right w:val="single" w:color="auto" w:sz="4" w:space="0"/>
            </w:tcBorders>
          </w:tcPr>
          <w:p w14:paraId="3B571FB7">
            <w:pPr>
              <w:spacing w:line="260" w:lineRule="exact"/>
              <w:rPr>
                <w:rFonts w:ascii="宋体" w:hAnsi="宋体"/>
                <w:color w:val="000000" w:themeColor="text1"/>
                <w:szCs w:val="21"/>
                <w14:textFill>
                  <w14:solidFill>
                    <w14:schemeClr w14:val="tx1"/>
                  </w14:solidFill>
                </w14:textFill>
              </w:rPr>
            </w:pPr>
          </w:p>
        </w:tc>
        <w:tc>
          <w:tcPr>
            <w:tcW w:w="1346" w:type="dxa"/>
            <w:tcBorders>
              <w:top w:val="single" w:color="auto" w:sz="4" w:space="0"/>
              <w:left w:val="single" w:color="auto" w:sz="4" w:space="0"/>
              <w:bottom w:val="single" w:color="auto" w:sz="4" w:space="0"/>
              <w:right w:val="single" w:color="auto" w:sz="4" w:space="0"/>
            </w:tcBorders>
          </w:tcPr>
          <w:p w14:paraId="3DB7EEB4">
            <w:pPr>
              <w:spacing w:line="260" w:lineRule="exact"/>
              <w:rPr>
                <w:rFonts w:ascii="宋体" w:hAnsi="宋体"/>
                <w:color w:val="000000" w:themeColor="text1"/>
                <w:szCs w:val="21"/>
                <w14:textFill>
                  <w14:solidFill>
                    <w14:schemeClr w14:val="tx1"/>
                  </w14:solidFill>
                </w14:textFill>
              </w:rPr>
            </w:pPr>
          </w:p>
        </w:tc>
      </w:tr>
      <w:tr w14:paraId="2B6EB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1" w:type="dxa"/>
            <w:tcBorders>
              <w:top w:val="single" w:color="auto" w:sz="4" w:space="0"/>
              <w:left w:val="single" w:color="auto" w:sz="4" w:space="0"/>
              <w:bottom w:val="single" w:color="auto" w:sz="4" w:space="0"/>
              <w:right w:val="single" w:color="auto" w:sz="4" w:space="0"/>
            </w:tcBorders>
          </w:tcPr>
          <w:p w14:paraId="18E21956">
            <w:pPr>
              <w:spacing w:line="260" w:lineRule="exact"/>
              <w:rPr>
                <w:rFonts w:ascii="宋体" w:hAnsi="宋体"/>
                <w:color w:val="000000" w:themeColor="text1"/>
                <w:szCs w:val="21"/>
                <w14:textFill>
                  <w14:solidFill>
                    <w14:schemeClr w14:val="tx1"/>
                  </w14:solidFill>
                </w14:textFill>
              </w:rPr>
            </w:pPr>
          </w:p>
        </w:tc>
        <w:tc>
          <w:tcPr>
            <w:tcW w:w="1697" w:type="dxa"/>
            <w:tcBorders>
              <w:top w:val="single" w:color="auto" w:sz="4" w:space="0"/>
              <w:left w:val="single" w:color="auto" w:sz="4" w:space="0"/>
              <w:bottom w:val="single" w:color="auto" w:sz="4" w:space="0"/>
              <w:right w:val="single" w:color="auto" w:sz="4" w:space="0"/>
            </w:tcBorders>
          </w:tcPr>
          <w:p w14:paraId="315EF2A2">
            <w:pPr>
              <w:spacing w:line="260" w:lineRule="exact"/>
              <w:rPr>
                <w:rFonts w:ascii="宋体" w:hAnsi="宋体"/>
                <w:color w:val="000000" w:themeColor="text1"/>
                <w:szCs w:val="21"/>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200DB048">
            <w:pPr>
              <w:spacing w:line="260" w:lineRule="exact"/>
              <w:rPr>
                <w:rFonts w:ascii="宋体" w:hAnsi="宋体"/>
                <w:color w:val="000000" w:themeColor="text1"/>
                <w:szCs w:val="21"/>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A0369D7">
            <w:pPr>
              <w:spacing w:line="260" w:lineRule="exact"/>
              <w:rPr>
                <w:rFonts w:ascii="宋体" w:hAnsi="宋体"/>
                <w:color w:val="000000" w:themeColor="text1"/>
                <w:szCs w:val="21"/>
                <w14:textFill>
                  <w14:solidFill>
                    <w14:schemeClr w14:val="tx1"/>
                  </w14:solidFill>
                </w14:textFill>
              </w:rPr>
            </w:pPr>
          </w:p>
        </w:tc>
        <w:tc>
          <w:tcPr>
            <w:tcW w:w="1129" w:type="dxa"/>
            <w:tcBorders>
              <w:top w:val="single" w:color="auto" w:sz="4" w:space="0"/>
              <w:left w:val="single" w:color="auto" w:sz="4" w:space="0"/>
              <w:bottom w:val="single" w:color="auto" w:sz="4" w:space="0"/>
              <w:right w:val="single" w:color="auto" w:sz="4" w:space="0"/>
            </w:tcBorders>
          </w:tcPr>
          <w:p w14:paraId="5E396E0C">
            <w:pPr>
              <w:spacing w:line="260" w:lineRule="exact"/>
              <w:rPr>
                <w:rFonts w:ascii="宋体" w:hAnsi="宋体"/>
                <w:color w:val="000000" w:themeColor="text1"/>
                <w:szCs w:val="21"/>
                <w14:textFill>
                  <w14:solidFill>
                    <w14:schemeClr w14:val="tx1"/>
                  </w14:solidFill>
                </w14:textFill>
              </w:rPr>
            </w:pPr>
          </w:p>
        </w:tc>
        <w:tc>
          <w:tcPr>
            <w:tcW w:w="1620" w:type="dxa"/>
            <w:tcBorders>
              <w:top w:val="single" w:color="auto" w:sz="4" w:space="0"/>
              <w:left w:val="single" w:color="auto" w:sz="4" w:space="0"/>
              <w:bottom w:val="single" w:color="auto" w:sz="4" w:space="0"/>
              <w:right w:val="single" w:color="auto" w:sz="4" w:space="0"/>
            </w:tcBorders>
          </w:tcPr>
          <w:p w14:paraId="40990C99">
            <w:pPr>
              <w:spacing w:line="260" w:lineRule="exact"/>
              <w:rPr>
                <w:rFonts w:ascii="宋体" w:hAnsi="宋体"/>
                <w:color w:val="000000" w:themeColor="text1"/>
                <w:szCs w:val="21"/>
                <w14:textFill>
                  <w14:solidFill>
                    <w14:schemeClr w14:val="tx1"/>
                  </w14:solidFill>
                </w14:textFill>
              </w:rPr>
            </w:pPr>
          </w:p>
        </w:tc>
        <w:tc>
          <w:tcPr>
            <w:tcW w:w="1346" w:type="dxa"/>
            <w:tcBorders>
              <w:top w:val="single" w:color="auto" w:sz="4" w:space="0"/>
              <w:left w:val="single" w:color="auto" w:sz="4" w:space="0"/>
              <w:bottom w:val="single" w:color="auto" w:sz="4" w:space="0"/>
              <w:right w:val="single" w:color="auto" w:sz="4" w:space="0"/>
            </w:tcBorders>
          </w:tcPr>
          <w:p w14:paraId="4C5D7D5D">
            <w:pPr>
              <w:spacing w:line="260" w:lineRule="exact"/>
              <w:rPr>
                <w:rFonts w:ascii="宋体" w:hAnsi="宋体"/>
                <w:color w:val="000000" w:themeColor="text1"/>
                <w:szCs w:val="21"/>
                <w14:textFill>
                  <w14:solidFill>
                    <w14:schemeClr w14:val="tx1"/>
                  </w14:solidFill>
                </w14:textFill>
              </w:rPr>
            </w:pPr>
          </w:p>
        </w:tc>
      </w:tr>
      <w:tr w14:paraId="6C137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1" w:type="dxa"/>
            <w:tcBorders>
              <w:top w:val="single" w:color="auto" w:sz="4" w:space="0"/>
              <w:left w:val="single" w:color="auto" w:sz="4" w:space="0"/>
              <w:bottom w:val="single" w:color="auto" w:sz="4" w:space="0"/>
              <w:right w:val="single" w:color="auto" w:sz="4" w:space="0"/>
            </w:tcBorders>
          </w:tcPr>
          <w:p w14:paraId="7E47D2EA">
            <w:pPr>
              <w:spacing w:line="2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合计</w:t>
            </w:r>
          </w:p>
        </w:tc>
        <w:tc>
          <w:tcPr>
            <w:tcW w:w="1697" w:type="dxa"/>
            <w:tcBorders>
              <w:top w:val="single" w:color="auto" w:sz="4" w:space="0"/>
              <w:left w:val="single" w:color="auto" w:sz="4" w:space="0"/>
              <w:bottom w:val="single" w:color="auto" w:sz="4" w:space="0"/>
              <w:right w:val="single" w:color="auto" w:sz="4" w:space="0"/>
            </w:tcBorders>
          </w:tcPr>
          <w:p w14:paraId="4FA52FA6">
            <w:pPr>
              <w:spacing w:line="260" w:lineRule="exact"/>
              <w:rPr>
                <w:rFonts w:ascii="宋体" w:hAnsi="宋体"/>
                <w:color w:val="000000" w:themeColor="text1"/>
                <w:szCs w:val="21"/>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420846D4">
            <w:pPr>
              <w:spacing w:line="260" w:lineRule="exact"/>
              <w:rPr>
                <w:rFonts w:ascii="宋体" w:hAnsi="宋体"/>
                <w:color w:val="000000" w:themeColor="text1"/>
                <w:szCs w:val="21"/>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AE85F23">
            <w:pPr>
              <w:spacing w:line="260" w:lineRule="exact"/>
              <w:rPr>
                <w:rFonts w:ascii="宋体" w:hAnsi="宋体"/>
                <w:color w:val="000000" w:themeColor="text1"/>
                <w:szCs w:val="21"/>
                <w14:textFill>
                  <w14:solidFill>
                    <w14:schemeClr w14:val="tx1"/>
                  </w14:solidFill>
                </w14:textFill>
              </w:rPr>
            </w:pPr>
          </w:p>
        </w:tc>
        <w:tc>
          <w:tcPr>
            <w:tcW w:w="1129" w:type="dxa"/>
            <w:tcBorders>
              <w:top w:val="single" w:color="auto" w:sz="4" w:space="0"/>
              <w:left w:val="single" w:color="auto" w:sz="4" w:space="0"/>
              <w:bottom w:val="single" w:color="auto" w:sz="4" w:space="0"/>
              <w:right w:val="single" w:color="auto" w:sz="4" w:space="0"/>
            </w:tcBorders>
          </w:tcPr>
          <w:p w14:paraId="3959A0B8">
            <w:pPr>
              <w:spacing w:line="260" w:lineRule="exact"/>
              <w:rPr>
                <w:rFonts w:ascii="宋体" w:hAnsi="宋体"/>
                <w:color w:val="000000" w:themeColor="text1"/>
                <w:szCs w:val="21"/>
                <w14:textFill>
                  <w14:solidFill>
                    <w14:schemeClr w14:val="tx1"/>
                  </w14:solidFill>
                </w14:textFill>
              </w:rPr>
            </w:pPr>
          </w:p>
        </w:tc>
        <w:tc>
          <w:tcPr>
            <w:tcW w:w="1620" w:type="dxa"/>
            <w:tcBorders>
              <w:top w:val="single" w:color="auto" w:sz="4" w:space="0"/>
              <w:left w:val="single" w:color="auto" w:sz="4" w:space="0"/>
              <w:bottom w:val="single" w:color="auto" w:sz="4" w:space="0"/>
              <w:right w:val="single" w:color="auto" w:sz="4" w:space="0"/>
            </w:tcBorders>
          </w:tcPr>
          <w:p w14:paraId="352DB78D">
            <w:pPr>
              <w:spacing w:line="260" w:lineRule="exact"/>
              <w:rPr>
                <w:rFonts w:ascii="宋体" w:hAnsi="宋体"/>
                <w:color w:val="000000" w:themeColor="text1"/>
                <w:szCs w:val="21"/>
                <w14:textFill>
                  <w14:solidFill>
                    <w14:schemeClr w14:val="tx1"/>
                  </w14:solidFill>
                </w14:textFill>
              </w:rPr>
            </w:pPr>
          </w:p>
        </w:tc>
        <w:tc>
          <w:tcPr>
            <w:tcW w:w="1346" w:type="dxa"/>
            <w:tcBorders>
              <w:top w:val="single" w:color="auto" w:sz="4" w:space="0"/>
              <w:left w:val="single" w:color="auto" w:sz="4" w:space="0"/>
              <w:bottom w:val="single" w:color="auto" w:sz="4" w:space="0"/>
              <w:right w:val="single" w:color="auto" w:sz="4" w:space="0"/>
            </w:tcBorders>
          </w:tcPr>
          <w:p w14:paraId="0EECD0F4">
            <w:pPr>
              <w:spacing w:line="260" w:lineRule="exact"/>
              <w:rPr>
                <w:rFonts w:ascii="宋体" w:hAnsi="宋体"/>
                <w:color w:val="000000" w:themeColor="text1"/>
                <w:szCs w:val="21"/>
                <w14:textFill>
                  <w14:solidFill>
                    <w14:schemeClr w14:val="tx1"/>
                  </w14:solidFill>
                </w14:textFill>
              </w:rPr>
            </w:pPr>
          </w:p>
        </w:tc>
      </w:tr>
    </w:tbl>
    <w:p w14:paraId="55147B6A">
      <w:pPr>
        <w:rPr>
          <w:rFonts w:ascii="Calibri" w:hAnsi="Calibri"/>
          <w:color w:val="000000" w:themeColor="text1"/>
          <w14:textFill>
            <w14:solidFill>
              <w14:schemeClr w14:val="tx1"/>
            </w14:solidFill>
          </w14:textFill>
        </w:rPr>
      </w:pPr>
      <w:r>
        <w:rPr>
          <w:rFonts w:hint="eastAsia" w:ascii="Calibri" w:hAnsi="Calibri"/>
          <w:color w:val="000000" w:themeColor="text1"/>
          <w14:textFill>
            <w14:solidFill>
              <w14:schemeClr w14:val="tx1"/>
            </w14:solidFill>
          </w14:textFill>
        </w:rPr>
        <w:t>备注：</w:t>
      </w:r>
      <w:r>
        <w:rPr>
          <w:rFonts w:ascii="Calibri" w:hAnsi="Calibri"/>
          <w:color w:val="000000" w:themeColor="text1"/>
          <w14:textFill>
            <w14:solidFill>
              <w14:schemeClr w14:val="tx1"/>
            </w14:solidFill>
          </w14:textFill>
        </w:rPr>
        <w:t xml:space="preserve"> </w:t>
      </w:r>
    </w:p>
    <w:p w14:paraId="1C2A7414">
      <w:pPr>
        <w:spacing w:line="400" w:lineRule="exact"/>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1、对小型、微型企业产品等计算价格扣除时，只依据“中小企业声明函（价格扣除适用，若有）”。</w:t>
      </w:r>
    </w:p>
    <w:p w14:paraId="4D6CEDC5">
      <w:pPr>
        <w:spacing w:line="400" w:lineRule="exact"/>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2、本表以合同包为单位，不同合同包请分别填写；同一合同包请按照其品目号顺序分别填写。</w:t>
      </w:r>
    </w:p>
    <w:p w14:paraId="5F9446AB">
      <w:pPr>
        <w:spacing w:line="400" w:lineRule="exact"/>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3、符合财政部、民政部、中国残联文件（财库[2017]141号）规定的残疾人福利性单位提供本单位制造的货物、承担的工程或服务，或提供其他残疾人福利性单位制造的货物（不包括使用非残疾人福利性单位注册商标的货物）可享受价格扣除。</w:t>
      </w:r>
    </w:p>
    <w:p w14:paraId="5C7B4F13">
      <w:pPr>
        <w:spacing w:line="400" w:lineRule="exact"/>
        <w:rPr>
          <w:rFonts w:ascii="宋体" w:hAnsi="宋体"/>
          <w:color w:val="000000" w:themeColor="text1"/>
          <w:sz w:val="18"/>
          <w:szCs w:val="18"/>
          <w14:textFill>
            <w14:solidFill>
              <w14:schemeClr w14:val="tx1"/>
            </w14:solidFill>
          </w14:textFill>
        </w:rPr>
      </w:pPr>
    </w:p>
    <w:p w14:paraId="00475DCC">
      <w:pPr>
        <w:spacing w:line="340" w:lineRule="exact"/>
        <w:rPr>
          <w:rFonts w:ascii="仿宋" w:hAnsi="仿宋" w:eastAsia="仿宋"/>
          <w:color w:val="000000" w:themeColor="text1"/>
          <w14:textFill>
            <w14:solidFill>
              <w14:schemeClr w14:val="tx1"/>
            </w14:solidFill>
          </w14:textFill>
        </w:rPr>
      </w:pPr>
    </w:p>
    <w:p w14:paraId="776CEBBC">
      <w:pPr>
        <w:rPr>
          <w:rFonts w:ascii="Calibri" w:hAnsi="Calibri"/>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磋商</w:t>
      </w:r>
      <w:r>
        <w:rPr>
          <w:rFonts w:hint="eastAsia" w:ascii="Calibri" w:hAnsi="Calibri"/>
          <w:color w:val="000000" w:themeColor="text1"/>
          <w14:textFill>
            <w14:solidFill>
              <w14:schemeClr w14:val="tx1"/>
            </w14:solidFill>
          </w14:textFill>
        </w:rPr>
        <w:t>供应商全称（加盖公章）：</w:t>
      </w:r>
    </w:p>
    <w:p w14:paraId="7F43036F">
      <w:pPr>
        <w:rPr>
          <w:rFonts w:ascii="Calibri" w:hAnsi="Calibri"/>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磋商</w:t>
      </w:r>
      <w:r>
        <w:rPr>
          <w:rFonts w:hint="eastAsia" w:ascii="Calibri" w:hAnsi="Calibri"/>
          <w:color w:val="000000" w:themeColor="text1"/>
          <w14:textFill>
            <w14:solidFill>
              <w14:schemeClr w14:val="tx1"/>
            </w14:solidFill>
          </w14:textFill>
        </w:rPr>
        <w:t>代表签字：</w:t>
      </w:r>
    </w:p>
    <w:p w14:paraId="220AD8C8">
      <w:pPr>
        <w:rPr>
          <w:rFonts w:ascii="Calibri" w:hAnsi="Calibri"/>
          <w:color w:val="000000" w:themeColor="text1"/>
          <w14:textFill>
            <w14:solidFill>
              <w14:schemeClr w14:val="tx1"/>
            </w14:solidFill>
          </w14:textFill>
        </w:rPr>
      </w:pPr>
      <w:r>
        <w:rPr>
          <w:rFonts w:hint="eastAsia" w:ascii="Calibri" w:hAnsi="Calibri"/>
          <w:color w:val="000000" w:themeColor="text1"/>
          <w14:textFill>
            <w14:solidFill>
              <w14:schemeClr w14:val="tx1"/>
            </w14:solidFill>
          </w14:textFill>
        </w:rPr>
        <w:t>日期：</w:t>
      </w:r>
    </w:p>
    <w:p w14:paraId="43B4A772">
      <w:pPr>
        <w:rPr>
          <w:rFonts w:ascii="Calibri" w:hAnsi="Calibri"/>
          <w:color w:val="000000" w:themeColor="text1"/>
          <w14:textFill>
            <w14:solidFill>
              <w14:schemeClr w14:val="tx1"/>
            </w14:solidFill>
          </w14:textFill>
        </w:rPr>
      </w:pPr>
    </w:p>
    <w:p w14:paraId="7CFA08A5">
      <w:pPr>
        <w:widowControl/>
        <w:spacing w:before="100" w:beforeAutospacing="1" w:after="100" w:afterAutospacing="1"/>
        <w:jc w:val="left"/>
        <w:rPr>
          <w:rFonts w:ascii="宋体" w:hAnsi="宋体" w:cs="宋体"/>
          <w:color w:val="000000" w:themeColor="text1"/>
          <w:kern w:val="0"/>
          <w:sz w:val="24"/>
          <w14:textFill>
            <w14:solidFill>
              <w14:schemeClr w14:val="tx1"/>
            </w14:solidFill>
          </w14:textFill>
        </w:rPr>
      </w:pPr>
      <w:r>
        <w:rPr>
          <w:rFonts w:ascii="Calibri" w:hAnsi="Calibri"/>
          <w:color w:val="000000" w:themeColor="text1"/>
          <w14:textFill>
            <w14:solidFill>
              <w14:schemeClr w14:val="tx1"/>
            </w14:solidFill>
          </w14:textFill>
        </w:rPr>
        <w:br w:type="page"/>
      </w:r>
      <w:r>
        <w:rPr>
          <w:rFonts w:hint="eastAsia" w:ascii="宋体" w:hAnsi="宋体" w:cs="宋体"/>
          <w:color w:val="000000" w:themeColor="text1"/>
          <w:kern w:val="0"/>
          <w:szCs w:val="21"/>
          <w14:textFill>
            <w14:solidFill>
              <w14:schemeClr w14:val="tx1"/>
            </w14:solidFill>
          </w14:textFill>
        </w:rPr>
        <w:t>附：</w:t>
      </w:r>
    </w:p>
    <w:p w14:paraId="67BFE2BD">
      <w:pPr>
        <w:jc w:val="center"/>
        <w:outlineLvl w:val="0"/>
        <w:rPr>
          <w:rFonts w:ascii="宋体" w:hAnsi="宋体"/>
          <w:b/>
          <w:color w:val="000000" w:themeColor="text1"/>
          <w:sz w:val="28"/>
          <w:szCs w:val="28"/>
          <w14:textFill>
            <w14:solidFill>
              <w14:schemeClr w14:val="tx1"/>
            </w14:solidFill>
          </w14:textFill>
        </w:rPr>
      </w:pPr>
      <w:bookmarkStart w:id="185" w:name="_Toc137563043"/>
      <w:bookmarkStart w:id="186" w:name="_Toc67574451"/>
      <w:bookmarkStart w:id="187" w:name="_Toc71729010"/>
      <w:bookmarkStart w:id="188" w:name="_Toc75338351"/>
      <w:r>
        <w:rPr>
          <w:rFonts w:hint="eastAsia" w:ascii="宋体" w:hAnsi="宋体"/>
          <w:b/>
          <w:color w:val="000000" w:themeColor="text1"/>
          <w:sz w:val="28"/>
          <w:szCs w:val="28"/>
          <w14:textFill>
            <w14:solidFill>
              <w14:schemeClr w14:val="tx1"/>
            </w14:solidFill>
          </w14:textFill>
        </w:rPr>
        <w:t>残疾人福利性单位声明函（价格扣除适用，若有）</w:t>
      </w:r>
      <w:bookmarkEnd w:id="185"/>
      <w:bookmarkEnd w:id="186"/>
      <w:bookmarkEnd w:id="187"/>
      <w:bookmarkEnd w:id="188"/>
    </w:p>
    <w:p w14:paraId="64061A34">
      <w:pPr>
        <w:widowControl/>
        <w:spacing w:before="100" w:beforeAutospacing="1" w:after="100" w:afterAutospacing="1"/>
        <w:jc w:val="left"/>
        <w:rPr>
          <w:rFonts w:ascii="宋体" w:hAnsi="宋体" w:cs="宋体"/>
          <w:color w:val="000000" w:themeColor="text1"/>
          <w:kern w:val="0"/>
          <w:sz w:val="24"/>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 </w:t>
      </w:r>
    </w:p>
    <w:p w14:paraId="59905EA0">
      <w:pPr>
        <w:widowControl/>
        <w:spacing w:before="75" w:after="75"/>
        <w:ind w:firstLine="42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w:t>
      </w:r>
      <w:r>
        <w:rPr>
          <w:rFonts w:hint="eastAsia" w:ascii="宋体" w:hAnsi="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郑重声明，根据《财政部 民政部 中国残疾人联合会关于促进残疾人就业政府采购政策的通知》（财库[2017]141号）、《政府采购促进中小企业发展管理办法》（财库〔2020〕46号）的规定，本</w:t>
      </w:r>
      <w:r>
        <w:rPr>
          <w:rFonts w:hint="eastAsia" w:ascii="宋体" w:hAnsi="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为符合条件的残疾人福利性单位，且本</w:t>
      </w:r>
      <w:r>
        <w:rPr>
          <w:rFonts w:hint="eastAsia" w:ascii="宋体" w:hAnsi="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参加贵单位的</w:t>
      </w:r>
      <w:r>
        <w:rPr>
          <w:rFonts w:hint="eastAsia" w:ascii="宋体" w:hAnsi="宋体" w:cs="宋体"/>
          <w:color w:val="000000" w:themeColor="text1"/>
          <w:kern w:val="0"/>
          <w:szCs w:val="21"/>
          <w:u w:val="single"/>
          <w14:textFill>
            <w14:solidFill>
              <w14:schemeClr w14:val="tx1"/>
            </w14:solidFill>
          </w14:textFill>
        </w:rPr>
        <w:t>（填写“项目名称”）</w:t>
      </w:r>
      <w:r>
        <w:rPr>
          <w:rFonts w:hint="eastAsia" w:ascii="宋体" w:hAnsi="宋体" w:cs="宋体"/>
          <w:color w:val="000000" w:themeColor="text1"/>
          <w:kern w:val="0"/>
          <w:szCs w:val="21"/>
          <w14:textFill>
            <w14:solidFill>
              <w14:schemeClr w14:val="tx1"/>
            </w14:solidFill>
          </w14:textFill>
        </w:rPr>
        <w:t>项目采购活动：</w:t>
      </w:r>
    </w:p>
    <w:p w14:paraId="26D861D0">
      <w:pPr>
        <w:widowControl/>
        <w:spacing w:before="75" w:after="75"/>
        <w:ind w:firstLine="42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）提供本</w:t>
      </w:r>
      <w:r>
        <w:rPr>
          <w:rFonts w:hint="eastAsia" w:ascii="宋体" w:hAnsi="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制造的</w:t>
      </w:r>
      <w:r>
        <w:rPr>
          <w:rFonts w:hint="eastAsia" w:ascii="宋体" w:hAnsi="宋体" w:cs="宋体"/>
          <w:color w:val="000000" w:themeColor="text1"/>
          <w:kern w:val="0"/>
          <w:szCs w:val="21"/>
          <w:u w:val="single"/>
          <w14:textFill>
            <w14:solidFill>
              <w14:schemeClr w14:val="tx1"/>
            </w14:solidFill>
          </w14:textFill>
        </w:rPr>
        <w:t>（填写“所投合同包、品目号”）</w:t>
      </w:r>
      <w:r>
        <w:rPr>
          <w:rFonts w:hint="eastAsia" w:ascii="宋体" w:hAnsi="宋体" w:cs="宋体"/>
          <w:color w:val="000000" w:themeColor="text1"/>
          <w:kern w:val="0"/>
          <w:szCs w:val="21"/>
          <w14:textFill>
            <w14:solidFill>
              <w14:schemeClr w14:val="tx1"/>
            </w14:solidFill>
          </w14:textFill>
        </w:rPr>
        <w:t>货物，或提供其他残疾人福利性单位制造的</w:t>
      </w:r>
      <w:r>
        <w:rPr>
          <w:rFonts w:hint="eastAsia" w:ascii="宋体" w:hAnsi="宋体" w:cs="宋体"/>
          <w:color w:val="000000" w:themeColor="text1"/>
          <w:kern w:val="0"/>
          <w:szCs w:val="21"/>
          <w:u w:val="single"/>
          <w14:textFill>
            <w14:solidFill>
              <w14:schemeClr w14:val="tx1"/>
            </w14:solidFill>
          </w14:textFill>
        </w:rPr>
        <w:t>（填写“所投合同包、品目号”）</w:t>
      </w:r>
      <w:r>
        <w:rPr>
          <w:rFonts w:hint="eastAsia" w:ascii="宋体" w:hAnsi="宋体" w:cs="宋体"/>
          <w:color w:val="000000" w:themeColor="text1"/>
          <w:kern w:val="0"/>
          <w:szCs w:val="21"/>
          <w14:textFill>
            <w14:solidFill>
              <w14:schemeClr w14:val="tx1"/>
            </w14:solidFill>
          </w14:textFill>
        </w:rPr>
        <w:t>货物（不包括使用非残疾人福利性单位注册商标的货物）。（说明：只有部分货物由残疾人福利企业制造的，在该货物后标</w:t>
      </w:r>
      <w:r>
        <w:rPr>
          <w:rFonts w:ascii="Segoe UI Symbol" w:hAnsi="Segoe UI Symbol" w:cs="宋体"/>
          <w:color w:val="000000" w:themeColor="text1"/>
          <w:kern w:val="0"/>
          <w:sz w:val="20"/>
          <w:szCs w:val="20"/>
          <w:shd w:val="clear" w:color="auto" w:fill="FFFFFF"/>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w:t>
      </w:r>
    </w:p>
    <w:p w14:paraId="58AA6BCB">
      <w:pPr>
        <w:widowControl/>
        <w:spacing w:before="75" w:after="75"/>
        <w:ind w:firstLine="42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）由本</w:t>
      </w:r>
      <w:r>
        <w:rPr>
          <w:rFonts w:hint="eastAsia" w:ascii="宋体" w:hAnsi="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承建的</w:t>
      </w:r>
      <w:r>
        <w:rPr>
          <w:rFonts w:hint="eastAsia" w:ascii="宋体" w:hAnsi="宋体" w:cs="宋体"/>
          <w:color w:val="000000" w:themeColor="text1"/>
          <w:kern w:val="0"/>
          <w:szCs w:val="21"/>
          <w:u w:val="single"/>
          <w14:textFill>
            <w14:solidFill>
              <w14:schemeClr w14:val="tx1"/>
            </w14:solidFill>
          </w14:textFill>
        </w:rPr>
        <w:t>（填写“所投合同包、品目号”）</w:t>
      </w:r>
      <w:r>
        <w:rPr>
          <w:rFonts w:hint="eastAsia" w:ascii="宋体" w:hAnsi="宋体" w:cs="宋体"/>
          <w:color w:val="000000" w:themeColor="text1"/>
          <w:kern w:val="0"/>
          <w:szCs w:val="21"/>
          <w14:textFill>
            <w14:solidFill>
              <w14:schemeClr w14:val="tx1"/>
            </w14:solidFill>
          </w14:textFill>
        </w:rPr>
        <w:t>工程</w:t>
      </w:r>
    </w:p>
    <w:p w14:paraId="4C803CFD">
      <w:pPr>
        <w:widowControl/>
        <w:spacing w:before="75" w:after="75"/>
        <w:ind w:firstLine="42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）由本</w:t>
      </w:r>
      <w:r>
        <w:rPr>
          <w:rFonts w:hint="eastAsia" w:ascii="宋体" w:hAnsi="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承接的</w:t>
      </w:r>
      <w:r>
        <w:rPr>
          <w:rFonts w:hint="eastAsia" w:ascii="宋体" w:hAnsi="宋体" w:cs="宋体"/>
          <w:color w:val="000000" w:themeColor="text1"/>
          <w:kern w:val="0"/>
          <w:szCs w:val="21"/>
          <w:u w:val="single"/>
          <w14:textFill>
            <w14:solidFill>
              <w14:schemeClr w14:val="tx1"/>
            </w14:solidFill>
          </w14:textFill>
        </w:rPr>
        <w:t>（填写“所投合同包、品目号”）</w:t>
      </w:r>
      <w:r>
        <w:rPr>
          <w:rFonts w:hint="eastAsia" w:ascii="宋体" w:hAnsi="宋体" w:cs="宋体"/>
          <w:color w:val="000000" w:themeColor="text1"/>
          <w:kern w:val="0"/>
          <w:szCs w:val="21"/>
          <w14:textFill>
            <w14:solidFill>
              <w14:schemeClr w14:val="tx1"/>
            </w14:solidFill>
          </w14:textFill>
        </w:rPr>
        <w:t>服务；</w:t>
      </w:r>
    </w:p>
    <w:p w14:paraId="080D2105">
      <w:pPr>
        <w:widowControl/>
        <w:spacing w:before="75" w:after="75"/>
        <w:ind w:firstLine="42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w:t>
      </w:r>
      <w:r>
        <w:rPr>
          <w:rFonts w:hint="eastAsia" w:ascii="宋体" w:hAnsi="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对上述声明的真实性负责。如有虚假，将依法承担相应责任。</w:t>
      </w:r>
    </w:p>
    <w:p w14:paraId="6E6E8379">
      <w:pPr>
        <w:widowControl/>
        <w:spacing w:before="75" w:after="75"/>
        <w:ind w:firstLine="420"/>
        <w:jc w:val="left"/>
        <w:rPr>
          <w:rFonts w:ascii="宋体" w:hAnsi="宋体" w:cs="宋体"/>
          <w:color w:val="000000" w:themeColor="text1"/>
          <w:kern w:val="0"/>
          <w:sz w:val="24"/>
          <w14:textFill>
            <w14:solidFill>
              <w14:schemeClr w14:val="tx1"/>
            </w14:solidFill>
          </w14:textFill>
        </w:rPr>
      </w:pPr>
      <w:r>
        <w:rPr>
          <w:rFonts w:cs="Calibri"/>
          <w:color w:val="000000" w:themeColor="text1"/>
          <w:kern w:val="0"/>
          <w:szCs w:val="21"/>
          <w14:textFill>
            <w14:solidFill>
              <w14:schemeClr w14:val="tx1"/>
            </w14:solidFill>
          </w14:textFill>
        </w:rPr>
        <w:t> </w:t>
      </w:r>
    </w:p>
    <w:p w14:paraId="4197F28F">
      <w:pPr>
        <w:widowControl/>
        <w:spacing w:before="75" w:after="75"/>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备注：</w:t>
      </w:r>
    </w:p>
    <w:p w14:paraId="410DB2A7">
      <w:pPr>
        <w:widowControl/>
        <w:spacing w:before="75" w:after="75"/>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1、请按照实际情况编制填写本声明函，并在相应的（）中打“√”。</w:t>
      </w:r>
    </w:p>
    <w:p w14:paraId="42E2039E">
      <w:pPr>
        <w:widowControl/>
        <w:spacing w:before="75" w:after="75"/>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2、若《残疾人福利性单位声明函》内容不真实，</w:t>
      </w:r>
      <w:r>
        <w:rPr>
          <w:rFonts w:hint="eastAsia" w:ascii="宋体" w:hAnsi="宋体" w:cs="宋体"/>
          <w:b/>
          <w:bCs/>
          <w:color w:val="000000" w:themeColor="text1"/>
          <w:kern w:val="0"/>
          <w:szCs w:val="21"/>
          <w14:textFill>
            <w14:solidFill>
              <w14:schemeClr w14:val="tx1"/>
            </w14:solidFill>
          </w14:textFill>
        </w:rPr>
        <w:t>视为提供虚假材料。</w:t>
      </w:r>
    </w:p>
    <w:p w14:paraId="5AFF0FE1">
      <w:pPr>
        <w:widowControl/>
        <w:spacing w:before="75" w:after="75"/>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w:t>
      </w:r>
    </w:p>
    <w:p w14:paraId="2F476DF5">
      <w:pPr>
        <w:rPr>
          <w:rFonts w:ascii="宋体" w:hAnsi="宋体"/>
          <w:color w:val="000000" w:themeColor="text1"/>
          <w:szCs w:val="21"/>
          <w14:textFill>
            <w14:solidFill>
              <w14:schemeClr w14:val="tx1"/>
            </w14:solidFill>
          </w14:textFill>
        </w:rPr>
      </w:pPr>
    </w:p>
    <w:p w14:paraId="6D5ADA94">
      <w:pP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磋商</w:t>
      </w:r>
      <w:r>
        <w:rPr>
          <w:rFonts w:hint="eastAsia"/>
          <w:color w:val="000000" w:themeColor="text1"/>
          <w14:textFill>
            <w14:solidFill>
              <w14:schemeClr w14:val="tx1"/>
            </w14:solidFill>
          </w14:textFill>
        </w:rPr>
        <w:t>供应商全称（加盖公章）：</w:t>
      </w:r>
    </w:p>
    <w:p w14:paraId="4491F01F">
      <w:pP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磋商</w:t>
      </w:r>
      <w:r>
        <w:rPr>
          <w:rFonts w:hint="eastAsia"/>
          <w:color w:val="000000" w:themeColor="text1"/>
          <w14:textFill>
            <w14:solidFill>
              <w14:schemeClr w14:val="tx1"/>
            </w14:solidFill>
          </w14:textFill>
        </w:rPr>
        <w:t>代表签字：</w:t>
      </w:r>
    </w:p>
    <w:p w14:paraId="2772201C">
      <w:pPr>
        <w:rPr>
          <w:color w:val="000000" w:themeColor="text1"/>
          <w14:textFill>
            <w14:solidFill>
              <w14:schemeClr w14:val="tx1"/>
            </w14:solidFill>
          </w14:textFill>
        </w:rPr>
      </w:pPr>
      <w:r>
        <w:rPr>
          <w:rFonts w:hint="eastAsia"/>
          <w:color w:val="000000" w:themeColor="text1"/>
          <w14:textFill>
            <w14:solidFill>
              <w14:schemeClr w14:val="tx1"/>
            </w14:solidFill>
          </w14:textFill>
        </w:rPr>
        <w:t>日期：</w:t>
      </w:r>
    </w:p>
    <w:p w14:paraId="6E6E10E6">
      <w:pPr>
        <w:widowControl/>
        <w:spacing w:before="75" w:after="75"/>
        <w:ind w:firstLine="420"/>
        <w:jc w:val="center"/>
        <w:rPr>
          <w:rFonts w:ascii="黑体" w:hAnsi="Arial" w:eastAsia="黑体"/>
          <w:b/>
          <w:color w:val="000000" w:themeColor="text1"/>
          <w:szCs w:val="21"/>
          <w14:textFill>
            <w14:solidFill>
              <w14:schemeClr w14:val="tx1"/>
            </w14:solidFill>
          </w14:textFill>
        </w:rPr>
      </w:pPr>
    </w:p>
    <w:p w14:paraId="193F7E27">
      <w:pPr>
        <w:spacing w:line="400" w:lineRule="exact"/>
        <w:rPr>
          <w:rFonts w:ascii="黑体" w:hAnsi="Arial" w:eastAsia="黑体"/>
          <w:b/>
          <w:color w:val="000000" w:themeColor="text1"/>
          <w:szCs w:val="21"/>
          <w14:textFill>
            <w14:solidFill>
              <w14:schemeClr w14:val="tx1"/>
            </w14:solidFill>
          </w14:textFill>
        </w:rPr>
      </w:pPr>
    </w:p>
    <w:p w14:paraId="609DBA7C">
      <w:pPr>
        <w:spacing w:line="400" w:lineRule="exact"/>
        <w:rPr>
          <w:rFonts w:ascii="黑体" w:hAnsi="Arial" w:eastAsia="黑体"/>
          <w:b/>
          <w:color w:val="000000" w:themeColor="text1"/>
          <w:szCs w:val="21"/>
          <w14:textFill>
            <w14:solidFill>
              <w14:schemeClr w14:val="tx1"/>
            </w14:solidFill>
          </w14:textFill>
        </w:rPr>
      </w:pPr>
    </w:p>
    <w:p w14:paraId="0961582D">
      <w:pPr>
        <w:spacing w:line="400" w:lineRule="exact"/>
        <w:rPr>
          <w:rFonts w:ascii="黑体" w:hAnsi="Arial" w:eastAsia="黑体"/>
          <w:b/>
          <w:color w:val="000000" w:themeColor="text1"/>
          <w:szCs w:val="21"/>
          <w14:textFill>
            <w14:solidFill>
              <w14:schemeClr w14:val="tx1"/>
            </w14:solidFill>
          </w14:textFill>
        </w:rPr>
      </w:pPr>
    </w:p>
    <w:p w14:paraId="6E7F068C">
      <w:pPr>
        <w:spacing w:line="400" w:lineRule="exact"/>
        <w:rPr>
          <w:rFonts w:ascii="黑体" w:hAnsi="Arial" w:eastAsia="黑体"/>
          <w:b/>
          <w:color w:val="000000" w:themeColor="text1"/>
          <w:szCs w:val="21"/>
          <w14:textFill>
            <w14:solidFill>
              <w14:schemeClr w14:val="tx1"/>
            </w14:solidFill>
          </w14:textFill>
        </w:rPr>
      </w:pPr>
    </w:p>
    <w:p w14:paraId="58F352FC">
      <w:pPr>
        <w:spacing w:line="400" w:lineRule="exact"/>
        <w:rPr>
          <w:rFonts w:ascii="黑体" w:hAnsi="Arial" w:eastAsia="黑体"/>
          <w:b/>
          <w:color w:val="000000" w:themeColor="text1"/>
          <w:szCs w:val="21"/>
          <w14:textFill>
            <w14:solidFill>
              <w14:schemeClr w14:val="tx1"/>
            </w14:solidFill>
          </w14:textFill>
        </w:rPr>
      </w:pPr>
    </w:p>
    <w:p w14:paraId="1279AB05">
      <w:pPr>
        <w:spacing w:line="400" w:lineRule="exact"/>
        <w:rPr>
          <w:rFonts w:ascii="黑体" w:hAnsi="Arial" w:eastAsia="黑体"/>
          <w:b/>
          <w:color w:val="000000" w:themeColor="text1"/>
          <w:szCs w:val="21"/>
          <w14:textFill>
            <w14:solidFill>
              <w14:schemeClr w14:val="tx1"/>
            </w14:solidFill>
          </w14:textFill>
        </w:rPr>
      </w:pPr>
    </w:p>
    <w:p w14:paraId="3691F3A7">
      <w:pPr>
        <w:spacing w:line="400" w:lineRule="exact"/>
        <w:rPr>
          <w:rFonts w:ascii="黑体" w:hAnsi="Arial" w:eastAsia="黑体"/>
          <w:b/>
          <w:color w:val="000000" w:themeColor="text1"/>
          <w:szCs w:val="21"/>
          <w14:textFill>
            <w14:solidFill>
              <w14:schemeClr w14:val="tx1"/>
            </w14:solidFill>
          </w14:textFill>
        </w:rPr>
      </w:pPr>
    </w:p>
    <w:p w14:paraId="2E277D27">
      <w:pPr>
        <w:spacing w:line="400" w:lineRule="exact"/>
        <w:rPr>
          <w:rFonts w:ascii="黑体" w:hAnsi="Arial" w:eastAsia="黑体"/>
          <w:b/>
          <w:color w:val="000000" w:themeColor="text1"/>
          <w:szCs w:val="21"/>
          <w14:textFill>
            <w14:solidFill>
              <w14:schemeClr w14:val="tx1"/>
            </w14:solidFill>
          </w14:textFill>
        </w:rPr>
      </w:pPr>
    </w:p>
    <w:p w14:paraId="6FD7A045">
      <w:pPr>
        <w:spacing w:line="360" w:lineRule="auto"/>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br w:type="page"/>
      </w:r>
      <w:r>
        <w:rPr>
          <w:rFonts w:hint="eastAsia" w:ascii="宋体" w:hAnsi="宋体"/>
          <w:b/>
          <w:color w:val="000000" w:themeColor="text1"/>
          <w:sz w:val="72"/>
          <w14:textFill>
            <w14:solidFill>
              <w14:schemeClr w14:val="tx1"/>
            </w14:solidFill>
          </w14:textFill>
        </w:rPr>
        <w:t>磋商响应文件</w:t>
      </w:r>
    </w:p>
    <w:p w14:paraId="6462E8D6">
      <w:pPr>
        <w:spacing w:line="360" w:lineRule="auto"/>
        <w:jc w:val="center"/>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（技术商务部分）</w:t>
      </w:r>
    </w:p>
    <w:p w14:paraId="35501CAE">
      <w:pPr>
        <w:spacing w:line="360" w:lineRule="auto"/>
        <w:jc w:val="center"/>
        <w:rPr>
          <w:rFonts w:ascii="宋体" w:hAnsi="宋体"/>
          <w:b/>
          <w:color w:val="000000" w:themeColor="text1"/>
          <w:sz w:val="36"/>
          <w14:textFill>
            <w14:solidFill>
              <w14:schemeClr w14:val="tx1"/>
            </w14:solidFill>
          </w14:textFill>
        </w:rPr>
      </w:pPr>
    </w:p>
    <w:p w14:paraId="34C328A3">
      <w:pPr>
        <w:spacing w:line="360" w:lineRule="auto"/>
        <w:jc w:val="center"/>
        <w:rPr>
          <w:rFonts w:ascii="宋体" w:hAnsi="宋体"/>
          <w:b/>
          <w:color w:val="000000" w:themeColor="text1"/>
          <w:sz w:val="36"/>
          <w14:textFill>
            <w14:solidFill>
              <w14:schemeClr w14:val="tx1"/>
            </w14:solidFill>
          </w14:textFill>
        </w:rPr>
      </w:pPr>
    </w:p>
    <w:p w14:paraId="607025CA">
      <w:pPr>
        <w:spacing w:line="360" w:lineRule="auto"/>
        <w:jc w:val="center"/>
        <w:rPr>
          <w:rFonts w:ascii="宋体" w:hAnsi="宋体"/>
          <w:b/>
          <w:color w:val="000000" w:themeColor="text1"/>
          <w:sz w:val="36"/>
          <w14:textFill>
            <w14:solidFill>
              <w14:schemeClr w14:val="tx1"/>
            </w14:solidFill>
          </w14:textFill>
        </w:rPr>
      </w:pPr>
    </w:p>
    <w:p w14:paraId="7B403DAA">
      <w:pPr>
        <w:spacing w:line="360" w:lineRule="auto"/>
        <w:jc w:val="center"/>
        <w:rPr>
          <w:rFonts w:ascii="宋体" w:hAnsi="宋体"/>
          <w:b/>
          <w:color w:val="000000" w:themeColor="text1"/>
          <w:sz w:val="36"/>
          <w14:textFill>
            <w14:solidFill>
              <w14:schemeClr w14:val="tx1"/>
            </w14:solidFill>
          </w14:textFill>
        </w:rPr>
      </w:pPr>
    </w:p>
    <w:p w14:paraId="6DF9F2B0">
      <w:pPr>
        <w:spacing w:line="360" w:lineRule="auto"/>
        <w:ind w:firstLine="1619" w:firstLineChars="448"/>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项 目 名 称：</w:t>
      </w:r>
    </w:p>
    <w:p w14:paraId="4674F894">
      <w:pPr>
        <w:spacing w:line="360" w:lineRule="auto"/>
        <w:ind w:firstLine="1619" w:firstLineChars="448"/>
        <w:rPr>
          <w:rFonts w:ascii="宋体" w:hAnsi="宋体"/>
          <w:b/>
          <w:bCs/>
          <w:color w:val="000000" w:themeColor="text1"/>
          <w:sz w:val="32"/>
          <w14:textFill>
            <w14:solidFill>
              <w14:schemeClr w14:val="tx1"/>
            </w14:solidFill>
          </w14:textFill>
        </w:rPr>
      </w:pPr>
      <w:r>
        <w:rPr>
          <w:rFonts w:hint="eastAsia" w:ascii="宋体" w:hAnsi="宋体"/>
          <w:b/>
          <w:color w:val="000000" w:themeColor="text1"/>
          <w:sz w:val="36"/>
          <w14:textFill>
            <w14:solidFill>
              <w14:schemeClr w14:val="tx1"/>
            </w14:solidFill>
          </w14:textFill>
        </w:rPr>
        <w:t>采 购 编 号：</w:t>
      </w:r>
    </w:p>
    <w:p w14:paraId="544EB1FB">
      <w:pPr>
        <w:spacing w:line="360" w:lineRule="auto"/>
        <w:ind w:firstLine="1608" w:firstLineChars="445"/>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合 同 包 号：</w:t>
      </w:r>
    </w:p>
    <w:p w14:paraId="7B580F43">
      <w:pPr>
        <w:spacing w:line="360" w:lineRule="auto"/>
        <w:rPr>
          <w:rFonts w:ascii="宋体" w:hAnsi="宋体"/>
          <w:color w:val="000000" w:themeColor="text1"/>
          <w:sz w:val="28"/>
          <w:szCs w:val="28"/>
          <w14:textFill>
            <w14:solidFill>
              <w14:schemeClr w14:val="tx1"/>
            </w14:solidFill>
          </w14:textFill>
        </w:rPr>
      </w:pPr>
    </w:p>
    <w:p w14:paraId="55718DC7">
      <w:pPr>
        <w:spacing w:line="360" w:lineRule="auto"/>
        <w:rPr>
          <w:rFonts w:ascii="宋体" w:hAnsi="宋体"/>
          <w:b/>
          <w:color w:val="000000" w:themeColor="text1"/>
          <w:sz w:val="36"/>
          <w14:textFill>
            <w14:solidFill>
              <w14:schemeClr w14:val="tx1"/>
            </w14:solidFill>
          </w14:textFill>
        </w:rPr>
      </w:pPr>
    </w:p>
    <w:p w14:paraId="702000B2">
      <w:pPr>
        <w:spacing w:line="360" w:lineRule="auto"/>
        <w:rPr>
          <w:rFonts w:ascii="宋体" w:hAnsi="宋体"/>
          <w:b/>
          <w:color w:val="000000" w:themeColor="text1"/>
          <w:sz w:val="36"/>
          <w14:textFill>
            <w14:solidFill>
              <w14:schemeClr w14:val="tx1"/>
            </w14:solidFill>
          </w14:textFill>
        </w:rPr>
      </w:pPr>
    </w:p>
    <w:p w14:paraId="1F6544D6">
      <w:pPr>
        <w:spacing w:line="360" w:lineRule="auto"/>
        <w:rPr>
          <w:rFonts w:ascii="宋体" w:hAnsi="宋体"/>
          <w:b/>
          <w:color w:val="000000" w:themeColor="text1"/>
          <w:sz w:val="36"/>
          <w14:textFill>
            <w14:solidFill>
              <w14:schemeClr w14:val="tx1"/>
            </w14:solidFill>
          </w14:textFill>
        </w:rPr>
      </w:pPr>
    </w:p>
    <w:p w14:paraId="78C49492">
      <w:pPr>
        <w:spacing w:line="360" w:lineRule="auto"/>
        <w:ind w:firstLine="1438" w:firstLineChars="398"/>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磋商供应商名称：</w:t>
      </w:r>
      <w:r>
        <w:rPr>
          <w:rFonts w:hint="eastAsia" w:ascii="宋体" w:hAnsi="宋体"/>
          <w:b/>
          <w:color w:val="000000" w:themeColor="text1"/>
          <w:sz w:val="36"/>
          <w:u w:val="single"/>
          <w14:textFill>
            <w14:solidFill>
              <w14:schemeClr w14:val="tx1"/>
            </w14:solidFill>
          </w14:textFill>
        </w:rPr>
        <w:t xml:space="preserve">               </w:t>
      </w:r>
    </w:p>
    <w:p w14:paraId="5BFA2FB0">
      <w:pPr>
        <w:spacing w:line="360" w:lineRule="auto"/>
        <w:ind w:firstLine="1438" w:firstLineChars="398"/>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w:t>
      </w:r>
      <w:r>
        <w:rPr>
          <w:rFonts w:hint="eastAsia" w:ascii="宋体" w:hAnsi="宋体"/>
          <w:b/>
          <w:color w:val="000000" w:themeColor="text1"/>
          <w:sz w:val="36"/>
          <w:u w:val="single"/>
          <w14:textFill>
            <w14:solidFill>
              <w14:schemeClr w14:val="tx1"/>
            </w14:solidFill>
          </w14:textFill>
        </w:rPr>
        <w:t xml:space="preserve">               </w:t>
      </w:r>
    </w:p>
    <w:p w14:paraId="342C96AF">
      <w:pPr>
        <w:spacing w:line="400" w:lineRule="exact"/>
        <w:outlineLvl w:val="0"/>
        <w:rPr>
          <w:rFonts w:ascii="宋体" w:hAnsi="宋体"/>
          <w:b/>
          <w:color w:val="000000" w:themeColor="text1"/>
          <w:sz w:val="24"/>
          <w14:textFill>
            <w14:solidFill>
              <w14:schemeClr w14:val="tx1"/>
            </w14:solidFill>
          </w14:textFill>
        </w:rPr>
      </w:pPr>
    </w:p>
    <w:p w14:paraId="5DE51543">
      <w:pPr>
        <w:spacing w:line="400" w:lineRule="exact"/>
        <w:outlineLvl w:val="0"/>
        <w:rPr>
          <w:rFonts w:ascii="宋体" w:hAnsi="宋体"/>
          <w:b/>
          <w:color w:val="000000" w:themeColor="text1"/>
          <w:sz w:val="24"/>
          <w14:textFill>
            <w14:solidFill>
              <w14:schemeClr w14:val="tx1"/>
            </w14:solidFill>
          </w14:textFill>
        </w:rPr>
      </w:pPr>
    </w:p>
    <w:p w14:paraId="74EE73DA">
      <w:pPr>
        <w:spacing w:line="360" w:lineRule="auto"/>
        <w:ind w:left="1540" w:hanging="1540" w:hangingChars="55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(编制提示：文件装订、密封、标识请注意按磋商供应商须知中的相应要求进行，以避免带来不良后果。)</w:t>
      </w:r>
    </w:p>
    <w:p w14:paraId="1767F673">
      <w:pPr>
        <w:spacing w:line="400" w:lineRule="exact"/>
        <w:outlineLvl w:val="0"/>
        <w:rPr>
          <w:rFonts w:ascii="宋体" w:hAnsi="宋体"/>
          <w:b/>
          <w:color w:val="000000" w:themeColor="text1"/>
          <w:sz w:val="24"/>
          <w14:textFill>
            <w14:solidFill>
              <w14:schemeClr w14:val="tx1"/>
            </w14:solidFill>
          </w14:textFill>
        </w:rPr>
      </w:pPr>
    </w:p>
    <w:p w14:paraId="621140C8">
      <w:pPr>
        <w:spacing w:line="400" w:lineRule="exact"/>
        <w:outlineLvl w:val="0"/>
        <w:rPr>
          <w:rFonts w:ascii="宋体" w:hAnsi="宋体"/>
          <w:b/>
          <w:color w:val="000000" w:themeColor="text1"/>
          <w:sz w:val="24"/>
          <w14:textFill>
            <w14:solidFill>
              <w14:schemeClr w14:val="tx1"/>
            </w14:solidFill>
          </w14:textFill>
        </w:rPr>
      </w:pPr>
    </w:p>
    <w:p w14:paraId="13B0F017">
      <w:pPr>
        <w:spacing w:line="400" w:lineRule="exact"/>
        <w:outlineLvl w:val="0"/>
        <w:rPr>
          <w:rFonts w:ascii="宋体" w:hAnsi="宋体"/>
          <w:b/>
          <w:color w:val="000000" w:themeColor="text1"/>
          <w:sz w:val="24"/>
          <w14:textFill>
            <w14:solidFill>
              <w14:schemeClr w14:val="tx1"/>
            </w14:solidFill>
          </w14:textFill>
        </w:rPr>
      </w:pPr>
    </w:p>
    <w:p w14:paraId="12C525C2">
      <w:pPr>
        <w:spacing w:line="200" w:lineRule="exact"/>
        <w:rPr>
          <w:rFonts w:ascii="黑体" w:hAnsi="Arial" w:eastAsia="黑体"/>
          <w:b/>
          <w:color w:val="000000" w:themeColor="text1"/>
          <w:sz w:val="28"/>
          <w:szCs w:val="28"/>
          <w14:textFill>
            <w14:solidFill>
              <w14:schemeClr w14:val="tx1"/>
            </w14:solidFill>
          </w14:textFill>
        </w:rPr>
      </w:pPr>
    </w:p>
    <w:p w14:paraId="124116B9">
      <w:pPr>
        <w:rPr>
          <w:rFonts w:ascii="宋体" w:hAnsi="宋体"/>
          <w:color w:val="000000" w:themeColor="text1"/>
          <w:spacing w:val="20"/>
          <w:sz w:val="24"/>
          <w14:textFill>
            <w14:solidFill>
              <w14:schemeClr w14:val="tx1"/>
            </w14:solidFill>
          </w14:textFill>
        </w:rPr>
      </w:pPr>
    </w:p>
    <w:p w14:paraId="56B06752">
      <w:pPr>
        <w:ind w:firstLine="280" w:firstLineChars="100"/>
        <w:jc w:val="right"/>
        <w:rPr>
          <w:rFonts w:ascii="宋体" w:hAnsi="宋体"/>
          <w:color w:val="000000" w:themeColor="text1"/>
          <w:spacing w:val="20"/>
          <w14:textFill>
            <w14:solidFill>
              <w14:schemeClr w14:val="tx1"/>
            </w14:solidFill>
          </w14:textFill>
        </w:rPr>
      </w:pPr>
      <w:r>
        <w:rPr>
          <w:rFonts w:hint="eastAsia" w:ascii="宋体" w:hAnsi="宋体"/>
          <w:color w:val="000000" w:themeColor="text1"/>
          <w:spacing w:val="20"/>
          <w:sz w:val="24"/>
          <w14:textFill>
            <w14:solidFill>
              <w14:schemeClr w14:val="tx1"/>
            </w14:solidFill>
          </w14:textFill>
        </w:rPr>
        <w:t xml:space="preserve">  </w:t>
      </w:r>
      <w:r>
        <w:rPr>
          <w:rFonts w:hint="eastAsia" w:ascii="宋体" w:hAnsi="宋体"/>
          <w:color w:val="000000" w:themeColor="text1"/>
          <w:spacing w:val="20"/>
          <w14:textFill>
            <w14:solidFill>
              <w14:schemeClr w14:val="tx1"/>
            </w14:solidFill>
          </w14:textFill>
        </w:rPr>
        <w:t xml:space="preserve">            </w:t>
      </w:r>
      <w:bookmarkEnd w:id="164"/>
    </w:p>
    <w:p w14:paraId="5B7D2B5E">
      <w:pPr>
        <w:spacing w:line="400" w:lineRule="exact"/>
        <w:rPr>
          <w:rFonts w:ascii="黑体" w:hAnsi="Arial" w:eastAsia="黑体"/>
          <w:b/>
          <w:color w:val="000000" w:themeColor="text1"/>
          <w:sz w:val="24"/>
          <w14:textFill>
            <w14:solidFill>
              <w14:schemeClr w14:val="tx1"/>
            </w14:solidFill>
          </w14:textFill>
        </w:rPr>
      </w:pPr>
    </w:p>
    <w:p w14:paraId="63D3561A">
      <w:pPr>
        <w:spacing w:line="400" w:lineRule="exact"/>
        <w:ind w:firstLine="275" w:firstLineChars="98"/>
        <w:jc w:val="left"/>
        <w:outlineLvl w:val="0"/>
        <w:rPr>
          <w:rFonts w:ascii="宋体" w:hAnsi="宋体"/>
          <w:b/>
          <w:color w:val="000000" w:themeColor="text1"/>
          <w:sz w:val="28"/>
          <w:szCs w:val="28"/>
          <w14:textFill>
            <w14:solidFill>
              <w14:schemeClr w14:val="tx1"/>
            </w14:solidFill>
          </w14:textFill>
        </w:rPr>
      </w:pPr>
      <w:bookmarkStart w:id="189" w:name="_Toc134733535"/>
      <w:r>
        <w:rPr>
          <w:rFonts w:hint="eastAsia" w:ascii="宋体" w:hAnsi="宋体"/>
          <w:b/>
          <w:color w:val="000000" w:themeColor="text1"/>
          <w:sz w:val="28"/>
          <w:szCs w:val="28"/>
          <w14:textFill>
            <w14:solidFill>
              <w14:schemeClr w14:val="tx1"/>
            </w14:solidFill>
          </w14:textFill>
        </w:rPr>
        <w:t xml:space="preserve">                       </w:t>
      </w:r>
    </w:p>
    <w:p w14:paraId="40B96C21">
      <w:pPr>
        <w:spacing w:line="400" w:lineRule="exact"/>
        <w:ind w:firstLine="275" w:firstLineChars="98"/>
        <w:jc w:val="center"/>
        <w:outlineLvl w:val="0"/>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br w:type="page"/>
      </w:r>
      <w:bookmarkStart w:id="190" w:name="_Toc137563044"/>
      <w:bookmarkStart w:id="191" w:name="_Toc75338352"/>
      <w:r>
        <w:rPr>
          <w:rFonts w:hint="eastAsia" w:ascii="宋体" w:hAnsi="宋体"/>
          <w:b/>
          <w:color w:val="000000" w:themeColor="text1"/>
          <w:sz w:val="28"/>
          <w:szCs w:val="28"/>
          <w14:textFill>
            <w14:solidFill>
              <w14:schemeClr w14:val="tx1"/>
            </w14:solidFill>
          </w14:textFill>
        </w:rPr>
        <w:t>资格声明函</w:t>
      </w:r>
      <w:bookmarkEnd w:id="189"/>
      <w:bookmarkEnd w:id="190"/>
      <w:bookmarkEnd w:id="191"/>
    </w:p>
    <w:p w14:paraId="2AC4AD62">
      <w:pPr>
        <w:spacing w:line="400" w:lineRule="exact"/>
        <w:ind w:firstLine="2520" w:firstLineChars="1046"/>
        <w:jc w:val="left"/>
        <w:rPr>
          <w:rFonts w:ascii="黑体" w:hAnsi="Arial" w:eastAsia="黑体"/>
          <w:b/>
          <w:color w:val="000000" w:themeColor="text1"/>
          <w:sz w:val="24"/>
          <w14:textFill>
            <w14:solidFill>
              <w14:schemeClr w14:val="tx1"/>
            </w14:solidFill>
          </w14:textFill>
        </w:rPr>
      </w:pPr>
    </w:p>
    <w:p w14:paraId="5FE3A38B">
      <w:pPr>
        <w:spacing w:line="400" w:lineRule="exact"/>
        <w:rPr>
          <w:color w:val="000000" w:themeColor="text1"/>
          <w:szCs w:val="21"/>
          <w14:textFill>
            <w14:solidFill>
              <w14:schemeClr w14:val="tx1"/>
            </w14:solidFill>
          </w14:textFill>
        </w:rPr>
      </w:pPr>
      <w:r>
        <w:rPr>
          <w:rFonts w:hint="eastAsia" w:eastAsia="黑体"/>
          <w:b/>
          <w:bCs/>
          <w:color w:val="000000" w:themeColor="text1"/>
          <w:szCs w:val="21"/>
          <w:u w:val="single"/>
          <w14:textFill>
            <w14:solidFill>
              <w14:schemeClr w14:val="tx1"/>
            </w14:solidFill>
          </w14:textFill>
        </w:rPr>
        <w:t>福建鑫盛项目管理咨询有限公司</w:t>
      </w:r>
      <w:r>
        <w:rPr>
          <w:rFonts w:hint="eastAsia"/>
          <w:color w:val="000000" w:themeColor="text1"/>
          <w:szCs w:val="21"/>
          <w14:textFill>
            <w14:solidFill>
              <w14:schemeClr w14:val="tx1"/>
            </w14:solidFill>
          </w14:textFill>
        </w:rPr>
        <w:t>：</w:t>
      </w:r>
    </w:p>
    <w:p w14:paraId="7ABDC901">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p>
    <w:p w14:paraId="54416BD9">
      <w:pPr>
        <w:spacing w:line="400" w:lineRule="exact"/>
        <w:ind w:firstLine="525" w:firstLineChars="250"/>
        <w:rPr>
          <w:color w:val="000000" w:themeColor="text1"/>
          <w:szCs w:val="21"/>
          <w14:textFill>
            <w14:solidFill>
              <w14:schemeClr w14:val="tx1"/>
            </w14:solidFill>
          </w14:textFill>
        </w:rPr>
      </w:pPr>
      <w:r>
        <w:rPr>
          <w:rFonts w:hint="eastAsia" w:ascii="Arial" w:hAnsi="Arial"/>
          <w:color w:val="000000" w:themeColor="text1"/>
          <w:szCs w:val="21"/>
          <w14:textFill>
            <w14:solidFill>
              <w14:schemeClr w14:val="tx1"/>
            </w14:solidFill>
          </w14:textFill>
        </w:rPr>
        <w:t>根据贵方为</w:t>
      </w:r>
      <w:r>
        <w:rPr>
          <w:rFonts w:hint="eastAsia" w:ascii="Arial" w:hAnsi="Arial"/>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(采购编号、项目名称)采购</w:t>
      </w:r>
      <w:r>
        <w:rPr>
          <w:rFonts w:hint="eastAsia" w:ascii="Arial" w:hAnsi="Arial"/>
          <w:color w:val="000000" w:themeColor="text1"/>
          <w:szCs w:val="21"/>
          <w14:textFill>
            <w14:solidFill>
              <w14:schemeClr w14:val="tx1"/>
            </w14:solidFill>
          </w14:textFill>
        </w:rPr>
        <w:t>项目的磋商邀请，</w:t>
      </w:r>
      <w:r>
        <w:rPr>
          <w:rFonts w:hint="eastAsia"/>
          <w:color w:val="000000" w:themeColor="text1"/>
          <w:szCs w:val="21"/>
          <w14:textFill>
            <w14:solidFill>
              <w14:schemeClr w14:val="tx1"/>
            </w14:solidFill>
          </w14:textFill>
        </w:rPr>
        <w:t>我方愿意参加</w:t>
      </w:r>
      <w:r>
        <w:rPr>
          <w:rFonts w:hint="eastAsia" w:ascii="Arial" w:hAnsi="Arial"/>
          <w:color w:val="000000" w:themeColor="text1"/>
          <w:szCs w:val="21"/>
          <w14:textFill>
            <w14:solidFill>
              <w14:schemeClr w14:val="tx1"/>
            </w14:solidFill>
          </w14:textFill>
        </w:rPr>
        <w:t>磋商</w:t>
      </w:r>
      <w:r>
        <w:rPr>
          <w:rFonts w:hint="eastAsia"/>
          <w:color w:val="000000" w:themeColor="text1"/>
          <w:szCs w:val="21"/>
          <w14:textFill>
            <w14:solidFill>
              <w14:schemeClr w14:val="tx1"/>
            </w14:solidFill>
          </w14:textFill>
        </w:rPr>
        <w:t>，并证明所提供的资格文件和所要求的说明是真实可靠的和准确无误的。</w:t>
      </w:r>
    </w:p>
    <w:p w14:paraId="0DE96645">
      <w:pPr>
        <w:spacing w:line="400" w:lineRule="exact"/>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我方对可能要求提供的进一步的资格资料表示理解和同意，并同意按贵方的要求提供任何有关资料。</w:t>
      </w:r>
    </w:p>
    <w:p w14:paraId="3991C528">
      <w:pPr>
        <w:spacing w:line="400" w:lineRule="exact"/>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p>
    <w:p w14:paraId="7D94B728">
      <w:pPr>
        <w:spacing w:line="400" w:lineRule="exact"/>
        <w:ind w:firstLine="420" w:firstLineChars="200"/>
        <w:rPr>
          <w:color w:val="000000" w:themeColor="text1"/>
          <w:szCs w:val="21"/>
          <w14:textFill>
            <w14:solidFill>
              <w14:schemeClr w14:val="tx1"/>
            </w14:solidFill>
          </w14:textFill>
        </w:rPr>
      </w:pPr>
    </w:p>
    <w:p w14:paraId="4B79160B">
      <w:pPr>
        <w:spacing w:line="400" w:lineRule="exact"/>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磋商供应商全称：</w:t>
      </w:r>
      <w:r>
        <w:rPr>
          <w:rFonts w:hint="eastAsia"/>
          <w:color w:val="000000" w:themeColor="text1"/>
          <w:szCs w:val="21"/>
          <w:u w:val="single"/>
          <w14:textFill>
            <w14:solidFill>
              <w14:schemeClr w14:val="tx1"/>
            </w14:solidFill>
          </w14:textFill>
        </w:rPr>
        <w:t xml:space="preserve">          （加盖公章）             </w:t>
      </w:r>
    </w:p>
    <w:p w14:paraId="6A646789">
      <w:pPr>
        <w:spacing w:line="400" w:lineRule="exact"/>
        <w:ind w:firstLine="420" w:firstLineChars="200"/>
        <w:rPr>
          <w:color w:val="000000" w:themeColor="text1"/>
          <w:szCs w:val="21"/>
          <w:u w:val="single"/>
          <w14:textFill>
            <w14:solidFill>
              <w14:schemeClr w14:val="tx1"/>
            </w14:solidFill>
          </w14:textFill>
        </w:rPr>
      </w:pPr>
      <w:r>
        <w:rPr>
          <w:rFonts w:hint="eastAsia"/>
          <w:color w:val="000000" w:themeColor="text1"/>
          <w:szCs w:val="21"/>
          <w14:textFill>
            <w14:solidFill>
              <w14:schemeClr w14:val="tx1"/>
            </w14:solidFill>
          </w14:textFill>
        </w:rPr>
        <w:t xml:space="preserve"> </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单位负责人（或授权代表）签字或签章：</w:t>
      </w:r>
      <w:r>
        <w:rPr>
          <w:rFonts w:hint="eastAsia"/>
          <w:color w:val="000000" w:themeColor="text1"/>
          <w:szCs w:val="21"/>
          <w:u w:val="single"/>
          <w14:textFill>
            <w14:solidFill>
              <w14:schemeClr w14:val="tx1"/>
            </w14:solidFill>
          </w14:textFill>
        </w:rPr>
        <w:t xml:space="preserve">                 </w:t>
      </w:r>
    </w:p>
    <w:p w14:paraId="28D0C7B7">
      <w:pPr>
        <w:spacing w:line="400" w:lineRule="exact"/>
        <w:ind w:firstLine="840" w:firstLineChars="4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地址：</w:t>
      </w:r>
      <w:r>
        <w:rPr>
          <w:rFonts w:hint="eastAsia"/>
          <w:color w:val="000000" w:themeColor="text1"/>
          <w:szCs w:val="21"/>
          <w:u w:val="single"/>
          <w14:textFill>
            <w14:solidFill>
              <w14:schemeClr w14:val="tx1"/>
            </w14:solidFill>
          </w14:textFill>
        </w:rPr>
        <w:t xml:space="preserve">                                         </w:t>
      </w:r>
    </w:p>
    <w:p w14:paraId="4E9B4BDD">
      <w:pPr>
        <w:spacing w:line="400" w:lineRule="exact"/>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电话／传真：</w:t>
      </w:r>
      <w:r>
        <w:rPr>
          <w:rFonts w:hint="eastAsia"/>
          <w:color w:val="000000" w:themeColor="text1"/>
          <w:szCs w:val="21"/>
          <w:u w:val="single"/>
          <w14:textFill>
            <w14:solidFill>
              <w14:schemeClr w14:val="tx1"/>
            </w14:solidFill>
          </w14:textFill>
        </w:rPr>
        <w:t xml:space="preserve">                 </w:t>
      </w:r>
      <w:r>
        <w:rPr>
          <w:color w:val="000000" w:themeColor="text1"/>
          <w:szCs w:val="21"/>
          <w:u w:val="single"/>
          <w14:textFill>
            <w14:solidFill>
              <w14:schemeClr w14:val="tx1"/>
            </w14:solidFill>
          </w14:textFill>
        </w:rPr>
        <w:t xml:space="preserve">   </w:t>
      </w:r>
      <w:r>
        <w:rPr>
          <w:rFonts w:hint="eastAsia"/>
          <w:color w:val="000000" w:themeColor="text1"/>
          <w:szCs w:val="21"/>
          <w:u w:val="single"/>
          <w14:textFill>
            <w14:solidFill>
              <w14:schemeClr w14:val="tx1"/>
            </w14:solidFill>
          </w14:textFill>
        </w:rPr>
        <w:t xml:space="preserve">               </w:t>
      </w:r>
    </w:p>
    <w:p w14:paraId="1307E4F1">
      <w:pPr>
        <w:spacing w:line="400" w:lineRule="exact"/>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 </w:t>
      </w:r>
    </w:p>
    <w:p w14:paraId="0F1DBCAE">
      <w:pPr>
        <w:spacing w:line="400" w:lineRule="exact"/>
        <w:ind w:firstLine="420" w:firstLineChars="200"/>
        <w:rPr>
          <w:color w:val="000000" w:themeColor="text1"/>
          <w:szCs w:val="21"/>
          <w14:textFill>
            <w14:solidFill>
              <w14:schemeClr w14:val="tx1"/>
            </w14:solidFill>
          </w14:textFill>
        </w:rPr>
      </w:pPr>
    </w:p>
    <w:p w14:paraId="4F151BA3">
      <w:pPr>
        <w:spacing w:line="400" w:lineRule="exact"/>
        <w:ind w:firstLine="420" w:firstLineChars="200"/>
        <w:rPr>
          <w:color w:val="000000" w:themeColor="text1"/>
          <w:szCs w:val="21"/>
          <w14:textFill>
            <w14:solidFill>
              <w14:schemeClr w14:val="tx1"/>
            </w14:solidFill>
          </w14:textFill>
        </w:rPr>
      </w:pPr>
    </w:p>
    <w:p w14:paraId="0799D2D6">
      <w:pPr>
        <w:spacing w:line="400" w:lineRule="exact"/>
        <w:ind w:firstLine="420" w:firstLineChars="200"/>
        <w:rPr>
          <w:color w:val="000000" w:themeColor="text1"/>
          <w:szCs w:val="21"/>
          <w14:textFill>
            <w14:solidFill>
              <w14:schemeClr w14:val="tx1"/>
            </w14:solidFill>
          </w14:textFill>
        </w:rPr>
      </w:pPr>
    </w:p>
    <w:p w14:paraId="62F24B19">
      <w:pPr>
        <w:spacing w:line="400" w:lineRule="exact"/>
        <w:ind w:firstLine="420" w:firstLineChars="200"/>
        <w:rPr>
          <w:color w:val="000000" w:themeColor="text1"/>
          <w:szCs w:val="21"/>
          <w14:textFill>
            <w14:solidFill>
              <w14:schemeClr w14:val="tx1"/>
            </w14:solidFill>
          </w14:textFill>
        </w:rPr>
      </w:pPr>
    </w:p>
    <w:p w14:paraId="277A499C">
      <w:pPr>
        <w:spacing w:line="400" w:lineRule="exact"/>
        <w:ind w:firstLine="420" w:firstLineChars="200"/>
        <w:rPr>
          <w:color w:val="000000" w:themeColor="text1"/>
          <w:szCs w:val="21"/>
          <w14:textFill>
            <w14:solidFill>
              <w14:schemeClr w14:val="tx1"/>
            </w14:solidFill>
          </w14:textFill>
        </w:rPr>
      </w:pPr>
    </w:p>
    <w:p w14:paraId="28F7BB88">
      <w:pPr>
        <w:spacing w:line="400" w:lineRule="exact"/>
        <w:ind w:firstLine="420" w:firstLineChars="200"/>
        <w:rPr>
          <w:color w:val="000000" w:themeColor="text1"/>
          <w:szCs w:val="21"/>
          <w14:textFill>
            <w14:solidFill>
              <w14:schemeClr w14:val="tx1"/>
            </w14:solidFill>
          </w14:textFill>
        </w:rPr>
      </w:pPr>
    </w:p>
    <w:p w14:paraId="3A215976">
      <w:pPr>
        <w:spacing w:line="400" w:lineRule="exact"/>
        <w:ind w:firstLine="420" w:firstLineChars="200"/>
        <w:rPr>
          <w:color w:val="000000" w:themeColor="text1"/>
          <w:szCs w:val="21"/>
          <w14:textFill>
            <w14:solidFill>
              <w14:schemeClr w14:val="tx1"/>
            </w14:solidFill>
          </w14:textFill>
        </w:rPr>
      </w:pPr>
    </w:p>
    <w:p w14:paraId="164D17E7">
      <w:pPr>
        <w:spacing w:line="400" w:lineRule="exact"/>
        <w:ind w:firstLine="420" w:firstLineChars="200"/>
        <w:rPr>
          <w:color w:val="000000" w:themeColor="text1"/>
          <w:szCs w:val="21"/>
          <w14:textFill>
            <w14:solidFill>
              <w14:schemeClr w14:val="tx1"/>
            </w14:solidFill>
          </w14:textFill>
        </w:rPr>
      </w:pPr>
    </w:p>
    <w:p w14:paraId="21F46EBB">
      <w:pPr>
        <w:spacing w:line="400" w:lineRule="exact"/>
        <w:ind w:firstLine="420" w:firstLineChars="200"/>
        <w:rPr>
          <w:color w:val="000000" w:themeColor="text1"/>
          <w:szCs w:val="21"/>
          <w14:textFill>
            <w14:solidFill>
              <w14:schemeClr w14:val="tx1"/>
            </w14:solidFill>
          </w14:textFill>
        </w:rPr>
      </w:pPr>
    </w:p>
    <w:p w14:paraId="3033FC26">
      <w:pPr>
        <w:spacing w:line="400" w:lineRule="exact"/>
        <w:ind w:firstLine="420" w:firstLineChars="200"/>
        <w:rPr>
          <w:color w:val="000000" w:themeColor="text1"/>
          <w:szCs w:val="21"/>
          <w14:textFill>
            <w14:solidFill>
              <w14:schemeClr w14:val="tx1"/>
            </w14:solidFill>
          </w14:textFill>
        </w:rPr>
      </w:pPr>
    </w:p>
    <w:p w14:paraId="379B22E7">
      <w:pPr>
        <w:spacing w:line="400" w:lineRule="exact"/>
        <w:ind w:firstLine="420" w:firstLineChars="200"/>
        <w:rPr>
          <w:color w:val="000000" w:themeColor="text1"/>
          <w:szCs w:val="21"/>
          <w14:textFill>
            <w14:solidFill>
              <w14:schemeClr w14:val="tx1"/>
            </w14:solidFill>
          </w14:textFill>
        </w:rPr>
      </w:pPr>
    </w:p>
    <w:p w14:paraId="4E519EB4">
      <w:pPr>
        <w:spacing w:line="400" w:lineRule="exact"/>
        <w:ind w:firstLine="420" w:firstLineChars="200"/>
        <w:rPr>
          <w:color w:val="000000" w:themeColor="text1"/>
          <w:szCs w:val="21"/>
          <w14:textFill>
            <w14:solidFill>
              <w14:schemeClr w14:val="tx1"/>
            </w14:solidFill>
          </w14:textFill>
        </w:rPr>
      </w:pPr>
    </w:p>
    <w:p w14:paraId="37E6BD28">
      <w:pPr>
        <w:spacing w:line="400" w:lineRule="exact"/>
        <w:ind w:firstLine="420" w:firstLineChars="200"/>
        <w:rPr>
          <w:color w:val="000000" w:themeColor="text1"/>
          <w:szCs w:val="21"/>
          <w14:textFill>
            <w14:solidFill>
              <w14:schemeClr w14:val="tx1"/>
            </w14:solidFill>
          </w14:textFill>
        </w:rPr>
      </w:pPr>
    </w:p>
    <w:p w14:paraId="06831DDA">
      <w:pPr>
        <w:spacing w:line="400" w:lineRule="exact"/>
        <w:ind w:firstLine="420" w:firstLineChars="200"/>
        <w:rPr>
          <w:color w:val="000000" w:themeColor="text1"/>
          <w:szCs w:val="21"/>
          <w14:textFill>
            <w14:solidFill>
              <w14:schemeClr w14:val="tx1"/>
            </w14:solidFill>
          </w14:textFill>
        </w:rPr>
      </w:pPr>
    </w:p>
    <w:p w14:paraId="676DABC6">
      <w:pPr>
        <w:spacing w:line="400" w:lineRule="exact"/>
        <w:ind w:firstLine="420" w:firstLineChars="200"/>
        <w:rPr>
          <w:color w:val="000000" w:themeColor="text1"/>
          <w:szCs w:val="21"/>
          <w14:textFill>
            <w14:solidFill>
              <w14:schemeClr w14:val="tx1"/>
            </w14:solidFill>
          </w14:textFill>
        </w:rPr>
      </w:pPr>
    </w:p>
    <w:p w14:paraId="05CB34C4">
      <w:pPr>
        <w:spacing w:line="400" w:lineRule="exact"/>
        <w:ind w:firstLine="420" w:firstLineChars="200"/>
        <w:rPr>
          <w:color w:val="000000" w:themeColor="text1"/>
          <w:szCs w:val="21"/>
          <w14:textFill>
            <w14:solidFill>
              <w14:schemeClr w14:val="tx1"/>
            </w14:solidFill>
          </w14:textFill>
        </w:rPr>
      </w:pPr>
    </w:p>
    <w:p w14:paraId="1D0DAF04">
      <w:pPr>
        <w:spacing w:line="400" w:lineRule="exact"/>
        <w:ind w:firstLine="420" w:firstLineChars="200"/>
        <w:rPr>
          <w:color w:val="000000" w:themeColor="text1"/>
          <w:szCs w:val="21"/>
          <w14:textFill>
            <w14:solidFill>
              <w14:schemeClr w14:val="tx1"/>
            </w14:solidFill>
          </w14:textFill>
        </w:rPr>
      </w:pPr>
    </w:p>
    <w:p w14:paraId="6F1B8272">
      <w:pPr>
        <w:spacing w:line="400" w:lineRule="exact"/>
        <w:ind w:firstLine="420" w:firstLineChars="200"/>
        <w:rPr>
          <w:color w:val="000000" w:themeColor="text1"/>
          <w:szCs w:val="21"/>
          <w14:textFill>
            <w14:solidFill>
              <w14:schemeClr w14:val="tx1"/>
            </w14:solidFill>
          </w14:textFill>
        </w:rPr>
      </w:pPr>
    </w:p>
    <w:p w14:paraId="62D74F81">
      <w:pPr>
        <w:spacing w:line="400" w:lineRule="exact"/>
        <w:ind w:firstLine="420" w:firstLineChars="200"/>
        <w:rPr>
          <w:color w:val="000000" w:themeColor="text1"/>
          <w:szCs w:val="21"/>
          <w14:textFill>
            <w14:solidFill>
              <w14:schemeClr w14:val="tx1"/>
            </w14:solidFill>
          </w14:textFill>
        </w:rPr>
      </w:pPr>
    </w:p>
    <w:p w14:paraId="5CD54FCE">
      <w:pPr>
        <w:spacing w:line="400" w:lineRule="exact"/>
        <w:ind w:firstLine="420" w:firstLineChars="200"/>
        <w:rPr>
          <w:color w:val="000000" w:themeColor="text1"/>
          <w:szCs w:val="21"/>
          <w14:textFill>
            <w14:solidFill>
              <w14:schemeClr w14:val="tx1"/>
            </w14:solidFill>
          </w14:textFill>
        </w:rPr>
      </w:pPr>
    </w:p>
    <w:p w14:paraId="0FE7FC14">
      <w:pPr>
        <w:jc w:val="center"/>
        <w:rPr>
          <w:rFonts w:ascii="宋体" w:hAnsi="宋体"/>
          <w:b/>
          <w:color w:val="000000" w:themeColor="text1"/>
          <w:sz w:val="28"/>
          <w:szCs w:val="28"/>
          <w14:textFill>
            <w14:solidFill>
              <w14:schemeClr w14:val="tx1"/>
            </w14:solidFill>
          </w14:textFill>
        </w:rPr>
      </w:pPr>
      <w:r>
        <w:rPr>
          <w:color w:val="000000" w:themeColor="text1"/>
          <w:szCs w:val="21"/>
          <w14:textFill>
            <w14:solidFill>
              <w14:schemeClr w14:val="tx1"/>
            </w14:solidFill>
          </w14:textFill>
        </w:rPr>
        <w:br w:type="page"/>
      </w:r>
      <w:r>
        <w:rPr>
          <w:rFonts w:hint="eastAsia" w:ascii="宋体" w:hAnsi="宋体"/>
          <w:b/>
          <w:color w:val="000000" w:themeColor="text1"/>
          <w:sz w:val="28"/>
          <w:szCs w:val="28"/>
          <w14:textFill>
            <w14:solidFill>
              <w14:schemeClr w14:val="tx1"/>
            </w14:solidFill>
          </w14:textFill>
        </w:rPr>
        <w:t>技术和商务偏离表</w:t>
      </w:r>
    </w:p>
    <w:p w14:paraId="0E3021BA">
      <w:pPr>
        <w:spacing w:line="400" w:lineRule="exact"/>
        <w:ind w:left="-420" w:firstLine="560"/>
        <w:rPr>
          <w:rFonts w:ascii="Arial" w:hAnsi="Arial"/>
          <w:color w:val="000000" w:themeColor="text1"/>
          <w:sz w:val="24"/>
          <w14:textFill>
            <w14:solidFill>
              <w14:schemeClr w14:val="tx1"/>
            </w14:solidFill>
          </w14:textFill>
        </w:rPr>
      </w:pPr>
    </w:p>
    <w:p w14:paraId="341BC2B9">
      <w:pPr>
        <w:spacing w:line="400" w:lineRule="exact"/>
        <w:rPr>
          <w:color w:val="000000" w:themeColor="text1"/>
          <w:szCs w:val="21"/>
          <w14:textFill>
            <w14:solidFill>
              <w14:schemeClr w14:val="tx1"/>
            </w14:solidFill>
          </w14:textFill>
        </w:rPr>
      </w:pPr>
      <w:r>
        <w:rPr>
          <w:rFonts w:hint="eastAsia" w:ascii="Arial" w:hAnsi="Arial"/>
          <w:color w:val="000000" w:themeColor="text1"/>
          <w:szCs w:val="21"/>
          <w14:textFill>
            <w14:solidFill>
              <w14:schemeClr w14:val="tx1"/>
            </w14:solidFill>
          </w14:textFill>
        </w:rPr>
        <w:t xml:space="preserve">采购编号：  </w:t>
      </w:r>
      <w:r>
        <w:rPr>
          <w:rFonts w:hint="eastAsia" w:ascii="Arial" w:hAnsi="Arial"/>
          <w:color w:val="000000" w:themeColor="text1"/>
          <w:szCs w:val="21"/>
          <w:u w:val="single"/>
          <w14:textFill>
            <w14:solidFill>
              <w14:schemeClr w14:val="tx1"/>
            </w14:solidFill>
          </w14:textFill>
        </w:rPr>
        <w:t xml:space="preserve">              </w:t>
      </w:r>
      <w:r>
        <w:rPr>
          <w:rFonts w:ascii="Arial" w:hAnsi="Arial"/>
          <w:color w:val="000000" w:themeColor="text1"/>
          <w:szCs w:val="21"/>
          <w14:textFill>
            <w14:solidFill>
              <w14:schemeClr w14:val="tx1"/>
            </w14:solidFill>
          </w14:textFill>
        </w:rPr>
        <w:t xml:space="preserve">                                           </w:t>
      </w:r>
    </w:p>
    <w:p w14:paraId="26D782E3">
      <w:pPr>
        <w:pStyle w:val="19"/>
        <w:spacing w:line="400" w:lineRule="exact"/>
        <w:rPr>
          <w:rFonts w:ascii="Arial" w:hAnsi="Arial"/>
          <w:bCs/>
          <w:color w:val="000000" w:themeColor="text1"/>
          <w:sz w:val="21"/>
          <w:szCs w:val="21"/>
          <w:u w:val="single"/>
          <w14:textFill>
            <w14:solidFill>
              <w14:schemeClr w14:val="tx1"/>
            </w14:solidFill>
          </w14:textFill>
        </w:rPr>
      </w:pPr>
      <w:r>
        <w:rPr>
          <w:rFonts w:hint="eastAsia" w:ascii="Arial" w:hAnsi="Arial"/>
          <w:bCs/>
          <w:color w:val="000000" w:themeColor="text1"/>
          <w:sz w:val="21"/>
          <w:szCs w:val="21"/>
          <w14:textFill>
            <w14:solidFill>
              <w14:schemeClr w14:val="tx1"/>
            </w14:solidFill>
          </w14:textFill>
        </w:rPr>
        <w:t>磋商供应商全称</w:t>
      </w:r>
      <w:r>
        <w:rPr>
          <w:rFonts w:hint="eastAsia" w:ascii="Arial" w:hAnsi="Arial"/>
          <w:color w:val="000000" w:themeColor="text1"/>
          <w:sz w:val="21"/>
          <w:szCs w:val="21"/>
          <w14:textFill>
            <w14:solidFill>
              <w14:schemeClr w14:val="tx1"/>
            </w14:solidFill>
          </w14:textFill>
        </w:rPr>
        <w:t>(加盖公章)</w:t>
      </w:r>
      <w:r>
        <w:rPr>
          <w:rFonts w:hint="eastAsia" w:ascii="Arial" w:hAnsi="Arial"/>
          <w:bCs/>
          <w:color w:val="000000" w:themeColor="text1"/>
          <w:sz w:val="21"/>
          <w:szCs w:val="21"/>
          <w14:textFill>
            <w14:solidFill>
              <w14:schemeClr w14:val="tx1"/>
            </w14:solidFill>
          </w14:textFill>
        </w:rPr>
        <w:t>：</w:t>
      </w:r>
      <w:r>
        <w:rPr>
          <w:rFonts w:hint="eastAsia" w:ascii="Arial" w:hAnsi="Arial"/>
          <w:bCs/>
          <w:color w:val="000000" w:themeColor="text1"/>
          <w:sz w:val="21"/>
          <w:szCs w:val="21"/>
          <w:u w:val="single"/>
          <w14:textFill>
            <w14:solidFill>
              <w14:schemeClr w14:val="tx1"/>
            </w14:solidFill>
          </w14:textFill>
        </w:rPr>
        <w:t xml:space="preserve">　　　　　   </w:t>
      </w:r>
    </w:p>
    <w:p w14:paraId="50615458">
      <w:pPr>
        <w:rPr>
          <w:color w:val="000000" w:themeColor="text1"/>
          <w14:textFill>
            <w14:solidFill>
              <w14:schemeClr w14:val="tx1"/>
            </w14:solidFill>
          </w14:textFill>
        </w:rPr>
      </w:pPr>
    </w:p>
    <w:p w14:paraId="3BF172C9">
      <w:pPr>
        <w:spacing w:line="460" w:lineRule="exact"/>
        <w:jc w:val="center"/>
        <w:outlineLvl w:val="1"/>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技术服务偏离表</w:t>
      </w:r>
    </w:p>
    <w:tbl>
      <w:tblPr>
        <w:tblStyle w:val="34"/>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274"/>
        <w:gridCol w:w="2078"/>
        <w:gridCol w:w="1843"/>
        <w:gridCol w:w="3260"/>
      </w:tblGrid>
      <w:tr w14:paraId="2B4F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4" w:hRule="atLeast"/>
        </w:trPr>
        <w:tc>
          <w:tcPr>
            <w:tcW w:w="884" w:type="dxa"/>
            <w:vAlign w:val="center"/>
          </w:tcPr>
          <w:p w14:paraId="5BA1F5E0">
            <w:pPr>
              <w:widowControl/>
              <w:spacing w:line="360" w:lineRule="exact"/>
              <w:jc w:val="center"/>
              <w:rPr>
                <w:rFonts w:ascii="宋体" w:hAnsi="宋体" w:cs="宋体"/>
                <w:b/>
                <w:color w:val="000000" w:themeColor="text1"/>
                <w:kern w:val="0"/>
                <w:sz w:val="24"/>
                <w14:textFill>
                  <w14:solidFill>
                    <w14:schemeClr w14:val="tx1"/>
                  </w14:solidFill>
                </w14:textFill>
              </w:rPr>
            </w:pPr>
            <w:r>
              <w:rPr>
                <w:rFonts w:ascii="宋体" w:hAnsi="宋体" w:cs="宋体"/>
                <w:b/>
                <w:color w:val="000000" w:themeColor="text1"/>
                <w:kern w:val="0"/>
                <w:szCs w:val="21"/>
                <w14:textFill>
                  <w14:solidFill>
                    <w14:schemeClr w14:val="tx1"/>
                  </w14:solidFill>
                </w14:textFill>
              </w:rPr>
              <w:t>合同包</w:t>
            </w:r>
          </w:p>
        </w:tc>
        <w:tc>
          <w:tcPr>
            <w:tcW w:w="1274" w:type="dxa"/>
            <w:vAlign w:val="center"/>
          </w:tcPr>
          <w:p w14:paraId="74AFF9BF">
            <w:pPr>
              <w:widowControl/>
              <w:spacing w:line="360" w:lineRule="exact"/>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条</w:t>
            </w:r>
            <w:r>
              <w:rPr>
                <w:rFonts w:ascii="宋体" w:hAnsi="宋体" w:cs="宋体"/>
                <w:b/>
                <w:color w:val="000000" w:themeColor="text1"/>
                <w:kern w:val="0"/>
                <w:szCs w:val="21"/>
                <w14:textFill>
                  <w14:solidFill>
                    <w14:schemeClr w14:val="tx1"/>
                  </w14:solidFill>
                </w14:textFill>
              </w:rPr>
              <w:t>目号</w:t>
            </w:r>
          </w:p>
        </w:tc>
        <w:tc>
          <w:tcPr>
            <w:tcW w:w="2078" w:type="dxa"/>
            <w:vAlign w:val="center"/>
          </w:tcPr>
          <w:p w14:paraId="3D126C28">
            <w:pPr>
              <w:widowControl/>
              <w:spacing w:line="360" w:lineRule="exact"/>
              <w:jc w:val="center"/>
              <w:rPr>
                <w:rFonts w:ascii="宋体" w:hAnsi="宋体" w:cs="宋体"/>
                <w:b/>
                <w:color w:val="000000" w:themeColor="text1"/>
                <w:kern w:val="0"/>
                <w:sz w:val="24"/>
                <w14:textFill>
                  <w14:solidFill>
                    <w14:schemeClr w14:val="tx1"/>
                  </w14:solidFill>
                </w14:textFill>
              </w:rPr>
            </w:pPr>
            <w:r>
              <w:rPr>
                <w:rFonts w:ascii="宋体" w:hAnsi="宋体" w:cs="宋体"/>
                <w:b/>
                <w:color w:val="000000" w:themeColor="text1"/>
                <w:kern w:val="0"/>
                <w:szCs w:val="21"/>
                <w14:textFill>
                  <w14:solidFill>
                    <w14:schemeClr w14:val="tx1"/>
                  </w14:solidFill>
                </w14:textFill>
              </w:rPr>
              <w:t>技术和服务要求</w:t>
            </w:r>
          </w:p>
        </w:tc>
        <w:tc>
          <w:tcPr>
            <w:tcW w:w="1843" w:type="dxa"/>
            <w:vAlign w:val="center"/>
          </w:tcPr>
          <w:p w14:paraId="4E1E0661">
            <w:pPr>
              <w:widowControl/>
              <w:spacing w:line="360" w:lineRule="exact"/>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谈判</w:t>
            </w:r>
            <w:r>
              <w:rPr>
                <w:rFonts w:ascii="宋体" w:hAnsi="宋体" w:cs="宋体"/>
                <w:b/>
                <w:color w:val="000000" w:themeColor="text1"/>
                <w:kern w:val="0"/>
                <w:szCs w:val="21"/>
                <w14:textFill>
                  <w14:solidFill>
                    <w14:schemeClr w14:val="tx1"/>
                  </w14:solidFill>
                </w14:textFill>
              </w:rPr>
              <w:t>响应</w:t>
            </w:r>
          </w:p>
        </w:tc>
        <w:tc>
          <w:tcPr>
            <w:tcW w:w="3260" w:type="dxa"/>
            <w:vAlign w:val="center"/>
          </w:tcPr>
          <w:p w14:paraId="475A9141">
            <w:pPr>
              <w:widowControl/>
              <w:spacing w:line="360" w:lineRule="exact"/>
              <w:jc w:val="center"/>
              <w:rPr>
                <w:rFonts w:ascii="宋体" w:hAnsi="宋体" w:cs="宋体"/>
                <w:b/>
                <w:color w:val="000000" w:themeColor="text1"/>
                <w:kern w:val="0"/>
                <w:sz w:val="24"/>
                <w14:textFill>
                  <w14:solidFill>
                    <w14:schemeClr w14:val="tx1"/>
                  </w14:solidFill>
                </w14:textFill>
              </w:rPr>
            </w:pPr>
            <w:r>
              <w:rPr>
                <w:rFonts w:ascii="宋体" w:hAnsi="宋体" w:cs="宋体"/>
                <w:b/>
                <w:color w:val="000000" w:themeColor="text1"/>
                <w:kern w:val="0"/>
                <w:szCs w:val="21"/>
                <w14:textFill>
                  <w14:solidFill>
                    <w14:schemeClr w14:val="tx1"/>
                  </w14:solidFill>
                </w14:textFill>
              </w:rPr>
              <w:t>是否偏离及说明</w:t>
            </w:r>
          </w:p>
        </w:tc>
      </w:tr>
      <w:tr w14:paraId="01E9A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trPr>
        <w:tc>
          <w:tcPr>
            <w:tcW w:w="884" w:type="dxa"/>
            <w:vMerge w:val="restart"/>
            <w:vAlign w:val="center"/>
          </w:tcPr>
          <w:p w14:paraId="343AE1E1">
            <w:pPr>
              <w:spacing w:line="360" w:lineRule="exact"/>
              <w:rPr>
                <w:rFonts w:ascii="宋体" w:hAnsi="宋体"/>
                <w:color w:val="000000" w:themeColor="text1"/>
                <w:szCs w:val="21"/>
                <w14:textFill>
                  <w14:solidFill>
                    <w14:schemeClr w14:val="tx1"/>
                  </w14:solidFill>
                </w14:textFill>
              </w:rPr>
            </w:pPr>
          </w:p>
        </w:tc>
        <w:tc>
          <w:tcPr>
            <w:tcW w:w="1274" w:type="dxa"/>
          </w:tcPr>
          <w:p w14:paraId="424EA092">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078" w:type="dxa"/>
            <w:vAlign w:val="center"/>
          </w:tcPr>
          <w:p w14:paraId="668253F4">
            <w:pPr>
              <w:spacing w:line="360" w:lineRule="exact"/>
              <w:jc w:val="center"/>
              <w:rPr>
                <w:rFonts w:ascii="宋体" w:hAnsi="宋体"/>
                <w:color w:val="000000" w:themeColor="text1"/>
                <w:szCs w:val="21"/>
                <w14:textFill>
                  <w14:solidFill>
                    <w14:schemeClr w14:val="tx1"/>
                  </w14:solidFill>
                </w14:textFill>
              </w:rPr>
            </w:pPr>
          </w:p>
        </w:tc>
        <w:tc>
          <w:tcPr>
            <w:tcW w:w="1843" w:type="dxa"/>
            <w:vAlign w:val="center"/>
          </w:tcPr>
          <w:p w14:paraId="28FCA8ED">
            <w:pPr>
              <w:spacing w:line="360" w:lineRule="exact"/>
              <w:jc w:val="center"/>
              <w:rPr>
                <w:rFonts w:ascii="宋体" w:hAnsi="宋体"/>
                <w:color w:val="000000" w:themeColor="text1"/>
                <w:szCs w:val="21"/>
                <w14:textFill>
                  <w14:solidFill>
                    <w14:schemeClr w14:val="tx1"/>
                  </w14:solidFill>
                </w14:textFill>
              </w:rPr>
            </w:pPr>
          </w:p>
        </w:tc>
        <w:tc>
          <w:tcPr>
            <w:tcW w:w="3260" w:type="dxa"/>
          </w:tcPr>
          <w:p w14:paraId="2943F98B">
            <w:pPr>
              <w:spacing w:line="360" w:lineRule="exact"/>
              <w:rPr>
                <w:rFonts w:ascii="宋体" w:hAnsi="宋体"/>
                <w:color w:val="000000" w:themeColor="text1"/>
                <w:szCs w:val="21"/>
                <w14:textFill>
                  <w14:solidFill>
                    <w14:schemeClr w14:val="tx1"/>
                  </w14:solidFill>
                </w14:textFill>
              </w:rPr>
            </w:pPr>
          </w:p>
        </w:tc>
      </w:tr>
      <w:tr w14:paraId="1C7D8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trPr>
        <w:tc>
          <w:tcPr>
            <w:tcW w:w="884" w:type="dxa"/>
            <w:vMerge w:val="continue"/>
          </w:tcPr>
          <w:p w14:paraId="276F5816">
            <w:pPr>
              <w:spacing w:line="360" w:lineRule="exact"/>
              <w:rPr>
                <w:rFonts w:ascii="宋体" w:hAnsi="宋体"/>
                <w:color w:val="000000" w:themeColor="text1"/>
                <w:szCs w:val="21"/>
                <w14:textFill>
                  <w14:solidFill>
                    <w14:schemeClr w14:val="tx1"/>
                  </w14:solidFill>
                </w14:textFill>
              </w:rPr>
            </w:pPr>
          </w:p>
        </w:tc>
        <w:tc>
          <w:tcPr>
            <w:tcW w:w="1274" w:type="dxa"/>
          </w:tcPr>
          <w:p w14:paraId="3DB9D281">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2078" w:type="dxa"/>
          </w:tcPr>
          <w:p w14:paraId="4D977A52">
            <w:pPr>
              <w:spacing w:line="360" w:lineRule="exact"/>
              <w:rPr>
                <w:rFonts w:ascii="宋体" w:hAnsi="宋体"/>
                <w:color w:val="000000" w:themeColor="text1"/>
                <w:szCs w:val="21"/>
                <w14:textFill>
                  <w14:solidFill>
                    <w14:schemeClr w14:val="tx1"/>
                  </w14:solidFill>
                </w14:textFill>
              </w:rPr>
            </w:pPr>
          </w:p>
        </w:tc>
        <w:tc>
          <w:tcPr>
            <w:tcW w:w="1843" w:type="dxa"/>
          </w:tcPr>
          <w:p w14:paraId="79FF52AA">
            <w:pPr>
              <w:spacing w:line="360" w:lineRule="exact"/>
              <w:rPr>
                <w:rFonts w:ascii="宋体" w:hAnsi="宋体"/>
                <w:color w:val="000000" w:themeColor="text1"/>
                <w:szCs w:val="21"/>
                <w14:textFill>
                  <w14:solidFill>
                    <w14:schemeClr w14:val="tx1"/>
                  </w14:solidFill>
                </w14:textFill>
              </w:rPr>
            </w:pPr>
          </w:p>
        </w:tc>
        <w:tc>
          <w:tcPr>
            <w:tcW w:w="3260" w:type="dxa"/>
          </w:tcPr>
          <w:p w14:paraId="23E17B64">
            <w:pPr>
              <w:spacing w:line="360" w:lineRule="exact"/>
              <w:rPr>
                <w:rFonts w:ascii="宋体" w:hAnsi="宋体"/>
                <w:color w:val="000000" w:themeColor="text1"/>
                <w:szCs w:val="21"/>
                <w14:textFill>
                  <w14:solidFill>
                    <w14:schemeClr w14:val="tx1"/>
                  </w14:solidFill>
                </w14:textFill>
              </w:rPr>
            </w:pPr>
          </w:p>
        </w:tc>
      </w:tr>
      <w:tr w14:paraId="16DFC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trPr>
        <w:tc>
          <w:tcPr>
            <w:tcW w:w="884" w:type="dxa"/>
            <w:vMerge w:val="continue"/>
          </w:tcPr>
          <w:p w14:paraId="312D6652">
            <w:pPr>
              <w:spacing w:line="360" w:lineRule="exact"/>
              <w:rPr>
                <w:rFonts w:ascii="宋体" w:hAnsi="宋体"/>
                <w:color w:val="000000" w:themeColor="text1"/>
                <w:szCs w:val="21"/>
                <w14:textFill>
                  <w14:solidFill>
                    <w14:schemeClr w14:val="tx1"/>
                  </w14:solidFill>
                </w14:textFill>
              </w:rPr>
            </w:pPr>
          </w:p>
        </w:tc>
        <w:tc>
          <w:tcPr>
            <w:tcW w:w="1274" w:type="dxa"/>
          </w:tcPr>
          <w:p w14:paraId="49B8B45B">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p>
        </w:tc>
        <w:tc>
          <w:tcPr>
            <w:tcW w:w="2078" w:type="dxa"/>
          </w:tcPr>
          <w:p w14:paraId="234E5861">
            <w:pPr>
              <w:spacing w:line="360" w:lineRule="exact"/>
              <w:rPr>
                <w:rFonts w:ascii="宋体" w:hAnsi="宋体"/>
                <w:color w:val="000000" w:themeColor="text1"/>
                <w:szCs w:val="21"/>
                <w14:textFill>
                  <w14:solidFill>
                    <w14:schemeClr w14:val="tx1"/>
                  </w14:solidFill>
                </w14:textFill>
              </w:rPr>
            </w:pPr>
          </w:p>
        </w:tc>
        <w:tc>
          <w:tcPr>
            <w:tcW w:w="1843" w:type="dxa"/>
          </w:tcPr>
          <w:p w14:paraId="7DF3767B">
            <w:pPr>
              <w:spacing w:line="360" w:lineRule="exact"/>
              <w:rPr>
                <w:rFonts w:ascii="宋体" w:hAnsi="宋体"/>
                <w:color w:val="000000" w:themeColor="text1"/>
                <w:szCs w:val="21"/>
                <w14:textFill>
                  <w14:solidFill>
                    <w14:schemeClr w14:val="tx1"/>
                  </w14:solidFill>
                </w14:textFill>
              </w:rPr>
            </w:pPr>
          </w:p>
        </w:tc>
        <w:tc>
          <w:tcPr>
            <w:tcW w:w="3260" w:type="dxa"/>
          </w:tcPr>
          <w:p w14:paraId="7E38C36A">
            <w:pPr>
              <w:spacing w:line="360" w:lineRule="exact"/>
              <w:rPr>
                <w:rFonts w:ascii="宋体" w:hAnsi="宋体"/>
                <w:color w:val="000000" w:themeColor="text1"/>
                <w:szCs w:val="21"/>
                <w14:textFill>
                  <w14:solidFill>
                    <w14:schemeClr w14:val="tx1"/>
                  </w14:solidFill>
                </w14:textFill>
              </w:rPr>
            </w:pPr>
          </w:p>
        </w:tc>
      </w:tr>
      <w:tr w14:paraId="09040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trPr>
        <w:tc>
          <w:tcPr>
            <w:tcW w:w="884" w:type="dxa"/>
            <w:vMerge w:val="continue"/>
          </w:tcPr>
          <w:p w14:paraId="4DAABA83">
            <w:pPr>
              <w:spacing w:line="360" w:lineRule="exact"/>
              <w:rPr>
                <w:rFonts w:ascii="宋体" w:hAnsi="宋体"/>
                <w:color w:val="000000" w:themeColor="text1"/>
                <w:szCs w:val="21"/>
                <w14:textFill>
                  <w14:solidFill>
                    <w14:schemeClr w14:val="tx1"/>
                  </w14:solidFill>
                </w14:textFill>
              </w:rPr>
            </w:pPr>
          </w:p>
        </w:tc>
        <w:tc>
          <w:tcPr>
            <w:tcW w:w="1274" w:type="dxa"/>
          </w:tcPr>
          <w:p w14:paraId="14EBB3A4">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2078" w:type="dxa"/>
          </w:tcPr>
          <w:p w14:paraId="302E81F5">
            <w:pPr>
              <w:spacing w:line="360" w:lineRule="exact"/>
              <w:rPr>
                <w:rFonts w:ascii="宋体" w:hAnsi="宋体"/>
                <w:color w:val="000000" w:themeColor="text1"/>
                <w:szCs w:val="21"/>
                <w14:textFill>
                  <w14:solidFill>
                    <w14:schemeClr w14:val="tx1"/>
                  </w14:solidFill>
                </w14:textFill>
              </w:rPr>
            </w:pPr>
          </w:p>
        </w:tc>
        <w:tc>
          <w:tcPr>
            <w:tcW w:w="1843" w:type="dxa"/>
          </w:tcPr>
          <w:p w14:paraId="5A247339">
            <w:pPr>
              <w:spacing w:line="360" w:lineRule="exact"/>
              <w:rPr>
                <w:rFonts w:ascii="宋体" w:hAnsi="宋体"/>
                <w:color w:val="000000" w:themeColor="text1"/>
                <w:szCs w:val="21"/>
                <w14:textFill>
                  <w14:solidFill>
                    <w14:schemeClr w14:val="tx1"/>
                  </w14:solidFill>
                </w14:textFill>
              </w:rPr>
            </w:pPr>
          </w:p>
        </w:tc>
        <w:tc>
          <w:tcPr>
            <w:tcW w:w="3260" w:type="dxa"/>
          </w:tcPr>
          <w:p w14:paraId="4904E8F0">
            <w:pPr>
              <w:spacing w:line="360" w:lineRule="exact"/>
              <w:rPr>
                <w:rFonts w:ascii="宋体" w:hAnsi="宋体"/>
                <w:color w:val="000000" w:themeColor="text1"/>
                <w:szCs w:val="21"/>
                <w14:textFill>
                  <w14:solidFill>
                    <w14:schemeClr w14:val="tx1"/>
                  </w14:solidFill>
                </w14:textFill>
              </w:rPr>
            </w:pPr>
          </w:p>
        </w:tc>
      </w:tr>
      <w:tr w14:paraId="04EC0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trPr>
        <w:tc>
          <w:tcPr>
            <w:tcW w:w="884" w:type="dxa"/>
            <w:vMerge w:val="continue"/>
          </w:tcPr>
          <w:p w14:paraId="2819586F">
            <w:pPr>
              <w:spacing w:line="360" w:lineRule="exact"/>
              <w:rPr>
                <w:rFonts w:ascii="宋体" w:hAnsi="宋体"/>
                <w:color w:val="000000" w:themeColor="text1"/>
                <w:szCs w:val="21"/>
                <w14:textFill>
                  <w14:solidFill>
                    <w14:schemeClr w14:val="tx1"/>
                  </w14:solidFill>
                </w14:textFill>
              </w:rPr>
            </w:pPr>
          </w:p>
        </w:tc>
        <w:tc>
          <w:tcPr>
            <w:tcW w:w="1274" w:type="dxa"/>
          </w:tcPr>
          <w:p w14:paraId="5B5B6A2C">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2078" w:type="dxa"/>
          </w:tcPr>
          <w:p w14:paraId="27A768C5">
            <w:pPr>
              <w:spacing w:line="360" w:lineRule="exact"/>
              <w:rPr>
                <w:rFonts w:ascii="宋体" w:hAnsi="宋体"/>
                <w:color w:val="000000" w:themeColor="text1"/>
                <w:szCs w:val="21"/>
                <w14:textFill>
                  <w14:solidFill>
                    <w14:schemeClr w14:val="tx1"/>
                  </w14:solidFill>
                </w14:textFill>
              </w:rPr>
            </w:pPr>
          </w:p>
        </w:tc>
        <w:tc>
          <w:tcPr>
            <w:tcW w:w="1843" w:type="dxa"/>
          </w:tcPr>
          <w:p w14:paraId="07B396C3">
            <w:pPr>
              <w:spacing w:line="360" w:lineRule="exact"/>
              <w:rPr>
                <w:rFonts w:ascii="宋体" w:hAnsi="宋体"/>
                <w:color w:val="000000" w:themeColor="text1"/>
                <w:szCs w:val="21"/>
                <w14:textFill>
                  <w14:solidFill>
                    <w14:schemeClr w14:val="tx1"/>
                  </w14:solidFill>
                </w14:textFill>
              </w:rPr>
            </w:pPr>
          </w:p>
        </w:tc>
        <w:tc>
          <w:tcPr>
            <w:tcW w:w="3260" w:type="dxa"/>
          </w:tcPr>
          <w:p w14:paraId="5169EF47">
            <w:pPr>
              <w:spacing w:line="360" w:lineRule="exact"/>
              <w:rPr>
                <w:rFonts w:ascii="宋体" w:hAnsi="宋体"/>
                <w:color w:val="000000" w:themeColor="text1"/>
                <w:szCs w:val="21"/>
                <w14:textFill>
                  <w14:solidFill>
                    <w14:schemeClr w14:val="tx1"/>
                  </w14:solidFill>
                </w14:textFill>
              </w:rPr>
            </w:pPr>
          </w:p>
        </w:tc>
      </w:tr>
      <w:tr w14:paraId="487B4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trPr>
        <w:tc>
          <w:tcPr>
            <w:tcW w:w="884" w:type="dxa"/>
            <w:vMerge w:val="continue"/>
          </w:tcPr>
          <w:p w14:paraId="545C5E25">
            <w:pPr>
              <w:spacing w:line="360" w:lineRule="exact"/>
              <w:rPr>
                <w:rFonts w:ascii="宋体" w:hAnsi="宋体"/>
                <w:color w:val="000000" w:themeColor="text1"/>
                <w:szCs w:val="21"/>
                <w14:textFill>
                  <w14:solidFill>
                    <w14:schemeClr w14:val="tx1"/>
                  </w14:solidFill>
                </w14:textFill>
              </w:rPr>
            </w:pPr>
          </w:p>
        </w:tc>
        <w:tc>
          <w:tcPr>
            <w:tcW w:w="1274" w:type="dxa"/>
          </w:tcPr>
          <w:p w14:paraId="7C10D734">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p>
        </w:tc>
        <w:tc>
          <w:tcPr>
            <w:tcW w:w="2078" w:type="dxa"/>
          </w:tcPr>
          <w:p w14:paraId="3A610654">
            <w:pPr>
              <w:spacing w:line="360" w:lineRule="exact"/>
              <w:rPr>
                <w:rFonts w:ascii="宋体" w:hAnsi="宋体"/>
                <w:color w:val="000000" w:themeColor="text1"/>
                <w:szCs w:val="21"/>
                <w14:textFill>
                  <w14:solidFill>
                    <w14:schemeClr w14:val="tx1"/>
                  </w14:solidFill>
                </w14:textFill>
              </w:rPr>
            </w:pPr>
          </w:p>
        </w:tc>
        <w:tc>
          <w:tcPr>
            <w:tcW w:w="1843" w:type="dxa"/>
          </w:tcPr>
          <w:p w14:paraId="75205B70">
            <w:pPr>
              <w:spacing w:line="360" w:lineRule="exact"/>
              <w:rPr>
                <w:rFonts w:ascii="宋体" w:hAnsi="宋体"/>
                <w:color w:val="000000" w:themeColor="text1"/>
                <w:szCs w:val="21"/>
                <w14:textFill>
                  <w14:solidFill>
                    <w14:schemeClr w14:val="tx1"/>
                  </w14:solidFill>
                </w14:textFill>
              </w:rPr>
            </w:pPr>
          </w:p>
        </w:tc>
        <w:tc>
          <w:tcPr>
            <w:tcW w:w="3260" w:type="dxa"/>
          </w:tcPr>
          <w:p w14:paraId="4E7FC992">
            <w:pPr>
              <w:spacing w:line="360" w:lineRule="exact"/>
              <w:rPr>
                <w:rFonts w:ascii="宋体" w:hAnsi="宋体"/>
                <w:color w:val="000000" w:themeColor="text1"/>
                <w:szCs w:val="21"/>
                <w14:textFill>
                  <w14:solidFill>
                    <w14:schemeClr w14:val="tx1"/>
                  </w14:solidFill>
                </w14:textFill>
              </w:rPr>
            </w:pPr>
          </w:p>
        </w:tc>
      </w:tr>
      <w:tr w14:paraId="60675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trPr>
        <w:tc>
          <w:tcPr>
            <w:tcW w:w="884" w:type="dxa"/>
            <w:vMerge w:val="continue"/>
          </w:tcPr>
          <w:p w14:paraId="16E58081">
            <w:pPr>
              <w:spacing w:line="360" w:lineRule="exact"/>
              <w:rPr>
                <w:rFonts w:ascii="宋体" w:hAnsi="宋体"/>
                <w:color w:val="000000" w:themeColor="text1"/>
                <w:szCs w:val="21"/>
                <w14:textFill>
                  <w14:solidFill>
                    <w14:schemeClr w14:val="tx1"/>
                  </w14:solidFill>
                </w14:textFill>
              </w:rPr>
            </w:pPr>
          </w:p>
        </w:tc>
        <w:tc>
          <w:tcPr>
            <w:tcW w:w="1274" w:type="dxa"/>
          </w:tcPr>
          <w:p w14:paraId="4995D906">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w:t>
            </w:r>
          </w:p>
        </w:tc>
        <w:tc>
          <w:tcPr>
            <w:tcW w:w="2078" w:type="dxa"/>
          </w:tcPr>
          <w:p w14:paraId="232A32DD">
            <w:pPr>
              <w:spacing w:line="360" w:lineRule="exact"/>
              <w:rPr>
                <w:rFonts w:ascii="宋体" w:hAnsi="宋体"/>
                <w:color w:val="000000" w:themeColor="text1"/>
                <w:szCs w:val="21"/>
                <w14:textFill>
                  <w14:solidFill>
                    <w14:schemeClr w14:val="tx1"/>
                  </w14:solidFill>
                </w14:textFill>
              </w:rPr>
            </w:pPr>
          </w:p>
        </w:tc>
        <w:tc>
          <w:tcPr>
            <w:tcW w:w="1843" w:type="dxa"/>
          </w:tcPr>
          <w:p w14:paraId="6C15DAA4">
            <w:pPr>
              <w:spacing w:line="360" w:lineRule="exact"/>
              <w:rPr>
                <w:rFonts w:ascii="宋体" w:hAnsi="宋体"/>
                <w:color w:val="000000" w:themeColor="text1"/>
                <w:szCs w:val="21"/>
                <w14:textFill>
                  <w14:solidFill>
                    <w14:schemeClr w14:val="tx1"/>
                  </w14:solidFill>
                </w14:textFill>
              </w:rPr>
            </w:pPr>
          </w:p>
        </w:tc>
        <w:tc>
          <w:tcPr>
            <w:tcW w:w="3260" w:type="dxa"/>
          </w:tcPr>
          <w:p w14:paraId="4CAB5810">
            <w:pPr>
              <w:spacing w:line="360" w:lineRule="exact"/>
              <w:rPr>
                <w:rFonts w:ascii="宋体" w:hAnsi="宋体"/>
                <w:color w:val="000000" w:themeColor="text1"/>
                <w:szCs w:val="21"/>
                <w14:textFill>
                  <w14:solidFill>
                    <w14:schemeClr w14:val="tx1"/>
                  </w14:solidFill>
                </w14:textFill>
              </w:rPr>
            </w:pPr>
          </w:p>
        </w:tc>
      </w:tr>
    </w:tbl>
    <w:p w14:paraId="6C815F83">
      <w:pPr>
        <w:jc w:val="center"/>
        <w:rPr>
          <w:rFonts w:ascii="宋体" w:hAnsi="宋体"/>
          <w:color w:val="000000" w:themeColor="text1"/>
          <w:szCs w:val="21"/>
          <w14:textFill>
            <w14:solidFill>
              <w14:schemeClr w14:val="tx1"/>
            </w14:solidFill>
          </w14:textFill>
        </w:rPr>
      </w:pPr>
    </w:p>
    <w:p w14:paraId="3BFDB63E">
      <w:pPr>
        <w:spacing w:line="460" w:lineRule="exact"/>
        <w:jc w:val="center"/>
        <w:outlineLvl w:val="1"/>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商务偏离表</w:t>
      </w:r>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276"/>
        <w:gridCol w:w="2126"/>
        <w:gridCol w:w="1843"/>
        <w:gridCol w:w="3264"/>
      </w:tblGrid>
      <w:tr w14:paraId="49C2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Align w:val="center"/>
          </w:tcPr>
          <w:p w14:paraId="3373D02E">
            <w:pPr>
              <w:widowControl/>
              <w:spacing w:line="360" w:lineRule="exact"/>
              <w:jc w:val="center"/>
              <w:rPr>
                <w:rFonts w:ascii="宋体" w:hAnsi="宋体" w:cs="宋体"/>
                <w:b/>
                <w:color w:val="000000" w:themeColor="text1"/>
                <w:kern w:val="0"/>
                <w:sz w:val="24"/>
                <w14:textFill>
                  <w14:solidFill>
                    <w14:schemeClr w14:val="tx1"/>
                  </w14:solidFill>
                </w14:textFill>
              </w:rPr>
            </w:pPr>
            <w:r>
              <w:rPr>
                <w:rFonts w:ascii="宋体" w:hAnsi="宋体" w:cs="宋体"/>
                <w:b/>
                <w:color w:val="000000" w:themeColor="text1"/>
                <w:kern w:val="0"/>
                <w:szCs w:val="21"/>
                <w14:textFill>
                  <w14:solidFill>
                    <w14:schemeClr w14:val="tx1"/>
                  </w14:solidFill>
                </w14:textFill>
              </w:rPr>
              <w:t>合同包</w:t>
            </w:r>
          </w:p>
        </w:tc>
        <w:tc>
          <w:tcPr>
            <w:tcW w:w="1276" w:type="dxa"/>
            <w:vAlign w:val="center"/>
          </w:tcPr>
          <w:p w14:paraId="6AA2BB0C">
            <w:pPr>
              <w:widowControl/>
              <w:spacing w:line="360" w:lineRule="exact"/>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条</w:t>
            </w:r>
            <w:r>
              <w:rPr>
                <w:rFonts w:ascii="宋体" w:hAnsi="宋体" w:cs="宋体"/>
                <w:b/>
                <w:color w:val="000000" w:themeColor="text1"/>
                <w:kern w:val="0"/>
                <w:szCs w:val="21"/>
                <w14:textFill>
                  <w14:solidFill>
                    <w14:schemeClr w14:val="tx1"/>
                  </w14:solidFill>
                </w14:textFill>
              </w:rPr>
              <w:t>目号</w:t>
            </w:r>
          </w:p>
        </w:tc>
        <w:tc>
          <w:tcPr>
            <w:tcW w:w="2126" w:type="dxa"/>
            <w:vAlign w:val="center"/>
          </w:tcPr>
          <w:p w14:paraId="4B80B727">
            <w:pPr>
              <w:widowControl/>
              <w:spacing w:line="360" w:lineRule="exact"/>
              <w:jc w:val="center"/>
              <w:rPr>
                <w:rFonts w:ascii="宋体" w:hAnsi="宋体" w:cs="宋体"/>
                <w:b/>
                <w:color w:val="000000" w:themeColor="text1"/>
                <w:kern w:val="0"/>
                <w:sz w:val="24"/>
                <w14:textFill>
                  <w14:solidFill>
                    <w14:schemeClr w14:val="tx1"/>
                  </w14:solidFill>
                </w14:textFill>
              </w:rPr>
            </w:pPr>
            <w:r>
              <w:rPr>
                <w:rFonts w:ascii="宋体" w:hAnsi="宋体" w:cs="宋体"/>
                <w:b/>
                <w:color w:val="000000" w:themeColor="text1"/>
                <w:kern w:val="0"/>
                <w:szCs w:val="21"/>
                <w14:textFill>
                  <w14:solidFill>
                    <w14:schemeClr w14:val="tx1"/>
                  </w14:solidFill>
                </w14:textFill>
              </w:rPr>
              <w:t>商务条件</w:t>
            </w:r>
          </w:p>
        </w:tc>
        <w:tc>
          <w:tcPr>
            <w:tcW w:w="1843" w:type="dxa"/>
            <w:vAlign w:val="center"/>
          </w:tcPr>
          <w:p w14:paraId="67B9956C">
            <w:pPr>
              <w:widowControl/>
              <w:spacing w:line="360" w:lineRule="exact"/>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谈判</w:t>
            </w:r>
            <w:r>
              <w:rPr>
                <w:rFonts w:ascii="宋体" w:hAnsi="宋体" w:cs="宋体"/>
                <w:b/>
                <w:color w:val="000000" w:themeColor="text1"/>
                <w:kern w:val="0"/>
                <w:szCs w:val="21"/>
                <w14:textFill>
                  <w14:solidFill>
                    <w14:schemeClr w14:val="tx1"/>
                  </w14:solidFill>
                </w14:textFill>
              </w:rPr>
              <w:t>响应</w:t>
            </w:r>
          </w:p>
        </w:tc>
        <w:tc>
          <w:tcPr>
            <w:tcW w:w="3264" w:type="dxa"/>
            <w:vAlign w:val="center"/>
          </w:tcPr>
          <w:p w14:paraId="7B8B1BD3">
            <w:pPr>
              <w:widowControl/>
              <w:spacing w:line="360" w:lineRule="exact"/>
              <w:jc w:val="center"/>
              <w:rPr>
                <w:rFonts w:ascii="宋体" w:hAnsi="宋体" w:cs="宋体"/>
                <w:b/>
                <w:color w:val="000000" w:themeColor="text1"/>
                <w:kern w:val="0"/>
                <w:sz w:val="24"/>
                <w14:textFill>
                  <w14:solidFill>
                    <w14:schemeClr w14:val="tx1"/>
                  </w14:solidFill>
                </w14:textFill>
              </w:rPr>
            </w:pPr>
            <w:r>
              <w:rPr>
                <w:rFonts w:ascii="宋体" w:hAnsi="宋体" w:cs="宋体"/>
                <w:b/>
                <w:color w:val="000000" w:themeColor="text1"/>
                <w:kern w:val="0"/>
                <w:szCs w:val="21"/>
                <w14:textFill>
                  <w14:solidFill>
                    <w14:schemeClr w14:val="tx1"/>
                  </w14:solidFill>
                </w14:textFill>
              </w:rPr>
              <w:t>是否偏离及说明</w:t>
            </w:r>
          </w:p>
        </w:tc>
      </w:tr>
      <w:tr w14:paraId="0415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851" w:type="dxa"/>
            <w:vMerge w:val="restart"/>
            <w:vAlign w:val="center"/>
          </w:tcPr>
          <w:p w14:paraId="44F21384">
            <w:pPr>
              <w:spacing w:line="360" w:lineRule="exact"/>
              <w:rPr>
                <w:rFonts w:ascii="宋体" w:hAnsi="宋体"/>
                <w:bCs/>
                <w:color w:val="000000" w:themeColor="text1"/>
                <w:szCs w:val="21"/>
                <w14:textFill>
                  <w14:solidFill>
                    <w14:schemeClr w14:val="tx1"/>
                  </w14:solidFill>
                </w14:textFill>
              </w:rPr>
            </w:pPr>
          </w:p>
        </w:tc>
        <w:tc>
          <w:tcPr>
            <w:tcW w:w="1276" w:type="dxa"/>
          </w:tcPr>
          <w:p w14:paraId="4E0F5A1B">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126" w:type="dxa"/>
            <w:vAlign w:val="center"/>
          </w:tcPr>
          <w:p w14:paraId="5CCA71BC">
            <w:pPr>
              <w:spacing w:line="360" w:lineRule="exact"/>
              <w:jc w:val="center"/>
              <w:rPr>
                <w:rFonts w:ascii="宋体" w:hAnsi="宋体"/>
                <w:color w:val="000000" w:themeColor="text1"/>
                <w:szCs w:val="21"/>
                <w14:textFill>
                  <w14:solidFill>
                    <w14:schemeClr w14:val="tx1"/>
                  </w14:solidFill>
                </w14:textFill>
              </w:rPr>
            </w:pPr>
          </w:p>
        </w:tc>
        <w:tc>
          <w:tcPr>
            <w:tcW w:w="1843" w:type="dxa"/>
            <w:vAlign w:val="center"/>
          </w:tcPr>
          <w:p w14:paraId="717173ED">
            <w:pPr>
              <w:spacing w:line="360" w:lineRule="exact"/>
              <w:jc w:val="center"/>
              <w:rPr>
                <w:rFonts w:ascii="宋体" w:hAnsi="宋体"/>
                <w:color w:val="000000" w:themeColor="text1"/>
                <w:szCs w:val="21"/>
                <w14:textFill>
                  <w14:solidFill>
                    <w14:schemeClr w14:val="tx1"/>
                  </w14:solidFill>
                </w14:textFill>
              </w:rPr>
            </w:pPr>
          </w:p>
        </w:tc>
        <w:tc>
          <w:tcPr>
            <w:tcW w:w="3264" w:type="dxa"/>
            <w:vAlign w:val="center"/>
          </w:tcPr>
          <w:p w14:paraId="0E4D6DEA">
            <w:pPr>
              <w:spacing w:line="360" w:lineRule="exact"/>
              <w:jc w:val="center"/>
              <w:rPr>
                <w:rFonts w:ascii="宋体" w:hAnsi="宋体"/>
                <w:color w:val="000000" w:themeColor="text1"/>
                <w:szCs w:val="21"/>
                <w14:textFill>
                  <w14:solidFill>
                    <w14:schemeClr w14:val="tx1"/>
                  </w14:solidFill>
                </w14:textFill>
              </w:rPr>
            </w:pPr>
          </w:p>
        </w:tc>
      </w:tr>
      <w:tr w14:paraId="70A3F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51" w:type="dxa"/>
            <w:vMerge w:val="continue"/>
          </w:tcPr>
          <w:p w14:paraId="4E6EDC17">
            <w:pPr>
              <w:spacing w:line="360" w:lineRule="exact"/>
              <w:jc w:val="center"/>
              <w:rPr>
                <w:rFonts w:ascii="宋体" w:hAnsi="宋体"/>
                <w:bCs/>
                <w:color w:val="000000" w:themeColor="text1"/>
                <w:szCs w:val="21"/>
                <w14:textFill>
                  <w14:solidFill>
                    <w14:schemeClr w14:val="tx1"/>
                  </w14:solidFill>
                </w14:textFill>
              </w:rPr>
            </w:pPr>
          </w:p>
        </w:tc>
        <w:tc>
          <w:tcPr>
            <w:tcW w:w="1276" w:type="dxa"/>
          </w:tcPr>
          <w:p w14:paraId="679BE448">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2126" w:type="dxa"/>
            <w:vAlign w:val="center"/>
          </w:tcPr>
          <w:p w14:paraId="6A131122">
            <w:pPr>
              <w:spacing w:line="360" w:lineRule="exact"/>
              <w:jc w:val="center"/>
              <w:rPr>
                <w:rFonts w:ascii="宋体" w:hAnsi="宋体"/>
                <w:color w:val="000000" w:themeColor="text1"/>
                <w:szCs w:val="21"/>
                <w14:textFill>
                  <w14:solidFill>
                    <w14:schemeClr w14:val="tx1"/>
                  </w14:solidFill>
                </w14:textFill>
              </w:rPr>
            </w:pPr>
          </w:p>
        </w:tc>
        <w:tc>
          <w:tcPr>
            <w:tcW w:w="1843" w:type="dxa"/>
            <w:vAlign w:val="center"/>
          </w:tcPr>
          <w:p w14:paraId="017EBA6B">
            <w:pPr>
              <w:spacing w:line="360" w:lineRule="exact"/>
              <w:jc w:val="center"/>
              <w:rPr>
                <w:rFonts w:ascii="宋体" w:hAnsi="宋体"/>
                <w:color w:val="000000" w:themeColor="text1"/>
                <w:szCs w:val="21"/>
                <w14:textFill>
                  <w14:solidFill>
                    <w14:schemeClr w14:val="tx1"/>
                  </w14:solidFill>
                </w14:textFill>
              </w:rPr>
            </w:pPr>
          </w:p>
        </w:tc>
        <w:tc>
          <w:tcPr>
            <w:tcW w:w="3264" w:type="dxa"/>
            <w:vAlign w:val="center"/>
          </w:tcPr>
          <w:p w14:paraId="0798ADDF">
            <w:pPr>
              <w:spacing w:line="360" w:lineRule="exact"/>
              <w:jc w:val="center"/>
              <w:rPr>
                <w:rFonts w:ascii="宋体" w:hAnsi="宋体"/>
                <w:color w:val="000000" w:themeColor="text1"/>
                <w:szCs w:val="21"/>
                <w14:textFill>
                  <w14:solidFill>
                    <w14:schemeClr w14:val="tx1"/>
                  </w14:solidFill>
                </w14:textFill>
              </w:rPr>
            </w:pPr>
          </w:p>
        </w:tc>
      </w:tr>
      <w:tr w14:paraId="58971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851" w:type="dxa"/>
            <w:vMerge w:val="continue"/>
          </w:tcPr>
          <w:p w14:paraId="5B01D446">
            <w:pPr>
              <w:spacing w:line="360" w:lineRule="exact"/>
              <w:jc w:val="center"/>
              <w:rPr>
                <w:rFonts w:ascii="宋体" w:hAnsi="宋体"/>
                <w:bCs/>
                <w:color w:val="000000" w:themeColor="text1"/>
                <w:szCs w:val="21"/>
                <w14:textFill>
                  <w14:solidFill>
                    <w14:schemeClr w14:val="tx1"/>
                  </w14:solidFill>
                </w14:textFill>
              </w:rPr>
            </w:pPr>
          </w:p>
        </w:tc>
        <w:tc>
          <w:tcPr>
            <w:tcW w:w="1276" w:type="dxa"/>
          </w:tcPr>
          <w:p w14:paraId="0F51E4A3">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p>
        </w:tc>
        <w:tc>
          <w:tcPr>
            <w:tcW w:w="2126" w:type="dxa"/>
            <w:vAlign w:val="center"/>
          </w:tcPr>
          <w:p w14:paraId="67395D76">
            <w:pPr>
              <w:spacing w:line="360" w:lineRule="exact"/>
              <w:jc w:val="center"/>
              <w:rPr>
                <w:rFonts w:ascii="宋体" w:hAnsi="宋体"/>
                <w:color w:val="000000" w:themeColor="text1"/>
                <w:szCs w:val="21"/>
                <w14:textFill>
                  <w14:solidFill>
                    <w14:schemeClr w14:val="tx1"/>
                  </w14:solidFill>
                </w14:textFill>
              </w:rPr>
            </w:pPr>
          </w:p>
        </w:tc>
        <w:tc>
          <w:tcPr>
            <w:tcW w:w="1843" w:type="dxa"/>
            <w:vAlign w:val="center"/>
          </w:tcPr>
          <w:p w14:paraId="1F787BAA">
            <w:pPr>
              <w:spacing w:line="360" w:lineRule="exact"/>
              <w:jc w:val="center"/>
              <w:rPr>
                <w:rFonts w:ascii="宋体" w:hAnsi="宋体"/>
                <w:color w:val="000000" w:themeColor="text1"/>
                <w:szCs w:val="21"/>
                <w14:textFill>
                  <w14:solidFill>
                    <w14:schemeClr w14:val="tx1"/>
                  </w14:solidFill>
                </w14:textFill>
              </w:rPr>
            </w:pPr>
          </w:p>
        </w:tc>
        <w:tc>
          <w:tcPr>
            <w:tcW w:w="3264" w:type="dxa"/>
            <w:vAlign w:val="center"/>
          </w:tcPr>
          <w:p w14:paraId="00A6CF57">
            <w:pPr>
              <w:spacing w:line="360" w:lineRule="exact"/>
              <w:jc w:val="center"/>
              <w:rPr>
                <w:rFonts w:ascii="宋体" w:hAnsi="宋体"/>
                <w:color w:val="000000" w:themeColor="text1"/>
                <w:szCs w:val="21"/>
                <w14:textFill>
                  <w14:solidFill>
                    <w14:schemeClr w14:val="tx1"/>
                  </w14:solidFill>
                </w14:textFill>
              </w:rPr>
            </w:pPr>
          </w:p>
        </w:tc>
      </w:tr>
      <w:tr w14:paraId="12669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851" w:type="dxa"/>
            <w:vMerge w:val="continue"/>
          </w:tcPr>
          <w:p w14:paraId="3A7C9D99">
            <w:pPr>
              <w:spacing w:line="360" w:lineRule="exact"/>
              <w:jc w:val="center"/>
              <w:rPr>
                <w:rFonts w:ascii="宋体" w:hAnsi="宋体"/>
                <w:bCs/>
                <w:color w:val="000000" w:themeColor="text1"/>
                <w:szCs w:val="21"/>
                <w14:textFill>
                  <w14:solidFill>
                    <w14:schemeClr w14:val="tx1"/>
                  </w14:solidFill>
                </w14:textFill>
              </w:rPr>
            </w:pPr>
          </w:p>
        </w:tc>
        <w:tc>
          <w:tcPr>
            <w:tcW w:w="1276" w:type="dxa"/>
          </w:tcPr>
          <w:p w14:paraId="13DBCBF8">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2126" w:type="dxa"/>
            <w:vAlign w:val="center"/>
          </w:tcPr>
          <w:p w14:paraId="05B2717A">
            <w:pPr>
              <w:spacing w:line="360" w:lineRule="exact"/>
              <w:jc w:val="center"/>
              <w:rPr>
                <w:rFonts w:ascii="宋体" w:hAnsi="宋体"/>
                <w:color w:val="000000" w:themeColor="text1"/>
                <w:szCs w:val="21"/>
                <w14:textFill>
                  <w14:solidFill>
                    <w14:schemeClr w14:val="tx1"/>
                  </w14:solidFill>
                </w14:textFill>
              </w:rPr>
            </w:pPr>
          </w:p>
        </w:tc>
        <w:tc>
          <w:tcPr>
            <w:tcW w:w="1843" w:type="dxa"/>
            <w:vAlign w:val="center"/>
          </w:tcPr>
          <w:p w14:paraId="3C985C10">
            <w:pPr>
              <w:spacing w:line="360" w:lineRule="exact"/>
              <w:jc w:val="center"/>
              <w:rPr>
                <w:rFonts w:ascii="宋体" w:hAnsi="宋体"/>
                <w:color w:val="000000" w:themeColor="text1"/>
                <w:szCs w:val="21"/>
                <w14:textFill>
                  <w14:solidFill>
                    <w14:schemeClr w14:val="tx1"/>
                  </w14:solidFill>
                </w14:textFill>
              </w:rPr>
            </w:pPr>
          </w:p>
        </w:tc>
        <w:tc>
          <w:tcPr>
            <w:tcW w:w="3264" w:type="dxa"/>
            <w:vAlign w:val="center"/>
          </w:tcPr>
          <w:p w14:paraId="3A2B2F64">
            <w:pPr>
              <w:spacing w:line="360" w:lineRule="exact"/>
              <w:jc w:val="center"/>
              <w:rPr>
                <w:rFonts w:ascii="宋体" w:hAnsi="宋体"/>
                <w:color w:val="000000" w:themeColor="text1"/>
                <w:szCs w:val="21"/>
                <w14:textFill>
                  <w14:solidFill>
                    <w14:schemeClr w14:val="tx1"/>
                  </w14:solidFill>
                </w14:textFill>
              </w:rPr>
            </w:pPr>
          </w:p>
        </w:tc>
      </w:tr>
      <w:tr w14:paraId="27B5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51" w:type="dxa"/>
            <w:vMerge w:val="continue"/>
          </w:tcPr>
          <w:p w14:paraId="5CA53FCD">
            <w:pPr>
              <w:spacing w:line="360" w:lineRule="exact"/>
              <w:jc w:val="center"/>
              <w:rPr>
                <w:rFonts w:ascii="宋体" w:hAnsi="宋体"/>
                <w:bCs/>
                <w:color w:val="000000" w:themeColor="text1"/>
                <w:szCs w:val="21"/>
                <w14:textFill>
                  <w14:solidFill>
                    <w14:schemeClr w14:val="tx1"/>
                  </w14:solidFill>
                </w14:textFill>
              </w:rPr>
            </w:pPr>
          </w:p>
        </w:tc>
        <w:tc>
          <w:tcPr>
            <w:tcW w:w="1276" w:type="dxa"/>
          </w:tcPr>
          <w:p w14:paraId="7E94F1B4">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2126" w:type="dxa"/>
            <w:vAlign w:val="center"/>
          </w:tcPr>
          <w:p w14:paraId="05A2D368">
            <w:pPr>
              <w:spacing w:line="360" w:lineRule="exact"/>
              <w:jc w:val="center"/>
              <w:rPr>
                <w:rFonts w:ascii="宋体" w:hAnsi="宋体"/>
                <w:color w:val="000000" w:themeColor="text1"/>
                <w:szCs w:val="21"/>
                <w14:textFill>
                  <w14:solidFill>
                    <w14:schemeClr w14:val="tx1"/>
                  </w14:solidFill>
                </w14:textFill>
              </w:rPr>
            </w:pPr>
          </w:p>
        </w:tc>
        <w:tc>
          <w:tcPr>
            <w:tcW w:w="1843" w:type="dxa"/>
            <w:vAlign w:val="center"/>
          </w:tcPr>
          <w:p w14:paraId="77E1B360">
            <w:pPr>
              <w:spacing w:line="360" w:lineRule="exact"/>
              <w:jc w:val="center"/>
              <w:rPr>
                <w:rFonts w:ascii="宋体" w:hAnsi="宋体"/>
                <w:color w:val="000000" w:themeColor="text1"/>
                <w:szCs w:val="21"/>
                <w14:textFill>
                  <w14:solidFill>
                    <w14:schemeClr w14:val="tx1"/>
                  </w14:solidFill>
                </w14:textFill>
              </w:rPr>
            </w:pPr>
          </w:p>
        </w:tc>
        <w:tc>
          <w:tcPr>
            <w:tcW w:w="3264" w:type="dxa"/>
            <w:vAlign w:val="center"/>
          </w:tcPr>
          <w:p w14:paraId="464D35FA">
            <w:pPr>
              <w:spacing w:line="360" w:lineRule="exact"/>
              <w:jc w:val="center"/>
              <w:rPr>
                <w:rFonts w:ascii="宋体" w:hAnsi="宋体"/>
                <w:color w:val="000000" w:themeColor="text1"/>
                <w:szCs w:val="21"/>
                <w14:textFill>
                  <w14:solidFill>
                    <w14:schemeClr w14:val="tx1"/>
                  </w14:solidFill>
                </w14:textFill>
              </w:rPr>
            </w:pPr>
          </w:p>
        </w:tc>
      </w:tr>
      <w:tr w14:paraId="2B2DA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851" w:type="dxa"/>
            <w:vMerge w:val="continue"/>
          </w:tcPr>
          <w:p w14:paraId="23AF91D5">
            <w:pPr>
              <w:spacing w:line="360" w:lineRule="exact"/>
              <w:jc w:val="center"/>
              <w:rPr>
                <w:rFonts w:ascii="宋体" w:hAnsi="宋体"/>
                <w:bCs/>
                <w:color w:val="000000" w:themeColor="text1"/>
                <w:szCs w:val="21"/>
                <w14:textFill>
                  <w14:solidFill>
                    <w14:schemeClr w14:val="tx1"/>
                  </w14:solidFill>
                </w14:textFill>
              </w:rPr>
            </w:pPr>
          </w:p>
        </w:tc>
        <w:tc>
          <w:tcPr>
            <w:tcW w:w="1276" w:type="dxa"/>
          </w:tcPr>
          <w:p w14:paraId="5682B090">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p>
        </w:tc>
        <w:tc>
          <w:tcPr>
            <w:tcW w:w="2126" w:type="dxa"/>
            <w:vAlign w:val="center"/>
          </w:tcPr>
          <w:p w14:paraId="6B9F8913">
            <w:pPr>
              <w:spacing w:line="360" w:lineRule="exact"/>
              <w:jc w:val="center"/>
              <w:rPr>
                <w:rFonts w:ascii="宋体" w:hAnsi="宋体"/>
                <w:color w:val="000000" w:themeColor="text1"/>
                <w:szCs w:val="21"/>
                <w14:textFill>
                  <w14:solidFill>
                    <w14:schemeClr w14:val="tx1"/>
                  </w14:solidFill>
                </w14:textFill>
              </w:rPr>
            </w:pPr>
          </w:p>
        </w:tc>
        <w:tc>
          <w:tcPr>
            <w:tcW w:w="1843" w:type="dxa"/>
            <w:vAlign w:val="center"/>
          </w:tcPr>
          <w:p w14:paraId="51B26E9D">
            <w:pPr>
              <w:spacing w:line="360" w:lineRule="exact"/>
              <w:jc w:val="center"/>
              <w:rPr>
                <w:rFonts w:ascii="宋体" w:hAnsi="宋体"/>
                <w:color w:val="000000" w:themeColor="text1"/>
                <w:szCs w:val="21"/>
                <w14:textFill>
                  <w14:solidFill>
                    <w14:schemeClr w14:val="tx1"/>
                  </w14:solidFill>
                </w14:textFill>
              </w:rPr>
            </w:pPr>
          </w:p>
        </w:tc>
        <w:tc>
          <w:tcPr>
            <w:tcW w:w="3264" w:type="dxa"/>
            <w:vAlign w:val="center"/>
          </w:tcPr>
          <w:p w14:paraId="2A9D9DB1">
            <w:pPr>
              <w:spacing w:line="360" w:lineRule="exact"/>
              <w:jc w:val="center"/>
              <w:rPr>
                <w:rFonts w:ascii="宋体" w:hAnsi="宋体"/>
                <w:color w:val="000000" w:themeColor="text1"/>
                <w:szCs w:val="21"/>
                <w14:textFill>
                  <w14:solidFill>
                    <w14:schemeClr w14:val="tx1"/>
                  </w14:solidFill>
                </w14:textFill>
              </w:rPr>
            </w:pPr>
          </w:p>
        </w:tc>
      </w:tr>
      <w:tr w14:paraId="6A71B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851" w:type="dxa"/>
            <w:vMerge w:val="continue"/>
          </w:tcPr>
          <w:p w14:paraId="51B96E50">
            <w:pPr>
              <w:spacing w:line="360" w:lineRule="exact"/>
              <w:jc w:val="center"/>
              <w:rPr>
                <w:rFonts w:ascii="宋体" w:hAnsi="宋体"/>
                <w:bCs/>
                <w:color w:val="000000" w:themeColor="text1"/>
                <w:szCs w:val="21"/>
                <w14:textFill>
                  <w14:solidFill>
                    <w14:schemeClr w14:val="tx1"/>
                  </w14:solidFill>
                </w14:textFill>
              </w:rPr>
            </w:pPr>
          </w:p>
        </w:tc>
        <w:tc>
          <w:tcPr>
            <w:tcW w:w="1276" w:type="dxa"/>
          </w:tcPr>
          <w:p w14:paraId="45406897">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w:t>
            </w:r>
          </w:p>
        </w:tc>
        <w:tc>
          <w:tcPr>
            <w:tcW w:w="2126" w:type="dxa"/>
            <w:vAlign w:val="center"/>
          </w:tcPr>
          <w:p w14:paraId="5E6A1E0A">
            <w:pPr>
              <w:spacing w:line="360" w:lineRule="exact"/>
              <w:jc w:val="center"/>
              <w:rPr>
                <w:rFonts w:ascii="宋体" w:hAnsi="宋体"/>
                <w:color w:val="000000" w:themeColor="text1"/>
                <w:szCs w:val="21"/>
                <w14:textFill>
                  <w14:solidFill>
                    <w14:schemeClr w14:val="tx1"/>
                  </w14:solidFill>
                </w14:textFill>
              </w:rPr>
            </w:pPr>
          </w:p>
        </w:tc>
        <w:tc>
          <w:tcPr>
            <w:tcW w:w="1843" w:type="dxa"/>
            <w:vAlign w:val="center"/>
          </w:tcPr>
          <w:p w14:paraId="63A0D1C5">
            <w:pPr>
              <w:spacing w:line="360" w:lineRule="exact"/>
              <w:jc w:val="center"/>
              <w:rPr>
                <w:rFonts w:ascii="宋体" w:hAnsi="宋体"/>
                <w:color w:val="000000" w:themeColor="text1"/>
                <w:szCs w:val="21"/>
                <w14:textFill>
                  <w14:solidFill>
                    <w14:schemeClr w14:val="tx1"/>
                  </w14:solidFill>
                </w14:textFill>
              </w:rPr>
            </w:pPr>
          </w:p>
        </w:tc>
        <w:tc>
          <w:tcPr>
            <w:tcW w:w="3264" w:type="dxa"/>
            <w:vAlign w:val="center"/>
          </w:tcPr>
          <w:p w14:paraId="35381417">
            <w:pPr>
              <w:spacing w:line="360" w:lineRule="exact"/>
              <w:jc w:val="center"/>
              <w:rPr>
                <w:rFonts w:ascii="宋体" w:hAnsi="宋体"/>
                <w:color w:val="000000" w:themeColor="text1"/>
                <w:szCs w:val="21"/>
                <w14:textFill>
                  <w14:solidFill>
                    <w14:schemeClr w14:val="tx1"/>
                  </w14:solidFill>
                </w14:textFill>
              </w:rPr>
            </w:pPr>
          </w:p>
        </w:tc>
      </w:tr>
    </w:tbl>
    <w:p w14:paraId="24356F9C">
      <w:pPr>
        <w:rPr>
          <w:color w:val="000000" w:themeColor="text1"/>
          <w14:textFill>
            <w14:solidFill>
              <w14:schemeClr w14:val="tx1"/>
            </w14:solidFill>
          </w14:textFill>
        </w:rPr>
      </w:pPr>
    </w:p>
    <w:p w14:paraId="7F4D6E64">
      <w:pPr>
        <w:spacing w:line="300" w:lineRule="exact"/>
        <w:outlineLvl w:val="1"/>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注：1.提交的磋商响应文件中与磋商文件的技术、商务部分的要求有不同时，应在本表中把磋商文件要求与实际响应内容逐项对应列出，并在“偏离说明”项下填写以下内容：优于的，填写“正偏离”；符合的，填写“无偏离”；低于的，填写“负偏离”。</w:t>
      </w:r>
    </w:p>
    <w:p w14:paraId="118D7CD6">
      <w:pPr>
        <w:spacing w:line="300" w:lineRule="exact"/>
        <w:ind w:firstLine="270" w:firstLineChars="150"/>
        <w:outlineLvl w:val="1"/>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2.若事项较多，可根据采购内容的实际情况另纸说明。</w:t>
      </w:r>
    </w:p>
    <w:p w14:paraId="57AB7885">
      <w:pPr>
        <w:spacing w:line="400" w:lineRule="exact"/>
        <w:rPr>
          <w:rFonts w:ascii="Arial" w:hAnsi="Arial"/>
          <w:color w:val="000000" w:themeColor="text1"/>
          <w:szCs w:val="21"/>
          <w14:textFill>
            <w14:solidFill>
              <w14:schemeClr w14:val="tx1"/>
            </w14:solidFill>
          </w14:textFill>
        </w:rPr>
      </w:pPr>
    </w:p>
    <w:p w14:paraId="3D764DBA">
      <w:pPr>
        <w:spacing w:line="400" w:lineRule="exact"/>
        <w:rPr>
          <w:rFonts w:ascii="Arial" w:hAnsi="Arial"/>
          <w:color w:val="000000" w:themeColor="text1"/>
          <w:szCs w:val="21"/>
          <w14:textFill>
            <w14:solidFill>
              <w14:schemeClr w14:val="tx1"/>
            </w14:solidFill>
          </w14:textFill>
        </w:rPr>
      </w:pPr>
    </w:p>
    <w:p w14:paraId="4AA7CABE">
      <w:pPr>
        <w:spacing w:line="400" w:lineRule="exact"/>
        <w:rPr>
          <w:rFonts w:ascii="Arial" w:hAnsi="Arial"/>
          <w:color w:val="000000" w:themeColor="text1"/>
          <w:szCs w:val="21"/>
          <w14:textFill>
            <w14:solidFill>
              <w14:schemeClr w14:val="tx1"/>
            </w14:solidFill>
          </w14:textFill>
        </w:rPr>
      </w:pPr>
      <w:r>
        <w:rPr>
          <w:rFonts w:hint="eastAsia" w:ascii="Arial" w:hAnsi="Arial"/>
          <w:color w:val="000000" w:themeColor="text1"/>
          <w:szCs w:val="21"/>
          <w14:textFill>
            <w14:solidFill>
              <w14:schemeClr w14:val="tx1"/>
            </w14:solidFill>
          </w14:textFill>
        </w:rPr>
        <w:t>磋商代表签字：</w:t>
      </w:r>
      <w:r>
        <w:rPr>
          <w:rFonts w:hint="eastAsia" w:ascii="Arial" w:hAnsi="Arial"/>
          <w:color w:val="000000" w:themeColor="text1"/>
          <w:szCs w:val="21"/>
          <w:u w:val="single"/>
          <w14:textFill>
            <w14:solidFill>
              <w14:schemeClr w14:val="tx1"/>
            </w14:solidFill>
          </w14:textFill>
        </w:rPr>
        <w:t xml:space="preserve">                  </w:t>
      </w:r>
    </w:p>
    <w:p w14:paraId="4B742281">
      <w:pPr>
        <w:spacing w:line="400" w:lineRule="exact"/>
        <w:rPr>
          <w:rFonts w:ascii="黑体" w:hAnsi="Arial" w:eastAsia="黑体"/>
          <w:b/>
          <w:color w:val="000000" w:themeColor="text1"/>
          <w:szCs w:val="21"/>
          <w14:textFill>
            <w14:solidFill>
              <w14:schemeClr w14:val="tx1"/>
            </w14:solidFill>
          </w14:textFill>
        </w:rPr>
      </w:pPr>
      <w:r>
        <w:rPr>
          <w:rFonts w:hint="eastAsia" w:ascii="Arial" w:hAnsi="Arial"/>
          <w:color w:val="000000" w:themeColor="text1"/>
          <w:szCs w:val="21"/>
          <w14:textFill>
            <w14:solidFill>
              <w14:schemeClr w14:val="tx1"/>
            </w14:solidFill>
          </w14:textFill>
        </w:rPr>
        <w:t>日期：</w:t>
      </w:r>
      <w:r>
        <w:rPr>
          <w:rFonts w:hint="eastAsia" w:ascii="Arial" w:hAnsi="Arial"/>
          <w:color w:val="000000" w:themeColor="text1"/>
          <w:szCs w:val="21"/>
          <w:u w:val="single"/>
          <w14:textFill>
            <w14:solidFill>
              <w14:schemeClr w14:val="tx1"/>
            </w14:solidFill>
          </w14:textFill>
        </w:rPr>
        <w:t xml:space="preserve">    </w:t>
      </w:r>
      <w:r>
        <w:rPr>
          <w:rFonts w:hint="eastAsia" w:ascii="Arial" w:hAnsi="Arial"/>
          <w:color w:val="000000" w:themeColor="text1"/>
          <w:szCs w:val="21"/>
          <w14:textFill>
            <w14:solidFill>
              <w14:schemeClr w14:val="tx1"/>
            </w14:solidFill>
          </w14:textFill>
        </w:rPr>
        <w:t>年</w:t>
      </w:r>
      <w:r>
        <w:rPr>
          <w:rFonts w:hint="eastAsia" w:ascii="Arial" w:hAnsi="Arial"/>
          <w:color w:val="000000" w:themeColor="text1"/>
          <w:szCs w:val="21"/>
          <w:u w:val="single"/>
          <w14:textFill>
            <w14:solidFill>
              <w14:schemeClr w14:val="tx1"/>
            </w14:solidFill>
          </w14:textFill>
        </w:rPr>
        <w:t xml:space="preserve">   </w:t>
      </w:r>
      <w:r>
        <w:rPr>
          <w:rFonts w:hint="eastAsia" w:ascii="Arial" w:hAnsi="Arial"/>
          <w:color w:val="000000" w:themeColor="text1"/>
          <w:szCs w:val="21"/>
          <w14:textFill>
            <w14:solidFill>
              <w14:schemeClr w14:val="tx1"/>
            </w14:solidFill>
          </w14:textFill>
        </w:rPr>
        <w:t>月</w:t>
      </w:r>
      <w:r>
        <w:rPr>
          <w:rFonts w:hint="eastAsia" w:ascii="Arial" w:hAnsi="Arial"/>
          <w:color w:val="000000" w:themeColor="text1"/>
          <w:szCs w:val="21"/>
          <w:u w:val="single"/>
          <w14:textFill>
            <w14:solidFill>
              <w14:schemeClr w14:val="tx1"/>
            </w14:solidFill>
          </w14:textFill>
        </w:rPr>
        <w:t xml:space="preserve">   </w:t>
      </w:r>
      <w:r>
        <w:rPr>
          <w:rFonts w:hint="eastAsia" w:ascii="Arial" w:hAnsi="Arial"/>
          <w:color w:val="000000" w:themeColor="text1"/>
          <w:szCs w:val="21"/>
          <w14:textFill>
            <w14:solidFill>
              <w14:schemeClr w14:val="tx1"/>
            </w14:solidFill>
          </w14:textFill>
        </w:rPr>
        <w:t>日</w:t>
      </w:r>
    </w:p>
    <w:p w14:paraId="62F5FD0B">
      <w:pPr>
        <w:spacing w:line="400" w:lineRule="exact"/>
        <w:rPr>
          <w:rFonts w:ascii="黑体" w:hAnsi="Arial" w:eastAsia="黑体"/>
          <w:b/>
          <w:color w:val="000000" w:themeColor="text1"/>
          <w:szCs w:val="21"/>
          <w14:textFill>
            <w14:solidFill>
              <w14:schemeClr w14:val="tx1"/>
            </w14:solidFill>
          </w14:textFill>
        </w:rPr>
      </w:pPr>
    </w:p>
    <w:p w14:paraId="1804B936">
      <w:pPr>
        <w:spacing w:line="400" w:lineRule="exact"/>
        <w:rPr>
          <w:rFonts w:ascii="黑体" w:hAnsi="Arial" w:eastAsia="黑体"/>
          <w:b/>
          <w:color w:val="000000" w:themeColor="text1"/>
          <w:szCs w:val="21"/>
          <w14:textFill>
            <w14:solidFill>
              <w14:schemeClr w14:val="tx1"/>
            </w14:solidFill>
          </w14:textFill>
        </w:rPr>
      </w:pPr>
    </w:p>
    <w:p w14:paraId="05BA51C4">
      <w:pPr>
        <w:spacing w:line="400" w:lineRule="exact"/>
        <w:rPr>
          <w:rFonts w:ascii="黑体" w:hAnsi="Arial" w:eastAsia="黑体"/>
          <w:b/>
          <w:color w:val="000000" w:themeColor="text1"/>
          <w:szCs w:val="21"/>
          <w14:textFill>
            <w14:solidFill>
              <w14:schemeClr w14:val="tx1"/>
            </w14:solidFill>
          </w14:textFill>
        </w:rPr>
      </w:pPr>
    </w:p>
    <w:p w14:paraId="7377657E">
      <w:pPr>
        <w:rPr>
          <w:color w:val="000000" w:themeColor="text1"/>
          <w14:textFill>
            <w14:solidFill>
              <w14:schemeClr w14:val="tx1"/>
            </w14:solidFill>
          </w14:textFill>
        </w:rPr>
      </w:pPr>
    </w:p>
    <w:p w14:paraId="4D842D44">
      <w:pPr>
        <w:spacing w:line="400" w:lineRule="exact"/>
        <w:rPr>
          <w:rFonts w:ascii="黑体" w:hAnsi="Arial" w:eastAsia="黑体"/>
          <w:b/>
          <w:color w:val="000000" w:themeColor="text1"/>
          <w:sz w:val="24"/>
          <w14:textFill>
            <w14:solidFill>
              <w14:schemeClr w14:val="tx1"/>
            </w14:solidFill>
          </w14:textFill>
        </w:rPr>
      </w:pPr>
    </w:p>
    <w:p w14:paraId="7603D8D5">
      <w:pPr>
        <w:spacing w:line="400" w:lineRule="exact"/>
        <w:rPr>
          <w:rFonts w:ascii="黑体" w:hAnsi="Arial" w:eastAsia="黑体"/>
          <w:b/>
          <w:color w:val="000000" w:themeColor="text1"/>
          <w:szCs w:val="21"/>
          <w14:textFill>
            <w14:solidFill>
              <w14:schemeClr w14:val="tx1"/>
            </w14:solidFill>
          </w14:textFill>
        </w:rPr>
      </w:pPr>
    </w:p>
    <w:p w14:paraId="3EC09F5D">
      <w:pPr>
        <w:spacing w:line="400" w:lineRule="exact"/>
        <w:ind w:firstLine="275" w:firstLineChars="98"/>
        <w:outlineLvl w:val="0"/>
        <w:rPr>
          <w:rFonts w:ascii="宋体" w:hAnsi="宋体"/>
          <w:b/>
          <w:color w:val="000000" w:themeColor="text1"/>
          <w:sz w:val="28"/>
          <w:szCs w:val="28"/>
          <w14:textFill>
            <w14:solidFill>
              <w14:schemeClr w14:val="tx1"/>
            </w14:solidFill>
          </w14:textFill>
        </w:rPr>
      </w:pPr>
      <w:bookmarkStart w:id="192" w:name="_Toc134733536"/>
      <w:r>
        <w:rPr>
          <w:rFonts w:hint="eastAsia" w:ascii="宋体" w:hAnsi="宋体"/>
          <w:b/>
          <w:color w:val="000000" w:themeColor="text1"/>
          <w:sz w:val="28"/>
          <w:szCs w:val="28"/>
          <w14:textFill>
            <w14:solidFill>
              <w14:schemeClr w14:val="tx1"/>
            </w14:solidFill>
          </w14:textFill>
        </w:rPr>
        <w:t xml:space="preserve">                     </w:t>
      </w:r>
      <w:bookmarkStart w:id="193" w:name="_Toc137563045"/>
      <w:bookmarkStart w:id="194" w:name="_Toc75338353"/>
      <w:r>
        <w:rPr>
          <w:rFonts w:hint="eastAsia" w:ascii="宋体" w:hAnsi="宋体"/>
          <w:b/>
          <w:color w:val="000000" w:themeColor="text1"/>
          <w:sz w:val="28"/>
          <w:szCs w:val="28"/>
          <w14:textFill>
            <w14:solidFill>
              <w14:schemeClr w14:val="tx1"/>
            </w14:solidFill>
          </w14:textFill>
        </w:rPr>
        <w:t>单位负责人授权书(原件)</w:t>
      </w:r>
      <w:bookmarkEnd w:id="192"/>
      <w:bookmarkEnd w:id="193"/>
      <w:bookmarkEnd w:id="194"/>
    </w:p>
    <w:p w14:paraId="2BC0FD67">
      <w:pPr>
        <w:spacing w:line="400" w:lineRule="exact"/>
        <w:rPr>
          <w:rFonts w:ascii="黑体" w:eastAsia="黑体"/>
          <w:b/>
          <w:color w:val="000000" w:themeColor="text1"/>
          <w:sz w:val="24"/>
          <w14:textFill>
            <w14:solidFill>
              <w14:schemeClr w14:val="tx1"/>
            </w14:solidFill>
          </w14:textFill>
        </w:rPr>
      </w:pPr>
    </w:p>
    <w:p w14:paraId="7C005052">
      <w:pPr>
        <w:spacing w:line="400" w:lineRule="exact"/>
        <w:rPr>
          <w:rFonts w:ascii="黑体" w:eastAsia="黑体"/>
          <w:b/>
          <w:color w:val="000000" w:themeColor="text1"/>
          <w:sz w:val="24"/>
          <w14:textFill>
            <w14:solidFill>
              <w14:schemeClr w14:val="tx1"/>
            </w14:solidFill>
          </w14:textFill>
        </w:rPr>
      </w:pPr>
    </w:p>
    <w:p w14:paraId="6D8A64CB">
      <w:pPr>
        <w:spacing w:line="400" w:lineRule="exact"/>
        <w:ind w:firstLine="525" w:firstLineChars="250"/>
        <w:rPr>
          <w:rFonts w:ascii="宋体" w:hAnsi="宋体"/>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兹有</w:t>
      </w:r>
      <w:r>
        <w:rPr>
          <w:rFonts w:hint="eastAsia" w:ascii="宋体" w:hAnsi="宋体"/>
          <w:b/>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(磋商供应商全称)</w:t>
      </w:r>
      <w:r>
        <w:rPr>
          <w:rFonts w:hint="eastAsia" w:ascii="宋体" w:hAnsi="宋体"/>
          <w:color w:val="000000" w:themeColor="text1"/>
          <w:szCs w:val="21"/>
          <w14:textFill>
            <w14:solidFill>
              <w14:schemeClr w14:val="tx1"/>
            </w14:solidFill>
          </w14:textFill>
        </w:rPr>
        <w:t>的</w:t>
      </w:r>
      <w:r>
        <w:rPr>
          <w:rFonts w:hint="eastAsia" w:ascii="宋体" w:hAnsi="宋体"/>
          <w:bCs/>
          <w:color w:val="000000" w:themeColor="text1"/>
          <w:szCs w:val="21"/>
          <w14:textFill>
            <w14:solidFill>
              <w14:schemeClr w14:val="tx1"/>
            </w14:solidFill>
          </w14:textFill>
        </w:rPr>
        <w:t>单位负责人</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姓名）授权</w:t>
      </w:r>
      <w:r>
        <w:rPr>
          <w:rFonts w:hint="eastAsia" w:ascii="宋体" w:hAnsi="宋体"/>
          <w:color w:val="000000" w:themeColor="text1"/>
          <w:szCs w:val="21"/>
          <w:u w:val="single"/>
          <w14:textFill>
            <w14:solidFill>
              <w14:schemeClr w14:val="tx1"/>
            </w14:solidFill>
          </w14:textFill>
        </w:rPr>
        <w:t xml:space="preserve">    </w:t>
      </w:r>
    </w:p>
    <w:p w14:paraId="0CB6E625">
      <w:pPr>
        <w:spacing w:line="400" w:lineRule="exac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（被授权人姓名），为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采购编号）的磋商代理人，以本公司名义处理一切与之有关的事宜。</w:t>
      </w:r>
    </w:p>
    <w:p w14:paraId="09CC4735">
      <w:pPr>
        <w:pStyle w:val="84"/>
        <w:spacing w:line="400" w:lineRule="exact"/>
        <w:ind w:firstLine="420" w:firstLineChars="200"/>
        <w:rPr>
          <w:rFonts w:ascii="宋体" w:hAnsi="宋体"/>
          <w:bCs/>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本授权书仅对</w:t>
      </w:r>
      <w:r>
        <w:rPr>
          <w:rFonts w:hint="eastAsia" w:ascii="宋体" w:hAnsi="宋体"/>
          <w:bCs/>
          <w:color w:val="000000" w:themeColor="text1"/>
          <w:sz w:val="21"/>
          <w:szCs w:val="21"/>
          <w14:textFill>
            <w14:solidFill>
              <w14:schemeClr w14:val="tx1"/>
            </w14:solidFill>
          </w14:textFill>
        </w:rPr>
        <w:t>该项目有效，</w:t>
      </w:r>
      <w:r>
        <w:rPr>
          <w:rFonts w:hint="eastAsia" w:ascii="宋体" w:hAnsi="宋体"/>
          <w:color w:val="000000" w:themeColor="text1"/>
          <w:sz w:val="21"/>
          <w:szCs w:val="21"/>
          <w14:textFill>
            <w14:solidFill>
              <w14:schemeClr w14:val="tx1"/>
            </w14:solidFill>
          </w14:textFill>
        </w:rPr>
        <w:t>特此声明。</w:t>
      </w:r>
    </w:p>
    <w:p w14:paraId="1B13B679">
      <w:pPr>
        <w:pStyle w:val="84"/>
        <w:spacing w:line="400" w:lineRule="exact"/>
        <w:ind w:firstLine="420" w:firstLineChars="200"/>
        <w:jc w:val="left"/>
        <w:rPr>
          <w:rFonts w:ascii="宋体"/>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单位负责人</w:t>
      </w:r>
      <w:r>
        <w:rPr>
          <w:rFonts w:hint="eastAsia" w:ascii="宋体"/>
          <w:color w:val="000000" w:themeColor="text1"/>
          <w:sz w:val="21"/>
          <w:szCs w:val="21"/>
          <w14:textFill>
            <w14:solidFill>
              <w14:schemeClr w14:val="tx1"/>
            </w14:solidFill>
          </w14:textFill>
        </w:rPr>
        <w:t>签字或盖章：</w:t>
      </w:r>
      <w:r>
        <w:rPr>
          <w:rFonts w:hint="eastAsia" w:ascii="宋体"/>
          <w:color w:val="000000" w:themeColor="text1"/>
          <w:sz w:val="21"/>
          <w:szCs w:val="21"/>
          <w:u w:val="single"/>
          <w14:textFill>
            <w14:solidFill>
              <w14:schemeClr w14:val="tx1"/>
            </w14:solidFill>
          </w14:textFill>
        </w:rPr>
        <w:t xml:space="preserve">               </w:t>
      </w:r>
      <w:r>
        <w:rPr>
          <w:rFonts w:hint="eastAsia" w:ascii="宋体"/>
          <w:color w:val="000000" w:themeColor="text1"/>
          <w:sz w:val="21"/>
          <w:szCs w:val="21"/>
          <w14:textFill>
            <w14:solidFill>
              <w14:schemeClr w14:val="tx1"/>
            </w14:solidFill>
          </w14:textFill>
        </w:rPr>
        <w:t xml:space="preserve"> </w:t>
      </w:r>
    </w:p>
    <w:p w14:paraId="66A9D0F5">
      <w:pPr>
        <w:pStyle w:val="84"/>
        <w:spacing w:line="400" w:lineRule="exact"/>
        <w:ind w:firstLine="420" w:firstLineChars="200"/>
        <w:jc w:val="left"/>
        <w:rPr>
          <w:rFonts w:ascii="宋体"/>
          <w:color w:val="000000" w:themeColor="text1"/>
          <w:sz w:val="21"/>
          <w:szCs w:val="21"/>
          <w:u w:val="single"/>
          <w14:textFill>
            <w14:solidFill>
              <w14:schemeClr w14:val="tx1"/>
            </w14:solidFill>
          </w14:textFill>
        </w:rPr>
      </w:pPr>
      <w:r>
        <w:rPr>
          <w:rFonts w:hint="eastAsia" w:ascii="宋体"/>
          <w:color w:val="000000" w:themeColor="text1"/>
          <w:sz w:val="21"/>
          <w:szCs w:val="21"/>
          <w14:textFill>
            <w14:solidFill>
              <w14:schemeClr w14:val="tx1"/>
            </w14:solidFill>
          </w14:textFill>
        </w:rPr>
        <w:t>被授权人签字：</w:t>
      </w:r>
      <w:r>
        <w:rPr>
          <w:rFonts w:hint="eastAsia" w:ascii="宋体"/>
          <w:color w:val="000000" w:themeColor="text1"/>
          <w:sz w:val="21"/>
          <w:szCs w:val="21"/>
          <w:u w:val="single"/>
          <w14:textFill>
            <w14:solidFill>
              <w14:schemeClr w14:val="tx1"/>
            </w14:solidFill>
          </w14:textFill>
        </w:rPr>
        <w:t xml:space="preserve">                </w:t>
      </w:r>
      <w:r>
        <w:rPr>
          <w:rFonts w:hint="eastAsia" w:ascii="宋体"/>
          <w:color w:val="000000" w:themeColor="text1"/>
          <w:sz w:val="21"/>
          <w:szCs w:val="21"/>
          <w14:textFill>
            <w14:solidFill>
              <w14:schemeClr w14:val="tx1"/>
            </w14:solidFill>
          </w14:textFill>
        </w:rPr>
        <w:t>职务：</w:t>
      </w:r>
      <w:r>
        <w:rPr>
          <w:rFonts w:hint="eastAsia" w:ascii="宋体"/>
          <w:color w:val="000000" w:themeColor="text1"/>
          <w:sz w:val="21"/>
          <w:szCs w:val="21"/>
          <w:u w:val="single"/>
          <w14:textFill>
            <w14:solidFill>
              <w14:schemeClr w14:val="tx1"/>
            </w14:solidFill>
          </w14:textFill>
        </w:rPr>
        <w:t xml:space="preserve"> </w:t>
      </w:r>
      <w:r>
        <w:rPr>
          <w:rFonts w:hint="eastAsia" w:ascii="宋体"/>
          <w:b/>
          <w:color w:val="000000" w:themeColor="text1"/>
          <w:sz w:val="21"/>
          <w:szCs w:val="21"/>
          <w:u w:val="single"/>
          <w14:textFill>
            <w14:solidFill>
              <w14:schemeClr w14:val="tx1"/>
            </w14:solidFill>
          </w14:textFill>
        </w:rPr>
        <w:t xml:space="preserve">     </w:t>
      </w:r>
      <w:r>
        <w:rPr>
          <w:rFonts w:ascii="宋体"/>
          <w:b/>
          <w:color w:val="000000" w:themeColor="text1"/>
          <w:sz w:val="21"/>
          <w:szCs w:val="21"/>
          <w:u w:val="single"/>
          <w14:textFill>
            <w14:solidFill>
              <w14:schemeClr w14:val="tx1"/>
            </w14:solidFill>
          </w14:textFill>
        </w:rPr>
        <w:t xml:space="preserve">     </w:t>
      </w:r>
    </w:p>
    <w:p w14:paraId="647D8809">
      <w:pPr>
        <w:pStyle w:val="84"/>
        <w:spacing w:line="400" w:lineRule="exact"/>
        <w:ind w:firstLine="560"/>
        <w:jc w:val="left"/>
        <w:rPr>
          <w:rFonts w:ascii="宋体"/>
          <w:b/>
          <w:color w:val="000000" w:themeColor="text1"/>
          <w:sz w:val="21"/>
          <w:szCs w:val="21"/>
          <w:u w:val="single"/>
          <w14:textFill>
            <w14:solidFill>
              <w14:schemeClr w14:val="tx1"/>
            </w14:solidFill>
          </w14:textFill>
        </w:rPr>
      </w:pPr>
      <w:r>
        <w:rPr>
          <w:rFonts w:hint="eastAsia" w:ascii="宋体"/>
          <w:color w:val="000000" w:themeColor="text1"/>
          <w:sz w:val="21"/>
          <w:szCs w:val="21"/>
          <w14:textFill>
            <w14:solidFill>
              <w14:schemeClr w14:val="tx1"/>
            </w14:solidFill>
          </w14:textFill>
        </w:rPr>
        <w:t>磋商单位详细地址：</w:t>
      </w:r>
      <w:r>
        <w:rPr>
          <w:rFonts w:hint="eastAsia" w:ascii="宋体"/>
          <w:b/>
          <w:color w:val="000000" w:themeColor="text1"/>
          <w:sz w:val="21"/>
          <w:szCs w:val="21"/>
          <w:u w:val="single"/>
          <w14:textFill>
            <w14:solidFill>
              <w14:schemeClr w14:val="tx1"/>
            </w14:solidFill>
          </w14:textFill>
        </w:rPr>
        <w:t xml:space="preserve">                             </w:t>
      </w:r>
    </w:p>
    <w:p w14:paraId="3A23606E">
      <w:pPr>
        <w:pStyle w:val="84"/>
        <w:spacing w:line="400" w:lineRule="exact"/>
        <w:ind w:firstLine="560"/>
        <w:jc w:val="left"/>
        <w:rPr>
          <w:rFonts w:ascii="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邮编：</w:t>
      </w:r>
    </w:p>
    <w:p w14:paraId="7D49BDD6">
      <w:pPr>
        <w:pStyle w:val="84"/>
        <w:spacing w:line="400" w:lineRule="exact"/>
        <w:ind w:firstLine="560"/>
        <w:jc w:val="left"/>
        <w:rPr>
          <w:rFonts w:ascii="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E-</w:t>
      </w:r>
      <w:r>
        <w:rPr>
          <w:rFonts w:ascii="宋体"/>
          <w:color w:val="000000" w:themeColor="text1"/>
          <w:sz w:val="21"/>
          <w:szCs w:val="21"/>
          <w14:textFill>
            <w14:solidFill>
              <w14:schemeClr w14:val="tx1"/>
            </w14:solidFill>
          </w14:textFill>
        </w:rPr>
        <w:t>mail:</w:t>
      </w:r>
    </w:p>
    <w:p w14:paraId="7B2D793B">
      <w:pPr>
        <w:spacing w:line="400" w:lineRule="exact"/>
        <w:ind w:firstLine="420" w:firstLineChars="2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联系电话/传真号码：</w:t>
      </w:r>
    </w:p>
    <w:p w14:paraId="5051B3C9">
      <w:pPr>
        <w:spacing w:line="400" w:lineRule="exact"/>
        <w:rPr>
          <w:rFonts w:ascii="楷体_GB2312" w:eastAsia="楷体_GB2312"/>
          <w:b/>
          <w:color w:val="000000" w:themeColor="text1"/>
          <w:szCs w:val="21"/>
          <w14:textFill>
            <w14:solidFill>
              <w14:schemeClr w14:val="tx1"/>
            </w14:solidFill>
          </w14:textFill>
        </w:rPr>
      </w:pPr>
    </w:p>
    <w:p w14:paraId="2BB09CB2">
      <w:pPr>
        <w:pStyle w:val="84"/>
        <w:spacing w:line="400" w:lineRule="exact"/>
        <w:ind w:right="-90" w:firstLine="560"/>
        <w:jc w:val="center"/>
        <w:rPr>
          <w:color w:val="000000" w:themeColor="text1"/>
          <w:sz w:val="21"/>
          <w:szCs w:val="21"/>
          <w14:textFill>
            <w14:solidFill>
              <w14:schemeClr w14:val="tx1"/>
            </w14:solidFill>
          </w14:textFill>
        </w:rPr>
      </w:pPr>
    </w:p>
    <w:p w14:paraId="0FB51A34">
      <w:pPr>
        <w:pStyle w:val="84"/>
        <w:spacing w:line="400" w:lineRule="exact"/>
        <w:ind w:right="-90" w:firstLine="56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磋商供应商全称（加盖公章）：</w:t>
      </w:r>
    </w:p>
    <w:p w14:paraId="3DA2CB0A">
      <w:pPr>
        <w:spacing w:line="400" w:lineRule="exact"/>
        <w:ind w:firstLine="739" w:firstLineChars="352"/>
        <w:jc w:val="center"/>
        <w:rPr>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          </w:t>
      </w:r>
      <w:r>
        <w:rPr>
          <w:rFonts w:hint="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7CE40E09">
      <w:pPr>
        <w:spacing w:line="400" w:lineRule="exact"/>
        <w:rPr>
          <w:rFonts w:ascii="黑体" w:eastAsia="黑体"/>
          <w:b/>
          <w:color w:val="000000" w:themeColor="text1"/>
          <w:szCs w:val="21"/>
          <w14:textFill>
            <w14:solidFill>
              <w14:schemeClr w14:val="tx1"/>
            </w14:solidFill>
          </w14:textFill>
        </w:rPr>
      </w:pPr>
    </w:p>
    <w:p w14:paraId="649C1014">
      <w:pPr>
        <w:spacing w:line="400" w:lineRule="exact"/>
        <w:rPr>
          <w:rFonts w:ascii="黑体" w:eastAsia="黑体"/>
          <w:b/>
          <w:color w:val="000000" w:themeColor="text1"/>
          <w:szCs w:val="21"/>
          <w14:textFill>
            <w14:solidFill>
              <w14:schemeClr w14:val="tx1"/>
            </w14:solidFill>
          </w14:textFill>
        </w:rPr>
      </w:pPr>
    </w:p>
    <w:p w14:paraId="237D163E">
      <w:pPr>
        <w:spacing w:line="400" w:lineRule="exact"/>
        <w:rPr>
          <w:rFonts w:ascii="黑体" w:eastAsia="黑体"/>
          <w:b/>
          <w:color w:val="000000" w:themeColor="text1"/>
          <w:sz w:val="24"/>
          <w14:textFill>
            <w14:solidFill>
              <w14:schemeClr w14:val="tx1"/>
            </w14:solidFill>
          </w14:textFill>
        </w:rPr>
      </w:pPr>
    </w:p>
    <w:p w14:paraId="3F1094D0">
      <w:pPr>
        <w:spacing w:line="400" w:lineRule="exact"/>
        <w:rPr>
          <w:rFonts w:ascii="黑体" w:eastAsia="黑体"/>
          <w:b/>
          <w:color w:val="000000" w:themeColor="text1"/>
          <w:sz w:val="24"/>
          <w14:textFill>
            <w14:solidFill>
              <w14:schemeClr w14:val="tx1"/>
            </w14:solidFill>
          </w14:textFill>
        </w:rPr>
      </w:pPr>
    </w:p>
    <w:p w14:paraId="541341BA">
      <w:pPr>
        <w:spacing w:line="400" w:lineRule="exact"/>
        <w:rPr>
          <w:rFonts w:ascii="黑体" w:eastAsia="黑体"/>
          <w:b/>
          <w:color w:val="000000" w:themeColor="text1"/>
          <w:sz w:val="24"/>
          <w14:textFill>
            <w14:solidFill>
              <w14:schemeClr w14:val="tx1"/>
            </w14:solidFill>
          </w14:textFill>
        </w:rPr>
      </w:pPr>
    </w:p>
    <w:p w14:paraId="5175C0F1">
      <w:pPr>
        <w:spacing w:line="400" w:lineRule="exact"/>
        <w:jc w:val="center"/>
        <w:rPr>
          <w:rFonts w:ascii="黑体" w:eastAsia="黑体"/>
          <w:b/>
          <w:color w:val="000000" w:themeColor="text1"/>
          <w:szCs w:val="21"/>
          <w14:textFill>
            <w14:solidFill>
              <w14:schemeClr w14:val="tx1"/>
            </w14:solidFill>
          </w14:textFill>
        </w:rPr>
      </w:pPr>
      <w:r>
        <w:rPr>
          <w:rFonts w:hint="eastAsia" w:ascii="黑体" w:eastAsia="黑体"/>
          <w:b/>
          <w:color w:val="000000" w:themeColor="text1"/>
          <w:szCs w:val="21"/>
          <w14:textFill>
            <w14:solidFill>
              <w14:schemeClr w14:val="tx1"/>
            </w14:solidFill>
          </w14:textFill>
        </w:rPr>
        <w:t>（请附上单位负责人及磋商代表身份证双面复印件）</w:t>
      </w:r>
    </w:p>
    <w:p w14:paraId="72A603A5">
      <w:pPr>
        <w:spacing w:line="400" w:lineRule="exact"/>
        <w:rPr>
          <w:rFonts w:ascii="黑体" w:eastAsia="黑体"/>
          <w:b/>
          <w:color w:val="000000" w:themeColor="text1"/>
          <w:sz w:val="24"/>
          <w14:textFill>
            <w14:solidFill>
              <w14:schemeClr w14:val="tx1"/>
            </w14:solidFill>
          </w14:textFill>
        </w:rPr>
      </w:pPr>
    </w:p>
    <w:p w14:paraId="19D069C0">
      <w:pPr>
        <w:spacing w:line="400" w:lineRule="exact"/>
        <w:rPr>
          <w:rFonts w:ascii="黑体" w:eastAsia="黑体"/>
          <w:b/>
          <w:color w:val="000000" w:themeColor="text1"/>
          <w:sz w:val="24"/>
          <w14:textFill>
            <w14:solidFill>
              <w14:schemeClr w14:val="tx1"/>
            </w14:solidFill>
          </w14:textFill>
        </w:rPr>
      </w:pPr>
    </w:p>
    <w:p w14:paraId="4E922208">
      <w:pPr>
        <w:spacing w:line="400" w:lineRule="exact"/>
        <w:rPr>
          <w:rFonts w:ascii="黑体" w:eastAsia="黑体"/>
          <w:b/>
          <w:color w:val="000000" w:themeColor="text1"/>
          <w:sz w:val="24"/>
          <w14:textFill>
            <w14:solidFill>
              <w14:schemeClr w14:val="tx1"/>
            </w14:solidFill>
          </w14:textFill>
        </w:rPr>
      </w:pPr>
    </w:p>
    <w:p w14:paraId="3009F494">
      <w:pPr>
        <w:spacing w:line="400" w:lineRule="exact"/>
        <w:rPr>
          <w:rFonts w:ascii="黑体" w:eastAsia="黑体"/>
          <w:b/>
          <w:color w:val="000000" w:themeColor="text1"/>
          <w:sz w:val="24"/>
          <w14:textFill>
            <w14:solidFill>
              <w14:schemeClr w14:val="tx1"/>
            </w14:solidFill>
          </w14:textFill>
        </w:rPr>
      </w:pPr>
    </w:p>
    <w:p w14:paraId="342DB94C">
      <w:pPr>
        <w:spacing w:line="400" w:lineRule="exact"/>
        <w:rPr>
          <w:rFonts w:ascii="黑体" w:eastAsia="黑体"/>
          <w:b/>
          <w:color w:val="000000" w:themeColor="text1"/>
          <w:sz w:val="24"/>
          <w14:textFill>
            <w14:solidFill>
              <w14:schemeClr w14:val="tx1"/>
            </w14:solidFill>
          </w14:textFill>
        </w:rPr>
      </w:pPr>
    </w:p>
    <w:p w14:paraId="50A4B318">
      <w:pPr>
        <w:spacing w:line="400" w:lineRule="exact"/>
        <w:rPr>
          <w:rFonts w:ascii="黑体" w:eastAsia="黑体"/>
          <w:b/>
          <w:color w:val="000000" w:themeColor="text1"/>
          <w:sz w:val="24"/>
          <w14:textFill>
            <w14:solidFill>
              <w14:schemeClr w14:val="tx1"/>
            </w14:solidFill>
          </w14:textFill>
        </w:rPr>
      </w:pPr>
    </w:p>
    <w:p w14:paraId="093A0BC6">
      <w:pPr>
        <w:spacing w:line="400" w:lineRule="exact"/>
        <w:rPr>
          <w:rFonts w:ascii="黑体" w:eastAsia="黑体"/>
          <w:b/>
          <w:color w:val="000000" w:themeColor="text1"/>
          <w:sz w:val="24"/>
          <w14:textFill>
            <w14:solidFill>
              <w14:schemeClr w14:val="tx1"/>
            </w14:solidFill>
          </w14:textFill>
        </w:rPr>
      </w:pPr>
    </w:p>
    <w:p w14:paraId="25A7FB2C">
      <w:pPr>
        <w:spacing w:line="400" w:lineRule="exact"/>
        <w:rPr>
          <w:rFonts w:ascii="宋体" w:hAnsi="宋体"/>
          <w:color w:val="000000" w:themeColor="text1"/>
          <w:sz w:val="24"/>
          <w14:textFill>
            <w14:solidFill>
              <w14:schemeClr w14:val="tx1"/>
            </w14:solidFill>
          </w14:textFill>
        </w:rPr>
      </w:pPr>
    </w:p>
    <w:p w14:paraId="5AAC1E1C">
      <w:pPr>
        <w:spacing w:line="400" w:lineRule="exact"/>
        <w:rPr>
          <w:rFonts w:ascii="宋体" w:hAnsi="宋体"/>
          <w:color w:val="000000" w:themeColor="text1"/>
          <w:sz w:val="24"/>
          <w14:textFill>
            <w14:solidFill>
              <w14:schemeClr w14:val="tx1"/>
            </w14:solidFill>
          </w14:textFill>
        </w:rPr>
      </w:pPr>
    </w:p>
    <w:p w14:paraId="30C422B9">
      <w:pPr>
        <w:spacing w:line="400" w:lineRule="exact"/>
        <w:rPr>
          <w:rFonts w:ascii="宋体" w:hAnsi="宋体"/>
          <w:b/>
          <w:color w:val="000000" w:themeColor="text1"/>
          <w:szCs w:val="21"/>
          <w14:textFill>
            <w14:solidFill>
              <w14:schemeClr w14:val="tx1"/>
            </w14:solidFill>
          </w14:textFill>
        </w:rPr>
      </w:pPr>
      <w:bookmarkStart w:id="195" w:name="_Toc134733538"/>
      <w:bookmarkEnd w:id="195"/>
    </w:p>
    <w:p w14:paraId="7E806DB6">
      <w:pPr>
        <w:pStyle w:val="20"/>
        <w:rPr>
          <w:color w:val="000000" w:themeColor="text1"/>
          <w14:textFill>
            <w14:solidFill>
              <w14:schemeClr w14:val="tx1"/>
            </w14:solidFill>
          </w14:textFill>
        </w:rPr>
      </w:pPr>
    </w:p>
    <w:p w14:paraId="537D4D16">
      <w:pPr>
        <w:pStyle w:val="20"/>
        <w:rPr>
          <w:color w:val="000000" w:themeColor="text1"/>
          <w14:textFill>
            <w14:solidFill>
              <w14:schemeClr w14:val="tx1"/>
            </w14:solidFill>
          </w14:textFill>
        </w:rPr>
      </w:pPr>
    </w:p>
    <w:p w14:paraId="160B8B5F">
      <w:pPr>
        <w:spacing w:line="400" w:lineRule="exact"/>
        <w:rPr>
          <w:rFonts w:ascii="宋体" w:hAnsi="宋体"/>
          <w:b/>
          <w:color w:val="000000" w:themeColor="text1"/>
          <w:szCs w:val="21"/>
          <w14:textFill>
            <w14:solidFill>
              <w14:schemeClr w14:val="tx1"/>
            </w14:solidFill>
          </w14:textFill>
        </w:rPr>
      </w:pPr>
    </w:p>
    <w:p w14:paraId="179C4912">
      <w:pPr>
        <w:spacing w:line="400" w:lineRule="exact"/>
        <w:ind w:firstLine="275" w:firstLineChars="98"/>
        <w:jc w:val="center"/>
        <w:outlineLvl w:val="0"/>
        <w:rPr>
          <w:rFonts w:ascii="宋体" w:hAnsi="宋体"/>
          <w:b/>
          <w:color w:val="000000" w:themeColor="text1"/>
          <w:sz w:val="28"/>
          <w:szCs w:val="28"/>
          <w14:textFill>
            <w14:solidFill>
              <w14:schemeClr w14:val="tx1"/>
            </w14:solidFill>
          </w14:textFill>
        </w:rPr>
      </w:pPr>
      <w:bookmarkStart w:id="196" w:name="_Toc75338354"/>
      <w:bookmarkStart w:id="197" w:name="_Toc137563046"/>
      <w:r>
        <w:rPr>
          <w:rFonts w:hint="eastAsia" w:ascii="宋体" w:hAnsi="宋体"/>
          <w:b/>
          <w:color w:val="000000" w:themeColor="text1"/>
          <w:sz w:val="28"/>
          <w:szCs w:val="28"/>
          <w14:textFill>
            <w14:solidFill>
              <w14:schemeClr w14:val="tx1"/>
            </w14:solidFill>
          </w14:textFill>
        </w:rPr>
        <w:t>服务承诺函</w:t>
      </w:r>
      <w:bookmarkEnd w:id="196"/>
      <w:bookmarkEnd w:id="197"/>
    </w:p>
    <w:p w14:paraId="2C3C218F">
      <w:pPr>
        <w:spacing w:line="400" w:lineRule="exact"/>
        <w:jc w:val="center"/>
        <w:rPr>
          <w:rFonts w:eastAsia="隶书"/>
          <w:b/>
          <w:color w:val="000000" w:themeColor="text1"/>
          <w:sz w:val="24"/>
          <w14:textFill>
            <w14:solidFill>
              <w14:schemeClr w14:val="tx1"/>
            </w14:solidFill>
          </w14:textFill>
        </w:rPr>
      </w:pPr>
    </w:p>
    <w:p w14:paraId="609277F2">
      <w:pPr>
        <w:pStyle w:val="19"/>
        <w:spacing w:line="40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致：</w:t>
      </w:r>
      <w:r>
        <w:rPr>
          <w:rFonts w:hint="eastAsia" w:ascii="Arial" w:hAnsi="Arial"/>
          <w:color w:val="000000" w:themeColor="text1"/>
          <w:sz w:val="21"/>
          <w:szCs w:val="21"/>
          <w14:textFill>
            <w14:solidFill>
              <w14:schemeClr w14:val="tx1"/>
            </w14:solidFill>
          </w14:textFill>
        </w:rPr>
        <w:t>福建鑫盛项目管理咨询有限公司</w:t>
      </w:r>
    </w:p>
    <w:p w14:paraId="691A93E9">
      <w:pPr>
        <w:spacing w:line="400" w:lineRule="exact"/>
        <w:rPr>
          <w:b/>
          <w:color w:val="000000" w:themeColor="text1"/>
          <w:szCs w:val="21"/>
          <w14:textFill>
            <w14:solidFill>
              <w14:schemeClr w14:val="tx1"/>
            </w14:solidFill>
          </w14:textFill>
        </w:rPr>
      </w:pPr>
      <w:r>
        <w:rPr>
          <w:rFonts w:hint="eastAsia" w:ascii="Arial" w:hAnsi="Arial"/>
          <w:color w:val="000000" w:themeColor="text1"/>
          <w:szCs w:val="21"/>
          <w14:textFill>
            <w14:solidFill>
              <w14:schemeClr w14:val="tx1"/>
            </w14:solidFill>
          </w14:textFill>
        </w:rPr>
        <w:t xml:space="preserve">    根据贵方为</w:t>
      </w:r>
      <w:r>
        <w:rPr>
          <w:rFonts w:hint="eastAsia" w:ascii="Arial" w:hAnsi="Arial"/>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(采购编号、项目名称)</w:t>
      </w:r>
      <w:r>
        <w:rPr>
          <w:rFonts w:hint="eastAsia" w:ascii="Arial" w:hAnsi="Arial"/>
          <w:color w:val="000000" w:themeColor="text1"/>
          <w:szCs w:val="21"/>
          <w14:textFill>
            <w14:solidFill>
              <w14:schemeClr w14:val="tx1"/>
            </w14:solidFill>
          </w14:textFill>
        </w:rPr>
        <w:t>采购项目的磋商邀请，我司对该项目做出如下服务承诺：</w:t>
      </w:r>
    </w:p>
    <w:p w14:paraId="459CEF01">
      <w:pPr>
        <w:spacing w:line="400" w:lineRule="exact"/>
        <w:jc w:val="center"/>
        <w:rPr>
          <w:b/>
          <w:color w:val="000000" w:themeColor="text1"/>
          <w:szCs w:val="21"/>
          <w14:textFill>
            <w14:solidFill>
              <w14:schemeClr w14:val="tx1"/>
            </w14:solidFill>
          </w14:textFill>
        </w:rPr>
      </w:pPr>
    </w:p>
    <w:p w14:paraId="5C42BD1D">
      <w:pPr>
        <w:spacing w:line="400" w:lineRule="exact"/>
        <w:jc w:val="center"/>
        <w:rPr>
          <w:b/>
          <w:color w:val="000000" w:themeColor="text1"/>
          <w:szCs w:val="21"/>
          <w14:textFill>
            <w14:solidFill>
              <w14:schemeClr w14:val="tx1"/>
            </w14:solidFill>
          </w14:textFill>
        </w:rPr>
      </w:pPr>
    </w:p>
    <w:p w14:paraId="52E53977">
      <w:pPr>
        <w:spacing w:line="40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（内容根据磋商文件要求自拟）</w:t>
      </w:r>
    </w:p>
    <w:p w14:paraId="7FD05A19">
      <w:pPr>
        <w:spacing w:line="400" w:lineRule="exact"/>
        <w:jc w:val="center"/>
        <w:rPr>
          <w:b/>
          <w:color w:val="000000" w:themeColor="text1"/>
          <w:szCs w:val="21"/>
          <w14:textFill>
            <w14:solidFill>
              <w14:schemeClr w14:val="tx1"/>
            </w14:solidFill>
          </w14:textFill>
        </w:rPr>
      </w:pPr>
    </w:p>
    <w:p w14:paraId="162B4008">
      <w:pPr>
        <w:spacing w:line="400" w:lineRule="exact"/>
        <w:jc w:val="center"/>
        <w:rPr>
          <w:b/>
          <w:color w:val="000000" w:themeColor="text1"/>
          <w:szCs w:val="21"/>
          <w14:textFill>
            <w14:solidFill>
              <w14:schemeClr w14:val="tx1"/>
            </w14:solidFill>
          </w14:textFill>
        </w:rPr>
      </w:pPr>
    </w:p>
    <w:p w14:paraId="6724E9DC">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采购编号：  </w:t>
      </w:r>
      <w:r>
        <w:rPr>
          <w:rFonts w:hint="eastAsia" w:ascii="宋体" w:hAnsi="宋体"/>
          <w:color w:val="000000" w:themeColor="text1"/>
          <w:szCs w:val="21"/>
          <w:u w:val="single"/>
          <w14:textFill>
            <w14:solidFill>
              <w14:schemeClr w14:val="tx1"/>
            </w14:solidFill>
          </w14:textFill>
        </w:rPr>
        <w:t xml:space="preserve">              </w:t>
      </w:r>
    </w:p>
    <w:p w14:paraId="67FD1501">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磋商供应商全称(加盖公章)：</w:t>
      </w:r>
      <w:r>
        <w:rPr>
          <w:rFonts w:hint="eastAsia" w:ascii="宋体" w:hAnsi="宋体"/>
          <w:color w:val="000000" w:themeColor="text1"/>
          <w:szCs w:val="21"/>
          <w:u w:val="single"/>
          <w14:textFill>
            <w14:solidFill>
              <w14:schemeClr w14:val="tx1"/>
            </w14:solidFill>
          </w14:textFill>
        </w:rPr>
        <w:t xml:space="preserve">                    </w:t>
      </w:r>
    </w:p>
    <w:p w14:paraId="10D838DC">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磋商代表签字：</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p>
    <w:p w14:paraId="605BDCF5">
      <w:pPr>
        <w:spacing w:line="360" w:lineRule="exact"/>
        <w:rPr>
          <w:rFonts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mc:AlternateContent>
          <mc:Choice Requires="wps">
            <w:drawing>
              <wp:anchor distT="0" distB="0" distL="114300" distR="114300" simplePos="0" relativeHeight="251659264" behindDoc="0" locked="0" layoutInCell="0" allowOverlap="1">
                <wp:simplePos x="0" y="0"/>
                <wp:positionH relativeFrom="column">
                  <wp:posOffset>1143000</wp:posOffset>
                </wp:positionH>
                <wp:positionV relativeFrom="paragraph">
                  <wp:posOffset>143510</wp:posOffset>
                </wp:positionV>
                <wp:extent cx="0" cy="2540"/>
                <wp:effectExtent l="0" t="0" r="0" b="0"/>
                <wp:wrapNone/>
                <wp:docPr id="1" name="直线 43"/>
                <wp:cNvGraphicFramePr/>
                <a:graphic xmlns:a="http://schemas.openxmlformats.org/drawingml/2006/main">
                  <a:graphicData uri="http://schemas.microsoft.com/office/word/2010/wordprocessingShape">
                    <wps:wsp>
                      <wps:cNvCnPr/>
                      <wps:spPr>
                        <a:xfrm>
                          <a:off x="0" y="0"/>
                          <a:ext cx="0" cy="254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43" o:spid="_x0000_s1026" o:spt="20" style="position:absolute;left:0pt;margin-left:90pt;margin-top:11.3pt;height:0.2pt;width:0pt;z-index:251659264;mso-width-relative:page;mso-height-relative:page;" filled="f" stroked="t" coordsize="21600,21600" o:allowincell="f" o:gfxdata="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XBRhh1QAAAAkBAAAP&#10;AAAAAAAAAAEAIAAAACIAAABkcnMvZG93bnJldi54bWxQSwECFAAUAAAACACHTuJAGJVB9uIBAADb&#10;AwAADgAAAAAAAAABACAAAAAkAQAAZHJzL2Uyb0RvYy54bWxQSwUGAAAAAAYABgBZAQAAeAUAAAAA&#10;">
                <v:fill on="f" focussize="0,0"/>
                <v:stroke color="#000000" joinstyle="round"/>
                <v:imagedata o:title=""/>
                <o:lock v:ext="edit" aspectratio="f"/>
              </v:line>
            </w:pict>
          </mc:Fallback>
        </mc:AlternateContent>
      </w:r>
      <w:r>
        <w:rPr>
          <w:rFonts w:hint="eastAsia" w:ascii="宋体" w:hAnsi="宋体"/>
          <w:color w:val="000000" w:themeColor="text1"/>
          <w:szCs w:val="21"/>
          <w14:textFill>
            <w14:solidFill>
              <w14:schemeClr w14:val="tx1"/>
            </w14:solidFill>
          </w14:textFill>
        </w:rPr>
        <w:t>日期：</w:t>
      </w:r>
      <w:r>
        <w:rPr>
          <w:rFonts w:ascii="宋体" w:hAnsi="宋体"/>
          <w:color w:val="000000" w:themeColor="text1"/>
          <w:szCs w:val="21"/>
          <w:u w:val="single"/>
          <w14:textFill>
            <w14:solidFill>
              <w14:schemeClr w14:val="tx1"/>
            </w14:solidFill>
          </w14:textFill>
        </w:rPr>
        <w:t xml:space="preserve">                 </w:t>
      </w:r>
    </w:p>
    <w:p w14:paraId="36C0FBC8">
      <w:pPr>
        <w:spacing w:line="400" w:lineRule="exact"/>
        <w:rPr>
          <w:rFonts w:ascii="宋体" w:hAnsi="宋体"/>
          <w:b/>
          <w:color w:val="000000" w:themeColor="text1"/>
          <w:szCs w:val="21"/>
          <w14:textFill>
            <w14:solidFill>
              <w14:schemeClr w14:val="tx1"/>
            </w14:solidFill>
          </w14:textFill>
        </w:rPr>
      </w:pPr>
    </w:p>
    <w:p w14:paraId="067E98FA">
      <w:pPr>
        <w:spacing w:line="400" w:lineRule="exact"/>
        <w:rPr>
          <w:rFonts w:ascii="宋体" w:hAnsi="宋体"/>
          <w:b/>
          <w:color w:val="000000" w:themeColor="text1"/>
          <w:szCs w:val="21"/>
          <w14:textFill>
            <w14:solidFill>
              <w14:schemeClr w14:val="tx1"/>
            </w14:solidFill>
          </w14:textFill>
        </w:rPr>
      </w:pPr>
    </w:p>
    <w:p w14:paraId="7342301A">
      <w:pPr>
        <w:pStyle w:val="41"/>
        <w:ind w:firstLine="418"/>
        <w:rPr>
          <w:rFonts w:hint="eastAsia"/>
          <w:color w:val="000000" w:themeColor="text1"/>
          <w14:textFill>
            <w14:solidFill>
              <w14:schemeClr w14:val="tx1"/>
            </w14:solidFill>
          </w14:textFill>
        </w:rPr>
      </w:pPr>
    </w:p>
    <w:p w14:paraId="60F7917F">
      <w:pPr>
        <w:spacing w:line="400" w:lineRule="exact"/>
        <w:rPr>
          <w:rFonts w:ascii="宋体" w:hAnsi="宋体"/>
          <w:b/>
          <w:color w:val="000000" w:themeColor="text1"/>
          <w:szCs w:val="21"/>
          <w14:textFill>
            <w14:solidFill>
              <w14:schemeClr w14:val="tx1"/>
            </w14:solidFill>
          </w14:textFill>
        </w:rPr>
      </w:pPr>
    </w:p>
    <w:p w14:paraId="2F34B9AA">
      <w:pPr>
        <w:spacing w:line="400" w:lineRule="exact"/>
        <w:ind w:firstLine="275" w:firstLineChars="98"/>
        <w:jc w:val="center"/>
        <w:outlineLvl w:val="0"/>
        <w:rPr>
          <w:rFonts w:ascii="宋体" w:hAnsi="宋体"/>
          <w:b/>
          <w:color w:val="000000" w:themeColor="text1"/>
          <w:sz w:val="28"/>
          <w:szCs w:val="28"/>
          <w14:textFill>
            <w14:solidFill>
              <w14:schemeClr w14:val="tx1"/>
            </w14:solidFill>
          </w14:textFill>
        </w:rPr>
      </w:pPr>
      <w:bookmarkStart w:id="198" w:name="_Toc418094566"/>
      <w:bookmarkStart w:id="199" w:name="_Toc75338355"/>
      <w:bookmarkStart w:id="200" w:name="_Toc335728185"/>
      <w:bookmarkStart w:id="201" w:name="_Toc137563047"/>
      <w:r>
        <w:rPr>
          <w:rFonts w:hint="eastAsia" w:ascii="宋体" w:hAnsi="宋体"/>
          <w:b/>
          <w:color w:val="000000" w:themeColor="text1"/>
          <w:sz w:val="28"/>
          <w:szCs w:val="28"/>
          <w14:textFill>
            <w14:solidFill>
              <w14:schemeClr w14:val="tx1"/>
            </w14:solidFill>
          </w14:textFill>
        </w:rPr>
        <w:t>其它材料</w:t>
      </w:r>
      <w:bookmarkEnd w:id="198"/>
      <w:bookmarkEnd w:id="199"/>
      <w:bookmarkEnd w:id="200"/>
      <w:bookmarkEnd w:id="201"/>
    </w:p>
    <w:p w14:paraId="36479A2D">
      <w:pPr>
        <w:spacing w:line="400" w:lineRule="exact"/>
        <w:ind w:firstLine="275" w:firstLineChars="98"/>
        <w:jc w:val="center"/>
        <w:outlineLvl w:val="0"/>
        <w:rPr>
          <w:rFonts w:ascii="宋体" w:hAnsi="宋体"/>
          <w:b/>
          <w:color w:val="000000" w:themeColor="text1"/>
          <w:sz w:val="28"/>
          <w:szCs w:val="28"/>
          <w14:textFill>
            <w14:solidFill>
              <w14:schemeClr w14:val="tx1"/>
            </w14:solidFill>
          </w14:textFill>
        </w:rPr>
      </w:pPr>
    </w:p>
    <w:p w14:paraId="78A9173E">
      <w:pPr>
        <w:spacing w:line="400" w:lineRule="exact"/>
        <w:ind w:firstLine="275" w:firstLineChars="98"/>
        <w:jc w:val="center"/>
        <w:outlineLvl w:val="0"/>
        <w:rPr>
          <w:rFonts w:ascii="宋体" w:hAnsi="宋体"/>
          <w:b/>
          <w:color w:val="000000" w:themeColor="text1"/>
          <w:sz w:val="28"/>
          <w:szCs w:val="28"/>
          <w14:textFill>
            <w14:solidFill>
              <w14:schemeClr w14:val="tx1"/>
            </w14:solidFill>
          </w14:textFill>
        </w:rPr>
      </w:pPr>
    </w:p>
    <w:p w14:paraId="09C15199">
      <w:pPr>
        <w:spacing w:line="400" w:lineRule="exact"/>
        <w:ind w:firstLine="275" w:firstLineChars="98"/>
        <w:jc w:val="center"/>
        <w:outlineLvl w:val="0"/>
        <w:rPr>
          <w:rFonts w:ascii="宋体" w:hAnsi="宋体"/>
          <w:b/>
          <w:color w:val="000000" w:themeColor="text1"/>
          <w:sz w:val="28"/>
          <w:szCs w:val="28"/>
          <w14:textFill>
            <w14:solidFill>
              <w14:schemeClr w14:val="tx1"/>
            </w14:solidFill>
          </w14:textFill>
        </w:rPr>
      </w:pPr>
    </w:p>
    <w:p w14:paraId="24ADD205">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rFonts w:hint="eastAsia" w:ascii="宋体" w:hAnsi="宋体"/>
          <w:color w:val="000000" w:themeColor="text1"/>
          <w:szCs w:val="21"/>
          <w14:textFill>
            <w14:solidFill>
              <w14:schemeClr w14:val="tx1"/>
            </w14:solidFill>
          </w14:textFill>
        </w:rPr>
        <w:t>磋商供应商</w:t>
      </w:r>
      <w:r>
        <w:rPr>
          <w:rFonts w:hint="eastAsia"/>
          <w:color w:val="000000" w:themeColor="text1"/>
          <w14:textFill>
            <w14:solidFill>
              <w14:schemeClr w14:val="tx1"/>
            </w14:solidFill>
          </w14:textFill>
        </w:rPr>
        <w:t>认为有必要提交的其他资质或评分证明文件可在此部分中提交）</w:t>
      </w:r>
    </w:p>
    <w:p w14:paraId="1186E1CF">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14:paraId="549050EE">
      <w:pPr>
        <w:rPr>
          <w:color w:val="000000" w:themeColor="text1"/>
          <w14:textFill>
            <w14:solidFill>
              <w14:schemeClr w14:val="tx1"/>
            </w14:solidFill>
          </w14:textFill>
        </w:rPr>
      </w:pPr>
    </w:p>
    <w:p w14:paraId="4F335D3B">
      <w:pPr>
        <w:rPr>
          <w:color w:val="000000" w:themeColor="text1"/>
          <w14:textFill>
            <w14:solidFill>
              <w14:schemeClr w14:val="tx1"/>
            </w14:solidFill>
          </w14:textFill>
        </w:rPr>
      </w:pPr>
    </w:p>
    <w:p w14:paraId="59D498B8">
      <w:pPr>
        <w:rPr>
          <w:color w:val="000000" w:themeColor="text1"/>
          <w14:textFill>
            <w14:solidFill>
              <w14:schemeClr w14:val="tx1"/>
            </w14:solidFill>
          </w14:textFill>
        </w:rPr>
      </w:pPr>
    </w:p>
    <w:p w14:paraId="40B75606">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采购编号：  </w:t>
      </w:r>
      <w:r>
        <w:rPr>
          <w:rFonts w:hint="eastAsia" w:ascii="宋体" w:hAnsi="宋体"/>
          <w:color w:val="000000" w:themeColor="text1"/>
          <w:szCs w:val="21"/>
          <w:u w:val="single"/>
          <w14:textFill>
            <w14:solidFill>
              <w14:schemeClr w14:val="tx1"/>
            </w14:solidFill>
          </w14:textFill>
        </w:rPr>
        <w:t xml:space="preserve">              </w:t>
      </w:r>
    </w:p>
    <w:p w14:paraId="7CB80FBA">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磋商供应商全称(加盖公章)：</w:t>
      </w:r>
      <w:r>
        <w:rPr>
          <w:rFonts w:hint="eastAsia" w:ascii="宋体" w:hAnsi="宋体"/>
          <w:color w:val="000000" w:themeColor="text1"/>
          <w:szCs w:val="21"/>
          <w:u w:val="single"/>
          <w14:textFill>
            <w14:solidFill>
              <w14:schemeClr w14:val="tx1"/>
            </w14:solidFill>
          </w14:textFill>
        </w:rPr>
        <w:t xml:space="preserve">                    </w:t>
      </w:r>
    </w:p>
    <w:p w14:paraId="720E9207">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磋商代表签字：</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p>
    <w:p w14:paraId="09A59A96">
      <w:pPr>
        <w:spacing w:line="360" w:lineRule="exact"/>
        <w:rPr>
          <w:rFonts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mc:AlternateContent>
          <mc:Choice Requires="wps">
            <w:drawing>
              <wp:anchor distT="0" distB="0" distL="114300" distR="114300" simplePos="0" relativeHeight="251660288" behindDoc="0" locked="0" layoutInCell="0" allowOverlap="1">
                <wp:simplePos x="0" y="0"/>
                <wp:positionH relativeFrom="column">
                  <wp:posOffset>1143000</wp:posOffset>
                </wp:positionH>
                <wp:positionV relativeFrom="paragraph">
                  <wp:posOffset>143510</wp:posOffset>
                </wp:positionV>
                <wp:extent cx="0" cy="2540"/>
                <wp:effectExtent l="0" t="0" r="0" b="0"/>
                <wp:wrapNone/>
                <wp:docPr id="2" name="直线 44"/>
                <wp:cNvGraphicFramePr/>
                <a:graphic xmlns:a="http://schemas.openxmlformats.org/drawingml/2006/main">
                  <a:graphicData uri="http://schemas.microsoft.com/office/word/2010/wordprocessingShape">
                    <wps:wsp>
                      <wps:cNvCnPr/>
                      <wps:spPr>
                        <a:xfrm>
                          <a:off x="0" y="0"/>
                          <a:ext cx="0" cy="254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44" o:spid="_x0000_s1026" o:spt="20" style="position:absolute;left:0pt;margin-left:90pt;margin-top:11.3pt;height:0.2pt;width:0pt;z-index:251660288;mso-width-relative:page;mso-height-relative:page;" filled="f" stroked="t" coordsize="21600,21600" o:allowincell="f" o:gfxdata="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XBRhh1QAAAAkBAAAP&#10;AAAAAAAAAAEAIAAAACIAAABkcnMvZG93bnJldi54bWxQSwECFAAUAAAACACHTuJAc3fEZeIBAADb&#10;AwAADgAAAAAAAAABACAAAAAkAQAAZHJzL2Uyb0RvYy54bWxQSwUGAAAAAAYABgBZAQAAeAUAAAAA&#10;">
                <v:fill on="f" focussize="0,0"/>
                <v:stroke color="#000000" joinstyle="round"/>
                <v:imagedata o:title=""/>
                <o:lock v:ext="edit" aspectratio="f"/>
              </v:line>
            </w:pict>
          </mc:Fallback>
        </mc:AlternateContent>
      </w:r>
      <w:r>
        <w:rPr>
          <w:rFonts w:hint="eastAsia" w:ascii="宋体" w:hAnsi="宋体"/>
          <w:color w:val="000000" w:themeColor="text1"/>
          <w:szCs w:val="21"/>
          <w14:textFill>
            <w14:solidFill>
              <w14:schemeClr w14:val="tx1"/>
            </w14:solidFill>
          </w14:textFill>
        </w:rPr>
        <w:t>日期：</w:t>
      </w:r>
      <w:r>
        <w:rPr>
          <w:rFonts w:ascii="宋体" w:hAnsi="宋体"/>
          <w:color w:val="000000" w:themeColor="text1"/>
          <w:szCs w:val="21"/>
          <w:u w:val="single"/>
          <w14:textFill>
            <w14:solidFill>
              <w14:schemeClr w14:val="tx1"/>
            </w14:solidFill>
          </w14:textFill>
        </w:rPr>
        <w:t xml:space="preserve">                 </w:t>
      </w:r>
    </w:p>
    <w:p w14:paraId="1C9DADE9">
      <w:pPr>
        <w:spacing w:line="400" w:lineRule="exact"/>
        <w:rPr>
          <w:rFonts w:ascii="宋体" w:hAnsi="宋体"/>
          <w:b/>
          <w:color w:val="000000" w:themeColor="text1"/>
          <w:szCs w:val="21"/>
          <w14:textFill>
            <w14:solidFill>
              <w14:schemeClr w14:val="tx1"/>
            </w14:solidFill>
          </w14:textFill>
        </w:rPr>
      </w:pPr>
    </w:p>
    <w:p w14:paraId="0EBD1C3E">
      <w:pPr>
        <w:spacing w:line="400" w:lineRule="exact"/>
        <w:rPr>
          <w:rFonts w:ascii="宋体" w:hAnsi="宋体"/>
          <w:b/>
          <w:color w:val="000000" w:themeColor="text1"/>
          <w:szCs w:val="21"/>
          <w14:textFill>
            <w14:solidFill>
              <w14:schemeClr w14:val="tx1"/>
            </w14:solidFill>
          </w14:textFill>
        </w:rPr>
      </w:pPr>
    </w:p>
    <w:p w14:paraId="6F1DDA80">
      <w:pPr>
        <w:spacing w:line="400" w:lineRule="exact"/>
        <w:rPr>
          <w:rFonts w:ascii="宋体" w:hAnsi="宋体"/>
          <w:b/>
          <w:color w:val="000000" w:themeColor="text1"/>
          <w:szCs w:val="21"/>
          <w14:textFill>
            <w14:solidFill>
              <w14:schemeClr w14:val="tx1"/>
            </w14:solidFill>
          </w14:textFill>
        </w:rPr>
      </w:pPr>
    </w:p>
    <w:p w14:paraId="553F621F">
      <w:pPr>
        <w:spacing w:line="400" w:lineRule="exact"/>
        <w:rPr>
          <w:rFonts w:ascii="宋体" w:hAnsi="宋体"/>
          <w:b/>
          <w:color w:val="000000" w:themeColor="text1"/>
          <w:szCs w:val="21"/>
          <w14:textFill>
            <w14:solidFill>
              <w14:schemeClr w14:val="tx1"/>
            </w14:solidFill>
          </w14:textFill>
        </w:rPr>
      </w:pPr>
    </w:p>
    <w:p w14:paraId="67057C31">
      <w:pPr>
        <w:spacing w:line="400" w:lineRule="exact"/>
        <w:rPr>
          <w:rFonts w:ascii="宋体" w:hAnsi="宋体"/>
          <w:b/>
          <w:color w:val="000000" w:themeColor="text1"/>
          <w:szCs w:val="21"/>
          <w14:textFill>
            <w14:solidFill>
              <w14:schemeClr w14:val="tx1"/>
            </w14:solidFill>
          </w14:textFill>
        </w:rPr>
      </w:pPr>
    </w:p>
    <w:p w14:paraId="5120A180">
      <w:pPr>
        <w:spacing w:line="400" w:lineRule="exact"/>
        <w:rPr>
          <w:rFonts w:ascii="宋体" w:hAnsi="宋体"/>
          <w:b/>
          <w:color w:val="000000" w:themeColor="text1"/>
          <w:szCs w:val="21"/>
          <w14:textFill>
            <w14:solidFill>
              <w14:schemeClr w14:val="tx1"/>
            </w14:solidFill>
          </w14:textFill>
        </w:rPr>
      </w:pPr>
    </w:p>
    <w:p w14:paraId="469159C7">
      <w:pPr>
        <w:pStyle w:val="20"/>
        <w:rPr>
          <w:color w:val="000000" w:themeColor="text1"/>
          <w14:textFill>
            <w14:solidFill>
              <w14:schemeClr w14:val="tx1"/>
            </w14:solidFill>
          </w14:textFill>
        </w:rPr>
      </w:pPr>
    </w:p>
    <w:p w14:paraId="19D7C42D">
      <w:pPr>
        <w:outlineLvl w:val="0"/>
        <w:rPr>
          <w:rFonts w:ascii="宋体" w:hAnsi="宋体"/>
          <w:b/>
          <w:color w:val="000000" w:themeColor="text1"/>
          <w:sz w:val="28"/>
          <w:szCs w:val="28"/>
          <w14:textFill>
            <w14:solidFill>
              <w14:schemeClr w14:val="tx1"/>
            </w14:solidFill>
          </w14:textFill>
        </w:rPr>
      </w:pPr>
      <w:bookmarkStart w:id="202" w:name="_Toc400715377"/>
      <w:bookmarkStart w:id="203" w:name="_Toc401847127"/>
      <w:r>
        <w:rPr>
          <w:rFonts w:hint="eastAsia" w:ascii="宋体" w:hAnsi="宋体"/>
          <w:b/>
          <w:color w:val="000000" w:themeColor="text1"/>
          <w:sz w:val="28"/>
          <w:szCs w:val="28"/>
          <w14:textFill>
            <w14:solidFill>
              <w14:schemeClr w14:val="tx1"/>
            </w14:solidFill>
          </w14:textFill>
        </w:rPr>
        <w:t xml:space="preserve">                 </w:t>
      </w:r>
      <w:bookmarkStart w:id="204" w:name="_Toc75338356"/>
      <w:bookmarkStart w:id="205" w:name="_Toc137563048"/>
      <w:r>
        <w:rPr>
          <w:rFonts w:hint="eastAsia" w:ascii="宋体" w:hAnsi="宋体"/>
          <w:b/>
          <w:color w:val="000000" w:themeColor="text1"/>
          <w:sz w:val="28"/>
          <w:szCs w:val="28"/>
          <w14:textFill>
            <w14:solidFill>
              <w14:schemeClr w14:val="tx1"/>
            </w14:solidFill>
          </w14:textFill>
        </w:rPr>
        <w:t>磋商资格及磋商响应文件内容承诺书</w:t>
      </w:r>
      <w:bookmarkEnd w:id="202"/>
      <w:bookmarkEnd w:id="203"/>
      <w:bookmarkEnd w:id="204"/>
      <w:bookmarkEnd w:id="205"/>
    </w:p>
    <w:p w14:paraId="528A1237">
      <w:pPr>
        <w:spacing w:line="360" w:lineRule="auto"/>
        <w:rPr>
          <w:rFonts w:ascii="宋体" w:hAnsi="宋体"/>
          <w:color w:val="000000" w:themeColor="text1"/>
          <w:szCs w:val="21"/>
          <w14:textFill>
            <w14:solidFill>
              <w14:schemeClr w14:val="tx1"/>
            </w14:solidFill>
          </w14:textFill>
        </w:rPr>
      </w:pPr>
      <w:r>
        <w:rPr>
          <w:rFonts w:hint="eastAsia" w:ascii="Arial" w:hAnsi="Arial"/>
          <w:color w:val="000000" w:themeColor="text1"/>
          <w:szCs w:val="21"/>
          <w14:textFill>
            <w14:solidFill>
              <w14:schemeClr w14:val="tx1"/>
            </w14:solidFill>
          </w14:textFill>
        </w:rPr>
        <w:t>福建鑫盛项目管理咨询有限公司</w:t>
      </w:r>
      <w:r>
        <w:rPr>
          <w:rFonts w:hint="eastAsia" w:ascii="宋体" w:hAnsi="宋体"/>
          <w:color w:val="000000" w:themeColor="text1"/>
          <w:w w:val="90"/>
          <w:szCs w:val="21"/>
          <w14:textFill>
            <w14:solidFill>
              <w14:schemeClr w14:val="tx1"/>
            </w14:solidFill>
          </w14:textFill>
        </w:rPr>
        <w:t>：</w:t>
      </w:r>
    </w:p>
    <w:p w14:paraId="13D31BBB">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我们</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(磋商供应商全称)已认真阅读磋商文件(</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(采购编号、项目名称))的相关内容，完全理解并严格按照有关要求参与本次磋商工作，并对磋商资格及磋商响应文件内容做出如下承诺：</w:t>
      </w:r>
    </w:p>
    <w:p w14:paraId="1A6477C7">
      <w:pPr>
        <w:spacing w:line="360" w:lineRule="auto"/>
        <w:ind w:firstLine="55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我</w:t>
      </w:r>
      <w:r>
        <w:rPr>
          <w:rFonts w:hint="eastAsia" w:ascii="宋体" w:hAnsi="宋体"/>
          <w:color w:val="000000" w:themeColor="text1"/>
          <w:szCs w:val="21"/>
          <w14:textFill>
            <w14:solidFill>
              <w14:schemeClr w14:val="tx1"/>
            </w14:solidFill>
          </w14:textFill>
        </w:rPr>
        <w:t>们</w:t>
      </w:r>
      <w:r>
        <w:rPr>
          <w:rFonts w:ascii="宋体" w:hAnsi="宋体"/>
          <w:color w:val="000000" w:themeColor="text1"/>
          <w:szCs w:val="21"/>
          <w14:textFill>
            <w14:solidFill>
              <w14:schemeClr w14:val="tx1"/>
            </w14:solidFill>
          </w14:textFill>
        </w:rPr>
        <w:t>在此声明，我</w:t>
      </w:r>
      <w:r>
        <w:rPr>
          <w:rFonts w:hint="eastAsia" w:ascii="宋体" w:hAnsi="宋体"/>
          <w:color w:val="000000" w:themeColor="text1"/>
          <w:szCs w:val="21"/>
          <w14:textFill>
            <w14:solidFill>
              <w14:schemeClr w14:val="tx1"/>
            </w14:solidFill>
          </w14:textFill>
        </w:rPr>
        <w:t>们</w:t>
      </w:r>
      <w:r>
        <w:rPr>
          <w:rFonts w:ascii="宋体" w:hAnsi="宋体"/>
          <w:color w:val="000000" w:themeColor="text1"/>
          <w:szCs w:val="21"/>
          <w14:textFill>
            <w14:solidFill>
              <w14:schemeClr w14:val="tx1"/>
            </w14:solidFill>
          </w14:textFill>
        </w:rPr>
        <w:t>具备并满足下列各项条款的规定。本声明如有虚假或不实之处，我</w:t>
      </w:r>
      <w:r>
        <w:rPr>
          <w:rFonts w:hint="eastAsia" w:ascii="宋体" w:hAnsi="宋体"/>
          <w:color w:val="000000" w:themeColor="text1"/>
          <w:szCs w:val="21"/>
          <w14:textFill>
            <w14:solidFill>
              <w14:schemeClr w14:val="tx1"/>
            </w14:solidFill>
          </w14:textFill>
        </w:rPr>
        <w:t>们</w:t>
      </w:r>
      <w:r>
        <w:rPr>
          <w:rFonts w:ascii="宋体" w:hAnsi="宋体"/>
          <w:color w:val="000000" w:themeColor="text1"/>
          <w:szCs w:val="21"/>
          <w14:textFill>
            <w14:solidFill>
              <w14:schemeClr w14:val="tx1"/>
            </w14:solidFill>
          </w14:textFill>
        </w:rPr>
        <w:t>将失去合格磋商供应商资格且我</w:t>
      </w:r>
      <w:r>
        <w:rPr>
          <w:rFonts w:hint="eastAsia" w:ascii="宋体" w:hAnsi="宋体"/>
          <w:color w:val="000000" w:themeColor="text1"/>
          <w:szCs w:val="21"/>
          <w14:textFill>
            <w14:solidFill>
              <w14:schemeClr w14:val="tx1"/>
            </w14:solidFill>
          </w14:textFill>
        </w:rPr>
        <w:t>们</w:t>
      </w:r>
      <w:r>
        <w:rPr>
          <w:rFonts w:ascii="宋体" w:hAnsi="宋体"/>
          <w:color w:val="000000" w:themeColor="text1"/>
          <w:szCs w:val="21"/>
          <w14:textFill>
            <w14:solidFill>
              <w14:schemeClr w14:val="tx1"/>
            </w14:solidFill>
          </w14:textFill>
        </w:rPr>
        <w:t>的</w:t>
      </w:r>
      <w:r>
        <w:rPr>
          <w:rFonts w:hint="eastAsia" w:ascii="宋体" w:hAnsi="宋体"/>
          <w:color w:val="000000" w:themeColor="text1"/>
          <w:szCs w:val="21"/>
          <w14:textFill>
            <w14:solidFill>
              <w14:schemeClr w14:val="tx1"/>
            </w14:solidFill>
          </w14:textFill>
        </w:rPr>
        <w:t>磋商</w:t>
      </w:r>
      <w:r>
        <w:rPr>
          <w:rFonts w:ascii="宋体" w:hAnsi="宋体"/>
          <w:color w:val="000000" w:themeColor="text1"/>
          <w:szCs w:val="21"/>
          <w14:textFill>
            <w14:solidFill>
              <w14:schemeClr w14:val="tx1"/>
            </w14:solidFill>
          </w14:textFill>
        </w:rPr>
        <w:t>保证金将不予退还。</w:t>
      </w:r>
    </w:p>
    <w:p w14:paraId="3F3C0938">
      <w:pPr>
        <w:spacing w:line="360" w:lineRule="auto"/>
        <w:ind w:firstLine="55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)我们</w:t>
      </w:r>
      <w:r>
        <w:rPr>
          <w:rFonts w:ascii="宋体" w:hAnsi="宋体"/>
          <w:color w:val="000000" w:themeColor="text1"/>
          <w:szCs w:val="21"/>
          <w14:textFill>
            <w14:solidFill>
              <w14:schemeClr w14:val="tx1"/>
            </w14:solidFill>
          </w14:textFill>
        </w:rPr>
        <w:t>具有独立承担民事责任的能力；</w:t>
      </w:r>
    </w:p>
    <w:p w14:paraId="58DA4207">
      <w:pPr>
        <w:spacing w:line="360" w:lineRule="auto"/>
        <w:ind w:firstLine="55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)我们</w:t>
      </w:r>
      <w:r>
        <w:rPr>
          <w:rFonts w:ascii="宋体" w:hAnsi="宋体"/>
          <w:color w:val="000000" w:themeColor="text1"/>
          <w:szCs w:val="21"/>
          <w14:textFill>
            <w14:solidFill>
              <w14:schemeClr w14:val="tx1"/>
            </w14:solidFill>
          </w14:textFill>
        </w:rPr>
        <w:t>具有良好的商业信誉和健全的财务会计制度；</w:t>
      </w:r>
    </w:p>
    <w:p w14:paraId="5F50CF7B">
      <w:pPr>
        <w:spacing w:line="360" w:lineRule="auto"/>
        <w:ind w:firstLine="55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)我们</w:t>
      </w:r>
      <w:r>
        <w:rPr>
          <w:rFonts w:ascii="宋体" w:hAnsi="宋体"/>
          <w:color w:val="000000" w:themeColor="text1"/>
          <w:szCs w:val="21"/>
          <w14:textFill>
            <w14:solidFill>
              <w14:schemeClr w14:val="tx1"/>
            </w14:solidFill>
          </w14:textFill>
        </w:rPr>
        <w:t>具有履行合同所必需的设备和专业技术能力；</w:t>
      </w:r>
    </w:p>
    <w:p w14:paraId="546965A7">
      <w:pPr>
        <w:spacing w:line="360" w:lineRule="auto"/>
        <w:ind w:firstLine="55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)我们</w:t>
      </w:r>
      <w:r>
        <w:rPr>
          <w:rFonts w:ascii="宋体" w:hAnsi="宋体"/>
          <w:color w:val="000000" w:themeColor="text1"/>
          <w:szCs w:val="21"/>
          <w14:textFill>
            <w14:solidFill>
              <w14:schemeClr w14:val="tx1"/>
            </w14:solidFill>
          </w14:textFill>
        </w:rPr>
        <w:t>有依法缴纳税收和社会保障资金的良好记录；</w:t>
      </w:r>
    </w:p>
    <w:p w14:paraId="54F17536">
      <w:pPr>
        <w:spacing w:line="360" w:lineRule="auto"/>
        <w:ind w:firstLine="55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)我们参加政府采购活动前</w:t>
      </w:r>
      <w:r>
        <w:rPr>
          <w:rFonts w:ascii="宋体" w:hAnsi="宋体"/>
          <w:color w:val="000000" w:themeColor="text1"/>
          <w:szCs w:val="21"/>
          <w14:textFill>
            <w14:solidFill>
              <w14:schemeClr w14:val="tx1"/>
            </w14:solidFill>
          </w14:textFill>
        </w:rPr>
        <w:t>三年内，在经营活动中没有重大违法记录；</w:t>
      </w:r>
      <w:r>
        <w:rPr>
          <w:rFonts w:hint="eastAsia" w:ascii="宋体" w:hAnsi="宋体"/>
          <w:color w:val="000000" w:themeColor="text1"/>
          <w:szCs w:val="21"/>
          <w14:textFill>
            <w14:solidFill>
              <w14:schemeClr w14:val="tx1"/>
            </w14:solidFill>
          </w14:textFill>
        </w:rPr>
        <w:t>（因违法经营受到刑事处罚或者责令停产停业、吊销许可证或者执照、较大数额罚款等行政处罚。）</w:t>
      </w:r>
    </w:p>
    <w:p w14:paraId="406F4F30">
      <w:pPr>
        <w:spacing w:line="360" w:lineRule="auto"/>
        <w:ind w:firstLine="55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没有如《磋商文件》</w:t>
      </w:r>
      <w:r>
        <w:rPr>
          <w:rFonts w:hint="eastAsia" w:ascii="宋体" w:hAnsi="宋体"/>
          <w:color w:val="000000" w:themeColor="text1"/>
          <w:szCs w:val="21"/>
          <w14:textFill>
            <w14:solidFill>
              <w14:schemeClr w14:val="tx1"/>
            </w14:solidFill>
          </w14:textFill>
        </w:rPr>
        <w:t>第二部分磋商供应商须知</w:t>
      </w:r>
      <w:r>
        <w:rPr>
          <w:rFonts w:ascii="宋体" w:hAnsi="宋体"/>
          <w:color w:val="000000" w:themeColor="text1"/>
          <w:szCs w:val="21"/>
          <w14:textFill>
            <w14:solidFill>
              <w14:schemeClr w14:val="tx1"/>
            </w14:solidFill>
          </w14:textFill>
        </w:rPr>
        <w:t>中3.</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和3.</w:t>
      </w:r>
      <w:r>
        <w:rPr>
          <w:rFonts w:hint="eastAsia" w:ascii="宋体" w:hAnsi="宋体"/>
          <w:color w:val="000000" w:themeColor="text1"/>
          <w:szCs w:val="21"/>
          <w14:textFill>
            <w14:solidFill>
              <w14:schemeClr w14:val="tx1"/>
            </w14:solidFill>
          </w14:textFill>
        </w:rPr>
        <w:t>4</w:t>
      </w:r>
      <w:r>
        <w:rPr>
          <w:rFonts w:ascii="宋体" w:hAnsi="宋体"/>
          <w:color w:val="000000" w:themeColor="text1"/>
          <w:szCs w:val="21"/>
          <w14:textFill>
            <w14:solidFill>
              <w14:schemeClr w14:val="tx1"/>
            </w14:solidFill>
          </w14:textFill>
        </w:rPr>
        <w:t>所列关联情形。</w:t>
      </w:r>
    </w:p>
    <w:p w14:paraId="1C232C5C">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2、我们在此声明，我司符合《政府采购法》第二十二条及《政府采购法实施条例》第十九条第二款的规定条件；本声明如有虚假或不实之处，我们将失去合格磋商供应商资格且我们的磋商保证金将不予退还。</w:t>
      </w:r>
    </w:p>
    <w:p w14:paraId="079F9860">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、此次参与磋商所提供的全部材料和数据，已经认真核对和检查，认为均真实、准确和完整，我们对此负责，愿承担由此引起的一切行政和法律责任，并承诺违规违约后</w:t>
      </w:r>
      <w:r>
        <w:rPr>
          <w:rFonts w:ascii="宋体" w:hAnsi="宋体"/>
          <w:color w:val="000000" w:themeColor="text1"/>
          <w:szCs w:val="21"/>
          <w14:textFill>
            <w14:solidFill>
              <w14:schemeClr w14:val="tx1"/>
            </w14:solidFill>
          </w14:textFill>
        </w:rPr>
        <w:t>我</w:t>
      </w:r>
      <w:r>
        <w:rPr>
          <w:rFonts w:hint="eastAsia" w:ascii="宋体" w:hAnsi="宋体"/>
          <w:color w:val="000000" w:themeColor="text1"/>
          <w:szCs w:val="21"/>
          <w14:textFill>
            <w14:solidFill>
              <w14:schemeClr w14:val="tx1"/>
            </w14:solidFill>
          </w14:textFill>
        </w:rPr>
        <w:t>们</w:t>
      </w:r>
      <w:r>
        <w:rPr>
          <w:rFonts w:ascii="宋体" w:hAnsi="宋体"/>
          <w:color w:val="000000" w:themeColor="text1"/>
          <w:szCs w:val="21"/>
          <w14:textFill>
            <w14:solidFill>
              <w14:schemeClr w14:val="tx1"/>
            </w14:solidFill>
          </w14:textFill>
        </w:rPr>
        <w:t>的</w:t>
      </w:r>
      <w:r>
        <w:rPr>
          <w:rFonts w:hint="eastAsia" w:ascii="宋体" w:hAnsi="宋体"/>
          <w:color w:val="000000" w:themeColor="text1"/>
          <w:szCs w:val="21"/>
          <w14:textFill>
            <w14:solidFill>
              <w14:schemeClr w14:val="tx1"/>
            </w14:solidFill>
          </w14:textFill>
        </w:rPr>
        <w:t>磋商</w:t>
      </w:r>
      <w:r>
        <w:rPr>
          <w:rFonts w:ascii="宋体" w:hAnsi="宋体"/>
          <w:color w:val="000000" w:themeColor="text1"/>
          <w:szCs w:val="21"/>
          <w14:textFill>
            <w14:solidFill>
              <w14:schemeClr w14:val="tx1"/>
            </w14:solidFill>
          </w14:textFill>
        </w:rPr>
        <w:t>保证金将不予</w:t>
      </w:r>
      <w:r>
        <w:rPr>
          <w:rFonts w:hint="eastAsia" w:ascii="宋体" w:hAnsi="宋体"/>
          <w:color w:val="000000" w:themeColor="text1"/>
          <w:szCs w:val="21"/>
          <w14:textFill>
            <w14:solidFill>
              <w14:schemeClr w14:val="tx1"/>
            </w14:solidFill>
          </w14:textFill>
        </w:rPr>
        <w:t>退回。</w:t>
      </w:r>
    </w:p>
    <w:p w14:paraId="7BE3F62C">
      <w:pPr>
        <w:spacing w:line="360" w:lineRule="auto"/>
        <w:ind w:firstLine="55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特此承诺！</w:t>
      </w:r>
    </w:p>
    <w:p w14:paraId="6CF7418E">
      <w:pPr>
        <w:spacing w:line="360" w:lineRule="auto"/>
        <w:ind w:firstLine="555"/>
        <w:rPr>
          <w:rFonts w:ascii="宋体" w:hAnsi="宋体"/>
          <w:color w:val="000000" w:themeColor="text1"/>
          <w:szCs w:val="21"/>
          <w14:textFill>
            <w14:solidFill>
              <w14:schemeClr w14:val="tx1"/>
            </w14:solidFill>
          </w14:textFill>
        </w:rPr>
      </w:pPr>
    </w:p>
    <w:p w14:paraId="6FA6007F">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磋商供应商全称（公章）：             </w:t>
      </w:r>
    </w:p>
    <w:p w14:paraId="660CE54C">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单位负责人（或磋商代表）（签字）：</w:t>
      </w:r>
    </w:p>
    <w:p w14:paraId="5DD35E22">
      <w:pPr>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    年   月   日</w:t>
      </w:r>
    </w:p>
    <w:p w14:paraId="028F47AE">
      <w:pPr>
        <w:spacing w:line="360" w:lineRule="exact"/>
        <w:ind w:firstLine="420" w:firstLineChars="200"/>
        <w:rPr>
          <w:rFonts w:ascii="宋体" w:hAnsi="宋体"/>
          <w:color w:val="000000" w:themeColor="text1"/>
          <w:szCs w:val="21"/>
          <w14:textFill>
            <w14:solidFill>
              <w14:schemeClr w14:val="tx1"/>
            </w14:solidFill>
          </w14:textFill>
        </w:rPr>
      </w:pPr>
    </w:p>
    <w:p w14:paraId="53F2A7BA">
      <w:pPr>
        <w:spacing w:line="360" w:lineRule="exact"/>
        <w:ind w:firstLine="420" w:firstLineChars="200"/>
        <w:rPr>
          <w:rFonts w:ascii="宋体" w:hAnsi="宋体"/>
          <w:color w:val="000000" w:themeColor="text1"/>
          <w:szCs w:val="21"/>
          <w14:textFill>
            <w14:solidFill>
              <w14:schemeClr w14:val="tx1"/>
            </w14:solidFill>
          </w14:textFill>
        </w:rPr>
      </w:pPr>
    </w:p>
    <w:p w14:paraId="6EA52D83">
      <w:pPr>
        <w:spacing w:line="360" w:lineRule="exact"/>
        <w:ind w:firstLine="420" w:firstLineChars="200"/>
        <w:rPr>
          <w:rFonts w:ascii="宋体" w:hAnsi="宋体"/>
          <w:color w:val="000000" w:themeColor="text1"/>
          <w:szCs w:val="21"/>
          <w14:textFill>
            <w14:solidFill>
              <w14:schemeClr w14:val="tx1"/>
            </w14:solidFill>
          </w14:textFill>
        </w:rPr>
      </w:pPr>
    </w:p>
    <w:p w14:paraId="3A17FF6C">
      <w:pPr>
        <w:spacing w:line="360" w:lineRule="exact"/>
        <w:ind w:firstLine="420" w:firstLineChars="200"/>
        <w:rPr>
          <w:rFonts w:ascii="宋体" w:hAnsi="宋体"/>
          <w:color w:val="000000" w:themeColor="text1"/>
          <w:szCs w:val="21"/>
          <w14:textFill>
            <w14:solidFill>
              <w14:schemeClr w14:val="tx1"/>
            </w14:solidFill>
          </w14:textFill>
        </w:rPr>
      </w:pPr>
    </w:p>
    <w:p w14:paraId="47DF840A">
      <w:pPr>
        <w:spacing w:line="360" w:lineRule="exact"/>
        <w:ind w:firstLine="420" w:firstLineChars="200"/>
        <w:rPr>
          <w:rFonts w:ascii="宋体" w:hAnsi="宋体"/>
          <w:color w:val="000000" w:themeColor="text1"/>
          <w:szCs w:val="21"/>
          <w14:textFill>
            <w14:solidFill>
              <w14:schemeClr w14:val="tx1"/>
            </w14:solidFill>
          </w14:textFill>
        </w:rPr>
      </w:pPr>
    </w:p>
    <w:p w14:paraId="0E203E60">
      <w:pPr>
        <w:spacing w:line="360" w:lineRule="exact"/>
        <w:ind w:firstLine="420" w:firstLineChars="200"/>
        <w:rPr>
          <w:rFonts w:ascii="宋体" w:hAnsi="宋体"/>
          <w:color w:val="000000" w:themeColor="text1"/>
          <w:szCs w:val="21"/>
          <w14:textFill>
            <w14:solidFill>
              <w14:schemeClr w14:val="tx1"/>
            </w14:solidFill>
          </w14:textFill>
        </w:rPr>
      </w:pPr>
    </w:p>
    <w:p w14:paraId="0254157A">
      <w:pPr>
        <w:spacing w:line="360" w:lineRule="exact"/>
        <w:ind w:firstLine="420" w:firstLineChars="200"/>
        <w:rPr>
          <w:rFonts w:ascii="宋体" w:hAnsi="宋体"/>
          <w:color w:val="000000" w:themeColor="text1"/>
          <w:szCs w:val="21"/>
          <w14:textFill>
            <w14:solidFill>
              <w14:schemeClr w14:val="tx1"/>
            </w14:solidFill>
          </w14:textFill>
        </w:rPr>
      </w:pPr>
    </w:p>
    <w:p w14:paraId="02AF3AB9">
      <w:pPr>
        <w:spacing w:line="360" w:lineRule="exact"/>
        <w:ind w:firstLine="420" w:firstLineChars="200"/>
        <w:rPr>
          <w:rFonts w:ascii="宋体" w:hAnsi="宋体"/>
          <w:color w:val="000000" w:themeColor="text1"/>
          <w:szCs w:val="21"/>
          <w14:textFill>
            <w14:solidFill>
              <w14:schemeClr w14:val="tx1"/>
            </w14:solidFill>
          </w14:textFill>
        </w:rPr>
      </w:pPr>
    </w:p>
    <w:p w14:paraId="21336038">
      <w:pPr>
        <w:spacing w:line="360" w:lineRule="exact"/>
        <w:ind w:firstLine="420" w:firstLineChars="200"/>
        <w:rPr>
          <w:rFonts w:ascii="宋体" w:hAnsi="宋体"/>
          <w:color w:val="000000" w:themeColor="text1"/>
          <w:szCs w:val="21"/>
          <w14:textFill>
            <w14:solidFill>
              <w14:schemeClr w14:val="tx1"/>
            </w14:solidFill>
          </w14:textFill>
        </w:rPr>
      </w:pPr>
    </w:p>
    <w:p w14:paraId="7B649E4A">
      <w:pPr>
        <w:spacing w:line="360" w:lineRule="exact"/>
        <w:ind w:firstLine="420" w:firstLineChars="200"/>
        <w:rPr>
          <w:rFonts w:ascii="宋体" w:hAnsi="宋体"/>
          <w:color w:val="000000" w:themeColor="text1"/>
          <w:szCs w:val="21"/>
          <w14:textFill>
            <w14:solidFill>
              <w14:schemeClr w14:val="tx1"/>
            </w14:solidFill>
          </w14:textFill>
        </w:rPr>
      </w:pPr>
    </w:p>
    <w:p w14:paraId="0BCB7046">
      <w:pPr>
        <w:ind w:firstLine="308" w:firstLineChars="147"/>
        <w:jc w:val="center"/>
        <w:outlineLvl w:val="0"/>
        <w:rPr>
          <w:rFonts w:ascii="宋体" w:hAnsi="宋体"/>
          <w:b/>
          <w:color w:val="000000" w:themeColor="text1"/>
          <w:sz w:val="28"/>
          <w:szCs w:val="28"/>
          <w14:textFill>
            <w14:solidFill>
              <w14:schemeClr w14:val="tx1"/>
            </w14:solidFill>
          </w14:textFill>
        </w:rPr>
      </w:pPr>
      <w:r>
        <w:rPr>
          <w:rFonts w:ascii="宋体" w:hAnsi="宋体"/>
          <w:color w:val="000000" w:themeColor="text1"/>
          <w:szCs w:val="21"/>
          <w14:textFill>
            <w14:solidFill>
              <w14:schemeClr w14:val="tx1"/>
            </w14:solidFill>
          </w14:textFill>
        </w:rPr>
        <w:br w:type="page"/>
      </w:r>
      <w:bookmarkStart w:id="206" w:name="_Toc75338357"/>
      <w:bookmarkStart w:id="207" w:name="_Toc71729013"/>
      <w:bookmarkStart w:id="208" w:name="_Toc137563049"/>
      <w:r>
        <w:rPr>
          <w:rFonts w:hint="eastAsia" w:ascii="宋体" w:hAnsi="宋体"/>
          <w:b/>
          <w:color w:val="000000" w:themeColor="text1"/>
          <w:sz w:val="28"/>
          <w:szCs w:val="28"/>
          <w14:textFill>
            <w14:solidFill>
              <w14:schemeClr w14:val="tx1"/>
            </w14:solidFill>
          </w14:textFill>
        </w:rPr>
        <w:t>成交服务费缴交承诺书</w:t>
      </w:r>
      <w:bookmarkEnd w:id="206"/>
      <w:bookmarkEnd w:id="207"/>
      <w:bookmarkEnd w:id="208"/>
    </w:p>
    <w:p w14:paraId="42A17B08">
      <w:pPr>
        <w:pStyle w:val="19"/>
        <w:spacing w:line="40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致：</w:t>
      </w:r>
      <w:r>
        <w:rPr>
          <w:rFonts w:hint="eastAsia" w:ascii="Arial" w:hAnsi="Arial"/>
          <w:color w:val="000000" w:themeColor="text1"/>
          <w:sz w:val="21"/>
          <w:szCs w:val="21"/>
          <w14:textFill>
            <w14:solidFill>
              <w14:schemeClr w14:val="tx1"/>
            </w14:solidFill>
          </w14:textFill>
        </w:rPr>
        <w:t>福建鑫盛项目管理咨询有限公司</w:t>
      </w:r>
    </w:p>
    <w:p w14:paraId="46BA1E42">
      <w:pPr>
        <w:spacing w:line="400" w:lineRule="exact"/>
        <w:ind w:firstLine="420" w:firstLineChars="200"/>
        <w:rPr>
          <w:b/>
          <w:color w:val="000000" w:themeColor="text1"/>
          <w:szCs w:val="21"/>
          <w14:textFill>
            <w14:solidFill>
              <w14:schemeClr w14:val="tx1"/>
            </w14:solidFill>
          </w14:textFill>
        </w:rPr>
      </w:pPr>
      <w:r>
        <w:rPr>
          <w:rFonts w:hint="eastAsia" w:ascii="Arial" w:hAnsi="Arial"/>
          <w:color w:val="000000" w:themeColor="text1"/>
          <w:szCs w:val="21"/>
          <w14:textFill>
            <w14:solidFill>
              <w14:schemeClr w14:val="tx1"/>
            </w14:solidFill>
          </w14:textFill>
        </w:rPr>
        <w:t>根据贵方为</w:t>
      </w:r>
      <w:r>
        <w:rPr>
          <w:rFonts w:ascii="Arial" w:hAnsi="Arial"/>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(采购编号、项目名称)</w:t>
      </w:r>
      <w:r>
        <w:rPr>
          <w:rFonts w:hint="eastAsia" w:ascii="Arial" w:hAnsi="Arial"/>
          <w:color w:val="000000" w:themeColor="text1"/>
          <w:szCs w:val="21"/>
          <w14:textFill>
            <w14:solidFill>
              <w14:schemeClr w14:val="tx1"/>
            </w14:solidFill>
          </w14:textFill>
        </w:rPr>
        <w:t>采购项目的磋商邀请，我司做出如下承诺：</w:t>
      </w:r>
    </w:p>
    <w:p w14:paraId="42EFDF7A">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1、若成交，我方保证按照磋商文件的规定以银行汇票、电汇、现金或经贵方认可的方式，向贵司交纳按磋商文件中规定的成交服务费。</w:t>
      </w:r>
    </w:p>
    <w:p w14:paraId="31636084">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2、如违约，我方愿凭贵司开出的违约通知，按上述承诺金额的200%在报价保证金或采购人支付的成交款项中扣缴。</w:t>
      </w:r>
    </w:p>
    <w:p w14:paraId="3A09FDE9">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特此承诺！</w:t>
      </w:r>
    </w:p>
    <w:p w14:paraId="010FD272">
      <w:pPr>
        <w:spacing w:line="400" w:lineRule="exact"/>
        <w:rPr>
          <w:rFonts w:ascii="宋体" w:hAnsi="宋体"/>
          <w:color w:val="000000" w:themeColor="text1"/>
          <w:szCs w:val="21"/>
          <w14:textFill>
            <w14:solidFill>
              <w14:schemeClr w14:val="tx1"/>
            </w14:solidFill>
          </w14:textFill>
        </w:rPr>
      </w:pPr>
    </w:p>
    <w:p w14:paraId="085B864A">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磋商代表签字：</w:t>
      </w:r>
      <w:r>
        <w:rPr>
          <w:rFonts w:hint="eastAsia" w:ascii="宋体" w:hAnsi="宋体"/>
          <w:color w:val="000000" w:themeColor="text1"/>
          <w:szCs w:val="21"/>
          <w:u w:val="single"/>
          <w14:textFill>
            <w14:solidFill>
              <w14:schemeClr w14:val="tx1"/>
            </w14:solidFill>
          </w14:textFill>
        </w:rPr>
        <w:t xml:space="preserve">                          </w:t>
      </w:r>
    </w:p>
    <w:p w14:paraId="754CE7EF">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磋商供应商全称(加盖公章)：</w:t>
      </w:r>
      <w:r>
        <w:rPr>
          <w:rFonts w:hint="eastAsia" w:ascii="宋体" w:hAnsi="宋体"/>
          <w:color w:val="000000" w:themeColor="text1"/>
          <w:szCs w:val="21"/>
          <w:u w:val="single"/>
          <w14:textFill>
            <w14:solidFill>
              <w14:schemeClr w14:val="tx1"/>
            </w14:solidFill>
          </w14:textFill>
        </w:rPr>
        <w:t xml:space="preserve">                     </w:t>
      </w:r>
    </w:p>
    <w:p w14:paraId="37CAC363">
      <w:pPr>
        <w:spacing w:line="400" w:lineRule="exact"/>
        <w:ind w:firstLine="315" w:firstLineChars="15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p>
    <w:p w14:paraId="01B9ED38">
      <w:pPr>
        <w:spacing w:line="400" w:lineRule="exact"/>
        <w:ind w:firstLine="315" w:firstLineChars="150"/>
        <w:rPr>
          <w:rFonts w:ascii="宋体" w:hAnsi="宋体"/>
          <w:color w:val="000000" w:themeColor="text1"/>
          <w:szCs w:val="21"/>
          <w:u w:val="single"/>
          <w14:textFill>
            <w14:solidFill>
              <w14:schemeClr w14:val="tx1"/>
            </w14:solidFill>
          </w14:textFill>
        </w:rPr>
      </w:pPr>
    </w:p>
    <w:p w14:paraId="71346A00">
      <w:pPr>
        <w:spacing w:line="360" w:lineRule="exact"/>
        <w:ind w:firstLine="420" w:firstLineChars="200"/>
        <w:rPr>
          <w:rFonts w:ascii="宋体" w:hAnsi="宋体"/>
          <w:color w:val="000000" w:themeColor="text1"/>
          <w:szCs w:val="21"/>
          <w14:textFill>
            <w14:solidFill>
              <w14:schemeClr w14:val="tx1"/>
            </w14:solidFill>
          </w14:textFill>
        </w:rPr>
      </w:pPr>
    </w:p>
    <w:p w14:paraId="5522260E">
      <w:pPr>
        <w:spacing w:line="360" w:lineRule="exact"/>
        <w:ind w:firstLine="420" w:firstLineChars="200"/>
        <w:rPr>
          <w:rFonts w:ascii="宋体" w:hAnsi="宋体"/>
          <w:b/>
          <w:color w:val="000000" w:themeColor="text1"/>
          <w:sz w:val="28"/>
          <w:szCs w:val="28"/>
          <w14:textFill>
            <w14:solidFill>
              <w14:schemeClr w14:val="tx1"/>
            </w14:solidFill>
          </w14:textFill>
        </w:rPr>
      </w:pPr>
      <w:r>
        <w:rPr>
          <w:rFonts w:ascii="宋体" w:hAnsi="宋体"/>
          <w:color w:val="000000" w:themeColor="text1"/>
          <w:szCs w:val="21"/>
          <w14:textFill>
            <w14:solidFill>
              <w14:schemeClr w14:val="tx1"/>
            </w14:solidFill>
          </w14:textFill>
        </w:rPr>
        <w:br w:type="page"/>
      </w:r>
      <w:r>
        <w:rPr>
          <w:rFonts w:hint="eastAsia" w:ascii="宋体" w:hAnsi="宋体"/>
          <w:b/>
          <w:color w:val="000000" w:themeColor="text1"/>
          <w:sz w:val="28"/>
          <w:szCs w:val="28"/>
          <w14:textFill>
            <w14:solidFill>
              <w14:schemeClr w14:val="tx1"/>
            </w14:solidFill>
          </w14:textFill>
        </w:rPr>
        <w:t xml:space="preserve">                    质 疑 函（若有）</w:t>
      </w:r>
    </w:p>
    <w:p w14:paraId="0C220931">
      <w:pPr>
        <w:autoSpaceDE w:val="0"/>
        <w:autoSpaceDN w:val="0"/>
        <w:adjustRightInd w:val="0"/>
        <w:spacing w:line="460" w:lineRule="exact"/>
        <w:rPr>
          <w:rFonts w:ascii="宋体" w:hAnsi="宋体"/>
          <w:color w:val="000000" w:themeColor="text1"/>
          <w:w w:val="90"/>
          <w:szCs w:val="21"/>
          <w14:textFill>
            <w14:solidFill>
              <w14:schemeClr w14:val="tx1"/>
            </w14:solidFill>
          </w14:textFill>
        </w:rPr>
      </w:pPr>
      <w:r>
        <w:rPr>
          <w:rFonts w:hint="eastAsia" w:ascii="宋体" w:hAnsi="宋体"/>
          <w:color w:val="000000" w:themeColor="text1"/>
          <w:w w:val="90"/>
          <w:szCs w:val="21"/>
          <w:u w:val="single"/>
          <w14:textFill>
            <w14:solidFill>
              <w14:schemeClr w14:val="tx1"/>
            </w14:solidFill>
          </w14:textFill>
        </w:rPr>
        <w:t xml:space="preserve">                           </w:t>
      </w:r>
      <w:r>
        <w:rPr>
          <w:rFonts w:hint="eastAsia" w:ascii="宋体" w:hAnsi="宋体"/>
          <w:color w:val="000000" w:themeColor="text1"/>
          <w:w w:val="90"/>
          <w:szCs w:val="21"/>
          <w14:textFill>
            <w14:solidFill>
              <w14:schemeClr w14:val="tx1"/>
            </w14:solidFill>
          </w14:textFill>
        </w:rPr>
        <w:t xml:space="preserve">     </w:t>
      </w:r>
    </w:p>
    <w:p w14:paraId="2C057E9A">
      <w:pPr>
        <w:rPr>
          <w:rFonts w:ascii="宋体" w:hAnsi="宋体"/>
          <w:color w:val="000000" w:themeColor="text1"/>
          <w:szCs w:val="21"/>
          <w14:textFill>
            <w14:solidFill>
              <w14:schemeClr w14:val="tx1"/>
            </w14:solidFill>
          </w14:textFill>
        </w:rPr>
      </w:pPr>
    </w:p>
    <w:p w14:paraId="2C2FBE14">
      <w:pPr>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我公司（购买/参加）贵方在</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日（发布/组织）的</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（采购编号）的（磋商文件/磋商），现提出如下质疑：</w:t>
      </w:r>
    </w:p>
    <w:p w14:paraId="28C1C987">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一、质疑内容：</w:t>
      </w:r>
    </w:p>
    <w:p w14:paraId="7F99833C">
      <w:pPr>
        <w:rPr>
          <w:rFonts w:ascii="宋体" w:hAnsi="宋体"/>
          <w:color w:val="000000" w:themeColor="text1"/>
          <w:szCs w:val="21"/>
          <w14:textFill>
            <w14:solidFill>
              <w14:schemeClr w14:val="tx1"/>
            </w14:solidFill>
          </w14:textFill>
        </w:rPr>
      </w:pPr>
    </w:p>
    <w:p w14:paraId="71411D3B">
      <w:pPr>
        <w:rPr>
          <w:rFonts w:ascii="宋体" w:hAnsi="宋体"/>
          <w:color w:val="000000" w:themeColor="text1"/>
          <w:szCs w:val="21"/>
          <w14:textFill>
            <w14:solidFill>
              <w14:schemeClr w14:val="tx1"/>
            </w14:solidFill>
          </w14:textFill>
        </w:rPr>
      </w:pPr>
    </w:p>
    <w:p w14:paraId="634BBF7D">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二、事实依据和理由：</w:t>
      </w:r>
    </w:p>
    <w:p w14:paraId="071AF1F3">
      <w:pPr>
        <w:rPr>
          <w:rFonts w:ascii="宋体" w:hAnsi="宋体"/>
          <w:color w:val="000000" w:themeColor="text1"/>
          <w:szCs w:val="21"/>
          <w14:textFill>
            <w14:solidFill>
              <w14:schemeClr w14:val="tx1"/>
            </w14:solidFill>
          </w14:textFill>
        </w:rPr>
      </w:pPr>
    </w:p>
    <w:p w14:paraId="657AA396">
      <w:pPr>
        <w:rPr>
          <w:rFonts w:ascii="宋体" w:hAnsi="宋体"/>
          <w:color w:val="000000" w:themeColor="text1"/>
          <w:szCs w:val="21"/>
          <w14:textFill>
            <w14:solidFill>
              <w14:schemeClr w14:val="tx1"/>
            </w14:solidFill>
          </w14:textFill>
        </w:rPr>
      </w:pPr>
    </w:p>
    <w:p w14:paraId="6711C049">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三、提供相关证据：</w:t>
      </w:r>
    </w:p>
    <w:p w14:paraId="222B8A10">
      <w:pPr>
        <w:rPr>
          <w:rFonts w:ascii="宋体" w:hAnsi="宋体"/>
          <w:color w:val="000000" w:themeColor="text1"/>
          <w:szCs w:val="21"/>
          <w14:textFill>
            <w14:solidFill>
              <w14:schemeClr w14:val="tx1"/>
            </w14:solidFill>
          </w14:textFill>
        </w:rPr>
      </w:pPr>
    </w:p>
    <w:p w14:paraId="1BA47262">
      <w:pPr>
        <w:rPr>
          <w:rFonts w:ascii="宋体" w:hAnsi="宋体"/>
          <w:color w:val="000000" w:themeColor="text1"/>
          <w:szCs w:val="21"/>
          <w14:textFill>
            <w14:solidFill>
              <w14:schemeClr w14:val="tx1"/>
            </w14:solidFill>
          </w14:textFill>
        </w:rPr>
      </w:pPr>
    </w:p>
    <w:p w14:paraId="3023D9C6">
      <w:pPr>
        <w:rPr>
          <w:rFonts w:ascii="宋体" w:hAnsi="宋体"/>
          <w:color w:val="000000" w:themeColor="text1"/>
          <w:szCs w:val="21"/>
          <w14:textFill>
            <w14:solidFill>
              <w14:schemeClr w14:val="tx1"/>
            </w14:solidFill>
          </w14:textFill>
        </w:rPr>
      </w:pPr>
    </w:p>
    <w:p w14:paraId="42D9004B">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磋商供应商（盖公章）：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5FFA4669">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单位负责人（签字并盖章）：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0ACA4D0F">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68CF3E92">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邮        编：</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680BE189">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 传 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508EA493">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        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653498ED">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授权代表（签字）：</w:t>
      </w:r>
      <w:r>
        <w:rPr>
          <w:rFonts w:hint="eastAsia" w:ascii="宋体" w:hAnsi="宋体"/>
          <w:color w:val="000000" w:themeColor="text1"/>
          <w:szCs w:val="21"/>
          <w:u w:val="single"/>
          <w14:textFill>
            <w14:solidFill>
              <w14:schemeClr w14:val="tx1"/>
            </w14:solidFill>
          </w14:textFill>
        </w:rPr>
        <w:t xml:space="preserve">                        </w:t>
      </w:r>
    </w:p>
    <w:p w14:paraId="0C4CCC52">
      <w:pPr>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联系电话：</w:t>
      </w:r>
      <w:r>
        <w:rPr>
          <w:rFonts w:hint="eastAsia" w:ascii="宋体" w:hAnsi="宋体"/>
          <w:color w:val="000000" w:themeColor="text1"/>
          <w:szCs w:val="21"/>
          <w:u w:val="single"/>
          <w14:textFill>
            <w14:solidFill>
              <w14:schemeClr w14:val="tx1"/>
            </w14:solidFill>
          </w14:textFill>
        </w:rPr>
        <w:t xml:space="preserve">                                </w:t>
      </w:r>
    </w:p>
    <w:p w14:paraId="39F0CED2">
      <w:pPr>
        <w:rPr>
          <w:rFonts w:ascii="宋体" w:hAnsi="宋体"/>
          <w:color w:val="000000" w:themeColor="text1"/>
          <w:szCs w:val="21"/>
          <w14:textFill>
            <w14:solidFill>
              <w14:schemeClr w14:val="tx1"/>
            </w14:solidFill>
          </w14:textFill>
        </w:rPr>
      </w:pPr>
    </w:p>
    <w:p w14:paraId="4F143A7E">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注：质疑供应商须按以上格式和以下规定进行质疑，否则不予接受。</w:t>
      </w:r>
    </w:p>
    <w:p w14:paraId="32EB402E">
      <w:pPr>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1、按该表格填写，一式两份，并将该函和相关证据盖公章在规定的时间内分别送达采购人和代理机构。</w:t>
      </w:r>
    </w:p>
    <w:p w14:paraId="3B86939C">
      <w:pPr>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2、非单位负责人送达时，须提供单位负责人授权书和单位负责人及授权代表的身份证复印件盖公章。</w:t>
      </w:r>
    </w:p>
    <w:p w14:paraId="1BF5A356">
      <w:pPr>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3、提供质疑供应商合格有效的《营业执照》（涉及本供应商资质的需同时附资质证书）复印件，和本质疑供应商为授权代表缴交的近3个月社保缴费证明材料。均须加盖公章。</w:t>
      </w:r>
    </w:p>
    <w:p w14:paraId="3D2C7A2E">
      <w:pPr>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4、质疑供应商应当在法定质疑期内一次性提出针对同一采购程序环节的质疑；否则第二次提出的质疑将不予接受。</w:t>
      </w:r>
    </w:p>
    <w:p w14:paraId="5F83FD77">
      <w:pPr>
        <w:rPr>
          <w:rFonts w:ascii="宋体" w:hAnsi="宋体"/>
          <w:color w:val="000000" w:themeColor="text1"/>
          <w:szCs w:val="21"/>
          <w:u w:val="single"/>
          <w14:textFill>
            <w14:solidFill>
              <w14:schemeClr w14:val="tx1"/>
            </w14:solidFill>
          </w14:textFill>
        </w:rPr>
      </w:pPr>
    </w:p>
    <w:bookmarkEnd w:id="157"/>
    <w:p w14:paraId="53DB6115">
      <w:pPr>
        <w:autoSpaceDE w:val="0"/>
        <w:autoSpaceDN w:val="0"/>
        <w:adjustRightInd w:val="0"/>
        <w:spacing w:line="440" w:lineRule="exact"/>
        <w:rPr>
          <w:rFonts w:ascii="宋体" w:hAnsi="宋体"/>
          <w:color w:val="000000" w:themeColor="text1"/>
          <w:szCs w:val="21"/>
          <w14:textFill>
            <w14:solidFill>
              <w14:schemeClr w14:val="tx1"/>
            </w14:solidFill>
          </w14:textFill>
        </w:rPr>
      </w:pPr>
    </w:p>
    <w:p w14:paraId="7DAE4037">
      <w:pPr>
        <w:spacing w:line="400" w:lineRule="exact"/>
        <w:rPr>
          <w:rFonts w:ascii="宋体" w:hAnsi="宋体"/>
          <w:color w:val="000000" w:themeColor="text1"/>
          <w:szCs w:val="21"/>
          <w14:textFill>
            <w14:solidFill>
              <w14:schemeClr w14:val="tx1"/>
            </w14:solidFill>
          </w14:textFill>
        </w:rPr>
      </w:pPr>
    </w:p>
    <w:p w14:paraId="6021E0CE">
      <w:pPr>
        <w:spacing w:line="400" w:lineRule="exact"/>
        <w:rPr>
          <w:rFonts w:ascii="宋体" w:hAnsi="宋体"/>
          <w:color w:val="000000" w:themeColor="text1"/>
          <w:szCs w:val="21"/>
          <w14:textFill>
            <w14:solidFill>
              <w14:schemeClr w14:val="tx1"/>
            </w14:solidFill>
          </w14:textFill>
        </w:rPr>
      </w:pPr>
    </w:p>
    <w:p w14:paraId="2BF38AE5">
      <w:pPr>
        <w:spacing w:line="400" w:lineRule="exact"/>
        <w:rPr>
          <w:rFonts w:ascii="宋体" w:hAnsi="宋体"/>
          <w:color w:val="000000" w:themeColor="text1"/>
          <w:sz w:val="24"/>
          <w14:textFill>
            <w14:solidFill>
              <w14:schemeClr w14:val="tx1"/>
            </w14:solidFill>
          </w14:textFill>
        </w:rPr>
      </w:pPr>
    </w:p>
    <w:p w14:paraId="3F37983F">
      <w:pPr>
        <w:spacing w:line="400" w:lineRule="exact"/>
        <w:rPr>
          <w:rFonts w:ascii="宋体" w:hAnsi="宋体"/>
          <w:color w:val="000000" w:themeColor="text1"/>
          <w:sz w:val="24"/>
          <w14:textFill>
            <w14:solidFill>
              <w14:schemeClr w14:val="tx1"/>
            </w14:solidFill>
          </w14:textFill>
        </w:rPr>
      </w:pPr>
    </w:p>
    <w:p w14:paraId="15796313">
      <w:pPr>
        <w:spacing w:line="400" w:lineRule="exact"/>
        <w:rPr>
          <w:rFonts w:ascii="宋体" w:hAnsi="宋体"/>
          <w:color w:val="000000" w:themeColor="text1"/>
          <w:sz w:val="24"/>
          <w14:textFill>
            <w14:solidFill>
              <w14:schemeClr w14:val="tx1"/>
            </w14:solidFill>
          </w14:textFill>
        </w:rPr>
      </w:pPr>
    </w:p>
    <w:p w14:paraId="79A1AAE8">
      <w:pPr>
        <w:spacing w:line="400" w:lineRule="exact"/>
        <w:rPr>
          <w:rFonts w:ascii="宋体" w:hAnsi="宋体"/>
          <w:color w:val="000000" w:themeColor="text1"/>
          <w:sz w:val="24"/>
          <w14:textFill>
            <w14:solidFill>
              <w14:schemeClr w14:val="tx1"/>
            </w14:solidFill>
          </w14:textFill>
        </w:rPr>
      </w:pPr>
    </w:p>
    <w:p w14:paraId="59966392">
      <w:pPr>
        <w:spacing w:line="400" w:lineRule="exact"/>
        <w:rPr>
          <w:rFonts w:ascii="宋体" w:hAnsi="宋体"/>
          <w:color w:val="000000" w:themeColor="text1"/>
          <w:sz w:val="24"/>
          <w14:textFill>
            <w14:solidFill>
              <w14:schemeClr w14:val="tx1"/>
            </w14:solidFill>
          </w14:textFill>
        </w:rPr>
      </w:pPr>
    </w:p>
    <w:p w14:paraId="72F939A8">
      <w:pPr>
        <w:spacing w:line="400" w:lineRule="exact"/>
        <w:rPr>
          <w:rFonts w:ascii="宋体" w:hAnsi="宋体"/>
          <w:color w:val="000000" w:themeColor="text1"/>
          <w:sz w:val="24"/>
          <w14:textFill>
            <w14:solidFill>
              <w14:schemeClr w14:val="tx1"/>
            </w14:solidFill>
          </w14:textFill>
        </w:rPr>
      </w:pPr>
    </w:p>
    <w:p w14:paraId="2A8F5740">
      <w:pPr>
        <w:spacing w:line="400" w:lineRule="exact"/>
        <w:rPr>
          <w:rFonts w:ascii="宋体" w:hAnsi="宋体"/>
          <w:color w:val="000000" w:themeColor="text1"/>
          <w:sz w:val="24"/>
          <w14:textFill>
            <w14:solidFill>
              <w14:schemeClr w14:val="tx1"/>
            </w14:solidFill>
          </w14:textFill>
        </w:rPr>
      </w:pPr>
    </w:p>
    <w:p w14:paraId="04EB28B3">
      <w:pPr>
        <w:rPr>
          <w:b/>
          <w:color w:val="000000" w:themeColor="text1"/>
          <w:sz w:val="24"/>
          <w14:textFill>
            <w14:solidFill>
              <w14:schemeClr w14:val="tx1"/>
            </w14:solidFill>
          </w14:textFill>
        </w:rPr>
      </w:pPr>
    </w:p>
    <w:p w14:paraId="48695CF7">
      <w:pPr>
        <w:pStyle w:val="3"/>
        <w:spacing w:before="120" w:after="120" w:line="400" w:lineRule="exact"/>
        <w:jc w:val="center"/>
        <w:rPr>
          <w:rFonts w:ascii="宋体" w:hAnsi="宋体" w:eastAsia="宋体" w:cs="宋体"/>
          <w:color w:val="000000" w:themeColor="text1"/>
          <w:kern w:val="0"/>
          <w:szCs w:val="32"/>
          <w14:textFill>
            <w14:solidFill>
              <w14:schemeClr w14:val="tx1"/>
            </w14:solidFill>
          </w14:textFill>
        </w:rPr>
      </w:pPr>
      <w:bookmarkStart w:id="209" w:name="_Toc75338358"/>
      <w:bookmarkStart w:id="210" w:name="_Toc137563050"/>
      <w:bookmarkStart w:id="211" w:name="_Toc25314939"/>
      <w:r>
        <w:rPr>
          <w:rFonts w:hint="eastAsia" w:ascii="宋体" w:hAnsi="宋体" w:eastAsia="宋体" w:cs="宋体"/>
          <w:color w:val="000000" w:themeColor="text1"/>
          <w:kern w:val="0"/>
          <w:szCs w:val="32"/>
          <w14:textFill>
            <w14:solidFill>
              <w14:schemeClr w14:val="tx1"/>
            </w14:solidFill>
          </w14:textFill>
        </w:rPr>
        <w:t xml:space="preserve">第五部分    </w:t>
      </w:r>
      <w:r>
        <w:rPr>
          <w:rFonts w:ascii="宋体" w:hAnsi="宋体" w:eastAsia="宋体" w:cs="宋体"/>
          <w:color w:val="000000" w:themeColor="text1"/>
          <w:kern w:val="0"/>
          <w:szCs w:val="32"/>
          <w14:textFill>
            <w14:solidFill>
              <w14:schemeClr w14:val="tx1"/>
            </w14:solidFill>
          </w14:textFill>
        </w:rPr>
        <w:t>采购合同（参考文本）</w:t>
      </w:r>
      <w:bookmarkEnd w:id="209"/>
      <w:bookmarkEnd w:id="210"/>
      <w:bookmarkEnd w:id="211"/>
    </w:p>
    <w:p w14:paraId="45E1CA0D">
      <w:pPr>
        <w:pStyle w:val="30"/>
        <w:widowControl/>
        <w:spacing w:line="36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甲方：</w:t>
      </w:r>
      <w:r>
        <w:rPr>
          <w:rFonts w:hint="eastAsia" w:ascii="宋体" w:hAnsi="宋体" w:cs="宋体"/>
          <w:color w:val="000000" w:themeColor="text1"/>
          <w:sz w:val="21"/>
          <w:szCs w:val="21"/>
          <w:u w:val="single"/>
          <w14:textFill>
            <w14:solidFill>
              <w14:schemeClr w14:val="tx1"/>
            </w14:solidFill>
          </w14:textFill>
        </w:rPr>
        <w:t>(采购人全称)</w:t>
      </w:r>
    </w:p>
    <w:p w14:paraId="22E996A6">
      <w:pPr>
        <w:pStyle w:val="30"/>
        <w:widowControl/>
        <w:spacing w:line="36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乙方：</w:t>
      </w:r>
      <w:r>
        <w:rPr>
          <w:rFonts w:hint="eastAsia" w:ascii="宋体" w:hAnsi="宋体" w:cs="宋体"/>
          <w:color w:val="000000" w:themeColor="text1"/>
          <w:sz w:val="21"/>
          <w:szCs w:val="21"/>
          <w:u w:val="single"/>
          <w14:textFill>
            <w14:solidFill>
              <w14:schemeClr w14:val="tx1"/>
            </w14:solidFill>
          </w14:textFill>
        </w:rPr>
        <w:t>(成交人全称)</w:t>
      </w:r>
    </w:p>
    <w:p w14:paraId="3F2C1D30">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根据采购编号为</w:t>
      </w:r>
      <w:r>
        <w:rPr>
          <w:rFonts w:hint="eastAsia" w:ascii="宋体" w:hAnsi="宋体" w:cs="宋体"/>
          <w:color w:val="000000" w:themeColor="text1"/>
          <w:sz w:val="21"/>
          <w:szCs w:val="21"/>
          <w:u w:val="single"/>
          <w14:textFill>
            <w14:solidFill>
              <w14:schemeClr w14:val="tx1"/>
            </w14:solidFill>
          </w14:textFill>
        </w:rPr>
        <w:t>            </w:t>
      </w:r>
      <w:r>
        <w:rPr>
          <w:rFonts w:hint="eastAsia" w:ascii="宋体" w:hAnsi="宋体" w:cs="宋体"/>
          <w:color w:val="000000" w:themeColor="text1"/>
          <w:sz w:val="21"/>
          <w:szCs w:val="21"/>
          <w14:textFill>
            <w14:solidFill>
              <w14:schemeClr w14:val="tx1"/>
            </w14:solidFill>
          </w14:textFill>
        </w:rPr>
        <w:t>的</w:t>
      </w:r>
      <w:r>
        <w:rPr>
          <w:rFonts w:hint="eastAsia" w:ascii="宋体" w:hAnsi="宋体" w:cs="宋体"/>
          <w:color w:val="000000" w:themeColor="text1"/>
          <w:sz w:val="21"/>
          <w:szCs w:val="21"/>
          <w:u w:val="single"/>
          <w14:textFill>
            <w14:solidFill>
              <w14:schemeClr w14:val="tx1"/>
            </w14:solidFill>
          </w14:textFill>
        </w:rPr>
        <w:t>(填写“项目名称”)</w:t>
      </w:r>
      <w:r>
        <w:rPr>
          <w:rFonts w:hint="eastAsia" w:ascii="宋体" w:hAnsi="宋体" w:cs="宋体"/>
          <w:color w:val="000000" w:themeColor="text1"/>
          <w:sz w:val="21"/>
          <w:szCs w:val="21"/>
          <w14:textFill>
            <w14:solidFill>
              <w14:schemeClr w14:val="tx1"/>
            </w14:solidFill>
          </w14:textFill>
        </w:rPr>
        <w:t>项目(以下简称：“本项目”)的采购结果，乙方为成交人。现经甲乙双方友好协商，就以下事项达成一致并签订本合同：</w:t>
      </w:r>
    </w:p>
    <w:p w14:paraId="0954DCD3">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1、下列合同文件是构成本合同不可分割的部分：</w:t>
      </w:r>
    </w:p>
    <w:p w14:paraId="2FEA10D8">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1.1合同条款；</w:t>
      </w:r>
    </w:p>
    <w:p w14:paraId="1C346A8E">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1.2磋商文件、乙方的响应文件；</w:t>
      </w:r>
    </w:p>
    <w:p w14:paraId="69F381E3">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1.3其他文件或材料：□无。□</w:t>
      </w:r>
      <w:r>
        <w:rPr>
          <w:rFonts w:hint="eastAsia" w:ascii="宋体" w:hAnsi="宋体" w:cs="宋体"/>
          <w:color w:val="000000" w:themeColor="text1"/>
          <w:sz w:val="21"/>
          <w:szCs w:val="21"/>
          <w:u w:val="single"/>
          <w14:textFill>
            <w14:solidFill>
              <w14:schemeClr w14:val="tx1"/>
            </w14:solidFill>
          </w14:textFill>
        </w:rPr>
        <w:t>(按照实际情况编制填写需要增加的内容)</w:t>
      </w:r>
      <w:r>
        <w:rPr>
          <w:rFonts w:hint="eastAsia" w:ascii="宋体" w:hAnsi="宋体" w:cs="宋体"/>
          <w:color w:val="000000" w:themeColor="text1"/>
          <w:sz w:val="21"/>
          <w:szCs w:val="21"/>
          <w14:textFill>
            <w14:solidFill>
              <w14:schemeClr w14:val="tx1"/>
            </w14:solidFill>
          </w14:textFill>
        </w:rPr>
        <w:t>。</w:t>
      </w:r>
    </w:p>
    <w:p w14:paraId="696B237C">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2、合同标的</w:t>
      </w:r>
    </w:p>
    <w:p w14:paraId="624C18CE">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(按照实际情况编制填写，可以是表格或文字描述)</w:t>
      </w:r>
      <w:r>
        <w:rPr>
          <w:rFonts w:hint="eastAsia" w:ascii="宋体" w:hAnsi="宋体" w:cs="宋体"/>
          <w:color w:val="000000" w:themeColor="text1"/>
          <w:sz w:val="21"/>
          <w:szCs w:val="21"/>
          <w14:textFill>
            <w14:solidFill>
              <w14:schemeClr w14:val="tx1"/>
            </w14:solidFill>
          </w14:textFill>
        </w:rPr>
        <w:t>。</w:t>
      </w:r>
    </w:p>
    <w:p w14:paraId="7C1FB6B5">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3、合同总金额</w:t>
      </w:r>
    </w:p>
    <w:p w14:paraId="3867552D">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3.1合同总金额为人民币大写：</w:t>
      </w:r>
      <w:r>
        <w:rPr>
          <w:rFonts w:hint="eastAsia" w:ascii="宋体" w:hAnsi="宋体" w:cs="宋体"/>
          <w:color w:val="000000" w:themeColor="text1"/>
          <w:sz w:val="21"/>
          <w:szCs w:val="21"/>
          <w:u w:val="single"/>
          <w14:textFill>
            <w14:solidFill>
              <w14:schemeClr w14:val="tx1"/>
            </w14:solidFill>
          </w14:textFill>
        </w:rPr>
        <w:t>      </w:t>
      </w:r>
      <w:r>
        <w:rPr>
          <w:rFonts w:hint="eastAsia" w:ascii="宋体" w:hAnsi="宋体" w:cs="宋体"/>
          <w:color w:val="000000" w:themeColor="text1"/>
          <w:sz w:val="21"/>
          <w:szCs w:val="21"/>
          <w14:textFill>
            <w14:solidFill>
              <w14:schemeClr w14:val="tx1"/>
            </w14:solidFill>
          </w14:textFill>
        </w:rPr>
        <w:t>元(￥</w:t>
      </w:r>
      <w:r>
        <w:rPr>
          <w:rFonts w:hint="eastAsia" w:ascii="宋体" w:hAnsi="宋体" w:cs="宋体"/>
          <w:color w:val="000000" w:themeColor="text1"/>
          <w:sz w:val="21"/>
          <w:szCs w:val="21"/>
          <w:u w:val="single"/>
          <w14:textFill>
            <w14:solidFill>
              <w14:schemeClr w14:val="tx1"/>
            </w14:solidFill>
          </w14:textFill>
        </w:rPr>
        <w:t>       </w:t>
      </w:r>
      <w:r>
        <w:rPr>
          <w:rFonts w:hint="eastAsia" w:ascii="宋体" w:hAnsi="宋体" w:cs="宋体"/>
          <w:color w:val="000000" w:themeColor="text1"/>
          <w:sz w:val="21"/>
          <w:szCs w:val="21"/>
          <w14:textFill>
            <w14:solidFill>
              <w14:schemeClr w14:val="tx1"/>
            </w14:solidFill>
          </w14:textFill>
        </w:rPr>
        <w:t>)。</w:t>
      </w:r>
    </w:p>
    <w:p w14:paraId="72E8D9D0">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4、合同标的交付时间、地点和条件</w:t>
      </w:r>
    </w:p>
    <w:p w14:paraId="2EF59ACD">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4.1交付时间：</w:t>
      </w:r>
      <w:r>
        <w:rPr>
          <w:rFonts w:hint="eastAsia" w:ascii="宋体" w:hAnsi="宋体" w:cs="宋体"/>
          <w:color w:val="000000" w:themeColor="text1"/>
          <w:sz w:val="21"/>
          <w:szCs w:val="21"/>
          <w:u w:val="single"/>
          <w14:textFill>
            <w14:solidFill>
              <w14:schemeClr w14:val="tx1"/>
            </w14:solidFill>
          </w14:textFill>
        </w:rPr>
        <w:t>                     </w:t>
      </w:r>
      <w:r>
        <w:rPr>
          <w:rFonts w:hint="eastAsia" w:ascii="宋体" w:hAnsi="宋体" w:cs="宋体"/>
          <w:color w:val="000000" w:themeColor="text1"/>
          <w:sz w:val="21"/>
          <w:szCs w:val="21"/>
          <w14:textFill>
            <w14:solidFill>
              <w14:schemeClr w14:val="tx1"/>
            </w14:solidFill>
          </w14:textFill>
        </w:rPr>
        <w:t>；</w:t>
      </w:r>
    </w:p>
    <w:p w14:paraId="73A53FFA">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4.2交付地点：</w:t>
      </w:r>
      <w:r>
        <w:rPr>
          <w:rFonts w:hint="eastAsia" w:ascii="宋体" w:hAnsi="宋体" w:cs="宋体"/>
          <w:color w:val="000000" w:themeColor="text1"/>
          <w:sz w:val="21"/>
          <w:szCs w:val="21"/>
          <w:u w:val="single"/>
          <w14:textFill>
            <w14:solidFill>
              <w14:schemeClr w14:val="tx1"/>
            </w14:solidFill>
          </w14:textFill>
        </w:rPr>
        <w:t>                     </w:t>
      </w:r>
      <w:r>
        <w:rPr>
          <w:rFonts w:hint="eastAsia" w:ascii="宋体" w:hAnsi="宋体" w:cs="宋体"/>
          <w:color w:val="000000" w:themeColor="text1"/>
          <w:sz w:val="21"/>
          <w:szCs w:val="21"/>
          <w14:textFill>
            <w14:solidFill>
              <w14:schemeClr w14:val="tx1"/>
            </w14:solidFill>
          </w14:textFill>
        </w:rPr>
        <w:t>；</w:t>
      </w:r>
    </w:p>
    <w:p w14:paraId="3AE35563">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4.3交付条件：</w:t>
      </w:r>
      <w:r>
        <w:rPr>
          <w:rFonts w:hint="eastAsia" w:ascii="宋体" w:hAnsi="宋体" w:cs="宋体"/>
          <w:color w:val="000000" w:themeColor="text1"/>
          <w:sz w:val="21"/>
          <w:szCs w:val="21"/>
          <w:u w:val="single"/>
          <w14:textFill>
            <w14:solidFill>
              <w14:schemeClr w14:val="tx1"/>
            </w14:solidFill>
          </w14:textFill>
        </w:rPr>
        <w:t>                     </w:t>
      </w:r>
      <w:r>
        <w:rPr>
          <w:rFonts w:hint="eastAsia" w:ascii="宋体" w:hAnsi="宋体" w:cs="宋体"/>
          <w:color w:val="000000" w:themeColor="text1"/>
          <w:sz w:val="21"/>
          <w:szCs w:val="21"/>
          <w14:textFill>
            <w14:solidFill>
              <w14:schemeClr w14:val="tx1"/>
            </w14:solidFill>
          </w14:textFill>
        </w:rPr>
        <w:t>。</w:t>
      </w:r>
    </w:p>
    <w:p w14:paraId="44351CCC">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5、合同标的应符合磋商文件、乙方响应文件的规定或约定，具体如下：</w:t>
      </w:r>
    </w:p>
    <w:p w14:paraId="7B590D1A">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(按照实际情况编制填写，可以是表格或文字描述)</w:t>
      </w:r>
      <w:r>
        <w:rPr>
          <w:rFonts w:hint="eastAsia" w:ascii="宋体" w:hAnsi="宋体" w:cs="宋体"/>
          <w:color w:val="000000" w:themeColor="text1"/>
          <w:sz w:val="21"/>
          <w:szCs w:val="21"/>
          <w14:textFill>
            <w14:solidFill>
              <w14:schemeClr w14:val="tx1"/>
            </w14:solidFill>
          </w14:textFill>
        </w:rPr>
        <w:t>。</w:t>
      </w:r>
    </w:p>
    <w:p w14:paraId="1754BFDE">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6、验收</w:t>
      </w:r>
    </w:p>
    <w:p w14:paraId="69454935">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6.1验收应按照磋商文件、乙方响应文件的规定或约定进行，具体如下：</w:t>
      </w:r>
    </w:p>
    <w:p w14:paraId="15E9568A">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(按照实际情况编制填写，可以是表格或文字描述)</w:t>
      </w:r>
      <w:r>
        <w:rPr>
          <w:rFonts w:hint="eastAsia" w:ascii="宋体" w:hAnsi="宋体" w:cs="宋体"/>
          <w:color w:val="000000" w:themeColor="text1"/>
          <w:sz w:val="21"/>
          <w:szCs w:val="21"/>
          <w14:textFill>
            <w14:solidFill>
              <w14:schemeClr w14:val="tx1"/>
            </w14:solidFill>
          </w14:textFill>
        </w:rPr>
        <w:t>。</w:t>
      </w:r>
    </w:p>
    <w:p w14:paraId="4180A49E">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6.2本项目是否邀请其他磋商供应商参与验收：</w:t>
      </w:r>
    </w:p>
    <w:p w14:paraId="68CC9618">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□不邀请。□邀请，具体如下：</w:t>
      </w:r>
      <w:r>
        <w:rPr>
          <w:rFonts w:hint="eastAsia" w:ascii="宋体" w:hAnsi="宋体" w:cs="宋体"/>
          <w:color w:val="000000" w:themeColor="text1"/>
          <w:sz w:val="21"/>
          <w:szCs w:val="21"/>
          <w:u w:val="single"/>
          <w14:textFill>
            <w14:solidFill>
              <w14:schemeClr w14:val="tx1"/>
            </w14:solidFill>
          </w14:textFill>
        </w:rPr>
        <w:t>(按照磋商文件规定填写)</w:t>
      </w:r>
      <w:r>
        <w:rPr>
          <w:rFonts w:hint="eastAsia" w:ascii="宋体" w:hAnsi="宋体" w:cs="宋体"/>
          <w:color w:val="000000" w:themeColor="text1"/>
          <w:sz w:val="21"/>
          <w:szCs w:val="21"/>
          <w14:textFill>
            <w14:solidFill>
              <w14:schemeClr w14:val="tx1"/>
            </w14:solidFill>
          </w14:textFill>
        </w:rPr>
        <w:t>。</w:t>
      </w:r>
    </w:p>
    <w:p w14:paraId="6AD0E8E5">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7、合同款项的支付应按照磋商文件的规定进行，具体如下：</w:t>
      </w:r>
    </w:p>
    <w:p w14:paraId="183383C3">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(按照实际情况编制填写，可以是表格或文字描述，包括一次性支付或分期支付等)</w:t>
      </w:r>
      <w:r>
        <w:rPr>
          <w:rFonts w:hint="eastAsia" w:ascii="宋体" w:hAnsi="宋体" w:cs="宋体"/>
          <w:color w:val="000000" w:themeColor="text1"/>
          <w:sz w:val="21"/>
          <w:szCs w:val="21"/>
          <w14:textFill>
            <w14:solidFill>
              <w14:schemeClr w14:val="tx1"/>
            </w14:solidFill>
          </w14:textFill>
        </w:rPr>
        <w:t>。</w:t>
      </w:r>
    </w:p>
    <w:p w14:paraId="6399B390">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8、履约保证金</w:t>
      </w:r>
    </w:p>
    <w:p w14:paraId="3181C171">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□无。□有，具体如下：</w:t>
      </w:r>
      <w:r>
        <w:rPr>
          <w:rFonts w:hint="eastAsia" w:ascii="宋体" w:hAnsi="宋体" w:cs="宋体"/>
          <w:color w:val="000000" w:themeColor="text1"/>
          <w:sz w:val="21"/>
          <w:szCs w:val="21"/>
          <w:u w:val="single"/>
          <w14:textFill>
            <w14:solidFill>
              <w14:schemeClr w14:val="tx1"/>
            </w14:solidFill>
          </w14:textFill>
        </w:rPr>
        <w:t>(按照磋商文件规定填写)</w:t>
      </w:r>
      <w:r>
        <w:rPr>
          <w:rFonts w:hint="eastAsia" w:ascii="宋体" w:hAnsi="宋体" w:cs="宋体"/>
          <w:color w:val="000000" w:themeColor="text1"/>
          <w:sz w:val="21"/>
          <w:szCs w:val="21"/>
          <w14:textFill>
            <w14:solidFill>
              <w14:schemeClr w14:val="tx1"/>
            </w14:solidFill>
          </w14:textFill>
        </w:rPr>
        <w:t>。</w:t>
      </w:r>
    </w:p>
    <w:p w14:paraId="5C8B731D">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9、合同有效期</w:t>
      </w:r>
    </w:p>
    <w:p w14:paraId="54F04B6B">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(按照实际情况编制填写，可以是表格或文字描述)</w:t>
      </w:r>
      <w:r>
        <w:rPr>
          <w:rFonts w:hint="eastAsia" w:ascii="宋体" w:hAnsi="宋体" w:cs="宋体"/>
          <w:color w:val="000000" w:themeColor="text1"/>
          <w:sz w:val="21"/>
          <w:szCs w:val="21"/>
          <w14:textFill>
            <w14:solidFill>
              <w14:schemeClr w14:val="tx1"/>
            </w14:solidFill>
          </w14:textFill>
        </w:rPr>
        <w:t>。</w:t>
      </w:r>
    </w:p>
    <w:p w14:paraId="166ACCAE">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10、违约责任</w:t>
      </w:r>
    </w:p>
    <w:p w14:paraId="5FBE5F9F">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(按照实际情况编制填写，可以是表格或文字描述)</w:t>
      </w:r>
      <w:r>
        <w:rPr>
          <w:rFonts w:hint="eastAsia" w:ascii="宋体" w:hAnsi="宋体" w:cs="宋体"/>
          <w:color w:val="000000" w:themeColor="text1"/>
          <w:sz w:val="21"/>
          <w:szCs w:val="21"/>
          <w14:textFill>
            <w14:solidFill>
              <w14:schemeClr w14:val="tx1"/>
            </w14:solidFill>
          </w14:textFill>
        </w:rPr>
        <w:t>。</w:t>
      </w:r>
    </w:p>
    <w:p w14:paraId="7364AA19">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11、知识产权</w:t>
      </w:r>
    </w:p>
    <w:p w14:paraId="44EB9896">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14:paraId="276D5876">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cs="宋体"/>
          <w:color w:val="000000" w:themeColor="text1"/>
          <w:sz w:val="21"/>
          <w:szCs w:val="21"/>
          <w:u w:val="single"/>
          <w14:textFill>
            <w14:solidFill>
              <w14:schemeClr w14:val="tx1"/>
            </w14:solidFill>
          </w14:textFill>
        </w:rPr>
        <w:t>(按照实际情况编制填写)</w:t>
      </w:r>
      <w:r>
        <w:rPr>
          <w:rFonts w:hint="eastAsia" w:ascii="宋体" w:hAnsi="宋体" w:cs="宋体"/>
          <w:color w:val="000000" w:themeColor="text1"/>
          <w:sz w:val="21"/>
          <w:szCs w:val="21"/>
          <w14:textFill>
            <w14:solidFill>
              <w14:schemeClr w14:val="tx1"/>
            </w14:solidFill>
          </w14:textFill>
        </w:rPr>
        <w:t>。</w:t>
      </w:r>
    </w:p>
    <w:p w14:paraId="055A8067">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12、解决争议的方法</w:t>
      </w:r>
    </w:p>
    <w:p w14:paraId="237A6C4D">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12.1甲、乙双方协商解决。</w:t>
      </w:r>
    </w:p>
    <w:p w14:paraId="102CEAC2">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12.2若协商解决不成，则通过下列途径之一解决：</w:t>
      </w:r>
    </w:p>
    <w:p w14:paraId="655C6534">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□提交仲裁委员会仲裁，具体如下：</w:t>
      </w:r>
      <w:r>
        <w:rPr>
          <w:rFonts w:hint="eastAsia" w:ascii="宋体" w:hAnsi="宋体" w:cs="宋体"/>
          <w:color w:val="000000" w:themeColor="text1"/>
          <w:sz w:val="21"/>
          <w:szCs w:val="21"/>
          <w:u w:val="single"/>
          <w14:textFill>
            <w14:solidFill>
              <w14:schemeClr w14:val="tx1"/>
            </w14:solidFill>
          </w14:textFill>
        </w:rPr>
        <w:t>(按照实际情况编制填写)</w:t>
      </w:r>
      <w:r>
        <w:rPr>
          <w:rFonts w:hint="eastAsia" w:ascii="宋体" w:hAnsi="宋体" w:cs="宋体"/>
          <w:color w:val="000000" w:themeColor="text1"/>
          <w:sz w:val="21"/>
          <w:szCs w:val="21"/>
          <w14:textFill>
            <w14:solidFill>
              <w14:schemeClr w14:val="tx1"/>
            </w14:solidFill>
          </w14:textFill>
        </w:rPr>
        <w:t>。</w:t>
      </w:r>
    </w:p>
    <w:p w14:paraId="64288D92">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□向人民法院提起诉讼，具体如下：</w:t>
      </w:r>
      <w:r>
        <w:rPr>
          <w:rFonts w:hint="eastAsia" w:ascii="宋体" w:hAnsi="宋体" w:cs="宋体"/>
          <w:color w:val="000000" w:themeColor="text1"/>
          <w:sz w:val="21"/>
          <w:szCs w:val="21"/>
          <w:u w:val="single"/>
          <w14:textFill>
            <w14:solidFill>
              <w14:schemeClr w14:val="tx1"/>
            </w14:solidFill>
          </w14:textFill>
        </w:rPr>
        <w:t>(按照实际情况编制填写)</w:t>
      </w:r>
      <w:r>
        <w:rPr>
          <w:rFonts w:hint="eastAsia" w:ascii="宋体" w:hAnsi="宋体" w:cs="宋体"/>
          <w:color w:val="000000" w:themeColor="text1"/>
          <w:sz w:val="21"/>
          <w:szCs w:val="21"/>
          <w14:textFill>
            <w14:solidFill>
              <w14:schemeClr w14:val="tx1"/>
            </w14:solidFill>
          </w14:textFill>
        </w:rPr>
        <w:t>。</w:t>
      </w:r>
    </w:p>
    <w:p w14:paraId="6367DE37">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13、不可抗力</w:t>
      </w:r>
    </w:p>
    <w:p w14:paraId="50E8375A">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14:paraId="165DAEDD">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13.2本合同中的不可抗力指不能预见、不能避免、不能克服的客观情况，包括但不限于：自然灾害如地震、台风、洪水、火灾及政府行为、法律规定或其适用的变化或其他任何无法预见、避免或控制的事件。</w:t>
      </w:r>
    </w:p>
    <w:p w14:paraId="3B507E4C">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14、合同条款</w:t>
      </w:r>
    </w:p>
    <w:p w14:paraId="4CA07755">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(按照实际情况编制填写。磋商文件已有规定的，双方均不得变更或调整；磋商文件未作规定的，双方可通过友好协商进行约定)</w:t>
      </w:r>
      <w:r>
        <w:rPr>
          <w:rFonts w:hint="eastAsia" w:ascii="宋体" w:hAnsi="宋体" w:cs="宋体"/>
          <w:color w:val="000000" w:themeColor="text1"/>
          <w:sz w:val="21"/>
          <w:szCs w:val="21"/>
          <w14:textFill>
            <w14:solidFill>
              <w14:schemeClr w14:val="tx1"/>
            </w14:solidFill>
          </w14:textFill>
        </w:rPr>
        <w:t>。</w:t>
      </w:r>
    </w:p>
    <w:p w14:paraId="4D7EE5DF">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15、其他约定</w:t>
      </w:r>
    </w:p>
    <w:p w14:paraId="3BF3F1EC">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15.1合同文件与本合同具有同等法律效力。</w:t>
      </w:r>
    </w:p>
    <w:p w14:paraId="4E7CE15D">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15.2本合同未尽事宜，双方可另行补充。</w:t>
      </w:r>
    </w:p>
    <w:p w14:paraId="74AFF409">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15.3合同生效：自签订之日起生效；</w:t>
      </w:r>
    </w:p>
    <w:p w14:paraId="0BDF1BC5">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15.4本合同一式</w:t>
      </w:r>
      <w:r>
        <w:rPr>
          <w:rFonts w:hint="eastAsia" w:ascii="宋体" w:hAnsi="宋体" w:cs="宋体"/>
          <w:color w:val="000000" w:themeColor="text1"/>
          <w:sz w:val="21"/>
          <w:szCs w:val="21"/>
          <w:u w:val="single"/>
          <w14:textFill>
            <w14:solidFill>
              <w14:schemeClr w14:val="tx1"/>
            </w14:solidFill>
          </w14:textFill>
        </w:rPr>
        <w:t>(填写具体份数)</w:t>
      </w:r>
      <w:r>
        <w:rPr>
          <w:rFonts w:hint="eastAsia" w:ascii="宋体" w:hAnsi="宋体" w:cs="宋体"/>
          <w:color w:val="000000" w:themeColor="text1"/>
          <w:sz w:val="21"/>
          <w:szCs w:val="21"/>
          <w14:textFill>
            <w14:solidFill>
              <w14:schemeClr w14:val="tx1"/>
            </w14:solidFill>
          </w14:textFill>
        </w:rPr>
        <w:t>份，经双方授权代表签字并盖章后生效。甲方、乙方各执</w:t>
      </w:r>
      <w:r>
        <w:rPr>
          <w:rFonts w:hint="eastAsia" w:ascii="宋体" w:hAnsi="宋体" w:cs="宋体"/>
          <w:color w:val="000000" w:themeColor="text1"/>
          <w:sz w:val="21"/>
          <w:szCs w:val="21"/>
          <w:u w:val="single"/>
          <w14:textFill>
            <w14:solidFill>
              <w14:schemeClr w14:val="tx1"/>
            </w14:solidFill>
          </w14:textFill>
        </w:rPr>
        <w:t>(填写具体份数)</w:t>
      </w:r>
      <w:r>
        <w:rPr>
          <w:rFonts w:hint="eastAsia" w:ascii="宋体" w:hAnsi="宋体" w:cs="宋体"/>
          <w:color w:val="000000" w:themeColor="text1"/>
          <w:sz w:val="21"/>
          <w:szCs w:val="21"/>
          <w14:textFill>
            <w14:solidFill>
              <w14:schemeClr w14:val="tx1"/>
            </w14:solidFill>
          </w14:textFill>
        </w:rPr>
        <w:t>份，</w:t>
      </w:r>
      <w:r>
        <w:rPr>
          <w:rFonts w:hint="eastAsia"/>
          <w:b/>
          <w:color w:val="000000" w:themeColor="text1"/>
          <w:sz w:val="21"/>
          <w:szCs w:val="21"/>
          <w14:textFill>
            <w14:solidFill>
              <w14:schemeClr w14:val="tx1"/>
            </w14:solidFill>
          </w14:textFill>
        </w:rPr>
        <w:t>送</w:t>
      </w:r>
      <w:r>
        <w:rPr>
          <w:rFonts w:hint="eastAsia"/>
          <w:b/>
          <w:color w:val="000000" w:themeColor="text1"/>
          <w:sz w:val="21"/>
          <w:szCs w:val="21"/>
          <w:u w:val="single"/>
          <w14:textFill>
            <w14:solidFill>
              <w14:schemeClr w14:val="tx1"/>
            </w14:solidFill>
          </w14:textFill>
        </w:rPr>
        <w:t>福建鑫盛项目管理咨询有限公司)</w:t>
      </w:r>
      <w:r>
        <w:rPr>
          <w:rFonts w:hint="eastAsia"/>
          <w:b/>
          <w:color w:val="000000" w:themeColor="text1"/>
          <w:sz w:val="21"/>
          <w:szCs w:val="21"/>
          <w14:textFill>
            <w14:solidFill>
              <w14:schemeClr w14:val="tx1"/>
            </w14:solidFill>
          </w14:textFill>
        </w:rPr>
        <w:t>备案</w:t>
      </w:r>
      <w:r>
        <w:rPr>
          <w:rFonts w:hint="eastAsia"/>
          <w:b/>
          <w:color w:val="000000" w:themeColor="text1"/>
          <w:sz w:val="21"/>
          <w:szCs w:val="21"/>
          <w:u w:val="single"/>
          <w14:textFill>
            <w14:solidFill>
              <w14:schemeClr w14:val="tx1"/>
            </w14:solidFill>
          </w14:textFill>
        </w:rPr>
        <w:t>(壹)</w:t>
      </w:r>
      <w:r>
        <w:rPr>
          <w:rFonts w:hint="eastAsia"/>
          <w:b/>
          <w:color w:val="000000" w:themeColor="text1"/>
          <w:sz w:val="21"/>
          <w:szCs w:val="21"/>
          <w14:textFill>
            <w14:solidFill>
              <w14:schemeClr w14:val="tx1"/>
            </w14:solidFill>
          </w14:textFill>
        </w:rPr>
        <w:t>份，具有同等效力。</w:t>
      </w:r>
    </w:p>
    <w:p w14:paraId="25F9AF27">
      <w:pPr>
        <w:pStyle w:val="30"/>
        <w:widowControl/>
        <w:spacing w:line="320" w:lineRule="exact"/>
        <w:ind w:firstLine="384"/>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15.5其他：□无。□</w:t>
      </w:r>
      <w:r>
        <w:rPr>
          <w:rFonts w:hint="eastAsia" w:ascii="宋体" w:hAnsi="宋体" w:cs="宋体"/>
          <w:color w:val="000000" w:themeColor="text1"/>
          <w:sz w:val="21"/>
          <w:szCs w:val="21"/>
          <w:u w:val="single"/>
          <w14:textFill>
            <w14:solidFill>
              <w14:schemeClr w14:val="tx1"/>
            </w14:solidFill>
          </w14:textFill>
        </w:rPr>
        <w:t>(按照实际情况编制填写需要增加的内容)</w:t>
      </w:r>
      <w:r>
        <w:rPr>
          <w:rFonts w:hint="eastAsia" w:ascii="宋体" w:hAnsi="宋体" w:cs="宋体"/>
          <w:color w:val="000000" w:themeColor="text1"/>
          <w:sz w:val="21"/>
          <w:szCs w:val="21"/>
          <w14:textFill>
            <w14:solidFill>
              <w14:schemeClr w14:val="tx1"/>
            </w14:solidFill>
          </w14:textFill>
        </w:rPr>
        <w:t>。</w:t>
      </w:r>
    </w:p>
    <w:p w14:paraId="3F8C75B2">
      <w:pPr>
        <w:pStyle w:val="30"/>
        <w:widowControl/>
        <w:spacing w:line="36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(以下无正文)</w:t>
      </w:r>
    </w:p>
    <w:p w14:paraId="10626E5F">
      <w:pPr>
        <w:pStyle w:val="30"/>
        <w:widowControl/>
        <w:spacing w:line="36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甲方：                        乙方：</w:t>
      </w:r>
    </w:p>
    <w:p w14:paraId="1A92C91A">
      <w:pPr>
        <w:pStyle w:val="30"/>
        <w:widowControl/>
        <w:spacing w:line="36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住所：                        住所：</w:t>
      </w:r>
    </w:p>
    <w:p w14:paraId="16ABEA83">
      <w:pPr>
        <w:pStyle w:val="30"/>
        <w:widowControl/>
        <w:spacing w:line="36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单位负责人：                    单位负责人：</w:t>
      </w:r>
    </w:p>
    <w:p w14:paraId="31279C56">
      <w:pPr>
        <w:pStyle w:val="30"/>
        <w:widowControl/>
        <w:spacing w:line="36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委托代理人：                     委托代理人：</w:t>
      </w:r>
    </w:p>
    <w:p w14:paraId="003FDDA8">
      <w:pPr>
        <w:pStyle w:val="30"/>
        <w:widowControl/>
        <w:spacing w:line="36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联系方法：                      联系方法：</w:t>
      </w:r>
    </w:p>
    <w:p w14:paraId="7EF215D5">
      <w:pPr>
        <w:pStyle w:val="30"/>
        <w:widowControl/>
        <w:spacing w:line="36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开户银行：                      开户银行：</w:t>
      </w:r>
    </w:p>
    <w:p w14:paraId="1733D193">
      <w:pPr>
        <w:pStyle w:val="30"/>
        <w:widowControl/>
        <w:spacing w:line="36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账号：                        账号：</w:t>
      </w:r>
    </w:p>
    <w:p w14:paraId="29413326">
      <w:pPr>
        <w:pStyle w:val="30"/>
        <w:widowControl/>
        <w:spacing w:line="36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签订地点：</w:t>
      </w:r>
      <w:r>
        <w:rPr>
          <w:rFonts w:hint="eastAsia" w:ascii="宋体" w:hAnsi="宋体" w:cs="宋体"/>
          <w:color w:val="000000" w:themeColor="text1"/>
          <w:sz w:val="21"/>
          <w:szCs w:val="21"/>
          <w:u w:val="single"/>
          <w14:textFill>
            <w14:solidFill>
              <w14:schemeClr w14:val="tx1"/>
            </w14:solidFill>
          </w14:textFill>
        </w:rPr>
        <w:t>                </w:t>
      </w:r>
    </w:p>
    <w:p w14:paraId="66DAD3ED">
      <w:pPr>
        <w:pStyle w:val="30"/>
        <w:spacing w:line="360" w:lineRule="exact"/>
        <w:rPr>
          <w:color w:val="000000" w:themeColor="text1"/>
          <w14:textFill>
            <w14:solidFill>
              <w14:schemeClr w14:val="tx1"/>
            </w14:solidFill>
          </w14:textFill>
        </w:rPr>
      </w:pPr>
    </w:p>
    <w:sectPr>
      <w:headerReference r:id="rId4" w:type="first"/>
      <w:headerReference r:id="rId3" w:type="default"/>
      <w:footerReference r:id="rId5" w:type="default"/>
      <w:footerReference r:id="rId6" w:type="even"/>
      <w:pgSz w:w="11906" w:h="16838"/>
      <w:pgMar w:top="1021" w:right="1134" w:bottom="737" w:left="1134" w:header="454" w:footer="454" w:gutter="0"/>
      <w:pgNumType w:start="1"/>
      <w:cols w:space="720" w:num="1"/>
      <w:titlePg/>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06F" w:usb1="1200FBEF" w:usb2="0064C000" w:usb3="00000002" w:csb0="00000001" w:csb1="40000000"/>
  </w:font>
  <w:font w:name="楷体_GB2312">
    <w:altName w:val="楷体"/>
    <w:panose1 w:val="02010609030101010101"/>
    <w:charset w:val="86"/>
    <w:family w:val="modern"/>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CD2F">
    <w:pPr>
      <w:pStyle w:val="22"/>
      <w:framePr w:wrap="around" w:vAnchor="text" w:hAnchor="page" w:x="9768" w:y="46"/>
      <w:rPr>
        <w:rStyle w:val="38"/>
      </w:rPr>
    </w:pPr>
    <w:r>
      <w:fldChar w:fldCharType="begin"/>
    </w:r>
    <w:r>
      <w:rPr>
        <w:rStyle w:val="38"/>
      </w:rPr>
      <w:instrText xml:space="preserve">PAGE  </w:instrText>
    </w:r>
    <w:r>
      <w:fldChar w:fldCharType="separate"/>
    </w:r>
    <w:r>
      <w:rPr>
        <w:rStyle w:val="38"/>
      </w:rPr>
      <w:t>21</w:t>
    </w:r>
    <w:r>
      <w:fldChar w:fldCharType="end"/>
    </w:r>
    <w:r>
      <w:rPr>
        <w:rStyle w:val="38"/>
        <w:rFonts w:hint="eastAsia"/>
      </w:rPr>
      <w:t>-</w:t>
    </w:r>
    <w:r>
      <w:fldChar w:fldCharType="begin"/>
    </w:r>
    <w:r>
      <w:rPr>
        <w:rStyle w:val="38"/>
      </w:rPr>
      <w:instrText xml:space="preserve"> NUMPAGES </w:instrText>
    </w:r>
    <w:r>
      <w:fldChar w:fldCharType="separate"/>
    </w:r>
    <w:r>
      <w:rPr>
        <w:rStyle w:val="38"/>
      </w:rPr>
      <w:t>44</w:t>
    </w:r>
    <w:r>
      <w:fldChar w:fldCharType="end"/>
    </w:r>
  </w:p>
  <w:p w14:paraId="5E94BA38">
    <w:pPr>
      <w:pStyle w:val="22"/>
      <w:pBdr>
        <w:top w:val="single" w:color="auto" w:sz="4" w:space="1"/>
      </w:pBdr>
      <w:rPr>
        <w:rFonts w:hint="eastAsia"/>
      </w:rPr>
    </w:pPr>
    <w:r>
      <w:rPr>
        <w:rFonts w:hint="eastAsia"/>
      </w:rPr>
      <w:t xml:space="preserve">福建鑫盛项目管理咨询有限公司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CE8E7">
    <w:pPr>
      <w:pStyle w:val="22"/>
      <w:framePr w:wrap="around" w:vAnchor="text" w:hAnchor="margin" w:xAlign="right" w:y="1"/>
      <w:rPr>
        <w:rStyle w:val="38"/>
      </w:rPr>
    </w:pPr>
    <w:r>
      <w:fldChar w:fldCharType="begin"/>
    </w:r>
    <w:r>
      <w:rPr>
        <w:rStyle w:val="38"/>
      </w:rPr>
      <w:instrText xml:space="preserve">PAGE  </w:instrText>
    </w:r>
    <w:r>
      <w:fldChar w:fldCharType="end"/>
    </w:r>
  </w:p>
  <w:p w14:paraId="05CBBFA2">
    <w:pPr>
      <w:pStyle w:val="22"/>
      <w:ind w:right="-90"/>
    </w:pPr>
  </w:p>
  <w:p w14:paraId="554E0AAF"/>
  <w:p w14:paraId="646D979B"/>
  <w:p w14:paraId="28440A68"/>
  <w:p w14:paraId="3A021886"/>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B831A">
    <w:pPr>
      <w:pStyle w:val="23"/>
      <w:tabs>
        <w:tab w:val="clear" w:pos="4153"/>
        <w:tab w:val="clear" w:pos="8306"/>
      </w:tabs>
      <w:jc w:val="both"/>
      <w:rPr>
        <w:rFonts w:hint="eastAsia"/>
      </w:rPr>
    </w:pPr>
    <w:r>
      <w:rPr>
        <w:rFonts w:hint="eastAsia" w:ascii="宋体" w:hAnsi="宋体"/>
        <w:szCs w:val="21"/>
      </w:rPr>
      <w:t>磋商</w:t>
    </w:r>
    <w:r>
      <w:rPr>
        <w:rFonts w:hint="eastAsia"/>
      </w:rPr>
      <w:t>文件                                                                      采购编号：XSCGDH2024137S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AE17A">
    <w:r>
      <w:tab/>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90CBFE"/>
    <w:multiLevelType w:val="singleLevel"/>
    <w:tmpl w:val="9E90CBFE"/>
    <w:lvl w:ilvl="0" w:tentative="0">
      <w:start w:val="1"/>
      <w:numFmt w:val="decimal"/>
      <w:suff w:val="nothing"/>
      <w:lvlText w:val="%1、"/>
      <w:lvlJc w:val="left"/>
    </w:lvl>
  </w:abstractNum>
  <w:abstractNum w:abstractNumId="1">
    <w:nsid w:val="39A5281D"/>
    <w:multiLevelType w:val="multilevel"/>
    <w:tmpl w:val="39A5281D"/>
    <w:lvl w:ilvl="0" w:tentative="0">
      <w:start w:val="1"/>
      <w:numFmt w:val="decimal"/>
      <w:lvlText w:val="(%1)"/>
      <w:lvlJc w:val="left"/>
      <w:pPr>
        <w:tabs>
          <w:tab w:val="left" w:pos="540"/>
        </w:tabs>
        <w:ind w:left="540" w:hanging="360"/>
      </w:pPr>
      <w:rPr>
        <w:rFonts w:hint="default"/>
      </w:rPr>
    </w:lvl>
    <w:lvl w:ilvl="1" w:tentative="0">
      <w:start w:val="1"/>
      <w:numFmt w:val="lowerLetter"/>
      <w:lvlText w:val="%2)"/>
      <w:lvlJc w:val="left"/>
      <w:pPr>
        <w:tabs>
          <w:tab w:val="left" w:pos="1020"/>
        </w:tabs>
        <w:ind w:left="1020" w:hanging="420"/>
      </w:pPr>
    </w:lvl>
    <w:lvl w:ilvl="2" w:tentative="0">
      <w:start w:val="1"/>
      <w:numFmt w:val="lowerRoman"/>
      <w:lvlText w:val="%3."/>
      <w:lvlJc w:val="right"/>
      <w:pPr>
        <w:tabs>
          <w:tab w:val="left" w:pos="1440"/>
        </w:tabs>
        <w:ind w:left="1440" w:hanging="420"/>
      </w:pPr>
    </w:lvl>
    <w:lvl w:ilvl="3" w:tentative="0">
      <w:start w:val="1"/>
      <w:numFmt w:val="decimal"/>
      <w:lvlText w:val="%4."/>
      <w:lvlJc w:val="left"/>
      <w:pPr>
        <w:tabs>
          <w:tab w:val="left" w:pos="1860"/>
        </w:tabs>
        <w:ind w:left="1860" w:hanging="420"/>
      </w:pPr>
    </w:lvl>
    <w:lvl w:ilvl="4" w:tentative="0">
      <w:start w:val="1"/>
      <w:numFmt w:val="lowerLetter"/>
      <w:lvlText w:val="%5)"/>
      <w:lvlJc w:val="left"/>
      <w:pPr>
        <w:tabs>
          <w:tab w:val="left" w:pos="2280"/>
        </w:tabs>
        <w:ind w:left="2280" w:hanging="420"/>
      </w:pPr>
    </w:lvl>
    <w:lvl w:ilvl="5" w:tentative="0">
      <w:start w:val="1"/>
      <w:numFmt w:val="lowerRoman"/>
      <w:lvlText w:val="%6."/>
      <w:lvlJc w:val="right"/>
      <w:pPr>
        <w:tabs>
          <w:tab w:val="left" w:pos="2700"/>
        </w:tabs>
        <w:ind w:left="2700" w:hanging="420"/>
      </w:pPr>
    </w:lvl>
    <w:lvl w:ilvl="6" w:tentative="0">
      <w:start w:val="1"/>
      <w:numFmt w:val="decimal"/>
      <w:lvlText w:val="%7."/>
      <w:lvlJc w:val="left"/>
      <w:pPr>
        <w:tabs>
          <w:tab w:val="left" w:pos="3120"/>
        </w:tabs>
        <w:ind w:left="3120" w:hanging="420"/>
      </w:pPr>
    </w:lvl>
    <w:lvl w:ilvl="7" w:tentative="0">
      <w:start w:val="1"/>
      <w:numFmt w:val="lowerLetter"/>
      <w:lvlText w:val="%8)"/>
      <w:lvlJc w:val="left"/>
      <w:pPr>
        <w:tabs>
          <w:tab w:val="left" w:pos="3540"/>
        </w:tabs>
        <w:ind w:left="3540" w:hanging="420"/>
      </w:pPr>
    </w:lvl>
    <w:lvl w:ilvl="8" w:tentative="0">
      <w:start w:val="1"/>
      <w:numFmt w:val="lowerRoman"/>
      <w:lvlText w:val="%9."/>
      <w:lvlJc w:val="right"/>
      <w:pPr>
        <w:tabs>
          <w:tab w:val="left" w:pos="3960"/>
        </w:tabs>
        <w:ind w:left="3960" w:hanging="420"/>
      </w:pPr>
    </w:lvl>
  </w:abstractNum>
  <w:abstractNum w:abstractNumId="2">
    <w:nsid w:val="47C56378"/>
    <w:multiLevelType w:val="singleLevel"/>
    <w:tmpl w:val="47C56378"/>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FmZTg3YWM2Mzk0NWM1YjFmMTM4OWM1MDU3MjgyNTkifQ=="/>
  </w:docVars>
  <w:rsids>
    <w:rsidRoot w:val="00172A27"/>
    <w:rsid w:val="000001BB"/>
    <w:rsid w:val="0000546A"/>
    <w:rsid w:val="00007A0F"/>
    <w:rsid w:val="000106A1"/>
    <w:rsid w:val="0001297F"/>
    <w:rsid w:val="00012B69"/>
    <w:rsid w:val="0001370D"/>
    <w:rsid w:val="00015F98"/>
    <w:rsid w:val="000176F1"/>
    <w:rsid w:val="00017B4E"/>
    <w:rsid w:val="00020938"/>
    <w:rsid w:val="00022B04"/>
    <w:rsid w:val="0002365F"/>
    <w:rsid w:val="000242F9"/>
    <w:rsid w:val="00024524"/>
    <w:rsid w:val="00026E32"/>
    <w:rsid w:val="00027463"/>
    <w:rsid w:val="000277CC"/>
    <w:rsid w:val="00030148"/>
    <w:rsid w:val="00031D1B"/>
    <w:rsid w:val="000325E9"/>
    <w:rsid w:val="00032B02"/>
    <w:rsid w:val="00034AF3"/>
    <w:rsid w:val="000369FE"/>
    <w:rsid w:val="00037450"/>
    <w:rsid w:val="00037BDB"/>
    <w:rsid w:val="000431F0"/>
    <w:rsid w:val="00043416"/>
    <w:rsid w:val="00044B52"/>
    <w:rsid w:val="00045E71"/>
    <w:rsid w:val="0005177C"/>
    <w:rsid w:val="00053342"/>
    <w:rsid w:val="000549BC"/>
    <w:rsid w:val="00057CE4"/>
    <w:rsid w:val="00060E5C"/>
    <w:rsid w:val="00063A91"/>
    <w:rsid w:val="00065397"/>
    <w:rsid w:val="00070906"/>
    <w:rsid w:val="00071BDC"/>
    <w:rsid w:val="00071D52"/>
    <w:rsid w:val="00073376"/>
    <w:rsid w:val="0007378F"/>
    <w:rsid w:val="000740C3"/>
    <w:rsid w:val="00075D68"/>
    <w:rsid w:val="00076245"/>
    <w:rsid w:val="00076928"/>
    <w:rsid w:val="00076BDE"/>
    <w:rsid w:val="000771CE"/>
    <w:rsid w:val="00081057"/>
    <w:rsid w:val="00081415"/>
    <w:rsid w:val="00082FE0"/>
    <w:rsid w:val="000848C0"/>
    <w:rsid w:val="000852C4"/>
    <w:rsid w:val="00085398"/>
    <w:rsid w:val="00085915"/>
    <w:rsid w:val="000865C9"/>
    <w:rsid w:val="00087D20"/>
    <w:rsid w:val="0009001C"/>
    <w:rsid w:val="0009033E"/>
    <w:rsid w:val="00090A7D"/>
    <w:rsid w:val="00091089"/>
    <w:rsid w:val="00091380"/>
    <w:rsid w:val="00092E3E"/>
    <w:rsid w:val="000932E9"/>
    <w:rsid w:val="00094D14"/>
    <w:rsid w:val="00094FAE"/>
    <w:rsid w:val="00095AB9"/>
    <w:rsid w:val="00095C13"/>
    <w:rsid w:val="00096082"/>
    <w:rsid w:val="000967D6"/>
    <w:rsid w:val="00096ADB"/>
    <w:rsid w:val="000A0234"/>
    <w:rsid w:val="000A04F5"/>
    <w:rsid w:val="000A0850"/>
    <w:rsid w:val="000A0A2E"/>
    <w:rsid w:val="000A1BDE"/>
    <w:rsid w:val="000A1C45"/>
    <w:rsid w:val="000A32D5"/>
    <w:rsid w:val="000A38B2"/>
    <w:rsid w:val="000A44B4"/>
    <w:rsid w:val="000A4E61"/>
    <w:rsid w:val="000A5D62"/>
    <w:rsid w:val="000A6001"/>
    <w:rsid w:val="000B049B"/>
    <w:rsid w:val="000B4040"/>
    <w:rsid w:val="000B5E06"/>
    <w:rsid w:val="000B73B0"/>
    <w:rsid w:val="000B77F4"/>
    <w:rsid w:val="000C0A76"/>
    <w:rsid w:val="000C11E7"/>
    <w:rsid w:val="000C11EE"/>
    <w:rsid w:val="000C1955"/>
    <w:rsid w:val="000C209F"/>
    <w:rsid w:val="000C29C8"/>
    <w:rsid w:val="000C319D"/>
    <w:rsid w:val="000C4B26"/>
    <w:rsid w:val="000C51D6"/>
    <w:rsid w:val="000C617B"/>
    <w:rsid w:val="000C6457"/>
    <w:rsid w:val="000C6819"/>
    <w:rsid w:val="000C7010"/>
    <w:rsid w:val="000C7A95"/>
    <w:rsid w:val="000D0742"/>
    <w:rsid w:val="000D195B"/>
    <w:rsid w:val="000D2A03"/>
    <w:rsid w:val="000D5131"/>
    <w:rsid w:val="000D5AF8"/>
    <w:rsid w:val="000D6610"/>
    <w:rsid w:val="000E2997"/>
    <w:rsid w:val="000E2A89"/>
    <w:rsid w:val="000E2F80"/>
    <w:rsid w:val="000E316E"/>
    <w:rsid w:val="000E4940"/>
    <w:rsid w:val="000E6115"/>
    <w:rsid w:val="000F4B00"/>
    <w:rsid w:val="000F5FEC"/>
    <w:rsid w:val="000F66C9"/>
    <w:rsid w:val="00100917"/>
    <w:rsid w:val="001023CF"/>
    <w:rsid w:val="0010300E"/>
    <w:rsid w:val="00105E0A"/>
    <w:rsid w:val="00107B32"/>
    <w:rsid w:val="00107BC6"/>
    <w:rsid w:val="00111850"/>
    <w:rsid w:val="0011364E"/>
    <w:rsid w:val="001138C0"/>
    <w:rsid w:val="001143C3"/>
    <w:rsid w:val="0011448F"/>
    <w:rsid w:val="00114B04"/>
    <w:rsid w:val="001161FD"/>
    <w:rsid w:val="001169F4"/>
    <w:rsid w:val="001172E9"/>
    <w:rsid w:val="00117F60"/>
    <w:rsid w:val="00120753"/>
    <w:rsid w:val="0012337B"/>
    <w:rsid w:val="0012394A"/>
    <w:rsid w:val="001239EA"/>
    <w:rsid w:val="00124193"/>
    <w:rsid w:val="00125014"/>
    <w:rsid w:val="0012722C"/>
    <w:rsid w:val="00127585"/>
    <w:rsid w:val="001309A4"/>
    <w:rsid w:val="001344DC"/>
    <w:rsid w:val="001359EB"/>
    <w:rsid w:val="00136686"/>
    <w:rsid w:val="00137DA9"/>
    <w:rsid w:val="00141D66"/>
    <w:rsid w:val="00143750"/>
    <w:rsid w:val="00143E8A"/>
    <w:rsid w:val="001458E0"/>
    <w:rsid w:val="00145E5C"/>
    <w:rsid w:val="00146E05"/>
    <w:rsid w:val="001503CB"/>
    <w:rsid w:val="00156EBD"/>
    <w:rsid w:val="001618CB"/>
    <w:rsid w:val="001634EB"/>
    <w:rsid w:val="00165FF8"/>
    <w:rsid w:val="00166006"/>
    <w:rsid w:val="00166E08"/>
    <w:rsid w:val="00167854"/>
    <w:rsid w:val="001678CB"/>
    <w:rsid w:val="00170114"/>
    <w:rsid w:val="00171262"/>
    <w:rsid w:val="001721CB"/>
    <w:rsid w:val="00172A27"/>
    <w:rsid w:val="00172EE5"/>
    <w:rsid w:val="0017345C"/>
    <w:rsid w:val="00175E55"/>
    <w:rsid w:val="0017609A"/>
    <w:rsid w:val="0017718B"/>
    <w:rsid w:val="00177867"/>
    <w:rsid w:val="00177A91"/>
    <w:rsid w:val="00177F96"/>
    <w:rsid w:val="0018122B"/>
    <w:rsid w:val="001819F4"/>
    <w:rsid w:val="00182A67"/>
    <w:rsid w:val="00182A7B"/>
    <w:rsid w:val="00182EDA"/>
    <w:rsid w:val="00184945"/>
    <w:rsid w:val="001853A1"/>
    <w:rsid w:val="00185549"/>
    <w:rsid w:val="001869A0"/>
    <w:rsid w:val="00187BD9"/>
    <w:rsid w:val="00190EAB"/>
    <w:rsid w:val="00193067"/>
    <w:rsid w:val="0019406C"/>
    <w:rsid w:val="00194C71"/>
    <w:rsid w:val="001974D8"/>
    <w:rsid w:val="00197736"/>
    <w:rsid w:val="00197BC9"/>
    <w:rsid w:val="001A0C18"/>
    <w:rsid w:val="001A1C88"/>
    <w:rsid w:val="001A52F1"/>
    <w:rsid w:val="001A5AD9"/>
    <w:rsid w:val="001A5C3A"/>
    <w:rsid w:val="001A62E0"/>
    <w:rsid w:val="001B1C6C"/>
    <w:rsid w:val="001B2D46"/>
    <w:rsid w:val="001B36D2"/>
    <w:rsid w:val="001B575D"/>
    <w:rsid w:val="001B5D7A"/>
    <w:rsid w:val="001C0223"/>
    <w:rsid w:val="001C0739"/>
    <w:rsid w:val="001C1675"/>
    <w:rsid w:val="001C16D0"/>
    <w:rsid w:val="001C3952"/>
    <w:rsid w:val="001C48F5"/>
    <w:rsid w:val="001C4C02"/>
    <w:rsid w:val="001C6E98"/>
    <w:rsid w:val="001C78D7"/>
    <w:rsid w:val="001D0EA3"/>
    <w:rsid w:val="001D2F28"/>
    <w:rsid w:val="001D33B2"/>
    <w:rsid w:val="001D43CB"/>
    <w:rsid w:val="001D70D6"/>
    <w:rsid w:val="001D726D"/>
    <w:rsid w:val="001D78BA"/>
    <w:rsid w:val="001E1209"/>
    <w:rsid w:val="001E16A6"/>
    <w:rsid w:val="001E2016"/>
    <w:rsid w:val="001E2820"/>
    <w:rsid w:val="001E3AC2"/>
    <w:rsid w:val="001E6075"/>
    <w:rsid w:val="001F17FE"/>
    <w:rsid w:val="001F4234"/>
    <w:rsid w:val="00200286"/>
    <w:rsid w:val="0020057F"/>
    <w:rsid w:val="00200739"/>
    <w:rsid w:val="00200B9C"/>
    <w:rsid w:val="002011B4"/>
    <w:rsid w:val="002021D7"/>
    <w:rsid w:val="00203D78"/>
    <w:rsid w:val="00204A0F"/>
    <w:rsid w:val="0020538C"/>
    <w:rsid w:val="00211927"/>
    <w:rsid w:val="00212517"/>
    <w:rsid w:val="00212DEB"/>
    <w:rsid w:val="002149F0"/>
    <w:rsid w:val="00215FFE"/>
    <w:rsid w:val="0021756F"/>
    <w:rsid w:val="002204CB"/>
    <w:rsid w:val="00220B08"/>
    <w:rsid w:val="00223378"/>
    <w:rsid w:val="002238EE"/>
    <w:rsid w:val="00223953"/>
    <w:rsid w:val="00223A48"/>
    <w:rsid w:val="00223FB7"/>
    <w:rsid w:val="00224D85"/>
    <w:rsid w:val="002314EF"/>
    <w:rsid w:val="002321F8"/>
    <w:rsid w:val="0023258C"/>
    <w:rsid w:val="00234C40"/>
    <w:rsid w:val="00234EAC"/>
    <w:rsid w:val="0023587B"/>
    <w:rsid w:val="002363A6"/>
    <w:rsid w:val="00237559"/>
    <w:rsid w:val="00240B70"/>
    <w:rsid w:val="00240DF0"/>
    <w:rsid w:val="002422B2"/>
    <w:rsid w:val="00243895"/>
    <w:rsid w:val="002443CD"/>
    <w:rsid w:val="0024639B"/>
    <w:rsid w:val="00246618"/>
    <w:rsid w:val="0024685A"/>
    <w:rsid w:val="00246FE6"/>
    <w:rsid w:val="002478B7"/>
    <w:rsid w:val="00250730"/>
    <w:rsid w:val="00250A4D"/>
    <w:rsid w:val="00250F43"/>
    <w:rsid w:val="00251CC5"/>
    <w:rsid w:val="00253192"/>
    <w:rsid w:val="00254323"/>
    <w:rsid w:val="00254EAE"/>
    <w:rsid w:val="002557A5"/>
    <w:rsid w:val="00257360"/>
    <w:rsid w:val="0025748E"/>
    <w:rsid w:val="00260120"/>
    <w:rsid w:val="00260994"/>
    <w:rsid w:val="00261D1E"/>
    <w:rsid w:val="002642C9"/>
    <w:rsid w:val="0026643B"/>
    <w:rsid w:val="00266D58"/>
    <w:rsid w:val="0026756C"/>
    <w:rsid w:val="00270598"/>
    <w:rsid w:val="002713E9"/>
    <w:rsid w:val="00274AC4"/>
    <w:rsid w:val="00275533"/>
    <w:rsid w:val="00275773"/>
    <w:rsid w:val="00275C3A"/>
    <w:rsid w:val="0027693F"/>
    <w:rsid w:val="00276CEC"/>
    <w:rsid w:val="002771E8"/>
    <w:rsid w:val="002819F2"/>
    <w:rsid w:val="00281E8E"/>
    <w:rsid w:val="002847C8"/>
    <w:rsid w:val="0028712A"/>
    <w:rsid w:val="00287D0B"/>
    <w:rsid w:val="00287F37"/>
    <w:rsid w:val="00293DB1"/>
    <w:rsid w:val="00295E3B"/>
    <w:rsid w:val="00296CEC"/>
    <w:rsid w:val="00297823"/>
    <w:rsid w:val="00297F3C"/>
    <w:rsid w:val="002A2E6A"/>
    <w:rsid w:val="002A3288"/>
    <w:rsid w:val="002A44FD"/>
    <w:rsid w:val="002A48E2"/>
    <w:rsid w:val="002A4C7C"/>
    <w:rsid w:val="002A601E"/>
    <w:rsid w:val="002A61B4"/>
    <w:rsid w:val="002B0844"/>
    <w:rsid w:val="002B1F0A"/>
    <w:rsid w:val="002B24C2"/>
    <w:rsid w:val="002B4B84"/>
    <w:rsid w:val="002B516C"/>
    <w:rsid w:val="002B5B70"/>
    <w:rsid w:val="002B7DF4"/>
    <w:rsid w:val="002C02BE"/>
    <w:rsid w:val="002C035E"/>
    <w:rsid w:val="002C0EA0"/>
    <w:rsid w:val="002C16B5"/>
    <w:rsid w:val="002C17EF"/>
    <w:rsid w:val="002C39C7"/>
    <w:rsid w:val="002C479A"/>
    <w:rsid w:val="002C4AD1"/>
    <w:rsid w:val="002C69FC"/>
    <w:rsid w:val="002C6E5B"/>
    <w:rsid w:val="002C79CE"/>
    <w:rsid w:val="002D2197"/>
    <w:rsid w:val="002D2B61"/>
    <w:rsid w:val="002D4B45"/>
    <w:rsid w:val="002D5911"/>
    <w:rsid w:val="002D67BF"/>
    <w:rsid w:val="002D70F6"/>
    <w:rsid w:val="002D7D32"/>
    <w:rsid w:val="002E0B9F"/>
    <w:rsid w:val="002E2637"/>
    <w:rsid w:val="002E283E"/>
    <w:rsid w:val="002E3C2C"/>
    <w:rsid w:val="002E3D1C"/>
    <w:rsid w:val="002E436D"/>
    <w:rsid w:val="002E5D12"/>
    <w:rsid w:val="002E683C"/>
    <w:rsid w:val="002E751F"/>
    <w:rsid w:val="002F2267"/>
    <w:rsid w:val="002F6927"/>
    <w:rsid w:val="002F6E39"/>
    <w:rsid w:val="0030199A"/>
    <w:rsid w:val="00301BA7"/>
    <w:rsid w:val="0030206B"/>
    <w:rsid w:val="00303A7F"/>
    <w:rsid w:val="00305D17"/>
    <w:rsid w:val="00305F5B"/>
    <w:rsid w:val="00305FD7"/>
    <w:rsid w:val="00306707"/>
    <w:rsid w:val="003069F0"/>
    <w:rsid w:val="00306D06"/>
    <w:rsid w:val="003106DD"/>
    <w:rsid w:val="00310CE9"/>
    <w:rsid w:val="00310D60"/>
    <w:rsid w:val="00313BF9"/>
    <w:rsid w:val="00317CBA"/>
    <w:rsid w:val="0032012C"/>
    <w:rsid w:val="00322BB0"/>
    <w:rsid w:val="003241FF"/>
    <w:rsid w:val="00324D4F"/>
    <w:rsid w:val="003259D3"/>
    <w:rsid w:val="00326D32"/>
    <w:rsid w:val="00332CC0"/>
    <w:rsid w:val="00333380"/>
    <w:rsid w:val="00335EBC"/>
    <w:rsid w:val="003375E3"/>
    <w:rsid w:val="00340812"/>
    <w:rsid w:val="0034183D"/>
    <w:rsid w:val="00342D63"/>
    <w:rsid w:val="003459BB"/>
    <w:rsid w:val="00346462"/>
    <w:rsid w:val="00350B94"/>
    <w:rsid w:val="003543E9"/>
    <w:rsid w:val="00355499"/>
    <w:rsid w:val="003566C0"/>
    <w:rsid w:val="00357231"/>
    <w:rsid w:val="0036057B"/>
    <w:rsid w:val="00362E0E"/>
    <w:rsid w:val="00363094"/>
    <w:rsid w:val="00365022"/>
    <w:rsid w:val="00365BEE"/>
    <w:rsid w:val="003665A9"/>
    <w:rsid w:val="00367660"/>
    <w:rsid w:val="0037084E"/>
    <w:rsid w:val="003734D1"/>
    <w:rsid w:val="00373A6D"/>
    <w:rsid w:val="00376FF3"/>
    <w:rsid w:val="003776AD"/>
    <w:rsid w:val="003776FB"/>
    <w:rsid w:val="00377BED"/>
    <w:rsid w:val="00380CD4"/>
    <w:rsid w:val="003813B8"/>
    <w:rsid w:val="003816B4"/>
    <w:rsid w:val="00382812"/>
    <w:rsid w:val="00383454"/>
    <w:rsid w:val="003858D6"/>
    <w:rsid w:val="003922DD"/>
    <w:rsid w:val="003931AB"/>
    <w:rsid w:val="0039425E"/>
    <w:rsid w:val="003957EA"/>
    <w:rsid w:val="003A1E13"/>
    <w:rsid w:val="003A305C"/>
    <w:rsid w:val="003A37D2"/>
    <w:rsid w:val="003A5302"/>
    <w:rsid w:val="003A5395"/>
    <w:rsid w:val="003A71F4"/>
    <w:rsid w:val="003A7DE2"/>
    <w:rsid w:val="003B207C"/>
    <w:rsid w:val="003B2859"/>
    <w:rsid w:val="003B4040"/>
    <w:rsid w:val="003B6BE5"/>
    <w:rsid w:val="003C078B"/>
    <w:rsid w:val="003C24C8"/>
    <w:rsid w:val="003C24DE"/>
    <w:rsid w:val="003C2BC4"/>
    <w:rsid w:val="003C5386"/>
    <w:rsid w:val="003C63D0"/>
    <w:rsid w:val="003C67D2"/>
    <w:rsid w:val="003D07D9"/>
    <w:rsid w:val="003D2BFA"/>
    <w:rsid w:val="003D3043"/>
    <w:rsid w:val="003D3322"/>
    <w:rsid w:val="003D388C"/>
    <w:rsid w:val="003D41F7"/>
    <w:rsid w:val="003D6F11"/>
    <w:rsid w:val="003E03BE"/>
    <w:rsid w:val="003E086E"/>
    <w:rsid w:val="003E2688"/>
    <w:rsid w:val="003E4F3C"/>
    <w:rsid w:val="003E5672"/>
    <w:rsid w:val="003E6122"/>
    <w:rsid w:val="003E7593"/>
    <w:rsid w:val="003E79EF"/>
    <w:rsid w:val="003F1F4D"/>
    <w:rsid w:val="003F2F00"/>
    <w:rsid w:val="003F321C"/>
    <w:rsid w:val="003F4BBA"/>
    <w:rsid w:val="003F55D5"/>
    <w:rsid w:val="003F6DF4"/>
    <w:rsid w:val="00400619"/>
    <w:rsid w:val="00401A62"/>
    <w:rsid w:val="004021D6"/>
    <w:rsid w:val="00403F4A"/>
    <w:rsid w:val="0040568B"/>
    <w:rsid w:val="004056D2"/>
    <w:rsid w:val="004057CA"/>
    <w:rsid w:val="0040662D"/>
    <w:rsid w:val="00411F0A"/>
    <w:rsid w:val="00412171"/>
    <w:rsid w:val="00413A8C"/>
    <w:rsid w:val="00414715"/>
    <w:rsid w:val="00415401"/>
    <w:rsid w:val="00421A69"/>
    <w:rsid w:val="0042223C"/>
    <w:rsid w:val="0042288E"/>
    <w:rsid w:val="00423689"/>
    <w:rsid w:val="00424B3F"/>
    <w:rsid w:val="00431048"/>
    <w:rsid w:val="004356F2"/>
    <w:rsid w:val="00436AF1"/>
    <w:rsid w:val="00441C80"/>
    <w:rsid w:val="00441E39"/>
    <w:rsid w:val="00443313"/>
    <w:rsid w:val="00443592"/>
    <w:rsid w:val="00444239"/>
    <w:rsid w:val="00445021"/>
    <w:rsid w:val="00446127"/>
    <w:rsid w:val="0045076C"/>
    <w:rsid w:val="00450A6E"/>
    <w:rsid w:val="00450C56"/>
    <w:rsid w:val="0045202C"/>
    <w:rsid w:val="004521AE"/>
    <w:rsid w:val="00452A11"/>
    <w:rsid w:val="00452FD0"/>
    <w:rsid w:val="00453BAB"/>
    <w:rsid w:val="004544E4"/>
    <w:rsid w:val="00455FF6"/>
    <w:rsid w:val="004562EE"/>
    <w:rsid w:val="0045703D"/>
    <w:rsid w:val="00463441"/>
    <w:rsid w:val="00466D3A"/>
    <w:rsid w:val="004674C2"/>
    <w:rsid w:val="00472230"/>
    <w:rsid w:val="00474087"/>
    <w:rsid w:val="00476ACB"/>
    <w:rsid w:val="00476DB7"/>
    <w:rsid w:val="004771B4"/>
    <w:rsid w:val="00477F75"/>
    <w:rsid w:val="00480419"/>
    <w:rsid w:val="00480A18"/>
    <w:rsid w:val="00480E0A"/>
    <w:rsid w:val="004857F8"/>
    <w:rsid w:val="004A1327"/>
    <w:rsid w:val="004A2086"/>
    <w:rsid w:val="004A3072"/>
    <w:rsid w:val="004A52C1"/>
    <w:rsid w:val="004A78AF"/>
    <w:rsid w:val="004B3699"/>
    <w:rsid w:val="004B3DE9"/>
    <w:rsid w:val="004B3EE3"/>
    <w:rsid w:val="004B4CAC"/>
    <w:rsid w:val="004B7B7C"/>
    <w:rsid w:val="004C20F5"/>
    <w:rsid w:val="004C30B2"/>
    <w:rsid w:val="004C3705"/>
    <w:rsid w:val="004C5C1F"/>
    <w:rsid w:val="004C6FD6"/>
    <w:rsid w:val="004C7A8F"/>
    <w:rsid w:val="004C7BA1"/>
    <w:rsid w:val="004D064D"/>
    <w:rsid w:val="004D0DE7"/>
    <w:rsid w:val="004D359A"/>
    <w:rsid w:val="004D40F9"/>
    <w:rsid w:val="004D5778"/>
    <w:rsid w:val="004E2DDF"/>
    <w:rsid w:val="004E416E"/>
    <w:rsid w:val="004E7A5C"/>
    <w:rsid w:val="004E7F1C"/>
    <w:rsid w:val="004F2BD5"/>
    <w:rsid w:val="004F3168"/>
    <w:rsid w:val="004F40BD"/>
    <w:rsid w:val="004F55B9"/>
    <w:rsid w:val="004F6446"/>
    <w:rsid w:val="004F7117"/>
    <w:rsid w:val="00500413"/>
    <w:rsid w:val="00501440"/>
    <w:rsid w:val="005060E9"/>
    <w:rsid w:val="00507D03"/>
    <w:rsid w:val="00510871"/>
    <w:rsid w:val="005155C2"/>
    <w:rsid w:val="00515631"/>
    <w:rsid w:val="00515698"/>
    <w:rsid w:val="00521E3E"/>
    <w:rsid w:val="00521ED0"/>
    <w:rsid w:val="005222F4"/>
    <w:rsid w:val="0052569D"/>
    <w:rsid w:val="00526887"/>
    <w:rsid w:val="00526A24"/>
    <w:rsid w:val="00530E2D"/>
    <w:rsid w:val="00531DD6"/>
    <w:rsid w:val="0053260D"/>
    <w:rsid w:val="00534C89"/>
    <w:rsid w:val="005357B9"/>
    <w:rsid w:val="005361E8"/>
    <w:rsid w:val="00537988"/>
    <w:rsid w:val="005428E3"/>
    <w:rsid w:val="00542C9A"/>
    <w:rsid w:val="00543117"/>
    <w:rsid w:val="0054378F"/>
    <w:rsid w:val="00543794"/>
    <w:rsid w:val="00546120"/>
    <w:rsid w:val="00550745"/>
    <w:rsid w:val="0055245D"/>
    <w:rsid w:val="00553348"/>
    <w:rsid w:val="005541B1"/>
    <w:rsid w:val="005543AE"/>
    <w:rsid w:val="00555F80"/>
    <w:rsid w:val="00556994"/>
    <w:rsid w:val="005609DD"/>
    <w:rsid w:val="00561581"/>
    <w:rsid w:val="00561C7D"/>
    <w:rsid w:val="005622E0"/>
    <w:rsid w:val="005658F8"/>
    <w:rsid w:val="005672DF"/>
    <w:rsid w:val="00570440"/>
    <w:rsid w:val="00570596"/>
    <w:rsid w:val="005717EE"/>
    <w:rsid w:val="00572543"/>
    <w:rsid w:val="0057428E"/>
    <w:rsid w:val="00575F18"/>
    <w:rsid w:val="00577CEF"/>
    <w:rsid w:val="005833A0"/>
    <w:rsid w:val="0058536C"/>
    <w:rsid w:val="00585607"/>
    <w:rsid w:val="00586C84"/>
    <w:rsid w:val="0058708E"/>
    <w:rsid w:val="00591545"/>
    <w:rsid w:val="005943C4"/>
    <w:rsid w:val="0059496F"/>
    <w:rsid w:val="005950EB"/>
    <w:rsid w:val="00596BCC"/>
    <w:rsid w:val="005A096C"/>
    <w:rsid w:val="005A1155"/>
    <w:rsid w:val="005A2858"/>
    <w:rsid w:val="005A38C9"/>
    <w:rsid w:val="005A4471"/>
    <w:rsid w:val="005A4518"/>
    <w:rsid w:val="005A5DDD"/>
    <w:rsid w:val="005A795F"/>
    <w:rsid w:val="005B5A01"/>
    <w:rsid w:val="005B5FBF"/>
    <w:rsid w:val="005B63BF"/>
    <w:rsid w:val="005C15DE"/>
    <w:rsid w:val="005C1D38"/>
    <w:rsid w:val="005C34A7"/>
    <w:rsid w:val="005C4148"/>
    <w:rsid w:val="005C5F72"/>
    <w:rsid w:val="005C6632"/>
    <w:rsid w:val="005C6E42"/>
    <w:rsid w:val="005C7649"/>
    <w:rsid w:val="005D1406"/>
    <w:rsid w:val="005D3A53"/>
    <w:rsid w:val="005D41A7"/>
    <w:rsid w:val="005D4F2D"/>
    <w:rsid w:val="005D53CB"/>
    <w:rsid w:val="005D5565"/>
    <w:rsid w:val="005D6C4D"/>
    <w:rsid w:val="005D7108"/>
    <w:rsid w:val="005E0A42"/>
    <w:rsid w:val="005E116B"/>
    <w:rsid w:val="005E1D33"/>
    <w:rsid w:val="005E5899"/>
    <w:rsid w:val="005E5A17"/>
    <w:rsid w:val="005E660E"/>
    <w:rsid w:val="005F0533"/>
    <w:rsid w:val="005F093B"/>
    <w:rsid w:val="005F2E12"/>
    <w:rsid w:val="005F6973"/>
    <w:rsid w:val="005F758B"/>
    <w:rsid w:val="00601350"/>
    <w:rsid w:val="00601462"/>
    <w:rsid w:val="0060163F"/>
    <w:rsid w:val="00602EB5"/>
    <w:rsid w:val="00603667"/>
    <w:rsid w:val="00603EE5"/>
    <w:rsid w:val="00605621"/>
    <w:rsid w:val="00606A01"/>
    <w:rsid w:val="0061038F"/>
    <w:rsid w:val="006113BF"/>
    <w:rsid w:val="0061357D"/>
    <w:rsid w:val="00621C04"/>
    <w:rsid w:val="00622157"/>
    <w:rsid w:val="006229FE"/>
    <w:rsid w:val="00622E45"/>
    <w:rsid w:val="00623026"/>
    <w:rsid w:val="00625D6A"/>
    <w:rsid w:val="006262BF"/>
    <w:rsid w:val="00626389"/>
    <w:rsid w:val="00627504"/>
    <w:rsid w:val="00630FCD"/>
    <w:rsid w:val="00632362"/>
    <w:rsid w:val="00632FF3"/>
    <w:rsid w:val="006344D9"/>
    <w:rsid w:val="00635736"/>
    <w:rsid w:val="006444F4"/>
    <w:rsid w:val="00650106"/>
    <w:rsid w:val="00650A7C"/>
    <w:rsid w:val="00650C22"/>
    <w:rsid w:val="006520E9"/>
    <w:rsid w:val="00655E38"/>
    <w:rsid w:val="00656218"/>
    <w:rsid w:val="006570EE"/>
    <w:rsid w:val="006574F1"/>
    <w:rsid w:val="006577AE"/>
    <w:rsid w:val="00657BA6"/>
    <w:rsid w:val="006622C2"/>
    <w:rsid w:val="00665452"/>
    <w:rsid w:val="00665ECC"/>
    <w:rsid w:val="006663CB"/>
    <w:rsid w:val="006670AC"/>
    <w:rsid w:val="00670477"/>
    <w:rsid w:val="00671E43"/>
    <w:rsid w:val="0067424A"/>
    <w:rsid w:val="00674A37"/>
    <w:rsid w:val="00675667"/>
    <w:rsid w:val="006762B1"/>
    <w:rsid w:val="00676CB2"/>
    <w:rsid w:val="00676F52"/>
    <w:rsid w:val="00677840"/>
    <w:rsid w:val="00677F69"/>
    <w:rsid w:val="0068032D"/>
    <w:rsid w:val="00682272"/>
    <w:rsid w:val="006825BB"/>
    <w:rsid w:val="006833CC"/>
    <w:rsid w:val="00683B05"/>
    <w:rsid w:val="006852FA"/>
    <w:rsid w:val="0068718A"/>
    <w:rsid w:val="006875ED"/>
    <w:rsid w:val="006910F1"/>
    <w:rsid w:val="0069191C"/>
    <w:rsid w:val="00692C70"/>
    <w:rsid w:val="00693007"/>
    <w:rsid w:val="0069311A"/>
    <w:rsid w:val="006931D6"/>
    <w:rsid w:val="00695C6B"/>
    <w:rsid w:val="00695C7D"/>
    <w:rsid w:val="00695F52"/>
    <w:rsid w:val="006969E9"/>
    <w:rsid w:val="00697384"/>
    <w:rsid w:val="00697BC9"/>
    <w:rsid w:val="00697EF9"/>
    <w:rsid w:val="006A130B"/>
    <w:rsid w:val="006A1D62"/>
    <w:rsid w:val="006A42F7"/>
    <w:rsid w:val="006A4555"/>
    <w:rsid w:val="006A48D4"/>
    <w:rsid w:val="006A4AF1"/>
    <w:rsid w:val="006A66DE"/>
    <w:rsid w:val="006A6A21"/>
    <w:rsid w:val="006A711B"/>
    <w:rsid w:val="006A7B88"/>
    <w:rsid w:val="006A7C99"/>
    <w:rsid w:val="006C0B1C"/>
    <w:rsid w:val="006C1E98"/>
    <w:rsid w:val="006C24DB"/>
    <w:rsid w:val="006C283E"/>
    <w:rsid w:val="006C39F3"/>
    <w:rsid w:val="006C418E"/>
    <w:rsid w:val="006C51E6"/>
    <w:rsid w:val="006C54B6"/>
    <w:rsid w:val="006C7146"/>
    <w:rsid w:val="006C7CE9"/>
    <w:rsid w:val="006D06E8"/>
    <w:rsid w:val="006D39DD"/>
    <w:rsid w:val="006D41A3"/>
    <w:rsid w:val="006D627E"/>
    <w:rsid w:val="006D6294"/>
    <w:rsid w:val="006D6E10"/>
    <w:rsid w:val="006E1D76"/>
    <w:rsid w:val="006E3F4B"/>
    <w:rsid w:val="006E54C2"/>
    <w:rsid w:val="006E6376"/>
    <w:rsid w:val="006E69BE"/>
    <w:rsid w:val="006E6FFB"/>
    <w:rsid w:val="006F02CD"/>
    <w:rsid w:val="006F0766"/>
    <w:rsid w:val="006F11CA"/>
    <w:rsid w:val="006F1258"/>
    <w:rsid w:val="006F3287"/>
    <w:rsid w:val="006F3640"/>
    <w:rsid w:val="006F50B7"/>
    <w:rsid w:val="006F5769"/>
    <w:rsid w:val="0070036B"/>
    <w:rsid w:val="00701AC6"/>
    <w:rsid w:val="007020F7"/>
    <w:rsid w:val="0070402B"/>
    <w:rsid w:val="00704DFB"/>
    <w:rsid w:val="007054AC"/>
    <w:rsid w:val="007061CF"/>
    <w:rsid w:val="00706214"/>
    <w:rsid w:val="00706D13"/>
    <w:rsid w:val="00710A29"/>
    <w:rsid w:val="00710BFD"/>
    <w:rsid w:val="007111EC"/>
    <w:rsid w:val="00711F7D"/>
    <w:rsid w:val="00712CD9"/>
    <w:rsid w:val="00713CB4"/>
    <w:rsid w:val="00717058"/>
    <w:rsid w:val="0072054C"/>
    <w:rsid w:val="0072222A"/>
    <w:rsid w:val="00722BF8"/>
    <w:rsid w:val="007236DD"/>
    <w:rsid w:val="0072384E"/>
    <w:rsid w:val="0072528D"/>
    <w:rsid w:val="00730C13"/>
    <w:rsid w:val="00731F4D"/>
    <w:rsid w:val="007358A0"/>
    <w:rsid w:val="00737B89"/>
    <w:rsid w:val="0074261A"/>
    <w:rsid w:val="00743E41"/>
    <w:rsid w:val="00747EEA"/>
    <w:rsid w:val="00752906"/>
    <w:rsid w:val="00755483"/>
    <w:rsid w:val="007555A4"/>
    <w:rsid w:val="007604E9"/>
    <w:rsid w:val="0076125E"/>
    <w:rsid w:val="00761A1E"/>
    <w:rsid w:val="00761E36"/>
    <w:rsid w:val="00762922"/>
    <w:rsid w:val="007631E3"/>
    <w:rsid w:val="00763DF0"/>
    <w:rsid w:val="00764B5C"/>
    <w:rsid w:val="00764E25"/>
    <w:rsid w:val="007651D0"/>
    <w:rsid w:val="00765DD1"/>
    <w:rsid w:val="007728BF"/>
    <w:rsid w:val="007737D0"/>
    <w:rsid w:val="007758EB"/>
    <w:rsid w:val="00775911"/>
    <w:rsid w:val="00775AC4"/>
    <w:rsid w:val="00775E5A"/>
    <w:rsid w:val="007801CD"/>
    <w:rsid w:val="00780285"/>
    <w:rsid w:val="00782836"/>
    <w:rsid w:val="00782D4C"/>
    <w:rsid w:val="00790258"/>
    <w:rsid w:val="007905CD"/>
    <w:rsid w:val="00791811"/>
    <w:rsid w:val="0079320E"/>
    <w:rsid w:val="0079335D"/>
    <w:rsid w:val="007938AE"/>
    <w:rsid w:val="00794718"/>
    <w:rsid w:val="00797D06"/>
    <w:rsid w:val="007A0D52"/>
    <w:rsid w:val="007A0F33"/>
    <w:rsid w:val="007A394D"/>
    <w:rsid w:val="007A60B8"/>
    <w:rsid w:val="007A7291"/>
    <w:rsid w:val="007B01F9"/>
    <w:rsid w:val="007B0679"/>
    <w:rsid w:val="007B1288"/>
    <w:rsid w:val="007B216F"/>
    <w:rsid w:val="007B69D9"/>
    <w:rsid w:val="007C0132"/>
    <w:rsid w:val="007C1BB3"/>
    <w:rsid w:val="007C2228"/>
    <w:rsid w:val="007C2637"/>
    <w:rsid w:val="007C3DF8"/>
    <w:rsid w:val="007C46E7"/>
    <w:rsid w:val="007C5288"/>
    <w:rsid w:val="007C58DC"/>
    <w:rsid w:val="007C5B02"/>
    <w:rsid w:val="007C7CE1"/>
    <w:rsid w:val="007D0AD7"/>
    <w:rsid w:val="007D1603"/>
    <w:rsid w:val="007D1E42"/>
    <w:rsid w:val="007D3143"/>
    <w:rsid w:val="007D3378"/>
    <w:rsid w:val="007D3741"/>
    <w:rsid w:val="007D3F8C"/>
    <w:rsid w:val="007D443F"/>
    <w:rsid w:val="007D71AE"/>
    <w:rsid w:val="007D7813"/>
    <w:rsid w:val="007E0187"/>
    <w:rsid w:val="007E08FD"/>
    <w:rsid w:val="007E14C8"/>
    <w:rsid w:val="007E1B23"/>
    <w:rsid w:val="007E72C1"/>
    <w:rsid w:val="007E74DC"/>
    <w:rsid w:val="007F0BE3"/>
    <w:rsid w:val="007F2798"/>
    <w:rsid w:val="007F3DF8"/>
    <w:rsid w:val="007F43B9"/>
    <w:rsid w:val="007F4C75"/>
    <w:rsid w:val="007F50C6"/>
    <w:rsid w:val="007F50F7"/>
    <w:rsid w:val="007F6BC1"/>
    <w:rsid w:val="008005B8"/>
    <w:rsid w:val="008012DF"/>
    <w:rsid w:val="00802307"/>
    <w:rsid w:val="0080285F"/>
    <w:rsid w:val="00806CC4"/>
    <w:rsid w:val="00806D2D"/>
    <w:rsid w:val="00811D82"/>
    <w:rsid w:val="008148DE"/>
    <w:rsid w:val="00814EAF"/>
    <w:rsid w:val="0081500C"/>
    <w:rsid w:val="00815563"/>
    <w:rsid w:val="008205AA"/>
    <w:rsid w:val="00821132"/>
    <w:rsid w:val="00822264"/>
    <w:rsid w:val="00833963"/>
    <w:rsid w:val="00833B26"/>
    <w:rsid w:val="00833D6D"/>
    <w:rsid w:val="00835229"/>
    <w:rsid w:val="00835B05"/>
    <w:rsid w:val="00840278"/>
    <w:rsid w:val="008421EF"/>
    <w:rsid w:val="0084352F"/>
    <w:rsid w:val="00843AA9"/>
    <w:rsid w:val="00844A2A"/>
    <w:rsid w:val="00844D74"/>
    <w:rsid w:val="00844E0D"/>
    <w:rsid w:val="00845C6F"/>
    <w:rsid w:val="00846FB0"/>
    <w:rsid w:val="00847B6B"/>
    <w:rsid w:val="0085002B"/>
    <w:rsid w:val="00850318"/>
    <w:rsid w:val="00850B30"/>
    <w:rsid w:val="00853230"/>
    <w:rsid w:val="00853572"/>
    <w:rsid w:val="00854032"/>
    <w:rsid w:val="00856318"/>
    <w:rsid w:val="00857F99"/>
    <w:rsid w:val="00860883"/>
    <w:rsid w:val="008624DF"/>
    <w:rsid w:val="00862F2D"/>
    <w:rsid w:val="0086317D"/>
    <w:rsid w:val="008638E3"/>
    <w:rsid w:val="00863BEB"/>
    <w:rsid w:val="00864C7E"/>
    <w:rsid w:val="00870084"/>
    <w:rsid w:val="008725CF"/>
    <w:rsid w:val="00874186"/>
    <w:rsid w:val="0087589C"/>
    <w:rsid w:val="008766D3"/>
    <w:rsid w:val="00880268"/>
    <w:rsid w:val="00882236"/>
    <w:rsid w:val="008841CD"/>
    <w:rsid w:val="008904D5"/>
    <w:rsid w:val="008908DF"/>
    <w:rsid w:val="00890F7B"/>
    <w:rsid w:val="0089407D"/>
    <w:rsid w:val="00896281"/>
    <w:rsid w:val="00896BB0"/>
    <w:rsid w:val="008A22FE"/>
    <w:rsid w:val="008B07F3"/>
    <w:rsid w:val="008B1A1B"/>
    <w:rsid w:val="008B1FC8"/>
    <w:rsid w:val="008B2732"/>
    <w:rsid w:val="008B2865"/>
    <w:rsid w:val="008B3473"/>
    <w:rsid w:val="008B502A"/>
    <w:rsid w:val="008B5138"/>
    <w:rsid w:val="008B5573"/>
    <w:rsid w:val="008B56C8"/>
    <w:rsid w:val="008B76BB"/>
    <w:rsid w:val="008B7D4F"/>
    <w:rsid w:val="008C004E"/>
    <w:rsid w:val="008C1081"/>
    <w:rsid w:val="008C3C4A"/>
    <w:rsid w:val="008C4F2E"/>
    <w:rsid w:val="008C6336"/>
    <w:rsid w:val="008C7417"/>
    <w:rsid w:val="008C7EC3"/>
    <w:rsid w:val="008D0163"/>
    <w:rsid w:val="008D1BA2"/>
    <w:rsid w:val="008D22EC"/>
    <w:rsid w:val="008D3E88"/>
    <w:rsid w:val="008D5402"/>
    <w:rsid w:val="008D6181"/>
    <w:rsid w:val="008D6799"/>
    <w:rsid w:val="008D73FB"/>
    <w:rsid w:val="008D7526"/>
    <w:rsid w:val="008E0958"/>
    <w:rsid w:val="008E12D6"/>
    <w:rsid w:val="008E1E7C"/>
    <w:rsid w:val="008E4B9A"/>
    <w:rsid w:val="008E5E7A"/>
    <w:rsid w:val="008E6423"/>
    <w:rsid w:val="008E6B07"/>
    <w:rsid w:val="008F2504"/>
    <w:rsid w:val="008F261B"/>
    <w:rsid w:val="008F2DE8"/>
    <w:rsid w:val="008F37C5"/>
    <w:rsid w:val="008F458C"/>
    <w:rsid w:val="008F4882"/>
    <w:rsid w:val="008F48E5"/>
    <w:rsid w:val="008F653B"/>
    <w:rsid w:val="009005E0"/>
    <w:rsid w:val="009009A5"/>
    <w:rsid w:val="00900B22"/>
    <w:rsid w:val="00901010"/>
    <w:rsid w:val="00901089"/>
    <w:rsid w:val="0090309B"/>
    <w:rsid w:val="00903F13"/>
    <w:rsid w:val="009062D8"/>
    <w:rsid w:val="00911CCF"/>
    <w:rsid w:val="0091291A"/>
    <w:rsid w:val="00912FD6"/>
    <w:rsid w:val="00913336"/>
    <w:rsid w:val="009138B1"/>
    <w:rsid w:val="00914837"/>
    <w:rsid w:val="00915E59"/>
    <w:rsid w:val="009200AE"/>
    <w:rsid w:val="00920300"/>
    <w:rsid w:val="00921A0F"/>
    <w:rsid w:val="00921B88"/>
    <w:rsid w:val="00923BF6"/>
    <w:rsid w:val="00926321"/>
    <w:rsid w:val="00926B3A"/>
    <w:rsid w:val="0093254A"/>
    <w:rsid w:val="009333FD"/>
    <w:rsid w:val="00934554"/>
    <w:rsid w:val="009452D4"/>
    <w:rsid w:val="00945F1B"/>
    <w:rsid w:val="00954685"/>
    <w:rsid w:val="00954D9A"/>
    <w:rsid w:val="00956C1B"/>
    <w:rsid w:val="00956E8B"/>
    <w:rsid w:val="009602B5"/>
    <w:rsid w:val="009627BF"/>
    <w:rsid w:val="00962E6D"/>
    <w:rsid w:val="00964220"/>
    <w:rsid w:val="00965FCB"/>
    <w:rsid w:val="0096633B"/>
    <w:rsid w:val="00967240"/>
    <w:rsid w:val="0096796C"/>
    <w:rsid w:val="00973474"/>
    <w:rsid w:val="0097466C"/>
    <w:rsid w:val="0097613A"/>
    <w:rsid w:val="00976381"/>
    <w:rsid w:val="00976A8E"/>
    <w:rsid w:val="00977EB7"/>
    <w:rsid w:val="00980871"/>
    <w:rsid w:val="00981177"/>
    <w:rsid w:val="009812E8"/>
    <w:rsid w:val="00985134"/>
    <w:rsid w:val="00985CDB"/>
    <w:rsid w:val="00985E6E"/>
    <w:rsid w:val="00986885"/>
    <w:rsid w:val="009873A7"/>
    <w:rsid w:val="009911E1"/>
    <w:rsid w:val="00992710"/>
    <w:rsid w:val="00995888"/>
    <w:rsid w:val="00995D0E"/>
    <w:rsid w:val="009A00F4"/>
    <w:rsid w:val="009A1554"/>
    <w:rsid w:val="009A2F13"/>
    <w:rsid w:val="009A32E5"/>
    <w:rsid w:val="009A3EA0"/>
    <w:rsid w:val="009A496A"/>
    <w:rsid w:val="009A4C07"/>
    <w:rsid w:val="009A55EF"/>
    <w:rsid w:val="009A567A"/>
    <w:rsid w:val="009A61D2"/>
    <w:rsid w:val="009A6E96"/>
    <w:rsid w:val="009A78FA"/>
    <w:rsid w:val="009B1C7C"/>
    <w:rsid w:val="009B38D8"/>
    <w:rsid w:val="009B3B83"/>
    <w:rsid w:val="009B40A9"/>
    <w:rsid w:val="009B48D6"/>
    <w:rsid w:val="009C3BCC"/>
    <w:rsid w:val="009C44A1"/>
    <w:rsid w:val="009C5F09"/>
    <w:rsid w:val="009C641C"/>
    <w:rsid w:val="009C64E6"/>
    <w:rsid w:val="009C6A65"/>
    <w:rsid w:val="009D0D6A"/>
    <w:rsid w:val="009D12DF"/>
    <w:rsid w:val="009D16F2"/>
    <w:rsid w:val="009D1BA6"/>
    <w:rsid w:val="009D40EF"/>
    <w:rsid w:val="009D41B3"/>
    <w:rsid w:val="009D6F2F"/>
    <w:rsid w:val="009D75D2"/>
    <w:rsid w:val="009E0176"/>
    <w:rsid w:val="009E1A09"/>
    <w:rsid w:val="009E1C18"/>
    <w:rsid w:val="009E1D3A"/>
    <w:rsid w:val="009E1EC9"/>
    <w:rsid w:val="009E39B7"/>
    <w:rsid w:val="009E415A"/>
    <w:rsid w:val="009E4DE0"/>
    <w:rsid w:val="009E5B23"/>
    <w:rsid w:val="009E6513"/>
    <w:rsid w:val="009F0852"/>
    <w:rsid w:val="009F18D0"/>
    <w:rsid w:val="009F3873"/>
    <w:rsid w:val="009F5F1B"/>
    <w:rsid w:val="009F637D"/>
    <w:rsid w:val="009F754F"/>
    <w:rsid w:val="009F7E44"/>
    <w:rsid w:val="00A00002"/>
    <w:rsid w:val="00A020A7"/>
    <w:rsid w:val="00A022A5"/>
    <w:rsid w:val="00A024B3"/>
    <w:rsid w:val="00A039E7"/>
    <w:rsid w:val="00A03E26"/>
    <w:rsid w:val="00A04570"/>
    <w:rsid w:val="00A0547A"/>
    <w:rsid w:val="00A05A51"/>
    <w:rsid w:val="00A06182"/>
    <w:rsid w:val="00A066C2"/>
    <w:rsid w:val="00A06F88"/>
    <w:rsid w:val="00A114AF"/>
    <w:rsid w:val="00A12EEB"/>
    <w:rsid w:val="00A14580"/>
    <w:rsid w:val="00A15774"/>
    <w:rsid w:val="00A16A41"/>
    <w:rsid w:val="00A16F56"/>
    <w:rsid w:val="00A1741D"/>
    <w:rsid w:val="00A17D50"/>
    <w:rsid w:val="00A20E9F"/>
    <w:rsid w:val="00A20F1E"/>
    <w:rsid w:val="00A21FF5"/>
    <w:rsid w:val="00A22334"/>
    <w:rsid w:val="00A2410D"/>
    <w:rsid w:val="00A24F11"/>
    <w:rsid w:val="00A253CC"/>
    <w:rsid w:val="00A256D3"/>
    <w:rsid w:val="00A265B5"/>
    <w:rsid w:val="00A26B1B"/>
    <w:rsid w:val="00A27EAA"/>
    <w:rsid w:val="00A3121C"/>
    <w:rsid w:val="00A31642"/>
    <w:rsid w:val="00A31661"/>
    <w:rsid w:val="00A339FF"/>
    <w:rsid w:val="00A347DC"/>
    <w:rsid w:val="00A364A7"/>
    <w:rsid w:val="00A433E3"/>
    <w:rsid w:val="00A4353E"/>
    <w:rsid w:val="00A45E4F"/>
    <w:rsid w:val="00A46321"/>
    <w:rsid w:val="00A46C3C"/>
    <w:rsid w:val="00A46F47"/>
    <w:rsid w:val="00A5303A"/>
    <w:rsid w:val="00A537F0"/>
    <w:rsid w:val="00A5465E"/>
    <w:rsid w:val="00A61020"/>
    <w:rsid w:val="00A614D4"/>
    <w:rsid w:val="00A63704"/>
    <w:rsid w:val="00A674B5"/>
    <w:rsid w:val="00A7106D"/>
    <w:rsid w:val="00A718E9"/>
    <w:rsid w:val="00A77EAE"/>
    <w:rsid w:val="00A810E5"/>
    <w:rsid w:val="00A82B72"/>
    <w:rsid w:val="00A839BF"/>
    <w:rsid w:val="00A83F11"/>
    <w:rsid w:val="00A84A05"/>
    <w:rsid w:val="00A84EDC"/>
    <w:rsid w:val="00A86858"/>
    <w:rsid w:val="00A86E79"/>
    <w:rsid w:val="00A87138"/>
    <w:rsid w:val="00A915CA"/>
    <w:rsid w:val="00A92760"/>
    <w:rsid w:val="00A92A92"/>
    <w:rsid w:val="00A92AD4"/>
    <w:rsid w:val="00A936CA"/>
    <w:rsid w:val="00A94D50"/>
    <w:rsid w:val="00A95CC4"/>
    <w:rsid w:val="00A97550"/>
    <w:rsid w:val="00A979BB"/>
    <w:rsid w:val="00A97D63"/>
    <w:rsid w:val="00A97E4A"/>
    <w:rsid w:val="00AA15ED"/>
    <w:rsid w:val="00AA37E2"/>
    <w:rsid w:val="00AA3F52"/>
    <w:rsid w:val="00AA4F57"/>
    <w:rsid w:val="00AB0DE2"/>
    <w:rsid w:val="00AB1566"/>
    <w:rsid w:val="00AB36E1"/>
    <w:rsid w:val="00AB37B1"/>
    <w:rsid w:val="00AB4666"/>
    <w:rsid w:val="00AB5113"/>
    <w:rsid w:val="00AC0BD3"/>
    <w:rsid w:val="00AC166C"/>
    <w:rsid w:val="00AC1B90"/>
    <w:rsid w:val="00AC1CD4"/>
    <w:rsid w:val="00AC4AE9"/>
    <w:rsid w:val="00AC742D"/>
    <w:rsid w:val="00AC7E71"/>
    <w:rsid w:val="00AD092D"/>
    <w:rsid w:val="00AD132D"/>
    <w:rsid w:val="00AD34C1"/>
    <w:rsid w:val="00AD578E"/>
    <w:rsid w:val="00AE04A4"/>
    <w:rsid w:val="00AE0FC9"/>
    <w:rsid w:val="00AE1843"/>
    <w:rsid w:val="00AE2C9C"/>
    <w:rsid w:val="00AE7214"/>
    <w:rsid w:val="00AE78B6"/>
    <w:rsid w:val="00AF1F9A"/>
    <w:rsid w:val="00AF2B18"/>
    <w:rsid w:val="00AF3263"/>
    <w:rsid w:val="00AF39ED"/>
    <w:rsid w:val="00AF3B42"/>
    <w:rsid w:val="00AF484D"/>
    <w:rsid w:val="00AF5F5D"/>
    <w:rsid w:val="00AF7559"/>
    <w:rsid w:val="00B02F88"/>
    <w:rsid w:val="00B041CA"/>
    <w:rsid w:val="00B04939"/>
    <w:rsid w:val="00B04D9F"/>
    <w:rsid w:val="00B13D63"/>
    <w:rsid w:val="00B142C0"/>
    <w:rsid w:val="00B1431A"/>
    <w:rsid w:val="00B14D80"/>
    <w:rsid w:val="00B15530"/>
    <w:rsid w:val="00B163FB"/>
    <w:rsid w:val="00B17EEA"/>
    <w:rsid w:val="00B20996"/>
    <w:rsid w:val="00B22028"/>
    <w:rsid w:val="00B233E6"/>
    <w:rsid w:val="00B2737B"/>
    <w:rsid w:val="00B32385"/>
    <w:rsid w:val="00B3508A"/>
    <w:rsid w:val="00B41B69"/>
    <w:rsid w:val="00B42526"/>
    <w:rsid w:val="00B42B5D"/>
    <w:rsid w:val="00B43BEC"/>
    <w:rsid w:val="00B43C87"/>
    <w:rsid w:val="00B44237"/>
    <w:rsid w:val="00B44F16"/>
    <w:rsid w:val="00B45CCF"/>
    <w:rsid w:val="00B46039"/>
    <w:rsid w:val="00B460F1"/>
    <w:rsid w:val="00B47358"/>
    <w:rsid w:val="00B4746A"/>
    <w:rsid w:val="00B47A1A"/>
    <w:rsid w:val="00B517C0"/>
    <w:rsid w:val="00B51C2F"/>
    <w:rsid w:val="00B520E8"/>
    <w:rsid w:val="00B526DA"/>
    <w:rsid w:val="00B53CCD"/>
    <w:rsid w:val="00B53E22"/>
    <w:rsid w:val="00B56065"/>
    <w:rsid w:val="00B60765"/>
    <w:rsid w:val="00B62430"/>
    <w:rsid w:val="00B639BF"/>
    <w:rsid w:val="00B63D95"/>
    <w:rsid w:val="00B65EB6"/>
    <w:rsid w:val="00B66451"/>
    <w:rsid w:val="00B67F7D"/>
    <w:rsid w:val="00B710EC"/>
    <w:rsid w:val="00B71BB0"/>
    <w:rsid w:val="00B7436E"/>
    <w:rsid w:val="00B74C71"/>
    <w:rsid w:val="00B75451"/>
    <w:rsid w:val="00B75E43"/>
    <w:rsid w:val="00B77998"/>
    <w:rsid w:val="00B81018"/>
    <w:rsid w:val="00B8300E"/>
    <w:rsid w:val="00B83867"/>
    <w:rsid w:val="00B83ED3"/>
    <w:rsid w:val="00B84112"/>
    <w:rsid w:val="00B848D1"/>
    <w:rsid w:val="00B84F78"/>
    <w:rsid w:val="00B85574"/>
    <w:rsid w:val="00B8661B"/>
    <w:rsid w:val="00B871E5"/>
    <w:rsid w:val="00B92644"/>
    <w:rsid w:val="00B930AC"/>
    <w:rsid w:val="00B94AC7"/>
    <w:rsid w:val="00B96816"/>
    <w:rsid w:val="00B96901"/>
    <w:rsid w:val="00B96A95"/>
    <w:rsid w:val="00B974F7"/>
    <w:rsid w:val="00BA1D10"/>
    <w:rsid w:val="00BA30D3"/>
    <w:rsid w:val="00BA325C"/>
    <w:rsid w:val="00BA36A3"/>
    <w:rsid w:val="00BA5A1A"/>
    <w:rsid w:val="00BB20E1"/>
    <w:rsid w:val="00BB239E"/>
    <w:rsid w:val="00BB2491"/>
    <w:rsid w:val="00BB26A0"/>
    <w:rsid w:val="00BB42FE"/>
    <w:rsid w:val="00BB491A"/>
    <w:rsid w:val="00BB4A1A"/>
    <w:rsid w:val="00BB5C98"/>
    <w:rsid w:val="00BB6C27"/>
    <w:rsid w:val="00BC0602"/>
    <w:rsid w:val="00BC6366"/>
    <w:rsid w:val="00BD0EA3"/>
    <w:rsid w:val="00BD23A8"/>
    <w:rsid w:val="00BD23E7"/>
    <w:rsid w:val="00BD4877"/>
    <w:rsid w:val="00BD4CFF"/>
    <w:rsid w:val="00BD64EC"/>
    <w:rsid w:val="00BE1554"/>
    <w:rsid w:val="00BE35B7"/>
    <w:rsid w:val="00BF1AEA"/>
    <w:rsid w:val="00BF1CCB"/>
    <w:rsid w:val="00BF3032"/>
    <w:rsid w:val="00BF3F14"/>
    <w:rsid w:val="00BF47D9"/>
    <w:rsid w:val="00BF48BE"/>
    <w:rsid w:val="00BF61B5"/>
    <w:rsid w:val="00BF6681"/>
    <w:rsid w:val="00BF677F"/>
    <w:rsid w:val="00BF6A1E"/>
    <w:rsid w:val="00BF7EC2"/>
    <w:rsid w:val="00C00074"/>
    <w:rsid w:val="00C006B0"/>
    <w:rsid w:val="00C00AAA"/>
    <w:rsid w:val="00C0112C"/>
    <w:rsid w:val="00C01406"/>
    <w:rsid w:val="00C03E6B"/>
    <w:rsid w:val="00C04165"/>
    <w:rsid w:val="00C04B31"/>
    <w:rsid w:val="00C04E82"/>
    <w:rsid w:val="00C04FEB"/>
    <w:rsid w:val="00C07AC9"/>
    <w:rsid w:val="00C1074B"/>
    <w:rsid w:val="00C13DDA"/>
    <w:rsid w:val="00C14667"/>
    <w:rsid w:val="00C1566B"/>
    <w:rsid w:val="00C16873"/>
    <w:rsid w:val="00C20024"/>
    <w:rsid w:val="00C202EC"/>
    <w:rsid w:val="00C20E55"/>
    <w:rsid w:val="00C21211"/>
    <w:rsid w:val="00C214A3"/>
    <w:rsid w:val="00C21C0C"/>
    <w:rsid w:val="00C2513D"/>
    <w:rsid w:val="00C2767D"/>
    <w:rsid w:val="00C27EC9"/>
    <w:rsid w:val="00C31898"/>
    <w:rsid w:val="00C322D9"/>
    <w:rsid w:val="00C341DF"/>
    <w:rsid w:val="00C34510"/>
    <w:rsid w:val="00C36110"/>
    <w:rsid w:val="00C3751E"/>
    <w:rsid w:val="00C37DE3"/>
    <w:rsid w:val="00C42BED"/>
    <w:rsid w:val="00C45369"/>
    <w:rsid w:val="00C46FCF"/>
    <w:rsid w:val="00C4706F"/>
    <w:rsid w:val="00C47BF0"/>
    <w:rsid w:val="00C505A4"/>
    <w:rsid w:val="00C50A62"/>
    <w:rsid w:val="00C51EA4"/>
    <w:rsid w:val="00C5239A"/>
    <w:rsid w:val="00C52AB0"/>
    <w:rsid w:val="00C560ED"/>
    <w:rsid w:val="00C5652D"/>
    <w:rsid w:val="00C56697"/>
    <w:rsid w:val="00C56A83"/>
    <w:rsid w:val="00C606B7"/>
    <w:rsid w:val="00C607F9"/>
    <w:rsid w:val="00C62E33"/>
    <w:rsid w:val="00C631C1"/>
    <w:rsid w:val="00C6446D"/>
    <w:rsid w:val="00C66282"/>
    <w:rsid w:val="00C66AB0"/>
    <w:rsid w:val="00C70D4B"/>
    <w:rsid w:val="00C71715"/>
    <w:rsid w:val="00C73E7A"/>
    <w:rsid w:val="00C76CD7"/>
    <w:rsid w:val="00C776B5"/>
    <w:rsid w:val="00C81F17"/>
    <w:rsid w:val="00C833CF"/>
    <w:rsid w:val="00C861ED"/>
    <w:rsid w:val="00C90F3D"/>
    <w:rsid w:val="00C92712"/>
    <w:rsid w:val="00C927EA"/>
    <w:rsid w:val="00C93739"/>
    <w:rsid w:val="00C9435E"/>
    <w:rsid w:val="00C95195"/>
    <w:rsid w:val="00C9535E"/>
    <w:rsid w:val="00C95878"/>
    <w:rsid w:val="00C95DE7"/>
    <w:rsid w:val="00C969ED"/>
    <w:rsid w:val="00C97E86"/>
    <w:rsid w:val="00CA1428"/>
    <w:rsid w:val="00CA14D7"/>
    <w:rsid w:val="00CA4F0D"/>
    <w:rsid w:val="00CA52C8"/>
    <w:rsid w:val="00CA7CA8"/>
    <w:rsid w:val="00CB0EBD"/>
    <w:rsid w:val="00CB1701"/>
    <w:rsid w:val="00CB2B3A"/>
    <w:rsid w:val="00CB3527"/>
    <w:rsid w:val="00CB3AE6"/>
    <w:rsid w:val="00CB3C9F"/>
    <w:rsid w:val="00CB5BE5"/>
    <w:rsid w:val="00CB6951"/>
    <w:rsid w:val="00CB7FC9"/>
    <w:rsid w:val="00CC0400"/>
    <w:rsid w:val="00CC6400"/>
    <w:rsid w:val="00CC7FE4"/>
    <w:rsid w:val="00CD06CC"/>
    <w:rsid w:val="00CD133C"/>
    <w:rsid w:val="00CD2098"/>
    <w:rsid w:val="00CD237C"/>
    <w:rsid w:val="00CD2C98"/>
    <w:rsid w:val="00CD40F9"/>
    <w:rsid w:val="00CD4992"/>
    <w:rsid w:val="00CD66D6"/>
    <w:rsid w:val="00CD6AE7"/>
    <w:rsid w:val="00CD6D13"/>
    <w:rsid w:val="00CE1F9F"/>
    <w:rsid w:val="00CE2778"/>
    <w:rsid w:val="00CE4136"/>
    <w:rsid w:val="00CE5597"/>
    <w:rsid w:val="00CE580D"/>
    <w:rsid w:val="00CE76A6"/>
    <w:rsid w:val="00CE7ADD"/>
    <w:rsid w:val="00CE7BD1"/>
    <w:rsid w:val="00CF17DB"/>
    <w:rsid w:val="00CF4D50"/>
    <w:rsid w:val="00CF4FAC"/>
    <w:rsid w:val="00D01797"/>
    <w:rsid w:val="00D0353B"/>
    <w:rsid w:val="00D03736"/>
    <w:rsid w:val="00D0393B"/>
    <w:rsid w:val="00D048E8"/>
    <w:rsid w:val="00D078BC"/>
    <w:rsid w:val="00D102D6"/>
    <w:rsid w:val="00D10875"/>
    <w:rsid w:val="00D11C51"/>
    <w:rsid w:val="00D134D9"/>
    <w:rsid w:val="00D13914"/>
    <w:rsid w:val="00D1524C"/>
    <w:rsid w:val="00D15406"/>
    <w:rsid w:val="00D15795"/>
    <w:rsid w:val="00D15C8A"/>
    <w:rsid w:val="00D15EA4"/>
    <w:rsid w:val="00D177AF"/>
    <w:rsid w:val="00D1794C"/>
    <w:rsid w:val="00D20419"/>
    <w:rsid w:val="00D20BE3"/>
    <w:rsid w:val="00D20E43"/>
    <w:rsid w:val="00D2294C"/>
    <w:rsid w:val="00D23080"/>
    <w:rsid w:val="00D23215"/>
    <w:rsid w:val="00D2344B"/>
    <w:rsid w:val="00D30374"/>
    <w:rsid w:val="00D33042"/>
    <w:rsid w:val="00D36206"/>
    <w:rsid w:val="00D36FCD"/>
    <w:rsid w:val="00D3791D"/>
    <w:rsid w:val="00D41DA3"/>
    <w:rsid w:val="00D438CB"/>
    <w:rsid w:val="00D43CD4"/>
    <w:rsid w:val="00D43F55"/>
    <w:rsid w:val="00D444E0"/>
    <w:rsid w:val="00D44E14"/>
    <w:rsid w:val="00D452B2"/>
    <w:rsid w:val="00D516F1"/>
    <w:rsid w:val="00D546CC"/>
    <w:rsid w:val="00D5702E"/>
    <w:rsid w:val="00D57D97"/>
    <w:rsid w:val="00D60A5E"/>
    <w:rsid w:val="00D63C61"/>
    <w:rsid w:val="00D6592D"/>
    <w:rsid w:val="00D664FD"/>
    <w:rsid w:val="00D66A75"/>
    <w:rsid w:val="00D70383"/>
    <w:rsid w:val="00D708E3"/>
    <w:rsid w:val="00D70C98"/>
    <w:rsid w:val="00D73960"/>
    <w:rsid w:val="00D76C30"/>
    <w:rsid w:val="00D76C3B"/>
    <w:rsid w:val="00D76F28"/>
    <w:rsid w:val="00D77589"/>
    <w:rsid w:val="00D778F0"/>
    <w:rsid w:val="00D80364"/>
    <w:rsid w:val="00D81ADD"/>
    <w:rsid w:val="00D84819"/>
    <w:rsid w:val="00D84BC9"/>
    <w:rsid w:val="00D869AD"/>
    <w:rsid w:val="00D87895"/>
    <w:rsid w:val="00D929AD"/>
    <w:rsid w:val="00D9547D"/>
    <w:rsid w:val="00D97BA5"/>
    <w:rsid w:val="00DA0D4D"/>
    <w:rsid w:val="00DA1531"/>
    <w:rsid w:val="00DA2275"/>
    <w:rsid w:val="00DA37DB"/>
    <w:rsid w:val="00DA4DD4"/>
    <w:rsid w:val="00DA64AE"/>
    <w:rsid w:val="00DA782B"/>
    <w:rsid w:val="00DA7D14"/>
    <w:rsid w:val="00DB126A"/>
    <w:rsid w:val="00DB1B77"/>
    <w:rsid w:val="00DB3E12"/>
    <w:rsid w:val="00DB7C30"/>
    <w:rsid w:val="00DC062F"/>
    <w:rsid w:val="00DC25A1"/>
    <w:rsid w:val="00DC398B"/>
    <w:rsid w:val="00DC39D0"/>
    <w:rsid w:val="00DC436F"/>
    <w:rsid w:val="00DC4F36"/>
    <w:rsid w:val="00DD023D"/>
    <w:rsid w:val="00DD2283"/>
    <w:rsid w:val="00DD258B"/>
    <w:rsid w:val="00DD4455"/>
    <w:rsid w:val="00DD4887"/>
    <w:rsid w:val="00DD4B22"/>
    <w:rsid w:val="00DD4E6E"/>
    <w:rsid w:val="00DD5FB5"/>
    <w:rsid w:val="00DD6527"/>
    <w:rsid w:val="00DD75AB"/>
    <w:rsid w:val="00DE21E4"/>
    <w:rsid w:val="00DE2AEC"/>
    <w:rsid w:val="00DE31C0"/>
    <w:rsid w:val="00DE35C2"/>
    <w:rsid w:val="00DE4238"/>
    <w:rsid w:val="00DE4F29"/>
    <w:rsid w:val="00DE5119"/>
    <w:rsid w:val="00DE567F"/>
    <w:rsid w:val="00DE7326"/>
    <w:rsid w:val="00DE7D35"/>
    <w:rsid w:val="00DF08D5"/>
    <w:rsid w:val="00DF0D6A"/>
    <w:rsid w:val="00DF5277"/>
    <w:rsid w:val="00DF67F0"/>
    <w:rsid w:val="00DF6FA1"/>
    <w:rsid w:val="00DF77E0"/>
    <w:rsid w:val="00E024EA"/>
    <w:rsid w:val="00E02FCD"/>
    <w:rsid w:val="00E03F99"/>
    <w:rsid w:val="00E042A7"/>
    <w:rsid w:val="00E04AAD"/>
    <w:rsid w:val="00E04D1C"/>
    <w:rsid w:val="00E0550F"/>
    <w:rsid w:val="00E10B22"/>
    <w:rsid w:val="00E115B6"/>
    <w:rsid w:val="00E11DC7"/>
    <w:rsid w:val="00E12AD4"/>
    <w:rsid w:val="00E12C15"/>
    <w:rsid w:val="00E140F3"/>
    <w:rsid w:val="00E140FC"/>
    <w:rsid w:val="00E14175"/>
    <w:rsid w:val="00E20758"/>
    <w:rsid w:val="00E20968"/>
    <w:rsid w:val="00E244F5"/>
    <w:rsid w:val="00E24904"/>
    <w:rsid w:val="00E250E6"/>
    <w:rsid w:val="00E2549F"/>
    <w:rsid w:val="00E25B38"/>
    <w:rsid w:val="00E27642"/>
    <w:rsid w:val="00E3236A"/>
    <w:rsid w:val="00E3348A"/>
    <w:rsid w:val="00E35227"/>
    <w:rsid w:val="00E3630B"/>
    <w:rsid w:val="00E36F91"/>
    <w:rsid w:val="00E40166"/>
    <w:rsid w:val="00E40BBA"/>
    <w:rsid w:val="00E42002"/>
    <w:rsid w:val="00E42621"/>
    <w:rsid w:val="00E45B4C"/>
    <w:rsid w:val="00E47312"/>
    <w:rsid w:val="00E5132B"/>
    <w:rsid w:val="00E52CCE"/>
    <w:rsid w:val="00E54A40"/>
    <w:rsid w:val="00E56FB0"/>
    <w:rsid w:val="00E5767C"/>
    <w:rsid w:val="00E61DF3"/>
    <w:rsid w:val="00E622F7"/>
    <w:rsid w:val="00E6379B"/>
    <w:rsid w:val="00E63F5C"/>
    <w:rsid w:val="00E64F02"/>
    <w:rsid w:val="00E6542B"/>
    <w:rsid w:val="00E65594"/>
    <w:rsid w:val="00E66008"/>
    <w:rsid w:val="00E66DE7"/>
    <w:rsid w:val="00E67A50"/>
    <w:rsid w:val="00E71743"/>
    <w:rsid w:val="00E750E3"/>
    <w:rsid w:val="00E75A6F"/>
    <w:rsid w:val="00E763C0"/>
    <w:rsid w:val="00E76B72"/>
    <w:rsid w:val="00E76ED3"/>
    <w:rsid w:val="00E80931"/>
    <w:rsid w:val="00E80C17"/>
    <w:rsid w:val="00E82FF9"/>
    <w:rsid w:val="00E83A68"/>
    <w:rsid w:val="00E862B5"/>
    <w:rsid w:val="00E869E5"/>
    <w:rsid w:val="00E86AA0"/>
    <w:rsid w:val="00E87B0A"/>
    <w:rsid w:val="00E93491"/>
    <w:rsid w:val="00E94140"/>
    <w:rsid w:val="00E94894"/>
    <w:rsid w:val="00E95346"/>
    <w:rsid w:val="00E966EE"/>
    <w:rsid w:val="00EA0946"/>
    <w:rsid w:val="00EA0EAA"/>
    <w:rsid w:val="00EA31BB"/>
    <w:rsid w:val="00EA38C7"/>
    <w:rsid w:val="00EA4A82"/>
    <w:rsid w:val="00EA54D8"/>
    <w:rsid w:val="00EA5D99"/>
    <w:rsid w:val="00EA7125"/>
    <w:rsid w:val="00EA7C9B"/>
    <w:rsid w:val="00EA7FA7"/>
    <w:rsid w:val="00EB2578"/>
    <w:rsid w:val="00EB29C7"/>
    <w:rsid w:val="00EB3B5F"/>
    <w:rsid w:val="00EB41E3"/>
    <w:rsid w:val="00EB6C68"/>
    <w:rsid w:val="00EC056E"/>
    <w:rsid w:val="00EC057E"/>
    <w:rsid w:val="00EC0F50"/>
    <w:rsid w:val="00EC2062"/>
    <w:rsid w:val="00EC5172"/>
    <w:rsid w:val="00EC5D9E"/>
    <w:rsid w:val="00EC647B"/>
    <w:rsid w:val="00EC6879"/>
    <w:rsid w:val="00EC6916"/>
    <w:rsid w:val="00EC74E9"/>
    <w:rsid w:val="00EC7AEF"/>
    <w:rsid w:val="00EC7CE6"/>
    <w:rsid w:val="00ED135A"/>
    <w:rsid w:val="00ED1485"/>
    <w:rsid w:val="00ED2133"/>
    <w:rsid w:val="00ED26C4"/>
    <w:rsid w:val="00ED3FC8"/>
    <w:rsid w:val="00ED5241"/>
    <w:rsid w:val="00ED6D3E"/>
    <w:rsid w:val="00ED7E8F"/>
    <w:rsid w:val="00EE05AF"/>
    <w:rsid w:val="00EE1E18"/>
    <w:rsid w:val="00EE264D"/>
    <w:rsid w:val="00EE2E34"/>
    <w:rsid w:val="00EE4750"/>
    <w:rsid w:val="00EE785D"/>
    <w:rsid w:val="00EF21AD"/>
    <w:rsid w:val="00EF63C3"/>
    <w:rsid w:val="00F02A2A"/>
    <w:rsid w:val="00F03BD4"/>
    <w:rsid w:val="00F0470D"/>
    <w:rsid w:val="00F0485B"/>
    <w:rsid w:val="00F060EC"/>
    <w:rsid w:val="00F06FB0"/>
    <w:rsid w:val="00F0735C"/>
    <w:rsid w:val="00F1263A"/>
    <w:rsid w:val="00F135DE"/>
    <w:rsid w:val="00F14246"/>
    <w:rsid w:val="00F14665"/>
    <w:rsid w:val="00F1575A"/>
    <w:rsid w:val="00F1725A"/>
    <w:rsid w:val="00F21AA1"/>
    <w:rsid w:val="00F22693"/>
    <w:rsid w:val="00F234E9"/>
    <w:rsid w:val="00F23A73"/>
    <w:rsid w:val="00F23FB8"/>
    <w:rsid w:val="00F24596"/>
    <w:rsid w:val="00F259CC"/>
    <w:rsid w:val="00F26522"/>
    <w:rsid w:val="00F27D80"/>
    <w:rsid w:val="00F30548"/>
    <w:rsid w:val="00F314D5"/>
    <w:rsid w:val="00F32DC9"/>
    <w:rsid w:val="00F3513A"/>
    <w:rsid w:val="00F36366"/>
    <w:rsid w:val="00F40C3F"/>
    <w:rsid w:val="00F42346"/>
    <w:rsid w:val="00F42A39"/>
    <w:rsid w:val="00F42C61"/>
    <w:rsid w:val="00F435CF"/>
    <w:rsid w:val="00F44154"/>
    <w:rsid w:val="00F4573D"/>
    <w:rsid w:val="00F46701"/>
    <w:rsid w:val="00F47C4E"/>
    <w:rsid w:val="00F5061E"/>
    <w:rsid w:val="00F51105"/>
    <w:rsid w:val="00F51DAC"/>
    <w:rsid w:val="00F52960"/>
    <w:rsid w:val="00F52E11"/>
    <w:rsid w:val="00F54469"/>
    <w:rsid w:val="00F54B49"/>
    <w:rsid w:val="00F5537E"/>
    <w:rsid w:val="00F55736"/>
    <w:rsid w:val="00F570F8"/>
    <w:rsid w:val="00F57454"/>
    <w:rsid w:val="00F60440"/>
    <w:rsid w:val="00F61156"/>
    <w:rsid w:val="00F61560"/>
    <w:rsid w:val="00F6499D"/>
    <w:rsid w:val="00F64D63"/>
    <w:rsid w:val="00F70A67"/>
    <w:rsid w:val="00F70F9C"/>
    <w:rsid w:val="00F71FC2"/>
    <w:rsid w:val="00F753A5"/>
    <w:rsid w:val="00F75745"/>
    <w:rsid w:val="00F764CD"/>
    <w:rsid w:val="00F80A5C"/>
    <w:rsid w:val="00F80AB4"/>
    <w:rsid w:val="00F81445"/>
    <w:rsid w:val="00F814CF"/>
    <w:rsid w:val="00F81EC5"/>
    <w:rsid w:val="00F82A7C"/>
    <w:rsid w:val="00F84700"/>
    <w:rsid w:val="00F849A0"/>
    <w:rsid w:val="00F85375"/>
    <w:rsid w:val="00F86A11"/>
    <w:rsid w:val="00F913CF"/>
    <w:rsid w:val="00F914E4"/>
    <w:rsid w:val="00F91651"/>
    <w:rsid w:val="00F92E71"/>
    <w:rsid w:val="00F93315"/>
    <w:rsid w:val="00F93701"/>
    <w:rsid w:val="00F957D4"/>
    <w:rsid w:val="00F95D29"/>
    <w:rsid w:val="00F96B7F"/>
    <w:rsid w:val="00F96F3A"/>
    <w:rsid w:val="00FA18CB"/>
    <w:rsid w:val="00FA323A"/>
    <w:rsid w:val="00FA46EA"/>
    <w:rsid w:val="00FA6186"/>
    <w:rsid w:val="00FA65D0"/>
    <w:rsid w:val="00FA6E7A"/>
    <w:rsid w:val="00FB3708"/>
    <w:rsid w:val="00FB438B"/>
    <w:rsid w:val="00FB7005"/>
    <w:rsid w:val="00FC25C9"/>
    <w:rsid w:val="00FC3348"/>
    <w:rsid w:val="00FC3DE0"/>
    <w:rsid w:val="00FC5E9C"/>
    <w:rsid w:val="00FC64A8"/>
    <w:rsid w:val="00FD0866"/>
    <w:rsid w:val="00FD0B25"/>
    <w:rsid w:val="00FD0D6C"/>
    <w:rsid w:val="00FD2B1F"/>
    <w:rsid w:val="00FD2D89"/>
    <w:rsid w:val="00FD2F23"/>
    <w:rsid w:val="00FD320C"/>
    <w:rsid w:val="00FD3731"/>
    <w:rsid w:val="00FD42A0"/>
    <w:rsid w:val="00FD49B1"/>
    <w:rsid w:val="00FE064E"/>
    <w:rsid w:val="00FE10E8"/>
    <w:rsid w:val="00FE16D8"/>
    <w:rsid w:val="00FE24BB"/>
    <w:rsid w:val="00FE4532"/>
    <w:rsid w:val="00FE4E1B"/>
    <w:rsid w:val="00FE7629"/>
    <w:rsid w:val="00FE7EB7"/>
    <w:rsid w:val="00FF0893"/>
    <w:rsid w:val="00FF1BCA"/>
    <w:rsid w:val="00FF2983"/>
    <w:rsid w:val="00FF624D"/>
    <w:rsid w:val="0168074C"/>
    <w:rsid w:val="017B1D56"/>
    <w:rsid w:val="02704B42"/>
    <w:rsid w:val="03E63635"/>
    <w:rsid w:val="03EA2BE1"/>
    <w:rsid w:val="03EA50A0"/>
    <w:rsid w:val="044D711C"/>
    <w:rsid w:val="046326CF"/>
    <w:rsid w:val="04894DE2"/>
    <w:rsid w:val="05A04CB5"/>
    <w:rsid w:val="05CB7C83"/>
    <w:rsid w:val="06CE2DBF"/>
    <w:rsid w:val="07011F06"/>
    <w:rsid w:val="073B1EF2"/>
    <w:rsid w:val="07AD4357"/>
    <w:rsid w:val="07DE2195"/>
    <w:rsid w:val="083F3E51"/>
    <w:rsid w:val="0A886E97"/>
    <w:rsid w:val="0A946BAF"/>
    <w:rsid w:val="0C903941"/>
    <w:rsid w:val="0DB02216"/>
    <w:rsid w:val="0E912170"/>
    <w:rsid w:val="0FFF7484"/>
    <w:rsid w:val="103911F3"/>
    <w:rsid w:val="10472F94"/>
    <w:rsid w:val="1074577C"/>
    <w:rsid w:val="10F4439A"/>
    <w:rsid w:val="115F343E"/>
    <w:rsid w:val="121802D5"/>
    <w:rsid w:val="127759F8"/>
    <w:rsid w:val="12D87EB6"/>
    <w:rsid w:val="130F318F"/>
    <w:rsid w:val="15FE2E03"/>
    <w:rsid w:val="17550F39"/>
    <w:rsid w:val="182C1032"/>
    <w:rsid w:val="18F47681"/>
    <w:rsid w:val="19C213AC"/>
    <w:rsid w:val="1A82045E"/>
    <w:rsid w:val="1A923B8A"/>
    <w:rsid w:val="1C19339B"/>
    <w:rsid w:val="1C3A5D4E"/>
    <w:rsid w:val="1CBA1F54"/>
    <w:rsid w:val="1D7128A7"/>
    <w:rsid w:val="1D8965DF"/>
    <w:rsid w:val="1DCE71F6"/>
    <w:rsid w:val="207B179B"/>
    <w:rsid w:val="21314B78"/>
    <w:rsid w:val="22511A51"/>
    <w:rsid w:val="23D47267"/>
    <w:rsid w:val="25352BA1"/>
    <w:rsid w:val="263F51E8"/>
    <w:rsid w:val="280C6A80"/>
    <w:rsid w:val="28E90D0F"/>
    <w:rsid w:val="29EE7EF6"/>
    <w:rsid w:val="2B6E28B1"/>
    <w:rsid w:val="2C075D1A"/>
    <w:rsid w:val="2C7C375F"/>
    <w:rsid w:val="2CC6140D"/>
    <w:rsid w:val="2D274DDC"/>
    <w:rsid w:val="2FF31CCF"/>
    <w:rsid w:val="32D22AAA"/>
    <w:rsid w:val="35E92C70"/>
    <w:rsid w:val="37E13EFF"/>
    <w:rsid w:val="386E4421"/>
    <w:rsid w:val="388E7474"/>
    <w:rsid w:val="38E6057A"/>
    <w:rsid w:val="3A523873"/>
    <w:rsid w:val="3AC17971"/>
    <w:rsid w:val="3AD06DCC"/>
    <w:rsid w:val="3AEE174B"/>
    <w:rsid w:val="3BDD7DCA"/>
    <w:rsid w:val="3C061983"/>
    <w:rsid w:val="3CE4322C"/>
    <w:rsid w:val="3E561803"/>
    <w:rsid w:val="3E797CBD"/>
    <w:rsid w:val="3EDD7CC6"/>
    <w:rsid w:val="40682F34"/>
    <w:rsid w:val="408867D1"/>
    <w:rsid w:val="409B4A93"/>
    <w:rsid w:val="41D90424"/>
    <w:rsid w:val="42B20943"/>
    <w:rsid w:val="42D223F0"/>
    <w:rsid w:val="42DC0492"/>
    <w:rsid w:val="43385AD2"/>
    <w:rsid w:val="438E17FA"/>
    <w:rsid w:val="43B802EE"/>
    <w:rsid w:val="43D710D5"/>
    <w:rsid w:val="43E32926"/>
    <w:rsid w:val="445943EA"/>
    <w:rsid w:val="448B7B1B"/>
    <w:rsid w:val="450A08F4"/>
    <w:rsid w:val="45216878"/>
    <w:rsid w:val="457C78B6"/>
    <w:rsid w:val="45CF3D07"/>
    <w:rsid w:val="45EB7BBA"/>
    <w:rsid w:val="462872FC"/>
    <w:rsid w:val="469E57FD"/>
    <w:rsid w:val="47466788"/>
    <w:rsid w:val="47575025"/>
    <w:rsid w:val="47F855B7"/>
    <w:rsid w:val="487056F8"/>
    <w:rsid w:val="491268CF"/>
    <w:rsid w:val="49220362"/>
    <w:rsid w:val="4997110B"/>
    <w:rsid w:val="4B3C67D0"/>
    <w:rsid w:val="4C7F7DD8"/>
    <w:rsid w:val="4C9E7B28"/>
    <w:rsid w:val="4CE1546C"/>
    <w:rsid w:val="4DF909EF"/>
    <w:rsid w:val="4E863F3D"/>
    <w:rsid w:val="50016CBB"/>
    <w:rsid w:val="50756A38"/>
    <w:rsid w:val="512C24E0"/>
    <w:rsid w:val="516D5FCD"/>
    <w:rsid w:val="5194203F"/>
    <w:rsid w:val="524770E9"/>
    <w:rsid w:val="528B2D11"/>
    <w:rsid w:val="52D25275"/>
    <w:rsid w:val="532E6EDA"/>
    <w:rsid w:val="53564468"/>
    <w:rsid w:val="53FF709A"/>
    <w:rsid w:val="5454246D"/>
    <w:rsid w:val="5528196E"/>
    <w:rsid w:val="56DF10BC"/>
    <w:rsid w:val="587A355F"/>
    <w:rsid w:val="589F0608"/>
    <w:rsid w:val="5A56101C"/>
    <w:rsid w:val="5AC3658A"/>
    <w:rsid w:val="5AEF5777"/>
    <w:rsid w:val="5B844415"/>
    <w:rsid w:val="5E433FC8"/>
    <w:rsid w:val="5EA1764E"/>
    <w:rsid w:val="5F0409D4"/>
    <w:rsid w:val="5FCD3517"/>
    <w:rsid w:val="602A6CBC"/>
    <w:rsid w:val="6269608A"/>
    <w:rsid w:val="6326353C"/>
    <w:rsid w:val="633730DA"/>
    <w:rsid w:val="6399389A"/>
    <w:rsid w:val="643564E7"/>
    <w:rsid w:val="649E54BD"/>
    <w:rsid w:val="65692A16"/>
    <w:rsid w:val="658B3411"/>
    <w:rsid w:val="67084B4E"/>
    <w:rsid w:val="6E3E3518"/>
    <w:rsid w:val="6EC46FE0"/>
    <w:rsid w:val="6EC8244C"/>
    <w:rsid w:val="6F2F4E04"/>
    <w:rsid w:val="6FBC27F5"/>
    <w:rsid w:val="704C4F43"/>
    <w:rsid w:val="70D82E3C"/>
    <w:rsid w:val="7141691A"/>
    <w:rsid w:val="735450D0"/>
    <w:rsid w:val="73DC4C50"/>
    <w:rsid w:val="74174F93"/>
    <w:rsid w:val="74877C4D"/>
    <w:rsid w:val="76011CB2"/>
    <w:rsid w:val="785B1427"/>
    <w:rsid w:val="78A0207F"/>
    <w:rsid w:val="794835E0"/>
    <w:rsid w:val="7A1E7528"/>
    <w:rsid w:val="7A493823"/>
    <w:rsid w:val="7A5922D2"/>
    <w:rsid w:val="7A66157F"/>
    <w:rsid w:val="7B1866CA"/>
    <w:rsid w:val="7B915A79"/>
    <w:rsid w:val="7BF307EC"/>
    <w:rsid w:val="7C07620B"/>
    <w:rsid w:val="7C6751C7"/>
    <w:rsid w:val="7D744336"/>
    <w:rsid w:val="7DEB521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3"/>
    <w:autoRedefine/>
    <w:qFormat/>
    <w:uiPriority w:val="0"/>
    <w:pPr>
      <w:keepNext/>
      <w:keepLines/>
      <w:spacing w:line="576" w:lineRule="auto"/>
      <w:outlineLvl w:val="0"/>
    </w:pPr>
    <w:rPr>
      <w:rFonts w:eastAsia="黑体"/>
      <w:b/>
      <w:bCs/>
      <w:kern w:val="44"/>
      <w:sz w:val="32"/>
      <w:szCs w:val="44"/>
    </w:rPr>
  </w:style>
  <w:style w:type="paragraph" w:styleId="4">
    <w:name w:val="heading 2"/>
    <w:basedOn w:val="1"/>
    <w:next w:val="1"/>
    <w:autoRedefine/>
    <w:qFormat/>
    <w:uiPriority w:val="0"/>
    <w:pPr>
      <w:keepNext/>
      <w:keepLines/>
      <w:spacing w:line="415" w:lineRule="auto"/>
      <w:outlineLvl w:val="1"/>
    </w:pPr>
    <w:rPr>
      <w:rFonts w:ascii="Arial" w:hAnsi="Arial" w:eastAsia="黑体"/>
      <w:b/>
      <w:bCs/>
      <w:sz w:val="30"/>
      <w:szCs w:val="32"/>
    </w:rPr>
  </w:style>
  <w:style w:type="paragraph" w:styleId="5">
    <w:name w:val="heading 3"/>
    <w:basedOn w:val="1"/>
    <w:next w:val="1"/>
    <w:autoRedefine/>
    <w:qFormat/>
    <w:uiPriority w:val="0"/>
    <w:pPr>
      <w:keepNext/>
      <w:keepLines/>
      <w:spacing w:line="415" w:lineRule="auto"/>
      <w:outlineLvl w:val="2"/>
    </w:pPr>
    <w:rPr>
      <w:rFonts w:eastAsia="黑体"/>
      <w:b/>
      <w:bCs/>
      <w:sz w:val="28"/>
      <w:szCs w:val="32"/>
    </w:rPr>
  </w:style>
  <w:style w:type="paragraph" w:styleId="6">
    <w:name w:val="heading 4"/>
    <w:basedOn w:val="1"/>
    <w:next w:val="1"/>
    <w:autoRedefine/>
    <w:qFormat/>
    <w:uiPriority w:val="0"/>
    <w:pPr>
      <w:keepNext/>
      <w:keepLines/>
      <w:spacing w:line="374" w:lineRule="auto"/>
      <w:outlineLvl w:val="3"/>
    </w:pPr>
    <w:rPr>
      <w:rFonts w:ascii="Arial" w:hAnsi="Arial"/>
      <w:b/>
      <w:bCs/>
      <w:sz w:val="28"/>
      <w:szCs w:val="28"/>
    </w:rPr>
  </w:style>
  <w:style w:type="paragraph" w:styleId="7">
    <w:name w:val="heading 5"/>
    <w:basedOn w:val="1"/>
    <w:next w:val="1"/>
    <w:link w:val="44"/>
    <w:autoRedefine/>
    <w:qFormat/>
    <w:uiPriority w:val="0"/>
    <w:pPr>
      <w:keepNext/>
      <w:keepLines/>
      <w:spacing w:before="280" w:after="290" w:line="376" w:lineRule="auto"/>
      <w:outlineLvl w:val="4"/>
    </w:pPr>
    <w:rPr>
      <w:b/>
      <w:bCs/>
      <w:sz w:val="28"/>
      <w:szCs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link w:val="45"/>
    <w:autoRedefine/>
    <w:qFormat/>
    <w:uiPriority w:val="0"/>
    <w:pPr>
      <w:ind w:firstLine="420" w:firstLineChars="200"/>
    </w:pPr>
  </w:style>
  <w:style w:type="paragraph" w:styleId="8">
    <w:name w:val="toc 7"/>
    <w:basedOn w:val="1"/>
    <w:next w:val="1"/>
    <w:autoRedefine/>
    <w:qFormat/>
    <w:uiPriority w:val="0"/>
    <w:pPr>
      <w:ind w:left="1260"/>
      <w:jc w:val="left"/>
    </w:pPr>
    <w:rPr>
      <w:sz w:val="18"/>
      <w:szCs w:val="18"/>
    </w:rPr>
  </w:style>
  <w:style w:type="paragraph" w:styleId="9">
    <w:name w:val="caption"/>
    <w:basedOn w:val="1"/>
    <w:next w:val="1"/>
    <w:autoRedefine/>
    <w:qFormat/>
    <w:uiPriority w:val="0"/>
    <w:rPr>
      <w:rFonts w:ascii="Arial" w:hAnsi="Arial" w:eastAsia="黑体" w:cs="Arial"/>
      <w:sz w:val="20"/>
      <w:szCs w:val="20"/>
    </w:rPr>
  </w:style>
  <w:style w:type="paragraph" w:styleId="10">
    <w:name w:val="Document Map"/>
    <w:basedOn w:val="1"/>
    <w:autoRedefine/>
    <w:semiHidden/>
    <w:qFormat/>
    <w:uiPriority w:val="0"/>
    <w:pPr>
      <w:shd w:val="clear" w:color="auto" w:fill="000080"/>
    </w:pPr>
  </w:style>
  <w:style w:type="paragraph" w:styleId="11">
    <w:name w:val="annotation text"/>
    <w:basedOn w:val="1"/>
    <w:link w:val="88"/>
    <w:autoRedefine/>
    <w:qFormat/>
    <w:uiPriority w:val="0"/>
    <w:pPr>
      <w:jc w:val="left"/>
    </w:pPr>
  </w:style>
  <w:style w:type="paragraph" w:styleId="12">
    <w:name w:val="Body Text 3"/>
    <w:basedOn w:val="1"/>
    <w:autoRedefine/>
    <w:qFormat/>
    <w:uiPriority w:val="0"/>
    <w:rPr>
      <w:sz w:val="16"/>
      <w:szCs w:val="16"/>
    </w:rPr>
  </w:style>
  <w:style w:type="paragraph" w:styleId="13">
    <w:name w:val="Body Text"/>
    <w:basedOn w:val="1"/>
    <w:autoRedefine/>
    <w:qFormat/>
    <w:uiPriority w:val="0"/>
  </w:style>
  <w:style w:type="paragraph" w:styleId="14">
    <w:name w:val="Body Text Indent"/>
    <w:basedOn w:val="1"/>
    <w:link w:val="46"/>
    <w:autoRedefine/>
    <w:qFormat/>
    <w:uiPriority w:val="0"/>
    <w:pPr>
      <w:ind w:left="420" w:leftChars="200"/>
    </w:pPr>
  </w:style>
  <w:style w:type="paragraph" w:styleId="15">
    <w:name w:val="toc 5"/>
    <w:basedOn w:val="1"/>
    <w:next w:val="1"/>
    <w:autoRedefine/>
    <w:qFormat/>
    <w:uiPriority w:val="0"/>
    <w:pPr>
      <w:ind w:left="840"/>
      <w:jc w:val="left"/>
    </w:pPr>
    <w:rPr>
      <w:sz w:val="18"/>
      <w:szCs w:val="18"/>
    </w:rPr>
  </w:style>
  <w:style w:type="paragraph" w:styleId="16">
    <w:name w:val="toc 3"/>
    <w:basedOn w:val="1"/>
    <w:next w:val="1"/>
    <w:autoRedefine/>
    <w:qFormat/>
    <w:uiPriority w:val="0"/>
    <w:pPr>
      <w:ind w:left="420"/>
      <w:jc w:val="left"/>
    </w:pPr>
    <w:rPr>
      <w:i/>
      <w:iCs/>
      <w:sz w:val="20"/>
      <w:szCs w:val="20"/>
    </w:rPr>
  </w:style>
  <w:style w:type="paragraph" w:styleId="17">
    <w:name w:val="Plain Text"/>
    <w:basedOn w:val="1"/>
    <w:link w:val="47"/>
    <w:autoRedefine/>
    <w:qFormat/>
    <w:uiPriority w:val="0"/>
    <w:rPr>
      <w:rFonts w:ascii="宋体" w:hAnsi="Courier New" w:cs="Courier New"/>
      <w:szCs w:val="21"/>
    </w:rPr>
  </w:style>
  <w:style w:type="paragraph" w:styleId="18">
    <w:name w:val="toc 8"/>
    <w:basedOn w:val="1"/>
    <w:next w:val="1"/>
    <w:autoRedefine/>
    <w:qFormat/>
    <w:uiPriority w:val="0"/>
    <w:pPr>
      <w:ind w:left="1470"/>
      <w:jc w:val="left"/>
    </w:pPr>
    <w:rPr>
      <w:sz w:val="18"/>
      <w:szCs w:val="18"/>
    </w:rPr>
  </w:style>
  <w:style w:type="paragraph" w:styleId="19">
    <w:name w:val="Date"/>
    <w:basedOn w:val="1"/>
    <w:next w:val="1"/>
    <w:link w:val="48"/>
    <w:autoRedefine/>
    <w:qFormat/>
    <w:uiPriority w:val="0"/>
    <w:rPr>
      <w:sz w:val="28"/>
      <w:szCs w:val="20"/>
    </w:rPr>
  </w:style>
  <w:style w:type="paragraph" w:styleId="20">
    <w:name w:val="Body Text Indent 2"/>
    <w:basedOn w:val="1"/>
    <w:autoRedefine/>
    <w:qFormat/>
    <w:uiPriority w:val="0"/>
    <w:pPr>
      <w:spacing w:line="480" w:lineRule="auto"/>
      <w:ind w:left="420" w:leftChars="200"/>
    </w:pPr>
  </w:style>
  <w:style w:type="paragraph" w:styleId="21">
    <w:name w:val="Balloon Text"/>
    <w:basedOn w:val="1"/>
    <w:autoRedefine/>
    <w:qFormat/>
    <w:uiPriority w:val="0"/>
    <w:rPr>
      <w:sz w:val="18"/>
      <w:szCs w:val="18"/>
    </w:rPr>
  </w:style>
  <w:style w:type="paragraph" w:styleId="22">
    <w:name w:val="footer"/>
    <w:basedOn w:val="1"/>
    <w:autoRedefine/>
    <w:qFormat/>
    <w:uiPriority w:val="0"/>
    <w:pPr>
      <w:tabs>
        <w:tab w:val="center" w:pos="4153"/>
        <w:tab w:val="right" w:pos="8306"/>
      </w:tabs>
      <w:snapToGrid w:val="0"/>
      <w:jc w:val="left"/>
    </w:pPr>
    <w:rPr>
      <w:sz w:val="18"/>
      <w:szCs w:val="18"/>
    </w:rPr>
  </w:style>
  <w:style w:type="paragraph" w:styleId="2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39"/>
    <w:pPr>
      <w:tabs>
        <w:tab w:val="right" w:leader="middleDot" w:pos="9515"/>
      </w:tabs>
      <w:spacing w:line="290" w:lineRule="exact"/>
      <w:ind w:firstLine="359" w:firstLineChars="179"/>
      <w:jc w:val="left"/>
    </w:pPr>
    <w:rPr>
      <w:b/>
      <w:bCs/>
      <w:caps/>
      <w:sz w:val="20"/>
      <w:szCs w:val="20"/>
    </w:rPr>
  </w:style>
  <w:style w:type="paragraph" w:styleId="25">
    <w:name w:val="toc 4"/>
    <w:basedOn w:val="1"/>
    <w:next w:val="1"/>
    <w:autoRedefine/>
    <w:qFormat/>
    <w:uiPriority w:val="0"/>
    <w:pPr>
      <w:ind w:left="630"/>
      <w:jc w:val="left"/>
    </w:pPr>
    <w:rPr>
      <w:sz w:val="18"/>
      <w:szCs w:val="18"/>
    </w:rPr>
  </w:style>
  <w:style w:type="paragraph" w:styleId="26">
    <w:name w:val="toc 6"/>
    <w:basedOn w:val="1"/>
    <w:next w:val="1"/>
    <w:autoRedefine/>
    <w:qFormat/>
    <w:uiPriority w:val="0"/>
    <w:pPr>
      <w:ind w:left="1050"/>
      <w:jc w:val="left"/>
    </w:pPr>
    <w:rPr>
      <w:sz w:val="18"/>
      <w:szCs w:val="18"/>
    </w:rPr>
  </w:style>
  <w:style w:type="paragraph" w:styleId="27">
    <w:name w:val="Body Text Indent 3"/>
    <w:basedOn w:val="1"/>
    <w:link w:val="49"/>
    <w:autoRedefine/>
    <w:qFormat/>
    <w:uiPriority w:val="0"/>
    <w:pPr>
      <w:ind w:left="420" w:leftChars="200"/>
    </w:pPr>
    <w:rPr>
      <w:sz w:val="16"/>
      <w:szCs w:val="16"/>
    </w:rPr>
  </w:style>
  <w:style w:type="paragraph" w:styleId="28">
    <w:name w:val="toc 2"/>
    <w:basedOn w:val="1"/>
    <w:next w:val="1"/>
    <w:autoRedefine/>
    <w:qFormat/>
    <w:uiPriority w:val="0"/>
    <w:pPr>
      <w:ind w:left="210"/>
      <w:jc w:val="left"/>
    </w:pPr>
    <w:rPr>
      <w:smallCaps/>
      <w:sz w:val="20"/>
      <w:szCs w:val="20"/>
    </w:rPr>
  </w:style>
  <w:style w:type="paragraph" w:styleId="29">
    <w:name w:val="toc 9"/>
    <w:basedOn w:val="1"/>
    <w:next w:val="1"/>
    <w:autoRedefine/>
    <w:qFormat/>
    <w:uiPriority w:val="0"/>
    <w:pPr>
      <w:ind w:left="1680"/>
      <w:jc w:val="left"/>
    </w:pPr>
    <w:rPr>
      <w:sz w:val="18"/>
      <w:szCs w:val="18"/>
    </w:rPr>
  </w:style>
  <w:style w:type="paragraph" w:styleId="30">
    <w:name w:val="Normal (Web)"/>
    <w:basedOn w:val="1"/>
    <w:link w:val="92"/>
    <w:autoRedefine/>
    <w:qFormat/>
    <w:uiPriority w:val="0"/>
    <w:pPr>
      <w:spacing w:before="100" w:beforeAutospacing="1" w:after="100" w:afterAutospacing="1"/>
      <w:jc w:val="left"/>
    </w:pPr>
    <w:rPr>
      <w:kern w:val="0"/>
      <w:sz w:val="24"/>
    </w:rPr>
  </w:style>
  <w:style w:type="paragraph" w:styleId="31">
    <w:name w:val="Title"/>
    <w:basedOn w:val="1"/>
    <w:next w:val="1"/>
    <w:autoRedefine/>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32">
    <w:name w:val="annotation subject"/>
    <w:basedOn w:val="11"/>
    <w:next w:val="11"/>
    <w:autoRedefine/>
    <w:semiHidden/>
    <w:qFormat/>
    <w:uiPriority w:val="0"/>
    <w:rPr>
      <w:b/>
      <w:bCs/>
    </w:rPr>
  </w:style>
  <w:style w:type="paragraph" w:styleId="33">
    <w:name w:val="Body Text First Indent"/>
    <w:basedOn w:val="13"/>
    <w:autoRedefine/>
    <w:qFormat/>
    <w:uiPriority w:val="0"/>
    <w:pPr>
      <w:ind w:firstLine="420" w:firstLineChars="100"/>
    </w:pPr>
  </w:style>
  <w:style w:type="table" w:styleId="35">
    <w:name w:val="Table Grid"/>
    <w:basedOn w:val="3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autoRedefine/>
    <w:qFormat/>
    <w:uiPriority w:val="0"/>
    <w:rPr>
      <w:b/>
    </w:rPr>
  </w:style>
  <w:style w:type="character" w:styleId="38">
    <w:name w:val="page number"/>
    <w:autoRedefine/>
    <w:qFormat/>
    <w:uiPriority w:val="0"/>
  </w:style>
  <w:style w:type="character" w:styleId="39">
    <w:name w:val="Hyperlink"/>
    <w:autoRedefine/>
    <w:qFormat/>
    <w:uiPriority w:val="99"/>
    <w:rPr>
      <w:color w:val="0000FF"/>
      <w:u w:val="single"/>
    </w:rPr>
  </w:style>
  <w:style w:type="character" w:styleId="40">
    <w:name w:val="annotation reference"/>
    <w:autoRedefine/>
    <w:qFormat/>
    <w:uiPriority w:val="0"/>
    <w:rPr>
      <w:sz w:val="21"/>
      <w:szCs w:val="21"/>
    </w:rPr>
  </w:style>
  <w:style w:type="paragraph" w:customStyle="1" w:styleId="41">
    <w:name w:val="BodyText1I2"/>
    <w:basedOn w:val="42"/>
    <w:autoRedefine/>
    <w:qFormat/>
    <w:uiPriority w:val="0"/>
    <w:pPr>
      <w:ind w:left="420" w:firstLine="420" w:firstLineChars="200"/>
      <w:textAlignment w:val="baseline"/>
    </w:pPr>
    <w:rPr>
      <w:rFonts w:hAnsi="宋体" w:eastAsia="仿宋_GB2312"/>
      <w:b/>
      <w:spacing w:val="4"/>
      <w:szCs w:val="28"/>
    </w:rPr>
  </w:style>
  <w:style w:type="paragraph" w:customStyle="1" w:styleId="42">
    <w:name w:val="BodyTextIndent"/>
    <w:basedOn w:val="1"/>
    <w:autoRedefine/>
    <w:qFormat/>
    <w:uiPriority w:val="0"/>
    <w:pPr>
      <w:spacing w:after="120"/>
      <w:ind w:left="200" w:leftChars="200"/>
    </w:pPr>
    <w:rPr>
      <w:kern w:val="0"/>
      <w:sz w:val="20"/>
    </w:rPr>
  </w:style>
  <w:style w:type="character" w:customStyle="1" w:styleId="43">
    <w:name w:val="标题 1 Char"/>
    <w:link w:val="3"/>
    <w:autoRedefine/>
    <w:qFormat/>
    <w:uiPriority w:val="0"/>
    <w:rPr>
      <w:rFonts w:eastAsia="黑体"/>
      <w:b/>
      <w:bCs/>
      <w:kern w:val="44"/>
      <w:sz w:val="32"/>
      <w:szCs w:val="44"/>
    </w:rPr>
  </w:style>
  <w:style w:type="character" w:customStyle="1" w:styleId="44">
    <w:name w:val="标题 5 Char"/>
    <w:link w:val="7"/>
    <w:autoRedefine/>
    <w:semiHidden/>
    <w:qFormat/>
    <w:uiPriority w:val="0"/>
    <w:rPr>
      <w:b/>
      <w:bCs/>
      <w:kern w:val="2"/>
      <w:sz w:val="28"/>
      <w:szCs w:val="28"/>
    </w:rPr>
  </w:style>
  <w:style w:type="character" w:customStyle="1" w:styleId="45">
    <w:name w:val="正文缩进 Char"/>
    <w:link w:val="2"/>
    <w:autoRedefine/>
    <w:qFormat/>
    <w:uiPriority w:val="0"/>
    <w:rPr>
      <w:rFonts w:eastAsia="宋体"/>
      <w:kern w:val="2"/>
      <w:sz w:val="21"/>
      <w:szCs w:val="24"/>
      <w:lang w:val="en-US" w:eastAsia="zh-CN" w:bidi="ar-SA"/>
    </w:rPr>
  </w:style>
  <w:style w:type="character" w:customStyle="1" w:styleId="46">
    <w:name w:val="正文文本缩进 Char"/>
    <w:link w:val="14"/>
    <w:autoRedefine/>
    <w:qFormat/>
    <w:uiPriority w:val="0"/>
    <w:rPr>
      <w:kern w:val="2"/>
      <w:sz w:val="21"/>
      <w:szCs w:val="24"/>
    </w:rPr>
  </w:style>
  <w:style w:type="character" w:customStyle="1" w:styleId="47">
    <w:name w:val="纯文本 Char1"/>
    <w:link w:val="17"/>
    <w:autoRedefine/>
    <w:qFormat/>
    <w:uiPriority w:val="0"/>
    <w:rPr>
      <w:rFonts w:ascii="宋体" w:hAnsi="Courier New" w:eastAsia="宋体" w:cs="Courier New"/>
      <w:kern w:val="2"/>
      <w:sz w:val="21"/>
      <w:szCs w:val="21"/>
      <w:lang w:val="en-US" w:eastAsia="zh-CN" w:bidi="ar-SA"/>
    </w:rPr>
  </w:style>
  <w:style w:type="character" w:customStyle="1" w:styleId="48">
    <w:name w:val="日期 Char"/>
    <w:link w:val="19"/>
    <w:autoRedefine/>
    <w:qFormat/>
    <w:uiPriority w:val="0"/>
    <w:rPr>
      <w:kern w:val="2"/>
      <w:sz w:val="28"/>
    </w:rPr>
  </w:style>
  <w:style w:type="character" w:customStyle="1" w:styleId="49">
    <w:name w:val="正文文本缩进 3 Char"/>
    <w:link w:val="27"/>
    <w:autoRedefine/>
    <w:qFormat/>
    <w:uiPriority w:val="0"/>
    <w:rPr>
      <w:kern w:val="2"/>
      <w:sz w:val="16"/>
      <w:szCs w:val="16"/>
    </w:rPr>
  </w:style>
  <w:style w:type="character" w:customStyle="1" w:styleId="50">
    <w:name w:val="Char Char9"/>
    <w:autoRedefine/>
    <w:qFormat/>
    <w:uiPriority w:val="0"/>
    <w:rPr>
      <w:rFonts w:ascii="宋体" w:hAnsi="Courier New" w:eastAsia="宋体" w:cs="Times New Roman"/>
      <w:szCs w:val="21"/>
    </w:rPr>
  </w:style>
  <w:style w:type="character" w:customStyle="1" w:styleId="51">
    <w:name w:val="样式1 Char"/>
    <w:link w:val="52"/>
    <w:autoRedefine/>
    <w:qFormat/>
    <w:locked/>
    <w:uiPriority w:val="99"/>
    <w:rPr>
      <w:rFonts w:ascii="微软雅黑" w:hAnsi="微软雅黑" w:eastAsia="微软雅黑" w:cs="宋体"/>
      <w:color w:val="222222"/>
      <w:sz w:val="43"/>
      <w:szCs w:val="43"/>
    </w:rPr>
  </w:style>
  <w:style w:type="paragraph" w:customStyle="1" w:styleId="52">
    <w:name w:val="样式1"/>
    <w:basedOn w:val="30"/>
    <w:link w:val="51"/>
    <w:autoRedefine/>
    <w:qFormat/>
    <w:uiPriority w:val="99"/>
    <w:pPr>
      <w:widowControl/>
      <w:spacing w:before="76" w:after="76" w:line="18" w:lineRule="atLeast"/>
      <w:jc w:val="center"/>
    </w:pPr>
    <w:rPr>
      <w:rFonts w:ascii="微软雅黑" w:hAnsi="微软雅黑" w:eastAsia="微软雅黑"/>
      <w:color w:val="222222"/>
      <w:sz w:val="43"/>
      <w:szCs w:val="43"/>
    </w:rPr>
  </w:style>
  <w:style w:type="character" w:customStyle="1" w:styleId="53">
    <w:name w:val="普通文字 Char2"/>
    <w:autoRedefine/>
    <w:qFormat/>
    <w:uiPriority w:val="0"/>
    <w:rPr>
      <w:rFonts w:ascii="宋体" w:hAnsi="Courier New" w:eastAsia="宋体" w:cs="Courier New"/>
      <w:kern w:val="2"/>
      <w:sz w:val="21"/>
      <w:szCs w:val="21"/>
      <w:lang w:val="en-US" w:eastAsia="zh-CN" w:bidi="ar-SA"/>
    </w:rPr>
  </w:style>
  <w:style w:type="character" w:customStyle="1" w:styleId="54">
    <w:name w:val="无间隔 Char"/>
    <w:link w:val="55"/>
    <w:autoRedefine/>
    <w:qFormat/>
    <w:uiPriority w:val="1"/>
    <w:rPr>
      <w:rFonts w:ascii="Calibri" w:hAnsi="Calibri" w:eastAsia="宋体" w:cs="Times New Roman"/>
      <w:sz w:val="22"/>
      <w:szCs w:val="22"/>
    </w:rPr>
  </w:style>
  <w:style w:type="paragraph" w:styleId="55">
    <w:name w:val="No Spacing"/>
    <w:basedOn w:val="2"/>
    <w:next w:val="2"/>
    <w:link w:val="54"/>
    <w:autoRedefine/>
    <w:qFormat/>
    <w:uiPriority w:val="1"/>
    <w:pPr>
      <w:widowControl/>
      <w:jc w:val="left"/>
    </w:pPr>
    <w:rPr>
      <w:rFonts w:ascii="Calibri" w:hAnsi="Calibri"/>
      <w:kern w:val="0"/>
      <w:sz w:val="22"/>
      <w:szCs w:val="22"/>
    </w:rPr>
  </w:style>
  <w:style w:type="character" w:customStyle="1" w:styleId="56">
    <w:name w:val="16"/>
    <w:autoRedefine/>
    <w:qFormat/>
    <w:uiPriority w:val="0"/>
    <w:rPr>
      <w:rFonts w:hint="default" w:ascii="Times New Roman" w:hAnsi="Times New Roman" w:cs="Times New Roman"/>
      <w:b/>
      <w:bCs/>
    </w:rPr>
  </w:style>
  <w:style w:type="character" w:customStyle="1" w:styleId="57">
    <w:name w:val="书籍标题1"/>
    <w:autoRedefine/>
    <w:qFormat/>
    <w:uiPriority w:val="33"/>
    <w:rPr>
      <w:rFonts w:ascii="Cambria" w:hAnsi="Cambria" w:eastAsia="宋体" w:cs="Times New Roman"/>
      <w:b/>
      <w:bCs/>
      <w:i/>
      <w:iCs/>
      <w:color w:val="auto"/>
    </w:rPr>
  </w:style>
  <w:style w:type="character" w:customStyle="1" w:styleId="58">
    <w:name w:val="普通文字 Char Char4"/>
    <w:autoRedefine/>
    <w:qFormat/>
    <w:locked/>
    <w:uiPriority w:val="0"/>
    <w:rPr>
      <w:rFonts w:ascii="宋体" w:hAnsi="Courier New" w:eastAsia="宋体" w:cs="宋体"/>
      <w:kern w:val="2"/>
      <w:sz w:val="21"/>
      <w:szCs w:val="21"/>
      <w:lang w:val="en-US" w:eastAsia="zh-CN"/>
    </w:rPr>
  </w:style>
  <w:style w:type="character" w:customStyle="1" w:styleId="59">
    <w:name w:val="main1"/>
    <w:autoRedefine/>
    <w:qFormat/>
    <w:uiPriority w:val="0"/>
    <w:rPr>
      <w:color w:val="333333"/>
      <w:sz w:val="24"/>
      <w:szCs w:val="24"/>
    </w:rPr>
  </w:style>
  <w:style w:type="character" w:customStyle="1" w:styleId="60">
    <w:name w:val="p0 Char Char"/>
    <w:link w:val="61"/>
    <w:autoRedefine/>
    <w:qFormat/>
    <w:locked/>
    <w:uiPriority w:val="0"/>
    <w:rPr>
      <w:rFonts w:ascii="宋体" w:hAnsi="宋体" w:eastAsia="宋体"/>
      <w:sz w:val="24"/>
      <w:lang w:val="en-US" w:eastAsia="zh-CN" w:bidi="ar-SA"/>
    </w:rPr>
  </w:style>
  <w:style w:type="paragraph" w:customStyle="1" w:styleId="61">
    <w:name w:val="p0"/>
    <w:basedOn w:val="1"/>
    <w:link w:val="60"/>
    <w:autoRedefine/>
    <w:qFormat/>
    <w:uiPriority w:val="0"/>
    <w:pPr>
      <w:widowControl/>
      <w:spacing w:before="100" w:beforeAutospacing="1" w:after="100" w:afterAutospacing="1"/>
      <w:jc w:val="left"/>
    </w:pPr>
    <w:rPr>
      <w:rFonts w:ascii="宋体" w:hAnsi="宋体"/>
      <w:kern w:val="0"/>
      <w:sz w:val="24"/>
      <w:szCs w:val="20"/>
    </w:rPr>
  </w:style>
  <w:style w:type="character" w:customStyle="1" w:styleId="62">
    <w:name w:val="正文不缩进 Char"/>
    <w:autoRedefine/>
    <w:qFormat/>
    <w:uiPriority w:val="0"/>
    <w:rPr>
      <w:rFonts w:eastAsia="宋体"/>
      <w:kern w:val="2"/>
      <w:sz w:val="21"/>
      <w:szCs w:val="24"/>
      <w:lang w:val="en-US" w:eastAsia="zh-CN" w:bidi="ar-SA"/>
    </w:rPr>
  </w:style>
  <w:style w:type="paragraph" w:customStyle="1" w:styleId="63">
    <w:name w:val="文档正文"/>
    <w:basedOn w:val="1"/>
    <w:autoRedefine/>
    <w:qFormat/>
    <w:uiPriority w:val="0"/>
    <w:pPr>
      <w:spacing w:line="360" w:lineRule="auto"/>
    </w:pPr>
    <w:rPr>
      <w:rFonts w:ascii="Arial" w:hAnsi="Arial" w:cs="Arial"/>
      <w:bCs/>
    </w:rPr>
  </w:style>
  <w:style w:type="paragraph" w:customStyle="1" w:styleId="64">
    <w:name w:val="Char Char Char Char Char Char Char Char Char Char"/>
    <w:basedOn w:val="1"/>
    <w:autoRedefine/>
    <w:qFormat/>
    <w:uiPriority w:val="0"/>
    <w:rPr>
      <w:rFonts w:ascii="Tahoma" w:hAnsi="Tahoma"/>
      <w:sz w:val="24"/>
      <w:szCs w:val="20"/>
    </w:rPr>
  </w:style>
  <w:style w:type="paragraph" w:customStyle="1" w:styleId="65">
    <w:name w:val="Char Char Char Char Char Char Char Char Char1 Char"/>
    <w:basedOn w:val="1"/>
    <w:autoRedefine/>
    <w:qFormat/>
    <w:uiPriority w:val="0"/>
    <w:rPr>
      <w:rFonts w:ascii="Tahoma" w:hAnsi="Tahoma"/>
      <w:sz w:val="24"/>
      <w:szCs w:val="20"/>
    </w:rPr>
  </w:style>
  <w:style w:type="paragraph" w:customStyle="1" w:styleId="66">
    <w:name w:val="Char Char"/>
    <w:basedOn w:val="1"/>
    <w:autoRedefine/>
    <w:qFormat/>
    <w:uiPriority w:val="0"/>
    <w:rPr>
      <w:rFonts w:ascii="Tahoma" w:hAnsi="Tahoma"/>
      <w:sz w:val="24"/>
      <w:szCs w:val="20"/>
    </w:rPr>
  </w:style>
  <w:style w:type="paragraph" w:customStyle="1" w:styleId="67">
    <w:name w:val="默认段落字体 Para Char Char Char Char Char Char Char Char Char1 Char Char Char Char Char Char Char"/>
    <w:basedOn w:val="10"/>
    <w:autoRedefine/>
    <w:qFormat/>
    <w:uiPriority w:val="0"/>
  </w:style>
  <w:style w:type="paragraph" w:customStyle="1" w:styleId="68">
    <w:name w:val="正文 + 宋体"/>
    <w:basedOn w:val="1"/>
    <w:autoRedefine/>
    <w:qFormat/>
    <w:uiPriority w:val="0"/>
    <w:pPr>
      <w:spacing w:line="360" w:lineRule="auto"/>
    </w:pPr>
    <w:rPr>
      <w:rFonts w:ascii="宋体" w:hAnsi="宋体"/>
      <w:kern w:val="0"/>
      <w:sz w:val="28"/>
      <w:szCs w:val="28"/>
    </w:rPr>
  </w:style>
  <w:style w:type="paragraph" w:customStyle="1" w:styleId="69">
    <w:name w:val="WPS Plain"/>
    <w:autoRedefine/>
    <w:qFormat/>
    <w:uiPriority w:val="0"/>
    <w:rPr>
      <w:rFonts w:ascii="Times New Roman" w:hAnsi="Times New Roman" w:eastAsia="宋体" w:cs="Times New Roman"/>
      <w:lang w:val="en-US" w:eastAsia="zh-CN" w:bidi="ar-SA"/>
    </w:rPr>
  </w:style>
  <w:style w:type="paragraph" w:customStyle="1" w:styleId="70">
    <w:name w:val="Char Char Char Char Char Char Char"/>
    <w:basedOn w:val="1"/>
    <w:autoRedefine/>
    <w:qFormat/>
    <w:uiPriority w:val="0"/>
    <w:rPr>
      <w:rFonts w:ascii="Tahoma" w:hAnsi="Tahoma"/>
      <w:sz w:val="24"/>
      <w:szCs w:val="20"/>
    </w:rPr>
  </w:style>
  <w:style w:type="paragraph" w:customStyle="1" w:styleId="71">
    <w:name w:val="简单回函地址"/>
    <w:basedOn w:val="1"/>
    <w:autoRedefine/>
    <w:qFormat/>
    <w:uiPriority w:val="0"/>
    <w:rPr>
      <w:szCs w:val="20"/>
    </w:rPr>
  </w:style>
  <w:style w:type="paragraph" w:customStyle="1" w:styleId="72">
    <w:name w:val="Table Paragraph"/>
    <w:basedOn w:val="1"/>
    <w:autoRedefine/>
    <w:qFormat/>
    <w:uiPriority w:val="1"/>
    <w:pPr>
      <w:autoSpaceDE w:val="0"/>
      <w:autoSpaceDN w:val="0"/>
      <w:adjustRightInd w:val="0"/>
      <w:jc w:val="left"/>
    </w:pPr>
    <w:rPr>
      <w:kern w:val="0"/>
      <w:sz w:val="24"/>
    </w:rPr>
  </w:style>
  <w:style w:type="paragraph" w:customStyle="1" w:styleId="73">
    <w:name w:val="Char Char Char Char Char Char"/>
    <w:basedOn w:val="1"/>
    <w:autoRedefine/>
    <w:qFormat/>
    <w:uiPriority w:val="0"/>
    <w:rPr>
      <w:rFonts w:ascii="Tahoma" w:hAnsi="Tahoma"/>
      <w:sz w:val="24"/>
      <w:szCs w:val="20"/>
    </w:rPr>
  </w:style>
  <w:style w:type="paragraph" w:customStyle="1" w:styleId="74">
    <w:name w:val="Char Char Char Char Char Char Char Char Char"/>
    <w:basedOn w:val="1"/>
    <w:autoRedefine/>
    <w:qFormat/>
    <w:uiPriority w:val="0"/>
    <w:rPr>
      <w:rFonts w:ascii="Tahoma" w:hAnsi="Tahoma"/>
      <w:sz w:val="24"/>
      <w:szCs w:val="20"/>
    </w:rPr>
  </w:style>
  <w:style w:type="paragraph" w:customStyle="1" w:styleId="75">
    <w:name w:val="样式3"/>
    <w:basedOn w:val="13"/>
    <w:autoRedefine/>
    <w:qFormat/>
    <w:uiPriority w:val="0"/>
    <w:pPr>
      <w:spacing w:line="360" w:lineRule="auto"/>
    </w:pPr>
    <w:rPr>
      <w:rFonts w:ascii="宋体"/>
      <w:szCs w:val="20"/>
    </w:rPr>
  </w:style>
  <w:style w:type="paragraph" w:customStyle="1" w:styleId="76">
    <w:name w:val="2册标题2"/>
    <w:basedOn w:val="1"/>
    <w:next w:val="1"/>
    <w:autoRedefine/>
    <w:qFormat/>
    <w:uiPriority w:val="0"/>
    <w:pPr>
      <w:spacing w:beforeLines="50" w:afterLines="50" w:line="300" w:lineRule="auto"/>
      <w:outlineLvl w:val="1"/>
    </w:pPr>
    <w:rPr>
      <w:rFonts w:ascii="Arial" w:hAnsi="Arial" w:eastAsia="黑体"/>
      <w:sz w:val="30"/>
      <w:szCs w:val="30"/>
    </w:rPr>
  </w:style>
  <w:style w:type="paragraph" w:customStyle="1" w:styleId="77">
    <w:name w:val="图注"/>
    <w:basedOn w:val="9"/>
    <w:autoRedefine/>
    <w:qFormat/>
    <w:uiPriority w:val="0"/>
    <w:pPr>
      <w:jc w:val="center"/>
    </w:pPr>
    <w:rPr>
      <w:rFonts w:ascii="Times New Roman" w:hAnsi="Times New Roman" w:eastAsia="宋体" w:cs="Times New Roman"/>
      <w:spacing w:val="20"/>
      <w:sz w:val="21"/>
    </w:rPr>
  </w:style>
  <w:style w:type="paragraph" w:customStyle="1" w:styleId="78">
    <w:name w:val="表头文本"/>
    <w:basedOn w:val="1"/>
    <w:autoRedefine/>
    <w:qFormat/>
    <w:uiPriority w:val="0"/>
    <w:pPr>
      <w:autoSpaceDE w:val="0"/>
      <w:autoSpaceDN w:val="0"/>
      <w:adjustRightInd w:val="0"/>
      <w:jc w:val="center"/>
    </w:pPr>
    <w:rPr>
      <w:b/>
      <w:bCs/>
      <w:kern w:val="0"/>
      <w:sz w:val="24"/>
    </w:rPr>
  </w:style>
  <w:style w:type="paragraph" w:customStyle="1" w:styleId="79">
    <w:name w:val="1册标题3"/>
    <w:basedOn w:val="1"/>
    <w:next w:val="1"/>
    <w:autoRedefine/>
    <w:qFormat/>
    <w:uiPriority w:val="0"/>
    <w:pPr>
      <w:keepNext/>
      <w:keepLines/>
      <w:adjustRightInd w:val="0"/>
      <w:spacing w:beforeLines="50" w:afterLines="50" w:line="300" w:lineRule="auto"/>
      <w:textAlignment w:val="baseline"/>
      <w:outlineLvl w:val="2"/>
    </w:pPr>
    <w:rPr>
      <w:rFonts w:ascii="Arial" w:hAnsi="Arial" w:eastAsia="黑体"/>
      <w:kern w:val="0"/>
      <w:sz w:val="30"/>
      <w:szCs w:val="20"/>
    </w:rPr>
  </w:style>
  <w:style w:type="paragraph" w:customStyle="1" w:styleId="80">
    <w:name w:val="表正文"/>
    <w:basedOn w:val="1"/>
    <w:next w:val="2"/>
    <w:autoRedefine/>
    <w:qFormat/>
    <w:uiPriority w:val="0"/>
    <w:pPr>
      <w:spacing w:line="460" w:lineRule="exact"/>
      <w:ind w:firstLine="200" w:firstLineChars="200"/>
    </w:pPr>
    <w:rPr>
      <w:spacing w:val="14"/>
      <w:kern w:val="24"/>
      <w:sz w:val="24"/>
      <w:szCs w:val="20"/>
    </w:rPr>
  </w:style>
  <w:style w:type="paragraph" w:customStyle="1" w:styleId="81">
    <w:name w:val="纯文本 Char"/>
    <w:basedOn w:val="1"/>
    <w:next w:val="13"/>
    <w:autoRedefine/>
    <w:qFormat/>
    <w:uiPriority w:val="0"/>
  </w:style>
  <w:style w:type="paragraph" w:customStyle="1" w:styleId="82">
    <w:name w:val="Char Char Char Char"/>
    <w:basedOn w:val="1"/>
    <w:autoRedefine/>
    <w:qFormat/>
    <w:uiPriority w:val="0"/>
    <w:rPr>
      <w:rFonts w:ascii="Tahoma" w:hAnsi="Tahoma"/>
      <w:sz w:val="24"/>
      <w:szCs w:val="20"/>
    </w:rPr>
  </w:style>
  <w:style w:type="paragraph" w:customStyle="1" w:styleId="83">
    <w:name w:val="Char Char Char"/>
    <w:basedOn w:val="1"/>
    <w:autoRedefine/>
    <w:qFormat/>
    <w:uiPriority w:val="0"/>
    <w:rPr>
      <w:rFonts w:ascii="Tahoma" w:hAnsi="Tahoma"/>
      <w:sz w:val="24"/>
      <w:szCs w:val="20"/>
    </w:rPr>
  </w:style>
  <w:style w:type="paragraph" w:customStyle="1" w:styleId="84">
    <w:name w:val="ptdl"/>
    <w:basedOn w:val="1"/>
    <w:autoRedefine/>
    <w:qFormat/>
    <w:uiPriority w:val="0"/>
    <w:pPr>
      <w:ind w:firstLine="480"/>
    </w:pPr>
    <w:rPr>
      <w:sz w:val="24"/>
      <w:szCs w:val="20"/>
    </w:rPr>
  </w:style>
  <w:style w:type="paragraph" w:customStyle="1" w:styleId="85">
    <w:name w:val="List Paragraph1"/>
    <w:basedOn w:val="1"/>
    <w:autoRedefine/>
    <w:qFormat/>
    <w:uiPriority w:val="0"/>
    <w:pPr>
      <w:ind w:firstLine="420" w:firstLineChars="200"/>
    </w:pPr>
    <w:rPr>
      <w:spacing w:val="-20"/>
      <w:sz w:val="32"/>
      <w:szCs w:val="20"/>
    </w:rPr>
  </w:style>
  <w:style w:type="paragraph" w:customStyle="1" w:styleId="86">
    <w:name w:val="Char Char Char Char Char Char1 Char Char Char Char"/>
    <w:basedOn w:val="1"/>
    <w:autoRedefine/>
    <w:qFormat/>
    <w:uiPriority w:val="0"/>
    <w:rPr>
      <w:rFonts w:ascii="Tahoma" w:hAnsi="Tahoma"/>
      <w:sz w:val="24"/>
      <w:szCs w:val="20"/>
    </w:rPr>
  </w:style>
  <w:style w:type="paragraph" w:styleId="87">
    <w:name w:val="List Paragraph"/>
    <w:basedOn w:val="1"/>
    <w:link w:val="90"/>
    <w:autoRedefine/>
    <w:qFormat/>
    <w:uiPriority w:val="34"/>
    <w:pPr>
      <w:ind w:firstLine="420" w:firstLineChars="200"/>
    </w:pPr>
    <w:rPr>
      <w:rFonts w:ascii="Calibri" w:hAnsi="Calibri"/>
      <w:szCs w:val="22"/>
    </w:rPr>
  </w:style>
  <w:style w:type="character" w:customStyle="1" w:styleId="88">
    <w:name w:val="批注文字 Char"/>
    <w:link w:val="11"/>
    <w:autoRedefine/>
    <w:qFormat/>
    <w:uiPriority w:val="0"/>
    <w:rPr>
      <w:kern w:val="2"/>
      <w:sz w:val="21"/>
      <w:szCs w:val="24"/>
    </w:rPr>
  </w:style>
  <w:style w:type="character" w:customStyle="1" w:styleId="89">
    <w:name w:val="font112"/>
    <w:autoRedefine/>
    <w:qFormat/>
    <w:uiPriority w:val="0"/>
    <w:rPr>
      <w:rFonts w:hint="default" w:ascii="Arial" w:hAnsi="Arial" w:cs="Arial"/>
      <w:color w:val="000000"/>
      <w:sz w:val="22"/>
      <w:szCs w:val="22"/>
      <w:u w:val="none"/>
    </w:rPr>
  </w:style>
  <w:style w:type="character" w:customStyle="1" w:styleId="90">
    <w:name w:val="列出段落 Char"/>
    <w:link w:val="87"/>
    <w:autoRedefine/>
    <w:qFormat/>
    <w:locked/>
    <w:uiPriority w:val="34"/>
    <w:rPr>
      <w:rFonts w:ascii="Calibri" w:hAnsi="Calibri"/>
      <w:kern w:val="2"/>
      <w:sz w:val="21"/>
      <w:szCs w:val="22"/>
    </w:rPr>
  </w:style>
  <w:style w:type="character" w:customStyle="1" w:styleId="91">
    <w:name w:val="NormalCharacter"/>
    <w:autoRedefine/>
    <w:qFormat/>
    <w:uiPriority w:val="0"/>
  </w:style>
  <w:style w:type="character" w:customStyle="1" w:styleId="92">
    <w:name w:val="普通(网站) Char"/>
    <w:link w:val="30"/>
    <w:autoRedefine/>
    <w:qFormat/>
    <w:uiPriority w:val="0"/>
    <w:rPr>
      <w:sz w:val="24"/>
      <w:szCs w:val="24"/>
    </w:rPr>
  </w:style>
  <w:style w:type="paragraph" w:customStyle="1" w:styleId="93">
    <w:name w:val="null3"/>
    <w:autoRedefine/>
    <w:hidden/>
    <w:qFormat/>
    <w:uiPriority w:val="0"/>
    <w:rPr>
      <w:rFonts w:hint="eastAsia" w:asciiTheme="minorHAnsi" w:hAnsiTheme="minorHAnsi" w:eastAsiaTheme="minorEastAsia" w:cstheme="minorBidi"/>
      <w:lang w:val="en-US" w:eastAsia="zh-Hans"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microsoft.com/office/2006/relationships/keyMapCustomizations" Target="customization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45</Pages>
  <Words>29845</Words>
  <Characters>31364</Characters>
  <Lines>273</Lines>
  <Paragraphs>76</Paragraphs>
  <TotalTime>4</TotalTime>
  <ScaleCrop>false</ScaleCrop>
  <LinksUpToDate>false</LinksUpToDate>
  <CharactersWithSpaces>34090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2020-01-22T04:37:00Z</dcterms:created>
  <dc:creator>company</dc:creator>
  <cp:lastModifiedBy>cc</cp:lastModifiedBy>
  <cp:lastPrinted>2024-03-19T00:39:00Z</cp:lastPrinted>
  <dcterms:modified xsi:type="dcterms:W3CDTF">2024-07-22T02:38:17Z</dcterms:modified>
  <dc:title>第一部分    投标邀请</dc:title>
  <cp:revision>129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30ACD98ABC544C6B8C8FF1DBD2C155E4_13</vt:lpwstr>
  </property>
</Properties>
</file>