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9A566">
      <w:pPr>
        <w:widowControl/>
        <w:spacing w:line="800" w:lineRule="exact"/>
        <w:jc w:val="center"/>
        <w:rPr>
          <w:rFonts w:hint="eastAsia" w:ascii="黑体" w:hAnsi="黑体" w:eastAsia="黑体" w:cs="宋体"/>
          <w:b/>
          <w:bCs/>
          <w:sz w:val="44"/>
          <w:szCs w:val="44"/>
          <w:lang w:eastAsia="zh-CN"/>
        </w:rPr>
      </w:pPr>
      <w:bookmarkStart w:id="0" w:name="OLE_LINK18"/>
      <w:bookmarkStart w:id="1" w:name="OLE_LINK2"/>
      <w:r>
        <w:rPr>
          <w:rFonts w:hint="eastAsia" w:ascii="黑体" w:hAnsi="黑体" w:eastAsia="黑体" w:cs="宋体"/>
          <w:b/>
          <w:bCs/>
          <w:sz w:val="44"/>
          <w:szCs w:val="44"/>
          <w:lang w:eastAsia="zh-CN"/>
        </w:rPr>
        <w:t>云南能源职业技术学院智能化矿井多源数据数智共享平台建设项目</w:t>
      </w:r>
    </w:p>
    <w:bookmarkEnd w:id="0"/>
    <w:p w14:paraId="1E2AF420">
      <w:pPr>
        <w:pStyle w:val="416"/>
        <w:ind w:firstLine="149"/>
      </w:pPr>
    </w:p>
    <w:p w14:paraId="70E440B2">
      <w:pPr>
        <w:pStyle w:val="416"/>
        <w:ind w:firstLine="149"/>
      </w:pPr>
    </w:p>
    <w:p w14:paraId="7F92DB08">
      <w:pPr>
        <w:pStyle w:val="416"/>
        <w:ind w:firstLine="149"/>
      </w:pPr>
    </w:p>
    <w:p w14:paraId="3FE9B12D">
      <w:pPr>
        <w:pStyle w:val="416"/>
        <w:ind w:firstLine="149"/>
      </w:pPr>
    </w:p>
    <w:p w14:paraId="033EDB26">
      <w:pPr>
        <w:pStyle w:val="416"/>
        <w:ind w:firstLine="149"/>
      </w:pPr>
    </w:p>
    <w:p w14:paraId="1D6A0571">
      <w:pPr>
        <w:pStyle w:val="416"/>
        <w:ind w:firstLine="149"/>
      </w:pPr>
    </w:p>
    <w:p w14:paraId="075F8238">
      <w:pPr>
        <w:widowControl/>
        <w:spacing w:line="1800" w:lineRule="exact"/>
        <w:jc w:val="center"/>
        <w:rPr>
          <w:rFonts w:hint="eastAsia" w:ascii="宋体" w:hAnsi="宋体" w:cs="宋体"/>
          <w:b/>
          <w:bCs/>
          <w:sz w:val="110"/>
          <w:szCs w:val="110"/>
        </w:rPr>
      </w:pPr>
      <w:r>
        <w:rPr>
          <w:rFonts w:hint="eastAsia" w:ascii="宋体" w:hAnsi="宋体" w:cs="宋体"/>
          <w:b/>
          <w:bCs/>
          <w:sz w:val="110"/>
          <w:szCs w:val="110"/>
        </w:rPr>
        <w:t>招 标 文 件</w:t>
      </w:r>
    </w:p>
    <w:p w14:paraId="7613515E">
      <w:pPr>
        <w:widowControl/>
        <w:spacing w:line="600" w:lineRule="exact"/>
        <w:jc w:val="center"/>
        <w:rPr>
          <w:rFonts w:hint="eastAsia" w:ascii="宋体" w:hAnsi="宋体" w:cs="宋体"/>
          <w:b/>
          <w:bCs/>
          <w:color w:val="auto"/>
          <w:sz w:val="32"/>
          <w:szCs w:val="32"/>
        </w:rPr>
      </w:pPr>
      <w:r>
        <w:rPr>
          <w:rFonts w:hint="eastAsia" w:ascii="宋体" w:hAnsi="宋体" w:cs="宋体"/>
          <w:b/>
          <w:bCs/>
          <w:color w:val="auto"/>
          <w:sz w:val="32"/>
          <w:szCs w:val="32"/>
        </w:rPr>
        <w:t>项目编号：YNZC2026-G1-01288-YNYS-0017</w:t>
      </w:r>
    </w:p>
    <w:p w14:paraId="5E2577BC">
      <w:pPr>
        <w:widowControl/>
        <w:spacing w:line="360" w:lineRule="auto"/>
        <w:ind w:firstLine="480" w:firstLineChars="200"/>
        <w:rPr>
          <w:rFonts w:hint="eastAsia" w:ascii="宋体" w:hAnsi="宋体" w:cs="宋体"/>
        </w:rPr>
      </w:pPr>
    </w:p>
    <w:p w14:paraId="5E6F5969">
      <w:pPr>
        <w:widowControl/>
        <w:spacing w:line="360" w:lineRule="auto"/>
        <w:ind w:firstLine="480" w:firstLineChars="200"/>
        <w:rPr>
          <w:rFonts w:hint="eastAsia" w:ascii="宋体" w:hAnsi="宋体" w:cs="宋体"/>
        </w:rPr>
      </w:pPr>
    </w:p>
    <w:p w14:paraId="70C6037C">
      <w:pPr>
        <w:widowControl/>
        <w:spacing w:line="360" w:lineRule="auto"/>
        <w:rPr>
          <w:rFonts w:hint="eastAsia" w:ascii="宋体" w:hAnsi="宋体" w:cs="宋体"/>
        </w:rPr>
      </w:pPr>
    </w:p>
    <w:p w14:paraId="77808CED">
      <w:pPr>
        <w:widowControl/>
        <w:spacing w:line="360" w:lineRule="auto"/>
        <w:rPr>
          <w:rFonts w:hint="eastAsia" w:ascii="宋体" w:hAnsi="宋体" w:cs="宋体"/>
        </w:rPr>
      </w:pPr>
    </w:p>
    <w:p w14:paraId="19AB5B0F">
      <w:pPr>
        <w:widowControl/>
        <w:spacing w:line="360" w:lineRule="auto"/>
        <w:rPr>
          <w:rFonts w:hint="eastAsia" w:ascii="宋体" w:hAnsi="宋体" w:cs="宋体"/>
        </w:rPr>
      </w:pPr>
    </w:p>
    <w:p w14:paraId="5DD104C5">
      <w:pPr>
        <w:widowControl/>
        <w:spacing w:line="360" w:lineRule="auto"/>
        <w:ind w:firstLine="480" w:firstLineChars="200"/>
        <w:rPr>
          <w:rFonts w:hint="eastAsia" w:ascii="宋体" w:hAnsi="宋体" w:cs="宋体"/>
        </w:rPr>
      </w:pPr>
    </w:p>
    <w:p w14:paraId="36B0EDDB">
      <w:pPr>
        <w:widowControl/>
        <w:spacing w:line="1800" w:lineRule="exact"/>
        <w:rPr>
          <w:rFonts w:hint="eastAsia" w:ascii="宋体" w:hAnsi="宋体" w:cs="宋体"/>
          <w:b/>
          <w:bCs/>
          <w:sz w:val="36"/>
          <w:szCs w:val="36"/>
        </w:rPr>
      </w:pPr>
      <w:r>
        <w:rPr>
          <w:rFonts w:hint="eastAsia" w:ascii="宋体" w:hAnsi="宋体" w:cs="宋体"/>
          <w:b/>
          <w:bCs/>
          <w:sz w:val="36"/>
          <w:szCs w:val="36"/>
        </w:rPr>
        <w:t>采购人：云南能源职业技术学院</w:t>
      </w:r>
    </w:p>
    <w:p w14:paraId="3CA1C0CD">
      <w:pPr>
        <w:pStyle w:val="416"/>
        <w:spacing w:line="1800" w:lineRule="exact"/>
        <w:ind w:firstLine="0"/>
        <w:rPr>
          <w:rFonts w:hint="eastAsia" w:ascii="宋体" w:hAnsi="宋体" w:cs="宋体"/>
          <w:b/>
          <w:bCs/>
          <w:kern w:val="2"/>
          <w:sz w:val="36"/>
          <w:szCs w:val="36"/>
          <w:shd w:val="clear" w:color="auto" w:fill="auto"/>
          <w:lang w:val="en-US"/>
        </w:rPr>
      </w:pPr>
      <w:r>
        <w:rPr>
          <w:rFonts w:hint="eastAsia" w:ascii="宋体" w:hAnsi="宋体" w:cs="宋体"/>
          <w:b/>
          <w:bCs/>
          <w:kern w:val="2"/>
          <w:sz w:val="36"/>
          <w:szCs w:val="36"/>
          <w:shd w:val="clear" w:color="auto" w:fill="auto"/>
          <w:lang w:val="en-US"/>
        </w:rPr>
        <w:t>采购代理机构：云南元赛咨询管理有限公司</w:t>
      </w:r>
    </w:p>
    <w:p w14:paraId="246E54F0"/>
    <w:p w14:paraId="37BD3435">
      <w:pPr>
        <w:pStyle w:val="416"/>
        <w:ind w:firstLine="0"/>
        <w:rPr>
          <w:rFonts w:hint="eastAsia" w:ascii="黑体" w:hAnsi="黑体" w:eastAsia="黑体" w:cs="宋体"/>
          <w:b/>
          <w:bCs/>
          <w:sz w:val="40"/>
          <w:szCs w:val="40"/>
          <w:lang w:val="en-US"/>
        </w:rPr>
        <w:sectPr>
          <w:pgSz w:w="11906" w:h="16838"/>
          <w:pgMar w:top="1440" w:right="1588" w:bottom="1440" w:left="1701" w:header="0" w:footer="0" w:gutter="0"/>
          <w:pgNumType w:start="0" w:chapStyle="1"/>
          <w:cols w:space="720" w:num="1"/>
          <w:titlePg/>
          <w:docGrid w:linePitch="331" w:charSpace="0"/>
        </w:sectPr>
      </w:pPr>
    </w:p>
    <w:bookmarkEnd w:id="1"/>
    <w:p w14:paraId="7088B7DB">
      <w:pPr>
        <w:tabs>
          <w:tab w:val="left" w:pos="7380"/>
        </w:tabs>
        <w:spacing w:line="360" w:lineRule="auto"/>
        <w:jc w:val="left"/>
        <w:rPr>
          <w:rFonts w:hint="eastAsia" w:ascii="黑体" w:hAnsi="黑体" w:eastAsia="黑体" w:cs="宋体"/>
          <w:b/>
          <w:sz w:val="28"/>
          <w:szCs w:val="28"/>
        </w:rPr>
      </w:pPr>
      <w:r>
        <w:rPr>
          <w:rFonts w:hint="eastAsia" w:ascii="黑体" w:hAnsi="黑体" w:eastAsia="黑体" w:cs="宋体"/>
          <w:b/>
          <w:sz w:val="28"/>
          <w:szCs w:val="28"/>
        </w:rPr>
        <w:t>附件：电子投标文件编制要求</w:t>
      </w:r>
    </w:p>
    <w:p w14:paraId="48024E42">
      <w:pPr>
        <w:tabs>
          <w:tab w:val="left" w:pos="7380"/>
        </w:tabs>
        <w:spacing w:line="360" w:lineRule="auto"/>
        <w:ind w:firstLine="321" w:firstLineChars="100"/>
        <w:jc w:val="center"/>
        <w:rPr>
          <w:rFonts w:hint="eastAsia" w:ascii="黑体" w:hAnsi="黑体" w:eastAsia="黑体" w:cs="宋体"/>
          <w:b/>
          <w:sz w:val="32"/>
          <w:szCs w:val="32"/>
        </w:rPr>
      </w:pPr>
      <w:r>
        <w:rPr>
          <w:rFonts w:hint="eastAsia" w:ascii="黑体" w:hAnsi="黑体" w:eastAsia="黑体" w:cs="宋体"/>
          <w:b/>
          <w:sz w:val="32"/>
          <w:szCs w:val="32"/>
        </w:rPr>
        <w:t>电子投标文件编制要求</w:t>
      </w:r>
    </w:p>
    <w:p w14:paraId="1B812401">
      <w:pPr>
        <w:spacing w:line="360" w:lineRule="auto"/>
        <w:ind w:firstLine="480" w:firstLineChars="200"/>
        <w:rPr>
          <w:rFonts w:hint="eastAsia" w:ascii="宋体" w:hAnsi="宋体" w:cs="宋体"/>
        </w:rPr>
      </w:pPr>
      <w:r>
        <w:rPr>
          <w:rFonts w:hint="eastAsia" w:ascii="宋体" w:hAnsi="宋体" w:cs="宋体"/>
        </w:rPr>
        <w:t>1.电子投标文件的制作应使用“政采云投标客户端”，投标人下载“政采云投标客户端”，通过“政采云投标客户端”编制并生成加密的投标文件。</w:t>
      </w:r>
    </w:p>
    <w:p w14:paraId="444EEEAA">
      <w:pPr>
        <w:spacing w:line="360" w:lineRule="auto"/>
        <w:ind w:firstLine="480" w:firstLineChars="200"/>
        <w:rPr>
          <w:rFonts w:hint="eastAsia" w:ascii="宋体" w:hAnsi="宋体" w:cs="宋体"/>
        </w:rPr>
      </w:pPr>
      <w:r>
        <w:rPr>
          <w:rFonts w:hint="eastAsia" w:ascii="宋体" w:hAnsi="宋体" w:cs="宋体"/>
        </w:rPr>
        <w:t>2.“政采云投标客户端”提供数字证书(CA)对投标文件进行加密功能。投标人对网上递交的投标文件应加密。如果投标人使用某个数字证书(CA)对投标文件进行了数字证书(CA)加密，需要在开标时使用该数字证书(CA)进行解密，才能读取或导入投标文件，因投标人原因造成投标文件未解密的，视为撤回其投标文件。</w:t>
      </w:r>
    </w:p>
    <w:p w14:paraId="2326C15B">
      <w:pPr>
        <w:spacing w:line="360" w:lineRule="auto"/>
        <w:ind w:firstLine="480" w:firstLineChars="200"/>
        <w:rPr>
          <w:rFonts w:hint="eastAsia" w:ascii="宋体" w:hAnsi="宋体" w:cs="宋体"/>
        </w:rPr>
      </w:pPr>
      <w:r>
        <w:rPr>
          <w:rFonts w:hint="eastAsia" w:ascii="宋体" w:hAnsi="宋体" w:cs="宋体"/>
        </w:rPr>
        <w:t>3.网上递交投标文件应根据招标文件要求，在投标截止时间前将电子投标文件通过政采云电子交易系统(网址:https://www.zcygov.cn/)上传至对应的项目，系统自动生成投标回执，以表明上传成功。</w:t>
      </w:r>
    </w:p>
    <w:p w14:paraId="20D4927B">
      <w:pPr>
        <w:spacing w:line="360" w:lineRule="auto"/>
        <w:ind w:firstLine="480" w:firstLineChars="200"/>
        <w:rPr>
          <w:rFonts w:hint="eastAsia" w:ascii="宋体" w:hAnsi="宋体" w:cs="宋体"/>
        </w:rPr>
      </w:pPr>
      <w:r>
        <w:rPr>
          <w:rFonts w:hint="eastAsia" w:ascii="宋体" w:hAnsi="宋体" w:cs="宋体"/>
        </w:rPr>
        <w:t>4.该投标文件制作要求如果与招标文件规定不一致，以此投标文件制作要求为准。</w:t>
      </w:r>
    </w:p>
    <w:p w14:paraId="16044B08">
      <w:pPr>
        <w:spacing w:line="360" w:lineRule="auto"/>
        <w:ind w:firstLine="480" w:firstLineChars="200"/>
        <w:rPr>
          <w:rFonts w:hint="eastAsia" w:ascii="宋体" w:hAnsi="宋体" w:cs="宋体"/>
        </w:rPr>
      </w:pPr>
      <w:r>
        <w:rPr>
          <w:rFonts w:hint="eastAsia" w:ascii="宋体" w:hAnsi="宋体" w:cs="宋体"/>
        </w:rPr>
        <w:t>“政采云投标客户端”及 CA 驱动下载网址:https://customer.zcygov.cn/CA-driver-download?utm=web-ca-front. 3ddc8fbb.0.0.91c6cffodb1311ec8cfbc9f613d30204。</w:t>
      </w:r>
    </w:p>
    <w:p w14:paraId="3DBF3D49">
      <w:pPr>
        <w:widowControl/>
        <w:spacing w:line="360" w:lineRule="auto"/>
        <w:jc w:val="left"/>
        <w:rPr>
          <w:rFonts w:hint="eastAsia" w:cs="宋体" w:asciiTheme="minorEastAsia" w:hAnsiTheme="minorEastAsia" w:eastAsiaTheme="minorEastAsia"/>
          <w:b/>
          <w:sz w:val="32"/>
          <w:szCs w:val="32"/>
        </w:rPr>
      </w:pPr>
    </w:p>
    <w:p w14:paraId="6C9EE904">
      <w:pPr>
        <w:tabs>
          <w:tab w:val="left" w:pos="7380"/>
        </w:tabs>
        <w:spacing w:line="1800" w:lineRule="exact"/>
        <w:jc w:val="left"/>
        <w:rPr>
          <w:rFonts w:hint="eastAsia" w:cs="宋体" w:asciiTheme="minorEastAsia" w:hAnsiTheme="minorEastAsia" w:eastAsiaTheme="minorEastAsia"/>
          <w:b/>
          <w:sz w:val="36"/>
          <w:szCs w:val="36"/>
        </w:rPr>
      </w:pPr>
    </w:p>
    <w:p w14:paraId="275E33F1">
      <w:pPr>
        <w:widowControl/>
        <w:jc w:val="left"/>
        <w:rPr>
          <w:rFonts w:hint="eastAsia" w:cs="宋体" w:asciiTheme="minorEastAsia" w:hAnsiTheme="minorEastAsia" w:eastAsiaTheme="minorEastAsia"/>
          <w:b/>
          <w:sz w:val="36"/>
          <w:szCs w:val="36"/>
        </w:rPr>
        <w:sectPr>
          <w:pgSz w:w="11906" w:h="16838"/>
          <w:pgMar w:top="1440" w:right="1588" w:bottom="1440" w:left="1701" w:header="0" w:footer="0" w:gutter="0"/>
          <w:pgNumType w:start="0" w:chapStyle="1"/>
          <w:cols w:space="720" w:num="1"/>
          <w:titlePg/>
          <w:docGrid w:linePitch="331" w:charSpace="0"/>
        </w:sectPr>
      </w:pPr>
    </w:p>
    <w:p w14:paraId="63FB7732">
      <w:pPr>
        <w:widowControl/>
        <w:jc w:val="center"/>
        <w:rPr>
          <w:rFonts w:hint="eastAsia" w:ascii="黑体" w:hAnsi="黑体" w:eastAsia="黑体"/>
          <w:b/>
          <w:sz w:val="36"/>
          <w:szCs w:val="36"/>
        </w:rPr>
      </w:pPr>
      <w:r>
        <w:rPr>
          <w:rFonts w:hint="eastAsia" w:ascii="黑体" w:hAnsi="黑体" w:eastAsia="黑体"/>
          <w:b/>
          <w:sz w:val="36"/>
          <w:szCs w:val="36"/>
        </w:rPr>
        <w:t>目  录</w:t>
      </w:r>
    </w:p>
    <w:p w14:paraId="4118A06A">
      <w:pPr>
        <w:pStyle w:val="34"/>
        <w:tabs>
          <w:tab w:val="right" w:leader="dot" w:pos="8880"/>
          <w:tab w:val="clear" w:pos="9628"/>
        </w:tabs>
        <w:spacing w:before="0" w:after="0" w:line="1000" w:lineRule="exact"/>
        <w:ind w:firstLine="0" w:firstLineChars="0"/>
        <w:rPr>
          <w:rFonts w:hint="eastAsia" w:ascii="宋体" w:hAnsi="宋体" w:cstheme="minorBidi"/>
          <w:b w:val="0"/>
          <w:bCs w:val="0"/>
          <w:caps w:val="0"/>
          <w:sz w:val="28"/>
          <w:szCs w:val="28"/>
          <w14:ligatures w14:val="standardContextual"/>
        </w:rPr>
      </w:pPr>
      <w:r>
        <w:rPr>
          <w:rStyle w:val="57"/>
          <w:rFonts w:hint="default"/>
          <w:b w:val="0"/>
          <w:color w:val="auto"/>
          <w:sz w:val="28"/>
          <w:szCs w:val="28"/>
        </w:rPr>
        <w:fldChar w:fldCharType="begin"/>
      </w:r>
      <w:r>
        <w:rPr>
          <w:rStyle w:val="57"/>
          <w:rFonts w:hint="default"/>
          <w:b w:val="0"/>
          <w:color w:val="auto"/>
          <w:sz w:val="28"/>
          <w:szCs w:val="28"/>
        </w:rPr>
        <w:instrText xml:space="preserve"> TOC \o "1-2" \h \z \u </w:instrText>
      </w:r>
      <w:r>
        <w:rPr>
          <w:rStyle w:val="57"/>
          <w:rFonts w:hint="default"/>
          <w:b w:val="0"/>
          <w:color w:val="auto"/>
          <w:sz w:val="28"/>
          <w:szCs w:val="28"/>
        </w:rPr>
        <w:fldChar w:fldCharType="separate"/>
      </w:r>
      <w:r>
        <w:fldChar w:fldCharType="begin"/>
      </w:r>
      <w:r>
        <w:instrText xml:space="preserve"> HYPERLINK \l "_Toc216365864" </w:instrText>
      </w:r>
      <w:r>
        <w:fldChar w:fldCharType="separate"/>
      </w:r>
      <w:r>
        <w:rPr>
          <w:rStyle w:val="57"/>
          <w:rFonts w:hint="default"/>
          <w:sz w:val="28"/>
          <w:szCs w:val="28"/>
        </w:rPr>
        <w:t>第一章 招标公告</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_Toc216365864 \h</w:instrText>
      </w:r>
      <w:r>
        <w:rPr>
          <w:rFonts w:hint="eastAsia" w:ascii="宋体" w:hAnsi="宋体"/>
          <w:sz w:val="28"/>
          <w:szCs w:val="28"/>
        </w:rPr>
        <w:instrText xml:space="preserve"> </w:instrText>
      </w:r>
      <w:r>
        <w:rPr>
          <w:rFonts w:hint="eastAsia" w:ascii="宋体" w:hAnsi="宋体"/>
          <w:sz w:val="28"/>
          <w:szCs w:val="28"/>
        </w:rPr>
        <w:fldChar w:fldCharType="separate"/>
      </w:r>
      <w:r>
        <w:rPr>
          <w:rFonts w:ascii="宋体" w:hAnsi="宋体"/>
          <w:sz w:val="28"/>
          <w:szCs w:val="28"/>
        </w:rPr>
        <w:t>1</w:t>
      </w:r>
      <w:r>
        <w:rPr>
          <w:rFonts w:hint="eastAsia" w:ascii="宋体" w:hAnsi="宋体"/>
          <w:sz w:val="28"/>
          <w:szCs w:val="28"/>
        </w:rPr>
        <w:fldChar w:fldCharType="end"/>
      </w:r>
      <w:r>
        <w:rPr>
          <w:rFonts w:hint="eastAsia" w:ascii="宋体" w:hAnsi="宋体"/>
          <w:sz w:val="28"/>
          <w:szCs w:val="28"/>
        </w:rPr>
        <w:fldChar w:fldCharType="end"/>
      </w:r>
    </w:p>
    <w:p w14:paraId="68CEE7E2">
      <w:pPr>
        <w:pStyle w:val="34"/>
        <w:tabs>
          <w:tab w:val="right" w:leader="dot" w:pos="8880"/>
          <w:tab w:val="clear" w:pos="9628"/>
        </w:tabs>
        <w:spacing w:before="0" w:after="0" w:line="1000" w:lineRule="exact"/>
        <w:ind w:firstLine="0" w:firstLineChars="0"/>
        <w:rPr>
          <w:rFonts w:hint="eastAsia" w:ascii="宋体" w:hAnsi="宋体" w:cstheme="minorBidi"/>
          <w:b w:val="0"/>
          <w:bCs w:val="0"/>
          <w:caps w:val="0"/>
          <w:sz w:val="28"/>
          <w:szCs w:val="28"/>
          <w14:ligatures w14:val="standardContextual"/>
        </w:rPr>
      </w:pPr>
      <w:r>
        <w:fldChar w:fldCharType="begin"/>
      </w:r>
      <w:r>
        <w:instrText xml:space="preserve"> HYPERLINK \l "_Toc216365870" </w:instrText>
      </w:r>
      <w:r>
        <w:fldChar w:fldCharType="separate"/>
      </w:r>
      <w:r>
        <w:rPr>
          <w:rStyle w:val="57"/>
          <w:rFonts w:hint="default"/>
          <w:sz w:val="28"/>
          <w:szCs w:val="28"/>
        </w:rPr>
        <w:t>第二章 投标人须知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_Toc216365870 \h</w:instrText>
      </w:r>
      <w:r>
        <w:rPr>
          <w:rFonts w:hint="eastAsia" w:ascii="宋体" w:hAnsi="宋体"/>
          <w:sz w:val="28"/>
          <w:szCs w:val="28"/>
        </w:rPr>
        <w:instrText xml:space="preserve"> </w:instrText>
      </w:r>
      <w:r>
        <w:rPr>
          <w:rFonts w:hint="eastAsia" w:ascii="宋体" w:hAnsi="宋体"/>
          <w:sz w:val="28"/>
          <w:szCs w:val="28"/>
        </w:rPr>
        <w:fldChar w:fldCharType="separate"/>
      </w:r>
      <w:r>
        <w:rPr>
          <w:rFonts w:ascii="宋体" w:hAnsi="宋体"/>
          <w:sz w:val="28"/>
          <w:szCs w:val="28"/>
        </w:rPr>
        <w:t>4</w:t>
      </w:r>
      <w:r>
        <w:rPr>
          <w:rFonts w:hint="eastAsia" w:ascii="宋体" w:hAnsi="宋体"/>
          <w:sz w:val="28"/>
          <w:szCs w:val="28"/>
        </w:rPr>
        <w:fldChar w:fldCharType="end"/>
      </w:r>
      <w:r>
        <w:rPr>
          <w:rFonts w:hint="eastAsia" w:ascii="宋体" w:hAnsi="宋体"/>
          <w:sz w:val="28"/>
          <w:szCs w:val="28"/>
        </w:rPr>
        <w:fldChar w:fldCharType="end"/>
      </w:r>
    </w:p>
    <w:p w14:paraId="64A2C016">
      <w:pPr>
        <w:pStyle w:val="34"/>
        <w:tabs>
          <w:tab w:val="right" w:leader="dot" w:pos="8880"/>
          <w:tab w:val="clear" w:pos="9628"/>
        </w:tabs>
        <w:spacing w:before="0" w:after="0" w:line="1000" w:lineRule="exact"/>
        <w:ind w:firstLine="0" w:firstLineChars="0"/>
        <w:rPr>
          <w:rFonts w:hint="eastAsia" w:ascii="宋体" w:hAnsi="宋体" w:cstheme="minorBidi"/>
          <w:b w:val="0"/>
          <w:bCs w:val="0"/>
          <w:caps w:val="0"/>
          <w:sz w:val="28"/>
          <w:szCs w:val="28"/>
          <w14:ligatures w14:val="standardContextual"/>
        </w:rPr>
      </w:pPr>
      <w:r>
        <w:fldChar w:fldCharType="begin"/>
      </w:r>
      <w:r>
        <w:instrText xml:space="preserve"> HYPERLINK \l "_Toc216365880" </w:instrText>
      </w:r>
      <w:r>
        <w:fldChar w:fldCharType="separate"/>
      </w:r>
      <w:r>
        <w:rPr>
          <w:rStyle w:val="57"/>
          <w:rFonts w:hint="default"/>
          <w:sz w:val="28"/>
          <w:szCs w:val="28"/>
        </w:rPr>
        <w:t>第三章 采购需求</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_Toc216365880 \h</w:instrText>
      </w:r>
      <w:r>
        <w:rPr>
          <w:rFonts w:hint="eastAsia" w:ascii="宋体" w:hAnsi="宋体"/>
          <w:sz w:val="28"/>
          <w:szCs w:val="28"/>
        </w:rPr>
        <w:instrText xml:space="preserve"> </w:instrText>
      </w:r>
      <w:r>
        <w:rPr>
          <w:rFonts w:hint="eastAsia" w:ascii="宋体" w:hAnsi="宋体"/>
          <w:sz w:val="28"/>
          <w:szCs w:val="28"/>
        </w:rPr>
        <w:fldChar w:fldCharType="separate"/>
      </w:r>
      <w:r>
        <w:rPr>
          <w:rFonts w:ascii="宋体" w:hAnsi="宋体"/>
          <w:sz w:val="28"/>
          <w:szCs w:val="28"/>
        </w:rPr>
        <w:t>17</w:t>
      </w:r>
      <w:r>
        <w:rPr>
          <w:rFonts w:hint="eastAsia" w:ascii="宋体" w:hAnsi="宋体"/>
          <w:sz w:val="28"/>
          <w:szCs w:val="28"/>
        </w:rPr>
        <w:fldChar w:fldCharType="end"/>
      </w:r>
      <w:r>
        <w:rPr>
          <w:rFonts w:hint="eastAsia" w:ascii="宋体" w:hAnsi="宋体"/>
          <w:sz w:val="28"/>
          <w:szCs w:val="28"/>
        </w:rPr>
        <w:fldChar w:fldCharType="end"/>
      </w:r>
    </w:p>
    <w:p w14:paraId="52AFF6EA">
      <w:pPr>
        <w:pStyle w:val="34"/>
        <w:tabs>
          <w:tab w:val="right" w:leader="dot" w:pos="8880"/>
          <w:tab w:val="clear" w:pos="9628"/>
        </w:tabs>
        <w:spacing w:before="0" w:after="0" w:line="1000" w:lineRule="exact"/>
        <w:ind w:firstLine="0" w:firstLineChars="0"/>
        <w:rPr>
          <w:rFonts w:hint="eastAsia" w:ascii="宋体" w:hAnsi="宋体" w:cstheme="minorBidi"/>
          <w:b w:val="0"/>
          <w:bCs w:val="0"/>
          <w:caps w:val="0"/>
          <w:sz w:val="28"/>
          <w:szCs w:val="28"/>
          <w14:ligatures w14:val="standardContextual"/>
        </w:rPr>
      </w:pPr>
      <w:r>
        <w:fldChar w:fldCharType="begin"/>
      </w:r>
      <w:r>
        <w:instrText xml:space="preserve"> HYPERLINK \l "_Toc216365882" </w:instrText>
      </w:r>
      <w:r>
        <w:fldChar w:fldCharType="separate"/>
      </w:r>
      <w:r>
        <w:rPr>
          <w:rStyle w:val="57"/>
          <w:rFonts w:hint="default"/>
          <w:sz w:val="28"/>
          <w:szCs w:val="28"/>
        </w:rPr>
        <w:t>第四章 资格审查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_Toc216365882 \h</w:instrText>
      </w:r>
      <w:r>
        <w:rPr>
          <w:rFonts w:hint="eastAsia" w:ascii="宋体" w:hAnsi="宋体"/>
          <w:sz w:val="28"/>
          <w:szCs w:val="28"/>
        </w:rPr>
        <w:instrText xml:space="preserve"> </w:instrText>
      </w:r>
      <w:r>
        <w:rPr>
          <w:rFonts w:hint="eastAsia" w:ascii="宋体" w:hAnsi="宋体"/>
          <w:sz w:val="28"/>
          <w:szCs w:val="28"/>
        </w:rPr>
        <w:fldChar w:fldCharType="separate"/>
      </w:r>
      <w:r>
        <w:rPr>
          <w:rFonts w:ascii="宋体" w:hAnsi="宋体"/>
          <w:sz w:val="28"/>
          <w:szCs w:val="28"/>
        </w:rPr>
        <w:t>25</w:t>
      </w:r>
      <w:r>
        <w:rPr>
          <w:rFonts w:hint="eastAsia" w:ascii="宋体" w:hAnsi="宋体"/>
          <w:sz w:val="28"/>
          <w:szCs w:val="28"/>
        </w:rPr>
        <w:fldChar w:fldCharType="end"/>
      </w:r>
      <w:r>
        <w:rPr>
          <w:rFonts w:hint="eastAsia" w:ascii="宋体" w:hAnsi="宋体"/>
          <w:sz w:val="28"/>
          <w:szCs w:val="28"/>
        </w:rPr>
        <w:fldChar w:fldCharType="end"/>
      </w:r>
    </w:p>
    <w:p w14:paraId="43A05091">
      <w:pPr>
        <w:pStyle w:val="34"/>
        <w:tabs>
          <w:tab w:val="right" w:leader="dot" w:pos="8880"/>
          <w:tab w:val="clear" w:pos="9628"/>
        </w:tabs>
        <w:spacing w:before="0" w:after="0" w:line="1000" w:lineRule="exact"/>
        <w:ind w:firstLine="0" w:firstLineChars="0"/>
        <w:rPr>
          <w:rFonts w:hint="eastAsia" w:ascii="宋体" w:hAnsi="宋体" w:cstheme="minorBidi"/>
          <w:b w:val="0"/>
          <w:bCs w:val="0"/>
          <w:caps w:val="0"/>
          <w:sz w:val="28"/>
          <w:szCs w:val="28"/>
          <w14:ligatures w14:val="standardContextual"/>
        </w:rPr>
      </w:pPr>
      <w:r>
        <w:fldChar w:fldCharType="begin"/>
      </w:r>
      <w:r>
        <w:instrText xml:space="preserve"> HYPERLINK \l "_Toc216365885" </w:instrText>
      </w:r>
      <w:r>
        <w:fldChar w:fldCharType="separate"/>
      </w:r>
      <w:r>
        <w:rPr>
          <w:rStyle w:val="57"/>
          <w:rFonts w:hint="default"/>
          <w:sz w:val="28"/>
          <w:szCs w:val="28"/>
        </w:rPr>
        <w:t>第五章 评标程序、评标方法和评标标准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_Toc216365885 \h</w:instrText>
      </w:r>
      <w:r>
        <w:rPr>
          <w:rFonts w:hint="eastAsia" w:ascii="宋体" w:hAnsi="宋体"/>
          <w:sz w:val="28"/>
          <w:szCs w:val="28"/>
        </w:rPr>
        <w:instrText xml:space="preserve"> </w:instrText>
      </w:r>
      <w:r>
        <w:rPr>
          <w:rFonts w:hint="eastAsia" w:ascii="宋体" w:hAnsi="宋体"/>
          <w:sz w:val="28"/>
          <w:szCs w:val="28"/>
        </w:rPr>
        <w:fldChar w:fldCharType="separate"/>
      </w:r>
      <w:r>
        <w:rPr>
          <w:rFonts w:ascii="宋体" w:hAnsi="宋体"/>
          <w:sz w:val="28"/>
          <w:szCs w:val="28"/>
        </w:rPr>
        <w:t>26</w:t>
      </w:r>
      <w:r>
        <w:rPr>
          <w:rFonts w:hint="eastAsia" w:ascii="宋体" w:hAnsi="宋体"/>
          <w:sz w:val="28"/>
          <w:szCs w:val="28"/>
        </w:rPr>
        <w:fldChar w:fldCharType="end"/>
      </w:r>
      <w:r>
        <w:rPr>
          <w:rFonts w:hint="eastAsia" w:ascii="宋体" w:hAnsi="宋体"/>
          <w:sz w:val="28"/>
          <w:szCs w:val="28"/>
        </w:rPr>
        <w:fldChar w:fldCharType="end"/>
      </w:r>
    </w:p>
    <w:p w14:paraId="783F912E">
      <w:pPr>
        <w:pStyle w:val="34"/>
        <w:tabs>
          <w:tab w:val="right" w:leader="dot" w:pos="8880"/>
          <w:tab w:val="clear" w:pos="9628"/>
        </w:tabs>
        <w:spacing w:before="0" w:after="0" w:line="1000" w:lineRule="exact"/>
        <w:ind w:firstLine="0" w:firstLineChars="0"/>
        <w:rPr>
          <w:rFonts w:hint="eastAsia" w:ascii="宋体" w:hAnsi="宋体" w:cstheme="minorBidi"/>
          <w:b w:val="0"/>
          <w:bCs w:val="0"/>
          <w:caps w:val="0"/>
          <w:sz w:val="28"/>
          <w:szCs w:val="28"/>
          <w14:ligatures w14:val="standardContextual"/>
        </w:rPr>
      </w:pPr>
      <w:r>
        <w:fldChar w:fldCharType="begin"/>
      </w:r>
      <w:r>
        <w:instrText xml:space="preserve"> HYPERLINK \l "_Toc216365896" </w:instrText>
      </w:r>
      <w:r>
        <w:fldChar w:fldCharType="separate"/>
      </w:r>
      <w:r>
        <w:rPr>
          <w:rStyle w:val="57"/>
          <w:rFonts w:hint="default"/>
          <w:sz w:val="28"/>
          <w:szCs w:val="28"/>
        </w:rPr>
        <w:t>第六章 合同文本</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_Toc216365896 \h</w:instrText>
      </w:r>
      <w:r>
        <w:rPr>
          <w:rFonts w:hint="eastAsia" w:ascii="宋体" w:hAnsi="宋体"/>
          <w:sz w:val="28"/>
          <w:szCs w:val="28"/>
        </w:rPr>
        <w:instrText xml:space="preserve"> </w:instrText>
      </w:r>
      <w:r>
        <w:rPr>
          <w:rFonts w:hint="eastAsia" w:ascii="宋体" w:hAnsi="宋体"/>
          <w:sz w:val="28"/>
          <w:szCs w:val="28"/>
        </w:rPr>
        <w:fldChar w:fldCharType="separate"/>
      </w:r>
      <w:r>
        <w:rPr>
          <w:rFonts w:ascii="宋体" w:hAnsi="宋体"/>
          <w:sz w:val="28"/>
          <w:szCs w:val="28"/>
        </w:rPr>
        <w:t>43</w:t>
      </w:r>
      <w:r>
        <w:rPr>
          <w:rFonts w:hint="eastAsia" w:ascii="宋体" w:hAnsi="宋体"/>
          <w:sz w:val="28"/>
          <w:szCs w:val="28"/>
        </w:rPr>
        <w:fldChar w:fldCharType="end"/>
      </w:r>
      <w:r>
        <w:rPr>
          <w:rFonts w:hint="eastAsia" w:ascii="宋体" w:hAnsi="宋体"/>
          <w:sz w:val="28"/>
          <w:szCs w:val="28"/>
        </w:rPr>
        <w:fldChar w:fldCharType="end"/>
      </w:r>
    </w:p>
    <w:p w14:paraId="39B18EFE">
      <w:pPr>
        <w:pStyle w:val="34"/>
        <w:tabs>
          <w:tab w:val="right" w:leader="dot" w:pos="8880"/>
          <w:tab w:val="clear" w:pos="9628"/>
        </w:tabs>
        <w:spacing w:before="0" w:after="0" w:line="1000" w:lineRule="exact"/>
        <w:ind w:firstLine="0" w:firstLineChars="0"/>
        <w:rPr>
          <w:rFonts w:hint="eastAsia" w:ascii="宋体" w:hAnsi="宋体" w:cstheme="minorBidi"/>
          <w:b w:val="0"/>
          <w:bCs w:val="0"/>
          <w:caps w:val="0"/>
          <w:sz w:val="28"/>
          <w:szCs w:val="28"/>
          <w14:ligatures w14:val="standardContextual"/>
        </w:rPr>
      </w:pPr>
      <w:r>
        <w:fldChar w:fldCharType="begin"/>
      </w:r>
      <w:r>
        <w:instrText xml:space="preserve"> HYPERLINK \l "_Toc216365906" </w:instrText>
      </w:r>
      <w:r>
        <w:fldChar w:fldCharType="separate"/>
      </w:r>
      <w:r>
        <w:rPr>
          <w:rStyle w:val="57"/>
          <w:rFonts w:hint="default"/>
          <w:sz w:val="28"/>
          <w:szCs w:val="28"/>
        </w:rPr>
        <w:t>第七章 投标文件参考格式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_Toc216365906 \h</w:instrText>
      </w:r>
      <w:r>
        <w:rPr>
          <w:rFonts w:hint="eastAsia" w:ascii="宋体" w:hAnsi="宋体"/>
          <w:sz w:val="28"/>
          <w:szCs w:val="28"/>
        </w:rPr>
        <w:instrText xml:space="preserve"> </w:instrText>
      </w:r>
      <w:r>
        <w:rPr>
          <w:rFonts w:hint="eastAsia" w:ascii="宋体" w:hAnsi="宋体"/>
          <w:sz w:val="28"/>
          <w:szCs w:val="28"/>
        </w:rPr>
        <w:fldChar w:fldCharType="separate"/>
      </w:r>
      <w:r>
        <w:rPr>
          <w:rFonts w:ascii="宋体" w:hAnsi="宋体"/>
          <w:sz w:val="28"/>
          <w:szCs w:val="28"/>
        </w:rPr>
        <w:t>53</w:t>
      </w:r>
      <w:r>
        <w:rPr>
          <w:rFonts w:hint="eastAsia" w:ascii="宋体" w:hAnsi="宋体"/>
          <w:sz w:val="28"/>
          <w:szCs w:val="28"/>
        </w:rPr>
        <w:fldChar w:fldCharType="end"/>
      </w:r>
      <w:r>
        <w:rPr>
          <w:rFonts w:hint="eastAsia" w:ascii="宋体" w:hAnsi="宋体"/>
          <w:sz w:val="28"/>
          <w:szCs w:val="28"/>
        </w:rPr>
        <w:fldChar w:fldCharType="end"/>
      </w:r>
    </w:p>
    <w:p w14:paraId="6BC774B9">
      <w:pPr>
        <w:pStyle w:val="34"/>
        <w:tabs>
          <w:tab w:val="right" w:leader="dot" w:pos="8787"/>
          <w:tab w:val="clear" w:pos="9628"/>
        </w:tabs>
        <w:spacing w:before="0" w:after="0" w:line="1000" w:lineRule="exact"/>
        <w:ind w:firstLine="560" w:firstLineChars="200"/>
        <w:rPr>
          <w:rFonts w:hint="eastAsia" w:ascii="宋体" w:hAnsi="宋体" w:cs="宋体"/>
          <w:kern w:val="0"/>
          <w:sz w:val="28"/>
          <w:szCs w:val="28"/>
        </w:rPr>
        <w:sectPr>
          <w:headerReference r:id="rId3" w:type="first"/>
          <w:footerReference r:id="rId4" w:type="first"/>
          <w:pgSz w:w="11906" w:h="16838"/>
          <w:pgMar w:top="1440" w:right="1418" w:bottom="1440" w:left="1701" w:header="850" w:footer="720" w:gutter="0"/>
          <w:pgNumType w:start="0" w:chapStyle="1"/>
          <w:cols w:space="720" w:num="1"/>
          <w:titlePg/>
          <w:docGrid w:linePitch="331" w:charSpace="0"/>
        </w:sectPr>
      </w:pPr>
      <w:r>
        <w:rPr>
          <w:rStyle w:val="57"/>
          <w:rFonts w:hint="default"/>
          <w:b w:val="0"/>
          <w:color w:val="auto"/>
          <w:sz w:val="28"/>
          <w:szCs w:val="28"/>
        </w:rPr>
        <w:fldChar w:fldCharType="end"/>
      </w:r>
    </w:p>
    <w:p w14:paraId="5DD5BDDD">
      <w:pPr>
        <w:pStyle w:val="2"/>
        <w:rPr>
          <w:rFonts w:hint="eastAsia" w:ascii="黑体" w:hAnsi="黑体" w:eastAsia="黑体"/>
          <w:kern w:val="2"/>
          <w:szCs w:val="36"/>
        </w:rPr>
      </w:pPr>
      <w:bookmarkStart w:id="2" w:name="_Toc216365864"/>
      <w:r>
        <w:rPr>
          <w:rFonts w:hint="eastAsia" w:ascii="黑体" w:hAnsi="黑体" w:eastAsia="黑体"/>
          <w:kern w:val="2"/>
          <w:szCs w:val="36"/>
        </w:rPr>
        <w:t xml:space="preserve">第一章 </w:t>
      </w:r>
      <w:bookmarkStart w:id="3" w:name="OLE_LINK40"/>
      <w:r>
        <w:rPr>
          <w:rFonts w:hint="eastAsia" w:ascii="黑体" w:hAnsi="黑体" w:eastAsia="黑体"/>
          <w:kern w:val="2"/>
          <w:szCs w:val="36"/>
        </w:rPr>
        <w:t>招标公告</w:t>
      </w:r>
      <w:bookmarkEnd w:id="2"/>
    </w:p>
    <w:tbl>
      <w:tblPr>
        <w:tblStyle w:val="49"/>
        <w:tblW w:w="8923"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8923"/>
      </w:tblGrid>
      <w:tr w14:paraId="19EC853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8923" w:type="dxa"/>
            <w:tcBorders>
              <w:top w:val="outset" w:color="auto" w:sz="6" w:space="0"/>
              <w:left w:val="outset" w:color="auto" w:sz="6" w:space="0"/>
              <w:bottom w:val="outset" w:color="auto" w:sz="6" w:space="0"/>
              <w:right w:val="outset" w:color="auto" w:sz="6" w:space="0"/>
            </w:tcBorders>
            <w:vAlign w:val="center"/>
          </w:tcPr>
          <w:p w14:paraId="6BE1AD69">
            <w:pPr>
              <w:widowControl/>
              <w:spacing w:line="360" w:lineRule="auto"/>
              <w:jc w:val="left"/>
              <w:rPr>
                <w:rFonts w:hint="eastAsia" w:ascii="宋体" w:hAnsi="宋体" w:cs="宋体"/>
                <w:kern w:val="0"/>
              </w:rPr>
            </w:pPr>
            <w:r>
              <w:rPr>
                <w:rFonts w:hint="eastAsia" w:ascii="宋体" w:hAnsi="宋体" w:cs="宋体"/>
                <w:kern w:val="0"/>
              </w:rPr>
              <w:t>项目概况</w:t>
            </w:r>
          </w:p>
          <w:p w14:paraId="4BC68516">
            <w:pPr>
              <w:spacing w:line="360" w:lineRule="auto"/>
              <w:ind w:firstLine="480"/>
              <w:rPr>
                <w:rFonts w:hint="eastAsia" w:cs="宋体" w:asciiTheme="minorEastAsia" w:hAnsiTheme="minorEastAsia" w:eastAsiaTheme="minorEastAsia"/>
                <w:kern w:val="0"/>
              </w:rPr>
            </w:pPr>
            <w:r>
              <w:rPr>
                <w:rFonts w:hint="eastAsia" w:cs="宋体" w:asciiTheme="minorEastAsia" w:hAnsiTheme="minorEastAsia" w:eastAsiaTheme="minorEastAsia"/>
                <w:lang w:eastAsia="zh-CN"/>
              </w:rPr>
              <w:t>云南能源职业技术学</w:t>
            </w:r>
            <w:r>
              <w:rPr>
                <w:rFonts w:hint="eastAsia" w:cs="宋体" w:asciiTheme="minorEastAsia" w:hAnsiTheme="minorEastAsia" w:eastAsiaTheme="minorEastAsia"/>
                <w:color w:val="auto"/>
                <w:lang w:eastAsia="zh-CN"/>
              </w:rPr>
              <w:t>院智能化矿井多源数据数智共享平台建设项目</w:t>
            </w:r>
            <w:r>
              <w:rPr>
                <w:rFonts w:hint="eastAsia" w:cs="宋体" w:asciiTheme="minorEastAsia" w:hAnsiTheme="minorEastAsia" w:eastAsiaTheme="minorEastAsia"/>
                <w:color w:val="auto"/>
              </w:rPr>
              <w:t>的潜在投标人应在云南省政府采购电子交易平台（</w:t>
            </w:r>
            <w:r>
              <w:rPr>
                <w:color w:val="auto"/>
              </w:rPr>
              <w:fldChar w:fldCharType="begin"/>
            </w:r>
            <w:r>
              <w:rPr>
                <w:color w:val="auto"/>
              </w:rPr>
              <w:instrText xml:space="preserve"> HYPERLINK "https://www.zcygov.cn/）线上获取招标文件，并于2026年4月" </w:instrText>
            </w:r>
            <w:r>
              <w:rPr>
                <w:color w:val="auto"/>
              </w:rPr>
              <w:fldChar w:fldCharType="separate"/>
            </w:r>
            <w:r>
              <w:rPr>
                <w:rStyle w:val="57"/>
                <w:rFonts w:hint="default" w:asciiTheme="minorEastAsia" w:hAnsiTheme="minorEastAsia" w:eastAsiaTheme="minorEastAsia"/>
                <w:color w:val="auto"/>
                <w:sz w:val="24"/>
                <w:szCs w:val="24"/>
              </w:rPr>
              <w:t>https://www.zcygov.cn/）线上获取招标文件，并于2026年</w:t>
            </w:r>
            <w:r>
              <w:rPr>
                <w:rStyle w:val="57"/>
                <w:rFonts w:hint="eastAsia" w:asciiTheme="minorEastAsia" w:hAnsiTheme="minorEastAsia" w:eastAsiaTheme="minorEastAsia"/>
                <w:color w:val="auto"/>
                <w:sz w:val="24"/>
                <w:szCs w:val="24"/>
                <w:lang w:val="en-US" w:eastAsia="zh-CN"/>
              </w:rPr>
              <w:t>4</w:t>
            </w:r>
            <w:r>
              <w:rPr>
                <w:rStyle w:val="57"/>
                <w:rFonts w:hint="default" w:asciiTheme="minorEastAsia" w:hAnsiTheme="minorEastAsia" w:eastAsiaTheme="minorEastAsia"/>
                <w:color w:val="auto"/>
                <w:sz w:val="24"/>
                <w:szCs w:val="24"/>
              </w:rPr>
              <w:t>月</w:t>
            </w:r>
            <w:r>
              <w:rPr>
                <w:rStyle w:val="57"/>
                <w:rFonts w:hint="default" w:asciiTheme="minorEastAsia" w:hAnsiTheme="minorEastAsia" w:eastAsiaTheme="minorEastAsia"/>
                <w:color w:val="auto"/>
                <w:sz w:val="24"/>
                <w:szCs w:val="24"/>
              </w:rPr>
              <w:fldChar w:fldCharType="end"/>
            </w:r>
            <w:r>
              <w:rPr>
                <w:rFonts w:hint="eastAsia" w:cs="宋体" w:asciiTheme="minorEastAsia" w:hAnsiTheme="minorEastAsia" w:eastAsiaTheme="minorEastAsia"/>
                <w:color w:val="auto"/>
                <w:lang w:val="en-US" w:eastAsia="zh-CN"/>
              </w:rPr>
              <w:t>30</w:t>
            </w:r>
            <w:r>
              <w:rPr>
                <w:rFonts w:hint="eastAsia" w:cs="宋体" w:asciiTheme="minorEastAsia" w:hAnsiTheme="minorEastAsia" w:eastAsiaTheme="minorEastAsia"/>
                <w:color w:val="auto"/>
              </w:rPr>
              <w:t>日09时00分（北京时间）前提交投标文件</w:t>
            </w:r>
            <w:r>
              <w:rPr>
                <w:rFonts w:hint="eastAsia" w:cs="宋体" w:asciiTheme="minorEastAsia" w:hAnsiTheme="minorEastAsia" w:eastAsiaTheme="minorEastAsia"/>
              </w:rPr>
              <w:t>。</w:t>
            </w:r>
          </w:p>
        </w:tc>
      </w:tr>
    </w:tbl>
    <w:p w14:paraId="21BF8239">
      <w:pPr>
        <w:pStyle w:val="3"/>
        <w:spacing w:afterLines="0" w:line="360" w:lineRule="auto"/>
        <w:ind w:firstLine="562" w:firstLineChars="200"/>
        <w:jc w:val="both"/>
        <w:rPr>
          <w:rFonts w:hint="eastAsia" w:ascii="黑体" w:hAnsi="黑体" w:eastAsia="黑体" w:cs="宋体"/>
          <w:bCs/>
          <w:sz w:val="28"/>
          <w:szCs w:val="28"/>
        </w:rPr>
      </w:pPr>
      <w:bookmarkStart w:id="4" w:name="_Toc97580278"/>
      <w:bookmarkStart w:id="5" w:name="_Toc192748529"/>
      <w:bookmarkStart w:id="6" w:name="_Toc216365865"/>
      <w:bookmarkStart w:id="7" w:name="_Toc203147210"/>
      <w:bookmarkStart w:id="8" w:name="_Toc215313847"/>
      <w:bookmarkStart w:id="9" w:name="_Toc92977523"/>
      <w:bookmarkStart w:id="10" w:name="_Toc193792858"/>
      <w:bookmarkStart w:id="11" w:name="_Toc146736293"/>
      <w:r>
        <w:rPr>
          <w:rFonts w:ascii="黑体" w:hAnsi="黑体" w:eastAsia="黑体" w:cs="宋体"/>
          <w:bCs/>
          <w:sz w:val="28"/>
          <w:szCs w:val="28"/>
        </w:rPr>
        <w:t>一、</w:t>
      </w:r>
      <w:bookmarkStart w:id="12" w:name="OLE_LINK45"/>
      <w:r>
        <w:rPr>
          <w:rFonts w:ascii="黑体" w:hAnsi="黑体" w:eastAsia="黑体" w:cs="宋体"/>
          <w:bCs/>
          <w:sz w:val="28"/>
          <w:szCs w:val="28"/>
        </w:rPr>
        <w:t>项目基本情况</w:t>
      </w:r>
      <w:bookmarkEnd w:id="4"/>
      <w:bookmarkEnd w:id="5"/>
      <w:bookmarkEnd w:id="6"/>
      <w:bookmarkEnd w:id="7"/>
      <w:bookmarkEnd w:id="8"/>
      <w:bookmarkEnd w:id="9"/>
      <w:bookmarkEnd w:id="10"/>
      <w:bookmarkEnd w:id="11"/>
      <w:bookmarkEnd w:id="12"/>
    </w:p>
    <w:p w14:paraId="4AF3861E">
      <w:pPr>
        <w:spacing w:line="360" w:lineRule="auto"/>
        <w:ind w:firstLine="480"/>
        <w:rPr>
          <w:rFonts w:hint="eastAsia" w:ascii="宋体" w:hAnsi="宋体" w:cs="宋体"/>
          <w:highlight w:val="none"/>
          <w:lang w:eastAsia="zh-CN"/>
        </w:rPr>
      </w:pPr>
      <w:r>
        <w:rPr>
          <w:rFonts w:hint="eastAsia" w:ascii="宋体" w:hAnsi="宋体" w:cs="宋体"/>
          <w:highlight w:val="none"/>
          <w:lang w:eastAsia="zh-CN"/>
        </w:rPr>
        <w:t>1.项目编号：YNZC2026-G1-01288-YNYS-0017。</w:t>
      </w:r>
    </w:p>
    <w:p w14:paraId="7B6D1CB0">
      <w:pPr>
        <w:spacing w:line="360" w:lineRule="auto"/>
        <w:ind w:firstLine="480"/>
        <w:rPr>
          <w:rFonts w:hint="eastAsia" w:ascii="宋体" w:hAnsi="宋体" w:cs="宋体"/>
          <w:highlight w:val="none"/>
          <w:lang w:eastAsia="zh-CN"/>
        </w:rPr>
      </w:pPr>
      <w:r>
        <w:rPr>
          <w:rFonts w:hint="eastAsia" w:ascii="宋体" w:hAnsi="宋体" w:cs="宋体"/>
          <w:highlight w:val="none"/>
          <w:lang w:eastAsia="zh-CN"/>
        </w:rPr>
        <w:t>2.项目名称：</w:t>
      </w:r>
      <w:r>
        <w:rPr>
          <w:rFonts w:hint="eastAsia" w:ascii="宋体" w:hAnsi="宋体" w:cs="宋体"/>
          <w:highlight w:val="none"/>
          <w:lang w:eastAsia="zh-CN"/>
        </w:rPr>
        <w:t>云南能源职业技术学院智能化矿井多源数据数智共享平台建设项目。</w:t>
      </w:r>
    </w:p>
    <w:p w14:paraId="23F28C71">
      <w:pPr>
        <w:spacing w:line="360" w:lineRule="auto"/>
        <w:ind w:firstLine="480"/>
        <w:rPr>
          <w:rFonts w:hint="eastAsia" w:ascii="宋体" w:hAnsi="宋体" w:cs="宋体"/>
          <w:highlight w:val="none"/>
        </w:rPr>
      </w:pPr>
      <w:r>
        <w:rPr>
          <w:rFonts w:hint="eastAsia" w:ascii="宋体" w:hAnsi="宋体" w:cs="宋体"/>
          <w:highlight w:val="none"/>
          <w:lang w:eastAsia="zh-CN"/>
        </w:rPr>
        <w:t>3.采购方式：公开招标</w:t>
      </w:r>
      <w:r>
        <w:rPr>
          <w:rFonts w:hint="eastAsia" w:ascii="宋体" w:hAnsi="宋体" w:cs="宋体"/>
          <w:highlight w:val="none"/>
        </w:rPr>
        <w:t>。</w:t>
      </w:r>
    </w:p>
    <w:p w14:paraId="2B02924F">
      <w:pPr>
        <w:spacing w:line="360" w:lineRule="auto"/>
        <w:ind w:firstLine="480"/>
        <w:rPr>
          <w:rFonts w:hint="eastAsia" w:ascii="宋体" w:hAnsi="宋体" w:cs="宋体"/>
          <w:color w:val="auto"/>
          <w:highlight w:val="none"/>
        </w:rPr>
      </w:pPr>
      <w:r>
        <w:rPr>
          <w:rFonts w:hint="eastAsia" w:ascii="宋体" w:hAnsi="宋体" w:cs="宋体"/>
          <w:color w:val="auto"/>
          <w:highlight w:val="none"/>
        </w:rPr>
        <w:t>4.★预算金额：</w:t>
      </w:r>
      <w:bookmarkStart w:id="13" w:name="OLE_LINK20"/>
      <w:r>
        <w:rPr>
          <w:rFonts w:hint="eastAsia" w:ascii="宋体" w:hAnsi="宋体" w:cs="宋体"/>
          <w:color w:val="auto"/>
          <w:highlight w:val="none"/>
          <w:lang w:val="en-US" w:eastAsia="zh-CN"/>
        </w:rPr>
        <w:t>1915000.00</w:t>
      </w:r>
      <w:r>
        <w:rPr>
          <w:rFonts w:hint="eastAsia" w:ascii="宋体" w:hAnsi="宋体" w:cs="宋体"/>
          <w:color w:val="auto"/>
          <w:highlight w:val="none"/>
        </w:rPr>
        <w:t>元</w:t>
      </w:r>
      <w:bookmarkEnd w:id="13"/>
      <w:r>
        <w:rPr>
          <w:rFonts w:hint="eastAsia" w:ascii="宋体" w:hAnsi="宋体" w:cs="宋体"/>
          <w:color w:val="auto"/>
          <w:highlight w:val="none"/>
        </w:rPr>
        <w:t>。</w:t>
      </w:r>
    </w:p>
    <w:p w14:paraId="1CB3B093">
      <w:pPr>
        <w:spacing w:line="360" w:lineRule="auto"/>
        <w:ind w:firstLine="480"/>
        <w:rPr>
          <w:rFonts w:hint="eastAsia" w:ascii="宋体" w:hAnsi="宋体" w:cs="宋体"/>
          <w:color w:val="auto"/>
          <w:highlight w:val="none"/>
        </w:rPr>
      </w:pPr>
      <w:r>
        <w:rPr>
          <w:rFonts w:hint="eastAsia" w:ascii="宋体" w:hAnsi="宋体" w:cs="宋体"/>
          <w:color w:val="auto"/>
          <w:highlight w:val="none"/>
        </w:rPr>
        <w:t>5.</w:t>
      </w:r>
      <w:bookmarkStart w:id="14" w:name="OLE_LINK76"/>
      <w:r>
        <w:rPr>
          <w:rFonts w:hint="eastAsia" w:ascii="宋体" w:hAnsi="宋体" w:cs="宋体"/>
          <w:color w:val="auto"/>
          <w:highlight w:val="none"/>
        </w:rPr>
        <w:t>采购需求：完成</w:t>
      </w:r>
      <w:r>
        <w:rPr>
          <w:rFonts w:hint="eastAsia" w:ascii="宋体" w:hAnsi="宋体" w:cs="宋体"/>
          <w:color w:val="auto"/>
          <w:highlight w:val="none"/>
          <w:lang w:eastAsia="zh-CN"/>
        </w:rPr>
        <w:t>智能化矿井多源数据数智共享平台建设</w:t>
      </w:r>
      <w:r>
        <w:rPr>
          <w:rFonts w:hint="eastAsia" w:ascii="宋体" w:hAnsi="宋体" w:cs="宋体"/>
          <w:color w:val="auto"/>
          <w:highlight w:val="none"/>
        </w:rPr>
        <w:t>，建设内容包括但不限于</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核心交换机、接入交换机、管理交换机、机柜、生产模拟上位机、生产工业防火墙、生产日志审计系统、生产终端防护系统、综合柜(含配电框、监控系统)、列间空调(机架式)、抗干扰机柜、电池组、管理主机及软件的安装调试</w:t>
      </w:r>
      <w:r>
        <w:rPr>
          <w:rFonts w:hint="eastAsia" w:ascii="宋体" w:hAnsi="宋体" w:cs="宋体"/>
          <w:color w:val="auto"/>
          <w:highlight w:val="none"/>
        </w:rPr>
        <w:t>。</w:t>
      </w:r>
      <w:bookmarkEnd w:id="14"/>
    </w:p>
    <w:p w14:paraId="3489C302">
      <w:pPr>
        <w:spacing w:line="360" w:lineRule="auto"/>
        <w:ind w:firstLine="480"/>
        <w:rPr>
          <w:rFonts w:hint="eastAsia" w:ascii="宋体" w:hAnsi="宋体" w:cs="宋体"/>
          <w:color w:val="auto"/>
          <w:highlight w:val="none"/>
        </w:rPr>
      </w:pPr>
      <w:bookmarkStart w:id="15" w:name="OLE_LINK79"/>
      <w:r>
        <w:rPr>
          <w:rFonts w:hint="eastAsia" w:ascii="宋体" w:hAnsi="宋体" w:cs="宋体"/>
          <w:color w:val="auto"/>
          <w:highlight w:val="none"/>
        </w:rPr>
        <w:t>6.★</w:t>
      </w:r>
      <w:bookmarkStart w:id="16" w:name="OLE_LINK19"/>
      <w:r>
        <w:rPr>
          <w:rFonts w:hint="eastAsia" w:ascii="宋体" w:hAnsi="宋体" w:cs="宋体"/>
          <w:color w:val="auto"/>
          <w:highlight w:val="none"/>
        </w:rPr>
        <w:t>交货期</w:t>
      </w:r>
      <w:bookmarkEnd w:id="16"/>
      <w:r>
        <w:rPr>
          <w:rFonts w:hint="eastAsia" w:ascii="宋体" w:hAnsi="宋体" w:cs="宋体"/>
          <w:color w:val="auto"/>
          <w:highlight w:val="none"/>
        </w:rPr>
        <w:t>：</w:t>
      </w:r>
      <w:bookmarkStart w:id="17" w:name="OLE_LINK17"/>
      <w:r>
        <w:rPr>
          <w:rFonts w:hint="eastAsia" w:ascii="宋体" w:hAnsi="宋体" w:cs="宋体"/>
          <w:color w:val="auto"/>
          <w:highlight w:val="none"/>
        </w:rPr>
        <w:t>合同签订后</w:t>
      </w:r>
      <w:bookmarkEnd w:id="17"/>
      <w:r>
        <w:rPr>
          <w:rFonts w:hint="eastAsia" w:ascii="宋体" w:hAnsi="宋体" w:cs="宋体"/>
          <w:color w:val="auto"/>
          <w:highlight w:val="none"/>
          <w:lang w:val="en-US" w:eastAsia="zh-CN"/>
        </w:rPr>
        <w:t>30日历天</w:t>
      </w:r>
      <w:r>
        <w:rPr>
          <w:rFonts w:hint="eastAsia" w:ascii="宋体" w:hAnsi="宋体" w:cs="宋体"/>
          <w:color w:val="auto"/>
          <w:highlight w:val="none"/>
        </w:rPr>
        <w:t>内完成全部建设、安装、调试培训、运行并交付使用。</w:t>
      </w:r>
    </w:p>
    <w:p w14:paraId="240AE1C5">
      <w:pPr>
        <w:spacing w:line="360" w:lineRule="auto"/>
        <w:ind w:firstLine="480"/>
        <w:rPr>
          <w:rFonts w:hint="eastAsia" w:ascii="宋体" w:hAnsi="宋体" w:cs="宋体"/>
          <w:color w:val="auto"/>
          <w:highlight w:val="none"/>
        </w:rPr>
      </w:pPr>
      <w:r>
        <w:rPr>
          <w:rFonts w:hint="eastAsia" w:ascii="宋体" w:hAnsi="宋体" w:cs="宋体"/>
          <w:color w:val="auto"/>
          <w:highlight w:val="none"/>
        </w:rPr>
        <w:t>7.★质量要求：符合国家、地方及行业现行相关法律法规、规范标准及采购人要求。</w:t>
      </w:r>
    </w:p>
    <w:p w14:paraId="50840554">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8.交货地点：云南能源职业技术学院麒麟校区。</w:t>
      </w:r>
      <w:bookmarkEnd w:id="15"/>
    </w:p>
    <w:p w14:paraId="400E0A19">
      <w:pPr>
        <w:spacing w:line="360" w:lineRule="auto"/>
        <w:ind w:firstLine="48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9.本项目</w:t>
      </w:r>
      <w:r>
        <w:rPr>
          <w:rFonts w:hint="eastAsia" w:ascii="宋体" w:hAnsi="宋体" w:eastAsia="宋体" w:cs="宋体"/>
          <w:b/>
          <w:bCs/>
          <w:color w:val="auto"/>
          <w:highlight w:val="none"/>
          <w:lang w:val="en-US" w:eastAsia="zh-CN"/>
        </w:rPr>
        <w:t>不接受</w:t>
      </w:r>
      <w:r>
        <w:rPr>
          <w:rFonts w:hint="eastAsia" w:ascii="宋体" w:hAnsi="宋体" w:eastAsia="宋体" w:cs="宋体"/>
          <w:color w:val="auto"/>
          <w:highlight w:val="none"/>
          <w:lang w:val="en-US" w:eastAsia="zh-CN"/>
        </w:rPr>
        <w:t>进口产品，</w:t>
      </w:r>
      <w:r>
        <w:rPr>
          <w:rFonts w:hint="eastAsia" w:ascii="宋体" w:hAnsi="宋体" w:eastAsia="宋体" w:cs="宋体"/>
          <w:color w:val="auto"/>
          <w:highlight w:val="none"/>
        </w:rPr>
        <w:t>进口产品是指通过中国海关报关验放进入中国境内且产自境外的产品。</w:t>
      </w:r>
    </w:p>
    <w:p w14:paraId="73CD3B48">
      <w:pPr>
        <w:pStyle w:val="3"/>
        <w:spacing w:afterLines="0" w:line="360" w:lineRule="auto"/>
        <w:ind w:firstLine="562" w:firstLineChars="200"/>
        <w:jc w:val="both"/>
        <w:rPr>
          <w:rFonts w:hint="eastAsia" w:ascii="黑体" w:hAnsi="黑体" w:eastAsia="黑体" w:cs="宋体"/>
          <w:bCs/>
          <w:sz w:val="28"/>
          <w:szCs w:val="28"/>
        </w:rPr>
      </w:pPr>
      <w:bookmarkStart w:id="18" w:name="_Toc146736294"/>
      <w:bookmarkStart w:id="19" w:name="_Toc193792859"/>
      <w:bookmarkStart w:id="20" w:name="_Toc97580279"/>
      <w:bookmarkStart w:id="21" w:name="_Toc215313848"/>
      <w:bookmarkStart w:id="22" w:name="_Toc216365866"/>
      <w:bookmarkStart w:id="23" w:name="_Toc203147211"/>
      <w:bookmarkStart w:id="24" w:name="_Toc192748530"/>
      <w:bookmarkStart w:id="25" w:name="_Toc92977524"/>
      <w:r>
        <w:rPr>
          <w:rFonts w:hint="eastAsia" w:ascii="黑体" w:hAnsi="黑体" w:eastAsia="黑体" w:cs="宋体"/>
          <w:bCs/>
          <w:sz w:val="28"/>
          <w:szCs w:val="28"/>
        </w:rPr>
        <w:t>二、</w:t>
      </w:r>
      <w:bookmarkStart w:id="26" w:name="OLE_LINK50"/>
      <w:r>
        <w:rPr>
          <w:rFonts w:hint="eastAsia" w:ascii="黑体" w:hAnsi="黑体" w:eastAsia="黑体" w:cs="宋体"/>
          <w:bCs/>
          <w:sz w:val="28"/>
          <w:szCs w:val="28"/>
        </w:rPr>
        <w:t>投标人的资格要求</w:t>
      </w:r>
      <w:bookmarkEnd w:id="18"/>
      <w:bookmarkEnd w:id="19"/>
      <w:bookmarkEnd w:id="20"/>
      <w:bookmarkEnd w:id="21"/>
      <w:bookmarkEnd w:id="22"/>
      <w:bookmarkEnd w:id="23"/>
      <w:bookmarkEnd w:id="24"/>
      <w:bookmarkEnd w:id="25"/>
      <w:bookmarkEnd w:id="26"/>
    </w:p>
    <w:p w14:paraId="23683C35">
      <w:pPr>
        <w:spacing w:line="360" w:lineRule="auto"/>
        <w:ind w:firstLine="482" w:firstLineChars="200"/>
        <w:rPr>
          <w:rFonts w:hint="eastAsia" w:ascii="宋体" w:hAnsi="宋体"/>
          <w:b/>
          <w:bCs/>
        </w:rPr>
      </w:pPr>
      <w:bookmarkStart w:id="27" w:name="OLE_LINK78"/>
      <w:bookmarkStart w:id="28" w:name="_Toc97580280"/>
      <w:bookmarkStart w:id="29" w:name="_Toc92977525"/>
      <w:r>
        <w:rPr>
          <w:rFonts w:hint="eastAsia" w:ascii="宋体" w:hAnsi="宋体"/>
          <w:b/>
          <w:bCs/>
        </w:rPr>
        <w:t>1</w:t>
      </w:r>
      <w:r>
        <w:rPr>
          <w:rFonts w:ascii="宋体" w:hAnsi="宋体"/>
          <w:b/>
          <w:bCs/>
        </w:rPr>
        <w:t>.</w:t>
      </w:r>
      <w:r>
        <w:rPr>
          <w:rFonts w:hint="eastAsia" w:ascii="宋体" w:hAnsi="宋体"/>
          <w:b/>
          <w:bCs/>
        </w:rPr>
        <w:t>★</w:t>
      </w:r>
      <w:r>
        <w:rPr>
          <w:rFonts w:ascii="宋体" w:hAnsi="宋体"/>
          <w:b/>
          <w:bCs/>
        </w:rPr>
        <w:t>符合《中华人民共和国政府采购法》第二十二条规定条件：</w:t>
      </w:r>
    </w:p>
    <w:p w14:paraId="70DA8B40">
      <w:pPr>
        <w:spacing w:line="360" w:lineRule="auto"/>
        <w:ind w:firstLine="480" w:firstLineChars="200"/>
        <w:rPr>
          <w:rFonts w:hint="eastAsia" w:ascii="宋体" w:hAnsi="宋体"/>
        </w:rPr>
      </w:pPr>
      <w:r>
        <w:rPr>
          <w:rFonts w:ascii="宋体" w:hAnsi="宋体"/>
        </w:rPr>
        <w:t>1.1具有独立承担民事责任的能力；</w:t>
      </w:r>
    </w:p>
    <w:p w14:paraId="0B1D19D4">
      <w:pPr>
        <w:spacing w:line="360" w:lineRule="auto"/>
        <w:ind w:firstLine="480" w:firstLineChars="200"/>
        <w:rPr>
          <w:rFonts w:hint="eastAsia" w:ascii="宋体" w:hAnsi="宋体"/>
        </w:rPr>
      </w:pPr>
      <w:r>
        <w:rPr>
          <w:rFonts w:ascii="宋体" w:hAnsi="宋体"/>
        </w:rPr>
        <w:t>1.2具有良好的商业信誉和健全的财务会计制度；</w:t>
      </w:r>
    </w:p>
    <w:p w14:paraId="76748BFD">
      <w:pPr>
        <w:spacing w:line="360" w:lineRule="auto"/>
        <w:ind w:firstLine="480" w:firstLineChars="200"/>
        <w:rPr>
          <w:rFonts w:hint="eastAsia" w:ascii="宋体" w:hAnsi="宋体"/>
        </w:rPr>
      </w:pPr>
      <w:r>
        <w:rPr>
          <w:rFonts w:ascii="宋体" w:hAnsi="宋体"/>
        </w:rPr>
        <w:t>1.3有依法缴纳税收和社会保障资金的良好记录；</w:t>
      </w:r>
    </w:p>
    <w:p w14:paraId="702B6F07">
      <w:pPr>
        <w:spacing w:line="360" w:lineRule="auto"/>
        <w:ind w:firstLine="480" w:firstLineChars="200"/>
        <w:rPr>
          <w:rFonts w:hint="eastAsia" w:ascii="宋体" w:hAnsi="宋体"/>
        </w:rPr>
      </w:pPr>
      <w:r>
        <w:rPr>
          <w:rFonts w:ascii="宋体" w:hAnsi="宋体"/>
        </w:rPr>
        <w:t>1.4具有履行合同所必需的设备和专业技术能力；</w:t>
      </w:r>
    </w:p>
    <w:p w14:paraId="4D4F6524">
      <w:pPr>
        <w:spacing w:line="360" w:lineRule="auto"/>
        <w:ind w:firstLine="480" w:firstLineChars="200"/>
        <w:rPr>
          <w:rFonts w:hint="eastAsia" w:ascii="宋体" w:hAnsi="宋体"/>
        </w:rPr>
      </w:pPr>
      <w:r>
        <w:rPr>
          <w:rFonts w:ascii="宋体" w:hAnsi="宋体"/>
        </w:rPr>
        <w:t>1.5参加本次政府采购活动前三年内，在经营活动中没有重大违法记录；</w:t>
      </w:r>
    </w:p>
    <w:p w14:paraId="79E7EAD2">
      <w:pPr>
        <w:spacing w:line="360" w:lineRule="auto"/>
        <w:ind w:firstLine="480" w:firstLineChars="200"/>
        <w:rPr>
          <w:rFonts w:hint="eastAsia" w:ascii="宋体" w:hAnsi="宋体"/>
        </w:rPr>
      </w:pPr>
      <w:r>
        <w:rPr>
          <w:rFonts w:ascii="宋体" w:hAnsi="宋体"/>
        </w:rPr>
        <w:t>1.6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512864D6">
      <w:pPr>
        <w:spacing w:line="360" w:lineRule="auto"/>
        <w:ind w:firstLine="480" w:firstLineChars="200"/>
        <w:rPr>
          <w:rFonts w:hint="eastAsia" w:ascii="宋体" w:hAnsi="宋体"/>
        </w:rPr>
      </w:pPr>
      <w:r>
        <w:rPr>
          <w:rFonts w:ascii="宋体" w:hAnsi="宋体"/>
        </w:rPr>
        <w:t>1.7在投标截止日期前未被列入失信被执行人名单、重大税收违法案件当事人名单</w:t>
      </w:r>
      <w:r>
        <w:rPr>
          <w:rFonts w:hint="eastAsia" w:ascii="宋体" w:hAnsi="宋体"/>
        </w:rPr>
        <w:t>（重大税收违法失信主体）</w:t>
      </w:r>
      <w:r>
        <w:rPr>
          <w:rFonts w:ascii="宋体" w:hAnsi="宋体"/>
        </w:rPr>
        <w:t>、政府采购严重违法失信行为记录名单。</w:t>
      </w:r>
    </w:p>
    <w:p w14:paraId="15B14AF9">
      <w:pPr>
        <w:spacing w:line="360" w:lineRule="auto"/>
        <w:ind w:firstLine="480"/>
        <w:rPr>
          <w:rFonts w:hint="eastAsia" w:ascii="宋体" w:hAnsi="宋体" w:cs="宋体"/>
          <w:b/>
          <w:bCs/>
          <w:lang w:bidi="ar"/>
        </w:rPr>
      </w:pPr>
      <w:r>
        <w:rPr>
          <w:rFonts w:hint="eastAsia" w:ascii="宋体" w:hAnsi="宋体"/>
          <w:b/>
          <w:bCs/>
          <w:lang w:bidi="ar"/>
        </w:rPr>
        <w:t>特别提示：投标人的资格证明材料只需提供资格条件承诺函。</w:t>
      </w:r>
      <w:r>
        <w:rPr>
          <w:rFonts w:hint="eastAsia" w:ascii="宋体" w:hAnsi="宋体" w:cs="宋体"/>
          <w:b/>
          <w:bCs/>
          <w:lang w:bidi="ar"/>
        </w:rPr>
        <w:t>投标人应对其资格信用承诺内容的真实性、合法性、有效性负责。</w:t>
      </w:r>
      <w:bookmarkStart w:id="30" w:name="OLE_LINK27"/>
      <w:r>
        <w:rPr>
          <w:rFonts w:hint="eastAsia" w:ascii="宋体" w:hAnsi="宋体" w:cs="宋体"/>
          <w:b/>
          <w:bCs/>
          <w:lang w:bidi="ar"/>
        </w:rPr>
        <w:t>如作出虚假承诺，视同“提供虚假材料谋取中标”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bookmarkEnd w:id="30"/>
    </w:p>
    <w:p w14:paraId="4D95F525">
      <w:pPr>
        <w:spacing w:line="360" w:lineRule="auto"/>
        <w:ind w:firstLine="480"/>
        <w:rPr>
          <w:rFonts w:hint="eastAsia" w:ascii="宋体" w:hAnsi="宋体" w:cs="宋体"/>
          <w:b/>
          <w:bCs/>
        </w:rPr>
      </w:pPr>
      <w:r>
        <w:rPr>
          <w:rFonts w:ascii="宋体" w:hAnsi="宋体" w:cs="宋体"/>
          <w:b/>
          <w:bCs/>
        </w:rPr>
        <w:t>2.</w:t>
      </w:r>
      <w:r>
        <w:rPr>
          <w:rFonts w:hint="eastAsia" w:ascii="宋体" w:hAnsi="宋体" w:cs="宋体"/>
          <w:b/>
          <w:bCs/>
        </w:rPr>
        <w:t>本项目特定资格要求：</w:t>
      </w:r>
      <w:r>
        <w:rPr>
          <w:rFonts w:hint="eastAsia" w:ascii="宋体" w:hAnsi="宋体" w:cs="宋体"/>
        </w:rPr>
        <w:t>无。</w:t>
      </w:r>
    </w:p>
    <w:p w14:paraId="0CEA593F">
      <w:pPr>
        <w:spacing w:line="360" w:lineRule="auto"/>
        <w:ind w:firstLine="480"/>
        <w:rPr>
          <w:rFonts w:hint="eastAsia" w:ascii="宋体" w:hAnsi="宋体" w:cs="宋体"/>
          <w:strike/>
        </w:rPr>
      </w:pPr>
      <w:r>
        <w:rPr>
          <w:rFonts w:ascii="宋体" w:hAnsi="宋体" w:cs="宋体"/>
        </w:rPr>
        <w:t>3</w:t>
      </w:r>
      <w:r>
        <w:rPr>
          <w:rFonts w:hint="eastAsia" w:ascii="宋体" w:hAnsi="宋体" w:cs="宋体"/>
        </w:rPr>
        <w:t>.★</w:t>
      </w:r>
      <w:bookmarkStart w:id="31" w:name="OLE_LINK75"/>
      <w:bookmarkStart w:id="32" w:name="OLE_LINK61"/>
      <w:r>
        <w:rPr>
          <w:rFonts w:hint="eastAsia" w:ascii="宋体" w:hAnsi="宋体" w:cs="宋体"/>
        </w:rPr>
        <w:t>本项目不接受联合体投标</w:t>
      </w:r>
      <w:bookmarkEnd w:id="31"/>
      <w:r>
        <w:rPr>
          <w:rFonts w:hint="eastAsia" w:ascii="宋体" w:hAnsi="宋体" w:cs="宋体"/>
        </w:rPr>
        <w:t>。</w:t>
      </w:r>
      <w:bookmarkEnd w:id="32"/>
    </w:p>
    <w:p w14:paraId="156E8055">
      <w:pPr>
        <w:spacing w:line="360" w:lineRule="auto"/>
        <w:ind w:firstLine="480"/>
        <w:rPr>
          <w:rFonts w:hint="eastAsia" w:ascii="宋体" w:hAnsi="宋体" w:cs="宋体"/>
        </w:rPr>
      </w:pPr>
      <w:bookmarkStart w:id="33" w:name="OLE_LINK52"/>
      <w:r>
        <w:rPr>
          <w:rFonts w:ascii="宋体" w:hAnsi="宋体" w:cs="宋体"/>
        </w:rPr>
        <w:t>4.</w:t>
      </w:r>
      <w:r>
        <w:rPr>
          <w:rFonts w:hint="eastAsia" w:ascii="宋体" w:hAnsi="宋体" w:cs="宋体"/>
        </w:rPr>
        <w:t>采购项目需要落实的政府采购政策：</w:t>
      </w:r>
    </w:p>
    <w:p w14:paraId="4B3E0A6E">
      <w:pPr>
        <w:spacing w:line="360" w:lineRule="auto"/>
        <w:ind w:firstLine="480"/>
        <w:rPr>
          <w:rFonts w:hint="eastAsia" w:ascii="宋体" w:hAnsi="宋体"/>
        </w:rPr>
      </w:pPr>
      <w:r>
        <w:rPr>
          <w:rFonts w:hint="eastAsia" w:ascii="宋体" w:hAnsi="宋体" w:cs="宋体"/>
        </w:rPr>
        <w:t>4.1监狱企业、残疾人福利性单位视同小型、微型企业，小微企业价格扣除优惠比例：10%。</w:t>
      </w:r>
    </w:p>
    <w:p w14:paraId="2622F7BA">
      <w:pPr>
        <w:spacing w:line="360" w:lineRule="auto"/>
        <w:ind w:firstLine="480" w:firstLineChars="200"/>
        <w:rPr>
          <w:rFonts w:hint="eastAsia" w:ascii="宋体" w:hAnsi="宋体"/>
        </w:rPr>
      </w:pPr>
      <w:r>
        <w:rPr>
          <w:rFonts w:hint="eastAsia" w:ascii="宋体" w:hAnsi="宋体"/>
        </w:rPr>
        <w:t>4.2本项目非专门面向中小企业采购。</w:t>
      </w:r>
      <w:bookmarkEnd w:id="27"/>
    </w:p>
    <w:bookmarkEnd w:id="33"/>
    <w:p w14:paraId="26866547">
      <w:pPr>
        <w:pStyle w:val="3"/>
        <w:spacing w:afterLines="0" w:line="360" w:lineRule="auto"/>
        <w:ind w:firstLine="562" w:firstLineChars="200"/>
        <w:jc w:val="both"/>
        <w:rPr>
          <w:rFonts w:hint="eastAsia" w:ascii="黑体" w:hAnsi="黑体" w:eastAsia="黑体" w:cs="宋体"/>
          <w:bCs/>
          <w:sz w:val="28"/>
          <w:szCs w:val="28"/>
        </w:rPr>
      </w:pPr>
      <w:bookmarkStart w:id="34" w:name="_Toc203147212"/>
      <w:bookmarkStart w:id="35" w:name="_Toc192748531"/>
      <w:bookmarkStart w:id="36" w:name="_Toc146736295"/>
      <w:bookmarkStart w:id="37" w:name="_Toc215313849"/>
      <w:bookmarkStart w:id="38" w:name="_Toc193792860"/>
      <w:bookmarkStart w:id="39" w:name="_Toc216365867"/>
      <w:r>
        <w:rPr>
          <w:rFonts w:ascii="黑体" w:hAnsi="黑体" w:eastAsia="黑体" w:cs="宋体"/>
          <w:bCs/>
          <w:sz w:val="28"/>
          <w:szCs w:val="28"/>
        </w:rPr>
        <w:t>三、</w:t>
      </w:r>
      <w:bookmarkStart w:id="40" w:name="OLE_LINK59"/>
      <w:r>
        <w:rPr>
          <w:rFonts w:ascii="黑体" w:hAnsi="黑体" w:eastAsia="黑体" w:cs="宋体"/>
          <w:bCs/>
          <w:sz w:val="28"/>
          <w:szCs w:val="28"/>
        </w:rPr>
        <w:t>获取招标文件</w:t>
      </w:r>
      <w:bookmarkEnd w:id="28"/>
      <w:bookmarkEnd w:id="29"/>
      <w:bookmarkEnd w:id="34"/>
      <w:bookmarkEnd w:id="35"/>
      <w:bookmarkEnd w:id="36"/>
      <w:bookmarkEnd w:id="37"/>
      <w:bookmarkEnd w:id="38"/>
      <w:bookmarkEnd w:id="39"/>
      <w:bookmarkEnd w:id="40"/>
    </w:p>
    <w:p w14:paraId="0CE80BF2">
      <w:pPr>
        <w:spacing w:line="360" w:lineRule="auto"/>
        <w:ind w:firstLine="480" w:firstLineChars="200"/>
        <w:rPr>
          <w:rFonts w:hint="eastAsia" w:ascii="宋体" w:hAnsi="宋体"/>
        </w:rPr>
      </w:pPr>
      <w:r>
        <w:rPr>
          <w:rFonts w:hint="eastAsia" w:ascii="宋体" w:hAnsi="宋体"/>
        </w:rPr>
        <w:t>1.时间：</w:t>
      </w:r>
      <w:bookmarkStart w:id="41" w:name="OLE_LINK7"/>
      <w:r>
        <w:rPr>
          <w:rFonts w:hint="eastAsia" w:ascii="宋体" w:hAnsi="宋体"/>
        </w:rPr>
        <w:t>2026年</w:t>
      </w:r>
      <w:r>
        <w:rPr>
          <w:rFonts w:hint="eastAsia" w:ascii="宋体" w:hAnsi="宋体"/>
          <w:lang w:val="en-US" w:eastAsia="zh-CN"/>
        </w:rPr>
        <w:t>4</w:t>
      </w:r>
      <w:r>
        <w:rPr>
          <w:rFonts w:hint="eastAsia" w:ascii="宋体" w:hAnsi="宋体"/>
        </w:rPr>
        <w:t>月</w:t>
      </w:r>
      <w:r>
        <w:rPr>
          <w:rFonts w:hint="eastAsia" w:ascii="宋体" w:hAnsi="宋体"/>
          <w:lang w:val="en-US" w:eastAsia="zh-CN"/>
        </w:rPr>
        <w:t>10</w:t>
      </w:r>
      <w:r>
        <w:rPr>
          <w:rFonts w:hint="eastAsia" w:ascii="宋体" w:hAnsi="宋体"/>
        </w:rPr>
        <w:t>日06:00至2026年</w:t>
      </w:r>
      <w:r>
        <w:rPr>
          <w:rFonts w:hint="eastAsia" w:ascii="宋体" w:hAnsi="宋体"/>
          <w:lang w:val="en-US" w:eastAsia="zh-CN"/>
        </w:rPr>
        <w:t>4</w:t>
      </w:r>
      <w:r>
        <w:rPr>
          <w:rFonts w:hint="eastAsia" w:ascii="宋体" w:hAnsi="宋体"/>
        </w:rPr>
        <w:t>月</w:t>
      </w:r>
      <w:r>
        <w:rPr>
          <w:rFonts w:hint="eastAsia" w:ascii="宋体" w:hAnsi="宋体"/>
          <w:lang w:val="en-US" w:eastAsia="zh-CN"/>
        </w:rPr>
        <w:t>17</w:t>
      </w:r>
      <w:r>
        <w:rPr>
          <w:rFonts w:hint="eastAsia" w:ascii="宋体" w:hAnsi="宋体"/>
        </w:rPr>
        <w:t>日23:59</w:t>
      </w:r>
      <w:bookmarkEnd w:id="41"/>
      <w:r>
        <w:rPr>
          <w:rFonts w:hint="eastAsia" w:ascii="宋体" w:hAnsi="宋体"/>
        </w:rPr>
        <w:t>。</w:t>
      </w:r>
    </w:p>
    <w:p w14:paraId="3D1EEA67">
      <w:pPr>
        <w:spacing w:line="360" w:lineRule="auto"/>
        <w:ind w:firstLine="480" w:firstLineChars="200"/>
        <w:rPr>
          <w:rFonts w:hint="eastAsia" w:ascii="宋体" w:hAnsi="宋体"/>
        </w:rPr>
      </w:pPr>
      <w:r>
        <w:rPr>
          <w:rFonts w:hint="eastAsia" w:ascii="宋体" w:hAnsi="宋体"/>
        </w:rPr>
        <w:t>2.地点：</w:t>
      </w:r>
      <w:bookmarkStart w:id="42" w:name="OLE_LINK9"/>
      <w:r>
        <w:rPr>
          <w:rFonts w:hint="eastAsia" w:ascii="宋体" w:hAnsi="宋体"/>
        </w:rPr>
        <w:t>云南省政府采购电子交易平台（https://www.zcygov.cn/）</w:t>
      </w:r>
      <w:bookmarkEnd w:id="42"/>
      <w:r>
        <w:rPr>
          <w:rFonts w:hint="eastAsia" w:ascii="宋体" w:hAnsi="宋体"/>
        </w:rPr>
        <w:t>。</w:t>
      </w:r>
    </w:p>
    <w:p w14:paraId="661340B1">
      <w:pPr>
        <w:spacing w:line="360" w:lineRule="auto"/>
        <w:ind w:firstLine="480" w:firstLineChars="200"/>
        <w:rPr>
          <w:rFonts w:hint="eastAsia" w:ascii="宋体" w:hAnsi="宋体"/>
        </w:rPr>
      </w:pPr>
      <w:r>
        <w:rPr>
          <w:rFonts w:hint="eastAsia" w:ascii="宋体" w:hAnsi="宋体"/>
        </w:rPr>
        <w:t>3.方式：凡有意参加的潜在投标人，须在云南省政府采购电子交易平台（政采云）办理数字证书（CA），并在云南省政府采购电子交易平台（政采云）绑定数字证书（CA）后线上获取招标文件及其它采购资料。CA申领链接：https://middle.zcygov.cn/ca/apply/list?_app_=zcy.sys，CA申领后需登录云南省政府采购电子交易平台（政采云）完成数字证书（CA）绑定才可以使用。</w:t>
      </w:r>
    </w:p>
    <w:p w14:paraId="0BA5A6E3">
      <w:pPr>
        <w:spacing w:line="360" w:lineRule="auto"/>
        <w:ind w:firstLine="480" w:firstLineChars="200"/>
        <w:rPr>
          <w:rFonts w:hint="eastAsia" w:ascii="宋体" w:hAnsi="宋体"/>
        </w:rPr>
      </w:pPr>
      <w:r>
        <w:rPr>
          <w:rFonts w:hint="eastAsia" w:ascii="宋体" w:hAnsi="宋体"/>
        </w:rPr>
        <w:t>按上述要求获取文件的投标人视为合法获取了本项目招标文件，具备本项目的投标资格。</w:t>
      </w:r>
    </w:p>
    <w:p w14:paraId="6D000B1C">
      <w:pPr>
        <w:spacing w:line="360" w:lineRule="auto"/>
        <w:ind w:firstLine="480" w:firstLineChars="200"/>
        <w:rPr>
          <w:rFonts w:hint="eastAsia" w:ascii="宋体" w:hAnsi="宋体"/>
        </w:rPr>
      </w:pPr>
      <w:r>
        <w:rPr>
          <w:rFonts w:hint="eastAsia" w:ascii="宋体" w:hAnsi="宋体" w:cs="宋体"/>
        </w:rPr>
        <w:t>4.招标文件费：0元。</w:t>
      </w:r>
    </w:p>
    <w:p w14:paraId="35B7174D">
      <w:pPr>
        <w:pStyle w:val="3"/>
        <w:spacing w:afterLines="0" w:line="360" w:lineRule="auto"/>
        <w:ind w:firstLine="562" w:firstLineChars="200"/>
        <w:jc w:val="both"/>
        <w:rPr>
          <w:rFonts w:hint="eastAsia" w:ascii="黑体" w:hAnsi="黑体" w:eastAsia="黑体" w:cs="宋体"/>
          <w:bCs/>
          <w:sz w:val="28"/>
          <w:szCs w:val="28"/>
        </w:rPr>
      </w:pPr>
      <w:bookmarkStart w:id="43" w:name="_Toc92977526"/>
      <w:bookmarkStart w:id="44" w:name="_Toc146736296"/>
      <w:bookmarkStart w:id="45" w:name="_Toc97580281"/>
      <w:bookmarkStart w:id="46" w:name="_Toc193792861"/>
      <w:bookmarkStart w:id="47" w:name="_Toc192748532"/>
      <w:bookmarkStart w:id="48" w:name="_Toc203147213"/>
      <w:bookmarkStart w:id="49" w:name="_Toc215313850"/>
      <w:bookmarkStart w:id="50" w:name="_Toc216365868"/>
      <w:r>
        <w:rPr>
          <w:rFonts w:ascii="黑体" w:hAnsi="黑体" w:eastAsia="黑体" w:cs="宋体"/>
          <w:bCs/>
          <w:sz w:val="28"/>
          <w:szCs w:val="28"/>
        </w:rPr>
        <w:t>四、</w:t>
      </w:r>
      <w:bookmarkEnd w:id="43"/>
      <w:bookmarkEnd w:id="44"/>
      <w:bookmarkEnd w:id="45"/>
      <w:r>
        <w:rPr>
          <w:rFonts w:hint="eastAsia" w:ascii="黑体" w:hAnsi="黑体" w:eastAsia="黑体" w:cs="宋体"/>
          <w:bCs/>
          <w:sz w:val="28"/>
          <w:szCs w:val="28"/>
        </w:rPr>
        <w:t>提交投标文件截止时间和地点</w:t>
      </w:r>
      <w:bookmarkEnd w:id="46"/>
      <w:bookmarkEnd w:id="47"/>
      <w:bookmarkEnd w:id="48"/>
      <w:bookmarkEnd w:id="49"/>
      <w:bookmarkEnd w:id="50"/>
    </w:p>
    <w:p w14:paraId="4C05AEA0">
      <w:pPr>
        <w:spacing w:line="360" w:lineRule="auto"/>
        <w:ind w:firstLine="480" w:firstLineChars="200"/>
        <w:rPr>
          <w:rFonts w:hint="eastAsia" w:ascii="宋体" w:hAnsi="宋体"/>
        </w:rPr>
      </w:pPr>
      <w:r>
        <w:rPr>
          <w:rFonts w:hint="eastAsia" w:ascii="宋体" w:hAnsi="宋体"/>
        </w:rPr>
        <w:t>1.</w:t>
      </w:r>
      <w:bookmarkStart w:id="51" w:name="OLE_LINK8"/>
      <w:r>
        <w:rPr>
          <w:rFonts w:hint="eastAsia" w:ascii="宋体" w:hAnsi="宋体"/>
        </w:rPr>
        <w:t>时间：</w:t>
      </w:r>
      <w:bookmarkStart w:id="52" w:name="OLE_LINK1"/>
      <w:r>
        <w:rPr>
          <w:rFonts w:hint="eastAsia" w:ascii="宋体" w:hAnsi="宋体"/>
        </w:rPr>
        <w:t>2026年</w:t>
      </w:r>
      <w:r>
        <w:rPr>
          <w:rFonts w:hint="eastAsia" w:ascii="宋体" w:hAnsi="宋体"/>
          <w:lang w:val="en-US" w:eastAsia="zh-CN"/>
        </w:rPr>
        <w:t>4</w:t>
      </w:r>
      <w:r>
        <w:rPr>
          <w:rFonts w:hint="eastAsia" w:ascii="宋体" w:hAnsi="宋体"/>
        </w:rPr>
        <w:t>月</w:t>
      </w:r>
      <w:r>
        <w:rPr>
          <w:rFonts w:hint="eastAsia" w:ascii="宋体" w:hAnsi="宋体"/>
          <w:lang w:val="en-US" w:eastAsia="zh-CN"/>
        </w:rPr>
        <w:t>30</w:t>
      </w:r>
      <w:r>
        <w:rPr>
          <w:rFonts w:hint="eastAsia" w:ascii="宋体" w:hAnsi="宋体"/>
        </w:rPr>
        <w:t>日09时00分</w:t>
      </w:r>
      <w:bookmarkEnd w:id="51"/>
      <w:bookmarkEnd w:id="52"/>
      <w:r>
        <w:rPr>
          <w:rFonts w:hint="eastAsia" w:ascii="宋体" w:hAnsi="宋体"/>
        </w:rPr>
        <w:t>。</w:t>
      </w:r>
    </w:p>
    <w:p w14:paraId="11091F2C">
      <w:pPr>
        <w:spacing w:line="360" w:lineRule="auto"/>
        <w:ind w:firstLine="480" w:firstLineChars="200"/>
        <w:rPr>
          <w:rFonts w:hint="eastAsia" w:ascii="宋体" w:hAnsi="宋体"/>
        </w:rPr>
      </w:pPr>
      <w:r>
        <w:rPr>
          <w:rFonts w:hint="eastAsia" w:ascii="宋体" w:hAnsi="宋体"/>
        </w:rPr>
        <w:t>2.地点：通过云南省政府采购电子交易平台（https://www.zcygov.cn/）在线提交投标文件。</w:t>
      </w:r>
    </w:p>
    <w:p w14:paraId="25FD95CE">
      <w:pPr>
        <w:spacing w:line="360" w:lineRule="auto"/>
        <w:ind w:firstLine="562" w:firstLineChars="200"/>
        <w:rPr>
          <w:rFonts w:hint="eastAsia" w:ascii="黑体" w:hAnsi="黑体" w:eastAsia="黑体" w:cs="宋体"/>
          <w:b/>
          <w:bCs/>
          <w:sz w:val="28"/>
          <w:szCs w:val="28"/>
        </w:rPr>
      </w:pPr>
      <w:r>
        <w:rPr>
          <w:rFonts w:hint="eastAsia" w:ascii="黑体" w:hAnsi="黑体" w:eastAsia="黑体" w:cs="宋体"/>
          <w:b/>
          <w:bCs/>
          <w:sz w:val="28"/>
          <w:szCs w:val="28"/>
        </w:rPr>
        <w:t>五、公告期限</w:t>
      </w:r>
    </w:p>
    <w:p w14:paraId="0C68C9DE">
      <w:pPr>
        <w:spacing w:line="360" w:lineRule="auto"/>
        <w:ind w:firstLine="480" w:firstLineChars="200"/>
        <w:rPr>
          <w:rFonts w:hint="eastAsia" w:ascii="宋体" w:hAnsi="宋体" w:cs="宋体"/>
        </w:rPr>
      </w:pPr>
      <w:r>
        <w:rPr>
          <w:rFonts w:hint="eastAsia" w:ascii="宋体" w:hAnsi="宋体"/>
        </w:rPr>
        <w:t>2026年</w:t>
      </w:r>
      <w:r>
        <w:rPr>
          <w:rFonts w:hint="eastAsia" w:ascii="宋体" w:hAnsi="宋体"/>
          <w:lang w:val="en-US" w:eastAsia="zh-CN"/>
        </w:rPr>
        <w:t>4</w:t>
      </w:r>
      <w:r>
        <w:rPr>
          <w:rFonts w:hint="eastAsia" w:ascii="宋体" w:hAnsi="宋体"/>
        </w:rPr>
        <w:t>月</w:t>
      </w:r>
      <w:r>
        <w:rPr>
          <w:rFonts w:hint="eastAsia" w:ascii="宋体" w:hAnsi="宋体"/>
          <w:lang w:val="en-US" w:eastAsia="zh-CN"/>
        </w:rPr>
        <w:t>10</w:t>
      </w:r>
      <w:r>
        <w:rPr>
          <w:rFonts w:hint="eastAsia" w:ascii="宋体" w:hAnsi="宋体"/>
        </w:rPr>
        <w:t>日06:00至2026年</w:t>
      </w:r>
      <w:r>
        <w:rPr>
          <w:rFonts w:hint="eastAsia" w:ascii="宋体" w:hAnsi="宋体"/>
          <w:lang w:val="en-US" w:eastAsia="zh-CN"/>
        </w:rPr>
        <w:t>4</w:t>
      </w:r>
      <w:r>
        <w:rPr>
          <w:rFonts w:hint="eastAsia" w:ascii="宋体" w:hAnsi="宋体"/>
        </w:rPr>
        <w:t>月</w:t>
      </w:r>
      <w:r>
        <w:rPr>
          <w:rFonts w:hint="eastAsia" w:ascii="宋体" w:hAnsi="宋体"/>
          <w:lang w:val="en-US" w:eastAsia="zh-CN"/>
        </w:rPr>
        <w:t>17</w:t>
      </w:r>
      <w:r>
        <w:rPr>
          <w:rFonts w:hint="eastAsia" w:ascii="宋体" w:hAnsi="宋体"/>
        </w:rPr>
        <w:t>日23:59。</w:t>
      </w:r>
    </w:p>
    <w:p w14:paraId="2B150ECF">
      <w:pPr>
        <w:spacing w:line="360" w:lineRule="auto"/>
        <w:ind w:firstLine="562" w:firstLineChars="200"/>
        <w:rPr>
          <w:rFonts w:hint="eastAsia" w:ascii="黑体" w:hAnsi="黑体" w:eastAsia="黑体" w:cs="宋体"/>
          <w:b/>
          <w:sz w:val="28"/>
          <w:szCs w:val="28"/>
        </w:rPr>
      </w:pPr>
      <w:r>
        <w:rPr>
          <w:rFonts w:hint="eastAsia" w:ascii="黑体" w:hAnsi="黑体" w:eastAsia="黑体" w:cs="宋体"/>
          <w:b/>
          <w:sz w:val="28"/>
          <w:szCs w:val="28"/>
        </w:rPr>
        <w:t>六、其他补充事宜</w:t>
      </w:r>
    </w:p>
    <w:p w14:paraId="61E5E7C6">
      <w:pPr>
        <w:spacing w:line="360" w:lineRule="auto"/>
        <w:ind w:firstLine="482" w:firstLineChars="200"/>
        <w:rPr>
          <w:rFonts w:hint="eastAsia" w:ascii="宋体" w:hAnsi="宋体" w:cs="宋体"/>
          <w:b/>
          <w:bCs/>
        </w:rPr>
      </w:pPr>
      <w:r>
        <w:rPr>
          <w:rFonts w:hint="eastAsia" w:ascii="宋体" w:hAnsi="宋体" w:cs="宋体"/>
          <w:b/>
          <w:bCs/>
        </w:rPr>
        <w:t>1.公告发布媒介</w:t>
      </w:r>
    </w:p>
    <w:p w14:paraId="4BF98932">
      <w:pPr>
        <w:spacing w:line="360" w:lineRule="auto"/>
        <w:ind w:firstLine="480" w:firstLineChars="200"/>
        <w:rPr>
          <w:rFonts w:hint="eastAsia" w:ascii="宋体" w:hAnsi="宋体"/>
        </w:rPr>
      </w:pPr>
      <w:bookmarkStart w:id="53" w:name="_Hlk156728428"/>
      <w:bookmarkStart w:id="54" w:name="_Hlk156728348"/>
      <w:r>
        <w:rPr>
          <w:rFonts w:hint="eastAsia" w:ascii="宋体" w:hAnsi="宋体"/>
        </w:rPr>
        <w:t>云南省政府采购网、云南能源职业技术学院网站。</w:t>
      </w:r>
      <w:bookmarkEnd w:id="53"/>
      <w:bookmarkEnd w:id="54"/>
    </w:p>
    <w:p w14:paraId="3F111D14">
      <w:pPr>
        <w:spacing w:line="360" w:lineRule="auto"/>
        <w:ind w:firstLine="482" w:firstLineChars="200"/>
        <w:rPr>
          <w:rFonts w:hint="eastAsia" w:ascii="宋体" w:hAnsi="宋体" w:cs="宋体"/>
          <w:b/>
          <w:bCs/>
        </w:rPr>
      </w:pPr>
      <w:r>
        <w:rPr>
          <w:rFonts w:hint="eastAsia" w:ascii="宋体" w:hAnsi="宋体" w:cs="宋体"/>
          <w:b/>
          <w:bCs/>
        </w:rPr>
        <w:t>2.技术支持</w:t>
      </w:r>
    </w:p>
    <w:p w14:paraId="0E9560E9">
      <w:pPr>
        <w:spacing w:line="360" w:lineRule="auto"/>
        <w:ind w:firstLine="480" w:firstLineChars="200"/>
        <w:rPr>
          <w:rFonts w:hint="eastAsia" w:ascii="宋体" w:hAnsi="宋体" w:cs="宋体"/>
        </w:rPr>
      </w:pPr>
      <w:r>
        <w:rPr>
          <w:rFonts w:hint="eastAsia" w:ascii="宋体" w:hAnsi="宋体" w:cs="宋体"/>
        </w:rPr>
        <w:t>系统操作问题：请致电政采云，4008817190(客服热线)；</w:t>
      </w:r>
    </w:p>
    <w:p w14:paraId="13B3798D">
      <w:pPr>
        <w:spacing w:line="360" w:lineRule="auto"/>
        <w:ind w:firstLine="480" w:firstLineChars="200"/>
        <w:rPr>
          <w:rFonts w:hint="eastAsia" w:ascii="宋体" w:hAnsi="宋体" w:cs="宋体"/>
        </w:rPr>
      </w:pPr>
      <w:r>
        <w:rPr>
          <w:rFonts w:hint="eastAsia" w:ascii="宋体" w:hAnsi="宋体" w:cs="宋体"/>
        </w:rPr>
        <w:t>云南CA操作问题：请致电云南CA，4006727666；</w:t>
      </w:r>
    </w:p>
    <w:p w14:paraId="674AE4D2">
      <w:pPr>
        <w:spacing w:line="360" w:lineRule="auto"/>
        <w:ind w:firstLine="480" w:firstLineChars="200"/>
        <w:rPr>
          <w:rFonts w:hint="eastAsia" w:ascii="宋体" w:hAnsi="宋体"/>
        </w:rPr>
      </w:pPr>
      <w:r>
        <w:rPr>
          <w:rFonts w:hint="eastAsia" w:ascii="宋体" w:hAnsi="宋体" w:cs="宋体"/>
        </w:rPr>
        <w:t>云南CA紧急联系方式：15288315056。</w:t>
      </w:r>
    </w:p>
    <w:p w14:paraId="3F393AE2">
      <w:pPr>
        <w:pStyle w:val="3"/>
        <w:spacing w:afterLines="0" w:line="360" w:lineRule="auto"/>
        <w:ind w:firstLine="562" w:firstLineChars="200"/>
        <w:jc w:val="both"/>
        <w:rPr>
          <w:rFonts w:hint="eastAsia" w:ascii="黑体" w:hAnsi="黑体" w:eastAsia="黑体" w:cs="宋体"/>
          <w:bCs/>
          <w:sz w:val="28"/>
          <w:szCs w:val="28"/>
        </w:rPr>
      </w:pPr>
      <w:bookmarkStart w:id="55" w:name="_Toc203147214"/>
      <w:bookmarkStart w:id="56" w:name="_Toc97580285"/>
      <w:bookmarkStart w:id="57" w:name="_Toc215313851"/>
      <w:bookmarkStart w:id="58" w:name="_Toc216365869"/>
      <w:bookmarkStart w:id="59" w:name="_Toc146736299"/>
      <w:bookmarkStart w:id="60" w:name="_Toc192748533"/>
      <w:bookmarkStart w:id="61" w:name="_Toc193792862"/>
      <w:bookmarkStart w:id="62" w:name="_Toc92977531"/>
      <w:r>
        <w:rPr>
          <w:rFonts w:hint="eastAsia" w:ascii="黑体" w:hAnsi="黑体" w:eastAsia="黑体" w:cs="宋体"/>
          <w:bCs/>
          <w:sz w:val="28"/>
          <w:szCs w:val="28"/>
        </w:rPr>
        <w:t>七</w:t>
      </w:r>
      <w:r>
        <w:rPr>
          <w:rFonts w:ascii="黑体" w:hAnsi="黑体" w:eastAsia="黑体" w:cs="宋体"/>
          <w:bCs/>
          <w:sz w:val="28"/>
          <w:szCs w:val="28"/>
        </w:rPr>
        <w:t>、</w:t>
      </w:r>
      <w:bookmarkStart w:id="63" w:name="OLE_LINK60"/>
      <w:r>
        <w:rPr>
          <w:rFonts w:ascii="黑体" w:hAnsi="黑体" w:eastAsia="黑体" w:cs="宋体"/>
          <w:bCs/>
          <w:sz w:val="28"/>
          <w:szCs w:val="28"/>
        </w:rPr>
        <w:t>对本次采购提出询问，请按以下方式联系</w:t>
      </w:r>
      <w:bookmarkEnd w:id="55"/>
      <w:bookmarkEnd w:id="56"/>
      <w:bookmarkEnd w:id="57"/>
      <w:bookmarkEnd w:id="58"/>
      <w:bookmarkEnd w:id="59"/>
      <w:bookmarkEnd w:id="60"/>
      <w:bookmarkEnd w:id="61"/>
      <w:bookmarkEnd w:id="62"/>
      <w:r>
        <w:rPr>
          <w:rFonts w:hint="eastAsia" w:ascii="黑体" w:hAnsi="黑体" w:eastAsia="黑体" w:cs="宋体"/>
          <w:bCs/>
          <w:sz w:val="28"/>
          <w:szCs w:val="28"/>
        </w:rPr>
        <w:t xml:space="preserve"> </w:t>
      </w:r>
      <w:bookmarkEnd w:id="63"/>
    </w:p>
    <w:p w14:paraId="1194CDD7">
      <w:pPr>
        <w:spacing w:line="360" w:lineRule="auto"/>
        <w:ind w:firstLine="482" w:firstLineChars="200"/>
        <w:jc w:val="left"/>
        <w:rPr>
          <w:rFonts w:hint="eastAsia" w:ascii="宋体" w:hAnsi="宋体" w:cs="宋体"/>
          <w:b/>
          <w:bCs/>
        </w:rPr>
      </w:pPr>
      <w:r>
        <w:rPr>
          <w:rFonts w:hint="eastAsia" w:ascii="宋体" w:hAnsi="宋体" w:cs="宋体"/>
          <w:b/>
          <w:bCs/>
        </w:rPr>
        <w:t>1.采购人信息</w:t>
      </w:r>
    </w:p>
    <w:p w14:paraId="14A96D80">
      <w:pPr>
        <w:spacing w:line="360" w:lineRule="auto"/>
        <w:ind w:firstLine="480" w:firstLineChars="200"/>
        <w:jc w:val="left"/>
        <w:rPr>
          <w:rFonts w:hint="eastAsia" w:ascii="宋体" w:hAnsi="宋体" w:cs="宋体"/>
        </w:rPr>
      </w:pPr>
      <w:r>
        <w:rPr>
          <w:rFonts w:hint="eastAsia" w:ascii="宋体" w:hAnsi="宋体" w:cs="宋体"/>
        </w:rPr>
        <w:t>名 称：云南能源职业技术学院</w:t>
      </w:r>
    </w:p>
    <w:p w14:paraId="42DA8A69">
      <w:pPr>
        <w:spacing w:line="360" w:lineRule="auto"/>
        <w:ind w:firstLine="480" w:firstLineChars="200"/>
        <w:jc w:val="left"/>
        <w:rPr>
          <w:rFonts w:hint="eastAsia" w:ascii="宋体" w:hAnsi="宋体" w:cs="宋体"/>
        </w:rPr>
      </w:pPr>
      <w:r>
        <w:rPr>
          <w:rFonts w:hint="eastAsia" w:ascii="宋体" w:hAnsi="宋体" w:cs="宋体"/>
        </w:rPr>
        <w:t>地址：曲靖市职教中心文苑北路8号</w:t>
      </w:r>
    </w:p>
    <w:p w14:paraId="54FCBFDA">
      <w:pPr>
        <w:spacing w:line="360" w:lineRule="auto"/>
        <w:ind w:firstLine="480" w:firstLineChars="200"/>
        <w:jc w:val="left"/>
        <w:rPr>
          <w:rFonts w:hint="eastAsia" w:ascii="宋体" w:hAnsi="宋体" w:cs="宋体"/>
        </w:rPr>
      </w:pPr>
      <w:r>
        <w:rPr>
          <w:rFonts w:hint="eastAsia" w:ascii="宋体" w:hAnsi="宋体" w:cs="宋体"/>
        </w:rPr>
        <w:t>联系方式：徐老师0874-3181833</w:t>
      </w:r>
    </w:p>
    <w:p w14:paraId="7F58E2A3">
      <w:pPr>
        <w:spacing w:line="360" w:lineRule="auto"/>
        <w:ind w:firstLine="482" w:firstLineChars="200"/>
        <w:jc w:val="left"/>
        <w:rPr>
          <w:rFonts w:hint="eastAsia" w:ascii="宋体" w:hAnsi="宋体" w:cs="宋体"/>
          <w:b/>
          <w:bCs/>
        </w:rPr>
      </w:pPr>
      <w:r>
        <w:rPr>
          <w:rFonts w:hint="eastAsia" w:ascii="宋体" w:hAnsi="宋体" w:cs="宋体"/>
          <w:b/>
          <w:bCs/>
        </w:rPr>
        <w:t>2.采购代理机构信息</w:t>
      </w:r>
    </w:p>
    <w:p w14:paraId="0FFB7C42">
      <w:pPr>
        <w:spacing w:line="360" w:lineRule="auto"/>
        <w:ind w:firstLine="480" w:firstLineChars="200"/>
        <w:jc w:val="left"/>
        <w:rPr>
          <w:rFonts w:hint="eastAsia" w:ascii="宋体" w:hAnsi="宋体" w:cs="宋体"/>
        </w:rPr>
      </w:pPr>
      <w:r>
        <w:rPr>
          <w:rFonts w:hint="eastAsia" w:ascii="宋体" w:hAnsi="宋体" w:cs="宋体"/>
        </w:rPr>
        <w:t>名 称：</w:t>
      </w:r>
      <w:r>
        <w:rPr>
          <w:rFonts w:hint="eastAsia" w:ascii="宋体" w:hAnsi="宋体"/>
        </w:rPr>
        <w:t>云南元赛咨询管理有限公司</w:t>
      </w:r>
    </w:p>
    <w:p w14:paraId="3DDA98F6">
      <w:pPr>
        <w:spacing w:line="360" w:lineRule="auto"/>
        <w:ind w:firstLine="480" w:firstLineChars="200"/>
        <w:jc w:val="left"/>
        <w:rPr>
          <w:rFonts w:hint="eastAsia" w:ascii="宋体" w:hAnsi="宋体" w:cs="宋体"/>
        </w:rPr>
      </w:pPr>
      <w:r>
        <w:rPr>
          <w:rFonts w:hint="eastAsia" w:ascii="宋体" w:hAnsi="宋体" w:cs="宋体"/>
        </w:rPr>
        <w:t>地址：</w:t>
      </w:r>
      <w:r>
        <w:rPr>
          <w:rFonts w:hint="eastAsia" w:ascii="宋体" w:hAnsi="宋体"/>
        </w:rPr>
        <w:t>曲靖开发区金湘源商业区2-11</w:t>
      </w:r>
    </w:p>
    <w:p w14:paraId="062AFCEC">
      <w:pPr>
        <w:spacing w:line="360" w:lineRule="auto"/>
        <w:ind w:firstLine="480" w:firstLineChars="200"/>
        <w:jc w:val="left"/>
        <w:rPr>
          <w:rFonts w:hint="default" w:ascii="宋体" w:hAnsi="宋体" w:eastAsia="宋体"/>
          <w:lang w:val="en-US" w:eastAsia="zh-CN"/>
        </w:rPr>
      </w:pPr>
      <w:r>
        <w:rPr>
          <w:rFonts w:hint="eastAsia" w:ascii="宋体" w:hAnsi="宋体" w:cs="宋体"/>
        </w:rPr>
        <w:t>联系方式：</w:t>
      </w:r>
      <w:r>
        <w:rPr>
          <w:rFonts w:hint="eastAsia" w:ascii="宋体" w:hAnsi="宋体" w:cs="宋体"/>
          <w:lang w:val="en-US" w:eastAsia="zh-CN"/>
        </w:rPr>
        <w:t>施汝飞</w:t>
      </w:r>
      <w:r>
        <w:rPr>
          <w:rFonts w:ascii="宋体" w:hAnsi="宋体"/>
        </w:rPr>
        <w:t>0874-3985757</w:t>
      </w:r>
      <w:bookmarkStart w:id="64" w:name="OLE_LINK26"/>
      <w:r>
        <w:rPr>
          <w:rFonts w:ascii="宋体" w:hAnsi="宋体"/>
        </w:rPr>
        <w:t xml:space="preserve">  </w:t>
      </w:r>
      <w:r>
        <w:rPr>
          <w:rFonts w:hint="eastAsia" w:ascii="宋体" w:hAnsi="宋体"/>
        </w:rPr>
        <w:t>13</w:t>
      </w:r>
      <w:bookmarkEnd w:id="64"/>
      <w:r>
        <w:rPr>
          <w:rFonts w:hint="eastAsia" w:ascii="宋体" w:hAnsi="宋体"/>
          <w:lang w:val="en-US" w:eastAsia="zh-CN"/>
        </w:rPr>
        <w:t>619440106</w:t>
      </w:r>
    </w:p>
    <w:p w14:paraId="3A359E43">
      <w:pPr>
        <w:spacing w:line="360" w:lineRule="auto"/>
        <w:ind w:firstLine="482" w:firstLineChars="200"/>
        <w:jc w:val="left"/>
        <w:rPr>
          <w:rFonts w:hint="eastAsia" w:ascii="宋体" w:hAnsi="宋体" w:cs="宋体"/>
          <w:b/>
          <w:bCs/>
        </w:rPr>
      </w:pPr>
      <w:r>
        <w:rPr>
          <w:rFonts w:hint="eastAsia" w:ascii="宋体" w:hAnsi="宋体" w:cs="宋体"/>
          <w:b/>
          <w:bCs/>
        </w:rPr>
        <w:t>3.项目联系方式</w:t>
      </w:r>
    </w:p>
    <w:p w14:paraId="3605307B">
      <w:pPr>
        <w:spacing w:line="360" w:lineRule="auto"/>
        <w:ind w:firstLine="480" w:firstLineChars="200"/>
        <w:jc w:val="left"/>
        <w:rPr>
          <w:rFonts w:hint="eastAsia" w:ascii="宋体" w:hAnsi="宋体" w:cs="宋体"/>
        </w:rPr>
      </w:pPr>
      <w:r>
        <w:rPr>
          <w:rFonts w:hint="eastAsia" w:ascii="宋体" w:hAnsi="宋体" w:cs="宋体"/>
        </w:rPr>
        <w:t xml:space="preserve">项目联系人：徐老师  </w:t>
      </w:r>
      <w:r>
        <w:rPr>
          <w:rFonts w:hint="eastAsia" w:ascii="宋体" w:hAnsi="宋体" w:cs="宋体"/>
          <w:lang w:val="en-US" w:eastAsia="zh-CN"/>
        </w:rPr>
        <w:t>施汝飞</w:t>
      </w:r>
    </w:p>
    <w:p w14:paraId="0021A4BF">
      <w:pPr>
        <w:spacing w:line="360" w:lineRule="auto"/>
        <w:ind w:firstLine="480" w:firstLineChars="200"/>
        <w:jc w:val="left"/>
        <w:rPr>
          <w:rFonts w:hint="eastAsia" w:ascii="宋体" w:hAnsi="宋体" w:cs="宋体"/>
        </w:rPr>
      </w:pPr>
      <w:r>
        <w:rPr>
          <w:rFonts w:hint="eastAsia" w:ascii="宋体" w:hAnsi="宋体" w:cs="宋体"/>
        </w:rPr>
        <w:t>联系方式：0874-3181833</w:t>
      </w:r>
      <w:r>
        <w:rPr>
          <w:rFonts w:ascii="宋体" w:hAnsi="宋体"/>
        </w:rPr>
        <w:t xml:space="preserve">  </w:t>
      </w:r>
      <w:r>
        <w:rPr>
          <w:rFonts w:hint="eastAsia" w:ascii="宋体" w:hAnsi="宋体"/>
        </w:rPr>
        <w:t>13</w:t>
      </w:r>
      <w:r>
        <w:rPr>
          <w:rFonts w:hint="eastAsia" w:ascii="宋体" w:hAnsi="宋体"/>
          <w:lang w:val="en-US" w:eastAsia="zh-CN"/>
        </w:rPr>
        <w:t>619440106</w:t>
      </w:r>
    </w:p>
    <w:bookmarkEnd w:id="3"/>
    <w:p w14:paraId="25B9E07F">
      <w:pPr>
        <w:widowControl/>
        <w:spacing w:line="360" w:lineRule="auto"/>
        <w:jc w:val="left"/>
        <w:rPr>
          <w:rFonts w:hint="eastAsia" w:ascii="黑体" w:hAnsi="黑体" w:eastAsia="黑体"/>
          <w:b/>
          <w:sz w:val="36"/>
          <w:szCs w:val="36"/>
        </w:rPr>
      </w:pPr>
      <w:r>
        <w:rPr>
          <w:rFonts w:hint="eastAsia" w:ascii="黑体" w:hAnsi="黑体" w:eastAsia="黑体"/>
          <w:szCs w:val="36"/>
        </w:rPr>
        <w:br w:type="page"/>
      </w:r>
    </w:p>
    <w:p w14:paraId="66E628F3">
      <w:pPr>
        <w:pStyle w:val="2"/>
        <w:rPr>
          <w:rFonts w:hint="eastAsia" w:ascii="黑体" w:hAnsi="黑体" w:eastAsia="黑体"/>
          <w:kern w:val="2"/>
          <w:szCs w:val="36"/>
        </w:rPr>
      </w:pPr>
      <w:bookmarkStart w:id="65" w:name="_Toc216365870"/>
      <w:r>
        <w:rPr>
          <w:rFonts w:hint="eastAsia" w:ascii="黑体" w:hAnsi="黑体" w:eastAsia="黑体"/>
          <w:kern w:val="2"/>
          <w:szCs w:val="36"/>
        </w:rPr>
        <w:t>第二章 投标人须知</w:t>
      </w:r>
      <w:bookmarkEnd w:id="65"/>
    </w:p>
    <w:p w14:paraId="26BDDF13">
      <w:pPr>
        <w:pStyle w:val="3"/>
        <w:tabs>
          <w:tab w:val="clear" w:pos="3999"/>
        </w:tabs>
        <w:spacing w:afterLines="0" w:line="360" w:lineRule="auto"/>
        <w:rPr>
          <w:rFonts w:hint="eastAsia" w:ascii="黑体" w:hAnsi="黑体" w:eastAsia="黑体" w:cs="宋体"/>
          <w:sz w:val="28"/>
          <w:szCs w:val="28"/>
        </w:rPr>
      </w:pPr>
      <w:bookmarkStart w:id="66" w:name="_Toc216365871"/>
      <w:bookmarkStart w:id="67" w:name="_Toc192748535"/>
      <w:bookmarkStart w:id="68" w:name="_Toc97580289"/>
      <w:bookmarkStart w:id="69" w:name="_Toc203147216"/>
      <w:bookmarkStart w:id="70" w:name="_Toc193792864"/>
      <w:bookmarkStart w:id="71" w:name="_Toc146736301"/>
      <w:bookmarkStart w:id="72" w:name="_Toc215313853"/>
      <w:r>
        <w:rPr>
          <w:rFonts w:hint="eastAsia" w:ascii="黑体" w:hAnsi="黑体" w:eastAsia="黑体" w:cs="宋体"/>
          <w:sz w:val="28"/>
          <w:szCs w:val="28"/>
        </w:rPr>
        <w:t>一、投标人须知前附表</w:t>
      </w:r>
      <w:bookmarkEnd w:id="66"/>
      <w:bookmarkEnd w:id="67"/>
      <w:bookmarkEnd w:id="68"/>
      <w:bookmarkEnd w:id="69"/>
      <w:bookmarkEnd w:id="70"/>
      <w:bookmarkEnd w:id="71"/>
      <w:bookmarkEnd w:id="72"/>
    </w:p>
    <w:tbl>
      <w:tblPr>
        <w:tblStyle w:val="49"/>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602"/>
        <w:gridCol w:w="6237"/>
      </w:tblGrid>
      <w:tr w14:paraId="0E1C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45" w:type="dxa"/>
            <w:vAlign w:val="center"/>
          </w:tcPr>
          <w:p w14:paraId="5D23ABD9">
            <w:pPr>
              <w:pStyle w:val="26"/>
              <w:keepNext w:val="0"/>
              <w:keepLines w:val="0"/>
              <w:pageBreakBefore w:val="0"/>
              <w:widowControl w:val="0"/>
              <w:kinsoku/>
              <w:wordWrap/>
              <w:overflowPunct/>
              <w:topLinePunct w:val="0"/>
              <w:autoSpaceDE/>
              <w:autoSpaceDN/>
              <w:bidi w:val="0"/>
              <w:spacing w:line="400" w:lineRule="exact"/>
              <w:jc w:val="center"/>
              <w:textAlignment w:val="auto"/>
              <w:rPr>
                <w:rFonts w:hint="eastAsia" w:hAnsi="宋体" w:cs="宋体"/>
                <w:b/>
                <w:kern w:val="0"/>
                <w:sz w:val="21"/>
                <w:szCs w:val="21"/>
              </w:rPr>
            </w:pPr>
            <w:r>
              <w:rPr>
                <w:rFonts w:hint="eastAsia" w:hAnsi="宋体" w:cs="宋体"/>
                <w:b/>
                <w:kern w:val="0"/>
                <w:sz w:val="21"/>
                <w:szCs w:val="21"/>
              </w:rPr>
              <w:t>条款号</w:t>
            </w:r>
          </w:p>
        </w:tc>
        <w:tc>
          <w:tcPr>
            <w:tcW w:w="1602" w:type="dxa"/>
            <w:vAlign w:val="center"/>
          </w:tcPr>
          <w:p w14:paraId="3C849CC4">
            <w:pPr>
              <w:pStyle w:val="26"/>
              <w:keepNext w:val="0"/>
              <w:keepLines w:val="0"/>
              <w:pageBreakBefore w:val="0"/>
              <w:widowControl w:val="0"/>
              <w:kinsoku/>
              <w:wordWrap/>
              <w:overflowPunct/>
              <w:topLinePunct w:val="0"/>
              <w:autoSpaceDE/>
              <w:autoSpaceDN/>
              <w:bidi w:val="0"/>
              <w:spacing w:line="400" w:lineRule="exact"/>
              <w:jc w:val="center"/>
              <w:textAlignment w:val="auto"/>
              <w:rPr>
                <w:rFonts w:hint="eastAsia" w:hAnsi="宋体" w:cs="宋体"/>
                <w:b/>
                <w:kern w:val="0"/>
                <w:sz w:val="21"/>
                <w:szCs w:val="21"/>
              </w:rPr>
            </w:pPr>
            <w:r>
              <w:rPr>
                <w:rFonts w:hint="eastAsia" w:hAnsi="宋体" w:cs="宋体"/>
                <w:b/>
                <w:kern w:val="0"/>
                <w:sz w:val="21"/>
                <w:szCs w:val="21"/>
              </w:rPr>
              <w:t>条</w:t>
            </w:r>
            <w:r>
              <w:rPr>
                <w:rFonts w:hAnsi="宋体" w:cs="宋体"/>
                <w:b/>
                <w:kern w:val="0"/>
                <w:sz w:val="21"/>
                <w:szCs w:val="21"/>
              </w:rPr>
              <w:t xml:space="preserve"> </w:t>
            </w:r>
            <w:r>
              <w:rPr>
                <w:rFonts w:hint="eastAsia" w:hAnsi="宋体" w:cs="宋体"/>
                <w:b/>
                <w:kern w:val="0"/>
                <w:sz w:val="21"/>
                <w:szCs w:val="21"/>
              </w:rPr>
              <w:t>款</w:t>
            </w:r>
            <w:r>
              <w:rPr>
                <w:rFonts w:hAnsi="宋体" w:cs="宋体"/>
                <w:b/>
                <w:kern w:val="0"/>
                <w:sz w:val="21"/>
                <w:szCs w:val="21"/>
              </w:rPr>
              <w:t xml:space="preserve"> </w:t>
            </w:r>
            <w:r>
              <w:rPr>
                <w:rFonts w:hint="eastAsia" w:hAnsi="宋体" w:cs="宋体"/>
                <w:b/>
                <w:kern w:val="0"/>
                <w:sz w:val="21"/>
                <w:szCs w:val="21"/>
              </w:rPr>
              <w:t>名</w:t>
            </w:r>
            <w:r>
              <w:rPr>
                <w:rFonts w:hAnsi="宋体" w:cs="宋体"/>
                <w:b/>
                <w:kern w:val="0"/>
                <w:sz w:val="21"/>
                <w:szCs w:val="21"/>
              </w:rPr>
              <w:t xml:space="preserve"> </w:t>
            </w:r>
            <w:r>
              <w:rPr>
                <w:rFonts w:hint="eastAsia" w:hAnsi="宋体" w:cs="宋体"/>
                <w:b/>
                <w:kern w:val="0"/>
                <w:sz w:val="21"/>
                <w:szCs w:val="21"/>
              </w:rPr>
              <w:t>称</w:t>
            </w:r>
          </w:p>
        </w:tc>
        <w:tc>
          <w:tcPr>
            <w:tcW w:w="6237" w:type="dxa"/>
            <w:vAlign w:val="center"/>
          </w:tcPr>
          <w:p w14:paraId="467EEB7C">
            <w:pPr>
              <w:pStyle w:val="26"/>
              <w:keepNext w:val="0"/>
              <w:keepLines w:val="0"/>
              <w:pageBreakBefore w:val="0"/>
              <w:widowControl w:val="0"/>
              <w:kinsoku/>
              <w:wordWrap/>
              <w:overflowPunct/>
              <w:topLinePunct w:val="0"/>
              <w:autoSpaceDE/>
              <w:autoSpaceDN/>
              <w:bidi w:val="0"/>
              <w:spacing w:line="400" w:lineRule="exact"/>
              <w:ind w:firstLine="482"/>
              <w:jc w:val="center"/>
              <w:textAlignment w:val="auto"/>
              <w:rPr>
                <w:rFonts w:hint="eastAsia" w:hAnsi="宋体" w:cs="宋体"/>
                <w:b/>
                <w:kern w:val="0"/>
                <w:sz w:val="21"/>
                <w:szCs w:val="21"/>
              </w:rPr>
            </w:pPr>
            <w:r>
              <w:rPr>
                <w:rFonts w:hint="eastAsia" w:hAnsi="宋体" w:cs="宋体"/>
                <w:b/>
                <w:kern w:val="0"/>
                <w:sz w:val="21"/>
                <w:szCs w:val="21"/>
              </w:rPr>
              <w:t>编 列 内 容</w:t>
            </w:r>
          </w:p>
        </w:tc>
      </w:tr>
      <w:tr w14:paraId="1BDE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vAlign w:val="center"/>
          </w:tcPr>
          <w:p w14:paraId="046C141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.1</w:t>
            </w:r>
          </w:p>
        </w:tc>
        <w:tc>
          <w:tcPr>
            <w:tcW w:w="1602" w:type="dxa"/>
            <w:vAlign w:val="center"/>
          </w:tcPr>
          <w:p w14:paraId="414C3E41">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1"/>
                <w:szCs w:val="21"/>
              </w:rPr>
            </w:pPr>
            <w:r>
              <w:rPr>
                <w:rFonts w:hint="eastAsia" w:ascii="宋体" w:hAnsi="宋体" w:cs="宋体"/>
                <w:bCs/>
                <w:sz w:val="21"/>
                <w:szCs w:val="21"/>
              </w:rPr>
              <w:t>项目属性</w:t>
            </w:r>
          </w:p>
        </w:tc>
        <w:tc>
          <w:tcPr>
            <w:tcW w:w="6237" w:type="dxa"/>
            <w:vAlign w:val="center"/>
          </w:tcPr>
          <w:p w14:paraId="24FD136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bCs/>
                <w:sz w:val="21"/>
                <w:szCs w:val="21"/>
              </w:rPr>
              <w:t xml:space="preserve">项目属性：□服务 </w:t>
            </w:r>
            <w:r>
              <w:rPr>
                <w:rFonts w:hint="eastAsia" w:ascii="Segoe UI Symbol" w:hAnsi="Segoe UI Symbol" w:cs="Segoe UI Symbol"/>
                <w:bCs/>
                <w:sz w:val="21"/>
                <w:szCs w:val="21"/>
              </w:rPr>
              <w:t>☑</w:t>
            </w:r>
            <w:r>
              <w:rPr>
                <w:rFonts w:hint="eastAsia" w:ascii="宋体" w:hAnsi="宋体" w:cs="宋体"/>
                <w:bCs/>
                <w:sz w:val="21"/>
                <w:szCs w:val="21"/>
              </w:rPr>
              <w:t>货物 。</w:t>
            </w:r>
          </w:p>
        </w:tc>
      </w:tr>
      <w:tr w14:paraId="10A2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5" w:type="dxa"/>
            <w:vAlign w:val="center"/>
          </w:tcPr>
          <w:p w14:paraId="43FFE39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.2</w:t>
            </w:r>
          </w:p>
        </w:tc>
        <w:tc>
          <w:tcPr>
            <w:tcW w:w="1602" w:type="dxa"/>
            <w:vAlign w:val="center"/>
          </w:tcPr>
          <w:p w14:paraId="4ACB73B2">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1"/>
                <w:szCs w:val="21"/>
              </w:rPr>
            </w:pPr>
            <w:r>
              <w:rPr>
                <w:rFonts w:hint="eastAsia" w:ascii="宋体" w:hAnsi="宋体" w:cs="宋体"/>
                <w:sz w:val="21"/>
                <w:szCs w:val="21"/>
              </w:rPr>
              <w:t>标的所属行业</w:t>
            </w:r>
          </w:p>
        </w:tc>
        <w:tc>
          <w:tcPr>
            <w:tcW w:w="6237" w:type="dxa"/>
            <w:vAlign w:val="center"/>
          </w:tcPr>
          <w:p w14:paraId="7A224AF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本项目采购标的对应的中小企业划分标准所属行业：</w:t>
            </w:r>
            <w:bookmarkStart w:id="73" w:name="OLE_LINK3"/>
            <w:r>
              <w:rPr>
                <w:rFonts w:hint="eastAsia" w:ascii="宋体" w:hAnsi="宋体" w:cs="宋体"/>
                <w:b/>
                <w:bCs/>
                <w:sz w:val="21"/>
                <w:szCs w:val="21"/>
              </w:rPr>
              <w:t>生产日志审计系统</w:t>
            </w:r>
            <w:r>
              <w:rPr>
                <w:rFonts w:hint="eastAsia" w:ascii="宋体" w:hAnsi="宋体" w:cs="宋体"/>
                <w:b/>
                <w:bCs/>
                <w:sz w:val="21"/>
                <w:szCs w:val="21"/>
                <w:lang w:eastAsia="zh-CN"/>
              </w:rPr>
              <w:t>、生产终端防护系统、管理主机及软件、专业安装调试</w:t>
            </w:r>
            <w:r>
              <w:rPr>
                <w:rFonts w:hint="eastAsia" w:ascii="宋体" w:hAnsi="宋体" w:cs="宋体"/>
                <w:b/>
                <w:bCs/>
                <w:sz w:val="21"/>
                <w:szCs w:val="21"/>
              </w:rPr>
              <w:t>为</w:t>
            </w:r>
            <w:r>
              <w:rPr>
                <w:rFonts w:hint="eastAsia" w:ascii="宋体" w:hAnsi="宋体" w:cs="宋体"/>
                <w:sz w:val="21"/>
                <w:szCs w:val="21"/>
              </w:rPr>
              <w:t>软件和信息技术服务业，</w:t>
            </w:r>
            <w:r>
              <w:rPr>
                <w:rFonts w:hint="eastAsia" w:ascii="宋体" w:hAnsi="宋体" w:cs="宋体"/>
                <w:b/>
                <w:bCs/>
                <w:sz w:val="21"/>
                <w:szCs w:val="21"/>
              </w:rPr>
              <w:t>其余采购标的为</w:t>
            </w:r>
            <w:bookmarkEnd w:id="73"/>
            <w:r>
              <w:rPr>
                <w:rFonts w:hint="eastAsia" w:ascii="宋体" w:hAnsi="宋体" w:cs="宋体"/>
                <w:b/>
                <w:bCs/>
                <w:sz w:val="21"/>
                <w:szCs w:val="21"/>
                <w:lang w:val="en-US" w:eastAsia="zh-CN"/>
              </w:rPr>
              <w:t>工业</w:t>
            </w:r>
            <w:r>
              <w:rPr>
                <w:rFonts w:hint="eastAsia" w:ascii="宋体" w:hAnsi="宋体" w:cs="宋体"/>
                <w:sz w:val="21"/>
                <w:szCs w:val="21"/>
              </w:rPr>
              <w:t>。</w:t>
            </w:r>
          </w:p>
        </w:tc>
      </w:tr>
      <w:tr w14:paraId="6988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vMerge w:val="restart"/>
            <w:vAlign w:val="center"/>
          </w:tcPr>
          <w:p w14:paraId="40E093E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.3</w:t>
            </w:r>
          </w:p>
        </w:tc>
        <w:tc>
          <w:tcPr>
            <w:tcW w:w="1602" w:type="dxa"/>
            <w:vMerge w:val="restart"/>
            <w:vAlign w:val="center"/>
          </w:tcPr>
          <w:p w14:paraId="0295E03B">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sz w:val="21"/>
                <w:szCs w:val="21"/>
                <w:highlight w:val="none"/>
                <w:lang w:eastAsia="zh-CN"/>
              </w:rPr>
            </w:pPr>
            <w:r>
              <w:rPr>
                <w:rFonts w:hint="eastAsia" w:ascii="宋体" w:hAnsi="宋体" w:cs="宋体"/>
                <w:bCs/>
                <w:sz w:val="21"/>
                <w:szCs w:val="21"/>
                <w:highlight w:val="none"/>
              </w:rPr>
              <w:t>现场</w:t>
            </w:r>
            <w:r>
              <w:rPr>
                <w:rFonts w:hint="eastAsia" w:ascii="宋体" w:hAnsi="宋体" w:cs="宋体"/>
                <w:bCs/>
                <w:sz w:val="21"/>
                <w:szCs w:val="21"/>
                <w:highlight w:val="none"/>
                <w:lang w:val="en-US" w:eastAsia="zh-CN"/>
              </w:rPr>
              <w:t>踏勘</w:t>
            </w:r>
          </w:p>
        </w:tc>
        <w:tc>
          <w:tcPr>
            <w:tcW w:w="6237" w:type="dxa"/>
            <w:vAlign w:val="center"/>
          </w:tcPr>
          <w:p w14:paraId="71218E9C">
            <w:pPr>
              <w:pStyle w:val="26"/>
              <w:keepNext w:val="0"/>
              <w:keepLines w:val="0"/>
              <w:pageBreakBefore w:val="0"/>
              <w:widowControl w:val="0"/>
              <w:kinsoku/>
              <w:wordWrap/>
              <w:overflowPunct/>
              <w:topLinePunct w:val="0"/>
              <w:autoSpaceDE/>
              <w:autoSpaceDN/>
              <w:bidi w:val="0"/>
              <w:spacing w:line="400" w:lineRule="exact"/>
              <w:textAlignment w:val="auto"/>
              <w:rPr>
                <w:rFonts w:hint="eastAsia" w:hAnsi="宋体" w:cs="宋体"/>
                <w:sz w:val="21"/>
                <w:szCs w:val="21"/>
                <w:highlight w:val="none"/>
              </w:rPr>
            </w:pPr>
            <w:bookmarkStart w:id="74" w:name="OLE_LINK5"/>
            <w:r>
              <w:rPr>
                <w:rFonts w:ascii="Segoe UI Symbol" w:hAnsi="Segoe UI Symbol" w:cs="Segoe UI Symbol"/>
                <w:sz w:val="21"/>
                <w:szCs w:val="21"/>
                <w:highlight w:val="none"/>
              </w:rPr>
              <w:t>☑</w:t>
            </w:r>
            <w:bookmarkEnd w:id="74"/>
            <w:r>
              <w:rPr>
                <w:rFonts w:hint="eastAsia" w:hAnsi="宋体" w:cs="宋体"/>
                <w:sz w:val="21"/>
                <w:szCs w:val="21"/>
                <w:highlight w:val="none"/>
              </w:rPr>
              <w:t xml:space="preserve"> 不</w:t>
            </w:r>
            <w:r>
              <w:rPr>
                <w:rFonts w:hint="eastAsia" w:ascii="宋体" w:hAnsi="宋体" w:eastAsia="宋体" w:cs="宋体"/>
                <w:kern w:val="2"/>
                <w:sz w:val="21"/>
                <w:szCs w:val="21"/>
                <w:highlight w:val="none"/>
                <w:lang w:val="en-US" w:eastAsia="zh-CN" w:bidi="ar-SA"/>
              </w:rPr>
              <w:t>组织。</w:t>
            </w:r>
            <w:r>
              <w:rPr>
                <w:rFonts w:hint="eastAsia" w:ascii="宋体" w:hAnsi="宋体" w:cs="宋体"/>
                <w:kern w:val="2"/>
                <w:sz w:val="21"/>
                <w:szCs w:val="21"/>
                <w:highlight w:val="none"/>
                <w:lang w:val="en-US" w:eastAsia="zh-CN" w:bidi="ar-SA"/>
              </w:rPr>
              <w:t>请投标人自行联系采购人进行踏勘预约，并在投标截止时间前完成踏勘，联系人：杨老师；</w:t>
            </w:r>
            <w:r>
              <w:rPr>
                <w:rFonts w:hint="eastAsia" w:ascii="宋体" w:hAnsi="宋体" w:eastAsia="宋体" w:cs="宋体"/>
                <w:kern w:val="2"/>
                <w:sz w:val="21"/>
                <w:szCs w:val="21"/>
                <w:highlight w:val="none"/>
                <w:lang w:val="en-US" w:eastAsia="zh-CN" w:bidi="ar-SA"/>
              </w:rPr>
              <w:t>联系方式：19325073571</w:t>
            </w:r>
            <w:r>
              <w:rPr>
                <w:rFonts w:hint="eastAsia" w:hAnsi="宋体" w:cs="宋体"/>
                <w:kern w:val="2"/>
                <w:sz w:val="21"/>
                <w:szCs w:val="21"/>
                <w:highlight w:val="none"/>
                <w:lang w:val="en-US" w:eastAsia="zh-CN" w:bidi="ar-SA"/>
              </w:rPr>
              <w:t>。</w:t>
            </w:r>
            <w:r>
              <w:rPr>
                <w:rFonts w:hint="eastAsia" w:hAnsi="宋体" w:cs="宋体"/>
                <w:sz w:val="21"/>
                <w:szCs w:val="21"/>
                <w:highlight w:val="none"/>
              </w:rPr>
              <w:t>□ 组织，</w:t>
            </w:r>
            <w:r>
              <w:rPr>
                <w:rFonts w:hint="eastAsia" w:hAnsi="宋体" w:cs="宋体"/>
                <w:sz w:val="21"/>
                <w:szCs w:val="21"/>
                <w:highlight w:val="none"/>
                <w:lang w:val="en-US" w:eastAsia="zh-CN"/>
              </w:rPr>
              <w:t>踏勘</w:t>
            </w:r>
            <w:r>
              <w:rPr>
                <w:rFonts w:hint="eastAsia" w:hAnsi="宋体" w:cs="宋体"/>
                <w:sz w:val="21"/>
                <w:szCs w:val="21"/>
                <w:highlight w:val="none"/>
              </w:rPr>
              <w:t>时间：___年___月___日___点___分。</w:t>
            </w:r>
          </w:p>
          <w:p w14:paraId="4111F9C1">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1"/>
                <w:szCs w:val="21"/>
                <w:highlight w:val="none"/>
              </w:rPr>
            </w:pPr>
            <w:r>
              <w:rPr>
                <w:rFonts w:hint="eastAsia" w:ascii="宋体" w:hAnsi="宋体" w:cs="宋体"/>
                <w:sz w:val="21"/>
                <w:szCs w:val="21"/>
                <w:highlight w:val="none"/>
                <w:lang w:val="en-US" w:eastAsia="zh-CN"/>
              </w:rPr>
              <w:t>项目</w:t>
            </w:r>
            <w:r>
              <w:rPr>
                <w:rFonts w:hint="eastAsia" w:ascii="宋体" w:hAnsi="宋体" w:cs="宋体"/>
                <w:sz w:val="21"/>
                <w:szCs w:val="21"/>
                <w:highlight w:val="none"/>
              </w:rPr>
              <w:t>地点：云南能源职业技术学院麒麟校区。</w:t>
            </w:r>
          </w:p>
        </w:tc>
      </w:tr>
      <w:tr w14:paraId="7CD8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5" w:hRule="atLeast"/>
          <w:jc w:val="center"/>
        </w:trPr>
        <w:tc>
          <w:tcPr>
            <w:tcW w:w="945" w:type="dxa"/>
            <w:vMerge w:val="continue"/>
            <w:vAlign w:val="center"/>
          </w:tcPr>
          <w:p w14:paraId="63E6D57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p>
        </w:tc>
        <w:tc>
          <w:tcPr>
            <w:tcW w:w="1602" w:type="dxa"/>
            <w:vMerge w:val="continue"/>
            <w:vAlign w:val="center"/>
          </w:tcPr>
          <w:p w14:paraId="6858068C">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bCs/>
                <w:sz w:val="21"/>
                <w:szCs w:val="21"/>
                <w:highlight w:val="none"/>
              </w:rPr>
            </w:pPr>
          </w:p>
        </w:tc>
        <w:tc>
          <w:tcPr>
            <w:tcW w:w="6237" w:type="dxa"/>
            <w:vAlign w:val="center"/>
          </w:tcPr>
          <w:p w14:paraId="7AC63B20">
            <w:pPr>
              <w:keepNext w:val="0"/>
              <w:keepLines w:val="0"/>
              <w:pageBreakBefore w:val="0"/>
              <w:widowControl/>
              <w:suppressLineNumbers w:val="0"/>
              <w:wordWrap/>
              <w:overflowPunct/>
              <w:topLinePunct w:val="0"/>
              <w:bidi w:val="0"/>
              <w:spacing w:line="40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Style w:val="53"/>
                <w:rFonts w:hint="eastAsia" w:ascii="宋体" w:hAnsi="宋体" w:eastAsia="宋体" w:cs="宋体"/>
                <w:kern w:val="0"/>
                <w:sz w:val="21"/>
                <w:szCs w:val="21"/>
                <w:highlight w:val="none"/>
                <w:lang w:val="en-US" w:eastAsia="zh-CN" w:bidi="ar"/>
              </w:rPr>
              <w:t>现场条件说明</w:t>
            </w:r>
            <w:r>
              <w:rPr>
                <w:rFonts w:hint="eastAsia" w:ascii="宋体" w:hAnsi="宋体" w:eastAsia="宋体" w:cs="宋体"/>
                <w:kern w:val="0"/>
                <w:sz w:val="21"/>
                <w:szCs w:val="21"/>
                <w:highlight w:val="none"/>
                <w:lang w:val="en-US" w:eastAsia="zh-CN" w:bidi="ar"/>
              </w:rPr>
              <w:t>：本项目在已建成并完成基础装修的固定机房内实施。机房空间、结构、基础设施（如荷载、强弱电、空调、消防）条件均已固定，</w:t>
            </w:r>
            <w:r>
              <w:rPr>
                <w:rStyle w:val="53"/>
                <w:rFonts w:hint="eastAsia" w:ascii="宋体" w:hAnsi="宋体" w:eastAsia="宋体" w:cs="宋体"/>
                <w:kern w:val="0"/>
                <w:sz w:val="21"/>
                <w:szCs w:val="21"/>
                <w:highlight w:val="none"/>
                <w:lang w:val="en-US" w:eastAsia="zh-CN" w:bidi="ar"/>
              </w:rPr>
              <w:t>投标人应基于此现状进行方案设计。采购人提供的现场条件信息仅供参考，投标人须自行核实。如需为满足项目要求而对现场进行任何形式的改造，所需费用、时间及风险均由投标人承担。</w:t>
            </w:r>
          </w:p>
          <w:p w14:paraId="2747ACC7">
            <w:pPr>
              <w:keepNext w:val="0"/>
              <w:keepLines w:val="0"/>
              <w:pageBreakBefore w:val="0"/>
              <w:widowControl/>
              <w:suppressLineNumbers w:val="0"/>
              <w:wordWrap/>
              <w:overflowPunct/>
              <w:topLinePunct w:val="0"/>
              <w:bidi w:val="0"/>
              <w:spacing w:line="40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b/>
                <w:bCs/>
                <w:sz w:val="21"/>
                <w:szCs w:val="21"/>
                <w:highlight w:val="none"/>
                <w:lang w:val="en-US" w:eastAsia="zh-CN"/>
              </w:rPr>
              <w:t>.现场</w:t>
            </w:r>
            <w:r>
              <w:rPr>
                <w:rStyle w:val="53"/>
                <w:rFonts w:hint="eastAsia" w:ascii="宋体" w:hAnsi="宋体" w:eastAsia="宋体" w:cs="宋体"/>
                <w:b/>
                <w:bCs/>
                <w:kern w:val="0"/>
                <w:sz w:val="21"/>
                <w:szCs w:val="21"/>
                <w:highlight w:val="none"/>
                <w:lang w:val="en-US" w:eastAsia="zh-CN" w:bidi="ar"/>
              </w:rPr>
              <w:t>踏勘要求</w:t>
            </w:r>
            <w:r>
              <w:rPr>
                <w:rFonts w:hint="eastAsia" w:ascii="宋体" w:hAnsi="宋体" w:eastAsia="宋体" w:cs="宋体"/>
                <w:b/>
                <w:bCs/>
                <w:kern w:val="0"/>
                <w:sz w:val="21"/>
                <w:szCs w:val="21"/>
                <w:highlight w:val="none"/>
                <w:lang w:val="en-US" w:eastAsia="zh-CN" w:bidi="ar"/>
              </w:rPr>
              <w:t>：</w:t>
            </w:r>
            <w:r>
              <w:rPr>
                <w:rFonts w:hint="eastAsia" w:ascii="宋体" w:hAnsi="宋体" w:eastAsia="宋体" w:cs="宋体"/>
                <w:kern w:val="0"/>
                <w:sz w:val="21"/>
                <w:szCs w:val="21"/>
                <w:highlight w:val="none"/>
                <w:lang w:val="en-US" w:eastAsia="zh-CN" w:bidi="ar"/>
              </w:rPr>
              <w:t>投标人必须在投标截止时间前进行实地踏勘，全面、专业地核实与评估所有可能影响设备进场、安装、运行和维护的现场条件，包括但不限于：①设备运输通道与安装作业空间；②结构荷载、供电容量与配电、接地情况；③现有空调与消防设施对设备布局的影响；④</w:t>
            </w:r>
            <w:r>
              <w:rPr>
                <w:rStyle w:val="53"/>
                <w:rFonts w:hint="eastAsia" w:ascii="宋体" w:hAnsi="宋体" w:eastAsia="宋体" w:cs="宋体"/>
                <w:kern w:val="0"/>
                <w:sz w:val="21"/>
                <w:szCs w:val="21"/>
                <w:highlight w:val="none"/>
                <w:lang w:val="en-US" w:eastAsia="zh-CN" w:bidi="ar"/>
              </w:rPr>
              <w:t>其他为满足招标文件所列技术规格和设计方案所必需的现场物理与技术参数。</w:t>
            </w:r>
          </w:p>
          <w:p w14:paraId="4C5D8EAC">
            <w:pPr>
              <w:keepNext w:val="0"/>
              <w:keepLines w:val="0"/>
              <w:pageBreakBefore w:val="0"/>
              <w:widowControl/>
              <w:suppressLineNumbers w:val="0"/>
              <w:wordWrap/>
              <w:overflowPunct/>
              <w:topLinePunct w:val="0"/>
              <w:bidi w:val="0"/>
              <w:spacing w:line="400" w:lineRule="exact"/>
              <w:jc w:val="left"/>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eastAsia="宋体" w:cs="宋体"/>
                <w:b/>
                <w:bCs/>
                <w:sz w:val="21"/>
                <w:szCs w:val="21"/>
                <w:highlight w:val="none"/>
                <w:lang w:val="en-US" w:eastAsia="zh-CN"/>
              </w:rPr>
              <w:t>责任</w:t>
            </w:r>
            <w:r>
              <w:rPr>
                <w:rStyle w:val="53"/>
                <w:rFonts w:hint="eastAsia" w:ascii="宋体" w:hAnsi="宋体" w:eastAsia="宋体" w:cs="宋体"/>
                <w:b/>
                <w:bCs/>
                <w:kern w:val="0"/>
                <w:sz w:val="21"/>
                <w:szCs w:val="21"/>
                <w:highlight w:val="none"/>
                <w:lang w:val="en-US" w:eastAsia="zh-CN" w:bidi="ar"/>
              </w:rPr>
              <w:t>风险承担</w:t>
            </w:r>
            <w:r>
              <w:rPr>
                <w:rFonts w:hint="eastAsia" w:ascii="宋体" w:hAnsi="宋体" w:eastAsia="宋体" w:cs="宋体"/>
                <w:kern w:val="0"/>
                <w:sz w:val="21"/>
                <w:szCs w:val="21"/>
                <w:highlight w:val="none"/>
                <w:lang w:val="en-US" w:eastAsia="zh-CN" w:bidi="ar"/>
              </w:rPr>
              <w:t>：投标人应对其现场踏勘的充分性、准确性及其方案与现场条件的匹配性负完全责任。</w:t>
            </w:r>
            <w:r>
              <w:rPr>
                <w:rStyle w:val="53"/>
                <w:rFonts w:hint="eastAsia" w:ascii="宋体" w:hAnsi="宋体" w:eastAsia="宋体" w:cs="宋体"/>
                <w:kern w:val="0"/>
                <w:sz w:val="21"/>
                <w:szCs w:val="21"/>
                <w:highlight w:val="none"/>
                <w:lang w:val="en-US" w:eastAsia="zh-CN" w:bidi="ar"/>
              </w:rPr>
              <w:t>因投标人踏勘疏漏、评估不足或判断错误</w:t>
            </w:r>
            <w:r>
              <w:rPr>
                <w:rFonts w:hint="eastAsia" w:ascii="宋体" w:hAnsi="宋体" w:eastAsia="宋体" w:cs="宋体"/>
                <w:kern w:val="0"/>
                <w:sz w:val="21"/>
                <w:szCs w:val="21"/>
                <w:highlight w:val="none"/>
                <w:lang w:val="en-US" w:eastAsia="zh-CN" w:bidi="ar"/>
              </w:rPr>
              <w:t>，导致其设计方案或所提供设备与现场条件不匹配，从而产生设备无法安装运行、需要额外改造、成本超支、工期延误、性能不达标、或造成现场设施损坏等一切后果，均由投标人独立承担所有责任与费用。</w:t>
            </w:r>
            <w:r>
              <w:rPr>
                <w:rStyle w:val="53"/>
                <w:rFonts w:hint="eastAsia" w:ascii="宋体" w:hAnsi="宋体" w:eastAsia="宋体" w:cs="宋体"/>
                <w:kern w:val="0"/>
                <w:sz w:val="21"/>
                <w:szCs w:val="21"/>
                <w:highlight w:val="none"/>
                <w:lang w:val="en-US" w:eastAsia="zh-CN" w:bidi="ar"/>
              </w:rPr>
              <w:t>若因此导致项目最终无法通过验收，视为投标人未履行合同主要义务，应承担相应的违约赔偿责任。</w:t>
            </w:r>
          </w:p>
        </w:tc>
      </w:tr>
      <w:tr w14:paraId="6181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vAlign w:val="center"/>
          </w:tcPr>
          <w:p w14:paraId="41FB919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.4</w:t>
            </w:r>
          </w:p>
        </w:tc>
        <w:tc>
          <w:tcPr>
            <w:tcW w:w="1602" w:type="dxa"/>
            <w:vAlign w:val="center"/>
          </w:tcPr>
          <w:p w14:paraId="6B0D9E87">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1"/>
                <w:szCs w:val="21"/>
              </w:rPr>
            </w:pPr>
            <w:r>
              <w:rPr>
                <w:rFonts w:hint="eastAsia" w:ascii="宋体" w:hAnsi="宋体" w:cs="宋体"/>
                <w:sz w:val="21"/>
                <w:szCs w:val="21"/>
              </w:rPr>
              <w:t>投标保证金</w:t>
            </w:r>
          </w:p>
        </w:tc>
        <w:tc>
          <w:tcPr>
            <w:tcW w:w="6237" w:type="dxa"/>
            <w:vAlign w:val="center"/>
          </w:tcPr>
          <w:p w14:paraId="04879C3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bookmarkStart w:id="75" w:name="OLE_LINK42"/>
            <w:r>
              <w:rPr>
                <w:rFonts w:hint="eastAsia" w:ascii="宋体" w:hAnsi="宋体" w:cs="宋体"/>
                <w:sz w:val="21"/>
                <w:szCs w:val="21"/>
              </w:rPr>
              <w:t>无。</w:t>
            </w:r>
            <w:bookmarkEnd w:id="75"/>
          </w:p>
        </w:tc>
      </w:tr>
      <w:tr w14:paraId="4E64F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vAlign w:val="center"/>
          </w:tcPr>
          <w:p w14:paraId="32F0F3A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.5</w:t>
            </w:r>
          </w:p>
        </w:tc>
        <w:tc>
          <w:tcPr>
            <w:tcW w:w="1602" w:type="dxa"/>
            <w:vAlign w:val="center"/>
          </w:tcPr>
          <w:p w14:paraId="60C09C3E">
            <w:pPr>
              <w:keepNext w:val="0"/>
              <w:keepLines w:val="0"/>
              <w:pageBreakBefore w:val="0"/>
              <w:widowControl w:val="0"/>
              <w:kinsoku/>
              <w:wordWrap/>
              <w:overflowPunct/>
              <w:topLinePunct w:val="0"/>
              <w:autoSpaceDE/>
              <w:autoSpaceDN/>
              <w:bidi w:val="0"/>
              <w:spacing w:line="400" w:lineRule="exact"/>
              <w:jc w:val="left"/>
              <w:textAlignment w:val="auto"/>
              <w:rPr>
                <w:rFonts w:hint="eastAsia" w:hAnsi="宋体" w:cs="宋体"/>
                <w:sz w:val="21"/>
                <w:szCs w:val="21"/>
                <w:highlight w:val="none"/>
              </w:rPr>
            </w:pPr>
            <w:r>
              <w:rPr>
                <w:rFonts w:hint="eastAsia" w:hAnsi="宋体" w:cs="宋体"/>
                <w:sz w:val="21"/>
                <w:szCs w:val="21"/>
                <w:highlight w:val="none"/>
              </w:rPr>
              <w:t>履约保证金</w:t>
            </w:r>
          </w:p>
        </w:tc>
        <w:tc>
          <w:tcPr>
            <w:tcW w:w="6237" w:type="dxa"/>
            <w:vAlign w:val="center"/>
          </w:tcPr>
          <w:p w14:paraId="5836EE6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highlight w:val="none"/>
              </w:rPr>
            </w:pPr>
            <w:r>
              <w:rPr>
                <w:rFonts w:hint="eastAsia" w:ascii="宋体" w:hAnsi="宋体" w:cs="宋体"/>
                <w:sz w:val="21"/>
                <w:szCs w:val="21"/>
                <w:highlight w:val="none"/>
              </w:rPr>
              <w:t>无。</w:t>
            </w:r>
          </w:p>
        </w:tc>
      </w:tr>
      <w:tr w14:paraId="6D83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vAlign w:val="center"/>
          </w:tcPr>
          <w:p w14:paraId="1361AD0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.6</w:t>
            </w:r>
          </w:p>
        </w:tc>
        <w:tc>
          <w:tcPr>
            <w:tcW w:w="1602" w:type="dxa"/>
            <w:vAlign w:val="center"/>
          </w:tcPr>
          <w:p w14:paraId="253896B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 xml:space="preserve">★投标文件有效期 </w:t>
            </w:r>
          </w:p>
        </w:tc>
        <w:tc>
          <w:tcPr>
            <w:tcW w:w="6237" w:type="dxa"/>
            <w:vAlign w:val="center"/>
          </w:tcPr>
          <w:p w14:paraId="06FB309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自投标文件提交截止之日起算90日历天。</w:t>
            </w:r>
          </w:p>
        </w:tc>
      </w:tr>
      <w:tr w14:paraId="5A20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vAlign w:val="center"/>
          </w:tcPr>
          <w:p w14:paraId="7A4AEF4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hint="eastAsia" w:ascii="宋体" w:hAnsi="宋体" w:cs="宋体"/>
                <w:sz w:val="21"/>
                <w:szCs w:val="21"/>
              </w:rPr>
              <w:t>1.7</w:t>
            </w:r>
          </w:p>
        </w:tc>
        <w:tc>
          <w:tcPr>
            <w:tcW w:w="1602" w:type="dxa"/>
            <w:vAlign w:val="center"/>
          </w:tcPr>
          <w:p w14:paraId="27C9D65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进口产品</w:t>
            </w:r>
          </w:p>
        </w:tc>
        <w:tc>
          <w:tcPr>
            <w:tcW w:w="6237" w:type="dxa"/>
            <w:vAlign w:val="center"/>
          </w:tcPr>
          <w:p w14:paraId="0530FBA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ascii="Segoe UI Symbol" w:hAnsi="Segoe UI Symbol" w:cs="Segoe UI Symbol"/>
                <w:sz w:val="21"/>
                <w:szCs w:val="21"/>
              </w:rPr>
              <w:t>☑</w:t>
            </w:r>
            <w:r>
              <w:rPr>
                <w:rFonts w:hint="eastAsia" w:ascii="宋体" w:hAnsi="宋体" w:cs="宋体"/>
                <w:sz w:val="21"/>
                <w:szCs w:val="21"/>
              </w:rPr>
              <w:t>不接受。</w:t>
            </w:r>
          </w:p>
          <w:p w14:paraId="43334861">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□接受，详见第三章《采购需求》。</w:t>
            </w:r>
          </w:p>
          <w:p w14:paraId="216C7DB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进口产品是指通过中国海关报关验放进入中国境内且产自境外的产品。</w:t>
            </w:r>
          </w:p>
        </w:tc>
      </w:tr>
      <w:tr w14:paraId="4978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vAlign w:val="center"/>
          </w:tcPr>
          <w:p w14:paraId="31B1E30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ascii="宋体" w:hAnsi="宋体" w:cs="宋体"/>
                <w:sz w:val="21"/>
                <w:szCs w:val="21"/>
              </w:rPr>
              <w:t>2</w:t>
            </w:r>
          </w:p>
        </w:tc>
        <w:tc>
          <w:tcPr>
            <w:tcW w:w="1602" w:type="dxa"/>
            <w:vAlign w:val="center"/>
          </w:tcPr>
          <w:p w14:paraId="105FCEE7">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1"/>
                <w:szCs w:val="21"/>
                <w:highlight w:val="none"/>
              </w:rPr>
            </w:pPr>
            <w:r>
              <w:rPr>
                <w:rFonts w:hint="eastAsia" w:ascii="宋体" w:hAnsi="宋体" w:cs="宋体"/>
                <w:sz w:val="21"/>
                <w:szCs w:val="21"/>
                <w:highlight w:val="none"/>
              </w:rPr>
              <w:t>资金来源</w:t>
            </w:r>
          </w:p>
        </w:tc>
        <w:tc>
          <w:tcPr>
            <w:tcW w:w="6237" w:type="dxa"/>
            <w:vAlign w:val="center"/>
          </w:tcPr>
          <w:p w14:paraId="4691265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highlight w:val="none"/>
              </w:rPr>
            </w:pPr>
            <w:r>
              <w:rPr>
                <w:rFonts w:hint="eastAsia" w:ascii="宋体" w:hAnsi="宋体" w:cs="宋体"/>
                <w:sz w:val="21"/>
                <w:szCs w:val="21"/>
                <w:highlight w:val="none"/>
              </w:rPr>
              <w:t>公共财政预算。</w:t>
            </w:r>
          </w:p>
        </w:tc>
      </w:tr>
      <w:tr w14:paraId="6897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vAlign w:val="center"/>
          </w:tcPr>
          <w:p w14:paraId="3D6341B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sz w:val="21"/>
                <w:szCs w:val="21"/>
              </w:rPr>
            </w:pPr>
            <w:r>
              <w:rPr>
                <w:rFonts w:ascii="宋体" w:hAnsi="宋体" w:cs="宋体"/>
                <w:sz w:val="21"/>
                <w:szCs w:val="21"/>
              </w:rPr>
              <w:t>3.1</w:t>
            </w:r>
          </w:p>
        </w:tc>
        <w:tc>
          <w:tcPr>
            <w:tcW w:w="1602" w:type="dxa"/>
            <w:vAlign w:val="center"/>
          </w:tcPr>
          <w:p w14:paraId="23DC85BC">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cs="宋体"/>
                <w:sz w:val="21"/>
                <w:szCs w:val="21"/>
              </w:rPr>
            </w:pPr>
            <w:r>
              <w:rPr>
                <w:rFonts w:hint="eastAsia" w:ascii="宋体" w:hAnsi="宋体" w:cs="宋体"/>
                <w:sz w:val="21"/>
                <w:szCs w:val="21"/>
              </w:rPr>
              <w:t>投标相关费用</w:t>
            </w:r>
          </w:p>
        </w:tc>
        <w:tc>
          <w:tcPr>
            <w:tcW w:w="6237" w:type="dxa"/>
            <w:vAlign w:val="center"/>
          </w:tcPr>
          <w:p w14:paraId="40B9F0D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lang w:val="en-US"/>
              </w:rPr>
            </w:pPr>
            <w:r>
              <w:rPr>
                <w:sz w:val="21"/>
                <w:szCs w:val="21"/>
                <w:lang w:val="en-US"/>
              </w:rPr>
              <w:drawing>
                <wp:anchor distT="0" distB="0" distL="0" distR="0" simplePos="0" relativeHeight="251659264" behindDoc="1" locked="0" layoutInCell="1" allowOverlap="1">
                  <wp:simplePos x="0" y="0"/>
                  <wp:positionH relativeFrom="column">
                    <wp:posOffset>78740</wp:posOffset>
                  </wp:positionH>
                  <wp:positionV relativeFrom="paragraph">
                    <wp:posOffset>800100</wp:posOffset>
                  </wp:positionV>
                  <wp:extent cx="3696970" cy="1821180"/>
                  <wp:effectExtent l="0" t="0" r="0" b="7620"/>
                  <wp:wrapTight wrapText="bothSides">
                    <wp:wrapPolygon>
                      <wp:start x="0" y="0"/>
                      <wp:lineTo x="0" y="21464"/>
                      <wp:lineTo x="21481" y="21464"/>
                      <wp:lineTo x="21481" y="0"/>
                      <wp:lineTo x="0" y="0"/>
                    </wp:wrapPolygon>
                  </wp:wrapTight>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696970" cy="1821180"/>
                          </a:xfrm>
                          <a:prstGeom prst="rect">
                            <a:avLst/>
                          </a:prstGeom>
                          <a:noFill/>
                          <a:ln>
                            <a:noFill/>
                          </a:ln>
                        </pic:spPr>
                      </pic:pic>
                    </a:graphicData>
                  </a:graphic>
                </wp:anchor>
              </w:drawing>
            </w:r>
            <w:r>
              <w:rPr>
                <w:rFonts w:hint="eastAsia" w:ascii="宋体" w:hAnsi="宋体" w:cs="宋体"/>
                <w:sz w:val="21"/>
                <w:szCs w:val="21"/>
              </w:rPr>
              <w:t>1.采购代理服务费：由采购代理机构向中标人收取，以本项目中标价为计费基数，按差额定率累进法根据下表“货物招标”计算标准计算后下浮20%计取，计算后不足4000.00元的按4000.00元收取。</w:t>
            </w:r>
          </w:p>
          <w:p w14:paraId="38586EF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2.公证费：无。</w:t>
            </w:r>
          </w:p>
          <w:p w14:paraId="33A51EC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3.招标文件费：</w:t>
            </w:r>
            <w:bookmarkStart w:id="76" w:name="OLE_LINK63"/>
            <w:r>
              <w:rPr>
                <w:rFonts w:hint="eastAsia" w:ascii="宋体" w:hAnsi="宋体" w:cs="宋体"/>
                <w:sz w:val="21"/>
                <w:szCs w:val="21"/>
              </w:rPr>
              <w:t>无</w:t>
            </w:r>
            <w:bookmarkEnd w:id="76"/>
            <w:r>
              <w:rPr>
                <w:rFonts w:hint="eastAsia" w:ascii="宋体" w:hAnsi="宋体" w:cs="宋体"/>
                <w:sz w:val="21"/>
                <w:szCs w:val="21"/>
              </w:rPr>
              <w:t>。</w:t>
            </w:r>
          </w:p>
          <w:p w14:paraId="609A31C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4.采购代理机构对公账户：</w:t>
            </w:r>
          </w:p>
          <w:p w14:paraId="16745A5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名 称：云南元赛咨询管理有限公司；</w:t>
            </w:r>
          </w:p>
          <w:p w14:paraId="08BA742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开户银行：中国建设银行曲靖翠峰支行；</w:t>
            </w:r>
          </w:p>
          <w:p w14:paraId="7407C181">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sz w:val="21"/>
                <w:szCs w:val="21"/>
              </w:rPr>
            </w:pPr>
            <w:r>
              <w:rPr>
                <w:rFonts w:hint="eastAsia" w:ascii="宋体" w:hAnsi="宋体" w:cs="宋体"/>
                <w:sz w:val="21"/>
                <w:szCs w:val="21"/>
              </w:rPr>
              <w:t>银行账户：53050164613600000105。</w:t>
            </w:r>
          </w:p>
        </w:tc>
      </w:tr>
      <w:tr w14:paraId="2701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vAlign w:val="center"/>
          </w:tcPr>
          <w:p w14:paraId="132E1CE0">
            <w:pPr>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ascii="宋体" w:hAnsi="宋体" w:cs="宋体"/>
                <w:sz w:val="21"/>
                <w:szCs w:val="21"/>
              </w:rPr>
            </w:pPr>
            <w:r>
              <w:rPr>
                <w:rFonts w:hint="eastAsia" w:ascii="宋体" w:hAnsi="宋体" w:cs="宋体"/>
                <w:sz w:val="21"/>
                <w:szCs w:val="21"/>
              </w:rPr>
              <w:t>3</w:t>
            </w:r>
            <w:r>
              <w:rPr>
                <w:rFonts w:ascii="宋体" w:hAnsi="宋体" w:cs="宋体"/>
                <w:sz w:val="21"/>
                <w:szCs w:val="21"/>
              </w:rPr>
              <w:t>.2</w:t>
            </w:r>
          </w:p>
        </w:tc>
        <w:tc>
          <w:tcPr>
            <w:tcW w:w="1602" w:type="dxa"/>
            <w:vAlign w:val="center"/>
          </w:tcPr>
          <w:p w14:paraId="6B1686CD">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投标文件退还</w:t>
            </w:r>
          </w:p>
        </w:tc>
        <w:tc>
          <w:tcPr>
            <w:tcW w:w="6237" w:type="dxa"/>
            <w:vAlign w:val="center"/>
          </w:tcPr>
          <w:p w14:paraId="5A3E66F9">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hAnsi="宋体" w:cs="宋体"/>
                <w:sz w:val="21"/>
                <w:szCs w:val="21"/>
              </w:rPr>
              <w:t>无论投标结果如何，投标人的投标文件均不予退还。</w:t>
            </w:r>
          </w:p>
        </w:tc>
      </w:tr>
      <w:tr w14:paraId="1B5A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vAlign w:val="center"/>
          </w:tcPr>
          <w:p w14:paraId="77D06B23">
            <w:pPr>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ascii="宋体" w:hAnsi="宋体" w:cs="宋体"/>
                <w:sz w:val="21"/>
                <w:szCs w:val="21"/>
              </w:rPr>
            </w:pPr>
            <w:r>
              <w:rPr>
                <w:rFonts w:ascii="宋体" w:hAnsi="宋体" w:cs="宋体"/>
                <w:sz w:val="21"/>
                <w:szCs w:val="21"/>
              </w:rPr>
              <w:t>5</w:t>
            </w:r>
            <w:r>
              <w:rPr>
                <w:rFonts w:hint="eastAsia" w:ascii="宋体" w:hAnsi="宋体" w:cs="宋体"/>
                <w:sz w:val="21"/>
                <w:szCs w:val="21"/>
              </w:rPr>
              <w:t>.1</w:t>
            </w:r>
          </w:p>
        </w:tc>
        <w:tc>
          <w:tcPr>
            <w:tcW w:w="1602" w:type="dxa"/>
            <w:vAlign w:val="center"/>
          </w:tcPr>
          <w:p w14:paraId="11AB0FAF">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招标文件澄清和修改截止时间</w:t>
            </w:r>
          </w:p>
        </w:tc>
        <w:tc>
          <w:tcPr>
            <w:tcW w:w="6237" w:type="dxa"/>
            <w:vAlign w:val="center"/>
          </w:tcPr>
          <w:p w14:paraId="6A856AB0">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投标截止时间至少15日前。</w:t>
            </w:r>
          </w:p>
        </w:tc>
      </w:tr>
      <w:tr w14:paraId="2BEE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vAlign w:val="center"/>
          </w:tcPr>
          <w:p w14:paraId="06384C8F">
            <w:pPr>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ascii="宋体" w:hAnsi="宋体" w:cs="宋体"/>
                <w:sz w:val="21"/>
                <w:szCs w:val="21"/>
              </w:rPr>
            </w:pPr>
            <w:r>
              <w:rPr>
                <w:rFonts w:ascii="宋体" w:hAnsi="宋体" w:cs="宋体"/>
                <w:sz w:val="21"/>
                <w:szCs w:val="21"/>
              </w:rPr>
              <w:t>8</w:t>
            </w:r>
          </w:p>
        </w:tc>
        <w:tc>
          <w:tcPr>
            <w:tcW w:w="1602" w:type="dxa"/>
            <w:vAlign w:val="center"/>
          </w:tcPr>
          <w:p w14:paraId="38DDC0A6">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投标文件构成的其他资料</w:t>
            </w:r>
          </w:p>
        </w:tc>
        <w:tc>
          <w:tcPr>
            <w:tcW w:w="6237" w:type="dxa"/>
            <w:vAlign w:val="center"/>
          </w:tcPr>
          <w:p w14:paraId="2E346AB6">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招标文件中所涉及到的相关资料及证明文件或投标人认为必须提供的其他相关资料。</w:t>
            </w:r>
          </w:p>
        </w:tc>
      </w:tr>
      <w:tr w14:paraId="55861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vAlign w:val="center"/>
          </w:tcPr>
          <w:p w14:paraId="79278F72">
            <w:pPr>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ascii="宋体" w:hAnsi="宋体" w:cs="宋体"/>
                <w:sz w:val="21"/>
                <w:szCs w:val="21"/>
              </w:rPr>
            </w:pPr>
            <w:r>
              <w:rPr>
                <w:rFonts w:ascii="宋体" w:hAnsi="宋体" w:cs="宋体"/>
                <w:sz w:val="21"/>
                <w:szCs w:val="21"/>
              </w:rPr>
              <w:t>12</w:t>
            </w:r>
          </w:p>
        </w:tc>
        <w:tc>
          <w:tcPr>
            <w:tcW w:w="1602" w:type="dxa"/>
            <w:vAlign w:val="center"/>
          </w:tcPr>
          <w:p w14:paraId="7DB6FC8D">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投标文件份数</w:t>
            </w:r>
          </w:p>
        </w:tc>
        <w:tc>
          <w:tcPr>
            <w:tcW w:w="6237" w:type="dxa"/>
            <w:vAlign w:val="center"/>
          </w:tcPr>
          <w:p w14:paraId="70039C0A">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投标人无需提供纸质投标文件。</w:t>
            </w:r>
          </w:p>
        </w:tc>
      </w:tr>
      <w:tr w14:paraId="3E761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vAlign w:val="center"/>
          </w:tcPr>
          <w:p w14:paraId="154719C5">
            <w:pPr>
              <w:pStyle w:val="26"/>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hAnsi="宋体" w:cs="宋体"/>
                <w:kern w:val="0"/>
                <w:sz w:val="21"/>
                <w:szCs w:val="21"/>
              </w:rPr>
            </w:pPr>
            <w:r>
              <w:rPr>
                <w:rFonts w:hint="eastAsia" w:hAnsi="宋体" w:cs="宋体"/>
                <w:kern w:val="0"/>
                <w:sz w:val="21"/>
                <w:szCs w:val="21"/>
              </w:rPr>
              <w:t>1</w:t>
            </w:r>
            <w:r>
              <w:rPr>
                <w:rFonts w:hAnsi="宋体" w:cs="宋体"/>
                <w:kern w:val="0"/>
                <w:sz w:val="21"/>
                <w:szCs w:val="21"/>
              </w:rPr>
              <w:t>3</w:t>
            </w:r>
          </w:p>
        </w:tc>
        <w:tc>
          <w:tcPr>
            <w:tcW w:w="1602" w:type="dxa"/>
            <w:vAlign w:val="center"/>
          </w:tcPr>
          <w:p w14:paraId="63B46172">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cs="宋体" w:asciiTheme="minorEastAsia" w:hAnsiTheme="minorEastAsia" w:eastAsiaTheme="minorEastAsia"/>
                <w:sz w:val="21"/>
                <w:szCs w:val="21"/>
              </w:rPr>
              <w:t>电子投标文件的加密</w:t>
            </w:r>
          </w:p>
        </w:tc>
        <w:tc>
          <w:tcPr>
            <w:tcW w:w="6237" w:type="dxa"/>
            <w:vAlign w:val="center"/>
          </w:tcPr>
          <w:p w14:paraId="1A0B4C2D">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Theme="minorEastAsia" w:hAnsiTheme="minorEastAsia" w:eastAsiaTheme="minorEastAsia"/>
                <w:sz w:val="21"/>
                <w:szCs w:val="21"/>
              </w:rPr>
              <w:t>需要对网上递交的投标文件进行加密。如果投标人使用某个数字证书(CA)对投标文件进行了数字证书(CA)加密，需要在开标时使用该数字证书(CA)进行解密，才能读取或导入投标文件</w:t>
            </w:r>
            <w:bookmarkStart w:id="77" w:name="OLE_LINK16"/>
            <w:r>
              <w:rPr>
                <w:rFonts w:hint="eastAsia" w:asciiTheme="minorEastAsia" w:hAnsiTheme="minorEastAsia" w:eastAsiaTheme="minorEastAsia"/>
                <w:color w:val="000000" w:themeColor="text1"/>
                <w:sz w:val="21"/>
                <w:szCs w:val="21"/>
                <w14:textFill>
                  <w14:solidFill>
                    <w14:schemeClr w14:val="tx1"/>
                  </w14:solidFill>
                </w14:textFill>
              </w:rPr>
              <w:t>，因投标人原因造成投标文件未解密的，</w:t>
            </w:r>
            <w:bookmarkStart w:id="78" w:name="OLE_LINK56"/>
            <w:r>
              <w:rPr>
                <w:rFonts w:hint="eastAsia" w:asciiTheme="minorEastAsia" w:hAnsiTheme="minorEastAsia" w:eastAsiaTheme="minorEastAsia"/>
                <w:color w:val="000000" w:themeColor="text1"/>
                <w:sz w:val="21"/>
                <w:szCs w:val="21"/>
                <w14:textFill>
                  <w14:solidFill>
                    <w14:schemeClr w14:val="tx1"/>
                  </w14:solidFill>
                </w14:textFill>
              </w:rPr>
              <w:t>视为撤回其投标文件，投标文件无效。</w:t>
            </w:r>
            <w:bookmarkEnd w:id="77"/>
            <w:bookmarkEnd w:id="78"/>
          </w:p>
        </w:tc>
      </w:tr>
      <w:tr w14:paraId="3D8CF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45" w:type="dxa"/>
            <w:vMerge w:val="restart"/>
            <w:vAlign w:val="center"/>
          </w:tcPr>
          <w:p w14:paraId="52F17E55">
            <w:pPr>
              <w:pStyle w:val="26"/>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hAnsi="宋体" w:cs="宋体"/>
                <w:kern w:val="0"/>
                <w:sz w:val="21"/>
                <w:szCs w:val="21"/>
              </w:rPr>
            </w:pPr>
            <w:r>
              <w:rPr>
                <w:rFonts w:hint="eastAsia" w:hAnsi="宋体" w:cs="宋体"/>
                <w:kern w:val="0"/>
                <w:sz w:val="21"/>
                <w:szCs w:val="21"/>
              </w:rPr>
              <w:t>1</w:t>
            </w:r>
            <w:r>
              <w:rPr>
                <w:rFonts w:hAnsi="宋体" w:cs="宋体"/>
                <w:kern w:val="0"/>
                <w:sz w:val="21"/>
                <w:szCs w:val="21"/>
              </w:rPr>
              <w:t>4</w:t>
            </w:r>
          </w:p>
        </w:tc>
        <w:tc>
          <w:tcPr>
            <w:tcW w:w="1602" w:type="dxa"/>
            <w:vAlign w:val="center"/>
          </w:tcPr>
          <w:p w14:paraId="15885740">
            <w:pPr>
              <w:keepNext w:val="0"/>
              <w:keepLines w:val="0"/>
              <w:pageBreakBefore w:val="0"/>
              <w:widowControl w:val="0"/>
              <w:kinsoku/>
              <w:wordWrap/>
              <w:overflowPunct/>
              <w:topLinePunct w:val="0"/>
              <w:autoSpaceDE/>
              <w:autoSpaceDN/>
              <w:bidi w:val="0"/>
              <w:snapToGrid/>
              <w:spacing w:line="390" w:lineRule="exact"/>
              <w:ind w:firstLine="27" w:firstLineChars="13"/>
              <w:textAlignment w:val="auto"/>
              <w:rPr>
                <w:rFonts w:hint="eastAsia" w:ascii="宋体" w:hAnsi="宋体" w:cs="宋体"/>
                <w:sz w:val="21"/>
                <w:szCs w:val="21"/>
              </w:rPr>
            </w:pPr>
            <w:r>
              <w:rPr>
                <w:rFonts w:hint="eastAsia" w:ascii="宋体" w:hAnsi="宋体" w:cs="宋体"/>
                <w:sz w:val="21"/>
                <w:szCs w:val="21"/>
              </w:rPr>
              <w:t>投标截止时间</w:t>
            </w:r>
          </w:p>
        </w:tc>
        <w:tc>
          <w:tcPr>
            <w:tcW w:w="6237" w:type="dxa"/>
            <w:vAlign w:val="center"/>
          </w:tcPr>
          <w:p w14:paraId="2A87F9F5">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北京时间：2026年</w:t>
            </w:r>
            <w:r>
              <w:rPr>
                <w:rFonts w:hint="eastAsia" w:ascii="宋体" w:hAnsi="宋体" w:cs="宋体"/>
                <w:sz w:val="21"/>
                <w:szCs w:val="21"/>
                <w:lang w:val="en-US" w:eastAsia="zh-CN"/>
              </w:rPr>
              <w:t>4</w:t>
            </w:r>
            <w:r>
              <w:rPr>
                <w:rFonts w:hint="eastAsia" w:ascii="宋体" w:hAnsi="宋体" w:cs="宋体"/>
                <w:sz w:val="21"/>
                <w:szCs w:val="21"/>
              </w:rPr>
              <w:t>月</w:t>
            </w:r>
            <w:r>
              <w:rPr>
                <w:rFonts w:hint="eastAsia" w:ascii="宋体" w:hAnsi="宋体" w:cs="宋体"/>
                <w:sz w:val="21"/>
                <w:szCs w:val="21"/>
                <w:lang w:val="en-US" w:eastAsia="zh-CN"/>
              </w:rPr>
              <w:t>30</w:t>
            </w:r>
            <w:r>
              <w:rPr>
                <w:rFonts w:hint="eastAsia" w:ascii="宋体" w:hAnsi="宋体" w:cs="宋体"/>
                <w:sz w:val="21"/>
                <w:szCs w:val="21"/>
              </w:rPr>
              <w:t>日09时00分。</w:t>
            </w:r>
          </w:p>
        </w:tc>
      </w:tr>
      <w:tr w14:paraId="1F44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45" w:type="dxa"/>
            <w:vMerge w:val="continue"/>
            <w:vAlign w:val="center"/>
          </w:tcPr>
          <w:p w14:paraId="652BEC64">
            <w:pPr>
              <w:pStyle w:val="26"/>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hAnsi="宋体" w:cs="宋体"/>
                <w:kern w:val="0"/>
                <w:sz w:val="21"/>
                <w:szCs w:val="21"/>
              </w:rPr>
            </w:pPr>
          </w:p>
        </w:tc>
        <w:tc>
          <w:tcPr>
            <w:tcW w:w="1602" w:type="dxa"/>
            <w:vAlign w:val="center"/>
          </w:tcPr>
          <w:p w14:paraId="61189EFA">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递交投标文件地点</w:t>
            </w:r>
          </w:p>
        </w:tc>
        <w:tc>
          <w:tcPr>
            <w:tcW w:w="6237" w:type="dxa"/>
            <w:vAlign w:val="center"/>
          </w:tcPr>
          <w:p w14:paraId="0897D72F">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通过云南省政府采购电子交易平台（https://www.zcygov.cn/）在线提交投标文件。</w:t>
            </w:r>
          </w:p>
          <w:p w14:paraId="4426CAF0">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注：投标人须在投标文件递交截止时间前完成投标文件的电子签章、加密及上传，投标文件递交截止时间前未完成投标文件上传的，视为撤回投标文件。</w:t>
            </w:r>
          </w:p>
        </w:tc>
      </w:tr>
      <w:tr w14:paraId="05D37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945" w:type="dxa"/>
            <w:vMerge w:val="continue"/>
            <w:vAlign w:val="center"/>
          </w:tcPr>
          <w:p w14:paraId="1882CCE7">
            <w:pPr>
              <w:pStyle w:val="26"/>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hAnsi="宋体" w:cs="宋体"/>
                <w:kern w:val="0"/>
                <w:sz w:val="21"/>
                <w:szCs w:val="21"/>
              </w:rPr>
            </w:pPr>
          </w:p>
        </w:tc>
        <w:tc>
          <w:tcPr>
            <w:tcW w:w="1602" w:type="dxa"/>
            <w:vAlign w:val="center"/>
          </w:tcPr>
          <w:p w14:paraId="6CFB8BD0">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开标时间及地点</w:t>
            </w:r>
          </w:p>
        </w:tc>
        <w:tc>
          <w:tcPr>
            <w:tcW w:w="6237" w:type="dxa"/>
            <w:vAlign w:val="center"/>
          </w:tcPr>
          <w:p w14:paraId="092F98DC">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北京时间：2026年</w:t>
            </w:r>
            <w:r>
              <w:rPr>
                <w:rFonts w:hint="eastAsia" w:ascii="宋体" w:hAnsi="宋体" w:cs="宋体"/>
                <w:sz w:val="21"/>
                <w:szCs w:val="21"/>
                <w:lang w:val="en-US" w:eastAsia="zh-CN"/>
              </w:rPr>
              <w:t>4</w:t>
            </w:r>
            <w:r>
              <w:rPr>
                <w:rFonts w:hint="eastAsia" w:ascii="宋体" w:hAnsi="宋体" w:cs="宋体"/>
                <w:sz w:val="21"/>
                <w:szCs w:val="21"/>
              </w:rPr>
              <w:t>月</w:t>
            </w:r>
            <w:r>
              <w:rPr>
                <w:rFonts w:hint="eastAsia" w:ascii="宋体" w:hAnsi="宋体" w:cs="宋体"/>
                <w:sz w:val="21"/>
                <w:szCs w:val="21"/>
                <w:lang w:val="en-US" w:eastAsia="zh-CN"/>
              </w:rPr>
              <w:t>30</w:t>
            </w:r>
            <w:r>
              <w:rPr>
                <w:rFonts w:hint="eastAsia" w:ascii="宋体" w:hAnsi="宋体" w:cs="宋体"/>
                <w:sz w:val="21"/>
                <w:szCs w:val="21"/>
              </w:rPr>
              <w:t>日09时00分；</w:t>
            </w:r>
          </w:p>
          <w:p w14:paraId="0207F1CA">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rPr>
            </w:pPr>
            <w:r>
              <w:rPr>
                <w:rFonts w:hint="eastAsia" w:ascii="宋体" w:hAnsi="宋体" w:cs="宋体"/>
                <w:sz w:val="21"/>
                <w:szCs w:val="21"/>
              </w:rPr>
              <w:t>地 点：</w:t>
            </w:r>
            <w:bookmarkStart w:id="79" w:name="OLE_LINK37"/>
            <w:r>
              <w:rPr>
                <w:rFonts w:hint="eastAsia" w:ascii="宋体" w:hAnsi="宋体" w:cs="宋体"/>
                <w:sz w:val="21"/>
                <w:szCs w:val="21"/>
              </w:rPr>
              <w:t>曲靖开发区金湘源2-11开标室</w:t>
            </w:r>
            <w:bookmarkEnd w:id="79"/>
            <w:r>
              <w:rPr>
                <w:rFonts w:hint="eastAsia" w:ascii="宋体" w:hAnsi="宋体" w:cs="宋体"/>
                <w:sz w:val="21"/>
                <w:szCs w:val="21"/>
              </w:rPr>
              <w:t>。</w:t>
            </w:r>
          </w:p>
        </w:tc>
      </w:tr>
      <w:tr w14:paraId="7C571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5" w:type="dxa"/>
            <w:vAlign w:val="center"/>
          </w:tcPr>
          <w:p w14:paraId="1CD1D0F9">
            <w:pPr>
              <w:pStyle w:val="26"/>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hAnsi="宋体" w:cs="宋体"/>
                <w:kern w:val="0"/>
                <w:sz w:val="21"/>
                <w:szCs w:val="21"/>
              </w:rPr>
            </w:pPr>
            <w:r>
              <w:rPr>
                <w:rFonts w:hAnsi="宋体" w:cs="宋体"/>
                <w:kern w:val="0"/>
                <w:sz w:val="21"/>
                <w:szCs w:val="21"/>
              </w:rPr>
              <w:t>2</w:t>
            </w:r>
            <w:r>
              <w:rPr>
                <w:rFonts w:hint="eastAsia" w:hAnsi="宋体" w:cs="宋体"/>
                <w:kern w:val="0"/>
                <w:sz w:val="21"/>
                <w:szCs w:val="21"/>
              </w:rPr>
              <w:t>2</w:t>
            </w:r>
          </w:p>
        </w:tc>
        <w:tc>
          <w:tcPr>
            <w:tcW w:w="1602" w:type="dxa"/>
            <w:vAlign w:val="center"/>
          </w:tcPr>
          <w:p w14:paraId="384A9A85">
            <w:pPr>
              <w:keepNext w:val="0"/>
              <w:keepLines w:val="0"/>
              <w:pageBreakBefore w:val="0"/>
              <w:widowControl w:val="0"/>
              <w:kinsoku/>
              <w:wordWrap/>
              <w:overflowPunct/>
              <w:topLinePunct w:val="0"/>
              <w:autoSpaceDE/>
              <w:autoSpaceDN/>
              <w:bidi w:val="0"/>
              <w:snapToGrid/>
              <w:spacing w:line="390" w:lineRule="exact"/>
              <w:ind w:firstLine="27" w:firstLineChars="13"/>
              <w:textAlignment w:val="auto"/>
              <w:rPr>
                <w:rFonts w:hint="eastAsia" w:ascii="宋体" w:hAnsi="宋体" w:cs="宋体"/>
                <w:sz w:val="21"/>
                <w:szCs w:val="21"/>
              </w:rPr>
            </w:pPr>
            <w:r>
              <w:rPr>
                <w:rFonts w:hint="eastAsia" w:ascii="宋体" w:hAnsi="宋体" w:cs="宋体"/>
                <w:sz w:val="21"/>
                <w:szCs w:val="21"/>
              </w:rPr>
              <w:t>评标办法</w:t>
            </w:r>
          </w:p>
        </w:tc>
        <w:tc>
          <w:tcPr>
            <w:tcW w:w="6237" w:type="dxa"/>
            <w:vAlign w:val="center"/>
          </w:tcPr>
          <w:p w14:paraId="2116A225">
            <w:pPr>
              <w:keepNext w:val="0"/>
              <w:keepLines w:val="0"/>
              <w:pageBreakBefore w:val="0"/>
              <w:widowControl w:val="0"/>
              <w:kinsoku/>
              <w:wordWrap/>
              <w:overflowPunct/>
              <w:topLinePunct w:val="0"/>
              <w:autoSpaceDE/>
              <w:autoSpaceDN/>
              <w:bidi w:val="0"/>
              <w:snapToGrid/>
              <w:spacing w:line="390" w:lineRule="exact"/>
              <w:ind w:firstLine="29" w:firstLineChars="14"/>
              <w:textAlignment w:val="auto"/>
              <w:rPr>
                <w:rFonts w:hint="eastAsia" w:ascii="宋体" w:hAnsi="宋体" w:cs="宋体"/>
                <w:sz w:val="21"/>
                <w:szCs w:val="21"/>
              </w:rPr>
            </w:pPr>
            <w:r>
              <w:rPr>
                <w:rFonts w:hint="eastAsia" w:ascii="宋体" w:hAnsi="宋体" w:cs="宋体"/>
                <w:sz w:val="21"/>
                <w:szCs w:val="21"/>
              </w:rPr>
              <w:t>综合评分法。</w:t>
            </w:r>
          </w:p>
        </w:tc>
      </w:tr>
      <w:tr w14:paraId="27EFF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945" w:type="dxa"/>
            <w:vAlign w:val="center"/>
          </w:tcPr>
          <w:p w14:paraId="34CE1C42">
            <w:pPr>
              <w:pStyle w:val="26"/>
              <w:keepNext w:val="0"/>
              <w:keepLines w:val="0"/>
              <w:pageBreakBefore w:val="0"/>
              <w:widowControl w:val="0"/>
              <w:kinsoku/>
              <w:wordWrap/>
              <w:overflowPunct/>
              <w:topLinePunct w:val="0"/>
              <w:autoSpaceDE/>
              <w:autoSpaceDN/>
              <w:bidi w:val="0"/>
              <w:snapToGrid/>
              <w:spacing w:line="390" w:lineRule="exact"/>
              <w:jc w:val="center"/>
              <w:textAlignment w:val="auto"/>
              <w:rPr>
                <w:rFonts w:hint="eastAsia" w:hAnsi="宋体" w:cs="宋体"/>
                <w:kern w:val="0"/>
                <w:sz w:val="21"/>
                <w:szCs w:val="21"/>
              </w:rPr>
            </w:pPr>
            <w:r>
              <w:rPr>
                <w:rFonts w:hAnsi="宋体" w:cs="宋体"/>
                <w:kern w:val="0"/>
                <w:sz w:val="21"/>
                <w:szCs w:val="21"/>
              </w:rPr>
              <w:t>2</w:t>
            </w:r>
            <w:r>
              <w:rPr>
                <w:rFonts w:hint="eastAsia" w:hAnsi="宋体" w:cs="宋体"/>
                <w:kern w:val="0"/>
                <w:sz w:val="21"/>
                <w:szCs w:val="21"/>
              </w:rPr>
              <w:t>6</w:t>
            </w:r>
          </w:p>
        </w:tc>
        <w:tc>
          <w:tcPr>
            <w:tcW w:w="1602" w:type="dxa"/>
            <w:vAlign w:val="center"/>
          </w:tcPr>
          <w:p w14:paraId="621EEA6A">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highlight w:val="none"/>
              </w:rPr>
            </w:pPr>
            <w:r>
              <w:rPr>
                <w:rFonts w:hint="eastAsia" w:ascii="宋体" w:hAnsi="宋体" w:cs="宋体"/>
                <w:sz w:val="21"/>
                <w:szCs w:val="21"/>
                <w:highlight w:val="none"/>
              </w:rPr>
              <w:t>需要补充的其他内容</w:t>
            </w:r>
          </w:p>
        </w:tc>
        <w:tc>
          <w:tcPr>
            <w:tcW w:w="6237" w:type="dxa"/>
            <w:vAlign w:val="center"/>
          </w:tcPr>
          <w:p w14:paraId="5713C790">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highlight w:val="none"/>
              </w:rPr>
            </w:pPr>
            <w:r>
              <w:rPr>
                <w:rFonts w:hint="eastAsia" w:ascii="宋体" w:hAnsi="宋体" w:cs="宋体"/>
                <w:sz w:val="21"/>
                <w:szCs w:val="21"/>
                <w:highlight w:val="none"/>
              </w:rPr>
              <w:t>1.本项目实行网上远程解密，采购代理机构宣布开启电子投标文件后，投标人登陆“云南省政府采购电子交易平台”开标大厅，使用投标人编制投标文件时的加密数字证书对投标文件进行解密，解密时长40分钟，投标文件未按时解密的，视为投标文件无效。</w:t>
            </w:r>
          </w:p>
          <w:p w14:paraId="2CDBBE19">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b/>
                <w:bCs/>
                <w:sz w:val="21"/>
                <w:szCs w:val="21"/>
                <w:highlight w:val="none"/>
              </w:rPr>
            </w:pPr>
            <w:r>
              <w:rPr>
                <w:rFonts w:hint="eastAsia" w:ascii="宋体" w:hAnsi="宋体" w:cs="宋体"/>
                <w:b/>
                <w:bCs/>
                <w:sz w:val="21"/>
                <w:szCs w:val="21"/>
                <w:highlight w:val="none"/>
              </w:rPr>
              <w:t>★2.投标人在关联标书环节时须将整本投标文件(含封面)关联至“商务技术文件”部分，并签字盖章。</w:t>
            </w:r>
          </w:p>
          <w:p w14:paraId="0518964F">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b/>
                <w:bCs/>
                <w:color w:val="auto"/>
                <w:sz w:val="21"/>
                <w:szCs w:val="21"/>
                <w:highlight w:val="none"/>
              </w:rPr>
            </w:pPr>
            <w:r>
              <w:rPr>
                <w:rFonts w:hint="eastAsia" w:ascii="宋体" w:hAnsi="宋体" w:cs="宋体"/>
                <w:b/>
                <w:bCs/>
                <w:sz w:val="21"/>
                <w:szCs w:val="21"/>
                <w:highlight w:val="none"/>
              </w:rPr>
              <w:t>3.演示要求及其他要求：</w:t>
            </w:r>
            <w:r>
              <w:rPr>
                <w:rFonts w:hint="eastAsia" w:ascii="宋体" w:hAnsi="宋体" w:cs="宋体"/>
                <w:sz w:val="21"/>
                <w:szCs w:val="21"/>
                <w:highlight w:val="none"/>
              </w:rPr>
              <w:t>按照投标人抽取到的顺序号逐一邀请投标人参加现场演示，演示结束后按要求解答评标委员会的提问。演示所需的设备（除投影仪外）由投标人自行携带，如在规定时</w:t>
            </w:r>
            <w:r>
              <w:rPr>
                <w:rFonts w:hint="eastAsia" w:ascii="宋体" w:hAnsi="宋体" w:cs="宋体"/>
                <w:color w:val="auto"/>
                <w:sz w:val="21"/>
                <w:szCs w:val="21"/>
                <w:highlight w:val="none"/>
              </w:rPr>
              <w:t>间内因自带设备原因未能演示的，后果由投标人自行承担。投标人应指派1-2名人员参加演示，现场演示每家控制在</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分钟以内。</w:t>
            </w:r>
          </w:p>
          <w:p w14:paraId="1B4B0448">
            <w:pPr>
              <w:keepNext w:val="0"/>
              <w:keepLines w:val="0"/>
              <w:pageBreakBefore w:val="0"/>
              <w:widowControl w:val="0"/>
              <w:kinsoku/>
              <w:wordWrap/>
              <w:overflowPunct/>
              <w:topLinePunct w:val="0"/>
              <w:autoSpaceDE/>
              <w:autoSpaceDN/>
              <w:bidi w:val="0"/>
              <w:snapToGrid/>
              <w:spacing w:line="390" w:lineRule="exact"/>
              <w:textAlignment w:val="auto"/>
              <w:rPr>
                <w:rFonts w:hint="eastAsia" w:ascii="宋体" w:hAnsi="宋体" w:cs="宋体"/>
                <w:sz w:val="21"/>
                <w:szCs w:val="21"/>
                <w:highlight w:val="none"/>
              </w:rPr>
            </w:pPr>
            <w:r>
              <w:rPr>
                <w:rFonts w:hint="eastAsia" w:ascii="宋体" w:hAnsi="宋体" w:cs="宋体"/>
                <w:sz w:val="21"/>
                <w:szCs w:val="21"/>
                <w:highlight w:val="none"/>
              </w:rPr>
              <w:t>★4.投标人应当遵循公平竞争的原则，不得恶意串通，不得妨碍其他投标人的竞争行为，不得损害采购人或者其他投标人的合法权益。</w:t>
            </w:r>
          </w:p>
          <w:p w14:paraId="32B9DD63">
            <w:pPr>
              <w:keepNext w:val="0"/>
              <w:keepLines w:val="0"/>
              <w:pageBreakBefore w:val="0"/>
              <w:widowControl w:val="0"/>
              <w:numPr>
                <w:ilvl w:val="0"/>
                <w:numId w:val="0"/>
              </w:numPr>
              <w:kinsoku/>
              <w:wordWrap/>
              <w:overflowPunct/>
              <w:topLinePunct w:val="0"/>
              <w:autoSpaceDE/>
              <w:autoSpaceDN/>
              <w:bidi w:val="0"/>
              <w:snapToGrid/>
              <w:spacing w:line="390" w:lineRule="exact"/>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合同签订前，中标人须提交投标产品检测报告原件供核查,且该原件内容应与投标文件中所附的投标产品检测报告复印件或扫描件完全一致。</w:t>
            </w:r>
          </w:p>
          <w:p w14:paraId="7275A296">
            <w:pPr>
              <w:keepLines w:val="0"/>
              <w:pageBreakBefore w:val="0"/>
              <w:widowControl w:val="0"/>
              <w:kinsoku/>
              <w:wordWrap/>
              <w:overflowPunct/>
              <w:topLinePunct w:val="0"/>
              <w:autoSpaceDE/>
              <w:autoSpaceDN/>
              <w:bidi w:val="0"/>
              <w:snapToGrid/>
              <w:spacing w:line="390" w:lineRule="exact"/>
              <w:rPr>
                <w:rFonts w:hint="eastAsia" w:ascii="宋体" w:hAnsi="宋体" w:eastAsia="宋体" w:cs="宋体"/>
                <w:b/>
                <w:bCs/>
                <w:color w:val="auto"/>
                <w:sz w:val="21"/>
                <w:szCs w:val="21"/>
                <w:highlight w:val="none"/>
              </w:rPr>
            </w:pPr>
            <w:r>
              <w:rPr>
                <w:rFonts w:hint="eastAsia" w:ascii="宋体" w:hAnsi="宋体" w:cs="宋体"/>
                <w:sz w:val="21"/>
                <w:szCs w:val="21"/>
                <w:highlight w:val="none"/>
              </w:rPr>
              <w:t>★</w:t>
            </w:r>
            <w:r>
              <w:rPr>
                <w:rFonts w:hint="eastAsia" w:ascii="宋体" w:hAnsi="宋体" w:cs="宋体"/>
                <w:b/>
                <w:bCs/>
                <w:sz w:val="21"/>
                <w:szCs w:val="21"/>
                <w:highlight w:val="none"/>
                <w:lang w:val="en-US" w:eastAsia="zh-CN"/>
              </w:rPr>
              <w:t>6</w:t>
            </w:r>
            <w:r>
              <w:rPr>
                <w:rFonts w:hint="eastAsia" w:ascii="宋体" w:hAnsi="宋体" w:cs="宋体"/>
                <w:b/>
                <w:bCs/>
                <w:sz w:val="21"/>
                <w:szCs w:val="21"/>
                <w:highlight w:val="none"/>
              </w:rPr>
              <w:t>.</w:t>
            </w:r>
            <w:r>
              <w:rPr>
                <w:b/>
                <w:bCs/>
                <w:sz w:val="21"/>
                <w:szCs w:val="21"/>
                <w:highlight w:val="none"/>
              </w:rPr>
              <w:t>中</w:t>
            </w:r>
            <w:bookmarkStart w:id="803" w:name="_GoBack"/>
            <w:bookmarkEnd w:id="803"/>
            <w:r>
              <w:rPr>
                <w:b/>
                <w:bCs/>
                <w:sz w:val="21"/>
                <w:szCs w:val="21"/>
                <w:highlight w:val="none"/>
              </w:rPr>
              <w:t>标人须在签订合同前提交原厂授权及售后承诺函，逾期未提交视为自动放弃中标，采购人有权顺延下一候选人或重新采购</w:t>
            </w:r>
            <w:r>
              <w:rPr>
                <w:rFonts w:hint="eastAsia" w:ascii="宋体" w:hAnsi="宋体" w:cs="宋体"/>
                <w:b/>
                <w:bCs/>
                <w:sz w:val="21"/>
                <w:szCs w:val="21"/>
                <w:highlight w:val="none"/>
              </w:rPr>
              <w:t>。</w:t>
            </w:r>
          </w:p>
        </w:tc>
      </w:tr>
    </w:tbl>
    <w:p w14:paraId="3D0CAEE4">
      <w:pPr>
        <w:pStyle w:val="3"/>
        <w:keepLines w:val="0"/>
        <w:pageBreakBefore w:val="0"/>
        <w:widowControl w:val="0"/>
        <w:tabs>
          <w:tab w:val="clear" w:pos="3999"/>
        </w:tabs>
        <w:kinsoku/>
        <w:wordWrap/>
        <w:overflowPunct/>
        <w:topLinePunct w:val="0"/>
        <w:autoSpaceDE/>
        <w:autoSpaceDN/>
        <w:bidi w:val="0"/>
        <w:snapToGrid/>
        <w:spacing w:afterLines="0" w:line="390" w:lineRule="exact"/>
        <w:rPr>
          <w:rFonts w:hint="eastAsia" w:ascii="黑体" w:hAnsi="黑体" w:eastAsia="黑体" w:cs="宋体"/>
          <w:sz w:val="28"/>
          <w:szCs w:val="28"/>
        </w:rPr>
      </w:pPr>
      <w:bookmarkStart w:id="80" w:name="_Toc438160888"/>
      <w:bookmarkStart w:id="81" w:name="_Toc16016"/>
      <w:bookmarkStart w:id="82" w:name="_Toc232509426"/>
      <w:r>
        <w:rPr>
          <w:rFonts w:hint="eastAsia" w:cs="宋体" w:asciiTheme="minorEastAsia" w:hAnsiTheme="minorEastAsia" w:eastAsiaTheme="minorEastAsia"/>
          <w:kern w:val="44"/>
          <w:sz w:val="28"/>
          <w:szCs w:val="28"/>
        </w:rPr>
        <w:br w:type="page"/>
      </w:r>
      <w:bookmarkEnd w:id="80"/>
      <w:bookmarkEnd w:id="81"/>
      <w:bookmarkEnd w:id="82"/>
      <w:bookmarkStart w:id="83" w:name="_Toc97580290"/>
      <w:bookmarkStart w:id="84" w:name="_Toc146736302"/>
      <w:bookmarkStart w:id="85" w:name="_Toc192748536"/>
      <w:bookmarkStart w:id="86" w:name="_Toc216365872"/>
      <w:bookmarkStart w:id="87" w:name="_Toc203147217"/>
      <w:bookmarkStart w:id="88" w:name="_Toc193792865"/>
      <w:bookmarkStart w:id="89" w:name="_Toc215313854"/>
      <w:bookmarkStart w:id="90" w:name="_Toc31469"/>
      <w:bookmarkStart w:id="91" w:name="_Toc380507195"/>
      <w:bookmarkStart w:id="92" w:name="_Toc27514"/>
      <w:bookmarkStart w:id="93" w:name="_Hlk512763226"/>
      <w:r>
        <w:rPr>
          <w:rFonts w:hint="eastAsia" w:ascii="黑体" w:hAnsi="黑体" w:eastAsia="黑体" w:cs="宋体"/>
          <w:sz w:val="28"/>
          <w:szCs w:val="28"/>
        </w:rPr>
        <w:t>二、</w:t>
      </w:r>
      <w:bookmarkEnd w:id="83"/>
      <w:bookmarkEnd w:id="84"/>
      <w:r>
        <w:rPr>
          <w:rFonts w:hint="eastAsia" w:ascii="黑体" w:hAnsi="黑体" w:eastAsia="黑体" w:cs="宋体"/>
          <w:sz w:val="28"/>
          <w:szCs w:val="28"/>
        </w:rPr>
        <w:t>总则</w:t>
      </w:r>
      <w:bookmarkEnd w:id="85"/>
      <w:bookmarkEnd w:id="86"/>
      <w:bookmarkEnd w:id="87"/>
      <w:bookmarkEnd w:id="88"/>
      <w:bookmarkEnd w:id="89"/>
    </w:p>
    <w:p w14:paraId="2A9E41F0">
      <w:pPr>
        <w:pStyle w:val="44"/>
        <w:widowControl w:val="0"/>
        <w:spacing w:before="0" w:beforeAutospacing="0" w:after="0" w:afterAutospacing="0" w:line="360" w:lineRule="auto"/>
        <w:ind w:firstLine="482" w:firstLineChars="200"/>
        <w:jc w:val="both"/>
        <w:rPr>
          <w:rFonts w:hint="eastAsia" w:ascii="黑体" w:hAnsi="黑体" w:eastAsia="黑体" w:cs="宋体"/>
          <w:b/>
        </w:rPr>
      </w:pPr>
      <w:r>
        <w:rPr>
          <w:rFonts w:hint="eastAsia" w:ascii="黑体" w:hAnsi="黑体" w:eastAsia="黑体" w:cs="宋体"/>
          <w:b/>
        </w:rPr>
        <w:t>1.项目属性</w:t>
      </w:r>
    </w:p>
    <w:p w14:paraId="14545740">
      <w:pPr>
        <w:pStyle w:val="44"/>
        <w:widowControl w:val="0"/>
        <w:spacing w:before="0" w:beforeAutospacing="0" w:after="0" w:afterAutospacing="0" w:line="360" w:lineRule="auto"/>
        <w:ind w:firstLine="480" w:firstLineChars="200"/>
        <w:jc w:val="both"/>
        <w:rPr>
          <w:rFonts w:hint="eastAsia" w:cs="宋体"/>
        </w:rPr>
      </w:pPr>
      <w:r>
        <w:rPr>
          <w:rFonts w:hint="eastAsia" w:cs="宋体"/>
        </w:rPr>
        <w:t>1.1项目属性：见“投标人须知前附表”。</w:t>
      </w:r>
    </w:p>
    <w:p w14:paraId="02A3FB89">
      <w:pPr>
        <w:pStyle w:val="44"/>
        <w:widowControl w:val="0"/>
        <w:spacing w:before="0" w:beforeAutospacing="0" w:after="0" w:afterAutospacing="0" w:line="360" w:lineRule="auto"/>
        <w:ind w:firstLine="480" w:firstLineChars="200"/>
        <w:jc w:val="both"/>
        <w:rPr>
          <w:rFonts w:hint="eastAsia" w:cs="宋体"/>
        </w:rPr>
      </w:pPr>
      <w:r>
        <w:rPr>
          <w:rFonts w:hint="eastAsia" w:cs="宋体"/>
        </w:rPr>
        <w:t>1.2标的所属行业：见“投标人须知前附表”。</w:t>
      </w:r>
    </w:p>
    <w:p w14:paraId="67F55C9B">
      <w:pPr>
        <w:pStyle w:val="44"/>
        <w:widowControl w:val="0"/>
        <w:spacing w:before="0" w:beforeAutospacing="0" w:after="0" w:afterAutospacing="0" w:line="360" w:lineRule="auto"/>
        <w:ind w:firstLine="480" w:firstLineChars="200"/>
        <w:jc w:val="both"/>
        <w:rPr>
          <w:rFonts w:hint="eastAsia" w:cs="宋体"/>
        </w:rPr>
      </w:pPr>
      <w:r>
        <w:rPr>
          <w:rFonts w:hint="eastAsia" w:cs="宋体"/>
        </w:rPr>
        <w:t>1.3</w:t>
      </w:r>
      <w:r>
        <w:rPr>
          <w:rFonts w:hint="eastAsia" w:cs="宋体"/>
          <w:bCs/>
        </w:rPr>
        <w:t>现场</w:t>
      </w:r>
      <w:r>
        <w:rPr>
          <w:rFonts w:hint="eastAsia" w:cs="宋体"/>
          <w:bCs/>
          <w:lang w:val="en-US" w:eastAsia="zh-CN"/>
        </w:rPr>
        <w:t>踏勘</w:t>
      </w:r>
      <w:r>
        <w:rPr>
          <w:rFonts w:hint="eastAsia" w:cs="宋体"/>
          <w:bCs/>
        </w:rPr>
        <w:t>：</w:t>
      </w:r>
      <w:r>
        <w:rPr>
          <w:rFonts w:hint="eastAsia" w:cs="宋体"/>
        </w:rPr>
        <w:t>见“投标人须知前附表”。</w:t>
      </w:r>
    </w:p>
    <w:p w14:paraId="4AEE9C19">
      <w:pPr>
        <w:pStyle w:val="44"/>
        <w:widowControl w:val="0"/>
        <w:spacing w:before="0" w:beforeAutospacing="0" w:after="0" w:afterAutospacing="0" w:line="360" w:lineRule="auto"/>
        <w:ind w:firstLine="480" w:firstLineChars="200"/>
        <w:jc w:val="both"/>
        <w:rPr>
          <w:rFonts w:hint="eastAsia" w:cs="宋体"/>
        </w:rPr>
      </w:pPr>
      <w:r>
        <w:rPr>
          <w:rFonts w:hint="eastAsia" w:cs="宋体"/>
        </w:rPr>
        <w:t>1.4投标保证金：见“投标人须知前附表”。</w:t>
      </w:r>
    </w:p>
    <w:p w14:paraId="3EE74A3E">
      <w:pPr>
        <w:pStyle w:val="44"/>
        <w:widowControl w:val="0"/>
        <w:spacing w:before="0" w:beforeAutospacing="0" w:after="0" w:afterAutospacing="0" w:line="360" w:lineRule="auto"/>
        <w:ind w:firstLine="480" w:firstLineChars="200"/>
        <w:jc w:val="both"/>
        <w:rPr>
          <w:rFonts w:hint="eastAsia" w:cs="宋体"/>
        </w:rPr>
      </w:pPr>
      <w:r>
        <w:rPr>
          <w:rFonts w:hint="eastAsia" w:cs="宋体"/>
        </w:rPr>
        <w:t>1</w:t>
      </w:r>
      <w:r>
        <w:rPr>
          <w:rFonts w:cs="宋体"/>
        </w:rPr>
        <w:t>.5</w:t>
      </w:r>
      <w:r>
        <w:rPr>
          <w:rFonts w:hint="eastAsia" w:cs="宋体"/>
        </w:rPr>
        <w:t>履约保证金：见“投标人须知前附表”。</w:t>
      </w:r>
    </w:p>
    <w:p w14:paraId="4A17FA39">
      <w:pPr>
        <w:pStyle w:val="44"/>
        <w:widowControl w:val="0"/>
        <w:spacing w:before="0" w:beforeAutospacing="0" w:after="0" w:afterAutospacing="0" w:line="360" w:lineRule="auto"/>
        <w:ind w:firstLine="480" w:firstLineChars="200"/>
        <w:jc w:val="both"/>
        <w:rPr>
          <w:rFonts w:hint="eastAsia" w:cs="宋体"/>
        </w:rPr>
      </w:pPr>
      <w:r>
        <w:rPr>
          <w:rFonts w:hint="eastAsia" w:cs="宋体"/>
        </w:rPr>
        <w:t>1.</w:t>
      </w:r>
      <w:r>
        <w:rPr>
          <w:rFonts w:cs="宋体"/>
        </w:rPr>
        <w:t>6</w:t>
      </w:r>
      <w:r>
        <w:rPr>
          <w:rFonts w:hint="eastAsia" w:cs="宋体"/>
        </w:rPr>
        <w:t>投标文件有效期：见“投标人须知前附表”。</w:t>
      </w:r>
    </w:p>
    <w:p w14:paraId="14E74469">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rPr>
        <w:t>1.7进口产品：见“投标人须知前附表”。</w:t>
      </w:r>
    </w:p>
    <w:p w14:paraId="0738329C">
      <w:pPr>
        <w:pStyle w:val="276"/>
        <w:spacing w:line="360" w:lineRule="auto"/>
        <w:ind w:firstLine="482" w:firstLineChars="200"/>
        <w:rPr>
          <w:rFonts w:hint="eastAsia" w:ascii="黑体" w:hAnsi="黑体" w:eastAsia="黑体"/>
          <w:b/>
          <w:bCs/>
          <w:sz w:val="24"/>
          <w:szCs w:val="24"/>
        </w:rPr>
      </w:pPr>
      <w:bookmarkStart w:id="94" w:name="_Toc66969966"/>
      <w:bookmarkStart w:id="95" w:name="_Toc90128530"/>
      <w:bookmarkStart w:id="96" w:name="_Toc97580292"/>
      <w:bookmarkStart w:id="97" w:name="_Toc95222437"/>
      <w:bookmarkStart w:id="98" w:name="_Toc79526060"/>
      <w:bookmarkStart w:id="99" w:name="_Toc82077081"/>
      <w:bookmarkStart w:id="100" w:name="_Toc93839884"/>
      <w:bookmarkStart w:id="101" w:name="_Toc90575585"/>
      <w:bookmarkStart w:id="102" w:name="_Toc70496787"/>
      <w:bookmarkStart w:id="103" w:name="_Toc90128764"/>
      <w:bookmarkStart w:id="104" w:name="_Toc66692233"/>
      <w:bookmarkStart w:id="105" w:name="_Toc82077180"/>
      <w:bookmarkStart w:id="106" w:name="_Toc67040081"/>
      <w:bookmarkStart w:id="107" w:name="_Toc95047003"/>
      <w:bookmarkStart w:id="108" w:name="_Toc78447979"/>
      <w:r>
        <w:rPr>
          <w:rFonts w:hint="eastAsia" w:ascii="黑体" w:hAnsi="黑体" w:eastAsia="黑体"/>
          <w:b/>
          <w:bCs/>
          <w:sz w:val="24"/>
          <w:szCs w:val="24"/>
        </w:rPr>
        <w:t>2.资金来源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11FA4292">
      <w:pPr>
        <w:spacing w:line="360" w:lineRule="auto"/>
        <w:ind w:firstLine="480" w:firstLineChars="200"/>
        <w:rPr>
          <w:rFonts w:hint="eastAsia" w:cs="宋体" w:asciiTheme="minorEastAsia" w:hAnsiTheme="minorEastAsia" w:eastAsiaTheme="minorEastAsia"/>
          <w:kern w:val="0"/>
          <w:szCs w:val="20"/>
        </w:rPr>
      </w:pPr>
      <w:r>
        <w:rPr>
          <w:rFonts w:hint="eastAsia" w:cs="宋体" w:asciiTheme="minorEastAsia" w:hAnsiTheme="minorEastAsia" w:eastAsiaTheme="minorEastAsia"/>
          <w:szCs w:val="20"/>
        </w:rPr>
        <w:t>资金来源：见“投标人须知前附表”。</w:t>
      </w:r>
    </w:p>
    <w:p w14:paraId="48D8A1D9">
      <w:pPr>
        <w:spacing w:line="360" w:lineRule="auto"/>
        <w:ind w:left="482"/>
        <w:rPr>
          <w:rFonts w:hint="eastAsia" w:ascii="黑体" w:hAnsi="黑体" w:eastAsia="黑体" w:cs="宋体"/>
          <w:b/>
          <w:kern w:val="0"/>
        </w:rPr>
      </w:pPr>
      <w:r>
        <w:rPr>
          <w:rFonts w:hint="eastAsia" w:ascii="黑体" w:hAnsi="黑体" w:eastAsia="黑体" w:cs="宋体"/>
          <w:b/>
          <w:kern w:val="0"/>
        </w:rPr>
        <w:t>3</w:t>
      </w:r>
      <w:r>
        <w:rPr>
          <w:rFonts w:ascii="黑体" w:hAnsi="黑体" w:eastAsia="黑体" w:cs="宋体"/>
          <w:b/>
          <w:kern w:val="0"/>
        </w:rPr>
        <w:t>.</w:t>
      </w:r>
      <w:r>
        <w:rPr>
          <w:rFonts w:hint="eastAsia" w:ascii="黑体" w:hAnsi="黑体" w:eastAsia="黑体" w:cs="宋体"/>
          <w:b/>
          <w:kern w:val="0"/>
        </w:rPr>
        <w:t>投标相关费用及投标文件退还</w:t>
      </w:r>
    </w:p>
    <w:p w14:paraId="39C5CE42">
      <w:pPr>
        <w:spacing w:line="360" w:lineRule="auto"/>
        <w:ind w:firstLine="480" w:firstLineChars="200"/>
        <w:rPr>
          <w:rFonts w:hint="eastAsia" w:ascii="宋体" w:hAnsi="宋体" w:cs="宋体"/>
          <w:kern w:val="0"/>
        </w:rPr>
      </w:pPr>
      <w:r>
        <w:rPr>
          <w:rFonts w:ascii="宋体" w:hAnsi="宋体" w:cs="宋体"/>
          <w:kern w:val="0"/>
        </w:rPr>
        <w:t>3</w:t>
      </w:r>
      <w:r>
        <w:rPr>
          <w:rFonts w:hint="eastAsia" w:ascii="宋体" w:hAnsi="宋体" w:cs="宋体"/>
          <w:kern w:val="0"/>
        </w:rPr>
        <w:t>.1</w:t>
      </w:r>
      <w:r>
        <w:rPr>
          <w:rFonts w:hint="eastAsia" w:hAnsi="宋体" w:cs="宋体"/>
        </w:rPr>
        <w:t>投标相关费用</w:t>
      </w:r>
      <w:r>
        <w:rPr>
          <w:rFonts w:hint="eastAsia" w:ascii="宋体" w:hAnsi="宋体" w:cs="宋体"/>
          <w:kern w:val="0"/>
        </w:rPr>
        <w:t>：见“投标人须知前附表”。</w:t>
      </w:r>
    </w:p>
    <w:p w14:paraId="74869E4D">
      <w:pPr>
        <w:spacing w:line="360" w:lineRule="auto"/>
        <w:ind w:firstLine="480"/>
        <w:rPr>
          <w:rFonts w:hint="eastAsia" w:cs="宋体" w:asciiTheme="minorEastAsia" w:hAnsiTheme="minorEastAsia" w:eastAsiaTheme="minorEastAsia"/>
          <w:kern w:val="0"/>
        </w:rPr>
      </w:pPr>
      <w:r>
        <w:rPr>
          <w:rFonts w:hint="eastAsia" w:ascii="宋体" w:hAnsi="宋体" w:cs="宋体"/>
          <w:kern w:val="0"/>
        </w:rPr>
        <w:t>3.2</w:t>
      </w:r>
      <w:r>
        <w:rPr>
          <w:rFonts w:hint="eastAsia" w:hAnsi="宋体" w:cs="宋体"/>
        </w:rPr>
        <w:t>投标文件退还：</w:t>
      </w:r>
      <w:r>
        <w:rPr>
          <w:rFonts w:hint="eastAsia" w:ascii="宋体" w:hAnsi="宋体" w:cs="宋体"/>
          <w:kern w:val="0"/>
        </w:rPr>
        <w:t>见“投标人须知前附表”。</w:t>
      </w:r>
    </w:p>
    <w:p w14:paraId="6B73F87D">
      <w:pPr>
        <w:pStyle w:val="3"/>
        <w:tabs>
          <w:tab w:val="clear" w:pos="3999"/>
        </w:tabs>
        <w:spacing w:afterLines="0" w:line="360" w:lineRule="auto"/>
        <w:rPr>
          <w:rFonts w:hint="eastAsia" w:ascii="黑体" w:hAnsi="黑体" w:eastAsia="黑体" w:cs="宋体"/>
          <w:sz w:val="28"/>
          <w:szCs w:val="28"/>
        </w:rPr>
      </w:pPr>
      <w:bookmarkStart w:id="109" w:name="_Toc438160889"/>
      <w:bookmarkStart w:id="110" w:name="_Toc2168"/>
      <w:bookmarkStart w:id="111" w:name="_Toc232509427"/>
      <w:bookmarkStart w:id="112" w:name="_Toc192748537"/>
      <w:bookmarkStart w:id="113" w:name="_Toc146736303"/>
      <w:bookmarkStart w:id="114" w:name="_Toc216365873"/>
      <w:bookmarkStart w:id="115" w:name="_Toc215313855"/>
      <w:bookmarkStart w:id="116" w:name="_Toc97580296"/>
      <w:bookmarkStart w:id="117" w:name="_Toc203147218"/>
      <w:bookmarkStart w:id="118" w:name="_Toc193792866"/>
      <w:r>
        <w:rPr>
          <w:rFonts w:hint="eastAsia" w:ascii="黑体" w:hAnsi="黑体" w:eastAsia="黑体" w:cs="宋体"/>
          <w:sz w:val="28"/>
          <w:szCs w:val="28"/>
        </w:rPr>
        <w:t>三、</w:t>
      </w:r>
      <w:bookmarkEnd w:id="109"/>
      <w:bookmarkEnd w:id="110"/>
      <w:bookmarkEnd w:id="111"/>
      <w:r>
        <w:rPr>
          <w:rFonts w:hint="eastAsia" w:ascii="黑体" w:hAnsi="黑体" w:eastAsia="黑体" w:cs="宋体"/>
          <w:sz w:val="28"/>
          <w:szCs w:val="28"/>
        </w:rPr>
        <w:t>招标文件</w:t>
      </w:r>
      <w:bookmarkEnd w:id="112"/>
      <w:bookmarkEnd w:id="113"/>
      <w:bookmarkEnd w:id="114"/>
      <w:bookmarkEnd w:id="115"/>
      <w:bookmarkEnd w:id="116"/>
      <w:bookmarkEnd w:id="117"/>
      <w:bookmarkEnd w:id="118"/>
    </w:p>
    <w:p w14:paraId="5B10D1D0">
      <w:pPr>
        <w:pStyle w:val="276"/>
        <w:spacing w:line="360" w:lineRule="auto"/>
        <w:ind w:firstLine="482" w:firstLineChars="200"/>
        <w:rPr>
          <w:rFonts w:hint="eastAsia" w:ascii="黑体" w:hAnsi="黑体" w:eastAsia="黑体"/>
          <w:b/>
          <w:bCs/>
          <w:sz w:val="24"/>
          <w:szCs w:val="24"/>
        </w:rPr>
      </w:pPr>
      <w:bookmarkStart w:id="119" w:name="_Toc67040086"/>
      <w:bookmarkStart w:id="120" w:name="_Toc95222442"/>
      <w:bookmarkStart w:id="121" w:name="_Toc70496792"/>
      <w:bookmarkStart w:id="122" w:name="_Toc66969971"/>
      <w:bookmarkStart w:id="123" w:name="_Toc97580297"/>
      <w:bookmarkStart w:id="124" w:name="_Toc90128535"/>
      <w:bookmarkStart w:id="125" w:name="_Toc66692238"/>
      <w:bookmarkStart w:id="126" w:name="_Toc82077185"/>
      <w:bookmarkStart w:id="127" w:name="_Toc78447984"/>
      <w:bookmarkStart w:id="128" w:name="_Toc95047008"/>
      <w:bookmarkStart w:id="129" w:name="_Toc90128769"/>
      <w:bookmarkStart w:id="130" w:name="_Toc82077086"/>
      <w:bookmarkStart w:id="131" w:name="_Toc93839889"/>
      <w:bookmarkStart w:id="132" w:name="_Toc79526065"/>
      <w:bookmarkStart w:id="133" w:name="_Toc90575590"/>
      <w:r>
        <w:rPr>
          <w:rFonts w:ascii="黑体" w:hAnsi="黑体" w:eastAsia="黑体"/>
          <w:b/>
          <w:bCs/>
          <w:sz w:val="24"/>
          <w:szCs w:val="24"/>
        </w:rPr>
        <w:t>4</w:t>
      </w:r>
      <w:r>
        <w:rPr>
          <w:rFonts w:hint="eastAsia" w:ascii="黑体" w:hAnsi="黑体" w:eastAsia="黑体"/>
          <w:b/>
          <w:bCs/>
          <w:sz w:val="24"/>
          <w:szCs w:val="24"/>
        </w:rPr>
        <w:t>.招标文件构成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2F4E02E3">
      <w:pPr>
        <w:spacing w:line="360" w:lineRule="auto"/>
        <w:ind w:firstLine="480" w:firstLineChars="200"/>
        <w:rPr>
          <w:rFonts w:hint="eastAsia" w:cs="宋体" w:asciiTheme="minorEastAsia" w:hAnsiTheme="minorEastAsia" w:eastAsiaTheme="minorEastAsia"/>
          <w:kern w:val="0"/>
        </w:rPr>
      </w:pPr>
      <w:r>
        <w:rPr>
          <w:rFonts w:cs="宋体" w:asciiTheme="minorEastAsia" w:hAnsiTheme="minorEastAsia" w:eastAsiaTheme="minorEastAsia"/>
          <w:kern w:val="0"/>
        </w:rPr>
        <w:t>4</w:t>
      </w:r>
      <w:r>
        <w:rPr>
          <w:rFonts w:hint="eastAsia" w:cs="宋体" w:asciiTheme="minorEastAsia" w:hAnsiTheme="minorEastAsia" w:eastAsiaTheme="minorEastAsia"/>
          <w:kern w:val="0"/>
        </w:rPr>
        <w:t>.1招标文件共六章，各章的内容如下：</w:t>
      </w:r>
    </w:p>
    <w:p w14:paraId="5ED18EA3">
      <w:pPr>
        <w:spacing w:line="360" w:lineRule="auto"/>
        <w:ind w:firstLine="480" w:firstLineChars="200"/>
        <w:rPr>
          <w:rFonts w:hint="eastAsia" w:cs="宋体" w:asciiTheme="minorEastAsia" w:hAnsiTheme="minorEastAsia" w:eastAsiaTheme="minorEastAsia"/>
          <w:kern w:val="0"/>
        </w:rPr>
      </w:pPr>
      <w:bookmarkStart w:id="134" w:name="_Hlk215325695"/>
      <w:r>
        <w:rPr>
          <w:rFonts w:hint="eastAsia" w:cs="宋体" w:asciiTheme="minorEastAsia" w:hAnsiTheme="minorEastAsia" w:eastAsiaTheme="minorEastAsia"/>
          <w:kern w:val="0"/>
        </w:rPr>
        <w:t>第一章 招标公告；</w:t>
      </w:r>
    </w:p>
    <w:p w14:paraId="2859EAB1">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第二章 投标人须知；</w:t>
      </w:r>
    </w:p>
    <w:p w14:paraId="1C8D5C39">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第三章 </w:t>
      </w:r>
      <w:bookmarkStart w:id="135" w:name="OLE_LINK39"/>
      <w:r>
        <w:rPr>
          <w:rFonts w:cs="宋体" w:asciiTheme="minorEastAsia" w:hAnsiTheme="minorEastAsia" w:eastAsiaTheme="minorEastAsia"/>
          <w:kern w:val="0"/>
        </w:rPr>
        <w:t>采购需求</w:t>
      </w:r>
      <w:bookmarkEnd w:id="135"/>
      <w:r>
        <w:rPr>
          <w:rFonts w:hint="eastAsia" w:cs="宋体" w:asciiTheme="minorEastAsia" w:hAnsiTheme="minorEastAsia" w:eastAsiaTheme="minorEastAsia"/>
          <w:kern w:val="0"/>
        </w:rPr>
        <w:t>；</w:t>
      </w:r>
    </w:p>
    <w:p w14:paraId="7617BAF7">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第四章 资格审查；</w:t>
      </w:r>
    </w:p>
    <w:p w14:paraId="076C81C8">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第五章 </w:t>
      </w:r>
      <w:bookmarkStart w:id="136" w:name="_Hlk215326588"/>
      <w:r>
        <w:rPr>
          <w:rFonts w:hint="eastAsia" w:cs="宋体" w:asciiTheme="minorEastAsia" w:hAnsiTheme="minorEastAsia" w:eastAsiaTheme="minorEastAsia"/>
          <w:kern w:val="0"/>
        </w:rPr>
        <w:t>评标程序、评标方法和评标标准</w:t>
      </w:r>
      <w:bookmarkEnd w:id="136"/>
      <w:r>
        <w:rPr>
          <w:rFonts w:hint="eastAsia" w:cs="宋体" w:asciiTheme="minorEastAsia" w:hAnsiTheme="minorEastAsia" w:eastAsiaTheme="minorEastAsia"/>
          <w:kern w:val="0"/>
        </w:rPr>
        <w:t>；</w:t>
      </w:r>
    </w:p>
    <w:p w14:paraId="68BB866F">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第六章 合同文本；</w:t>
      </w:r>
    </w:p>
    <w:p w14:paraId="7D2133AD">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第七章 投标文件参考格式。</w:t>
      </w:r>
      <w:bookmarkEnd w:id="134"/>
    </w:p>
    <w:p w14:paraId="7DC86E80">
      <w:pPr>
        <w:spacing w:line="360" w:lineRule="auto"/>
        <w:ind w:firstLine="480" w:firstLineChars="200"/>
        <w:rPr>
          <w:rFonts w:hint="eastAsia" w:cs="宋体" w:asciiTheme="minorEastAsia" w:hAnsiTheme="minorEastAsia" w:eastAsiaTheme="minorEastAsia"/>
        </w:rPr>
      </w:pPr>
      <w:r>
        <w:rPr>
          <w:rFonts w:hint="eastAsia" w:cs="宋体" w:asciiTheme="minorEastAsia" w:hAnsiTheme="minorEastAsia" w:eastAsiaTheme="minorEastAsia"/>
        </w:rPr>
        <w:t>4.2 采购人及采购代理机构提供的所有书面通知都是招标文件不可分割的组成部分。</w:t>
      </w:r>
    </w:p>
    <w:p w14:paraId="0D44320B">
      <w:pPr>
        <w:pStyle w:val="276"/>
        <w:spacing w:line="360" w:lineRule="auto"/>
        <w:ind w:firstLine="482" w:firstLineChars="200"/>
        <w:rPr>
          <w:rFonts w:hint="eastAsia" w:ascii="黑体" w:hAnsi="黑体" w:eastAsia="黑体"/>
          <w:b/>
          <w:bCs/>
          <w:sz w:val="24"/>
          <w:szCs w:val="24"/>
        </w:rPr>
      </w:pPr>
      <w:bookmarkStart w:id="137" w:name="_Toc93839890"/>
      <w:bookmarkStart w:id="138" w:name="_Toc90575591"/>
      <w:bookmarkStart w:id="139" w:name="_Toc78447985"/>
      <w:bookmarkStart w:id="140" w:name="_Toc70496793"/>
      <w:bookmarkStart w:id="141" w:name="_Toc95222443"/>
      <w:bookmarkStart w:id="142" w:name="_Toc66969972"/>
      <w:bookmarkStart w:id="143" w:name="_Toc90128536"/>
      <w:bookmarkStart w:id="144" w:name="_Toc79526066"/>
      <w:bookmarkStart w:id="145" w:name="_Toc95047009"/>
      <w:bookmarkStart w:id="146" w:name="_Toc90128770"/>
      <w:bookmarkStart w:id="147" w:name="_Toc66692239"/>
      <w:bookmarkStart w:id="148" w:name="_Toc67040087"/>
      <w:bookmarkStart w:id="149" w:name="_Toc82077186"/>
      <w:bookmarkStart w:id="150" w:name="_Toc97580298"/>
      <w:bookmarkStart w:id="151" w:name="_Toc82077087"/>
      <w:r>
        <w:rPr>
          <w:rFonts w:ascii="黑体" w:hAnsi="黑体" w:eastAsia="黑体"/>
          <w:b/>
          <w:bCs/>
          <w:sz w:val="24"/>
          <w:szCs w:val="24"/>
        </w:rPr>
        <w:t>5</w:t>
      </w:r>
      <w:r>
        <w:rPr>
          <w:rFonts w:hint="eastAsia" w:ascii="黑体" w:hAnsi="黑体" w:eastAsia="黑体"/>
          <w:b/>
          <w:bCs/>
          <w:sz w:val="24"/>
          <w:szCs w:val="24"/>
        </w:rPr>
        <w:t>.招标文件的澄清和修改</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0C40881F">
      <w:pPr>
        <w:suppressAutoHyphens/>
        <w:spacing w:line="360" w:lineRule="auto"/>
        <w:ind w:firstLine="480" w:firstLineChars="200"/>
        <w:rPr>
          <w:rFonts w:hint="eastAsia" w:cs="宋体" w:asciiTheme="minorEastAsia" w:hAnsiTheme="minorEastAsia" w:eastAsiaTheme="minorEastAsia"/>
          <w:kern w:val="0"/>
        </w:rPr>
      </w:pPr>
      <w:bookmarkStart w:id="152" w:name="_Toc232509428"/>
      <w:bookmarkStart w:id="153" w:name="_Toc20687"/>
      <w:bookmarkStart w:id="154" w:name="_Toc438160890"/>
      <w:r>
        <w:rPr>
          <w:rFonts w:hint="eastAsia" w:cs="宋体" w:asciiTheme="minorEastAsia" w:hAnsiTheme="minorEastAsia" w:eastAsiaTheme="minorEastAsia"/>
          <w:kern w:val="0"/>
        </w:rPr>
        <w:t>5.1采购人或者采购代理机构可以对已发出的招标文件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在原公告发布媒体上发布更正公告；不足15日的，采购人或者采购代理机构应当顺延提交投标文件的截止时间。</w:t>
      </w:r>
    </w:p>
    <w:p w14:paraId="22B2C29D">
      <w:pPr>
        <w:suppressAutoHyphens/>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5.2投标人应仔细阅读和检查招标文件的全部内容。如发现缺页或附件不全，应及时向采购人或代理机构提出，以便补齐。</w:t>
      </w:r>
    </w:p>
    <w:p w14:paraId="3EE0C119">
      <w:pPr>
        <w:pStyle w:val="3"/>
        <w:tabs>
          <w:tab w:val="clear" w:pos="3999"/>
        </w:tabs>
        <w:spacing w:afterLines="0" w:line="360" w:lineRule="auto"/>
        <w:rPr>
          <w:rFonts w:hint="eastAsia" w:ascii="黑体" w:hAnsi="黑体" w:eastAsia="黑体" w:cs="宋体"/>
          <w:sz w:val="28"/>
          <w:szCs w:val="28"/>
        </w:rPr>
      </w:pPr>
      <w:bookmarkStart w:id="155" w:name="_Toc203147219"/>
      <w:bookmarkStart w:id="156" w:name="_Toc216365874"/>
      <w:bookmarkStart w:id="157" w:name="_Toc215313856"/>
      <w:bookmarkStart w:id="158" w:name="_Toc97580299"/>
      <w:bookmarkStart w:id="159" w:name="_Toc146736304"/>
      <w:bookmarkStart w:id="160" w:name="_Toc193792867"/>
      <w:bookmarkStart w:id="161" w:name="_Toc192748538"/>
      <w:r>
        <w:rPr>
          <w:rFonts w:hint="eastAsia" w:ascii="黑体" w:hAnsi="黑体" w:eastAsia="黑体" w:cs="宋体"/>
          <w:sz w:val="28"/>
          <w:szCs w:val="28"/>
        </w:rPr>
        <w:t>四、投标文件的编制</w:t>
      </w:r>
      <w:bookmarkEnd w:id="152"/>
      <w:bookmarkEnd w:id="153"/>
      <w:bookmarkEnd w:id="154"/>
      <w:bookmarkEnd w:id="155"/>
      <w:bookmarkEnd w:id="156"/>
      <w:bookmarkEnd w:id="157"/>
      <w:bookmarkEnd w:id="158"/>
      <w:bookmarkEnd w:id="159"/>
      <w:bookmarkEnd w:id="160"/>
      <w:bookmarkEnd w:id="161"/>
    </w:p>
    <w:p w14:paraId="4F5CC189">
      <w:pPr>
        <w:pStyle w:val="276"/>
        <w:spacing w:line="360" w:lineRule="auto"/>
        <w:ind w:firstLine="482" w:firstLineChars="200"/>
        <w:rPr>
          <w:rFonts w:hint="eastAsia" w:ascii="黑体" w:hAnsi="黑体" w:eastAsia="黑体"/>
          <w:b/>
          <w:bCs/>
          <w:sz w:val="24"/>
          <w:szCs w:val="24"/>
        </w:rPr>
      </w:pPr>
      <w:bookmarkStart w:id="162" w:name="_Toc95222445"/>
      <w:bookmarkStart w:id="163" w:name="_Toc66692241"/>
      <w:bookmarkStart w:id="164" w:name="_Toc82077089"/>
      <w:bookmarkStart w:id="165" w:name="_Toc97580300"/>
      <w:bookmarkStart w:id="166" w:name="_Toc67040089"/>
      <w:bookmarkStart w:id="167" w:name="_Toc70496795"/>
      <w:bookmarkStart w:id="168" w:name="_Toc66969974"/>
      <w:bookmarkStart w:id="169" w:name="_Toc82077188"/>
      <w:bookmarkStart w:id="170" w:name="_Toc90128772"/>
      <w:bookmarkStart w:id="171" w:name="_Toc79526068"/>
      <w:bookmarkStart w:id="172" w:name="_Toc93839892"/>
      <w:bookmarkStart w:id="173" w:name="_Toc95047011"/>
      <w:bookmarkStart w:id="174" w:name="_Toc78447987"/>
      <w:bookmarkStart w:id="175" w:name="_Toc90128538"/>
      <w:bookmarkStart w:id="176" w:name="_Toc90575593"/>
      <w:r>
        <w:rPr>
          <w:rFonts w:ascii="黑体" w:hAnsi="黑体" w:eastAsia="黑体"/>
          <w:b/>
          <w:bCs/>
          <w:sz w:val="24"/>
          <w:szCs w:val="24"/>
        </w:rPr>
        <w:t>6</w:t>
      </w:r>
      <w:r>
        <w:rPr>
          <w:rFonts w:hint="eastAsia" w:ascii="黑体" w:hAnsi="黑体" w:eastAsia="黑体"/>
          <w:b/>
          <w:bCs/>
          <w:sz w:val="24"/>
          <w:szCs w:val="24"/>
        </w:rPr>
        <w:t>.投标文件编制注意事项</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34797C5D">
      <w:pPr>
        <w:spacing w:line="360" w:lineRule="auto"/>
        <w:ind w:firstLine="480" w:firstLineChars="200"/>
        <w:rPr>
          <w:rFonts w:hint="eastAsia" w:cs="宋体" w:asciiTheme="minorEastAsia" w:hAnsiTheme="minorEastAsia" w:eastAsiaTheme="minorEastAsia"/>
          <w:bCs/>
          <w:kern w:val="0"/>
        </w:rPr>
      </w:pPr>
      <w:r>
        <w:rPr>
          <w:rFonts w:hint="eastAsia" w:cs="宋体" w:asciiTheme="minorEastAsia" w:hAnsiTheme="minorEastAsia" w:eastAsiaTheme="minorEastAsia"/>
          <w:bCs/>
          <w:kern w:val="0"/>
        </w:rPr>
        <w:t>6.1投标文件应按第七章“投标文件参考格式”进行编写，如有必要，可以增加附页，作为投标文件的组成部分。</w:t>
      </w:r>
    </w:p>
    <w:p w14:paraId="33A4BC39">
      <w:pPr>
        <w:spacing w:line="360" w:lineRule="auto"/>
        <w:ind w:firstLine="480" w:firstLineChars="200"/>
        <w:rPr>
          <w:rFonts w:hint="eastAsia" w:cs="宋体" w:asciiTheme="minorEastAsia" w:hAnsiTheme="minorEastAsia" w:eastAsiaTheme="minorEastAsia"/>
          <w:bCs/>
          <w:kern w:val="0"/>
        </w:rPr>
      </w:pPr>
      <w:r>
        <w:rPr>
          <w:rFonts w:hint="eastAsia" w:cs="宋体" w:asciiTheme="minorEastAsia" w:hAnsiTheme="minorEastAsia" w:eastAsiaTheme="minorEastAsia"/>
          <w:bCs/>
          <w:kern w:val="0"/>
        </w:rPr>
        <w:t>6.2电子投标文件应使用云南省政府采购电子交易平台(https://www.zcygov.cn/)中下载的政采云电子投标客户端制作，并进行电子签章及加密后上传至政采云平台。编制要求见《电子投标文件编制要求》。</w:t>
      </w:r>
    </w:p>
    <w:p w14:paraId="51D5B8A3">
      <w:pPr>
        <w:spacing w:line="360" w:lineRule="auto"/>
        <w:ind w:firstLine="480" w:firstLineChars="200"/>
        <w:rPr>
          <w:rFonts w:hint="eastAsia" w:cs="宋体" w:asciiTheme="minorEastAsia" w:hAnsiTheme="minorEastAsia" w:eastAsiaTheme="minorEastAsia"/>
          <w:bCs/>
          <w:kern w:val="0"/>
        </w:rPr>
      </w:pPr>
      <w:r>
        <w:rPr>
          <w:rFonts w:hint="eastAsia" w:cs="宋体" w:asciiTheme="minorEastAsia" w:hAnsiTheme="minorEastAsia" w:eastAsiaTheme="minorEastAsia"/>
          <w:bCs/>
          <w:kern w:val="0"/>
        </w:rPr>
        <w:t>6.3如投标人提交的电子标书不符合要求或开标时无法读取导入或解密，其投标文件将不予受理。</w:t>
      </w:r>
    </w:p>
    <w:p w14:paraId="0F192E91">
      <w:pPr>
        <w:pStyle w:val="276"/>
        <w:spacing w:line="360" w:lineRule="auto"/>
        <w:ind w:firstLine="482" w:firstLineChars="200"/>
        <w:rPr>
          <w:rFonts w:hint="eastAsia" w:ascii="黑体" w:hAnsi="黑体" w:eastAsia="黑体"/>
          <w:b/>
          <w:bCs/>
          <w:sz w:val="24"/>
          <w:szCs w:val="24"/>
        </w:rPr>
      </w:pPr>
      <w:bookmarkStart w:id="177" w:name="_Toc95047012"/>
      <w:bookmarkStart w:id="178" w:name="_Toc66969975"/>
      <w:bookmarkStart w:id="179" w:name="_Toc95222446"/>
      <w:bookmarkStart w:id="180" w:name="_Toc67040090"/>
      <w:bookmarkStart w:id="181" w:name="_Toc90575594"/>
      <w:bookmarkStart w:id="182" w:name="_Toc78447988"/>
      <w:bookmarkStart w:id="183" w:name="_Toc66692242"/>
      <w:bookmarkStart w:id="184" w:name="_Toc97580301"/>
      <w:bookmarkStart w:id="185" w:name="_Toc82077090"/>
      <w:bookmarkStart w:id="186" w:name="_Toc82077189"/>
      <w:bookmarkStart w:id="187" w:name="_Toc70496796"/>
      <w:bookmarkStart w:id="188" w:name="_Toc90128773"/>
      <w:bookmarkStart w:id="189" w:name="_Toc90128539"/>
      <w:bookmarkStart w:id="190" w:name="_Toc93839893"/>
      <w:bookmarkStart w:id="191" w:name="_Toc79526069"/>
      <w:r>
        <w:rPr>
          <w:rFonts w:ascii="黑体" w:hAnsi="黑体" w:eastAsia="黑体"/>
          <w:b/>
          <w:bCs/>
          <w:sz w:val="24"/>
          <w:szCs w:val="24"/>
        </w:rPr>
        <w:t>7</w:t>
      </w:r>
      <w:r>
        <w:rPr>
          <w:rFonts w:hint="eastAsia" w:ascii="黑体" w:hAnsi="黑体" w:eastAsia="黑体"/>
          <w:b/>
          <w:bCs/>
          <w:sz w:val="24"/>
          <w:szCs w:val="24"/>
        </w:rPr>
        <w:t>.投标的语言及计量单位</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541C32FD">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7.1投标人的投标文件以及投标人与采购代理机构就有关投标的所有来往函电统一使用中文（特别规定除外）。</w:t>
      </w:r>
    </w:p>
    <w:p w14:paraId="58DCE43B">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7.2投标文件中使用的计量单位除招标文件中有特殊规定外，一律使用中国法定计量单位。</w:t>
      </w:r>
    </w:p>
    <w:p w14:paraId="2D2CA0D9">
      <w:pPr>
        <w:spacing w:line="360" w:lineRule="auto"/>
        <w:ind w:firstLine="420" w:firstLineChars="200"/>
        <w:rPr>
          <w:rFonts w:hint="eastAsia" w:cs="宋体" w:asciiTheme="minorEastAsia" w:hAnsiTheme="minorEastAsia" w:eastAsiaTheme="minorEastAsia"/>
          <w:kern w:val="0"/>
        </w:rPr>
      </w:pPr>
      <w:r>
        <w:rPr>
          <w:rFonts w:hint="eastAsia" w:ascii="宋体" w:hAnsi="宋体"/>
          <w:sz w:val="21"/>
          <w:szCs w:val="21"/>
        </w:rPr>
        <w:t>★</w:t>
      </w:r>
      <w:r>
        <w:rPr>
          <w:rFonts w:hint="eastAsia" w:cs="宋体" w:asciiTheme="minorEastAsia" w:hAnsiTheme="minorEastAsia" w:eastAsiaTheme="minorEastAsia"/>
          <w:kern w:val="0"/>
        </w:rPr>
        <w:t>7.3关键内容字迹潦草、表达不清、因投标人自身原因而导致非唯一理解，视为未实质性响应招标文件。</w:t>
      </w:r>
    </w:p>
    <w:p w14:paraId="24237083">
      <w:pPr>
        <w:pStyle w:val="276"/>
        <w:spacing w:line="360" w:lineRule="auto"/>
        <w:ind w:firstLine="482" w:firstLineChars="200"/>
        <w:rPr>
          <w:rFonts w:hint="eastAsia" w:ascii="黑体" w:hAnsi="黑体" w:eastAsia="黑体"/>
          <w:b/>
          <w:bCs/>
          <w:sz w:val="24"/>
          <w:szCs w:val="24"/>
        </w:rPr>
      </w:pPr>
      <w:bookmarkStart w:id="192" w:name="_Toc82077091"/>
      <w:bookmarkStart w:id="193" w:name="_Toc78447989"/>
      <w:bookmarkStart w:id="194" w:name="_Toc95047013"/>
      <w:bookmarkStart w:id="195" w:name="_Toc79526070"/>
      <w:bookmarkStart w:id="196" w:name="_Toc95222447"/>
      <w:bookmarkStart w:id="197" w:name="_Toc66692243"/>
      <w:bookmarkStart w:id="198" w:name="_Toc70496797"/>
      <w:bookmarkStart w:id="199" w:name="_Toc90128540"/>
      <w:bookmarkStart w:id="200" w:name="_Toc97580302"/>
      <w:bookmarkStart w:id="201" w:name="_Toc90575595"/>
      <w:bookmarkStart w:id="202" w:name="_Toc90128774"/>
      <w:bookmarkStart w:id="203" w:name="_Toc93839894"/>
      <w:bookmarkStart w:id="204" w:name="_Toc66969976"/>
      <w:bookmarkStart w:id="205" w:name="_Toc82077190"/>
      <w:bookmarkStart w:id="206" w:name="_Toc67040091"/>
      <w:r>
        <w:rPr>
          <w:rFonts w:ascii="黑体" w:hAnsi="黑体" w:eastAsia="黑体"/>
          <w:b/>
          <w:bCs/>
          <w:sz w:val="24"/>
          <w:szCs w:val="24"/>
        </w:rPr>
        <w:t>8</w:t>
      </w:r>
      <w:r>
        <w:rPr>
          <w:rFonts w:hint="eastAsia" w:ascii="黑体" w:hAnsi="黑体" w:eastAsia="黑体"/>
          <w:b/>
          <w:bCs/>
          <w:sz w:val="24"/>
          <w:szCs w:val="24"/>
        </w:rPr>
        <w:t>.投标文件构成</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7EA01698">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8.1按照“投标人须知前附表规定”投标人编写的投标文件应由下列部分构成：</w:t>
      </w:r>
    </w:p>
    <w:p w14:paraId="5E8FD095">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（1）资格审查及符合性审查部分；</w:t>
      </w:r>
    </w:p>
    <w:p w14:paraId="4E41DEA3">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（2）商务部分；</w:t>
      </w:r>
    </w:p>
    <w:p w14:paraId="5006EC61">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（3）技术部分；</w:t>
      </w:r>
    </w:p>
    <w:p w14:paraId="34A724EC">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（4）其他部分。</w:t>
      </w:r>
    </w:p>
    <w:p w14:paraId="0B4049DB">
      <w:pPr>
        <w:spacing w:line="360" w:lineRule="auto"/>
        <w:ind w:firstLine="480" w:firstLineChars="200"/>
        <w:rPr>
          <w:rFonts w:hint="eastAsia" w:cs="宋体" w:asciiTheme="minorEastAsia" w:hAnsiTheme="minorEastAsia" w:eastAsiaTheme="minorEastAsia"/>
          <w:b/>
        </w:rPr>
      </w:pPr>
      <w:r>
        <w:rPr>
          <w:rFonts w:hint="eastAsia" w:cs="宋体" w:asciiTheme="minorEastAsia" w:hAnsiTheme="minorEastAsia" w:eastAsiaTheme="minorEastAsia"/>
          <w:kern w:val="0"/>
        </w:rPr>
        <w:t>8.2投标人应认真阅读招标文件的全部内容，按照招标文件要求提交投标文件并保证所提供的全部资料的真实性，并对招标文件</w:t>
      </w:r>
      <w:bookmarkStart w:id="207" w:name="OLE_LINK12"/>
      <w:r>
        <w:rPr>
          <w:rFonts w:hint="eastAsia" w:cs="宋体" w:asciiTheme="minorEastAsia" w:hAnsiTheme="minorEastAsia" w:eastAsiaTheme="minorEastAsia"/>
          <w:kern w:val="0"/>
        </w:rPr>
        <w:t>作出</w:t>
      </w:r>
      <w:bookmarkEnd w:id="207"/>
      <w:r>
        <w:rPr>
          <w:rFonts w:hint="eastAsia" w:cs="宋体" w:asciiTheme="minorEastAsia" w:hAnsiTheme="minorEastAsia" w:eastAsiaTheme="minorEastAsia"/>
          <w:kern w:val="0"/>
        </w:rPr>
        <w:t>实质性响应，否则投标无效。</w:t>
      </w:r>
    </w:p>
    <w:p w14:paraId="3C5DFB0D">
      <w:pPr>
        <w:pStyle w:val="276"/>
        <w:spacing w:line="360" w:lineRule="auto"/>
        <w:ind w:firstLine="482" w:firstLineChars="200"/>
        <w:rPr>
          <w:rFonts w:hint="eastAsia" w:ascii="黑体" w:hAnsi="黑体" w:eastAsia="黑体"/>
          <w:b/>
          <w:bCs/>
          <w:sz w:val="24"/>
          <w:szCs w:val="24"/>
        </w:rPr>
      </w:pPr>
      <w:bookmarkStart w:id="208" w:name="_Toc82077191"/>
      <w:bookmarkStart w:id="209" w:name="_Toc93839895"/>
      <w:bookmarkStart w:id="210" w:name="_Toc82077092"/>
      <w:bookmarkStart w:id="211" w:name="_Toc97580303"/>
      <w:bookmarkStart w:id="212" w:name="_Toc90128541"/>
      <w:bookmarkStart w:id="213" w:name="_Toc78447990"/>
      <w:bookmarkStart w:id="214" w:name="_Toc70496798"/>
      <w:bookmarkStart w:id="215" w:name="_Toc95222448"/>
      <w:bookmarkStart w:id="216" w:name="_Toc79526071"/>
      <w:bookmarkStart w:id="217" w:name="_Toc95047014"/>
      <w:bookmarkStart w:id="218" w:name="_Toc67040092"/>
      <w:bookmarkStart w:id="219" w:name="_Toc90575596"/>
      <w:bookmarkStart w:id="220" w:name="_Toc66969977"/>
      <w:bookmarkStart w:id="221" w:name="_Toc90128775"/>
      <w:bookmarkStart w:id="222" w:name="_Toc66692244"/>
      <w:r>
        <w:rPr>
          <w:rFonts w:ascii="黑体" w:hAnsi="黑体" w:eastAsia="黑体"/>
          <w:b/>
          <w:bCs/>
          <w:sz w:val="24"/>
          <w:szCs w:val="24"/>
        </w:rPr>
        <w:t>9</w:t>
      </w:r>
      <w:r>
        <w:rPr>
          <w:rFonts w:hint="eastAsia" w:ascii="黑体" w:hAnsi="黑体" w:eastAsia="黑体"/>
          <w:b/>
          <w:bCs/>
          <w:sz w:val="24"/>
          <w:szCs w:val="24"/>
        </w:rPr>
        <w:t>.投标文件的格式要求</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7C74E6CE">
      <w:pPr>
        <w:pStyle w:val="44"/>
        <w:widowControl w:val="0"/>
        <w:tabs>
          <w:tab w:val="left" w:pos="3030"/>
        </w:tabs>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对于招标文件格式部分标记“</w:t>
      </w:r>
      <w:r>
        <w:rPr>
          <w:rFonts w:hint="eastAsia" w:cs="宋体"/>
          <w:bCs/>
        </w:rPr>
        <w:t>★</w:t>
      </w:r>
      <w:r>
        <w:rPr>
          <w:rFonts w:hint="eastAsia" w:cs="宋体" w:asciiTheme="minorEastAsia" w:hAnsiTheme="minorEastAsia" w:eastAsiaTheme="minorEastAsia"/>
          <w:szCs w:val="20"/>
        </w:rPr>
        <w:t>”的为实质性格式，投标人不得改变格式中给定的文字所表达的含义，不得删减格式中的实质性内容，不得自行添加与格式中给定的文字内容相矛盾的内容，不得对应当填写的空格不填写或不实质性响应，否则响应无效。未标记“</w:t>
      </w:r>
      <w:r>
        <w:rPr>
          <w:rFonts w:hint="eastAsia" w:cs="宋体"/>
          <w:bCs/>
        </w:rPr>
        <w:t>★</w:t>
      </w:r>
      <w:r>
        <w:rPr>
          <w:rFonts w:hint="eastAsia" w:cs="宋体" w:asciiTheme="minorEastAsia" w:hAnsiTheme="minorEastAsia" w:eastAsiaTheme="minorEastAsia"/>
          <w:szCs w:val="20"/>
        </w:rPr>
        <w:t>”的格式和招标文件未提供格式的内容，可由投标人自行编写。</w:t>
      </w:r>
    </w:p>
    <w:p w14:paraId="2BC758CF">
      <w:pPr>
        <w:pStyle w:val="276"/>
        <w:spacing w:line="360" w:lineRule="auto"/>
        <w:ind w:firstLine="482" w:firstLineChars="200"/>
        <w:rPr>
          <w:rFonts w:hint="eastAsia" w:ascii="黑体" w:hAnsi="黑体" w:eastAsia="黑体"/>
          <w:b/>
          <w:bCs/>
          <w:sz w:val="24"/>
          <w:szCs w:val="24"/>
        </w:rPr>
      </w:pPr>
      <w:bookmarkStart w:id="223" w:name="_Toc82077192"/>
      <w:bookmarkStart w:id="224" w:name="_Toc95047015"/>
      <w:bookmarkStart w:id="225" w:name="_Toc82077093"/>
      <w:bookmarkStart w:id="226" w:name="_Toc78447991"/>
      <w:bookmarkStart w:id="227" w:name="_Toc90128776"/>
      <w:bookmarkStart w:id="228" w:name="_Toc90575597"/>
      <w:bookmarkStart w:id="229" w:name="_Toc90128542"/>
      <w:bookmarkStart w:id="230" w:name="_Toc67040093"/>
      <w:bookmarkStart w:id="231" w:name="_Toc93839896"/>
      <w:bookmarkStart w:id="232" w:name="_Toc97580304"/>
      <w:bookmarkStart w:id="233" w:name="_Toc66969978"/>
      <w:bookmarkStart w:id="234" w:name="_Toc66692245"/>
      <w:bookmarkStart w:id="235" w:name="_Toc79526072"/>
      <w:bookmarkStart w:id="236" w:name="_Toc95222449"/>
      <w:bookmarkStart w:id="237" w:name="_Toc70496799"/>
      <w:r>
        <w:rPr>
          <w:rFonts w:hint="eastAsia" w:ascii="黑体" w:hAnsi="黑体" w:eastAsia="黑体"/>
          <w:b/>
          <w:bCs/>
          <w:sz w:val="24"/>
          <w:szCs w:val="24"/>
        </w:rPr>
        <w:t>★1</w:t>
      </w:r>
      <w:r>
        <w:rPr>
          <w:rFonts w:ascii="黑体" w:hAnsi="黑体" w:eastAsia="黑体"/>
          <w:b/>
          <w:bCs/>
          <w:sz w:val="24"/>
          <w:szCs w:val="24"/>
        </w:rPr>
        <w:t>0</w:t>
      </w:r>
      <w:r>
        <w:rPr>
          <w:rFonts w:hint="eastAsia" w:ascii="黑体" w:hAnsi="黑体" w:eastAsia="黑体"/>
          <w:b/>
          <w:bCs/>
          <w:sz w:val="24"/>
          <w:szCs w:val="24"/>
        </w:rPr>
        <w:t>.</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Fonts w:hint="eastAsia" w:ascii="黑体" w:hAnsi="黑体" w:eastAsia="黑体"/>
          <w:b/>
          <w:bCs/>
          <w:sz w:val="24"/>
          <w:szCs w:val="24"/>
        </w:rPr>
        <w:t>投标报价</w:t>
      </w:r>
    </w:p>
    <w:p w14:paraId="19A6CD4D">
      <w:pPr>
        <w:spacing w:line="360" w:lineRule="auto"/>
        <w:ind w:firstLine="480" w:firstLineChars="200"/>
        <w:rPr>
          <w:rFonts w:hint="eastAsia" w:cs="宋体" w:asciiTheme="minorEastAsia" w:hAnsiTheme="minorEastAsia" w:eastAsiaTheme="minorEastAsia"/>
          <w:szCs w:val="20"/>
        </w:rPr>
      </w:pPr>
      <w:r>
        <w:rPr>
          <w:rFonts w:hint="eastAsia" w:cs="宋体" w:asciiTheme="minorEastAsia" w:hAnsiTheme="minorEastAsia" w:eastAsiaTheme="minorEastAsia"/>
          <w:szCs w:val="20"/>
        </w:rPr>
        <w:t>10.1投标人须就“采购需求”中的所有内容作完整唯一报价。</w:t>
      </w:r>
    </w:p>
    <w:p w14:paraId="2F1EBD1E">
      <w:pPr>
        <w:spacing w:line="360" w:lineRule="auto"/>
        <w:ind w:firstLine="480" w:firstLineChars="200"/>
        <w:rPr>
          <w:rFonts w:hint="eastAsia" w:cs="宋体" w:asciiTheme="minorEastAsia" w:hAnsiTheme="minorEastAsia" w:eastAsiaTheme="minorEastAsia"/>
          <w:szCs w:val="20"/>
        </w:rPr>
      </w:pPr>
      <w:r>
        <w:rPr>
          <w:rFonts w:hint="eastAsia" w:cs="宋体" w:asciiTheme="minorEastAsia" w:hAnsiTheme="minorEastAsia" w:eastAsiaTheme="minorEastAsia"/>
          <w:szCs w:val="20"/>
        </w:rPr>
        <w:t>10.2投标报价应包括完成本项目采购需求中所有工作内容，完全履行合同所需的一切费用，包括但不限于：产品本体、配件（如电源适配器、数据线等）、网络服务费、安装调试费用、培训费用、售后服务费用、税费、履约验收产生的检验、劳务报酬费、差旅费、合理利润及采购代理服务费等一切费用。投标报价应符合市场行情并能保证投标人完成履行合同所需的一切工作。合同一旦签订，投标报价在合同实施期间将不因市场价格等的变化而调整。</w:t>
      </w:r>
    </w:p>
    <w:p w14:paraId="4949FFF0">
      <w:pPr>
        <w:spacing w:line="360" w:lineRule="auto"/>
        <w:ind w:firstLine="480" w:firstLineChars="200"/>
        <w:rPr>
          <w:rFonts w:hint="eastAsia" w:cs="宋体" w:asciiTheme="minorEastAsia" w:hAnsiTheme="minorEastAsia" w:eastAsiaTheme="minorEastAsia"/>
          <w:szCs w:val="20"/>
        </w:rPr>
      </w:pPr>
      <w:r>
        <w:rPr>
          <w:rFonts w:hint="eastAsia" w:cs="宋体" w:asciiTheme="minorEastAsia" w:hAnsiTheme="minorEastAsia" w:eastAsiaTheme="minorEastAsia"/>
          <w:szCs w:val="20"/>
        </w:rPr>
        <w:t>10.3任何有选择的报价将不予接受，只允许有一个报价。投标人对同一投标项目报价有两个（含两个）以上报价且未书面声明以哪个为准，按无效投标处理。</w:t>
      </w:r>
    </w:p>
    <w:p w14:paraId="36EC8470">
      <w:pPr>
        <w:pStyle w:val="276"/>
        <w:spacing w:line="360" w:lineRule="auto"/>
        <w:ind w:firstLine="482" w:firstLineChars="200"/>
        <w:rPr>
          <w:rFonts w:hint="eastAsia" w:ascii="黑体" w:hAnsi="黑体" w:eastAsia="黑体"/>
          <w:b/>
          <w:bCs/>
          <w:sz w:val="24"/>
          <w:szCs w:val="24"/>
        </w:rPr>
      </w:pPr>
      <w:bookmarkStart w:id="238" w:name="_Toc97580305"/>
      <w:bookmarkStart w:id="239" w:name="_Toc67040094"/>
      <w:bookmarkStart w:id="240" w:name="_Toc95222450"/>
      <w:bookmarkStart w:id="241" w:name="_Toc70496800"/>
      <w:bookmarkStart w:id="242" w:name="_Toc90128543"/>
      <w:bookmarkStart w:id="243" w:name="_Toc79526073"/>
      <w:bookmarkStart w:id="244" w:name="_Toc78447992"/>
      <w:bookmarkStart w:id="245" w:name="_Toc99729024"/>
      <w:bookmarkStart w:id="246" w:name="_Toc82077094"/>
      <w:bookmarkStart w:id="247" w:name="_Toc93839897"/>
      <w:bookmarkStart w:id="248" w:name="_Toc139292873"/>
      <w:bookmarkStart w:id="249" w:name="_Toc90575598"/>
      <w:bookmarkStart w:id="250" w:name="_Toc66969979"/>
      <w:bookmarkStart w:id="251" w:name="_Toc82077193"/>
      <w:bookmarkStart w:id="252" w:name="_Toc66692246"/>
      <w:bookmarkStart w:id="253" w:name="_Toc90128777"/>
      <w:bookmarkStart w:id="254" w:name="_Toc95047016"/>
      <w:bookmarkStart w:id="255" w:name="_Toc97580309"/>
      <w:bookmarkStart w:id="256" w:name="_Toc146736305"/>
      <w:bookmarkStart w:id="257" w:name="_Toc438160891"/>
      <w:bookmarkStart w:id="258" w:name="_Toc520725541"/>
      <w:bookmarkStart w:id="259" w:name="_Toc4428"/>
      <w:bookmarkStart w:id="260" w:name="_Toc520725702"/>
      <w:bookmarkStart w:id="261" w:name="_Toc232509429"/>
      <w:r>
        <w:rPr>
          <w:rFonts w:hint="eastAsia" w:ascii="黑体" w:hAnsi="黑体" w:eastAsia="黑体"/>
          <w:b/>
          <w:bCs/>
          <w:sz w:val="24"/>
          <w:szCs w:val="24"/>
        </w:rPr>
        <w:t>★1</w:t>
      </w:r>
      <w:r>
        <w:rPr>
          <w:rFonts w:ascii="黑体" w:hAnsi="黑体" w:eastAsia="黑体"/>
          <w:b/>
          <w:bCs/>
          <w:sz w:val="24"/>
          <w:szCs w:val="24"/>
        </w:rPr>
        <w:t>1</w:t>
      </w:r>
      <w:r>
        <w:rPr>
          <w:rFonts w:hint="eastAsia" w:ascii="黑体" w:hAnsi="黑体" w:eastAsia="黑体"/>
          <w:b/>
          <w:bCs/>
          <w:sz w:val="24"/>
          <w:szCs w:val="24"/>
        </w:rPr>
        <w:t>.投标货币</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2AA185E5">
      <w:pPr>
        <w:spacing w:line="360" w:lineRule="auto"/>
        <w:ind w:firstLine="480" w:firstLineChars="200"/>
        <w:rPr>
          <w:rFonts w:hint="eastAsia" w:cs="宋体" w:asciiTheme="minorEastAsia" w:hAnsiTheme="minorEastAsia" w:eastAsiaTheme="minorEastAsia"/>
          <w:szCs w:val="20"/>
        </w:rPr>
      </w:pPr>
      <w:r>
        <w:rPr>
          <w:rFonts w:hint="eastAsia" w:cs="宋体" w:asciiTheme="minorEastAsia" w:hAnsiTheme="minorEastAsia" w:eastAsiaTheme="minorEastAsia"/>
          <w:szCs w:val="20"/>
        </w:rPr>
        <w:t>投标报价应以人民币报价。</w:t>
      </w:r>
    </w:p>
    <w:p w14:paraId="119A676E">
      <w:pPr>
        <w:pStyle w:val="276"/>
        <w:spacing w:line="360" w:lineRule="auto"/>
        <w:ind w:firstLine="482" w:firstLineChars="200"/>
        <w:rPr>
          <w:rFonts w:hint="eastAsia" w:ascii="黑体" w:hAnsi="黑体" w:eastAsia="黑体"/>
          <w:b/>
          <w:bCs/>
          <w:sz w:val="24"/>
          <w:szCs w:val="24"/>
        </w:rPr>
      </w:pPr>
      <w:bookmarkStart w:id="262" w:name="_Toc139292874"/>
      <w:r>
        <w:rPr>
          <w:rFonts w:ascii="黑体" w:hAnsi="黑体" w:eastAsia="黑体"/>
          <w:b/>
          <w:bCs/>
          <w:sz w:val="24"/>
          <w:szCs w:val="24"/>
        </w:rPr>
        <w:t>12.</w:t>
      </w:r>
      <w:r>
        <w:rPr>
          <w:rFonts w:hint="eastAsia" w:ascii="黑体" w:hAnsi="黑体" w:eastAsia="黑体"/>
          <w:b/>
          <w:bCs/>
          <w:sz w:val="24"/>
          <w:szCs w:val="24"/>
        </w:rPr>
        <w:t>投标文件的装订要求</w:t>
      </w:r>
      <w:bookmarkEnd w:id="262"/>
      <w:r>
        <w:rPr>
          <w:rFonts w:hint="eastAsia" w:ascii="黑体" w:hAnsi="黑体" w:eastAsia="黑体"/>
          <w:b/>
          <w:bCs/>
          <w:sz w:val="24"/>
          <w:szCs w:val="24"/>
        </w:rPr>
        <w:t>及份数</w:t>
      </w:r>
    </w:p>
    <w:p w14:paraId="6B7E9424">
      <w:pPr>
        <w:spacing w:line="360" w:lineRule="auto"/>
        <w:ind w:firstLine="480" w:firstLineChars="200"/>
        <w:rPr>
          <w:rFonts w:hint="eastAsia" w:cs="宋体" w:asciiTheme="minorEastAsia" w:hAnsiTheme="minorEastAsia" w:eastAsiaTheme="minorEastAsia"/>
          <w:szCs w:val="20"/>
        </w:rPr>
      </w:pPr>
      <w:r>
        <w:rPr>
          <w:rFonts w:hint="eastAsia" w:cs="宋体"/>
          <w:bCs/>
        </w:rPr>
        <w:t>投标人无需提供纸质投标文件。</w:t>
      </w:r>
    </w:p>
    <w:p w14:paraId="72061738">
      <w:pPr>
        <w:pStyle w:val="3"/>
        <w:tabs>
          <w:tab w:val="clear" w:pos="3999"/>
        </w:tabs>
        <w:spacing w:afterLines="0" w:line="360" w:lineRule="auto"/>
        <w:rPr>
          <w:rFonts w:hint="eastAsia" w:ascii="黑体" w:hAnsi="黑体" w:eastAsia="黑体" w:cs="宋体"/>
          <w:sz w:val="28"/>
          <w:szCs w:val="28"/>
        </w:rPr>
      </w:pPr>
      <w:bookmarkStart w:id="263" w:name="_Toc192748539"/>
      <w:bookmarkStart w:id="264" w:name="_Toc193792868"/>
      <w:bookmarkStart w:id="265" w:name="_Toc215313857"/>
      <w:bookmarkStart w:id="266" w:name="_Toc203147220"/>
      <w:bookmarkStart w:id="267" w:name="_Toc216365875"/>
      <w:r>
        <w:rPr>
          <w:rFonts w:hint="eastAsia" w:ascii="黑体" w:hAnsi="黑体" w:eastAsia="黑体" w:cs="宋体"/>
          <w:sz w:val="28"/>
          <w:szCs w:val="28"/>
        </w:rPr>
        <w:t>五、</w:t>
      </w:r>
      <w:bookmarkEnd w:id="255"/>
      <w:bookmarkEnd w:id="256"/>
      <w:bookmarkEnd w:id="257"/>
      <w:bookmarkEnd w:id="258"/>
      <w:bookmarkEnd w:id="259"/>
      <w:bookmarkEnd w:id="260"/>
      <w:bookmarkEnd w:id="261"/>
      <w:r>
        <w:rPr>
          <w:rFonts w:hint="eastAsia" w:ascii="黑体" w:hAnsi="黑体" w:eastAsia="黑体" w:cs="宋体"/>
          <w:sz w:val="28"/>
          <w:szCs w:val="28"/>
        </w:rPr>
        <w:t>投标文件的加密、递交截止时间、地点、修改、撤回</w:t>
      </w:r>
      <w:bookmarkEnd w:id="263"/>
      <w:bookmarkEnd w:id="264"/>
      <w:bookmarkEnd w:id="265"/>
      <w:bookmarkEnd w:id="266"/>
      <w:bookmarkEnd w:id="267"/>
    </w:p>
    <w:p w14:paraId="6EB5C025">
      <w:pPr>
        <w:pStyle w:val="276"/>
        <w:spacing w:line="360" w:lineRule="auto"/>
        <w:ind w:firstLine="482" w:firstLineChars="200"/>
        <w:rPr>
          <w:rFonts w:hint="eastAsia" w:ascii="黑体" w:hAnsi="黑体" w:eastAsia="黑体"/>
          <w:b/>
          <w:bCs/>
          <w:sz w:val="24"/>
          <w:szCs w:val="24"/>
        </w:rPr>
      </w:pPr>
      <w:r>
        <w:rPr>
          <w:rFonts w:hint="eastAsia" w:ascii="黑体" w:hAnsi="黑体" w:eastAsia="黑体"/>
          <w:b/>
          <w:bCs/>
          <w:sz w:val="24"/>
          <w:szCs w:val="24"/>
        </w:rPr>
        <w:t>1</w:t>
      </w:r>
      <w:r>
        <w:rPr>
          <w:rFonts w:ascii="黑体" w:hAnsi="黑体" w:eastAsia="黑体"/>
          <w:b/>
          <w:bCs/>
          <w:sz w:val="24"/>
          <w:szCs w:val="24"/>
        </w:rPr>
        <w:t>3.</w:t>
      </w:r>
      <w:r>
        <w:rPr>
          <w:rFonts w:hint="eastAsia" w:ascii="黑体" w:hAnsi="黑体" w:eastAsia="黑体"/>
          <w:b/>
          <w:bCs/>
          <w:sz w:val="24"/>
          <w:szCs w:val="24"/>
        </w:rPr>
        <w:t>投标文件的加密</w:t>
      </w:r>
    </w:p>
    <w:p w14:paraId="4D992E92">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szCs w:val="20"/>
          <w:lang w:bidi="ar"/>
        </w:rPr>
        <w:t>投标文件的加密：详见“投标人须知前附表”。</w:t>
      </w:r>
    </w:p>
    <w:p w14:paraId="089C7CDF">
      <w:pPr>
        <w:pStyle w:val="276"/>
        <w:spacing w:line="360" w:lineRule="auto"/>
        <w:ind w:firstLine="482" w:firstLineChars="200"/>
        <w:rPr>
          <w:rFonts w:hint="eastAsia" w:ascii="黑体" w:hAnsi="黑体" w:eastAsia="黑体"/>
          <w:b/>
          <w:bCs/>
          <w:sz w:val="24"/>
          <w:szCs w:val="24"/>
        </w:rPr>
      </w:pPr>
      <w:bookmarkStart w:id="268" w:name="_Toc82077100"/>
      <w:bookmarkStart w:id="269" w:name="_Toc90128549"/>
      <w:bookmarkStart w:id="270" w:name="_Toc66969985"/>
      <w:bookmarkStart w:id="271" w:name="_Toc67040100"/>
      <w:bookmarkStart w:id="272" w:name="_Toc78447998"/>
      <w:bookmarkStart w:id="273" w:name="_Toc79526079"/>
      <w:bookmarkStart w:id="274" w:name="_Toc66692252"/>
      <w:bookmarkStart w:id="275" w:name="_Toc90128783"/>
      <w:bookmarkStart w:id="276" w:name="_Toc68082662"/>
      <w:bookmarkStart w:id="277" w:name="_Toc82077199"/>
      <w:bookmarkStart w:id="278" w:name="_Toc69370027"/>
      <w:bookmarkStart w:id="279" w:name="_Toc90575604"/>
      <w:bookmarkStart w:id="280" w:name="_Toc70496806"/>
      <w:bookmarkStart w:id="281" w:name="_Toc68701720"/>
      <w:bookmarkStart w:id="282" w:name="_Toc93839903"/>
      <w:bookmarkStart w:id="283" w:name="_Toc97580311"/>
      <w:bookmarkStart w:id="284" w:name="_Toc139292876"/>
      <w:bookmarkStart w:id="285" w:name="_Toc95222456"/>
      <w:bookmarkStart w:id="286" w:name="_Toc95047022"/>
      <w:bookmarkStart w:id="287" w:name="_Toc99729030"/>
      <w:bookmarkStart w:id="288" w:name="_Toc68082663"/>
      <w:bookmarkStart w:id="289" w:name="_Toc82077101"/>
      <w:bookmarkStart w:id="290" w:name="_Toc66692253"/>
      <w:bookmarkStart w:id="291" w:name="_Toc82077200"/>
      <w:bookmarkStart w:id="292" w:name="_Toc79526080"/>
      <w:bookmarkStart w:id="293" w:name="_Toc90128550"/>
      <w:bookmarkStart w:id="294" w:name="_Toc90128784"/>
      <w:bookmarkStart w:id="295" w:name="_Toc90575605"/>
      <w:bookmarkStart w:id="296" w:name="_Toc68701721"/>
      <w:bookmarkStart w:id="297" w:name="_Toc78447999"/>
      <w:bookmarkStart w:id="298" w:name="_Toc70496807"/>
      <w:bookmarkStart w:id="299" w:name="_Toc67040101"/>
      <w:bookmarkStart w:id="300" w:name="_Toc69370028"/>
      <w:bookmarkStart w:id="301" w:name="_Toc66969986"/>
      <w:bookmarkStart w:id="302" w:name="_Toc438160892"/>
      <w:bookmarkStart w:id="303" w:name="_Toc232509430"/>
      <w:bookmarkStart w:id="304" w:name="_Toc8253"/>
      <w:r>
        <w:rPr>
          <w:rFonts w:hint="eastAsia" w:ascii="黑体" w:hAnsi="黑体" w:eastAsia="黑体"/>
          <w:b/>
          <w:bCs/>
          <w:sz w:val="24"/>
          <w:szCs w:val="24"/>
        </w:rPr>
        <w:t>1</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r>
        <w:rPr>
          <w:rFonts w:ascii="黑体" w:hAnsi="黑体" w:eastAsia="黑体"/>
          <w:b/>
          <w:bCs/>
          <w:sz w:val="24"/>
          <w:szCs w:val="24"/>
        </w:rPr>
        <w:t>4.</w:t>
      </w:r>
      <w:bookmarkEnd w:id="283"/>
      <w:bookmarkEnd w:id="284"/>
      <w:bookmarkEnd w:id="285"/>
      <w:bookmarkEnd w:id="286"/>
      <w:bookmarkEnd w:id="287"/>
      <w:r>
        <w:rPr>
          <w:rFonts w:hint="eastAsia" w:ascii="黑体" w:hAnsi="黑体" w:eastAsia="黑体"/>
          <w:b/>
          <w:bCs/>
          <w:sz w:val="24"/>
          <w:szCs w:val="24"/>
        </w:rPr>
        <w:t>投标截止时间、开标时间及地点</w:t>
      </w:r>
    </w:p>
    <w:p w14:paraId="766F24B7">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bookmarkStart w:id="305" w:name="_Toc93839904"/>
      <w:bookmarkStart w:id="306" w:name="_Toc97580312"/>
      <w:bookmarkStart w:id="307" w:name="_Toc139292877"/>
      <w:bookmarkStart w:id="308" w:name="_Toc99729031"/>
      <w:bookmarkStart w:id="309" w:name="_Toc95222457"/>
      <w:bookmarkStart w:id="310" w:name="_Toc95047023"/>
      <w:r>
        <w:rPr>
          <w:rFonts w:hint="eastAsia" w:cs="宋体"/>
          <w:szCs w:val="20"/>
          <w:lang w:bidi="ar"/>
        </w:rPr>
        <w:t>投标截止时间、开标时间及地点：详见“投标人须知前附表”。</w:t>
      </w:r>
      <w:bookmarkEnd w:id="305"/>
      <w:bookmarkEnd w:id="306"/>
      <w:bookmarkEnd w:id="307"/>
      <w:bookmarkEnd w:id="308"/>
      <w:bookmarkEnd w:id="309"/>
      <w:bookmarkEnd w:id="310"/>
    </w:p>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14:paraId="20E0790B">
      <w:pPr>
        <w:pStyle w:val="276"/>
        <w:spacing w:line="360" w:lineRule="auto"/>
        <w:ind w:firstLine="482" w:firstLineChars="200"/>
        <w:rPr>
          <w:rFonts w:hint="eastAsia" w:ascii="黑体" w:hAnsi="黑体" w:eastAsia="黑体"/>
          <w:b/>
          <w:bCs/>
          <w:sz w:val="24"/>
          <w:szCs w:val="24"/>
        </w:rPr>
      </w:pPr>
      <w:r>
        <w:rPr>
          <w:rFonts w:hint="eastAsia" w:ascii="黑体" w:hAnsi="黑体" w:eastAsia="黑体"/>
          <w:b/>
          <w:bCs/>
          <w:sz w:val="24"/>
          <w:szCs w:val="24"/>
        </w:rPr>
        <w:t>1</w:t>
      </w:r>
      <w:r>
        <w:rPr>
          <w:rFonts w:ascii="黑体" w:hAnsi="黑体" w:eastAsia="黑体"/>
          <w:b/>
          <w:bCs/>
          <w:sz w:val="24"/>
          <w:szCs w:val="24"/>
        </w:rPr>
        <w:t>5.</w:t>
      </w:r>
      <w:r>
        <w:rPr>
          <w:rFonts w:hint="eastAsia" w:ascii="黑体" w:hAnsi="黑体" w:eastAsia="黑体"/>
          <w:b/>
          <w:bCs/>
          <w:sz w:val="24"/>
          <w:szCs w:val="24"/>
        </w:rPr>
        <w:t>投标文件的修改与撤回</w:t>
      </w:r>
    </w:p>
    <w:p w14:paraId="5E905883">
      <w:pPr>
        <w:pStyle w:val="44"/>
        <w:widowControl w:val="0"/>
        <w:spacing w:before="0" w:beforeAutospacing="0" w:after="0" w:afterAutospacing="0" w:line="360" w:lineRule="auto"/>
        <w:ind w:firstLine="480" w:firstLineChars="200"/>
        <w:jc w:val="both"/>
        <w:rPr>
          <w:rFonts w:hint="eastAsia" w:cs="宋体"/>
          <w:lang w:bidi="ar"/>
        </w:rPr>
      </w:pPr>
      <w:r>
        <w:rPr>
          <w:rFonts w:hint="eastAsia" w:cs="宋体"/>
          <w:lang w:bidi="ar"/>
        </w:rPr>
        <w:t>15.1在投标文件递交截止时间前，投标人可以在云南省政府采购电子交易平台修改或撤回已在网上递交的投标文件，无须书面形式通知采购人。</w:t>
      </w:r>
    </w:p>
    <w:p w14:paraId="62A0784C">
      <w:pPr>
        <w:spacing w:line="360" w:lineRule="auto"/>
        <w:ind w:firstLine="480" w:firstLineChars="200"/>
        <w:rPr>
          <w:rFonts w:hint="eastAsia" w:ascii="宋体" w:hAnsi="宋体" w:cs="宋体"/>
          <w:bCs/>
        </w:rPr>
      </w:pPr>
      <w:r>
        <w:rPr>
          <w:rFonts w:hint="eastAsia" w:ascii="宋体" w:hAnsi="宋体" w:cs="宋体"/>
          <w:bCs/>
        </w:rPr>
        <w:t>★15.2在“投标人须知前附表”规定的投标有效期内，投标人不得要求撤销或修改其投标文件。</w:t>
      </w:r>
    </w:p>
    <w:p w14:paraId="4133EC3A">
      <w:pPr>
        <w:spacing w:line="360" w:lineRule="auto"/>
        <w:ind w:firstLine="480" w:firstLineChars="200"/>
        <w:rPr>
          <w:rFonts w:hint="eastAsia" w:ascii="宋体" w:hAnsi="宋体" w:cs="宋体"/>
          <w:bCs/>
        </w:rPr>
      </w:pPr>
      <w:r>
        <w:rPr>
          <w:rFonts w:hint="eastAsia" w:ascii="宋体" w:hAnsi="宋体" w:cs="宋体"/>
          <w:bCs/>
        </w:rPr>
        <w:t>15.3投标有效期从提交投标文件的截止之日起算。投标文件中承诺的投标有效期应当不少于招标文件中载明的投标有效期。投标有效期内投标人撤销投标文件的，采购代理机构可以不退还投标保证金。</w:t>
      </w:r>
    </w:p>
    <w:p w14:paraId="7FFA4721">
      <w:pPr>
        <w:pStyle w:val="44"/>
        <w:widowControl w:val="0"/>
        <w:spacing w:before="0" w:beforeAutospacing="0" w:after="0" w:afterAutospacing="0" w:line="360" w:lineRule="auto"/>
        <w:ind w:firstLine="480" w:firstLineChars="200"/>
        <w:jc w:val="both"/>
        <w:rPr>
          <w:rFonts w:hint="eastAsia" w:cs="宋体"/>
          <w:lang w:bidi="ar"/>
        </w:rPr>
      </w:pPr>
      <w:r>
        <w:rPr>
          <w:rFonts w:hint="eastAsia" w:cs="宋体"/>
          <w:bCs/>
        </w:rPr>
        <w:t>15.4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3F87C9EE">
      <w:pPr>
        <w:pStyle w:val="3"/>
        <w:tabs>
          <w:tab w:val="clear" w:pos="3999"/>
        </w:tabs>
        <w:spacing w:afterLines="0" w:line="360" w:lineRule="auto"/>
        <w:rPr>
          <w:rFonts w:hint="eastAsia" w:ascii="黑体" w:hAnsi="黑体" w:eastAsia="黑体" w:cs="宋体"/>
          <w:sz w:val="28"/>
          <w:szCs w:val="28"/>
        </w:rPr>
      </w:pPr>
      <w:bookmarkStart w:id="311" w:name="_Toc192748540"/>
      <w:bookmarkStart w:id="312" w:name="_Toc193792869"/>
      <w:bookmarkStart w:id="313" w:name="_Toc216365876"/>
      <w:bookmarkStart w:id="314" w:name="_Toc203147221"/>
      <w:bookmarkStart w:id="315" w:name="_Toc146736306"/>
      <w:bookmarkStart w:id="316" w:name="_Toc215313858"/>
      <w:bookmarkStart w:id="317" w:name="_Toc97580314"/>
      <w:r>
        <w:rPr>
          <w:rFonts w:hint="eastAsia" w:ascii="黑体" w:hAnsi="黑体" w:eastAsia="黑体" w:cs="宋体"/>
          <w:sz w:val="28"/>
          <w:szCs w:val="28"/>
        </w:rPr>
        <w:t>六、</w:t>
      </w:r>
      <w:bookmarkEnd w:id="302"/>
      <w:bookmarkEnd w:id="303"/>
      <w:bookmarkEnd w:id="304"/>
      <w:bookmarkEnd w:id="311"/>
      <w:bookmarkEnd w:id="312"/>
      <w:bookmarkEnd w:id="313"/>
      <w:bookmarkEnd w:id="314"/>
      <w:bookmarkEnd w:id="315"/>
      <w:bookmarkEnd w:id="316"/>
      <w:bookmarkEnd w:id="317"/>
      <w:r>
        <w:rPr>
          <w:rFonts w:hint="eastAsia" w:ascii="黑体" w:hAnsi="黑体" w:eastAsia="黑体" w:cs="宋体"/>
          <w:sz w:val="28"/>
          <w:szCs w:val="28"/>
        </w:rPr>
        <w:t>开标、资格审查及评标</w:t>
      </w:r>
    </w:p>
    <w:p w14:paraId="575A7C90">
      <w:pPr>
        <w:spacing w:line="360" w:lineRule="auto"/>
        <w:ind w:firstLine="482" w:firstLineChars="200"/>
        <w:rPr>
          <w:rFonts w:hint="eastAsia" w:ascii="黑体" w:hAnsi="黑体" w:eastAsia="黑体" w:cs="宋体"/>
          <w:b/>
        </w:rPr>
      </w:pPr>
      <w:r>
        <w:rPr>
          <w:rFonts w:ascii="黑体" w:hAnsi="黑体" w:eastAsia="黑体" w:cs="宋体"/>
          <w:b/>
        </w:rPr>
        <w:t>16</w:t>
      </w:r>
      <w:r>
        <w:rPr>
          <w:rFonts w:hint="eastAsia" w:ascii="黑体" w:hAnsi="黑体" w:eastAsia="黑体" w:cs="宋体"/>
          <w:b/>
        </w:rPr>
        <w:t>.开标</w:t>
      </w:r>
    </w:p>
    <w:p w14:paraId="456976A1">
      <w:pPr>
        <w:pStyle w:val="44"/>
        <w:widowControl w:val="0"/>
        <w:spacing w:before="0" w:beforeAutospacing="0" w:after="0" w:afterAutospacing="0" w:line="360" w:lineRule="auto"/>
        <w:ind w:firstLine="480" w:firstLineChars="200"/>
        <w:jc w:val="both"/>
        <w:rPr>
          <w:rFonts w:hint="eastAsia" w:cs="宋体"/>
          <w:szCs w:val="20"/>
        </w:rPr>
      </w:pPr>
      <w:r>
        <w:rPr>
          <w:rFonts w:cs="宋体"/>
          <w:szCs w:val="20"/>
          <w:lang w:bidi="ar"/>
        </w:rPr>
        <w:t>16</w:t>
      </w:r>
      <w:r>
        <w:rPr>
          <w:rFonts w:hint="eastAsia" w:cs="宋体"/>
          <w:szCs w:val="20"/>
          <w:lang w:bidi="ar"/>
        </w:rPr>
        <w:t>.1采购代理机构将在“投标人</w:t>
      </w:r>
      <w:r>
        <w:rPr>
          <w:rFonts w:hint="eastAsia" w:cs="宋体"/>
          <w:bCs/>
          <w:szCs w:val="20"/>
          <w:lang w:bidi="ar"/>
        </w:rPr>
        <w:t>须知前附表</w:t>
      </w:r>
      <w:r>
        <w:rPr>
          <w:rFonts w:hint="eastAsia" w:cs="宋体"/>
          <w:szCs w:val="20"/>
          <w:lang w:bidi="ar"/>
        </w:rPr>
        <w:t>”规定的时间和地点进行公开开标</w:t>
      </w:r>
      <w:r>
        <w:rPr>
          <w:rFonts w:cs="Arial"/>
        </w:rPr>
        <w:t>。</w:t>
      </w:r>
    </w:p>
    <w:p w14:paraId="79F8E1EA">
      <w:pPr>
        <w:suppressAutoHyphens/>
        <w:spacing w:line="360" w:lineRule="auto"/>
        <w:ind w:firstLine="480" w:firstLineChars="200"/>
        <w:rPr>
          <w:rFonts w:hint="eastAsia" w:ascii="宋体" w:hAnsi="宋体" w:cs="宋体"/>
          <w:szCs w:val="20"/>
          <w:lang w:bidi="ar"/>
        </w:rPr>
      </w:pPr>
      <w:r>
        <w:rPr>
          <w:rFonts w:ascii="宋体" w:hAnsi="宋体" w:cs="宋体"/>
          <w:szCs w:val="20"/>
          <w:lang w:bidi="ar"/>
        </w:rPr>
        <w:t>16</w:t>
      </w:r>
      <w:r>
        <w:rPr>
          <w:rFonts w:hint="eastAsia" w:ascii="宋体" w:hAnsi="宋体" w:cs="宋体"/>
          <w:szCs w:val="20"/>
          <w:lang w:bidi="ar"/>
        </w:rPr>
        <w:t>.2本项目实行网上远程解密，采购代理机构宣布开启电子投标文件后，投标人登陆“云南省政府采购电子交易平台”开标大厅，使用投标人编制投标文件时的加密数字证书对投标文件进行解密，解密时长40分钟，投标文件未按时解密的，视为投标文件无效。</w:t>
      </w:r>
    </w:p>
    <w:p w14:paraId="5BFFCFA2">
      <w:pPr>
        <w:spacing w:line="360" w:lineRule="auto"/>
        <w:ind w:firstLine="482" w:firstLineChars="200"/>
        <w:rPr>
          <w:rFonts w:hint="eastAsia" w:ascii="黑体" w:hAnsi="黑体" w:eastAsia="黑体" w:cs="宋体"/>
          <w:b/>
        </w:rPr>
      </w:pPr>
      <w:r>
        <w:rPr>
          <w:rFonts w:hint="eastAsia" w:ascii="黑体" w:hAnsi="黑体" w:eastAsia="黑体" w:cs="宋体"/>
          <w:b/>
        </w:rPr>
        <w:t>17.资格审查</w:t>
      </w:r>
    </w:p>
    <w:p w14:paraId="7FCD5CFA">
      <w:pPr>
        <w:suppressAutoHyphens/>
        <w:spacing w:line="360" w:lineRule="auto"/>
        <w:ind w:firstLine="480" w:firstLineChars="200"/>
        <w:rPr>
          <w:rFonts w:hint="eastAsia" w:ascii="宋体" w:hAnsi="宋体" w:cs="宋体"/>
        </w:rPr>
      </w:pPr>
      <w:r>
        <w:rPr>
          <w:rFonts w:hint="eastAsia" w:ascii="宋体" w:hAnsi="宋体" w:cs="宋体"/>
        </w:rPr>
        <w:t>17.1见第四章《资格审查》。</w:t>
      </w:r>
    </w:p>
    <w:p w14:paraId="0474EEF1">
      <w:pPr>
        <w:spacing w:line="360" w:lineRule="auto"/>
        <w:ind w:firstLine="482" w:firstLineChars="200"/>
        <w:rPr>
          <w:rFonts w:hint="eastAsia" w:ascii="黑体" w:hAnsi="黑体" w:eastAsia="黑体" w:cs="宋体"/>
          <w:b/>
        </w:rPr>
      </w:pPr>
      <w:r>
        <w:rPr>
          <w:rFonts w:ascii="黑体" w:hAnsi="黑体" w:eastAsia="黑体" w:cs="宋体"/>
          <w:b/>
        </w:rPr>
        <w:t>1</w:t>
      </w:r>
      <w:r>
        <w:rPr>
          <w:rFonts w:hint="eastAsia" w:ascii="黑体" w:hAnsi="黑体" w:eastAsia="黑体" w:cs="宋体"/>
          <w:b/>
        </w:rPr>
        <w:t>8.评标委员会</w:t>
      </w:r>
    </w:p>
    <w:p w14:paraId="14FF3A71">
      <w:pPr>
        <w:spacing w:line="360" w:lineRule="auto"/>
        <w:ind w:firstLine="480" w:firstLineChars="200"/>
        <w:rPr>
          <w:rFonts w:hint="eastAsia" w:cs="宋体" w:asciiTheme="minorEastAsia" w:hAnsiTheme="minorEastAsia" w:eastAsiaTheme="minorEastAsia"/>
          <w:kern w:val="0"/>
        </w:rPr>
      </w:pPr>
      <w:r>
        <w:rPr>
          <w:rFonts w:ascii="宋体" w:hAnsi="宋体" w:cs="宋体"/>
          <w:kern w:val="0"/>
          <w:lang w:bidi="ar"/>
        </w:rPr>
        <w:t>1</w:t>
      </w:r>
      <w:r>
        <w:rPr>
          <w:rFonts w:hint="eastAsia" w:ascii="宋体" w:hAnsi="宋体" w:cs="宋体"/>
          <w:kern w:val="0"/>
          <w:lang w:bidi="ar"/>
        </w:rPr>
        <w:t>8.1</w:t>
      </w:r>
      <w:r>
        <w:rPr>
          <w:rFonts w:hint="eastAsia" w:cs="宋体" w:asciiTheme="minorEastAsia" w:hAnsiTheme="minorEastAsia" w:eastAsiaTheme="minorEastAsia"/>
          <w:kern w:val="0"/>
        </w:rPr>
        <w:t>评标委员会由采购人代表和评审专家组成，成员人数应当为5人及以上单数，其中评审专家不得少于成员总数的三分之二。</w:t>
      </w:r>
    </w:p>
    <w:p w14:paraId="1E71BEF2">
      <w:pPr>
        <w:pStyle w:val="44"/>
        <w:widowControl w:val="0"/>
        <w:spacing w:before="0" w:beforeAutospacing="0" w:after="0" w:afterAutospacing="0" w:line="360" w:lineRule="auto"/>
        <w:ind w:firstLine="480" w:firstLineChars="200"/>
        <w:jc w:val="both"/>
        <w:rPr>
          <w:rFonts w:hint="eastAsia" w:cs="宋体"/>
          <w:bCs/>
          <w:szCs w:val="20"/>
        </w:rPr>
      </w:pPr>
      <w:r>
        <w:rPr>
          <w:rFonts w:hint="eastAsia" w:cs="宋体"/>
          <w:lang w:bidi="ar"/>
        </w:rPr>
        <w:t>18.2</w:t>
      </w:r>
      <w:r>
        <w:rPr>
          <w:rFonts w:hint="eastAsia" w:cs="宋体"/>
          <w:bCs/>
          <w:szCs w:val="20"/>
          <w:lang w:bidi="ar"/>
        </w:rPr>
        <w:t>评标原则</w:t>
      </w:r>
    </w:p>
    <w:p w14:paraId="0CB6FEBE">
      <w:pPr>
        <w:spacing w:line="360" w:lineRule="auto"/>
        <w:ind w:firstLine="480" w:firstLineChars="200"/>
        <w:rPr>
          <w:rFonts w:hint="eastAsia" w:ascii="宋体" w:hAnsi="宋体" w:cs="宋体"/>
          <w:kern w:val="0"/>
          <w:lang w:bidi="ar"/>
        </w:rPr>
      </w:pPr>
      <w:r>
        <w:rPr>
          <w:rFonts w:hint="eastAsia" w:ascii="宋体" w:hAnsi="宋体" w:cs="宋体"/>
          <w:kern w:val="0"/>
          <w:lang w:bidi="ar"/>
        </w:rPr>
        <w:t>评标活动遵循客观、公平、公正、审慎、科学和择优的原则。</w:t>
      </w:r>
    </w:p>
    <w:p w14:paraId="635774AC">
      <w:pPr>
        <w:spacing w:line="360" w:lineRule="auto"/>
        <w:ind w:firstLine="482" w:firstLineChars="200"/>
        <w:rPr>
          <w:rFonts w:hint="eastAsia" w:ascii="黑体" w:hAnsi="黑体" w:eastAsia="黑体" w:cs="宋体"/>
          <w:b/>
        </w:rPr>
      </w:pPr>
      <w:bookmarkStart w:id="318" w:name="_Toc191374422"/>
      <w:r>
        <w:rPr>
          <w:rFonts w:hint="eastAsia" w:ascii="黑体" w:hAnsi="黑体" w:eastAsia="黑体" w:cs="宋体"/>
          <w:b/>
        </w:rPr>
        <w:t>19.评标程序、</w:t>
      </w:r>
      <w:bookmarkStart w:id="319" w:name="OLE_LINK4"/>
      <w:r>
        <w:rPr>
          <w:rFonts w:hint="eastAsia" w:ascii="黑体" w:hAnsi="黑体" w:eastAsia="黑体" w:cs="宋体"/>
          <w:b/>
        </w:rPr>
        <w:t>评标方法和评标标准</w:t>
      </w:r>
      <w:bookmarkEnd w:id="319"/>
    </w:p>
    <w:bookmarkEnd w:id="318"/>
    <w:p w14:paraId="2D23C66C">
      <w:pPr>
        <w:pStyle w:val="44"/>
        <w:widowControl w:val="0"/>
        <w:spacing w:before="0" w:beforeAutospacing="0" w:after="0" w:afterAutospacing="0" w:line="360" w:lineRule="auto"/>
        <w:ind w:firstLine="482" w:firstLineChars="200"/>
        <w:jc w:val="both"/>
        <w:rPr>
          <w:rFonts w:hint="eastAsia" w:cs="宋体"/>
          <w:b/>
          <w:bCs/>
          <w:szCs w:val="20"/>
        </w:rPr>
      </w:pPr>
      <w:r>
        <w:rPr>
          <w:rFonts w:cs="宋体"/>
          <w:b/>
          <w:bCs/>
          <w:lang w:bidi="ar"/>
        </w:rPr>
        <w:t>1</w:t>
      </w:r>
      <w:r>
        <w:rPr>
          <w:rFonts w:hint="eastAsia" w:cs="宋体"/>
          <w:b/>
          <w:bCs/>
          <w:lang w:bidi="ar"/>
        </w:rPr>
        <w:t>9</w:t>
      </w:r>
      <w:r>
        <w:rPr>
          <w:rFonts w:hint="eastAsia" w:cs="宋体"/>
          <w:b/>
          <w:bCs/>
          <w:szCs w:val="20"/>
          <w:lang w:bidi="ar"/>
        </w:rPr>
        <w:t>.1评标工作程序</w:t>
      </w:r>
    </w:p>
    <w:p w14:paraId="507FF234">
      <w:pPr>
        <w:spacing w:line="360" w:lineRule="auto"/>
        <w:ind w:firstLine="480" w:firstLineChars="200"/>
        <w:rPr>
          <w:rFonts w:hint="eastAsia" w:ascii="宋体" w:hAnsi="宋体" w:cs="宋体"/>
          <w:kern w:val="0"/>
        </w:rPr>
      </w:pPr>
      <w:r>
        <w:rPr>
          <w:rFonts w:ascii="宋体" w:hAnsi="宋体" w:cs="宋体"/>
          <w:kern w:val="0"/>
          <w:lang w:bidi="ar"/>
        </w:rPr>
        <w:t>1</w:t>
      </w:r>
      <w:r>
        <w:rPr>
          <w:rFonts w:hint="eastAsia" w:ascii="宋体" w:hAnsi="宋体" w:cs="宋体"/>
          <w:kern w:val="0"/>
          <w:lang w:bidi="ar"/>
        </w:rPr>
        <w:t>9.1.1评标委员会按照第五章“评标程序、评标方法和评标标准”规定的评审因素、评审标准、评审程序对投标文件进行独立评审。“评标程序、评标方法和评标标准”没有规定的评审因素和标准，不作为评标依据。</w:t>
      </w:r>
    </w:p>
    <w:p w14:paraId="577B8DFB">
      <w:pPr>
        <w:pStyle w:val="44"/>
        <w:widowControl w:val="0"/>
        <w:spacing w:before="0" w:beforeAutospacing="0" w:after="0" w:afterAutospacing="0" w:line="360" w:lineRule="auto"/>
        <w:ind w:firstLine="482" w:firstLineChars="200"/>
        <w:jc w:val="both"/>
        <w:rPr>
          <w:rFonts w:hint="eastAsia" w:cs="宋体"/>
          <w:b/>
          <w:bCs/>
          <w:szCs w:val="20"/>
        </w:rPr>
      </w:pPr>
      <w:bookmarkStart w:id="320" w:name="OLE_LINK15"/>
      <w:r>
        <w:rPr>
          <w:rFonts w:cs="宋体"/>
          <w:b/>
          <w:bCs/>
          <w:lang w:bidi="ar"/>
        </w:rPr>
        <w:t>1</w:t>
      </w:r>
      <w:r>
        <w:rPr>
          <w:rFonts w:hint="eastAsia" w:cs="宋体"/>
          <w:b/>
          <w:bCs/>
          <w:lang w:bidi="ar"/>
        </w:rPr>
        <w:t>9</w:t>
      </w:r>
      <w:r>
        <w:rPr>
          <w:rFonts w:hint="eastAsia" w:cs="宋体"/>
          <w:b/>
          <w:bCs/>
          <w:szCs w:val="20"/>
          <w:lang w:bidi="ar"/>
        </w:rPr>
        <w:t>.1.2</w:t>
      </w:r>
      <w:r>
        <w:rPr>
          <w:rFonts w:hint="eastAsia" w:cs="宋体"/>
          <w:b/>
          <w:bCs/>
          <w:szCs w:val="20"/>
        </w:rPr>
        <w:t>投标人存在下列情况之一的，投标无效：</w:t>
      </w:r>
    </w:p>
    <w:p w14:paraId="3A02AEE6">
      <w:pPr>
        <w:pStyle w:val="44"/>
        <w:widowControl w:val="0"/>
        <w:spacing w:before="0" w:beforeAutospacing="0" w:after="0" w:afterAutospacing="0" w:line="360" w:lineRule="auto"/>
        <w:ind w:firstLine="480"/>
        <w:jc w:val="both"/>
        <w:rPr>
          <w:rFonts w:hint="eastAsia" w:cs="宋体"/>
          <w:szCs w:val="20"/>
          <w:lang w:bidi="ar"/>
        </w:rPr>
      </w:pPr>
      <w:r>
        <w:rPr>
          <w:rFonts w:hint="eastAsia" w:cs="宋体"/>
          <w:szCs w:val="20"/>
          <w:lang w:bidi="ar"/>
        </w:rPr>
        <w:t>（</w:t>
      </w:r>
      <w:r>
        <w:rPr>
          <w:rFonts w:cs="宋体"/>
          <w:szCs w:val="20"/>
          <w:lang w:bidi="ar"/>
        </w:rPr>
        <w:t>1</w:t>
      </w:r>
      <w:r>
        <w:rPr>
          <w:rFonts w:hint="eastAsia" w:cs="宋体"/>
          <w:szCs w:val="20"/>
          <w:lang w:bidi="ar"/>
        </w:rPr>
        <w:t>）未按招标文件要求签署、盖章的；</w:t>
      </w:r>
    </w:p>
    <w:p w14:paraId="13FC89CB">
      <w:pPr>
        <w:pStyle w:val="44"/>
        <w:widowControl w:val="0"/>
        <w:spacing w:before="0" w:beforeAutospacing="0" w:after="0" w:afterAutospacing="0" w:line="360" w:lineRule="auto"/>
        <w:ind w:firstLine="480"/>
        <w:jc w:val="both"/>
        <w:rPr>
          <w:rFonts w:hint="eastAsia" w:cs="宋体"/>
          <w:szCs w:val="20"/>
          <w:lang w:bidi="ar"/>
        </w:rPr>
      </w:pPr>
      <w:r>
        <w:rPr>
          <w:rFonts w:hint="eastAsia" w:cs="宋体"/>
          <w:szCs w:val="20"/>
          <w:lang w:bidi="ar"/>
        </w:rPr>
        <w:t>（</w:t>
      </w:r>
      <w:r>
        <w:rPr>
          <w:rFonts w:cs="宋体"/>
          <w:szCs w:val="20"/>
          <w:lang w:bidi="ar"/>
        </w:rPr>
        <w:t>2</w:t>
      </w:r>
      <w:r>
        <w:rPr>
          <w:rFonts w:hint="eastAsia" w:cs="宋体"/>
          <w:szCs w:val="20"/>
          <w:lang w:bidi="ar"/>
        </w:rPr>
        <w:t>）不具备招标文件中规定的资格要求的；</w:t>
      </w:r>
    </w:p>
    <w:p w14:paraId="5A3EFB39">
      <w:pPr>
        <w:pStyle w:val="44"/>
        <w:widowControl w:val="0"/>
        <w:spacing w:before="0" w:beforeAutospacing="0" w:after="0" w:afterAutospacing="0" w:line="360" w:lineRule="auto"/>
        <w:ind w:firstLine="480"/>
        <w:jc w:val="both"/>
        <w:rPr>
          <w:rFonts w:hint="eastAsia" w:cs="宋体"/>
          <w:szCs w:val="20"/>
          <w:lang w:bidi="ar"/>
        </w:rPr>
      </w:pPr>
      <w:r>
        <w:rPr>
          <w:rFonts w:hint="eastAsia" w:cs="宋体"/>
          <w:szCs w:val="20"/>
          <w:lang w:bidi="ar"/>
        </w:rPr>
        <w:t>（</w:t>
      </w:r>
      <w:r>
        <w:rPr>
          <w:rFonts w:cs="宋体"/>
          <w:szCs w:val="20"/>
          <w:lang w:bidi="ar"/>
        </w:rPr>
        <w:t>3</w:t>
      </w:r>
      <w:r>
        <w:rPr>
          <w:rFonts w:hint="eastAsia" w:cs="宋体"/>
          <w:szCs w:val="20"/>
          <w:lang w:bidi="ar"/>
        </w:rPr>
        <w:t>）报价超过招标文件中规定的预算金额或者最高限价的；</w:t>
      </w:r>
    </w:p>
    <w:p w14:paraId="3D38A8AD">
      <w:pPr>
        <w:pStyle w:val="44"/>
        <w:widowControl w:val="0"/>
        <w:spacing w:before="0" w:beforeAutospacing="0" w:after="0" w:afterAutospacing="0" w:line="360" w:lineRule="auto"/>
        <w:ind w:firstLine="480"/>
        <w:jc w:val="both"/>
        <w:rPr>
          <w:rFonts w:hint="eastAsia" w:cs="宋体"/>
          <w:szCs w:val="20"/>
          <w:lang w:bidi="ar"/>
        </w:rPr>
      </w:pPr>
      <w:r>
        <w:rPr>
          <w:rFonts w:hint="eastAsia" w:cs="宋体"/>
          <w:szCs w:val="20"/>
          <w:lang w:bidi="ar"/>
        </w:rPr>
        <w:t>（</w:t>
      </w:r>
      <w:r>
        <w:rPr>
          <w:rFonts w:cs="宋体"/>
          <w:szCs w:val="20"/>
          <w:lang w:bidi="ar"/>
        </w:rPr>
        <w:t>4</w:t>
      </w:r>
      <w:r>
        <w:rPr>
          <w:rFonts w:hint="eastAsia" w:cs="宋体"/>
          <w:szCs w:val="20"/>
          <w:lang w:bidi="ar"/>
        </w:rPr>
        <w:t>）投标文件含有采购人不能接受的附加条件的；</w:t>
      </w:r>
    </w:p>
    <w:p w14:paraId="41ABCF10">
      <w:pPr>
        <w:pStyle w:val="44"/>
        <w:widowControl w:val="0"/>
        <w:spacing w:before="0" w:beforeAutospacing="0" w:after="0" w:afterAutospacing="0" w:line="360" w:lineRule="auto"/>
        <w:ind w:firstLine="480"/>
        <w:jc w:val="both"/>
        <w:rPr>
          <w:rFonts w:hint="eastAsia" w:cs="宋体"/>
          <w:szCs w:val="20"/>
        </w:rPr>
      </w:pPr>
      <w:r>
        <w:rPr>
          <w:rFonts w:hint="eastAsia" w:cs="宋体"/>
          <w:szCs w:val="20"/>
          <w:lang w:bidi="ar"/>
        </w:rPr>
        <w:t>（</w:t>
      </w:r>
      <w:r>
        <w:rPr>
          <w:rFonts w:cs="宋体"/>
          <w:szCs w:val="20"/>
          <w:lang w:bidi="ar"/>
        </w:rPr>
        <w:t>5</w:t>
      </w:r>
      <w:r>
        <w:rPr>
          <w:rFonts w:hint="eastAsia" w:cs="宋体"/>
          <w:szCs w:val="20"/>
          <w:lang w:bidi="ar"/>
        </w:rPr>
        <w:t>）</w:t>
      </w:r>
      <w:bookmarkStart w:id="321" w:name="OLE_LINK69"/>
      <w:r>
        <w:rPr>
          <w:rFonts w:hint="eastAsia" w:cs="宋体"/>
          <w:szCs w:val="20"/>
          <w:lang w:bidi="ar"/>
        </w:rPr>
        <w:t>法律、法规和招标文件规定的其他无效情形</w:t>
      </w:r>
      <w:bookmarkEnd w:id="321"/>
      <w:r>
        <w:rPr>
          <w:rFonts w:hint="eastAsia" w:cs="宋体"/>
          <w:szCs w:val="20"/>
          <w:lang w:bidi="ar"/>
        </w:rPr>
        <w:t>。</w:t>
      </w:r>
      <w:bookmarkEnd w:id="320"/>
    </w:p>
    <w:p w14:paraId="773366F6">
      <w:pPr>
        <w:pStyle w:val="44"/>
        <w:widowControl w:val="0"/>
        <w:spacing w:before="0" w:beforeAutospacing="0" w:after="0" w:afterAutospacing="0" w:line="360" w:lineRule="auto"/>
        <w:ind w:firstLine="482" w:firstLineChars="200"/>
        <w:jc w:val="both"/>
        <w:rPr>
          <w:rFonts w:hint="eastAsia" w:cs="宋体" w:asciiTheme="minorEastAsia" w:hAnsiTheme="minorEastAsia" w:eastAsiaTheme="minorEastAsia"/>
          <w:szCs w:val="20"/>
        </w:rPr>
      </w:pPr>
      <w:r>
        <w:rPr>
          <w:rFonts w:hint="eastAsia" w:cs="宋体"/>
          <w:b/>
          <w:bCs/>
          <w:lang w:bidi="ar"/>
        </w:rPr>
        <w:t>19.2</w:t>
      </w:r>
      <w:r>
        <w:rPr>
          <w:rFonts w:hint="eastAsia" w:cs="宋体"/>
          <w:b/>
          <w:bCs/>
          <w:szCs w:val="20"/>
          <w:lang w:bidi="ar"/>
        </w:rPr>
        <w:t>评标过程的保密：</w:t>
      </w:r>
      <w:r>
        <w:rPr>
          <w:rFonts w:hint="eastAsia" w:cs="宋体"/>
          <w:szCs w:val="20"/>
          <w:lang w:bidi="ar"/>
        </w:rPr>
        <w:t>开标后，直到授予投标人合同止，凡是属于审查、澄清、评审和比较的有关资料以及定标建议等均不得向投标人或其他无关的人员透露。投标人在评标过程中采取任何试图影响评标结果不公正的行为，可能导致其投标被拒绝。</w:t>
      </w:r>
    </w:p>
    <w:p w14:paraId="0A01D685">
      <w:pPr>
        <w:spacing w:line="360" w:lineRule="auto"/>
        <w:ind w:firstLine="482" w:firstLineChars="200"/>
        <w:rPr>
          <w:rFonts w:hint="eastAsia" w:ascii="黑体" w:hAnsi="黑体" w:eastAsia="黑体" w:cs="宋体"/>
          <w:b/>
        </w:rPr>
      </w:pPr>
      <w:r>
        <w:rPr>
          <w:rFonts w:hint="eastAsia" w:ascii="黑体" w:hAnsi="黑体" w:eastAsia="黑体" w:cs="宋体"/>
          <w:b/>
        </w:rPr>
        <w:t>20.投标文件如果出现计算或表达上的错误，修正错误的原则如下</w:t>
      </w:r>
    </w:p>
    <w:p w14:paraId="038F5635">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（1）投标文件中开标（唱标）一览表（报价表）内容与投标文件中相应内容不一致的，以开标（唱标）一览表（报价表）为准；</w:t>
      </w:r>
    </w:p>
    <w:p w14:paraId="2CEAD0F9">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（2）大写金额和小写金额不一致的，以大写金额为准；</w:t>
      </w:r>
    </w:p>
    <w:p w14:paraId="475FB041">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（3）单价金额小数点或者百分比有明显错位的，以开标一览表的总价为准，并修改单价；</w:t>
      </w:r>
    </w:p>
    <w:p w14:paraId="3CF9989D">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（4）总价金额与按单价汇总金额不一致的，以单价金额计算结果为准。</w:t>
      </w:r>
    </w:p>
    <w:p w14:paraId="4E608132">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（5）同时出现两种以上不一致的，按照前款规定的顺序修正。</w:t>
      </w:r>
    </w:p>
    <w:p w14:paraId="674943E9">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同时出现两种以上不一致的，按照前款规定的顺序修正。修正后的报价应当采用书面形式并加盖公章，或者由法定代表人或其授权的代表签字，经投标人确认后产生约束力，投标人不确认的，其投标无效。</w:t>
      </w:r>
    </w:p>
    <w:p w14:paraId="00BF3F4E">
      <w:pPr>
        <w:pStyle w:val="44"/>
        <w:widowControl w:val="0"/>
        <w:spacing w:before="0" w:beforeAutospacing="0" w:after="0" w:afterAutospacing="0" w:line="360" w:lineRule="auto"/>
        <w:ind w:firstLine="482" w:firstLineChars="200"/>
        <w:jc w:val="both"/>
        <w:rPr>
          <w:rFonts w:hint="eastAsia" w:ascii="黑体" w:hAnsi="黑体" w:eastAsia="黑体" w:cs="宋体"/>
          <w:b/>
          <w:szCs w:val="20"/>
          <w:lang w:bidi="ar"/>
        </w:rPr>
      </w:pPr>
      <w:bookmarkStart w:id="322" w:name="_Toc232509431"/>
      <w:bookmarkStart w:id="323" w:name="_Toc438160893"/>
      <w:r>
        <w:rPr>
          <w:rFonts w:hint="eastAsia" w:ascii="黑体" w:hAnsi="黑体" w:eastAsia="黑体" w:cs="宋体"/>
          <w:b/>
          <w:szCs w:val="20"/>
          <w:lang w:bidi="ar"/>
        </w:rPr>
        <w:t>21.废标及投标无效</w:t>
      </w:r>
    </w:p>
    <w:p w14:paraId="43EC37E7">
      <w:pPr>
        <w:pStyle w:val="44"/>
        <w:widowControl w:val="0"/>
        <w:spacing w:before="0" w:beforeAutospacing="0" w:after="0" w:afterAutospacing="0" w:line="360" w:lineRule="auto"/>
        <w:ind w:firstLine="482" w:firstLineChars="200"/>
        <w:jc w:val="both"/>
        <w:rPr>
          <w:rFonts w:hint="eastAsia" w:cs="宋体" w:asciiTheme="minorEastAsia" w:hAnsiTheme="minorEastAsia" w:eastAsiaTheme="minorEastAsia"/>
          <w:b/>
          <w:bCs/>
          <w:szCs w:val="20"/>
        </w:rPr>
      </w:pPr>
      <w:r>
        <w:rPr>
          <w:rFonts w:hint="eastAsia" w:cs="宋体" w:asciiTheme="minorEastAsia" w:hAnsiTheme="minorEastAsia" w:eastAsiaTheme="minorEastAsia"/>
          <w:b/>
          <w:bCs/>
          <w:szCs w:val="20"/>
        </w:rPr>
        <w:t>★21.1出现下列情形之一的，应予废标：</w:t>
      </w:r>
    </w:p>
    <w:p w14:paraId="582964F8">
      <w:pPr>
        <w:pStyle w:val="44"/>
        <w:widowControl w:val="0"/>
        <w:spacing w:before="0" w:beforeAutospacing="0" w:after="0" w:afterAutospacing="0" w:line="360" w:lineRule="auto"/>
        <w:ind w:firstLine="480" w:firstLineChars="200"/>
        <w:jc w:val="both"/>
        <w:rPr>
          <w:rFonts w:hint="eastAsia" w:cs="宋体" w:asciiTheme="majorEastAsia" w:hAnsiTheme="majorEastAsia" w:eastAsiaTheme="majorEastAsia"/>
          <w:szCs w:val="20"/>
        </w:rPr>
      </w:pPr>
      <w:bookmarkStart w:id="324" w:name="OLE_LINK82"/>
      <w:r>
        <w:rPr>
          <w:rFonts w:hint="eastAsia" w:cs="宋体" w:asciiTheme="majorEastAsia" w:hAnsiTheme="majorEastAsia" w:eastAsiaTheme="majorEastAsia"/>
          <w:szCs w:val="20"/>
        </w:rPr>
        <w:t>（1）</w:t>
      </w:r>
      <w:bookmarkEnd w:id="324"/>
      <w:r>
        <w:rPr>
          <w:rFonts w:hint="eastAsia" w:cs="宋体" w:asciiTheme="majorEastAsia" w:hAnsiTheme="majorEastAsia" w:eastAsiaTheme="majorEastAsia"/>
          <w:szCs w:val="20"/>
        </w:rPr>
        <w:t>符合专业条件的投标人或者对招标文件作实质响应的投标人不足3家的；</w:t>
      </w:r>
    </w:p>
    <w:p w14:paraId="47137169">
      <w:pPr>
        <w:pStyle w:val="44"/>
        <w:widowControl w:val="0"/>
        <w:spacing w:before="0" w:beforeAutospacing="0" w:after="0" w:afterAutospacing="0" w:line="360" w:lineRule="auto"/>
        <w:ind w:firstLine="480" w:firstLineChars="200"/>
        <w:jc w:val="both"/>
        <w:rPr>
          <w:rFonts w:hint="eastAsia" w:cs="宋体" w:asciiTheme="majorEastAsia" w:hAnsiTheme="majorEastAsia" w:eastAsiaTheme="majorEastAsia"/>
          <w:szCs w:val="20"/>
        </w:rPr>
      </w:pPr>
      <w:r>
        <w:rPr>
          <w:rFonts w:hint="eastAsia" w:cs="宋体" w:asciiTheme="majorEastAsia" w:hAnsiTheme="majorEastAsia" w:eastAsiaTheme="majorEastAsia"/>
          <w:szCs w:val="20"/>
        </w:rPr>
        <w:t>（2）出现影响采购公正的违法、违规行为的；</w:t>
      </w:r>
    </w:p>
    <w:p w14:paraId="4FF29186">
      <w:pPr>
        <w:pStyle w:val="44"/>
        <w:widowControl w:val="0"/>
        <w:spacing w:before="0" w:beforeAutospacing="0" w:after="0" w:afterAutospacing="0" w:line="360" w:lineRule="auto"/>
        <w:ind w:firstLine="480" w:firstLineChars="200"/>
        <w:jc w:val="both"/>
        <w:rPr>
          <w:rFonts w:hint="eastAsia" w:cs="宋体" w:asciiTheme="majorEastAsia" w:hAnsiTheme="majorEastAsia" w:eastAsiaTheme="majorEastAsia"/>
          <w:szCs w:val="20"/>
        </w:rPr>
      </w:pPr>
      <w:r>
        <w:rPr>
          <w:rFonts w:hint="eastAsia" w:cs="宋体" w:asciiTheme="majorEastAsia" w:hAnsiTheme="majorEastAsia" w:eastAsiaTheme="majorEastAsia"/>
          <w:szCs w:val="20"/>
        </w:rPr>
        <w:t>（3）投标人的报价均超过了采购预算，采购人不能支付的；</w:t>
      </w:r>
    </w:p>
    <w:p w14:paraId="27C5AD5A">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ajorEastAsia" w:hAnsiTheme="majorEastAsia" w:eastAsiaTheme="majorEastAsia"/>
          <w:szCs w:val="20"/>
        </w:rPr>
        <w:t>（4）因重大变故，采购任务取消</w:t>
      </w:r>
      <w:r>
        <w:rPr>
          <w:rFonts w:hint="eastAsia" w:cs="宋体" w:asciiTheme="minorEastAsia" w:hAnsiTheme="minorEastAsia" w:eastAsiaTheme="minorEastAsia"/>
          <w:szCs w:val="20"/>
        </w:rPr>
        <w:t>的。</w:t>
      </w:r>
    </w:p>
    <w:p w14:paraId="65983035">
      <w:pPr>
        <w:pStyle w:val="44"/>
        <w:widowControl w:val="0"/>
        <w:spacing w:before="0" w:beforeAutospacing="0" w:after="0" w:afterAutospacing="0" w:line="360" w:lineRule="auto"/>
        <w:ind w:firstLine="482" w:firstLineChars="200"/>
        <w:jc w:val="both"/>
        <w:rPr>
          <w:rFonts w:hint="eastAsia" w:cs="宋体" w:asciiTheme="minorEastAsia" w:hAnsiTheme="minorEastAsia" w:eastAsiaTheme="minorEastAsia"/>
          <w:b/>
          <w:bCs/>
          <w:szCs w:val="20"/>
        </w:rPr>
      </w:pPr>
      <w:r>
        <w:rPr>
          <w:rFonts w:hint="eastAsia" w:cs="宋体" w:asciiTheme="minorEastAsia" w:hAnsiTheme="minorEastAsia" w:eastAsiaTheme="minorEastAsia"/>
          <w:b/>
          <w:bCs/>
          <w:szCs w:val="20"/>
        </w:rPr>
        <w:t>废标后，应当将废标理由通知所有投标人。</w:t>
      </w:r>
    </w:p>
    <w:p w14:paraId="1A7E4B48">
      <w:pPr>
        <w:pStyle w:val="44"/>
        <w:widowControl w:val="0"/>
        <w:spacing w:before="0" w:beforeAutospacing="0" w:after="0" w:afterAutospacing="0" w:line="360" w:lineRule="auto"/>
        <w:ind w:firstLine="482" w:firstLineChars="200"/>
        <w:jc w:val="both"/>
        <w:rPr>
          <w:rFonts w:hint="eastAsia" w:cs="宋体" w:asciiTheme="minorEastAsia" w:hAnsiTheme="minorEastAsia" w:eastAsiaTheme="minorEastAsia"/>
          <w:b/>
          <w:bCs/>
          <w:szCs w:val="20"/>
        </w:rPr>
      </w:pPr>
      <w:r>
        <w:rPr>
          <w:rFonts w:hint="eastAsia" w:cs="宋体" w:asciiTheme="minorEastAsia" w:hAnsiTheme="minorEastAsia" w:eastAsiaTheme="minorEastAsia"/>
          <w:b/>
          <w:bCs/>
          <w:szCs w:val="20"/>
        </w:rPr>
        <w:t>21.2有下列情形之一的，视为投标人串通投标，其投标无效：</w:t>
      </w:r>
    </w:p>
    <w:p w14:paraId="7A1ABD74">
      <w:pPr>
        <w:pStyle w:val="44"/>
        <w:widowControl w:val="0"/>
        <w:spacing w:before="0" w:beforeAutospacing="0" w:after="0" w:afterAutospacing="0" w:line="360" w:lineRule="auto"/>
        <w:ind w:firstLine="480" w:firstLineChars="200"/>
        <w:jc w:val="both"/>
        <w:rPr>
          <w:rFonts w:hint="eastAsia" w:cs="宋体" w:asciiTheme="majorEastAsia" w:hAnsiTheme="majorEastAsia" w:eastAsiaTheme="majorEastAsia"/>
          <w:szCs w:val="20"/>
        </w:rPr>
      </w:pPr>
      <w:r>
        <w:rPr>
          <w:rFonts w:hint="eastAsia" w:cs="宋体" w:asciiTheme="majorEastAsia" w:hAnsiTheme="majorEastAsia" w:eastAsiaTheme="majorEastAsia"/>
          <w:szCs w:val="20"/>
        </w:rPr>
        <w:t>（1）不同投标人的投标文件由同一单位或者个人编制；</w:t>
      </w:r>
    </w:p>
    <w:p w14:paraId="6EE30319">
      <w:pPr>
        <w:pStyle w:val="44"/>
        <w:widowControl w:val="0"/>
        <w:spacing w:before="0" w:beforeAutospacing="0" w:after="0" w:afterAutospacing="0" w:line="360" w:lineRule="auto"/>
        <w:ind w:firstLine="480" w:firstLineChars="200"/>
        <w:jc w:val="both"/>
        <w:rPr>
          <w:rFonts w:hint="eastAsia" w:cs="宋体" w:asciiTheme="majorEastAsia" w:hAnsiTheme="majorEastAsia" w:eastAsiaTheme="majorEastAsia"/>
          <w:szCs w:val="20"/>
        </w:rPr>
      </w:pPr>
      <w:r>
        <w:rPr>
          <w:rFonts w:hint="eastAsia" w:cs="宋体" w:asciiTheme="majorEastAsia" w:hAnsiTheme="majorEastAsia" w:eastAsiaTheme="majorEastAsia"/>
          <w:szCs w:val="20"/>
        </w:rPr>
        <w:t>（2）不同投标人委托同一单位或者个人办理投标事宜；</w:t>
      </w:r>
    </w:p>
    <w:p w14:paraId="15FACEF2">
      <w:pPr>
        <w:pStyle w:val="44"/>
        <w:widowControl w:val="0"/>
        <w:spacing w:before="0" w:beforeAutospacing="0" w:after="0" w:afterAutospacing="0" w:line="360" w:lineRule="auto"/>
        <w:ind w:firstLine="480" w:firstLineChars="200"/>
        <w:jc w:val="both"/>
        <w:rPr>
          <w:rFonts w:hint="eastAsia" w:cs="宋体" w:asciiTheme="majorEastAsia" w:hAnsiTheme="majorEastAsia" w:eastAsiaTheme="majorEastAsia"/>
          <w:szCs w:val="20"/>
        </w:rPr>
      </w:pPr>
      <w:r>
        <w:rPr>
          <w:rFonts w:hint="eastAsia" w:cs="宋体" w:asciiTheme="majorEastAsia" w:hAnsiTheme="majorEastAsia" w:eastAsiaTheme="majorEastAsia"/>
          <w:szCs w:val="20"/>
        </w:rPr>
        <w:t>（3）不同投标人的投标文件载明的项目管理成员或者联系人员为同一人；</w:t>
      </w:r>
    </w:p>
    <w:p w14:paraId="51E1CCF1">
      <w:pPr>
        <w:pStyle w:val="44"/>
        <w:widowControl w:val="0"/>
        <w:spacing w:before="0" w:beforeAutospacing="0" w:after="0" w:afterAutospacing="0" w:line="360" w:lineRule="auto"/>
        <w:ind w:firstLine="480" w:firstLineChars="200"/>
        <w:jc w:val="both"/>
        <w:rPr>
          <w:rFonts w:hint="eastAsia" w:cs="宋体" w:asciiTheme="majorEastAsia" w:hAnsiTheme="majorEastAsia" w:eastAsiaTheme="majorEastAsia"/>
          <w:szCs w:val="20"/>
        </w:rPr>
      </w:pPr>
      <w:r>
        <w:rPr>
          <w:rFonts w:hint="eastAsia" w:cs="宋体" w:asciiTheme="majorEastAsia" w:hAnsiTheme="majorEastAsia" w:eastAsiaTheme="majorEastAsia"/>
          <w:szCs w:val="20"/>
        </w:rPr>
        <w:t>（4）不同投标人的投标文件异常一致或者投标报价呈规律性差异；</w:t>
      </w:r>
    </w:p>
    <w:p w14:paraId="5E8007C6">
      <w:pPr>
        <w:pStyle w:val="44"/>
        <w:widowControl w:val="0"/>
        <w:spacing w:before="0" w:beforeAutospacing="0" w:after="0" w:afterAutospacing="0" w:line="360" w:lineRule="auto"/>
        <w:ind w:firstLine="480" w:firstLineChars="200"/>
        <w:jc w:val="both"/>
        <w:rPr>
          <w:rFonts w:hint="eastAsia" w:cs="宋体" w:asciiTheme="majorEastAsia" w:hAnsiTheme="majorEastAsia" w:eastAsiaTheme="majorEastAsia"/>
          <w:szCs w:val="20"/>
        </w:rPr>
      </w:pPr>
      <w:r>
        <w:rPr>
          <w:rFonts w:hint="eastAsia" w:cs="宋体" w:asciiTheme="majorEastAsia" w:hAnsiTheme="majorEastAsia" w:eastAsiaTheme="majorEastAsia"/>
          <w:szCs w:val="20"/>
        </w:rPr>
        <w:t>（5）不同投标人的投标文件相互混装；</w:t>
      </w:r>
    </w:p>
    <w:p w14:paraId="70B7290B">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ajorEastAsia" w:hAnsiTheme="majorEastAsia" w:eastAsiaTheme="majorEastAsia"/>
          <w:szCs w:val="20"/>
        </w:rPr>
        <w:t>（6）不同投标人的投标保证金从同一单位或者个人的账户转出。</w:t>
      </w:r>
    </w:p>
    <w:p w14:paraId="3DAE7D56">
      <w:pPr>
        <w:spacing w:line="360" w:lineRule="auto"/>
        <w:ind w:firstLine="482" w:firstLineChars="200"/>
        <w:rPr>
          <w:rFonts w:hint="eastAsia" w:ascii="黑体" w:hAnsi="黑体" w:eastAsia="黑体" w:cs="宋体"/>
          <w:b/>
          <w:kern w:val="0"/>
        </w:rPr>
      </w:pPr>
      <w:r>
        <w:rPr>
          <w:rFonts w:hint="eastAsia" w:ascii="黑体" w:hAnsi="黑体" w:eastAsia="黑体" w:cs="宋体"/>
          <w:b/>
          <w:kern w:val="0"/>
          <w:lang w:bidi="ar"/>
        </w:rPr>
        <w:t>22.评标方法和评标标准</w:t>
      </w:r>
    </w:p>
    <w:p w14:paraId="6A0B2D46">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szCs w:val="20"/>
          <w:lang w:bidi="ar"/>
        </w:rPr>
        <w:t>评标办法：综合评分法，具体评标办法详见第五章“</w:t>
      </w:r>
      <w:r>
        <w:rPr>
          <w:rFonts w:hint="eastAsia" w:cs="宋体"/>
          <w:bCs/>
          <w:szCs w:val="20"/>
          <w:lang w:bidi="ar"/>
        </w:rPr>
        <w:t>评标程序、评标方法和评标标准”</w:t>
      </w:r>
      <w:r>
        <w:rPr>
          <w:rFonts w:hint="eastAsia" w:cs="宋体"/>
          <w:szCs w:val="20"/>
          <w:lang w:bidi="ar"/>
        </w:rPr>
        <w:t>。</w:t>
      </w:r>
    </w:p>
    <w:p w14:paraId="49D4B8E3">
      <w:pPr>
        <w:pStyle w:val="3"/>
        <w:tabs>
          <w:tab w:val="clear" w:pos="3999"/>
        </w:tabs>
        <w:spacing w:afterLines="0" w:line="360" w:lineRule="auto"/>
        <w:rPr>
          <w:rFonts w:hint="eastAsia" w:ascii="黑体" w:hAnsi="黑体" w:eastAsia="黑体" w:cs="宋体"/>
          <w:sz w:val="28"/>
          <w:szCs w:val="28"/>
        </w:rPr>
      </w:pPr>
      <w:bookmarkStart w:id="325" w:name="_Toc192748541"/>
      <w:bookmarkStart w:id="326" w:name="_Toc146736307"/>
      <w:bookmarkStart w:id="327" w:name="_Toc216365877"/>
      <w:bookmarkStart w:id="328" w:name="_Toc193792870"/>
      <w:bookmarkStart w:id="329" w:name="_Toc215313859"/>
      <w:bookmarkStart w:id="330" w:name="_Toc203147222"/>
      <w:bookmarkStart w:id="331" w:name="_Toc97580318"/>
      <w:r>
        <w:rPr>
          <w:rFonts w:hint="eastAsia" w:ascii="黑体" w:hAnsi="黑体" w:eastAsia="黑体" w:cs="宋体"/>
          <w:sz w:val="28"/>
          <w:szCs w:val="28"/>
        </w:rPr>
        <w:t>七、中标结果</w:t>
      </w:r>
      <w:bookmarkEnd w:id="322"/>
      <w:bookmarkEnd w:id="323"/>
      <w:bookmarkEnd w:id="325"/>
      <w:bookmarkEnd w:id="326"/>
      <w:bookmarkEnd w:id="327"/>
      <w:bookmarkEnd w:id="328"/>
      <w:bookmarkEnd w:id="329"/>
      <w:bookmarkEnd w:id="330"/>
      <w:bookmarkEnd w:id="331"/>
    </w:p>
    <w:p w14:paraId="00C5A9DF">
      <w:pPr>
        <w:pStyle w:val="276"/>
        <w:spacing w:line="360" w:lineRule="auto"/>
        <w:ind w:firstLine="482" w:firstLineChars="200"/>
        <w:rPr>
          <w:rFonts w:hint="eastAsia" w:ascii="黑体" w:hAnsi="黑体" w:eastAsia="黑体"/>
          <w:b/>
          <w:bCs/>
          <w:sz w:val="24"/>
          <w:szCs w:val="24"/>
        </w:rPr>
      </w:pPr>
      <w:bookmarkStart w:id="332" w:name="_Toc78448005"/>
      <w:bookmarkStart w:id="333" w:name="_Toc99729038"/>
      <w:bookmarkStart w:id="334" w:name="_Toc97580319"/>
      <w:bookmarkStart w:id="335" w:name="_Toc95047030"/>
      <w:bookmarkStart w:id="336" w:name="_Toc66692259"/>
      <w:bookmarkStart w:id="337" w:name="_Toc90575611"/>
      <w:bookmarkStart w:id="338" w:name="_Toc79526086"/>
      <w:bookmarkStart w:id="339" w:name="_Toc70496813"/>
      <w:bookmarkStart w:id="340" w:name="_Toc93839911"/>
      <w:bookmarkStart w:id="341" w:name="_Toc90128790"/>
      <w:bookmarkStart w:id="342" w:name="_Toc66969992"/>
      <w:bookmarkStart w:id="343" w:name="_Toc82077107"/>
      <w:bookmarkStart w:id="344" w:name="_Toc90128556"/>
      <w:bookmarkStart w:id="345" w:name="_Toc139292880"/>
      <w:bookmarkStart w:id="346" w:name="_Toc82077206"/>
      <w:bookmarkStart w:id="347" w:name="_Toc95222464"/>
      <w:bookmarkStart w:id="348" w:name="_Toc67040107"/>
      <w:r>
        <w:rPr>
          <w:rFonts w:hint="eastAsia" w:ascii="黑体" w:hAnsi="黑体" w:eastAsia="黑体"/>
          <w:b/>
          <w:bCs/>
          <w:sz w:val="24"/>
          <w:szCs w:val="24"/>
        </w:rPr>
        <w:t>23.中标人的确定</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3A12757A">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23.1采购代理机构应当在评标结束后2个工作日内将评标报告送采购人确认。</w:t>
      </w:r>
    </w:p>
    <w:p w14:paraId="71319C44">
      <w:pPr>
        <w:spacing w:line="360" w:lineRule="auto"/>
        <w:ind w:firstLine="480" w:firstLineChars="200"/>
        <w:rPr>
          <w:rFonts w:hint="eastAsia" w:cs="宋体" w:asciiTheme="minorEastAsia" w:hAnsiTheme="minorEastAsia" w:eastAsiaTheme="minorEastAsia"/>
        </w:rPr>
      </w:pPr>
      <w:r>
        <w:rPr>
          <w:rFonts w:hint="eastAsia" w:cs="宋体" w:asciiTheme="minorEastAsia" w:hAnsiTheme="minorEastAsia" w:eastAsiaTheme="minorEastAsia"/>
        </w:rPr>
        <w:t>23</w:t>
      </w:r>
      <w:r>
        <w:rPr>
          <w:rFonts w:cs="宋体" w:asciiTheme="minorEastAsia" w:hAnsiTheme="minorEastAsia" w:eastAsiaTheme="minorEastAsia"/>
        </w:rPr>
        <w:t>.2</w:t>
      </w:r>
      <w:r>
        <w:rPr>
          <w:rFonts w:hint="eastAsia" w:cs="宋体" w:asciiTheme="minorEastAsia" w:hAnsiTheme="minorEastAsia" w:eastAsiaTheme="minorEastAsia"/>
        </w:rPr>
        <w:t>采购人应当自收到评标报告之日起5个工作日内，在评标报告确定的中标候选人名单中按顺序确定中标人。</w:t>
      </w:r>
    </w:p>
    <w:p w14:paraId="1744C4EE">
      <w:pPr>
        <w:pStyle w:val="276"/>
        <w:spacing w:line="360" w:lineRule="auto"/>
        <w:ind w:firstLine="482" w:firstLineChars="200"/>
        <w:rPr>
          <w:rFonts w:hint="eastAsia" w:ascii="黑体" w:hAnsi="黑体" w:eastAsia="黑体"/>
          <w:b/>
          <w:bCs/>
          <w:sz w:val="24"/>
          <w:szCs w:val="24"/>
        </w:rPr>
      </w:pPr>
      <w:bookmarkStart w:id="349" w:name="_Toc79526087"/>
      <w:bookmarkStart w:id="350" w:name="_Toc66692260"/>
      <w:bookmarkStart w:id="351" w:name="_Toc99729039"/>
      <w:bookmarkStart w:id="352" w:name="_Toc70496814"/>
      <w:bookmarkStart w:id="353" w:name="_Toc139292881"/>
      <w:bookmarkStart w:id="354" w:name="_Toc95047031"/>
      <w:bookmarkStart w:id="355" w:name="_Toc90128557"/>
      <w:bookmarkStart w:id="356" w:name="_Toc78448006"/>
      <w:bookmarkStart w:id="357" w:name="_Toc97580320"/>
      <w:bookmarkStart w:id="358" w:name="_Toc93839912"/>
      <w:bookmarkStart w:id="359" w:name="_Toc90575612"/>
      <w:bookmarkStart w:id="360" w:name="_Toc82077207"/>
      <w:bookmarkStart w:id="361" w:name="_Toc67040108"/>
      <w:bookmarkStart w:id="362" w:name="_Toc66969993"/>
      <w:bookmarkStart w:id="363" w:name="_Toc95222465"/>
      <w:bookmarkStart w:id="364" w:name="_Toc82077108"/>
      <w:bookmarkStart w:id="365" w:name="_Toc90128791"/>
      <w:r>
        <w:rPr>
          <w:rFonts w:hint="eastAsia" w:ascii="黑体" w:hAnsi="黑体" w:eastAsia="黑体"/>
          <w:b/>
          <w:bCs/>
          <w:sz w:val="24"/>
          <w:szCs w:val="24"/>
        </w:rPr>
        <w:t>24.中标通知书</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4443AB6A">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kern w:val="0"/>
        </w:rPr>
        <w:t>24.1中标人确定后，中标结果由采购代理机构在招标公告发布媒介上发布，在发布公告的同时，采购代理机构向中标人发出中标通知书，中标通知书对采购人和中标人具有同等法律效力。</w:t>
      </w:r>
    </w:p>
    <w:p w14:paraId="7313C9E3">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rPr>
      </w:pPr>
      <w:r>
        <w:rPr>
          <w:rFonts w:hint="eastAsia" w:cs="宋体" w:asciiTheme="minorEastAsia" w:hAnsiTheme="minorEastAsia" w:eastAsiaTheme="minorEastAsia"/>
        </w:rPr>
        <w:t>24.2中标通知书是合同的一个组成部分。</w:t>
      </w:r>
    </w:p>
    <w:p w14:paraId="5934F523">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rPr>
      </w:pPr>
      <w:r>
        <w:rPr>
          <w:rFonts w:hint="eastAsia" w:cs="宋体" w:asciiTheme="minorEastAsia" w:hAnsiTheme="minorEastAsia" w:eastAsiaTheme="minorEastAsia"/>
        </w:rPr>
        <w:t>24.3采购人和采购代理机构对投标人未中标原因不作解释。</w:t>
      </w:r>
    </w:p>
    <w:p w14:paraId="5FAD1A4D">
      <w:pPr>
        <w:pStyle w:val="276"/>
        <w:spacing w:line="360" w:lineRule="auto"/>
        <w:ind w:firstLine="482" w:firstLineChars="200"/>
        <w:rPr>
          <w:rFonts w:hint="eastAsia" w:ascii="黑体" w:hAnsi="黑体" w:eastAsia="黑体"/>
          <w:b/>
          <w:bCs/>
          <w:sz w:val="24"/>
          <w:szCs w:val="24"/>
        </w:rPr>
      </w:pPr>
      <w:bookmarkStart w:id="366" w:name="_Toc97580321"/>
      <w:bookmarkStart w:id="367" w:name="_Toc79526088"/>
      <w:bookmarkStart w:id="368" w:name="_Toc78448007"/>
      <w:bookmarkStart w:id="369" w:name="_Toc90128792"/>
      <w:bookmarkStart w:id="370" w:name="_Toc82077208"/>
      <w:bookmarkStart w:id="371" w:name="_Toc99729040"/>
      <w:bookmarkStart w:id="372" w:name="_Toc90128558"/>
      <w:bookmarkStart w:id="373" w:name="_Toc90575613"/>
      <w:bookmarkStart w:id="374" w:name="_Toc82077109"/>
      <w:bookmarkStart w:id="375" w:name="_Toc95047032"/>
      <w:bookmarkStart w:id="376" w:name="_Toc66969994"/>
      <w:bookmarkStart w:id="377" w:name="_Toc66692261"/>
      <w:bookmarkStart w:id="378" w:name="_Toc93839913"/>
      <w:bookmarkStart w:id="379" w:name="_Toc67040109"/>
      <w:bookmarkStart w:id="380" w:name="_Toc70496815"/>
      <w:bookmarkStart w:id="381" w:name="_Toc95222466"/>
      <w:bookmarkStart w:id="382" w:name="_Toc139292882"/>
      <w:r>
        <w:rPr>
          <w:rFonts w:hint="eastAsia" w:ascii="黑体" w:hAnsi="黑体" w:eastAsia="黑体"/>
          <w:b/>
          <w:bCs/>
          <w:sz w:val="24"/>
          <w:szCs w:val="24"/>
        </w:rPr>
        <w:t>25</w:t>
      </w:r>
      <w:r>
        <w:rPr>
          <w:rFonts w:ascii="黑体" w:hAnsi="黑体" w:eastAsia="黑体"/>
          <w:b/>
          <w:bCs/>
          <w:sz w:val="24"/>
          <w:szCs w:val="24"/>
        </w:rPr>
        <w:t>.</w:t>
      </w:r>
      <w:r>
        <w:rPr>
          <w:rFonts w:hint="eastAsia" w:ascii="黑体" w:hAnsi="黑体" w:eastAsia="黑体"/>
          <w:b/>
          <w:bCs/>
          <w:sz w:val="24"/>
          <w:szCs w:val="24"/>
        </w:rPr>
        <w:t>签订合同</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0ED6ECF8">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rPr>
      </w:pPr>
      <w:r>
        <w:rPr>
          <w:rFonts w:hint="eastAsia" w:cs="宋体" w:asciiTheme="minorEastAsia" w:hAnsiTheme="minorEastAsia" w:eastAsiaTheme="minorEastAsia"/>
        </w:rPr>
        <w:t>25.1中标人收到中标通知书后，按招标文件、投标文件及有关澄清承诺书的要求与采购人签订合同。</w:t>
      </w:r>
    </w:p>
    <w:p w14:paraId="664D9645">
      <w:pPr>
        <w:spacing w:line="360" w:lineRule="auto"/>
        <w:ind w:firstLine="480" w:firstLineChars="200"/>
        <w:rPr>
          <w:rFonts w:hint="eastAsia" w:cs="宋体" w:asciiTheme="minorEastAsia" w:hAnsiTheme="minorEastAsia" w:eastAsiaTheme="minorEastAsia"/>
          <w:kern w:val="0"/>
        </w:rPr>
      </w:pPr>
      <w:r>
        <w:rPr>
          <w:rFonts w:hint="eastAsia" w:cs="宋体" w:asciiTheme="minorEastAsia" w:hAnsiTheme="minorEastAsia" w:eastAsiaTheme="minorEastAsia"/>
        </w:rPr>
        <w:t>25</w:t>
      </w:r>
      <w:r>
        <w:rPr>
          <w:rFonts w:cs="宋体" w:asciiTheme="minorEastAsia" w:hAnsiTheme="minorEastAsia" w:eastAsiaTheme="minorEastAsia"/>
        </w:rPr>
        <w:t>.2</w:t>
      </w:r>
      <w:r>
        <w:rPr>
          <w:rFonts w:hint="eastAsia" w:cs="宋体" w:asciiTheme="minorEastAsia" w:hAnsiTheme="minorEastAsia" w:eastAsiaTheme="minorEastAsia"/>
          <w:kern w:val="0"/>
        </w:rPr>
        <w:t>采购人应当自</w:t>
      </w:r>
      <w:bookmarkStart w:id="383" w:name="OLE_LINK38"/>
      <w:r>
        <w:rPr>
          <w:rFonts w:hint="eastAsia" w:cs="宋体" w:asciiTheme="minorEastAsia" w:hAnsiTheme="minorEastAsia" w:eastAsiaTheme="minorEastAsia"/>
          <w:kern w:val="0"/>
        </w:rPr>
        <w:t>中标通知书发出之日起30日内</w:t>
      </w:r>
      <w:bookmarkEnd w:id="383"/>
      <w:r>
        <w:rPr>
          <w:rFonts w:hint="eastAsia" w:cs="宋体" w:asciiTheme="minorEastAsia" w:hAnsiTheme="minorEastAsia" w:eastAsiaTheme="minorEastAsia"/>
          <w:kern w:val="0"/>
        </w:rPr>
        <w:t>，按照招标文件和中标人投标文件的规定，与中标人签订书面合同。所签订的合同不得对招标文件确定的事项和中标人投标文件作实质性修改。</w:t>
      </w:r>
    </w:p>
    <w:p w14:paraId="498ACD67">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25.</w:t>
      </w:r>
      <w:r>
        <w:rPr>
          <w:rFonts w:cs="宋体" w:asciiTheme="minorEastAsia" w:hAnsiTheme="minorEastAsia" w:eastAsiaTheme="minorEastAsia"/>
          <w:szCs w:val="20"/>
        </w:rPr>
        <w:t>3</w:t>
      </w:r>
      <w:r>
        <w:rPr>
          <w:rFonts w:cs="宋体" w:asciiTheme="minorEastAsia" w:hAnsiTheme="minorEastAsia" w:eastAsiaTheme="minorEastAsia"/>
        </w:rPr>
        <w:t>中标人拒绝与采购人签订合同的，采购人可以按照评审报告推荐的中标候选人名单排序，确定下一候选人为中标人，也可以重新开展政府采购活动。</w:t>
      </w:r>
    </w:p>
    <w:p w14:paraId="6CF6B751">
      <w:pPr>
        <w:pStyle w:val="3"/>
        <w:tabs>
          <w:tab w:val="clear" w:pos="3999"/>
        </w:tabs>
        <w:spacing w:afterLines="0" w:line="360" w:lineRule="auto"/>
        <w:rPr>
          <w:rFonts w:hint="eastAsia" w:ascii="黑体" w:hAnsi="黑体" w:eastAsia="黑体" w:cs="宋体"/>
          <w:sz w:val="28"/>
          <w:szCs w:val="28"/>
        </w:rPr>
      </w:pPr>
      <w:bookmarkStart w:id="384" w:name="_Toc216365878"/>
      <w:bookmarkStart w:id="385" w:name="_Toc139292883"/>
      <w:bookmarkStart w:id="386" w:name="_Toc215313860"/>
      <w:bookmarkStart w:id="387" w:name="_Toc193792871"/>
      <w:bookmarkStart w:id="388" w:name="_Toc438160894"/>
      <w:bookmarkStart w:id="389" w:name="_Toc203147223"/>
      <w:bookmarkStart w:id="390" w:name="_Toc232509432"/>
      <w:bookmarkStart w:id="391" w:name="_Toc520725703"/>
      <w:bookmarkStart w:id="392" w:name="_Toc520725542"/>
      <w:bookmarkStart w:id="393" w:name="_Toc192748542"/>
      <w:bookmarkStart w:id="394" w:name="_Toc99729041"/>
      <w:bookmarkStart w:id="395" w:name="_Toc380507191"/>
      <w:bookmarkStart w:id="396" w:name="_Toc329810215"/>
      <w:bookmarkStart w:id="397" w:name="_Toc24655"/>
      <w:r>
        <w:rPr>
          <w:rFonts w:hint="eastAsia" w:ascii="黑体" w:hAnsi="黑体" w:eastAsia="黑体" w:cs="宋体"/>
          <w:sz w:val="28"/>
          <w:szCs w:val="28"/>
        </w:rPr>
        <w:t>八、其他事项</w:t>
      </w:r>
      <w:bookmarkEnd w:id="384"/>
      <w:bookmarkEnd w:id="385"/>
      <w:bookmarkEnd w:id="386"/>
      <w:bookmarkEnd w:id="387"/>
      <w:bookmarkEnd w:id="388"/>
      <w:bookmarkEnd w:id="389"/>
      <w:bookmarkEnd w:id="390"/>
      <w:bookmarkEnd w:id="391"/>
      <w:bookmarkEnd w:id="392"/>
      <w:bookmarkEnd w:id="393"/>
      <w:bookmarkEnd w:id="394"/>
    </w:p>
    <w:p w14:paraId="4FE38288">
      <w:pPr>
        <w:pStyle w:val="276"/>
        <w:spacing w:line="360" w:lineRule="auto"/>
        <w:ind w:firstLine="482" w:firstLineChars="200"/>
        <w:rPr>
          <w:rFonts w:hint="eastAsia" w:ascii="黑体" w:hAnsi="黑体" w:eastAsia="黑体"/>
          <w:b/>
          <w:bCs/>
          <w:sz w:val="24"/>
          <w:szCs w:val="24"/>
        </w:rPr>
      </w:pPr>
      <w:r>
        <w:rPr>
          <w:rFonts w:ascii="黑体" w:hAnsi="黑体" w:eastAsia="黑体"/>
          <w:b/>
          <w:bCs/>
          <w:sz w:val="24"/>
          <w:szCs w:val="24"/>
        </w:rPr>
        <w:t>2</w:t>
      </w:r>
      <w:r>
        <w:rPr>
          <w:rFonts w:hint="eastAsia" w:ascii="黑体" w:hAnsi="黑体" w:eastAsia="黑体"/>
          <w:b/>
          <w:bCs/>
          <w:sz w:val="24"/>
          <w:szCs w:val="24"/>
        </w:rPr>
        <w:t>6</w:t>
      </w:r>
      <w:r>
        <w:rPr>
          <w:rFonts w:ascii="黑体" w:hAnsi="黑体" w:eastAsia="黑体"/>
          <w:b/>
          <w:bCs/>
          <w:sz w:val="24"/>
          <w:szCs w:val="24"/>
        </w:rPr>
        <w:t>.</w:t>
      </w:r>
      <w:r>
        <w:rPr>
          <w:rFonts w:hint="eastAsia" w:ascii="黑体" w:hAnsi="黑体" w:eastAsia="黑体"/>
          <w:b/>
          <w:bCs/>
          <w:sz w:val="24"/>
          <w:szCs w:val="24"/>
        </w:rPr>
        <w:t>需要</w:t>
      </w:r>
      <w:r>
        <w:rPr>
          <w:rFonts w:ascii="黑体" w:hAnsi="黑体" w:eastAsia="黑体"/>
          <w:b/>
          <w:bCs/>
          <w:sz w:val="24"/>
          <w:szCs w:val="24"/>
        </w:rPr>
        <w:t>补充</w:t>
      </w:r>
      <w:r>
        <w:rPr>
          <w:rFonts w:hint="eastAsia" w:ascii="黑体" w:hAnsi="黑体" w:eastAsia="黑体"/>
          <w:b/>
          <w:bCs/>
          <w:sz w:val="24"/>
          <w:szCs w:val="24"/>
        </w:rPr>
        <w:t>的其他</w:t>
      </w:r>
      <w:r>
        <w:rPr>
          <w:rFonts w:ascii="黑体" w:hAnsi="黑体" w:eastAsia="黑体"/>
          <w:b/>
          <w:bCs/>
          <w:sz w:val="24"/>
          <w:szCs w:val="24"/>
        </w:rPr>
        <w:t>内容</w:t>
      </w:r>
    </w:p>
    <w:p w14:paraId="661368A8">
      <w:pPr>
        <w:spacing w:line="360" w:lineRule="auto"/>
        <w:ind w:firstLine="480" w:firstLineChars="200"/>
        <w:rPr>
          <w:rFonts w:hint="eastAsia" w:cs="宋体" w:asciiTheme="minorEastAsia" w:hAnsiTheme="minorEastAsia" w:eastAsiaTheme="minorEastAsia"/>
          <w:bCs/>
        </w:rPr>
      </w:pPr>
      <w:r>
        <w:rPr>
          <w:rFonts w:hint="eastAsia" w:cs="宋体" w:asciiTheme="minorEastAsia" w:hAnsiTheme="minorEastAsia" w:eastAsiaTheme="minorEastAsia"/>
          <w:bCs/>
        </w:rPr>
        <w:t>需要补充的其他内容详见“投标人须知前附表”。</w:t>
      </w:r>
    </w:p>
    <w:p w14:paraId="11A2D94A">
      <w:pPr>
        <w:pStyle w:val="276"/>
        <w:spacing w:line="360" w:lineRule="auto"/>
        <w:ind w:firstLine="482" w:firstLineChars="200"/>
        <w:rPr>
          <w:rFonts w:hint="eastAsia" w:ascii="黑体" w:hAnsi="黑体" w:eastAsia="黑体"/>
          <w:b/>
          <w:bCs/>
          <w:sz w:val="24"/>
          <w:szCs w:val="24"/>
        </w:rPr>
      </w:pPr>
      <w:bookmarkStart w:id="398" w:name="_Toc95222469"/>
      <w:bookmarkStart w:id="399" w:name="_Toc95047035"/>
      <w:bookmarkStart w:id="400" w:name="_Toc79526091"/>
      <w:bookmarkStart w:id="401" w:name="_Toc90128561"/>
      <w:bookmarkStart w:id="402" w:name="_Toc90128795"/>
      <w:bookmarkStart w:id="403" w:name="_Toc99729043"/>
      <w:bookmarkStart w:id="404" w:name="_Toc67040112"/>
      <w:bookmarkStart w:id="405" w:name="_Toc82077112"/>
      <w:bookmarkStart w:id="406" w:name="_Toc97580324"/>
      <w:bookmarkStart w:id="407" w:name="_Toc93839916"/>
      <w:bookmarkStart w:id="408" w:name="_Toc70496818"/>
      <w:bookmarkStart w:id="409" w:name="_Toc90575616"/>
      <w:bookmarkStart w:id="410" w:name="_Toc139292884"/>
      <w:bookmarkStart w:id="411" w:name="_Toc66692264"/>
      <w:bookmarkStart w:id="412" w:name="_Toc78448010"/>
      <w:bookmarkStart w:id="413" w:name="_Toc66969997"/>
      <w:bookmarkStart w:id="414" w:name="_Toc82077211"/>
      <w:r>
        <w:rPr>
          <w:rFonts w:ascii="黑体" w:hAnsi="黑体" w:eastAsia="黑体"/>
          <w:b/>
          <w:bCs/>
          <w:sz w:val="24"/>
          <w:szCs w:val="24"/>
        </w:rPr>
        <w:t>2</w:t>
      </w:r>
      <w:r>
        <w:rPr>
          <w:rFonts w:hint="eastAsia" w:ascii="黑体" w:hAnsi="黑体" w:eastAsia="黑体"/>
          <w:b/>
          <w:bCs/>
          <w:sz w:val="24"/>
          <w:szCs w:val="24"/>
        </w:rPr>
        <w:t>7.解释权</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2F76A0B5">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本招标文件是根据相关法律法规编制，解释权属采购代理机构。</w:t>
      </w:r>
    </w:p>
    <w:p w14:paraId="75001BC3">
      <w:pPr>
        <w:pStyle w:val="3"/>
        <w:tabs>
          <w:tab w:val="clear" w:pos="3999"/>
        </w:tabs>
        <w:spacing w:afterLines="0" w:line="360" w:lineRule="auto"/>
        <w:rPr>
          <w:rFonts w:hint="eastAsia" w:ascii="黑体" w:hAnsi="黑体" w:eastAsia="黑体" w:cs="宋体"/>
          <w:sz w:val="28"/>
          <w:szCs w:val="28"/>
        </w:rPr>
      </w:pPr>
      <w:bookmarkStart w:id="415" w:name="_Toc99729044"/>
      <w:bookmarkStart w:id="416" w:name="_Toc215313861"/>
      <w:bookmarkStart w:id="417" w:name="_Toc82077212"/>
      <w:bookmarkStart w:id="418" w:name="_Toc95047036"/>
      <w:bookmarkStart w:id="419" w:name="_Toc97580325"/>
      <w:bookmarkStart w:id="420" w:name="_Toc203147224"/>
      <w:bookmarkStart w:id="421" w:name="_Toc95222470"/>
      <w:bookmarkStart w:id="422" w:name="_Toc79526092"/>
      <w:bookmarkStart w:id="423" w:name="_Toc192748543"/>
      <w:bookmarkStart w:id="424" w:name="_Toc70496819"/>
      <w:bookmarkStart w:id="425" w:name="_Toc66969998"/>
      <w:bookmarkStart w:id="426" w:name="_Toc82077113"/>
      <w:bookmarkStart w:id="427" w:name="_Toc93839917"/>
      <w:bookmarkStart w:id="428" w:name="_Toc67040113"/>
      <w:bookmarkStart w:id="429" w:name="_Toc66692265"/>
      <w:bookmarkStart w:id="430" w:name="_Toc216365879"/>
      <w:bookmarkStart w:id="431" w:name="_Toc139292885"/>
      <w:bookmarkStart w:id="432" w:name="_Toc78448011"/>
      <w:bookmarkStart w:id="433" w:name="_Toc193792872"/>
      <w:bookmarkStart w:id="434" w:name="_Toc88228277"/>
      <w:r>
        <w:rPr>
          <w:rFonts w:hint="eastAsia" w:ascii="黑体" w:hAnsi="黑体" w:eastAsia="黑体" w:cs="宋体"/>
          <w:sz w:val="28"/>
          <w:szCs w:val="28"/>
        </w:rPr>
        <w:t>九、质疑和投诉</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20360A24">
      <w:pPr>
        <w:spacing w:line="360" w:lineRule="auto"/>
        <w:ind w:firstLine="482" w:firstLineChars="200"/>
        <w:jc w:val="left"/>
        <w:rPr>
          <w:rFonts w:hint="eastAsia" w:ascii="黑体" w:hAnsi="黑体" w:eastAsia="黑体" w:cs="宋体"/>
          <w:b/>
          <w:kern w:val="0"/>
        </w:rPr>
      </w:pPr>
      <w:r>
        <w:rPr>
          <w:rFonts w:ascii="黑体" w:hAnsi="黑体" w:eastAsia="黑体" w:cs="宋体"/>
          <w:b/>
          <w:kern w:val="0"/>
        </w:rPr>
        <w:t>2</w:t>
      </w:r>
      <w:r>
        <w:rPr>
          <w:rFonts w:hint="eastAsia" w:ascii="黑体" w:hAnsi="黑体" w:eastAsia="黑体" w:cs="宋体"/>
          <w:b/>
          <w:kern w:val="0"/>
        </w:rPr>
        <w:t>8</w:t>
      </w:r>
      <w:r>
        <w:rPr>
          <w:rFonts w:ascii="黑体" w:hAnsi="黑体" w:eastAsia="黑体" w:cs="宋体"/>
          <w:b/>
          <w:kern w:val="0"/>
        </w:rPr>
        <w:t>.</w:t>
      </w:r>
      <w:r>
        <w:rPr>
          <w:rFonts w:hint="eastAsia" w:ascii="黑体" w:hAnsi="黑体" w:eastAsia="黑体" w:cs="宋体"/>
          <w:b/>
          <w:kern w:val="0"/>
        </w:rPr>
        <w:t>质疑</w:t>
      </w:r>
    </w:p>
    <w:p w14:paraId="542FDC1F">
      <w:pPr>
        <w:spacing w:line="360" w:lineRule="auto"/>
        <w:ind w:firstLine="480" w:firstLineChars="200"/>
        <w:rPr>
          <w:rFonts w:hint="eastAsia" w:ascii="宋体" w:hAnsi="宋体" w:cs="宋体"/>
        </w:rPr>
      </w:pPr>
      <w:r>
        <w:rPr>
          <w:rFonts w:ascii="宋体" w:hAnsi="宋体" w:cs="宋体"/>
        </w:rPr>
        <w:t>2</w:t>
      </w:r>
      <w:r>
        <w:rPr>
          <w:rFonts w:hint="eastAsia" w:ascii="宋体" w:hAnsi="宋体" w:cs="宋体"/>
        </w:rPr>
        <w:t>8</w:t>
      </w:r>
      <w:r>
        <w:rPr>
          <w:rFonts w:ascii="宋体" w:hAnsi="宋体" w:cs="宋体"/>
        </w:rPr>
        <w:t>.1</w:t>
      </w:r>
      <w:r>
        <w:rPr>
          <w:rFonts w:hint="eastAsia" w:ascii="宋体" w:hAnsi="宋体" w:cs="宋体"/>
        </w:rPr>
        <w:t>投标人认为招标文件、采购过程、中标结果使自己的权益受到损害的，可以在知道或者应知其权益受到损害之日起7个工作日内，一次性以书面形式向采购人、采购代理机构提出针对同一采购程序环节的质疑。质疑内容不得含有虚假、恶意成分。当事人对自己提出的主张，有责任提供证据，提出质疑时应同时提交相关证据材料和注明事实的确切来源。</w:t>
      </w:r>
    </w:p>
    <w:p w14:paraId="4B1C7152">
      <w:pPr>
        <w:spacing w:line="360" w:lineRule="auto"/>
        <w:ind w:firstLine="480" w:firstLineChars="200"/>
        <w:rPr>
          <w:rFonts w:hint="eastAsia" w:ascii="宋体" w:hAnsi="宋体" w:cs="宋体"/>
        </w:rPr>
      </w:pPr>
      <w:r>
        <w:rPr>
          <w:rFonts w:ascii="宋体" w:hAnsi="宋体" w:cs="宋体"/>
        </w:rPr>
        <w:t>2</w:t>
      </w:r>
      <w:r>
        <w:rPr>
          <w:rFonts w:hint="eastAsia" w:ascii="宋体" w:hAnsi="宋体" w:cs="宋体"/>
        </w:rPr>
        <w:t>8.2投标人提供的质疑应符合中华人民共和国财政部令第94号《政府采购质疑和投诉办法》的规定。投标人提出质疑应当提交质疑函和必要的证明材料（如材料中有外文资料应同时附上中文译本）应当包括以下主要内容：</w:t>
      </w:r>
    </w:p>
    <w:p w14:paraId="1D342B63">
      <w:pPr>
        <w:spacing w:line="360" w:lineRule="auto"/>
        <w:ind w:firstLine="480" w:firstLineChars="200"/>
        <w:rPr>
          <w:rFonts w:hint="eastAsia" w:ascii="宋体" w:hAnsi="宋体" w:cs="宋体"/>
        </w:rPr>
      </w:pPr>
      <w:r>
        <w:rPr>
          <w:rFonts w:hint="eastAsia" w:ascii="宋体" w:hAnsi="宋体" w:cs="宋体"/>
        </w:rPr>
        <w:t>（1）投标人的姓名或者名称、地址、邮编、联系人及联系电话；</w:t>
      </w:r>
    </w:p>
    <w:p w14:paraId="75712B36">
      <w:pPr>
        <w:spacing w:line="360" w:lineRule="auto"/>
        <w:ind w:firstLine="480" w:firstLineChars="200"/>
        <w:rPr>
          <w:rFonts w:hint="eastAsia" w:ascii="宋体" w:hAnsi="宋体" w:cs="宋体"/>
        </w:rPr>
      </w:pPr>
      <w:r>
        <w:rPr>
          <w:rFonts w:hint="eastAsia" w:ascii="宋体" w:hAnsi="宋体" w:cs="宋体"/>
        </w:rPr>
        <w:t>（2）质疑项目的名称、编号；</w:t>
      </w:r>
    </w:p>
    <w:p w14:paraId="1193A3F1">
      <w:pPr>
        <w:spacing w:line="360" w:lineRule="auto"/>
        <w:ind w:firstLine="480" w:firstLineChars="200"/>
        <w:rPr>
          <w:rFonts w:hint="eastAsia" w:ascii="宋体" w:hAnsi="宋体" w:cs="宋体"/>
        </w:rPr>
      </w:pPr>
      <w:r>
        <w:rPr>
          <w:rFonts w:hint="eastAsia" w:ascii="宋体" w:hAnsi="宋体" w:cs="宋体"/>
        </w:rPr>
        <w:t>（3）具体、明确的质疑事项和与质疑事项相关的请求；</w:t>
      </w:r>
    </w:p>
    <w:p w14:paraId="680508A0">
      <w:pPr>
        <w:spacing w:line="360" w:lineRule="auto"/>
        <w:ind w:firstLine="480" w:firstLineChars="200"/>
        <w:rPr>
          <w:rFonts w:hint="eastAsia" w:ascii="宋体" w:hAnsi="宋体" w:cs="宋体"/>
        </w:rPr>
      </w:pPr>
      <w:r>
        <w:rPr>
          <w:rFonts w:hint="eastAsia" w:ascii="宋体" w:hAnsi="宋体" w:cs="宋体"/>
        </w:rPr>
        <w:t>（4）事实依据；</w:t>
      </w:r>
    </w:p>
    <w:p w14:paraId="2428C52F">
      <w:pPr>
        <w:spacing w:line="360" w:lineRule="auto"/>
        <w:ind w:firstLine="480" w:firstLineChars="200"/>
        <w:rPr>
          <w:rFonts w:hint="eastAsia" w:ascii="宋体" w:hAnsi="宋体" w:cs="宋体"/>
        </w:rPr>
      </w:pPr>
      <w:r>
        <w:rPr>
          <w:rFonts w:hint="eastAsia" w:ascii="宋体" w:hAnsi="宋体" w:cs="宋体"/>
        </w:rPr>
        <w:t>（5）必要的法律依据；</w:t>
      </w:r>
    </w:p>
    <w:p w14:paraId="4B21547F">
      <w:pPr>
        <w:spacing w:line="360" w:lineRule="auto"/>
        <w:ind w:firstLine="480" w:firstLineChars="200"/>
        <w:rPr>
          <w:rFonts w:hint="eastAsia" w:ascii="宋体" w:hAnsi="宋体" w:cs="宋体"/>
        </w:rPr>
      </w:pPr>
      <w:r>
        <w:rPr>
          <w:rFonts w:hint="eastAsia" w:ascii="宋体" w:hAnsi="宋体" w:cs="宋体"/>
        </w:rPr>
        <w:t>（6）提出质疑的日期。</w:t>
      </w:r>
    </w:p>
    <w:p w14:paraId="58B35D5C">
      <w:pPr>
        <w:spacing w:line="360" w:lineRule="auto"/>
        <w:ind w:firstLine="540" w:firstLineChars="225"/>
        <w:rPr>
          <w:rFonts w:hint="eastAsia" w:ascii="宋体" w:hAnsi="宋体" w:cs="宋体"/>
        </w:rPr>
      </w:pPr>
      <w:r>
        <w:rPr>
          <w:rFonts w:hint="eastAsia" w:ascii="宋体" w:hAnsi="宋体" w:cs="宋体"/>
        </w:rPr>
        <w:t>投标人可以委托代理人进行质疑和投诉。其授权委托书应当载明代理人的姓名或者名称、代理事项、具体权限、期限和相关事项。代理人提出质疑和投诉，应当提交投标人签署的授权委托书。</w:t>
      </w:r>
    </w:p>
    <w:p w14:paraId="7411685D">
      <w:pPr>
        <w:spacing w:line="360" w:lineRule="auto"/>
        <w:ind w:firstLine="540" w:firstLineChars="225"/>
        <w:rPr>
          <w:rFonts w:hint="eastAsia" w:ascii="宋体" w:hAnsi="宋体" w:cs="宋体"/>
        </w:rPr>
      </w:pPr>
      <w:r>
        <w:rPr>
          <w:rFonts w:ascii="宋体" w:hAnsi="宋体" w:cs="宋体"/>
        </w:rPr>
        <w:t>2</w:t>
      </w:r>
      <w:r>
        <w:rPr>
          <w:rFonts w:hint="eastAsia" w:ascii="宋体" w:hAnsi="宋体" w:cs="宋体"/>
        </w:rPr>
        <w:t>8.3采购人、采购代理机构将在收到投标人的书面质疑后7个工作日内作出书面答复，但答复的内容不涉及商业秘密。</w:t>
      </w:r>
    </w:p>
    <w:p w14:paraId="5ADD9EBC">
      <w:pPr>
        <w:spacing w:line="360" w:lineRule="auto"/>
        <w:ind w:firstLine="480" w:firstLineChars="200"/>
        <w:rPr>
          <w:rFonts w:hint="eastAsia" w:ascii="宋体" w:hAnsi="宋体" w:cs="宋体"/>
        </w:rPr>
      </w:pPr>
      <w:r>
        <w:rPr>
          <w:rFonts w:ascii="宋体" w:hAnsi="宋体" w:cs="宋体"/>
        </w:rPr>
        <w:t>2</w:t>
      </w:r>
      <w:r>
        <w:rPr>
          <w:rFonts w:hint="eastAsia" w:ascii="宋体" w:hAnsi="宋体" w:cs="宋体"/>
        </w:rPr>
        <w:t>8.4参与政府采购活动的投标人对采购过程、中标结果提出质疑的，采购人或采购代理机构可以组织原评标委员会协助处理质疑事项，并依据评标委员会出具的意见进行答复。质疑答复导致中标结果改变的，采购人或采购代理机构应当将相关情况报本级财政部门备案。</w:t>
      </w:r>
    </w:p>
    <w:p w14:paraId="031F8252">
      <w:pPr>
        <w:spacing w:line="360" w:lineRule="auto"/>
        <w:ind w:firstLine="540" w:firstLineChars="225"/>
        <w:rPr>
          <w:rFonts w:hint="eastAsia" w:ascii="宋体" w:hAnsi="宋体" w:cs="宋体"/>
        </w:rPr>
      </w:pPr>
      <w:r>
        <w:rPr>
          <w:rFonts w:ascii="宋体" w:hAnsi="宋体" w:cs="宋体"/>
        </w:rPr>
        <w:t>2</w:t>
      </w:r>
      <w:r>
        <w:rPr>
          <w:rFonts w:hint="eastAsia" w:ascii="宋体" w:hAnsi="宋体" w:cs="宋体"/>
        </w:rPr>
        <w:t>8</w:t>
      </w:r>
      <w:r>
        <w:rPr>
          <w:rFonts w:ascii="宋体" w:hAnsi="宋体" w:cs="宋体"/>
        </w:rPr>
        <w:t>.</w:t>
      </w:r>
      <w:r>
        <w:rPr>
          <w:rFonts w:hint="eastAsia" w:ascii="宋体" w:hAnsi="宋体" w:cs="宋体"/>
        </w:rPr>
        <w:t>5投诉人必须首先经过质疑程序，在对采购人、采购代理机构的答复不满意或者采购人、采购代理机构未在规定的时间内作出答复的，可以在答复期满后15个工作日内书面向本级政府采购监督管理部门投诉。</w:t>
      </w:r>
    </w:p>
    <w:p w14:paraId="6AD7261B">
      <w:pPr>
        <w:pStyle w:val="44"/>
        <w:widowControl w:val="0"/>
        <w:spacing w:before="0" w:beforeAutospacing="0" w:after="0" w:afterAutospacing="0" w:line="360" w:lineRule="auto"/>
        <w:ind w:firstLine="482" w:firstLineChars="200"/>
        <w:jc w:val="both"/>
        <w:rPr>
          <w:rFonts w:hint="eastAsia" w:cs="宋体"/>
          <w:b/>
          <w:bCs/>
          <w:kern w:val="2"/>
        </w:rPr>
      </w:pPr>
      <w:r>
        <w:rPr>
          <w:rFonts w:cs="宋体"/>
          <w:b/>
          <w:bCs/>
        </w:rPr>
        <w:t>2</w:t>
      </w:r>
      <w:r>
        <w:rPr>
          <w:rFonts w:hint="eastAsia" w:cs="宋体"/>
          <w:b/>
          <w:bCs/>
        </w:rPr>
        <w:t>8.6</w:t>
      </w:r>
      <w:r>
        <w:rPr>
          <w:rFonts w:hint="eastAsia" w:cs="宋体"/>
          <w:b/>
          <w:bCs/>
          <w:kern w:val="2"/>
        </w:rPr>
        <w:t>质疑函范本</w:t>
      </w:r>
    </w:p>
    <w:p w14:paraId="5ADDBAFE">
      <w:pPr>
        <w:adjustRightInd w:val="0"/>
        <w:snapToGrid w:val="0"/>
        <w:spacing w:line="360" w:lineRule="auto"/>
        <w:ind w:firstLine="480" w:firstLineChars="200"/>
        <w:rPr>
          <w:rFonts w:hint="eastAsia" w:ascii="宋体" w:hAnsi="宋体" w:cs="宋体"/>
        </w:rPr>
      </w:pPr>
      <w:r>
        <w:rPr>
          <w:rFonts w:hint="eastAsia" w:ascii="宋体" w:hAnsi="宋体" w:cs="宋体"/>
        </w:rPr>
        <w:t>一、质疑投标人基本信息</w:t>
      </w:r>
    </w:p>
    <w:p w14:paraId="075B834F">
      <w:pPr>
        <w:adjustRightInd w:val="0"/>
        <w:snapToGrid w:val="0"/>
        <w:spacing w:line="360" w:lineRule="auto"/>
        <w:ind w:firstLine="480" w:firstLineChars="200"/>
        <w:rPr>
          <w:rFonts w:hint="eastAsia" w:ascii="宋体" w:hAnsi="宋体" w:cs="宋体"/>
        </w:rPr>
      </w:pPr>
      <w:r>
        <w:rPr>
          <w:rFonts w:hint="eastAsia" w:ascii="宋体" w:hAnsi="宋体" w:cs="宋体"/>
        </w:rPr>
        <w:t>质疑投标人：_____________________________________________</w:t>
      </w:r>
    </w:p>
    <w:p w14:paraId="5CC929CA">
      <w:pPr>
        <w:adjustRightInd w:val="0"/>
        <w:snapToGrid w:val="0"/>
        <w:spacing w:line="360" w:lineRule="auto"/>
        <w:ind w:firstLine="480" w:firstLineChars="200"/>
        <w:rPr>
          <w:rFonts w:hint="eastAsia" w:ascii="宋体" w:hAnsi="宋体" w:cs="宋体"/>
          <w:u w:val="dotted"/>
        </w:rPr>
      </w:pPr>
      <w:r>
        <w:rPr>
          <w:rFonts w:hint="eastAsia" w:ascii="宋体" w:hAnsi="宋体" w:cs="宋体"/>
        </w:rPr>
        <w:t>地  址：_____________________邮 编：___________</w:t>
      </w:r>
      <w:r>
        <w:rPr>
          <w:rFonts w:ascii="宋体" w:hAnsi="宋体" w:cs="宋体"/>
          <w:u w:val="single"/>
        </w:rPr>
        <w:t xml:space="preserve">          </w:t>
      </w:r>
    </w:p>
    <w:p w14:paraId="2C551E26">
      <w:pPr>
        <w:adjustRightInd w:val="0"/>
        <w:snapToGrid w:val="0"/>
        <w:spacing w:line="360" w:lineRule="auto"/>
        <w:ind w:firstLine="480" w:firstLineChars="200"/>
        <w:rPr>
          <w:rFonts w:hint="eastAsia" w:ascii="宋体" w:hAnsi="宋体" w:cs="宋体"/>
        </w:rPr>
      </w:pPr>
      <w:r>
        <w:rPr>
          <w:rFonts w:hint="eastAsia" w:ascii="宋体" w:hAnsi="宋体" w:cs="宋体"/>
        </w:rPr>
        <w:t>联系人：</w:t>
      </w:r>
      <w:r>
        <w:rPr>
          <w:rFonts w:hint="eastAsia" w:ascii="宋体" w:hAnsi="宋体" w:cs="宋体"/>
          <w:u w:val="single"/>
        </w:rPr>
        <w:t xml:space="preserve">                      </w:t>
      </w:r>
      <w:r>
        <w:rPr>
          <w:rFonts w:hint="eastAsia" w:ascii="宋体" w:hAnsi="宋体" w:cs="宋体"/>
        </w:rPr>
        <w:t>联系电话：_________________</w:t>
      </w:r>
    </w:p>
    <w:p w14:paraId="587263A2">
      <w:pPr>
        <w:adjustRightInd w:val="0"/>
        <w:snapToGrid w:val="0"/>
        <w:spacing w:line="360" w:lineRule="auto"/>
        <w:ind w:firstLine="480" w:firstLineChars="200"/>
        <w:rPr>
          <w:rFonts w:hint="eastAsia" w:ascii="宋体" w:hAnsi="宋体" w:cs="宋体"/>
          <w:u w:val="dotted"/>
        </w:rPr>
      </w:pPr>
      <w:r>
        <w:rPr>
          <w:rFonts w:hint="eastAsia" w:ascii="宋体" w:hAnsi="宋体" w:cs="宋体"/>
        </w:rPr>
        <w:t>授权代表：______</w:t>
      </w:r>
      <w:bookmarkStart w:id="435" w:name="OLE_LINK10"/>
      <w:r>
        <w:rPr>
          <w:rFonts w:hint="eastAsia" w:ascii="宋体" w:hAnsi="宋体" w:cs="宋体"/>
        </w:rPr>
        <w:t>___________________________</w:t>
      </w:r>
      <w:bookmarkEnd w:id="435"/>
      <w:r>
        <w:rPr>
          <w:rFonts w:hint="eastAsia" w:ascii="宋体" w:hAnsi="宋体" w:cs="宋体"/>
        </w:rPr>
        <w:t>______________</w:t>
      </w:r>
    </w:p>
    <w:p w14:paraId="376510CC">
      <w:pPr>
        <w:adjustRightInd w:val="0"/>
        <w:snapToGrid w:val="0"/>
        <w:spacing w:line="360" w:lineRule="auto"/>
        <w:ind w:firstLine="480" w:firstLineChars="200"/>
        <w:rPr>
          <w:rFonts w:hint="eastAsia" w:ascii="宋体" w:hAnsi="宋体" w:cs="宋体"/>
        </w:rPr>
      </w:pPr>
      <w:r>
        <w:rPr>
          <w:rFonts w:hint="eastAsia" w:ascii="宋体" w:hAnsi="宋体" w:cs="宋体"/>
        </w:rPr>
        <w:t>联系电话：_______________________________________________</w:t>
      </w:r>
    </w:p>
    <w:p w14:paraId="3B423EDF">
      <w:pPr>
        <w:adjustRightInd w:val="0"/>
        <w:snapToGrid w:val="0"/>
        <w:spacing w:line="360" w:lineRule="auto"/>
        <w:ind w:firstLine="480" w:firstLineChars="200"/>
        <w:rPr>
          <w:rFonts w:hint="eastAsia" w:ascii="宋体" w:hAnsi="宋体" w:cs="宋体"/>
        </w:rPr>
      </w:pPr>
      <w:r>
        <w:rPr>
          <w:rFonts w:hint="eastAsia" w:ascii="宋体" w:hAnsi="宋体" w:cs="宋体"/>
        </w:rPr>
        <w:t>地  址：_______________________邮 编：</w:t>
      </w:r>
      <w:r>
        <w:rPr>
          <w:rFonts w:hint="eastAsia" w:ascii="宋体" w:hAnsi="宋体" w:cs="宋体"/>
          <w:u w:val="single"/>
        </w:rPr>
        <w:t xml:space="preserve">                </w:t>
      </w:r>
      <w:bookmarkStart w:id="436" w:name="OLE_LINK13"/>
      <w:r>
        <w:rPr>
          <w:rFonts w:hint="eastAsia" w:ascii="宋体" w:hAnsi="宋体" w:cs="宋体"/>
          <w:u w:val="single"/>
        </w:rPr>
        <w:t xml:space="preserve">   </w:t>
      </w:r>
      <w:bookmarkEnd w:id="436"/>
    </w:p>
    <w:p w14:paraId="7772C5E7">
      <w:pPr>
        <w:adjustRightInd w:val="0"/>
        <w:snapToGrid w:val="0"/>
        <w:spacing w:line="360" w:lineRule="auto"/>
        <w:ind w:firstLine="480" w:firstLineChars="200"/>
        <w:rPr>
          <w:rFonts w:hint="eastAsia" w:ascii="宋体" w:hAnsi="宋体" w:cs="宋体"/>
          <w:bCs/>
        </w:rPr>
      </w:pPr>
      <w:r>
        <w:rPr>
          <w:rFonts w:hint="eastAsia" w:ascii="宋体" w:hAnsi="宋体" w:cs="宋体"/>
          <w:bCs/>
        </w:rPr>
        <w:t>二、质疑项目基本情况</w:t>
      </w:r>
    </w:p>
    <w:p w14:paraId="091F2768">
      <w:pPr>
        <w:adjustRightInd w:val="0"/>
        <w:snapToGrid w:val="0"/>
        <w:spacing w:line="360" w:lineRule="auto"/>
        <w:ind w:firstLine="480" w:firstLineChars="200"/>
        <w:rPr>
          <w:rFonts w:hint="eastAsia" w:ascii="宋体" w:hAnsi="宋体" w:cs="宋体"/>
        </w:rPr>
      </w:pPr>
      <w:r>
        <w:rPr>
          <w:rFonts w:hint="eastAsia" w:ascii="宋体" w:hAnsi="宋体" w:cs="宋体"/>
        </w:rPr>
        <w:t>质疑项目的名称：_______________________________________</w:t>
      </w:r>
      <w:r>
        <w:rPr>
          <w:rFonts w:hint="eastAsia" w:ascii="宋体" w:hAnsi="宋体" w:cs="宋体"/>
          <w:u w:val="single"/>
        </w:rPr>
        <w:t xml:space="preserve">  </w:t>
      </w:r>
    </w:p>
    <w:p w14:paraId="0B377742">
      <w:pPr>
        <w:adjustRightInd w:val="0"/>
        <w:snapToGrid w:val="0"/>
        <w:spacing w:line="360" w:lineRule="auto"/>
        <w:ind w:firstLine="480" w:firstLineChars="200"/>
        <w:rPr>
          <w:rFonts w:hint="eastAsia" w:ascii="宋体" w:hAnsi="宋体" w:cs="宋体"/>
        </w:rPr>
      </w:pPr>
      <w:r>
        <w:rPr>
          <w:rFonts w:hint="eastAsia" w:ascii="宋体" w:hAnsi="宋体" w:cs="宋体"/>
        </w:rPr>
        <w:t>质疑项目的编号：______________包 号：__________________</w:t>
      </w:r>
      <w:r>
        <w:rPr>
          <w:rFonts w:hint="eastAsia" w:ascii="宋体" w:hAnsi="宋体" w:cs="宋体"/>
          <w:u w:val="single"/>
        </w:rPr>
        <w:t xml:space="preserve">  </w:t>
      </w:r>
    </w:p>
    <w:p w14:paraId="69E6D479">
      <w:pPr>
        <w:adjustRightInd w:val="0"/>
        <w:snapToGrid w:val="0"/>
        <w:spacing w:line="360" w:lineRule="auto"/>
        <w:ind w:firstLine="480" w:firstLineChars="200"/>
        <w:rPr>
          <w:rFonts w:hint="eastAsia" w:ascii="宋体" w:hAnsi="宋体" w:cs="宋体"/>
          <w:u w:val="dotted"/>
        </w:rPr>
      </w:pPr>
      <w:r>
        <w:rPr>
          <w:rFonts w:hint="eastAsia" w:ascii="宋体" w:hAnsi="宋体" w:cs="宋体"/>
        </w:rPr>
        <w:t>采购人名称：___________________________________________</w:t>
      </w:r>
      <w:r>
        <w:rPr>
          <w:rFonts w:hint="eastAsia" w:ascii="宋体" w:hAnsi="宋体" w:cs="宋体"/>
          <w:u w:val="single"/>
        </w:rPr>
        <w:t xml:space="preserve">  </w:t>
      </w:r>
    </w:p>
    <w:p w14:paraId="57721A52">
      <w:pPr>
        <w:adjustRightInd w:val="0"/>
        <w:snapToGrid w:val="0"/>
        <w:spacing w:line="360" w:lineRule="auto"/>
        <w:ind w:firstLine="480" w:firstLineChars="200"/>
        <w:rPr>
          <w:rFonts w:hint="eastAsia" w:ascii="宋体" w:hAnsi="宋体" w:cs="宋体"/>
        </w:rPr>
      </w:pPr>
      <w:r>
        <w:rPr>
          <w:rFonts w:hint="eastAsia" w:ascii="宋体" w:hAnsi="宋体" w:cs="宋体"/>
        </w:rPr>
        <w:t>招标文件获取日期：____________________________________</w:t>
      </w:r>
      <w:r>
        <w:rPr>
          <w:rFonts w:hint="eastAsia" w:ascii="宋体" w:hAnsi="宋体" w:cs="宋体"/>
          <w:u w:val="single"/>
        </w:rPr>
        <w:t xml:space="preserve">   </w:t>
      </w:r>
    </w:p>
    <w:p w14:paraId="4F689900">
      <w:pPr>
        <w:adjustRightInd w:val="0"/>
        <w:snapToGrid w:val="0"/>
        <w:spacing w:line="360" w:lineRule="auto"/>
        <w:ind w:firstLine="480" w:firstLineChars="200"/>
        <w:rPr>
          <w:rFonts w:hint="eastAsia" w:ascii="宋体" w:hAnsi="宋体" w:cs="宋体"/>
          <w:bCs/>
        </w:rPr>
      </w:pPr>
      <w:r>
        <w:rPr>
          <w:rFonts w:hint="eastAsia" w:ascii="宋体" w:hAnsi="宋体" w:cs="宋体"/>
          <w:bCs/>
        </w:rPr>
        <w:t>三、质疑事项具体内容</w:t>
      </w:r>
    </w:p>
    <w:p w14:paraId="7AC26D56">
      <w:pPr>
        <w:adjustRightInd w:val="0"/>
        <w:snapToGrid w:val="0"/>
        <w:spacing w:line="360" w:lineRule="auto"/>
        <w:ind w:firstLine="480" w:firstLineChars="200"/>
        <w:rPr>
          <w:rFonts w:hint="eastAsia" w:ascii="宋体" w:hAnsi="宋体" w:cs="宋体"/>
          <w:u w:val="dotted"/>
        </w:rPr>
      </w:pPr>
      <w:r>
        <w:rPr>
          <w:rFonts w:hint="eastAsia" w:ascii="宋体" w:hAnsi="宋体" w:cs="宋体"/>
        </w:rPr>
        <w:t xml:space="preserve">质疑事项1：______________________________________________  </w:t>
      </w:r>
    </w:p>
    <w:p w14:paraId="0FE9825E">
      <w:pPr>
        <w:adjustRightInd w:val="0"/>
        <w:snapToGrid w:val="0"/>
        <w:spacing w:line="360" w:lineRule="auto"/>
        <w:ind w:firstLine="480" w:firstLineChars="200"/>
        <w:rPr>
          <w:rFonts w:hint="eastAsia" w:ascii="宋体" w:hAnsi="宋体" w:cs="宋体"/>
          <w:u w:val="dotted"/>
        </w:rPr>
      </w:pPr>
      <w:r>
        <w:rPr>
          <w:rFonts w:hint="eastAsia" w:ascii="宋体" w:hAnsi="宋体" w:cs="宋体"/>
        </w:rPr>
        <w:t>事实依据：_______________________________________________</w:t>
      </w:r>
    </w:p>
    <w:p w14:paraId="0C3B0906">
      <w:pPr>
        <w:adjustRightInd w:val="0"/>
        <w:snapToGrid w:val="0"/>
        <w:spacing w:line="360" w:lineRule="auto"/>
        <w:ind w:firstLine="480" w:firstLineChars="200"/>
        <w:rPr>
          <w:rFonts w:hint="eastAsia" w:ascii="宋体" w:hAnsi="宋体" w:cs="宋体"/>
        </w:rPr>
      </w:pPr>
      <w:r>
        <w:rPr>
          <w:rFonts w:hint="eastAsia" w:ascii="宋体" w:hAnsi="宋体" w:cs="宋体"/>
        </w:rPr>
        <w:t>法律依据：_______________________________________________</w:t>
      </w:r>
    </w:p>
    <w:p w14:paraId="4FD5D97C">
      <w:pPr>
        <w:adjustRightInd w:val="0"/>
        <w:snapToGrid w:val="0"/>
        <w:spacing w:line="360" w:lineRule="auto"/>
        <w:ind w:firstLine="480" w:firstLineChars="200"/>
        <w:rPr>
          <w:rFonts w:hint="eastAsia" w:ascii="宋体" w:hAnsi="宋体" w:cs="宋体"/>
          <w:u w:val="dotted"/>
        </w:rPr>
      </w:pPr>
      <w:r>
        <w:rPr>
          <w:rFonts w:hint="eastAsia" w:ascii="宋体" w:hAnsi="宋体" w:cs="宋体"/>
        </w:rPr>
        <w:t>质疑事项2</w:t>
      </w:r>
    </w:p>
    <w:p w14:paraId="5A054DA0">
      <w:pPr>
        <w:adjustRightInd w:val="0"/>
        <w:snapToGrid w:val="0"/>
        <w:spacing w:line="360" w:lineRule="auto"/>
        <w:ind w:firstLine="480" w:firstLineChars="200"/>
        <w:rPr>
          <w:rFonts w:hint="eastAsia" w:ascii="宋体" w:hAnsi="宋体" w:cs="宋体"/>
        </w:rPr>
      </w:pPr>
      <w:r>
        <w:rPr>
          <w:rFonts w:hint="eastAsia" w:ascii="宋体" w:hAnsi="宋体" w:cs="宋体"/>
        </w:rPr>
        <w:t>……</w:t>
      </w:r>
    </w:p>
    <w:p w14:paraId="187FDC54">
      <w:pPr>
        <w:adjustRightInd w:val="0"/>
        <w:snapToGrid w:val="0"/>
        <w:spacing w:line="360" w:lineRule="auto"/>
        <w:ind w:firstLine="480" w:firstLineChars="200"/>
        <w:rPr>
          <w:rFonts w:hint="eastAsia" w:ascii="宋体" w:hAnsi="宋体" w:cs="宋体"/>
          <w:bCs/>
        </w:rPr>
      </w:pPr>
      <w:r>
        <w:rPr>
          <w:rFonts w:hint="eastAsia" w:ascii="宋体" w:hAnsi="宋体" w:cs="宋体"/>
          <w:bCs/>
        </w:rPr>
        <w:t>四、与质疑事项相关的质疑请求</w:t>
      </w:r>
    </w:p>
    <w:p w14:paraId="7C3436E3">
      <w:pPr>
        <w:adjustRightInd w:val="0"/>
        <w:snapToGrid w:val="0"/>
        <w:spacing w:line="360" w:lineRule="auto"/>
        <w:ind w:firstLine="480" w:firstLineChars="200"/>
        <w:rPr>
          <w:rFonts w:hint="eastAsia" w:ascii="宋体" w:hAnsi="宋体" w:cs="宋体"/>
          <w:u w:val="single"/>
        </w:rPr>
      </w:pPr>
      <w:r>
        <w:rPr>
          <w:rFonts w:hint="eastAsia" w:ascii="宋体" w:hAnsi="宋体" w:cs="宋体"/>
        </w:rPr>
        <w:t>请求：</w:t>
      </w:r>
      <w:r>
        <w:rPr>
          <w:rFonts w:hint="eastAsia" w:ascii="宋体" w:hAnsi="宋体" w:cs="宋体"/>
          <w:u w:val="single"/>
        </w:rPr>
        <w:t xml:space="preserve">                       </w:t>
      </w:r>
      <w:r>
        <w:rPr>
          <w:rFonts w:hint="eastAsia" w:ascii="宋体" w:hAnsi="宋体" w:cs="宋体"/>
        </w:rPr>
        <w:t>_____________________</w:t>
      </w:r>
      <w:r>
        <w:rPr>
          <w:rFonts w:hint="eastAsia" w:ascii="宋体" w:hAnsi="宋体" w:cs="宋体"/>
          <w:u w:val="single"/>
        </w:rPr>
        <w:t xml:space="preserve">       </w:t>
      </w:r>
    </w:p>
    <w:p w14:paraId="7A2AA164">
      <w:pPr>
        <w:adjustRightInd w:val="0"/>
        <w:snapToGrid w:val="0"/>
        <w:spacing w:line="360" w:lineRule="auto"/>
        <w:ind w:firstLine="480" w:firstLineChars="200"/>
        <w:rPr>
          <w:rFonts w:hint="eastAsia" w:ascii="宋体" w:hAnsi="宋体" w:cs="宋体"/>
        </w:rPr>
      </w:pPr>
      <w:r>
        <w:rPr>
          <w:rFonts w:hint="eastAsia" w:ascii="宋体" w:hAnsi="宋体" w:cs="宋体"/>
        </w:rPr>
        <w:t xml:space="preserve">签字(签章)：              公章：                      </w:t>
      </w:r>
    </w:p>
    <w:p w14:paraId="507E6E24">
      <w:pPr>
        <w:spacing w:line="360" w:lineRule="auto"/>
        <w:ind w:firstLine="480" w:firstLineChars="200"/>
        <w:rPr>
          <w:rFonts w:hint="eastAsia" w:ascii="宋体" w:hAnsi="宋体" w:cs="宋体"/>
        </w:rPr>
      </w:pPr>
      <w:r>
        <w:rPr>
          <w:rFonts w:hint="eastAsia" w:ascii="宋体" w:hAnsi="宋体" w:cs="宋体"/>
        </w:rPr>
        <w:t xml:space="preserve">日期：    </w:t>
      </w:r>
    </w:p>
    <w:p w14:paraId="1D543BD0">
      <w:pPr>
        <w:spacing w:line="360" w:lineRule="auto"/>
        <w:ind w:firstLine="482" w:firstLineChars="200"/>
        <w:rPr>
          <w:rFonts w:hint="eastAsia" w:ascii="宋体" w:hAnsi="宋体" w:cs="宋体"/>
          <w:b/>
        </w:rPr>
      </w:pPr>
      <w:r>
        <w:rPr>
          <w:rFonts w:hint="eastAsia" w:ascii="宋体" w:hAnsi="宋体" w:cs="宋体"/>
          <w:b/>
        </w:rPr>
        <w:t>质疑函制作说明：</w:t>
      </w:r>
    </w:p>
    <w:p w14:paraId="43876125">
      <w:pPr>
        <w:widowControl/>
        <w:spacing w:line="360" w:lineRule="auto"/>
        <w:ind w:firstLine="480" w:firstLineChars="200"/>
        <w:rPr>
          <w:rFonts w:hint="eastAsia" w:ascii="宋体" w:hAnsi="宋体" w:cs="宋体"/>
        </w:rPr>
      </w:pPr>
      <w:r>
        <w:rPr>
          <w:rFonts w:hint="eastAsia" w:ascii="宋体" w:hAnsi="宋体" w:cs="宋体"/>
        </w:rPr>
        <w:t>1.投标人提出质疑时，应提交质疑函和必要的证明材料。</w:t>
      </w:r>
    </w:p>
    <w:p w14:paraId="3BA6A654">
      <w:pPr>
        <w:widowControl/>
        <w:spacing w:line="360" w:lineRule="auto"/>
        <w:ind w:firstLine="480" w:firstLineChars="200"/>
        <w:rPr>
          <w:rFonts w:hint="eastAsia" w:ascii="宋体" w:hAnsi="宋体" w:cs="宋体"/>
        </w:rPr>
      </w:pPr>
      <w:r>
        <w:rPr>
          <w:rFonts w:hint="eastAsia" w:ascii="宋体" w:hAnsi="宋体" w:cs="宋体"/>
        </w:rPr>
        <w:t>2.质疑投标人若委托代理人进行质疑的，质疑函应按要求列明“授权代表”的有关内容，并在附件中提交由质疑</w:t>
      </w:r>
      <w:r>
        <w:rPr>
          <w:rFonts w:hint="eastAsia" w:ascii="宋体" w:hAnsi="宋体" w:cs="宋体"/>
          <w:kern w:val="0"/>
        </w:rPr>
        <w:t>投标人签署的授权委托书。授权委托书应载明代理人的姓名或者名称、代理事项、具体权限、期限和相关事项。</w:t>
      </w:r>
    </w:p>
    <w:p w14:paraId="0347AED9">
      <w:pPr>
        <w:widowControl/>
        <w:spacing w:line="360" w:lineRule="auto"/>
        <w:ind w:firstLine="480" w:firstLineChars="200"/>
        <w:rPr>
          <w:rFonts w:hint="eastAsia" w:ascii="宋体" w:hAnsi="宋体" w:cs="宋体"/>
        </w:rPr>
      </w:pPr>
      <w:r>
        <w:rPr>
          <w:rFonts w:hint="eastAsia" w:ascii="宋体" w:hAnsi="宋体" w:cs="宋体"/>
        </w:rPr>
        <w:t>3.质疑投标人若对项目的某一分包进行质疑，质疑函中应列明具体分包号。</w:t>
      </w:r>
    </w:p>
    <w:p w14:paraId="700B7580">
      <w:pPr>
        <w:widowControl/>
        <w:spacing w:line="360" w:lineRule="auto"/>
        <w:ind w:firstLine="480" w:firstLineChars="200"/>
        <w:rPr>
          <w:rFonts w:hint="eastAsia" w:ascii="宋体" w:hAnsi="宋体" w:cs="宋体"/>
        </w:rPr>
      </w:pPr>
      <w:r>
        <w:rPr>
          <w:rFonts w:hint="eastAsia" w:ascii="宋体" w:hAnsi="宋体" w:cs="宋体"/>
        </w:rPr>
        <w:t>4.质疑函的质疑事项应具体、明确，并有必要的事实依据和法律依据。</w:t>
      </w:r>
    </w:p>
    <w:p w14:paraId="02A791F6">
      <w:pPr>
        <w:widowControl/>
        <w:spacing w:line="360" w:lineRule="auto"/>
        <w:ind w:firstLine="480" w:firstLineChars="200"/>
        <w:rPr>
          <w:rFonts w:hint="eastAsia" w:ascii="宋体" w:hAnsi="宋体" w:cs="宋体"/>
        </w:rPr>
      </w:pPr>
      <w:r>
        <w:rPr>
          <w:rFonts w:hint="eastAsia" w:ascii="宋体" w:hAnsi="宋体" w:cs="宋体"/>
        </w:rPr>
        <w:t>5.质疑函的质疑请求应与质疑事项相关。</w:t>
      </w:r>
    </w:p>
    <w:p w14:paraId="7197487B">
      <w:pPr>
        <w:widowControl/>
        <w:spacing w:line="360" w:lineRule="auto"/>
        <w:ind w:firstLine="480" w:firstLineChars="200"/>
        <w:rPr>
          <w:rFonts w:hint="eastAsia" w:ascii="宋体" w:hAnsi="宋体" w:cs="宋体"/>
        </w:rPr>
      </w:pPr>
      <w:r>
        <w:rPr>
          <w:rFonts w:hint="eastAsia" w:ascii="宋体" w:hAnsi="宋体" w:cs="宋体"/>
        </w:rPr>
        <w:t>6.质疑投标人为自然人的，质疑函应由本人签字；质疑投标人为法人或者其他组织的，质疑函应由法定代表人、主要负责人，或者其授权代表签字或者盖章，并加盖公章。</w:t>
      </w:r>
    </w:p>
    <w:p w14:paraId="53C486C7">
      <w:pPr>
        <w:widowControl/>
        <w:spacing w:line="360" w:lineRule="auto"/>
        <w:ind w:firstLine="482" w:firstLineChars="200"/>
        <w:rPr>
          <w:rFonts w:hint="eastAsia" w:ascii="宋体" w:hAnsi="宋体" w:cs="宋体"/>
          <w:b/>
          <w:bCs/>
        </w:rPr>
      </w:pPr>
      <w:r>
        <w:rPr>
          <w:rFonts w:ascii="宋体" w:hAnsi="宋体" w:cs="宋体"/>
          <w:b/>
          <w:bCs/>
        </w:rPr>
        <w:t>2</w:t>
      </w:r>
      <w:r>
        <w:rPr>
          <w:rFonts w:hint="eastAsia" w:ascii="宋体" w:hAnsi="宋体" w:cs="宋体"/>
          <w:b/>
          <w:bCs/>
        </w:rPr>
        <w:t>9</w:t>
      </w:r>
      <w:r>
        <w:rPr>
          <w:rFonts w:ascii="宋体" w:hAnsi="宋体" w:cs="宋体"/>
          <w:b/>
          <w:bCs/>
        </w:rPr>
        <w:t>.</w:t>
      </w:r>
      <w:r>
        <w:rPr>
          <w:rFonts w:hint="eastAsia" w:ascii="宋体" w:hAnsi="宋体" w:cs="宋体"/>
          <w:b/>
          <w:bCs/>
        </w:rPr>
        <w:t>投诉</w:t>
      </w:r>
    </w:p>
    <w:p w14:paraId="35736705">
      <w:pPr>
        <w:pStyle w:val="44"/>
        <w:widowControl w:val="0"/>
        <w:spacing w:before="0" w:beforeAutospacing="0" w:after="0" w:afterAutospacing="0" w:line="360" w:lineRule="auto"/>
        <w:ind w:firstLine="482" w:firstLineChars="200"/>
        <w:jc w:val="both"/>
        <w:rPr>
          <w:rFonts w:hint="eastAsia" w:cs="宋体"/>
          <w:b/>
        </w:rPr>
      </w:pPr>
      <w:r>
        <w:rPr>
          <w:rFonts w:cs="宋体"/>
          <w:b/>
          <w:bCs/>
        </w:rPr>
        <w:t>2</w:t>
      </w:r>
      <w:r>
        <w:rPr>
          <w:rFonts w:hint="eastAsia" w:cs="宋体"/>
          <w:b/>
          <w:bCs/>
        </w:rPr>
        <w:t>9</w:t>
      </w:r>
      <w:r>
        <w:rPr>
          <w:rFonts w:cs="宋体"/>
          <w:b/>
          <w:bCs/>
        </w:rPr>
        <w:t>.1</w:t>
      </w:r>
      <w:r>
        <w:rPr>
          <w:rFonts w:hint="eastAsia" w:cs="宋体"/>
          <w:b/>
          <w:bCs/>
        </w:rPr>
        <w:t>投诉书范</w:t>
      </w:r>
      <w:r>
        <w:rPr>
          <w:rFonts w:hint="eastAsia" w:cs="宋体"/>
          <w:b/>
        </w:rPr>
        <w:t>本</w:t>
      </w:r>
    </w:p>
    <w:p w14:paraId="274405C8">
      <w:pPr>
        <w:spacing w:line="360" w:lineRule="auto"/>
        <w:ind w:firstLine="482" w:firstLineChars="200"/>
        <w:rPr>
          <w:rFonts w:hint="eastAsia" w:ascii="宋体" w:hAnsi="宋体" w:cs="宋体"/>
          <w:b/>
        </w:rPr>
      </w:pPr>
      <w:r>
        <w:rPr>
          <w:rFonts w:hint="eastAsia" w:ascii="宋体" w:hAnsi="宋体" w:cs="宋体"/>
          <w:b/>
        </w:rPr>
        <w:t>一、投诉相关主体基本情况</w:t>
      </w:r>
    </w:p>
    <w:p w14:paraId="779E90C3">
      <w:pPr>
        <w:spacing w:line="360" w:lineRule="auto"/>
        <w:ind w:firstLine="480" w:firstLineChars="200"/>
        <w:rPr>
          <w:rFonts w:hint="eastAsia" w:ascii="宋体" w:hAnsi="宋体" w:cs="宋体"/>
          <w:u w:val="dotted"/>
        </w:rPr>
      </w:pPr>
      <w:r>
        <w:rPr>
          <w:rFonts w:hint="eastAsia" w:ascii="宋体" w:hAnsi="宋体" w:cs="宋体"/>
        </w:rPr>
        <w:t>投诉人：________________________________________________________</w:t>
      </w:r>
    </w:p>
    <w:p w14:paraId="19247125">
      <w:pPr>
        <w:spacing w:line="360" w:lineRule="auto"/>
        <w:ind w:firstLine="480" w:firstLineChars="200"/>
        <w:rPr>
          <w:rFonts w:hint="eastAsia" w:ascii="宋体" w:hAnsi="宋体" w:cs="宋体"/>
          <w:u w:val="single"/>
        </w:rPr>
      </w:pPr>
      <w:r>
        <w:rPr>
          <w:rFonts w:hint="eastAsia" w:ascii="宋体" w:hAnsi="宋体" w:cs="宋体"/>
        </w:rPr>
        <w:t>地  址：_________________________邮 编：________________________</w:t>
      </w:r>
    </w:p>
    <w:p w14:paraId="261545ED">
      <w:pPr>
        <w:spacing w:line="360" w:lineRule="auto"/>
        <w:ind w:firstLine="480" w:firstLineChars="200"/>
        <w:rPr>
          <w:rFonts w:hint="eastAsia" w:ascii="宋体" w:hAnsi="宋体" w:cs="宋体"/>
        </w:rPr>
      </w:pPr>
      <w:r>
        <w:rPr>
          <w:rFonts w:hint="eastAsia" w:ascii="宋体" w:hAnsi="宋体" w:cs="宋体"/>
        </w:rPr>
        <w:t xml:space="preserve">法定代表人/主要负责人：_________________________________________ </w:t>
      </w:r>
    </w:p>
    <w:p w14:paraId="19285264">
      <w:pPr>
        <w:spacing w:line="360" w:lineRule="auto"/>
        <w:ind w:firstLine="480" w:firstLineChars="200"/>
        <w:rPr>
          <w:rFonts w:hint="eastAsia" w:ascii="宋体" w:hAnsi="宋体" w:cs="宋体"/>
          <w:u w:val="dotted"/>
        </w:rPr>
      </w:pPr>
      <w:r>
        <w:rPr>
          <w:rFonts w:hint="eastAsia" w:ascii="宋体" w:hAnsi="宋体" w:cs="宋体"/>
        </w:rPr>
        <w:t>联系电话：______________________________________________________</w:t>
      </w:r>
    </w:p>
    <w:p w14:paraId="3AED9022">
      <w:pPr>
        <w:spacing w:line="360" w:lineRule="auto"/>
        <w:ind w:firstLine="480" w:firstLineChars="200"/>
        <w:rPr>
          <w:rFonts w:hint="eastAsia" w:ascii="宋体" w:hAnsi="宋体" w:cs="宋体"/>
          <w:u w:val="dotted"/>
        </w:rPr>
      </w:pPr>
      <w:r>
        <w:rPr>
          <w:rFonts w:hint="eastAsia" w:ascii="宋体" w:hAnsi="宋体" w:cs="宋体"/>
        </w:rPr>
        <w:t>授权代表：_______________________联系电话：_____________________</w:t>
      </w:r>
    </w:p>
    <w:p w14:paraId="46BF3EF8">
      <w:pPr>
        <w:spacing w:line="360" w:lineRule="auto"/>
        <w:ind w:firstLine="480" w:firstLineChars="200"/>
        <w:rPr>
          <w:rFonts w:hint="eastAsia" w:ascii="宋体" w:hAnsi="宋体" w:cs="宋体"/>
          <w:u w:val="dotted"/>
        </w:rPr>
      </w:pPr>
      <w:r>
        <w:rPr>
          <w:rFonts w:hint="eastAsia" w:ascii="宋体" w:hAnsi="宋体" w:cs="宋体"/>
        </w:rPr>
        <w:t>地   址：_________________________邮 编：_______________________</w:t>
      </w:r>
    </w:p>
    <w:p w14:paraId="31DF8909">
      <w:pPr>
        <w:spacing w:line="360" w:lineRule="auto"/>
        <w:ind w:firstLine="480" w:firstLineChars="200"/>
        <w:rPr>
          <w:rFonts w:hint="eastAsia" w:ascii="宋体" w:hAnsi="宋体" w:cs="宋体"/>
          <w:u w:val="single"/>
        </w:rPr>
      </w:pPr>
      <w:r>
        <w:rPr>
          <w:rFonts w:hint="eastAsia" w:ascii="宋体" w:hAnsi="宋体" w:cs="宋体"/>
        </w:rPr>
        <w:t>被投诉人1：____________________________________________________</w:t>
      </w:r>
    </w:p>
    <w:p w14:paraId="6798E90C">
      <w:pPr>
        <w:spacing w:line="360" w:lineRule="auto"/>
        <w:ind w:firstLine="480" w:firstLineChars="200"/>
        <w:rPr>
          <w:rFonts w:hint="eastAsia" w:ascii="宋体" w:hAnsi="宋体" w:cs="宋体"/>
          <w:u w:val="single"/>
        </w:rPr>
      </w:pPr>
      <w:r>
        <w:rPr>
          <w:rFonts w:hint="eastAsia" w:ascii="宋体" w:hAnsi="宋体" w:cs="宋体"/>
        </w:rPr>
        <w:t>地   址：________________________ 邮 编：_______________________</w:t>
      </w:r>
    </w:p>
    <w:p w14:paraId="703155D6">
      <w:pPr>
        <w:spacing w:line="360" w:lineRule="auto"/>
        <w:ind w:firstLine="480" w:firstLineChars="200"/>
        <w:rPr>
          <w:rFonts w:hint="eastAsia" w:ascii="宋体" w:hAnsi="宋体" w:cs="宋体"/>
          <w:u w:val="single"/>
        </w:rPr>
      </w:pPr>
      <w:r>
        <w:rPr>
          <w:rFonts w:hint="eastAsia" w:ascii="宋体" w:hAnsi="宋体" w:cs="宋体"/>
        </w:rPr>
        <w:t>联系人：________________________ 联系电话：_____________________</w:t>
      </w:r>
    </w:p>
    <w:p w14:paraId="2FB6E2D6">
      <w:pPr>
        <w:spacing w:line="360" w:lineRule="auto"/>
        <w:ind w:firstLine="480" w:firstLineChars="200"/>
        <w:rPr>
          <w:rFonts w:hint="eastAsia" w:ascii="宋体" w:hAnsi="宋体" w:cs="宋体"/>
        </w:rPr>
      </w:pPr>
      <w:r>
        <w:rPr>
          <w:rFonts w:hint="eastAsia" w:ascii="宋体" w:hAnsi="宋体" w:cs="宋体"/>
        </w:rPr>
        <w:t>被投诉人2</w:t>
      </w:r>
    </w:p>
    <w:p w14:paraId="1628FB65">
      <w:pPr>
        <w:spacing w:line="360" w:lineRule="auto"/>
        <w:ind w:firstLine="480" w:firstLineChars="200"/>
        <w:rPr>
          <w:rFonts w:hint="eastAsia" w:ascii="宋体" w:hAnsi="宋体" w:cs="宋体"/>
          <w:u w:val="dotted"/>
        </w:rPr>
      </w:pPr>
      <w:r>
        <w:rPr>
          <w:rFonts w:hint="eastAsia" w:ascii="宋体" w:hAnsi="宋体" w:cs="宋体"/>
        </w:rPr>
        <w:t>……</w:t>
      </w:r>
    </w:p>
    <w:p w14:paraId="3D410864">
      <w:pPr>
        <w:spacing w:line="360" w:lineRule="auto"/>
        <w:ind w:firstLine="480" w:firstLineChars="200"/>
        <w:rPr>
          <w:rFonts w:hint="eastAsia" w:ascii="宋体" w:hAnsi="宋体" w:cs="宋体"/>
          <w:u w:val="single"/>
        </w:rPr>
      </w:pPr>
      <w:r>
        <w:rPr>
          <w:rFonts w:hint="eastAsia" w:ascii="宋体" w:hAnsi="宋体" w:cs="宋体"/>
        </w:rPr>
        <w:t>相关投标人：___________________________________________________</w:t>
      </w:r>
      <w:r>
        <w:rPr>
          <w:rFonts w:hint="eastAsia" w:ascii="宋体" w:hAnsi="宋体" w:cs="宋体"/>
          <w:u w:val="single"/>
        </w:rPr>
        <w:t xml:space="preserve"> </w:t>
      </w:r>
    </w:p>
    <w:p w14:paraId="02EBAEBC">
      <w:pPr>
        <w:spacing w:line="360" w:lineRule="auto"/>
        <w:ind w:firstLine="480" w:firstLineChars="200"/>
        <w:rPr>
          <w:rFonts w:hint="eastAsia" w:ascii="宋体" w:hAnsi="宋体" w:cs="宋体"/>
          <w:u w:val="single"/>
        </w:rPr>
      </w:pPr>
      <w:r>
        <w:rPr>
          <w:rFonts w:hint="eastAsia" w:ascii="宋体" w:hAnsi="宋体" w:cs="宋体"/>
        </w:rPr>
        <w:t>地   址：_______________________ 邮 编：________________________</w:t>
      </w:r>
    </w:p>
    <w:p w14:paraId="269B23F0">
      <w:pPr>
        <w:spacing w:line="360" w:lineRule="auto"/>
        <w:ind w:firstLine="480" w:firstLineChars="200"/>
        <w:rPr>
          <w:rFonts w:hint="eastAsia" w:ascii="宋体" w:hAnsi="宋体" w:cs="宋体"/>
          <w:u w:val="single"/>
        </w:rPr>
      </w:pPr>
      <w:r>
        <w:rPr>
          <w:rFonts w:hint="eastAsia" w:ascii="宋体" w:hAnsi="宋体" w:cs="宋体"/>
        </w:rPr>
        <w:t>联系人：__________________________联系电话：___________________</w:t>
      </w:r>
      <w:r>
        <w:rPr>
          <w:rFonts w:hint="eastAsia" w:ascii="宋体" w:hAnsi="宋体" w:cs="宋体"/>
          <w:u w:val="single"/>
        </w:rPr>
        <w:t xml:space="preserve"> </w:t>
      </w:r>
    </w:p>
    <w:p w14:paraId="28BE662A">
      <w:pPr>
        <w:spacing w:line="360" w:lineRule="auto"/>
        <w:ind w:firstLine="482" w:firstLineChars="200"/>
        <w:rPr>
          <w:rFonts w:hint="eastAsia" w:ascii="宋体" w:hAnsi="宋体" w:cs="宋体"/>
          <w:b/>
        </w:rPr>
      </w:pPr>
      <w:r>
        <w:rPr>
          <w:rFonts w:hint="eastAsia" w:ascii="宋体" w:hAnsi="宋体" w:cs="宋体"/>
          <w:b/>
        </w:rPr>
        <w:t>二、投诉项目基本情况</w:t>
      </w:r>
    </w:p>
    <w:p w14:paraId="2B6217AD">
      <w:pPr>
        <w:spacing w:line="360" w:lineRule="auto"/>
        <w:ind w:firstLine="480" w:firstLineChars="200"/>
        <w:rPr>
          <w:rFonts w:hint="eastAsia" w:ascii="宋体" w:hAnsi="宋体" w:cs="宋体"/>
          <w:u w:val="dotted"/>
        </w:rPr>
      </w:pPr>
      <w:r>
        <w:rPr>
          <w:rFonts w:hint="eastAsia" w:ascii="宋体" w:hAnsi="宋体" w:cs="宋体"/>
        </w:rPr>
        <w:t>采购项目名称：__________________________________________________</w:t>
      </w:r>
    </w:p>
    <w:p w14:paraId="6D330716">
      <w:pPr>
        <w:spacing w:line="360" w:lineRule="auto"/>
        <w:ind w:firstLine="480" w:firstLineChars="200"/>
        <w:rPr>
          <w:rFonts w:hint="eastAsia" w:ascii="宋体" w:hAnsi="宋体" w:cs="宋体"/>
          <w:u w:val="single"/>
        </w:rPr>
      </w:pPr>
      <w:r>
        <w:rPr>
          <w:rFonts w:hint="eastAsia" w:ascii="宋体" w:hAnsi="宋体" w:cs="宋体"/>
        </w:rPr>
        <w:t>采购项目编号：______________________包 号：_____________________</w:t>
      </w:r>
    </w:p>
    <w:p w14:paraId="59A3BC85">
      <w:pPr>
        <w:spacing w:line="360" w:lineRule="auto"/>
        <w:ind w:firstLine="480" w:firstLineChars="200"/>
        <w:rPr>
          <w:rFonts w:hint="eastAsia" w:ascii="宋体" w:hAnsi="宋体" w:cs="宋体"/>
        </w:rPr>
      </w:pPr>
      <w:r>
        <w:rPr>
          <w:rFonts w:hint="eastAsia" w:ascii="宋体" w:hAnsi="宋体" w:cs="宋体"/>
        </w:rPr>
        <w:t>采购人名称：____________________________________________________</w:t>
      </w:r>
    </w:p>
    <w:p w14:paraId="798418F3">
      <w:pPr>
        <w:spacing w:line="360" w:lineRule="auto"/>
        <w:ind w:firstLine="480" w:firstLineChars="200"/>
        <w:rPr>
          <w:rFonts w:hint="eastAsia" w:ascii="宋体" w:hAnsi="宋体" w:cs="宋体"/>
          <w:u w:val="dotted"/>
        </w:rPr>
      </w:pPr>
      <w:r>
        <w:rPr>
          <w:rFonts w:hint="eastAsia" w:ascii="宋体" w:hAnsi="宋体" w:cs="宋体"/>
        </w:rPr>
        <w:t>代理机构名称：__________________________________________________</w:t>
      </w:r>
    </w:p>
    <w:p w14:paraId="5BBE0BED">
      <w:pPr>
        <w:spacing w:line="360" w:lineRule="auto"/>
        <w:ind w:firstLine="480" w:firstLineChars="200"/>
        <w:rPr>
          <w:rFonts w:hint="eastAsia" w:ascii="宋体" w:hAnsi="宋体" w:cs="宋体"/>
          <w:u w:val="dotted"/>
        </w:rPr>
      </w:pPr>
      <w:r>
        <w:rPr>
          <w:rFonts w:hint="eastAsia" w:ascii="宋体" w:hAnsi="宋体" w:cs="宋体"/>
        </w:rPr>
        <w:t>招标文件公告:</w:t>
      </w:r>
      <w:r>
        <w:rPr>
          <w:rFonts w:hint="eastAsia" w:ascii="宋体" w:hAnsi="宋体" w:cs="宋体"/>
          <w:u w:val="single"/>
        </w:rPr>
        <w:t>是/否</w:t>
      </w:r>
      <w:r>
        <w:rPr>
          <w:rFonts w:hint="eastAsia" w:ascii="宋体" w:hAnsi="宋体" w:cs="宋体"/>
        </w:rPr>
        <w:t>公告期限：____________________________________</w:t>
      </w:r>
    </w:p>
    <w:p w14:paraId="24DC616F">
      <w:pPr>
        <w:spacing w:line="360" w:lineRule="auto"/>
        <w:ind w:firstLine="480" w:firstLineChars="200"/>
        <w:rPr>
          <w:rFonts w:hint="eastAsia" w:ascii="宋体" w:hAnsi="宋体" w:cs="宋体"/>
          <w:u w:val="single"/>
        </w:rPr>
      </w:pPr>
      <w:r>
        <w:rPr>
          <w:rFonts w:hint="eastAsia" w:ascii="宋体" w:hAnsi="宋体" w:cs="宋体"/>
        </w:rPr>
        <w:t>采购结果公告:</w:t>
      </w:r>
      <w:r>
        <w:rPr>
          <w:rFonts w:hint="eastAsia" w:ascii="宋体" w:hAnsi="宋体" w:cs="宋体"/>
          <w:u w:val="single"/>
        </w:rPr>
        <w:t>是/否</w:t>
      </w:r>
      <w:r>
        <w:rPr>
          <w:rFonts w:hint="eastAsia" w:ascii="宋体" w:hAnsi="宋体" w:cs="宋体"/>
        </w:rPr>
        <w:t>公告期限：____________________________________</w:t>
      </w:r>
    </w:p>
    <w:p w14:paraId="3592AD1A">
      <w:pPr>
        <w:spacing w:line="360" w:lineRule="auto"/>
        <w:ind w:firstLine="482" w:firstLineChars="200"/>
        <w:rPr>
          <w:rFonts w:hint="eastAsia" w:ascii="宋体" w:hAnsi="宋体" w:cs="宋体"/>
          <w:b/>
        </w:rPr>
      </w:pPr>
      <w:r>
        <w:rPr>
          <w:rFonts w:hint="eastAsia" w:ascii="宋体" w:hAnsi="宋体" w:cs="宋体"/>
          <w:b/>
        </w:rPr>
        <w:t>三、质疑基本情况</w:t>
      </w:r>
    </w:p>
    <w:p w14:paraId="570786C0">
      <w:pPr>
        <w:spacing w:line="360" w:lineRule="auto"/>
        <w:ind w:firstLine="480" w:firstLineChars="200"/>
        <w:rPr>
          <w:rFonts w:hint="eastAsia" w:ascii="宋体" w:hAnsi="宋体" w:cs="宋体"/>
          <w:u w:val="dotted"/>
        </w:rPr>
      </w:pPr>
      <w:r>
        <w:rPr>
          <w:rFonts w:hint="eastAsia" w:ascii="宋体" w:hAnsi="宋体" w:cs="宋体"/>
        </w:rPr>
        <w:t>投诉人于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日,向</w:t>
      </w:r>
      <w:r>
        <w:rPr>
          <w:rFonts w:hint="eastAsia" w:ascii="宋体" w:hAnsi="宋体" w:cs="宋体"/>
          <w:u w:val="single"/>
        </w:rPr>
        <w:t xml:space="preserve">      </w:t>
      </w:r>
      <w:r>
        <w:rPr>
          <w:rFonts w:hint="eastAsia" w:ascii="宋体" w:hAnsi="宋体" w:cs="宋体"/>
        </w:rPr>
        <w:t xml:space="preserve">提出质疑，质疑事项为：___________ </w:t>
      </w:r>
    </w:p>
    <w:p w14:paraId="56C95874">
      <w:pPr>
        <w:spacing w:line="360" w:lineRule="auto"/>
        <w:ind w:firstLine="480" w:firstLineChars="200"/>
        <w:rPr>
          <w:rFonts w:hint="eastAsia" w:ascii="宋体" w:hAnsi="宋体" w:cs="宋体"/>
        </w:rPr>
      </w:pPr>
      <w:r>
        <w:rPr>
          <w:rFonts w:hint="eastAsia" w:ascii="宋体" w:hAnsi="宋体" w:cs="宋体"/>
        </w:rPr>
        <w:t>采购人/代理机构于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日,就质疑事项作出了答复/没有在法定期限内作出答复。</w:t>
      </w:r>
    </w:p>
    <w:p w14:paraId="055338C7">
      <w:pPr>
        <w:spacing w:line="360" w:lineRule="auto"/>
        <w:ind w:firstLine="482" w:firstLineChars="200"/>
        <w:rPr>
          <w:rFonts w:hint="eastAsia" w:ascii="宋体" w:hAnsi="宋体" w:cs="宋体"/>
          <w:b/>
        </w:rPr>
      </w:pPr>
      <w:r>
        <w:rPr>
          <w:rFonts w:hint="eastAsia" w:ascii="宋体" w:hAnsi="宋体" w:cs="宋体"/>
          <w:b/>
        </w:rPr>
        <w:t>四、投诉事项具体内容</w:t>
      </w:r>
    </w:p>
    <w:p w14:paraId="64B5ED94">
      <w:pPr>
        <w:spacing w:line="360" w:lineRule="auto"/>
        <w:ind w:firstLine="480" w:firstLineChars="200"/>
        <w:rPr>
          <w:rFonts w:hint="eastAsia" w:ascii="宋体" w:hAnsi="宋体" w:cs="宋体"/>
          <w:u w:val="single"/>
        </w:rPr>
      </w:pPr>
      <w:r>
        <w:rPr>
          <w:rFonts w:hint="eastAsia" w:ascii="宋体" w:hAnsi="宋体" w:cs="宋体"/>
        </w:rPr>
        <w:t>投诉事项 1：___________________________________</w:t>
      </w:r>
    </w:p>
    <w:p w14:paraId="326824F4">
      <w:pPr>
        <w:spacing w:line="360" w:lineRule="auto"/>
        <w:ind w:firstLine="480" w:firstLineChars="200"/>
        <w:rPr>
          <w:rFonts w:hint="eastAsia" w:ascii="宋体" w:hAnsi="宋体" w:cs="宋体"/>
          <w:u w:val="dotted"/>
        </w:rPr>
      </w:pPr>
      <w:r>
        <w:rPr>
          <w:rFonts w:hint="eastAsia" w:ascii="宋体" w:hAnsi="宋体" w:cs="宋体"/>
        </w:rPr>
        <w:t>事实依据：_____________________________________</w:t>
      </w:r>
    </w:p>
    <w:p w14:paraId="605E647A">
      <w:pPr>
        <w:spacing w:line="360" w:lineRule="auto"/>
        <w:ind w:firstLine="480" w:firstLineChars="200"/>
        <w:rPr>
          <w:rFonts w:hint="eastAsia" w:ascii="宋体" w:hAnsi="宋体" w:cs="宋体"/>
        </w:rPr>
      </w:pPr>
      <w:r>
        <w:rPr>
          <w:rFonts w:hint="eastAsia" w:ascii="宋体" w:hAnsi="宋体" w:cs="宋体"/>
        </w:rPr>
        <w:t>法律依据：_____________________________________</w:t>
      </w:r>
    </w:p>
    <w:p w14:paraId="2041933C">
      <w:pPr>
        <w:spacing w:line="360" w:lineRule="auto"/>
        <w:ind w:firstLine="480" w:firstLineChars="200"/>
        <w:rPr>
          <w:rFonts w:hint="eastAsia" w:ascii="宋体" w:hAnsi="宋体" w:cs="宋体"/>
        </w:rPr>
      </w:pPr>
      <w:r>
        <w:rPr>
          <w:rFonts w:hint="eastAsia" w:ascii="宋体" w:hAnsi="宋体" w:cs="宋体"/>
        </w:rPr>
        <w:t>投诉事项2</w:t>
      </w:r>
    </w:p>
    <w:p w14:paraId="0EBA2264">
      <w:pPr>
        <w:spacing w:line="360" w:lineRule="auto"/>
        <w:ind w:firstLine="480" w:firstLineChars="200"/>
        <w:rPr>
          <w:rFonts w:hint="eastAsia" w:ascii="宋体" w:hAnsi="宋体" w:cs="宋体"/>
          <w:u w:val="dotted"/>
        </w:rPr>
      </w:pPr>
      <w:r>
        <w:rPr>
          <w:rFonts w:hint="eastAsia" w:ascii="宋体" w:hAnsi="宋体" w:cs="宋体"/>
        </w:rPr>
        <w:t>……</w:t>
      </w:r>
    </w:p>
    <w:p w14:paraId="15C615A5">
      <w:pPr>
        <w:spacing w:line="360" w:lineRule="auto"/>
        <w:ind w:firstLine="482" w:firstLineChars="200"/>
        <w:rPr>
          <w:rFonts w:hint="eastAsia" w:ascii="宋体" w:hAnsi="宋体" w:cs="宋体"/>
          <w:b/>
        </w:rPr>
      </w:pPr>
      <w:r>
        <w:rPr>
          <w:rFonts w:hint="eastAsia" w:ascii="宋体" w:hAnsi="宋体" w:cs="宋体"/>
          <w:b/>
        </w:rPr>
        <w:t>五、与投诉事项相关的投诉请求</w:t>
      </w:r>
    </w:p>
    <w:p w14:paraId="6B392112">
      <w:pPr>
        <w:spacing w:line="360" w:lineRule="auto"/>
        <w:ind w:firstLine="480" w:firstLineChars="200"/>
        <w:rPr>
          <w:rFonts w:hint="eastAsia" w:ascii="宋体" w:hAnsi="宋体" w:cs="宋体"/>
          <w:u w:val="dotted"/>
        </w:rPr>
      </w:pPr>
      <w:r>
        <w:rPr>
          <w:rFonts w:hint="eastAsia" w:ascii="宋体" w:hAnsi="宋体" w:cs="宋体"/>
        </w:rPr>
        <w:t>请求：_________________________________________</w:t>
      </w:r>
    </w:p>
    <w:p w14:paraId="09B6B058">
      <w:pPr>
        <w:spacing w:line="360" w:lineRule="auto"/>
        <w:ind w:firstLine="480" w:firstLineChars="200"/>
        <w:rPr>
          <w:rFonts w:hint="eastAsia" w:ascii="宋体" w:hAnsi="宋体" w:cs="宋体"/>
        </w:rPr>
      </w:pPr>
      <w:r>
        <w:rPr>
          <w:rFonts w:hint="eastAsia" w:ascii="宋体" w:hAnsi="宋体" w:cs="宋体"/>
        </w:rPr>
        <w:t xml:space="preserve">签字(签章)：                   公章：                      </w:t>
      </w:r>
    </w:p>
    <w:p w14:paraId="4097DCBC">
      <w:pPr>
        <w:spacing w:line="360" w:lineRule="auto"/>
        <w:ind w:firstLine="480" w:firstLineChars="200"/>
        <w:rPr>
          <w:rFonts w:hint="eastAsia" w:ascii="宋体" w:hAnsi="宋体" w:cs="宋体"/>
        </w:rPr>
      </w:pPr>
      <w:r>
        <w:rPr>
          <w:rFonts w:hint="eastAsia" w:ascii="宋体" w:hAnsi="宋体" w:cs="宋体"/>
        </w:rPr>
        <w:t xml:space="preserve">日期：    </w:t>
      </w:r>
    </w:p>
    <w:p w14:paraId="1CFBFE0D">
      <w:pPr>
        <w:spacing w:line="360" w:lineRule="auto"/>
        <w:ind w:firstLine="482" w:firstLineChars="200"/>
        <w:rPr>
          <w:rFonts w:hint="eastAsia" w:ascii="宋体" w:hAnsi="宋体" w:cs="宋体"/>
          <w:b/>
          <w:bCs/>
        </w:rPr>
      </w:pPr>
      <w:r>
        <w:rPr>
          <w:rFonts w:hint="eastAsia" w:ascii="宋体" w:hAnsi="宋体" w:cs="宋体"/>
          <w:b/>
          <w:bCs/>
        </w:rPr>
        <w:t>投诉书制作说明：</w:t>
      </w:r>
    </w:p>
    <w:p w14:paraId="0A4E05D4">
      <w:pPr>
        <w:widowControl/>
        <w:spacing w:line="360" w:lineRule="auto"/>
        <w:ind w:firstLine="480" w:firstLineChars="200"/>
        <w:rPr>
          <w:rFonts w:hint="eastAsia" w:ascii="宋体" w:hAnsi="宋体" w:cs="宋体"/>
          <w:kern w:val="0"/>
        </w:rPr>
      </w:pPr>
      <w:r>
        <w:rPr>
          <w:rFonts w:hint="eastAsia" w:ascii="宋体" w:hAnsi="宋体" w:cs="宋体"/>
        </w:rPr>
        <w:t>1.投诉人提起投诉时，应当提交投诉书和必要的证明材料，并按照被投诉人和与投诉事项有关的投标人数量提供投诉书副本。</w:t>
      </w:r>
    </w:p>
    <w:p w14:paraId="6E4245F8">
      <w:pPr>
        <w:widowControl/>
        <w:spacing w:line="360" w:lineRule="auto"/>
        <w:ind w:firstLine="480" w:firstLineChars="200"/>
        <w:rPr>
          <w:rFonts w:hint="eastAsia" w:ascii="宋体" w:hAnsi="宋体" w:cs="宋体"/>
          <w:kern w:val="0"/>
        </w:rPr>
      </w:pPr>
      <w:r>
        <w:rPr>
          <w:rFonts w:hint="eastAsia" w:ascii="宋体" w:hAnsi="宋体" w:cs="宋体"/>
        </w:rPr>
        <w:t>2.投诉人若委托代理人进行投诉的，投诉书应按照要求列明“授权代表”的有关内容，并在附件中提交由</w:t>
      </w:r>
      <w:r>
        <w:rPr>
          <w:rFonts w:hint="eastAsia" w:ascii="宋体" w:hAnsi="宋体" w:cs="宋体"/>
          <w:kern w:val="0"/>
        </w:rPr>
        <w:t>投诉人签署的授权委托书。授权委托书应当载明代理人的姓名或者名称、代理事项、具体权限、期限和相关事项。</w:t>
      </w:r>
    </w:p>
    <w:p w14:paraId="7F831E85">
      <w:pPr>
        <w:widowControl/>
        <w:spacing w:line="360" w:lineRule="auto"/>
        <w:ind w:firstLine="480" w:firstLineChars="200"/>
        <w:rPr>
          <w:rFonts w:hint="eastAsia" w:ascii="宋体" w:hAnsi="宋体" w:cs="宋体"/>
        </w:rPr>
      </w:pPr>
      <w:r>
        <w:rPr>
          <w:rFonts w:hint="eastAsia" w:ascii="宋体" w:hAnsi="宋体" w:cs="宋体"/>
        </w:rPr>
        <w:t>3.投诉人若对项目的某一分包进行投诉，投诉书应列明具体分包号。</w:t>
      </w:r>
    </w:p>
    <w:p w14:paraId="6436D604">
      <w:pPr>
        <w:widowControl/>
        <w:spacing w:line="360" w:lineRule="auto"/>
        <w:ind w:firstLine="480" w:firstLineChars="200"/>
        <w:rPr>
          <w:rFonts w:hint="eastAsia" w:ascii="宋体" w:hAnsi="宋体" w:cs="宋体"/>
        </w:rPr>
      </w:pPr>
      <w:r>
        <w:rPr>
          <w:rFonts w:hint="eastAsia" w:ascii="宋体" w:hAnsi="宋体" w:cs="宋体"/>
        </w:rPr>
        <w:t>4.投诉书应简要列明质疑事项，质疑函、质疑答复等作为附件材料提供。</w:t>
      </w:r>
    </w:p>
    <w:p w14:paraId="26BD417B">
      <w:pPr>
        <w:widowControl/>
        <w:spacing w:line="360" w:lineRule="auto"/>
        <w:ind w:firstLine="480" w:firstLineChars="200"/>
        <w:rPr>
          <w:rFonts w:hint="eastAsia" w:ascii="宋体" w:hAnsi="宋体" w:cs="宋体"/>
        </w:rPr>
      </w:pPr>
      <w:r>
        <w:rPr>
          <w:rFonts w:hint="eastAsia" w:ascii="宋体" w:hAnsi="宋体" w:cs="宋体"/>
        </w:rPr>
        <w:t>5.投诉书的投诉事项应具体、明确，并有必要的事实依据和法律依据。</w:t>
      </w:r>
    </w:p>
    <w:p w14:paraId="4585BFFC">
      <w:pPr>
        <w:widowControl/>
        <w:spacing w:line="360" w:lineRule="auto"/>
        <w:ind w:firstLine="480" w:firstLineChars="200"/>
        <w:rPr>
          <w:rFonts w:hint="eastAsia" w:ascii="宋体" w:hAnsi="宋体" w:cs="宋体"/>
        </w:rPr>
      </w:pPr>
      <w:r>
        <w:rPr>
          <w:rFonts w:hint="eastAsia" w:ascii="宋体" w:hAnsi="宋体" w:cs="宋体"/>
        </w:rPr>
        <w:t>6.投诉书的投诉请求应与投诉事项相关。</w:t>
      </w:r>
    </w:p>
    <w:p w14:paraId="3722F825">
      <w:pPr>
        <w:widowControl/>
        <w:spacing w:line="360" w:lineRule="auto"/>
        <w:ind w:firstLine="480" w:firstLineChars="200"/>
        <w:rPr>
          <w:rFonts w:hint="eastAsia" w:cs="宋体" w:asciiTheme="minorEastAsia" w:hAnsiTheme="minorEastAsia" w:eastAsiaTheme="minorEastAsia"/>
          <w:b/>
          <w:bCs/>
          <w:kern w:val="0"/>
        </w:rPr>
      </w:pPr>
      <w:r>
        <w:rPr>
          <w:rFonts w:hint="eastAsia" w:ascii="宋体" w:hAnsi="宋体" w:cs="宋体"/>
        </w:rPr>
        <w:t>7.投诉人为自然人的，投诉书应当由本人签字；投诉人为法人或者其他组织的，投诉书应当由法定代表人、主要负责人，或者其授权代表签字或者盖章，并加盖公章。</w:t>
      </w:r>
    </w:p>
    <w:bookmarkEnd w:id="90"/>
    <w:bookmarkEnd w:id="91"/>
    <w:bookmarkEnd w:id="92"/>
    <w:bookmarkEnd w:id="93"/>
    <w:bookmarkEnd w:id="395"/>
    <w:bookmarkEnd w:id="396"/>
    <w:bookmarkEnd w:id="397"/>
    <w:p w14:paraId="539675DD">
      <w:pPr>
        <w:widowControl/>
        <w:jc w:val="left"/>
        <w:rPr>
          <w:rFonts w:hint="eastAsia" w:ascii="黑体" w:hAnsi="黑体" w:eastAsia="黑体"/>
          <w:b/>
          <w:sz w:val="36"/>
          <w:szCs w:val="36"/>
        </w:rPr>
      </w:pPr>
      <w:r>
        <w:rPr>
          <w:rFonts w:ascii="黑体" w:hAnsi="黑体" w:eastAsia="黑体"/>
          <w:szCs w:val="36"/>
        </w:rPr>
        <w:br w:type="page"/>
      </w:r>
    </w:p>
    <w:p w14:paraId="4E3471A1">
      <w:pPr>
        <w:keepNext/>
        <w:keepLines/>
        <w:tabs>
          <w:tab w:val="left" w:pos="360"/>
        </w:tabs>
        <w:adjustRightInd w:val="0"/>
        <w:spacing w:line="360" w:lineRule="auto"/>
        <w:jc w:val="center"/>
        <w:textAlignment w:val="baseline"/>
        <w:outlineLvl w:val="0"/>
        <w:rPr>
          <w:rFonts w:hint="eastAsia" w:ascii="黑体" w:hAnsi="黑体" w:eastAsia="黑体"/>
          <w:b/>
          <w:sz w:val="32"/>
          <w:szCs w:val="32"/>
        </w:rPr>
        <w:sectPr>
          <w:footerReference r:id="rId6" w:type="first"/>
          <w:footerReference r:id="rId5" w:type="default"/>
          <w:pgSz w:w="11906" w:h="16838"/>
          <w:pgMar w:top="1440" w:right="1418" w:bottom="1440" w:left="1701" w:header="850" w:footer="720" w:gutter="0"/>
          <w:pgNumType w:start="1" w:chapStyle="1"/>
          <w:cols w:space="720" w:num="1"/>
          <w:docGrid w:linePitch="331" w:charSpace="0"/>
        </w:sectPr>
      </w:pPr>
      <w:bookmarkStart w:id="437" w:name="_Toc216365880"/>
      <w:bookmarkStart w:id="438" w:name="_Toc288204621"/>
      <w:bookmarkStart w:id="439" w:name="_Toc297194313"/>
    </w:p>
    <w:p w14:paraId="4CF81F3B">
      <w:pPr>
        <w:keepNext/>
        <w:keepLines/>
        <w:tabs>
          <w:tab w:val="left" w:pos="360"/>
        </w:tabs>
        <w:adjustRightInd w:val="0"/>
        <w:spacing w:line="360" w:lineRule="auto"/>
        <w:jc w:val="center"/>
        <w:textAlignment w:val="baseline"/>
        <w:outlineLvl w:val="0"/>
        <w:rPr>
          <w:rFonts w:hint="eastAsia" w:ascii="黑体" w:hAnsi="黑体" w:eastAsia="黑体"/>
          <w:b/>
          <w:sz w:val="32"/>
          <w:szCs w:val="32"/>
        </w:rPr>
      </w:pPr>
      <w:r>
        <w:rPr>
          <w:rFonts w:hint="eastAsia" w:ascii="黑体" w:hAnsi="黑体" w:eastAsia="黑体"/>
          <w:b/>
          <w:sz w:val="32"/>
          <w:szCs w:val="32"/>
        </w:rPr>
        <w:t xml:space="preserve">第三章 </w:t>
      </w:r>
      <w:bookmarkStart w:id="440" w:name="OLE_LINK11"/>
      <w:r>
        <w:rPr>
          <w:rFonts w:hint="eastAsia" w:ascii="黑体" w:hAnsi="黑体" w:eastAsia="黑体"/>
          <w:b/>
          <w:sz w:val="32"/>
          <w:szCs w:val="32"/>
        </w:rPr>
        <w:t>采购需求</w:t>
      </w:r>
      <w:bookmarkEnd w:id="437"/>
    </w:p>
    <w:bookmarkEnd w:id="438"/>
    <w:bookmarkEnd w:id="439"/>
    <w:p w14:paraId="65D2E9EE">
      <w:pPr>
        <w:keepNext/>
        <w:tabs>
          <w:tab w:val="left" w:pos="360"/>
          <w:tab w:val="left" w:pos="3999"/>
        </w:tabs>
        <w:adjustRightInd w:val="0"/>
        <w:spacing w:line="360" w:lineRule="auto"/>
        <w:ind w:firstLine="562" w:firstLineChars="200"/>
        <w:jc w:val="left"/>
        <w:textAlignment w:val="baseline"/>
        <w:outlineLvl w:val="1"/>
        <w:rPr>
          <w:rFonts w:hint="default" w:ascii="黑体" w:hAnsi="黑体" w:eastAsia="黑体" w:cs="宋体"/>
          <w:b/>
          <w:sz w:val="28"/>
          <w:szCs w:val="28"/>
          <w:lang w:val="en-US" w:eastAsia="zh-CN"/>
        </w:rPr>
      </w:pPr>
      <w:r>
        <w:rPr>
          <w:rFonts w:hint="eastAsia" w:ascii="黑体" w:hAnsi="黑体" w:eastAsia="黑体" w:cs="宋体"/>
          <w:b/>
          <w:sz w:val="28"/>
          <w:szCs w:val="28"/>
        </w:rPr>
        <w:t>一、</w:t>
      </w:r>
      <w:r>
        <w:rPr>
          <w:rFonts w:hint="eastAsia" w:ascii="黑体" w:hAnsi="黑体" w:eastAsia="黑体" w:cs="宋体"/>
          <w:b/>
          <w:sz w:val="28"/>
          <w:szCs w:val="28"/>
          <w:lang w:val="en-US" w:eastAsia="zh-CN"/>
        </w:rPr>
        <w:t>采购清单</w:t>
      </w:r>
    </w:p>
    <w:tbl>
      <w:tblPr>
        <w:tblStyle w:val="49"/>
        <w:tblW w:w="5263" w:type="pct"/>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9"/>
        <w:gridCol w:w="651"/>
        <w:gridCol w:w="6533"/>
        <w:gridCol w:w="794"/>
        <w:gridCol w:w="750"/>
      </w:tblGrid>
      <w:tr w14:paraId="26362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395" w:type="pct"/>
            <w:vMerge w:val="restart"/>
            <w:shd w:val="clear" w:color="auto" w:fill="auto"/>
            <w:vAlign w:val="center"/>
          </w:tcPr>
          <w:p w14:paraId="56C7D0E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343" w:type="pct"/>
            <w:vMerge w:val="restart"/>
            <w:shd w:val="clear" w:color="auto" w:fill="auto"/>
            <w:vAlign w:val="center"/>
          </w:tcPr>
          <w:p w14:paraId="0C4A31C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设备名称</w:t>
            </w:r>
          </w:p>
        </w:tc>
        <w:tc>
          <w:tcPr>
            <w:tcW w:w="3446" w:type="pct"/>
            <w:vMerge w:val="restart"/>
            <w:shd w:val="clear" w:color="auto" w:fill="auto"/>
            <w:vAlign w:val="center"/>
          </w:tcPr>
          <w:p w14:paraId="233EFC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技术参数</w:t>
            </w:r>
          </w:p>
        </w:tc>
        <w:tc>
          <w:tcPr>
            <w:tcW w:w="418" w:type="pct"/>
            <w:vMerge w:val="restart"/>
            <w:shd w:val="clear" w:color="auto" w:fill="auto"/>
            <w:vAlign w:val="center"/>
          </w:tcPr>
          <w:p w14:paraId="709DE3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395" w:type="pct"/>
            <w:vMerge w:val="restart"/>
            <w:shd w:val="clear" w:color="auto" w:fill="auto"/>
            <w:vAlign w:val="center"/>
          </w:tcPr>
          <w:p w14:paraId="761B19F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3D33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0AF7B89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b/>
                <w:bCs/>
                <w:i w:val="0"/>
                <w:iCs w:val="0"/>
                <w:color w:val="auto"/>
                <w:sz w:val="21"/>
                <w:szCs w:val="21"/>
                <w:u w:val="none"/>
              </w:rPr>
            </w:pPr>
          </w:p>
        </w:tc>
        <w:tc>
          <w:tcPr>
            <w:tcW w:w="343" w:type="pct"/>
            <w:vMerge w:val="continue"/>
            <w:shd w:val="clear" w:color="auto" w:fill="auto"/>
            <w:vAlign w:val="center"/>
          </w:tcPr>
          <w:p w14:paraId="71874FB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b/>
                <w:bCs/>
                <w:i w:val="0"/>
                <w:iCs w:val="0"/>
                <w:color w:val="auto"/>
                <w:sz w:val="21"/>
                <w:szCs w:val="21"/>
                <w:u w:val="none"/>
              </w:rPr>
            </w:pPr>
          </w:p>
        </w:tc>
        <w:tc>
          <w:tcPr>
            <w:tcW w:w="3446" w:type="pct"/>
            <w:vMerge w:val="continue"/>
            <w:shd w:val="clear" w:color="auto" w:fill="auto"/>
            <w:vAlign w:val="center"/>
          </w:tcPr>
          <w:p w14:paraId="009DC6F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b/>
                <w:bCs/>
                <w:i w:val="0"/>
                <w:iCs w:val="0"/>
                <w:color w:val="auto"/>
                <w:sz w:val="21"/>
                <w:szCs w:val="21"/>
                <w:u w:val="none"/>
              </w:rPr>
            </w:pPr>
          </w:p>
        </w:tc>
        <w:tc>
          <w:tcPr>
            <w:tcW w:w="418" w:type="pct"/>
            <w:vMerge w:val="continue"/>
            <w:shd w:val="clear" w:color="auto" w:fill="auto"/>
            <w:vAlign w:val="center"/>
          </w:tcPr>
          <w:p w14:paraId="08A32B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b/>
                <w:bCs/>
                <w:i w:val="0"/>
                <w:iCs w:val="0"/>
                <w:color w:val="auto"/>
                <w:sz w:val="21"/>
                <w:szCs w:val="21"/>
                <w:u w:val="none"/>
              </w:rPr>
            </w:pPr>
          </w:p>
        </w:tc>
        <w:tc>
          <w:tcPr>
            <w:tcW w:w="395" w:type="pct"/>
            <w:vMerge w:val="continue"/>
            <w:shd w:val="clear" w:color="auto" w:fill="auto"/>
            <w:vAlign w:val="center"/>
          </w:tcPr>
          <w:p w14:paraId="616F61A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b/>
                <w:bCs/>
                <w:i w:val="0"/>
                <w:iCs w:val="0"/>
                <w:color w:val="auto"/>
                <w:sz w:val="21"/>
                <w:szCs w:val="21"/>
                <w:u w:val="none"/>
              </w:rPr>
            </w:pPr>
          </w:p>
        </w:tc>
      </w:tr>
      <w:tr w14:paraId="67D0C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shd w:val="clear" w:color="auto" w:fill="auto"/>
            <w:vAlign w:val="center"/>
          </w:tcPr>
          <w:p w14:paraId="6584FFA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343" w:type="pct"/>
            <w:shd w:val="clear" w:color="auto" w:fill="auto"/>
            <w:vAlign w:val="center"/>
          </w:tcPr>
          <w:p w14:paraId="6E66AF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核心交换机</w:t>
            </w:r>
          </w:p>
        </w:tc>
        <w:tc>
          <w:tcPr>
            <w:tcW w:w="3446" w:type="pct"/>
            <w:shd w:val="clear" w:color="auto" w:fill="auto"/>
            <w:vAlign w:val="center"/>
          </w:tcPr>
          <w:p w14:paraId="1755507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端口要求：本次要求配置不低于：4个万兆光口，16个千兆电口，同时支持4个可热插拔模组，每个模组可提供8个光电可选的千兆或百兆接口，最大支持8个万兆接口，48个千兆接口（配置4个万兆光模块，24个千兆光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2.性能要求：</w:t>
            </w:r>
          </w:p>
          <w:p w14:paraId="70514D29">
            <w:pPr>
              <w:keepNext w:val="0"/>
              <w:keepLines w:val="0"/>
              <w:pageBreakBefore w:val="0"/>
              <w:widowControl/>
              <w:numPr>
                <w:ilvl w:val="0"/>
                <w:numId w:val="12"/>
              </w:numPr>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u w:val="none"/>
                <w:lang w:val="en-US" w:eastAsia="zh-CN" w:bidi="ar"/>
              </w:rPr>
              <w:t>机架式安</w:t>
            </w:r>
            <w:r>
              <w:rPr>
                <w:rFonts w:hint="eastAsia" w:ascii="宋体" w:hAnsi="宋体" w:eastAsia="宋体" w:cs="宋体"/>
                <w:i w:val="0"/>
                <w:iCs w:val="0"/>
                <w:color w:val="auto"/>
                <w:kern w:val="0"/>
                <w:sz w:val="21"/>
                <w:szCs w:val="21"/>
                <w:highlight w:val="none"/>
                <w:u w:val="none"/>
                <w:lang w:val="en-US" w:eastAsia="zh-CN" w:bidi="ar"/>
              </w:rPr>
              <w:t>装方式；</w:t>
            </w:r>
          </w:p>
          <w:p w14:paraId="454CD7F3">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支持基于国际标准IEC62439-6的环网协议，自愈时间小于等于50ms。支持基于硬件的1588对时协议；</w:t>
            </w:r>
          </w:p>
          <w:p w14:paraId="2DD2CA14">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支持RSTP、STP、MSTP、VRRP、DRP等</w:t>
            </w:r>
            <w:r>
              <w:rPr>
                <w:rFonts w:hint="eastAsia" w:ascii="宋体" w:hAnsi="宋体" w:eastAsia="宋体" w:cs="宋体"/>
                <w:i w:val="0"/>
                <w:iCs w:val="0"/>
                <w:color w:val="auto"/>
                <w:kern w:val="0"/>
                <w:sz w:val="21"/>
                <w:szCs w:val="21"/>
                <w:u w:val="none"/>
                <w:lang w:val="en-US" w:eastAsia="zh-CN" w:bidi="ar"/>
              </w:rPr>
              <w:t>多种冗余组网机制；支持DDM、NQA、sflow、BFD、DLDP等丰富的诊断手段；</w:t>
            </w:r>
          </w:p>
          <w:p w14:paraId="4A20298D">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支持静态路由、RIP、OSPF以及三层组播路由PIM-SM/DM；</w:t>
            </w:r>
          </w:p>
          <w:p w14:paraId="63811A57">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背板带宽不小于176Gbps，包转发率不小于130.9Mpps；支持巨型帧传输，封包缓冲区高达48Mbit，视频传输高效稳定；</w:t>
            </w:r>
          </w:p>
          <w:p w14:paraId="6C5F4D04">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支持SNTP client，支持NTP client；</w:t>
            </w:r>
          </w:p>
          <w:p w14:paraId="13DAAD93">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支持VLAN,PVLAN,支持端口聚合,支持端口流控,支持端口限速,广播风暴抑制；</w:t>
            </w:r>
          </w:p>
          <w:p w14:paraId="1FC29F3A">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支持IEEE 802.1x(身份认证和授权),支持HTTPs/SSL-hyh,SFTP Client、SSH、RADIUS，支持用户分级；</w:t>
            </w:r>
          </w:p>
          <w:p w14:paraId="05D4A515">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支持ACL,支持基于端口和协议的数据流控制和限制,支持802.1p TOS/DiffServ-ptwy,支持SP,WRR队列调度；</w:t>
            </w:r>
          </w:p>
          <w:p w14:paraId="33D639C1">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支持Console,Telnet-hyh,WEB管理方式,支持SNMP V1/2/3可通过网管软件实现统一管理；</w:t>
            </w:r>
          </w:p>
          <w:p w14:paraId="75773F77">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支持内部硬件自检；支持IP/MAC冲突告警,电源告警,端口告警和环告警；支持日志功能；</w:t>
            </w:r>
          </w:p>
          <w:p w14:paraId="40F1AD57">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（12）</w:t>
            </w:r>
            <w:r>
              <w:rPr>
                <w:rFonts w:hint="eastAsia" w:ascii="宋体" w:hAnsi="宋体" w:eastAsia="宋体" w:cs="宋体"/>
                <w:i w:val="0"/>
                <w:iCs w:val="0"/>
                <w:color w:val="auto"/>
                <w:kern w:val="0"/>
                <w:sz w:val="21"/>
                <w:szCs w:val="21"/>
                <w:highlight w:val="none"/>
                <w:u w:val="none"/>
                <w:lang w:val="en-US" w:eastAsia="zh-CN" w:bidi="ar"/>
              </w:rPr>
              <w:t>光口支持DDM光功率检测功能；</w:t>
            </w:r>
          </w:p>
          <w:p w14:paraId="100821E0">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highlight w:val="none"/>
                <w:u w:val="none"/>
                <w:lang w:val="en-US" w:eastAsia="zh-CN" w:bidi="ar"/>
              </w:rPr>
              <w:t>（13）</w:t>
            </w:r>
            <w:r>
              <w:rPr>
                <w:rFonts w:hint="eastAsia" w:ascii="宋体" w:hAnsi="宋体" w:eastAsia="宋体" w:cs="宋体"/>
                <w:i w:val="0"/>
                <w:iCs w:val="0"/>
                <w:color w:val="auto"/>
                <w:kern w:val="0"/>
                <w:sz w:val="21"/>
                <w:szCs w:val="21"/>
                <w:highlight w:val="none"/>
                <w:u w:val="none"/>
                <w:lang w:val="en-US" w:eastAsia="zh-CN" w:bidi="ar"/>
              </w:rPr>
              <w:t>应采用全金属外壳，无风扇散热设计，不低于IP40防护等级；（14）工作环境应满足要求：工作温度-20</w:t>
            </w:r>
            <w:r>
              <w:rPr>
                <w:rFonts w:hint="eastAsia" w:ascii="宋体" w:hAnsi="宋体" w:eastAsia="宋体" w:cs="宋体"/>
                <w:i w:val="0"/>
                <w:iCs w:val="0"/>
                <w:color w:val="auto"/>
                <w:kern w:val="0"/>
                <w:sz w:val="21"/>
                <w:szCs w:val="21"/>
                <w:u w:val="none"/>
                <w:lang w:val="en-US" w:eastAsia="zh-CN" w:bidi="ar"/>
              </w:rPr>
              <w:t>℃～+75℃,储存温度-20℃-+85℃，相对湿度5%-95%无凝结；</w:t>
            </w:r>
          </w:p>
          <w:p w14:paraId="3AD104AE">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（15）</w:t>
            </w:r>
            <w:r>
              <w:rPr>
                <w:rFonts w:hint="eastAsia" w:ascii="宋体" w:hAnsi="宋体" w:eastAsia="宋体" w:cs="宋体"/>
                <w:i w:val="0"/>
                <w:iCs w:val="0"/>
                <w:color w:val="auto"/>
                <w:kern w:val="0"/>
                <w:sz w:val="21"/>
                <w:szCs w:val="21"/>
                <w:u w:val="none"/>
                <w:lang w:val="en-US" w:eastAsia="zh-CN" w:bidi="ar"/>
              </w:rPr>
              <w:t>输入电压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220AC/DC(85-264VAC/120-300VDC),24-48VDC(18-72VDC)冗余双电源，整机功耗＜85W；</w:t>
            </w:r>
          </w:p>
          <w:p w14:paraId="6E3D3A37">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u w:val="none"/>
                <w:lang w:val="en-US" w:eastAsia="zh-CN" w:bidi="ar"/>
              </w:rPr>
              <w:t>（16）</w:t>
            </w:r>
            <w:r>
              <w:rPr>
                <w:rFonts w:hint="eastAsia" w:ascii="宋体" w:hAnsi="宋体" w:eastAsia="宋体" w:cs="宋体"/>
                <w:i w:val="0"/>
                <w:iCs w:val="0"/>
                <w:color w:val="auto"/>
                <w:kern w:val="0"/>
                <w:sz w:val="21"/>
                <w:szCs w:val="21"/>
                <w:u w:val="none"/>
                <w:lang w:val="en-US" w:eastAsia="zh-CN" w:bidi="ar"/>
              </w:rPr>
              <w:t>平均无故障时间（MTPF）≥300000h</w:t>
            </w:r>
            <w:r>
              <w:rPr>
                <w:rFonts w:hint="eastAsia" w:ascii="宋体" w:hAnsi="宋体" w:eastAsia="宋体" w:cs="宋体"/>
                <w:i w:val="0"/>
                <w:iCs w:val="0"/>
                <w:color w:val="auto"/>
                <w:kern w:val="0"/>
                <w:sz w:val="21"/>
                <w:szCs w:val="21"/>
                <w:highlight w:val="none"/>
                <w:u w:val="none"/>
                <w:lang w:val="en-US" w:eastAsia="zh-CN" w:bidi="ar"/>
              </w:rPr>
              <w:t>，质保期5年；</w:t>
            </w:r>
          </w:p>
          <w:p w14:paraId="293BD640">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ind w:leftChars="0"/>
              <w:jc w:val="both"/>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（17）为保证项目实施及后期的维护完善性，交换机设备供应商需具有完善的售后服务体系。</w:t>
            </w:r>
          </w:p>
        </w:tc>
        <w:tc>
          <w:tcPr>
            <w:tcW w:w="418" w:type="pct"/>
            <w:shd w:val="clear" w:color="auto" w:fill="auto"/>
            <w:vAlign w:val="center"/>
          </w:tcPr>
          <w:p w14:paraId="7346E05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395" w:type="pct"/>
            <w:shd w:val="clear" w:color="auto" w:fill="auto"/>
            <w:vAlign w:val="center"/>
          </w:tcPr>
          <w:p w14:paraId="3152CC0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台</w:t>
            </w:r>
          </w:p>
        </w:tc>
      </w:tr>
      <w:tr w14:paraId="7749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restart"/>
            <w:shd w:val="clear" w:color="auto" w:fill="auto"/>
            <w:vAlign w:val="center"/>
          </w:tcPr>
          <w:p w14:paraId="6DBEB7F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343" w:type="pct"/>
            <w:vMerge w:val="restart"/>
            <w:shd w:val="clear" w:color="auto" w:fill="auto"/>
            <w:vAlign w:val="center"/>
          </w:tcPr>
          <w:p w14:paraId="11058AC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接入交换机</w:t>
            </w:r>
          </w:p>
        </w:tc>
        <w:tc>
          <w:tcPr>
            <w:tcW w:w="3446" w:type="pct"/>
            <w:vMerge w:val="restart"/>
            <w:shd w:val="clear" w:color="auto" w:fill="auto"/>
            <w:vAlign w:val="center"/>
          </w:tcPr>
          <w:p w14:paraId="684B35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1.为保障安全可靠要求，确保网络架构一体化管控与故障快速处置，环网交换机与核心交换机需</w:t>
            </w:r>
            <w:r>
              <w:rPr>
                <w:rFonts w:hint="eastAsia" w:ascii="宋体" w:hAnsi="宋体" w:cs="宋体"/>
                <w:i w:val="0"/>
                <w:iCs w:val="0"/>
                <w:color w:val="auto"/>
                <w:kern w:val="0"/>
                <w:sz w:val="21"/>
                <w:szCs w:val="21"/>
                <w:u w:val="none"/>
                <w:lang w:val="en-US" w:eastAsia="zh-CN" w:bidi="ar"/>
              </w:rPr>
              <w:t>支持</w:t>
            </w:r>
            <w:r>
              <w:rPr>
                <w:rFonts w:hint="eastAsia" w:ascii="宋体" w:hAnsi="宋体" w:eastAsia="宋体" w:cs="宋体"/>
                <w:i w:val="0"/>
                <w:iCs w:val="0"/>
                <w:color w:val="auto"/>
                <w:kern w:val="0"/>
                <w:sz w:val="21"/>
                <w:szCs w:val="21"/>
                <w:u w:val="none"/>
                <w:lang w:val="en-US" w:eastAsia="zh-CN" w:bidi="ar"/>
              </w:rPr>
              <w:t>具备实现协议无缝对接、数据同步传输及统一运维管理，保障系统长期稳定运行；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2.支持4个1G/10G的SFP+接口，8个千兆SFP接口，8个千兆光电复用接口，16个千兆电接口（配置4个万兆光模块，16个千兆光模块，4路RS485端口）；</w:t>
            </w:r>
          </w:p>
          <w:p w14:paraId="69952439">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端口吞吐量可达线速转发，交换容量144Gbps，包转发率107Mpps，支持巨型帧传输，封包缓冲区32Mbit，保证视频传输高效稳定；</w:t>
            </w:r>
          </w:p>
          <w:p w14:paraId="1A5BBB5C">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支持24-48VDC冗余电源，具备过电保护功能和反接保护功能，增加可靠性，工作温度宽温-40℃~+75℃，整机功耗≤40W；</w:t>
            </w:r>
          </w:p>
          <w:p w14:paraId="54AC0308">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标准机架式安装方式，采用全金属外壳，无风扇散热设计，不低于IP40防护等级；</w:t>
            </w:r>
          </w:p>
          <w:p w14:paraId="0DA40A61">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支持基于国际标准IEC62439-6的DRP/DHP环网协议，可在网络发生单点故障时实现20ms内的自愈，与网络范围大小无关；</w:t>
            </w:r>
          </w:p>
          <w:p w14:paraId="3F231072">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支持STP、RSTP、MSTP、DRP等多种冗余组网机制；</w:t>
            </w:r>
          </w:p>
          <w:p w14:paraId="1AAB4D4D">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支持SNTP client、NTP client，同时支持基于硬件的1588对时协议；</w:t>
            </w:r>
          </w:p>
          <w:p w14:paraId="44BDF3C9">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为有效的控制广播风暴的产生，支持环回检测功能，支持CRC保护功能，支持端口隔离功能，支持链路状态检测功能；</w:t>
            </w:r>
          </w:p>
          <w:p w14:paraId="697B4C9A">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支持VLAN、PVLAN，支持端口聚合、端口流控、端口限速功能；</w:t>
            </w:r>
          </w:p>
          <w:p w14:paraId="627A9A3C">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支持IEEE 802.1x(身份认证和授权)，支持HTTPs/SSL-hyh，支持SSH，支持本地RADIUS server，支持对外部的RADIS Server转发身份认证信息，支持TACACS+H，支持单播MAC过滤等安全技术；</w:t>
            </w:r>
          </w:p>
          <w:p w14:paraId="2F4B56E8">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支持ACL，支持基于端口和协议的数据流控制和限制，支持802.1p TOS/DiffServ-ptwy，支持SP、WRR队列调度；</w:t>
            </w:r>
          </w:p>
          <w:p w14:paraId="27E11519">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13.</w:t>
            </w:r>
            <w:r>
              <w:rPr>
                <w:rFonts w:hint="eastAsia" w:ascii="宋体" w:hAnsi="宋体" w:eastAsia="宋体" w:cs="宋体"/>
                <w:i w:val="0"/>
                <w:iCs w:val="0"/>
                <w:color w:val="auto"/>
                <w:kern w:val="0"/>
                <w:sz w:val="21"/>
                <w:szCs w:val="21"/>
                <w:u w:val="none"/>
                <w:lang w:val="en-US" w:eastAsia="zh-CN" w:bidi="ar"/>
              </w:rPr>
              <w:t>支持IP/MAC冲突告警，电源告警，端口告警和环告警，支持日志功能，光口支持DDM光功率检测功能；</w:t>
            </w:r>
          </w:p>
          <w:p w14:paraId="27226D2B">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14.</w:t>
            </w:r>
            <w:r>
              <w:rPr>
                <w:rFonts w:hint="eastAsia" w:ascii="宋体" w:hAnsi="宋体" w:eastAsia="宋体" w:cs="宋体"/>
                <w:i w:val="0"/>
                <w:iCs w:val="0"/>
                <w:color w:val="auto"/>
                <w:kern w:val="0"/>
                <w:sz w:val="21"/>
                <w:szCs w:val="21"/>
                <w:u w:val="none"/>
                <w:lang w:val="en-US" w:eastAsia="zh-CN" w:bidi="ar"/>
              </w:rPr>
              <w:t>支持Console、Telnet、WEB管理，支持SNMP协议，可实现远程实时在线故障诊断；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15.</w:t>
            </w:r>
            <w:r>
              <w:rPr>
                <w:rFonts w:hint="eastAsia" w:ascii="宋体" w:hAnsi="宋体" w:eastAsia="宋体" w:cs="宋体"/>
                <w:i w:val="0"/>
                <w:iCs w:val="0"/>
                <w:color w:val="auto"/>
                <w:kern w:val="0"/>
                <w:sz w:val="21"/>
                <w:szCs w:val="21"/>
                <w:u w:val="none"/>
                <w:lang w:val="en-US" w:eastAsia="zh-CN" w:bidi="ar"/>
              </w:rPr>
              <w:t>支持通过FTP/TFTP/HTTP/HTTPs进行软件和配置的上传下载；</w:t>
            </w:r>
          </w:p>
          <w:p w14:paraId="5C048AD6">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16.平均无故障时间（MTPF）&gt;500，000h，质保期5年；</w:t>
            </w:r>
          </w:p>
          <w:p w14:paraId="4C13FB5C">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17.产品源代码不存在高危漏洞及后门，并提供具备资质的权威检测机构出具的报告；</w:t>
            </w:r>
          </w:p>
          <w:p w14:paraId="5F46BB19">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18.</w:t>
            </w:r>
            <w:r>
              <w:rPr>
                <w:rFonts w:hint="eastAsia" w:ascii="宋体" w:hAnsi="宋体" w:eastAsia="宋体" w:cs="宋体"/>
                <w:i w:val="0"/>
                <w:iCs w:val="0"/>
                <w:color w:val="auto"/>
                <w:kern w:val="0"/>
                <w:sz w:val="21"/>
                <w:szCs w:val="21"/>
                <w:u w:val="none"/>
                <w:lang w:val="en-US" w:eastAsia="zh-CN" w:bidi="ar"/>
              </w:rPr>
              <w:t>具有CE、FCC、KEMA认证、工信部入网许可证，并提供相关证明文件。</w:t>
            </w:r>
          </w:p>
        </w:tc>
        <w:tc>
          <w:tcPr>
            <w:tcW w:w="418" w:type="pct"/>
            <w:vMerge w:val="restart"/>
            <w:shd w:val="clear" w:color="auto" w:fill="auto"/>
            <w:vAlign w:val="center"/>
          </w:tcPr>
          <w:p w14:paraId="3746A2C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395" w:type="pct"/>
            <w:vMerge w:val="restart"/>
            <w:shd w:val="clear" w:color="auto" w:fill="auto"/>
            <w:vAlign w:val="center"/>
          </w:tcPr>
          <w:p w14:paraId="1903460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23FB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09B5DB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1BB20392">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35CC21D4">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7BB7AA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36B9FEE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1EA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5BE6F00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8FD0C90">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0CD060A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71BEBC1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43FCDF1B">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15C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3B087C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11A3F90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05463E71">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5170574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ECE3A5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3287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7756B72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2EE0619E">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29DE0389">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2819BF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5628AE5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1D34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713CC63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27F0CBC7">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33516D40">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65B377B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16A04FF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5993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C3557B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1E0770B">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2574B766">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298EC2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22A3B2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5D3A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638226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4889974C">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3B72A3C1">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0CACCB4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65C8B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D83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4002B5B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7E75F4D5">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2ACDD970">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0C4072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526EFF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0A1E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4BAEAE7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14BC84E9">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37B7C17A">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E87CDA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1BBE7AC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F1F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1D6FBCF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3C9BF280">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2AFB3DE2">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0FDC1DC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BD60BB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6B10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67108DC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19BEDCC8">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36019265">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DD6BA9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B83EE3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4EF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206CDBE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319C329">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43E3030B">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04A6215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4E1E73D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685D9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2AD3E321">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62050365">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70A2DEA4">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5348FA7B">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008C20C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30F2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80AB0D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39DFCDB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6E44AED1">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14DB32A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CB2297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DF7B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2F31D8C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27D3F571">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34AA1CA0">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0DFA08E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518FF1F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CA5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12317B8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09B6093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311763B4">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93CDCC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169856B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0698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5036679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1225FFD2">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740463C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3BB9A33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0712244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1738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56F5DE8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76699F21">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11FEFFFF">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644E043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47B7645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652AC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395" w:type="pct"/>
            <w:vMerge w:val="restart"/>
            <w:shd w:val="clear" w:color="auto" w:fill="auto"/>
            <w:vAlign w:val="center"/>
          </w:tcPr>
          <w:p w14:paraId="0C3E70C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343" w:type="pct"/>
            <w:vMerge w:val="restart"/>
            <w:shd w:val="clear" w:color="auto" w:fill="auto"/>
            <w:vAlign w:val="center"/>
          </w:tcPr>
          <w:p w14:paraId="1C9234A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管理交换机</w:t>
            </w:r>
          </w:p>
        </w:tc>
        <w:tc>
          <w:tcPr>
            <w:tcW w:w="3446" w:type="pct"/>
            <w:vMerge w:val="restart"/>
            <w:shd w:val="clear" w:color="auto" w:fill="auto"/>
            <w:vAlign w:val="center"/>
          </w:tcPr>
          <w:p w14:paraId="66A69D2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1.为保障汇聚转发能力，设备的交换容量≥2Tbps，包转发率≥700Mpps（以官网最小值为准）；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2.支持万兆SFP+光口≥12个；千兆电口≥12个；Console口≥1个，Manage口≥1个；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3.支持MAC地址≥32K，支持MAC地址自动学习、源MAC地址过滤、接口MAC地址学习个数限制；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4.支持静态路由、RIPv1/2、OSPF、策略路由；支持端口聚合，支持手工和静态LACP；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设备支持堆叠技术，支持M-LAG及跨设备链路聚合功能，且该跨设备聚合需采用非堆叠方式实现；配对设备应具备独立控制平面，确保单一设备故障不影响另一设备正常运行（提供厂商官方技术文档或功能说明资料对上述功能予以佐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6.支持终端IP-MAC绑定，当IP+MAC不对应时，可以将终端加入黑名单实现断开终端流量；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7.支持智能交换机和普通交换机两种工作模式，可以根据不同的组网需要，随时灵活的进行切换；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8.支持通过平台一键替换“按钮”即可完成故障设备替换；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9.支持在交换机上创建东西向安全策略，实现全网安全风险拦截；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10.支持终端类型库，基于指纹自动识别PC、路由器、摄像头设备、无线AP等（提供功能证明截图）。</w:t>
            </w:r>
          </w:p>
        </w:tc>
        <w:tc>
          <w:tcPr>
            <w:tcW w:w="418" w:type="pct"/>
            <w:vMerge w:val="restart"/>
            <w:shd w:val="clear" w:color="auto" w:fill="auto"/>
            <w:vAlign w:val="center"/>
          </w:tcPr>
          <w:p w14:paraId="60AADC4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395" w:type="pct"/>
            <w:vMerge w:val="restart"/>
            <w:shd w:val="clear" w:color="auto" w:fill="auto"/>
            <w:vAlign w:val="center"/>
          </w:tcPr>
          <w:p w14:paraId="283E36E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4AF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1DFAF631">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7DB5490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5A9730A2">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49CA6FC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746825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649F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284BBAC1">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3B21A15A">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511EE027">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0551D33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53239C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AE72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73B12A6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3E09654">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084C30B3">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748A730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80E5FC1">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25CD0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292DD41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2128FD5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16342BDB">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5C2F7B1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5425549B">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A339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D945CD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6DE89B1F">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1A0DED9F">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16DBF3A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35B86BE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3F2F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0331A5C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E0C7D08">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62A6CCF6">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4865D54B">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52B3170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2677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1C5B61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2DF54709">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640F9802">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0F1CD93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4F206DD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23C6D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0E590021">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3323A08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43D6DE0A">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2B7994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5382F1F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38A55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17925EC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411C6AB4">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433620FE">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7C9F02B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0A56EEF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2A70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restart"/>
            <w:shd w:val="clear" w:color="auto" w:fill="auto"/>
            <w:vAlign w:val="center"/>
          </w:tcPr>
          <w:p w14:paraId="2236DC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343" w:type="pct"/>
            <w:vMerge w:val="restart"/>
            <w:shd w:val="clear" w:color="auto" w:fill="auto"/>
            <w:vAlign w:val="center"/>
          </w:tcPr>
          <w:p w14:paraId="792D7A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3446" w:type="pct"/>
            <w:vMerge w:val="restart"/>
            <w:shd w:val="clear" w:color="auto" w:fill="auto"/>
            <w:vAlign w:val="center"/>
          </w:tcPr>
          <w:p w14:paraId="5E17ED03">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kern w:val="0"/>
                <w:sz w:val="21"/>
                <w:szCs w:val="21"/>
                <w:highlight w:val="cyan"/>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机柜需支持19英寸标准的服务器、存储设备安装，尺寸不小于600mm×1200mm×2000mm（L*W*H）；机柜非承重部件板厚度不小于1.0mm，承重部件板厚度不小于1.5mm。设备的外形尺寸偏差不得超过±1mm。整套模块机房配置不少于7块整体侧板（空调两侧及前后门机柜均配置侧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highlight w:val="none"/>
                <w:u w:val="none"/>
                <w:lang w:val="en-US" w:eastAsia="zh-CN" w:bidi="ar"/>
              </w:rPr>
              <w:t>机柜需满足YD 5083-2005《电信设备抗地震性能检测规范》要求，在带载不低于660kg工况下，通过具备资质的权威第三方机构抗震性能检测，满足抗震烈度9度要求（提供第三方检测报告，报告应包含机柜及配套底座相关抗震测试内容）。</w:t>
            </w:r>
          </w:p>
          <w:p w14:paraId="2530586C">
            <w:pPr>
              <w:keepNext w:val="0"/>
              <w:keepLines w:val="0"/>
              <w:pageBreakBefore w:val="0"/>
              <w:widowControl/>
              <w:numPr>
                <w:ilvl w:val="0"/>
                <w:numId w:val="0"/>
              </w:numPr>
              <w:suppressLineNumbers w:val="0"/>
              <w:kinsoku w:val="0"/>
              <w:wordWrap/>
              <w:overflowPunct/>
              <w:topLinePunct w:val="0"/>
              <w:autoSpaceDE w:val="0"/>
              <w:autoSpaceDN w:val="0"/>
              <w:bidi w:val="0"/>
              <w:adjustRightInd w:val="0"/>
              <w:snapToGrid w:val="0"/>
              <w:spacing w:line="400" w:lineRule="exact"/>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采用A级优质碳素冷轧钢板和镀锌板，机柜表面喷涂喷粉厚度应不小于60μm,采用黑色砂纹工艺，满足防腐、防锈、光洁、色泽均匀、无流挂、不露底、无起泡、无裂纹、金属件无毛刺锈蚀要求，整体防护等级应不小于IP20。前后网孔门设计，前门单开，后门双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4.单机柜含1对轻载滑道，20 U假面板、1个固定托盘、1个托盘单机柜标配两条单相32A输入，20位10A+4位16A输出的国标PDU配电单元。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机柜前后为通风网孔门，前门单开，后门双开，通风率≥80%，提供泰尔检测报告；支持机柜并柜连接件，支持无需拆卸机柜门情况下实现机柜并柜功能；要求静态承载能力不小于3200kg（提供第三方权威机构测试报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为保证模块化数据中心结构组装、电气互联、监控管理的兼容性及整体外观协调一致，微模块所包含的UPS、精密空调、机柜、封闭冷通道、动环监控单元、蓄电池等子系统，应满足统一接口规范与协同运行要求，投标人须提供完整系统解决方案，确保各设备间互联互通、稳定可靠运行。</w:t>
            </w:r>
          </w:p>
        </w:tc>
        <w:tc>
          <w:tcPr>
            <w:tcW w:w="418" w:type="pct"/>
            <w:vMerge w:val="restart"/>
            <w:shd w:val="clear" w:color="auto" w:fill="auto"/>
            <w:vAlign w:val="center"/>
          </w:tcPr>
          <w:p w14:paraId="2D5657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395" w:type="pct"/>
            <w:vMerge w:val="restart"/>
            <w:shd w:val="clear" w:color="auto" w:fill="auto"/>
            <w:vAlign w:val="center"/>
          </w:tcPr>
          <w:p w14:paraId="35476C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8562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35E3CD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621B8396">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2B91E838">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5C70BCE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4C88F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3BDBB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1201BFC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0E4FFDCE">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2794B222">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6860A93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347F89E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ED7A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2757D7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17688B12">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0B0B4D33">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2B48F3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62E221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35B5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24E46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0A13C4AC">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4793F4BA">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438EB71B">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170779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28D0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56BCB1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4F459D94">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4C47F1EA">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50FAFB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44200C8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1B56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restart"/>
            <w:shd w:val="clear" w:color="auto" w:fill="auto"/>
            <w:vAlign w:val="center"/>
          </w:tcPr>
          <w:p w14:paraId="4854522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343" w:type="pct"/>
            <w:vMerge w:val="restart"/>
            <w:shd w:val="clear" w:color="auto" w:fill="auto"/>
            <w:vAlign w:val="center"/>
          </w:tcPr>
          <w:p w14:paraId="7B0877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生产模拟上位机</w:t>
            </w:r>
          </w:p>
        </w:tc>
        <w:tc>
          <w:tcPr>
            <w:tcW w:w="3446" w:type="pct"/>
            <w:vMerge w:val="restart"/>
            <w:shd w:val="clear" w:color="auto" w:fill="auto"/>
            <w:vAlign w:val="center"/>
          </w:tcPr>
          <w:p w14:paraId="71F8ED9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配置5套生产模拟上位机，工位数量不低于5组，含座椅：每套模拟上位机需含操控装置及显示单元模块，操控装置处理器不低于8核心、内存单元不低于16G，显示计算单元不低于2G，显示单元模块不低于27英寸。</w:t>
            </w:r>
          </w:p>
        </w:tc>
        <w:tc>
          <w:tcPr>
            <w:tcW w:w="418" w:type="pct"/>
            <w:vMerge w:val="restart"/>
            <w:shd w:val="clear" w:color="auto" w:fill="auto"/>
            <w:vAlign w:val="center"/>
          </w:tcPr>
          <w:p w14:paraId="48FB21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395" w:type="pct"/>
            <w:vMerge w:val="restart"/>
            <w:shd w:val="clear" w:color="auto" w:fill="auto"/>
            <w:vAlign w:val="center"/>
          </w:tcPr>
          <w:p w14:paraId="57C42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444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395" w:type="pct"/>
            <w:vMerge w:val="continue"/>
            <w:shd w:val="clear" w:color="auto" w:fill="auto"/>
            <w:vAlign w:val="center"/>
          </w:tcPr>
          <w:p w14:paraId="233F105B">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42AE4647">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742E4D16">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7AEE6B0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3E46033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C12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95" w:type="pct"/>
            <w:shd w:val="clear" w:color="auto" w:fill="auto"/>
            <w:vAlign w:val="center"/>
          </w:tcPr>
          <w:p w14:paraId="019219C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343" w:type="pct"/>
            <w:shd w:val="clear" w:color="auto" w:fill="auto"/>
            <w:vAlign w:val="center"/>
          </w:tcPr>
          <w:p w14:paraId="46AB3BD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生产工业防火墙</w:t>
            </w:r>
          </w:p>
        </w:tc>
        <w:tc>
          <w:tcPr>
            <w:tcW w:w="3446" w:type="pct"/>
            <w:shd w:val="clear" w:color="auto" w:fill="auto"/>
            <w:vAlign w:val="center"/>
          </w:tcPr>
          <w:p w14:paraId="529E125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标准机架式设备，1个RJ-45 Console口，6个10/100/1000 Base-T接口（支持2对BYPASS接口），1个接口扩展插槽，2个USB口，单电源，整机吞吐量10Gbps,最大并发连接数600万。</w:t>
            </w:r>
          </w:p>
        </w:tc>
        <w:tc>
          <w:tcPr>
            <w:tcW w:w="418" w:type="pct"/>
            <w:shd w:val="clear" w:color="auto" w:fill="auto"/>
            <w:vAlign w:val="center"/>
          </w:tcPr>
          <w:p w14:paraId="4C2215E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395" w:type="pct"/>
            <w:shd w:val="clear" w:color="auto" w:fill="auto"/>
            <w:vAlign w:val="center"/>
          </w:tcPr>
          <w:p w14:paraId="23C57A8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D1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95" w:type="pct"/>
            <w:shd w:val="clear" w:color="auto" w:fill="auto"/>
            <w:vAlign w:val="center"/>
          </w:tcPr>
          <w:p w14:paraId="7590170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343" w:type="pct"/>
            <w:shd w:val="clear" w:color="auto" w:fill="auto"/>
            <w:vAlign w:val="center"/>
          </w:tcPr>
          <w:p w14:paraId="312A2EB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生产日志审计系统</w:t>
            </w:r>
          </w:p>
        </w:tc>
        <w:tc>
          <w:tcPr>
            <w:tcW w:w="3446" w:type="pct"/>
            <w:shd w:val="clear" w:color="auto" w:fill="auto"/>
            <w:vAlign w:val="center"/>
          </w:tcPr>
          <w:p w14:paraId="2397F7C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标准机架式，单电源，专用千兆硬件平台和安全操作系统，6个千兆电口，1个管理口，2个USB接口，存储容量1TB，默认支持50个审计对象授权。</w:t>
            </w:r>
          </w:p>
        </w:tc>
        <w:tc>
          <w:tcPr>
            <w:tcW w:w="418" w:type="pct"/>
            <w:shd w:val="clear" w:color="auto" w:fill="auto"/>
            <w:vAlign w:val="center"/>
          </w:tcPr>
          <w:p w14:paraId="3B15F7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95" w:type="pct"/>
            <w:shd w:val="clear" w:color="auto" w:fill="auto"/>
            <w:vAlign w:val="center"/>
          </w:tcPr>
          <w:p w14:paraId="3E3D98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88B3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95" w:type="pct"/>
            <w:shd w:val="clear" w:color="auto" w:fill="auto"/>
            <w:vAlign w:val="center"/>
          </w:tcPr>
          <w:p w14:paraId="069921C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343" w:type="pct"/>
            <w:shd w:val="clear" w:color="auto" w:fill="auto"/>
            <w:vAlign w:val="center"/>
          </w:tcPr>
          <w:p w14:paraId="318ADA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生产终端防护系统</w:t>
            </w:r>
          </w:p>
        </w:tc>
        <w:tc>
          <w:tcPr>
            <w:tcW w:w="3446" w:type="pct"/>
            <w:shd w:val="clear" w:color="auto" w:fill="auto"/>
            <w:vAlign w:val="center"/>
          </w:tcPr>
          <w:p w14:paraId="70488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网络版管理中心。系统服务端软件，提供防病毒策略管理、下发任务、病毒告警分析、报表等功能，可管理win系列客户端、Linux系列客户端，可安装在Windows2008R2及以上操作系统、Win7sp1、Win10或centos7.0、Redhat7.0及以上操作系统，100个授权点。</w:t>
            </w:r>
          </w:p>
        </w:tc>
        <w:tc>
          <w:tcPr>
            <w:tcW w:w="418" w:type="pct"/>
            <w:shd w:val="clear" w:color="auto" w:fill="auto"/>
            <w:vAlign w:val="center"/>
          </w:tcPr>
          <w:p w14:paraId="21FAB76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95" w:type="pct"/>
            <w:shd w:val="clear" w:color="auto" w:fill="auto"/>
            <w:vAlign w:val="center"/>
          </w:tcPr>
          <w:p w14:paraId="0C1DBDF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F0B7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95" w:type="pct"/>
            <w:shd w:val="clear" w:color="auto" w:fill="auto"/>
            <w:vAlign w:val="center"/>
          </w:tcPr>
          <w:p w14:paraId="3AD8530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9</w:t>
            </w:r>
          </w:p>
        </w:tc>
        <w:tc>
          <w:tcPr>
            <w:tcW w:w="343" w:type="pct"/>
            <w:shd w:val="clear" w:color="auto" w:fill="auto"/>
            <w:vAlign w:val="center"/>
          </w:tcPr>
          <w:p w14:paraId="503D411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综合柜(含配电框、监控系统</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cs="宋体"/>
                <w:b/>
                <w:bCs/>
                <w:i w:val="0"/>
                <w:iCs w:val="0"/>
                <w:color w:val="auto"/>
                <w:kern w:val="0"/>
                <w:sz w:val="21"/>
                <w:szCs w:val="21"/>
                <w:highlight w:val="none"/>
                <w:u w:val="none"/>
                <w:lang w:val="en-US" w:eastAsia="zh-CN" w:bidi="ar"/>
              </w:rPr>
              <w:t>（核心产品）</w:t>
            </w:r>
          </w:p>
        </w:tc>
        <w:tc>
          <w:tcPr>
            <w:tcW w:w="3446" w:type="pct"/>
            <w:shd w:val="clear" w:color="auto" w:fill="auto"/>
            <w:vAlign w:val="center"/>
          </w:tcPr>
          <w:p w14:paraId="78B1608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left"/>
              <w:textAlignment w:val="center"/>
              <w:rPr>
                <w:rFonts w:hint="eastAsia" w:ascii="宋体" w:hAnsi="宋体" w:eastAsia="宋体" w:cs="宋体"/>
                <w:i w:val="0"/>
                <w:iCs w:val="0"/>
                <w:color w:val="auto"/>
                <w:sz w:val="21"/>
                <w:szCs w:val="21"/>
                <w:u w:val="none"/>
              </w:rPr>
            </w:pPr>
            <w:r>
              <w:rPr>
                <w:rStyle w:val="148"/>
                <w:rFonts w:hint="eastAsia" w:ascii="宋体" w:hAnsi="宋体" w:eastAsia="宋体" w:cs="宋体"/>
                <w:b w:val="0"/>
                <w:bCs w:val="0"/>
                <w:color w:val="auto"/>
                <w:sz w:val="21"/>
                <w:szCs w:val="21"/>
                <w:lang w:val="en-US" w:eastAsia="zh-CN" w:bidi="ar"/>
              </w:rPr>
              <w:t>一体化总输入400A ATS（含输入输出），配置8路空调回路、3路照明回路、48路IT配电回路（满足24个机柜配电需求），模块化设计，最大容量不低于125kVA。设备应具备完整自主知识产权及生产能力，与微模块内空调、冷通道系统实现良好兼容，确保互联互通及稳定运行。设备外形尺寸不小于600mm×1200mm×2200mm（长×宽×高）。</w:t>
            </w:r>
          </w:p>
        </w:tc>
        <w:tc>
          <w:tcPr>
            <w:tcW w:w="418" w:type="pct"/>
            <w:shd w:val="clear" w:color="auto" w:fill="auto"/>
            <w:vAlign w:val="center"/>
          </w:tcPr>
          <w:p w14:paraId="13B9C9C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95" w:type="pct"/>
            <w:shd w:val="clear" w:color="auto" w:fill="auto"/>
            <w:vAlign w:val="center"/>
          </w:tcPr>
          <w:p w14:paraId="664406E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235E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395" w:type="pct"/>
            <w:shd w:val="clear" w:color="auto" w:fill="auto"/>
            <w:vAlign w:val="center"/>
          </w:tcPr>
          <w:p w14:paraId="55C32AA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10</w:t>
            </w:r>
          </w:p>
        </w:tc>
        <w:tc>
          <w:tcPr>
            <w:tcW w:w="343" w:type="pct"/>
            <w:shd w:val="clear" w:color="auto" w:fill="auto"/>
            <w:vAlign w:val="center"/>
          </w:tcPr>
          <w:p w14:paraId="0C48412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列间空调(机架式)</w:t>
            </w:r>
          </w:p>
        </w:tc>
        <w:tc>
          <w:tcPr>
            <w:tcW w:w="3446" w:type="pct"/>
            <w:shd w:val="clear" w:color="auto" w:fill="auto"/>
            <w:vAlign w:val="center"/>
          </w:tcPr>
          <w:p w14:paraId="16D4F4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b w:val="0"/>
                <w:bCs w:val="0"/>
                <w:i w:val="0"/>
                <w:iCs w:val="0"/>
                <w:color w:val="auto"/>
                <w:sz w:val="21"/>
                <w:szCs w:val="21"/>
                <w:u w:val="none"/>
              </w:rPr>
            </w:pPr>
            <w:r>
              <w:rPr>
                <w:rStyle w:val="148"/>
                <w:rFonts w:hint="eastAsia" w:ascii="宋体" w:hAnsi="宋体" w:eastAsia="宋体" w:cs="宋体"/>
                <w:b w:val="0"/>
                <w:bCs w:val="0"/>
                <w:color w:val="auto"/>
                <w:sz w:val="21"/>
                <w:szCs w:val="21"/>
                <w:lang w:val="en-US" w:eastAsia="zh-CN" w:bidi="ar"/>
              </w:rPr>
              <w:t>制冷量为12.5kW，风量3000m</w:t>
            </w:r>
            <w:r>
              <w:rPr>
                <w:rStyle w:val="135"/>
                <w:rFonts w:hint="eastAsia" w:ascii="宋体" w:hAnsi="宋体" w:eastAsia="宋体" w:cs="宋体"/>
                <w:b w:val="0"/>
                <w:bCs w:val="0"/>
                <w:color w:val="auto"/>
                <w:sz w:val="21"/>
                <w:szCs w:val="21"/>
                <w:lang w:val="en-US" w:eastAsia="zh-CN" w:bidi="ar"/>
              </w:rPr>
              <w:t>³</w:t>
            </w:r>
            <w:r>
              <w:rPr>
                <w:rStyle w:val="148"/>
                <w:rFonts w:hint="eastAsia" w:ascii="宋体" w:hAnsi="宋体" w:eastAsia="宋体" w:cs="宋体"/>
                <w:b w:val="0"/>
                <w:bCs w:val="0"/>
                <w:color w:val="auto"/>
                <w:sz w:val="21"/>
                <w:szCs w:val="21"/>
                <w:lang w:val="en-US" w:eastAsia="zh-CN" w:bidi="ar"/>
              </w:rPr>
              <w:t>/h，（宽*深*高，mm）：不小于300×1200×2000，恒温恒湿，电子膨胀阀，单系统涡旋式压缩机，RS485通信接口，7寸液晶彩色触摸屏，R410A，标配氟泵（提供具备资质的第三方检测机构检测报告）；为节约能耗，投标产品需满足国家一级能效标准，并提供相关检测报告；为确保系统运行稳定与安装运维便捷，动力柜、机柜、空调、蓄电池应采用具备原厂兼容认证的产品，遵循统一技术标准。</w:t>
            </w:r>
          </w:p>
        </w:tc>
        <w:tc>
          <w:tcPr>
            <w:tcW w:w="418" w:type="pct"/>
            <w:shd w:val="clear" w:color="auto" w:fill="auto"/>
            <w:vAlign w:val="center"/>
          </w:tcPr>
          <w:p w14:paraId="0B677A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95" w:type="pct"/>
            <w:shd w:val="clear" w:color="auto" w:fill="auto"/>
            <w:vAlign w:val="center"/>
          </w:tcPr>
          <w:p w14:paraId="77EEE84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545A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restart"/>
            <w:shd w:val="clear" w:color="auto" w:fill="auto"/>
            <w:vAlign w:val="center"/>
          </w:tcPr>
          <w:p w14:paraId="75399FA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11</w:t>
            </w:r>
          </w:p>
        </w:tc>
        <w:tc>
          <w:tcPr>
            <w:tcW w:w="343" w:type="pct"/>
            <w:vMerge w:val="restart"/>
            <w:shd w:val="clear" w:color="auto" w:fill="auto"/>
            <w:vAlign w:val="center"/>
          </w:tcPr>
          <w:p w14:paraId="1634E9E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抗干扰机柜</w:t>
            </w:r>
          </w:p>
        </w:tc>
        <w:tc>
          <w:tcPr>
            <w:tcW w:w="3446" w:type="pct"/>
            <w:vMerge w:val="restart"/>
            <w:shd w:val="clear" w:color="auto" w:fill="auto"/>
            <w:vAlign w:val="center"/>
          </w:tcPr>
          <w:p w14:paraId="77C6CFF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1.具有完整的微模块供配电方案，支持单路、双路输入，灵活可选。单台设备配电开关最大满足8路空调和24个机柜等绝大多数的场合需求。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2.总输入：400A(ATS)；250A*3，MCCB；32A/1P*24*2路；8*63A，16A/1P*3；为保障供电系统可靠性与兼容性。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3.铜排纯度≥99.97%；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4.选用三进三出高频一体化供电系统，要求一体化供电机架容量≥125KVA；单功率模块的额定输出功率≥25kVA，本次配置2个功率模块，输出功率≥50KVA；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5.供电需为模块化结构，集中旁路设计，功率模块、旁路模块及监控模块均可热插拔，以方便维护；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输入电压范围：138-485VAC；线电压305V-485V支持满载；输入频率范围：40Hz-70Hz；输入功率因数&gt;0.99满载；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6.供电应采用集中控制的逻辑，集中控制单元采用模块化设计且需要1+1冗余，提高可靠性；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7.要求供电输出功率因数要求为1，逆变过载能力：110%负载60min后转旁路，125%负载10min后转旁路，150%负载1min后转旁路；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8.输出功率因数1。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9.系统具备智能休眠功能，保障在低负载时的效率最大化；电池、电容以及风扇</w:t>
            </w:r>
            <w:r>
              <w:rPr>
                <w:rFonts w:hint="eastAsia" w:ascii="宋体" w:hAnsi="宋体" w:eastAsia="宋体" w:cs="宋体"/>
                <w:i w:val="0"/>
                <w:iCs w:val="0"/>
                <w:color w:val="auto"/>
                <w:kern w:val="0"/>
                <w:sz w:val="21"/>
                <w:szCs w:val="21"/>
                <w:highlight w:val="none"/>
                <w:u w:val="none"/>
                <w:lang w:val="en-US" w:eastAsia="zh-CN" w:bidi="ar"/>
              </w:rPr>
              <w:t>等关键部件失效预警；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10.</w:t>
            </w:r>
            <w:r>
              <w:rPr>
                <w:rFonts w:hint="eastAsia" w:ascii="宋体" w:hAnsi="宋体" w:cs="宋体"/>
                <w:i w:val="0"/>
                <w:iCs w:val="0"/>
                <w:color w:val="auto"/>
                <w:kern w:val="0"/>
                <w:sz w:val="21"/>
                <w:szCs w:val="21"/>
                <w:highlight w:val="none"/>
                <w:u w:val="none"/>
                <w:lang w:val="en-US" w:eastAsia="zh-CN" w:bidi="ar"/>
              </w:rPr>
              <w:t>机柜设备应具备完整产品质量保证体系（提供具备资质的第三方检测机构出具的检测报）</w:t>
            </w:r>
            <w:r>
              <w:rPr>
                <w:rFonts w:hint="eastAsia" w:ascii="宋体" w:hAnsi="宋体" w:eastAsia="宋体" w:cs="宋体"/>
                <w:i w:val="0"/>
                <w:iCs w:val="0"/>
                <w:color w:val="auto"/>
                <w:kern w:val="0"/>
                <w:sz w:val="21"/>
                <w:szCs w:val="21"/>
                <w:highlight w:val="none"/>
                <w:u w:val="none"/>
                <w:lang w:val="en-US" w:eastAsia="zh-CN" w:bidi="ar"/>
              </w:rPr>
              <w:t>。</w:t>
            </w:r>
          </w:p>
        </w:tc>
        <w:tc>
          <w:tcPr>
            <w:tcW w:w="418" w:type="pct"/>
            <w:vMerge w:val="restart"/>
            <w:shd w:val="clear" w:color="auto" w:fill="auto"/>
            <w:vAlign w:val="center"/>
          </w:tcPr>
          <w:p w14:paraId="696A02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95" w:type="pct"/>
            <w:vMerge w:val="restart"/>
            <w:shd w:val="clear" w:color="auto" w:fill="auto"/>
            <w:vAlign w:val="center"/>
          </w:tcPr>
          <w:p w14:paraId="1A35EDC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FE32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595A209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6BE4F68">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71339912">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399E7ED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57FFFE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4E2EA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10331391">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A202FD8">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24B3034F">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F5081B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BF2C3FB">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3DCC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081DEA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00CEF47A">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0F94A99C">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518C4DE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EE6580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387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1FF6D91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17D8D59F">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4C6ABB47">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3621CFC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1A6BB6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509C6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7EDAA19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46CC4453">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51774596">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6C77E15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77BDEF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9451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7EC521F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7579BF90">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6BDDCDB1">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08038F8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193EA9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9AFC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27FC0B3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7265164B">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49A152E5">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2C15B99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6B44C979">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6BDAA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48529F2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ABE19C2">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0A1DCF4A">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7056E87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0D8DED1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5FD5A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04C53C4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2FCED806">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214DA7F7">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30A3D64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439D62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090A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0AC941B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2995D2A0">
            <w:pPr>
              <w:keepNext w:val="0"/>
              <w:keepLines w:val="0"/>
              <w:pageBreakBefore w:val="0"/>
              <w:widowControl/>
              <w:kinsoku w:val="0"/>
              <w:wordWrap/>
              <w:overflowPunct/>
              <w:topLinePunct w:val="0"/>
              <w:autoSpaceDE w:val="0"/>
              <w:autoSpaceDN w:val="0"/>
              <w:bidi w:val="0"/>
              <w:adjustRightInd w:val="0"/>
              <w:snapToGrid w:val="0"/>
              <w:spacing w:line="400" w:lineRule="exact"/>
              <w:jc w:val="left"/>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3F90FEFF">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6B29A021">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5B9999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7B15F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395" w:type="pct"/>
            <w:shd w:val="clear" w:color="auto" w:fill="auto"/>
            <w:vAlign w:val="center"/>
          </w:tcPr>
          <w:p w14:paraId="56A7E9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12</w:t>
            </w:r>
          </w:p>
        </w:tc>
        <w:tc>
          <w:tcPr>
            <w:tcW w:w="343" w:type="pct"/>
            <w:shd w:val="clear" w:color="auto" w:fill="auto"/>
            <w:vAlign w:val="center"/>
          </w:tcPr>
          <w:p w14:paraId="56ECD53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电池组</w:t>
            </w:r>
          </w:p>
        </w:tc>
        <w:tc>
          <w:tcPr>
            <w:tcW w:w="3446" w:type="pct"/>
            <w:shd w:val="clear" w:color="auto" w:fill="auto"/>
            <w:vAlign w:val="center"/>
          </w:tcPr>
          <w:p w14:paraId="44B2EE9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要求为12V100Ah电池，含蓄电池、电池开关、电池柜、电池间连接线、供电系统辅材。标配电池单体监控系统，含8寸彩屏。尺寸不小于1000mm*1000*1200mm（L*W*H）。电池组容量需满足外部电力全丢失情况下，智能化矿井多源数据数智共享平台满载运行时间≥20min。</w:t>
            </w:r>
          </w:p>
        </w:tc>
        <w:tc>
          <w:tcPr>
            <w:tcW w:w="418" w:type="pct"/>
            <w:shd w:val="clear" w:color="auto" w:fill="auto"/>
            <w:vAlign w:val="center"/>
          </w:tcPr>
          <w:p w14:paraId="28499BA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95" w:type="pct"/>
            <w:shd w:val="clear" w:color="auto" w:fill="auto"/>
            <w:vAlign w:val="center"/>
          </w:tcPr>
          <w:p w14:paraId="71CC2A7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8C75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395" w:type="pct"/>
            <w:vMerge w:val="restart"/>
            <w:shd w:val="clear" w:color="auto" w:fill="auto"/>
            <w:vAlign w:val="center"/>
          </w:tcPr>
          <w:p w14:paraId="65868F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343" w:type="pct"/>
            <w:vMerge w:val="restart"/>
            <w:shd w:val="clear" w:color="auto" w:fill="auto"/>
            <w:vAlign w:val="center"/>
          </w:tcPr>
          <w:p w14:paraId="187060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管理主机及软件</w:t>
            </w:r>
          </w:p>
        </w:tc>
        <w:tc>
          <w:tcPr>
            <w:tcW w:w="3446" w:type="pct"/>
            <w:vMerge w:val="restart"/>
            <w:shd w:val="clear" w:color="auto" w:fill="auto"/>
            <w:vAlign w:val="center"/>
          </w:tcPr>
          <w:p w14:paraId="514699C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1.要求系统含声光报警器、烟感、温湿度传感器、刷卡一体机、监控摄像机、网络硬盘录像机、网络交换机、动环监控包、</w:t>
            </w:r>
            <w:r>
              <w:rPr>
                <w:rFonts w:hint="eastAsia" w:ascii="宋体" w:hAnsi="宋体" w:eastAsia="宋体" w:cs="宋体"/>
                <w:i w:val="0"/>
                <w:iCs w:val="0"/>
                <w:color w:val="auto"/>
                <w:kern w:val="0"/>
                <w:sz w:val="21"/>
                <w:szCs w:val="21"/>
                <w:highlight w:val="none"/>
                <w:u w:val="none"/>
                <w:lang w:val="en-US" w:eastAsia="zh-CN" w:bidi="ar"/>
              </w:rPr>
              <w:t>21寸监控彩屏、4K高清36寸可编程门楣系统等。要求监控系统为国产化系统，符合信创标准，并提供计算机软件著作权证书。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要求数据中心机房标配本地监控系统，实现对数据中心机房内供配电、空调、温湿度、漏水检测、烟雾、门禁、视频等设备的不间断监控，发现部件故障或参数异常，即时采取颜色、E-mail、声音告警等多种报警方式，记录历史数据和报警事件，以便于可按需求设计、扩展，请提供关于数据中心监控系统的计算机软件著作权证书的有效证明，提供证书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3.为保证系统的可靠性及避免病毒的影响，监控采集主机设备要求采用最为安全可靠的嵌入式系统平台，如Power PC linux，ARM linux等。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监控系统要求配置不少于1个声光告警、2台200万以上像素红外半球型摄像机、2个温湿度传感器、2个烟雾、6套水浸传感器、6套水浸绳、2个人脸门禁、1交换机、录像机及2T硬盘；可监测空调、配电、环境等状态，如有故障或参数异常，系统会实时告警。支持声光告警，远程可通过E-mail、短信进行告警通知；监控采集单元应具备相关CE认证，提供证书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5.为保障平台数据安全，系统应具有投标</w:t>
            </w:r>
            <w:r>
              <w:rPr>
                <w:rFonts w:hint="eastAsia" w:ascii="宋体" w:hAnsi="宋体" w:cs="宋体"/>
                <w:i w:val="0"/>
                <w:iCs w:val="0"/>
                <w:color w:val="auto"/>
                <w:kern w:val="0"/>
                <w:sz w:val="21"/>
                <w:szCs w:val="21"/>
                <w:u w:val="none"/>
                <w:lang w:val="en-US" w:eastAsia="zh-CN" w:bidi="ar"/>
              </w:rPr>
              <w:t>人</w:t>
            </w:r>
            <w:r>
              <w:rPr>
                <w:rFonts w:hint="eastAsia" w:ascii="宋体" w:hAnsi="宋体" w:eastAsia="宋体" w:cs="宋体"/>
                <w:i w:val="0"/>
                <w:iCs w:val="0"/>
                <w:color w:val="auto"/>
                <w:kern w:val="0"/>
                <w:sz w:val="21"/>
                <w:szCs w:val="21"/>
                <w:u w:val="none"/>
                <w:lang w:val="en-US" w:eastAsia="zh-CN" w:bidi="ar"/>
              </w:rPr>
              <w:t>自主知识产权的加密数据传输接口，需授权</w:t>
            </w:r>
            <w:r>
              <w:rPr>
                <w:rFonts w:hint="eastAsia" w:ascii="宋体" w:hAnsi="宋体" w:cs="宋体"/>
                <w:i w:val="0"/>
                <w:iCs w:val="0"/>
                <w:color w:val="auto"/>
                <w:kern w:val="0"/>
                <w:sz w:val="21"/>
                <w:szCs w:val="21"/>
                <w:u w:val="none"/>
                <w:lang w:val="en-US" w:eastAsia="zh-CN" w:bidi="ar"/>
              </w:rPr>
              <w:t>采购人</w:t>
            </w:r>
            <w:r>
              <w:rPr>
                <w:rFonts w:hint="eastAsia" w:ascii="宋体" w:hAnsi="宋体" w:eastAsia="宋体" w:cs="宋体"/>
                <w:i w:val="0"/>
                <w:iCs w:val="0"/>
                <w:color w:val="auto"/>
                <w:kern w:val="0"/>
                <w:sz w:val="21"/>
                <w:szCs w:val="21"/>
                <w:u w:val="none"/>
                <w:lang w:val="en-US" w:eastAsia="zh-CN" w:bidi="ar"/>
              </w:rPr>
              <w:t>使用时间不少于10年并提供免费升级服务。</w:t>
            </w:r>
          </w:p>
        </w:tc>
        <w:tc>
          <w:tcPr>
            <w:tcW w:w="418" w:type="pct"/>
            <w:vMerge w:val="restart"/>
            <w:shd w:val="clear" w:color="auto" w:fill="auto"/>
            <w:vAlign w:val="center"/>
          </w:tcPr>
          <w:p w14:paraId="46B835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95" w:type="pct"/>
            <w:vMerge w:val="restart"/>
            <w:shd w:val="clear" w:color="auto" w:fill="auto"/>
            <w:vAlign w:val="center"/>
          </w:tcPr>
          <w:p w14:paraId="492DE9E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9CA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78BBA4F1">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3DEEFD6D">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5353D00C">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196E99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41AED27B">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40CB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2BAA2A6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2662DC74">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65DDA48A">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6A59CA5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253FB20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27807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continue"/>
            <w:shd w:val="clear" w:color="auto" w:fill="auto"/>
            <w:vAlign w:val="center"/>
          </w:tcPr>
          <w:p w14:paraId="3003646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5A1BC221">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6DE55FAB">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53FC4E0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0814A79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31E85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395" w:type="pct"/>
            <w:vMerge w:val="continue"/>
            <w:shd w:val="clear" w:color="auto" w:fill="auto"/>
            <w:vAlign w:val="center"/>
          </w:tcPr>
          <w:p w14:paraId="7CF6323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0152FD31">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7ACF047E">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5011DC3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70DFE1A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r w14:paraId="63A5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5" w:type="pct"/>
            <w:vMerge w:val="restart"/>
            <w:shd w:val="clear" w:color="auto" w:fill="auto"/>
            <w:vAlign w:val="center"/>
          </w:tcPr>
          <w:p w14:paraId="172BBDA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343" w:type="pct"/>
            <w:vMerge w:val="restart"/>
            <w:shd w:val="clear" w:color="auto" w:fill="auto"/>
            <w:vAlign w:val="center"/>
          </w:tcPr>
          <w:p w14:paraId="0629831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专业安装调试</w:t>
            </w:r>
          </w:p>
        </w:tc>
        <w:tc>
          <w:tcPr>
            <w:tcW w:w="3446" w:type="pct"/>
            <w:vMerge w:val="restart"/>
            <w:shd w:val="clear" w:color="auto" w:fill="auto"/>
            <w:vAlign w:val="center"/>
          </w:tcPr>
          <w:p w14:paraId="4FC5BEE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含安装调试服务、安全风险评估服务、安全集成服务、定期安全运维服务。含自主产权的加密数据传输接口对接服务，应支持与采煤实训设备等对接服务。</w:t>
            </w:r>
          </w:p>
        </w:tc>
        <w:tc>
          <w:tcPr>
            <w:tcW w:w="418" w:type="pct"/>
            <w:vMerge w:val="restart"/>
            <w:shd w:val="clear" w:color="auto" w:fill="auto"/>
            <w:vAlign w:val="center"/>
          </w:tcPr>
          <w:p w14:paraId="284D869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95" w:type="pct"/>
            <w:vMerge w:val="restart"/>
            <w:shd w:val="clear" w:color="auto" w:fill="auto"/>
            <w:vAlign w:val="center"/>
          </w:tcPr>
          <w:p w14:paraId="0A93AE2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ind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6757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95" w:type="pct"/>
            <w:vMerge w:val="continue"/>
            <w:shd w:val="clear" w:color="auto" w:fill="auto"/>
            <w:vAlign w:val="center"/>
          </w:tcPr>
          <w:p w14:paraId="32314F4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43" w:type="pct"/>
            <w:vMerge w:val="continue"/>
            <w:shd w:val="clear" w:color="auto" w:fill="auto"/>
            <w:vAlign w:val="center"/>
          </w:tcPr>
          <w:p w14:paraId="1A457C3A">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3446" w:type="pct"/>
            <w:vMerge w:val="continue"/>
            <w:shd w:val="clear" w:color="auto" w:fill="auto"/>
            <w:vAlign w:val="center"/>
          </w:tcPr>
          <w:p w14:paraId="751CEBBF">
            <w:pPr>
              <w:keepNext w:val="0"/>
              <w:keepLines w:val="0"/>
              <w:pageBreakBefore w:val="0"/>
              <w:widowControl/>
              <w:kinsoku w:val="0"/>
              <w:wordWrap/>
              <w:overflowPunct/>
              <w:topLinePunct w:val="0"/>
              <w:autoSpaceDE w:val="0"/>
              <w:autoSpaceDN w:val="0"/>
              <w:bidi w:val="0"/>
              <w:adjustRightInd w:val="0"/>
              <w:snapToGrid w:val="0"/>
              <w:spacing w:line="400" w:lineRule="exact"/>
              <w:jc w:val="both"/>
              <w:rPr>
                <w:rFonts w:hint="eastAsia" w:ascii="宋体" w:hAnsi="宋体" w:eastAsia="宋体" w:cs="宋体"/>
                <w:i w:val="0"/>
                <w:iCs w:val="0"/>
                <w:color w:val="auto"/>
                <w:sz w:val="21"/>
                <w:szCs w:val="21"/>
                <w:u w:val="none"/>
              </w:rPr>
            </w:pPr>
          </w:p>
        </w:tc>
        <w:tc>
          <w:tcPr>
            <w:tcW w:w="418" w:type="pct"/>
            <w:vMerge w:val="continue"/>
            <w:shd w:val="clear" w:color="auto" w:fill="auto"/>
            <w:vAlign w:val="center"/>
          </w:tcPr>
          <w:p w14:paraId="757D615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c>
          <w:tcPr>
            <w:tcW w:w="395" w:type="pct"/>
            <w:vMerge w:val="continue"/>
            <w:shd w:val="clear" w:color="auto" w:fill="auto"/>
            <w:vAlign w:val="center"/>
          </w:tcPr>
          <w:p w14:paraId="2B17808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i w:val="0"/>
                <w:iCs w:val="0"/>
                <w:color w:val="auto"/>
                <w:sz w:val="21"/>
                <w:szCs w:val="21"/>
                <w:u w:val="none"/>
              </w:rPr>
            </w:pPr>
          </w:p>
        </w:tc>
      </w:tr>
    </w:tbl>
    <w:p w14:paraId="2DA9FE5A">
      <w:pPr>
        <w:keepLines w:val="0"/>
        <w:pageBreakBefore w:val="0"/>
        <w:widowControl w:val="0"/>
        <w:kinsoku/>
        <w:wordWrap/>
        <w:overflowPunct/>
        <w:topLinePunct w:val="0"/>
        <w:autoSpaceDE/>
        <w:autoSpaceDN/>
        <w:bidi w:val="0"/>
        <w:snapToGrid/>
        <w:spacing w:line="360" w:lineRule="auto"/>
        <w:rPr>
          <w:rFonts w:hint="eastAsia" w:ascii="宋体" w:hAnsi="宋体" w:cs="宋体"/>
          <w:b/>
          <w:sz w:val="21"/>
          <w:szCs w:val="21"/>
        </w:rPr>
      </w:pPr>
      <w:r>
        <w:rPr>
          <w:rFonts w:hint="eastAsia" w:ascii="宋体" w:hAnsi="宋体" w:cs="宋体"/>
          <w:b/>
          <w:sz w:val="21"/>
          <w:szCs w:val="21"/>
        </w:rPr>
        <w:t>说明：1.技术参数中出现的产品品牌、型号均为参考，不限制投标人选择其他满足要求的品牌、型号进行投标。</w:t>
      </w:r>
    </w:p>
    <w:p w14:paraId="358CB273">
      <w:pPr>
        <w:keepLines w:val="0"/>
        <w:pageBreakBefore w:val="0"/>
        <w:widowControl w:val="0"/>
        <w:numPr>
          <w:ilvl w:val="0"/>
          <w:numId w:val="13"/>
        </w:numPr>
        <w:kinsoku/>
        <w:wordWrap/>
        <w:overflowPunct/>
        <w:topLinePunct w:val="0"/>
        <w:autoSpaceDE/>
        <w:autoSpaceDN/>
        <w:bidi w:val="0"/>
        <w:snapToGrid/>
        <w:spacing w:line="360" w:lineRule="auto"/>
        <w:ind w:firstLine="565" w:firstLineChars="268"/>
        <w:rPr>
          <w:rFonts w:hint="eastAsia" w:ascii="宋体" w:hAnsi="宋体" w:cs="宋体"/>
          <w:b/>
          <w:sz w:val="21"/>
          <w:szCs w:val="21"/>
          <w:highlight w:val="none"/>
        </w:rPr>
      </w:pPr>
      <w:r>
        <w:rPr>
          <w:rFonts w:hint="eastAsia" w:ascii="宋体" w:hAnsi="宋体" w:cs="宋体"/>
          <w:b/>
          <w:sz w:val="21"/>
          <w:szCs w:val="21"/>
          <w:highlight w:val="none"/>
        </w:rPr>
        <w:t>以上为主要的配置清单，各投标人应根据招标文件的技术要求提供科学、合理、完整的配置，但必须保证投标人的设备配置相当于或更优于以上要求。</w:t>
      </w:r>
      <w:bookmarkStart w:id="441" w:name="_Hlk203205133"/>
      <w:bookmarkStart w:id="442" w:name="_Toc192748557"/>
      <w:bookmarkStart w:id="443" w:name="_Toc193792886"/>
      <w:bookmarkStart w:id="444" w:name="_Toc157959737"/>
      <w:bookmarkStart w:id="445" w:name="_Toc162882607"/>
      <w:bookmarkStart w:id="446" w:name="_Toc97815942"/>
      <w:bookmarkStart w:id="447" w:name="_Toc203147237"/>
      <w:bookmarkStart w:id="448" w:name="_Toc88137385"/>
      <w:bookmarkStart w:id="449" w:name="_Toc216365881"/>
      <w:bookmarkStart w:id="450" w:name="_Toc143161030"/>
    </w:p>
    <w:p w14:paraId="4F532C26">
      <w:pPr>
        <w:keepLines w:val="0"/>
        <w:pageBreakBefore w:val="0"/>
        <w:widowControl w:val="0"/>
        <w:kinsoku/>
        <w:wordWrap/>
        <w:overflowPunct/>
        <w:topLinePunct w:val="0"/>
        <w:autoSpaceDE/>
        <w:autoSpaceDN/>
        <w:bidi w:val="0"/>
        <w:snapToGrid/>
        <w:spacing w:line="360" w:lineRule="auto"/>
        <w:ind w:firstLine="562" w:firstLineChars="200"/>
        <w:rPr>
          <w:rFonts w:hint="eastAsia" w:ascii="宋体" w:hAnsi="宋体"/>
          <w:color w:val="000000"/>
          <w:highlight w:val="none"/>
          <w:lang w:val="en-US" w:eastAsia="zh-CN"/>
        </w:rPr>
      </w:pPr>
      <w:r>
        <w:rPr>
          <w:rFonts w:hint="eastAsia" w:ascii="黑体" w:hAnsi="黑体" w:eastAsia="黑体" w:cs="宋体"/>
          <w:b/>
          <w:sz w:val="28"/>
          <w:szCs w:val="28"/>
          <w:highlight w:val="none"/>
          <w:lang w:val="en-US" w:eastAsia="zh-CN"/>
        </w:rPr>
        <w:t>二、技术要求</w:t>
      </w:r>
    </w:p>
    <w:p w14:paraId="698D4E5A">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highlight w:val="none"/>
        </w:rPr>
      </w:pPr>
      <w:r>
        <w:rPr>
          <w:rFonts w:hint="eastAsia" w:ascii="宋体" w:hAnsi="宋体"/>
          <w:color w:val="000000"/>
          <w:highlight w:val="none"/>
          <w:lang w:val="en-US" w:eastAsia="zh-CN"/>
        </w:rPr>
        <w:t>为满足采购人综合实验室建设需求，本项目新建系统需与采购人已部署的“煤矿智能化数据应用管控平台”实现对接，确保智能化矿井多源数据流的实时传输、存储与分析功能。投标人须充分了解项目现状，在投标时作出以下承诺：</w:t>
      </w:r>
    </w:p>
    <w:p w14:paraId="68ECDB92">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highlight w:val="none"/>
        </w:rPr>
      </w:pPr>
      <w:r>
        <w:rPr>
          <w:rFonts w:hint="eastAsia" w:ascii="宋体" w:hAnsi="宋体"/>
          <w:color w:val="000000"/>
          <w:highlight w:val="none"/>
          <w:lang w:val="en-US" w:eastAsia="zh-CN"/>
        </w:rPr>
        <w:t>★1.对接能力承诺：投标人承诺，所投产品及系统具备标准开放接口，支持与采购人现有“煤矿智能化数据应用管控平台”进行数据对接、协议适配与联调联试，满足数据流实时、稳定、安全传输与处理要求。</w:t>
      </w:r>
    </w:p>
    <w:p w14:paraId="47DDB11E">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highlight w:val="none"/>
        </w:rPr>
      </w:pPr>
      <w:r>
        <w:rPr>
          <w:rFonts w:hint="eastAsia" w:ascii="宋体" w:hAnsi="宋体"/>
          <w:color w:val="000000"/>
          <w:highlight w:val="none"/>
          <w:lang w:val="en-US" w:eastAsia="zh-CN"/>
        </w:rPr>
        <w:t>★2.责任界定与违约处理：（1）采购人负责提供现有平台的接口说明、通信协议、数据格式及必要的调试环境与权限。（2）若因投标人自身原因（包括但不限于技术方案缺陷、产品不兼容、实施不到位等）导致系统无法完成对接、不能实现核心数据功能，且在采购人要求的合理期限内仍无法整改到位的，投标人应承担相应违约责任：①投标人应赔偿采购人因此造成的直接经济损失；②投标人应配合采购人完成系统整改、更换或拆除，相关费用由投标人承担。</w:t>
      </w:r>
    </w:p>
    <w:p w14:paraId="00249BD0">
      <w:pPr>
        <w:keepLines w:val="0"/>
        <w:pageBreakBefore w:val="0"/>
        <w:widowControl w:val="0"/>
        <w:kinsoku/>
        <w:wordWrap/>
        <w:overflowPunct/>
        <w:topLinePunct w:val="0"/>
        <w:autoSpaceDE/>
        <w:autoSpaceDN/>
        <w:bidi w:val="0"/>
        <w:snapToGrid/>
        <w:spacing w:line="360" w:lineRule="auto"/>
        <w:ind w:firstLine="480" w:firstLineChars="200"/>
        <w:rPr>
          <w:rFonts w:hint="default" w:ascii="宋体" w:hAnsi="宋体" w:cs="Times New Roman"/>
          <w:color w:val="000000"/>
          <w:highlight w:val="none"/>
          <w:lang w:val="en-US" w:eastAsia="zh-CN"/>
        </w:rPr>
      </w:pPr>
      <w:r>
        <w:rPr>
          <w:rFonts w:hint="eastAsia" w:ascii="宋体" w:hAnsi="宋体"/>
          <w:color w:val="000000"/>
          <w:highlight w:val="none"/>
          <w:lang w:val="en-US" w:eastAsia="zh-CN"/>
        </w:rPr>
        <w:t>★3.响应要求：投标人须在投标文件中提供针对上述对接承诺的专项声明（加盖公章及法定代表人签字或签章），未按要求提供或内容不满足的，视为未实质性响应招标文件。</w:t>
      </w:r>
    </w:p>
    <w:p w14:paraId="2A898760">
      <w:pPr>
        <w:keepNext/>
        <w:keepLines w:val="0"/>
        <w:pageBreakBefore w:val="0"/>
        <w:widowControl w:val="0"/>
        <w:tabs>
          <w:tab w:val="left" w:pos="360"/>
          <w:tab w:val="left" w:pos="3999"/>
        </w:tabs>
        <w:kinsoku/>
        <w:wordWrap/>
        <w:overflowPunct/>
        <w:topLinePunct w:val="0"/>
        <w:autoSpaceDE/>
        <w:autoSpaceDN/>
        <w:bidi w:val="0"/>
        <w:adjustRightInd w:val="0"/>
        <w:snapToGrid/>
        <w:spacing w:line="360" w:lineRule="auto"/>
        <w:ind w:firstLine="562" w:firstLineChars="200"/>
        <w:jc w:val="left"/>
        <w:textAlignment w:val="baseline"/>
        <w:outlineLvl w:val="1"/>
        <w:rPr>
          <w:rFonts w:hint="eastAsia" w:ascii="黑体" w:hAnsi="黑体" w:eastAsia="黑体" w:cs="宋体"/>
          <w:b/>
          <w:sz w:val="28"/>
          <w:szCs w:val="28"/>
        </w:rPr>
      </w:pPr>
      <w:r>
        <w:rPr>
          <w:rFonts w:hint="eastAsia" w:ascii="黑体" w:hAnsi="黑体" w:eastAsia="黑体" w:cs="宋体"/>
          <w:b/>
          <w:sz w:val="28"/>
          <w:szCs w:val="28"/>
          <w:lang w:val="en-US" w:eastAsia="zh-CN"/>
        </w:rPr>
        <w:t>三</w:t>
      </w:r>
      <w:r>
        <w:rPr>
          <w:rFonts w:hint="eastAsia" w:ascii="黑体" w:hAnsi="黑体" w:eastAsia="黑体" w:cs="宋体"/>
          <w:b/>
          <w:sz w:val="28"/>
          <w:szCs w:val="28"/>
        </w:rPr>
        <w:t>、商务要求</w:t>
      </w:r>
    </w:p>
    <w:p w14:paraId="1B3921FA">
      <w:pPr>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b/>
          <w:color w:val="000000"/>
          <w:kern w:val="0"/>
        </w:rPr>
      </w:pPr>
      <w:r>
        <w:rPr>
          <w:rFonts w:hint="eastAsia" w:ascii="宋体" w:hAnsi="宋体"/>
          <w:b/>
          <w:color w:val="000000"/>
          <w:kern w:val="0"/>
        </w:rPr>
        <w:t>1.质保要求</w:t>
      </w:r>
    </w:p>
    <w:p w14:paraId="2DA05999">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lang w:val="en-US" w:eastAsia="zh-CN"/>
        </w:rPr>
      </w:pPr>
      <w:r>
        <w:rPr>
          <w:rFonts w:hint="eastAsia" w:ascii="宋体" w:hAnsi="宋体"/>
          <w:color w:val="000000"/>
        </w:rPr>
        <w:t>1.1</w:t>
      </w:r>
      <w:r>
        <w:rPr>
          <w:rFonts w:hint="eastAsia" w:ascii="宋体" w:hAnsi="宋体"/>
          <w:color w:val="000000"/>
          <w:lang w:val="en-US" w:eastAsia="zh-CN"/>
        </w:rPr>
        <w:t>所供设备均享受自最终验收合格之日起不少于3年的原厂免费质保（若采购清单中对特定设备有更长的质保要求，则从其规定），中标人须提供免费的远程技术支持、现场故障处理、软件升级、日常巡检等运维服务</w:t>
      </w:r>
      <w:r>
        <w:rPr>
          <w:rFonts w:hint="eastAsia" w:ascii="宋体" w:hAnsi="宋体"/>
          <w:color w:val="000000"/>
        </w:rPr>
        <w:t>。</w:t>
      </w:r>
      <w:r>
        <w:rPr>
          <w:rFonts w:hint="eastAsia" w:ascii="宋体" w:hAnsi="宋体"/>
          <w:color w:val="000000"/>
          <w:lang w:val="en-US" w:eastAsia="zh-CN"/>
        </w:rPr>
        <w:t xml:space="preserve">  </w:t>
      </w:r>
    </w:p>
    <w:p w14:paraId="3FA37CB6">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s="仿宋_GB2312"/>
          <w:color w:val="000000"/>
          <w:kern w:val="0"/>
        </w:rPr>
      </w:pPr>
      <w:r>
        <w:rPr>
          <w:rFonts w:hint="eastAsia" w:ascii="宋体" w:hAnsi="宋体"/>
          <w:color w:val="000000"/>
        </w:rPr>
        <w:t>1.</w:t>
      </w:r>
      <w:r>
        <w:rPr>
          <w:rFonts w:hint="eastAsia" w:ascii="宋体" w:hAnsi="宋体"/>
          <w:color w:val="000000"/>
          <w:lang w:val="en-US" w:eastAsia="zh-CN"/>
        </w:rPr>
        <w:t>2</w:t>
      </w:r>
      <w:r>
        <w:rPr>
          <w:rFonts w:hint="eastAsia" w:ascii="宋体" w:hAnsi="宋体"/>
          <w:color w:val="000000"/>
        </w:rPr>
        <w:t>所有产品都必须是原装正品产品，中标人应在设备质保期（自设备验收合格之日起计算）内，免费对所有故障设备进行质保，对无法修复的设备中标人必须免费更换，并承担由此产生的所有费用。</w:t>
      </w:r>
    </w:p>
    <w:p w14:paraId="08202770">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b/>
          <w:bCs/>
        </w:rPr>
      </w:pPr>
      <w:r>
        <w:rPr>
          <w:rFonts w:hint="eastAsia" w:ascii="宋体" w:hAnsi="宋体"/>
          <w:kern w:val="0"/>
        </w:rPr>
        <w:t>1.</w:t>
      </w:r>
      <w:r>
        <w:rPr>
          <w:rFonts w:hint="eastAsia" w:ascii="宋体" w:hAnsi="宋体"/>
          <w:kern w:val="0"/>
          <w:lang w:val="en-US" w:eastAsia="zh-CN"/>
        </w:rPr>
        <w:t>3</w:t>
      </w:r>
      <w:r>
        <w:rPr>
          <w:rFonts w:hint="eastAsia" w:ascii="宋体" w:hAnsi="宋体"/>
          <w:kern w:val="0"/>
        </w:rPr>
        <w:t>专用工具：如有专用工具，中标人应向采购人免费提供设备维护的专用工具。</w:t>
      </w:r>
    </w:p>
    <w:p w14:paraId="6D785AC1">
      <w:pPr>
        <w:keepLines w:val="0"/>
        <w:pageBreakBefore w:val="0"/>
        <w:widowControl w:val="0"/>
        <w:kinsoku/>
        <w:wordWrap/>
        <w:overflowPunct/>
        <w:topLinePunct w:val="0"/>
        <w:autoSpaceDE/>
        <w:autoSpaceDN/>
        <w:bidi w:val="0"/>
        <w:snapToGrid/>
        <w:spacing w:line="360" w:lineRule="auto"/>
        <w:ind w:firstLine="480"/>
        <w:rPr>
          <w:rFonts w:hint="eastAsia" w:ascii="宋体" w:hAnsi="宋体"/>
          <w:b/>
          <w:bCs/>
        </w:rPr>
      </w:pPr>
      <w:r>
        <w:rPr>
          <w:rFonts w:hint="eastAsia" w:ascii="宋体" w:hAnsi="宋体"/>
          <w:b/>
          <w:bCs/>
        </w:rPr>
        <w:t>2.售后服务要求</w:t>
      </w:r>
    </w:p>
    <w:p w14:paraId="4EC8D38A">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rPr>
      </w:pPr>
      <w:r>
        <w:rPr>
          <w:rFonts w:hint="eastAsia" w:ascii="宋体" w:hAnsi="宋体"/>
        </w:rPr>
        <w:t>2.1采购人在使用过程中发生质量问题，中标人应提供及时有效的技术支持，每年为设备提供1次免费硬件除尘与系统优化服务，延长设备的使用寿命，保持设备的性能稳定，每年至少2次免费上门技术指导，为本项目提供售后技术服务的人员不少于1名。</w:t>
      </w:r>
    </w:p>
    <w:p w14:paraId="0EBE603D">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rPr>
      </w:pPr>
      <w:r>
        <w:rPr>
          <w:rFonts w:hint="eastAsia" w:ascii="宋体" w:hAnsi="宋体"/>
          <w:color w:val="000000"/>
        </w:rPr>
        <w:t>2.2服务期内提供7×24小时不间断技术支持，包含电话服务、远程协助及现场技术服务，及时解答采购人在使用过程中遇到的技术问题，确保设备的正常运行。产生的一切费用由中标人自理。</w:t>
      </w:r>
    </w:p>
    <w:p w14:paraId="3C0D3FFC">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rPr>
      </w:pPr>
      <w:r>
        <w:rPr>
          <w:rFonts w:hint="eastAsia" w:ascii="宋体" w:hAnsi="宋体"/>
          <w:color w:val="000000"/>
        </w:rPr>
        <w:t>2.3所有问题须在2小时内响应，若远程协助不能解决问题的，需在24小时内到达现场服务，若出现重大问题影响系统正常使用的情况需在4小时内到达现场。</w:t>
      </w:r>
    </w:p>
    <w:p w14:paraId="770B49EC">
      <w:pPr>
        <w:keepLines w:val="0"/>
        <w:pageBreakBefore w:val="0"/>
        <w:widowControl w:val="0"/>
        <w:kinsoku/>
        <w:wordWrap/>
        <w:overflowPunct/>
        <w:topLinePunct w:val="0"/>
        <w:autoSpaceDE/>
        <w:autoSpaceDN/>
        <w:bidi w:val="0"/>
        <w:snapToGrid/>
        <w:spacing w:line="360" w:lineRule="auto"/>
        <w:ind w:firstLine="482" w:firstLineChars="200"/>
        <w:jc w:val="left"/>
        <w:rPr>
          <w:rFonts w:hint="eastAsia" w:ascii="宋体" w:hAnsi="宋体"/>
          <w:b/>
          <w:kern w:val="0"/>
        </w:rPr>
      </w:pPr>
      <w:r>
        <w:rPr>
          <w:rFonts w:hint="eastAsia" w:ascii="宋体" w:hAnsi="宋体"/>
          <w:b/>
          <w:kern w:val="0"/>
        </w:rPr>
        <w:t>3.备品备件要求</w:t>
      </w:r>
    </w:p>
    <w:p w14:paraId="5BE33F4E">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rPr>
      </w:pPr>
      <w:r>
        <w:rPr>
          <w:rFonts w:hint="eastAsia" w:ascii="宋体" w:hAnsi="宋体"/>
          <w:color w:val="000000"/>
        </w:rPr>
        <w:t>3.1中标人承诺在质保期内，向采购人长期优惠提供各种备品、备件及专用工具的供货，中标人承诺提供专业、快速的保修服务，确保采购人的正常工作不受影响。如果使用了劣质替代部件给采购人造成的损失由中标人承担。</w:t>
      </w:r>
    </w:p>
    <w:p w14:paraId="1CE19D14">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rPr>
      </w:pPr>
      <w:r>
        <w:rPr>
          <w:rFonts w:hint="eastAsia" w:ascii="宋体" w:hAnsi="宋体"/>
          <w:color w:val="000000"/>
        </w:rPr>
        <w:t>3.2中标人承诺提供保修期满后出售的备品、备件、专用工具等，以成本价提供给采购人。</w:t>
      </w:r>
    </w:p>
    <w:p w14:paraId="44C00944">
      <w:pPr>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b/>
          <w:bCs/>
        </w:rPr>
      </w:pPr>
      <w:r>
        <w:rPr>
          <w:rFonts w:hint="eastAsia" w:ascii="宋体" w:hAnsi="宋体"/>
          <w:b/>
          <w:bCs/>
        </w:rPr>
        <w:t>4.培训</w:t>
      </w:r>
    </w:p>
    <w:p w14:paraId="2D0EE414">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color w:val="000000"/>
        </w:rPr>
      </w:pPr>
      <w:r>
        <w:rPr>
          <w:rFonts w:hint="eastAsia" w:ascii="宋体" w:hAnsi="宋体"/>
          <w:color w:val="000000"/>
        </w:rPr>
        <w:t>中标人应向采购人相关使用人员提供不少于3天的免费培训服务，培训内容包括设备的硬件介绍、操作系统使用、专业软件安装与配置、日常维护与保养等。采用理论与实践相结合的方式，确保使用人员能够熟练掌握设备的操作和维护技能。若设备、软件升级更新应及时对采购人相关使用人员进行培训，培训所产生的差旅费用由中标人承担。</w:t>
      </w:r>
    </w:p>
    <w:p w14:paraId="1DD11658">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rPr>
      </w:pPr>
      <w:r>
        <w:rPr>
          <w:rFonts w:hint="eastAsia" w:ascii="宋体" w:hAnsi="宋体"/>
        </w:rPr>
        <w:t>5.中标人应向采购人提供全套产品技术资料（包括：操作手册、维修手册、制造、安装标准、安装和验收报告、随机附件、零配件、备品备件和消耗品目录、产品的运行、安装、使用环境要求）。设备使用所必需的电源、插座等配套设施，由中标人提供并负责安装。</w:t>
      </w:r>
    </w:p>
    <w:p w14:paraId="4529CD6F">
      <w:pPr>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rPr>
      </w:pPr>
      <w:r>
        <w:rPr>
          <w:rFonts w:hint="eastAsia" w:ascii="宋体" w:hAnsi="宋体"/>
        </w:rPr>
        <w:t>6.所有产品有制造厂名（商标）、厂址及合格标志。</w:t>
      </w:r>
    </w:p>
    <w:p w14:paraId="1DA7654D">
      <w:pPr>
        <w:spacing w:line="360" w:lineRule="auto"/>
        <w:ind w:firstLine="480" w:firstLineChars="200"/>
        <w:rPr>
          <w:rFonts w:hint="eastAsia" w:ascii="宋体" w:hAnsi="宋体" w:cs="宋体"/>
        </w:rPr>
      </w:pPr>
      <w:r>
        <w:rPr>
          <w:rFonts w:hint="eastAsia" w:ascii="宋体" w:hAnsi="宋体"/>
        </w:rPr>
        <w:t>7.运输方式：不限，按一般贸易要求。</w:t>
      </w:r>
      <w:bookmarkEnd w:id="441"/>
      <w:bookmarkEnd w:id="442"/>
      <w:bookmarkEnd w:id="443"/>
      <w:bookmarkEnd w:id="444"/>
      <w:bookmarkEnd w:id="445"/>
      <w:bookmarkEnd w:id="446"/>
      <w:bookmarkEnd w:id="447"/>
      <w:bookmarkEnd w:id="448"/>
      <w:bookmarkEnd w:id="449"/>
      <w:bookmarkEnd w:id="450"/>
    </w:p>
    <w:bookmarkEnd w:id="440"/>
    <w:p w14:paraId="39E60FCB">
      <w:pPr>
        <w:widowControl/>
        <w:jc w:val="left"/>
        <w:rPr>
          <w:rFonts w:hint="eastAsia" w:ascii="黑体" w:hAnsi="黑体" w:eastAsia="黑体"/>
          <w:b/>
          <w:sz w:val="36"/>
          <w:szCs w:val="36"/>
        </w:rPr>
      </w:pPr>
      <w:r>
        <w:rPr>
          <w:rFonts w:hint="eastAsia" w:ascii="黑体" w:hAnsi="黑体" w:eastAsia="黑体"/>
          <w:szCs w:val="36"/>
        </w:rPr>
        <w:br w:type="page"/>
      </w:r>
    </w:p>
    <w:p w14:paraId="49F8C0E7">
      <w:pPr>
        <w:pStyle w:val="2"/>
        <w:rPr>
          <w:rFonts w:hint="eastAsia" w:ascii="黑体" w:hAnsi="黑体" w:eastAsia="黑体"/>
          <w:kern w:val="2"/>
          <w:szCs w:val="36"/>
        </w:rPr>
      </w:pPr>
      <w:bookmarkStart w:id="451" w:name="_Toc216365882"/>
      <w:r>
        <w:rPr>
          <w:rFonts w:hint="eastAsia" w:ascii="黑体" w:hAnsi="黑体" w:eastAsia="黑体"/>
          <w:kern w:val="2"/>
          <w:szCs w:val="36"/>
        </w:rPr>
        <w:t>第四章 资格审查</w:t>
      </w:r>
      <w:bookmarkEnd w:id="451"/>
    </w:p>
    <w:p w14:paraId="670D35CF">
      <w:pPr>
        <w:pStyle w:val="3"/>
        <w:tabs>
          <w:tab w:val="clear" w:pos="3999"/>
        </w:tabs>
        <w:spacing w:afterLines="0" w:line="360" w:lineRule="auto"/>
        <w:rPr>
          <w:rFonts w:hint="eastAsia" w:ascii="黑体" w:hAnsi="黑体" w:eastAsia="黑体"/>
          <w:bCs/>
          <w:sz w:val="32"/>
          <w:szCs w:val="32"/>
        </w:rPr>
      </w:pPr>
      <w:bookmarkStart w:id="452" w:name="_Toc216365883"/>
      <w:r>
        <w:rPr>
          <w:rFonts w:hint="eastAsia" w:ascii="黑体" w:hAnsi="黑体" w:eastAsia="黑体"/>
          <w:bCs/>
          <w:sz w:val="32"/>
          <w:szCs w:val="32"/>
        </w:rPr>
        <w:t>一、资格审查程序</w:t>
      </w:r>
      <w:bookmarkEnd w:id="452"/>
    </w:p>
    <w:p w14:paraId="00D62284">
      <w:pPr>
        <w:spacing w:line="360" w:lineRule="auto"/>
        <w:ind w:firstLine="480" w:firstLineChars="200"/>
        <w:rPr>
          <w:rFonts w:hint="eastAsia" w:ascii="宋体" w:hAnsi="宋体"/>
        </w:rPr>
      </w:pPr>
      <w:bookmarkStart w:id="453" w:name="OLE_LINK72"/>
      <w:r>
        <w:rPr>
          <w:rFonts w:hint="eastAsia" w:ascii="宋体" w:hAnsi="宋体"/>
        </w:rPr>
        <w:t>资格审查由采购人或采购代理机构进行审查，有一项不符合审查标准的，资格审查将不予通过，不进入下一评标程序。</w:t>
      </w:r>
    </w:p>
    <w:p w14:paraId="31F6CD0A">
      <w:pPr>
        <w:pStyle w:val="3"/>
        <w:tabs>
          <w:tab w:val="clear" w:pos="3999"/>
        </w:tabs>
        <w:spacing w:afterLines="0" w:line="360" w:lineRule="auto"/>
        <w:rPr>
          <w:rFonts w:hint="eastAsia" w:ascii="黑体" w:hAnsi="黑体" w:eastAsia="黑体"/>
          <w:bCs/>
          <w:sz w:val="32"/>
          <w:szCs w:val="32"/>
        </w:rPr>
      </w:pPr>
      <w:bookmarkStart w:id="454" w:name="_Toc216365884"/>
      <w:r>
        <w:rPr>
          <w:rFonts w:hint="eastAsia" w:ascii="黑体" w:hAnsi="黑体" w:eastAsia="黑体"/>
          <w:bCs/>
          <w:sz w:val="32"/>
          <w:szCs w:val="32"/>
        </w:rPr>
        <w:t>二、资格审查要求</w:t>
      </w:r>
      <w:bookmarkEnd w:id="454"/>
    </w:p>
    <w:p w14:paraId="6424BD1E">
      <w:pPr>
        <w:spacing w:line="360" w:lineRule="auto"/>
        <w:ind w:firstLine="480" w:firstLineChars="200"/>
        <w:rPr>
          <w:rFonts w:hint="eastAsia" w:ascii="宋体" w:hAnsi="宋体"/>
        </w:rPr>
      </w:pPr>
      <w:r>
        <w:rPr>
          <w:rFonts w:hint="eastAsia" w:ascii="宋体" w:hAnsi="宋体"/>
        </w:rPr>
        <w:t>1.开标结束后，采购人或采购代理机构将根据《资格审查内容及标准》对投标人进行资格审查，并形成资格审查结论。</w:t>
      </w:r>
    </w:p>
    <w:p w14:paraId="70780DFC">
      <w:pPr>
        <w:spacing w:line="360" w:lineRule="auto"/>
        <w:ind w:firstLine="480" w:firstLineChars="200"/>
        <w:rPr>
          <w:rFonts w:hint="eastAsia" w:ascii="宋体" w:hAnsi="宋体"/>
        </w:rPr>
      </w:pPr>
      <w:r>
        <w:rPr>
          <w:rFonts w:hint="eastAsia" w:ascii="宋体" w:hAnsi="宋体"/>
        </w:rPr>
        <w:t>2.资格审查合格的投标人不足3家的，不进入符合性审查。</w:t>
      </w:r>
    </w:p>
    <w:p w14:paraId="48BD7C39">
      <w:pPr>
        <w:spacing w:line="360" w:lineRule="auto"/>
        <w:ind w:firstLine="482" w:firstLineChars="200"/>
        <w:rPr>
          <w:rFonts w:hint="eastAsia" w:ascii="黑体" w:hAnsi="黑体" w:eastAsia="黑体"/>
          <w:b/>
          <w:bCs/>
        </w:rPr>
      </w:pPr>
      <w:r>
        <w:rPr>
          <w:rFonts w:hint="eastAsia" w:ascii="宋体" w:hAnsi="宋体"/>
          <w:b/>
          <w:bCs/>
        </w:rPr>
        <w:t>3.资格审查内容及标准</w:t>
      </w:r>
    </w:p>
    <w:bookmarkEnd w:id="453"/>
    <w:tbl>
      <w:tblPr>
        <w:tblStyle w:val="49"/>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5954"/>
      </w:tblGrid>
      <w:tr w14:paraId="0680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2405" w:type="dxa"/>
            <w:vAlign w:val="center"/>
          </w:tcPr>
          <w:p w14:paraId="28538454">
            <w:pPr>
              <w:spacing w:line="400" w:lineRule="exact"/>
              <w:jc w:val="center"/>
              <w:rPr>
                <w:rFonts w:hint="eastAsia" w:ascii="宋体" w:hAnsi="宋体" w:cs="宋体"/>
                <w:b/>
                <w:kern w:val="0"/>
                <w:sz w:val="21"/>
                <w:szCs w:val="21"/>
              </w:rPr>
            </w:pPr>
            <w:r>
              <w:rPr>
                <w:rFonts w:hint="eastAsia" w:ascii="宋体" w:hAnsi="宋体" w:cs="宋体"/>
                <w:b/>
                <w:kern w:val="0"/>
                <w:sz w:val="21"/>
                <w:szCs w:val="21"/>
              </w:rPr>
              <w:t>审 查 内 容</w:t>
            </w:r>
          </w:p>
        </w:tc>
        <w:tc>
          <w:tcPr>
            <w:tcW w:w="5954" w:type="dxa"/>
            <w:tcBorders>
              <w:bottom w:val="single" w:color="auto" w:sz="4" w:space="0"/>
            </w:tcBorders>
            <w:vAlign w:val="center"/>
          </w:tcPr>
          <w:p w14:paraId="27085A64">
            <w:pPr>
              <w:spacing w:line="400" w:lineRule="exact"/>
              <w:jc w:val="center"/>
              <w:rPr>
                <w:rFonts w:hint="eastAsia" w:ascii="宋体" w:hAnsi="宋体" w:cs="宋体"/>
                <w:b/>
                <w:kern w:val="0"/>
                <w:sz w:val="21"/>
                <w:szCs w:val="21"/>
              </w:rPr>
            </w:pPr>
            <w:r>
              <w:rPr>
                <w:rFonts w:hint="eastAsia" w:ascii="宋体" w:hAnsi="宋体" w:cs="宋体"/>
                <w:b/>
                <w:kern w:val="0"/>
                <w:sz w:val="21"/>
                <w:szCs w:val="21"/>
              </w:rPr>
              <w:t>审 查 标 准</w:t>
            </w:r>
          </w:p>
        </w:tc>
      </w:tr>
      <w:tr w14:paraId="2DDE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05" w:type="dxa"/>
            <w:tcBorders>
              <w:right w:val="single" w:color="auto" w:sz="4" w:space="0"/>
            </w:tcBorders>
            <w:vAlign w:val="center"/>
          </w:tcPr>
          <w:p w14:paraId="09D283DE">
            <w:pPr>
              <w:spacing w:line="400" w:lineRule="exact"/>
              <w:jc w:val="left"/>
              <w:rPr>
                <w:rFonts w:hint="eastAsia" w:ascii="宋体" w:hAnsi="宋体" w:cs="宋体"/>
                <w:kern w:val="0"/>
                <w:sz w:val="21"/>
                <w:szCs w:val="21"/>
              </w:rPr>
            </w:pPr>
            <w:r>
              <w:rPr>
                <w:rFonts w:hint="eastAsia" w:ascii="宋体" w:hAnsi="宋体" w:cs="宋体"/>
                <w:sz w:val="21"/>
                <w:szCs w:val="21"/>
              </w:rPr>
              <w:t>法定代表人身份证明书</w:t>
            </w:r>
          </w:p>
        </w:tc>
        <w:tc>
          <w:tcPr>
            <w:tcW w:w="5954" w:type="dxa"/>
            <w:tcBorders>
              <w:top w:val="single" w:color="auto" w:sz="4" w:space="0"/>
              <w:left w:val="single" w:color="auto" w:sz="4" w:space="0"/>
              <w:right w:val="single" w:color="auto" w:sz="4" w:space="0"/>
            </w:tcBorders>
            <w:vAlign w:val="center"/>
          </w:tcPr>
          <w:p w14:paraId="6C199E68">
            <w:pPr>
              <w:spacing w:line="400" w:lineRule="exact"/>
              <w:rPr>
                <w:rFonts w:hint="eastAsia" w:ascii="宋体" w:hAnsi="宋体" w:cs="宋体"/>
                <w:sz w:val="21"/>
                <w:szCs w:val="21"/>
              </w:rPr>
            </w:pPr>
            <w:r>
              <w:rPr>
                <w:rFonts w:hint="eastAsia" w:ascii="宋体" w:hAnsi="宋体"/>
                <w:sz w:val="21"/>
                <w:szCs w:val="21"/>
              </w:rPr>
              <w:t>按招标文件规定提供。</w:t>
            </w:r>
          </w:p>
        </w:tc>
      </w:tr>
      <w:tr w14:paraId="4280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05" w:type="dxa"/>
            <w:tcBorders>
              <w:right w:val="single" w:color="auto" w:sz="4" w:space="0"/>
            </w:tcBorders>
            <w:vAlign w:val="center"/>
          </w:tcPr>
          <w:p w14:paraId="5D8CEED8">
            <w:pPr>
              <w:spacing w:line="400" w:lineRule="exact"/>
              <w:jc w:val="left"/>
              <w:rPr>
                <w:rFonts w:hint="eastAsia" w:ascii="宋体" w:hAnsi="宋体" w:cs="宋体"/>
                <w:kern w:val="0"/>
                <w:sz w:val="21"/>
                <w:szCs w:val="21"/>
              </w:rPr>
            </w:pPr>
            <w:bookmarkStart w:id="455" w:name="OLE_LINK51"/>
            <w:bookmarkStart w:id="456" w:name="_Hlk215587042"/>
            <w:r>
              <w:rPr>
                <w:rFonts w:hint="eastAsia" w:ascii="宋体" w:hAnsi="宋体" w:cs="宋体"/>
                <w:kern w:val="0"/>
                <w:sz w:val="21"/>
                <w:szCs w:val="21"/>
              </w:rPr>
              <w:t>法定代表人授权委托书</w:t>
            </w:r>
            <w:bookmarkEnd w:id="455"/>
          </w:p>
        </w:tc>
        <w:tc>
          <w:tcPr>
            <w:tcW w:w="5954" w:type="dxa"/>
            <w:tcBorders>
              <w:top w:val="single" w:color="auto" w:sz="4" w:space="0"/>
              <w:left w:val="single" w:color="auto" w:sz="4" w:space="0"/>
              <w:right w:val="single" w:color="auto" w:sz="4" w:space="0"/>
            </w:tcBorders>
            <w:vAlign w:val="center"/>
          </w:tcPr>
          <w:p w14:paraId="02B3B056">
            <w:pPr>
              <w:spacing w:line="360" w:lineRule="exact"/>
              <w:rPr>
                <w:rFonts w:hint="eastAsia" w:ascii="宋体" w:hAnsi="宋体" w:cs="宋体"/>
                <w:sz w:val="21"/>
                <w:szCs w:val="21"/>
              </w:rPr>
            </w:pPr>
            <w:r>
              <w:rPr>
                <w:rFonts w:hint="eastAsia" w:ascii="宋体" w:hAnsi="宋体" w:cs="宋体"/>
                <w:bCs/>
                <w:sz w:val="21"/>
                <w:szCs w:val="21"/>
              </w:rPr>
              <w:t>按招标文件规定提供授权委托书（授权情况下提供）。</w:t>
            </w:r>
          </w:p>
        </w:tc>
      </w:tr>
      <w:bookmarkEnd w:id="456"/>
      <w:tr w14:paraId="2FF0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405" w:type="dxa"/>
            <w:tcBorders>
              <w:right w:val="single" w:color="auto" w:sz="4" w:space="0"/>
            </w:tcBorders>
            <w:vAlign w:val="center"/>
          </w:tcPr>
          <w:p w14:paraId="55F6E6F3">
            <w:pPr>
              <w:spacing w:line="400" w:lineRule="exact"/>
              <w:jc w:val="left"/>
              <w:rPr>
                <w:rFonts w:hint="eastAsia" w:ascii="宋体" w:hAnsi="宋体" w:cs="宋体"/>
                <w:kern w:val="0"/>
                <w:sz w:val="21"/>
                <w:szCs w:val="21"/>
              </w:rPr>
            </w:pPr>
            <w:bookmarkStart w:id="457" w:name="OLE_LINK28"/>
            <w:r>
              <w:rPr>
                <w:rFonts w:hint="eastAsia" w:cs="宋体" w:asciiTheme="minorEastAsia" w:hAnsiTheme="minorEastAsia" w:eastAsiaTheme="minorEastAsia"/>
                <w:kern w:val="0"/>
                <w:sz w:val="21"/>
                <w:szCs w:val="21"/>
              </w:rPr>
              <w:t>资格条件承诺函</w:t>
            </w:r>
            <w:bookmarkEnd w:id="457"/>
          </w:p>
        </w:tc>
        <w:tc>
          <w:tcPr>
            <w:tcW w:w="5954" w:type="dxa"/>
            <w:tcBorders>
              <w:top w:val="single" w:color="auto" w:sz="4" w:space="0"/>
              <w:left w:val="single" w:color="auto" w:sz="4" w:space="0"/>
              <w:bottom w:val="single" w:color="auto" w:sz="4" w:space="0"/>
              <w:right w:val="single" w:color="auto" w:sz="4" w:space="0"/>
            </w:tcBorders>
            <w:vAlign w:val="center"/>
          </w:tcPr>
          <w:p w14:paraId="7C06E79E">
            <w:pPr>
              <w:spacing w:line="360" w:lineRule="exact"/>
              <w:rPr>
                <w:rFonts w:hint="eastAsia" w:ascii="宋体" w:hAnsi="宋体" w:cs="宋体"/>
                <w:kern w:val="0"/>
                <w:sz w:val="21"/>
                <w:szCs w:val="21"/>
              </w:rPr>
            </w:pPr>
            <w:r>
              <w:rPr>
                <w:rFonts w:hint="eastAsia" w:asciiTheme="minorEastAsia" w:hAnsiTheme="minorEastAsia" w:eastAsiaTheme="minorEastAsia"/>
                <w:sz w:val="21"/>
                <w:szCs w:val="21"/>
              </w:rPr>
              <w:t>按招标文件提供的“资格条件承诺函”样式相应条款进行承诺。投标人未提供资格信用承诺的，应当按照《中华人民共和国政府采购法》及其实施条例的相关规定提供相应的证明材料。</w:t>
            </w:r>
          </w:p>
        </w:tc>
      </w:tr>
    </w:tbl>
    <w:p w14:paraId="3BA26320"/>
    <w:p w14:paraId="5FC19040">
      <w:pPr>
        <w:widowControl/>
        <w:jc w:val="left"/>
        <w:rPr>
          <w:rFonts w:hint="eastAsia" w:ascii="黑体" w:hAnsi="黑体" w:eastAsia="黑体"/>
          <w:b/>
          <w:sz w:val="36"/>
          <w:szCs w:val="36"/>
        </w:rPr>
      </w:pPr>
      <w:r>
        <w:rPr>
          <w:rFonts w:hint="eastAsia" w:ascii="黑体" w:hAnsi="黑体" w:eastAsia="黑体"/>
          <w:szCs w:val="36"/>
        </w:rPr>
        <w:br w:type="page"/>
      </w:r>
    </w:p>
    <w:p w14:paraId="1FC7C7FC">
      <w:pPr>
        <w:pStyle w:val="2"/>
        <w:rPr>
          <w:rFonts w:hint="eastAsia" w:ascii="黑体" w:hAnsi="黑体" w:eastAsia="黑体"/>
          <w:kern w:val="2"/>
          <w:szCs w:val="36"/>
        </w:rPr>
      </w:pPr>
      <w:bookmarkStart w:id="458" w:name="_Toc216365885"/>
      <w:r>
        <w:rPr>
          <w:rFonts w:hint="eastAsia" w:ascii="黑体" w:hAnsi="黑体" w:eastAsia="黑体"/>
          <w:kern w:val="2"/>
          <w:szCs w:val="36"/>
        </w:rPr>
        <w:t xml:space="preserve">第五章 </w:t>
      </w:r>
      <w:bookmarkStart w:id="459" w:name="OLE_LINK89"/>
      <w:r>
        <w:rPr>
          <w:rFonts w:hint="eastAsia" w:ascii="黑体" w:hAnsi="黑体" w:eastAsia="黑体"/>
          <w:kern w:val="2"/>
          <w:szCs w:val="36"/>
        </w:rPr>
        <w:t>评标程序、评标方法和评标标准</w:t>
      </w:r>
      <w:bookmarkEnd w:id="458"/>
      <w:bookmarkEnd w:id="459"/>
    </w:p>
    <w:p w14:paraId="4E4FD521">
      <w:pPr>
        <w:pStyle w:val="3"/>
        <w:tabs>
          <w:tab w:val="clear" w:pos="3999"/>
        </w:tabs>
        <w:spacing w:afterLines="0" w:line="360" w:lineRule="auto"/>
        <w:rPr>
          <w:rFonts w:hint="eastAsia" w:ascii="黑体" w:hAnsi="黑体" w:eastAsia="黑体"/>
          <w:bCs/>
          <w:sz w:val="32"/>
          <w:szCs w:val="32"/>
        </w:rPr>
      </w:pPr>
      <w:bookmarkStart w:id="460" w:name="_Toc216365886"/>
      <w:bookmarkStart w:id="461" w:name="_Hlk215325778"/>
      <w:r>
        <w:rPr>
          <w:rFonts w:hint="eastAsia" w:ascii="黑体" w:hAnsi="黑体" w:eastAsia="黑体"/>
          <w:bCs/>
          <w:sz w:val="32"/>
          <w:szCs w:val="32"/>
        </w:rPr>
        <w:t>一、评标程序</w:t>
      </w:r>
      <w:bookmarkEnd w:id="460"/>
    </w:p>
    <w:p w14:paraId="67B030DF">
      <w:pPr>
        <w:spacing w:line="360" w:lineRule="auto"/>
        <w:ind w:firstLine="480" w:firstLineChars="200"/>
        <w:rPr>
          <w:rFonts w:hint="eastAsia" w:ascii="宋体" w:hAnsi="宋体"/>
        </w:rPr>
      </w:pPr>
      <w:r>
        <w:rPr>
          <w:rFonts w:hint="eastAsia" w:ascii="宋体" w:hAnsi="宋体"/>
        </w:rPr>
        <w:t>评标程序：符合性审查→详细评审。</w:t>
      </w:r>
    </w:p>
    <w:p w14:paraId="6D4FCBB4">
      <w:pPr>
        <w:spacing w:line="360" w:lineRule="auto"/>
        <w:ind w:firstLine="482" w:firstLineChars="200"/>
        <w:rPr>
          <w:rFonts w:hint="eastAsia" w:ascii="宋体" w:hAnsi="宋体" w:cs="宋体"/>
          <w:b/>
          <w:bCs/>
        </w:rPr>
      </w:pPr>
      <w:r>
        <w:rPr>
          <w:rFonts w:hint="eastAsia" w:ascii="宋体" w:hAnsi="宋体" w:cs="宋体"/>
          <w:b/>
          <w:bCs/>
        </w:rPr>
        <w:t>1.符合性审查</w:t>
      </w:r>
    </w:p>
    <w:p w14:paraId="2946996D">
      <w:pPr>
        <w:spacing w:line="360" w:lineRule="auto"/>
        <w:ind w:firstLine="480" w:firstLineChars="200"/>
        <w:rPr>
          <w:rFonts w:hint="eastAsia" w:ascii="宋体" w:hAnsi="宋体" w:cs="宋体"/>
        </w:rPr>
      </w:pPr>
      <w:r>
        <w:rPr>
          <w:rFonts w:hint="eastAsia" w:ascii="宋体" w:hAnsi="宋体" w:cs="宋体"/>
        </w:rPr>
        <w:t>符合性审查由评标委员会负责审查，有一项不符合审查标准的，符合性审查将不予通过，不进入下一评标程序。</w:t>
      </w:r>
    </w:p>
    <w:p w14:paraId="1478A6C5">
      <w:pPr>
        <w:spacing w:line="360" w:lineRule="auto"/>
        <w:ind w:firstLine="482" w:firstLineChars="200"/>
        <w:rPr>
          <w:rFonts w:hint="eastAsia" w:ascii="宋体" w:hAnsi="宋体" w:cs="宋体"/>
          <w:b/>
          <w:bCs/>
        </w:rPr>
      </w:pPr>
      <w:r>
        <w:rPr>
          <w:rFonts w:hint="eastAsia" w:ascii="宋体" w:hAnsi="宋体" w:cs="宋体"/>
          <w:b/>
          <w:bCs/>
        </w:rPr>
        <w:t>2.详细评审</w:t>
      </w:r>
    </w:p>
    <w:p w14:paraId="73A28192">
      <w:pPr>
        <w:spacing w:line="360" w:lineRule="auto"/>
        <w:ind w:firstLine="480" w:firstLineChars="200"/>
        <w:rPr>
          <w:rFonts w:hint="eastAsia" w:ascii="宋体" w:hAnsi="宋体"/>
        </w:rPr>
      </w:pPr>
      <w:r>
        <w:rPr>
          <w:rFonts w:hint="eastAsia" w:ascii="宋体" w:hAnsi="宋体" w:cs="宋体"/>
        </w:rPr>
        <w:t>详细评审由评标委员会按本章规定的评标标准进行综合评分。</w:t>
      </w:r>
    </w:p>
    <w:p w14:paraId="3C51AC1C">
      <w:pPr>
        <w:pStyle w:val="3"/>
        <w:tabs>
          <w:tab w:val="clear" w:pos="3999"/>
        </w:tabs>
        <w:spacing w:afterLines="0" w:line="460" w:lineRule="exact"/>
        <w:rPr>
          <w:rFonts w:hint="eastAsia" w:ascii="黑体" w:hAnsi="黑体" w:eastAsia="黑体"/>
          <w:bCs/>
          <w:sz w:val="32"/>
          <w:szCs w:val="32"/>
        </w:rPr>
      </w:pPr>
      <w:bookmarkStart w:id="462" w:name="_Toc216365887"/>
      <w:bookmarkStart w:id="463" w:name="_Toc489869495"/>
      <w:bookmarkStart w:id="464" w:name="_Toc489869423"/>
      <w:r>
        <w:rPr>
          <w:rFonts w:hint="eastAsia" w:ascii="黑体" w:hAnsi="黑体" w:eastAsia="黑体"/>
          <w:bCs/>
          <w:sz w:val="32"/>
          <w:szCs w:val="32"/>
        </w:rPr>
        <w:t>二、评标方法</w:t>
      </w:r>
      <w:bookmarkEnd w:id="462"/>
    </w:p>
    <w:p w14:paraId="24448192">
      <w:pPr>
        <w:pStyle w:val="3"/>
        <w:tabs>
          <w:tab w:val="clear" w:pos="3999"/>
        </w:tabs>
        <w:spacing w:afterLines="0" w:line="360" w:lineRule="auto"/>
        <w:ind w:firstLine="562" w:firstLineChars="200"/>
        <w:jc w:val="both"/>
        <w:rPr>
          <w:rFonts w:hint="eastAsia" w:ascii="黑体" w:hAnsi="黑体" w:eastAsia="黑体" w:cs="宋体"/>
          <w:sz w:val="28"/>
          <w:szCs w:val="28"/>
        </w:rPr>
      </w:pPr>
      <w:bookmarkStart w:id="465" w:name="_Toc215326993"/>
      <w:bookmarkStart w:id="466" w:name="_Toc216365888"/>
      <w:r>
        <w:rPr>
          <w:rFonts w:hint="eastAsia" w:ascii="黑体" w:hAnsi="黑体" w:eastAsia="黑体" w:cs="宋体"/>
          <w:sz w:val="28"/>
          <w:szCs w:val="28"/>
        </w:rPr>
        <w:t>（一）符合性审查</w:t>
      </w:r>
      <w:bookmarkEnd w:id="465"/>
      <w:bookmarkEnd w:id="466"/>
    </w:p>
    <w:p w14:paraId="732B77E2">
      <w:pPr>
        <w:spacing w:line="360" w:lineRule="auto"/>
        <w:ind w:firstLine="480" w:firstLineChars="200"/>
        <w:rPr>
          <w:rFonts w:hint="eastAsia" w:ascii="宋体" w:hAnsi="宋体"/>
          <w:bCs/>
          <w:kern w:val="0"/>
        </w:rPr>
      </w:pPr>
      <w:r>
        <w:rPr>
          <w:rFonts w:hint="eastAsia" w:ascii="宋体" w:hAnsi="宋体"/>
          <w:bCs/>
          <w:kern w:val="0"/>
        </w:rPr>
        <w:t>1.进入评审环节，由评标委员会对资格审查合格的投标人的投标文件进行符合性审查，以确定其是否满足招标文件的实质性要求。</w:t>
      </w:r>
    </w:p>
    <w:p w14:paraId="65A2FBA1">
      <w:pPr>
        <w:spacing w:line="360" w:lineRule="auto"/>
        <w:ind w:firstLine="480" w:firstLineChars="200"/>
        <w:rPr>
          <w:rFonts w:hint="eastAsia" w:ascii="宋体" w:hAnsi="宋体"/>
          <w:bCs/>
          <w:kern w:val="0"/>
        </w:rPr>
      </w:pPr>
      <w:r>
        <w:rPr>
          <w:rFonts w:hint="eastAsia" w:ascii="宋体" w:hAnsi="宋体"/>
          <w:bCs/>
          <w:kern w:val="0"/>
        </w:rPr>
        <w:t>2.评标委员会根据《符合性审查内容及标准》对投标人的投标文件是否实质上响应招标文件进行符合性审查，并形成符合性</w:t>
      </w:r>
      <w:r>
        <w:rPr>
          <w:rFonts w:hint="eastAsia" w:ascii="宋体" w:hAnsi="宋体"/>
        </w:rPr>
        <w:t>审查结论</w:t>
      </w:r>
      <w:r>
        <w:rPr>
          <w:rFonts w:hint="eastAsia" w:ascii="宋体" w:hAnsi="宋体"/>
          <w:bCs/>
          <w:kern w:val="0"/>
        </w:rPr>
        <w:t>。投标人投标文件中有任何一项不符合《符合性审查内容及标准》要求的，投标无效。</w:t>
      </w:r>
    </w:p>
    <w:p w14:paraId="389C4A4C">
      <w:pPr>
        <w:spacing w:line="360" w:lineRule="auto"/>
        <w:ind w:firstLine="482" w:firstLineChars="200"/>
        <w:rPr>
          <w:rFonts w:hint="eastAsia" w:ascii="黑体" w:hAnsi="黑体" w:eastAsia="黑体"/>
          <w:b/>
          <w:bCs/>
        </w:rPr>
      </w:pPr>
      <w:r>
        <w:rPr>
          <w:rFonts w:hint="eastAsia" w:ascii="黑体" w:hAnsi="黑体" w:eastAsia="黑体"/>
          <w:b/>
          <w:bCs/>
        </w:rPr>
        <w:t>3.符合性审查内容及标准</w:t>
      </w:r>
    </w:p>
    <w:tbl>
      <w:tblPr>
        <w:tblStyle w:val="49"/>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9"/>
        <w:gridCol w:w="6261"/>
      </w:tblGrid>
      <w:tr w14:paraId="1CE9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2319" w:type="dxa"/>
            <w:vAlign w:val="center"/>
          </w:tcPr>
          <w:p w14:paraId="5EDB1448">
            <w:pPr>
              <w:spacing w:line="400" w:lineRule="exact"/>
              <w:jc w:val="center"/>
              <w:rPr>
                <w:rFonts w:hint="eastAsia" w:ascii="宋体" w:hAnsi="宋体" w:cs="宋体"/>
                <w:b/>
                <w:kern w:val="0"/>
                <w:sz w:val="21"/>
                <w:szCs w:val="21"/>
              </w:rPr>
            </w:pPr>
            <w:r>
              <w:rPr>
                <w:rFonts w:hint="eastAsia" w:ascii="宋体" w:hAnsi="宋体" w:cs="宋体"/>
                <w:b/>
                <w:kern w:val="0"/>
                <w:sz w:val="21"/>
                <w:szCs w:val="21"/>
              </w:rPr>
              <w:t>审 查 内 容</w:t>
            </w:r>
          </w:p>
        </w:tc>
        <w:tc>
          <w:tcPr>
            <w:tcW w:w="6261" w:type="dxa"/>
            <w:vAlign w:val="center"/>
          </w:tcPr>
          <w:p w14:paraId="15A603B9">
            <w:pPr>
              <w:spacing w:line="400" w:lineRule="exact"/>
              <w:jc w:val="center"/>
              <w:rPr>
                <w:rFonts w:hint="eastAsia" w:ascii="宋体" w:hAnsi="宋体" w:cs="宋体"/>
                <w:b/>
                <w:kern w:val="0"/>
                <w:sz w:val="21"/>
                <w:szCs w:val="21"/>
              </w:rPr>
            </w:pPr>
            <w:r>
              <w:rPr>
                <w:rFonts w:hint="eastAsia" w:ascii="宋体" w:hAnsi="宋体" w:cs="宋体"/>
                <w:b/>
                <w:kern w:val="0"/>
                <w:sz w:val="21"/>
                <w:szCs w:val="21"/>
              </w:rPr>
              <w:t>审 查 标 准</w:t>
            </w:r>
          </w:p>
        </w:tc>
      </w:tr>
      <w:tr w14:paraId="08F5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19" w:type="dxa"/>
            <w:vAlign w:val="center"/>
          </w:tcPr>
          <w:p w14:paraId="456502A2">
            <w:pPr>
              <w:spacing w:line="400" w:lineRule="exact"/>
              <w:jc w:val="left"/>
              <w:rPr>
                <w:rFonts w:hint="eastAsia" w:ascii="宋体" w:hAnsi="宋体" w:cs="宋体"/>
                <w:kern w:val="0"/>
                <w:sz w:val="21"/>
                <w:szCs w:val="21"/>
              </w:rPr>
            </w:pPr>
            <w:r>
              <w:rPr>
                <w:rFonts w:hint="eastAsia" w:ascii="宋体" w:hAnsi="宋体" w:cs="宋体"/>
                <w:kern w:val="0"/>
                <w:sz w:val="21"/>
                <w:szCs w:val="21"/>
              </w:rPr>
              <w:t>投标文件签署</w:t>
            </w:r>
          </w:p>
        </w:tc>
        <w:tc>
          <w:tcPr>
            <w:tcW w:w="6261" w:type="dxa"/>
            <w:vAlign w:val="center"/>
          </w:tcPr>
          <w:p w14:paraId="4F22E69B">
            <w:pPr>
              <w:tabs>
                <w:tab w:val="left" w:pos="5416"/>
              </w:tabs>
              <w:spacing w:line="400" w:lineRule="exact"/>
              <w:rPr>
                <w:rFonts w:hint="eastAsia" w:ascii="宋体" w:hAnsi="宋体"/>
                <w:sz w:val="21"/>
                <w:szCs w:val="21"/>
              </w:rPr>
            </w:pPr>
            <w:bookmarkStart w:id="467" w:name="OLE_LINK57"/>
            <w:r>
              <w:rPr>
                <w:rFonts w:hint="eastAsia" w:ascii="宋体" w:hAnsi="宋体"/>
                <w:sz w:val="21"/>
                <w:szCs w:val="21"/>
              </w:rPr>
              <w:t>按照招标文件规定签署、盖章</w:t>
            </w:r>
            <w:bookmarkEnd w:id="467"/>
            <w:r>
              <w:rPr>
                <w:rFonts w:hint="eastAsia" w:ascii="宋体" w:hAnsi="宋体"/>
                <w:sz w:val="21"/>
                <w:szCs w:val="21"/>
              </w:rPr>
              <w:t>。</w:t>
            </w:r>
          </w:p>
        </w:tc>
      </w:tr>
      <w:tr w14:paraId="264BD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19" w:type="dxa"/>
            <w:vAlign w:val="center"/>
          </w:tcPr>
          <w:p w14:paraId="5071B376">
            <w:pPr>
              <w:spacing w:line="400" w:lineRule="exact"/>
              <w:jc w:val="left"/>
              <w:rPr>
                <w:rFonts w:hint="eastAsia" w:ascii="宋体" w:hAnsi="宋体" w:cs="宋体"/>
                <w:kern w:val="0"/>
                <w:sz w:val="21"/>
                <w:szCs w:val="21"/>
              </w:rPr>
            </w:pPr>
            <w:bookmarkStart w:id="468" w:name="OLE_LINK34"/>
            <w:r>
              <w:rPr>
                <w:rFonts w:hint="eastAsia" w:ascii="宋体" w:hAnsi="宋体" w:cs="宋体"/>
                <w:kern w:val="0"/>
                <w:sz w:val="21"/>
                <w:szCs w:val="21"/>
              </w:rPr>
              <w:t>投标文件内容</w:t>
            </w:r>
            <w:bookmarkEnd w:id="468"/>
          </w:p>
        </w:tc>
        <w:tc>
          <w:tcPr>
            <w:tcW w:w="6261" w:type="dxa"/>
            <w:vAlign w:val="center"/>
          </w:tcPr>
          <w:p w14:paraId="34FE994C">
            <w:pPr>
              <w:tabs>
                <w:tab w:val="left" w:pos="5416"/>
              </w:tabs>
              <w:spacing w:line="400" w:lineRule="exact"/>
              <w:rPr>
                <w:rFonts w:hint="eastAsia" w:ascii="宋体" w:hAnsi="宋体"/>
                <w:sz w:val="21"/>
                <w:szCs w:val="21"/>
              </w:rPr>
            </w:pPr>
            <w:r>
              <w:rPr>
                <w:rFonts w:hint="eastAsia" w:ascii="宋体" w:hAnsi="宋体"/>
                <w:sz w:val="21"/>
                <w:szCs w:val="21"/>
              </w:rPr>
              <w:t>按规定的格式填写，内容全面、完整、字迹清晰可辨。</w:t>
            </w:r>
          </w:p>
        </w:tc>
      </w:tr>
      <w:tr w14:paraId="69852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19" w:type="dxa"/>
            <w:vAlign w:val="center"/>
          </w:tcPr>
          <w:p w14:paraId="460BF4FE">
            <w:pPr>
              <w:spacing w:line="400" w:lineRule="exact"/>
              <w:jc w:val="left"/>
              <w:rPr>
                <w:rFonts w:hint="eastAsia" w:ascii="宋体" w:hAnsi="宋体" w:cs="宋体"/>
                <w:kern w:val="0"/>
                <w:sz w:val="21"/>
                <w:szCs w:val="21"/>
              </w:rPr>
            </w:pPr>
            <w:bookmarkStart w:id="469" w:name="OLE_LINK30"/>
            <w:r>
              <w:rPr>
                <w:rFonts w:hint="eastAsia" w:ascii="宋体" w:hAnsi="宋体" w:cs="宋体"/>
                <w:kern w:val="0"/>
                <w:sz w:val="21"/>
                <w:szCs w:val="21"/>
              </w:rPr>
              <w:t>交货期承诺</w:t>
            </w:r>
            <w:bookmarkEnd w:id="469"/>
          </w:p>
        </w:tc>
        <w:tc>
          <w:tcPr>
            <w:tcW w:w="6261" w:type="dxa"/>
            <w:vAlign w:val="center"/>
          </w:tcPr>
          <w:p w14:paraId="53C28C17">
            <w:pPr>
              <w:tabs>
                <w:tab w:val="left" w:pos="5416"/>
              </w:tabs>
              <w:spacing w:line="400" w:lineRule="exact"/>
              <w:rPr>
                <w:rFonts w:hint="eastAsia" w:ascii="宋体" w:hAnsi="宋体"/>
                <w:sz w:val="21"/>
                <w:szCs w:val="21"/>
              </w:rPr>
            </w:pPr>
            <w:r>
              <w:rPr>
                <w:rFonts w:hint="eastAsia" w:ascii="宋体" w:hAnsi="宋体"/>
                <w:sz w:val="21"/>
                <w:szCs w:val="21"/>
              </w:rPr>
              <w:t>满足招标文件要求。</w:t>
            </w:r>
          </w:p>
        </w:tc>
      </w:tr>
      <w:tr w14:paraId="20814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19" w:type="dxa"/>
            <w:vAlign w:val="center"/>
          </w:tcPr>
          <w:p w14:paraId="33B75F99">
            <w:pPr>
              <w:spacing w:line="400" w:lineRule="exact"/>
              <w:jc w:val="left"/>
              <w:rPr>
                <w:rFonts w:hint="eastAsia" w:ascii="宋体" w:hAnsi="宋体" w:cs="宋体"/>
                <w:kern w:val="0"/>
                <w:sz w:val="21"/>
                <w:szCs w:val="21"/>
              </w:rPr>
            </w:pPr>
            <w:bookmarkStart w:id="470" w:name="_Hlk213311845"/>
            <w:r>
              <w:rPr>
                <w:rFonts w:hint="eastAsia" w:ascii="宋体" w:hAnsi="宋体" w:cs="宋体"/>
                <w:kern w:val="0"/>
                <w:sz w:val="21"/>
                <w:szCs w:val="21"/>
              </w:rPr>
              <w:t>质量承诺</w:t>
            </w:r>
          </w:p>
        </w:tc>
        <w:tc>
          <w:tcPr>
            <w:tcW w:w="6261" w:type="dxa"/>
            <w:vAlign w:val="center"/>
          </w:tcPr>
          <w:p w14:paraId="1CDB34B2">
            <w:pPr>
              <w:tabs>
                <w:tab w:val="left" w:pos="5416"/>
              </w:tabs>
              <w:spacing w:line="400" w:lineRule="exact"/>
              <w:rPr>
                <w:rFonts w:hint="eastAsia" w:ascii="宋体" w:hAnsi="宋体"/>
                <w:sz w:val="21"/>
                <w:szCs w:val="21"/>
              </w:rPr>
            </w:pPr>
            <w:r>
              <w:rPr>
                <w:rFonts w:hint="eastAsia" w:ascii="宋体" w:hAnsi="宋体"/>
                <w:sz w:val="21"/>
                <w:szCs w:val="21"/>
              </w:rPr>
              <w:t>满足招标文件要求。</w:t>
            </w:r>
          </w:p>
        </w:tc>
      </w:tr>
      <w:bookmarkEnd w:id="470"/>
      <w:tr w14:paraId="0B998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19" w:type="dxa"/>
            <w:vAlign w:val="center"/>
          </w:tcPr>
          <w:p w14:paraId="1AC3C362">
            <w:pPr>
              <w:spacing w:line="400" w:lineRule="exact"/>
              <w:jc w:val="left"/>
              <w:rPr>
                <w:rFonts w:hint="eastAsia" w:ascii="宋体" w:hAnsi="宋体" w:cs="宋体"/>
                <w:kern w:val="0"/>
                <w:sz w:val="21"/>
                <w:szCs w:val="21"/>
              </w:rPr>
            </w:pPr>
            <w:bookmarkStart w:id="471" w:name="OLE_LINK70"/>
            <w:bookmarkStart w:id="472" w:name="_Hlk215587619"/>
            <w:r>
              <w:rPr>
                <w:rFonts w:hint="eastAsia" w:ascii="宋体" w:hAnsi="宋体" w:cs="宋体"/>
                <w:kern w:val="0"/>
                <w:sz w:val="21"/>
                <w:szCs w:val="21"/>
              </w:rPr>
              <w:t>投标报价</w:t>
            </w:r>
            <w:bookmarkEnd w:id="471"/>
          </w:p>
        </w:tc>
        <w:tc>
          <w:tcPr>
            <w:tcW w:w="6261" w:type="dxa"/>
            <w:vAlign w:val="center"/>
          </w:tcPr>
          <w:p w14:paraId="632B34E8">
            <w:pPr>
              <w:tabs>
                <w:tab w:val="left" w:pos="5416"/>
              </w:tabs>
              <w:spacing w:line="400" w:lineRule="exact"/>
              <w:rPr>
                <w:rFonts w:hint="eastAsia" w:ascii="宋体" w:hAnsi="宋体"/>
                <w:sz w:val="21"/>
                <w:szCs w:val="21"/>
              </w:rPr>
            </w:pPr>
            <w:bookmarkStart w:id="473" w:name="OLE_LINK31"/>
            <w:r>
              <w:rPr>
                <w:rFonts w:hint="eastAsia" w:ascii="宋体" w:hAnsi="宋体"/>
                <w:sz w:val="21"/>
                <w:szCs w:val="21"/>
              </w:rPr>
              <w:t>投标总报价未超过采购项目预算金额</w:t>
            </w:r>
            <w:bookmarkEnd w:id="473"/>
            <w:r>
              <w:rPr>
                <w:rFonts w:hint="eastAsia" w:ascii="宋体" w:hAnsi="宋体"/>
                <w:sz w:val="21"/>
                <w:szCs w:val="21"/>
              </w:rPr>
              <w:t>。</w:t>
            </w:r>
          </w:p>
        </w:tc>
      </w:tr>
      <w:bookmarkEnd w:id="472"/>
      <w:tr w14:paraId="5E22B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19" w:type="dxa"/>
            <w:vAlign w:val="center"/>
          </w:tcPr>
          <w:p w14:paraId="1C976020">
            <w:pPr>
              <w:tabs>
                <w:tab w:val="left" w:pos="5416"/>
              </w:tabs>
              <w:spacing w:line="400" w:lineRule="exact"/>
              <w:rPr>
                <w:rFonts w:hint="eastAsia" w:ascii="宋体" w:hAnsi="宋体"/>
                <w:sz w:val="21"/>
                <w:szCs w:val="21"/>
              </w:rPr>
            </w:pPr>
            <w:bookmarkStart w:id="474" w:name="_Hlk217664325"/>
            <w:r>
              <w:rPr>
                <w:rFonts w:hint="eastAsia" w:ascii="宋体" w:hAnsi="宋体"/>
                <w:sz w:val="21"/>
                <w:szCs w:val="21"/>
              </w:rPr>
              <w:t>实质性条款</w:t>
            </w:r>
          </w:p>
        </w:tc>
        <w:tc>
          <w:tcPr>
            <w:tcW w:w="6261" w:type="dxa"/>
            <w:vAlign w:val="center"/>
          </w:tcPr>
          <w:p w14:paraId="764F5FFF">
            <w:pPr>
              <w:tabs>
                <w:tab w:val="left" w:pos="5416"/>
              </w:tabs>
              <w:spacing w:line="400" w:lineRule="exact"/>
              <w:rPr>
                <w:rFonts w:hint="eastAsia" w:ascii="宋体" w:hAnsi="宋体"/>
                <w:sz w:val="21"/>
                <w:szCs w:val="21"/>
              </w:rPr>
            </w:pPr>
            <w:r>
              <w:rPr>
                <w:rFonts w:hint="eastAsia" w:ascii="宋体" w:hAnsi="宋体"/>
                <w:sz w:val="21"/>
                <w:szCs w:val="21"/>
              </w:rPr>
              <w:t>对招标文件中所有标注“★”的实质性条款进行逐一响应，完全满足各项要求，无任何偏离。</w:t>
            </w:r>
          </w:p>
        </w:tc>
      </w:tr>
      <w:bookmarkEnd w:id="474"/>
      <w:tr w14:paraId="32BB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319" w:type="dxa"/>
            <w:vAlign w:val="center"/>
          </w:tcPr>
          <w:p w14:paraId="750F611F">
            <w:pPr>
              <w:spacing w:line="400" w:lineRule="exact"/>
              <w:jc w:val="left"/>
              <w:rPr>
                <w:rFonts w:hint="eastAsia" w:ascii="宋体" w:hAnsi="宋体" w:cs="宋体"/>
                <w:kern w:val="0"/>
                <w:sz w:val="21"/>
                <w:szCs w:val="21"/>
              </w:rPr>
            </w:pPr>
            <w:bookmarkStart w:id="475" w:name="OLE_LINK71"/>
            <w:bookmarkStart w:id="476" w:name="_Hlk203147775"/>
            <w:r>
              <w:rPr>
                <w:rFonts w:hint="eastAsia" w:ascii="宋体" w:hAnsi="宋体" w:cs="宋体"/>
                <w:kern w:val="0"/>
                <w:sz w:val="21"/>
                <w:szCs w:val="21"/>
              </w:rPr>
              <w:t>投标文件其它要求</w:t>
            </w:r>
            <w:bookmarkEnd w:id="475"/>
          </w:p>
        </w:tc>
        <w:tc>
          <w:tcPr>
            <w:tcW w:w="6261" w:type="dxa"/>
            <w:vAlign w:val="center"/>
          </w:tcPr>
          <w:p w14:paraId="6A0DE948">
            <w:pPr>
              <w:tabs>
                <w:tab w:val="left" w:pos="5416"/>
              </w:tabs>
              <w:spacing w:line="400" w:lineRule="exact"/>
              <w:rPr>
                <w:rFonts w:hint="eastAsia" w:ascii="宋体" w:hAnsi="宋体" w:cs="宋体"/>
                <w:kern w:val="0"/>
                <w:sz w:val="21"/>
                <w:szCs w:val="21"/>
              </w:rPr>
            </w:pPr>
            <w:r>
              <w:rPr>
                <w:rFonts w:hint="eastAsia" w:ascii="宋体" w:hAnsi="宋体" w:cs="宋体"/>
                <w:kern w:val="0"/>
                <w:sz w:val="21"/>
                <w:szCs w:val="21"/>
              </w:rPr>
              <w:t>不存在法律、法规规定的无效情形，响应招标文件的其他要求。</w:t>
            </w:r>
          </w:p>
        </w:tc>
      </w:tr>
      <w:bookmarkEnd w:id="476"/>
    </w:tbl>
    <w:p w14:paraId="57C39B19">
      <w:pPr>
        <w:pStyle w:val="3"/>
        <w:tabs>
          <w:tab w:val="clear" w:pos="3999"/>
        </w:tabs>
        <w:spacing w:afterLines="0" w:line="360" w:lineRule="auto"/>
        <w:ind w:firstLine="562" w:firstLineChars="200"/>
        <w:jc w:val="both"/>
        <w:rPr>
          <w:rFonts w:hint="eastAsia" w:ascii="黑体" w:hAnsi="黑体" w:eastAsia="黑体" w:cs="宋体"/>
          <w:sz w:val="28"/>
          <w:szCs w:val="28"/>
        </w:rPr>
      </w:pPr>
      <w:bookmarkStart w:id="477" w:name="_Toc216365889"/>
      <w:r>
        <w:rPr>
          <w:rFonts w:hint="eastAsia" w:ascii="黑体" w:hAnsi="黑体" w:eastAsia="黑体" w:cs="宋体"/>
          <w:sz w:val="28"/>
          <w:szCs w:val="28"/>
        </w:rPr>
        <w:t>（二）投标文件有关事项的澄清或者说明</w:t>
      </w:r>
      <w:bookmarkEnd w:id="477"/>
    </w:p>
    <w:p w14:paraId="0621F629">
      <w:pPr>
        <w:spacing w:line="360" w:lineRule="auto"/>
        <w:ind w:firstLine="480" w:firstLineChars="200"/>
        <w:rPr>
          <w:rFonts w:hint="eastAsia" w:ascii="宋体" w:hAnsi="宋体"/>
          <w:bCs/>
          <w:kern w:val="0"/>
        </w:rPr>
      </w:pPr>
      <w:r>
        <w:rPr>
          <w:rFonts w:hint="eastAsia" w:ascii="宋体" w:hAnsi="宋体"/>
          <w:bCs/>
          <w:kern w:val="0"/>
        </w:rPr>
        <w:t>1.对投标文件中含义不明确、同类问题表述不一致或者有明显文字和计算错误的内容，评标委员会可以书面形式（应当由评标委员会专家签字）要求投标人作出必要的澄清、说明或者补正，评标委员会不接受投标人主动提出的澄清、说明或补正。投标人的澄清、说明或者补正不得超出招标文件要求的范围或者改变投标文件的实质性内容。澄清、说明或者补正应当采用书面形式，由其法定代表人或授权代理人签字或盖章确认。投标人的澄清文件是投标文件的组成部分，评标委员会对投标人提交的澄清、说明或补正有疑问的，可以要求投标人进一步澄清、说明或补正，直至达到评标委员会的评审要求。</w:t>
      </w:r>
    </w:p>
    <w:p w14:paraId="5FED41D5">
      <w:pPr>
        <w:spacing w:line="360" w:lineRule="auto"/>
        <w:ind w:firstLine="480" w:firstLineChars="200"/>
        <w:rPr>
          <w:rFonts w:hint="eastAsia" w:ascii="宋体" w:hAnsi="宋体"/>
          <w:bCs/>
          <w:kern w:val="0"/>
        </w:rPr>
      </w:pPr>
      <w:r>
        <w:rPr>
          <w:rFonts w:hint="eastAsia" w:ascii="宋体" w:hAnsi="宋体"/>
          <w:bCs/>
          <w:kern w:val="0"/>
        </w:rPr>
        <w:t>2.</w:t>
      </w:r>
      <w:bookmarkStart w:id="478" w:name="OLE_LINK64"/>
      <w:r>
        <w:rPr>
          <w:rFonts w:hint="eastAsia" w:ascii="宋体" w:hAnsi="宋体"/>
          <w:bCs/>
          <w:kern w:val="0"/>
        </w:rPr>
        <w:t>评标委员会</w:t>
      </w:r>
      <w:bookmarkEnd w:id="478"/>
      <w:r>
        <w:rPr>
          <w:rFonts w:hint="eastAsia" w:ascii="宋体" w:hAnsi="宋体"/>
          <w:bCs/>
          <w:kern w:val="0"/>
        </w:rPr>
        <w:t>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C037866">
      <w:pPr>
        <w:spacing w:line="360" w:lineRule="auto"/>
        <w:ind w:firstLine="480" w:firstLineChars="200"/>
        <w:rPr>
          <w:rFonts w:hint="eastAsia" w:ascii="宋体" w:hAnsi="宋体"/>
          <w:bCs/>
          <w:kern w:val="0"/>
          <w:highlight w:val="none"/>
        </w:rPr>
      </w:pPr>
      <w:r>
        <w:rPr>
          <w:rFonts w:hint="eastAsia" w:ascii="宋体" w:hAnsi="宋体"/>
          <w:bCs/>
          <w:kern w:val="0"/>
          <w:highlight w:val="none"/>
        </w:rPr>
        <w:t>2.1出现下列情形之一的，</w:t>
      </w:r>
      <w:r>
        <w:rPr>
          <w:rFonts w:ascii="宋体" w:hAnsi="宋体"/>
          <w:bCs/>
          <w:kern w:val="0"/>
          <w:highlight w:val="none"/>
        </w:rPr>
        <w:t>评标委员会</w:t>
      </w:r>
      <w:r>
        <w:rPr>
          <w:rFonts w:hint="eastAsia" w:ascii="宋体" w:hAnsi="宋体"/>
          <w:bCs/>
          <w:kern w:val="0"/>
          <w:highlight w:val="none"/>
        </w:rPr>
        <w:t>应当启动异常低价投标审查程序：</w:t>
      </w:r>
    </w:p>
    <w:p w14:paraId="1C2EA9BD">
      <w:pPr>
        <w:spacing w:line="360" w:lineRule="auto"/>
        <w:ind w:firstLine="480" w:firstLineChars="200"/>
        <w:rPr>
          <w:rFonts w:hint="eastAsia" w:ascii="宋体" w:hAnsi="宋体"/>
          <w:bCs/>
          <w:kern w:val="0"/>
          <w:highlight w:val="none"/>
        </w:rPr>
      </w:pPr>
      <w:r>
        <w:rPr>
          <w:rFonts w:hint="eastAsia" w:ascii="宋体" w:hAnsi="宋体"/>
          <w:bCs/>
          <w:kern w:val="0"/>
          <w:highlight w:val="none"/>
        </w:rPr>
        <w:t>（1）投标报价低于全部通过符合性审查</w:t>
      </w:r>
      <w:bookmarkStart w:id="479" w:name="OLE_LINK67"/>
      <w:r>
        <w:rPr>
          <w:rFonts w:hint="eastAsia" w:ascii="宋体" w:hAnsi="宋体"/>
          <w:bCs/>
          <w:kern w:val="0"/>
          <w:highlight w:val="none"/>
        </w:rPr>
        <w:t>投标人</w:t>
      </w:r>
      <w:bookmarkEnd w:id="479"/>
      <w:r>
        <w:rPr>
          <w:rFonts w:hint="eastAsia" w:ascii="宋体" w:hAnsi="宋体"/>
          <w:bCs/>
          <w:kern w:val="0"/>
          <w:highlight w:val="none"/>
        </w:rPr>
        <w:t>投标报价平均值6</w:t>
      </w:r>
      <w:r>
        <w:rPr>
          <w:rFonts w:hint="eastAsia" w:ascii="宋体" w:hAnsi="宋体"/>
          <w:bCs/>
          <w:kern w:val="0"/>
          <w:highlight w:val="none"/>
          <w:lang w:val="en-US" w:eastAsia="zh-CN"/>
        </w:rPr>
        <w:t>5</w:t>
      </w:r>
      <w:r>
        <w:rPr>
          <w:rFonts w:hint="eastAsia" w:ascii="宋体" w:hAnsi="宋体"/>
          <w:bCs/>
          <w:kern w:val="0"/>
          <w:highlight w:val="none"/>
        </w:rPr>
        <w:t>%的，即投标报价&lt;全部通过符合性审查投标人投标报价平均值×6</w:t>
      </w:r>
      <w:r>
        <w:rPr>
          <w:rFonts w:hint="eastAsia" w:ascii="宋体" w:hAnsi="宋体"/>
          <w:bCs/>
          <w:kern w:val="0"/>
          <w:highlight w:val="none"/>
          <w:lang w:val="en-US" w:eastAsia="zh-CN"/>
        </w:rPr>
        <w:t>5</w:t>
      </w:r>
      <w:r>
        <w:rPr>
          <w:rFonts w:hint="eastAsia" w:ascii="宋体" w:hAnsi="宋体"/>
          <w:bCs/>
          <w:kern w:val="0"/>
          <w:highlight w:val="none"/>
        </w:rPr>
        <w:t>%；</w:t>
      </w:r>
    </w:p>
    <w:p w14:paraId="4532727B">
      <w:pPr>
        <w:spacing w:line="360" w:lineRule="auto"/>
        <w:ind w:firstLine="480" w:firstLineChars="200"/>
        <w:rPr>
          <w:rFonts w:hint="eastAsia" w:ascii="宋体" w:hAnsi="宋体"/>
          <w:bCs/>
          <w:kern w:val="0"/>
          <w:highlight w:val="none"/>
        </w:rPr>
      </w:pPr>
      <w:r>
        <w:rPr>
          <w:rFonts w:hint="eastAsia" w:ascii="宋体" w:hAnsi="宋体"/>
          <w:bCs/>
          <w:kern w:val="0"/>
          <w:highlight w:val="none"/>
        </w:rPr>
        <w:t>（2）投标报价低于通过符合性审查的次低报价投标人投标报价6</w:t>
      </w:r>
      <w:r>
        <w:rPr>
          <w:rFonts w:hint="eastAsia" w:ascii="宋体" w:hAnsi="宋体"/>
          <w:bCs/>
          <w:kern w:val="0"/>
          <w:highlight w:val="none"/>
          <w:lang w:val="en-US" w:eastAsia="zh-CN"/>
        </w:rPr>
        <w:t>5</w:t>
      </w:r>
      <w:r>
        <w:rPr>
          <w:rFonts w:hint="eastAsia" w:ascii="宋体" w:hAnsi="宋体"/>
          <w:bCs/>
          <w:kern w:val="0"/>
          <w:highlight w:val="none"/>
        </w:rPr>
        <w:t>%的，即投标报价&lt;通过符合性审查的次低报价投标人投标报价×6</w:t>
      </w:r>
      <w:r>
        <w:rPr>
          <w:rFonts w:hint="eastAsia" w:ascii="宋体" w:hAnsi="宋体"/>
          <w:bCs/>
          <w:kern w:val="0"/>
          <w:highlight w:val="none"/>
          <w:lang w:val="en-US" w:eastAsia="zh-CN"/>
        </w:rPr>
        <w:t>5</w:t>
      </w:r>
      <w:r>
        <w:rPr>
          <w:rFonts w:hint="eastAsia" w:ascii="宋体" w:hAnsi="宋体"/>
          <w:bCs/>
          <w:kern w:val="0"/>
          <w:highlight w:val="none"/>
        </w:rPr>
        <w:t>%；</w:t>
      </w:r>
    </w:p>
    <w:p w14:paraId="3B5EA2B7">
      <w:pPr>
        <w:spacing w:line="360" w:lineRule="auto"/>
        <w:ind w:firstLine="480" w:firstLineChars="200"/>
        <w:rPr>
          <w:rFonts w:hint="eastAsia" w:ascii="宋体" w:hAnsi="宋体"/>
          <w:bCs/>
          <w:kern w:val="0"/>
          <w:highlight w:val="none"/>
        </w:rPr>
      </w:pPr>
      <w:r>
        <w:rPr>
          <w:rFonts w:hint="eastAsia" w:ascii="宋体" w:hAnsi="宋体"/>
          <w:bCs/>
          <w:kern w:val="0"/>
          <w:highlight w:val="none"/>
        </w:rPr>
        <w:t>（3）投标报价低于采购项目最高限价</w:t>
      </w:r>
      <w:r>
        <w:rPr>
          <w:rFonts w:hint="eastAsia" w:ascii="宋体" w:hAnsi="宋体"/>
          <w:bCs/>
          <w:kern w:val="0"/>
          <w:highlight w:val="none"/>
          <w:lang w:val="en-US" w:eastAsia="zh-CN"/>
        </w:rPr>
        <w:t>60</w:t>
      </w:r>
      <w:r>
        <w:rPr>
          <w:rFonts w:hint="eastAsia" w:ascii="宋体" w:hAnsi="宋体"/>
          <w:bCs/>
          <w:kern w:val="0"/>
          <w:highlight w:val="none"/>
        </w:rPr>
        <w:t>%的，即投标报价＜采购项目最高限价×</w:t>
      </w:r>
      <w:r>
        <w:rPr>
          <w:rFonts w:hint="eastAsia" w:ascii="宋体" w:hAnsi="宋体"/>
          <w:bCs/>
          <w:kern w:val="0"/>
          <w:highlight w:val="none"/>
          <w:lang w:val="en-US" w:eastAsia="zh-CN"/>
        </w:rPr>
        <w:t>60</w:t>
      </w:r>
      <w:r>
        <w:rPr>
          <w:rFonts w:hint="eastAsia" w:ascii="宋体" w:hAnsi="宋体"/>
          <w:bCs/>
          <w:kern w:val="0"/>
          <w:highlight w:val="none"/>
        </w:rPr>
        <w:t>%；</w:t>
      </w:r>
    </w:p>
    <w:p w14:paraId="38950BA4">
      <w:pPr>
        <w:spacing w:line="360" w:lineRule="auto"/>
        <w:ind w:firstLine="480" w:firstLineChars="200"/>
        <w:rPr>
          <w:rFonts w:hint="eastAsia" w:ascii="宋体" w:hAnsi="宋体"/>
          <w:bCs/>
          <w:kern w:val="0"/>
        </w:rPr>
      </w:pPr>
      <w:r>
        <w:rPr>
          <w:rFonts w:hint="eastAsia" w:ascii="宋体" w:hAnsi="宋体"/>
          <w:bCs/>
          <w:kern w:val="0"/>
        </w:rPr>
        <w:t>（4）评审委员会基于专业判断，认为投标人报价过低，有可能影响产品质量或者不能诚信履约的其他情形。</w:t>
      </w:r>
    </w:p>
    <w:p w14:paraId="48EC5F28">
      <w:pPr>
        <w:spacing w:line="360" w:lineRule="auto"/>
        <w:ind w:firstLine="480" w:firstLineChars="200"/>
        <w:rPr>
          <w:rFonts w:hint="eastAsia" w:ascii="宋体" w:hAnsi="宋体"/>
          <w:bCs/>
          <w:kern w:val="0"/>
        </w:rPr>
      </w:pPr>
      <w:r>
        <w:rPr>
          <w:rFonts w:hint="eastAsia" w:ascii="宋体" w:hAnsi="宋体"/>
          <w:bCs/>
          <w:kern w:val="0"/>
        </w:rPr>
        <w:t>2.2</w:t>
      </w:r>
      <w:bookmarkStart w:id="480" w:name="OLE_LINK83"/>
      <w:r>
        <w:rPr>
          <w:rFonts w:ascii="宋体" w:hAnsi="宋体"/>
          <w:bCs/>
          <w:kern w:val="0"/>
        </w:rPr>
        <w:t>评标委员会</w:t>
      </w:r>
      <w:bookmarkEnd w:id="480"/>
      <w:r>
        <w:rPr>
          <w:rFonts w:hint="eastAsia" w:ascii="宋体" w:hAnsi="宋体"/>
          <w:bCs/>
          <w:kern w:val="0"/>
        </w:rPr>
        <w:t>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时间为40分钟。其中，属于第3项情形，投标人已随投标文件一并提交相关书面说明及必要的证明材料的，在评审现场可不再重复提交。</w:t>
      </w:r>
    </w:p>
    <w:p w14:paraId="2F0B4D6F">
      <w:pPr>
        <w:spacing w:line="360" w:lineRule="auto"/>
        <w:ind w:firstLine="480" w:firstLineChars="200"/>
        <w:rPr>
          <w:rFonts w:hint="eastAsia" w:ascii="宋体" w:hAnsi="宋体"/>
          <w:bCs/>
          <w:kern w:val="0"/>
        </w:rPr>
      </w:pPr>
      <w:r>
        <w:rPr>
          <w:rFonts w:ascii="宋体" w:hAnsi="宋体"/>
          <w:bCs/>
          <w:kern w:val="0"/>
        </w:rPr>
        <w:t>评标委员会</w:t>
      </w:r>
      <w:r>
        <w:rPr>
          <w:rFonts w:hint="eastAsia" w:ascii="宋体" w:hAnsi="宋体"/>
          <w:bCs/>
          <w:kern w:val="0"/>
        </w:rPr>
        <w:t>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ascii="宋体" w:hAnsi="宋体"/>
          <w:bCs/>
          <w:kern w:val="0"/>
        </w:rPr>
        <w:t>评标委员会</w:t>
      </w:r>
      <w:r>
        <w:rPr>
          <w:rFonts w:hint="eastAsia" w:ascii="宋体" w:hAnsi="宋体"/>
          <w:bCs/>
          <w:kern w:val="0"/>
        </w:rPr>
        <w:t>应当将其作为无效投标处理。</w:t>
      </w:r>
    </w:p>
    <w:p w14:paraId="5FA6753D">
      <w:pPr>
        <w:spacing w:line="360" w:lineRule="auto"/>
        <w:ind w:firstLine="480" w:firstLineChars="200"/>
        <w:rPr>
          <w:rFonts w:hint="eastAsia" w:ascii="宋体" w:hAnsi="宋体"/>
          <w:bCs/>
          <w:kern w:val="0"/>
        </w:rPr>
      </w:pPr>
      <w:r>
        <w:rPr>
          <w:rFonts w:hint="eastAsia" w:ascii="宋体" w:hAnsi="宋体"/>
          <w:bCs/>
          <w:kern w:val="0"/>
        </w:rPr>
        <w:t>3.投标文件报价出现前后不一致的，按照第二章《投标人须知》20条规定修正。</w:t>
      </w:r>
    </w:p>
    <w:p w14:paraId="0FEC7DCE">
      <w:pPr>
        <w:pStyle w:val="3"/>
        <w:tabs>
          <w:tab w:val="clear" w:pos="3999"/>
        </w:tabs>
        <w:spacing w:afterLines="0" w:line="360" w:lineRule="auto"/>
        <w:ind w:firstLine="562" w:firstLineChars="200"/>
        <w:jc w:val="both"/>
        <w:rPr>
          <w:rFonts w:hint="eastAsia" w:ascii="黑体" w:hAnsi="黑体" w:eastAsia="黑体" w:cs="宋体"/>
          <w:sz w:val="28"/>
          <w:szCs w:val="28"/>
        </w:rPr>
      </w:pPr>
      <w:bookmarkStart w:id="481" w:name="_Toc216365890"/>
      <w:r>
        <w:rPr>
          <w:rFonts w:hint="eastAsia" w:ascii="黑体" w:hAnsi="黑体" w:eastAsia="黑体" w:cs="宋体"/>
          <w:sz w:val="28"/>
          <w:szCs w:val="28"/>
        </w:rPr>
        <w:t>（三）投标文件的比较和评价</w:t>
      </w:r>
      <w:bookmarkEnd w:id="481"/>
    </w:p>
    <w:p w14:paraId="7EA2F6BD">
      <w:pPr>
        <w:spacing w:line="360" w:lineRule="auto"/>
        <w:ind w:firstLine="480" w:firstLineChars="200"/>
        <w:rPr>
          <w:rFonts w:hint="eastAsia" w:ascii="宋体" w:hAnsi="宋体"/>
          <w:bCs/>
          <w:kern w:val="0"/>
        </w:rPr>
      </w:pPr>
      <w:r>
        <w:rPr>
          <w:rFonts w:hint="eastAsia" w:ascii="宋体" w:hAnsi="宋体"/>
          <w:bCs/>
          <w:kern w:val="0"/>
        </w:rPr>
        <w:t>1.评标委员会将按照招标文件中规定的评标方法和标准，对符合性审查合格的投标文件进行商务和技术评估，综合比较与评价；未通过符合性审查的投标文件不得进入比较与评价。</w:t>
      </w:r>
    </w:p>
    <w:p w14:paraId="4CE0A59F">
      <w:pPr>
        <w:spacing w:line="360" w:lineRule="auto"/>
        <w:ind w:firstLine="480" w:firstLineChars="200"/>
        <w:rPr>
          <w:rFonts w:hint="eastAsia" w:ascii="宋体" w:hAnsi="宋体"/>
          <w:bCs/>
          <w:kern w:val="0"/>
        </w:rPr>
      </w:pPr>
      <w:r>
        <w:rPr>
          <w:rFonts w:hint="eastAsia" w:ascii="宋体" w:hAnsi="宋体"/>
          <w:bCs/>
          <w:kern w:val="0"/>
        </w:rPr>
        <w:t>2.评标方法和评标标准</w:t>
      </w:r>
    </w:p>
    <w:p w14:paraId="613EB36E">
      <w:pPr>
        <w:spacing w:line="360" w:lineRule="auto"/>
        <w:ind w:firstLine="480" w:firstLineChars="200"/>
        <w:rPr>
          <w:rFonts w:hint="eastAsia" w:ascii="宋体" w:hAnsi="宋体"/>
          <w:bCs/>
          <w:kern w:val="0"/>
        </w:rPr>
      </w:pPr>
      <w:r>
        <w:rPr>
          <w:rFonts w:hint="eastAsia" w:ascii="宋体" w:hAnsi="宋体"/>
          <w:bCs/>
          <w:kern w:val="0"/>
        </w:rPr>
        <w:t>本次评标采用综合评分法，招标文件中没有规定的评标标准不得作为评审的依据。评标时，评标委员会各成员应当独立对每个投标人的投标文件进行评价，并汇总每个投标人的得分。评分分值计算保留小数点后两位，第三位四舍五入。</w:t>
      </w:r>
    </w:p>
    <w:p w14:paraId="3D7667AA">
      <w:pPr>
        <w:spacing w:line="360" w:lineRule="auto"/>
        <w:ind w:firstLine="480" w:firstLineChars="200"/>
        <w:rPr>
          <w:rFonts w:hint="eastAsia" w:ascii="宋体" w:hAnsi="宋体"/>
          <w:bCs/>
          <w:kern w:val="0"/>
        </w:rPr>
      </w:pPr>
      <w:r>
        <w:rPr>
          <w:rFonts w:hint="eastAsia" w:ascii="宋体" w:hAnsi="宋体"/>
          <w:bCs/>
          <w:kern w:val="0"/>
        </w:rPr>
        <w:t>3.政府采购政策的价格扣除</w:t>
      </w:r>
    </w:p>
    <w:p w14:paraId="0273C365">
      <w:pPr>
        <w:spacing w:line="360" w:lineRule="auto"/>
        <w:ind w:firstLine="480" w:firstLineChars="200"/>
        <w:rPr>
          <w:rFonts w:hint="eastAsia" w:ascii="宋体" w:hAnsi="宋体"/>
          <w:bCs/>
          <w:kern w:val="0"/>
        </w:rPr>
      </w:pPr>
      <w:r>
        <w:rPr>
          <w:rFonts w:hint="eastAsia" w:ascii="宋体" w:hAnsi="宋体"/>
          <w:bCs/>
          <w:kern w:val="0"/>
        </w:rPr>
        <w:t>（1）未预留份额专门面向中小企业采购的采购项目，以及预留份额项目中的非预留部分采购包，对符合规定的小微企业（监狱企业、残疾人福利性单位）报价按照下表中的规定扣除，用扣除后的价格参加评审。</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1701"/>
        <w:gridCol w:w="1559"/>
        <w:gridCol w:w="850"/>
        <w:gridCol w:w="4359"/>
      </w:tblGrid>
      <w:tr w14:paraId="0D74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14:paraId="2E1BBCFA">
            <w:pPr>
              <w:spacing w:line="320" w:lineRule="exact"/>
              <w:jc w:val="center"/>
              <w:rPr>
                <w:rFonts w:hint="eastAsia" w:ascii="宋体" w:hAnsi="宋体"/>
                <w:b/>
                <w:kern w:val="0"/>
                <w:sz w:val="21"/>
                <w:szCs w:val="21"/>
              </w:rPr>
            </w:pPr>
            <w:r>
              <w:rPr>
                <w:rFonts w:hint="eastAsia" w:ascii="宋体" w:hAnsi="宋体"/>
                <w:b/>
                <w:kern w:val="0"/>
                <w:sz w:val="21"/>
                <w:szCs w:val="21"/>
              </w:rPr>
              <w:t>序号</w:t>
            </w:r>
          </w:p>
        </w:tc>
        <w:tc>
          <w:tcPr>
            <w:tcW w:w="1701" w:type="dxa"/>
            <w:vAlign w:val="center"/>
          </w:tcPr>
          <w:p w14:paraId="792DA101">
            <w:pPr>
              <w:spacing w:line="320" w:lineRule="exact"/>
              <w:jc w:val="center"/>
              <w:rPr>
                <w:rFonts w:hint="eastAsia" w:ascii="宋体" w:hAnsi="宋体"/>
                <w:b/>
                <w:kern w:val="0"/>
                <w:sz w:val="21"/>
                <w:szCs w:val="21"/>
              </w:rPr>
            </w:pPr>
            <w:r>
              <w:rPr>
                <w:rFonts w:hint="eastAsia" w:ascii="宋体" w:hAnsi="宋体"/>
                <w:b/>
                <w:kern w:val="0"/>
                <w:sz w:val="21"/>
                <w:szCs w:val="21"/>
              </w:rPr>
              <w:t>情形</w:t>
            </w:r>
          </w:p>
        </w:tc>
        <w:tc>
          <w:tcPr>
            <w:tcW w:w="1559" w:type="dxa"/>
            <w:vAlign w:val="center"/>
          </w:tcPr>
          <w:p w14:paraId="6686A091">
            <w:pPr>
              <w:spacing w:line="320" w:lineRule="exact"/>
              <w:jc w:val="center"/>
              <w:rPr>
                <w:rFonts w:hint="eastAsia" w:ascii="宋体" w:hAnsi="宋体"/>
                <w:b/>
                <w:kern w:val="0"/>
                <w:sz w:val="21"/>
                <w:szCs w:val="21"/>
              </w:rPr>
            </w:pPr>
            <w:r>
              <w:rPr>
                <w:rFonts w:hint="eastAsia" w:ascii="宋体" w:hAnsi="宋体"/>
                <w:b/>
                <w:kern w:val="0"/>
                <w:sz w:val="21"/>
                <w:szCs w:val="21"/>
              </w:rPr>
              <w:t>适用对象</w:t>
            </w:r>
          </w:p>
        </w:tc>
        <w:tc>
          <w:tcPr>
            <w:tcW w:w="850" w:type="dxa"/>
            <w:vAlign w:val="center"/>
          </w:tcPr>
          <w:p w14:paraId="55CAC898">
            <w:pPr>
              <w:spacing w:line="320" w:lineRule="exact"/>
              <w:jc w:val="center"/>
              <w:rPr>
                <w:rFonts w:hint="eastAsia" w:ascii="宋体" w:hAnsi="宋体"/>
                <w:b/>
                <w:kern w:val="0"/>
                <w:sz w:val="21"/>
                <w:szCs w:val="21"/>
              </w:rPr>
            </w:pPr>
            <w:r>
              <w:rPr>
                <w:rFonts w:hint="eastAsia" w:ascii="宋体" w:hAnsi="宋体"/>
                <w:b/>
                <w:kern w:val="0"/>
                <w:sz w:val="21"/>
                <w:szCs w:val="21"/>
              </w:rPr>
              <w:t>价格扣除比例</w:t>
            </w:r>
          </w:p>
        </w:tc>
        <w:tc>
          <w:tcPr>
            <w:tcW w:w="4359" w:type="dxa"/>
            <w:vAlign w:val="center"/>
          </w:tcPr>
          <w:p w14:paraId="5F7E5AF7">
            <w:pPr>
              <w:spacing w:line="320" w:lineRule="exact"/>
              <w:jc w:val="center"/>
              <w:rPr>
                <w:rFonts w:hint="eastAsia" w:ascii="宋体" w:hAnsi="宋体"/>
                <w:b/>
                <w:kern w:val="0"/>
                <w:sz w:val="21"/>
                <w:szCs w:val="21"/>
              </w:rPr>
            </w:pPr>
            <w:r>
              <w:rPr>
                <w:rFonts w:hint="eastAsia" w:ascii="宋体" w:hAnsi="宋体"/>
                <w:b/>
                <w:kern w:val="0"/>
                <w:sz w:val="21"/>
                <w:szCs w:val="21"/>
              </w:rPr>
              <w:t>计算公式</w:t>
            </w:r>
          </w:p>
        </w:tc>
      </w:tr>
      <w:tr w14:paraId="29FA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14:paraId="4CD9D885">
            <w:pPr>
              <w:spacing w:line="320" w:lineRule="exact"/>
              <w:jc w:val="center"/>
              <w:rPr>
                <w:rFonts w:hint="eastAsia" w:ascii="宋体" w:hAnsi="宋体"/>
                <w:bCs/>
                <w:kern w:val="0"/>
                <w:sz w:val="21"/>
                <w:szCs w:val="21"/>
              </w:rPr>
            </w:pPr>
            <w:r>
              <w:rPr>
                <w:rFonts w:hint="eastAsia" w:ascii="宋体" w:hAnsi="宋体"/>
                <w:bCs/>
                <w:kern w:val="0"/>
                <w:sz w:val="21"/>
                <w:szCs w:val="21"/>
              </w:rPr>
              <w:t>1</w:t>
            </w:r>
          </w:p>
        </w:tc>
        <w:tc>
          <w:tcPr>
            <w:tcW w:w="1701" w:type="dxa"/>
            <w:vAlign w:val="center"/>
          </w:tcPr>
          <w:p w14:paraId="5C54415A">
            <w:pPr>
              <w:spacing w:line="320" w:lineRule="exact"/>
              <w:rPr>
                <w:rFonts w:hint="eastAsia" w:ascii="宋体" w:hAnsi="宋体"/>
                <w:bCs/>
                <w:kern w:val="0"/>
                <w:sz w:val="21"/>
                <w:szCs w:val="21"/>
              </w:rPr>
            </w:pPr>
            <w:r>
              <w:rPr>
                <w:rFonts w:hint="eastAsia" w:ascii="宋体" w:hAnsi="宋体"/>
                <w:bCs/>
                <w:kern w:val="0"/>
                <w:sz w:val="21"/>
                <w:szCs w:val="21"/>
              </w:rPr>
              <w:t>小型、微型企业，监狱企业，残疾人福利性单位</w:t>
            </w:r>
          </w:p>
        </w:tc>
        <w:tc>
          <w:tcPr>
            <w:tcW w:w="1559" w:type="dxa"/>
            <w:vAlign w:val="center"/>
          </w:tcPr>
          <w:p w14:paraId="275C0E23">
            <w:pPr>
              <w:spacing w:line="320" w:lineRule="exact"/>
              <w:jc w:val="center"/>
              <w:rPr>
                <w:rFonts w:hint="eastAsia" w:ascii="宋体" w:hAnsi="宋体"/>
                <w:bCs/>
                <w:kern w:val="0"/>
                <w:sz w:val="21"/>
                <w:szCs w:val="21"/>
              </w:rPr>
            </w:pPr>
            <w:r>
              <w:rPr>
                <w:rFonts w:hint="eastAsia" w:ascii="宋体" w:hAnsi="宋体"/>
                <w:bCs/>
                <w:kern w:val="0"/>
                <w:sz w:val="21"/>
                <w:szCs w:val="21"/>
              </w:rPr>
              <w:t>非联合体</w:t>
            </w:r>
          </w:p>
        </w:tc>
        <w:tc>
          <w:tcPr>
            <w:tcW w:w="850" w:type="dxa"/>
            <w:vAlign w:val="center"/>
          </w:tcPr>
          <w:p w14:paraId="11971289">
            <w:pPr>
              <w:spacing w:line="320" w:lineRule="exact"/>
              <w:jc w:val="center"/>
              <w:rPr>
                <w:rFonts w:hint="eastAsia" w:ascii="宋体" w:hAnsi="宋体"/>
                <w:bCs/>
                <w:kern w:val="0"/>
                <w:sz w:val="21"/>
                <w:szCs w:val="21"/>
              </w:rPr>
            </w:pPr>
            <w:r>
              <w:rPr>
                <w:rFonts w:hint="eastAsia" w:ascii="宋体" w:hAnsi="宋体"/>
                <w:bCs/>
                <w:kern w:val="0"/>
                <w:sz w:val="21"/>
                <w:szCs w:val="21"/>
              </w:rPr>
              <w:t>10%</w:t>
            </w:r>
          </w:p>
        </w:tc>
        <w:tc>
          <w:tcPr>
            <w:tcW w:w="4359" w:type="dxa"/>
            <w:vAlign w:val="center"/>
          </w:tcPr>
          <w:p w14:paraId="6BAEBFA0">
            <w:pPr>
              <w:spacing w:line="320" w:lineRule="exact"/>
              <w:rPr>
                <w:rFonts w:hint="eastAsia" w:ascii="宋体" w:hAnsi="宋体"/>
                <w:bCs/>
                <w:kern w:val="0"/>
                <w:sz w:val="21"/>
                <w:szCs w:val="21"/>
              </w:rPr>
            </w:pPr>
            <w:r>
              <w:rPr>
                <w:rFonts w:hint="eastAsia" w:ascii="宋体" w:hAnsi="宋体"/>
                <w:bCs/>
                <w:kern w:val="0"/>
                <w:sz w:val="21"/>
                <w:szCs w:val="21"/>
              </w:rPr>
              <w:t>承接本项目的投标人或联合体成员均为小型、微型企业时，给予10%的价格扣除，即：评标价=投标报价×（1-10%）；监狱企业与残疾人福利性单位视同小型、微型企业，享受同等价格扣除，当企业属性重复时，不重复价格扣除。</w:t>
            </w:r>
          </w:p>
        </w:tc>
      </w:tr>
      <w:tr w14:paraId="0A44A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003" w:type="dxa"/>
            <w:gridSpan w:val="5"/>
            <w:vAlign w:val="center"/>
          </w:tcPr>
          <w:p w14:paraId="000CE89E">
            <w:pPr>
              <w:spacing w:line="320" w:lineRule="exact"/>
              <w:rPr>
                <w:rFonts w:hint="eastAsia" w:ascii="宋体" w:hAnsi="宋体"/>
                <w:bCs/>
                <w:kern w:val="0"/>
                <w:sz w:val="21"/>
                <w:szCs w:val="21"/>
              </w:rPr>
            </w:pPr>
            <w:r>
              <w:rPr>
                <w:rFonts w:hint="eastAsia" w:ascii="宋体" w:hAnsi="宋体"/>
                <w:bCs/>
                <w:kern w:val="0"/>
                <w:sz w:val="21"/>
                <w:szCs w:val="21"/>
              </w:rPr>
              <w:t>注：上述评标价仅用于计算价格评分，中标金额以实际投标为准。</w:t>
            </w:r>
          </w:p>
        </w:tc>
      </w:tr>
    </w:tbl>
    <w:p w14:paraId="07E7015A">
      <w:pPr>
        <w:spacing w:line="360" w:lineRule="auto"/>
        <w:ind w:firstLine="480" w:firstLineChars="200"/>
        <w:rPr>
          <w:rFonts w:hint="eastAsia" w:ascii="宋体" w:hAnsi="宋体"/>
          <w:bCs/>
          <w:kern w:val="0"/>
        </w:rPr>
      </w:pPr>
      <w:r>
        <w:rPr>
          <w:rFonts w:hint="eastAsia" w:ascii="宋体" w:hAnsi="宋体"/>
          <w:bCs/>
          <w:kern w:val="0"/>
        </w:rPr>
        <w:t>（2）接受进口产品投标的采购项目或采购包，对符合本章《 三）采购本国货物、服务和工程》第 3、4、5 项规定的投标人报价给予20%的价格扣除，用扣除后的价格参与评审。</w:t>
      </w:r>
    </w:p>
    <w:p w14:paraId="442B9834">
      <w:pPr>
        <w:pStyle w:val="3"/>
        <w:tabs>
          <w:tab w:val="clear" w:pos="3999"/>
        </w:tabs>
        <w:spacing w:afterLines="0" w:line="360" w:lineRule="auto"/>
        <w:ind w:firstLine="562" w:firstLineChars="200"/>
        <w:jc w:val="both"/>
        <w:rPr>
          <w:rFonts w:hint="eastAsia" w:ascii="黑体" w:hAnsi="黑体" w:eastAsia="黑体" w:cs="宋体"/>
          <w:sz w:val="28"/>
          <w:szCs w:val="28"/>
          <w:highlight w:val="none"/>
        </w:rPr>
      </w:pPr>
      <w:bookmarkStart w:id="482" w:name="_Toc216365891"/>
      <w:r>
        <w:rPr>
          <w:rFonts w:hint="eastAsia" w:ascii="黑体" w:hAnsi="黑体" w:eastAsia="黑体" w:cs="宋体"/>
          <w:sz w:val="28"/>
          <w:szCs w:val="28"/>
          <w:highlight w:val="none"/>
        </w:rPr>
        <w:t>（四）确定中标候选人名单</w:t>
      </w:r>
      <w:bookmarkEnd w:id="482"/>
    </w:p>
    <w:p w14:paraId="577AE79D">
      <w:pPr>
        <w:spacing w:line="360" w:lineRule="auto"/>
        <w:ind w:firstLine="482" w:firstLineChars="200"/>
        <w:rPr>
          <w:rFonts w:hint="eastAsia" w:ascii="宋体" w:hAnsi="宋体"/>
          <w:b/>
          <w:color w:val="000000" w:themeColor="text1"/>
          <w:kern w:val="0"/>
          <w:highlight w:val="none"/>
          <w14:textFill>
            <w14:solidFill>
              <w14:schemeClr w14:val="tx1"/>
            </w14:solidFill>
          </w14:textFill>
        </w:rPr>
      </w:pPr>
      <w:r>
        <w:rPr>
          <w:rFonts w:hint="eastAsia" w:ascii="宋体" w:hAnsi="宋体"/>
          <w:b/>
          <w:color w:val="000000" w:themeColor="text1"/>
          <w:kern w:val="0"/>
          <w:highlight w:val="none"/>
          <w14:textFill>
            <w14:solidFill>
              <w14:schemeClr w14:val="tx1"/>
            </w14:solidFill>
          </w14:textFill>
        </w:rPr>
        <w:t>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随机抽取方式确定一个投标人获得中标人推荐资格，其他同品牌投标人不作为中标候选人。</w:t>
      </w:r>
    </w:p>
    <w:p w14:paraId="211448CE">
      <w:pPr>
        <w:spacing w:line="360" w:lineRule="auto"/>
        <w:ind w:firstLine="480" w:firstLineChars="200"/>
        <w:rPr>
          <w:rFonts w:hint="eastAsia" w:ascii="宋体" w:hAnsi="宋体"/>
          <w:bCs/>
          <w:kern w:val="0"/>
        </w:rPr>
      </w:pPr>
      <w:r>
        <w:rPr>
          <w:rFonts w:hint="eastAsia" w:ascii="宋体" w:hAnsi="宋体"/>
          <w:bCs/>
          <w:kern w:val="0"/>
        </w:rPr>
        <w:t>2.采用综合评分法的，评标结果按评审后得分由高到低顺序排列。得分相同的，按投标报价由低到高顺序排列。</w:t>
      </w:r>
      <w:bookmarkStart w:id="483" w:name="OLE_LINK46"/>
      <w:r>
        <w:rPr>
          <w:rFonts w:hint="eastAsia" w:ascii="宋体" w:hAnsi="宋体"/>
          <w:bCs/>
          <w:kern w:val="0"/>
        </w:rPr>
        <w:t>得分且投标报价相同的并列</w:t>
      </w:r>
      <w:bookmarkEnd w:id="483"/>
      <w:r>
        <w:rPr>
          <w:rFonts w:hint="eastAsia" w:ascii="宋体" w:hAnsi="宋体"/>
          <w:bCs/>
          <w:kern w:val="0"/>
        </w:rPr>
        <w:t>。投标文件满足招标文件全部实质性要求，且按照技术指标响应、</w:t>
      </w:r>
      <w:r>
        <w:rPr>
          <w:rFonts w:hint="eastAsia" w:ascii="宋体" w:hAnsi="宋体"/>
          <w:bCs/>
          <w:kern w:val="0"/>
          <w:lang w:val="en-US" w:eastAsia="zh-CN"/>
        </w:rPr>
        <w:t>现场演示、项目实施方案</w:t>
      </w:r>
      <w:r>
        <w:rPr>
          <w:rFonts w:hint="eastAsia" w:ascii="宋体" w:hAnsi="宋体"/>
          <w:bCs/>
          <w:kern w:val="0"/>
        </w:rPr>
        <w:t>、</w:t>
      </w:r>
      <w:r>
        <w:rPr>
          <w:rFonts w:hint="eastAsia" w:ascii="宋体" w:hAnsi="宋体"/>
          <w:bCs/>
          <w:kern w:val="0"/>
          <w:lang w:val="en-US" w:eastAsia="zh-CN"/>
        </w:rPr>
        <w:t>售后服务</w:t>
      </w:r>
      <w:r>
        <w:rPr>
          <w:rFonts w:hint="eastAsia" w:ascii="宋体" w:hAnsi="宋体"/>
          <w:bCs/>
          <w:kern w:val="0"/>
          <w:lang w:eastAsia="zh-CN"/>
        </w:rPr>
        <w:t>、</w:t>
      </w:r>
      <w:r>
        <w:rPr>
          <w:rFonts w:hint="eastAsia" w:ascii="宋体" w:hAnsi="宋体"/>
          <w:bCs/>
          <w:kern w:val="0"/>
        </w:rPr>
        <w:t>类似业绩顺序得分评审最高的投标人为排名第一的中标候选人。</w:t>
      </w:r>
    </w:p>
    <w:p w14:paraId="2239C75A">
      <w:pPr>
        <w:spacing w:line="360" w:lineRule="auto"/>
        <w:ind w:firstLine="480" w:firstLineChars="200"/>
        <w:rPr>
          <w:rFonts w:hint="eastAsia" w:ascii="宋体" w:hAnsi="宋体"/>
          <w:bCs/>
          <w:kern w:val="0"/>
        </w:rPr>
      </w:pPr>
      <w:r>
        <w:rPr>
          <w:rFonts w:hint="eastAsia" w:ascii="宋体" w:hAnsi="宋体"/>
          <w:bCs/>
          <w:kern w:val="0"/>
        </w:rPr>
        <w:t>3.评标委员会成员对自己的评审意见承担法律责任。对评审报告有异议的，应当在评审报告上签署不同意见，并说明理由，否则视为同意评审报告。评标委员会成员对需要共同认定的事项存在争议的，按照少数服从多数的原则作出结论，持不同意见的评标委员会成员应当在评标报告上签署不同意见并说明理由，否则视为同意。</w:t>
      </w:r>
    </w:p>
    <w:p w14:paraId="1DA18A3C">
      <w:pPr>
        <w:spacing w:line="360" w:lineRule="auto"/>
        <w:ind w:firstLine="480" w:firstLineChars="200"/>
        <w:rPr>
          <w:rFonts w:hint="eastAsia" w:ascii="宋体" w:hAnsi="宋体"/>
          <w:bCs/>
          <w:kern w:val="0"/>
        </w:rPr>
      </w:pPr>
      <w:r>
        <w:rPr>
          <w:rFonts w:hint="eastAsia" w:ascii="宋体" w:hAnsi="宋体"/>
          <w:bCs/>
          <w:kern w:val="0"/>
        </w:rPr>
        <w:t>3.1评标委员会按评标总得分由高到低顺序推荐中标候选人三人，并编写书面评标报告。</w:t>
      </w:r>
    </w:p>
    <w:p w14:paraId="5940DEA9">
      <w:pPr>
        <w:spacing w:line="360" w:lineRule="auto"/>
        <w:ind w:firstLine="480" w:firstLineChars="200"/>
        <w:rPr>
          <w:rFonts w:hint="eastAsia" w:ascii="宋体" w:hAnsi="宋体"/>
          <w:bCs/>
          <w:kern w:val="0"/>
        </w:rPr>
      </w:pPr>
      <w:r>
        <w:rPr>
          <w:rFonts w:hint="eastAsia" w:ascii="宋体" w:hAnsi="宋体"/>
          <w:bCs/>
          <w:kern w:val="0"/>
        </w:rPr>
        <w:t>3.2评标委员会根据全体评标成员签字的原始评标记录和评标结果编写评标报告。评标报告应当包括以下内容：</w:t>
      </w:r>
    </w:p>
    <w:p w14:paraId="28AAE272">
      <w:pPr>
        <w:spacing w:line="360" w:lineRule="auto"/>
        <w:ind w:firstLine="480" w:firstLineChars="200"/>
        <w:rPr>
          <w:rFonts w:hint="eastAsia" w:ascii="宋体" w:hAnsi="宋体"/>
          <w:bCs/>
          <w:kern w:val="0"/>
        </w:rPr>
      </w:pPr>
      <w:r>
        <w:rPr>
          <w:rFonts w:hint="eastAsia" w:ascii="宋体" w:hAnsi="宋体"/>
          <w:bCs/>
          <w:kern w:val="0"/>
        </w:rPr>
        <w:t>（1）招标公告刊登的媒体名称、开标日期和地点；</w:t>
      </w:r>
    </w:p>
    <w:p w14:paraId="3EBDFC37">
      <w:pPr>
        <w:spacing w:line="360" w:lineRule="auto"/>
        <w:ind w:firstLine="480" w:firstLineChars="200"/>
        <w:rPr>
          <w:rFonts w:hint="eastAsia" w:ascii="宋体" w:hAnsi="宋体"/>
          <w:bCs/>
          <w:kern w:val="0"/>
        </w:rPr>
      </w:pPr>
      <w:r>
        <w:rPr>
          <w:rFonts w:hint="eastAsia" w:ascii="宋体" w:hAnsi="宋体"/>
          <w:bCs/>
          <w:kern w:val="0"/>
        </w:rPr>
        <w:t>（2）投标人名单和评标委员会成员名单；</w:t>
      </w:r>
    </w:p>
    <w:p w14:paraId="1981AACA">
      <w:pPr>
        <w:spacing w:line="360" w:lineRule="auto"/>
        <w:ind w:firstLine="480" w:firstLineChars="200"/>
        <w:rPr>
          <w:rFonts w:hint="eastAsia" w:ascii="宋体" w:hAnsi="宋体"/>
          <w:bCs/>
          <w:kern w:val="0"/>
        </w:rPr>
      </w:pPr>
      <w:r>
        <w:rPr>
          <w:rFonts w:hint="eastAsia" w:ascii="宋体" w:hAnsi="宋体"/>
          <w:bCs/>
          <w:kern w:val="0"/>
        </w:rPr>
        <w:t>（3）评标办法和标准；</w:t>
      </w:r>
    </w:p>
    <w:p w14:paraId="1E81D4F0">
      <w:pPr>
        <w:spacing w:line="360" w:lineRule="auto"/>
        <w:ind w:firstLine="480" w:firstLineChars="200"/>
        <w:rPr>
          <w:rFonts w:hint="eastAsia" w:ascii="宋体" w:hAnsi="宋体"/>
          <w:bCs/>
          <w:kern w:val="0"/>
        </w:rPr>
      </w:pPr>
      <w:r>
        <w:rPr>
          <w:rFonts w:hint="eastAsia" w:ascii="宋体" w:hAnsi="宋体"/>
          <w:bCs/>
          <w:kern w:val="0"/>
        </w:rPr>
        <w:t>（4）开标记录和评标情况及说明，包括无效投标人名单及原因；</w:t>
      </w:r>
    </w:p>
    <w:p w14:paraId="75D2AE96">
      <w:pPr>
        <w:spacing w:line="360" w:lineRule="auto"/>
        <w:ind w:firstLine="480" w:firstLineChars="200"/>
        <w:rPr>
          <w:rFonts w:hint="eastAsia" w:ascii="宋体" w:hAnsi="宋体"/>
          <w:bCs/>
          <w:kern w:val="0"/>
        </w:rPr>
      </w:pPr>
      <w:r>
        <w:rPr>
          <w:rFonts w:hint="eastAsia" w:ascii="宋体" w:hAnsi="宋体"/>
          <w:bCs/>
          <w:kern w:val="0"/>
        </w:rPr>
        <w:t>（5）评标结果，确定的中标候选人名单或者经采购人委托直接确定的中标人；</w:t>
      </w:r>
    </w:p>
    <w:p w14:paraId="2E80A18F">
      <w:pPr>
        <w:spacing w:line="360" w:lineRule="auto"/>
        <w:ind w:firstLine="480" w:firstLineChars="200"/>
        <w:rPr>
          <w:rFonts w:hint="eastAsia" w:ascii="宋体" w:hAnsi="宋体"/>
          <w:bCs/>
          <w:kern w:val="0"/>
        </w:rPr>
      </w:pPr>
      <w:r>
        <w:rPr>
          <w:rFonts w:hint="eastAsia" w:ascii="宋体" w:hAnsi="宋体"/>
          <w:bCs/>
          <w:kern w:val="0"/>
        </w:rPr>
        <w:t>（6）其他需要说明的情况，包括评标过程中投标人根据评标委员会要求进行的澄清、说明或者补正，评标委员会成员的更换等。</w:t>
      </w:r>
    </w:p>
    <w:p w14:paraId="17C2C88A">
      <w:pPr>
        <w:pStyle w:val="3"/>
        <w:tabs>
          <w:tab w:val="clear" w:pos="3999"/>
        </w:tabs>
        <w:spacing w:afterLines="0" w:line="360" w:lineRule="auto"/>
        <w:ind w:firstLine="562" w:firstLineChars="200"/>
        <w:jc w:val="both"/>
        <w:rPr>
          <w:rFonts w:hint="eastAsia" w:ascii="黑体" w:hAnsi="黑体" w:eastAsia="黑体" w:cs="宋体"/>
          <w:sz w:val="28"/>
          <w:szCs w:val="28"/>
        </w:rPr>
      </w:pPr>
      <w:bookmarkStart w:id="484" w:name="_Toc216365892"/>
      <w:r>
        <w:rPr>
          <w:rFonts w:hint="eastAsia" w:ascii="黑体" w:hAnsi="黑体" w:eastAsia="黑体" w:cs="宋体"/>
          <w:sz w:val="28"/>
          <w:szCs w:val="28"/>
        </w:rPr>
        <w:t>（五）报告违法行为</w:t>
      </w:r>
      <w:bookmarkEnd w:id="484"/>
    </w:p>
    <w:p w14:paraId="26940497">
      <w:pPr>
        <w:spacing w:line="360" w:lineRule="auto"/>
        <w:ind w:firstLine="480" w:firstLineChars="200"/>
        <w:rPr>
          <w:rFonts w:hint="eastAsia" w:ascii="宋体" w:hAnsi="宋体"/>
          <w:bCs/>
          <w:kern w:val="0"/>
        </w:rPr>
      </w:pPr>
      <w:r>
        <w:rPr>
          <w:rFonts w:hint="eastAsia" w:ascii="宋体" w:hAnsi="宋体"/>
          <w:bCs/>
          <w:kern w:val="0"/>
        </w:rPr>
        <w:t>评标委员会在评标过程中发现投标人有行贿、提供虚假材料或者串通等违法行为时，应当及时向财政部门报告。</w:t>
      </w:r>
    </w:p>
    <w:p w14:paraId="1780E003">
      <w:pPr>
        <w:pStyle w:val="3"/>
        <w:tabs>
          <w:tab w:val="clear" w:pos="3999"/>
        </w:tabs>
        <w:spacing w:afterLines="0" w:line="460" w:lineRule="exact"/>
        <w:rPr>
          <w:rFonts w:hint="eastAsia" w:ascii="黑体" w:hAnsi="黑体" w:eastAsia="黑体"/>
          <w:bCs/>
          <w:sz w:val="32"/>
          <w:szCs w:val="32"/>
        </w:rPr>
      </w:pPr>
      <w:bookmarkStart w:id="485" w:name="_Toc216365893"/>
      <w:r>
        <w:rPr>
          <w:rFonts w:hint="eastAsia" w:ascii="黑体" w:hAnsi="黑体" w:eastAsia="黑体"/>
          <w:bCs/>
          <w:sz w:val="32"/>
          <w:szCs w:val="32"/>
        </w:rPr>
        <w:t>三、评标标准</w:t>
      </w:r>
      <w:bookmarkEnd w:id="485"/>
    </w:p>
    <w:p w14:paraId="461E8DAF">
      <w:pPr>
        <w:pStyle w:val="3"/>
        <w:tabs>
          <w:tab w:val="clear" w:pos="3999"/>
        </w:tabs>
        <w:spacing w:afterLines="0" w:line="360" w:lineRule="auto"/>
        <w:ind w:firstLine="562" w:firstLineChars="200"/>
        <w:jc w:val="both"/>
        <w:rPr>
          <w:rFonts w:hint="eastAsia" w:ascii="黑体" w:hAnsi="黑体" w:eastAsia="黑体" w:cs="宋体"/>
          <w:sz w:val="28"/>
          <w:szCs w:val="28"/>
        </w:rPr>
      </w:pPr>
      <w:bookmarkStart w:id="486" w:name="_Toc216365894"/>
      <w:r>
        <w:rPr>
          <w:rFonts w:hint="eastAsia" w:ascii="黑体" w:hAnsi="黑体" w:eastAsia="黑体" w:cs="宋体"/>
          <w:sz w:val="28"/>
          <w:szCs w:val="28"/>
        </w:rPr>
        <w:t>（一）详细评审（满分1</w:t>
      </w:r>
      <w:r>
        <w:rPr>
          <w:rFonts w:ascii="黑体" w:hAnsi="黑体" w:eastAsia="黑体" w:cs="宋体"/>
          <w:sz w:val="28"/>
          <w:szCs w:val="28"/>
        </w:rPr>
        <w:t>00</w:t>
      </w:r>
      <w:r>
        <w:rPr>
          <w:rFonts w:hint="eastAsia" w:ascii="黑体" w:hAnsi="黑体" w:eastAsia="黑体" w:cs="宋体"/>
          <w:sz w:val="28"/>
          <w:szCs w:val="28"/>
        </w:rPr>
        <w:t>分）</w:t>
      </w:r>
      <w:bookmarkEnd w:id="461"/>
      <w:bookmarkEnd w:id="486"/>
      <w:bookmarkStart w:id="487" w:name="_Toc97580349"/>
      <w:bookmarkStart w:id="488" w:name="_Toc59809735"/>
    </w:p>
    <w:tbl>
      <w:tblPr>
        <w:tblStyle w:val="49"/>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371"/>
      </w:tblGrid>
      <w:tr w14:paraId="14758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926" w:type="dxa"/>
            <w:gridSpan w:val="2"/>
            <w:tcBorders>
              <w:top w:val="single" w:color="auto" w:sz="4" w:space="0"/>
              <w:left w:val="single" w:color="auto" w:sz="4" w:space="0"/>
              <w:bottom w:val="single" w:color="auto" w:sz="4" w:space="0"/>
              <w:right w:val="single" w:color="auto" w:sz="4" w:space="0"/>
            </w:tcBorders>
            <w:vAlign w:val="center"/>
          </w:tcPr>
          <w:p w14:paraId="1D2E4E10">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sz w:val="21"/>
                <w:szCs w:val="21"/>
              </w:rPr>
            </w:pPr>
            <w:bookmarkStart w:id="489" w:name="_Toc139292907"/>
            <w:r>
              <w:rPr>
                <w:rFonts w:hint="eastAsia" w:ascii="宋体" w:hAnsi="宋体" w:cs="宋体"/>
                <w:b/>
                <w:bCs/>
                <w:sz w:val="21"/>
                <w:szCs w:val="21"/>
              </w:rPr>
              <w:t>投标报价F1（满分30分）</w:t>
            </w:r>
          </w:p>
        </w:tc>
      </w:tr>
      <w:tr w14:paraId="3142A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55" w:type="dxa"/>
            <w:tcBorders>
              <w:top w:val="single" w:color="auto" w:sz="4" w:space="0"/>
              <w:left w:val="single" w:color="auto" w:sz="4" w:space="0"/>
              <w:right w:val="single" w:color="auto" w:sz="4" w:space="0"/>
            </w:tcBorders>
            <w:vAlign w:val="center"/>
          </w:tcPr>
          <w:p w14:paraId="7CBBE7B1">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sz w:val="21"/>
                <w:szCs w:val="21"/>
              </w:rPr>
            </w:pPr>
            <w:r>
              <w:rPr>
                <w:rFonts w:hint="eastAsia" w:ascii="宋体" w:hAnsi="宋体" w:cs="宋体"/>
                <w:sz w:val="21"/>
                <w:szCs w:val="21"/>
              </w:rPr>
              <w:t>投标报价</w:t>
            </w:r>
          </w:p>
          <w:p w14:paraId="4FB46E21">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sz w:val="21"/>
                <w:szCs w:val="21"/>
              </w:rPr>
            </w:pPr>
            <w:r>
              <w:rPr>
                <w:rFonts w:hint="eastAsia" w:ascii="宋体" w:hAnsi="宋体" w:cs="宋体"/>
                <w:sz w:val="21"/>
                <w:szCs w:val="21"/>
              </w:rPr>
              <w:t>（30分）</w:t>
            </w:r>
          </w:p>
        </w:tc>
        <w:tc>
          <w:tcPr>
            <w:tcW w:w="7371" w:type="dxa"/>
            <w:tcBorders>
              <w:top w:val="single" w:color="auto" w:sz="4" w:space="0"/>
              <w:left w:val="single" w:color="auto" w:sz="4" w:space="0"/>
              <w:bottom w:val="single" w:color="auto" w:sz="4" w:space="0"/>
              <w:right w:val="single" w:color="auto" w:sz="4" w:space="0"/>
            </w:tcBorders>
            <w:vAlign w:val="center"/>
          </w:tcPr>
          <w:p w14:paraId="57F1D981">
            <w:pPr>
              <w:keepNext w:val="0"/>
              <w:keepLines w:val="0"/>
              <w:pageBreakBefore w:val="0"/>
              <w:kinsoku/>
              <w:wordWrap/>
              <w:overflowPunct/>
              <w:topLinePunct w:val="0"/>
              <w:autoSpaceDE/>
              <w:autoSpaceDN/>
              <w:bidi w:val="0"/>
              <w:adjustRightInd w:val="0"/>
              <w:spacing w:beforeAutospacing="0" w:afterAutospacing="0" w:line="400" w:lineRule="exact"/>
              <w:jc w:val="left"/>
              <w:textAlignment w:val="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投标报价得分=评标基准价/该投标人报价×30</w:t>
            </w:r>
          </w:p>
          <w:p w14:paraId="74320AD1">
            <w:pPr>
              <w:keepNext w:val="0"/>
              <w:keepLines w:val="0"/>
              <w:pageBreakBefore w:val="0"/>
              <w:kinsoku/>
              <w:wordWrap/>
              <w:overflowPunct/>
              <w:topLinePunct w:val="0"/>
              <w:autoSpaceDE/>
              <w:autoSpaceDN/>
              <w:bidi w:val="0"/>
              <w:adjustRightInd w:val="0"/>
              <w:spacing w:beforeAutospacing="0" w:afterAutospacing="0" w:line="400" w:lineRule="exact"/>
              <w:jc w:val="left"/>
              <w:textAlignment w:val="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即：F1=[C/（B1，B2，…，Bn）]×30</w:t>
            </w:r>
          </w:p>
          <w:p w14:paraId="3ED5F5C7">
            <w:pPr>
              <w:keepNext w:val="0"/>
              <w:keepLines w:val="0"/>
              <w:pageBreakBefore w:val="0"/>
              <w:kinsoku/>
              <w:wordWrap/>
              <w:overflowPunct/>
              <w:topLinePunct w:val="0"/>
              <w:autoSpaceDE/>
              <w:autoSpaceDN/>
              <w:bidi w:val="0"/>
              <w:adjustRightInd w:val="0"/>
              <w:spacing w:beforeAutospacing="0" w:afterAutospacing="0" w:line="400" w:lineRule="exact"/>
              <w:textAlignment w:val="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得分公式计算说明：C为评标基准价，即满足招标文件要求且投标价格最低的投标报价；B1，B2，…，Bn为经资格审查、符合性审查合格后的各有效投标报价。因落实政府采购政策进行价格调整的，以调整后的价格计算评标基准价和投标报价。</w:t>
            </w:r>
          </w:p>
        </w:tc>
      </w:tr>
      <w:tr w14:paraId="311D1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926" w:type="dxa"/>
            <w:gridSpan w:val="2"/>
            <w:tcBorders>
              <w:top w:val="single" w:color="auto" w:sz="4" w:space="0"/>
              <w:left w:val="single" w:color="auto" w:sz="4" w:space="0"/>
              <w:right w:val="single" w:color="auto" w:sz="4" w:space="0"/>
            </w:tcBorders>
            <w:vAlign w:val="center"/>
          </w:tcPr>
          <w:p w14:paraId="64BC913F">
            <w:pPr>
              <w:keepNext w:val="0"/>
              <w:keepLines w:val="0"/>
              <w:pageBreakBefore w:val="0"/>
              <w:tabs>
                <w:tab w:val="left" w:pos="6931"/>
              </w:tabs>
              <w:kinsoku/>
              <w:wordWrap/>
              <w:overflowPunct/>
              <w:topLinePunct w:val="0"/>
              <w:autoSpaceDE/>
              <w:autoSpaceDN/>
              <w:bidi w:val="0"/>
              <w:adjustRightInd w:val="0"/>
              <w:spacing w:beforeAutospacing="0" w:afterAutospacing="0" w:line="400" w:lineRule="exact"/>
              <w:jc w:val="left"/>
              <w:textAlignment w:val="auto"/>
              <w:rPr>
                <w:rFonts w:hint="eastAsia" w:ascii="宋体" w:hAnsi="宋体" w:cs="宋体"/>
                <w:sz w:val="21"/>
                <w:szCs w:val="21"/>
              </w:rPr>
            </w:pPr>
            <w:r>
              <w:rPr>
                <w:rFonts w:hint="eastAsia" w:ascii="宋体" w:hAnsi="宋体" w:cs="宋体"/>
                <w:b/>
                <w:sz w:val="21"/>
                <w:szCs w:val="21"/>
              </w:rPr>
              <w:t>商务部分F2（满分</w:t>
            </w:r>
            <w:r>
              <w:rPr>
                <w:rFonts w:hint="eastAsia" w:ascii="宋体" w:hAnsi="宋体" w:cs="宋体"/>
                <w:b/>
                <w:sz w:val="21"/>
                <w:szCs w:val="21"/>
                <w:lang w:val="en-US" w:eastAsia="zh-CN"/>
              </w:rPr>
              <w:t>6</w:t>
            </w:r>
            <w:r>
              <w:rPr>
                <w:rFonts w:hint="eastAsia" w:ascii="宋体" w:hAnsi="宋体" w:cs="宋体"/>
                <w:b/>
                <w:sz w:val="21"/>
                <w:szCs w:val="21"/>
              </w:rPr>
              <w:t>分）</w:t>
            </w:r>
          </w:p>
        </w:tc>
      </w:tr>
      <w:tr w14:paraId="01F5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555" w:type="dxa"/>
            <w:tcBorders>
              <w:top w:val="single" w:color="auto" w:sz="4" w:space="0"/>
              <w:left w:val="single" w:color="auto" w:sz="4" w:space="0"/>
              <w:right w:val="single" w:color="auto" w:sz="4" w:space="0"/>
            </w:tcBorders>
            <w:vAlign w:val="center"/>
          </w:tcPr>
          <w:p w14:paraId="43F8B6F6">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仿宋"/>
                <w:sz w:val="21"/>
                <w:szCs w:val="21"/>
                <w:highlight w:val="none"/>
              </w:rPr>
            </w:pPr>
            <w:bookmarkStart w:id="490" w:name="OLE_LINK22"/>
            <w:r>
              <w:rPr>
                <w:rFonts w:hint="eastAsia" w:ascii="宋体" w:hAnsi="宋体" w:cs="仿宋"/>
                <w:sz w:val="21"/>
                <w:szCs w:val="21"/>
                <w:highlight w:val="none"/>
              </w:rPr>
              <w:t>类似业绩</w:t>
            </w:r>
          </w:p>
          <w:p w14:paraId="378FCADE">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仿宋"/>
                <w:sz w:val="21"/>
                <w:szCs w:val="21"/>
                <w:highlight w:val="none"/>
              </w:rPr>
            </w:pPr>
            <w:r>
              <w:rPr>
                <w:rFonts w:hint="eastAsia" w:ascii="宋体" w:hAnsi="宋体" w:cs="仿宋"/>
                <w:sz w:val="21"/>
                <w:szCs w:val="21"/>
                <w:highlight w:val="none"/>
              </w:rPr>
              <w:t>（</w:t>
            </w:r>
            <w:r>
              <w:rPr>
                <w:rFonts w:hint="eastAsia" w:ascii="宋体" w:hAnsi="宋体" w:cs="仿宋"/>
                <w:sz w:val="21"/>
                <w:szCs w:val="21"/>
                <w:highlight w:val="none"/>
                <w:lang w:val="en-US" w:eastAsia="zh-CN"/>
              </w:rPr>
              <w:t>1</w:t>
            </w:r>
            <w:r>
              <w:rPr>
                <w:rFonts w:hint="eastAsia" w:ascii="宋体" w:hAnsi="宋体" w:cs="仿宋"/>
                <w:sz w:val="21"/>
                <w:szCs w:val="21"/>
                <w:highlight w:val="none"/>
              </w:rPr>
              <w:t>分）</w:t>
            </w:r>
            <w:bookmarkEnd w:id="490"/>
          </w:p>
        </w:tc>
        <w:tc>
          <w:tcPr>
            <w:tcW w:w="7371" w:type="dxa"/>
            <w:tcBorders>
              <w:top w:val="single" w:color="auto" w:sz="4" w:space="0"/>
              <w:left w:val="single" w:color="auto" w:sz="4" w:space="0"/>
              <w:right w:val="single" w:color="auto" w:sz="4" w:space="0"/>
            </w:tcBorders>
            <w:vAlign w:val="center"/>
          </w:tcPr>
          <w:p w14:paraId="78270C62">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highlight w:val="none"/>
              </w:rPr>
            </w:pPr>
            <w:r>
              <w:rPr>
                <w:rFonts w:hint="eastAsia" w:ascii="宋体" w:hAnsi="宋体" w:cs="宋体"/>
                <w:sz w:val="21"/>
                <w:szCs w:val="21"/>
                <w:highlight w:val="none"/>
              </w:rPr>
              <w:t>投标人每提供一个核心产品类似项目业绩得0.5分，满分1分；未提供得0分。</w:t>
            </w:r>
          </w:p>
          <w:p w14:paraId="1ED45762">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highlight w:val="none"/>
              </w:rPr>
            </w:pPr>
            <w:r>
              <w:rPr>
                <w:rFonts w:hint="eastAsia" w:ascii="宋体" w:hAnsi="宋体" w:cs="宋体"/>
                <w:b/>
                <w:bCs/>
                <w:sz w:val="21"/>
                <w:szCs w:val="21"/>
                <w:highlight w:val="none"/>
              </w:rPr>
              <w:t>赋分说明：</w:t>
            </w:r>
            <w:r>
              <w:rPr>
                <w:rFonts w:hint="eastAsia" w:ascii="宋体" w:hAnsi="宋体" w:cs="宋体"/>
                <w:sz w:val="21"/>
                <w:szCs w:val="21"/>
                <w:highlight w:val="none"/>
              </w:rPr>
              <w:t>提供项目合同书的复印件证明，</w:t>
            </w:r>
            <w:r>
              <w:rPr>
                <w:rFonts w:hint="eastAsia" w:asciiTheme="minorEastAsia" w:hAnsiTheme="minorEastAsia" w:eastAsiaTheme="minorEastAsia" w:cstheme="minorEastAsia"/>
                <w:sz w:val="21"/>
                <w:szCs w:val="21"/>
                <w:highlight w:val="none"/>
              </w:rPr>
              <w:t>合同书需含关键页（关键信息包括但不仅限于合同的项目名称、服务内容、甲乙双方签字盖章页）。</w:t>
            </w:r>
          </w:p>
        </w:tc>
      </w:tr>
      <w:tr w14:paraId="7710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555" w:type="dxa"/>
            <w:vMerge w:val="restart"/>
            <w:tcBorders>
              <w:top w:val="single" w:color="auto" w:sz="4" w:space="0"/>
              <w:left w:val="single" w:color="auto" w:sz="4" w:space="0"/>
              <w:right w:val="single" w:color="auto" w:sz="4" w:space="0"/>
            </w:tcBorders>
            <w:vAlign w:val="center"/>
          </w:tcPr>
          <w:p w14:paraId="29A726DE">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sz w:val="21"/>
                <w:szCs w:val="21"/>
                <w:lang w:val="en-US" w:eastAsia="zh-CN"/>
              </w:rPr>
            </w:pPr>
            <w:bookmarkStart w:id="491" w:name="_Hlk225257544"/>
            <w:r>
              <w:rPr>
                <w:rFonts w:hint="eastAsia" w:ascii="宋体" w:hAnsi="宋体"/>
                <w:sz w:val="21"/>
                <w:szCs w:val="21"/>
                <w:lang w:val="en-US" w:eastAsia="zh-CN"/>
              </w:rPr>
              <w:t>售后服务</w:t>
            </w:r>
          </w:p>
          <w:p w14:paraId="1D73551C">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default" w:ascii="宋体" w:hAnsi="宋体" w:eastAsia="宋体"/>
                <w:sz w:val="21"/>
                <w:szCs w:val="21"/>
                <w:lang w:val="en-US" w:eastAsia="zh-CN"/>
              </w:rPr>
            </w:pPr>
            <w:r>
              <w:rPr>
                <w:rFonts w:hint="eastAsia" w:ascii="宋体" w:hAnsi="宋体"/>
                <w:sz w:val="21"/>
                <w:szCs w:val="21"/>
                <w:lang w:val="en-US" w:eastAsia="zh-CN"/>
              </w:rPr>
              <w:t>（5分）</w:t>
            </w:r>
          </w:p>
        </w:tc>
        <w:tc>
          <w:tcPr>
            <w:tcW w:w="7371" w:type="dxa"/>
            <w:tcBorders>
              <w:top w:val="single" w:color="auto" w:sz="4" w:space="0"/>
              <w:left w:val="single" w:color="auto" w:sz="4" w:space="0"/>
              <w:right w:val="single" w:color="auto" w:sz="4" w:space="0"/>
            </w:tcBorders>
            <w:vAlign w:val="center"/>
          </w:tcPr>
          <w:p w14:paraId="6324EE78">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highlight w:val="none"/>
                <w:lang w:val="en-US" w:eastAsia="zh-CN"/>
              </w:rPr>
            </w:pPr>
            <w:r>
              <w:rPr>
                <w:rFonts w:hint="eastAsia" w:ascii="宋体" w:hAnsi="宋体" w:cs="宋体"/>
                <w:b/>
                <w:bCs/>
                <w:sz w:val="21"/>
                <w:szCs w:val="21"/>
                <w:lang w:val="en-US" w:eastAsia="zh-CN"/>
              </w:rPr>
              <w:t>一、服务响应时间（1分）</w:t>
            </w:r>
          </w:p>
          <w:p w14:paraId="0A3C35E5">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1.明确承诺提供7×24小时技术支持热线；故障2小时内响应；在远程支持无法解决，确需现场服务时，保证工程师24小时内到达用户现场，得1分；</w:t>
            </w:r>
          </w:p>
          <w:p w14:paraId="1ECED53D">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rPr>
            </w:pPr>
            <w:r>
              <w:rPr>
                <w:rFonts w:hint="eastAsia" w:ascii="宋体" w:hAnsi="宋体" w:cs="宋体"/>
                <w:sz w:val="21"/>
                <w:szCs w:val="21"/>
                <w:highlight w:val="none"/>
                <w:lang w:val="en-US" w:eastAsia="zh-CN"/>
              </w:rPr>
              <w:t>2.仅笼统提及“7×24小时支持、2小时响应、24小时到场”，但未公布联系方式，或对“响应”、“到场”的定义与范围描述不清，得0.5分。</w:t>
            </w:r>
          </w:p>
        </w:tc>
      </w:tr>
      <w:tr w14:paraId="36F2D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555" w:type="dxa"/>
            <w:vMerge w:val="continue"/>
            <w:tcBorders>
              <w:left w:val="single" w:color="auto" w:sz="4" w:space="0"/>
              <w:right w:val="single" w:color="auto" w:sz="4" w:space="0"/>
            </w:tcBorders>
            <w:vAlign w:val="center"/>
          </w:tcPr>
          <w:p w14:paraId="5F92C1DA">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sz w:val="21"/>
                <w:szCs w:val="21"/>
              </w:rPr>
            </w:pPr>
          </w:p>
        </w:tc>
        <w:tc>
          <w:tcPr>
            <w:tcW w:w="7371" w:type="dxa"/>
            <w:tcBorders>
              <w:top w:val="single" w:color="auto" w:sz="4" w:space="0"/>
              <w:left w:val="single" w:color="auto" w:sz="4" w:space="0"/>
              <w:right w:val="single" w:color="auto" w:sz="4" w:space="0"/>
            </w:tcBorders>
            <w:vAlign w:val="center"/>
          </w:tcPr>
          <w:p w14:paraId="653890A6">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highlight w:val="none"/>
                <w:lang w:val="en-US" w:eastAsia="zh-CN"/>
              </w:rPr>
            </w:pPr>
            <w:r>
              <w:rPr>
                <w:rFonts w:hint="eastAsia" w:ascii="宋体" w:hAnsi="宋体" w:cs="宋体"/>
                <w:b/>
                <w:bCs/>
                <w:sz w:val="21"/>
                <w:szCs w:val="21"/>
                <w:lang w:val="en-US" w:eastAsia="zh-CN"/>
              </w:rPr>
              <w:t>二、</w:t>
            </w:r>
            <w:r>
              <w:rPr>
                <w:rFonts w:hint="eastAsia" w:ascii="宋体" w:hAnsi="宋体" w:cs="宋体"/>
                <w:b/>
                <w:bCs/>
                <w:sz w:val="21"/>
                <w:szCs w:val="21"/>
              </w:rPr>
              <w:t>质保与运维</w:t>
            </w:r>
            <w:r>
              <w:rPr>
                <w:rFonts w:hint="eastAsia" w:ascii="宋体" w:hAnsi="宋体" w:cs="宋体"/>
                <w:b/>
                <w:bCs/>
                <w:sz w:val="21"/>
                <w:szCs w:val="21"/>
                <w:lang w:eastAsia="zh-CN"/>
              </w:rPr>
              <w:t>（</w:t>
            </w:r>
            <w:r>
              <w:rPr>
                <w:rFonts w:hint="eastAsia" w:ascii="宋体" w:hAnsi="宋体" w:cs="宋体"/>
                <w:b/>
                <w:bCs/>
                <w:sz w:val="21"/>
                <w:szCs w:val="21"/>
                <w:lang w:val="en-US" w:eastAsia="zh-CN"/>
              </w:rPr>
              <w:t>2分</w:t>
            </w:r>
            <w:r>
              <w:rPr>
                <w:rFonts w:hint="eastAsia" w:ascii="宋体" w:hAnsi="宋体" w:cs="宋体"/>
                <w:b/>
                <w:bCs/>
                <w:sz w:val="21"/>
                <w:szCs w:val="21"/>
                <w:lang w:eastAsia="zh-CN"/>
              </w:rPr>
              <w:t>）</w:t>
            </w:r>
          </w:p>
          <w:p w14:paraId="36B3B470">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提供满足本项目采购需求质保服务要求，提供详尽的年度巡检与主动维护计划、明确每年巡检次数及具体时间安排建议；列出每次巡检的具体项目清单（如设备清洁、日志检查、性能测试、配置备份、安全漏洞扫描）；详细描述预防性维护措施，得2分；</w:t>
            </w:r>
          </w:p>
          <w:p w14:paraId="31E9E19D">
            <w:pPr>
              <w:keepNext w:val="0"/>
              <w:keepLines w:val="0"/>
              <w:pageBreakBefore w:val="0"/>
              <w:kinsoku/>
              <w:wordWrap/>
              <w:overflowPunct/>
              <w:topLinePunct w:val="0"/>
              <w:autoSpaceDE/>
              <w:autoSpaceDN/>
              <w:bidi w:val="0"/>
              <w:spacing w:beforeAutospacing="0" w:afterAutospacing="0" w:line="400" w:lineRule="exact"/>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2.质保承诺不清晰；提供了年度巡检与维护计划，但内容较为笼统，未明确具体频率、检查项目和交付成果，得1分</w:t>
            </w:r>
          </w:p>
        </w:tc>
      </w:tr>
      <w:bookmarkEnd w:id="491"/>
      <w:tr w14:paraId="4730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55" w:type="dxa"/>
            <w:vMerge w:val="continue"/>
            <w:tcBorders>
              <w:left w:val="single" w:color="auto" w:sz="4" w:space="0"/>
              <w:right w:val="single" w:color="auto" w:sz="4" w:space="0"/>
            </w:tcBorders>
            <w:vAlign w:val="center"/>
          </w:tcPr>
          <w:p w14:paraId="65003DEB">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sz w:val="21"/>
                <w:szCs w:val="21"/>
              </w:rPr>
            </w:pPr>
          </w:p>
        </w:tc>
        <w:tc>
          <w:tcPr>
            <w:tcW w:w="7371" w:type="dxa"/>
            <w:tcBorders>
              <w:top w:val="single" w:color="auto" w:sz="4" w:space="0"/>
              <w:left w:val="single" w:color="auto" w:sz="4" w:space="0"/>
              <w:right w:val="single" w:color="auto" w:sz="4" w:space="0"/>
            </w:tcBorders>
            <w:vAlign w:val="center"/>
          </w:tcPr>
          <w:p w14:paraId="403C5A20">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val="0"/>
                <w:bCs w:val="0"/>
                <w:sz w:val="21"/>
                <w:szCs w:val="21"/>
                <w:lang w:val="en-US" w:eastAsia="zh-CN"/>
              </w:rPr>
            </w:pPr>
            <w:r>
              <w:rPr>
                <w:rFonts w:hint="eastAsia" w:ascii="宋体" w:hAnsi="宋体" w:cs="宋体"/>
                <w:b/>
                <w:bCs/>
                <w:sz w:val="21"/>
                <w:szCs w:val="21"/>
                <w:lang w:val="en-US" w:eastAsia="zh-CN"/>
              </w:rPr>
              <w:t>三、培训方案（2分）</w:t>
            </w:r>
          </w:p>
          <w:p w14:paraId="77EA5439">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1.提供完整的、针对本项目的专项培训方案；培训内容全面覆盖硬件培训、软件培训、维护培训；明确培训对象、培训方式、培训时间与课时、培训教材、考核方式，得2分；</w:t>
            </w:r>
          </w:p>
          <w:p w14:paraId="63FEB70E">
            <w:pPr>
              <w:keepNext w:val="0"/>
              <w:keepLines w:val="0"/>
              <w:pageBreakBefore w:val="0"/>
              <w:kinsoku/>
              <w:wordWrap/>
              <w:overflowPunct/>
              <w:topLinePunct w:val="0"/>
              <w:autoSpaceDE/>
              <w:autoSpaceDN/>
              <w:bidi w:val="0"/>
              <w:spacing w:beforeAutospacing="0" w:afterAutospacing="0" w:line="400" w:lineRule="exact"/>
              <w:textAlignment w:val="auto"/>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2.方案基本完整，但针对性一般；培训方案涵盖了硬件、软件、维护内容，但描述较为概括，未针对本项目设备清单和功能进行定制化阐述；培训安排描述不清晰，得1分。</w:t>
            </w:r>
          </w:p>
        </w:tc>
      </w:tr>
      <w:tr w14:paraId="6B237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926" w:type="dxa"/>
            <w:gridSpan w:val="2"/>
            <w:tcBorders>
              <w:top w:val="single" w:color="auto" w:sz="4" w:space="0"/>
              <w:left w:val="single" w:color="auto" w:sz="4" w:space="0"/>
              <w:bottom w:val="single" w:color="auto" w:sz="4" w:space="0"/>
              <w:right w:val="single" w:color="auto" w:sz="4" w:space="0"/>
            </w:tcBorders>
            <w:vAlign w:val="center"/>
          </w:tcPr>
          <w:p w14:paraId="2DB746CA">
            <w:pPr>
              <w:keepNext w:val="0"/>
              <w:keepLines w:val="0"/>
              <w:pageBreakBefore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cs="仿宋"/>
                <w:b/>
                <w:sz w:val="21"/>
                <w:szCs w:val="21"/>
              </w:rPr>
            </w:pPr>
            <w:r>
              <w:rPr>
                <w:rFonts w:hint="eastAsia" w:ascii="宋体" w:hAnsi="宋体" w:cs="仿宋"/>
                <w:b/>
                <w:sz w:val="21"/>
                <w:szCs w:val="21"/>
              </w:rPr>
              <w:t>技术部分F3(满分</w:t>
            </w:r>
            <w:r>
              <w:rPr>
                <w:rFonts w:hint="eastAsia" w:ascii="宋体" w:hAnsi="宋体" w:cs="仿宋"/>
                <w:b/>
                <w:sz w:val="21"/>
                <w:szCs w:val="21"/>
                <w:lang w:val="en-US" w:eastAsia="zh-CN"/>
              </w:rPr>
              <w:t>64</w:t>
            </w:r>
            <w:r>
              <w:rPr>
                <w:rFonts w:hint="eastAsia" w:ascii="宋体" w:hAnsi="宋体" w:cs="仿宋"/>
                <w:b/>
                <w:sz w:val="21"/>
                <w:szCs w:val="21"/>
              </w:rPr>
              <w:t>分)</w:t>
            </w:r>
          </w:p>
        </w:tc>
      </w:tr>
      <w:tr w14:paraId="4245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555" w:type="dxa"/>
            <w:vMerge w:val="restart"/>
            <w:tcBorders>
              <w:top w:val="single" w:color="auto" w:sz="4" w:space="0"/>
              <w:left w:val="single" w:color="auto" w:sz="4" w:space="0"/>
              <w:right w:val="single" w:color="auto" w:sz="4" w:space="0"/>
            </w:tcBorders>
            <w:vAlign w:val="center"/>
          </w:tcPr>
          <w:p w14:paraId="4AE2986D">
            <w:pPr>
              <w:keepNext w:val="0"/>
              <w:keepLines w:val="0"/>
              <w:pageBreakBefore w:val="0"/>
              <w:kinsoku/>
              <w:wordWrap/>
              <w:overflowPunct/>
              <w:topLinePunct w:val="0"/>
              <w:autoSpaceDE/>
              <w:autoSpaceDN/>
              <w:bidi w:val="0"/>
              <w:adjustRightInd w:val="0"/>
              <w:snapToGrid w:val="0"/>
              <w:spacing w:beforeAutospacing="0" w:afterAutospacing="0" w:line="400" w:lineRule="exact"/>
              <w:jc w:val="center"/>
              <w:textAlignment w:val="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技术指标响应</w:t>
            </w:r>
          </w:p>
          <w:p w14:paraId="71FE6B55">
            <w:pPr>
              <w:keepNext w:val="0"/>
              <w:keepLines w:val="0"/>
              <w:pageBreakBefore w:val="0"/>
              <w:kinsoku/>
              <w:wordWrap/>
              <w:overflowPunct/>
              <w:topLinePunct w:val="0"/>
              <w:autoSpaceDE/>
              <w:autoSpaceDN/>
              <w:bidi w:val="0"/>
              <w:adjustRightInd w:val="0"/>
              <w:snapToGrid w:val="0"/>
              <w:spacing w:beforeAutospacing="0" w:afterAutospacing="0"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37</w:t>
            </w:r>
            <w:r>
              <w:rPr>
                <w:rFonts w:hint="eastAsia" w:ascii="宋体" w:hAnsi="宋体"/>
                <w:color w:val="000000" w:themeColor="text1"/>
                <w:sz w:val="21"/>
                <w:szCs w:val="21"/>
                <w:highlight w:val="none"/>
                <w14:textFill>
                  <w14:solidFill>
                    <w14:schemeClr w14:val="tx1"/>
                  </w14:solidFill>
                </w14:textFill>
              </w:rPr>
              <w:t>分）</w:t>
            </w:r>
          </w:p>
        </w:tc>
        <w:tc>
          <w:tcPr>
            <w:tcW w:w="7371" w:type="dxa"/>
            <w:tcBorders>
              <w:top w:val="single" w:color="auto" w:sz="4" w:space="0"/>
              <w:left w:val="single" w:color="auto" w:sz="4" w:space="0"/>
              <w:bottom w:val="single" w:color="auto" w:sz="4" w:space="0"/>
              <w:right w:val="single" w:color="auto" w:sz="4" w:space="0"/>
            </w:tcBorders>
            <w:vAlign w:val="center"/>
          </w:tcPr>
          <w:p w14:paraId="48687EA2">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b/>
                <w:color w:val="auto"/>
                <w:sz w:val="21"/>
                <w:szCs w:val="21"/>
                <w:highlight w:val="none"/>
              </w:rPr>
            </w:pPr>
            <w:r>
              <w:rPr>
                <w:rFonts w:hint="eastAsia" w:ascii="宋体" w:hAnsi="宋体"/>
                <w:b/>
                <w:color w:val="000000" w:themeColor="text1"/>
                <w:sz w:val="21"/>
                <w:szCs w:val="21"/>
                <w:highlight w:val="none"/>
                <w14:textFill>
                  <w14:solidFill>
                    <w14:schemeClr w14:val="tx1"/>
                  </w14:solidFill>
                </w14:textFill>
              </w:rPr>
              <w:t>1.技术指标响应</w:t>
            </w:r>
            <w:r>
              <w:rPr>
                <w:rFonts w:hint="eastAsia" w:ascii="宋体" w:hAnsi="宋体"/>
                <w:b/>
                <w:color w:val="auto"/>
                <w:sz w:val="21"/>
                <w:szCs w:val="21"/>
                <w:highlight w:val="none"/>
              </w:rPr>
              <w:t>评审（满分</w:t>
            </w:r>
            <w:r>
              <w:rPr>
                <w:rFonts w:hint="eastAsia" w:ascii="宋体" w:hAnsi="宋体"/>
                <w:b/>
                <w:color w:val="auto"/>
                <w:sz w:val="21"/>
                <w:szCs w:val="21"/>
                <w:highlight w:val="none"/>
                <w:lang w:val="en-US" w:eastAsia="zh-CN"/>
              </w:rPr>
              <w:t>36.24</w:t>
            </w:r>
            <w:r>
              <w:rPr>
                <w:rFonts w:hint="eastAsia" w:ascii="宋体" w:hAnsi="宋体"/>
                <w:b/>
                <w:color w:val="auto"/>
                <w:sz w:val="21"/>
                <w:szCs w:val="21"/>
                <w:highlight w:val="none"/>
              </w:rPr>
              <w:t>分）</w:t>
            </w:r>
          </w:p>
          <w:p w14:paraId="6BCEF646">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根据投标文件对招标文件第三章“采购需求”技术指标的响应程度进行评分：</w:t>
            </w:r>
            <w:r>
              <w:rPr>
                <w:rFonts w:hint="eastAsia" w:ascii="宋体" w:hAnsi="宋体"/>
                <w:b/>
                <w:bCs/>
                <w:color w:val="000000" w:themeColor="text1"/>
                <w:sz w:val="21"/>
                <w:szCs w:val="21"/>
                <w:highlight w:val="none"/>
                <w14:textFill>
                  <w14:solidFill>
                    <w14:schemeClr w14:val="tx1"/>
                  </w14:solidFill>
                </w14:textFill>
              </w:rPr>
              <w:t>标注“▲”符号的技术参数</w:t>
            </w:r>
            <w:r>
              <w:rPr>
                <w:rFonts w:hint="eastAsia" w:ascii="宋体" w:hAnsi="宋体"/>
                <w:b/>
                <w:bCs/>
                <w:color w:val="000000" w:themeColor="text1"/>
                <w:sz w:val="21"/>
                <w:szCs w:val="21"/>
                <w:highlight w:val="none"/>
                <w:lang w:val="en-US" w:eastAsia="zh-CN"/>
                <w14:textFill>
                  <w14:solidFill>
                    <w14:schemeClr w14:val="tx1"/>
                  </w14:solidFill>
                </w14:textFill>
              </w:rPr>
              <w:t>7</w:t>
            </w:r>
            <w:r>
              <w:rPr>
                <w:rFonts w:hint="eastAsia" w:ascii="宋体" w:hAnsi="宋体"/>
                <w:b/>
                <w:bCs/>
                <w:color w:val="000000" w:themeColor="text1"/>
                <w:sz w:val="21"/>
                <w:szCs w:val="21"/>
                <w:highlight w:val="none"/>
                <w14:textFill>
                  <w14:solidFill>
                    <w14:schemeClr w14:val="tx1"/>
                  </w14:solidFill>
                </w14:textFill>
              </w:rPr>
              <w:t>条，未标注“</w:t>
            </w:r>
            <w:bookmarkStart w:id="492" w:name="OLE_LINK23"/>
            <w:r>
              <w:rPr>
                <w:rFonts w:hint="eastAsia" w:ascii="宋体" w:hAnsi="宋体"/>
                <w:b/>
                <w:bCs/>
                <w:color w:val="000000" w:themeColor="text1"/>
                <w:sz w:val="21"/>
                <w:szCs w:val="21"/>
                <w:highlight w:val="none"/>
                <w14:textFill>
                  <w14:solidFill>
                    <w14:schemeClr w14:val="tx1"/>
                  </w14:solidFill>
                </w14:textFill>
              </w:rPr>
              <w:t>▲</w:t>
            </w:r>
            <w:bookmarkEnd w:id="492"/>
            <w:r>
              <w:rPr>
                <w:rFonts w:hint="eastAsia" w:ascii="宋体" w:hAnsi="宋体"/>
                <w:b/>
                <w:bCs/>
                <w:color w:val="000000" w:themeColor="text1"/>
                <w:sz w:val="21"/>
                <w:szCs w:val="21"/>
                <w:highlight w:val="none"/>
                <w14:textFill>
                  <w14:solidFill>
                    <w14:schemeClr w14:val="tx1"/>
                  </w14:solidFill>
                </w14:textFill>
              </w:rPr>
              <w:t>”符号的技术参数</w:t>
            </w:r>
            <w:r>
              <w:rPr>
                <w:rFonts w:hint="eastAsia" w:ascii="宋体" w:hAnsi="宋体"/>
                <w:b/>
                <w:bCs/>
                <w:color w:val="000000" w:themeColor="text1"/>
                <w:sz w:val="21"/>
                <w:szCs w:val="21"/>
                <w:highlight w:val="none"/>
                <w:lang w:val="en-US" w:eastAsia="zh-CN"/>
                <w14:textFill>
                  <w14:solidFill>
                    <w14:schemeClr w14:val="tx1"/>
                  </w14:solidFill>
                </w14:textFill>
              </w:rPr>
              <w:t>68</w:t>
            </w:r>
            <w:r>
              <w:rPr>
                <w:rFonts w:hint="eastAsia" w:ascii="宋体" w:hAnsi="宋体"/>
                <w:b/>
                <w:bCs/>
                <w:color w:val="000000" w:themeColor="text1"/>
                <w:sz w:val="21"/>
                <w:szCs w:val="21"/>
                <w:highlight w:val="none"/>
                <w14:textFill>
                  <w14:solidFill>
                    <w14:schemeClr w14:val="tx1"/>
                  </w14:solidFill>
                </w14:textFill>
              </w:rPr>
              <w:t>条。</w:t>
            </w:r>
          </w:p>
          <w:p w14:paraId="7DCACB12">
            <w:pPr>
              <w:pStyle w:val="44"/>
              <w:keepNext w:val="0"/>
              <w:keepLines w:val="0"/>
              <w:pageBreakBefore w:val="0"/>
              <w:widowControl w:val="0"/>
              <w:kinsoku/>
              <w:wordWrap/>
              <w:overflowPunct/>
              <w:topLinePunct w:val="0"/>
              <w:autoSpaceDE/>
              <w:autoSpaceDN/>
              <w:bidi w:val="0"/>
              <w:adjustRightInd w:val="0"/>
              <w:spacing w:before="0" w:beforeAutospacing="0" w:after="0" w:afterAutospacing="0" w:line="400" w:lineRule="exact"/>
              <w:jc w:val="both"/>
              <w:textAlignment w:val="auto"/>
              <w:rPr>
                <w:rFonts w:hint="eastAsia" w:cs="宋体"/>
                <w:b/>
                <w:bCs/>
                <w:sz w:val="21"/>
                <w:szCs w:val="21"/>
                <w:highlight w:val="none"/>
              </w:rPr>
            </w:pPr>
            <w:r>
              <w:rPr>
                <w:rFonts w:hint="eastAsia" w:cs="宋体"/>
                <w:b/>
                <w:bCs/>
                <w:kern w:val="2"/>
                <w:sz w:val="21"/>
                <w:szCs w:val="21"/>
                <w:highlight w:val="none"/>
                <w:lang w:bidi="ar"/>
              </w:rPr>
              <w:t>①重要技术参数评审（共</w:t>
            </w:r>
            <w:r>
              <w:rPr>
                <w:rFonts w:hint="eastAsia" w:cs="宋体"/>
                <w:b/>
                <w:bCs/>
                <w:kern w:val="2"/>
                <w:sz w:val="21"/>
                <w:szCs w:val="21"/>
                <w:highlight w:val="none"/>
                <w:lang w:val="en-US" w:eastAsia="zh-CN" w:bidi="ar"/>
              </w:rPr>
              <w:t>7</w:t>
            </w:r>
            <w:r>
              <w:rPr>
                <w:rFonts w:hint="eastAsia" w:cs="宋体"/>
                <w:b/>
                <w:bCs/>
                <w:kern w:val="2"/>
                <w:sz w:val="21"/>
                <w:szCs w:val="21"/>
                <w:highlight w:val="none"/>
                <w:lang w:bidi="ar"/>
              </w:rPr>
              <w:t>条，满分</w:t>
            </w:r>
            <w:r>
              <w:rPr>
                <w:rFonts w:hint="eastAsia" w:cs="宋体"/>
                <w:b/>
                <w:bCs/>
                <w:kern w:val="2"/>
                <w:sz w:val="21"/>
                <w:szCs w:val="21"/>
                <w:highlight w:val="none"/>
                <w:lang w:val="en-US" w:eastAsia="zh-CN" w:bidi="ar"/>
              </w:rPr>
              <w:t>7</w:t>
            </w:r>
            <w:r>
              <w:rPr>
                <w:rFonts w:hint="eastAsia" w:cs="宋体"/>
                <w:b/>
                <w:bCs/>
                <w:kern w:val="2"/>
                <w:sz w:val="21"/>
                <w:szCs w:val="21"/>
                <w:highlight w:val="none"/>
                <w:lang w:bidi="ar"/>
              </w:rPr>
              <w:t>分）</w:t>
            </w:r>
          </w:p>
          <w:p w14:paraId="67DD6441">
            <w:pPr>
              <w:keepNext w:val="0"/>
              <w:keepLines w:val="0"/>
              <w:pageBreakBefore w:val="0"/>
              <w:kinsoku/>
              <w:wordWrap/>
              <w:overflowPunct/>
              <w:topLinePunct w:val="0"/>
              <w:autoSpaceDE/>
              <w:autoSpaceDN/>
              <w:bidi w:val="0"/>
              <w:adjustRightInd w:val="0"/>
              <w:spacing w:beforeAutospacing="0" w:afterAutospacing="0" w:line="400" w:lineRule="exact"/>
              <w:textAlignment w:val="auto"/>
              <w:rPr>
                <w:rFonts w:hint="eastAsia" w:ascii="宋体" w:hAnsi="宋体" w:cs="宋体"/>
                <w:sz w:val="21"/>
                <w:szCs w:val="21"/>
                <w:highlight w:val="none"/>
              </w:rPr>
            </w:pPr>
            <w:r>
              <w:rPr>
                <w:rFonts w:hint="eastAsia" w:ascii="宋体" w:hAnsi="宋体" w:cs="宋体"/>
                <w:sz w:val="21"/>
                <w:szCs w:val="21"/>
                <w:highlight w:val="none"/>
                <w:lang w:bidi="ar"/>
              </w:rPr>
              <w:t>标注“▲”符号的为重要技术参数，全部满足招标文件要求的得满分</w:t>
            </w:r>
            <w:r>
              <w:rPr>
                <w:rFonts w:hint="eastAsia" w:ascii="宋体" w:hAnsi="宋体" w:cs="宋体"/>
                <w:sz w:val="21"/>
                <w:szCs w:val="21"/>
                <w:highlight w:val="none"/>
                <w:lang w:val="en-US" w:eastAsia="zh-CN" w:bidi="ar"/>
              </w:rPr>
              <w:t>7</w:t>
            </w:r>
            <w:r>
              <w:rPr>
                <w:rFonts w:hint="eastAsia" w:ascii="宋体" w:hAnsi="宋体" w:cs="宋体"/>
                <w:sz w:val="21"/>
                <w:szCs w:val="21"/>
                <w:highlight w:val="none"/>
                <w:lang w:bidi="ar"/>
              </w:rPr>
              <w:t>分，每出现1项技术参数负偏离扣</w:t>
            </w:r>
            <w:r>
              <w:rPr>
                <w:rFonts w:hint="eastAsia" w:ascii="宋体" w:hAnsi="宋体" w:cs="宋体"/>
                <w:sz w:val="21"/>
                <w:szCs w:val="21"/>
                <w:highlight w:val="none"/>
                <w:lang w:val="en-US" w:eastAsia="zh-CN" w:bidi="ar"/>
              </w:rPr>
              <w:t>1</w:t>
            </w:r>
            <w:r>
              <w:rPr>
                <w:rFonts w:hint="eastAsia" w:ascii="宋体" w:hAnsi="宋体" w:cs="宋体"/>
                <w:sz w:val="21"/>
                <w:szCs w:val="21"/>
                <w:highlight w:val="none"/>
                <w:lang w:bidi="ar"/>
              </w:rPr>
              <w:t>分。</w:t>
            </w:r>
          </w:p>
          <w:p w14:paraId="45D67E99">
            <w:pPr>
              <w:pStyle w:val="44"/>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400" w:lineRule="exact"/>
              <w:jc w:val="both"/>
              <w:textAlignment w:val="auto"/>
              <w:rPr>
                <w:rFonts w:hint="eastAsia" w:cs="宋体"/>
                <w:b/>
                <w:bCs/>
                <w:sz w:val="21"/>
                <w:szCs w:val="21"/>
                <w:highlight w:val="none"/>
              </w:rPr>
            </w:pPr>
            <w:r>
              <w:rPr>
                <w:rFonts w:hint="eastAsia" w:ascii="Calibri" w:hAnsi="Times New Roman" w:cs="宋体"/>
                <w:b/>
                <w:bCs/>
                <w:kern w:val="2"/>
                <w:sz w:val="21"/>
                <w:szCs w:val="21"/>
                <w:highlight w:val="none"/>
                <w:lang w:bidi="ar"/>
              </w:rPr>
              <w:t>②</w:t>
            </w:r>
            <w:r>
              <w:rPr>
                <w:rFonts w:hint="eastAsia" w:cs="宋体"/>
                <w:b/>
                <w:bCs/>
                <w:kern w:val="2"/>
                <w:sz w:val="21"/>
                <w:szCs w:val="21"/>
                <w:highlight w:val="none"/>
                <w:lang w:bidi="ar"/>
              </w:rPr>
              <w:t>一般技术参数评审（共</w:t>
            </w:r>
            <w:r>
              <w:rPr>
                <w:rFonts w:hint="eastAsia" w:cs="宋体"/>
                <w:b/>
                <w:bCs/>
                <w:kern w:val="2"/>
                <w:sz w:val="21"/>
                <w:szCs w:val="21"/>
                <w:highlight w:val="none"/>
                <w:lang w:val="en-US" w:eastAsia="zh-CN" w:bidi="ar"/>
              </w:rPr>
              <w:t>68</w:t>
            </w:r>
            <w:r>
              <w:rPr>
                <w:rFonts w:hint="eastAsia" w:cs="宋体"/>
                <w:b/>
                <w:bCs/>
                <w:kern w:val="2"/>
                <w:sz w:val="21"/>
                <w:szCs w:val="21"/>
                <w:highlight w:val="none"/>
                <w:lang w:bidi="ar"/>
              </w:rPr>
              <w:t>条，满分</w:t>
            </w:r>
            <w:r>
              <w:rPr>
                <w:rFonts w:hint="eastAsia" w:cs="宋体"/>
                <w:b/>
                <w:bCs/>
                <w:kern w:val="2"/>
                <w:sz w:val="21"/>
                <w:szCs w:val="21"/>
                <w:highlight w:val="none"/>
                <w:lang w:val="en-US" w:eastAsia="zh-CN" w:bidi="ar"/>
              </w:rPr>
              <w:t>29.24</w:t>
            </w:r>
            <w:r>
              <w:rPr>
                <w:rFonts w:hint="eastAsia" w:cs="宋体"/>
                <w:b/>
                <w:bCs/>
                <w:kern w:val="2"/>
                <w:sz w:val="21"/>
                <w:szCs w:val="21"/>
                <w:highlight w:val="none"/>
                <w:lang w:bidi="ar"/>
              </w:rPr>
              <w:t>分）</w:t>
            </w:r>
          </w:p>
          <w:p w14:paraId="50C3961D">
            <w:pPr>
              <w:keepNext w:val="0"/>
              <w:keepLines w:val="0"/>
              <w:pageBreakBefore w:val="0"/>
              <w:widowControl/>
              <w:kinsoku/>
              <w:wordWrap/>
              <w:overflowPunct/>
              <w:topLinePunct w:val="0"/>
              <w:autoSpaceDE/>
              <w:autoSpaceDN/>
              <w:bidi w:val="0"/>
              <w:spacing w:beforeAutospacing="0" w:afterAutospacing="0" w:line="400" w:lineRule="exact"/>
              <w:jc w:val="left"/>
              <w:textAlignment w:val="auto"/>
              <w:rPr>
                <w:rFonts w:hint="eastAsia" w:ascii="宋体" w:hAnsi="宋体"/>
                <w:color w:val="000000" w:themeColor="text1"/>
                <w:sz w:val="21"/>
                <w:szCs w:val="21"/>
                <w:highlight w:val="none"/>
                <w14:textFill>
                  <w14:solidFill>
                    <w14:schemeClr w14:val="tx1"/>
                  </w14:solidFill>
                </w14:textFill>
              </w:rPr>
            </w:pPr>
            <w:r>
              <w:rPr>
                <w:rFonts w:hint="eastAsia" w:ascii="宋体" w:hAnsi="宋体"/>
                <w:sz w:val="21"/>
                <w:szCs w:val="21"/>
                <w:highlight w:val="none"/>
                <w:lang w:bidi="ar"/>
              </w:rPr>
              <w:t>未标注“</w:t>
            </w:r>
            <w:r>
              <w:rPr>
                <w:rFonts w:hint="eastAsia" w:ascii="宋体" w:hAnsi="宋体"/>
                <w:b/>
                <w:bCs/>
                <w:sz w:val="21"/>
                <w:szCs w:val="21"/>
                <w:highlight w:val="none"/>
                <w:lang w:bidi="ar"/>
              </w:rPr>
              <w:t>▲</w:t>
            </w:r>
            <w:r>
              <w:rPr>
                <w:rFonts w:hint="eastAsia" w:ascii="宋体" w:hAnsi="宋体"/>
                <w:sz w:val="21"/>
                <w:szCs w:val="21"/>
                <w:highlight w:val="none"/>
                <w:lang w:bidi="ar"/>
              </w:rPr>
              <w:t>”符号参数为一般技术参数，全部满足招标文件要求的得满分</w:t>
            </w:r>
            <w:r>
              <w:rPr>
                <w:rFonts w:hint="eastAsia" w:ascii="宋体" w:hAnsi="宋体"/>
                <w:sz w:val="21"/>
                <w:szCs w:val="21"/>
                <w:highlight w:val="none"/>
                <w:lang w:val="en-US" w:eastAsia="zh-CN" w:bidi="ar"/>
              </w:rPr>
              <w:t>29.24</w:t>
            </w:r>
            <w:r>
              <w:rPr>
                <w:rFonts w:hint="eastAsia" w:ascii="宋体" w:hAnsi="宋体"/>
                <w:sz w:val="21"/>
                <w:szCs w:val="21"/>
                <w:highlight w:val="none"/>
                <w:lang w:bidi="ar"/>
              </w:rPr>
              <w:t>分，每出现1项技术参数负偏离的扣0.</w:t>
            </w:r>
            <w:r>
              <w:rPr>
                <w:rFonts w:hint="eastAsia" w:ascii="宋体" w:hAnsi="宋体"/>
                <w:sz w:val="21"/>
                <w:szCs w:val="21"/>
                <w:highlight w:val="none"/>
                <w:lang w:val="en-US" w:eastAsia="zh-CN" w:bidi="ar"/>
              </w:rPr>
              <w:t>43</w:t>
            </w:r>
            <w:r>
              <w:rPr>
                <w:rFonts w:hint="eastAsia" w:ascii="宋体" w:hAnsi="宋体"/>
                <w:sz w:val="21"/>
                <w:szCs w:val="21"/>
                <w:highlight w:val="none"/>
                <w:lang w:bidi="ar"/>
              </w:rPr>
              <w:t>分。</w:t>
            </w:r>
          </w:p>
          <w:p w14:paraId="7A62AAE7">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b/>
                <w:sz w:val="21"/>
                <w:szCs w:val="21"/>
                <w:highlight w:val="none"/>
              </w:rPr>
            </w:pPr>
            <w:r>
              <w:rPr>
                <w:rFonts w:hint="eastAsia" w:ascii="宋体" w:hAnsi="宋体"/>
                <w:b/>
                <w:sz w:val="21"/>
                <w:szCs w:val="21"/>
                <w:highlight w:val="none"/>
              </w:rPr>
              <w:t>赋分说明：</w:t>
            </w:r>
          </w:p>
          <w:p w14:paraId="36434DFD">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b/>
                <w:sz w:val="21"/>
                <w:szCs w:val="21"/>
                <w:highlight w:val="none"/>
              </w:rPr>
            </w:pPr>
            <w:r>
              <w:rPr>
                <w:rFonts w:hint="eastAsia" w:ascii="宋体" w:hAnsi="宋体"/>
                <w:b/>
                <w:sz w:val="21"/>
                <w:szCs w:val="21"/>
                <w:highlight w:val="none"/>
              </w:rPr>
              <w:t>1.须按《技术指标响应表》填表要求填写，未按要求填写的视为负偏离；</w:t>
            </w:r>
          </w:p>
          <w:p w14:paraId="4F13B64E">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sz w:val="21"/>
                <w:szCs w:val="21"/>
                <w:highlight w:val="none"/>
              </w:rPr>
              <w:t>2.按第三章“采购需求”技术参数</w:t>
            </w:r>
            <w:r>
              <w:rPr>
                <w:rFonts w:hint="eastAsia" w:ascii="宋体" w:hAnsi="宋体" w:cs="宋体"/>
                <w:b/>
                <w:bCs/>
                <w:color w:val="000000" w:themeColor="text1"/>
                <w:sz w:val="21"/>
                <w:szCs w:val="21"/>
                <w:highlight w:val="none"/>
                <w14:textFill>
                  <w14:solidFill>
                    <w14:schemeClr w14:val="tx1"/>
                  </w14:solidFill>
                </w14:textFill>
              </w:rPr>
              <w:t>要求提供有效证明材料，未特别要求证明材料的可提供相关承诺函或技术白皮书加盖制造商公章等佐证材料</w:t>
            </w:r>
            <w:r>
              <w:rPr>
                <w:rFonts w:hint="eastAsia" w:ascii="宋体" w:hAnsi="宋体"/>
                <w:b/>
                <w:sz w:val="21"/>
                <w:szCs w:val="21"/>
                <w:highlight w:val="none"/>
              </w:rPr>
              <w:t>，未按要求提供的，按零分计算。</w:t>
            </w:r>
          </w:p>
        </w:tc>
      </w:tr>
      <w:tr w14:paraId="5689D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555" w:type="dxa"/>
            <w:vMerge w:val="continue"/>
            <w:tcBorders>
              <w:left w:val="single" w:color="auto" w:sz="4" w:space="0"/>
              <w:right w:val="single" w:color="auto" w:sz="4" w:space="0"/>
            </w:tcBorders>
            <w:vAlign w:val="center"/>
          </w:tcPr>
          <w:p w14:paraId="0645ED08">
            <w:pPr>
              <w:keepNext w:val="0"/>
              <w:keepLines w:val="0"/>
              <w:pageBreakBefore w:val="0"/>
              <w:kinsoku/>
              <w:wordWrap/>
              <w:overflowPunct/>
              <w:topLinePunct w:val="0"/>
              <w:autoSpaceDE/>
              <w:autoSpaceDN/>
              <w:bidi w:val="0"/>
              <w:adjustRightInd w:val="0"/>
              <w:snapToGrid w:val="0"/>
              <w:spacing w:beforeAutospacing="0" w:afterAutospacing="0" w:line="400" w:lineRule="exact"/>
              <w:jc w:val="center"/>
              <w:textAlignment w:val="auto"/>
              <w:rPr>
                <w:rFonts w:hint="eastAsia" w:ascii="宋体" w:hAnsi="宋体"/>
                <w:color w:val="000000" w:themeColor="text1"/>
                <w:sz w:val="21"/>
                <w:szCs w:val="21"/>
                <w14:textFill>
                  <w14:solidFill>
                    <w14:schemeClr w14:val="tx1"/>
                  </w14:solidFill>
                </w14:textFill>
              </w:rPr>
            </w:pPr>
          </w:p>
        </w:tc>
        <w:tc>
          <w:tcPr>
            <w:tcW w:w="7371" w:type="dxa"/>
            <w:tcBorders>
              <w:top w:val="single" w:color="auto" w:sz="4" w:space="0"/>
              <w:left w:val="single" w:color="auto" w:sz="4" w:space="0"/>
              <w:bottom w:val="single" w:color="auto" w:sz="4" w:space="0"/>
              <w:right w:val="single" w:color="auto" w:sz="4" w:space="0"/>
            </w:tcBorders>
            <w:vAlign w:val="center"/>
          </w:tcPr>
          <w:p w14:paraId="43A2F9EA">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sz w:val="21"/>
                <w:szCs w:val="21"/>
              </w:rPr>
            </w:pPr>
            <w:r>
              <w:rPr>
                <w:rFonts w:hint="eastAsia" w:ascii="宋体" w:hAnsi="宋体" w:cs="宋体"/>
                <w:b/>
                <w:sz w:val="21"/>
                <w:szCs w:val="21"/>
                <w:lang w:bidi="ar"/>
              </w:rPr>
              <w:t>2.节能、环保产品评审（满分0.</w:t>
            </w:r>
            <w:r>
              <w:rPr>
                <w:rFonts w:hint="eastAsia" w:ascii="宋体" w:hAnsi="宋体" w:cs="宋体"/>
                <w:b/>
                <w:sz w:val="21"/>
                <w:szCs w:val="21"/>
                <w:lang w:val="en-US" w:eastAsia="zh-CN" w:bidi="ar"/>
              </w:rPr>
              <w:t>76</w:t>
            </w:r>
            <w:r>
              <w:rPr>
                <w:rFonts w:hint="eastAsia" w:ascii="宋体" w:hAnsi="宋体" w:cs="宋体"/>
                <w:b/>
                <w:sz w:val="21"/>
                <w:szCs w:val="21"/>
                <w:lang w:bidi="ar"/>
              </w:rPr>
              <w:t>分）</w:t>
            </w:r>
          </w:p>
          <w:p w14:paraId="5E5A4DB6">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rPr>
            </w:pPr>
            <w:r>
              <w:rPr>
                <w:rFonts w:hint="eastAsia" w:ascii="宋体" w:hAnsi="宋体" w:cs="宋体"/>
                <w:sz w:val="21"/>
                <w:szCs w:val="21"/>
              </w:rPr>
              <w:t>①投标产品认定为节能产品（政府强制采购节能产品以外的节能产品）的，每项得0.</w:t>
            </w:r>
            <w:r>
              <w:rPr>
                <w:rFonts w:hint="eastAsia" w:ascii="宋体" w:hAnsi="宋体" w:cs="宋体"/>
                <w:sz w:val="21"/>
                <w:szCs w:val="21"/>
                <w:lang w:val="en-US" w:eastAsia="zh-CN"/>
              </w:rPr>
              <w:t>38</w:t>
            </w:r>
            <w:r>
              <w:rPr>
                <w:rFonts w:hint="eastAsia" w:ascii="宋体" w:hAnsi="宋体" w:cs="宋体"/>
                <w:sz w:val="21"/>
                <w:szCs w:val="21"/>
              </w:rPr>
              <w:t>分，未提供得0分；</w:t>
            </w:r>
          </w:p>
          <w:p w14:paraId="496438CD">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rPr>
            </w:pPr>
            <w:r>
              <w:rPr>
                <w:rFonts w:hint="eastAsia" w:ascii="宋体" w:hAnsi="宋体" w:cs="宋体"/>
                <w:sz w:val="21"/>
                <w:szCs w:val="21"/>
              </w:rPr>
              <w:t>②投标产品认定为环保产品的，每项得0.</w:t>
            </w:r>
            <w:r>
              <w:rPr>
                <w:rFonts w:hint="eastAsia" w:ascii="宋体" w:hAnsi="宋体" w:cs="宋体"/>
                <w:sz w:val="21"/>
                <w:szCs w:val="21"/>
                <w:lang w:val="en-US" w:eastAsia="zh-CN"/>
              </w:rPr>
              <w:t>38</w:t>
            </w:r>
            <w:r>
              <w:rPr>
                <w:rFonts w:hint="eastAsia" w:ascii="宋体" w:hAnsi="宋体" w:cs="宋体"/>
                <w:sz w:val="21"/>
                <w:szCs w:val="21"/>
              </w:rPr>
              <w:t>分，未提供得0分。</w:t>
            </w:r>
          </w:p>
          <w:p w14:paraId="24E3E9B7">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b/>
                <w:color w:val="000000" w:themeColor="text1"/>
                <w:sz w:val="21"/>
                <w:szCs w:val="21"/>
                <w14:textFill>
                  <w14:solidFill>
                    <w14:schemeClr w14:val="tx1"/>
                  </w14:solidFill>
                </w14:textFill>
              </w:rPr>
            </w:pPr>
            <w:r>
              <w:rPr>
                <w:rFonts w:hint="eastAsia" w:ascii="宋体" w:hAnsi="宋体" w:cs="宋体"/>
                <w:b/>
                <w:bCs/>
                <w:sz w:val="21"/>
                <w:szCs w:val="21"/>
              </w:rPr>
              <w:t>赋分说明：</w:t>
            </w:r>
            <w:r>
              <w:rPr>
                <w:rFonts w:hint="eastAsia" w:ascii="宋体" w:hAnsi="宋体" w:cs="宋体"/>
                <w:sz w:val="21"/>
                <w:szCs w:val="21"/>
              </w:rPr>
              <w:t>提供所投标产品国家确定的认证机构出具的、处于有效期之内的节能产品、环境标志产品认证证书，否则不予认可。</w:t>
            </w:r>
          </w:p>
        </w:tc>
      </w:tr>
      <w:tr w14:paraId="0A43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1555" w:type="dxa"/>
            <w:vMerge w:val="restart"/>
            <w:tcBorders>
              <w:top w:val="single" w:color="auto" w:sz="4" w:space="0"/>
              <w:left w:val="single" w:color="auto" w:sz="4" w:space="0"/>
              <w:right w:val="single" w:color="auto" w:sz="4" w:space="0"/>
            </w:tcBorders>
            <w:vAlign w:val="center"/>
          </w:tcPr>
          <w:p w14:paraId="64EB0690">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sz w:val="21"/>
                <w:szCs w:val="21"/>
              </w:rPr>
            </w:pPr>
            <w:r>
              <w:rPr>
                <w:rFonts w:hint="eastAsia" w:ascii="宋体" w:hAnsi="宋体" w:cs="宋体"/>
                <w:sz w:val="21"/>
                <w:szCs w:val="21"/>
                <w:lang w:val="en-US" w:eastAsia="zh-CN"/>
              </w:rPr>
              <w:t>项目实施方案</w:t>
            </w:r>
            <w:r>
              <w:rPr>
                <w:rFonts w:hint="eastAsia" w:ascii="宋体" w:hAnsi="宋体" w:cs="宋体"/>
                <w:sz w:val="21"/>
                <w:szCs w:val="21"/>
              </w:rPr>
              <w:t>（</w:t>
            </w:r>
            <w:r>
              <w:rPr>
                <w:rFonts w:hint="eastAsia" w:ascii="宋体" w:hAnsi="宋体" w:cs="宋体"/>
                <w:sz w:val="21"/>
                <w:szCs w:val="21"/>
                <w:lang w:val="en-US" w:eastAsia="zh-CN"/>
              </w:rPr>
              <w:t>10</w:t>
            </w:r>
            <w:r>
              <w:rPr>
                <w:rFonts w:hint="eastAsia" w:ascii="宋体" w:hAnsi="宋体" w:cs="宋体"/>
                <w:sz w:val="21"/>
                <w:szCs w:val="21"/>
              </w:rPr>
              <w:t>分）</w:t>
            </w:r>
          </w:p>
        </w:tc>
        <w:tc>
          <w:tcPr>
            <w:tcW w:w="7371" w:type="dxa"/>
            <w:tcBorders>
              <w:top w:val="single" w:color="auto" w:sz="4" w:space="0"/>
              <w:left w:val="single" w:color="auto" w:sz="4" w:space="0"/>
              <w:bottom w:val="single" w:color="auto" w:sz="4" w:space="0"/>
              <w:right w:val="single" w:color="auto" w:sz="4" w:space="0"/>
            </w:tcBorders>
            <w:vAlign w:val="center"/>
          </w:tcPr>
          <w:p w14:paraId="097073BF">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rPr>
            </w:pPr>
            <w:r>
              <w:rPr>
                <w:rFonts w:hint="eastAsia" w:ascii="宋体" w:hAnsi="宋体" w:cs="宋体"/>
                <w:b/>
                <w:bCs/>
                <w:sz w:val="21"/>
                <w:szCs w:val="21"/>
                <w:lang w:val="en-US" w:eastAsia="zh-CN"/>
              </w:rPr>
              <w:t>一、</w:t>
            </w:r>
            <w:r>
              <w:rPr>
                <w:rFonts w:hint="eastAsia" w:ascii="宋体" w:hAnsi="宋体" w:cs="宋体"/>
                <w:b/>
                <w:bCs/>
                <w:sz w:val="21"/>
                <w:szCs w:val="21"/>
              </w:rPr>
              <w:t>供货组织安装调试、测试方案（3分）</w:t>
            </w:r>
          </w:p>
          <w:p w14:paraId="580B1DF8">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sz w:val="21"/>
                <w:szCs w:val="21"/>
                <w:lang w:val="en-US" w:eastAsia="zh-CN"/>
              </w:rPr>
              <w:t>1.提供详细的包装标准、仓储管理方案、物流承运商选择的具体标准；明确的到货验收流程，包含数量清点、外观检查、单据核对及问题处理机制；明确拟派项目经理及技术人员的相关专业资质、特种作业证书；提供主要安装工具与检测仪器清单；详述设备安装、系统调试、功能测试、联调联试的具体标准、步骤、记录表单及验收节点；方案与项目特点紧密结合，流程清晰，责任明确，可操作性强，得3分。</w:t>
            </w:r>
          </w:p>
          <w:p w14:paraId="29A658E1">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sz w:val="21"/>
                <w:szCs w:val="21"/>
                <w:lang w:val="en-US" w:eastAsia="zh-CN"/>
              </w:rPr>
              <w:t>2.涵盖供货、安装调试等主要内容，但包装、物流或验收流程描述不够具体；提及人员资质和调试流程，但未明确具体资质要求或工具清单，调试步骤描述较为概括；方案具有一定针对性，但细节和可操作性一般，得2分；</w:t>
            </w:r>
          </w:p>
          <w:p w14:paraId="38A4C0CA">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rPr>
            </w:pPr>
            <w:r>
              <w:rPr>
                <w:rFonts w:hint="eastAsia" w:ascii="宋体" w:hAnsi="宋体" w:cs="宋体"/>
                <w:sz w:val="21"/>
                <w:szCs w:val="21"/>
                <w:lang w:val="en-US" w:eastAsia="zh-CN"/>
              </w:rPr>
              <w:t>3.内容存在重大缺项；方案内容空洞、流于形式，仅作概念性陈述，无具体实施细节；方案与本项目实际需求关联性弱，不具备可操作性，得1分。</w:t>
            </w:r>
          </w:p>
        </w:tc>
      </w:tr>
      <w:tr w14:paraId="71DA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555" w:type="dxa"/>
            <w:vMerge w:val="continue"/>
            <w:tcBorders>
              <w:left w:val="single" w:color="auto" w:sz="4" w:space="0"/>
              <w:right w:val="single" w:color="auto" w:sz="4" w:space="0"/>
            </w:tcBorders>
            <w:vAlign w:val="center"/>
          </w:tcPr>
          <w:p w14:paraId="19168A34">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sz w:val="21"/>
                <w:szCs w:val="21"/>
              </w:rPr>
            </w:pPr>
          </w:p>
        </w:tc>
        <w:tc>
          <w:tcPr>
            <w:tcW w:w="7371" w:type="dxa"/>
            <w:tcBorders>
              <w:top w:val="single" w:color="auto" w:sz="4" w:space="0"/>
              <w:left w:val="single" w:color="auto" w:sz="4" w:space="0"/>
              <w:bottom w:val="single" w:color="auto" w:sz="4" w:space="0"/>
              <w:right w:val="single" w:color="auto" w:sz="4" w:space="0"/>
            </w:tcBorders>
            <w:vAlign w:val="center"/>
          </w:tcPr>
          <w:p w14:paraId="2EB9D219">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b/>
                <w:bCs/>
                <w:sz w:val="21"/>
                <w:szCs w:val="21"/>
              </w:rPr>
              <w:t>二、进度计划（</w:t>
            </w:r>
            <w:r>
              <w:rPr>
                <w:rFonts w:hint="eastAsia" w:ascii="宋体" w:hAnsi="宋体" w:cs="宋体"/>
                <w:b/>
                <w:bCs/>
                <w:sz w:val="21"/>
                <w:szCs w:val="21"/>
                <w:lang w:val="en-US" w:eastAsia="zh-CN"/>
              </w:rPr>
              <w:t>3</w:t>
            </w:r>
            <w:r>
              <w:rPr>
                <w:rFonts w:hint="eastAsia" w:ascii="宋体" w:hAnsi="宋体" w:cs="宋体"/>
                <w:b/>
                <w:bCs/>
                <w:sz w:val="21"/>
                <w:szCs w:val="21"/>
              </w:rPr>
              <w:t>分）</w:t>
            </w:r>
          </w:p>
          <w:p w14:paraId="281ACDC5">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sz w:val="21"/>
                <w:szCs w:val="21"/>
                <w:lang w:val="en-US" w:eastAsia="zh-CN"/>
              </w:rPr>
              <w:t>1.提供包含全部关键节点（设计确认、生产、厂验、发货、到货、安装、调试、试运行、最终验收）的详细项目甘特图或网络计划图，能清晰体现工作逻辑关系；对各阶段工期估算合理，特别是对安装、调试等核心环节有基于工作量、人员配置的详细时间分解，工序衔接紧密；充分考虑机房场地条件、与其它系统的交叉施工界面，并制定了具体的协同作业计划与风险预案，得3分；</w:t>
            </w:r>
          </w:p>
          <w:p w14:paraId="2693CDB1">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sz w:val="21"/>
                <w:szCs w:val="21"/>
                <w:lang w:val="en-US" w:eastAsia="zh-CN"/>
              </w:rPr>
              <w:t>2.提供了项目计划图，但关键节点有缺失或逻辑关系不清晰；有总体时间估算，但对安装调试等关键阶段的时间安排较笼统，工序衔接考虑不充分；提及了交叉施工或保障措施，但内容较为简单，预案针对性不强，得2分；</w:t>
            </w:r>
          </w:p>
          <w:p w14:paraId="6AD818CD">
            <w:pPr>
              <w:keepNext w:val="0"/>
              <w:keepLines w:val="0"/>
              <w:pageBreakBefore w:val="0"/>
              <w:kinsoku/>
              <w:wordWrap/>
              <w:overflowPunct/>
              <w:topLinePunct w:val="0"/>
              <w:autoSpaceDE/>
              <w:autoSpaceDN/>
              <w:bidi w:val="0"/>
              <w:spacing w:beforeAutospacing="0" w:afterAutospacing="0" w:line="400" w:lineRule="exact"/>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3.未提供图表化进度计划，或计划严重缺失关键阶段；工期估算明显不合理，或未考虑工序衔接； 未考虑交叉施工等客观因素，无任何保障措施或预案，得1分。</w:t>
            </w:r>
          </w:p>
        </w:tc>
      </w:tr>
      <w:tr w14:paraId="00C66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1555" w:type="dxa"/>
            <w:vMerge w:val="continue"/>
            <w:tcBorders>
              <w:left w:val="single" w:color="auto" w:sz="4" w:space="0"/>
              <w:right w:val="single" w:color="auto" w:sz="4" w:space="0"/>
            </w:tcBorders>
            <w:vAlign w:val="center"/>
          </w:tcPr>
          <w:p w14:paraId="38A9CA71">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sz w:val="21"/>
                <w:szCs w:val="21"/>
              </w:rPr>
            </w:pPr>
          </w:p>
        </w:tc>
        <w:tc>
          <w:tcPr>
            <w:tcW w:w="7371" w:type="dxa"/>
            <w:tcBorders>
              <w:top w:val="single" w:color="auto" w:sz="4" w:space="0"/>
              <w:left w:val="single" w:color="auto" w:sz="4" w:space="0"/>
              <w:bottom w:val="single" w:color="auto" w:sz="4" w:space="0"/>
              <w:right w:val="single" w:color="auto" w:sz="4" w:space="0"/>
            </w:tcBorders>
            <w:vAlign w:val="center"/>
          </w:tcPr>
          <w:p w14:paraId="425EB4DE">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b/>
                <w:bCs/>
                <w:sz w:val="21"/>
                <w:szCs w:val="21"/>
                <w:lang w:val="en-US" w:eastAsia="zh-CN"/>
              </w:rPr>
              <w:t>三、技术方案（4分）</w:t>
            </w:r>
          </w:p>
          <w:p w14:paraId="20C925B5">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sz w:val="21"/>
                <w:szCs w:val="21"/>
                <w:lang w:val="en-US" w:eastAsia="zh-CN"/>
              </w:rPr>
              <w:t>1.设计科学、先进，网络拓扑、设备选型与配置完全响应招标要求，技术路线清晰，安全性与可靠性设计突出；提供的机房设备布局图、走线图（强电、弱电、空调气流）专业、规范，空间计算合理，充分考虑散热、维护与未来扩展需求；与“煤矿智能化数据应用管控平台”的对接目标、接口方式、数据内容、协议、安全措施及联调测试方案描述详尽，可实施性强；全面识别技术难点与实施风险，并提出了具体、有效的应对措施，得4分；</w:t>
            </w:r>
          </w:p>
          <w:p w14:paraId="5DA76A3E">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sz w:val="21"/>
                <w:szCs w:val="21"/>
                <w:lang w:val="en-US" w:eastAsia="zh-CN"/>
              </w:rPr>
              <w:t>2.系统集成方案合理，能基本满足招标功能要求，技术路线正确但亮点不突出；机房布局图基本完整，但部分细节不清晰；有平台对接方案，但描述较为概括，部分技术细节未明确，提及风险，但控制措施较常规，得3分；</w:t>
            </w:r>
          </w:p>
          <w:p w14:paraId="31C7ACF4">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sz w:val="21"/>
                <w:szCs w:val="21"/>
                <w:lang w:val="en-US" w:eastAsia="zh-CN"/>
              </w:rPr>
            </w:pPr>
            <w:r>
              <w:rPr>
                <w:rFonts w:hint="eastAsia" w:ascii="宋体" w:hAnsi="宋体" w:cs="宋体"/>
                <w:sz w:val="21"/>
                <w:szCs w:val="21"/>
                <w:lang w:val="en-US" w:eastAsia="zh-CN"/>
              </w:rPr>
              <w:t>3.系统集成方案仅满足最低功能要求，设计较为常规，技术细节描述不足；机房布局规划过于简单，仅体现设备摆放；平台对接方案较笼统，仅提出概念性对接思路，缺乏可操作的具体步骤；未系统考虑风险控制，得2分；</w:t>
            </w:r>
          </w:p>
          <w:p w14:paraId="51CE4801">
            <w:pPr>
              <w:keepNext w:val="0"/>
              <w:keepLines w:val="0"/>
              <w:pageBreakBefore w:val="0"/>
              <w:kinsoku/>
              <w:wordWrap/>
              <w:overflowPunct/>
              <w:topLinePunct w:val="0"/>
              <w:autoSpaceDE/>
              <w:autoSpaceDN/>
              <w:bidi w:val="0"/>
              <w:spacing w:beforeAutospacing="0" w:afterAutospacing="0" w:line="400" w:lineRule="exact"/>
              <w:textAlignment w:val="auto"/>
              <w:rPr>
                <w:rFonts w:hint="default" w:ascii="宋体" w:hAnsi="宋体" w:cs="宋体"/>
                <w:sz w:val="21"/>
                <w:szCs w:val="21"/>
                <w:lang w:val="en-US" w:eastAsia="zh-CN"/>
              </w:rPr>
            </w:pPr>
            <w:r>
              <w:rPr>
                <w:rFonts w:hint="eastAsia" w:ascii="宋体" w:hAnsi="宋体" w:cs="宋体"/>
                <w:sz w:val="21"/>
                <w:szCs w:val="21"/>
                <w:lang w:val="en-US" w:eastAsia="zh-CN"/>
              </w:rPr>
              <w:t>4.技术方案存在重大缺项，或明显未响应招标文件关键技术要求；方案简单、拼凑，与本项目实际需求关联性不强；未提供机房布局图或对接方案，得1分。</w:t>
            </w:r>
          </w:p>
        </w:tc>
      </w:tr>
      <w:tr w14:paraId="5659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55" w:type="dxa"/>
            <w:vMerge w:val="restart"/>
            <w:tcBorders>
              <w:top w:val="single" w:color="auto" w:sz="4" w:space="0"/>
              <w:left w:val="single" w:color="auto" w:sz="4" w:space="0"/>
              <w:right w:val="single" w:color="auto" w:sz="4" w:space="0"/>
            </w:tcBorders>
            <w:vAlign w:val="center"/>
          </w:tcPr>
          <w:p w14:paraId="51268294">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现场演示</w:t>
            </w:r>
          </w:p>
          <w:p w14:paraId="442A747E">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（17分）</w:t>
            </w:r>
          </w:p>
        </w:tc>
        <w:tc>
          <w:tcPr>
            <w:tcW w:w="7371" w:type="dxa"/>
            <w:tcBorders>
              <w:top w:val="single" w:color="auto" w:sz="4" w:space="0"/>
              <w:left w:val="single" w:color="auto" w:sz="4" w:space="0"/>
              <w:bottom w:val="single" w:color="auto" w:sz="4" w:space="0"/>
              <w:right w:val="single" w:color="auto" w:sz="4" w:space="0"/>
            </w:tcBorders>
            <w:vAlign w:val="center"/>
          </w:tcPr>
          <w:p w14:paraId="7B217D8C">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一、系统核心性能与配置合理性（5 分）</w:t>
            </w:r>
          </w:p>
          <w:p w14:paraId="70B73F59">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1.核心配置展示与核验（2 分）</w:t>
            </w:r>
          </w:p>
          <w:p w14:paraId="29A3B754">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（1）现场清晰展示并可核验核心设备关键配置（处理器、内存、交换容量、包转发率、接口规格），所有指标均满足或优于招标文件要求，且可通过设备命令/管理界面实时查询验证，得2分；</w:t>
            </w:r>
          </w:p>
          <w:p w14:paraId="339C5D86">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（2）满足招标文件要求，但部分配置需通过文档说明，无法现场实时核验，得 1分；</w:t>
            </w:r>
          </w:p>
          <w:p w14:paraId="04B4804D">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（3）关键配置不满足或无法提供有效证明，得0分。</w:t>
            </w:r>
          </w:p>
          <w:p w14:paraId="0482951F">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2.系统稳定性与承载能力演示（3分）</w:t>
            </w:r>
          </w:p>
          <w:p w14:paraId="4CC6DB5A">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（1）按要求完成多业务、多终端高并发场景演示，系统运行稳定，业务无中断，无关键告警，日志完整可查，得3分；</w:t>
            </w:r>
          </w:p>
          <w:p w14:paraId="46A35C79">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（2）系统可正常承载业务，运行基本稳定，存在非关键性告警但不影响业务使用，得1.5分；</w:t>
            </w:r>
          </w:p>
          <w:p w14:paraId="1C449C55">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（3）系统运行不稳定，出现业务中断、丢包、掉线或功能异常，得0分。</w:t>
            </w:r>
          </w:p>
        </w:tc>
      </w:tr>
      <w:tr w14:paraId="734A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55" w:type="dxa"/>
            <w:vMerge w:val="continue"/>
            <w:tcBorders>
              <w:left w:val="single" w:color="auto" w:sz="4" w:space="0"/>
              <w:right w:val="single" w:color="auto" w:sz="4" w:space="0"/>
            </w:tcBorders>
            <w:vAlign w:val="center"/>
          </w:tcPr>
          <w:p w14:paraId="7ADCF5A1">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color w:val="auto"/>
                <w:sz w:val="21"/>
                <w:szCs w:val="21"/>
                <w:highlight w:val="none"/>
                <w:lang w:val="en-US" w:eastAsia="zh-CN"/>
              </w:rPr>
            </w:pPr>
            <w:bookmarkStart w:id="493" w:name="_Toc216365895"/>
            <w:bookmarkStart w:id="494" w:name="_Hlk215325833"/>
          </w:p>
        </w:tc>
        <w:tc>
          <w:tcPr>
            <w:tcW w:w="7371" w:type="dxa"/>
            <w:tcBorders>
              <w:top w:val="single" w:color="auto" w:sz="4" w:space="0"/>
              <w:left w:val="single" w:color="auto" w:sz="4" w:space="0"/>
              <w:bottom w:val="single" w:color="auto" w:sz="4" w:space="0"/>
              <w:right w:val="single" w:color="auto" w:sz="4" w:space="0"/>
            </w:tcBorders>
            <w:vAlign w:val="center"/>
          </w:tcPr>
          <w:p w14:paraId="22BF5F15">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二、资源管理与分配策略的先进性（6分）</w:t>
            </w:r>
          </w:p>
          <w:p w14:paraId="3324EA28">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1.网络与资源调度演示（2分）</w:t>
            </w:r>
          </w:p>
          <w:p w14:paraId="49CAF52E">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（1）现场演示 VLAN 划分、端口隔离、链路冗余/聚合、故障切换等功能，可实时操作验证，配置立即生效，故障切换无业务中断（切换时间≤50ms），调度策略科学合理，得2分；</w:t>
            </w:r>
          </w:p>
          <w:p w14:paraId="5BD80E17">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（2）相关功能可实现、可操作，但故障切换存在短暂中断（不影响核心业务）或配置生效延迟（≤30s），得1分；</w:t>
            </w:r>
          </w:p>
          <w:p w14:paraId="33C986F5">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（3）无法实现相关功能或功能异常，得0分。</w:t>
            </w:r>
          </w:p>
          <w:p w14:paraId="52ECFD7A">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2.统一管理与故障替换演示（2分）</w:t>
            </w:r>
          </w:p>
          <w:p w14:paraId="2E8AA182">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（1）现场演示设备统一监控、配置管理、状态告警、配置备份还原、故障设备一键替换等功能，所有功能可现场实际操作，效果有效、步骤简洁可落地，得2分；</w:t>
            </w:r>
          </w:p>
          <w:p w14:paraId="7D68D82D">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（2）具备相关管理界面，可展示功能菜单，但部分功能无法现场实际操作（仅能展示说明文档），得1分；</w:t>
            </w:r>
          </w:p>
          <w:p w14:paraId="3121A248">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（3）无统一管理界面或无故障设备一键替换能力，得0分。</w:t>
            </w:r>
          </w:p>
          <w:p w14:paraId="5028CF5E">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3.安全策略与访问控制演示（2分）</w:t>
            </w:r>
          </w:p>
          <w:p w14:paraId="31921A96">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（1）现场演示ACL策略、IP-MAC绑定、非法终端检测与拦截、端口限速、风暴抑制等功能，策略配置后立即生效，非法访问可有效拦截，操作日志完整可查、可追溯，得2分；</w:t>
            </w:r>
          </w:p>
          <w:p w14:paraId="1143C3E5">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（2）可配置相关安全策略，但拦截成功率低于90%（现场随机测试3次，至少 2次有效），得1分；</w:t>
            </w:r>
          </w:p>
          <w:p w14:paraId="2C15D2BC">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（3）无相关安全控制功能或配置后无法生效，得0分。</w:t>
            </w:r>
          </w:p>
        </w:tc>
      </w:tr>
      <w:tr w14:paraId="7EB36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555" w:type="dxa"/>
            <w:vMerge w:val="continue"/>
            <w:tcBorders>
              <w:left w:val="single" w:color="auto" w:sz="4" w:space="0"/>
              <w:right w:val="single" w:color="auto" w:sz="4" w:space="0"/>
            </w:tcBorders>
            <w:vAlign w:val="center"/>
          </w:tcPr>
          <w:p w14:paraId="7B88EBA9">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sz w:val="21"/>
                <w:szCs w:val="21"/>
                <w:highlight w:val="none"/>
                <w:lang w:val="en-US" w:eastAsia="zh-CN"/>
              </w:rPr>
            </w:pPr>
          </w:p>
        </w:tc>
        <w:tc>
          <w:tcPr>
            <w:tcW w:w="7371" w:type="dxa"/>
            <w:tcBorders>
              <w:top w:val="single" w:color="auto" w:sz="4" w:space="0"/>
              <w:left w:val="single" w:color="auto" w:sz="4" w:space="0"/>
              <w:bottom w:val="single" w:color="auto" w:sz="4" w:space="0"/>
              <w:right w:val="single" w:color="auto" w:sz="4" w:space="0"/>
            </w:tcBorders>
            <w:vAlign w:val="center"/>
          </w:tcPr>
          <w:p w14:paraId="48090E31">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三、生产模拟的真实性与实训目的契合度（6分）</w:t>
            </w:r>
          </w:p>
          <w:p w14:paraId="1DC218DF">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1.生产模拟上位机演示（2分）</w:t>
            </w:r>
          </w:p>
          <w:p w14:paraId="7A2065A4">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（1）上位机模拟系统界面友好、业务流程完整、数据交互真实高保真，高度贴合煤矿井下生产实训业务场景，满足实训教学、应急演练与操作模拟要求，得2 分；</w:t>
            </w:r>
          </w:p>
          <w:p w14:paraId="602DBB38">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（2）具备基础模拟功能，流程架构完整但细节简化，真实度与落地性一般，得 1分；</w:t>
            </w:r>
          </w:p>
          <w:p w14:paraId="1AE1F799">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（3）模拟功能简陋，与实际井下业务场景脱节严重，无法满足实训教学需求，得0分。</w:t>
            </w:r>
          </w:p>
          <w:p w14:paraId="79C798B7">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2.数据加密与安全传输演示（2分）</w:t>
            </w:r>
          </w:p>
          <w:p w14:paraId="7021AB84">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（1）现场演示数据加密传输接口、完整性校验机制、安全审计日志，符合信创及信息安全相关标准要求，演示验证有效，得2分；</w:t>
            </w:r>
          </w:p>
          <w:p w14:paraId="50566DEB">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（2）宣称支持加密功能，但无法现场演示或无法有效验证，得1分；</w:t>
            </w:r>
          </w:p>
          <w:p w14:paraId="0178A87E">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（3）不具备数据加密传输相关功能，得0分。</w:t>
            </w:r>
          </w:p>
          <w:p w14:paraId="49F34542">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3.与煤矿智能化数据应用管控平台对接演示（2分）</w:t>
            </w:r>
          </w:p>
          <w:p w14:paraId="39795F61">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（1）现场展示标准通信协议、通用数据格式、字段映射规则及模拟数据流交互，提供明确可行的接口对接方案，完全满足管控平台对接要求，得2分；</w:t>
            </w:r>
          </w:p>
          <w:p w14:paraId="4A0BF55A">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（2）提供书面对接方案，但无法现场进行模拟联调演示，得1分；</w:t>
            </w:r>
          </w:p>
          <w:p w14:paraId="0DB7BCAF">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（3）未提供任何接口说明文件，无法实现与管控平台的对接交互，得0分。</w:t>
            </w:r>
          </w:p>
        </w:tc>
      </w:tr>
      <w:tr w14:paraId="37E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55" w:type="dxa"/>
            <w:vMerge w:val="continue"/>
            <w:tcBorders>
              <w:left w:val="single" w:color="auto" w:sz="4" w:space="0"/>
              <w:right w:val="single" w:color="auto" w:sz="4" w:space="0"/>
            </w:tcBorders>
            <w:vAlign w:val="center"/>
          </w:tcPr>
          <w:p w14:paraId="2B1E9D05">
            <w:pPr>
              <w:keepNext w:val="0"/>
              <w:keepLines w:val="0"/>
              <w:pageBreakBefore w:val="0"/>
              <w:kinsoku/>
              <w:wordWrap/>
              <w:overflowPunct/>
              <w:topLinePunct w:val="0"/>
              <w:autoSpaceDE/>
              <w:autoSpaceDN/>
              <w:bidi w:val="0"/>
              <w:spacing w:beforeAutospacing="0" w:afterAutospacing="0" w:line="400" w:lineRule="exact"/>
              <w:jc w:val="center"/>
              <w:textAlignment w:val="auto"/>
              <w:rPr>
                <w:rFonts w:hint="eastAsia" w:ascii="宋体" w:hAnsi="宋体" w:cs="宋体"/>
                <w:sz w:val="21"/>
                <w:szCs w:val="21"/>
                <w:highlight w:val="none"/>
                <w:lang w:val="en-US" w:eastAsia="zh-CN"/>
              </w:rPr>
            </w:pPr>
          </w:p>
        </w:tc>
        <w:tc>
          <w:tcPr>
            <w:tcW w:w="7371" w:type="dxa"/>
            <w:tcBorders>
              <w:top w:val="single" w:color="auto" w:sz="4" w:space="0"/>
              <w:left w:val="single" w:color="auto" w:sz="4" w:space="0"/>
              <w:bottom w:val="single" w:color="auto" w:sz="4" w:space="0"/>
              <w:right w:val="single" w:color="auto" w:sz="4" w:space="0"/>
            </w:tcBorders>
            <w:vAlign w:val="center"/>
          </w:tcPr>
          <w:p w14:paraId="6E29492C">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cs="宋体"/>
                <w:kern w:val="2"/>
                <w:sz w:val="21"/>
                <w:szCs w:val="21"/>
                <w:highlight w:val="none"/>
                <w:lang w:val="en-US" w:eastAsia="zh-CN" w:bidi="ar-SA"/>
              </w:rPr>
            </w:pPr>
            <w:r>
              <w:rPr>
                <w:rFonts w:hint="eastAsia" w:cs="宋体"/>
                <w:b/>
                <w:bCs/>
                <w:kern w:val="2"/>
                <w:sz w:val="21"/>
                <w:szCs w:val="21"/>
                <w:highlight w:val="none"/>
                <w:lang w:val="en-US" w:eastAsia="zh-CN" w:bidi="ar-SA"/>
              </w:rPr>
              <w:t>现场演示的形式、准备要求：</w:t>
            </w:r>
          </w:p>
          <w:p w14:paraId="5D156727">
            <w:pPr>
              <w:pStyle w:val="4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形式：投标人代表需在评标现场，通过方案讲解、软件演示、实物/模型展示或其它多媒体方式，向评标委员会展示其投标方案。</w:t>
            </w:r>
          </w:p>
          <w:p w14:paraId="0F76A45A">
            <w:pPr>
              <w:pStyle w:val="4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cs="宋体"/>
                <w:sz w:val="21"/>
                <w:szCs w:val="21"/>
                <w:highlight w:val="none"/>
                <w:lang w:val="en-US" w:eastAsia="zh-CN"/>
              </w:rPr>
            </w:pPr>
            <w:r>
              <w:rPr>
                <w:rFonts w:hint="eastAsia" w:cs="宋体"/>
                <w:kern w:val="2"/>
                <w:sz w:val="21"/>
                <w:szCs w:val="21"/>
                <w:highlight w:val="none"/>
                <w:lang w:val="en-US" w:eastAsia="zh-CN" w:bidi="ar-SA"/>
              </w:rPr>
              <w:t>2</w:t>
            </w:r>
            <w:r>
              <w:rPr>
                <w:rFonts w:hint="eastAsia" w:ascii="宋体" w:hAnsi="宋体" w:eastAsia="宋体" w:cs="宋体"/>
                <w:kern w:val="2"/>
                <w:sz w:val="21"/>
                <w:szCs w:val="21"/>
                <w:highlight w:val="none"/>
                <w:lang w:val="en-US" w:eastAsia="zh-CN" w:bidi="ar-SA"/>
              </w:rPr>
              <w:t>.准备：投标人须自行准备演示所需的全部设备、软件、模型及辅助材料，并确保现场演示环境可快速搭建、运行稳定。演示方案应作为投标文件的一部分一并提交。</w:t>
            </w:r>
          </w:p>
        </w:tc>
      </w:tr>
      <w:bookmarkEnd w:id="487"/>
      <w:bookmarkEnd w:id="488"/>
      <w:bookmarkEnd w:id="489"/>
    </w:tbl>
    <w:p w14:paraId="1D126A85">
      <w:pPr>
        <w:pStyle w:val="3"/>
        <w:tabs>
          <w:tab w:val="clear" w:pos="3999"/>
        </w:tabs>
        <w:spacing w:afterLines="0" w:line="360" w:lineRule="auto"/>
        <w:ind w:firstLine="562" w:firstLineChars="200"/>
        <w:jc w:val="both"/>
        <w:rPr>
          <w:rFonts w:hint="eastAsia" w:ascii="黑体" w:hAnsi="黑体" w:eastAsia="黑体" w:cs="宋体"/>
          <w:sz w:val="28"/>
          <w:szCs w:val="28"/>
          <w:highlight w:val="none"/>
        </w:rPr>
      </w:pPr>
      <w:r>
        <w:rPr>
          <w:rFonts w:hint="eastAsia" w:ascii="黑体" w:hAnsi="黑体" w:eastAsia="黑体" w:cs="宋体"/>
          <w:sz w:val="28"/>
          <w:szCs w:val="28"/>
          <w:highlight w:val="none"/>
        </w:rPr>
        <w:t>（二）</w:t>
      </w:r>
      <w:bookmarkStart w:id="495" w:name="OLE_LINK54"/>
      <w:r>
        <w:rPr>
          <w:rFonts w:hint="eastAsia" w:ascii="黑体" w:hAnsi="黑体" w:eastAsia="黑体" w:cs="宋体"/>
          <w:sz w:val="28"/>
          <w:szCs w:val="28"/>
          <w:highlight w:val="none"/>
        </w:rPr>
        <w:t>政府采购政策</w:t>
      </w:r>
      <w:bookmarkEnd w:id="493"/>
      <w:bookmarkEnd w:id="495"/>
    </w:p>
    <w:p w14:paraId="668D39BE">
      <w:pPr>
        <w:spacing w:line="360" w:lineRule="auto"/>
        <w:ind w:firstLine="482" w:firstLineChars="200"/>
        <w:rPr>
          <w:rFonts w:hint="eastAsia" w:ascii="宋体" w:hAnsi="宋体"/>
          <w:b/>
          <w:kern w:val="0"/>
        </w:rPr>
      </w:pPr>
      <w:r>
        <w:rPr>
          <w:rFonts w:hint="eastAsia" w:ascii="宋体" w:hAnsi="宋体"/>
          <w:b/>
          <w:kern w:val="0"/>
          <w:highlight w:val="none"/>
        </w:rPr>
        <w:t>一）中标人享</w:t>
      </w:r>
      <w:r>
        <w:rPr>
          <w:rFonts w:hint="eastAsia" w:ascii="宋体" w:hAnsi="宋体"/>
          <w:b/>
          <w:kern w:val="0"/>
        </w:rPr>
        <w:t>受中小企业扶持政策或本国产品相关政策的，提供的《中小企业声明函》或监狱企业证明文件或《残疾人福利性单位声明函》或《关于符合本国产品标准的声明函》将随同中标结果同时公布。如提供虚假《声明函》或证明文件内容不实的、虚假证明文件谋取中标、成交的，依照《中华人民共和国政府采购法》等法律法规规定追究相应责任。</w:t>
      </w:r>
    </w:p>
    <w:p w14:paraId="52ED2E86">
      <w:pPr>
        <w:spacing w:line="360" w:lineRule="auto"/>
        <w:ind w:firstLine="482" w:firstLineChars="200"/>
        <w:rPr>
          <w:rFonts w:hint="eastAsia" w:ascii="宋体" w:hAnsi="宋体"/>
          <w:b/>
          <w:kern w:val="0"/>
        </w:rPr>
      </w:pPr>
      <w:r>
        <w:rPr>
          <w:rFonts w:hint="eastAsia" w:ascii="宋体" w:hAnsi="宋体"/>
          <w:b/>
          <w:kern w:val="0"/>
        </w:rPr>
        <w:t>二）落实政府采购政策的价格调整：只有符合以下规定情形的，可以享受中小企业扶持政策，用扣除后的价格参加评审；否则，评标时价格不予扣除。</w:t>
      </w:r>
    </w:p>
    <w:p w14:paraId="701EB839">
      <w:pPr>
        <w:spacing w:line="360" w:lineRule="auto"/>
        <w:ind w:firstLine="482" w:firstLineChars="200"/>
        <w:rPr>
          <w:rFonts w:hint="eastAsia" w:ascii="宋体" w:hAnsi="宋体" w:cs="宋体"/>
          <w:b/>
          <w:bCs/>
        </w:rPr>
      </w:pPr>
      <w:r>
        <w:rPr>
          <w:rFonts w:hint="eastAsia" w:ascii="宋体" w:hAnsi="宋体" w:cs="宋体"/>
          <w:b/>
          <w:bCs/>
        </w:rPr>
        <w:t>1.中小企业</w:t>
      </w:r>
    </w:p>
    <w:p w14:paraId="658E51F9">
      <w:pPr>
        <w:spacing w:line="360" w:lineRule="auto"/>
        <w:ind w:firstLine="480" w:firstLineChars="200"/>
        <w:rPr>
          <w:rFonts w:hint="eastAsia" w:ascii="宋体" w:hAnsi="宋体" w:cs="宋体"/>
          <w:kern w:val="0"/>
        </w:rPr>
      </w:pPr>
      <w:r>
        <w:rPr>
          <w:rFonts w:hint="eastAsia" w:ascii="宋体" w:hAnsi="宋体" w:cs="宋体"/>
          <w:kern w:val="0"/>
        </w:rPr>
        <w:t>1.1根据《关于印发&lt;政府采购促进中小企业发展管理办法&gt;的通知》（财库﹝2020﹞46号）和《关于进一步加大政府采购支持中小企业力度的通知》（财库</w:t>
      </w:r>
      <w:bookmarkStart w:id="496" w:name="OLE_LINK53"/>
      <w:r>
        <w:rPr>
          <w:rFonts w:hint="eastAsia" w:ascii="宋体" w:hAnsi="宋体" w:cs="宋体"/>
          <w:kern w:val="0"/>
        </w:rPr>
        <w:t>〔</w:t>
      </w:r>
      <w:bookmarkEnd w:id="496"/>
      <w:r>
        <w:rPr>
          <w:rFonts w:hint="eastAsia" w:ascii="宋体" w:hAnsi="宋体" w:cs="宋体"/>
          <w:kern w:val="0"/>
        </w:rPr>
        <w:t>2022〕19号）的规定，供应商提供的货物、工程或者服务符合下列情形的，享受评标办法中小企业扶持政策：“（一）在货物采购项目中，货物由中小企业制造，即货物由中小企业生产且使用该中小企业商号或者注册商标”。</w:t>
      </w:r>
    </w:p>
    <w:p w14:paraId="1FEBB39F">
      <w:pPr>
        <w:spacing w:line="360" w:lineRule="auto"/>
        <w:ind w:firstLine="480" w:firstLineChars="200"/>
        <w:rPr>
          <w:rFonts w:hint="eastAsia" w:ascii="宋体" w:hAnsi="宋体" w:cs="宋体"/>
          <w:kern w:val="0"/>
        </w:rPr>
      </w:pPr>
      <w:r>
        <w:rPr>
          <w:rFonts w:hint="eastAsia" w:ascii="宋体" w:hAnsi="宋体" w:cs="宋体"/>
          <w:kern w:val="0"/>
        </w:rPr>
        <w:t>在货物采购项目中，供应商提供的货物既有中小企业制造货物，也有大型企业制造货物的，不享受评标办法规定的中小企业扶持政策。</w:t>
      </w:r>
    </w:p>
    <w:p w14:paraId="30569F66">
      <w:pPr>
        <w:spacing w:line="360" w:lineRule="auto"/>
        <w:ind w:firstLine="480" w:firstLineChars="200"/>
        <w:rPr>
          <w:rFonts w:hint="eastAsia" w:ascii="宋体" w:hAnsi="宋体" w:cs="宋体"/>
          <w:kern w:val="0"/>
        </w:rPr>
      </w:pPr>
      <w:r>
        <w:rPr>
          <w:rFonts w:hint="eastAsia" w:ascii="宋体" w:hAnsi="宋体" w:cs="宋体"/>
          <w:kern w:val="0"/>
        </w:rPr>
        <w:t>1.2根据《云南省财政厅 云南省工业和信息化厅关于落实政府采购促进中小企业发展政策意见的通知》（云财规〔2022〕13号）的规定，不应判别为中小（微）企业的情形有：</w:t>
      </w:r>
    </w:p>
    <w:p w14:paraId="062DCE38">
      <w:pPr>
        <w:spacing w:line="360" w:lineRule="auto"/>
        <w:ind w:firstLine="480" w:firstLineChars="200"/>
        <w:rPr>
          <w:rFonts w:hint="eastAsia" w:ascii="宋体" w:hAnsi="宋体" w:cs="宋体"/>
          <w:kern w:val="0"/>
        </w:rPr>
      </w:pPr>
      <w:r>
        <w:rPr>
          <w:rFonts w:hint="eastAsia" w:ascii="宋体" w:hAnsi="宋体" w:cs="宋体"/>
          <w:kern w:val="0"/>
        </w:rPr>
        <w:t>（1）在货物采购项目中，供应商为中小企业，但所提供的货物为大型企业制造的，即货物由大型企业生产且使用大型企业商号或者注册商标的。不享受中小企业扶持政策。</w:t>
      </w:r>
    </w:p>
    <w:p w14:paraId="264CFCBB">
      <w:pPr>
        <w:spacing w:line="360" w:lineRule="auto"/>
        <w:ind w:firstLine="480" w:firstLineChars="200"/>
        <w:rPr>
          <w:rFonts w:hint="eastAsia" w:ascii="宋体" w:hAnsi="宋体" w:cs="宋体"/>
          <w:kern w:val="0"/>
        </w:rPr>
      </w:pPr>
      <w:r>
        <w:rPr>
          <w:rFonts w:hint="eastAsia" w:ascii="宋体" w:hAnsi="宋体" w:cs="宋体"/>
          <w:kern w:val="0"/>
        </w:rPr>
        <w:t>（2）供应商提供的货物既有中型企业制造，也有小微企业制造的，不享受小微企业扶持政策。</w:t>
      </w:r>
    </w:p>
    <w:p w14:paraId="72886939">
      <w:pPr>
        <w:spacing w:line="360" w:lineRule="auto"/>
        <w:ind w:firstLine="480" w:firstLineChars="200"/>
        <w:rPr>
          <w:rFonts w:hint="eastAsia" w:ascii="宋体" w:hAnsi="宋体" w:cs="宋体"/>
          <w:kern w:val="0"/>
        </w:rPr>
      </w:pPr>
      <w:r>
        <w:rPr>
          <w:rFonts w:hint="eastAsia" w:ascii="宋体" w:hAnsi="宋体" w:cs="宋体"/>
          <w:kern w:val="0"/>
        </w:rPr>
        <w:t>1.3评标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7639A0FF">
      <w:pPr>
        <w:spacing w:line="360" w:lineRule="auto"/>
        <w:ind w:firstLine="480" w:firstLineChars="200"/>
        <w:rPr>
          <w:rFonts w:hint="eastAsia" w:ascii="宋体" w:hAnsi="宋体" w:cs="宋体"/>
          <w:kern w:val="0"/>
        </w:rPr>
      </w:pPr>
      <w:r>
        <w:rPr>
          <w:rFonts w:hint="eastAsia" w:ascii="宋体" w:hAnsi="宋体" w:cs="宋体"/>
          <w:kern w:val="0"/>
        </w:rPr>
        <w:t>符合中小企业划分标准的个体工商户，在政府采购活动中视同中小企业。</w:t>
      </w:r>
    </w:p>
    <w:p w14:paraId="1BE2490E">
      <w:pPr>
        <w:spacing w:line="360" w:lineRule="auto"/>
        <w:ind w:firstLine="480" w:firstLineChars="200"/>
        <w:rPr>
          <w:rFonts w:hint="eastAsia" w:ascii="宋体" w:hAnsi="宋体" w:cs="宋体"/>
          <w:kern w:val="0"/>
        </w:rPr>
      </w:pPr>
      <w:r>
        <w:rPr>
          <w:rFonts w:hint="eastAsia" w:ascii="宋体" w:hAnsi="宋体" w:cs="宋体"/>
          <w:kern w:val="0"/>
        </w:rPr>
        <w:t>1.4中小企业参加政府采购活动，应当出具《中小企业声明函》（详见《投标文件格式》），否则不得享受相关中小企业扶持政策。</w:t>
      </w:r>
    </w:p>
    <w:p w14:paraId="53195FA6">
      <w:pPr>
        <w:spacing w:line="360" w:lineRule="auto"/>
        <w:ind w:firstLine="480" w:firstLineChars="200"/>
        <w:rPr>
          <w:rFonts w:hint="eastAsia" w:ascii="宋体" w:hAnsi="宋体" w:cs="宋体"/>
        </w:rPr>
      </w:pPr>
      <w:r>
        <w:rPr>
          <w:rFonts w:hint="eastAsia" w:ascii="宋体" w:hAnsi="宋体" w:cs="宋体"/>
          <w:kern w:val="0"/>
        </w:rPr>
        <w:t>本规定所称中小企业划分标准，是指国务院有关部门根据企业从业人员、营业收入、资产总额等指标制定的中小企业划型标准：</w:t>
      </w:r>
    </w:p>
    <w:tbl>
      <w:tblPr>
        <w:tblStyle w:val="49"/>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1559"/>
        <w:gridCol w:w="709"/>
        <w:gridCol w:w="1275"/>
        <w:gridCol w:w="1701"/>
        <w:gridCol w:w="1740"/>
        <w:gridCol w:w="992"/>
      </w:tblGrid>
      <w:tr w14:paraId="631B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blHeader/>
          <w:jc w:val="center"/>
        </w:trPr>
        <w:tc>
          <w:tcPr>
            <w:tcW w:w="1459" w:type="dxa"/>
            <w:tcBorders>
              <w:top w:val="single" w:color="auto" w:sz="4" w:space="0"/>
              <w:left w:val="single" w:color="auto" w:sz="4" w:space="0"/>
              <w:bottom w:val="single" w:color="auto" w:sz="4" w:space="0"/>
              <w:right w:val="single" w:color="auto" w:sz="4" w:space="0"/>
            </w:tcBorders>
            <w:vAlign w:val="center"/>
          </w:tcPr>
          <w:p w14:paraId="0F773AAD">
            <w:pPr>
              <w:spacing w:line="360" w:lineRule="exact"/>
              <w:jc w:val="center"/>
              <w:rPr>
                <w:rFonts w:hint="eastAsia" w:ascii="宋体" w:hAnsi="宋体" w:cs="宋体"/>
                <w:b/>
                <w:bCs/>
                <w:sz w:val="21"/>
                <w:szCs w:val="21"/>
              </w:rPr>
            </w:pPr>
            <w:r>
              <w:rPr>
                <w:rFonts w:hint="eastAsia" w:ascii="宋体" w:hAnsi="宋体" w:cs="宋体"/>
                <w:b/>
                <w:bCs/>
                <w:sz w:val="21"/>
                <w:szCs w:val="21"/>
              </w:rPr>
              <w:t>行业名称</w:t>
            </w:r>
          </w:p>
        </w:tc>
        <w:tc>
          <w:tcPr>
            <w:tcW w:w="1559" w:type="dxa"/>
            <w:tcBorders>
              <w:top w:val="single" w:color="auto" w:sz="4" w:space="0"/>
              <w:left w:val="single" w:color="auto" w:sz="4" w:space="0"/>
              <w:bottom w:val="single" w:color="auto" w:sz="4" w:space="0"/>
              <w:right w:val="single" w:color="auto" w:sz="4" w:space="0"/>
            </w:tcBorders>
            <w:vAlign w:val="center"/>
          </w:tcPr>
          <w:p w14:paraId="6C12AA61">
            <w:pPr>
              <w:spacing w:line="360" w:lineRule="exact"/>
              <w:jc w:val="center"/>
              <w:rPr>
                <w:rFonts w:hint="eastAsia" w:ascii="宋体" w:hAnsi="宋体" w:cs="宋体"/>
                <w:b/>
                <w:bCs/>
                <w:sz w:val="21"/>
                <w:szCs w:val="21"/>
              </w:rPr>
            </w:pPr>
            <w:r>
              <w:rPr>
                <w:rFonts w:hint="eastAsia" w:ascii="宋体" w:hAnsi="宋体" w:cs="宋体"/>
                <w:b/>
                <w:bCs/>
                <w:sz w:val="21"/>
                <w:szCs w:val="21"/>
              </w:rPr>
              <w:t>指标名称</w:t>
            </w:r>
          </w:p>
        </w:tc>
        <w:tc>
          <w:tcPr>
            <w:tcW w:w="709" w:type="dxa"/>
            <w:tcBorders>
              <w:top w:val="single" w:color="auto" w:sz="4" w:space="0"/>
              <w:left w:val="single" w:color="auto" w:sz="4" w:space="0"/>
              <w:bottom w:val="single" w:color="auto" w:sz="4" w:space="0"/>
              <w:right w:val="single" w:color="auto" w:sz="4" w:space="0"/>
            </w:tcBorders>
            <w:vAlign w:val="center"/>
          </w:tcPr>
          <w:p w14:paraId="231F3989">
            <w:pPr>
              <w:spacing w:line="360" w:lineRule="exact"/>
              <w:jc w:val="center"/>
              <w:rPr>
                <w:rFonts w:hint="eastAsia" w:ascii="宋体" w:hAnsi="宋体" w:cs="宋体"/>
                <w:b/>
                <w:bCs/>
                <w:sz w:val="21"/>
                <w:szCs w:val="21"/>
              </w:rPr>
            </w:pPr>
            <w:r>
              <w:rPr>
                <w:rFonts w:hint="eastAsia" w:ascii="宋体" w:hAnsi="宋体" w:cs="宋体"/>
                <w:b/>
                <w:bCs/>
                <w:sz w:val="21"/>
                <w:szCs w:val="21"/>
              </w:rPr>
              <w:t>计量</w:t>
            </w:r>
          </w:p>
          <w:p w14:paraId="7FEEFEA1">
            <w:pPr>
              <w:spacing w:line="360" w:lineRule="exact"/>
              <w:jc w:val="center"/>
              <w:rPr>
                <w:rFonts w:hint="eastAsia" w:ascii="宋体" w:hAnsi="宋体" w:cs="宋体"/>
                <w:b/>
                <w:bCs/>
                <w:sz w:val="21"/>
                <w:szCs w:val="21"/>
              </w:rPr>
            </w:pPr>
            <w:r>
              <w:rPr>
                <w:rFonts w:hint="eastAsia" w:ascii="宋体" w:hAnsi="宋体" w:cs="宋体"/>
                <w:b/>
                <w:bCs/>
                <w:sz w:val="21"/>
                <w:szCs w:val="21"/>
              </w:rPr>
              <w:t>单位</w:t>
            </w:r>
          </w:p>
        </w:tc>
        <w:tc>
          <w:tcPr>
            <w:tcW w:w="1275" w:type="dxa"/>
            <w:tcBorders>
              <w:top w:val="single" w:color="auto" w:sz="4" w:space="0"/>
              <w:left w:val="single" w:color="auto" w:sz="4" w:space="0"/>
              <w:bottom w:val="single" w:color="auto" w:sz="4" w:space="0"/>
              <w:right w:val="single" w:color="auto" w:sz="4" w:space="0"/>
            </w:tcBorders>
            <w:vAlign w:val="center"/>
          </w:tcPr>
          <w:p w14:paraId="0EAB59BB">
            <w:pPr>
              <w:spacing w:line="360" w:lineRule="exact"/>
              <w:jc w:val="center"/>
              <w:rPr>
                <w:rFonts w:hint="eastAsia" w:ascii="宋体" w:hAnsi="宋体" w:cs="宋体"/>
                <w:b/>
                <w:bCs/>
                <w:sz w:val="21"/>
                <w:szCs w:val="21"/>
              </w:rPr>
            </w:pPr>
            <w:r>
              <w:rPr>
                <w:rFonts w:hint="eastAsia" w:ascii="宋体" w:hAnsi="宋体" w:cs="宋体"/>
                <w:b/>
                <w:bCs/>
                <w:sz w:val="21"/>
                <w:szCs w:val="21"/>
              </w:rPr>
              <w:t>大型</w:t>
            </w:r>
          </w:p>
        </w:tc>
        <w:tc>
          <w:tcPr>
            <w:tcW w:w="1701" w:type="dxa"/>
            <w:tcBorders>
              <w:top w:val="single" w:color="auto" w:sz="4" w:space="0"/>
              <w:left w:val="single" w:color="auto" w:sz="4" w:space="0"/>
              <w:bottom w:val="single" w:color="auto" w:sz="4" w:space="0"/>
              <w:right w:val="single" w:color="auto" w:sz="4" w:space="0"/>
            </w:tcBorders>
            <w:vAlign w:val="center"/>
          </w:tcPr>
          <w:p w14:paraId="5E9E1C7F">
            <w:pPr>
              <w:spacing w:line="360" w:lineRule="exact"/>
              <w:jc w:val="center"/>
              <w:rPr>
                <w:rFonts w:hint="eastAsia" w:ascii="宋体" w:hAnsi="宋体" w:cs="宋体"/>
                <w:b/>
                <w:bCs/>
                <w:sz w:val="21"/>
                <w:szCs w:val="21"/>
              </w:rPr>
            </w:pPr>
            <w:r>
              <w:rPr>
                <w:rFonts w:hint="eastAsia" w:ascii="宋体" w:hAnsi="宋体" w:cs="宋体"/>
                <w:b/>
                <w:bCs/>
                <w:sz w:val="21"/>
                <w:szCs w:val="21"/>
              </w:rPr>
              <w:t>中型</w:t>
            </w:r>
          </w:p>
        </w:tc>
        <w:tc>
          <w:tcPr>
            <w:tcW w:w="1740" w:type="dxa"/>
            <w:tcBorders>
              <w:top w:val="single" w:color="auto" w:sz="4" w:space="0"/>
              <w:left w:val="single" w:color="auto" w:sz="4" w:space="0"/>
              <w:bottom w:val="single" w:color="auto" w:sz="4" w:space="0"/>
              <w:right w:val="single" w:color="auto" w:sz="4" w:space="0"/>
            </w:tcBorders>
            <w:vAlign w:val="center"/>
          </w:tcPr>
          <w:p w14:paraId="72B80B80">
            <w:pPr>
              <w:spacing w:line="360" w:lineRule="exact"/>
              <w:jc w:val="center"/>
              <w:rPr>
                <w:rFonts w:hint="eastAsia" w:ascii="宋体" w:hAnsi="宋体" w:cs="宋体"/>
                <w:b/>
                <w:bCs/>
                <w:sz w:val="21"/>
                <w:szCs w:val="21"/>
              </w:rPr>
            </w:pPr>
            <w:r>
              <w:rPr>
                <w:rFonts w:hint="eastAsia" w:ascii="宋体" w:hAnsi="宋体" w:cs="宋体"/>
                <w:b/>
                <w:bCs/>
                <w:sz w:val="21"/>
                <w:szCs w:val="21"/>
              </w:rPr>
              <w:t>小型</w:t>
            </w:r>
          </w:p>
        </w:tc>
        <w:tc>
          <w:tcPr>
            <w:tcW w:w="992" w:type="dxa"/>
            <w:tcBorders>
              <w:top w:val="single" w:color="auto" w:sz="4" w:space="0"/>
              <w:left w:val="single" w:color="auto" w:sz="4" w:space="0"/>
              <w:bottom w:val="single" w:color="auto" w:sz="4" w:space="0"/>
              <w:right w:val="single" w:color="auto" w:sz="4" w:space="0"/>
            </w:tcBorders>
            <w:vAlign w:val="center"/>
          </w:tcPr>
          <w:p w14:paraId="199E25C3">
            <w:pPr>
              <w:spacing w:line="360" w:lineRule="exact"/>
              <w:jc w:val="center"/>
              <w:rPr>
                <w:rFonts w:hint="eastAsia" w:ascii="宋体" w:hAnsi="宋体" w:cs="宋体"/>
                <w:b/>
                <w:bCs/>
                <w:sz w:val="21"/>
                <w:szCs w:val="21"/>
              </w:rPr>
            </w:pPr>
            <w:r>
              <w:rPr>
                <w:rFonts w:hint="eastAsia" w:ascii="宋体" w:hAnsi="宋体" w:cs="宋体"/>
                <w:b/>
                <w:bCs/>
                <w:sz w:val="21"/>
                <w:szCs w:val="21"/>
              </w:rPr>
              <w:t>微型</w:t>
            </w:r>
          </w:p>
        </w:tc>
      </w:tr>
      <w:tr w14:paraId="2C93C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459" w:type="dxa"/>
            <w:tcBorders>
              <w:top w:val="single" w:color="auto" w:sz="4" w:space="0"/>
              <w:left w:val="single" w:color="auto" w:sz="4" w:space="0"/>
              <w:bottom w:val="single" w:color="auto" w:sz="4" w:space="0"/>
              <w:right w:val="single" w:color="auto" w:sz="4" w:space="0"/>
            </w:tcBorders>
            <w:vAlign w:val="center"/>
          </w:tcPr>
          <w:p w14:paraId="2EEB5AAA">
            <w:pPr>
              <w:spacing w:line="360" w:lineRule="exact"/>
              <w:jc w:val="center"/>
              <w:rPr>
                <w:rFonts w:hint="eastAsia" w:ascii="宋体" w:hAnsi="宋体" w:cs="宋体"/>
                <w:sz w:val="21"/>
                <w:szCs w:val="21"/>
              </w:rPr>
            </w:pPr>
            <w:r>
              <w:rPr>
                <w:rFonts w:hint="eastAsia" w:ascii="宋体" w:hAnsi="宋体" w:cs="宋体"/>
                <w:sz w:val="21"/>
                <w:szCs w:val="21"/>
              </w:rPr>
              <w:t>农、林、牧、渔业</w:t>
            </w:r>
          </w:p>
        </w:tc>
        <w:tc>
          <w:tcPr>
            <w:tcW w:w="1559" w:type="dxa"/>
            <w:tcBorders>
              <w:top w:val="single" w:color="auto" w:sz="4" w:space="0"/>
              <w:left w:val="single" w:color="auto" w:sz="4" w:space="0"/>
              <w:bottom w:val="single" w:color="auto" w:sz="4" w:space="0"/>
              <w:right w:val="single" w:color="auto" w:sz="4" w:space="0"/>
            </w:tcBorders>
            <w:vAlign w:val="center"/>
          </w:tcPr>
          <w:p w14:paraId="1601F484">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640E2DBD">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0EFD97EF">
            <w:pPr>
              <w:spacing w:line="360" w:lineRule="exact"/>
              <w:rPr>
                <w:rFonts w:hint="eastAsia" w:ascii="宋体" w:hAnsi="宋体" w:cs="宋体"/>
                <w:sz w:val="21"/>
                <w:szCs w:val="21"/>
              </w:rPr>
            </w:pPr>
            <w:r>
              <w:rPr>
                <w:rFonts w:hint="eastAsia" w:ascii="宋体" w:hAnsi="宋体" w:cs="宋体"/>
                <w:sz w:val="21"/>
                <w:szCs w:val="21"/>
              </w:rPr>
              <w:t>Y≥20000</w:t>
            </w:r>
          </w:p>
        </w:tc>
        <w:tc>
          <w:tcPr>
            <w:tcW w:w="1701" w:type="dxa"/>
            <w:tcBorders>
              <w:top w:val="single" w:color="auto" w:sz="4" w:space="0"/>
              <w:left w:val="single" w:color="auto" w:sz="4" w:space="0"/>
              <w:bottom w:val="single" w:color="auto" w:sz="4" w:space="0"/>
              <w:right w:val="single" w:color="auto" w:sz="4" w:space="0"/>
            </w:tcBorders>
            <w:vAlign w:val="center"/>
          </w:tcPr>
          <w:p w14:paraId="31BA715C">
            <w:pPr>
              <w:spacing w:line="360" w:lineRule="exact"/>
              <w:rPr>
                <w:rFonts w:hint="eastAsia" w:ascii="宋体" w:hAnsi="宋体" w:cs="宋体"/>
                <w:sz w:val="21"/>
                <w:szCs w:val="21"/>
              </w:rPr>
            </w:pPr>
            <w:r>
              <w:rPr>
                <w:rFonts w:hint="eastAsia" w:ascii="宋体" w:hAnsi="宋体" w:cs="宋体"/>
                <w:sz w:val="21"/>
                <w:szCs w:val="21"/>
              </w:rPr>
              <w:t xml:space="preserve"> 500≤Y＜20000</w:t>
            </w:r>
          </w:p>
        </w:tc>
        <w:tc>
          <w:tcPr>
            <w:tcW w:w="1740" w:type="dxa"/>
            <w:tcBorders>
              <w:top w:val="single" w:color="auto" w:sz="4" w:space="0"/>
              <w:left w:val="single" w:color="auto" w:sz="4" w:space="0"/>
              <w:bottom w:val="single" w:color="auto" w:sz="4" w:space="0"/>
              <w:right w:val="single" w:color="auto" w:sz="4" w:space="0"/>
            </w:tcBorders>
            <w:vAlign w:val="center"/>
          </w:tcPr>
          <w:p w14:paraId="589B9F7A">
            <w:pPr>
              <w:spacing w:line="360" w:lineRule="exact"/>
              <w:rPr>
                <w:rFonts w:hint="eastAsia" w:ascii="宋体" w:hAnsi="宋体" w:cs="宋体"/>
                <w:sz w:val="21"/>
                <w:szCs w:val="21"/>
              </w:rPr>
            </w:pPr>
            <w:r>
              <w:rPr>
                <w:rFonts w:hint="eastAsia" w:ascii="宋体" w:hAnsi="宋体" w:cs="宋体"/>
                <w:sz w:val="21"/>
                <w:szCs w:val="21"/>
              </w:rPr>
              <w:t xml:space="preserve"> 50≤Y＜500</w:t>
            </w:r>
          </w:p>
        </w:tc>
        <w:tc>
          <w:tcPr>
            <w:tcW w:w="992" w:type="dxa"/>
            <w:tcBorders>
              <w:top w:val="single" w:color="auto" w:sz="4" w:space="0"/>
              <w:left w:val="single" w:color="auto" w:sz="4" w:space="0"/>
              <w:bottom w:val="single" w:color="auto" w:sz="4" w:space="0"/>
              <w:right w:val="single" w:color="auto" w:sz="4" w:space="0"/>
            </w:tcBorders>
            <w:vAlign w:val="center"/>
          </w:tcPr>
          <w:p w14:paraId="6541E8FB">
            <w:pPr>
              <w:spacing w:line="360" w:lineRule="exact"/>
              <w:rPr>
                <w:rFonts w:hint="eastAsia" w:ascii="宋体" w:hAnsi="宋体" w:cs="宋体"/>
                <w:sz w:val="21"/>
                <w:szCs w:val="21"/>
              </w:rPr>
            </w:pPr>
            <w:r>
              <w:rPr>
                <w:rFonts w:hint="eastAsia" w:ascii="宋体" w:hAnsi="宋体" w:cs="宋体"/>
                <w:sz w:val="21"/>
                <w:szCs w:val="21"/>
              </w:rPr>
              <w:t>Y＜50</w:t>
            </w:r>
          </w:p>
        </w:tc>
      </w:tr>
      <w:tr w14:paraId="3CA84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3B5ED77D">
            <w:pPr>
              <w:spacing w:line="360" w:lineRule="exact"/>
              <w:jc w:val="center"/>
              <w:rPr>
                <w:rFonts w:hint="eastAsia" w:ascii="宋体" w:hAnsi="宋体" w:cs="宋体"/>
                <w:sz w:val="21"/>
                <w:szCs w:val="21"/>
              </w:rPr>
            </w:pPr>
            <w:r>
              <w:rPr>
                <w:rFonts w:hint="eastAsia" w:ascii="宋体" w:hAnsi="宋体" w:cs="宋体"/>
                <w:sz w:val="21"/>
                <w:szCs w:val="21"/>
              </w:rPr>
              <w:t>工业*</w:t>
            </w:r>
          </w:p>
        </w:tc>
        <w:tc>
          <w:tcPr>
            <w:tcW w:w="1559" w:type="dxa"/>
            <w:tcBorders>
              <w:top w:val="single" w:color="auto" w:sz="4" w:space="0"/>
              <w:left w:val="single" w:color="auto" w:sz="4" w:space="0"/>
              <w:bottom w:val="single" w:color="auto" w:sz="4" w:space="0"/>
              <w:right w:val="single" w:color="auto" w:sz="4" w:space="0"/>
            </w:tcBorders>
            <w:vAlign w:val="center"/>
          </w:tcPr>
          <w:p w14:paraId="407DB7BE">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31FECBFE">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16E48C31">
            <w:pPr>
              <w:spacing w:line="360" w:lineRule="exact"/>
              <w:rPr>
                <w:rFonts w:hint="eastAsia" w:ascii="宋体" w:hAnsi="宋体" w:cs="宋体"/>
                <w:sz w:val="21"/>
                <w:szCs w:val="21"/>
              </w:rPr>
            </w:pPr>
            <w:r>
              <w:rPr>
                <w:rFonts w:hint="eastAsia" w:ascii="宋体" w:hAnsi="宋体" w:cs="宋体"/>
                <w:sz w:val="21"/>
                <w:szCs w:val="21"/>
              </w:rPr>
              <w:t>X≥1000</w:t>
            </w:r>
          </w:p>
        </w:tc>
        <w:tc>
          <w:tcPr>
            <w:tcW w:w="1701" w:type="dxa"/>
            <w:tcBorders>
              <w:top w:val="single" w:color="auto" w:sz="4" w:space="0"/>
              <w:left w:val="single" w:color="auto" w:sz="4" w:space="0"/>
              <w:bottom w:val="single" w:color="auto" w:sz="4" w:space="0"/>
              <w:right w:val="single" w:color="auto" w:sz="4" w:space="0"/>
            </w:tcBorders>
            <w:vAlign w:val="center"/>
          </w:tcPr>
          <w:p w14:paraId="58E30120">
            <w:pPr>
              <w:spacing w:line="360" w:lineRule="exact"/>
              <w:rPr>
                <w:rFonts w:hint="eastAsia" w:ascii="宋体" w:hAnsi="宋体" w:cs="宋体"/>
                <w:sz w:val="21"/>
                <w:szCs w:val="21"/>
              </w:rPr>
            </w:pPr>
            <w:r>
              <w:rPr>
                <w:rFonts w:hint="eastAsia" w:ascii="宋体" w:hAnsi="宋体" w:cs="宋体"/>
                <w:sz w:val="21"/>
                <w:szCs w:val="21"/>
              </w:rPr>
              <w:t>300≤X＜1000</w:t>
            </w:r>
          </w:p>
        </w:tc>
        <w:tc>
          <w:tcPr>
            <w:tcW w:w="1740" w:type="dxa"/>
            <w:tcBorders>
              <w:top w:val="single" w:color="auto" w:sz="4" w:space="0"/>
              <w:left w:val="single" w:color="auto" w:sz="4" w:space="0"/>
              <w:bottom w:val="single" w:color="auto" w:sz="4" w:space="0"/>
              <w:right w:val="single" w:color="auto" w:sz="4" w:space="0"/>
            </w:tcBorders>
            <w:vAlign w:val="center"/>
          </w:tcPr>
          <w:p w14:paraId="17AF13DA">
            <w:pPr>
              <w:spacing w:line="360" w:lineRule="exact"/>
              <w:rPr>
                <w:rFonts w:hint="eastAsia" w:ascii="宋体" w:hAnsi="宋体" w:cs="宋体"/>
                <w:sz w:val="21"/>
                <w:szCs w:val="21"/>
              </w:rPr>
            </w:pPr>
            <w:r>
              <w:rPr>
                <w:rFonts w:hint="eastAsia" w:ascii="宋体" w:hAnsi="宋体" w:cs="宋体"/>
                <w:sz w:val="21"/>
                <w:szCs w:val="21"/>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14:paraId="329942E6">
            <w:pPr>
              <w:spacing w:line="360" w:lineRule="exact"/>
              <w:rPr>
                <w:rFonts w:hint="eastAsia" w:ascii="宋体" w:hAnsi="宋体" w:cs="宋体"/>
                <w:sz w:val="21"/>
                <w:szCs w:val="21"/>
              </w:rPr>
            </w:pPr>
            <w:r>
              <w:rPr>
                <w:rFonts w:hint="eastAsia" w:ascii="宋体" w:hAnsi="宋体" w:cs="宋体"/>
                <w:sz w:val="21"/>
                <w:szCs w:val="21"/>
              </w:rPr>
              <w:t>X＜20</w:t>
            </w:r>
          </w:p>
        </w:tc>
      </w:tr>
      <w:tr w14:paraId="40F2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1FC2EEF8">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14566076">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50BF4377">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548C19B3">
            <w:pPr>
              <w:spacing w:line="360" w:lineRule="exact"/>
              <w:rPr>
                <w:rFonts w:hint="eastAsia" w:ascii="宋体" w:hAnsi="宋体" w:cs="宋体"/>
                <w:sz w:val="21"/>
                <w:szCs w:val="21"/>
              </w:rPr>
            </w:pPr>
            <w:r>
              <w:rPr>
                <w:rFonts w:hint="eastAsia" w:ascii="宋体" w:hAnsi="宋体" w:cs="宋体"/>
                <w:sz w:val="21"/>
                <w:szCs w:val="21"/>
              </w:rPr>
              <w:t>Y≥40000</w:t>
            </w:r>
          </w:p>
        </w:tc>
        <w:tc>
          <w:tcPr>
            <w:tcW w:w="1701" w:type="dxa"/>
            <w:tcBorders>
              <w:top w:val="single" w:color="auto" w:sz="4" w:space="0"/>
              <w:left w:val="single" w:color="auto" w:sz="4" w:space="0"/>
              <w:bottom w:val="single" w:color="auto" w:sz="4" w:space="0"/>
              <w:right w:val="single" w:color="auto" w:sz="4" w:space="0"/>
            </w:tcBorders>
            <w:vAlign w:val="center"/>
          </w:tcPr>
          <w:p w14:paraId="1DC2D054">
            <w:pPr>
              <w:spacing w:line="360" w:lineRule="exact"/>
              <w:rPr>
                <w:rFonts w:hint="eastAsia" w:ascii="宋体" w:hAnsi="宋体" w:cs="宋体"/>
                <w:sz w:val="21"/>
                <w:szCs w:val="21"/>
              </w:rPr>
            </w:pPr>
            <w:r>
              <w:rPr>
                <w:rFonts w:hint="eastAsia" w:ascii="宋体" w:hAnsi="宋体" w:cs="宋体"/>
                <w:sz w:val="21"/>
                <w:szCs w:val="21"/>
              </w:rPr>
              <w:t>2000≤Y＜40000</w:t>
            </w:r>
          </w:p>
        </w:tc>
        <w:tc>
          <w:tcPr>
            <w:tcW w:w="1740" w:type="dxa"/>
            <w:tcBorders>
              <w:top w:val="single" w:color="auto" w:sz="4" w:space="0"/>
              <w:left w:val="single" w:color="auto" w:sz="4" w:space="0"/>
              <w:bottom w:val="single" w:color="auto" w:sz="4" w:space="0"/>
              <w:right w:val="single" w:color="auto" w:sz="4" w:space="0"/>
            </w:tcBorders>
            <w:vAlign w:val="center"/>
          </w:tcPr>
          <w:p w14:paraId="55BEFA5C">
            <w:pPr>
              <w:spacing w:line="360" w:lineRule="exact"/>
              <w:rPr>
                <w:rFonts w:hint="eastAsia" w:ascii="宋体" w:hAnsi="宋体" w:cs="宋体"/>
                <w:sz w:val="21"/>
                <w:szCs w:val="21"/>
              </w:rPr>
            </w:pPr>
            <w:r>
              <w:rPr>
                <w:rFonts w:hint="eastAsia" w:ascii="宋体" w:hAnsi="宋体" w:cs="宋体"/>
                <w:sz w:val="21"/>
                <w:szCs w:val="21"/>
              </w:rPr>
              <w:t xml:space="preserve"> 300≤Y＜2000</w:t>
            </w:r>
          </w:p>
        </w:tc>
        <w:tc>
          <w:tcPr>
            <w:tcW w:w="992" w:type="dxa"/>
            <w:tcBorders>
              <w:top w:val="single" w:color="auto" w:sz="4" w:space="0"/>
              <w:left w:val="single" w:color="auto" w:sz="4" w:space="0"/>
              <w:bottom w:val="single" w:color="auto" w:sz="4" w:space="0"/>
              <w:right w:val="single" w:color="auto" w:sz="4" w:space="0"/>
            </w:tcBorders>
            <w:vAlign w:val="center"/>
          </w:tcPr>
          <w:p w14:paraId="1A977F14">
            <w:pPr>
              <w:spacing w:line="360" w:lineRule="exact"/>
              <w:rPr>
                <w:rFonts w:hint="eastAsia" w:ascii="宋体" w:hAnsi="宋体" w:cs="宋体"/>
                <w:sz w:val="21"/>
                <w:szCs w:val="21"/>
              </w:rPr>
            </w:pPr>
            <w:r>
              <w:rPr>
                <w:rFonts w:hint="eastAsia" w:ascii="宋体" w:hAnsi="宋体" w:cs="宋体"/>
                <w:sz w:val="21"/>
                <w:szCs w:val="21"/>
              </w:rPr>
              <w:t>Y＜300</w:t>
            </w:r>
          </w:p>
        </w:tc>
      </w:tr>
      <w:tr w14:paraId="584D0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42574528">
            <w:pPr>
              <w:spacing w:line="360" w:lineRule="exact"/>
              <w:jc w:val="center"/>
              <w:rPr>
                <w:rFonts w:hint="eastAsia" w:ascii="宋体" w:hAnsi="宋体" w:cs="宋体"/>
                <w:sz w:val="21"/>
                <w:szCs w:val="21"/>
              </w:rPr>
            </w:pPr>
            <w:r>
              <w:rPr>
                <w:rFonts w:hint="eastAsia" w:ascii="宋体" w:hAnsi="宋体" w:cs="宋体"/>
                <w:sz w:val="21"/>
                <w:szCs w:val="21"/>
              </w:rPr>
              <w:t>建筑业</w:t>
            </w:r>
          </w:p>
        </w:tc>
        <w:tc>
          <w:tcPr>
            <w:tcW w:w="1559" w:type="dxa"/>
            <w:tcBorders>
              <w:top w:val="single" w:color="auto" w:sz="4" w:space="0"/>
              <w:left w:val="single" w:color="auto" w:sz="4" w:space="0"/>
              <w:bottom w:val="single" w:color="auto" w:sz="4" w:space="0"/>
              <w:right w:val="single" w:color="auto" w:sz="4" w:space="0"/>
            </w:tcBorders>
            <w:vAlign w:val="center"/>
          </w:tcPr>
          <w:p w14:paraId="2904E879">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3C5734BC">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788EF4C6">
            <w:pPr>
              <w:spacing w:line="360" w:lineRule="exact"/>
              <w:rPr>
                <w:rFonts w:hint="eastAsia" w:ascii="宋体" w:hAnsi="宋体" w:cs="宋体"/>
                <w:sz w:val="21"/>
                <w:szCs w:val="21"/>
              </w:rPr>
            </w:pPr>
            <w:r>
              <w:rPr>
                <w:rFonts w:hint="eastAsia" w:ascii="宋体" w:hAnsi="宋体" w:cs="宋体"/>
                <w:sz w:val="21"/>
                <w:szCs w:val="21"/>
              </w:rPr>
              <w:t>Y≥80000</w:t>
            </w:r>
          </w:p>
        </w:tc>
        <w:tc>
          <w:tcPr>
            <w:tcW w:w="1701" w:type="dxa"/>
            <w:tcBorders>
              <w:top w:val="single" w:color="auto" w:sz="4" w:space="0"/>
              <w:left w:val="single" w:color="auto" w:sz="4" w:space="0"/>
              <w:bottom w:val="single" w:color="auto" w:sz="4" w:space="0"/>
              <w:right w:val="single" w:color="auto" w:sz="4" w:space="0"/>
            </w:tcBorders>
            <w:vAlign w:val="center"/>
          </w:tcPr>
          <w:p w14:paraId="1F514006">
            <w:pPr>
              <w:spacing w:line="360" w:lineRule="exact"/>
              <w:rPr>
                <w:rFonts w:hint="eastAsia" w:ascii="宋体" w:hAnsi="宋体" w:cs="宋体"/>
                <w:sz w:val="21"/>
                <w:szCs w:val="21"/>
              </w:rPr>
            </w:pPr>
            <w:r>
              <w:rPr>
                <w:rFonts w:hint="eastAsia" w:ascii="宋体" w:hAnsi="宋体" w:cs="宋体"/>
                <w:sz w:val="21"/>
                <w:szCs w:val="21"/>
              </w:rPr>
              <w:t>6000≤Y＜80000</w:t>
            </w:r>
          </w:p>
        </w:tc>
        <w:tc>
          <w:tcPr>
            <w:tcW w:w="1740" w:type="dxa"/>
            <w:tcBorders>
              <w:top w:val="single" w:color="auto" w:sz="4" w:space="0"/>
              <w:left w:val="single" w:color="auto" w:sz="4" w:space="0"/>
              <w:bottom w:val="single" w:color="auto" w:sz="4" w:space="0"/>
              <w:right w:val="single" w:color="auto" w:sz="4" w:space="0"/>
            </w:tcBorders>
            <w:vAlign w:val="center"/>
          </w:tcPr>
          <w:p w14:paraId="0B11F5D5">
            <w:pPr>
              <w:spacing w:line="360" w:lineRule="exact"/>
              <w:rPr>
                <w:rFonts w:hint="eastAsia" w:ascii="宋体" w:hAnsi="宋体" w:cs="宋体"/>
                <w:sz w:val="21"/>
                <w:szCs w:val="21"/>
              </w:rPr>
            </w:pPr>
            <w:r>
              <w:rPr>
                <w:rFonts w:hint="eastAsia" w:ascii="宋体" w:hAnsi="宋体" w:cs="宋体"/>
                <w:sz w:val="21"/>
                <w:szCs w:val="21"/>
              </w:rPr>
              <w:t xml:space="preserve"> 300≤Y＜6000</w:t>
            </w:r>
          </w:p>
        </w:tc>
        <w:tc>
          <w:tcPr>
            <w:tcW w:w="992" w:type="dxa"/>
            <w:tcBorders>
              <w:top w:val="single" w:color="auto" w:sz="4" w:space="0"/>
              <w:left w:val="single" w:color="auto" w:sz="4" w:space="0"/>
              <w:bottom w:val="single" w:color="auto" w:sz="4" w:space="0"/>
              <w:right w:val="single" w:color="auto" w:sz="4" w:space="0"/>
            </w:tcBorders>
            <w:vAlign w:val="center"/>
          </w:tcPr>
          <w:p w14:paraId="4B10A314">
            <w:pPr>
              <w:spacing w:line="360" w:lineRule="exact"/>
              <w:rPr>
                <w:rFonts w:hint="eastAsia" w:ascii="宋体" w:hAnsi="宋体" w:cs="宋体"/>
                <w:sz w:val="21"/>
                <w:szCs w:val="21"/>
              </w:rPr>
            </w:pPr>
            <w:r>
              <w:rPr>
                <w:rFonts w:hint="eastAsia" w:ascii="宋体" w:hAnsi="宋体" w:cs="宋体"/>
                <w:sz w:val="21"/>
                <w:szCs w:val="21"/>
              </w:rPr>
              <w:t>Y＜300</w:t>
            </w:r>
          </w:p>
        </w:tc>
      </w:tr>
      <w:tr w14:paraId="3FBAC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1D1F8820">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5DB5EB98">
            <w:pPr>
              <w:spacing w:line="360" w:lineRule="exact"/>
              <w:rPr>
                <w:rFonts w:hint="eastAsia" w:ascii="宋体" w:hAnsi="宋体" w:cs="宋体"/>
                <w:sz w:val="21"/>
                <w:szCs w:val="21"/>
              </w:rPr>
            </w:pPr>
            <w:r>
              <w:rPr>
                <w:rFonts w:hint="eastAsia" w:ascii="宋体" w:hAnsi="宋体" w:cs="宋体"/>
                <w:sz w:val="21"/>
                <w:szCs w:val="21"/>
              </w:rPr>
              <w:t>资产总额(Z)</w:t>
            </w:r>
          </w:p>
        </w:tc>
        <w:tc>
          <w:tcPr>
            <w:tcW w:w="709" w:type="dxa"/>
            <w:tcBorders>
              <w:top w:val="single" w:color="auto" w:sz="4" w:space="0"/>
              <w:left w:val="single" w:color="auto" w:sz="4" w:space="0"/>
              <w:bottom w:val="single" w:color="auto" w:sz="4" w:space="0"/>
              <w:right w:val="single" w:color="auto" w:sz="4" w:space="0"/>
            </w:tcBorders>
            <w:vAlign w:val="center"/>
          </w:tcPr>
          <w:p w14:paraId="271C1A5C">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7C2C03B9">
            <w:pPr>
              <w:spacing w:line="360" w:lineRule="exact"/>
              <w:rPr>
                <w:rFonts w:hint="eastAsia" w:ascii="宋体" w:hAnsi="宋体" w:cs="宋体"/>
                <w:sz w:val="21"/>
                <w:szCs w:val="21"/>
              </w:rPr>
            </w:pPr>
            <w:r>
              <w:rPr>
                <w:rFonts w:hint="eastAsia" w:ascii="宋体" w:hAnsi="宋体" w:cs="宋体"/>
                <w:sz w:val="21"/>
                <w:szCs w:val="21"/>
              </w:rPr>
              <w:t>Z≥80000</w:t>
            </w:r>
          </w:p>
        </w:tc>
        <w:tc>
          <w:tcPr>
            <w:tcW w:w="1701" w:type="dxa"/>
            <w:tcBorders>
              <w:top w:val="single" w:color="auto" w:sz="4" w:space="0"/>
              <w:left w:val="single" w:color="auto" w:sz="4" w:space="0"/>
              <w:bottom w:val="single" w:color="auto" w:sz="4" w:space="0"/>
              <w:right w:val="single" w:color="auto" w:sz="4" w:space="0"/>
            </w:tcBorders>
            <w:vAlign w:val="center"/>
          </w:tcPr>
          <w:p w14:paraId="3F97DB46">
            <w:pPr>
              <w:spacing w:line="360" w:lineRule="exact"/>
              <w:rPr>
                <w:rFonts w:hint="eastAsia" w:ascii="宋体" w:hAnsi="宋体" w:cs="宋体"/>
                <w:sz w:val="21"/>
                <w:szCs w:val="21"/>
              </w:rPr>
            </w:pPr>
            <w:r>
              <w:rPr>
                <w:rFonts w:hint="eastAsia" w:ascii="宋体" w:hAnsi="宋体" w:cs="宋体"/>
                <w:sz w:val="21"/>
                <w:szCs w:val="21"/>
              </w:rPr>
              <w:t>5000≤Z＜80000</w:t>
            </w:r>
          </w:p>
        </w:tc>
        <w:tc>
          <w:tcPr>
            <w:tcW w:w="1740" w:type="dxa"/>
            <w:tcBorders>
              <w:top w:val="single" w:color="auto" w:sz="4" w:space="0"/>
              <w:left w:val="single" w:color="auto" w:sz="4" w:space="0"/>
              <w:bottom w:val="single" w:color="auto" w:sz="4" w:space="0"/>
              <w:right w:val="single" w:color="auto" w:sz="4" w:space="0"/>
            </w:tcBorders>
            <w:vAlign w:val="center"/>
          </w:tcPr>
          <w:p w14:paraId="3FC3EB11">
            <w:pPr>
              <w:spacing w:line="360" w:lineRule="exact"/>
              <w:rPr>
                <w:rFonts w:hint="eastAsia" w:ascii="宋体" w:hAnsi="宋体" w:cs="宋体"/>
                <w:sz w:val="21"/>
                <w:szCs w:val="21"/>
              </w:rPr>
            </w:pPr>
            <w:r>
              <w:rPr>
                <w:rFonts w:hint="eastAsia" w:ascii="宋体" w:hAnsi="宋体" w:cs="宋体"/>
                <w:sz w:val="21"/>
                <w:szCs w:val="21"/>
              </w:rPr>
              <w:t xml:space="preserve"> 300≤Z＜5000</w:t>
            </w:r>
          </w:p>
        </w:tc>
        <w:tc>
          <w:tcPr>
            <w:tcW w:w="992" w:type="dxa"/>
            <w:tcBorders>
              <w:top w:val="single" w:color="auto" w:sz="4" w:space="0"/>
              <w:left w:val="single" w:color="auto" w:sz="4" w:space="0"/>
              <w:bottom w:val="single" w:color="auto" w:sz="4" w:space="0"/>
              <w:right w:val="single" w:color="auto" w:sz="4" w:space="0"/>
            </w:tcBorders>
            <w:vAlign w:val="center"/>
          </w:tcPr>
          <w:p w14:paraId="5A1DAE76">
            <w:pPr>
              <w:spacing w:line="360" w:lineRule="exact"/>
              <w:rPr>
                <w:rFonts w:hint="eastAsia" w:ascii="宋体" w:hAnsi="宋体" w:cs="宋体"/>
                <w:sz w:val="21"/>
                <w:szCs w:val="21"/>
              </w:rPr>
            </w:pPr>
            <w:r>
              <w:rPr>
                <w:rFonts w:hint="eastAsia" w:ascii="宋体" w:hAnsi="宋体" w:cs="宋体"/>
                <w:sz w:val="21"/>
                <w:szCs w:val="21"/>
              </w:rPr>
              <w:t>Z＜300</w:t>
            </w:r>
          </w:p>
        </w:tc>
      </w:tr>
      <w:tr w14:paraId="070B2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7AD9AFEC">
            <w:pPr>
              <w:spacing w:line="360" w:lineRule="exact"/>
              <w:jc w:val="center"/>
              <w:rPr>
                <w:rFonts w:hint="eastAsia" w:ascii="宋体" w:hAnsi="宋体" w:cs="宋体"/>
                <w:sz w:val="21"/>
                <w:szCs w:val="21"/>
              </w:rPr>
            </w:pPr>
            <w:r>
              <w:rPr>
                <w:rFonts w:hint="eastAsia" w:ascii="宋体" w:hAnsi="宋体" w:cs="宋体"/>
                <w:sz w:val="21"/>
                <w:szCs w:val="21"/>
              </w:rPr>
              <w:t>批发业</w:t>
            </w:r>
          </w:p>
        </w:tc>
        <w:tc>
          <w:tcPr>
            <w:tcW w:w="1559" w:type="dxa"/>
            <w:tcBorders>
              <w:top w:val="single" w:color="auto" w:sz="4" w:space="0"/>
              <w:left w:val="single" w:color="auto" w:sz="4" w:space="0"/>
              <w:bottom w:val="single" w:color="auto" w:sz="4" w:space="0"/>
              <w:right w:val="single" w:color="auto" w:sz="4" w:space="0"/>
            </w:tcBorders>
            <w:vAlign w:val="center"/>
          </w:tcPr>
          <w:p w14:paraId="0C3EE7A6">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644988F8">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74187EBD">
            <w:pPr>
              <w:spacing w:line="360" w:lineRule="exact"/>
              <w:rPr>
                <w:rFonts w:hint="eastAsia" w:ascii="宋体" w:hAnsi="宋体" w:cs="宋体"/>
                <w:sz w:val="21"/>
                <w:szCs w:val="21"/>
              </w:rPr>
            </w:pPr>
            <w:r>
              <w:rPr>
                <w:rFonts w:hint="eastAsia" w:ascii="宋体" w:hAnsi="宋体" w:cs="宋体"/>
                <w:sz w:val="21"/>
                <w:szCs w:val="21"/>
              </w:rPr>
              <w:t>X≥200</w:t>
            </w:r>
          </w:p>
        </w:tc>
        <w:tc>
          <w:tcPr>
            <w:tcW w:w="1701" w:type="dxa"/>
            <w:tcBorders>
              <w:top w:val="single" w:color="auto" w:sz="4" w:space="0"/>
              <w:left w:val="single" w:color="auto" w:sz="4" w:space="0"/>
              <w:bottom w:val="single" w:color="auto" w:sz="4" w:space="0"/>
              <w:right w:val="single" w:color="auto" w:sz="4" w:space="0"/>
            </w:tcBorders>
            <w:vAlign w:val="center"/>
          </w:tcPr>
          <w:p w14:paraId="6AC30108">
            <w:pPr>
              <w:spacing w:line="360" w:lineRule="exact"/>
              <w:rPr>
                <w:rFonts w:hint="eastAsia" w:ascii="宋体" w:hAnsi="宋体" w:cs="宋体"/>
                <w:sz w:val="21"/>
                <w:szCs w:val="21"/>
              </w:rPr>
            </w:pPr>
            <w:r>
              <w:rPr>
                <w:rFonts w:hint="eastAsia" w:ascii="宋体" w:hAnsi="宋体" w:cs="宋体"/>
                <w:sz w:val="21"/>
                <w:szCs w:val="21"/>
              </w:rPr>
              <w:t>20≤X＜200</w:t>
            </w:r>
          </w:p>
        </w:tc>
        <w:tc>
          <w:tcPr>
            <w:tcW w:w="1740" w:type="dxa"/>
            <w:tcBorders>
              <w:top w:val="single" w:color="auto" w:sz="4" w:space="0"/>
              <w:left w:val="single" w:color="auto" w:sz="4" w:space="0"/>
              <w:bottom w:val="single" w:color="auto" w:sz="4" w:space="0"/>
              <w:right w:val="single" w:color="auto" w:sz="4" w:space="0"/>
            </w:tcBorders>
            <w:vAlign w:val="center"/>
          </w:tcPr>
          <w:p w14:paraId="560B9128">
            <w:pPr>
              <w:spacing w:line="360" w:lineRule="exact"/>
              <w:rPr>
                <w:rFonts w:hint="eastAsia" w:ascii="宋体" w:hAnsi="宋体" w:cs="宋体"/>
                <w:sz w:val="21"/>
                <w:szCs w:val="21"/>
              </w:rPr>
            </w:pPr>
            <w:r>
              <w:rPr>
                <w:rFonts w:hint="eastAsia" w:ascii="宋体" w:hAnsi="宋体" w:cs="宋体"/>
                <w:sz w:val="21"/>
                <w:szCs w:val="21"/>
              </w:rPr>
              <w:t xml:space="preserve"> 5≤X＜20</w:t>
            </w:r>
          </w:p>
        </w:tc>
        <w:tc>
          <w:tcPr>
            <w:tcW w:w="992" w:type="dxa"/>
            <w:tcBorders>
              <w:top w:val="single" w:color="auto" w:sz="4" w:space="0"/>
              <w:left w:val="single" w:color="auto" w:sz="4" w:space="0"/>
              <w:bottom w:val="single" w:color="auto" w:sz="4" w:space="0"/>
              <w:right w:val="single" w:color="auto" w:sz="4" w:space="0"/>
            </w:tcBorders>
            <w:vAlign w:val="center"/>
          </w:tcPr>
          <w:p w14:paraId="14CC9209">
            <w:pPr>
              <w:spacing w:line="360" w:lineRule="exact"/>
              <w:rPr>
                <w:rFonts w:hint="eastAsia" w:ascii="宋体" w:hAnsi="宋体" w:cs="宋体"/>
                <w:sz w:val="21"/>
                <w:szCs w:val="21"/>
              </w:rPr>
            </w:pPr>
            <w:r>
              <w:rPr>
                <w:rFonts w:hint="eastAsia" w:ascii="宋体" w:hAnsi="宋体" w:cs="宋体"/>
                <w:sz w:val="21"/>
                <w:szCs w:val="21"/>
              </w:rPr>
              <w:t>X＜5</w:t>
            </w:r>
          </w:p>
        </w:tc>
      </w:tr>
      <w:tr w14:paraId="5A9AD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523D4EFC">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150C00BA">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0884979F">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61B95D24">
            <w:pPr>
              <w:spacing w:line="360" w:lineRule="exact"/>
              <w:rPr>
                <w:rFonts w:hint="eastAsia" w:ascii="宋体" w:hAnsi="宋体" w:cs="宋体"/>
                <w:sz w:val="21"/>
                <w:szCs w:val="21"/>
              </w:rPr>
            </w:pPr>
            <w:r>
              <w:rPr>
                <w:rFonts w:hint="eastAsia" w:ascii="宋体" w:hAnsi="宋体" w:cs="宋体"/>
                <w:sz w:val="21"/>
                <w:szCs w:val="21"/>
              </w:rPr>
              <w:t>Y≥40000</w:t>
            </w:r>
          </w:p>
        </w:tc>
        <w:tc>
          <w:tcPr>
            <w:tcW w:w="1701" w:type="dxa"/>
            <w:tcBorders>
              <w:top w:val="single" w:color="auto" w:sz="4" w:space="0"/>
              <w:left w:val="single" w:color="auto" w:sz="4" w:space="0"/>
              <w:bottom w:val="single" w:color="auto" w:sz="4" w:space="0"/>
              <w:right w:val="single" w:color="auto" w:sz="4" w:space="0"/>
            </w:tcBorders>
            <w:vAlign w:val="center"/>
          </w:tcPr>
          <w:p w14:paraId="1F3718A1">
            <w:pPr>
              <w:spacing w:line="360" w:lineRule="exact"/>
              <w:rPr>
                <w:rFonts w:hint="eastAsia" w:ascii="宋体" w:hAnsi="宋体" w:cs="宋体"/>
                <w:sz w:val="21"/>
                <w:szCs w:val="21"/>
              </w:rPr>
            </w:pPr>
            <w:r>
              <w:rPr>
                <w:rFonts w:hint="eastAsia" w:ascii="宋体" w:hAnsi="宋体" w:cs="宋体"/>
                <w:sz w:val="21"/>
                <w:szCs w:val="21"/>
              </w:rPr>
              <w:t>5000≤Y＜40000</w:t>
            </w:r>
          </w:p>
        </w:tc>
        <w:tc>
          <w:tcPr>
            <w:tcW w:w="1740" w:type="dxa"/>
            <w:tcBorders>
              <w:top w:val="single" w:color="auto" w:sz="4" w:space="0"/>
              <w:left w:val="single" w:color="auto" w:sz="4" w:space="0"/>
              <w:bottom w:val="single" w:color="auto" w:sz="4" w:space="0"/>
              <w:right w:val="single" w:color="auto" w:sz="4" w:space="0"/>
            </w:tcBorders>
            <w:vAlign w:val="center"/>
          </w:tcPr>
          <w:p w14:paraId="1FB89735">
            <w:pPr>
              <w:spacing w:line="360" w:lineRule="exact"/>
              <w:rPr>
                <w:rFonts w:hint="eastAsia" w:ascii="宋体" w:hAnsi="宋体" w:cs="宋体"/>
                <w:sz w:val="21"/>
                <w:szCs w:val="21"/>
              </w:rPr>
            </w:pPr>
            <w:r>
              <w:rPr>
                <w:rFonts w:hint="eastAsia" w:ascii="宋体" w:hAnsi="宋体" w:cs="宋体"/>
                <w:sz w:val="21"/>
                <w:szCs w:val="21"/>
              </w:rPr>
              <w:t>1000≤Y＜5000</w:t>
            </w:r>
          </w:p>
        </w:tc>
        <w:tc>
          <w:tcPr>
            <w:tcW w:w="992" w:type="dxa"/>
            <w:tcBorders>
              <w:top w:val="single" w:color="auto" w:sz="4" w:space="0"/>
              <w:left w:val="single" w:color="auto" w:sz="4" w:space="0"/>
              <w:bottom w:val="single" w:color="auto" w:sz="4" w:space="0"/>
              <w:right w:val="single" w:color="auto" w:sz="4" w:space="0"/>
            </w:tcBorders>
            <w:vAlign w:val="center"/>
          </w:tcPr>
          <w:p w14:paraId="078D8102">
            <w:pPr>
              <w:spacing w:line="360" w:lineRule="exact"/>
              <w:rPr>
                <w:rFonts w:hint="eastAsia" w:ascii="宋体" w:hAnsi="宋体" w:cs="宋体"/>
                <w:sz w:val="21"/>
                <w:szCs w:val="21"/>
              </w:rPr>
            </w:pPr>
            <w:r>
              <w:rPr>
                <w:rFonts w:hint="eastAsia" w:ascii="宋体" w:hAnsi="宋体" w:cs="宋体"/>
                <w:sz w:val="21"/>
                <w:szCs w:val="21"/>
              </w:rPr>
              <w:t>Y＜1000</w:t>
            </w:r>
          </w:p>
        </w:tc>
      </w:tr>
      <w:tr w14:paraId="2614C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016CEDD8">
            <w:pPr>
              <w:spacing w:line="360" w:lineRule="exact"/>
              <w:jc w:val="center"/>
              <w:rPr>
                <w:rFonts w:hint="eastAsia" w:ascii="宋体" w:hAnsi="宋体" w:cs="宋体"/>
                <w:sz w:val="21"/>
                <w:szCs w:val="21"/>
              </w:rPr>
            </w:pPr>
            <w:r>
              <w:rPr>
                <w:rFonts w:hint="eastAsia" w:ascii="宋体" w:hAnsi="宋体" w:cs="宋体"/>
                <w:sz w:val="21"/>
                <w:szCs w:val="21"/>
              </w:rPr>
              <w:t>零售业</w:t>
            </w:r>
          </w:p>
        </w:tc>
        <w:tc>
          <w:tcPr>
            <w:tcW w:w="1559" w:type="dxa"/>
            <w:tcBorders>
              <w:top w:val="single" w:color="auto" w:sz="4" w:space="0"/>
              <w:left w:val="single" w:color="auto" w:sz="4" w:space="0"/>
              <w:bottom w:val="single" w:color="auto" w:sz="4" w:space="0"/>
              <w:right w:val="single" w:color="auto" w:sz="4" w:space="0"/>
            </w:tcBorders>
            <w:vAlign w:val="center"/>
          </w:tcPr>
          <w:p w14:paraId="4AED25B3">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06CC20A5">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600D05FF">
            <w:pPr>
              <w:spacing w:line="360" w:lineRule="exact"/>
              <w:rPr>
                <w:rFonts w:hint="eastAsia" w:ascii="宋体" w:hAnsi="宋体" w:cs="宋体"/>
                <w:sz w:val="21"/>
                <w:szCs w:val="21"/>
              </w:rPr>
            </w:pPr>
            <w:r>
              <w:rPr>
                <w:rFonts w:hint="eastAsia" w:ascii="宋体" w:hAnsi="宋体" w:cs="宋体"/>
                <w:sz w:val="21"/>
                <w:szCs w:val="21"/>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6EAC0058">
            <w:pPr>
              <w:spacing w:line="360" w:lineRule="exact"/>
              <w:rPr>
                <w:rFonts w:hint="eastAsia" w:ascii="宋体" w:hAnsi="宋体" w:cs="宋体"/>
                <w:sz w:val="21"/>
                <w:szCs w:val="21"/>
              </w:rPr>
            </w:pPr>
            <w:r>
              <w:rPr>
                <w:rFonts w:hint="eastAsia" w:ascii="宋体" w:hAnsi="宋体" w:cs="宋体"/>
                <w:sz w:val="21"/>
                <w:szCs w:val="21"/>
              </w:rPr>
              <w:t>50≤X＜300</w:t>
            </w:r>
          </w:p>
        </w:tc>
        <w:tc>
          <w:tcPr>
            <w:tcW w:w="1740" w:type="dxa"/>
            <w:tcBorders>
              <w:top w:val="single" w:color="auto" w:sz="4" w:space="0"/>
              <w:left w:val="single" w:color="auto" w:sz="4" w:space="0"/>
              <w:bottom w:val="single" w:color="auto" w:sz="4" w:space="0"/>
              <w:right w:val="single" w:color="auto" w:sz="4" w:space="0"/>
            </w:tcBorders>
            <w:vAlign w:val="center"/>
          </w:tcPr>
          <w:p w14:paraId="579621B5">
            <w:pPr>
              <w:spacing w:line="360" w:lineRule="exact"/>
              <w:rPr>
                <w:rFonts w:hint="eastAsia" w:ascii="宋体" w:hAnsi="宋体" w:cs="宋体"/>
                <w:sz w:val="21"/>
                <w:szCs w:val="21"/>
              </w:rPr>
            </w:pPr>
            <w:r>
              <w:rPr>
                <w:rFonts w:hint="eastAsia" w:ascii="宋体" w:hAnsi="宋体" w:cs="宋体"/>
                <w:sz w:val="21"/>
                <w:szCs w:val="21"/>
              </w:rPr>
              <w:t xml:space="preserve">10≤X＜50 </w:t>
            </w:r>
          </w:p>
        </w:tc>
        <w:tc>
          <w:tcPr>
            <w:tcW w:w="992" w:type="dxa"/>
            <w:tcBorders>
              <w:top w:val="single" w:color="auto" w:sz="4" w:space="0"/>
              <w:left w:val="single" w:color="auto" w:sz="4" w:space="0"/>
              <w:bottom w:val="single" w:color="auto" w:sz="4" w:space="0"/>
              <w:right w:val="single" w:color="auto" w:sz="4" w:space="0"/>
            </w:tcBorders>
            <w:vAlign w:val="center"/>
          </w:tcPr>
          <w:p w14:paraId="359812C4">
            <w:pPr>
              <w:spacing w:line="360" w:lineRule="exact"/>
              <w:rPr>
                <w:rFonts w:hint="eastAsia" w:ascii="宋体" w:hAnsi="宋体" w:cs="宋体"/>
                <w:sz w:val="21"/>
                <w:szCs w:val="21"/>
              </w:rPr>
            </w:pPr>
            <w:r>
              <w:rPr>
                <w:rFonts w:hint="eastAsia" w:ascii="宋体" w:hAnsi="宋体" w:cs="宋体"/>
                <w:sz w:val="21"/>
                <w:szCs w:val="21"/>
              </w:rPr>
              <w:t>X＜10</w:t>
            </w:r>
          </w:p>
        </w:tc>
      </w:tr>
      <w:tr w14:paraId="2118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0606E91C">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522998CF">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20D81B89">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1DA5248C">
            <w:pPr>
              <w:spacing w:line="360" w:lineRule="exact"/>
              <w:rPr>
                <w:rFonts w:hint="eastAsia" w:ascii="宋体" w:hAnsi="宋体" w:cs="宋体"/>
                <w:sz w:val="21"/>
                <w:szCs w:val="21"/>
              </w:rPr>
            </w:pPr>
            <w:r>
              <w:rPr>
                <w:rFonts w:hint="eastAsia" w:ascii="宋体" w:hAnsi="宋体" w:cs="宋体"/>
                <w:sz w:val="21"/>
                <w:szCs w:val="21"/>
              </w:rPr>
              <w:t>Y≥20000</w:t>
            </w:r>
          </w:p>
        </w:tc>
        <w:tc>
          <w:tcPr>
            <w:tcW w:w="1701" w:type="dxa"/>
            <w:tcBorders>
              <w:top w:val="single" w:color="auto" w:sz="4" w:space="0"/>
              <w:left w:val="single" w:color="auto" w:sz="4" w:space="0"/>
              <w:bottom w:val="single" w:color="auto" w:sz="4" w:space="0"/>
              <w:right w:val="single" w:color="auto" w:sz="4" w:space="0"/>
            </w:tcBorders>
            <w:vAlign w:val="center"/>
          </w:tcPr>
          <w:p w14:paraId="6377D72A">
            <w:pPr>
              <w:spacing w:line="360" w:lineRule="exact"/>
              <w:rPr>
                <w:rFonts w:hint="eastAsia" w:ascii="宋体" w:hAnsi="宋体" w:cs="宋体"/>
                <w:sz w:val="21"/>
                <w:szCs w:val="21"/>
              </w:rPr>
            </w:pPr>
            <w:r>
              <w:rPr>
                <w:rFonts w:hint="eastAsia" w:ascii="宋体" w:hAnsi="宋体" w:cs="宋体"/>
                <w:sz w:val="21"/>
                <w:szCs w:val="21"/>
              </w:rPr>
              <w:t xml:space="preserve"> 500≤Y＜20000</w:t>
            </w:r>
          </w:p>
        </w:tc>
        <w:tc>
          <w:tcPr>
            <w:tcW w:w="1740" w:type="dxa"/>
            <w:tcBorders>
              <w:top w:val="single" w:color="auto" w:sz="4" w:space="0"/>
              <w:left w:val="single" w:color="auto" w:sz="4" w:space="0"/>
              <w:bottom w:val="single" w:color="auto" w:sz="4" w:space="0"/>
              <w:right w:val="single" w:color="auto" w:sz="4" w:space="0"/>
            </w:tcBorders>
            <w:vAlign w:val="center"/>
          </w:tcPr>
          <w:p w14:paraId="07864AF7">
            <w:pPr>
              <w:spacing w:line="360" w:lineRule="exact"/>
              <w:rPr>
                <w:rFonts w:hint="eastAsia" w:ascii="宋体" w:hAnsi="宋体" w:cs="宋体"/>
                <w:sz w:val="21"/>
                <w:szCs w:val="21"/>
              </w:rPr>
            </w:pPr>
            <w:r>
              <w:rPr>
                <w:rFonts w:hint="eastAsia" w:ascii="宋体" w:hAnsi="宋体" w:cs="宋体"/>
                <w:sz w:val="21"/>
                <w:szCs w:val="21"/>
              </w:rPr>
              <w:t xml:space="preserve">100≤Y＜500 </w:t>
            </w:r>
          </w:p>
        </w:tc>
        <w:tc>
          <w:tcPr>
            <w:tcW w:w="992" w:type="dxa"/>
            <w:tcBorders>
              <w:top w:val="single" w:color="auto" w:sz="4" w:space="0"/>
              <w:left w:val="single" w:color="auto" w:sz="4" w:space="0"/>
              <w:bottom w:val="single" w:color="auto" w:sz="4" w:space="0"/>
              <w:right w:val="single" w:color="auto" w:sz="4" w:space="0"/>
            </w:tcBorders>
            <w:vAlign w:val="center"/>
          </w:tcPr>
          <w:p w14:paraId="45F69E00">
            <w:pPr>
              <w:spacing w:line="360" w:lineRule="exact"/>
              <w:rPr>
                <w:rFonts w:hint="eastAsia" w:ascii="宋体" w:hAnsi="宋体" w:cs="宋体"/>
                <w:sz w:val="21"/>
                <w:szCs w:val="21"/>
              </w:rPr>
            </w:pPr>
            <w:r>
              <w:rPr>
                <w:rFonts w:hint="eastAsia" w:ascii="宋体" w:hAnsi="宋体" w:cs="宋体"/>
                <w:sz w:val="21"/>
                <w:szCs w:val="21"/>
              </w:rPr>
              <w:t>Y＜100</w:t>
            </w:r>
          </w:p>
        </w:tc>
      </w:tr>
      <w:tr w14:paraId="66A9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3CB4717D">
            <w:pPr>
              <w:spacing w:line="360" w:lineRule="exact"/>
              <w:jc w:val="center"/>
              <w:rPr>
                <w:rFonts w:hint="eastAsia" w:ascii="宋体" w:hAnsi="宋体" w:cs="宋体"/>
                <w:sz w:val="21"/>
                <w:szCs w:val="21"/>
              </w:rPr>
            </w:pPr>
            <w:r>
              <w:rPr>
                <w:rFonts w:hint="eastAsia" w:ascii="宋体" w:hAnsi="宋体" w:cs="宋体"/>
                <w:sz w:val="21"/>
                <w:szCs w:val="21"/>
              </w:rPr>
              <w:t>交通运输业*</w:t>
            </w:r>
          </w:p>
        </w:tc>
        <w:tc>
          <w:tcPr>
            <w:tcW w:w="1559" w:type="dxa"/>
            <w:tcBorders>
              <w:top w:val="single" w:color="auto" w:sz="4" w:space="0"/>
              <w:left w:val="single" w:color="auto" w:sz="4" w:space="0"/>
              <w:bottom w:val="single" w:color="auto" w:sz="4" w:space="0"/>
              <w:right w:val="single" w:color="auto" w:sz="4" w:space="0"/>
            </w:tcBorders>
            <w:vAlign w:val="center"/>
          </w:tcPr>
          <w:p w14:paraId="7172AE9C">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57A18D95">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6BC17128">
            <w:pPr>
              <w:spacing w:line="360" w:lineRule="exact"/>
              <w:rPr>
                <w:rFonts w:hint="eastAsia" w:ascii="宋体" w:hAnsi="宋体" w:cs="宋体"/>
                <w:sz w:val="21"/>
                <w:szCs w:val="21"/>
              </w:rPr>
            </w:pPr>
            <w:r>
              <w:rPr>
                <w:rFonts w:hint="eastAsia" w:ascii="宋体" w:hAnsi="宋体" w:cs="宋体"/>
                <w:sz w:val="21"/>
                <w:szCs w:val="21"/>
              </w:rPr>
              <w:t>X≥1000</w:t>
            </w:r>
          </w:p>
        </w:tc>
        <w:tc>
          <w:tcPr>
            <w:tcW w:w="1701" w:type="dxa"/>
            <w:tcBorders>
              <w:top w:val="single" w:color="auto" w:sz="4" w:space="0"/>
              <w:left w:val="single" w:color="auto" w:sz="4" w:space="0"/>
              <w:bottom w:val="single" w:color="auto" w:sz="4" w:space="0"/>
              <w:right w:val="single" w:color="auto" w:sz="4" w:space="0"/>
            </w:tcBorders>
            <w:vAlign w:val="center"/>
          </w:tcPr>
          <w:p w14:paraId="771EF82D">
            <w:pPr>
              <w:spacing w:line="360" w:lineRule="exact"/>
              <w:rPr>
                <w:rFonts w:hint="eastAsia" w:ascii="宋体" w:hAnsi="宋体" w:cs="宋体"/>
                <w:sz w:val="21"/>
                <w:szCs w:val="21"/>
              </w:rPr>
            </w:pPr>
            <w:r>
              <w:rPr>
                <w:rFonts w:hint="eastAsia" w:ascii="宋体" w:hAnsi="宋体" w:cs="宋体"/>
                <w:sz w:val="21"/>
                <w:szCs w:val="21"/>
              </w:rPr>
              <w:t>300≤X＜1000</w:t>
            </w:r>
          </w:p>
        </w:tc>
        <w:tc>
          <w:tcPr>
            <w:tcW w:w="1740" w:type="dxa"/>
            <w:tcBorders>
              <w:top w:val="single" w:color="auto" w:sz="4" w:space="0"/>
              <w:left w:val="single" w:color="auto" w:sz="4" w:space="0"/>
              <w:bottom w:val="single" w:color="auto" w:sz="4" w:space="0"/>
              <w:right w:val="single" w:color="auto" w:sz="4" w:space="0"/>
            </w:tcBorders>
            <w:vAlign w:val="center"/>
          </w:tcPr>
          <w:p w14:paraId="7A23BEDF">
            <w:pPr>
              <w:spacing w:line="360" w:lineRule="exact"/>
              <w:rPr>
                <w:rFonts w:hint="eastAsia" w:ascii="宋体" w:hAnsi="宋体" w:cs="宋体"/>
                <w:sz w:val="21"/>
                <w:szCs w:val="21"/>
              </w:rPr>
            </w:pPr>
            <w:r>
              <w:rPr>
                <w:rFonts w:hint="eastAsia" w:ascii="宋体" w:hAnsi="宋体" w:cs="宋体"/>
                <w:sz w:val="21"/>
                <w:szCs w:val="21"/>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14:paraId="485E59D6">
            <w:pPr>
              <w:spacing w:line="360" w:lineRule="exact"/>
              <w:rPr>
                <w:rFonts w:hint="eastAsia" w:ascii="宋体" w:hAnsi="宋体" w:cs="宋体"/>
                <w:sz w:val="21"/>
                <w:szCs w:val="21"/>
              </w:rPr>
            </w:pPr>
            <w:r>
              <w:rPr>
                <w:rFonts w:hint="eastAsia" w:ascii="宋体" w:hAnsi="宋体" w:cs="宋体"/>
                <w:sz w:val="21"/>
                <w:szCs w:val="21"/>
              </w:rPr>
              <w:t>X＜20</w:t>
            </w:r>
          </w:p>
        </w:tc>
      </w:tr>
      <w:tr w14:paraId="5E19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06CBDE0C">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5612144D">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0EA1B2AE">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6C50757B">
            <w:pPr>
              <w:spacing w:line="360" w:lineRule="exact"/>
              <w:rPr>
                <w:rFonts w:hint="eastAsia" w:ascii="宋体" w:hAnsi="宋体" w:cs="宋体"/>
                <w:sz w:val="21"/>
                <w:szCs w:val="21"/>
              </w:rPr>
            </w:pPr>
            <w:r>
              <w:rPr>
                <w:rFonts w:hint="eastAsia" w:ascii="宋体" w:hAnsi="宋体" w:cs="宋体"/>
                <w:sz w:val="21"/>
                <w:szCs w:val="21"/>
              </w:rPr>
              <w:t>Y≥30000</w:t>
            </w:r>
          </w:p>
        </w:tc>
        <w:tc>
          <w:tcPr>
            <w:tcW w:w="1701" w:type="dxa"/>
            <w:tcBorders>
              <w:top w:val="single" w:color="auto" w:sz="4" w:space="0"/>
              <w:left w:val="single" w:color="auto" w:sz="4" w:space="0"/>
              <w:bottom w:val="single" w:color="auto" w:sz="4" w:space="0"/>
              <w:right w:val="single" w:color="auto" w:sz="4" w:space="0"/>
            </w:tcBorders>
            <w:vAlign w:val="center"/>
          </w:tcPr>
          <w:p w14:paraId="65B7D955">
            <w:pPr>
              <w:spacing w:line="360" w:lineRule="exact"/>
              <w:rPr>
                <w:rFonts w:hint="eastAsia" w:ascii="宋体" w:hAnsi="宋体" w:cs="宋体"/>
                <w:sz w:val="21"/>
                <w:szCs w:val="21"/>
              </w:rPr>
            </w:pPr>
            <w:r>
              <w:rPr>
                <w:rFonts w:hint="eastAsia" w:ascii="宋体" w:hAnsi="宋体" w:cs="宋体"/>
                <w:sz w:val="21"/>
                <w:szCs w:val="21"/>
              </w:rPr>
              <w:t>3000≤Y＜30000</w:t>
            </w:r>
          </w:p>
        </w:tc>
        <w:tc>
          <w:tcPr>
            <w:tcW w:w="1740" w:type="dxa"/>
            <w:tcBorders>
              <w:top w:val="single" w:color="auto" w:sz="4" w:space="0"/>
              <w:left w:val="single" w:color="auto" w:sz="4" w:space="0"/>
              <w:bottom w:val="single" w:color="auto" w:sz="4" w:space="0"/>
              <w:right w:val="single" w:color="auto" w:sz="4" w:space="0"/>
            </w:tcBorders>
            <w:vAlign w:val="center"/>
          </w:tcPr>
          <w:p w14:paraId="59197036">
            <w:pPr>
              <w:spacing w:line="360" w:lineRule="exact"/>
              <w:rPr>
                <w:rFonts w:hint="eastAsia" w:ascii="宋体" w:hAnsi="宋体" w:cs="宋体"/>
                <w:sz w:val="21"/>
                <w:szCs w:val="21"/>
              </w:rPr>
            </w:pPr>
            <w:r>
              <w:rPr>
                <w:rFonts w:hint="eastAsia" w:ascii="宋体" w:hAnsi="宋体" w:cs="宋体"/>
                <w:sz w:val="21"/>
                <w:szCs w:val="21"/>
              </w:rPr>
              <w:t xml:space="preserve"> 200≤Y＜3000</w:t>
            </w:r>
          </w:p>
        </w:tc>
        <w:tc>
          <w:tcPr>
            <w:tcW w:w="992" w:type="dxa"/>
            <w:tcBorders>
              <w:top w:val="single" w:color="auto" w:sz="4" w:space="0"/>
              <w:left w:val="single" w:color="auto" w:sz="4" w:space="0"/>
              <w:bottom w:val="single" w:color="auto" w:sz="4" w:space="0"/>
              <w:right w:val="single" w:color="auto" w:sz="4" w:space="0"/>
            </w:tcBorders>
            <w:vAlign w:val="center"/>
          </w:tcPr>
          <w:p w14:paraId="3FF2BBC2">
            <w:pPr>
              <w:spacing w:line="360" w:lineRule="exact"/>
              <w:rPr>
                <w:rFonts w:hint="eastAsia" w:ascii="宋体" w:hAnsi="宋体" w:cs="宋体"/>
                <w:sz w:val="21"/>
                <w:szCs w:val="21"/>
              </w:rPr>
            </w:pPr>
            <w:r>
              <w:rPr>
                <w:rFonts w:hint="eastAsia" w:ascii="宋体" w:hAnsi="宋体" w:cs="宋体"/>
                <w:sz w:val="21"/>
                <w:szCs w:val="21"/>
              </w:rPr>
              <w:t>Y＜200</w:t>
            </w:r>
          </w:p>
        </w:tc>
      </w:tr>
      <w:tr w14:paraId="282E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1E5EE25D">
            <w:pPr>
              <w:spacing w:line="360" w:lineRule="exact"/>
              <w:jc w:val="center"/>
              <w:rPr>
                <w:rFonts w:hint="eastAsia" w:ascii="宋体" w:hAnsi="宋体" w:cs="宋体"/>
                <w:sz w:val="21"/>
                <w:szCs w:val="21"/>
              </w:rPr>
            </w:pPr>
            <w:r>
              <w:rPr>
                <w:rFonts w:hint="eastAsia" w:ascii="宋体" w:hAnsi="宋体" w:cs="宋体"/>
                <w:sz w:val="21"/>
                <w:szCs w:val="21"/>
              </w:rPr>
              <w:t>仓储业*</w:t>
            </w:r>
          </w:p>
        </w:tc>
        <w:tc>
          <w:tcPr>
            <w:tcW w:w="1559" w:type="dxa"/>
            <w:tcBorders>
              <w:top w:val="single" w:color="auto" w:sz="4" w:space="0"/>
              <w:left w:val="single" w:color="auto" w:sz="4" w:space="0"/>
              <w:bottom w:val="single" w:color="auto" w:sz="4" w:space="0"/>
              <w:right w:val="single" w:color="auto" w:sz="4" w:space="0"/>
            </w:tcBorders>
            <w:vAlign w:val="center"/>
          </w:tcPr>
          <w:p w14:paraId="391EC20F">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6C077CBC">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7649167B">
            <w:pPr>
              <w:spacing w:line="360" w:lineRule="exact"/>
              <w:rPr>
                <w:rFonts w:hint="eastAsia" w:ascii="宋体" w:hAnsi="宋体" w:cs="宋体"/>
                <w:sz w:val="21"/>
                <w:szCs w:val="21"/>
              </w:rPr>
            </w:pPr>
            <w:r>
              <w:rPr>
                <w:rFonts w:hint="eastAsia" w:ascii="宋体" w:hAnsi="宋体" w:cs="宋体"/>
                <w:sz w:val="21"/>
                <w:szCs w:val="21"/>
              </w:rPr>
              <w:t>X≥200</w:t>
            </w:r>
          </w:p>
        </w:tc>
        <w:tc>
          <w:tcPr>
            <w:tcW w:w="1701" w:type="dxa"/>
            <w:tcBorders>
              <w:top w:val="single" w:color="auto" w:sz="4" w:space="0"/>
              <w:left w:val="single" w:color="auto" w:sz="4" w:space="0"/>
              <w:bottom w:val="single" w:color="auto" w:sz="4" w:space="0"/>
              <w:right w:val="single" w:color="auto" w:sz="4" w:space="0"/>
            </w:tcBorders>
            <w:vAlign w:val="center"/>
          </w:tcPr>
          <w:p w14:paraId="6CF052F5">
            <w:pPr>
              <w:spacing w:line="360" w:lineRule="exact"/>
              <w:rPr>
                <w:rFonts w:hint="eastAsia" w:ascii="宋体" w:hAnsi="宋体" w:cs="宋体"/>
                <w:sz w:val="21"/>
                <w:szCs w:val="21"/>
              </w:rPr>
            </w:pPr>
            <w:r>
              <w:rPr>
                <w:rFonts w:hint="eastAsia" w:ascii="宋体" w:hAnsi="宋体" w:cs="宋体"/>
                <w:sz w:val="21"/>
                <w:szCs w:val="21"/>
              </w:rPr>
              <w:t>100≤X＜200</w:t>
            </w:r>
          </w:p>
        </w:tc>
        <w:tc>
          <w:tcPr>
            <w:tcW w:w="1740" w:type="dxa"/>
            <w:tcBorders>
              <w:top w:val="single" w:color="auto" w:sz="4" w:space="0"/>
              <w:left w:val="single" w:color="auto" w:sz="4" w:space="0"/>
              <w:bottom w:val="single" w:color="auto" w:sz="4" w:space="0"/>
              <w:right w:val="single" w:color="auto" w:sz="4" w:space="0"/>
            </w:tcBorders>
            <w:vAlign w:val="center"/>
          </w:tcPr>
          <w:p w14:paraId="5AAB7EF5">
            <w:pPr>
              <w:spacing w:line="360" w:lineRule="exact"/>
              <w:rPr>
                <w:rFonts w:hint="eastAsia" w:ascii="宋体" w:hAnsi="宋体" w:cs="宋体"/>
                <w:sz w:val="21"/>
                <w:szCs w:val="21"/>
              </w:rPr>
            </w:pPr>
            <w:r>
              <w:rPr>
                <w:rFonts w:hint="eastAsia" w:ascii="宋体" w:hAnsi="宋体" w:cs="宋体"/>
                <w:sz w:val="21"/>
                <w:szCs w:val="21"/>
              </w:rPr>
              <w:t xml:space="preserve"> 20≤X＜100</w:t>
            </w:r>
          </w:p>
        </w:tc>
        <w:tc>
          <w:tcPr>
            <w:tcW w:w="992" w:type="dxa"/>
            <w:tcBorders>
              <w:top w:val="single" w:color="auto" w:sz="4" w:space="0"/>
              <w:left w:val="single" w:color="auto" w:sz="4" w:space="0"/>
              <w:bottom w:val="single" w:color="auto" w:sz="4" w:space="0"/>
              <w:right w:val="single" w:color="auto" w:sz="4" w:space="0"/>
            </w:tcBorders>
            <w:vAlign w:val="center"/>
          </w:tcPr>
          <w:p w14:paraId="003263E2">
            <w:pPr>
              <w:spacing w:line="360" w:lineRule="exact"/>
              <w:rPr>
                <w:rFonts w:hint="eastAsia" w:ascii="宋体" w:hAnsi="宋体" w:cs="宋体"/>
                <w:sz w:val="21"/>
                <w:szCs w:val="21"/>
              </w:rPr>
            </w:pPr>
            <w:r>
              <w:rPr>
                <w:rFonts w:hint="eastAsia" w:ascii="宋体" w:hAnsi="宋体" w:cs="宋体"/>
                <w:sz w:val="21"/>
                <w:szCs w:val="21"/>
              </w:rPr>
              <w:t>X＜20</w:t>
            </w:r>
          </w:p>
        </w:tc>
      </w:tr>
      <w:tr w14:paraId="4E85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1E7C2D72">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1CE83F7D">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14D8666B">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4CDDDFB3">
            <w:pPr>
              <w:spacing w:line="360" w:lineRule="exact"/>
              <w:rPr>
                <w:rFonts w:hint="eastAsia" w:ascii="宋体" w:hAnsi="宋体" w:cs="宋体"/>
                <w:sz w:val="21"/>
                <w:szCs w:val="21"/>
              </w:rPr>
            </w:pPr>
            <w:r>
              <w:rPr>
                <w:rFonts w:hint="eastAsia" w:ascii="宋体" w:hAnsi="宋体" w:cs="宋体"/>
                <w:sz w:val="21"/>
                <w:szCs w:val="21"/>
              </w:rPr>
              <w:t>Y≥30000</w:t>
            </w:r>
          </w:p>
        </w:tc>
        <w:tc>
          <w:tcPr>
            <w:tcW w:w="1701" w:type="dxa"/>
            <w:tcBorders>
              <w:top w:val="single" w:color="auto" w:sz="4" w:space="0"/>
              <w:left w:val="single" w:color="auto" w:sz="4" w:space="0"/>
              <w:bottom w:val="single" w:color="auto" w:sz="4" w:space="0"/>
              <w:right w:val="single" w:color="auto" w:sz="4" w:space="0"/>
            </w:tcBorders>
            <w:vAlign w:val="center"/>
          </w:tcPr>
          <w:p w14:paraId="76DBC525">
            <w:pPr>
              <w:spacing w:line="360" w:lineRule="exact"/>
              <w:rPr>
                <w:rFonts w:hint="eastAsia" w:ascii="宋体" w:hAnsi="宋体" w:cs="宋体"/>
                <w:sz w:val="21"/>
                <w:szCs w:val="21"/>
              </w:rPr>
            </w:pPr>
            <w:r>
              <w:rPr>
                <w:rFonts w:hint="eastAsia" w:ascii="宋体" w:hAnsi="宋体" w:cs="宋体"/>
                <w:sz w:val="21"/>
                <w:szCs w:val="21"/>
              </w:rPr>
              <w:t>1000≤Y＜30000</w:t>
            </w:r>
          </w:p>
        </w:tc>
        <w:tc>
          <w:tcPr>
            <w:tcW w:w="1740" w:type="dxa"/>
            <w:tcBorders>
              <w:top w:val="single" w:color="auto" w:sz="4" w:space="0"/>
              <w:left w:val="single" w:color="auto" w:sz="4" w:space="0"/>
              <w:bottom w:val="single" w:color="auto" w:sz="4" w:space="0"/>
              <w:right w:val="single" w:color="auto" w:sz="4" w:space="0"/>
            </w:tcBorders>
            <w:vAlign w:val="center"/>
          </w:tcPr>
          <w:p w14:paraId="68270497">
            <w:pPr>
              <w:spacing w:line="360" w:lineRule="exact"/>
              <w:rPr>
                <w:rFonts w:hint="eastAsia" w:ascii="宋体" w:hAnsi="宋体" w:cs="宋体"/>
                <w:sz w:val="21"/>
                <w:szCs w:val="21"/>
              </w:rPr>
            </w:pPr>
            <w:r>
              <w:rPr>
                <w:rFonts w:hint="eastAsia" w:ascii="宋体" w:hAnsi="宋体" w:cs="宋体"/>
                <w:sz w:val="21"/>
                <w:szCs w:val="21"/>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14:paraId="3BE80147">
            <w:pPr>
              <w:spacing w:line="360" w:lineRule="exact"/>
              <w:rPr>
                <w:rFonts w:hint="eastAsia" w:ascii="宋体" w:hAnsi="宋体" w:cs="宋体"/>
                <w:sz w:val="21"/>
                <w:szCs w:val="21"/>
              </w:rPr>
            </w:pPr>
            <w:r>
              <w:rPr>
                <w:rFonts w:hint="eastAsia" w:ascii="宋体" w:hAnsi="宋体" w:cs="宋体"/>
                <w:sz w:val="21"/>
                <w:szCs w:val="21"/>
              </w:rPr>
              <w:t>Y＜100</w:t>
            </w:r>
          </w:p>
        </w:tc>
      </w:tr>
      <w:tr w14:paraId="50CC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7F2CF583">
            <w:pPr>
              <w:spacing w:line="360" w:lineRule="exact"/>
              <w:jc w:val="center"/>
              <w:rPr>
                <w:rFonts w:hint="eastAsia" w:ascii="宋体" w:hAnsi="宋体" w:cs="宋体"/>
                <w:sz w:val="21"/>
                <w:szCs w:val="21"/>
              </w:rPr>
            </w:pPr>
            <w:r>
              <w:rPr>
                <w:rFonts w:hint="eastAsia" w:ascii="宋体" w:hAnsi="宋体" w:cs="宋体"/>
                <w:sz w:val="21"/>
                <w:szCs w:val="21"/>
              </w:rPr>
              <w:t>邮政业</w:t>
            </w:r>
          </w:p>
        </w:tc>
        <w:tc>
          <w:tcPr>
            <w:tcW w:w="1559" w:type="dxa"/>
            <w:tcBorders>
              <w:top w:val="single" w:color="auto" w:sz="4" w:space="0"/>
              <w:left w:val="single" w:color="auto" w:sz="4" w:space="0"/>
              <w:bottom w:val="single" w:color="auto" w:sz="4" w:space="0"/>
              <w:right w:val="single" w:color="auto" w:sz="4" w:space="0"/>
            </w:tcBorders>
            <w:vAlign w:val="center"/>
          </w:tcPr>
          <w:p w14:paraId="7AD3A75C">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24C86F88">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386B78AB">
            <w:pPr>
              <w:spacing w:line="360" w:lineRule="exact"/>
              <w:rPr>
                <w:rFonts w:hint="eastAsia" w:ascii="宋体" w:hAnsi="宋体" w:cs="宋体"/>
                <w:sz w:val="21"/>
                <w:szCs w:val="21"/>
              </w:rPr>
            </w:pPr>
            <w:r>
              <w:rPr>
                <w:rFonts w:hint="eastAsia" w:ascii="宋体" w:hAnsi="宋体" w:cs="宋体"/>
                <w:sz w:val="21"/>
                <w:szCs w:val="21"/>
              </w:rPr>
              <w:t>X≥1000</w:t>
            </w:r>
          </w:p>
        </w:tc>
        <w:tc>
          <w:tcPr>
            <w:tcW w:w="1701" w:type="dxa"/>
            <w:tcBorders>
              <w:top w:val="single" w:color="auto" w:sz="4" w:space="0"/>
              <w:left w:val="single" w:color="auto" w:sz="4" w:space="0"/>
              <w:bottom w:val="single" w:color="auto" w:sz="4" w:space="0"/>
              <w:right w:val="single" w:color="auto" w:sz="4" w:space="0"/>
            </w:tcBorders>
            <w:vAlign w:val="center"/>
          </w:tcPr>
          <w:p w14:paraId="0E00FDCF">
            <w:pPr>
              <w:spacing w:line="360" w:lineRule="exact"/>
              <w:rPr>
                <w:rFonts w:hint="eastAsia" w:ascii="宋体" w:hAnsi="宋体" w:cs="宋体"/>
                <w:sz w:val="21"/>
                <w:szCs w:val="21"/>
              </w:rPr>
            </w:pPr>
            <w:r>
              <w:rPr>
                <w:rFonts w:hint="eastAsia" w:ascii="宋体" w:hAnsi="宋体" w:cs="宋体"/>
                <w:sz w:val="21"/>
                <w:szCs w:val="21"/>
              </w:rPr>
              <w:t>300≤X＜1000</w:t>
            </w:r>
          </w:p>
        </w:tc>
        <w:tc>
          <w:tcPr>
            <w:tcW w:w="1740" w:type="dxa"/>
            <w:tcBorders>
              <w:top w:val="single" w:color="auto" w:sz="4" w:space="0"/>
              <w:left w:val="single" w:color="auto" w:sz="4" w:space="0"/>
              <w:bottom w:val="single" w:color="auto" w:sz="4" w:space="0"/>
              <w:right w:val="single" w:color="auto" w:sz="4" w:space="0"/>
            </w:tcBorders>
            <w:vAlign w:val="center"/>
          </w:tcPr>
          <w:p w14:paraId="57159ED4">
            <w:pPr>
              <w:spacing w:line="360" w:lineRule="exact"/>
              <w:rPr>
                <w:rFonts w:hint="eastAsia" w:ascii="宋体" w:hAnsi="宋体" w:cs="宋体"/>
                <w:sz w:val="21"/>
                <w:szCs w:val="21"/>
              </w:rPr>
            </w:pPr>
            <w:r>
              <w:rPr>
                <w:rFonts w:hint="eastAsia" w:ascii="宋体" w:hAnsi="宋体" w:cs="宋体"/>
                <w:sz w:val="21"/>
                <w:szCs w:val="21"/>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14:paraId="737B006E">
            <w:pPr>
              <w:spacing w:line="360" w:lineRule="exact"/>
              <w:rPr>
                <w:rFonts w:hint="eastAsia" w:ascii="宋体" w:hAnsi="宋体" w:cs="宋体"/>
                <w:sz w:val="21"/>
                <w:szCs w:val="21"/>
              </w:rPr>
            </w:pPr>
            <w:r>
              <w:rPr>
                <w:rFonts w:hint="eastAsia" w:ascii="宋体" w:hAnsi="宋体" w:cs="宋体"/>
                <w:sz w:val="21"/>
                <w:szCs w:val="21"/>
              </w:rPr>
              <w:t>X＜20</w:t>
            </w:r>
          </w:p>
        </w:tc>
      </w:tr>
      <w:tr w14:paraId="4022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502BA459">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354CCFC9">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5ECC299C">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59652C79">
            <w:pPr>
              <w:spacing w:line="360" w:lineRule="exact"/>
              <w:rPr>
                <w:rFonts w:hint="eastAsia" w:ascii="宋体" w:hAnsi="宋体" w:cs="宋体"/>
                <w:sz w:val="21"/>
                <w:szCs w:val="21"/>
              </w:rPr>
            </w:pPr>
            <w:r>
              <w:rPr>
                <w:rFonts w:hint="eastAsia" w:ascii="宋体" w:hAnsi="宋体" w:cs="宋体"/>
                <w:sz w:val="21"/>
                <w:szCs w:val="21"/>
              </w:rPr>
              <w:t>Y≥30000</w:t>
            </w:r>
          </w:p>
        </w:tc>
        <w:tc>
          <w:tcPr>
            <w:tcW w:w="1701" w:type="dxa"/>
            <w:tcBorders>
              <w:top w:val="single" w:color="auto" w:sz="4" w:space="0"/>
              <w:left w:val="single" w:color="auto" w:sz="4" w:space="0"/>
              <w:bottom w:val="single" w:color="auto" w:sz="4" w:space="0"/>
              <w:right w:val="single" w:color="auto" w:sz="4" w:space="0"/>
            </w:tcBorders>
            <w:vAlign w:val="center"/>
          </w:tcPr>
          <w:p w14:paraId="1967FFE4">
            <w:pPr>
              <w:spacing w:line="360" w:lineRule="exact"/>
              <w:rPr>
                <w:rFonts w:hint="eastAsia" w:ascii="宋体" w:hAnsi="宋体" w:cs="宋体"/>
                <w:sz w:val="21"/>
                <w:szCs w:val="21"/>
              </w:rPr>
            </w:pPr>
            <w:r>
              <w:rPr>
                <w:rFonts w:hint="eastAsia" w:ascii="宋体" w:hAnsi="宋体" w:cs="宋体"/>
                <w:sz w:val="21"/>
                <w:szCs w:val="21"/>
              </w:rPr>
              <w:t>2000≤Y＜30000</w:t>
            </w:r>
          </w:p>
        </w:tc>
        <w:tc>
          <w:tcPr>
            <w:tcW w:w="1740" w:type="dxa"/>
            <w:tcBorders>
              <w:top w:val="single" w:color="auto" w:sz="4" w:space="0"/>
              <w:left w:val="single" w:color="auto" w:sz="4" w:space="0"/>
              <w:bottom w:val="single" w:color="auto" w:sz="4" w:space="0"/>
              <w:right w:val="single" w:color="auto" w:sz="4" w:space="0"/>
            </w:tcBorders>
            <w:vAlign w:val="center"/>
          </w:tcPr>
          <w:p w14:paraId="45D090D0">
            <w:pPr>
              <w:spacing w:line="360" w:lineRule="exact"/>
              <w:rPr>
                <w:rFonts w:hint="eastAsia" w:ascii="宋体" w:hAnsi="宋体" w:cs="宋体"/>
                <w:sz w:val="21"/>
                <w:szCs w:val="21"/>
              </w:rPr>
            </w:pPr>
            <w:r>
              <w:rPr>
                <w:rFonts w:hint="eastAsia" w:ascii="宋体" w:hAnsi="宋体" w:cs="宋体"/>
                <w:sz w:val="21"/>
                <w:szCs w:val="21"/>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14:paraId="6D50643C">
            <w:pPr>
              <w:spacing w:line="360" w:lineRule="exact"/>
              <w:rPr>
                <w:rFonts w:hint="eastAsia" w:ascii="宋体" w:hAnsi="宋体" w:cs="宋体"/>
                <w:sz w:val="21"/>
                <w:szCs w:val="21"/>
              </w:rPr>
            </w:pPr>
            <w:r>
              <w:rPr>
                <w:rFonts w:hint="eastAsia" w:ascii="宋体" w:hAnsi="宋体" w:cs="宋体"/>
                <w:sz w:val="21"/>
                <w:szCs w:val="21"/>
              </w:rPr>
              <w:t>Y＜100</w:t>
            </w:r>
          </w:p>
        </w:tc>
      </w:tr>
      <w:tr w14:paraId="2EC3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7E438C18">
            <w:pPr>
              <w:spacing w:line="360" w:lineRule="exact"/>
              <w:jc w:val="center"/>
              <w:rPr>
                <w:rFonts w:hint="eastAsia" w:ascii="宋体" w:hAnsi="宋体" w:cs="宋体"/>
                <w:sz w:val="21"/>
                <w:szCs w:val="21"/>
              </w:rPr>
            </w:pPr>
            <w:r>
              <w:rPr>
                <w:rFonts w:hint="eastAsia" w:ascii="宋体" w:hAnsi="宋体" w:cs="宋体"/>
                <w:sz w:val="21"/>
                <w:szCs w:val="21"/>
              </w:rPr>
              <w:t>住宿业</w:t>
            </w:r>
          </w:p>
        </w:tc>
        <w:tc>
          <w:tcPr>
            <w:tcW w:w="1559" w:type="dxa"/>
            <w:tcBorders>
              <w:top w:val="single" w:color="auto" w:sz="4" w:space="0"/>
              <w:left w:val="single" w:color="auto" w:sz="4" w:space="0"/>
              <w:bottom w:val="single" w:color="auto" w:sz="4" w:space="0"/>
              <w:right w:val="single" w:color="auto" w:sz="4" w:space="0"/>
            </w:tcBorders>
            <w:vAlign w:val="center"/>
          </w:tcPr>
          <w:p w14:paraId="006266C4">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5A0D0BFF">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41922894">
            <w:pPr>
              <w:spacing w:line="360" w:lineRule="exact"/>
              <w:rPr>
                <w:rFonts w:hint="eastAsia" w:ascii="宋体" w:hAnsi="宋体" w:cs="宋体"/>
                <w:sz w:val="21"/>
                <w:szCs w:val="21"/>
              </w:rPr>
            </w:pPr>
            <w:r>
              <w:rPr>
                <w:rFonts w:hint="eastAsia" w:ascii="宋体" w:hAnsi="宋体" w:cs="宋体"/>
                <w:sz w:val="21"/>
                <w:szCs w:val="21"/>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1F2B900E">
            <w:pPr>
              <w:spacing w:line="360" w:lineRule="exact"/>
              <w:rPr>
                <w:rFonts w:hint="eastAsia" w:ascii="宋体" w:hAnsi="宋体" w:cs="宋体"/>
                <w:sz w:val="21"/>
                <w:szCs w:val="21"/>
              </w:rPr>
            </w:pPr>
            <w:r>
              <w:rPr>
                <w:rFonts w:hint="eastAsia" w:ascii="宋体" w:hAnsi="宋体" w:cs="宋体"/>
                <w:sz w:val="21"/>
                <w:szCs w:val="21"/>
              </w:rPr>
              <w:t xml:space="preserve">100≤X＜300 </w:t>
            </w:r>
          </w:p>
        </w:tc>
        <w:tc>
          <w:tcPr>
            <w:tcW w:w="1740" w:type="dxa"/>
            <w:tcBorders>
              <w:top w:val="single" w:color="auto" w:sz="4" w:space="0"/>
              <w:left w:val="single" w:color="auto" w:sz="4" w:space="0"/>
              <w:bottom w:val="single" w:color="auto" w:sz="4" w:space="0"/>
              <w:right w:val="single" w:color="auto" w:sz="4" w:space="0"/>
            </w:tcBorders>
            <w:vAlign w:val="center"/>
          </w:tcPr>
          <w:p w14:paraId="65423E34">
            <w:pPr>
              <w:spacing w:line="360" w:lineRule="exact"/>
              <w:rPr>
                <w:rFonts w:hint="eastAsia" w:ascii="宋体" w:hAnsi="宋体" w:cs="宋体"/>
                <w:sz w:val="21"/>
                <w:szCs w:val="21"/>
              </w:rPr>
            </w:pPr>
            <w:r>
              <w:rPr>
                <w:rFonts w:hint="eastAsia" w:ascii="宋体" w:hAnsi="宋体" w:cs="宋体"/>
                <w:sz w:val="21"/>
                <w:szCs w:val="21"/>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395937EB">
            <w:pPr>
              <w:spacing w:line="360" w:lineRule="exact"/>
              <w:rPr>
                <w:rFonts w:hint="eastAsia" w:ascii="宋体" w:hAnsi="宋体" w:cs="宋体"/>
                <w:sz w:val="21"/>
                <w:szCs w:val="21"/>
              </w:rPr>
            </w:pPr>
            <w:r>
              <w:rPr>
                <w:rFonts w:hint="eastAsia" w:ascii="宋体" w:hAnsi="宋体" w:cs="宋体"/>
                <w:sz w:val="21"/>
                <w:szCs w:val="21"/>
              </w:rPr>
              <w:t>X＜10</w:t>
            </w:r>
          </w:p>
        </w:tc>
      </w:tr>
      <w:tr w14:paraId="4C6CC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0A50F575">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5EE54CF0">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1DC57F50">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3CB1D7A9">
            <w:pPr>
              <w:spacing w:line="360" w:lineRule="exact"/>
              <w:rPr>
                <w:rFonts w:hint="eastAsia" w:ascii="宋体" w:hAnsi="宋体" w:cs="宋体"/>
                <w:sz w:val="21"/>
                <w:szCs w:val="21"/>
              </w:rPr>
            </w:pPr>
            <w:r>
              <w:rPr>
                <w:rFonts w:hint="eastAsia" w:ascii="宋体" w:hAnsi="宋体" w:cs="宋体"/>
                <w:sz w:val="21"/>
                <w:szCs w:val="21"/>
              </w:rPr>
              <w:t>Y≥10000</w:t>
            </w:r>
          </w:p>
        </w:tc>
        <w:tc>
          <w:tcPr>
            <w:tcW w:w="1701" w:type="dxa"/>
            <w:tcBorders>
              <w:top w:val="single" w:color="auto" w:sz="4" w:space="0"/>
              <w:left w:val="single" w:color="auto" w:sz="4" w:space="0"/>
              <w:bottom w:val="single" w:color="auto" w:sz="4" w:space="0"/>
              <w:right w:val="single" w:color="auto" w:sz="4" w:space="0"/>
            </w:tcBorders>
            <w:vAlign w:val="center"/>
          </w:tcPr>
          <w:p w14:paraId="0DAB3FB2">
            <w:pPr>
              <w:spacing w:line="360" w:lineRule="exact"/>
              <w:rPr>
                <w:rFonts w:hint="eastAsia" w:ascii="宋体" w:hAnsi="宋体" w:cs="宋体"/>
                <w:sz w:val="21"/>
                <w:szCs w:val="21"/>
              </w:rPr>
            </w:pPr>
            <w:r>
              <w:rPr>
                <w:rFonts w:hint="eastAsia" w:ascii="宋体" w:hAnsi="宋体" w:cs="宋体"/>
                <w:sz w:val="21"/>
                <w:szCs w:val="21"/>
              </w:rPr>
              <w:t>2000≤Y＜10000</w:t>
            </w:r>
          </w:p>
        </w:tc>
        <w:tc>
          <w:tcPr>
            <w:tcW w:w="1740" w:type="dxa"/>
            <w:tcBorders>
              <w:top w:val="single" w:color="auto" w:sz="4" w:space="0"/>
              <w:left w:val="single" w:color="auto" w:sz="4" w:space="0"/>
              <w:bottom w:val="single" w:color="auto" w:sz="4" w:space="0"/>
              <w:right w:val="single" w:color="auto" w:sz="4" w:space="0"/>
            </w:tcBorders>
            <w:vAlign w:val="center"/>
          </w:tcPr>
          <w:p w14:paraId="7DB74635">
            <w:pPr>
              <w:spacing w:line="360" w:lineRule="exact"/>
              <w:rPr>
                <w:rFonts w:hint="eastAsia" w:ascii="宋体" w:hAnsi="宋体" w:cs="宋体"/>
                <w:sz w:val="21"/>
                <w:szCs w:val="21"/>
              </w:rPr>
            </w:pPr>
            <w:r>
              <w:rPr>
                <w:rFonts w:hint="eastAsia" w:ascii="宋体" w:hAnsi="宋体" w:cs="宋体"/>
                <w:sz w:val="21"/>
                <w:szCs w:val="21"/>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14:paraId="7B0D6872">
            <w:pPr>
              <w:spacing w:line="360" w:lineRule="exact"/>
              <w:rPr>
                <w:rFonts w:hint="eastAsia" w:ascii="宋体" w:hAnsi="宋体" w:cs="宋体"/>
                <w:sz w:val="21"/>
                <w:szCs w:val="21"/>
              </w:rPr>
            </w:pPr>
            <w:r>
              <w:rPr>
                <w:rFonts w:hint="eastAsia" w:ascii="宋体" w:hAnsi="宋体" w:cs="宋体"/>
                <w:sz w:val="21"/>
                <w:szCs w:val="21"/>
              </w:rPr>
              <w:t>Y＜100</w:t>
            </w:r>
          </w:p>
        </w:tc>
      </w:tr>
      <w:tr w14:paraId="258E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051D6391">
            <w:pPr>
              <w:spacing w:line="360" w:lineRule="exact"/>
              <w:jc w:val="center"/>
              <w:rPr>
                <w:rFonts w:hint="eastAsia" w:ascii="宋体" w:hAnsi="宋体" w:cs="宋体"/>
                <w:sz w:val="21"/>
                <w:szCs w:val="21"/>
              </w:rPr>
            </w:pPr>
            <w:r>
              <w:rPr>
                <w:rFonts w:hint="eastAsia" w:ascii="宋体" w:hAnsi="宋体" w:cs="宋体"/>
                <w:sz w:val="21"/>
                <w:szCs w:val="21"/>
              </w:rPr>
              <w:t>餐饮业</w:t>
            </w:r>
          </w:p>
        </w:tc>
        <w:tc>
          <w:tcPr>
            <w:tcW w:w="1559" w:type="dxa"/>
            <w:tcBorders>
              <w:top w:val="single" w:color="auto" w:sz="4" w:space="0"/>
              <w:left w:val="single" w:color="auto" w:sz="4" w:space="0"/>
              <w:bottom w:val="single" w:color="auto" w:sz="4" w:space="0"/>
              <w:right w:val="single" w:color="auto" w:sz="4" w:space="0"/>
            </w:tcBorders>
            <w:vAlign w:val="center"/>
          </w:tcPr>
          <w:p w14:paraId="538162FA">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25BEFE98">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2B39C4AB">
            <w:pPr>
              <w:spacing w:line="360" w:lineRule="exact"/>
              <w:rPr>
                <w:rFonts w:hint="eastAsia" w:ascii="宋体" w:hAnsi="宋体" w:cs="宋体"/>
                <w:sz w:val="21"/>
                <w:szCs w:val="21"/>
              </w:rPr>
            </w:pPr>
            <w:r>
              <w:rPr>
                <w:rFonts w:hint="eastAsia" w:ascii="宋体" w:hAnsi="宋体" w:cs="宋体"/>
                <w:sz w:val="21"/>
                <w:szCs w:val="21"/>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623A977B">
            <w:pPr>
              <w:spacing w:line="360" w:lineRule="exact"/>
              <w:rPr>
                <w:rFonts w:hint="eastAsia" w:ascii="宋体" w:hAnsi="宋体" w:cs="宋体"/>
                <w:sz w:val="21"/>
                <w:szCs w:val="21"/>
              </w:rPr>
            </w:pPr>
            <w:r>
              <w:rPr>
                <w:rFonts w:hint="eastAsia" w:ascii="宋体" w:hAnsi="宋体" w:cs="宋体"/>
                <w:sz w:val="21"/>
                <w:szCs w:val="21"/>
              </w:rPr>
              <w:t xml:space="preserve">100≤X＜300 </w:t>
            </w:r>
          </w:p>
        </w:tc>
        <w:tc>
          <w:tcPr>
            <w:tcW w:w="1740" w:type="dxa"/>
            <w:tcBorders>
              <w:top w:val="single" w:color="auto" w:sz="4" w:space="0"/>
              <w:left w:val="single" w:color="auto" w:sz="4" w:space="0"/>
              <w:bottom w:val="single" w:color="auto" w:sz="4" w:space="0"/>
              <w:right w:val="single" w:color="auto" w:sz="4" w:space="0"/>
            </w:tcBorders>
            <w:vAlign w:val="center"/>
          </w:tcPr>
          <w:p w14:paraId="7CD22ED5">
            <w:pPr>
              <w:spacing w:line="360" w:lineRule="exact"/>
              <w:rPr>
                <w:rFonts w:hint="eastAsia" w:ascii="宋体" w:hAnsi="宋体" w:cs="宋体"/>
                <w:sz w:val="21"/>
                <w:szCs w:val="21"/>
              </w:rPr>
            </w:pPr>
            <w:r>
              <w:rPr>
                <w:rFonts w:hint="eastAsia" w:ascii="宋体" w:hAnsi="宋体" w:cs="宋体"/>
                <w:sz w:val="21"/>
                <w:szCs w:val="21"/>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265BA9D3">
            <w:pPr>
              <w:spacing w:line="360" w:lineRule="exact"/>
              <w:rPr>
                <w:rFonts w:hint="eastAsia" w:ascii="宋体" w:hAnsi="宋体" w:cs="宋体"/>
                <w:sz w:val="21"/>
                <w:szCs w:val="21"/>
              </w:rPr>
            </w:pPr>
            <w:r>
              <w:rPr>
                <w:rFonts w:hint="eastAsia" w:ascii="宋体" w:hAnsi="宋体" w:cs="宋体"/>
                <w:sz w:val="21"/>
                <w:szCs w:val="21"/>
              </w:rPr>
              <w:t>X＜10</w:t>
            </w:r>
          </w:p>
        </w:tc>
      </w:tr>
      <w:tr w14:paraId="566F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7380CBB4">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2F13ABB5">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20AF0736">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75B46EE4">
            <w:pPr>
              <w:spacing w:line="360" w:lineRule="exact"/>
              <w:rPr>
                <w:rFonts w:hint="eastAsia" w:ascii="宋体" w:hAnsi="宋体" w:cs="宋体"/>
                <w:sz w:val="21"/>
                <w:szCs w:val="21"/>
              </w:rPr>
            </w:pPr>
            <w:r>
              <w:rPr>
                <w:rFonts w:hint="eastAsia" w:ascii="宋体" w:hAnsi="宋体" w:cs="宋体"/>
                <w:sz w:val="21"/>
                <w:szCs w:val="21"/>
              </w:rPr>
              <w:t>Y≥10000</w:t>
            </w:r>
          </w:p>
        </w:tc>
        <w:tc>
          <w:tcPr>
            <w:tcW w:w="1701" w:type="dxa"/>
            <w:tcBorders>
              <w:top w:val="single" w:color="auto" w:sz="4" w:space="0"/>
              <w:left w:val="single" w:color="auto" w:sz="4" w:space="0"/>
              <w:bottom w:val="single" w:color="auto" w:sz="4" w:space="0"/>
              <w:right w:val="single" w:color="auto" w:sz="4" w:space="0"/>
            </w:tcBorders>
            <w:vAlign w:val="center"/>
          </w:tcPr>
          <w:p w14:paraId="260F1D96">
            <w:pPr>
              <w:spacing w:line="360" w:lineRule="exact"/>
              <w:rPr>
                <w:rFonts w:hint="eastAsia" w:ascii="宋体" w:hAnsi="宋体" w:cs="宋体"/>
                <w:sz w:val="21"/>
                <w:szCs w:val="21"/>
              </w:rPr>
            </w:pPr>
            <w:r>
              <w:rPr>
                <w:rFonts w:hint="eastAsia" w:ascii="宋体" w:hAnsi="宋体" w:cs="宋体"/>
                <w:sz w:val="21"/>
                <w:szCs w:val="21"/>
              </w:rPr>
              <w:t>2000≤Y＜10000</w:t>
            </w:r>
          </w:p>
        </w:tc>
        <w:tc>
          <w:tcPr>
            <w:tcW w:w="1740" w:type="dxa"/>
            <w:tcBorders>
              <w:top w:val="single" w:color="auto" w:sz="4" w:space="0"/>
              <w:left w:val="single" w:color="auto" w:sz="4" w:space="0"/>
              <w:bottom w:val="single" w:color="auto" w:sz="4" w:space="0"/>
              <w:right w:val="single" w:color="auto" w:sz="4" w:space="0"/>
            </w:tcBorders>
            <w:vAlign w:val="center"/>
          </w:tcPr>
          <w:p w14:paraId="2CEEC79A">
            <w:pPr>
              <w:spacing w:line="360" w:lineRule="exact"/>
              <w:rPr>
                <w:rFonts w:hint="eastAsia" w:ascii="宋体" w:hAnsi="宋体" w:cs="宋体"/>
                <w:sz w:val="21"/>
                <w:szCs w:val="21"/>
              </w:rPr>
            </w:pPr>
            <w:r>
              <w:rPr>
                <w:rFonts w:hint="eastAsia" w:ascii="宋体" w:hAnsi="宋体" w:cs="宋体"/>
                <w:sz w:val="21"/>
                <w:szCs w:val="21"/>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14:paraId="5F6C3D0E">
            <w:pPr>
              <w:spacing w:line="360" w:lineRule="exact"/>
              <w:rPr>
                <w:rFonts w:hint="eastAsia" w:ascii="宋体" w:hAnsi="宋体" w:cs="宋体"/>
                <w:sz w:val="21"/>
                <w:szCs w:val="21"/>
              </w:rPr>
            </w:pPr>
            <w:r>
              <w:rPr>
                <w:rFonts w:hint="eastAsia" w:ascii="宋体" w:hAnsi="宋体" w:cs="宋体"/>
                <w:sz w:val="21"/>
                <w:szCs w:val="21"/>
              </w:rPr>
              <w:t>Y＜100</w:t>
            </w:r>
          </w:p>
        </w:tc>
      </w:tr>
      <w:tr w14:paraId="212F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005E1B76">
            <w:pPr>
              <w:spacing w:line="360" w:lineRule="exact"/>
              <w:jc w:val="center"/>
              <w:rPr>
                <w:rFonts w:hint="eastAsia" w:ascii="宋体" w:hAnsi="宋体" w:cs="宋体"/>
                <w:sz w:val="21"/>
                <w:szCs w:val="21"/>
              </w:rPr>
            </w:pPr>
            <w:r>
              <w:rPr>
                <w:rFonts w:hint="eastAsia" w:ascii="宋体" w:hAnsi="宋体" w:cs="宋体"/>
                <w:sz w:val="21"/>
                <w:szCs w:val="21"/>
              </w:rPr>
              <w:t>信息传输业*</w:t>
            </w:r>
          </w:p>
        </w:tc>
        <w:tc>
          <w:tcPr>
            <w:tcW w:w="1559" w:type="dxa"/>
            <w:tcBorders>
              <w:top w:val="single" w:color="auto" w:sz="4" w:space="0"/>
              <w:left w:val="single" w:color="auto" w:sz="4" w:space="0"/>
              <w:bottom w:val="single" w:color="auto" w:sz="4" w:space="0"/>
              <w:right w:val="single" w:color="auto" w:sz="4" w:space="0"/>
            </w:tcBorders>
            <w:vAlign w:val="center"/>
          </w:tcPr>
          <w:p w14:paraId="35503B16">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61F77DD4">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6EA31723">
            <w:pPr>
              <w:spacing w:line="360" w:lineRule="exact"/>
              <w:rPr>
                <w:rFonts w:hint="eastAsia" w:ascii="宋体" w:hAnsi="宋体" w:cs="宋体"/>
                <w:sz w:val="21"/>
                <w:szCs w:val="21"/>
              </w:rPr>
            </w:pPr>
            <w:r>
              <w:rPr>
                <w:rFonts w:hint="eastAsia" w:ascii="宋体" w:hAnsi="宋体" w:cs="宋体"/>
                <w:sz w:val="21"/>
                <w:szCs w:val="21"/>
              </w:rPr>
              <w:t>X≥2000</w:t>
            </w:r>
          </w:p>
        </w:tc>
        <w:tc>
          <w:tcPr>
            <w:tcW w:w="1701" w:type="dxa"/>
            <w:tcBorders>
              <w:top w:val="single" w:color="auto" w:sz="4" w:space="0"/>
              <w:left w:val="single" w:color="auto" w:sz="4" w:space="0"/>
              <w:bottom w:val="single" w:color="auto" w:sz="4" w:space="0"/>
              <w:right w:val="single" w:color="auto" w:sz="4" w:space="0"/>
            </w:tcBorders>
            <w:vAlign w:val="center"/>
          </w:tcPr>
          <w:p w14:paraId="01BB93DA">
            <w:pPr>
              <w:spacing w:line="360" w:lineRule="exact"/>
              <w:rPr>
                <w:rFonts w:hint="eastAsia" w:ascii="宋体" w:hAnsi="宋体" w:cs="宋体"/>
                <w:sz w:val="21"/>
                <w:szCs w:val="21"/>
              </w:rPr>
            </w:pPr>
            <w:r>
              <w:rPr>
                <w:rFonts w:hint="eastAsia" w:ascii="宋体" w:hAnsi="宋体" w:cs="宋体"/>
                <w:sz w:val="21"/>
                <w:szCs w:val="21"/>
              </w:rPr>
              <w:t>100≤X＜2000</w:t>
            </w:r>
          </w:p>
        </w:tc>
        <w:tc>
          <w:tcPr>
            <w:tcW w:w="1740" w:type="dxa"/>
            <w:tcBorders>
              <w:top w:val="single" w:color="auto" w:sz="4" w:space="0"/>
              <w:left w:val="single" w:color="auto" w:sz="4" w:space="0"/>
              <w:bottom w:val="single" w:color="auto" w:sz="4" w:space="0"/>
              <w:right w:val="single" w:color="auto" w:sz="4" w:space="0"/>
            </w:tcBorders>
            <w:vAlign w:val="center"/>
          </w:tcPr>
          <w:p w14:paraId="1423C8AC">
            <w:pPr>
              <w:spacing w:line="360" w:lineRule="exact"/>
              <w:rPr>
                <w:rFonts w:hint="eastAsia" w:ascii="宋体" w:hAnsi="宋体" w:cs="宋体"/>
                <w:sz w:val="21"/>
                <w:szCs w:val="21"/>
              </w:rPr>
            </w:pPr>
            <w:r>
              <w:rPr>
                <w:rFonts w:hint="eastAsia" w:ascii="宋体" w:hAnsi="宋体" w:cs="宋体"/>
                <w:sz w:val="21"/>
                <w:szCs w:val="21"/>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3BD623FC">
            <w:pPr>
              <w:spacing w:line="360" w:lineRule="exact"/>
              <w:rPr>
                <w:rFonts w:hint="eastAsia" w:ascii="宋体" w:hAnsi="宋体" w:cs="宋体"/>
                <w:sz w:val="21"/>
                <w:szCs w:val="21"/>
              </w:rPr>
            </w:pPr>
            <w:r>
              <w:rPr>
                <w:rFonts w:hint="eastAsia" w:ascii="宋体" w:hAnsi="宋体" w:cs="宋体"/>
                <w:sz w:val="21"/>
                <w:szCs w:val="21"/>
              </w:rPr>
              <w:t>X＜10</w:t>
            </w:r>
          </w:p>
        </w:tc>
      </w:tr>
      <w:tr w14:paraId="3D84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3171785E">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69238750">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130AE7C0">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24696281">
            <w:pPr>
              <w:spacing w:line="360" w:lineRule="exact"/>
              <w:rPr>
                <w:rFonts w:hint="eastAsia" w:ascii="宋体" w:hAnsi="宋体" w:cs="宋体"/>
                <w:sz w:val="21"/>
                <w:szCs w:val="21"/>
              </w:rPr>
            </w:pPr>
            <w:r>
              <w:rPr>
                <w:rFonts w:hint="eastAsia" w:ascii="宋体" w:hAnsi="宋体" w:cs="宋体"/>
                <w:sz w:val="21"/>
                <w:szCs w:val="21"/>
              </w:rPr>
              <w:t>Y≥100000</w:t>
            </w:r>
          </w:p>
        </w:tc>
        <w:tc>
          <w:tcPr>
            <w:tcW w:w="1701" w:type="dxa"/>
            <w:tcBorders>
              <w:top w:val="single" w:color="auto" w:sz="4" w:space="0"/>
              <w:left w:val="single" w:color="auto" w:sz="4" w:space="0"/>
              <w:bottom w:val="single" w:color="auto" w:sz="4" w:space="0"/>
              <w:right w:val="single" w:color="auto" w:sz="4" w:space="0"/>
            </w:tcBorders>
            <w:vAlign w:val="center"/>
          </w:tcPr>
          <w:p w14:paraId="79F4B9B7">
            <w:pPr>
              <w:spacing w:line="360" w:lineRule="exact"/>
              <w:rPr>
                <w:rFonts w:hint="eastAsia" w:ascii="宋体" w:hAnsi="宋体" w:cs="宋体"/>
                <w:sz w:val="21"/>
                <w:szCs w:val="21"/>
              </w:rPr>
            </w:pPr>
            <w:r>
              <w:rPr>
                <w:rFonts w:hint="eastAsia" w:ascii="宋体" w:hAnsi="宋体" w:cs="宋体"/>
                <w:sz w:val="21"/>
                <w:szCs w:val="21"/>
              </w:rPr>
              <w:t xml:space="preserve"> 1000≤Y＜100000</w:t>
            </w:r>
          </w:p>
        </w:tc>
        <w:tc>
          <w:tcPr>
            <w:tcW w:w="1740" w:type="dxa"/>
            <w:tcBorders>
              <w:top w:val="single" w:color="auto" w:sz="4" w:space="0"/>
              <w:left w:val="single" w:color="auto" w:sz="4" w:space="0"/>
              <w:bottom w:val="single" w:color="auto" w:sz="4" w:space="0"/>
              <w:right w:val="single" w:color="auto" w:sz="4" w:space="0"/>
            </w:tcBorders>
            <w:vAlign w:val="center"/>
          </w:tcPr>
          <w:p w14:paraId="3C858CEE">
            <w:pPr>
              <w:spacing w:line="360" w:lineRule="exact"/>
              <w:rPr>
                <w:rFonts w:hint="eastAsia" w:ascii="宋体" w:hAnsi="宋体" w:cs="宋体"/>
                <w:sz w:val="21"/>
                <w:szCs w:val="21"/>
              </w:rPr>
            </w:pPr>
            <w:r>
              <w:rPr>
                <w:rFonts w:hint="eastAsia" w:ascii="宋体" w:hAnsi="宋体" w:cs="宋体"/>
                <w:sz w:val="21"/>
                <w:szCs w:val="21"/>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14:paraId="6A7C4C38">
            <w:pPr>
              <w:spacing w:line="360" w:lineRule="exact"/>
              <w:rPr>
                <w:rFonts w:hint="eastAsia" w:ascii="宋体" w:hAnsi="宋体" w:cs="宋体"/>
                <w:sz w:val="21"/>
                <w:szCs w:val="21"/>
              </w:rPr>
            </w:pPr>
            <w:r>
              <w:rPr>
                <w:rFonts w:hint="eastAsia" w:ascii="宋体" w:hAnsi="宋体" w:cs="宋体"/>
                <w:sz w:val="21"/>
                <w:szCs w:val="21"/>
              </w:rPr>
              <w:t>Y＜100</w:t>
            </w:r>
          </w:p>
        </w:tc>
      </w:tr>
      <w:tr w14:paraId="6C42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2D5127A2">
            <w:pPr>
              <w:spacing w:line="360" w:lineRule="exact"/>
              <w:jc w:val="center"/>
              <w:rPr>
                <w:rFonts w:hint="eastAsia" w:ascii="宋体" w:hAnsi="宋体" w:cs="宋体"/>
                <w:sz w:val="21"/>
                <w:szCs w:val="21"/>
              </w:rPr>
            </w:pPr>
            <w:bookmarkStart w:id="497" w:name="OLE_LINK44"/>
            <w:r>
              <w:rPr>
                <w:rFonts w:hint="eastAsia" w:ascii="宋体" w:hAnsi="宋体" w:cs="宋体"/>
                <w:sz w:val="21"/>
                <w:szCs w:val="21"/>
              </w:rPr>
              <w:t>软件和信息技术服务业</w:t>
            </w:r>
            <w:bookmarkEnd w:id="497"/>
          </w:p>
        </w:tc>
        <w:tc>
          <w:tcPr>
            <w:tcW w:w="1559" w:type="dxa"/>
            <w:tcBorders>
              <w:top w:val="single" w:color="auto" w:sz="4" w:space="0"/>
              <w:left w:val="single" w:color="auto" w:sz="4" w:space="0"/>
              <w:bottom w:val="single" w:color="auto" w:sz="4" w:space="0"/>
              <w:right w:val="single" w:color="auto" w:sz="4" w:space="0"/>
            </w:tcBorders>
            <w:vAlign w:val="center"/>
          </w:tcPr>
          <w:p w14:paraId="1D6A4EC4">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125C71AC">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7F819D5C">
            <w:pPr>
              <w:spacing w:line="360" w:lineRule="exact"/>
              <w:rPr>
                <w:rFonts w:hint="eastAsia" w:ascii="宋体" w:hAnsi="宋体" w:cs="宋体"/>
                <w:sz w:val="21"/>
                <w:szCs w:val="21"/>
              </w:rPr>
            </w:pPr>
            <w:r>
              <w:rPr>
                <w:rFonts w:hint="eastAsia" w:ascii="宋体" w:hAnsi="宋体" w:cs="宋体"/>
                <w:sz w:val="21"/>
                <w:szCs w:val="21"/>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2A7ED65F">
            <w:pPr>
              <w:spacing w:line="360" w:lineRule="exact"/>
              <w:rPr>
                <w:rFonts w:hint="eastAsia" w:ascii="宋体" w:hAnsi="宋体" w:cs="宋体"/>
                <w:sz w:val="21"/>
                <w:szCs w:val="21"/>
              </w:rPr>
            </w:pPr>
            <w:r>
              <w:rPr>
                <w:rFonts w:hint="eastAsia" w:ascii="宋体" w:hAnsi="宋体" w:cs="宋体"/>
                <w:sz w:val="21"/>
                <w:szCs w:val="21"/>
              </w:rPr>
              <w:t xml:space="preserve">100≤X＜300 </w:t>
            </w:r>
          </w:p>
        </w:tc>
        <w:tc>
          <w:tcPr>
            <w:tcW w:w="1740" w:type="dxa"/>
            <w:tcBorders>
              <w:top w:val="single" w:color="auto" w:sz="4" w:space="0"/>
              <w:left w:val="single" w:color="auto" w:sz="4" w:space="0"/>
              <w:bottom w:val="single" w:color="auto" w:sz="4" w:space="0"/>
              <w:right w:val="single" w:color="auto" w:sz="4" w:space="0"/>
            </w:tcBorders>
            <w:vAlign w:val="center"/>
          </w:tcPr>
          <w:p w14:paraId="5EF2CF67">
            <w:pPr>
              <w:spacing w:line="360" w:lineRule="exact"/>
              <w:rPr>
                <w:rFonts w:hint="eastAsia" w:ascii="宋体" w:hAnsi="宋体" w:cs="宋体"/>
                <w:sz w:val="21"/>
                <w:szCs w:val="21"/>
              </w:rPr>
            </w:pPr>
            <w:r>
              <w:rPr>
                <w:rFonts w:hint="eastAsia" w:ascii="宋体" w:hAnsi="宋体" w:cs="宋体"/>
                <w:sz w:val="21"/>
                <w:szCs w:val="21"/>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240B9AE8">
            <w:pPr>
              <w:spacing w:line="360" w:lineRule="exact"/>
              <w:rPr>
                <w:rFonts w:hint="eastAsia" w:ascii="宋体" w:hAnsi="宋体" w:cs="宋体"/>
                <w:sz w:val="21"/>
                <w:szCs w:val="21"/>
              </w:rPr>
            </w:pPr>
            <w:r>
              <w:rPr>
                <w:rFonts w:hint="eastAsia" w:ascii="宋体" w:hAnsi="宋体" w:cs="宋体"/>
                <w:sz w:val="21"/>
                <w:szCs w:val="21"/>
              </w:rPr>
              <w:t>X＜10</w:t>
            </w:r>
          </w:p>
        </w:tc>
      </w:tr>
      <w:tr w14:paraId="142A5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4B5303FA">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4ACC5BF8">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1CF1243E">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6A082E9F">
            <w:pPr>
              <w:spacing w:line="360" w:lineRule="exact"/>
              <w:rPr>
                <w:rFonts w:hint="eastAsia" w:ascii="宋体" w:hAnsi="宋体" w:cs="宋体"/>
                <w:sz w:val="21"/>
                <w:szCs w:val="21"/>
              </w:rPr>
            </w:pPr>
            <w:r>
              <w:rPr>
                <w:rFonts w:hint="eastAsia" w:ascii="宋体" w:hAnsi="宋体" w:cs="宋体"/>
                <w:sz w:val="21"/>
                <w:szCs w:val="21"/>
              </w:rPr>
              <w:t>Y≥10000</w:t>
            </w:r>
          </w:p>
        </w:tc>
        <w:tc>
          <w:tcPr>
            <w:tcW w:w="1701" w:type="dxa"/>
            <w:tcBorders>
              <w:top w:val="single" w:color="auto" w:sz="4" w:space="0"/>
              <w:left w:val="single" w:color="auto" w:sz="4" w:space="0"/>
              <w:bottom w:val="single" w:color="auto" w:sz="4" w:space="0"/>
              <w:right w:val="single" w:color="auto" w:sz="4" w:space="0"/>
            </w:tcBorders>
            <w:vAlign w:val="center"/>
          </w:tcPr>
          <w:p w14:paraId="56F16A45">
            <w:pPr>
              <w:spacing w:line="360" w:lineRule="exact"/>
              <w:rPr>
                <w:rFonts w:hint="eastAsia" w:ascii="宋体" w:hAnsi="宋体" w:cs="宋体"/>
                <w:sz w:val="21"/>
                <w:szCs w:val="21"/>
              </w:rPr>
            </w:pPr>
            <w:r>
              <w:rPr>
                <w:rFonts w:hint="eastAsia" w:ascii="宋体" w:hAnsi="宋体" w:cs="宋体"/>
                <w:sz w:val="21"/>
                <w:szCs w:val="21"/>
              </w:rPr>
              <w:t>1000≤Y＜10000</w:t>
            </w:r>
          </w:p>
        </w:tc>
        <w:tc>
          <w:tcPr>
            <w:tcW w:w="1740" w:type="dxa"/>
            <w:tcBorders>
              <w:top w:val="single" w:color="auto" w:sz="4" w:space="0"/>
              <w:left w:val="single" w:color="auto" w:sz="4" w:space="0"/>
              <w:bottom w:val="single" w:color="auto" w:sz="4" w:space="0"/>
              <w:right w:val="single" w:color="auto" w:sz="4" w:space="0"/>
            </w:tcBorders>
            <w:vAlign w:val="center"/>
          </w:tcPr>
          <w:p w14:paraId="0686B11C">
            <w:pPr>
              <w:spacing w:line="360" w:lineRule="exact"/>
              <w:rPr>
                <w:rFonts w:hint="eastAsia" w:ascii="宋体" w:hAnsi="宋体" w:cs="宋体"/>
                <w:sz w:val="21"/>
                <w:szCs w:val="21"/>
              </w:rPr>
            </w:pPr>
            <w:r>
              <w:rPr>
                <w:rFonts w:hint="eastAsia" w:ascii="宋体" w:hAnsi="宋体" w:cs="宋体"/>
                <w:sz w:val="21"/>
                <w:szCs w:val="21"/>
              </w:rPr>
              <w:t xml:space="preserve">  50≤Y＜1000</w:t>
            </w:r>
          </w:p>
        </w:tc>
        <w:tc>
          <w:tcPr>
            <w:tcW w:w="992" w:type="dxa"/>
            <w:tcBorders>
              <w:top w:val="single" w:color="auto" w:sz="4" w:space="0"/>
              <w:left w:val="single" w:color="auto" w:sz="4" w:space="0"/>
              <w:bottom w:val="single" w:color="auto" w:sz="4" w:space="0"/>
              <w:right w:val="single" w:color="auto" w:sz="4" w:space="0"/>
            </w:tcBorders>
            <w:vAlign w:val="center"/>
          </w:tcPr>
          <w:p w14:paraId="7845430E">
            <w:pPr>
              <w:spacing w:line="360" w:lineRule="exact"/>
              <w:rPr>
                <w:rFonts w:hint="eastAsia" w:ascii="宋体" w:hAnsi="宋体" w:cs="宋体"/>
                <w:sz w:val="21"/>
                <w:szCs w:val="21"/>
              </w:rPr>
            </w:pPr>
            <w:r>
              <w:rPr>
                <w:rFonts w:hint="eastAsia" w:ascii="宋体" w:hAnsi="宋体" w:cs="宋体"/>
                <w:sz w:val="21"/>
                <w:szCs w:val="21"/>
              </w:rPr>
              <w:t>Y＜50</w:t>
            </w:r>
          </w:p>
        </w:tc>
      </w:tr>
      <w:tr w14:paraId="1C4CD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38A47557">
            <w:pPr>
              <w:spacing w:line="360" w:lineRule="exact"/>
              <w:jc w:val="center"/>
              <w:rPr>
                <w:rFonts w:hint="eastAsia" w:ascii="宋体" w:hAnsi="宋体" w:cs="宋体"/>
                <w:sz w:val="21"/>
                <w:szCs w:val="21"/>
              </w:rPr>
            </w:pPr>
            <w:r>
              <w:rPr>
                <w:rFonts w:hint="eastAsia" w:ascii="宋体" w:hAnsi="宋体" w:cs="宋体"/>
                <w:sz w:val="21"/>
                <w:szCs w:val="21"/>
              </w:rPr>
              <w:t>房地产开发经营</w:t>
            </w:r>
          </w:p>
        </w:tc>
        <w:tc>
          <w:tcPr>
            <w:tcW w:w="1559" w:type="dxa"/>
            <w:tcBorders>
              <w:top w:val="single" w:color="auto" w:sz="4" w:space="0"/>
              <w:left w:val="single" w:color="auto" w:sz="4" w:space="0"/>
              <w:bottom w:val="single" w:color="auto" w:sz="4" w:space="0"/>
              <w:right w:val="single" w:color="auto" w:sz="4" w:space="0"/>
            </w:tcBorders>
            <w:vAlign w:val="center"/>
          </w:tcPr>
          <w:p w14:paraId="1836651F">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79D219EB">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0C394D67">
            <w:pPr>
              <w:spacing w:line="360" w:lineRule="exact"/>
              <w:rPr>
                <w:rFonts w:hint="eastAsia" w:ascii="宋体" w:hAnsi="宋体" w:cs="宋体"/>
                <w:sz w:val="21"/>
                <w:szCs w:val="21"/>
              </w:rPr>
            </w:pPr>
            <w:r>
              <w:rPr>
                <w:rFonts w:hint="eastAsia" w:ascii="宋体" w:hAnsi="宋体" w:cs="宋体"/>
                <w:sz w:val="21"/>
                <w:szCs w:val="21"/>
              </w:rPr>
              <w:t>Y≥200000</w:t>
            </w:r>
          </w:p>
        </w:tc>
        <w:tc>
          <w:tcPr>
            <w:tcW w:w="1701" w:type="dxa"/>
            <w:tcBorders>
              <w:top w:val="single" w:color="auto" w:sz="4" w:space="0"/>
              <w:left w:val="single" w:color="auto" w:sz="4" w:space="0"/>
              <w:bottom w:val="single" w:color="auto" w:sz="4" w:space="0"/>
              <w:right w:val="single" w:color="auto" w:sz="4" w:space="0"/>
            </w:tcBorders>
            <w:vAlign w:val="center"/>
          </w:tcPr>
          <w:p w14:paraId="0D5B13CE">
            <w:pPr>
              <w:spacing w:line="360" w:lineRule="exact"/>
              <w:rPr>
                <w:rFonts w:hint="eastAsia" w:ascii="宋体" w:hAnsi="宋体" w:cs="宋体"/>
                <w:sz w:val="21"/>
                <w:szCs w:val="21"/>
              </w:rPr>
            </w:pPr>
            <w:r>
              <w:rPr>
                <w:rFonts w:hint="eastAsia" w:ascii="宋体" w:hAnsi="宋体" w:cs="宋体"/>
                <w:sz w:val="21"/>
                <w:szCs w:val="21"/>
              </w:rPr>
              <w:t xml:space="preserve"> 1000≤Y＜200000</w:t>
            </w:r>
          </w:p>
        </w:tc>
        <w:tc>
          <w:tcPr>
            <w:tcW w:w="1740" w:type="dxa"/>
            <w:tcBorders>
              <w:top w:val="single" w:color="auto" w:sz="4" w:space="0"/>
              <w:left w:val="single" w:color="auto" w:sz="4" w:space="0"/>
              <w:bottom w:val="single" w:color="auto" w:sz="4" w:space="0"/>
              <w:right w:val="single" w:color="auto" w:sz="4" w:space="0"/>
            </w:tcBorders>
            <w:vAlign w:val="center"/>
          </w:tcPr>
          <w:p w14:paraId="7A137FD4">
            <w:pPr>
              <w:spacing w:line="360" w:lineRule="exact"/>
              <w:rPr>
                <w:rFonts w:hint="eastAsia" w:ascii="宋体" w:hAnsi="宋体" w:cs="宋体"/>
                <w:sz w:val="21"/>
                <w:szCs w:val="21"/>
              </w:rPr>
            </w:pPr>
            <w:r>
              <w:rPr>
                <w:rFonts w:hint="eastAsia" w:ascii="宋体" w:hAnsi="宋体" w:cs="宋体"/>
                <w:sz w:val="21"/>
                <w:szCs w:val="21"/>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14:paraId="591BD87B">
            <w:pPr>
              <w:spacing w:line="360" w:lineRule="exact"/>
              <w:rPr>
                <w:rFonts w:hint="eastAsia" w:ascii="宋体" w:hAnsi="宋体" w:cs="宋体"/>
                <w:sz w:val="21"/>
                <w:szCs w:val="21"/>
              </w:rPr>
            </w:pPr>
            <w:r>
              <w:rPr>
                <w:rFonts w:hint="eastAsia" w:ascii="宋体" w:hAnsi="宋体" w:cs="宋体"/>
                <w:sz w:val="21"/>
                <w:szCs w:val="21"/>
              </w:rPr>
              <w:t>Y＜100</w:t>
            </w:r>
          </w:p>
        </w:tc>
      </w:tr>
      <w:tr w14:paraId="0D17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4B373BAC">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20F92401">
            <w:pPr>
              <w:spacing w:line="360" w:lineRule="exact"/>
              <w:rPr>
                <w:rFonts w:hint="eastAsia" w:ascii="宋体" w:hAnsi="宋体" w:cs="宋体"/>
                <w:sz w:val="21"/>
                <w:szCs w:val="21"/>
              </w:rPr>
            </w:pPr>
            <w:r>
              <w:rPr>
                <w:rFonts w:hint="eastAsia" w:ascii="宋体" w:hAnsi="宋体" w:cs="宋体"/>
                <w:sz w:val="21"/>
                <w:szCs w:val="21"/>
              </w:rPr>
              <w:t>资产总额(Z)</w:t>
            </w:r>
          </w:p>
        </w:tc>
        <w:tc>
          <w:tcPr>
            <w:tcW w:w="709" w:type="dxa"/>
            <w:tcBorders>
              <w:top w:val="single" w:color="auto" w:sz="4" w:space="0"/>
              <w:left w:val="single" w:color="auto" w:sz="4" w:space="0"/>
              <w:bottom w:val="single" w:color="auto" w:sz="4" w:space="0"/>
              <w:right w:val="single" w:color="auto" w:sz="4" w:space="0"/>
            </w:tcBorders>
            <w:vAlign w:val="center"/>
          </w:tcPr>
          <w:p w14:paraId="10E71122">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0B8905DE">
            <w:pPr>
              <w:spacing w:line="360" w:lineRule="exact"/>
              <w:rPr>
                <w:rFonts w:hint="eastAsia" w:ascii="宋体" w:hAnsi="宋体" w:cs="宋体"/>
                <w:sz w:val="21"/>
                <w:szCs w:val="21"/>
              </w:rPr>
            </w:pPr>
            <w:r>
              <w:rPr>
                <w:rFonts w:hint="eastAsia" w:ascii="宋体" w:hAnsi="宋体" w:cs="宋体"/>
                <w:sz w:val="21"/>
                <w:szCs w:val="21"/>
              </w:rPr>
              <w:t>Z≥10000</w:t>
            </w:r>
          </w:p>
        </w:tc>
        <w:tc>
          <w:tcPr>
            <w:tcW w:w="1701" w:type="dxa"/>
            <w:tcBorders>
              <w:top w:val="single" w:color="auto" w:sz="4" w:space="0"/>
              <w:left w:val="single" w:color="auto" w:sz="4" w:space="0"/>
              <w:bottom w:val="single" w:color="auto" w:sz="4" w:space="0"/>
              <w:right w:val="single" w:color="auto" w:sz="4" w:space="0"/>
            </w:tcBorders>
            <w:vAlign w:val="center"/>
          </w:tcPr>
          <w:p w14:paraId="22B2D830">
            <w:pPr>
              <w:spacing w:line="360" w:lineRule="exact"/>
              <w:rPr>
                <w:rFonts w:hint="eastAsia" w:ascii="宋体" w:hAnsi="宋体" w:cs="宋体"/>
                <w:sz w:val="21"/>
                <w:szCs w:val="21"/>
              </w:rPr>
            </w:pPr>
            <w:r>
              <w:rPr>
                <w:rFonts w:hint="eastAsia" w:ascii="宋体" w:hAnsi="宋体" w:cs="宋体"/>
                <w:sz w:val="21"/>
                <w:szCs w:val="21"/>
              </w:rPr>
              <w:t>5000≤Z＜10000</w:t>
            </w:r>
          </w:p>
        </w:tc>
        <w:tc>
          <w:tcPr>
            <w:tcW w:w="1740" w:type="dxa"/>
            <w:tcBorders>
              <w:top w:val="single" w:color="auto" w:sz="4" w:space="0"/>
              <w:left w:val="single" w:color="auto" w:sz="4" w:space="0"/>
              <w:bottom w:val="single" w:color="auto" w:sz="4" w:space="0"/>
              <w:right w:val="single" w:color="auto" w:sz="4" w:space="0"/>
            </w:tcBorders>
            <w:vAlign w:val="center"/>
          </w:tcPr>
          <w:p w14:paraId="421C684D">
            <w:pPr>
              <w:spacing w:line="360" w:lineRule="exact"/>
              <w:rPr>
                <w:rFonts w:hint="eastAsia" w:ascii="宋体" w:hAnsi="宋体" w:cs="宋体"/>
                <w:sz w:val="21"/>
                <w:szCs w:val="21"/>
              </w:rPr>
            </w:pPr>
            <w:r>
              <w:rPr>
                <w:rFonts w:hint="eastAsia" w:ascii="宋体" w:hAnsi="宋体" w:cs="宋体"/>
                <w:sz w:val="21"/>
                <w:szCs w:val="21"/>
              </w:rPr>
              <w:t xml:space="preserve">2000≤Z＜5000   </w:t>
            </w:r>
          </w:p>
        </w:tc>
        <w:tc>
          <w:tcPr>
            <w:tcW w:w="992" w:type="dxa"/>
            <w:tcBorders>
              <w:top w:val="single" w:color="auto" w:sz="4" w:space="0"/>
              <w:left w:val="single" w:color="auto" w:sz="4" w:space="0"/>
              <w:bottom w:val="single" w:color="auto" w:sz="4" w:space="0"/>
              <w:right w:val="single" w:color="auto" w:sz="4" w:space="0"/>
            </w:tcBorders>
            <w:vAlign w:val="center"/>
          </w:tcPr>
          <w:p w14:paraId="56DA3B05">
            <w:pPr>
              <w:spacing w:line="360" w:lineRule="exact"/>
              <w:rPr>
                <w:rFonts w:hint="eastAsia" w:ascii="宋体" w:hAnsi="宋体" w:cs="宋体"/>
                <w:sz w:val="21"/>
                <w:szCs w:val="21"/>
              </w:rPr>
            </w:pPr>
            <w:r>
              <w:rPr>
                <w:rFonts w:hint="eastAsia" w:ascii="宋体" w:hAnsi="宋体" w:cs="宋体"/>
                <w:sz w:val="21"/>
                <w:szCs w:val="21"/>
              </w:rPr>
              <w:t>Z＜2000</w:t>
            </w:r>
          </w:p>
        </w:tc>
      </w:tr>
      <w:tr w14:paraId="1CB8C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4B7F7AFE">
            <w:pPr>
              <w:spacing w:line="360" w:lineRule="exact"/>
              <w:jc w:val="center"/>
              <w:rPr>
                <w:rFonts w:hint="eastAsia" w:ascii="宋体" w:hAnsi="宋体" w:cs="宋体"/>
                <w:sz w:val="21"/>
                <w:szCs w:val="21"/>
              </w:rPr>
            </w:pPr>
            <w:r>
              <w:rPr>
                <w:rFonts w:hint="eastAsia" w:ascii="宋体" w:hAnsi="宋体" w:cs="宋体"/>
                <w:sz w:val="21"/>
                <w:szCs w:val="21"/>
              </w:rPr>
              <w:t>物业管理</w:t>
            </w:r>
          </w:p>
        </w:tc>
        <w:tc>
          <w:tcPr>
            <w:tcW w:w="1559" w:type="dxa"/>
            <w:tcBorders>
              <w:top w:val="single" w:color="auto" w:sz="4" w:space="0"/>
              <w:left w:val="single" w:color="auto" w:sz="4" w:space="0"/>
              <w:bottom w:val="single" w:color="auto" w:sz="4" w:space="0"/>
              <w:right w:val="single" w:color="auto" w:sz="4" w:space="0"/>
            </w:tcBorders>
            <w:vAlign w:val="center"/>
          </w:tcPr>
          <w:p w14:paraId="749E2FD2">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739D8B6A">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7DFA52B9">
            <w:pPr>
              <w:spacing w:line="360" w:lineRule="exact"/>
              <w:rPr>
                <w:rFonts w:hint="eastAsia" w:ascii="宋体" w:hAnsi="宋体" w:cs="宋体"/>
                <w:sz w:val="21"/>
                <w:szCs w:val="21"/>
              </w:rPr>
            </w:pPr>
            <w:r>
              <w:rPr>
                <w:rFonts w:hint="eastAsia" w:ascii="宋体" w:hAnsi="宋体" w:cs="宋体"/>
                <w:sz w:val="21"/>
                <w:szCs w:val="21"/>
              </w:rPr>
              <w:t>X≥1000</w:t>
            </w:r>
          </w:p>
        </w:tc>
        <w:tc>
          <w:tcPr>
            <w:tcW w:w="1701" w:type="dxa"/>
            <w:tcBorders>
              <w:top w:val="single" w:color="auto" w:sz="4" w:space="0"/>
              <w:left w:val="single" w:color="auto" w:sz="4" w:space="0"/>
              <w:bottom w:val="single" w:color="auto" w:sz="4" w:space="0"/>
              <w:right w:val="single" w:color="auto" w:sz="4" w:space="0"/>
            </w:tcBorders>
            <w:vAlign w:val="center"/>
          </w:tcPr>
          <w:p w14:paraId="07446EBC">
            <w:pPr>
              <w:spacing w:line="360" w:lineRule="exact"/>
              <w:rPr>
                <w:rFonts w:hint="eastAsia" w:ascii="宋体" w:hAnsi="宋体" w:cs="宋体"/>
                <w:sz w:val="21"/>
                <w:szCs w:val="21"/>
              </w:rPr>
            </w:pPr>
            <w:r>
              <w:rPr>
                <w:rFonts w:hint="eastAsia" w:ascii="宋体" w:hAnsi="宋体" w:cs="宋体"/>
                <w:sz w:val="21"/>
                <w:szCs w:val="21"/>
              </w:rPr>
              <w:t>300≤X＜1000</w:t>
            </w:r>
          </w:p>
        </w:tc>
        <w:tc>
          <w:tcPr>
            <w:tcW w:w="1740" w:type="dxa"/>
            <w:tcBorders>
              <w:top w:val="single" w:color="auto" w:sz="4" w:space="0"/>
              <w:left w:val="single" w:color="auto" w:sz="4" w:space="0"/>
              <w:bottom w:val="single" w:color="auto" w:sz="4" w:space="0"/>
              <w:right w:val="single" w:color="auto" w:sz="4" w:space="0"/>
            </w:tcBorders>
            <w:vAlign w:val="center"/>
          </w:tcPr>
          <w:p w14:paraId="6758C895">
            <w:pPr>
              <w:spacing w:line="360" w:lineRule="exact"/>
              <w:rPr>
                <w:rFonts w:hint="eastAsia" w:ascii="宋体" w:hAnsi="宋体" w:cs="宋体"/>
                <w:sz w:val="21"/>
                <w:szCs w:val="21"/>
              </w:rPr>
            </w:pPr>
            <w:r>
              <w:rPr>
                <w:rFonts w:hint="eastAsia" w:ascii="宋体" w:hAnsi="宋体" w:cs="宋体"/>
                <w:sz w:val="21"/>
                <w:szCs w:val="21"/>
              </w:rPr>
              <w:t xml:space="preserve">100≤X＜300 </w:t>
            </w:r>
          </w:p>
        </w:tc>
        <w:tc>
          <w:tcPr>
            <w:tcW w:w="992" w:type="dxa"/>
            <w:tcBorders>
              <w:top w:val="single" w:color="auto" w:sz="4" w:space="0"/>
              <w:left w:val="single" w:color="auto" w:sz="4" w:space="0"/>
              <w:bottom w:val="single" w:color="auto" w:sz="4" w:space="0"/>
              <w:right w:val="single" w:color="auto" w:sz="4" w:space="0"/>
            </w:tcBorders>
            <w:vAlign w:val="center"/>
          </w:tcPr>
          <w:p w14:paraId="5413F55D">
            <w:pPr>
              <w:spacing w:line="360" w:lineRule="exact"/>
              <w:rPr>
                <w:rFonts w:hint="eastAsia" w:ascii="宋体" w:hAnsi="宋体" w:cs="宋体"/>
                <w:sz w:val="21"/>
                <w:szCs w:val="21"/>
              </w:rPr>
            </w:pPr>
            <w:r>
              <w:rPr>
                <w:rFonts w:hint="eastAsia" w:ascii="宋体" w:hAnsi="宋体" w:cs="宋体"/>
                <w:sz w:val="21"/>
                <w:szCs w:val="21"/>
              </w:rPr>
              <w:t>X＜100</w:t>
            </w:r>
          </w:p>
        </w:tc>
      </w:tr>
      <w:tr w14:paraId="5FA6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77A6F4C7">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5B096E67">
            <w:pPr>
              <w:spacing w:line="360" w:lineRule="exact"/>
              <w:rPr>
                <w:rFonts w:hint="eastAsia" w:ascii="宋体" w:hAnsi="宋体" w:cs="宋体"/>
                <w:sz w:val="21"/>
                <w:szCs w:val="21"/>
              </w:rPr>
            </w:pPr>
            <w:r>
              <w:rPr>
                <w:rFonts w:hint="eastAsia" w:ascii="宋体" w:hAnsi="宋体" w:cs="宋体"/>
                <w:sz w:val="21"/>
                <w:szCs w:val="21"/>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14:paraId="13DD45DB">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2ACD8D45">
            <w:pPr>
              <w:spacing w:line="360" w:lineRule="exact"/>
              <w:rPr>
                <w:rFonts w:hint="eastAsia" w:ascii="宋体" w:hAnsi="宋体" w:cs="宋体"/>
                <w:sz w:val="21"/>
                <w:szCs w:val="21"/>
              </w:rPr>
            </w:pPr>
            <w:r>
              <w:rPr>
                <w:rFonts w:hint="eastAsia" w:ascii="宋体" w:hAnsi="宋体" w:cs="宋体"/>
                <w:sz w:val="21"/>
                <w:szCs w:val="21"/>
              </w:rPr>
              <w:t>Y≥5000</w:t>
            </w:r>
          </w:p>
        </w:tc>
        <w:tc>
          <w:tcPr>
            <w:tcW w:w="1701" w:type="dxa"/>
            <w:tcBorders>
              <w:top w:val="single" w:color="auto" w:sz="4" w:space="0"/>
              <w:left w:val="single" w:color="auto" w:sz="4" w:space="0"/>
              <w:bottom w:val="single" w:color="auto" w:sz="4" w:space="0"/>
              <w:right w:val="single" w:color="auto" w:sz="4" w:space="0"/>
            </w:tcBorders>
            <w:vAlign w:val="center"/>
          </w:tcPr>
          <w:p w14:paraId="2AB15813">
            <w:pPr>
              <w:spacing w:line="360" w:lineRule="exact"/>
              <w:rPr>
                <w:rFonts w:hint="eastAsia" w:ascii="宋体" w:hAnsi="宋体" w:cs="宋体"/>
                <w:sz w:val="21"/>
                <w:szCs w:val="21"/>
              </w:rPr>
            </w:pPr>
            <w:r>
              <w:rPr>
                <w:rFonts w:hint="eastAsia" w:ascii="宋体" w:hAnsi="宋体" w:cs="宋体"/>
                <w:sz w:val="21"/>
                <w:szCs w:val="21"/>
              </w:rPr>
              <w:t xml:space="preserve">1000≤Y＜5000 </w:t>
            </w:r>
          </w:p>
        </w:tc>
        <w:tc>
          <w:tcPr>
            <w:tcW w:w="1740" w:type="dxa"/>
            <w:tcBorders>
              <w:top w:val="single" w:color="auto" w:sz="4" w:space="0"/>
              <w:left w:val="single" w:color="auto" w:sz="4" w:space="0"/>
              <w:bottom w:val="single" w:color="auto" w:sz="4" w:space="0"/>
              <w:right w:val="single" w:color="auto" w:sz="4" w:space="0"/>
            </w:tcBorders>
            <w:vAlign w:val="center"/>
          </w:tcPr>
          <w:p w14:paraId="708C99BB">
            <w:pPr>
              <w:spacing w:line="360" w:lineRule="exact"/>
              <w:rPr>
                <w:rFonts w:hint="eastAsia" w:ascii="宋体" w:hAnsi="宋体" w:cs="宋体"/>
                <w:sz w:val="21"/>
                <w:szCs w:val="21"/>
              </w:rPr>
            </w:pPr>
            <w:r>
              <w:rPr>
                <w:rFonts w:hint="eastAsia" w:ascii="宋体" w:hAnsi="宋体" w:cs="宋体"/>
                <w:sz w:val="21"/>
                <w:szCs w:val="21"/>
              </w:rPr>
              <w:t xml:space="preserve"> 500≤Y＜1000</w:t>
            </w:r>
          </w:p>
        </w:tc>
        <w:tc>
          <w:tcPr>
            <w:tcW w:w="992" w:type="dxa"/>
            <w:tcBorders>
              <w:top w:val="single" w:color="auto" w:sz="4" w:space="0"/>
              <w:left w:val="single" w:color="auto" w:sz="4" w:space="0"/>
              <w:bottom w:val="single" w:color="auto" w:sz="4" w:space="0"/>
              <w:right w:val="single" w:color="auto" w:sz="4" w:space="0"/>
            </w:tcBorders>
            <w:vAlign w:val="center"/>
          </w:tcPr>
          <w:p w14:paraId="5CF28A0D">
            <w:pPr>
              <w:spacing w:line="360" w:lineRule="exact"/>
              <w:rPr>
                <w:rFonts w:hint="eastAsia" w:ascii="宋体" w:hAnsi="宋体" w:cs="宋体"/>
                <w:sz w:val="21"/>
                <w:szCs w:val="21"/>
              </w:rPr>
            </w:pPr>
            <w:r>
              <w:rPr>
                <w:rFonts w:hint="eastAsia" w:ascii="宋体" w:hAnsi="宋体" w:cs="宋体"/>
                <w:sz w:val="21"/>
                <w:szCs w:val="21"/>
              </w:rPr>
              <w:t>Y＜500</w:t>
            </w:r>
          </w:p>
        </w:tc>
      </w:tr>
      <w:tr w14:paraId="069F6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59" w:type="dxa"/>
            <w:vMerge w:val="restart"/>
            <w:tcBorders>
              <w:top w:val="nil"/>
              <w:left w:val="single" w:color="auto" w:sz="4" w:space="0"/>
              <w:bottom w:val="single" w:color="auto" w:sz="4" w:space="0"/>
              <w:right w:val="single" w:color="auto" w:sz="4" w:space="0"/>
            </w:tcBorders>
            <w:vAlign w:val="center"/>
          </w:tcPr>
          <w:p w14:paraId="2442C328">
            <w:pPr>
              <w:spacing w:line="360" w:lineRule="exact"/>
              <w:jc w:val="center"/>
              <w:rPr>
                <w:rFonts w:hint="eastAsia" w:ascii="宋体" w:hAnsi="宋体" w:cs="宋体"/>
                <w:sz w:val="21"/>
                <w:szCs w:val="21"/>
              </w:rPr>
            </w:pPr>
            <w:r>
              <w:rPr>
                <w:rFonts w:hint="eastAsia" w:ascii="宋体" w:hAnsi="宋体" w:cs="宋体"/>
                <w:sz w:val="21"/>
                <w:szCs w:val="21"/>
              </w:rPr>
              <w:t>租赁和商务服务业</w:t>
            </w:r>
          </w:p>
        </w:tc>
        <w:tc>
          <w:tcPr>
            <w:tcW w:w="1559" w:type="dxa"/>
            <w:tcBorders>
              <w:top w:val="single" w:color="auto" w:sz="4" w:space="0"/>
              <w:left w:val="single" w:color="auto" w:sz="4" w:space="0"/>
              <w:bottom w:val="single" w:color="auto" w:sz="4" w:space="0"/>
              <w:right w:val="single" w:color="auto" w:sz="4" w:space="0"/>
            </w:tcBorders>
            <w:vAlign w:val="center"/>
          </w:tcPr>
          <w:p w14:paraId="304596F2">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78BC8B57">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743A891B">
            <w:pPr>
              <w:spacing w:line="360" w:lineRule="exact"/>
              <w:rPr>
                <w:rFonts w:hint="eastAsia" w:ascii="宋体" w:hAnsi="宋体" w:cs="宋体"/>
                <w:sz w:val="21"/>
                <w:szCs w:val="21"/>
              </w:rPr>
            </w:pPr>
            <w:r>
              <w:rPr>
                <w:rFonts w:hint="eastAsia" w:ascii="宋体" w:hAnsi="宋体" w:cs="宋体"/>
                <w:sz w:val="21"/>
                <w:szCs w:val="21"/>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04AABE6F">
            <w:pPr>
              <w:spacing w:line="360" w:lineRule="exact"/>
              <w:rPr>
                <w:rFonts w:hint="eastAsia" w:ascii="宋体" w:hAnsi="宋体" w:cs="宋体"/>
                <w:sz w:val="21"/>
                <w:szCs w:val="21"/>
              </w:rPr>
            </w:pPr>
            <w:r>
              <w:rPr>
                <w:rFonts w:hint="eastAsia" w:ascii="宋体" w:hAnsi="宋体" w:cs="宋体"/>
                <w:sz w:val="21"/>
                <w:szCs w:val="21"/>
              </w:rPr>
              <w:t xml:space="preserve">100≤X＜300 </w:t>
            </w:r>
          </w:p>
        </w:tc>
        <w:tc>
          <w:tcPr>
            <w:tcW w:w="1740" w:type="dxa"/>
            <w:tcBorders>
              <w:top w:val="single" w:color="auto" w:sz="4" w:space="0"/>
              <w:left w:val="single" w:color="auto" w:sz="4" w:space="0"/>
              <w:bottom w:val="single" w:color="auto" w:sz="4" w:space="0"/>
              <w:right w:val="single" w:color="auto" w:sz="4" w:space="0"/>
            </w:tcBorders>
            <w:vAlign w:val="center"/>
          </w:tcPr>
          <w:p w14:paraId="255851E9">
            <w:pPr>
              <w:spacing w:line="360" w:lineRule="exact"/>
              <w:rPr>
                <w:rFonts w:hint="eastAsia" w:ascii="宋体" w:hAnsi="宋体" w:cs="宋体"/>
                <w:sz w:val="21"/>
                <w:szCs w:val="21"/>
              </w:rPr>
            </w:pPr>
            <w:r>
              <w:rPr>
                <w:rFonts w:hint="eastAsia" w:ascii="宋体" w:hAnsi="宋体" w:cs="宋体"/>
                <w:sz w:val="21"/>
                <w:szCs w:val="21"/>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484B2A37">
            <w:pPr>
              <w:spacing w:line="360" w:lineRule="exact"/>
              <w:rPr>
                <w:rFonts w:hint="eastAsia" w:ascii="宋体" w:hAnsi="宋体" w:cs="宋体"/>
                <w:sz w:val="21"/>
                <w:szCs w:val="21"/>
              </w:rPr>
            </w:pPr>
            <w:r>
              <w:rPr>
                <w:rFonts w:hint="eastAsia" w:ascii="宋体" w:hAnsi="宋体" w:cs="宋体"/>
                <w:sz w:val="21"/>
                <w:szCs w:val="21"/>
              </w:rPr>
              <w:t>X＜10</w:t>
            </w:r>
          </w:p>
        </w:tc>
      </w:tr>
      <w:tr w14:paraId="668EF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459" w:type="dxa"/>
            <w:vMerge w:val="continue"/>
            <w:tcBorders>
              <w:top w:val="nil"/>
              <w:left w:val="single" w:color="auto" w:sz="4" w:space="0"/>
              <w:bottom w:val="single" w:color="auto" w:sz="4" w:space="0"/>
              <w:right w:val="single" w:color="auto" w:sz="4" w:space="0"/>
            </w:tcBorders>
            <w:vAlign w:val="center"/>
          </w:tcPr>
          <w:p w14:paraId="2B3CD3D7">
            <w:pPr>
              <w:spacing w:line="360" w:lineRule="exact"/>
              <w:jc w:val="center"/>
              <w:rPr>
                <w:rFonts w:hint="eastAsia" w:ascii="宋体" w:hAnsi="宋体" w:cs="宋体"/>
                <w:sz w:val="21"/>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5797AF5A">
            <w:pPr>
              <w:spacing w:line="360" w:lineRule="exact"/>
              <w:rPr>
                <w:rFonts w:hint="eastAsia" w:ascii="宋体" w:hAnsi="宋体" w:cs="宋体"/>
                <w:sz w:val="21"/>
                <w:szCs w:val="21"/>
              </w:rPr>
            </w:pPr>
            <w:r>
              <w:rPr>
                <w:rFonts w:hint="eastAsia" w:ascii="宋体" w:hAnsi="宋体" w:cs="宋体"/>
                <w:sz w:val="21"/>
                <w:szCs w:val="21"/>
              </w:rPr>
              <w:t>资产总额(Z)</w:t>
            </w:r>
          </w:p>
        </w:tc>
        <w:tc>
          <w:tcPr>
            <w:tcW w:w="709" w:type="dxa"/>
            <w:tcBorders>
              <w:top w:val="single" w:color="auto" w:sz="4" w:space="0"/>
              <w:left w:val="single" w:color="auto" w:sz="4" w:space="0"/>
              <w:bottom w:val="single" w:color="auto" w:sz="4" w:space="0"/>
              <w:right w:val="single" w:color="auto" w:sz="4" w:space="0"/>
            </w:tcBorders>
            <w:vAlign w:val="center"/>
          </w:tcPr>
          <w:p w14:paraId="712EFE23">
            <w:pPr>
              <w:spacing w:line="360" w:lineRule="exact"/>
              <w:jc w:val="center"/>
              <w:rPr>
                <w:rFonts w:hint="eastAsia" w:ascii="宋体" w:hAnsi="宋体" w:cs="宋体"/>
                <w:sz w:val="21"/>
                <w:szCs w:val="21"/>
              </w:rPr>
            </w:pPr>
            <w:r>
              <w:rPr>
                <w:rFonts w:hint="eastAsia" w:ascii="宋体" w:hAnsi="宋体" w:cs="宋体"/>
                <w:sz w:val="21"/>
                <w:szCs w:val="21"/>
              </w:rPr>
              <w:t>万元</w:t>
            </w:r>
          </w:p>
        </w:tc>
        <w:tc>
          <w:tcPr>
            <w:tcW w:w="1275" w:type="dxa"/>
            <w:tcBorders>
              <w:top w:val="single" w:color="auto" w:sz="4" w:space="0"/>
              <w:left w:val="single" w:color="auto" w:sz="4" w:space="0"/>
              <w:bottom w:val="single" w:color="auto" w:sz="4" w:space="0"/>
              <w:right w:val="single" w:color="auto" w:sz="4" w:space="0"/>
            </w:tcBorders>
            <w:vAlign w:val="center"/>
          </w:tcPr>
          <w:p w14:paraId="32D87AE1">
            <w:pPr>
              <w:spacing w:line="360" w:lineRule="exact"/>
              <w:rPr>
                <w:rFonts w:hint="eastAsia" w:ascii="宋体" w:hAnsi="宋体" w:cs="宋体"/>
                <w:sz w:val="21"/>
                <w:szCs w:val="21"/>
              </w:rPr>
            </w:pPr>
            <w:r>
              <w:rPr>
                <w:rFonts w:hint="eastAsia" w:ascii="宋体" w:hAnsi="宋体" w:cs="宋体"/>
                <w:sz w:val="21"/>
                <w:szCs w:val="21"/>
              </w:rPr>
              <w:t>Z≥120000</w:t>
            </w:r>
          </w:p>
        </w:tc>
        <w:tc>
          <w:tcPr>
            <w:tcW w:w="1701" w:type="dxa"/>
            <w:tcBorders>
              <w:top w:val="single" w:color="auto" w:sz="4" w:space="0"/>
              <w:left w:val="single" w:color="auto" w:sz="4" w:space="0"/>
              <w:bottom w:val="single" w:color="auto" w:sz="4" w:space="0"/>
              <w:right w:val="single" w:color="auto" w:sz="4" w:space="0"/>
            </w:tcBorders>
            <w:vAlign w:val="center"/>
          </w:tcPr>
          <w:p w14:paraId="35EECE73">
            <w:pPr>
              <w:spacing w:line="360" w:lineRule="exact"/>
              <w:rPr>
                <w:rFonts w:hint="eastAsia" w:ascii="宋体" w:hAnsi="宋体" w:cs="宋体"/>
                <w:sz w:val="21"/>
                <w:szCs w:val="21"/>
              </w:rPr>
            </w:pPr>
            <w:r>
              <w:rPr>
                <w:rFonts w:hint="eastAsia" w:ascii="宋体" w:hAnsi="宋体" w:cs="宋体"/>
                <w:sz w:val="21"/>
                <w:szCs w:val="21"/>
              </w:rPr>
              <w:t xml:space="preserve"> 8000≤Z＜120000</w:t>
            </w:r>
          </w:p>
        </w:tc>
        <w:tc>
          <w:tcPr>
            <w:tcW w:w="1740" w:type="dxa"/>
            <w:tcBorders>
              <w:top w:val="single" w:color="auto" w:sz="4" w:space="0"/>
              <w:left w:val="single" w:color="auto" w:sz="4" w:space="0"/>
              <w:bottom w:val="single" w:color="auto" w:sz="4" w:space="0"/>
              <w:right w:val="single" w:color="auto" w:sz="4" w:space="0"/>
            </w:tcBorders>
            <w:vAlign w:val="center"/>
          </w:tcPr>
          <w:p w14:paraId="2572DAE9">
            <w:pPr>
              <w:spacing w:line="360" w:lineRule="exact"/>
              <w:rPr>
                <w:rFonts w:hint="eastAsia" w:ascii="宋体" w:hAnsi="宋体" w:cs="宋体"/>
                <w:sz w:val="21"/>
                <w:szCs w:val="21"/>
              </w:rPr>
            </w:pPr>
            <w:r>
              <w:rPr>
                <w:rFonts w:hint="eastAsia" w:ascii="宋体" w:hAnsi="宋体" w:cs="宋体"/>
                <w:sz w:val="21"/>
                <w:szCs w:val="21"/>
              </w:rPr>
              <w:t xml:space="preserve"> 100≤Z＜8000</w:t>
            </w:r>
          </w:p>
        </w:tc>
        <w:tc>
          <w:tcPr>
            <w:tcW w:w="992" w:type="dxa"/>
            <w:tcBorders>
              <w:top w:val="single" w:color="auto" w:sz="4" w:space="0"/>
              <w:left w:val="single" w:color="auto" w:sz="4" w:space="0"/>
              <w:bottom w:val="single" w:color="auto" w:sz="4" w:space="0"/>
              <w:right w:val="single" w:color="auto" w:sz="4" w:space="0"/>
            </w:tcBorders>
            <w:vAlign w:val="center"/>
          </w:tcPr>
          <w:p w14:paraId="4244DAE9">
            <w:pPr>
              <w:spacing w:line="360" w:lineRule="exact"/>
              <w:rPr>
                <w:rFonts w:hint="eastAsia" w:ascii="宋体" w:hAnsi="宋体" w:cs="宋体"/>
                <w:sz w:val="21"/>
                <w:szCs w:val="21"/>
              </w:rPr>
            </w:pPr>
            <w:r>
              <w:rPr>
                <w:rFonts w:hint="eastAsia" w:ascii="宋体" w:hAnsi="宋体" w:cs="宋体"/>
                <w:sz w:val="21"/>
                <w:szCs w:val="21"/>
              </w:rPr>
              <w:t>Z＜100</w:t>
            </w:r>
          </w:p>
        </w:tc>
      </w:tr>
      <w:tr w14:paraId="00826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9" w:type="dxa"/>
            <w:tcBorders>
              <w:top w:val="single" w:color="auto" w:sz="4" w:space="0"/>
              <w:left w:val="single" w:color="auto" w:sz="4" w:space="0"/>
              <w:bottom w:val="single" w:color="auto" w:sz="4" w:space="0"/>
              <w:right w:val="single" w:color="auto" w:sz="4" w:space="0"/>
            </w:tcBorders>
            <w:vAlign w:val="center"/>
          </w:tcPr>
          <w:p w14:paraId="153F6879">
            <w:pPr>
              <w:spacing w:line="360" w:lineRule="exact"/>
              <w:jc w:val="center"/>
              <w:rPr>
                <w:rFonts w:hint="eastAsia" w:ascii="宋体" w:hAnsi="宋体" w:cs="宋体"/>
                <w:sz w:val="21"/>
                <w:szCs w:val="21"/>
              </w:rPr>
            </w:pPr>
            <w:r>
              <w:rPr>
                <w:rFonts w:hint="eastAsia" w:ascii="宋体" w:hAnsi="宋体" w:cs="宋体"/>
                <w:sz w:val="21"/>
                <w:szCs w:val="21"/>
              </w:rPr>
              <w:t>其他未列明行业*</w:t>
            </w:r>
          </w:p>
        </w:tc>
        <w:tc>
          <w:tcPr>
            <w:tcW w:w="1559" w:type="dxa"/>
            <w:tcBorders>
              <w:top w:val="single" w:color="auto" w:sz="4" w:space="0"/>
              <w:left w:val="single" w:color="auto" w:sz="4" w:space="0"/>
              <w:bottom w:val="single" w:color="auto" w:sz="4" w:space="0"/>
              <w:right w:val="single" w:color="auto" w:sz="4" w:space="0"/>
            </w:tcBorders>
            <w:vAlign w:val="center"/>
          </w:tcPr>
          <w:p w14:paraId="3C97A168">
            <w:pPr>
              <w:spacing w:line="360" w:lineRule="exact"/>
              <w:rPr>
                <w:rFonts w:hint="eastAsia" w:ascii="宋体" w:hAnsi="宋体" w:cs="宋体"/>
                <w:sz w:val="21"/>
                <w:szCs w:val="21"/>
              </w:rPr>
            </w:pPr>
            <w:r>
              <w:rPr>
                <w:rFonts w:hint="eastAsia" w:ascii="宋体" w:hAnsi="宋体" w:cs="宋体"/>
                <w:sz w:val="21"/>
                <w:szCs w:val="21"/>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14:paraId="2017D625">
            <w:pPr>
              <w:spacing w:line="360" w:lineRule="exact"/>
              <w:jc w:val="center"/>
              <w:rPr>
                <w:rFonts w:hint="eastAsia" w:ascii="宋体" w:hAnsi="宋体" w:cs="宋体"/>
                <w:sz w:val="21"/>
                <w:szCs w:val="21"/>
              </w:rPr>
            </w:pPr>
            <w:r>
              <w:rPr>
                <w:rFonts w:hint="eastAsia" w:ascii="宋体" w:hAnsi="宋体" w:cs="宋体"/>
                <w:sz w:val="21"/>
                <w:szCs w:val="21"/>
              </w:rPr>
              <w:t>人</w:t>
            </w:r>
          </w:p>
        </w:tc>
        <w:tc>
          <w:tcPr>
            <w:tcW w:w="1275" w:type="dxa"/>
            <w:tcBorders>
              <w:top w:val="single" w:color="auto" w:sz="4" w:space="0"/>
              <w:left w:val="single" w:color="auto" w:sz="4" w:space="0"/>
              <w:bottom w:val="single" w:color="auto" w:sz="4" w:space="0"/>
              <w:right w:val="single" w:color="auto" w:sz="4" w:space="0"/>
            </w:tcBorders>
            <w:vAlign w:val="center"/>
          </w:tcPr>
          <w:p w14:paraId="4D7F083B">
            <w:pPr>
              <w:spacing w:line="360" w:lineRule="exact"/>
              <w:rPr>
                <w:rFonts w:hint="eastAsia" w:ascii="宋体" w:hAnsi="宋体" w:cs="宋体"/>
                <w:sz w:val="21"/>
                <w:szCs w:val="21"/>
              </w:rPr>
            </w:pPr>
            <w:r>
              <w:rPr>
                <w:rFonts w:hint="eastAsia" w:ascii="宋体" w:hAnsi="宋体" w:cs="宋体"/>
                <w:sz w:val="21"/>
                <w:szCs w:val="21"/>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1D6BA184">
            <w:pPr>
              <w:spacing w:line="360" w:lineRule="exact"/>
              <w:rPr>
                <w:rFonts w:hint="eastAsia" w:ascii="宋体" w:hAnsi="宋体" w:cs="宋体"/>
                <w:sz w:val="21"/>
                <w:szCs w:val="21"/>
              </w:rPr>
            </w:pPr>
            <w:r>
              <w:rPr>
                <w:rFonts w:hint="eastAsia" w:ascii="宋体" w:hAnsi="宋体" w:cs="宋体"/>
                <w:sz w:val="21"/>
                <w:szCs w:val="21"/>
              </w:rPr>
              <w:t xml:space="preserve">100≤X＜300 </w:t>
            </w:r>
          </w:p>
        </w:tc>
        <w:tc>
          <w:tcPr>
            <w:tcW w:w="1740" w:type="dxa"/>
            <w:tcBorders>
              <w:top w:val="single" w:color="auto" w:sz="4" w:space="0"/>
              <w:left w:val="single" w:color="auto" w:sz="4" w:space="0"/>
              <w:bottom w:val="single" w:color="auto" w:sz="4" w:space="0"/>
              <w:right w:val="single" w:color="auto" w:sz="4" w:space="0"/>
            </w:tcBorders>
            <w:vAlign w:val="center"/>
          </w:tcPr>
          <w:p w14:paraId="452015E0">
            <w:pPr>
              <w:spacing w:line="360" w:lineRule="exact"/>
              <w:rPr>
                <w:rFonts w:hint="eastAsia" w:ascii="宋体" w:hAnsi="宋体" w:cs="宋体"/>
                <w:sz w:val="21"/>
                <w:szCs w:val="21"/>
              </w:rPr>
            </w:pPr>
            <w:r>
              <w:rPr>
                <w:rFonts w:hint="eastAsia" w:ascii="宋体" w:hAnsi="宋体" w:cs="宋体"/>
                <w:sz w:val="21"/>
                <w:szCs w:val="21"/>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7AF412CE">
            <w:pPr>
              <w:spacing w:line="360" w:lineRule="exact"/>
              <w:rPr>
                <w:rFonts w:hint="eastAsia" w:ascii="宋体" w:hAnsi="宋体" w:cs="宋体"/>
                <w:sz w:val="21"/>
                <w:szCs w:val="21"/>
              </w:rPr>
            </w:pPr>
            <w:r>
              <w:rPr>
                <w:rFonts w:hint="eastAsia" w:ascii="宋体" w:hAnsi="宋体" w:cs="宋体"/>
                <w:sz w:val="21"/>
                <w:szCs w:val="21"/>
              </w:rPr>
              <w:t>X＜10</w:t>
            </w:r>
          </w:p>
        </w:tc>
      </w:tr>
    </w:tbl>
    <w:p w14:paraId="24B42596">
      <w:pPr>
        <w:spacing w:line="360" w:lineRule="auto"/>
        <w:rPr>
          <w:rFonts w:hint="eastAsia" w:ascii="宋体" w:hAnsi="宋体" w:cs="宋体"/>
          <w:sz w:val="21"/>
          <w:szCs w:val="21"/>
        </w:rPr>
      </w:pPr>
      <w:r>
        <w:rPr>
          <w:rFonts w:hint="eastAsia" w:ascii="宋体" w:hAnsi="宋体" w:cs="宋体"/>
          <w:sz w:val="21"/>
          <w:szCs w:val="21"/>
        </w:rPr>
        <w:t>说明：</w:t>
      </w:r>
    </w:p>
    <w:p w14:paraId="2E12C243">
      <w:pPr>
        <w:spacing w:line="360" w:lineRule="auto"/>
        <w:ind w:firstLine="420" w:firstLineChars="200"/>
        <w:rPr>
          <w:rFonts w:hint="eastAsia" w:ascii="宋体" w:hAnsi="宋体" w:cs="宋体"/>
          <w:sz w:val="21"/>
          <w:szCs w:val="21"/>
        </w:rPr>
      </w:pPr>
      <w:r>
        <w:rPr>
          <w:rFonts w:hint="eastAsia" w:ascii="宋体" w:hAnsi="宋体" w:cs="宋体"/>
          <w:sz w:val="21"/>
          <w:szCs w:val="21"/>
        </w:rPr>
        <w:t>1.大型、中型和小型企业须同时满足所列指标的下限，否则下划一档；微型企业只需满足所列指标中的一项即可。</w:t>
      </w:r>
    </w:p>
    <w:p w14:paraId="20B3505B">
      <w:pPr>
        <w:spacing w:line="360" w:lineRule="auto"/>
        <w:ind w:firstLine="420" w:firstLineChars="200"/>
        <w:rPr>
          <w:rFonts w:hint="eastAsia" w:ascii="宋体" w:hAnsi="宋体" w:cs="宋体"/>
          <w:sz w:val="21"/>
          <w:szCs w:val="21"/>
        </w:rPr>
      </w:pPr>
      <w:r>
        <w:rPr>
          <w:rFonts w:hint="eastAsia" w:ascii="宋体" w:hAnsi="宋体" w:cs="宋体"/>
          <w:sz w:val="21"/>
          <w:szCs w:val="21"/>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A1E843F">
      <w:pPr>
        <w:spacing w:line="360" w:lineRule="auto"/>
        <w:ind w:firstLine="420" w:firstLineChars="200"/>
        <w:rPr>
          <w:rFonts w:hint="eastAsia" w:ascii="宋体" w:hAnsi="宋体" w:cs="宋体"/>
          <w:sz w:val="21"/>
          <w:szCs w:val="21"/>
        </w:rPr>
      </w:pPr>
      <w:r>
        <w:rPr>
          <w:rFonts w:hint="eastAsia" w:ascii="宋体" w:hAnsi="宋体" w:cs="宋体"/>
          <w:sz w:val="21"/>
          <w:szCs w:val="21"/>
        </w:rPr>
        <w:t>3.企业划分指标以现行统计制度为准。</w:t>
      </w:r>
    </w:p>
    <w:p w14:paraId="1FC4242A">
      <w:pPr>
        <w:spacing w:line="360" w:lineRule="auto"/>
        <w:ind w:firstLine="420" w:firstLineChars="200"/>
        <w:rPr>
          <w:rFonts w:hint="eastAsia" w:ascii="宋体" w:hAnsi="宋体" w:cs="宋体"/>
          <w:sz w:val="21"/>
          <w:szCs w:val="21"/>
        </w:rPr>
      </w:pPr>
      <w:r>
        <w:rPr>
          <w:rFonts w:hint="eastAsia" w:ascii="宋体" w:hAnsi="宋体" w:cs="宋体"/>
          <w:sz w:val="21"/>
          <w:szCs w:val="21"/>
        </w:rPr>
        <w:t>（1）从业人员，是指期末从业人员数，没有期末从业人员数的，采用全年平均人员数代替。</w:t>
      </w:r>
    </w:p>
    <w:p w14:paraId="42AC3517">
      <w:pPr>
        <w:spacing w:line="360" w:lineRule="auto"/>
        <w:ind w:firstLine="420" w:firstLineChars="200"/>
        <w:rPr>
          <w:rFonts w:hint="eastAsia" w:ascii="宋体" w:hAnsi="宋体" w:cs="宋体"/>
          <w:sz w:val="21"/>
          <w:szCs w:val="21"/>
        </w:rPr>
      </w:pPr>
      <w:r>
        <w:rPr>
          <w:rFonts w:hint="eastAsia" w:ascii="宋体" w:hAnsi="宋体" w:cs="宋体"/>
          <w:sz w:val="21"/>
          <w:szCs w:val="21"/>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637D7CAC">
      <w:pPr>
        <w:spacing w:line="360" w:lineRule="auto"/>
        <w:ind w:firstLine="420" w:firstLineChars="200"/>
        <w:rPr>
          <w:rFonts w:hint="eastAsia" w:ascii="宋体" w:hAnsi="宋体" w:cs="宋体"/>
          <w:sz w:val="21"/>
          <w:szCs w:val="21"/>
        </w:rPr>
      </w:pPr>
      <w:r>
        <w:rPr>
          <w:rFonts w:hint="eastAsia" w:ascii="宋体" w:hAnsi="宋体" w:cs="宋体"/>
          <w:sz w:val="21"/>
          <w:szCs w:val="21"/>
        </w:rPr>
        <w:t>（3）资产总额，采用资产总计代替。</w:t>
      </w:r>
    </w:p>
    <w:p w14:paraId="6024B563">
      <w:pPr>
        <w:spacing w:line="360" w:lineRule="auto"/>
        <w:ind w:firstLine="482" w:firstLineChars="200"/>
        <w:rPr>
          <w:rFonts w:hint="eastAsia" w:ascii="宋体" w:hAnsi="宋体" w:cs="宋体"/>
          <w:b/>
          <w:bCs/>
        </w:rPr>
      </w:pPr>
      <w:r>
        <w:rPr>
          <w:rFonts w:hint="eastAsia" w:ascii="宋体" w:hAnsi="宋体" w:cs="宋体"/>
          <w:b/>
          <w:bCs/>
        </w:rPr>
        <w:t>2.监狱企业</w:t>
      </w:r>
    </w:p>
    <w:p w14:paraId="7B4F8E2C">
      <w:pPr>
        <w:spacing w:line="360" w:lineRule="auto"/>
        <w:ind w:firstLine="480" w:firstLineChars="200"/>
        <w:rPr>
          <w:rFonts w:hint="eastAsia" w:ascii="宋体" w:hAnsi="宋体" w:cs="宋体"/>
        </w:rPr>
      </w:pPr>
      <w:r>
        <w:rPr>
          <w:rFonts w:hint="eastAsia" w:ascii="宋体" w:hAnsi="宋体" w:cs="宋体"/>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采购活动时，应当提供由省级以上监狱管理局、戒毒管理局(含新疆生产建设兵团)出具的属于监狱企业的证明文件。</w:t>
      </w:r>
    </w:p>
    <w:p w14:paraId="360E2DD0">
      <w:pPr>
        <w:spacing w:line="360" w:lineRule="auto"/>
        <w:ind w:firstLine="482" w:firstLineChars="200"/>
        <w:rPr>
          <w:rFonts w:hint="eastAsia" w:ascii="宋体" w:hAnsi="宋体" w:cs="宋体"/>
          <w:b/>
          <w:bCs/>
        </w:rPr>
      </w:pPr>
      <w:r>
        <w:rPr>
          <w:rFonts w:hint="eastAsia" w:ascii="宋体" w:hAnsi="宋体" w:cs="宋体"/>
          <w:b/>
          <w:bCs/>
        </w:rPr>
        <w:t>3.残疾人福利性单位</w:t>
      </w:r>
    </w:p>
    <w:p w14:paraId="590059E8">
      <w:pPr>
        <w:spacing w:line="360" w:lineRule="auto"/>
        <w:ind w:firstLine="480" w:firstLineChars="200"/>
        <w:rPr>
          <w:rFonts w:hint="eastAsia" w:ascii="宋体" w:hAnsi="宋体" w:cs="宋体"/>
        </w:rPr>
      </w:pPr>
      <w:r>
        <w:rPr>
          <w:rFonts w:hint="eastAsia" w:ascii="宋体" w:hAnsi="宋体" w:cs="宋体"/>
        </w:rPr>
        <w:t>3.1根据《财政部 民政部 中国残疾人联合会关于促进残疾人就业政府采购政策的通知》（财库〔2017〕141号），享受政府采购支持政策的残疾人福利性单位应当同时满足以下条件：</w:t>
      </w:r>
    </w:p>
    <w:p w14:paraId="7D85EED9">
      <w:pPr>
        <w:spacing w:line="360" w:lineRule="auto"/>
        <w:ind w:firstLine="480" w:firstLineChars="200"/>
        <w:rPr>
          <w:rFonts w:hint="eastAsia" w:ascii="宋体" w:hAnsi="宋体" w:cs="宋体"/>
        </w:rPr>
      </w:pPr>
      <w:r>
        <w:rPr>
          <w:rFonts w:hint="eastAsia" w:ascii="宋体" w:hAnsi="宋体" w:cs="宋体"/>
        </w:rPr>
        <w:t>（1）安置的残疾人占本单位在职职工人数的比例不低于25%（含25%），并且安置的残疾人人数不少于10人（含10人）；</w:t>
      </w:r>
    </w:p>
    <w:p w14:paraId="1628E54F">
      <w:pPr>
        <w:spacing w:line="360" w:lineRule="auto"/>
        <w:ind w:firstLine="480" w:firstLineChars="200"/>
        <w:rPr>
          <w:rFonts w:hint="eastAsia" w:ascii="宋体" w:hAnsi="宋体" w:cs="宋体"/>
        </w:rPr>
      </w:pPr>
      <w:r>
        <w:rPr>
          <w:rFonts w:hint="eastAsia" w:ascii="宋体" w:hAnsi="宋体" w:cs="宋体"/>
        </w:rPr>
        <w:t>（2）依法与安置的每位残疾人签订了一年以上（含一年）的劳动合同或服务协议；</w:t>
      </w:r>
    </w:p>
    <w:p w14:paraId="39F1BF86">
      <w:pPr>
        <w:spacing w:line="360" w:lineRule="auto"/>
        <w:ind w:firstLine="480" w:firstLineChars="200"/>
        <w:rPr>
          <w:rFonts w:hint="eastAsia" w:ascii="宋体" w:hAnsi="宋体" w:cs="宋体"/>
        </w:rPr>
      </w:pPr>
      <w:r>
        <w:rPr>
          <w:rFonts w:hint="eastAsia" w:ascii="宋体" w:hAnsi="宋体" w:cs="宋体"/>
        </w:rPr>
        <w:t xml:space="preserve">（3）为安置的每位残疾人按月足额缴纳了基本养老保险、基本医疗保险、失业保险、工伤保险和生育保险等社会保险费； </w:t>
      </w:r>
    </w:p>
    <w:p w14:paraId="0A4D3786">
      <w:pPr>
        <w:spacing w:line="360" w:lineRule="auto"/>
        <w:ind w:firstLine="480" w:firstLineChars="200"/>
        <w:rPr>
          <w:rFonts w:hint="eastAsia" w:ascii="宋体" w:hAnsi="宋体" w:cs="宋体"/>
        </w:rPr>
      </w:pPr>
      <w:r>
        <w:rPr>
          <w:rFonts w:hint="eastAsia" w:ascii="宋体" w:hAnsi="宋体" w:cs="宋体"/>
        </w:rPr>
        <w:t>（4）通过银行等金融机构向安置的每位残疾人，按月支付了不低于单位所在区县适用的经省级人民政府批准的月最低工资标准的工资；</w:t>
      </w:r>
    </w:p>
    <w:p w14:paraId="4F57B9DD">
      <w:pPr>
        <w:spacing w:line="360" w:lineRule="auto"/>
        <w:ind w:firstLine="480" w:firstLineChars="200"/>
        <w:rPr>
          <w:rFonts w:hint="eastAsia" w:ascii="宋体" w:hAnsi="宋体" w:cs="宋体"/>
        </w:rPr>
      </w:pPr>
      <w:r>
        <w:rPr>
          <w:rFonts w:hint="eastAsia" w:ascii="宋体" w:hAnsi="宋体" w:cs="宋体"/>
        </w:rPr>
        <w:t>（5）提供本单位制造的货物、承担的工程或者服务（以下简称产品），或者提供其他残疾人福利性单位制造的货物（不包括使用非残疾人福利性单位注册商标的货物）。</w:t>
      </w:r>
    </w:p>
    <w:p w14:paraId="7382373D">
      <w:pPr>
        <w:spacing w:line="360" w:lineRule="auto"/>
        <w:ind w:firstLine="480" w:firstLineChars="200"/>
        <w:rPr>
          <w:rFonts w:hint="eastAsia" w:ascii="宋体" w:hAnsi="宋体" w:cs="宋体"/>
        </w:rPr>
      </w:pPr>
      <w:r>
        <w:rPr>
          <w:rFonts w:hint="eastAsia" w:ascii="宋体" w:hAnsi="宋体" w:cs="宋体"/>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58E04D6">
      <w:pPr>
        <w:spacing w:line="360" w:lineRule="auto"/>
        <w:ind w:firstLine="480" w:firstLineChars="200"/>
        <w:rPr>
          <w:rFonts w:hint="eastAsia" w:ascii="宋体" w:hAnsi="宋体" w:cs="宋体"/>
        </w:rPr>
      </w:pPr>
      <w:r>
        <w:rPr>
          <w:rFonts w:hint="eastAsia" w:ascii="宋体" w:hAnsi="宋体" w:cs="宋体"/>
        </w:rPr>
        <w:t>3.2符合条件的残疾人福利性单位在参加采购活动时，应当提供《残疾人福利性单位声明函》，并对声明的真实性负责。</w:t>
      </w:r>
      <w:bookmarkEnd w:id="463"/>
      <w:bookmarkEnd w:id="464"/>
      <w:bookmarkEnd w:id="494"/>
      <w:bookmarkStart w:id="498" w:name="OLE_LINK21"/>
    </w:p>
    <w:p w14:paraId="145C7251">
      <w:pPr>
        <w:spacing w:line="360" w:lineRule="auto"/>
        <w:ind w:firstLine="482" w:firstLineChars="200"/>
        <w:rPr>
          <w:rFonts w:hint="eastAsia" w:ascii="宋体" w:hAnsi="宋体" w:cs="宋体"/>
          <w:b/>
          <w:bCs/>
        </w:rPr>
      </w:pPr>
      <w:bookmarkStart w:id="499" w:name="OLE_LINK98"/>
      <w:r>
        <w:rPr>
          <w:rFonts w:hint="eastAsia" w:ascii="宋体" w:hAnsi="宋体" w:cs="宋体"/>
          <w:b/>
          <w:bCs/>
        </w:rPr>
        <w:t>三）采购本国货物、服务和工程</w:t>
      </w:r>
      <w:bookmarkEnd w:id="499"/>
    </w:p>
    <w:p w14:paraId="399A4878">
      <w:pPr>
        <w:spacing w:line="360" w:lineRule="auto"/>
        <w:ind w:firstLine="480" w:firstLineChars="200"/>
        <w:rPr>
          <w:rFonts w:hint="eastAsia" w:ascii="宋体" w:hAnsi="宋体" w:cs="宋体"/>
        </w:rPr>
      </w:pPr>
      <w:r>
        <w:rPr>
          <w:rFonts w:hint="eastAsia" w:ascii="宋体" w:hAnsi="宋体" w:cs="宋体"/>
        </w:rPr>
        <w:t>政府采购应当采购本国货物、工程和服务。但有《中华人民共和国政府采购法》第十条规定情形的除外。</w:t>
      </w:r>
    </w:p>
    <w:p w14:paraId="6EDB0286">
      <w:pPr>
        <w:spacing w:line="360" w:lineRule="auto"/>
        <w:ind w:firstLine="480" w:firstLineChars="200"/>
        <w:rPr>
          <w:rFonts w:hint="eastAsia" w:ascii="宋体" w:hAnsi="宋体" w:cs="宋体"/>
        </w:rPr>
      </w:pPr>
      <w:r>
        <w:rPr>
          <w:rFonts w:hint="eastAsia" w:ascii="宋体" w:hAnsi="宋体" w:cs="宋体"/>
        </w:rPr>
        <w:t>1.本项目如接受非本国货物、工程、服务参与投标，则具体要求见第二章《投标人须知》。若第二章《投标人须知》中不接受采购进口产品，投标人所投产品为进口产品的将被认定为</w:t>
      </w:r>
      <w:r>
        <w:rPr>
          <w:rFonts w:hint="eastAsia" w:ascii="宋体" w:hAnsi="宋体" w:cs="宋体"/>
          <w:b/>
          <w:bCs/>
        </w:rPr>
        <w:t>投标无效</w:t>
      </w:r>
      <w:r>
        <w:rPr>
          <w:rFonts w:hint="eastAsia" w:ascii="宋体" w:hAnsi="宋体" w:cs="宋体"/>
        </w:rPr>
        <w:t>。</w:t>
      </w:r>
    </w:p>
    <w:p w14:paraId="62FCD433">
      <w:pPr>
        <w:spacing w:line="360" w:lineRule="auto"/>
        <w:ind w:firstLine="480" w:firstLineChars="200"/>
        <w:rPr>
          <w:rFonts w:hint="eastAsia" w:ascii="宋体" w:hAnsi="宋体" w:cs="宋体"/>
        </w:rPr>
      </w:pPr>
      <w:r>
        <w:rPr>
          <w:rFonts w:hint="eastAsia" w:ascii="宋体" w:hAnsi="宋体" w:cs="宋体"/>
        </w:rPr>
        <w:t>2.</w:t>
      </w:r>
      <w:bookmarkStart w:id="500" w:name="OLE_LINK102"/>
      <w:r>
        <w:rPr>
          <w:rFonts w:hint="eastAsia" w:ascii="宋体" w:hAnsi="宋体" w:cs="宋体"/>
        </w:rPr>
        <w:t>进口产品指通过中国海关报关验放进入中国境内且产自关</w:t>
      </w:r>
      <w:bookmarkEnd w:id="500"/>
      <w:r>
        <w:rPr>
          <w:rFonts w:hint="eastAsia" w:ascii="宋体" w:hAnsi="宋体" w:cs="宋体"/>
        </w:rPr>
        <w:t>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p>
    <w:p w14:paraId="18659CBE">
      <w:pPr>
        <w:spacing w:line="360" w:lineRule="auto"/>
        <w:ind w:firstLine="480" w:firstLineChars="200"/>
        <w:rPr>
          <w:rFonts w:hint="eastAsia" w:ascii="宋体" w:hAnsi="宋体" w:cs="宋体"/>
        </w:rPr>
      </w:pPr>
      <w:r>
        <w:rPr>
          <w:rFonts w:hint="eastAsia" w:ascii="宋体" w:hAnsi="宋体" w:cs="宋体"/>
        </w:rPr>
        <w:t>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3AF44D">
      <w:pPr>
        <w:spacing w:line="360" w:lineRule="auto"/>
        <w:ind w:firstLine="480" w:firstLineChars="200"/>
        <w:rPr>
          <w:rFonts w:hint="eastAsia" w:ascii="宋体" w:hAnsi="宋体" w:cs="宋体"/>
        </w:rPr>
      </w:pPr>
      <w:r>
        <w:rPr>
          <w:rFonts w:hint="eastAsia" w:ascii="宋体" w:hAnsi="宋体" w:cs="宋体"/>
        </w:rPr>
        <w:t>4.在接受进口产品投标的采购项目或采购包中，提供本国生产的货物的供应商，应当对其提供的产品出具第七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29BAE832">
      <w:pPr>
        <w:spacing w:line="360" w:lineRule="auto"/>
        <w:ind w:firstLine="480" w:firstLineChars="200"/>
        <w:rPr>
          <w:rFonts w:hint="eastAsia" w:ascii="宋体" w:hAnsi="宋体" w:cs="宋体"/>
        </w:rPr>
      </w:pPr>
      <w:r>
        <w:rPr>
          <w:rFonts w:hint="eastAsia" w:ascii="宋体" w:hAnsi="宋体" w:cs="宋体"/>
        </w:rPr>
        <w:t>5.对本国产品的支持政策的相关要求</w:t>
      </w:r>
    </w:p>
    <w:p w14:paraId="026A7ED0">
      <w:pPr>
        <w:spacing w:line="360" w:lineRule="auto"/>
        <w:ind w:firstLine="480" w:firstLineChars="200"/>
        <w:rPr>
          <w:rFonts w:hint="eastAsia" w:ascii="宋体" w:hAnsi="宋体" w:cs="宋体"/>
        </w:rPr>
      </w:pPr>
      <w:r>
        <w:rPr>
          <w:rFonts w:hint="eastAsia" w:ascii="宋体" w:hAnsi="宋体" w:cs="宋体"/>
        </w:rPr>
        <w:t>（1）政府采购活动中既有本国产品又有非本国产品参与竞争的，依法对本国产品给予价格评审优惠，对本国产品的报价给予 20%的价格扣除，用扣除后的价格参与评审。</w:t>
      </w:r>
    </w:p>
    <w:p w14:paraId="4A8FB153">
      <w:pPr>
        <w:spacing w:line="360" w:lineRule="auto"/>
        <w:ind w:firstLine="480" w:firstLineChars="200"/>
        <w:rPr>
          <w:rFonts w:hint="eastAsia" w:ascii="宋体" w:hAnsi="宋体" w:cs="宋体"/>
        </w:rPr>
      </w:pPr>
      <w:r>
        <w:rPr>
          <w:rFonts w:hint="eastAsia" w:ascii="宋体" w:hAnsi="宋体" w:cs="宋体"/>
        </w:rPr>
        <w:t>（2）当采购项目或者采购包中含有多种产品，供应商为该采购项目或者采购包提供的符合本国产品标准的产品成本之和占该供应商提供的全部产品成本之和的比例达到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w:t>
      </w:r>
    </w:p>
    <w:p w14:paraId="0592AD1A">
      <w:pPr>
        <w:spacing w:line="360" w:lineRule="auto"/>
        <w:ind w:firstLine="482" w:firstLineChars="200"/>
        <w:rPr>
          <w:rFonts w:hint="eastAsia" w:ascii="宋体" w:hAnsi="宋体" w:cs="宋体"/>
          <w:b/>
          <w:bCs/>
        </w:rPr>
      </w:pPr>
      <w:r>
        <w:rPr>
          <w:rFonts w:hint="eastAsia" w:ascii="宋体" w:hAnsi="宋体" w:cs="宋体"/>
          <w:b/>
          <w:bCs/>
        </w:rPr>
        <w:t>6.本国产品应当符合以下条件：</w:t>
      </w:r>
    </w:p>
    <w:p w14:paraId="670770CC">
      <w:pPr>
        <w:spacing w:line="360" w:lineRule="auto"/>
        <w:ind w:firstLine="482" w:firstLineChars="200"/>
        <w:rPr>
          <w:rFonts w:hint="eastAsia" w:ascii="宋体" w:hAnsi="宋体" w:cs="宋体"/>
          <w:b/>
          <w:bCs/>
        </w:rPr>
      </w:pPr>
      <w:r>
        <w:rPr>
          <w:rFonts w:hint="eastAsia" w:ascii="宋体" w:hAnsi="宋体" w:cs="宋体"/>
          <w:b/>
          <w:bCs/>
        </w:rPr>
        <w:t>（1）在中国境内生产</w:t>
      </w:r>
    </w:p>
    <w:p w14:paraId="237F1E59">
      <w:pPr>
        <w:spacing w:line="360" w:lineRule="auto"/>
        <w:ind w:firstLine="480" w:firstLineChars="200"/>
        <w:rPr>
          <w:rFonts w:hint="eastAsia" w:ascii="宋体" w:hAnsi="宋体" w:cs="宋体"/>
        </w:rPr>
      </w:pPr>
      <w:r>
        <w:rPr>
          <w:rFonts w:hint="eastAsia" w:ascii="宋体" w:hAnsi="宋体" w:cs="宋体"/>
        </w:rPr>
        <w:t>产品应当在中国境内生产，即在中华人民共和国关境内实现从原材料、组件到产品的属性改变。</w:t>
      </w:r>
    </w:p>
    <w:p w14:paraId="5EBC06CF">
      <w:pPr>
        <w:spacing w:line="360" w:lineRule="auto"/>
        <w:ind w:firstLine="480" w:firstLineChars="200"/>
        <w:rPr>
          <w:rFonts w:hint="eastAsia" w:ascii="宋体" w:hAnsi="宋体" w:cs="宋体"/>
        </w:rPr>
      </w:pPr>
      <w:r>
        <w:rPr>
          <w:rFonts w:hint="eastAsia" w:ascii="宋体" w:hAnsi="宋体" w:cs="宋体"/>
        </w:rPr>
        <w:t>属性改变是指经过制造、加工或者组装等工序，产生完全不同于原材料、组件的新产品，并具有新的名称和特征（用途）。属性改变不包括以下细微操作：</w:t>
      </w:r>
    </w:p>
    <w:p w14:paraId="6E5E222A">
      <w:pPr>
        <w:spacing w:line="360" w:lineRule="auto"/>
        <w:ind w:firstLine="480" w:firstLineChars="200"/>
        <w:rPr>
          <w:rFonts w:hint="eastAsia" w:ascii="宋体" w:hAnsi="宋体" w:cs="宋体"/>
        </w:rPr>
      </w:pPr>
      <w:r>
        <w:rPr>
          <w:rFonts w:hint="eastAsia" w:ascii="宋体" w:hAnsi="宋体" w:cs="宋体"/>
        </w:rPr>
        <w:t>1）为确保产品在运输或者储存期间保持某种状态而进行的操作；</w:t>
      </w:r>
    </w:p>
    <w:p w14:paraId="2C51A5D6">
      <w:pPr>
        <w:spacing w:line="360" w:lineRule="auto"/>
        <w:ind w:firstLine="480" w:firstLineChars="200"/>
        <w:rPr>
          <w:rFonts w:hint="eastAsia" w:ascii="宋体" w:hAnsi="宋体" w:cs="宋体"/>
        </w:rPr>
      </w:pPr>
      <w:r>
        <w:rPr>
          <w:rFonts w:hint="eastAsia" w:ascii="宋体" w:hAnsi="宋体" w:cs="宋体"/>
        </w:rPr>
        <w:t>2）为产品运输或者销售进行的包装或者展示；</w:t>
      </w:r>
    </w:p>
    <w:p w14:paraId="5353D0E4">
      <w:pPr>
        <w:spacing w:line="360" w:lineRule="auto"/>
        <w:ind w:firstLine="480" w:firstLineChars="200"/>
        <w:rPr>
          <w:rFonts w:hint="eastAsia" w:ascii="宋体" w:hAnsi="宋体" w:cs="宋体"/>
        </w:rPr>
      </w:pPr>
      <w:r>
        <w:rPr>
          <w:rFonts w:hint="eastAsia" w:ascii="宋体" w:hAnsi="宋体" w:cs="宋体"/>
        </w:rPr>
        <w:t>3）在产品或者其包装上粘贴或者印刷品牌、标志、标识以及其他用于区别的标记；</w:t>
      </w:r>
    </w:p>
    <w:p w14:paraId="5181A5FA">
      <w:pPr>
        <w:spacing w:line="360" w:lineRule="auto"/>
        <w:ind w:firstLine="480" w:firstLineChars="200"/>
        <w:rPr>
          <w:rFonts w:hint="eastAsia" w:ascii="宋体" w:hAnsi="宋体" w:cs="宋体"/>
        </w:rPr>
      </w:pPr>
      <w:r>
        <w:rPr>
          <w:rFonts w:hint="eastAsia" w:ascii="宋体" w:hAnsi="宋体" w:cs="宋体"/>
        </w:rPr>
        <w:t>4）简单的上漆、磨光和分装；</w:t>
      </w:r>
    </w:p>
    <w:p w14:paraId="75C937EA">
      <w:pPr>
        <w:spacing w:line="360" w:lineRule="auto"/>
        <w:ind w:firstLine="480" w:firstLineChars="200"/>
        <w:rPr>
          <w:rFonts w:hint="eastAsia" w:ascii="宋体" w:hAnsi="宋体" w:cs="宋体"/>
        </w:rPr>
      </w:pPr>
      <w:r>
        <w:rPr>
          <w:rFonts w:hint="eastAsia" w:ascii="宋体" w:hAnsi="宋体" w:cs="宋体"/>
        </w:rPr>
        <w:t>5）其他不属于属性改变的情形。</w:t>
      </w:r>
    </w:p>
    <w:p w14:paraId="437312E1">
      <w:pPr>
        <w:spacing w:line="360" w:lineRule="auto"/>
        <w:ind w:firstLine="482" w:firstLineChars="200"/>
        <w:rPr>
          <w:rFonts w:hint="eastAsia" w:ascii="宋体" w:hAnsi="宋体" w:cs="宋体"/>
          <w:b/>
          <w:bCs/>
        </w:rPr>
      </w:pPr>
      <w:r>
        <w:rPr>
          <w:rFonts w:hint="eastAsia" w:ascii="宋体" w:hAnsi="宋体" w:cs="宋体"/>
          <w:b/>
          <w:bCs/>
        </w:rPr>
        <w:t>（2）在中国境内生产的组件成本占比达到规定比例</w:t>
      </w:r>
    </w:p>
    <w:p w14:paraId="30A819C8">
      <w:pPr>
        <w:spacing w:line="360" w:lineRule="auto"/>
        <w:ind w:firstLine="480" w:firstLineChars="200"/>
        <w:rPr>
          <w:rFonts w:hint="eastAsia" w:ascii="宋体" w:hAnsi="宋体" w:cs="宋体"/>
        </w:rPr>
      </w:pPr>
      <w:r>
        <w:rPr>
          <w:rFonts w:hint="eastAsia" w:ascii="宋体" w:hAnsi="宋体" w:cs="宋体"/>
        </w:rPr>
        <w:t>产品在中国境内生产的组件成本占比应当达到规定比例，计算公式为：</w:t>
      </w:r>
    </w:p>
    <w:p w14:paraId="3BF1D18B">
      <w:pPr>
        <w:spacing w:line="360" w:lineRule="auto"/>
        <w:jc w:val="center"/>
        <w:rPr>
          <w:rFonts w:hint="eastAsia" w:ascii="宋体" w:hAnsi="宋体" w:cs="宋体"/>
        </w:rPr>
      </w:pPr>
      <w:r>
        <w:drawing>
          <wp:inline distT="0" distB="0" distL="0" distR="0">
            <wp:extent cx="4829175" cy="762000"/>
            <wp:effectExtent l="0" t="0" r="9525" b="0"/>
            <wp:docPr id="1558078998" name="图片 1" descr="Word&#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78998" name="图片 1" descr="Word&#10;&#10;AI 生成的内容可能不正确。"/>
                    <pic:cNvPicPr>
                      <a:picLocks noChangeAspect="1"/>
                    </pic:cNvPicPr>
                  </pic:nvPicPr>
                  <pic:blipFill>
                    <a:blip r:embed="rId11"/>
                    <a:stretch>
                      <a:fillRect/>
                    </a:stretch>
                  </pic:blipFill>
                  <pic:spPr>
                    <a:xfrm>
                      <a:off x="0" y="0"/>
                      <a:ext cx="4829175" cy="762000"/>
                    </a:xfrm>
                    <a:prstGeom prst="rect">
                      <a:avLst/>
                    </a:prstGeom>
                  </pic:spPr>
                </pic:pic>
              </a:graphicData>
            </a:graphic>
          </wp:inline>
        </w:drawing>
      </w:r>
    </w:p>
    <w:p w14:paraId="47008AB3">
      <w:pPr>
        <w:spacing w:line="360" w:lineRule="auto"/>
        <w:ind w:firstLine="480" w:firstLineChars="200"/>
        <w:rPr>
          <w:rFonts w:hint="eastAsia" w:ascii="宋体" w:hAnsi="宋体" w:cs="宋体"/>
        </w:rPr>
      </w:pPr>
      <w:r>
        <w:rPr>
          <w:rFonts w:hint="eastAsia" w:ascii="宋体" w:hAnsi="宋体" w:cs="宋体"/>
        </w:rPr>
        <w:t>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7AD5E09F">
      <w:pPr>
        <w:spacing w:line="360" w:lineRule="auto"/>
        <w:ind w:firstLine="482" w:firstLineChars="200"/>
        <w:rPr>
          <w:rFonts w:hint="eastAsia" w:ascii="宋体" w:hAnsi="宋体" w:cs="宋体"/>
          <w:b/>
          <w:bCs/>
        </w:rPr>
      </w:pPr>
      <w:r>
        <w:rPr>
          <w:rFonts w:hint="eastAsia" w:ascii="宋体" w:hAnsi="宋体" w:cs="宋体"/>
          <w:b/>
          <w:bCs/>
        </w:rPr>
        <w:t>（3）特定产品的关键组件、关键工序符合相关要求</w:t>
      </w:r>
    </w:p>
    <w:p w14:paraId="7A172DAB">
      <w:pPr>
        <w:spacing w:line="360" w:lineRule="auto"/>
        <w:ind w:firstLine="480" w:firstLineChars="200"/>
        <w:rPr>
          <w:rFonts w:hint="eastAsia" w:ascii="宋体" w:hAnsi="宋体" w:cs="宋体"/>
        </w:rPr>
      </w:pPr>
      <w:r>
        <w:rPr>
          <w:rFonts w:hint="eastAsia" w:ascii="宋体" w:hAnsi="宋体" w:cs="宋体"/>
        </w:rPr>
        <w:t>对特定产品，在符合第（1）项和第（2）项条件的基础上，应当符合财政部会同有关行业主管部门确定的其关键组件、关键工序在中国境内生产、完成等要求。</w:t>
      </w:r>
    </w:p>
    <w:p w14:paraId="663FE757">
      <w:pPr>
        <w:spacing w:line="360" w:lineRule="auto"/>
        <w:ind w:firstLine="480" w:firstLineChars="200"/>
        <w:rPr>
          <w:rFonts w:hint="eastAsia" w:ascii="宋体" w:hAnsi="宋体" w:cs="宋体"/>
        </w:rPr>
      </w:pPr>
      <w:r>
        <w:rPr>
          <w:rFonts w:hint="eastAsia" w:ascii="宋体" w:hAnsi="宋体" w:cs="宋体"/>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3C9AD5F0">
      <w:pPr>
        <w:pStyle w:val="26"/>
        <w:snapToGrid w:val="0"/>
        <w:spacing w:line="360" w:lineRule="auto"/>
        <w:ind w:firstLine="482" w:firstLineChars="200"/>
        <w:jc w:val="left"/>
        <w:rPr>
          <w:rFonts w:hint="eastAsia" w:ascii="黑体" w:hAnsi="黑体" w:eastAsia="黑体" w:cs="宋体"/>
          <w:b/>
          <w:color w:val="000000" w:themeColor="text1"/>
          <w:sz w:val="24"/>
          <w:szCs w:val="24"/>
          <w14:textFill>
            <w14:solidFill>
              <w14:schemeClr w14:val="tx1"/>
            </w14:solidFill>
          </w14:textFill>
        </w:rPr>
      </w:pPr>
      <w:r>
        <w:rPr>
          <w:rFonts w:hint="eastAsia" w:ascii="黑体" w:hAnsi="黑体" w:eastAsia="黑体" w:cs="宋体"/>
          <w:b/>
          <w:color w:val="000000" w:themeColor="text1"/>
          <w:sz w:val="24"/>
          <w:szCs w:val="24"/>
          <w14:textFill>
            <w14:solidFill>
              <w14:schemeClr w14:val="tx1"/>
            </w14:solidFill>
          </w14:textFill>
        </w:rPr>
        <w:t>四）节能、环境标志产品</w:t>
      </w:r>
    </w:p>
    <w:p w14:paraId="1B0E3028">
      <w:pPr>
        <w:pStyle w:val="26"/>
        <w:snapToGrid w:val="0"/>
        <w:spacing w:line="360" w:lineRule="auto"/>
        <w:ind w:firstLine="480" w:firstLineChars="200"/>
        <w:rPr>
          <w:rFonts w:hint="eastAsia" w:hAnsi="宋体"/>
          <w:bCs/>
          <w:color w:val="000000" w:themeColor="text1"/>
          <w:kern w:val="0"/>
          <w:sz w:val="24"/>
          <w:szCs w:val="24"/>
          <w14:textFill>
            <w14:solidFill>
              <w14:schemeClr w14:val="tx1"/>
            </w14:solidFill>
          </w14:textFill>
        </w:rPr>
      </w:pPr>
      <w:r>
        <w:rPr>
          <w:rFonts w:hint="eastAsia" w:hAnsi="宋体"/>
          <w:bCs/>
          <w:color w:val="000000" w:themeColor="text1"/>
          <w:kern w:val="0"/>
          <w:sz w:val="24"/>
          <w:szCs w:val="24"/>
          <w14:textFill>
            <w14:solidFill>
              <w14:schemeClr w14:val="tx1"/>
            </w14:solidFill>
          </w14:textFill>
        </w:rPr>
        <w:t>1.节能产品是指列入财政部和国家发改委公布的《节能产品政府采购品目清单》中的货物。政府强制采购节能产品是指《节能产品政府采购品目清单》中以“★”标注类别的产品。</w:t>
      </w:r>
    </w:p>
    <w:p w14:paraId="0A5A2B74">
      <w:pPr>
        <w:pStyle w:val="26"/>
        <w:snapToGrid w:val="0"/>
        <w:spacing w:line="360" w:lineRule="auto"/>
        <w:ind w:firstLine="480" w:firstLineChars="200"/>
        <w:rPr>
          <w:rFonts w:hint="eastAsia" w:hAnsi="宋体"/>
          <w:bCs/>
          <w:color w:val="000000" w:themeColor="text1"/>
          <w:kern w:val="0"/>
          <w:sz w:val="24"/>
          <w:szCs w:val="24"/>
          <w14:textFill>
            <w14:solidFill>
              <w14:schemeClr w14:val="tx1"/>
            </w14:solidFill>
          </w14:textFill>
        </w:rPr>
      </w:pPr>
      <w:r>
        <w:rPr>
          <w:rFonts w:hint="eastAsia" w:hAnsi="宋体"/>
          <w:bCs/>
          <w:color w:val="000000" w:themeColor="text1"/>
          <w:kern w:val="0"/>
          <w:sz w:val="24"/>
          <w:szCs w:val="24"/>
          <w14:textFill>
            <w14:solidFill>
              <w14:schemeClr w14:val="tx1"/>
            </w14:solidFill>
          </w14:textFill>
        </w:rPr>
        <w:t>2.环境标志产品是指列入财政部、生态环境部公布的《环境标志产品政府采购品目清单》中的货物。</w:t>
      </w:r>
    </w:p>
    <w:p w14:paraId="4041A81B">
      <w:pPr>
        <w:pStyle w:val="26"/>
        <w:snapToGrid w:val="0"/>
        <w:spacing w:line="360" w:lineRule="auto"/>
        <w:ind w:firstLine="480" w:firstLineChars="200"/>
        <w:rPr>
          <w:rFonts w:hint="eastAsia" w:hAnsi="宋体"/>
          <w:bCs/>
          <w:color w:val="000000" w:themeColor="text1"/>
          <w:kern w:val="0"/>
          <w:sz w:val="24"/>
          <w:szCs w:val="24"/>
          <w14:textFill>
            <w14:solidFill>
              <w14:schemeClr w14:val="tx1"/>
            </w14:solidFill>
          </w14:textFill>
        </w:rPr>
      </w:pPr>
      <w:r>
        <w:rPr>
          <w:rFonts w:hint="eastAsia" w:hAnsi="宋体"/>
          <w:bCs/>
          <w:color w:val="000000" w:themeColor="text1"/>
          <w:kern w:val="0"/>
          <w:sz w:val="24"/>
          <w:szCs w:val="24"/>
          <w14:textFill>
            <w14:solidFill>
              <w14:schemeClr w14:val="tx1"/>
            </w14:solidFill>
          </w14:textFill>
        </w:rPr>
        <w:t>3.本项目采购清单中若有政府强制采购节能产品，只接受强制节能产品投标，投标人必须在投标文件中提供国家确定的认证机构出具的、处于有效期之内的节能产品认证证书。</w:t>
      </w:r>
    </w:p>
    <w:p w14:paraId="31DAD8AB">
      <w:pPr>
        <w:pStyle w:val="26"/>
        <w:snapToGrid w:val="0"/>
        <w:spacing w:line="360" w:lineRule="auto"/>
        <w:ind w:firstLine="480" w:firstLineChars="200"/>
        <w:rPr>
          <w:rFonts w:hint="eastAsia" w:hAnsi="宋体"/>
          <w:bCs/>
          <w:color w:val="000000" w:themeColor="text1"/>
          <w:kern w:val="0"/>
          <w:sz w:val="24"/>
          <w:szCs w:val="24"/>
          <w14:textFill>
            <w14:solidFill>
              <w14:schemeClr w14:val="tx1"/>
            </w14:solidFill>
          </w14:textFill>
        </w:rPr>
      </w:pPr>
      <w:r>
        <w:rPr>
          <w:rFonts w:hint="eastAsia" w:hAnsi="宋体"/>
          <w:bCs/>
          <w:color w:val="000000" w:themeColor="text1"/>
          <w:kern w:val="0"/>
          <w:sz w:val="24"/>
          <w:szCs w:val="24"/>
          <w14:textFill>
            <w14:solidFill>
              <w14:schemeClr w14:val="tx1"/>
            </w14:solidFill>
          </w14:textFill>
        </w:rPr>
        <w:t>4.投标人应在投标文件中提供所投标产品国家确定的认证机构出具的、处于有效期之内的节能产品、环境标志产品认证证书，否则不予认可。</w:t>
      </w:r>
    </w:p>
    <w:p w14:paraId="33B6EF30">
      <w:pPr>
        <w:pStyle w:val="26"/>
        <w:snapToGrid w:val="0"/>
        <w:spacing w:line="360" w:lineRule="auto"/>
        <w:ind w:firstLine="480" w:firstLineChars="200"/>
        <w:rPr>
          <w:rFonts w:hint="eastAsia" w:hAnsi="宋体"/>
          <w:bCs/>
          <w:color w:val="000000" w:themeColor="text1"/>
          <w:kern w:val="0"/>
          <w:sz w:val="24"/>
          <w:szCs w:val="24"/>
          <w14:textFill>
            <w14:solidFill>
              <w14:schemeClr w14:val="tx1"/>
            </w14:solidFill>
          </w14:textFill>
        </w:rPr>
      </w:pPr>
      <w:r>
        <w:rPr>
          <w:rFonts w:hint="eastAsia" w:hAnsi="宋体"/>
          <w:bCs/>
          <w:color w:val="000000" w:themeColor="text1"/>
          <w:kern w:val="0"/>
          <w:sz w:val="24"/>
          <w:szCs w:val="24"/>
          <w14:textFill>
            <w14:solidFill>
              <w14:schemeClr w14:val="tx1"/>
            </w14:solidFill>
          </w14:textFill>
        </w:rPr>
        <w:t xml:space="preserve">5.《节能产品政府采购品目清单》及《环境标志产品政府采购品目清单》可通过中国政府采购网（http://www.ccgp.gov.cn/ ）查阅、下载。 </w:t>
      </w:r>
    </w:p>
    <w:p w14:paraId="0C02E0D4">
      <w:pPr>
        <w:pStyle w:val="26"/>
        <w:snapToGrid w:val="0"/>
        <w:spacing w:line="360" w:lineRule="auto"/>
        <w:ind w:firstLine="480" w:firstLineChars="200"/>
        <w:rPr>
          <w:rFonts w:hint="eastAsia" w:hAnsi="宋体"/>
          <w:bCs/>
          <w:color w:val="000000" w:themeColor="text1"/>
          <w:kern w:val="0"/>
          <w:sz w:val="24"/>
          <w:szCs w:val="24"/>
          <w14:textFill>
            <w14:solidFill>
              <w14:schemeClr w14:val="tx1"/>
            </w14:solidFill>
          </w14:textFill>
        </w:rPr>
      </w:pPr>
      <w:r>
        <w:rPr>
          <w:rFonts w:hint="eastAsia" w:hAnsi="宋体"/>
          <w:bCs/>
          <w:color w:val="000000" w:themeColor="text1"/>
          <w:kern w:val="0"/>
          <w:sz w:val="24"/>
          <w:szCs w:val="24"/>
          <w14:textFill>
            <w14:solidFill>
              <w14:schemeClr w14:val="tx1"/>
            </w14:solidFill>
          </w14:textFill>
        </w:rPr>
        <w:t>6.参与实施政府采购节能产品认证机构名录：</w:t>
      </w:r>
    </w:p>
    <w:tbl>
      <w:tblPr>
        <w:tblStyle w:val="49"/>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0" w:type="dxa"/>
          <w:left w:w="30" w:type="dxa"/>
          <w:bottom w:w="30" w:type="dxa"/>
          <w:right w:w="30" w:type="dxa"/>
        </w:tblCellMar>
      </w:tblPr>
      <w:tblGrid>
        <w:gridCol w:w="479"/>
        <w:gridCol w:w="1050"/>
        <w:gridCol w:w="1470"/>
        <w:gridCol w:w="1410"/>
        <w:gridCol w:w="2040"/>
        <w:gridCol w:w="2766"/>
      </w:tblGrid>
      <w:tr w14:paraId="5016C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restart"/>
            <w:shd w:val="clear" w:color="auto" w:fill="FFFFFF"/>
            <w:tcMar>
              <w:top w:w="0" w:type="dxa"/>
              <w:left w:w="108" w:type="dxa"/>
              <w:bottom w:w="0" w:type="dxa"/>
              <w:right w:w="108" w:type="dxa"/>
            </w:tcMar>
            <w:vAlign w:val="center"/>
          </w:tcPr>
          <w:p w14:paraId="6577D71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序号</w:t>
            </w:r>
          </w:p>
        </w:tc>
        <w:tc>
          <w:tcPr>
            <w:tcW w:w="2520" w:type="dxa"/>
            <w:gridSpan w:val="2"/>
            <w:shd w:val="clear" w:color="auto" w:fill="FFFFFF"/>
            <w:tcMar>
              <w:top w:w="0" w:type="dxa"/>
              <w:left w:w="108" w:type="dxa"/>
              <w:bottom w:w="0" w:type="dxa"/>
              <w:right w:w="108" w:type="dxa"/>
            </w:tcMar>
            <w:vAlign w:val="center"/>
          </w:tcPr>
          <w:p w14:paraId="41828DE7">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一级目录</w:t>
            </w:r>
          </w:p>
        </w:tc>
        <w:tc>
          <w:tcPr>
            <w:tcW w:w="3450" w:type="dxa"/>
            <w:gridSpan w:val="2"/>
            <w:shd w:val="clear" w:color="auto" w:fill="FFFFFF"/>
            <w:tcMar>
              <w:top w:w="0" w:type="dxa"/>
              <w:left w:w="108" w:type="dxa"/>
              <w:bottom w:w="0" w:type="dxa"/>
              <w:right w:w="108" w:type="dxa"/>
            </w:tcMar>
            <w:vAlign w:val="center"/>
          </w:tcPr>
          <w:p w14:paraId="488AB1E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二级目录</w:t>
            </w:r>
          </w:p>
        </w:tc>
        <w:tc>
          <w:tcPr>
            <w:tcW w:w="2766" w:type="dxa"/>
            <w:vMerge w:val="restart"/>
            <w:shd w:val="clear" w:color="auto" w:fill="FFFFFF"/>
            <w:tcMar>
              <w:top w:w="0" w:type="dxa"/>
              <w:left w:w="108" w:type="dxa"/>
              <w:bottom w:w="0" w:type="dxa"/>
              <w:right w:w="108" w:type="dxa"/>
            </w:tcMar>
            <w:vAlign w:val="center"/>
          </w:tcPr>
          <w:p w14:paraId="0BD6F236">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认证机构名录</w:t>
            </w:r>
          </w:p>
        </w:tc>
      </w:tr>
      <w:tr w14:paraId="3085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1458F26F">
            <w:pPr>
              <w:widowControl/>
              <w:jc w:val="left"/>
              <w:rPr>
                <w:rFonts w:hint="eastAsia" w:ascii="宋体" w:hAnsi="宋体"/>
                <w:color w:val="000000" w:themeColor="text1"/>
                <w:kern w:val="0"/>
                <w:sz w:val="21"/>
                <w:szCs w:val="21"/>
                <w14:textFill>
                  <w14:solidFill>
                    <w14:schemeClr w14:val="tx1"/>
                  </w14:solidFill>
                </w14:textFill>
              </w:rPr>
            </w:pPr>
          </w:p>
        </w:tc>
        <w:tc>
          <w:tcPr>
            <w:tcW w:w="1050" w:type="dxa"/>
            <w:shd w:val="clear" w:color="auto" w:fill="FFFFFF"/>
            <w:tcMar>
              <w:top w:w="0" w:type="dxa"/>
              <w:left w:w="108" w:type="dxa"/>
              <w:bottom w:w="0" w:type="dxa"/>
              <w:right w:w="108" w:type="dxa"/>
            </w:tcMar>
            <w:vAlign w:val="center"/>
          </w:tcPr>
          <w:p w14:paraId="3359499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产品</w:t>
            </w:r>
          </w:p>
          <w:p w14:paraId="0369FC35">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代码</w:t>
            </w:r>
          </w:p>
        </w:tc>
        <w:tc>
          <w:tcPr>
            <w:tcW w:w="1470" w:type="dxa"/>
            <w:shd w:val="clear" w:color="auto" w:fill="FFFFFF"/>
            <w:tcMar>
              <w:top w:w="0" w:type="dxa"/>
              <w:left w:w="108" w:type="dxa"/>
              <w:bottom w:w="0" w:type="dxa"/>
              <w:right w:w="108" w:type="dxa"/>
            </w:tcMar>
            <w:vAlign w:val="center"/>
          </w:tcPr>
          <w:p w14:paraId="13FD2D83">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产品名称</w:t>
            </w:r>
          </w:p>
        </w:tc>
        <w:tc>
          <w:tcPr>
            <w:tcW w:w="1410" w:type="dxa"/>
            <w:shd w:val="clear" w:color="auto" w:fill="FFFFFF"/>
            <w:tcMar>
              <w:top w:w="0" w:type="dxa"/>
              <w:left w:w="108" w:type="dxa"/>
              <w:bottom w:w="0" w:type="dxa"/>
              <w:right w:w="108" w:type="dxa"/>
            </w:tcMar>
            <w:vAlign w:val="center"/>
          </w:tcPr>
          <w:p w14:paraId="72C7AD2A">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产品代码</w:t>
            </w:r>
          </w:p>
        </w:tc>
        <w:tc>
          <w:tcPr>
            <w:tcW w:w="2040" w:type="dxa"/>
            <w:shd w:val="clear" w:color="auto" w:fill="FFFFFF"/>
            <w:tcMar>
              <w:top w:w="0" w:type="dxa"/>
              <w:left w:w="108" w:type="dxa"/>
              <w:bottom w:w="0" w:type="dxa"/>
              <w:right w:w="108" w:type="dxa"/>
            </w:tcMar>
            <w:vAlign w:val="center"/>
          </w:tcPr>
          <w:p w14:paraId="714B1566">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产品名称</w:t>
            </w:r>
          </w:p>
        </w:tc>
        <w:tc>
          <w:tcPr>
            <w:tcW w:w="2766" w:type="dxa"/>
            <w:vMerge w:val="continue"/>
            <w:vAlign w:val="center"/>
          </w:tcPr>
          <w:p w14:paraId="6880CEAE">
            <w:pPr>
              <w:widowControl/>
              <w:jc w:val="left"/>
              <w:rPr>
                <w:rFonts w:hint="eastAsia" w:ascii="宋体" w:hAnsi="宋体"/>
                <w:color w:val="000000" w:themeColor="text1"/>
                <w:kern w:val="0"/>
                <w:sz w:val="21"/>
                <w:szCs w:val="21"/>
                <w14:textFill>
                  <w14:solidFill>
                    <w14:schemeClr w14:val="tx1"/>
                  </w14:solidFill>
                </w14:textFill>
              </w:rPr>
            </w:pPr>
          </w:p>
        </w:tc>
      </w:tr>
      <w:tr w14:paraId="7371E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restart"/>
            <w:shd w:val="clear" w:color="auto" w:fill="FFFFFF"/>
            <w:tcMar>
              <w:top w:w="0" w:type="dxa"/>
              <w:left w:w="108" w:type="dxa"/>
              <w:bottom w:w="0" w:type="dxa"/>
              <w:right w:w="108" w:type="dxa"/>
            </w:tcMar>
            <w:vAlign w:val="center"/>
          </w:tcPr>
          <w:p w14:paraId="1C07DCC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w:t>
            </w:r>
          </w:p>
        </w:tc>
        <w:tc>
          <w:tcPr>
            <w:tcW w:w="1050" w:type="dxa"/>
            <w:vMerge w:val="restart"/>
            <w:shd w:val="clear" w:color="auto" w:fill="FFFFFF"/>
            <w:tcMar>
              <w:top w:w="0" w:type="dxa"/>
              <w:left w:w="108" w:type="dxa"/>
              <w:bottom w:w="0" w:type="dxa"/>
              <w:right w:w="108" w:type="dxa"/>
            </w:tcMar>
            <w:vAlign w:val="center"/>
          </w:tcPr>
          <w:p w14:paraId="74AE7E29">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A020101</w:t>
            </w:r>
          </w:p>
        </w:tc>
        <w:tc>
          <w:tcPr>
            <w:tcW w:w="1470" w:type="dxa"/>
            <w:vMerge w:val="restart"/>
            <w:shd w:val="clear" w:color="auto" w:fill="FFFFFF"/>
            <w:tcMar>
              <w:top w:w="0" w:type="dxa"/>
              <w:left w:w="108" w:type="dxa"/>
              <w:bottom w:w="0" w:type="dxa"/>
              <w:right w:w="108" w:type="dxa"/>
            </w:tcMar>
            <w:vAlign w:val="center"/>
          </w:tcPr>
          <w:p w14:paraId="652AD4F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计算机设备</w:t>
            </w:r>
          </w:p>
        </w:tc>
        <w:tc>
          <w:tcPr>
            <w:tcW w:w="1410" w:type="dxa"/>
            <w:shd w:val="clear" w:color="auto" w:fill="FFFFFF"/>
            <w:tcMar>
              <w:top w:w="0" w:type="dxa"/>
              <w:left w:w="108" w:type="dxa"/>
              <w:bottom w:w="0" w:type="dxa"/>
              <w:right w:w="108" w:type="dxa"/>
            </w:tcMar>
            <w:vAlign w:val="center"/>
          </w:tcPr>
          <w:p w14:paraId="3739F5E8">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A02010104</w:t>
            </w:r>
          </w:p>
        </w:tc>
        <w:tc>
          <w:tcPr>
            <w:tcW w:w="2040" w:type="dxa"/>
            <w:shd w:val="clear" w:color="auto" w:fill="FFFFFF"/>
            <w:tcMar>
              <w:top w:w="0" w:type="dxa"/>
              <w:left w:w="108" w:type="dxa"/>
              <w:bottom w:w="0" w:type="dxa"/>
              <w:right w:w="108" w:type="dxa"/>
            </w:tcMar>
            <w:vAlign w:val="center"/>
          </w:tcPr>
          <w:p w14:paraId="459B92C2">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台式计算机</w:t>
            </w:r>
          </w:p>
        </w:tc>
        <w:tc>
          <w:tcPr>
            <w:tcW w:w="2766" w:type="dxa"/>
            <w:vMerge w:val="restart"/>
            <w:shd w:val="clear" w:color="auto" w:fill="FFFFFF"/>
            <w:tcMar>
              <w:top w:w="0" w:type="dxa"/>
              <w:left w:w="108" w:type="dxa"/>
              <w:bottom w:w="0" w:type="dxa"/>
              <w:right w:w="108" w:type="dxa"/>
            </w:tcMar>
            <w:vAlign w:val="center"/>
          </w:tcPr>
          <w:p w14:paraId="7C59EF45">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213D1F42">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北京赛西认证有限责任公司</w:t>
            </w:r>
          </w:p>
          <w:p w14:paraId="40E4DDC0">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中国网络安全审查技术与认证中心</w:t>
            </w:r>
          </w:p>
          <w:p w14:paraId="271BE020">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广州赛宝认证中心服务有限公司</w:t>
            </w:r>
          </w:p>
        </w:tc>
      </w:tr>
      <w:tr w14:paraId="7DF5D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7409E8C9">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3B3457A3">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6212E25A">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0982843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A02010105</w:t>
            </w:r>
          </w:p>
        </w:tc>
        <w:tc>
          <w:tcPr>
            <w:tcW w:w="2040" w:type="dxa"/>
            <w:shd w:val="clear" w:color="auto" w:fill="FFFFFF"/>
            <w:tcMar>
              <w:top w:w="0" w:type="dxa"/>
              <w:left w:w="108" w:type="dxa"/>
              <w:bottom w:w="0" w:type="dxa"/>
              <w:right w:w="108" w:type="dxa"/>
            </w:tcMar>
            <w:vAlign w:val="center"/>
          </w:tcPr>
          <w:p w14:paraId="6F18076D">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便携式计算机</w:t>
            </w:r>
          </w:p>
        </w:tc>
        <w:tc>
          <w:tcPr>
            <w:tcW w:w="2766" w:type="dxa"/>
            <w:vMerge w:val="continue"/>
            <w:vAlign w:val="center"/>
          </w:tcPr>
          <w:p w14:paraId="07E1D6B0">
            <w:pPr>
              <w:widowControl/>
              <w:jc w:val="left"/>
              <w:rPr>
                <w:rFonts w:hint="eastAsia" w:ascii="宋体" w:hAnsi="宋体"/>
                <w:color w:val="000000" w:themeColor="text1"/>
                <w:kern w:val="0"/>
                <w:sz w:val="21"/>
                <w:szCs w:val="21"/>
                <w14:textFill>
                  <w14:solidFill>
                    <w14:schemeClr w14:val="tx1"/>
                  </w14:solidFill>
                </w14:textFill>
              </w:rPr>
            </w:pPr>
          </w:p>
        </w:tc>
      </w:tr>
      <w:tr w14:paraId="2ADA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5BF68F97">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1CEF7C62">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2A837DFD">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11852A34">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A02010107</w:t>
            </w:r>
          </w:p>
        </w:tc>
        <w:tc>
          <w:tcPr>
            <w:tcW w:w="2040" w:type="dxa"/>
            <w:shd w:val="clear" w:color="auto" w:fill="FFFFFF"/>
            <w:tcMar>
              <w:top w:w="0" w:type="dxa"/>
              <w:left w:w="108" w:type="dxa"/>
              <w:bottom w:w="0" w:type="dxa"/>
              <w:right w:w="108" w:type="dxa"/>
            </w:tcMar>
            <w:vAlign w:val="center"/>
          </w:tcPr>
          <w:p w14:paraId="3CB0D7D2">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平板式微型计算机</w:t>
            </w:r>
          </w:p>
        </w:tc>
        <w:tc>
          <w:tcPr>
            <w:tcW w:w="2766" w:type="dxa"/>
            <w:vMerge w:val="continue"/>
            <w:vAlign w:val="center"/>
          </w:tcPr>
          <w:p w14:paraId="67545F57">
            <w:pPr>
              <w:widowControl/>
              <w:jc w:val="left"/>
              <w:rPr>
                <w:rFonts w:hint="eastAsia" w:ascii="宋体" w:hAnsi="宋体"/>
                <w:color w:val="000000" w:themeColor="text1"/>
                <w:kern w:val="0"/>
                <w:sz w:val="21"/>
                <w:szCs w:val="21"/>
                <w14:textFill>
                  <w14:solidFill>
                    <w14:schemeClr w14:val="tx1"/>
                  </w14:solidFill>
                </w14:textFill>
              </w:rPr>
            </w:pPr>
          </w:p>
        </w:tc>
      </w:tr>
      <w:tr w14:paraId="047D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restart"/>
            <w:shd w:val="clear" w:color="auto" w:fill="FFFFFF"/>
            <w:tcMar>
              <w:top w:w="0" w:type="dxa"/>
              <w:left w:w="108" w:type="dxa"/>
              <w:bottom w:w="0" w:type="dxa"/>
              <w:right w:w="108" w:type="dxa"/>
            </w:tcMar>
            <w:vAlign w:val="center"/>
          </w:tcPr>
          <w:p w14:paraId="19B27CE8">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2</w:t>
            </w:r>
          </w:p>
        </w:tc>
        <w:tc>
          <w:tcPr>
            <w:tcW w:w="1050" w:type="dxa"/>
            <w:vMerge w:val="restart"/>
            <w:shd w:val="clear" w:color="auto" w:fill="FFFFFF"/>
            <w:tcMar>
              <w:top w:w="0" w:type="dxa"/>
              <w:left w:w="108" w:type="dxa"/>
              <w:bottom w:w="0" w:type="dxa"/>
              <w:right w:w="108" w:type="dxa"/>
            </w:tcMar>
            <w:vAlign w:val="center"/>
          </w:tcPr>
          <w:p w14:paraId="6F6E7FEF">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A020106</w:t>
            </w:r>
          </w:p>
        </w:tc>
        <w:tc>
          <w:tcPr>
            <w:tcW w:w="1470" w:type="dxa"/>
            <w:vMerge w:val="restart"/>
            <w:shd w:val="clear" w:color="auto" w:fill="FFFFFF"/>
            <w:tcMar>
              <w:top w:w="0" w:type="dxa"/>
              <w:left w:w="108" w:type="dxa"/>
              <w:bottom w:w="0" w:type="dxa"/>
              <w:right w:w="108" w:type="dxa"/>
            </w:tcMar>
            <w:vAlign w:val="center"/>
          </w:tcPr>
          <w:p w14:paraId="7D2EE1B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输入输出设备</w:t>
            </w:r>
          </w:p>
        </w:tc>
        <w:tc>
          <w:tcPr>
            <w:tcW w:w="1410" w:type="dxa"/>
            <w:shd w:val="clear" w:color="auto" w:fill="FFFFFF"/>
            <w:tcMar>
              <w:top w:w="0" w:type="dxa"/>
              <w:left w:w="108" w:type="dxa"/>
              <w:bottom w:w="0" w:type="dxa"/>
              <w:right w:w="108" w:type="dxa"/>
            </w:tcMar>
            <w:vAlign w:val="center"/>
          </w:tcPr>
          <w:p w14:paraId="0A9721D9">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A02010601</w:t>
            </w:r>
          </w:p>
        </w:tc>
        <w:tc>
          <w:tcPr>
            <w:tcW w:w="2040" w:type="dxa"/>
            <w:shd w:val="clear" w:color="auto" w:fill="FFFFFF"/>
            <w:tcMar>
              <w:top w:w="0" w:type="dxa"/>
              <w:left w:w="108" w:type="dxa"/>
              <w:bottom w:w="0" w:type="dxa"/>
              <w:right w:w="108" w:type="dxa"/>
            </w:tcMar>
            <w:vAlign w:val="center"/>
          </w:tcPr>
          <w:p w14:paraId="62FA43F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打印设备</w:t>
            </w:r>
          </w:p>
        </w:tc>
        <w:tc>
          <w:tcPr>
            <w:tcW w:w="2766" w:type="dxa"/>
            <w:vMerge w:val="continue"/>
            <w:vAlign w:val="center"/>
          </w:tcPr>
          <w:p w14:paraId="360F5006">
            <w:pPr>
              <w:widowControl/>
              <w:jc w:val="left"/>
              <w:rPr>
                <w:rFonts w:hint="eastAsia" w:ascii="宋体" w:hAnsi="宋体"/>
                <w:color w:val="000000" w:themeColor="text1"/>
                <w:kern w:val="0"/>
                <w:sz w:val="21"/>
                <w:szCs w:val="21"/>
                <w14:textFill>
                  <w14:solidFill>
                    <w14:schemeClr w14:val="tx1"/>
                  </w14:solidFill>
                </w14:textFill>
              </w:rPr>
            </w:pPr>
          </w:p>
        </w:tc>
      </w:tr>
      <w:tr w14:paraId="51253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694065E2">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66918184">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77228CCD">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03808B3D">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A02010604</w:t>
            </w:r>
          </w:p>
        </w:tc>
        <w:tc>
          <w:tcPr>
            <w:tcW w:w="2040" w:type="dxa"/>
            <w:shd w:val="clear" w:color="auto" w:fill="FFFFFF"/>
            <w:tcMar>
              <w:top w:w="0" w:type="dxa"/>
              <w:left w:w="108" w:type="dxa"/>
              <w:bottom w:w="0" w:type="dxa"/>
              <w:right w:w="108" w:type="dxa"/>
            </w:tcMar>
            <w:vAlign w:val="center"/>
          </w:tcPr>
          <w:p w14:paraId="756A52E3">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显示设备</w:t>
            </w:r>
          </w:p>
        </w:tc>
        <w:tc>
          <w:tcPr>
            <w:tcW w:w="2766" w:type="dxa"/>
            <w:vMerge w:val="continue"/>
            <w:vAlign w:val="center"/>
          </w:tcPr>
          <w:p w14:paraId="0AFAC35B">
            <w:pPr>
              <w:widowControl/>
              <w:jc w:val="left"/>
              <w:rPr>
                <w:rFonts w:hint="eastAsia" w:ascii="宋体" w:hAnsi="宋体"/>
                <w:color w:val="000000" w:themeColor="text1"/>
                <w:kern w:val="0"/>
                <w:sz w:val="21"/>
                <w:szCs w:val="21"/>
                <w14:textFill>
                  <w14:solidFill>
                    <w14:schemeClr w14:val="tx1"/>
                  </w14:solidFill>
                </w14:textFill>
              </w:rPr>
            </w:pPr>
          </w:p>
        </w:tc>
      </w:tr>
      <w:tr w14:paraId="23CE7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1C619AA6">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67768E52">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4A3ECC96">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663B6670">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A02010609</w:t>
            </w:r>
          </w:p>
        </w:tc>
        <w:tc>
          <w:tcPr>
            <w:tcW w:w="2040" w:type="dxa"/>
            <w:shd w:val="clear" w:color="auto" w:fill="FFFFFF"/>
            <w:tcMar>
              <w:top w:w="0" w:type="dxa"/>
              <w:left w:w="108" w:type="dxa"/>
              <w:bottom w:w="0" w:type="dxa"/>
              <w:right w:w="108" w:type="dxa"/>
            </w:tcMar>
            <w:vAlign w:val="center"/>
          </w:tcPr>
          <w:p w14:paraId="0FD5CFA0">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图形图像输入设备</w:t>
            </w:r>
          </w:p>
        </w:tc>
        <w:tc>
          <w:tcPr>
            <w:tcW w:w="2766" w:type="dxa"/>
            <w:vMerge w:val="continue"/>
            <w:vAlign w:val="center"/>
          </w:tcPr>
          <w:p w14:paraId="188AE70C">
            <w:pPr>
              <w:widowControl/>
              <w:jc w:val="left"/>
              <w:rPr>
                <w:rFonts w:hint="eastAsia" w:ascii="宋体" w:hAnsi="宋体"/>
                <w:color w:val="000000" w:themeColor="text1"/>
                <w:kern w:val="0"/>
                <w:sz w:val="21"/>
                <w:szCs w:val="21"/>
                <w14:textFill>
                  <w14:solidFill>
                    <w14:schemeClr w14:val="tx1"/>
                  </w14:solidFill>
                </w14:textFill>
              </w:rPr>
            </w:pPr>
          </w:p>
        </w:tc>
      </w:tr>
      <w:tr w14:paraId="75A32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433E2A63">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3</w:t>
            </w:r>
          </w:p>
        </w:tc>
        <w:tc>
          <w:tcPr>
            <w:tcW w:w="1050" w:type="dxa"/>
            <w:shd w:val="clear" w:color="auto" w:fill="FFFFFF"/>
            <w:tcMar>
              <w:top w:w="0" w:type="dxa"/>
              <w:left w:w="108" w:type="dxa"/>
              <w:bottom w:w="0" w:type="dxa"/>
              <w:right w:w="108" w:type="dxa"/>
            </w:tcMar>
            <w:vAlign w:val="center"/>
          </w:tcPr>
          <w:p w14:paraId="42ECE00C">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A020202</w:t>
            </w:r>
          </w:p>
        </w:tc>
        <w:tc>
          <w:tcPr>
            <w:tcW w:w="1470" w:type="dxa"/>
            <w:shd w:val="clear" w:color="auto" w:fill="FFFFFF"/>
            <w:tcMar>
              <w:top w:w="0" w:type="dxa"/>
              <w:left w:w="108" w:type="dxa"/>
              <w:bottom w:w="0" w:type="dxa"/>
              <w:right w:w="108" w:type="dxa"/>
            </w:tcMar>
            <w:vAlign w:val="center"/>
          </w:tcPr>
          <w:p w14:paraId="145BFC29">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投影仪</w:t>
            </w:r>
          </w:p>
        </w:tc>
        <w:tc>
          <w:tcPr>
            <w:tcW w:w="1410" w:type="dxa"/>
            <w:shd w:val="clear" w:color="auto" w:fill="FFFFFF"/>
            <w:tcMar>
              <w:top w:w="0" w:type="dxa"/>
              <w:left w:w="108" w:type="dxa"/>
              <w:bottom w:w="0" w:type="dxa"/>
              <w:right w:w="108" w:type="dxa"/>
            </w:tcMar>
            <w:vAlign w:val="center"/>
          </w:tcPr>
          <w:p w14:paraId="27E57588">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28DAA492">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766" w:type="dxa"/>
            <w:vMerge w:val="continue"/>
            <w:vAlign w:val="center"/>
          </w:tcPr>
          <w:p w14:paraId="66E8376C">
            <w:pPr>
              <w:widowControl/>
              <w:jc w:val="left"/>
              <w:rPr>
                <w:rFonts w:hint="eastAsia" w:ascii="宋体" w:hAnsi="宋体"/>
                <w:color w:val="000000" w:themeColor="text1"/>
                <w:kern w:val="0"/>
                <w:sz w:val="21"/>
                <w:szCs w:val="21"/>
                <w14:textFill>
                  <w14:solidFill>
                    <w14:schemeClr w14:val="tx1"/>
                  </w14:solidFill>
                </w14:textFill>
              </w:rPr>
            </w:pPr>
          </w:p>
        </w:tc>
      </w:tr>
      <w:tr w14:paraId="0A564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0F3E20C2">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4</w:t>
            </w:r>
          </w:p>
        </w:tc>
        <w:tc>
          <w:tcPr>
            <w:tcW w:w="1050" w:type="dxa"/>
            <w:shd w:val="clear" w:color="auto" w:fill="FFFFFF"/>
            <w:tcMar>
              <w:top w:w="0" w:type="dxa"/>
              <w:left w:w="108" w:type="dxa"/>
              <w:bottom w:w="0" w:type="dxa"/>
              <w:right w:w="108" w:type="dxa"/>
            </w:tcMar>
            <w:vAlign w:val="center"/>
          </w:tcPr>
          <w:p w14:paraId="5D7B7E87">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A020204</w:t>
            </w:r>
          </w:p>
        </w:tc>
        <w:tc>
          <w:tcPr>
            <w:tcW w:w="1470" w:type="dxa"/>
            <w:shd w:val="clear" w:color="auto" w:fill="FFFFFF"/>
            <w:tcMar>
              <w:top w:w="0" w:type="dxa"/>
              <w:left w:w="108" w:type="dxa"/>
              <w:bottom w:w="0" w:type="dxa"/>
              <w:right w:w="108" w:type="dxa"/>
            </w:tcMar>
            <w:vAlign w:val="center"/>
          </w:tcPr>
          <w:p w14:paraId="65B1E8E4">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多功能一体机</w:t>
            </w:r>
          </w:p>
        </w:tc>
        <w:tc>
          <w:tcPr>
            <w:tcW w:w="1410" w:type="dxa"/>
            <w:shd w:val="clear" w:color="auto" w:fill="FFFFFF"/>
            <w:tcMar>
              <w:top w:w="0" w:type="dxa"/>
              <w:left w:w="108" w:type="dxa"/>
              <w:bottom w:w="0" w:type="dxa"/>
              <w:right w:w="108" w:type="dxa"/>
            </w:tcMar>
            <w:vAlign w:val="center"/>
          </w:tcPr>
          <w:p w14:paraId="75406996">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431F9BE0">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766" w:type="dxa"/>
            <w:vMerge w:val="continue"/>
            <w:vAlign w:val="center"/>
          </w:tcPr>
          <w:p w14:paraId="2EABA7EF">
            <w:pPr>
              <w:widowControl/>
              <w:jc w:val="left"/>
              <w:rPr>
                <w:rFonts w:hint="eastAsia" w:ascii="宋体" w:hAnsi="宋体"/>
                <w:color w:val="000000" w:themeColor="text1"/>
                <w:kern w:val="0"/>
                <w:sz w:val="21"/>
                <w:szCs w:val="21"/>
                <w14:textFill>
                  <w14:solidFill>
                    <w14:schemeClr w14:val="tx1"/>
                  </w14:solidFill>
                </w14:textFill>
              </w:rPr>
            </w:pPr>
          </w:p>
        </w:tc>
      </w:tr>
      <w:tr w14:paraId="078C0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2A106FBD">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5</w:t>
            </w:r>
          </w:p>
        </w:tc>
        <w:tc>
          <w:tcPr>
            <w:tcW w:w="1050" w:type="dxa"/>
            <w:shd w:val="clear" w:color="auto" w:fill="FFFFFF"/>
            <w:tcMar>
              <w:top w:w="0" w:type="dxa"/>
              <w:left w:w="108" w:type="dxa"/>
              <w:bottom w:w="0" w:type="dxa"/>
              <w:right w:w="108" w:type="dxa"/>
            </w:tcMar>
            <w:vAlign w:val="center"/>
          </w:tcPr>
          <w:p w14:paraId="539B6533">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A020519</w:t>
            </w:r>
          </w:p>
        </w:tc>
        <w:tc>
          <w:tcPr>
            <w:tcW w:w="1470" w:type="dxa"/>
            <w:shd w:val="clear" w:color="auto" w:fill="FFFFFF"/>
            <w:tcMar>
              <w:top w:w="0" w:type="dxa"/>
              <w:left w:w="108" w:type="dxa"/>
              <w:bottom w:w="0" w:type="dxa"/>
              <w:right w:w="108" w:type="dxa"/>
            </w:tcMar>
            <w:vAlign w:val="center"/>
          </w:tcPr>
          <w:p w14:paraId="0B863092">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泵</w:t>
            </w:r>
          </w:p>
        </w:tc>
        <w:tc>
          <w:tcPr>
            <w:tcW w:w="1410" w:type="dxa"/>
            <w:shd w:val="clear" w:color="auto" w:fill="FFFFFF"/>
            <w:tcMar>
              <w:top w:w="0" w:type="dxa"/>
              <w:left w:w="108" w:type="dxa"/>
              <w:bottom w:w="0" w:type="dxa"/>
              <w:right w:w="108" w:type="dxa"/>
            </w:tcMar>
            <w:vAlign w:val="center"/>
          </w:tcPr>
          <w:p w14:paraId="3601F8C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A02051901</w:t>
            </w:r>
          </w:p>
        </w:tc>
        <w:tc>
          <w:tcPr>
            <w:tcW w:w="2040" w:type="dxa"/>
            <w:shd w:val="clear" w:color="auto" w:fill="FFFFFF"/>
            <w:tcMar>
              <w:top w:w="0" w:type="dxa"/>
              <w:left w:w="108" w:type="dxa"/>
              <w:bottom w:w="0" w:type="dxa"/>
              <w:right w:w="108" w:type="dxa"/>
            </w:tcMar>
            <w:vAlign w:val="center"/>
          </w:tcPr>
          <w:p w14:paraId="04B0C1EF">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离心泵</w:t>
            </w:r>
          </w:p>
        </w:tc>
        <w:tc>
          <w:tcPr>
            <w:tcW w:w="2766" w:type="dxa"/>
            <w:shd w:val="clear" w:color="auto" w:fill="FFFFFF"/>
            <w:tcMar>
              <w:top w:w="0" w:type="dxa"/>
              <w:left w:w="108" w:type="dxa"/>
              <w:bottom w:w="0" w:type="dxa"/>
              <w:right w:w="108" w:type="dxa"/>
            </w:tcMar>
            <w:vAlign w:val="center"/>
          </w:tcPr>
          <w:p w14:paraId="0C0C9BAF">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5ABD4258">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电能（北京）认证中心有限公司</w:t>
            </w:r>
          </w:p>
          <w:p w14:paraId="29A70588">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方圆标志认证集团有限公司</w:t>
            </w:r>
          </w:p>
        </w:tc>
      </w:tr>
      <w:tr w14:paraId="74CC2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restart"/>
            <w:shd w:val="clear" w:color="auto" w:fill="FFFFFF"/>
            <w:tcMar>
              <w:top w:w="0" w:type="dxa"/>
              <w:left w:w="108" w:type="dxa"/>
              <w:bottom w:w="0" w:type="dxa"/>
              <w:right w:w="108" w:type="dxa"/>
            </w:tcMar>
            <w:vAlign w:val="center"/>
          </w:tcPr>
          <w:p w14:paraId="228AE0E3">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6</w:t>
            </w:r>
          </w:p>
        </w:tc>
        <w:tc>
          <w:tcPr>
            <w:tcW w:w="1050" w:type="dxa"/>
            <w:vMerge w:val="restart"/>
            <w:shd w:val="clear" w:color="auto" w:fill="FFFFFF"/>
            <w:tcMar>
              <w:top w:w="0" w:type="dxa"/>
              <w:left w:w="108" w:type="dxa"/>
              <w:bottom w:w="0" w:type="dxa"/>
              <w:right w:w="108" w:type="dxa"/>
            </w:tcMar>
            <w:vAlign w:val="center"/>
          </w:tcPr>
          <w:p w14:paraId="44E23B4F">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A020523</w:t>
            </w:r>
          </w:p>
        </w:tc>
        <w:tc>
          <w:tcPr>
            <w:tcW w:w="1470" w:type="dxa"/>
            <w:vMerge w:val="restart"/>
            <w:shd w:val="clear" w:color="auto" w:fill="FFFFFF"/>
            <w:tcMar>
              <w:top w:w="0" w:type="dxa"/>
              <w:left w:w="108" w:type="dxa"/>
              <w:bottom w:w="0" w:type="dxa"/>
              <w:right w:w="108" w:type="dxa"/>
            </w:tcMar>
            <w:vAlign w:val="center"/>
          </w:tcPr>
          <w:p w14:paraId="360A0D2F">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制冷空调设备</w:t>
            </w:r>
          </w:p>
        </w:tc>
        <w:tc>
          <w:tcPr>
            <w:tcW w:w="1410" w:type="dxa"/>
            <w:shd w:val="clear" w:color="auto" w:fill="FFFFFF"/>
            <w:tcMar>
              <w:top w:w="0" w:type="dxa"/>
              <w:left w:w="108" w:type="dxa"/>
              <w:bottom w:w="0" w:type="dxa"/>
              <w:right w:w="108" w:type="dxa"/>
            </w:tcMar>
            <w:vAlign w:val="center"/>
          </w:tcPr>
          <w:p w14:paraId="3AA8827D">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A02052301</w:t>
            </w:r>
          </w:p>
        </w:tc>
        <w:tc>
          <w:tcPr>
            <w:tcW w:w="2040" w:type="dxa"/>
            <w:shd w:val="clear" w:color="auto" w:fill="FFFFFF"/>
            <w:tcMar>
              <w:top w:w="0" w:type="dxa"/>
              <w:left w:w="108" w:type="dxa"/>
              <w:bottom w:w="0" w:type="dxa"/>
              <w:right w:w="108" w:type="dxa"/>
            </w:tcMar>
            <w:vAlign w:val="center"/>
          </w:tcPr>
          <w:p w14:paraId="6DA2DB03">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制冷压缩机</w:t>
            </w:r>
          </w:p>
        </w:tc>
        <w:tc>
          <w:tcPr>
            <w:tcW w:w="2766" w:type="dxa"/>
            <w:vMerge w:val="restart"/>
            <w:shd w:val="clear" w:color="auto" w:fill="FFFFFF"/>
            <w:tcMar>
              <w:top w:w="0" w:type="dxa"/>
              <w:left w:w="108" w:type="dxa"/>
              <w:bottom w:w="0" w:type="dxa"/>
              <w:right w:w="108" w:type="dxa"/>
            </w:tcMar>
            <w:vAlign w:val="center"/>
          </w:tcPr>
          <w:p w14:paraId="1BB8E79F">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1F9A7709">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威凯认证检测有限公司</w:t>
            </w:r>
          </w:p>
          <w:p w14:paraId="03D5578F">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合肥通用机械产品认证有限公司</w:t>
            </w:r>
          </w:p>
          <w:p w14:paraId="2A8CC0C6">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北京中冷通质量认证中心有限公司</w:t>
            </w:r>
          </w:p>
        </w:tc>
      </w:tr>
      <w:tr w14:paraId="6026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57B7F51D">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47433D90">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799DA9F5">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308E046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A02052305</w:t>
            </w:r>
          </w:p>
        </w:tc>
        <w:tc>
          <w:tcPr>
            <w:tcW w:w="2040" w:type="dxa"/>
            <w:shd w:val="clear" w:color="auto" w:fill="FFFFFF"/>
            <w:tcMar>
              <w:top w:w="0" w:type="dxa"/>
              <w:left w:w="108" w:type="dxa"/>
              <w:bottom w:w="0" w:type="dxa"/>
              <w:right w:w="108" w:type="dxa"/>
            </w:tcMar>
            <w:vAlign w:val="center"/>
          </w:tcPr>
          <w:p w14:paraId="534AD820">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空调机组</w:t>
            </w:r>
          </w:p>
        </w:tc>
        <w:tc>
          <w:tcPr>
            <w:tcW w:w="2766" w:type="dxa"/>
            <w:vMerge w:val="continue"/>
            <w:vAlign w:val="center"/>
          </w:tcPr>
          <w:p w14:paraId="79522A20">
            <w:pPr>
              <w:widowControl/>
              <w:jc w:val="left"/>
              <w:rPr>
                <w:rFonts w:hint="eastAsia" w:ascii="宋体" w:hAnsi="宋体"/>
                <w:color w:val="000000" w:themeColor="text1"/>
                <w:kern w:val="0"/>
                <w:sz w:val="21"/>
                <w:szCs w:val="21"/>
                <w14:textFill>
                  <w14:solidFill>
                    <w14:schemeClr w14:val="tx1"/>
                  </w14:solidFill>
                </w14:textFill>
              </w:rPr>
            </w:pPr>
          </w:p>
        </w:tc>
      </w:tr>
      <w:tr w14:paraId="3B53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525371E7">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6645990F">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170DD51B">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08B51B9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A02052309</w:t>
            </w:r>
          </w:p>
        </w:tc>
        <w:tc>
          <w:tcPr>
            <w:tcW w:w="2040" w:type="dxa"/>
            <w:shd w:val="clear" w:color="auto" w:fill="FFFFFF"/>
            <w:tcMar>
              <w:top w:w="0" w:type="dxa"/>
              <w:left w:w="108" w:type="dxa"/>
              <w:bottom w:w="0" w:type="dxa"/>
              <w:right w:w="108" w:type="dxa"/>
            </w:tcMar>
            <w:vAlign w:val="center"/>
          </w:tcPr>
          <w:p w14:paraId="26EF4A57">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专用制冷、空调设备</w:t>
            </w:r>
          </w:p>
        </w:tc>
        <w:tc>
          <w:tcPr>
            <w:tcW w:w="2766" w:type="dxa"/>
            <w:vMerge w:val="continue"/>
            <w:vAlign w:val="center"/>
          </w:tcPr>
          <w:p w14:paraId="4503BC14">
            <w:pPr>
              <w:widowControl/>
              <w:jc w:val="left"/>
              <w:rPr>
                <w:rFonts w:hint="eastAsia" w:ascii="宋体" w:hAnsi="宋体"/>
                <w:color w:val="000000" w:themeColor="text1"/>
                <w:kern w:val="0"/>
                <w:sz w:val="21"/>
                <w:szCs w:val="21"/>
                <w14:textFill>
                  <w14:solidFill>
                    <w14:schemeClr w14:val="tx1"/>
                  </w14:solidFill>
                </w14:textFill>
              </w:rPr>
            </w:pPr>
          </w:p>
        </w:tc>
      </w:tr>
      <w:tr w14:paraId="0542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003C090E">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1A33FD7C">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579035A5">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5266DA9B">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A02052399</w:t>
            </w:r>
          </w:p>
        </w:tc>
        <w:tc>
          <w:tcPr>
            <w:tcW w:w="2040" w:type="dxa"/>
            <w:shd w:val="clear" w:color="auto" w:fill="FFFFFF"/>
            <w:tcMar>
              <w:top w:w="0" w:type="dxa"/>
              <w:left w:w="108" w:type="dxa"/>
              <w:bottom w:w="0" w:type="dxa"/>
              <w:right w:w="108" w:type="dxa"/>
            </w:tcMar>
            <w:vAlign w:val="center"/>
          </w:tcPr>
          <w:p w14:paraId="4EDD4C4B">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其他制冷空调设备</w:t>
            </w:r>
          </w:p>
        </w:tc>
        <w:tc>
          <w:tcPr>
            <w:tcW w:w="2766" w:type="dxa"/>
            <w:vMerge w:val="continue"/>
            <w:vAlign w:val="center"/>
          </w:tcPr>
          <w:p w14:paraId="1AC4A6E0">
            <w:pPr>
              <w:widowControl/>
              <w:jc w:val="left"/>
              <w:rPr>
                <w:rFonts w:hint="eastAsia" w:ascii="宋体" w:hAnsi="宋体"/>
                <w:color w:val="000000" w:themeColor="text1"/>
                <w:kern w:val="0"/>
                <w:sz w:val="21"/>
                <w:szCs w:val="21"/>
                <w14:textFill>
                  <w14:solidFill>
                    <w14:schemeClr w14:val="tx1"/>
                  </w14:solidFill>
                </w14:textFill>
              </w:rPr>
            </w:pPr>
          </w:p>
        </w:tc>
      </w:tr>
      <w:tr w14:paraId="543A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6710FAF8">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7</w:t>
            </w:r>
          </w:p>
        </w:tc>
        <w:tc>
          <w:tcPr>
            <w:tcW w:w="1050" w:type="dxa"/>
            <w:shd w:val="clear" w:color="auto" w:fill="FFFFFF"/>
            <w:tcMar>
              <w:top w:w="0" w:type="dxa"/>
              <w:left w:w="108" w:type="dxa"/>
              <w:bottom w:w="0" w:type="dxa"/>
              <w:right w:w="108" w:type="dxa"/>
            </w:tcMar>
            <w:vAlign w:val="center"/>
          </w:tcPr>
          <w:p w14:paraId="1178D9FB">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A020601</w:t>
            </w:r>
          </w:p>
        </w:tc>
        <w:tc>
          <w:tcPr>
            <w:tcW w:w="1470" w:type="dxa"/>
            <w:shd w:val="clear" w:color="auto" w:fill="FFFFFF"/>
            <w:tcMar>
              <w:top w:w="0" w:type="dxa"/>
              <w:left w:w="108" w:type="dxa"/>
              <w:bottom w:w="0" w:type="dxa"/>
              <w:right w:w="108" w:type="dxa"/>
            </w:tcMar>
            <w:vAlign w:val="center"/>
          </w:tcPr>
          <w:p w14:paraId="644F3C83">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电机</w:t>
            </w:r>
          </w:p>
        </w:tc>
        <w:tc>
          <w:tcPr>
            <w:tcW w:w="1410" w:type="dxa"/>
            <w:shd w:val="clear" w:color="auto" w:fill="FFFFFF"/>
            <w:tcMar>
              <w:top w:w="0" w:type="dxa"/>
              <w:left w:w="108" w:type="dxa"/>
              <w:bottom w:w="0" w:type="dxa"/>
              <w:right w:w="108" w:type="dxa"/>
            </w:tcMar>
            <w:vAlign w:val="center"/>
          </w:tcPr>
          <w:p w14:paraId="4ED14E9F">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4EC20C38">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766" w:type="dxa"/>
            <w:shd w:val="clear" w:color="auto" w:fill="FFFFFF"/>
            <w:tcMar>
              <w:top w:w="0" w:type="dxa"/>
              <w:left w:w="108" w:type="dxa"/>
              <w:bottom w:w="0" w:type="dxa"/>
              <w:right w:w="108" w:type="dxa"/>
            </w:tcMar>
            <w:vAlign w:val="center"/>
          </w:tcPr>
          <w:p w14:paraId="055B8DC0">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2459A437">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威凯认证检测有限公司</w:t>
            </w:r>
          </w:p>
          <w:p w14:paraId="1DFDA4EE">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电能（北京）认证中心有限公司</w:t>
            </w:r>
          </w:p>
          <w:p w14:paraId="26ACF4DC">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中国船级社质量认证公司</w:t>
            </w:r>
          </w:p>
        </w:tc>
      </w:tr>
      <w:tr w14:paraId="4CCC8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6106D40C">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8</w:t>
            </w:r>
          </w:p>
        </w:tc>
        <w:tc>
          <w:tcPr>
            <w:tcW w:w="1050" w:type="dxa"/>
            <w:shd w:val="clear" w:color="auto" w:fill="FFFFFF"/>
            <w:tcMar>
              <w:top w:w="0" w:type="dxa"/>
              <w:left w:w="108" w:type="dxa"/>
              <w:bottom w:w="0" w:type="dxa"/>
              <w:right w:w="108" w:type="dxa"/>
            </w:tcMar>
            <w:vAlign w:val="center"/>
          </w:tcPr>
          <w:p w14:paraId="5E01AD32">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A020602</w:t>
            </w:r>
          </w:p>
        </w:tc>
        <w:tc>
          <w:tcPr>
            <w:tcW w:w="1470" w:type="dxa"/>
            <w:shd w:val="clear" w:color="auto" w:fill="FFFFFF"/>
            <w:tcMar>
              <w:top w:w="0" w:type="dxa"/>
              <w:left w:w="108" w:type="dxa"/>
              <w:bottom w:w="0" w:type="dxa"/>
              <w:right w:w="108" w:type="dxa"/>
            </w:tcMar>
            <w:vAlign w:val="center"/>
          </w:tcPr>
          <w:p w14:paraId="015E3308">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变压器</w:t>
            </w:r>
          </w:p>
        </w:tc>
        <w:tc>
          <w:tcPr>
            <w:tcW w:w="1410" w:type="dxa"/>
            <w:shd w:val="clear" w:color="auto" w:fill="FFFFFF"/>
            <w:tcMar>
              <w:top w:w="0" w:type="dxa"/>
              <w:left w:w="108" w:type="dxa"/>
              <w:bottom w:w="0" w:type="dxa"/>
              <w:right w:w="108" w:type="dxa"/>
            </w:tcMar>
            <w:vAlign w:val="center"/>
          </w:tcPr>
          <w:p w14:paraId="15D8618C">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2922EEB6">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766" w:type="dxa"/>
            <w:shd w:val="clear" w:color="auto" w:fill="FFFFFF"/>
            <w:tcMar>
              <w:top w:w="0" w:type="dxa"/>
              <w:left w:w="108" w:type="dxa"/>
              <w:bottom w:w="0" w:type="dxa"/>
              <w:right w:w="108" w:type="dxa"/>
            </w:tcMar>
            <w:vAlign w:val="center"/>
          </w:tcPr>
          <w:p w14:paraId="3C2C7999">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1141AAA1">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电能（北京）认证中心有限公司</w:t>
            </w:r>
          </w:p>
          <w:p w14:paraId="1F3B9B96">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方圆标志认证集团有限公司</w:t>
            </w:r>
          </w:p>
        </w:tc>
      </w:tr>
      <w:tr w14:paraId="59C12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5E3EAC9B">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9</w:t>
            </w:r>
          </w:p>
        </w:tc>
        <w:tc>
          <w:tcPr>
            <w:tcW w:w="1050" w:type="dxa"/>
            <w:shd w:val="clear" w:color="auto" w:fill="FFFFFF"/>
            <w:tcMar>
              <w:top w:w="0" w:type="dxa"/>
              <w:left w:w="108" w:type="dxa"/>
              <w:bottom w:w="0" w:type="dxa"/>
              <w:right w:w="108" w:type="dxa"/>
            </w:tcMar>
            <w:vAlign w:val="center"/>
          </w:tcPr>
          <w:p w14:paraId="2570A0A2">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A020609</w:t>
            </w:r>
          </w:p>
        </w:tc>
        <w:tc>
          <w:tcPr>
            <w:tcW w:w="1470" w:type="dxa"/>
            <w:shd w:val="clear" w:color="auto" w:fill="FFFFFF"/>
            <w:tcMar>
              <w:top w:w="0" w:type="dxa"/>
              <w:left w:w="108" w:type="dxa"/>
              <w:bottom w:w="0" w:type="dxa"/>
              <w:right w:w="108" w:type="dxa"/>
            </w:tcMar>
            <w:vAlign w:val="center"/>
          </w:tcPr>
          <w:p w14:paraId="6CCF3706">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镇流器</w:t>
            </w:r>
          </w:p>
        </w:tc>
        <w:tc>
          <w:tcPr>
            <w:tcW w:w="1410" w:type="dxa"/>
            <w:shd w:val="clear" w:color="auto" w:fill="FFFFFF"/>
            <w:tcMar>
              <w:top w:w="0" w:type="dxa"/>
              <w:left w:w="108" w:type="dxa"/>
              <w:bottom w:w="0" w:type="dxa"/>
              <w:right w:w="108" w:type="dxa"/>
            </w:tcMar>
            <w:vAlign w:val="center"/>
          </w:tcPr>
          <w:p w14:paraId="647EC8A7">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6EE4A906">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766" w:type="dxa"/>
            <w:shd w:val="clear" w:color="auto" w:fill="FFFFFF"/>
            <w:tcMar>
              <w:top w:w="0" w:type="dxa"/>
              <w:left w:w="108" w:type="dxa"/>
              <w:bottom w:w="0" w:type="dxa"/>
              <w:right w:w="108" w:type="dxa"/>
            </w:tcMar>
            <w:vAlign w:val="center"/>
          </w:tcPr>
          <w:p w14:paraId="55353CC5">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7669397D">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深圳市计量质量检测研究院</w:t>
            </w:r>
          </w:p>
          <w:p w14:paraId="3DCF6E24">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中标合信（北京）认证有限公司</w:t>
            </w:r>
          </w:p>
        </w:tc>
      </w:tr>
      <w:tr w14:paraId="70EE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restart"/>
            <w:shd w:val="clear" w:color="auto" w:fill="FFFFFF"/>
            <w:tcMar>
              <w:top w:w="0" w:type="dxa"/>
              <w:left w:w="108" w:type="dxa"/>
              <w:bottom w:w="0" w:type="dxa"/>
              <w:right w:w="108" w:type="dxa"/>
            </w:tcMar>
            <w:vAlign w:val="center"/>
          </w:tcPr>
          <w:p w14:paraId="62ECFA7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10</w:t>
            </w:r>
          </w:p>
        </w:tc>
        <w:tc>
          <w:tcPr>
            <w:tcW w:w="1050" w:type="dxa"/>
            <w:vMerge w:val="restart"/>
            <w:shd w:val="clear" w:color="auto" w:fill="FFFFFF"/>
            <w:tcMar>
              <w:top w:w="0" w:type="dxa"/>
              <w:left w:w="108" w:type="dxa"/>
              <w:bottom w:w="0" w:type="dxa"/>
              <w:right w:w="108" w:type="dxa"/>
            </w:tcMar>
            <w:vAlign w:val="center"/>
          </w:tcPr>
          <w:p w14:paraId="385293C2">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A020618</w:t>
            </w:r>
          </w:p>
        </w:tc>
        <w:tc>
          <w:tcPr>
            <w:tcW w:w="1470" w:type="dxa"/>
            <w:vMerge w:val="restart"/>
            <w:shd w:val="clear" w:color="auto" w:fill="FFFFFF"/>
            <w:tcMar>
              <w:top w:w="0" w:type="dxa"/>
              <w:left w:w="108" w:type="dxa"/>
              <w:bottom w:w="0" w:type="dxa"/>
              <w:right w:w="108" w:type="dxa"/>
            </w:tcMar>
            <w:vAlign w:val="center"/>
          </w:tcPr>
          <w:p w14:paraId="52FB471A">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生活用电器</w:t>
            </w:r>
          </w:p>
        </w:tc>
        <w:tc>
          <w:tcPr>
            <w:tcW w:w="1410" w:type="dxa"/>
            <w:shd w:val="clear" w:color="auto" w:fill="FFFFFF"/>
            <w:tcMar>
              <w:top w:w="0" w:type="dxa"/>
              <w:left w:w="108" w:type="dxa"/>
              <w:bottom w:w="0" w:type="dxa"/>
              <w:right w:w="108" w:type="dxa"/>
            </w:tcMar>
            <w:vAlign w:val="center"/>
          </w:tcPr>
          <w:p w14:paraId="0CE3912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A0206180101</w:t>
            </w:r>
          </w:p>
        </w:tc>
        <w:tc>
          <w:tcPr>
            <w:tcW w:w="2040" w:type="dxa"/>
            <w:shd w:val="clear" w:color="auto" w:fill="FFFFFF"/>
            <w:tcMar>
              <w:top w:w="0" w:type="dxa"/>
              <w:left w:w="108" w:type="dxa"/>
              <w:bottom w:w="0" w:type="dxa"/>
              <w:right w:w="108" w:type="dxa"/>
            </w:tcMar>
            <w:vAlign w:val="center"/>
          </w:tcPr>
          <w:p w14:paraId="1145584C">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电冰箱</w:t>
            </w:r>
          </w:p>
        </w:tc>
        <w:tc>
          <w:tcPr>
            <w:tcW w:w="2766" w:type="dxa"/>
            <w:shd w:val="clear" w:color="auto" w:fill="FFFFFF"/>
            <w:tcMar>
              <w:top w:w="0" w:type="dxa"/>
              <w:left w:w="108" w:type="dxa"/>
              <w:bottom w:w="0" w:type="dxa"/>
              <w:right w:w="108" w:type="dxa"/>
            </w:tcMar>
            <w:vAlign w:val="center"/>
          </w:tcPr>
          <w:p w14:paraId="2C591322">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703FC9AE">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威凯认证检测有限公司</w:t>
            </w:r>
          </w:p>
          <w:p w14:paraId="5A28F93E">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中家院（北京）检测认证有限公司</w:t>
            </w:r>
          </w:p>
        </w:tc>
      </w:tr>
      <w:tr w14:paraId="2849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0DCBC775">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5DAF9B5C">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34E7F9AE">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42625935">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A0206180203</w:t>
            </w:r>
          </w:p>
        </w:tc>
        <w:tc>
          <w:tcPr>
            <w:tcW w:w="2040" w:type="dxa"/>
            <w:shd w:val="clear" w:color="auto" w:fill="FFFFFF"/>
            <w:tcMar>
              <w:top w:w="0" w:type="dxa"/>
              <w:left w:w="108" w:type="dxa"/>
              <w:bottom w:w="0" w:type="dxa"/>
              <w:right w:w="108" w:type="dxa"/>
            </w:tcMar>
            <w:vAlign w:val="center"/>
          </w:tcPr>
          <w:p w14:paraId="52052DA7">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空调机</w:t>
            </w:r>
          </w:p>
        </w:tc>
        <w:tc>
          <w:tcPr>
            <w:tcW w:w="2766" w:type="dxa"/>
            <w:shd w:val="clear" w:color="auto" w:fill="FFFFFF"/>
            <w:tcMar>
              <w:top w:w="0" w:type="dxa"/>
              <w:left w:w="108" w:type="dxa"/>
              <w:bottom w:w="0" w:type="dxa"/>
              <w:right w:w="108" w:type="dxa"/>
            </w:tcMar>
            <w:vAlign w:val="center"/>
          </w:tcPr>
          <w:p w14:paraId="2BB552FC">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663D55ED">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威凯认证检测有限公司</w:t>
            </w:r>
          </w:p>
          <w:p w14:paraId="5A1650C5">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中家院（北京）检测认证有限公司</w:t>
            </w:r>
          </w:p>
          <w:p w14:paraId="25257015">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合肥通用机械产品认证有限公司</w:t>
            </w:r>
          </w:p>
        </w:tc>
      </w:tr>
      <w:tr w14:paraId="06EA3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2A8A868C">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1F587A75">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205EACED">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6B1CD27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A0206180301</w:t>
            </w:r>
          </w:p>
        </w:tc>
        <w:tc>
          <w:tcPr>
            <w:tcW w:w="2040" w:type="dxa"/>
            <w:shd w:val="clear" w:color="auto" w:fill="FFFFFF"/>
            <w:tcMar>
              <w:top w:w="0" w:type="dxa"/>
              <w:left w:w="108" w:type="dxa"/>
              <w:bottom w:w="0" w:type="dxa"/>
              <w:right w:w="108" w:type="dxa"/>
            </w:tcMar>
            <w:vAlign w:val="center"/>
          </w:tcPr>
          <w:p w14:paraId="4BC22ACB">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洗衣机</w:t>
            </w:r>
          </w:p>
        </w:tc>
        <w:tc>
          <w:tcPr>
            <w:tcW w:w="2766" w:type="dxa"/>
            <w:shd w:val="clear" w:color="auto" w:fill="FFFFFF"/>
            <w:tcMar>
              <w:top w:w="0" w:type="dxa"/>
              <w:left w:w="108" w:type="dxa"/>
              <w:bottom w:w="0" w:type="dxa"/>
              <w:right w:w="108" w:type="dxa"/>
            </w:tcMar>
            <w:vAlign w:val="center"/>
          </w:tcPr>
          <w:p w14:paraId="72F07D64">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0F0768C1">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威凯认证检测有限公司</w:t>
            </w:r>
          </w:p>
          <w:p w14:paraId="2A4A7EAB">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中家院（北京）检测认证有限公司</w:t>
            </w:r>
          </w:p>
        </w:tc>
      </w:tr>
      <w:tr w14:paraId="6FA06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vMerge w:val="continue"/>
            <w:vAlign w:val="center"/>
          </w:tcPr>
          <w:p w14:paraId="621AC3C1">
            <w:pPr>
              <w:widowControl/>
              <w:jc w:val="left"/>
              <w:rPr>
                <w:rFonts w:hint="eastAsia" w:ascii="宋体" w:hAnsi="宋体"/>
                <w:color w:val="000000" w:themeColor="text1"/>
                <w:kern w:val="0"/>
                <w:sz w:val="21"/>
                <w:szCs w:val="21"/>
                <w14:textFill>
                  <w14:solidFill>
                    <w14:schemeClr w14:val="tx1"/>
                  </w14:solidFill>
                </w14:textFill>
              </w:rPr>
            </w:pPr>
          </w:p>
        </w:tc>
        <w:tc>
          <w:tcPr>
            <w:tcW w:w="2520" w:type="dxa"/>
            <w:vMerge w:val="continue"/>
            <w:vAlign w:val="center"/>
          </w:tcPr>
          <w:p w14:paraId="37D4B801">
            <w:pPr>
              <w:widowControl/>
              <w:jc w:val="left"/>
              <w:rPr>
                <w:rFonts w:hint="eastAsia" w:ascii="宋体" w:hAnsi="宋体"/>
                <w:color w:val="000000" w:themeColor="text1"/>
                <w:kern w:val="0"/>
                <w:sz w:val="21"/>
                <w:szCs w:val="21"/>
                <w14:textFill>
                  <w14:solidFill>
                    <w14:schemeClr w14:val="tx1"/>
                  </w14:solidFill>
                </w14:textFill>
              </w:rPr>
            </w:pPr>
          </w:p>
        </w:tc>
        <w:tc>
          <w:tcPr>
            <w:tcW w:w="1470" w:type="dxa"/>
            <w:vMerge w:val="continue"/>
            <w:vAlign w:val="center"/>
          </w:tcPr>
          <w:p w14:paraId="76A3BF9F">
            <w:pPr>
              <w:widowControl/>
              <w:jc w:val="left"/>
              <w:rPr>
                <w:rFonts w:hint="eastAsia" w:ascii="宋体" w:hAnsi="宋体"/>
                <w:color w:val="000000" w:themeColor="text1"/>
                <w:kern w:val="0"/>
                <w:sz w:val="21"/>
                <w:szCs w:val="21"/>
                <w14:textFill>
                  <w14:solidFill>
                    <w14:schemeClr w14:val="tx1"/>
                  </w14:solidFill>
                </w14:textFill>
              </w:rPr>
            </w:pPr>
          </w:p>
        </w:tc>
        <w:tc>
          <w:tcPr>
            <w:tcW w:w="1410" w:type="dxa"/>
            <w:shd w:val="clear" w:color="auto" w:fill="FFFFFF"/>
            <w:tcMar>
              <w:top w:w="0" w:type="dxa"/>
              <w:left w:w="108" w:type="dxa"/>
              <w:bottom w:w="0" w:type="dxa"/>
              <w:right w:w="108" w:type="dxa"/>
            </w:tcMar>
            <w:vAlign w:val="center"/>
          </w:tcPr>
          <w:p w14:paraId="02FB3EFC">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A02061808</w:t>
            </w:r>
          </w:p>
        </w:tc>
        <w:tc>
          <w:tcPr>
            <w:tcW w:w="2040" w:type="dxa"/>
            <w:shd w:val="clear" w:color="auto" w:fill="FFFFFF"/>
            <w:tcMar>
              <w:top w:w="0" w:type="dxa"/>
              <w:left w:w="108" w:type="dxa"/>
              <w:bottom w:w="0" w:type="dxa"/>
              <w:right w:w="108" w:type="dxa"/>
            </w:tcMar>
            <w:vAlign w:val="center"/>
          </w:tcPr>
          <w:p w14:paraId="7BAC05B6">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热水器</w:t>
            </w:r>
          </w:p>
        </w:tc>
        <w:tc>
          <w:tcPr>
            <w:tcW w:w="2766" w:type="dxa"/>
            <w:shd w:val="clear" w:color="auto" w:fill="FFFFFF"/>
            <w:tcMar>
              <w:top w:w="0" w:type="dxa"/>
              <w:left w:w="108" w:type="dxa"/>
              <w:bottom w:w="0" w:type="dxa"/>
              <w:right w:w="108" w:type="dxa"/>
            </w:tcMar>
            <w:vAlign w:val="center"/>
          </w:tcPr>
          <w:p w14:paraId="116411DB">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470DB6FB">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威凯认证检测有限公司</w:t>
            </w:r>
          </w:p>
          <w:p w14:paraId="74318C67">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中家院（北京）检测认证有限公司</w:t>
            </w:r>
          </w:p>
          <w:p w14:paraId="2BE447BA">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合肥通用机械产品认证有限公司(范围仅限于“热泵热水器”)</w:t>
            </w:r>
          </w:p>
        </w:tc>
      </w:tr>
      <w:tr w14:paraId="5F1A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783EAD44">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11</w:t>
            </w:r>
          </w:p>
        </w:tc>
        <w:tc>
          <w:tcPr>
            <w:tcW w:w="1050" w:type="dxa"/>
            <w:shd w:val="clear" w:color="auto" w:fill="FFFFFF"/>
            <w:tcMar>
              <w:top w:w="0" w:type="dxa"/>
              <w:left w:w="108" w:type="dxa"/>
              <w:bottom w:w="0" w:type="dxa"/>
              <w:right w:w="108" w:type="dxa"/>
            </w:tcMar>
            <w:vAlign w:val="center"/>
          </w:tcPr>
          <w:p w14:paraId="178A0D34">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A020619</w:t>
            </w:r>
          </w:p>
        </w:tc>
        <w:tc>
          <w:tcPr>
            <w:tcW w:w="1470" w:type="dxa"/>
            <w:shd w:val="clear" w:color="auto" w:fill="FFFFFF"/>
            <w:tcMar>
              <w:top w:w="0" w:type="dxa"/>
              <w:left w:w="108" w:type="dxa"/>
              <w:bottom w:w="0" w:type="dxa"/>
              <w:right w:w="108" w:type="dxa"/>
            </w:tcMar>
            <w:vAlign w:val="center"/>
          </w:tcPr>
          <w:p w14:paraId="26295557">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照明设备</w:t>
            </w:r>
          </w:p>
        </w:tc>
        <w:tc>
          <w:tcPr>
            <w:tcW w:w="1410" w:type="dxa"/>
            <w:shd w:val="clear" w:color="auto" w:fill="FFFFFF"/>
            <w:tcMar>
              <w:top w:w="0" w:type="dxa"/>
              <w:left w:w="108" w:type="dxa"/>
              <w:bottom w:w="0" w:type="dxa"/>
              <w:right w:w="108" w:type="dxa"/>
            </w:tcMar>
            <w:vAlign w:val="center"/>
          </w:tcPr>
          <w:p w14:paraId="1ABBAF18">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2D38DFF2">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766" w:type="dxa"/>
            <w:shd w:val="clear" w:color="auto" w:fill="FFFFFF"/>
            <w:tcMar>
              <w:top w:w="0" w:type="dxa"/>
              <w:left w:w="108" w:type="dxa"/>
              <w:bottom w:w="0" w:type="dxa"/>
              <w:right w:w="108" w:type="dxa"/>
            </w:tcMar>
            <w:vAlign w:val="center"/>
          </w:tcPr>
          <w:p w14:paraId="79F4118A">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2351D80A">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深圳市计量质量检测研究院</w:t>
            </w:r>
          </w:p>
          <w:p w14:paraId="15D9C9AF">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中标合信（北京）认证有限公司</w:t>
            </w:r>
          </w:p>
        </w:tc>
      </w:tr>
      <w:tr w14:paraId="4F32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272C5540">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12</w:t>
            </w:r>
          </w:p>
        </w:tc>
        <w:tc>
          <w:tcPr>
            <w:tcW w:w="1050" w:type="dxa"/>
            <w:shd w:val="clear" w:color="auto" w:fill="FFFFFF"/>
            <w:tcMar>
              <w:top w:w="0" w:type="dxa"/>
              <w:left w:w="108" w:type="dxa"/>
              <w:bottom w:w="0" w:type="dxa"/>
              <w:right w:w="108" w:type="dxa"/>
            </w:tcMar>
            <w:vAlign w:val="center"/>
          </w:tcPr>
          <w:p w14:paraId="6ACF45E0">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A020910</w:t>
            </w:r>
          </w:p>
        </w:tc>
        <w:tc>
          <w:tcPr>
            <w:tcW w:w="1470" w:type="dxa"/>
            <w:shd w:val="clear" w:color="auto" w:fill="FFFFFF"/>
            <w:tcMar>
              <w:top w:w="0" w:type="dxa"/>
              <w:left w:w="108" w:type="dxa"/>
              <w:bottom w:w="0" w:type="dxa"/>
              <w:right w:w="108" w:type="dxa"/>
            </w:tcMar>
            <w:vAlign w:val="center"/>
          </w:tcPr>
          <w:p w14:paraId="2CB8831C">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电视设备</w:t>
            </w:r>
          </w:p>
        </w:tc>
        <w:tc>
          <w:tcPr>
            <w:tcW w:w="1410" w:type="dxa"/>
            <w:shd w:val="clear" w:color="auto" w:fill="FFFFFF"/>
            <w:tcMar>
              <w:top w:w="0" w:type="dxa"/>
              <w:left w:w="108" w:type="dxa"/>
              <w:bottom w:w="0" w:type="dxa"/>
              <w:right w:w="108" w:type="dxa"/>
            </w:tcMar>
            <w:vAlign w:val="center"/>
          </w:tcPr>
          <w:p w14:paraId="3D8A8FD4">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A02091001</w:t>
            </w:r>
          </w:p>
        </w:tc>
        <w:tc>
          <w:tcPr>
            <w:tcW w:w="2040" w:type="dxa"/>
            <w:shd w:val="clear" w:color="auto" w:fill="FFFFFF"/>
            <w:tcMar>
              <w:top w:w="0" w:type="dxa"/>
              <w:left w:w="108" w:type="dxa"/>
              <w:bottom w:w="0" w:type="dxa"/>
              <w:right w:w="108" w:type="dxa"/>
            </w:tcMar>
            <w:vAlign w:val="center"/>
          </w:tcPr>
          <w:p w14:paraId="07BC9CDF">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普通电视设备（电视机）</w:t>
            </w:r>
          </w:p>
        </w:tc>
        <w:tc>
          <w:tcPr>
            <w:tcW w:w="2766" w:type="dxa"/>
            <w:vMerge w:val="restart"/>
            <w:shd w:val="clear" w:color="auto" w:fill="FFFFFF"/>
            <w:tcMar>
              <w:top w:w="0" w:type="dxa"/>
              <w:left w:w="108" w:type="dxa"/>
              <w:bottom w:w="0" w:type="dxa"/>
              <w:right w:w="108" w:type="dxa"/>
            </w:tcMar>
            <w:vAlign w:val="center"/>
          </w:tcPr>
          <w:p w14:paraId="69DADD38">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0C658EC1">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北京泰瑞特认证有限责任公司</w:t>
            </w:r>
          </w:p>
          <w:p w14:paraId="2F223AAF">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广州赛宝认证中心服务有限公司</w:t>
            </w:r>
          </w:p>
        </w:tc>
      </w:tr>
      <w:tr w14:paraId="52F1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529E3BFF">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13</w:t>
            </w:r>
          </w:p>
        </w:tc>
        <w:tc>
          <w:tcPr>
            <w:tcW w:w="1050" w:type="dxa"/>
            <w:shd w:val="clear" w:color="auto" w:fill="FFFFFF"/>
            <w:tcMar>
              <w:top w:w="0" w:type="dxa"/>
              <w:left w:w="108" w:type="dxa"/>
              <w:bottom w:w="0" w:type="dxa"/>
              <w:right w:w="108" w:type="dxa"/>
            </w:tcMar>
            <w:vAlign w:val="center"/>
          </w:tcPr>
          <w:p w14:paraId="1B708D57">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A020911</w:t>
            </w:r>
          </w:p>
        </w:tc>
        <w:tc>
          <w:tcPr>
            <w:tcW w:w="1470" w:type="dxa"/>
            <w:shd w:val="clear" w:color="auto" w:fill="FFFFFF"/>
            <w:tcMar>
              <w:top w:w="0" w:type="dxa"/>
              <w:left w:w="108" w:type="dxa"/>
              <w:bottom w:w="0" w:type="dxa"/>
              <w:right w:w="108" w:type="dxa"/>
            </w:tcMar>
            <w:vAlign w:val="center"/>
          </w:tcPr>
          <w:p w14:paraId="47EB051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视频设备</w:t>
            </w:r>
          </w:p>
        </w:tc>
        <w:tc>
          <w:tcPr>
            <w:tcW w:w="1410" w:type="dxa"/>
            <w:shd w:val="clear" w:color="auto" w:fill="FFFFFF"/>
            <w:tcMar>
              <w:top w:w="0" w:type="dxa"/>
              <w:left w:w="108" w:type="dxa"/>
              <w:bottom w:w="0" w:type="dxa"/>
              <w:right w:w="108" w:type="dxa"/>
            </w:tcMar>
            <w:vAlign w:val="center"/>
          </w:tcPr>
          <w:p w14:paraId="1E2E3B70">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A02091107</w:t>
            </w:r>
          </w:p>
        </w:tc>
        <w:tc>
          <w:tcPr>
            <w:tcW w:w="2040" w:type="dxa"/>
            <w:shd w:val="clear" w:color="auto" w:fill="FFFFFF"/>
            <w:tcMar>
              <w:top w:w="0" w:type="dxa"/>
              <w:left w:w="108" w:type="dxa"/>
              <w:bottom w:w="0" w:type="dxa"/>
              <w:right w:w="108" w:type="dxa"/>
            </w:tcMar>
            <w:vAlign w:val="center"/>
          </w:tcPr>
          <w:p w14:paraId="6EAAFE7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视频监控设备</w:t>
            </w:r>
          </w:p>
        </w:tc>
        <w:tc>
          <w:tcPr>
            <w:tcW w:w="2766" w:type="dxa"/>
            <w:vMerge w:val="continue"/>
            <w:vAlign w:val="center"/>
          </w:tcPr>
          <w:p w14:paraId="30F21A91">
            <w:pPr>
              <w:widowControl/>
              <w:jc w:val="left"/>
              <w:rPr>
                <w:rFonts w:hint="eastAsia" w:ascii="宋体" w:hAnsi="宋体"/>
                <w:color w:val="000000" w:themeColor="text1"/>
                <w:kern w:val="0"/>
                <w:sz w:val="21"/>
                <w:szCs w:val="21"/>
                <w14:textFill>
                  <w14:solidFill>
                    <w14:schemeClr w14:val="tx1"/>
                  </w14:solidFill>
                </w14:textFill>
              </w:rPr>
            </w:pPr>
          </w:p>
        </w:tc>
      </w:tr>
      <w:tr w14:paraId="5570C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25C377BC">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14</w:t>
            </w:r>
          </w:p>
        </w:tc>
        <w:tc>
          <w:tcPr>
            <w:tcW w:w="1050" w:type="dxa"/>
            <w:shd w:val="clear" w:color="auto" w:fill="FFFFFF"/>
            <w:tcMar>
              <w:top w:w="0" w:type="dxa"/>
              <w:left w:w="108" w:type="dxa"/>
              <w:bottom w:w="0" w:type="dxa"/>
              <w:right w:w="108" w:type="dxa"/>
            </w:tcMar>
            <w:vAlign w:val="center"/>
          </w:tcPr>
          <w:p w14:paraId="56D53F30">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A031210</w:t>
            </w:r>
          </w:p>
        </w:tc>
        <w:tc>
          <w:tcPr>
            <w:tcW w:w="1470" w:type="dxa"/>
            <w:shd w:val="clear" w:color="auto" w:fill="FFFFFF"/>
            <w:tcMar>
              <w:top w:w="0" w:type="dxa"/>
              <w:left w:w="108" w:type="dxa"/>
              <w:bottom w:w="0" w:type="dxa"/>
              <w:right w:w="108" w:type="dxa"/>
            </w:tcMar>
            <w:vAlign w:val="center"/>
          </w:tcPr>
          <w:p w14:paraId="4DE5F0C0">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饮食炊事机械</w:t>
            </w:r>
          </w:p>
        </w:tc>
        <w:tc>
          <w:tcPr>
            <w:tcW w:w="1410" w:type="dxa"/>
            <w:shd w:val="clear" w:color="auto" w:fill="FFFFFF"/>
            <w:tcMar>
              <w:top w:w="0" w:type="dxa"/>
              <w:left w:w="108" w:type="dxa"/>
              <w:bottom w:w="0" w:type="dxa"/>
              <w:right w:w="108" w:type="dxa"/>
            </w:tcMar>
            <w:vAlign w:val="center"/>
          </w:tcPr>
          <w:p w14:paraId="0951C733">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2153B404">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766" w:type="dxa"/>
            <w:shd w:val="clear" w:color="auto" w:fill="FFFFFF"/>
            <w:tcMar>
              <w:top w:w="0" w:type="dxa"/>
              <w:left w:w="108" w:type="dxa"/>
              <w:bottom w:w="0" w:type="dxa"/>
              <w:right w:w="108" w:type="dxa"/>
            </w:tcMar>
            <w:vAlign w:val="center"/>
          </w:tcPr>
          <w:p w14:paraId="232DB1AE">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2B062AD7">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北京鉴衡认证中心</w:t>
            </w:r>
          </w:p>
          <w:p w14:paraId="26A650A6">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中国市政工程华北设计研究总院有限公司</w:t>
            </w:r>
          </w:p>
        </w:tc>
      </w:tr>
      <w:tr w14:paraId="2A08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61D9ECB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15</w:t>
            </w:r>
          </w:p>
        </w:tc>
        <w:tc>
          <w:tcPr>
            <w:tcW w:w="1050" w:type="dxa"/>
            <w:shd w:val="clear" w:color="auto" w:fill="FFFFFF"/>
            <w:tcMar>
              <w:top w:w="0" w:type="dxa"/>
              <w:left w:w="108" w:type="dxa"/>
              <w:bottom w:w="0" w:type="dxa"/>
              <w:right w:w="108" w:type="dxa"/>
            </w:tcMar>
            <w:vAlign w:val="center"/>
          </w:tcPr>
          <w:p w14:paraId="005A2669">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A060805</w:t>
            </w:r>
          </w:p>
        </w:tc>
        <w:tc>
          <w:tcPr>
            <w:tcW w:w="1470" w:type="dxa"/>
            <w:shd w:val="clear" w:color="auto" w:fill="FFFFFF"/>
            <w:tcMar>
              <w:top w:w="0" w:type="dxa"/>
              <w:left w:w="108" w:type="dxa"/>
              <w:bottom w:w="0" w:type="dxa"/>
              <w:right w:w="108" w:type="dxa"/>
            </w:tcMar>
            <w:vAlign w:val="center"/>
          </w:tcPr>
          <w:p w14:paraId="1D803109">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便器</w:t>
            </w:r>
          </w:p>
        </w:tc>
        <w:tc>
          <w:tcPr>
            <w:tcW w:w="1410" w:type="dxa"/>
            <w:shd w:val="clear" w:color="auto" w:fill="FFFFFF"/>
            <w:tcMar>
              <w:top w:w="0" w:type="dxa"/>
              <w:left w:w="108" w:type="dxa"/>
              <w:bottom w:w="0" w:type="dxa"/>
              <w:right w:w="108" w:type="dxa"/>
            </w:tcMar>
            <w:vAlign w:val="center"/>
          </w:tcPr>
          <w:p w14:paraId="59E5E429">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636EE277">
            <w:pPr>
              <w:widowControl/>
              <w:jc w:val="center"/>
              <w:textAlignment w:val="baseline"/>
              <w:rPr>
                <w:rFonts w:hint="eastAsia" w:ascii="宋体" w:hAnsi="宋体"/>
                <w:color w:val="000000" w:themeColor="text1"/>
                <w:kern w:val="0"/>
                <w:sz w:val="21"/>
                <w:szCs w:val="21"/>
                <w14:textFill>
                  <w14:solidFill>
                    <w14:schemeClr w14:val="tx1"/>
                  </w14:solidFill>
                </w14:textFill>
              </w:rPr>
            </w:pPr>
          </w:p>
        </w:tc>
        <w:tc>
          <w:tcPr>
            <w:tcW w:w="2766" w:type="dxa"/>
            <w:vMerge w:val="restart"/>
            <w:shd w:val="clear" w:color="auto" w:fill="FFFFFF"/>
            <w:tcMar>
              <w:top w:w="0" w:type="dxa"/>
              <w:left w:w="108" w:type="dxa"/>
              <w:bottom w:w="0" w:type="dxa"/>
              <w:right w:w="108" w:type="dxa"/>
            </w:tcMar>
            <w:vAlign w:val="center"/>
          </w:tcPr>
          <w:p w14:paraId="2FF2ECD0">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中国质量认证中心</w:t>
            </w:r>
          </w:p>
          <w:p w14:paraId="1573AB86">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北京新华节水产品认证有限公司</w:t>
            </w:r>
          </w:p>
          <w:p w14:paraId="118803DB">
            <w:pPr>
              <w:widowControl/>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方圆标志认证集团有限公司</w:t>
            </w:r>
          </w:p>
        </w:tc>
      </w:tr>
      <w:tr w14:paraId="4770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2961FF68">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16</w:t>
            </w:r>
          </w:p>
        </w:tc>
        <w:tc>
          <w:tcPr>
            <w:tcW w:w="1050" w:type="dxa"/>
            <w:shd w:val="clear" w:color="auto" w:fill="FFFFFF"/>
            <w:tcMar>
              <w:top w:w="0" w:type="dxa"/>
              <w:left w:w="108" w:type="dxa"/>
              <w:bottom w:w="0" w:type="dxa"/>
              <w:right w:w="108" w:type="dxa"/>
            </w:tcMar>
            <w:vAlign w:val="center"/>
          </w:tcPr>
          <w:p w14:paraId="2F8FFD0B">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A060806</w:t>
            </w:r>
          </w:p>
        </w:tc>
        <w:tc>
          <w:tcPr>
            <w:tcW w:w="1470" w:type="dxa"/>
            <w:shd w:val="clear" w:color="auto" w:fill="FFFFFF"/>
            <w:tcMar>
              <w:top w:w="0" w:type="dxa"/>
              <w:left w:w="108" w:type="dxa"/>
              <w:bottom w:w="0" w:type="dxa"/>
              <w:right w:w="108" w:type="dxa"/>
            </w:tcMar>
            <w:vAlign w:val="center"/>
          </w:tcPr>
          <w:p w14:paraId="41EB54A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水嘴</w:t>
            </w:r>
          </w:p>
        </w:tc>
        <w:tc>
          <w:tcPr>
            <w:tcW w:w="1410" w:type="dxa"/>
            <w:shd w:val="clear" w:color="auto" w:fill="FFFFFF"/>
            <w:tcMar>
              <w:top w:w="0" w:type="dxa"/>
              <w:left w:w="108" w:type="dxa"/>
              <w:bottom w:w="0" w:type="dxa"/>
              <w:right w:w="108" w:type="dxa"/>
            </w:tcMar>
            <w:vAlign w:val="center"/>
          </w:tcPr>
          <w:p w14:paraId="7C1C6E33">
            <w:pPr>
              <w:widowControl/>
              <w:jc w:val="center"/>
              <w:textAlignment w:val="baseline"/>
              <w:rPr>
                <w:rFonts w:hint="eastAsia" w:ascii="inherit" w:hAnsi="inherit" w:eastAsia="微软雅黑" w:cs="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69BC964F">
            <w:pPr>
              <w:widowControl/>
              <w:jc w:val="center"/>
              <w:textAlignment w:val="baseline"/>
              <w:rPr>
                <w:rFonts w:hint="eastAsia" w:ascii="inherit" w:hAnsi="inherit" w:eastAsia="微软雅黑" w:cs="宋体"/>
                <w:color w:val="000000" w:themeColor="text1"/>
                <w:kern w:val="0"/>
                <w:sz w:val="21"/>
                <w:szCs w:val="21"/>
                <w14:textFill>
                  <w14:solidFill>
                    <w14:schemeClr w14:val="tx1"/>
                  </w14:solidFill>
                </w14:textFill>
              </w:rPr>
            </w:pPr>
          </w:p>
        </w:tc>
        <w:tc>
          <w:tcPr>
            <w:tcW w:w="2766" w:type="dxa"/>
            <w:vMerge w:val="continue"/>
            <w:vAlign w:val="center"/>
          </w:tcPr>
          <w:p w14:paraId="02DF313D">
            <w:pPr>
              <w:widowControl/>
              <w:jc w:val="left"/>
              <w:rPr>
                <w:rFonts w:hint="eastAsia" w:ascii="宋体" w:hAnsi="宋体"/>
                <w:color w:val="000000" w:themeColor="text1"/>
                <w:kern w:val="0"/>
                <w:sz w:val="21"/>
                <w:szCs w:val="21"/>
                <w14:textFill>
                  <w14:solidFill>
                    <w14:schemeClr w14:val="tx1"/>
                  </w14:solidFill>
                </w14:textFill>
              </w:rPr>
            </w:pPr>
          </w:p>
        </w:tc>
      </w:tr>
      <w:tr w14:paraId="2F580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4948DD4B">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17</w:t>
            </w:r>
          </w:p>
        </w:tc>
        <w:tc>
          <w:tcPr>
            <w:tcW w:w="1050" w:type="dxa"/>
            <w:shd w:val="clear" w:color="auto" w:fill="FFFFFF"/>
            <w:tcMar>
              <w:top w:w="0" w:type="dxa"/>
              <w:left w:w="108" w:type="dxa"/>
              <w:bottom w:w="0" w:type="dxa"/>
              <w:right w:w="108" w:type="dxa"/>
            </w:tcMar>
            <w:vAlign w:val="center"/>
          </w:tcPr>
          <w:p w14:paraId="0B5E529A">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A060807</w:t>
            </w:r>
          </w:p>
        </w:tc>
        <w:tc>
          <w:tcPr>
            <w:tcW w:w="1470" w:type="dxa"/>
            <w:shd w:val="clear" w:color="auto" w:fill="FFFFFF"/>
            <w:tcMar>
              <w:top w:w="0" w:type="dxa"/>
              <w:left w:w="108" w:type="dxa"/>
              <w:bottom w:w="0" w:type="dxa"/>
              <w:right w:w="108" w:type="dxa"/>
            </w:tcMar>
            <w:vAlign w:val="center"/>
          </w:tcPr>
          <w:p w14:paraId="3C9394F1">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便器冲洗阀</w:t>
            </w:r>
          </w:p>
        </w:tc>
        <w:tc>
          <w:tcPr>
            <w:tcW w:w="1410" w:type="dxa"/>
            <w:shd w:val="clear" w:color="auto" w:fill="FFFFFF"/>
            <w:tcMar>
              <w:top w:w="0" w:type="dxa"/>
              <w:left w:w="108" w:type="dxa"/>
              <w:bottom w:w="0" w:type="dxa"/>
              <w:right w:w="108" w:type="dxa"/>
            </w:tcMar>
            <w:vAlign w:val="center"/>
          </w:tcPr>
          <w:p w14:paraId="04C5C7D5">
            <w:pPr>
              <w:widowControl/>
              <w:jc w:val="center"/>
              <w:textAlignment w:val="baseline"/>
              <w:rPr>
                <w:rFonts w:hint="eastAsia" w:ascii="inherit" w:hAnsi="inherit" w:eastAsia="微软雅黑" w:cs="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328FE788">
            <w:pPr>
              <w:widowControl/>
              <w:jc w:val="center"/>
              <w:textAlignment w:val="baseline"/>
              <w:rPr>
                <w:rFonts w:hint="eastAsia" w:ascii="inherit" w:hAnsi="inherit" w:eastAsia="微软雅黑" w:cs="宋体"/>
                <w:color w:val="000000" w:themeColor="text1"/>
                <w:kern w:val="0"/>
                <w:sz w:val="21"/>
                <w:szCs w:val="21"/>
                <w14:textFill>
                  <w14:solidFill>
                    <w14:schemeClr w14:val="tx1"/>
                  </w14:solidFill>
                </w14:textFill>
              </w:rPr>
            </w:pPr>
          </w:p>
        </w:tc>
        <w:tc>
          <w:tcPr>
            <w:tcW w:w="2766" w:type="dxa"/>
            <w:vMerge w:val="continue"/>
            <w:vAlign w:val="center"/>
          </w:tcPr>
          <w:p w14:paraId="55B22C3D">
            <w:pPr>
              <w:widowControl/>
              <w:jc w:val="left"/>
              <w:rPr>
                <w:rFonts w:hint="eastAsia" w:ascii="宋体" w:hAnsi="宋体"/>
                <w:color w:val="000000" w:themeColor="text1"/>
                <w:kern w:val="0"/>
                <w:sz w:val="21"/>
                <w:szCs w:val="21"/>
                <w14:textFill>
                  <w14:solidFill>
                    <w14:schemeClr w14:val="tx1"/>
                  </w14:solidFill>
                </w14:textFill>
              </w:rPr>
            </w:pPr>
          </w:p>
        </w:tc>
      </w:tr>
      <w:tr w14:paraId="2D48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54" w:hRule="atLeast"/>
          <w:jc w:val="center"/>
        </w:trPr>
        <w:tc>
          <w:tcPr>
            <w:tcW w:w="479" w:type="dxa"/>
            <w:shd w:val="clear" w:color="auto" w:fill="FFFFFF"/>
            <w:tcMar>
              <w:top w:w="0" w:type="dxa"/>
              <w:left w:w="108" w:type="dxa"/>
              <w:bottom w:w="0" w:type="dxa"/>
              <w:right w:w="108" w:type="dxa"/>
            </w:tcMar>
            <w:vAlign w:val="center"/>
          </w:tcPr>
          <w:p w14:paraId="5EF32E97">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18</w:t>
            </w:r>
          </w:p>
        </w:tc>
        <w:tc>
          <w:tcPr>
            <w:tcW w:w="1050" w:type="dxa"/>
            <w:shd w:val="clear" w:color="auto" w:fill="FFFFFF"/>
            <w:tcMar>
              <w:top w:w="0" w:type="dxa"/>
              <w:left w:w="108" w:type="dxa"/>
              <w:bottom w:w="0" w:type="dxa"/>
              <w:right w:w="108" w:type="dxa"/>
            </w:tcMar>
            <w:vAlign w:val="center"/>
          </w:tcPr>
          <w:p w14:paraId="324F430E">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A060810</w:t>
            </w:r>
          </w:p>
        </w:tc>
        <w:tc>
          <w:tcPr>
            <w:tcW w:w="1470" w:type="dxa"/>
            <w:shd w:val="clear" w:color="auto" w:fill="FFFFFF"/>
            <w:tcMar>
              <w:top w:w="0" w:type="dxa"/>
              <w:left w:w="108" w:type="dxa"/>
              <w:bottom w:w="0" w:type="dxa"/>
              <w:right w:w="108" w:type="dxa"/>
            </w:tcMar>
            <w:vAlign w:val="center"/>
          </w:tcPr>
          <w:p w14:paraId="25CC2EA7">
            <w:pPr>
              <w:widowControl/>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淋浴器</w:t>
            </w:r>
          </w:p>
        </w:tc>
        <w:tc>
          <w:tcPr>
            <w:tcW w:w="1410" w:type="dxa"/>
            <w:shd w:val="clear" w:color="auto" w:fill="FFFFFF"/>
            <w:tcMar>
              <w:top w:w="0" w:type="dxa"/>
              <w:left w:w="108" w:type="dxa"/>
              <w:bottom w:w="0" w:type="dxa"/>
              <w:right w:w="108" w:type="dxa"/>
            </w:tcMar>
            <w:vAlign w:val="center"/>
          </w:tcPr>
          <w:p w14:paraId="252689D9">
            <w:pPr>
              <w:widowControl/>
              <w:jc w:val="center"/>
              <w:textAlignment w:val="baseline"/>
              <w:rPr>
                <w:rFonts w:hint="eastAsia" w:ascii="inherit" w:hAnsi="inherit" w:eastAsia="微软雅黑" w:cs="宋体"/>
                <w:color w:val="000000" w:themeColor="text1"/>
                <w:kern w:val="0"/>
                <w:sz w:val="21"/>
                <w:szCs w:val="21"/>
                <w14:textFill>
                  <w14:solidFill>
                    <w14:schemeClr w14:val="tx1"/>
                  </w14:solidFill>
                </w14:textFill>
              </w:rPr>
            </w:pPr>
          </w:p>
        </w:tc>
        <w:tc>
          <w:tcPr>
            <w:tcW w:w="2040" w:type="dxa"/>
            <w:shd w:val="clear" w:color="auto" w:fill="FFFFFF"/>
            <w:tcMar>
              <w:top w:w="0" w:type="dxa"/>
              <w:left w:w="108" w:type="dxa"/>
              <w:bottom w:w="0" w:type="dxa"/>
              <w:right w:w="108" w:type="dxa"/>
            </w:tcMar>
            <w:vAlign w:val="center"/>
          </w:tcPr>
          <w:p w14:paraId="528300C1">
            <w:pPr>
              <w:widowControl/>
              <w:jc w:val="center"/>
              <w:textAlignment w:val="baseline"/>
              <w:rPr>
                <w:rFonts w:hint="eastAsia" w:ascii="inherit" w:hAnsi="inherit" w:eastAsia="微软雅黑" w:cs="宋体"/>
                <w:color w:val="000000" w:themeColor="text1"/>
                <w:kern w:val="0"/>
                <w:sz w:val="21"/>
                <w:szCs w:val="21"/>
                <w14:textFill>
                  <w14:solidFill>
                    <w14:schemeClr w14:val="tx1"/>
                  </w14:solidFill>
                </w14:textFill>
              </w:rPr>
            </w:pPr>
          </w:p>
        </w:tc>
        <w:tc>
          <w:tcPr>
            <w:tcW w:w="2766" w:type="dxa"/>
            <w:vMerge w:val="continue"/>
            <w:vAlign w:val="center"/>
          </w:tcPr>
          <w:p w14:paraId="06C0CB6D">
            <w:pPr>
              <w:widowControl/>
              <w:jc w:val="left"/>
              <w:rPr>
                <w:rFonts w:hint="eastAsia" w:ascii="宋体" w:hAnsi="宋体"/>
                <w:color w:val="000000" w:themeColor="text1"/>
                <w:kern w:val="0"/>
                <w:sz w:val="21"/>
                <w:szCs w:val="21"/>
                <w14:textFill>
                  <w14:solidFill>
                    <w14:schemeClr w14:val="tx1"/>
                  </w14:solidFill>
                </w14:textFill>
              </w:rPr>
            </w:pPr>
          </w:p>
        </w:tc>
      </w:tr>
    </w:tbl>
    <w:p w14:paraId="5C754F78">
      <w:pPr>
        <w:widowControl/>
        <w:shd w:val="clear" w:color="auto" w:fill="FFFFFF"/>
        <w:textAlignment w:val="baseline"/>
        <w:rPr>
          <w:rFonts w:hint="eastAsia" w:ascii="宋体" w:hAnsi="宋体"/>
          <w:color w:val="000000" w:themeColor="text1"/>
          <w:kern w:val="0"/>
          <w14:textFill>
            <w14:solidFill>
              <w14:schemeClr w14:val="tx1"/>
            </w14:solidFill>
          </w14:textFill>
        </w:rPr>
      </w:pPr>
      <w:r>
        <w:rPr>
          <w:rFonts w:hint="eastAsia" w:ascii="宋体" w:hAnsi="宋体"/>
          <w:color w:val="000000" w:themeColor="text1"/>
          <w14:textFill>
            <w14:solidFill>
              <w14:schemeClr w14:val="tx1"/>
            </w14:solidFill>
          </w14:textFill>
        </w:rPr>
        <w:t>4.7</w:t>
      </w:r>
      <w:r>
        <w:rPr>
          <w:rFonts w:hint="eastAsia" w:ascii="宋体" w:hAnsi="宋体"/>
          <w:color w:val="000000" w:themeColor="text1"/>
          <w:kern w:val="0"/>
          <w14:textFill>
            <w14:solidFill>
              <w14:schemeClr w14:val="tx1"/>
            </w14:solidFill>
          </w14:textFill>
        </w:rPr>
        <w:t xml:space="preserve">参与实施政府采购环境标志产品认证机构名录 </w:t>
      </w:r>
    </w:p>
    <w:tbl>
      <w:tblPr>
        <w:tblStyle w:val="49"/>
        <w:tblW w:w="921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30" w:type="dxa"/>
          <w:left w:w="30" w:type="dxa"/>
          <w:bottom w:w="30" w:type="dxa"/>
          <w:right w:w="30" w:type="dxa"/>
        </w:tblCellMar>
      </w:tblPr>
      <w:tblGrid>
        <w:gridCol w:w="720"/>
        <w:gridCol w:w="2363"/>
        <w:gridCol w:w="6132"/>
      </w:tblGrid>
      <w:tr w14:paraId="562B68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567" w:hRule="atLeast"/>
          <w:jc w:val="center"/>
        </w:trPr>
        <w:tc>
          <w:tcPr>
            <w:tcW w:w="720" w:type="dxa"/>
            <w:shd w:val="clear" w:color="auto" w:fill="FFFFFF"/>
            <w:tcMar>
              <w:top w:w="0" w:type="dxa"/>
              <w:left w:w="108" w:type="dxa"/>
              <w:bottom w:w="0" w:type="dxa"/>
              <w:right w:w="108" w:type="dxa"/>
            </w:tcMar>
            <w:vAlign w:val="center"/>
          </w:tcPr>
          <w:p w14:paraId="1B76982C">
            <w:pPr>
              <w:widowControl/>
              <w:spacing w:line="240" w:lineRule="atLeast"/>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序号</w:t>
            </w:r>
          </w:p>
        </w:tc>
        <w:tc>
          <w:tcPr>
            <w:tcW w:w="2363" w:type="dxa"/>
            <w:shd w:val="clear" w:color="auto" w:fill="FFFFFF"/>
            <w:tcMar>
              <w:top w:w="0" w:type="dxa"/>
              <w:left w:w="108" w:type="dxa"/>
              <w:bottom w:w="0" w:type="dxa"/>
              <w:right w:w="108" w:type="dxa"/>
            </w:tcMar>
            <w:vAlign w:val="center"/>
          </w:tcPr>
          <w:p w14:paraId="2FB880D7">
            <w:pPr>
              <w:widowControl/>
              <w:spacing w:line="240" w:lineRule="atLeast"/>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目录</w:t>
            </w:r>
          </w:p>
        </w:tc>
        <w:tc>
          <w:tcPr>
            <w:tcW w:w="6132" w:type="dxa"/>
            <w:shd w:val="clear" w:color="auto" w:fill="FFFFFF"/>
            <w:tcMar>
              <w:top w:w="0" w:type="dxa"/>
              <w:left w:w="108" w:type="dxa"/>
              <w:bottom w:w="0" w:type="dxa"/>
              <w:right w:w="108" w:type="dxa"/>
            </w:tcMar>
            <w:vAlign w:val="center"/>
          </w:tcPr>
          <w:p w14:paraId="54337C11">
            <w:pPr>
              <w:widowControl/>
              <w:spacing w:line="240" w:lineRule="atLeast"/>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认证机构名录</w:t>
            </w:r>
          </w:p>
        </w:tc>
      </w:tr>
      <w:tr w14:paraId="035674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861" w:hRule="atLeast"/>
          <w:jc w:val="center"/>
        </w:trPr>
        <w:tc>
          <w:tcPr>
            <w:tcW w:w="720" w:type="dxa"/>
            <w:shd w:val="clear" w:color="auto" w:fill="FFFFFF"/>
            <w:tcMar>
              <w:top w:w="0" w:type="dxa"/>
              <w:left w:w="108" w:type="dxa"/>
              <w:bottom w:w="0" w:type="dxa"/>
              <w:right w:w="108" w:type="dxa"/>
            </w:tcMar>
            <w:vAlign w:val="center"/>
          </w:tcPr>
          <w:p w14:paraId="5A4F05CF">
            <w:pPr>
              <w:widowControl/>
              <w:spacing w:line="240" w:lineRule="atLeast"/>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1</w:t>
            </w:r>
          </w:p>
        </w:tc>
        <w:tc>
          <w:tcPr>
            <w:tcW w:w="2363" w:type="dxa"/>
            <w:shd w:val="clear" w:color="auto" w:fill="FFFFFF"/>
            <w:tcMar>
              <w:top w:w="0" w:type="dxa"/>
              <w:left w:w="108" w:type="dxa"/>
              <w:bottom w:w="0" w:type="dxa"/>
              <w:right w:w="108" w:type="dxa"/>
            </w:tcMar>
            <w:vAlign w:val="center"/>
          </w:tcPr>
          <w:p w14:paraId="249EAA1F">
            <w:pPr>
              <w:widowControl/>
              <w:spacing w:line="240" w:lineRule="atLeast"/>
              <w:jc w:val="center"/>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环境标志产品</w:t>
            </w:r>
          </w:p>
        </w:tc>
        <w:tc>
          <w:tcPr>
            <w:tcW w:w="6132" w:type="dxa"/>
            <w:shd w:val="clear" w:color="auto" w:fill="FFFFFF"/>
            <w:tcMar>
              <w:top w:w="0" w:type="dxa"/>
              <w:left w:w="108" w:type="dxa"/>
              <w:bottom w:w="0" w:type="dxa"/>
              <w:right w:w="108" w:type="dxa"/>
            </w:tcMar>
            <w:vAlign w:val="center"/>
          </w:tcPr>
          <w:p w14:paraId="75F12B85">
            <w:pPr>
              <w:widowControl/>
              <w:spacing w:line="240" w:lineRule="atLeast"/>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中环联合（北京）认证中心有限公司</w:t>
            </w:r>
          </w:p>
          <w:p w14:paraId="401F795D">
            <w:pPr>
              <w:widowControl/>
              <w:spacing w:line="240" w:lineRule="atLeast"/>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中标合信（北京）认证有限公司</w:t>
            </w:r>
          </w:p>
          <w:p w14:paraId="127FBBEE">
            <w:pPr>
              <w:widowControl/>
              <w:spacing w:line="240" w:lineRule="atLeast"/>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中环协（北京）认证中心</w:t>
            </w:r>
          </w:p>
          <w:p w14:paraId="49595674">
            <w:pPr>
              <w:widowControl/>
              <w:spacing w:line="240" w:lineRule="atLeast"/>
              <w:jc w:val="left"/>
              <w:textAlignment w:val="baseline"/>
              <w:rPr>
                <w:rFonts w:hint="eastAsia" w:ascii="宋体" w:hAnsi="宋体"/>
                <w:color w:val="000000" w:themeColor="text1"/>
                <w:kern w:val="0"/>
                <w:sz w:val="21"/>
                <w:szCs w:val="2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天津华诚认证有限公司</w:t>
            </w:r>
          </w:p>
        </w:tc>
      </w:tr>
    </w:tbl>
    <w:p w14:paraId="38CB1E60">
      <w:pPr>
        <w:rPr>
          <w:rFonts w:hint="eastAsia" w:ascii="黑体" w:hAnsi="黑体" w:eastAsia="黑体"/>
          <w:kern w:val="2"/>
          <w:szCs w:val="36"/>
        </w:rPr>
      </w:pPr>
      <w:bookmarkStart w:id="501" w:name="_Toc216365896"/>
      <w:r>
        <w:rPr>
          <w:rFonts w:hint="eastAsia" w:ascii="黑体" w:hAnsi="黑体" w:eastAsia="黑体"/>
          <w:kern w:val="2"/>
          <w:szCs w:val="36"/>
        </w:rPr>
        <w:br w:type="page"/>
      </w:r>
    </w:p>
    <w:p w14:paraId="55B3060A">
      <w:pPr>
        <w:pStyle w:val="2"/>
        <w:spacing w:line="450" w:lineRule="exact"/>
        <w:rPr>
          <w:rFonts w:hint="eastAsia" w:eastAsia="黑体" w:asciiTheme="minorEastAsia" w:hAnsiTheme="minorEastAsia"/>
        </w:rPr>
      </w:pPr>
      <w:r>
        <w:rPr>
          <w:rFonts w:hint="eastAsia" w:ascii="黑体" w:hAnsi="黑体" w:eastAsia="黑体"/>
          <w:kern w:val="2"/>
          <w:szCs w:val="36"/>
        </w:rPr>
        <w:t>第六章</w:t>
      </w:r>
      <w:r>
        <w:rPr>
          <w:rFonts w:ascii="黑体" w:hAnsi="黑体" w:eastAsia="黑体"/>
          <w:kern w:val="2"/>
          <w:szCs w:val="36"/>
        </w:rPr>
        <w:t xml:space="preserve"> </w:t>
      </w:r>
      <w:r>
        <w:rPr>
          <w:rFonts w:hint="eastAsia" w:ascii="黑体" w:hAnsi="黑体" w:eastAsia="黑体"/>
          <w:kern w:val="2"/>
          <w:szCs w:val="36"/>
        </w:rPr>
        <w:t>合同文本</w:t>
      </w:r>
      <w:bookmarkEnd w:id="501"/>
    </w:p>
    <w:p w14:paraId="4FFB867F">
      <w:pPr>
        <w:rPr>
          <w:rFonts w:hint="eastAsia" w:ascii="宋体" w:hAnsi="宋体"/>
          <w:b/>
          <w:bCs/>
        </w:rPr>
      </w:pPr>
      <w:bookmarkStart w:id="502" w:name="_Toc2176_WPSOffice_Level2"/>
    </w:p>
    <w:p w14:paraId="7F63A04E">
      <w:pPr>
        <w:rPr>
          <w:rFonts w:hint="eastAsia" w:ascii="宋体" w:hAnsi="宋体"/>
          <w:b/>
          <w:bCs/>
        </w:rPr>
      </w:pPr>
    </w:p>
    <w:p w14:paraId="2C09DF4D">
      <w:pPr>
        <w:rPr>
          <w:rFonts w:hint="eastAsia" w:ascii="宋体" w:hAnsi="宋体"/>
          <w:b/>
          <w:bCs/>
        </w:rPr>
      </w:pPr>
    </w:p>
    <w:p w14:paraId="11C85655">
      <w:pPr>
        <w:rPr>
          <w:rFonts w:hint="eastAsia" w:ascii="宋体" w:hAnsi="宋体"/>
          <w:b/>
          <w:bCs/>
        </w:rPr>
      </w:pPr>
    </w:p>
    <w:p w14:paraId="4DA4A7AF">
      <w:pPr>
        <w:rPr>
          <w:rFonts w:hint="eastAsia" w:ascii="宋体" w:hAnsi="宋体"/>
          <w:b/>
          <w:bCs/>
        </w:rPr>
      </w:pPr>
    </w:p>
    <w:p w14:paraId="40C1D63E">
      <w:pPr>
        <w:rPr>
          <w:rFonts w:hint="eastAsia" w:ascii="宋体" w:hAnsi="宋体"/>
          <w:b/>
          <w:bCs/>
        </w:rPr>
      </w:pPr>
    </w:p>
    <w:p w14:paraId="6744D10D">
      <w:pPr>
        <w:rPr>
          <w:rFonts w:hint="eastAsia" w:ascii="宋体" w:hAnsi="宋体"/>
          <w:b/>
          <w:bCs/>
        </w:rPr>
      </w:pPr>
    </w:p>
    <w:p w14:paraId="5614D955">
      <w:pPr>
        <w:jc w:val="center"/>
        <w:rPr>
          <w:rFonts w:hint="eastAsia" w:ascii="宋体" w:hAnsi="宋体"/>
          <w:b/>
          <w:bCs/>
          <w:sz w:val="84"/>
          <w:szCs w:val="84"/>
        </w:rPr>
      </w:pPr>
      <w:r>
        <w:rPr>
          <w:rFonts w:hint="eastAsia" w:ascii="宋体" w:hAnsi="宋体"/>
          <w:b/>
          <w:bCs/>
          <w:sz w:val="84"/>
          <w:szCs w:val="84"/>
        </w:rPr>
        <w:t>政府采购合同</w:t>
      </w:r>
    </w:p>
    <w:p w14:paraId="78E26426">
      <w:pPr>
        <w:rPr>
          <w:rFonts w:hint="eastAsia" w:ascii="宋体" w:hAnsi="宋体"/>
          <w:b/>
          <w:bCs/>
        </w:rPr>
      </w:pPr>
      <w:r>
        <w:rPr>
          <w:rFonts w:hint="eastAsia" w:ascii="宋体" w:hAnsi="宋体"/>
          <w:b/>
          <w:bCs/>
        </w:rPr>
        <w:t xml:space="preserve"> </w:t>
      </w:r>
    </w:p>
    <w:p w14:paraId="2028F094">
      <w:pPr>
        <w:rPr>
          <w:rFonts w:hint="eastAsia" w:ascii="宋体" w:hAnsi="宋体"/>
          <w:b/>
          <w:bCs/>
        </w:rPr>
      </w:pPr>
      <w:r>
        <w:rPr>
          <w:rFonts w:hint="eastAsia" w:ascii="宋体" w:hAnsi="宋体"/>
          <w:b/>
          <w:bCs/>
        </w:rPr>
        <w:t xml:space="preserve"> </w:t>
      </w:r>
    </w:p>
    <w:p w14:paraId="5DA23176">
      <w:pPr>
        <w:rPr>
          <w:rFonts w:hint="eastAsia" w:ascii="宋体" w:hAnsi="宋体"/>
          <w:b/>
          <w:bCs/>
        </w:rPr>
      </w:pPr>
      <w:r>
        <w:rPr>
          <w:rFonts w:hint="eastAsia" w:ascii="宋体" w:hAnsi="宋体"/>
          <w:b/>
          <w:bCs/>
        </w:rPr>
        <w:t xml:space="preserve"> </w:t>
      </w:r>
    </w:p>
    <w:p w14:paraId="32505196">
      <w:pPr>
        <w:rPr>
          <w:rFonts w:hint="eastAsia" w:ascii="宋体" w:hAnsi="宋体"/>
          <w:b/>
          <w:bCs/>
        </w:rPr>
      </w:pPr>
      <w:r>
        <w:rPr>
          <w:rFonts w:hint="eastAsia" w:ascii="宋体" w:hAnsi="宋体"/>
          <w:b/>
          <w:bCs/>
        </w:rPr>
        <w:t xml:space="preserve"> </w:t>
      </w:r>
    </w:p>
    <w:p w14:paraId="4E56B98A">
      <w:pPr>
        <w:rPr>
          <w:rFonts w:hint="eastAsia" w:ascii="宋体" w:hAnsi="宋体"/>
          <w:b/>
          <w:bCs/>
        </w:rPr>
      </w:pPr>
      <w:r>
        <w:rPr>
          <w:rFonts w:hint="eastAsia" w:ascii="宋体" w:hAnsi="宋体"/>
          <w:b/>
          <w:bCs/>
        </w:rPr>
        <w:t xml:space="preserve"> </w:t>
      </w:r>
    </w:p>
    <w:p w14:paraId="7018B8FF">
      <w:pPr>
        <w:rPr>
          <w:rFonts w:hint="eastAsia" w:ascii="宋体" w:hAnsi="宋体"/>
          <w:b/>
          <w:bCs/>
        </w:rPr>
      </w:pPr>
      <w:r>
        <w:rPr>
          <w:rFonts w:hint="eastAsia" w:ascii="宋体" w:hAnsi="宋体"/>
          <w:b/>
          <w:bCs/>
        </w:rPr>
        <w:t xml:space="preserve"> </w:t>
      </w:r>
    </w:p>
    <w:p w14:paraId="7F7E14FB">
      <w:pPr>
        <w:rPr>
          <w:rFonts w:hint="eastAsia" w:ascii="宋体" w:hAnsi="宋体"/>
          <w:b/>
          <w:bCs/>
        </w:rPr>
      </w:pPr>
      <w:r>
        <w:rPr>
          <w:rFonts w:hint="eastAsia" w:ascii="宋体" w:hAnsi="宋体"/>
          <w:b/>
          <w:bCs/>
        </w:rPr>
        <w:t xml:space="preserve"> </w:t>
      </w:r>
    </w:p>
    <w:p w14:paraId="22F7D540">
      <w:pPr>
        <w:rPr>
          <w:rFonts w:hint="eastAsia" w:ascii="宋体" w:hAnsi="宋体"/>
          <w:b/>
          <w:bCs/>
        </w:rPr>
      </w:pPr>
      <w:r>
        <w:rPr>
          <w:rFonts w:hint="eastAsia" w:ascii="宋体" w:hAnsi="宋体"/>
          <w:b/>
          <w:bCs/>
        </w:rPr>
        <w:t xml:space="preserve"> </w:t>
      </w:r>
    </w:p>
    <w:p w14:paraId="18BCB9AA">
      <w:pPr>
        <w:spacing w:line="600" w:lineRule="auto"/>
        <w:rPr>
          <w:rFonts w:hint="eastAsia" w:ascii="宋体" w:hAnsi="宋体" w:eastAsia="宋体"/>
          <w:b/>
          <w:bCs/>
          <w:sz w:val="28"/>
          <w:szCs w:val="28"/>
          <w:u w:val="single"/>
          <w:lang w:eastAsia="zh-CN"/>
        </w:rPr>
      </w:pPr>
      <w:r>
        <w:rPr>
          <w:rFonts w:hint="eastAsia" w:ascii="宋体" w:hAnsi="宋体"/>
          <w:b/>
          <w:bCs/>
          <w:sz w:val="28"/>
          <w:szCs w:val="28"/>
        </w:rPr>
        <w:t>项目名称：</w:t>
      </w:r>
      <w:r>
        <w:rPr>
          <w:rFonts w:hint="eastAsia" w:ascii="宋体" w:hAnsi="宋体"/>
          <w:b/>
          <w:bCs/>
          <w:sz w:val="28"/>
          <w:szCs w:val="28"/>
          <w:u w:val="single"/>
          <w:lang w:eastAsia="zh-CN"/>
        </w:rPr>
        <w:t>云南能源职业技术学院智能化矿井多源数据数智共享平台建设项目</w:t>
      </w:r>
    </w:p>
    <w:p w14:paraId="1B2B7831">
      <w:pPr>
        <w:spacing w:line="600" w:lineRule="auto"/>
        <w:rPr>
          <w:rFonts w:hint="eastAsia" w:ascii="宋体" w:hAnsi="宋体"/>
          <w:b/>
          <w:bCs/>
          <w:sz w:val="28"/>
          <w:szCs w:val="28"/>
        </w:rPr>
      </w:pPr>
      <w:r>
        <w:rPr>
          <w:rFonts w:hint="eastAsia" w:ascii="宋体" w:hAnsi="宋体"/>
          <w:b/>
          <w:bCs/>
          <w:sz w:val="28"/>
          <w:szCs w:val="28"/>
        </w:rPr>
        <w:t>合同编号：</w:t>
      </w:r>
      <w:r>
        <w:rPr>
          <w:rFonts w:hint="eastAsia" w:ascii="宋体" w:hAnsi="宋体"/>
          <w:b/>
          <w:bCs/>
          <w:sz w:val="28"/>
          <w:szCs w:val="28"/>
          <w:u w:val="single"/>
        </w:rPr>
        <w:t xml:space="preserve">                               </w:t>
      </w:r>
      <w:r>
        <w:rPr>
          <w:rFonts w:hint="eastAsia" w:ascii="宋体" w:hAnsi="宋体"/>
          <w:b/>
          <w:bCs/>
          <w:sz w:val="28"/>
          <w:szCs w:val="28"/>
        </w:rPr>
        <w:t>（系统编号）</w:t>
      </w:r>
    </w:p>
    <w:p w14:paraId="6DAEA393">
      <w:pPr>
        <w:spacing w:line="600" w:lineRule="auto"/>
        <w:ind w:firstLine="1405" w:firstLineChars="500"/>
        <w:rPr>
          <w:rFonts w:hint="eastAsia" w:ascii="宋体" w:hAnsi="宋体"/>
          <w:b/>
          <w:bCs/>
          <w:sz w:val="28"/>
          <w:szCs w:val="28"/>
        </w:rPr>
      </w:pPr>
      <w:r>
        <w:rPr>
          <w:rFonts w:hint="eastAsia" w:ascii="宋体" w:hAnsi="宋体"/>
          <w:b/>
          <w:bCs/>
          <w:sz w:val="28"/>
          <w:szCs w:val="28"/>
          <w:u w:val="single"/>
        </w:rPr>
        <w:t xml:space="preserve">                               </w:t>
      </w:r>
      <w:r>
        <w:rPr>
          <w:rFonts w:hint="eastAsia" w:ascii="宋体" w:hAnsi="宋体"/>
          <w:b/>
          <w:bCs/>
          <w:sz w:val="28"/>
          <w:szCs w:val="28"/>
        </w:rPr>
        <w:t>（自编号，如有）</w:t>
      </w:r>
    </w:p>
    <w:p w14:paraId="5FC62BF2">
      <w:pPr>
        <w:spacing w:line="480" w:lineRule="auto"/>
        <w:rPr>
          <w:rFonts w:hint="eastAsia" w:ascii="宋体" w:hAnsi="宋体"/>
          <w:b/>
          <w:bCs/>
          <w:sz w:val="28"/>
          <w:szCs w:val="28"/>
        </w:rPr>
      </w:pPr>
      <w:r>
        <w:rPr>
          <w:rFonts w:hint="eastAsia" w:ascii="宋体" w:hAnsi="宋体"/>
          <w:b/>
          <w:bCs/>
          <w:sz w:val="28"/>
          <w:szCs w:val="28"/>
        </w:rPr>
        <w:t xml:space="preserve"> </w:t>
      </w:r>
    </w:p>
    <w:p w14:paraId="5090D255">
      <w:pPr>
        <w:spacing w:line="480" w:lineRule="auto"/>
        <w:rPr>
          <w:rFonts w:hint="eastAsia" w:ascii="宋体" w:hAnsi="宋体"/>
          <w:b/>
          <w:bCs/>
          <w:sz w:val="28"/>
          <w:szCs w:val="28"/>
        </w:rPr>
      </w:pPr>
    </w:p>
    <w:p w14:paraId="5EE1E48A">
      <w:pPr>
        <w:spacing w:line="720" w:lineRule="auto"/>
        <w:rPr>
          <w:rFonts w:hint="eastAsia" w:ascii="宋体" w:hAnsi="宋体"/>
          <w:b/>
          <w:bCs/>
          <w:sz w:val="28"/>
          <w:szCs w:val="28"/>
          <w:u w:val="single"/>
        </w:rPr>
      </w:pPr>
      <w:r>
        <w:rPr>
          <w:rFonts w:hint="eastAsia" w:ascii="宋体" w:hAnsi="宋体"/>
          <w:b/>
          <w:bCs/>
          <w:sz w:val="28"/>
          <w:szCs w:val="28"/>
        </w:rPr>
        <w:t>甲     方：</w:t>
      </w:r>
      <w:r>
        <w:rPr>
          <w:rFonts w:hint="eastAsia" w:ascii="宋体" w:hAnsi="宋体"/>
          <w:b/>
          <w:bCs/>
          <w:sz w:val="28"/>
          <w:szCs w:val="28"/>
          <w:u w:val="single"/>
        </w:rPr>
        <w:t xml:space="preserve">  云南能源职业技术学院        </w:t>
      </w:r>
    </w:p>
    <w:p w14:paraId="1B095DEC">
      <w:pPr>
        <w:spacing w:line="720" w:lineRule="auto"/>
        <w:rPr>
          <w:rFonts w:hint="eastAsia" w:ascii="宋体" w:hAnsi="宋体"/>
          <w:b/>
          <w:bCs/>
          <w:sz w:val="28"/>
          <w:szCs w:val="28"/>
          <w:u w:val="single"/>
        </w:rPr>
      </w:pPr>
      <w:r>
        <w:rPr>
          <w:rFonts w:hint="eastAsia" w:ascii="宋体" w:hAnsi="宋体"/>
          <w:b/>
          <w:bCs/>
          <w:sz w:val="28"/>
          <w:szCs w:val="28"/>
        </w:rPr>
        <w:t>乙     方：</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p>
    <w:bookmarkEnd w:id="502"/>
    <w:p w14:paraId="5164EDC4">
      <w:pPr>
        <w:widowControl/>
        <w:jc w:val="left"/>
        <w:rPr>
          <w:rFonts w:hint="eastAsia" w:ascii="宋体" w:hAnsi="宋体" w:cs="宋体"/>
        </w:rPr>
      </w:pPr>
      <w:bookmarkStart w:id="503" w:name="_bookmark143"/>
      <w:bookmarkEnd w:id="503"/>
      <w:r>
        <w:rPr>
          <w:rFonts w:hint="eastAsia" w:ascii="宋体" w:hAnsi="宋体" w:cs="宋体"/>
        </w:rPr>
        <w:br w:type="page"/>
      </w:r>
    </w:p>
    <w:p w14:paraId="0D03DEC4">
      <w:pPr>
        <w:keepNext w:val="0"/>
        <w:keepLines w:val="0"/>
        <w:widowControl/>
        <w:suppressLineNumbers w:val="0"/>
        <w:spacing w:line="360" w:lineRule="auto"/>
        <w:jc w:val="center"/>
        <w:rPr>
          <w:rFonts w:hint="eastAsia" w:ascii="宋体" w:hAnsi="宋体" w:eastAsia="宋体" w:cs="宋体"/>
          <w:b/>
          <w:bCs/>
          <w:kern w:val="0"/>
          <w:sz w:val="44"/>
          <w:szCs w:val="44"/>
        </w:rPr>
      </w:pPr>
      <w:r>
        <w:rPr>
          <w:rFonts w:hint="eastAsia" w:ascii="黑体" w:hAnsi="黑体" w:eastAsia="黑体" w:cs="黑体"/>
          <w:b/>
          <w:bCs/>
          <w:kern w:val="0"/>
          <w:sz w:val="44"/>
          <w:szCs w:val="44"/>
          <w:lang w:val="en-US" w:eastAsia="zh-CN" w:bidi="ar"/>
        </w:rPr>
        <w:t>云南能源职业技术学院智能化矿井多源数据数智共享平台建设项目</w:t>
      </w:r>
      <w:r>
        <w:rPr>
          <w:rFonts w:hint="eastAsia" w:ascii="黑体" w:hAnsi="黑体" w:eastAsia="黑体" w:cs="黑体"/>
          <w:b/>
          <w:bCs/>
          <w:kern w:val="0"/>
          <w:sz w:val="44"/>
          <w:szCs w:val="44"/>
        </w:rPr>
        <w:t>合同书</w:t>
      </w:r>
    </w:p>
    <w:p w14:paraId="0279B7E0">
      <w:pPr>
        <w:widowControl/>
        <w:spacing w:line="240" w:lineRule="auto"/>
        <w:ind w:firstLine="0" w:firstLineChars="0"/>
        <w:jc w:val="center"/>
        <w:rPr>
          <w:rFonts w:hint="eastAsia" w:ascii="宋体" w:hAnsi="宋体" w:eastAsia="宋体" w:cs="宋体"/>
          <w:b/>
          <w:bCs/>
          <w:kern w:val="0"/>
          <w:sz w:val="44"/>
          <w:szCs w:val="44"/>
        </w:rPr>
      </w:pPr>
    </w:p>
    <w:p w14:paraId="209D362D">
      <w:pPr>
        <w:widowControl/>
        <w:spacing w:line="36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 xml:space="preserve">甲方：云南能源职业技术学院 </w:t>
      </w:r>
    </w:p>
    <w:p w14:paraId="27B95697">
      <w:pPr>
        <w:widowControl/>
        <w:spacing w:line="36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统一社会信用代码：125300004317175561</w:t>
      </w:r>
    </w:p>
    <w:p w14:paraId="3E5A792E">
      <w:pPr>
        <w:widowControl/>
        <w:spacing w:line="36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法人代表：陈智刚</w:t>
      </w:r>
    </w:p>
    <w:p w14:paraId="60FA0B89">
      <w:pPr>
        <w:widowControl/>
        <w:spacing w:line="360" w:lineRule="auto"/>
        <w:ind w:firstLine="640"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委托代理人：</w:t>
      </w:r>
    </w:p>
    <w:p w14:paraId="7EC9E901">
      <w:pPr>
        <w:widowControl/>
        <w:spacing w:line="360" w:lineRule="auto"/>
        <w:ind w:firstLine="640"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电  话：</w:t>
      </w:r>
    </w:p>
    <w:p w14:paraId="7C4F3D00">
      <w:pPr>
        <w:widowControl/>
        <w:spacing w:line="36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住  所：曲靖市职教中心文苑北路8号</w:t>
      </w:r>
    </w:p>
    <w:p w14:paraId="1B9B95F0">
      <w:pPr>
        <w:widowControl/>
        <w:spacing w:line="360" w:lineRule="auto"/>
        <w:ind w:firstLine="640" w:firstLineChars="200"/>
        <w:rPr>
          <w:rFonts w:hint="eastAsia" w:ascii="宋体" w:hAnsi="宋体" w:eastAsia="宋体" w:cs="宋体"/>
          <w:sz w:val="32"/>
          <w:szCs w:val="32"/>
        </w:rPr>
      </w:pPr>
    </w:p>
    <w:p w14:paraId="5E7CC84B">
      <w:pPr>
        <w:widowControl/>
        <w:spacing w:line="360" w:lineRule="auto"/>
        <w:ind w:firstLine="640" w:firstLineChars="200"/>
        <w:rPr>
          <w:rFonts w:hint="eastAsia" w:ascii="宋体" w:hAnsi="宋体" w:eastAsia="宋体" w:cs="宋体"/>
          <w:sz w:val="32"/>
          <w:szCs w:val="32"/>
        </w:rPr>
      </w:pPr>
    </w:p>
    <w:p w14:paraId="0A25A03B">
      <w:pPr>
        <w:widowControl/>
        <w:spacing w:line="360" w:lineRule="auto"/>
        <w:ind w:firstLine="640" w:firstLineChars="200"/>
        <w:rPr>
          <w:rFonts w:hint="eastAsia" w:ascii="宋体" w:hAnsi="宋体" w:eastAsia="宋体" w:cs="宋体"/>
          <w:sz w:val="32"/>
          <w:szCs w:val="32"/>
        </w:rPr>
      </w:pPr>
    </w:p>
    <w:p w14:paraId="10D7B961">
      <w:pPr>
        <w:spacing w:line="360" w:lineRule="auto"/>
        <w:ind w:firstLine="640" w:firstLineChars="200"/>
        <w:rPr>
          <w:rFonts w:hint="eastAsia" w:ascii="宋体" w:hAnsi="宋体" w:eastAsia="宋体" w:cs="宋体"/>
          <w:sz w:val="32"/>
          <w:szCs w:val="32"/>
          <w:lang w:eastAsia="zh-CN"/>
        </w:rPr>
      </w:pPr>
      <w:r>
        <w:rPr>
          <w:rFonts w:hint="eastAsia" w:ascii="宋体" w:hAnsi="宋体" w:eastAsia="宋体" w:cs="宋体"/>
          <w:sz w:val="32"/>
          <w:szCs w:val="32"/>
        </w:rPr>
        <w:t>乙方：</w:t>
      </w:r>
    </w:p>
    <w:p w14:paraId="466ED126">
      <w:pPr>
        <w:spacing w:line="360" w:lineRule="auto"/>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rPr>
        <w:t>统一社会信用代码：</w:t>
      </w:r>
      <w:r>
        <w:rPr>
          <w:rFonts w:hint="eastAsia" w:ascii="宋体" w:hAnsi="宋体" w:eastAsia="宋体" w:cs="宋体"/>
          <w:sz w:val="32"/>
          <w:szCs w:val="32"/>
          <w:lang w:val="en-US" w:eastAsia="zh-CN"/>
        </w:rPr>
        <w:t xml:space="preserve"> </w:t>
      </w:r>
    </w:p>
    <w:p w14:paraId="74B03112">
      <w:pPr>
        <w:widowControl/>
        <w:spacing w:line="360" w:lineRule="auto"/>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rPr>
        <w:t>法人代表：</w:t>
      </w:r>
    </w:p>
    <w:p w14:paraId="1066A8B9">
      <w:pPr>
        <w:widowControl/>
        <w:spacing w:line="360" w:lineRule="auto"/>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rPr>
        <w:t>委托代理人：</w:t>
      </w:r>
    </w:p>
    <w:p w14:paraId="13222C38">
      <w:pPr>
        <w:widowControl/>
        <w:spacing w:line="360" w:lineRule="auto"/>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rPr>
        <w:t>电  话：</w:t>
      </w:r>
    </w:p>
    <w:p w14:paraId="2AB91E9D">
      <w:pPr>
        <w:widowControl/>
        <w:spacing w:line="360" w:lineRule="auto"/>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rPr>
        <w:t>住  所：</w:t>
      </w:r>
    </w:p>
    <w:p w14:paraId="5A03DD50">
      <w:pPr>
        <w:adjustRightInd w:val="0"/>
        <w:spacing w:line="360" w:lineRule="auto"/>
        <w:ind w:firstLine="640" w:firstLineChars="200"/>
        <w:contextualSpacing/>
        <w:rPr>
          <w:rFonts w:hint="eastAsia" w:ascii="宋体" w:hAnsi="宋体" w:eastAsia="宋体" w:cs="宋体"/>
          <w:sz w:val="32"/>
          <w:szCs w:val="32"/>
          <w:lang w:bidi="ar"/>
        </w:rPr>
      </w:pPr>
    </w:p>
    <w:p w14:paraId="2D7D9F63">
      <w:pPr>
        <w:adjustRightInd w:val="0"/>
        <w:spacing w:line="360" w:lineRule="auto"/>
        <w:ind w:firstLine="560" w:firstLineChars="200"/>
        <w:contextualSpacing/>
        <w:rPr>
          <w:rFonts w:hint="eastAsia" w:ascii="宋体" w:hAnsi="宋体" w:eastAsia="宋体" w:cs="宋体"/>
          <w:sz w:val="28"/>
          <w:szCs w:val="28"/>
          <w:lang w:bidi="ar"/>
        </w:rPr>
      </w:pPr>
    </w:p>
    <w:p w14:paraId="15789322">
      <w:pPr>
        <w:adjustRightInd w:val="0"/>
        <w:spacing w:line="360" w:lineRule="auto"/>
        <w:ind w:firstLine="560" w:firstLineChars="200"/>
        <w:contextualSpacing/>
        <w:rPr>
          <w:rFonts w:hint="eastAsia" w:ascii="宋体" w:hAnsi="宋体" w:eastAsia="宋体" w:cs="宋体"/>
          <w:sz w:val="28"/>
          <w:szCs w:val="28"/>
          <w:lang w:bidi="ar"/>
        </w:rPr>
      </w:pPr>
    </w:p>
    <w:p w14:paraId="6DF77450">
      <w:pPr>
        <w:rPr>
          <w:rFonts w:hint="eastAsia" w:ascii="宋体" w:hAnsi="宋体" w:eastAsia="宋体" w:cs="宋体"/>
          <w:sz w:val="28"/>
          <w:szCs w:val="28"/>
          <w:lang w:bidi="ar"/>
        </w:rPr>
      </w:pPr>
      <w:r>
        <w:rPr>
          <w:rFonts w:hint="eastAsia" w:ascii="宋体" w:hAnsi="宋体" w:eastAsia="宋体" w:cs="宋体"/>
          <w:sz w:val="28"/>
          <w:szCs w:val="28"/>
          <w:lang w:bidi="ar"/>
        </w:rPr>
        <w:br w:type="page"/>
      </w:r>
    </w:p>
    <w:p w14:paraId="3DD26874">
      <w:pPr>
        <w:keepLines w:val="0"/>
        <w:pageBreakBefore w:val="0"/>
        <w:widowControl/>
        <w:kinsoku/>
        <w:wordWrap/>
        <w:overflowPunct/>
        <w:topLinePunct w:val="0"/>
        <w:autoSpaceDE/>
        <w:autoSpaceDN/>
        <w:bidi w:val="0"/>
        <w:adjustRightInd w:val="0"/>
        <w:snapToGrid/>
        <w:spacing w:line="360" w:lineRule="auto"/>
        <w:ind w:firstLine="480" w:firstLineChars="200"/>
        <w:contextualSpacing/>
        <w:jc w:val="both"/>
        <w:rPr>
          <w:rFonts w:hint="eastAsia" w:ascii="宋体" w:hAnsi="宋体" w:eastAsia="宋体" w:cs="宋体"/>
          <w:sz w:val="24"/>
          <w:szCs w:val="24"/>
        </w:rPr>
      </w:pPr>
      <w:r>
        <w:rPr>
          <w:rFonts w:hint="eastAsia" w:ascii="宋体" w:hAnsi="宋体" w:eastAsia="宋体" w:cs="宋体"/>
          <w:sz w:val="24"/>
          <w:szCs w:val="24"/>
          <w:lang w:bidi="ar"/>
        </w:rPr>
        <w:t>根据</w:t>
      </w:r>
      <w:r>
        <w:rPr>
          <w:rFonts w:hint="eastAsia" w:ascii="宋体" w:hAnsi="宋体" w:cs="宋体"/>
          <w:b w:val="0"/>
          <w:bCs w:val="0"/>
          <w:kern w:val="2"/>
          <w:sz w:val="24"/>
          <w:szCs w:val="24"/>
          <w:u w:val="single"/>
          <w:lang w:val="en-US" w:eastAsia="zh-CN" w:bidi="ar"/>
        </w:rPr>
        <w:t>云南能源职业技术学院智能化矿井多源数据数智共享平台建设项目</w:t>
      </w:r>
      <w:r>
        <w:rPr>
          <w:rFonts w:hint="eastAsia" w:ascii="宋体" w:hAnsi="宋体" w:eastAsia="宋体" w:cs="宋体"/>
          <w:sz w:val="24"/>
          <w:szCs w:val="24"/>
          <w:lang w:bidi="ar"/>
        </w:rPr>
        <w:t>的中标结果，乙方为本项目的中标人，依据《中华人民共和国政府采购法》、《中华人民共和国民法典》及其它有关法律、法规，甲方和乙方经过平等协商，在真实、充分地表达各自意愿以及诚实信用的基础上，就合同内容达成如下协议</w:t>
      </w:r>
      <w:r>
        <w:rPr>
          <w:rFonts w:hint="eastAsia" w:ascii="宋体" w:hAnsi="宋体" w:eastAsia="宋体" w:cs="宋体"/>
          <w:sz w:val="24"/>
          <w:szCs w:val="24"/>
        </w:rPr>
        <w:t>：</w:t>
      </w:r>
    </w:p>
    <w:p w14:paraId="05678C95">
      <w:pPr>
        <w:keepNext/>
        <w:keepLines w:val="0"/>
        <w:pageBreakBefore w:val="0"/>
        <w:kinsoku/>
        <w:wordWrap/>
        <w:overflowPunct/>
        <w:topLinePunct w:val="0"/>
        <w:autoSpaceDE/>
        <w:autoSpaceDN/>
        <w:bidi w:val="0"/>
        <w:adjustRightInd w:val="0"/>
        <w:snapToGrid/>
        <w:spacing w:line="360" w:lineRule="auto"/>
        <w:ind w:firstLine="562" w:firstLineChars="200"/>
        <w:textAlignment w:val="baseline"/>
        <w:outlineLvl w:val="1"/>
        <w:rPr>
          <w:rFonts w:hint="eastAsia" w:ascii="黑体" w:hAnsi="黑体" w:eastAsia="黑体" w:cs="黑体"/>
          <w:b/>
          <w:sz w:val="28"/>
          <w:szCs w:val="28"/>
        </w:rPr>
      </w:pPr>
      <w:bookmarkStart w:id="504" w:name="_Toc206751830"/>
      <w:bookmarkStart w:id="505" w:name="_Toc25676"/>
      <w:bookmarkStart w:id="506" w:name="_Toc19201"/>
      <w:bookmarkStart w:id="507" w:name="_Toc11286"/>
      <w:bookmarkStart w:id="508" w:name="_Toc26979"/>
      <w:bookmarkStart w:id="509" w:name="_Toc23258"/>
      <w:bookmarkStart w:id="510" w:name="_Toc207096494"/>
      <w:bookmarkStart w:id="511" w:name="_Toc5838"/>
      <w:r>
        <w:rPr>
          <w:rFonts w:hint="eastAsia" w:ascii="黑体" w:hAnsi="黑体" w:eastAsia="黑体" w:cs="黑体"/>
          <w:b/>
          <w:sz w:val="28"/>
          <w:szCs w:val="28"/>
        </w:rPr>
        <w:t>一、设备名称、计量单位、具体规格型号、数量</w:t>
      </w:r>
      <w:bookmarkEnd w:id="504"/>
      <w:bookmarkEnd w:id="505"/>
      <w:bookmarkEnd w:id="506"/>
      <w:bookmarkEnd w:id="507"/>
      <w:bookmarkEnd w:id="508"/>
      <w:bookmarkEnd w:id="509"/>
      <w:bookmarkEnd w:id="510"/>
      <w:bookmarkEnd w:id="511"/>
    </w:p>
    <w:tbl>
      <w:tblPr>
        <w:tblStyle w:val="49"/>
        <w:tblW w:w="9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
        <w:gridCol w:w="978"/>
        <w:gridCol w:w="3287"/>
        <w:gridCol w:w="991"/>
        <w:gridCol w:w="414"/>
        <w:gridCol w:w="552"/>
        <w:gridCol w:w="1356"/>
        <w:gridCol w:w="1257"/>
      </w:tblGrid>
      <w:tr w14:paraId="4533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436" w:type="dxa"/>
            <w:noWrap w:val="0"/>
            <w:vAlign w:val="center"/>
          </w:tcPr>
          <w:p w14:paraId="0D98F2A4">
            <w:pPr>
              <w:pStyle w:val="74"/>
              <w:ind w:firstLine="0" w:firstLineChars="0"/>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序号</w:t>
            </w:r>
          </w:p>
        </w:tc>
        <w:tc>
          <w:tcPr>
            <w:tcW w:w="978" w:type="dxa"/>
            <w:noWrap w:val="0"/>
            <w:vAlign w:val="center"/>
          </w:tcPr>
          <w:p w14:paraId="04E7ADEA">
            <w:pPr>
              <w:pStyle w:val="74"/>
              <w:ind w:firstLine="0" w:firstLineChars="0"/>
              <w:jc w:val="center"/>
              <w:rPr>
                <w:rFonts w:hint="eastAsia" w:ascii="宋体" w:hAnsi="宋体" w:eastAsia="宋体" w:cs="宋体"/>
                <w:b/>
                <w:bCs/>
                <w:kern w:val="0"/>
                <w:sz w:val="22"/>
                <w:szCs w:val="22"/>
                <w:lang w:eastAsia="zh-CN"/>
              </w:rPr>
            </w:pPr>
            <w:r>
              <w:rPr>
                <w:rFonts w:hint="eastAsia" w:ascii="宋体" w:hAnsi="宋体" w:cs="宋体"/>
                <w:b/>
                <w:bCs/>
                <w:kern w:val="0"/>
                <w:sz w:val="22"/>
                <w:szCs w:val="22"/>
                <w:lang w:val="en-US" w:eastAsia="zh-CN"/>
              </w:rPr>
              <w:t>产品</w:t>
            </w:r>
          </w:p>
          <w:p w14:paraId="763DE955">
            <w:pPr>
              <w:pStyle w:val="74"/>
              <w:ind w:firstLine="0" w:firstLineChars="0"/>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名称</w:t>
            </w:r>
          </w:p>
        </w:tc>
        <w:tc>
          <w:tcPr>
            <w:tcW w:w="3287" w:type="dxa"/>
            <w:noWrap w:val="0"/>
            <w:vAlign w:val="center"/>
          </w:tcPr>
          <w:p w14:paraId="5B578C12">
            <w:pPr>
              <w:pStyle w:val="74"/>
              <w:ind w:firstLine="0" w:firstLineChars="0"/>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品牌/规格型号</w:t>
            </w:r>
          </w:p>
        </w:tc>
        <w:tc>
          <w:tcPr>
            <w:tcW w:w="991" w:type="dxa"/>
            <w:noWrap w:val="0"/>
            <w:vAlign w:val="center"/>
          </w:tcPr>
          <w:p w14:paraId="1DC79468">
            <w:pPr>
              <w:pStyle w:val="74"/>
              <w:ind w:firstLine="0" w:firstLineChars="0"/>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技术规格参数</w:t>
            </w:r>
          </w:p>
        </w:tc>
        <w:tc>
          <w:tcPr>
            <w:tcW w:w="414" w:type="dxa"/>
            <w:noWrap w:val="0"/>
            <w:vAlign w:val="center"/>
          </w:tcPr>
          <w:p w14:paraId="3A9CC68C">
            <w:pPr>
              <w:pStyle w:val="74"/>
              <w:ind w:firstLine="0" w:firstLineChars="0"/>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单位</w:t>
            </w:r>
          </w:p>
        </w:tc>
        <w:tc>
          <w:tcPr>
            <w:tcW w:w="552" w:type="dxa"/>
            <w:noWrap w:val="0"/>
            <w:vAlign w:val="center"/>
          </w:tcPr>
          <w:p w14:paraId="33C44D78">
            <w:pPr>
              <w:pStyle w:val="74"/>
              <w:ind w:firstLine="0" w:firstLineChars="0"/>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数量</w:t>
            </w:r>
          </w:p>
        </w:tc>
        <w:tc>
          <w:tcPr>
            <w:tcW w:w="1356" w:type="dxa"/>
            <w:noWrap w:val="0"/>
            <w:vAlign w:val="center"/>
          </w:tcPr>
          <w:p w14:paraId="1166D958">
            <w:pPr>
              <w:pStyle w:val="74"/>
              <w:ind w:firstLine="0" w:firstLineChars="0"/>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单价（元）</w:t>
            </w:r>
          </w:p>
        </w:tc>
        <w:tc>
          <w:tcPr>
            <w:tcW w:w="1257" w:type="dxa"/>
            <w:noWrap w:val="0"/>
            <w:vAlign w:val="center"/>
          </w:tcPr>
          <w:p w14:paraId="38F89053">
            <w:pPr>
              <w:pStyle w:val="74"/>
              <w:ind w:firstLine="0" w:firstLineChars="0"/>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总价（元）</w:t>
            </w:r>
          </w:p>
        </w:tc>
      </w:tr>
      <w:tr w14:paraId="07223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6" w:type="dxa"/>
            <w:noWrap w:val="0"/>
            <w:vAlign w:val="center"/>
          </w:tcPr>
          <w:p w14:paraId="1086A3D4">
            <w:pPr>
              <w:pStyle w:val="74"/>
              <w:ind w:firstLine="0" w:firstLineChars="0"/>
              <w:jc w:val="center"/>
              <w:rPr>
                <w:rFonts w:hint="eastAsia" w:ascii="宋体" w:hAnsi="宋体" w:eastAsia="宋体" w:cs="宋体"/>
                <w:kern w:val="0"/>
                <w:sz w:val="22"/>
                <w:szCs w:val="22"/>
              </w:rPr>
            </w:pPr>
          </w:p>
        </w:tc>
        <w:tc>
          <w:tcPr>
            <w:tcW w:w="978" w:type="dxa"/>
            <w:noWrap w:val="0"/>
            <w:vAlign w:val="center"/>
          </w:tcPr>
          <w:p w14:paraId="16D9BC53">
            <w:pPr>
              <w:jc w:val="center"/>
              <w:rPr>
                <w:rFonts w:hint="eastAsia" w:ascii="宋体" w:hAnsi="宋体" w:eastAsia="宋体" w:cs="宋体"/>
                <w:sz w:val="22"/>
                <w:szCs w:val="22"/>
              </w:rPr>
            </w:pPr>
          </w:p>
        </w:tc>
        <w:tc>
          <w:tcPr>
            <w:tcW w:w="3287" w:type="dxa"/>
            <w:noWrap w:val="0"/>
            <w:vAlign w:val="center"/>
          </w:tcPr>
          <w:p w14:paraId="6F8696BE">
            <w:pPr>
              <w:widowControl/>
              <w:jc w:val="center"/>
              <w:rPr>
                <w:rFonts w:hint="eastAsia" w:ascii="宋体" w:hAnsi="宋体" w:eastAsia="宋体" w:cs="宋体"/>
                <w:sz w:val="22"/>
                <w:szCs w:val="22"/>
              </w:rPr>
            </w:pPr>
          </w:p>
        </w:tc>
        <w:tc>
          <w:tcPr>
            <w:tcW w:w="991" w:type="dxa"/>
            <w:noWrap w:val="0"/>
            <w:vAlign w:val="center"/>
          </w:tcPr>
          <w:p w14:paraId="10FDEF0C">
            <w:pPr>
              <w:pStyle w:val="74"/>
              <w:ind w:firstLine="0" w:firstLineChars="0"/>
              <w:jc w:val="center"/>
              <w:rPr>
                <w:rFonts w:hint="eastAsia" w:ascii="宋体" w:hAnsi="宋体" w:eastAsia="宋体" w:cs="宋体"/>
                <w:kern w:val="0"/>
                <w:sz w:val="22"/>
                <w:szCs w:val="22"/>
              </w:rPr>
            </w:pPr>
          </w:p>
        </w:tc>
        <w:tc>
          <w:tcPr>
            <w:tcW w:w="414" w:type="dxa"/>
            <w:noWrap w:val="0"/>
            <w:vAlign w:val="center"/>
          </w:tcPr>
          <w:p w14:paraId="644F95FE">
            <w:pPr>
              <w:widowControl/>
              <w:jc w:val="center"/>
              <w:rPr>
                <w:rFonts w:hint="eastAsia" w:ascii="宋体" w:hAnsi="宋体" w:eastAsia="宋体" w:cs="宋体"/>
                <w:sz w:val="22"/>
                <w:szCs w:val="22"/>
              </w:rPr>
            </w:pPr>
          </w:p>
        </w:tc>
        <w:tc>
          <w:tcPr>
            <w:tcW w:w="552" w:type="dxa"/>
            <w:noWrap w:val="0"/>
            <w:vAlign w:val="center"/>
          </w:tcPr>
          <w:p w14:paraId="391D4791">
            <w:pPr>
              <w:jc w:val="center"/>
              <w:rPr>
                <w:rFonts w:hint="eastAsia" w:ascii="宋体" w:hAnsi="宋体" w:eastAsia="宋体" w:cs="宋体"/>
                <w:sz w:val="22"/>
                <w:szCs w:val="22"/>
              </w:rPr>
            </w:pPr>
          </w:p>
        </w:tc>
        <w:tc>
          <w:tcPr>
            <w:tcW w:w="1356" w:type="dxa"/>
            <w:noWrap w:val="0"/>
            <w:vAlign w:val="center"/>
          </w:tcPr>
          <w:p w14:paraId="108C08F9">
            <w:pPr>
              <w:widowControl/>
              <w:jc w:val="center"/>
              <w:rPr>
                <w:rFonts w:hint="eastAsia" w:ascii="宋体" w:hAnsi="宋体" w:eastAsia="宋体" w:cs="宋体"/>
                <w:sz w:val="22"/>
                <w:szCs w:val="22"/>
              </w:rPr>
            </w:pPr>
          </w:p>
        </w:tc>
        <w:tc>
          <w:tcPr>
            <w:tcW w:w="1257" w:type="dxa"/>
            <w:noWrap w:val="0"/>
            <w:vAlign w:val="center"/>
          </w:tcPr>
          <w:p w14:paraId="2E087B1D">
            <w:pPr>
              <w:widowControl/>
              <w:jc w:val="center"/>
              <w:rPr>
                <w:rFonts w:hint="eastAsia" w:ascii="宋体" w:hAnsi="宋体" w:eastAsia="宋体" w:cs="宋体"/>
                <w:sz w:val="22"/>
                <w:szCs w:val="22"/>
              </w:rPr>
            </w:pPr>
          </w:p>
        </w:tc>
      </w:tr>
      <w:tr w14:paraId="6C40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6" w:type="dxa"/>
            <w:noWrap w:val="0"/>
            <w:vAlign w:val="center"/>
          </w:tcPr>
          <w:p w14:paraId="2632A182">
            <w:pPr>
              <w:pStyle w:val="74"/>
              <w:ind w:firstLine="0" w:firstLineChars="0"/>
              <w:jc w:val="center"/>
              <w:rPr>
                <w:rFonts w:hint="eastAsia" w:ascii="宋体" w:hAnsi="宋体" w:eastAsia="宋体" w:cs="宋体"/>
                <w:kern w:val="0"/>
                <w:sz w:val="22"/>
                <w:szCs w:val="22"/>
              </w:rPr>
            </w:pPr>
          </w:p>
        </w:tc>
        <w:tc>
          <w:tcPr>
            <w:tcW w:w="978" w:type="dxa"/>
            <w:noWrap w:val="0"/>
            <w:vAlign w:val="center"/>
          </w:tcPr>
          <w:p w14:paraId="55DD5050">
            <w:pPr>
              <w:jc w:val="center"/>
              <w:rPr>
                <w:rFonts w:hint="eastAsia" w:ascii="宋体" w:hAnsi="宋体" w:eastAsia="宋体" w:cs="宋体"/>
                <w:sz w:val="22"/>
                <w:szCs w:val="22"/>
              </w:rPr>
            </w:pPr>
          </w:p>
        </w:tc>
        <w:tc>
          <w:tcPr>
            <w:tcW w:w="3287" w:type="dxa"/>
            <w:noWrap w:val="0"/>
            <w:vAlign w:val="center"/>
          </w:tcPr>
          <w:p w14:paraId="67C58BAB">
            <w:pPr>
              <w:widowControl/>
              <w:jc w:val="both"/>
              <w:rPr>
                <w:rFonts w:hint="eastAsia" w:ascii="宋体" w:hAnsi="宋体" w:eastAsia="宋体" w:cs="宋体"/>
                <w:sz w:val="22"/>
                <w:szCs w:val="22"/>
              </w:rPr>
            </w:pPr>
          </w:p>
        </w:tc>
        <w:tc>
          <w:tcPr>
            <w:tcW w:w="991" w:type="dxa"/>
            <w:noWrap w:val="0"/>
            <w:vAlign w:val="center"/>
          </w:tcPr>
          <w:p w14:paraId="53D67405">
            <w:pPr>
              <w:pStyle w:val="74"/>
              <w:ind w:firstLine="0" w:firstLineChars="0"/>
              <w:jc w:val="center"/>
              <w:rPr>
                <w:rFonts w:hint="eastAsia" w:ascii="宋体" w:hAnsi="宋体" w:eastAsia="宋体" w:cs="宋体"/>
                <w:kern w:val="0"/>
                <w:sz w:val="22"/>
                <w:szCs w:val="22"/>
              </w:rPr>
            </w:pPr>
          </w:p>
        </w:tc>
        <w:tc>
          <w:tcPr>
            <w:tcW w:w="414" w:type="dxa"/>
            <w:noWrap w:val="0"/>
            <w:vAlign w:val="center"/>
          </w:tcPr>
          <w:p w14:paraId="4CEFF653">
            <w:pPr>
              <w:widowControl/>
              <w:jc w:val="center"/>
              <w:rPr>
                <w:rFonts w:hint="eastAsia" w:ascii="宋体" w:hAnsi="宋体" w:eastAsia="宋体" w:cs="宋体"/>
                <w:sz w:val="22"/>
                <w:szCs w:val="22"/>
              </w:rPr>
            </w:pPr>
          </w:p>
        </w:tc>
        <w:tc>
          <w:tcPr>
            <w:tcW w:w="552" w:type="dxa"/>
            <w:noWrap w:val="0"/>
            <w:vAlign w:val="center"/>
          </w:tcPr>
          <w:p w14:paraId="55A3A32D">
            <w:pPr>
              <w:jc w:val="center"/>
              <w:rPr>
                <w:rFonts w:hint="eastAsia" w:ascii="宋体" w:hAnsi="宋体" w:eastAsia="宋体" w:cs="宋体"/>
                <w:sz w:val="22"/>
                <w:szCs w:val="22"/>
              </w:rPr>
            </w:pPr>
          </w:p>
        </w:tc>
        <w:tc>
          <w:tcPr>
            <w:tcW w:w="1356" w:type="dxa"/>
            <w:noWrap w:val="0"/>
            <w:vAlign w:val="center"/>
          </w:tcPr>
          <w:p w14:paraId="1AB1606F">
            <w:pPr>
              <w:widowControl/>
              <w:jc w:val="center"/>
              <w:rPr>
                <w:rFonts w:hint="eastAsia" w:ascii="宋体" w:hAnsi="宋体" w:eastAsia="宋体" w:cs="宋体"/>
                <w:sz w:val="22"/>
                <w:szCs w:val="22"/>
              </w:rPr>
            </w:pPr>
          </w:p>
        </w:tc>
        <w:tc>
          <w:tcPr>
            <w:tcW w:w="1257" w:type="dxa"/>
            <w:noWrap w:val="0"/>
            <w:vAlign w:val="center"/>
          </w:tcPr>
          <w:p w14:paraId="6908C200">
            <w:pPr>
              <w:widowControl/>
              <w:jc w:val="center"/>
              <w:rPr>
                <w:rFonts w:hint="eastAsia" w:ascii="宋体" w:hAnsi="宋体" w:eastAsia="宋体" w:cs="宋体"/>
                <w:sz w:val="22"/>
                <w:szCs w:val="22"/>
              </w:rPr>
            </w:pPr>
          </w:p>
        </w:tc>
      </w:tr>
      <w:tr w14:paraId="33B4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6" w:type="dxa"/>
            <w:noWrap w:val="0"/>
            <w:vAlign w:val="center"/>
          </w:tcPr>
          <w:p w14:paraId="295CA737">
            <w:pPr>
              <w:pStyle w:val="74"/>
              <w:ind w:firstLine="0" w:firstLineChars="0"/>
              <w:jc w:val="center"/>
              <w:rPr>
                <w:rFonts w:hint="eastAsia" w:ascii="宋体" w:hAnsi="宋体" w:eastAsia="宋体" w:cs="宋体"/>
                <w:kern w:val="0"/>
                <w:sz w:val="22"/>
                <w:szCs w:val="22"/>
              </w:rPr>
            </w:pPr>
          </w:p>
        </w:tc>
        <w:tc>
          <w:tcPr>
            <w:tcW w:w="978" w:type="dxa"/>
            <w:noWrap w:val="0"/>
            <w:vAlign w:val="center"/>
          </w:tcPr>
          <w:p w14:paraId="11D4E2AE">
            <w:pPr>
              <w:jc w:val="center"/>
              <w:rPr>
                <w:rFonts w:hint="eastAsia" w:ascii="宋体" w:hAnsi="宋体" w:eastAsia="宋体" w:cs="宋体"/>
                <w:sz w:val="22"/>
                <w:szCs w:val="22"/>
              </w:rPr>
            </w:pPr>
          </w:p>
        </w:tc>
        <w:tc>
          <w:tcPr>
            <w:tcW w:w="3287" w:type="dxa"/>
            <w:noWrap w:val="0"/>
            <w:vAlign w:val="center"/>
          </w:tcPr>
          <w:p w14:paraId="0FE865AA">
            <w:pPr>
              <w:widowControl/>
              <w:jc w:val="center"/>
              <w:rPr>
                <w:rFonts w:hint="eastAsia" w:ascii="宋体" w:hAnsi="宋体" w:eastAsia="宋体" w:cs="宋体"/>
                <w:sz w:val="22"/>
                <w:szCs w:val="22"/>
              </w:rPr>
            </w:pPr>
          </w:p>
        </w:tc>
        <w:tc>
          <w:tcPr>
            <w:tcW w:w="991" w:type="dxa"/>
            <w:noWrap w:val="0"/>
            <w:vAlign w:val="center"/>
          </w:tcPr>
          <w:p w14:paraId="54922906">
            <w:pPr>
              <w:pStyle w:val="74"/>
              <w:ind w:firstLine="0" w:firstLineChars="0"/>
              <w:jc w:val="center"/>
              <w:rPr>
                <w:rFonts w:hint="eastAsia" w:ascii="宋体" w:hAnsi="宋体" w:eastAsia="宋体" w:cs="宋体"/>
                <w:kern w:val="0"/>
                <w:sz w:val="22"/>
                <w:szCs w:val="22"/>
              </w:rPr>
            </w:pPr>
          </w:p>
        </w:tc>
        <w:tc>
          <w:tcPr>
            <w:tcW w:w="414" w:type="dxa"/>
            <w:noWrap w:val="0"/>
            <w:vAlign w:val="center"/>
          </w:tcPr>
          <w:p w14:paraId="02368E8F">
            <w:pPr>
              <w:widowControl/>
              <w:jc w:val="center"/>
              <w:rPr>
                <w:rFonts w:hint="eastAsia" w:ascii="宋体" w:hAnsi="宋体" w:eastAsia="宋体" w:cs="宋体"/>
                <w:sz w:val="22"/>
                <w:szCs w:val="22"/>
              </w:rPr>
            </w:pPr>
          </w:p>
        </w:tc>
        <w:tc>
          <w:tcPr>
            <w:tcW w:w="552" w:type="dxa"/>
            <w:noWrap w:val="0"/>
            <w:vAlign w:val="center"/>
          </w:tcPr>
          <w:p w14:paraId="05FCEF4C">
            <w:pPr>
              <w:jc w:val="center"/>
              <w:rPr>
                <w:rFonts w:hint="eastAsia" w:ascii="宋体" w:hAnsi="宋体" w:eastAsia="宋体" w:cs="宋体"/>
                <w:sz w:val="22"/>
                <w:szCs w:val="22"/>
              </w:rPr>
            </w:pPr>
          </w:p>
        </w:tc>
        <w:tc>
          <w:tcPr>
            <w:tcW w:w="1356" w:type="dxa"/>
            <w:noWrap w:val="0"/>
            <w:vAlign w:val="center"/>
          </w:tcPr>
          <w:p w14:paraId="7E9C85C3">
            <w:pPr>
              <w:widowControl/>
              <w:jc w:val="center"/>
              <w:rPr>
                <w:rFonts w:hint="eastAsia" w:ascii="宋体" w:hAnsi="宋体" w:eastAsia="宋体" w:cs="宋体"/>
                <w:sz w:val="22"/>
                <w:szCs w:val="22"/>
              </w:rPr>
            </w:pPr>
          </w:p>
        </w:tc>
        <w:tc>
          <w:tcPr>
            <w:tcW w:w="1257" w:type="dxa"/>
            <w:noWrap w:val="0"/>
            <w:vAlign w:val="center"/>
          </w:tcPr>
          <w:p w14:paraId="432C1731">
            <w:pPr>
              <w:widowControl/>
              <w:jc w:val="center"/>
              <w:rPr>
                <w:rFonts w:hint="eastAsia" w:ascii="宋体" w:hAnsi="宋体" w:eastAsia="宋体" w:cs="宋体"/>
                <w:sz w:val="22"/>
                <w:szCs w:val="22"/>
              </w:rPr>
            </w:pPr>
          </w:p>
        </w:tc>
      </w:tr>
      <w:tr w14:paraId="778B9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6" w:type="dxa"/>
            <w:noWrap w:val="0"/>
            <w:vAlign w:val="center"/>
          </w:tcPr>
          <w:p w14:paraId="5FEDE027">
            <w:pPr>
              <w:pStyle w:val="74"/>
              <w:ind w:firstLine="0" w:firstLineChars="0"/>
              <w:jc w:val="center"/>
              <w:rPr>
                <w:rFonts w:hint="eastAsia" w:ascii="宋体" w:hAnsi="宋体" w:eastAsia="宋体" w:cs="宋体"/>
                <w:kern w:val="0"/>
                <w:sz w:val="22"/>
                <w:szCs w:val="22"/>
              </w:rPr>
            </w:pPr>
          </w:p>
        </w:tc>
        <w:tc>
          <w:tcPr>
            <w:tcW w:w="978" w:type="dxa"/>
            <w:noWrap w:val="0"/>
            <w:vAlign w:val="center"/>
          </w:tcPr>
          <w:p w14:paraId="4D1CBA31">
            <w:pPr>
              <w:jc w:val="center"/>
              <w:rPr>
                <w:rFonts w:hint="eastAsia" w:ascii="宋体" w:hAnsi="宋体" w:eastAsia="宋体" w:cs="宋体"/>
                <w:kern w:val="0"/>
                <w:sz w:val="22"/>
                <w:szCs w:val="22"/>
              </w:rPr>
            </w:pPr>
          </w:p>
        </w:tc>
        <w:tc>
          <w:tcPr>
            <w:tcW w:w="3287" w:type="dxa"/>
            <w:noWrap w:val="0"/>
            <w:vAlign w:val="center"/>
          </w:tcPr>
          <w:p w14:paraId="29F1BC20">
            <w:pPr>
              <w:widowControl/>
              <w:jc w:val="both"/>
              <w:rPr>
                <w:rFonts w:hint="eastAsia" w:ascii="宋体" w:hAnsi="宋体" w:eastAsia="宋体" w:cs="宋体"/>
                <w:kern w:val="0"/>
                <w:sz w:val="22"/>
                <w:szCs w:val="22"/>
              </w:rPr>
            </w:pPr>
          </w:p>
        </w:tc>
        <w:tc>
          <w:tcPr>
            <w:tcW w:w="991" w:type="dxa"/>
            <w:noWrap w:val="0"/>
            <w:vAlign w:val="center"/>
          </w:tcPr>
          <w:p w14:paraId="603A1C83">
            <w:pPr>
              <w:pStyle w:val="74"/>
              <w:ind w:firstLine="0" w:firstLineChars="0"/>
              <w:jc w:val="center"/>
              <w:rPr>
                <w:rFonts w:hint="eastAsia" w:ascii="宋体" w:hAnsi="宋体" w:eastAsia="宋体" w:cs="宋体"/>
                <w:kern w:val="0"/>
                <w:sz w:val="22"/>
                <w:szCs w:val="22"/>
              </w:rPr>
            </w:pPr>
          </w:p>
        </w:tc>
        <w:tc>
          <w:tcPr>
            <w:tcW w:w="414" w:type="dxa"/>
            <w:noWrap w:val="0"/>
            <w:vAlign w:val="center"/>
          </w:tcPr>
          <w:p w14:paraId="33B47D5E">
            <w:pPr>
              <w:widowControl/>
              <w:jc w:val="center"/>
              <w:rPr>
                <w:rFonts w:hint="eastAsia" w:ascii="宋体" w:hAnsi="宋体" w:eastAsia="宋体" w:cs="宋体"/>
                <w:kern w:val="0"/>
                <w:sz w:val="22"/>
                <w:szCs w:val="22"/>
              </w:rPr>
            </w:pPr>
          </w:p>
        </w:tc>
        <w:tc>
          <w:tcPr>
            <w:tcW w:w="552" w:type="dxa"/>
            <w:noWrap w:val="0"/>
            <w:vAlign w:val="center"/>
          </w:tcPr>
          <w:p w14:paraId="6ACA145B">
            <w:pPr>
              <w:jc w:val="center"/>
              <w:rPr>
                <w:rFonts w:hint="eastAsia" w:ascii="宋体" w:hAnsi="宋体" w:eastAsia="宋体" w:cs="宋体"/>
                <w:kern w:val="0"/>
                <w:sz w:val="22"/>
                <w:szCs w:val="22"/>
              </w:rPr>
            </w:pPr>
          </w:p>
        </w:tc>
        <w:tc>
          <w:tcPr>
            <w:tcW w:w="1356" w:type="dxa"/>
            <w:noWrap w:val="0"/>
            <w:vAlign w:val="center"/>
          </w:tcPr>
          <w:p w14:paraId="51FAF5B0">
            <w:pPr>
              <w:widowControl/>
              <w:jc w:val="center"/>
              <w:rPr>
                <w:rFonts w:hint="eastAsia" w:ascii="宋体" w:hAnsi="宋体" w:eastAsia="宋体" w:cs="宋体"/>
                <w:sz w:val="22"/>
                <w:szCs w:val="22"/>
              </w:rPr>
            </w:pPr>
          </w:p>
        </w:tc>
        <w:tc>
          <w:tcPr>
            <w:tcW w:w="1257" w:type="dxa"/>
            <w:noWrap w:val="0"/>
            <w:vAlign w:val="center"/>
          </w:tcPr>
          <w:p w14:paraId="0403E1CD">
            <w:pPr>
              <w:widowControl/>
              <w:jc w:val="center"/>
              <w:rPr>
                <w:rFonts w:hint="eastAsia" w:ascii="宋体" w:hAnsi="宋体" w:eastAsia="宋体" w:cs="宋体"/>
                <w:sz w:val="22"/>
                <w:szCs w:val="22"/>
              </w:rPr>
            </w:pPr>
          </w:p>
        </w:tc>
      </w:tr>
      <w:tr w14:paraId="7FFD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6" w:type="dxa"/>
            <w:noWrap w:val="0"/>
            <w:vAlign w:val="center"/>
          </w:tcPr>
          <w:p w14:paraId="5CD724EE">
            <w:pPr>
              <w:pStyle w:val="74"/>
              <w:ind w:firstLine="0" w:firstLineChars="0"/>
              <w:jc w:val="center"/>
              <w:rPr>
                <w:rFonts w:hint="eastAsia" w:ascii="宋体" w:hAnsi="宋体" w:eastAsia="宋体" w:cs="宋体"/>
                <w:kern w:val="0"/>
                <w:sz w:val="22"/>
                <w:szCs w:val="22"/>
              </w:rPr>
            </w:pPr>
          </w:p>
        </w:tc>
        <w:tc>
          <w:tcPr>
            <w:tcW w:w="978" w:type="dxa"/>
            <w:noWrap w:val="0"/>
            <w:vAlign w:val="center"/>
          </w:tcPr>
          <w:p w14:paraId="77BBFC51">
            <w:pPr>
              <w:jc w:val="center"/>
              <w:rPr>
                <w:rFonts w:hint="eastAsia" w:ascii="宋体" w:hAnsi="宋体" w:eastAsia="宋体" w:cs="宋体"/>
                <w:kern w:val="0"/>
                <w:sz w:val="22"/>
                <w:szCs w:val="22"/>
              </w:rPr>
            </w:pPr>
          </w:p>
        </w:tc>
        <w:tc>
          <w:tcPr>
            <w:tcW w:w="3287" w:type="dxa"/>
            <w:noWrap w:val="0"/>
            <w:vAlign w:val="center"/>
          </w:tcPr>
          <w:p w14:paraId="078B5A8C">
            <w:pPr>
              <w:widowControl/>
              <w:jc w:val="both"/>
              <w:rPr>
                <w:rFonts w:hint="eastAsia" w:ascii="宋体" w:hAnsi="宋体" w:eastAsia="宋体" w:cs="宋体"/>
                <w:kern w:val="0"/>
                <w:sz w:val="22"/>
                <w:szCs w:val="22"/>
              </w:rPr>
            </w:pPr>
          </w:p>
        </w:tc>
        <w:tc>
          <w:tcPr>
            <w:tcW w:w="991" w:type="dxa"/>
            <w:noWrap w:val="0"/>
            <w:vAlign w:val="center"/>
          </w:tcPr>
          <w:p w14:paraId="337E6FF0">
            <w:pPr>
              <w:pStyle w:val="74"/>
              <w:ind w:firstLine="0" w:firstLineChars="0"/>
              <w:jc w:val="center"/>
              <w:rPr>
                <w:rFonts w:hint="eastAsia" w:ascii="宋体" w:hAnsi="宋体" w:eastAsia="宋体" w:cs="宋体"/>
                <w:kern w:val="0"/>
                <w:sz w:val="22"/>
                <w:szCs w:val="22"/>
              </w:rPr>
            </w:pPr>
          </w:p>
        </w:tc>
        <w:tc>
          <w:tcPr>
            <w:tcW w:w="414" w:type="dxa"/>
            <w:noWrap w:val="0"/>
            <w:vAlign w:val="center"/>
          </w:tcPr>
          <w:p w14:paraId="5E19EBEA">
            <w:pPr>
              <w:widowControl/>
              <w:jc w:val="center"/>
              <w:rPr>
                <w:rFonts w:hint="eastAsia" w:ascii="宋体" w:hAnsi="宋体" w:eastAsia="宋体" w:cs="宋体"/>
                <w:kern w:val="0"/>
                <w:sz w:val="22"/>
                <w:szCs w:val="22"/>
              </w:rPr>
            </w:pPr>
          </w:p>
        </w:tc>
        <w:tc>
          <w:tcPr>
            <w:tcW w:w="552" w:type="dxa"/>
            <w:noWrap w:val="0"/>
            <w:vAlign w:val="center"/>
          </w:tcPr>
          <w:p w14:paraId="2C98622A">
            <w:pPr>
              <w:jc w:val="center"/>
              <w:rPr>
                <w:rFonts w:hint="eastAsia" w:ascii="宋体" w:hAnsi="宋体" w:eastAsia="宋体" w:cs="宋体"/>
                <w:kern w:val="0"/>
                <w:sz w:val="22"/>
                <w:szCs w:val="22"/>
              </w:rPr>
            </w:pPr>
          </w:p>
        </w:tc>
        <w:tc>
          <w:tcPr>
            <w:tcW w:w="1356" w:type="dxa"/>
            <w:noWrap w:val="0"/>
            <w:vAlign w:val="center"/>
          </w:tcPr>
          <w:p w14:paraId="4C4B5198">
            <w:pPr>
              <w:widowControl/>
              <w:jc w:val="center"/>
              <w:rPr>
                <w:rFonts w:hint="eastAsia" w:ascii="宋体" w:hAnsi="宋体" w:eastAsia="宋体" w:cs="宋体"/>
                <w:sz w:val="22"/>
                <w:szCs w:val="22"/>
              </w:rPr>
            </w:pPr>
          </w:p>
        </w:tc>
        <w:tc>
          <w:tcPr>
            <w:tcW w:w="1257" w:type="dxa"/>
            <w:noWrap w:val="0"/>
            <w:vAlign w:val="center"/>
          </w:tcPr>
          <w:p w14:paraId="7AC922B0">
            <w:pPr>
              <w:widowControl/>
              <w:jc w:val="center"/>
              <w:rPr>
                <w:rFonts w:hint="eastAsia" w:ascii="宋体" w:hAnsi="宋体" w:eastAsia="宋体" w:cs="宋体"/>
                <w:sz w:val="22"/>
                <w:szCs w:val="22"/>
              </w:rPr>
            </w:pPr>
          </w:p>
        </w:tc>
      </w:tr>
      <w:tr w14:paraId="76279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1414" w:type="dxa"/>
            <w:gridSpan w:val="2"/>
            <w:noWrap w:val="0"/>
            <w:vAlign w:val="center"/>
          </w:tcPr>
          <w:p w14:paraId="668BFB70">
            <w:pPr>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总计</w:t>
            </w:r>
          </w:p>
        </w:tc>
        <w:tc>
          <w:tcPr>
            <w:tcW w:w="7857" w:type="dxa"/>
            <w:gridSpan w:val="6"/>
            <w:noWrap w:val="0"/>
            <w:vAlign w:val="center"/>
          </w:tcPr>
          <w:p w14:paraId="7D4060C5">
            <w:pPr>
              <w:jc w:val="left"/>
              <w:rPr>
                <w:rFonts w:hint="eastAsia" w:ascii="宋体" w:hAnsi="宋体" w:eastAsia="宋体" w:cs="宋体"/>
                <w:b/>
                <w:bCs/>
                <w:kern w:val="0"/>
                <w:sz w:val="22"/>
                <w:szCs w:val="22"/>
              </w:rPr>
            </w:pPr>
            <w:r>
              <w:rPr>
                <w:rFonts w:hint="eastAsia" w:ascii="宋体" w:hAnsi="宋体" w:eastAsia="宋体" w:cs="宋体"/>
                <w:b/>
                <w:bCs/>
                <w:kern w:val="0"/>
                <w:sz w:val="22"/>
                <w:szCs w:val="22"/>
              </w:rPr>
              <w:t>人民币 （¥）</w:t>
            </w:r>
          </w:p>
        </w:tc>
      </w:tr>
    </w:tbl>
    <w:p w14:paraId="6CE5CD4F">
      <w:pPr>
        <w:keepLines w:val="0"/>
        <w:pageBreakBefore w:val="0"/>
        <w:kinsoku/>
        <w:wordWrap/>
        <w:overflowPunct/>
        <w:topLinePunct w:val="0"/>
        <w:autoSpaceDE/>
        <w:autoSpaceDN/>
        <w:bidi w:val="0"/>
        <w:adjustRightInd w:val="0"/>
        <w:snapToGrid/>
        <w:spacing w:line="360" w:lineRule="auto"/>
        <w:ind w:left="0" w:right="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注：技术规格参数详见《附件一 货物技术规格参数》</w:t>
      </w:r>
    </w:p>
    <w:p w14:paraId="7BD59D0A">
      <w:pPr>
        <w:keepNext/>
        <w:keepLines w:val="0"/>
        <w:pageBreakBefore w:val="0"/>
        <w:kinsoku/>
        <w:wordWrap/>
        <w:overflowPunct/>
        <w:topLinePunct w:val="0"/>
        <w:autoSpaceDE/>
        <w:autoSpaceDN/>
        <w:bidi w:val="0"/>
        <w:adjustRightInd w:val="0"/>
        <w:snapToGrid/>
        <w:spacing w:line="360" w:lineRule="auto"/>
        <w:ind w:left="0" w:right="0" w:firstLine="562" w:firstLineChars="200"/>
        <w:jc w:val="both"/>
        <w:textAlignment w:val="baseline"/>
        <w:outlineLvl w:val="1"/>
        <w:rPr>
          <w:rFonts w:hint="eastAsia" w:ascii="宋体" w:hAnsi="宋体" w:eastAsia="宋体" w:cs="宋体"/>
          <w:b/>
          <w:sz w:val="28"/>
          <w:szCs w:val="28"/>
        </w:rPr>
      </w:pPr>
      <w:bookmarkStart w:id="512" w:name="_Toc206751831"/>
      <w:bookmarkStart w:id="513" w:name="_Toc5409"/>
      <w:bookmarkStart w:id="514" w:name="_Toc9129"/>
      <w:bookmarkStart w:id="515" w:name="_Toc19538"/>
      <w:bookmarkStart w:id="516" w:name="_Toc27979"/>
      <w:bookmarkStart w:id="517" w:name="_Toc11150"/>
      <w:bookmarkStart w:id="518" w:name="_Toc7546"/>
      <w:bookmarkStart w:id="519" w:name="_Toc207096495"/>
      <w:r>
        <w:rPr>
          <w:rFonts w:hint="eastAsia" w:ascii="黑体" w:hAnsi="黑体" w:eastAsia="黑体" w:cs="黑体"/>
          <w:b/>
          <w:sz w:val="28"/>
          <w:szCs w:val="28"/>
        </w:rPr>
        <w:t>二、合同总价款</w:t>
      </w:r>
      <w:bookmarkEnd w:id="512"/>
      <w:bookmarkEnd w:id="513"/>
      <w:bookmarkEnd w:id="514"/>
      <w:bookmarkEnd w:id="515"/>
      <w:bookmarkEnd w:id="516"/>
      <w:bookmarkEnd w:id="517"/>
      <w:bookmarkEnd w:id="518"/>
      <w:bookmarkEnd w:id="519"/>
    </w:p>
    <w:p w14:paraId="3FC59205">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val="en-US" w:eastAsia="zh-CN" w:bidi="ar"/>
        </w:rPr>
        <w:t>1.</w:t>
      </w:r>
      <w:r>
        <w:rPr>
          <w:rFonts w:hint="eastAsia" w:ascii="宋体" w:hAnsi="宋体" w:eastAsia="宋体" w:cs="宋体"/>
          <w:sz w:val="24"/>
          <w:szCs w:val="24"/>
          <w:lang w:bidi="ar"/>
        </w:rPr>
        <w:t>本合同项下设备（含硬件、系统、软件、资源等（以下简称：设备））总价款为人民币</w:t>
      </w:r>
      <w:r>
        <w:rPr>
          <w:rFonts w:hint="eastAsia" w:ascii="宋体" w:hAnsi="宋体" w:eastAsia="宋体" w:cs="宋体"/>
          <w:b/>
          <w:bCs/>
          <w:kern w:val="0"/>
          <w:sz w:val="24"/>
          <w:szCs w:val="24"/>
          <w:u w:val="single"/>
          <w:lang w:val="en-US" w:eastAsia="zh-CN"/>
        </w:rPr>
        <w:t xml:space="preserve">    </w:t>
      </w:r>
      <w:r>
        <w:rPr>
          <w:rFonts w:hint="eastAsia" w:ascii="宋体" w:hAnsi="宋体" w:eastAsia="宋体" w:cs="宋体"/>
          <w:b/>
          <w:bCs/>
          <w:kern w:val="0"/>
          <w:sz w:val="24"/>
          <w:szCs w:val="24"/>
          <w:u w:val="single"/>
        </w:rPr>
        <w:t>元</w:t>
      </w:r>
      <w:r>
        <w:rPr>
          <w:rFonts w:hint="eastAsia" w:ascii="宋体" w:hAnsi="宋体" w:eastAsia="宋体" w:cs="宋体"/>
          <w:sz w:val="24"/>
          <w:szCs w:val="24"/>
          <w:lang w:bidi="ar"/>
        </w:rPr>
        <w:t>（大写：</w:t>
      </w:r>
      <w:r>
        <w:rPr>
          <w:rFonts w:hint="eastAsia" w:ascii="宋体" w:hAnsi="宋体" w:eastAsia="宋体" w:cs="宋体"/>
          <w:sz w:val="24"/>
          <w:szCs w:val="24"/>
          <w:u w:val="single"/>
          <w:lang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cs="宋体"/>
          <w:b/>
          <w:bCs/>
          <w:sz w:val="24"/>
          <w:szCs w:val="24"/>
          <w:u w:val="single"/>
          <w:lang w:val="en-US" w:eastAsia="zh-CN" w:bidi="ar"/>
        </w:rPr>
        <w:t xml:space="preserve">    </w:t>
      </w:r>
      <w:r>
        <w:rPr>
          <w:rFonts w:hint="eastAsia" w:ascii="宋体" w:hAnsi="宋体" w:eastAsia="宋体" w:cs="宋体"/>
          <w:sz w:val="24"/>
          <w:szCs w:val="24"/>
          <w:lang w:bidi="ar"/>
        </w:rPr>
        <w:t xml:space="preserve">）。 </w:t>
      </w:r>
    </w:p>
    <w:p w14:paraId="35C0C392">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val="en-US" w:eastAsia="zh-CN" w:bidi="ar"/>
        </w:rPr>
        <w:t>2.</w:t>
      </w:r>
      <w:r>
        <w:rPr>
          <w:rFonts w:hint="eastAsia" w:ascii="宋体" w:hAnsi="宋体" w:eastAsia="宋体" w:cs="宋体"/>
          <w:sz w:val="24"/>
          <w:szCs w:val="24"/>
          <w:lang w:bidi="ar"/>
        </w:rPr>
        <w:t xml:space="preserve">本合同总价款是包含设备设计、制造、包装、仓储、运输、安装就位及验收合格之前及保修期内备品备件发生的所有含税费用。 </w:t>
      </w:r>
    </w:p>
    <w:p w14:paraId="247C15A9">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val="en-US" w:eastAsia="zh-CN" w:bidi="ar"/>
        </w:rPr>
        <w:t>3.</w:t>
      </w:r>
      <w:r>
        <w:rPr>
          <w:rFonts w:hint="eastAsia" w:ascii="宋体" w:hAnsi="宋体" w:eastAsia="宋体" w:cs="宋体"/>
          <w:sz w:val="24"/>
          <w:szCs w:val="24"/>
          <w:lang w:bidi="ar"/>
        </w:rPr>
        <w:t xml:space="preserve">本合同总价款还包含乙方应当提供的伴随服务/售后服务费用。 </w:t>
      </w:r>
    </w:p>
    <w:p w14:paraId="1C533896">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kern w:val="0"/>
          <w:sz w:val="24"/>
          <w:szCs w:val="24"/>
        </w:rPr>
      </w:pPr>
      <w:r>
        <w:rPr>
          <w:rFonts w:hint="eastAsia" w:ascii="宋体" w:hAnsi="宋体" w:cs="宋体"/>
          <w:sz w:val="24"/>
          <w:szCs w:val="24"/>
          <w:lang w:val="en-US" w:eastAsia="zh-CN" w:bidi="ar"/>
        </w:rPr>
        <w:t>4.</w:t>
      </w:r>
      <w:r>
        <w:rPr>
          <w:rFonts w:hint="eastAsia" w:ascii="宋体" w:hAnsi="宋体" w:eastAsia="宋体" w:cs="宋体"/>
          <w:sz w:val="24"/>
          <w:szCs w:val="24"/>
          <w:lang w:bidi="ar"/>
        </w:rPr>
        <w:t>本合同执行期间合同总价款不变。</w:t>
      </w:r>
    </w:p>
    <w:p w14:paraId="58DC789F">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520" w:name="_Toc15535"/>
      <w:bookmarkStart w:id="521" w:name="_Toc23894"/>
      <w:bookmarkStart w:id="522" w:name="_Toc28925"/>
      <w:bookmarkStart w:id="523" w:name="_Toc207096496"/>
      <w:bookmarkStart w:id="524" w:name="_Toc206751832"/>
      <w:bookmarkStart w:id="525" w:name="_Toc23682"/>
      <w:bookmarkStart w:id="526" w:name="_Toc31397"/>
      <w:bookmarkStart w:id="527" w:name="_Toc9030"/>
      <w:r>
        <w:rPr>
          <w:rFonts w:hint="eastAsia" w:ascii="黑体" w:hAnsi="黑体" w:eastAsia="黑体" w:cs="黑体"/>
          <w:b/>
          <w:sz w:val="28"/>
          <w:szCs w:val="28"/>
        </w:rPr>
        <w:t>三、组成本合同的有关文件</w:t>
      </w:r>
      <w:bookmarkEnd w:id="520"/>
      <w:bookmarkEnd w:id="521"/>
      <w:bookmarkEnd w:id="522"/>
      <w:bookmarkEnd w:id="523"/>
      <w:bookmarkEnd w:id="524"/>
      <w:bookmarkEnd w:id="525"/>
      <w:bookmarkEnd w:id="526"/>
      <w:bookmarkEnd w:id="527"/>
    </w:p>
    <w:p w14:paraId="74C12711">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val="en-US" w:eastAsia="zh-CN" w:bidi="ar"/>
        </w:rPr>
        <w:t>1.</w:t>
      </w:r>
      <w:r>
        <w:rPr>
          <w:rFonts w:hint="eastAsia" w:ascii="宋体" w:hAnsi="宋体" w:eastAsia="宋体" w:cs="宋体"/>
          <w:sz w:val="24"/>
          <w:szCs w:val="24"/>
          <w:lang w:bidi="ar"/>
        </w:rPr>
        <w:t>本项目采购招投标文件或与本次采购活动方式相适应的文件及有关附件是本合同不可分割的组成部分，与本合同具有同等法律效力，这些文件包括但不限于：</w:t>
      </w:r>
    </w:p>
    <w:p w14:paraId="19C6AEE6">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（1）乙方提供的投标文件和投标报价表；</w:t>
      </w:r>
    </w:p>
    <w:p w14:paraId="668FC6A8">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（2）货物说明一览表；</w:t>
      </w:r>
    </w:p>
    <w:p w14:paraId="7954EAB1">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（3）投标承诺；</w:t>
      </w:r>
    </w:p>
    <w:p w14:paraId="4D90EAF3">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（4）服务承诺；</w:t>
      </w:r>
    </w:p>
    <w:p w14:paraId="2289382F">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（5）中标通知书；</w:t>
      </w:r>
    </w:p>
    <w:p w14:paraId="2FB4342F">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（6）甲乙双方商定的其他文件等（详见附件）。</w:t>
      </w:r>
    </w:p>
    <w:p w14:paraId="73E098F1">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8"/>
          <w:szCs w:val="28"/>
          <w:lang w:bidi="ar"/>
        </w:rPr>
      </w:pPr>
      <w:r>
        <w:rPr>
          <w:rFonts w:hint="eastAsia" w:ascii="宋体" w:hAnsi="宋体" w:cs="宋体"/>
          <w:color w:val="000000"/>
          <w:sz w:val="24"/>
          <w:szCs w:val="24"/>
          <w:lang w:val="en-US" w:eastAsia="zh-CN" w:bidi="ar"/>
        </w:rPr>
        <w:t>2.</w:t>
      </w:r>
      <w:r>
        <w:rPr>
          <w:rFonts w:hint="eastAsia" w:ascii="宋体" w:hAnsi="宋体" w:eastAsia="宋体" w:cs="宋体"/>
          <w:color w:val="000000"/>
          <w:sz w:val="24"/>
          <w:szCs w:val="24"/>
          <w:lang w:bidi="ar"/>
        </w:rPr>
        <w:t>乙方应对所有提供文件的真实性与完整性负责。如甲方发现乙方提供的文件存在不完整的情况，甲方有权要求乙方在3个日历天内补齐。如甲方发现乙方提供的文件存在涉嫌虚假、欺诈及侵权的情况，</w:t>
      </w:r>
      <w:r>
        <w:rPr>
          <w:rFonts w:hint="eastAsia" w:ascii="宋体" w:hAnsi="宋体" w:eastAsia="宋体" w:cs="宋体"/>
          <w:color w:val="000000"/>
          <w:sz w:val="24"/>
          <w:szCs w:val="24"/>
          <w:lang w:val="en-US" w:eastAsia="zh-CN" w:bidi="ar"/>
        </w:rPr>
        <w:t>给甲方造成严重损失的，</w:t>
      </w:r>
      <w:r>
        <w:rPr>
          <w:rFonts w:hint="eastAsia" w:ascii="宋体" w:hAnsi="宋体" w:eastAsia="宋体" w:cs="宋体"/>
          <w:color w:val="000000"/>
          <w:sz w:val="24"/>
          <w:szCs w:val="24"/>
          <w:lang w:bidi="ar"/>
        </w:rPr>
        <w:t>甲方有权解除合同，造成的所有损失及法律后果全部由乙方承担。</w:t>
      </w:r>
    </w:p>
    <w:p w14:paraId="3130AE07">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528" w:name="_Toc207096497"/>
      <w:bookmarkStart w:id="529" w:name="_Toc22252"/>
      <w:bookmarkStart w:id="530" w:name="_Toc17433"/>
      <w:bookmarkStart w:id="531" w:name="_Toc206751833"/>
      <w:bookmarkStart w:id="532" w:name="_Toc29773"/>
      <w:bookmarkStart w:id="533" w:name="_Toc9196"/>
      <w:bookmarkStart w:id="534" w:name="_Toc3389"/>
      <w:bookmarkStart w:id="535" w:name="_Toc12875"/>
      <w:r>
        <w:rPr>
          <w:rFonts w:hint="eastAsia" w:ascii="黑体" w:hAnsi="黑体" w:eastAsia="黑体" w:cs="黑体"/>
          <w:b/>
          <w:sz w:val="28"/>
          <w:szCs w:val="28"/>
        </w:rPr>
        <w:t>四、权利保证</w:t>
      </w:r>
      <w:bookmarkEnd w:id="528"/>
      <w:bookmarkEnd w:id="529"/>
      <w:bookmarkEnd w:id="530"/>
      <w:bookmarkEnd w:id="531"/>
      <w:bookmarkEnd w:id="532"/>
      <w:bookmarkEnd w:id="533"/>
      <w:bookmarkEnd w:id="534"/>
      <w:bookmarkEnd w:id="535"/>
    </w:p>
    <w:p w14:paraId="7464CBA3">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cs="宋体"/>
          <w:color w:val="000000"/>
          <w:sz w:val="24"/>
          <w:szCs w:val="24"/>
          <w:lang w:val="en-US" w:eastAsia="zh-CN" w:bidi="ar"/>
        </w:rPr>
        <w:t>1.</w:t>
      </w:r>
      <w:r>
        <w:rPr>
          <w:rFonts w:hint="eastAsia" w:ascii="宋体" w:hAnsi="宋体" w:eastAsia="宋体" w:cs="宋体"/>
          <w:color w:val="000000"/>
          <w:sz w:val="24"/>
          <w:szCs w:val="24"/>
          <w:lang w:bidi="ar"/>
        </w:rPr>
        <w:t>乙方必须按照投标文件中的承诺提供所有</w:t>
      </w:r>
      <w:r>
        <w:rPr>
          <w:rFonts w:hint="eastAsia" w:ascii="宋体" w:hAnsi="宋体" w:eastAsia="宋体" w:cs="宋体"/>
          <w:color w:val="000000"/>
          <w:sz w:val="24"/>
          <w:szCs w:val="24"/>
          <w:lang w:val="en-US" w:eastAsia="zh-CN" w:bidi="ar"/>
        </w:rPr>
        <w:t>设备</w:t>
      </w:r>
      <w:r>
        <w:rPr>
          <w:rFonts w:hint="eastAsia" w:ascii="宋体" w:hAnsi="宋体" w:eastAsia="宋体" w:cs="宋体"/>
          <w:color w:val="000000"/>
          <w:sz w:val="24"/>
          <w:szCs w:val="24"/>
          <w:lang w:bidi="ar"/>
        </w:rPr>
        <w:t>，所有</w:t>
      </w:r>
      <w:r>
        <w:rPr>
          <w:rFonts w:hint="eastAsia" w:ascii="宋体" w:hAnsi="宋体" w:eastAsia="宋体" w:cs="宋体"/>
          <w:color w:val="000000"/>
          <w:sz w:val="24"/>
          <w:szCs w:val="24"/>
          <w:lang w:val="en-US" w:eastAsia="zh-CN" w:bidi="ar"/>
        </w:rPr>
        <w:t>设备</w:t>
      </w:r>
      <w:r>
        <w:rPr>
          <w:rFonts w:hint="eastAsia" w:ascii="宋体" w:hAnsi="宋体" w:eastAsia="宋体" w:cs="宋体"/>
          <w:color w:val="000000"/>
          <w:sz w:val="24"/>
          <w:szCs w:val="24"/>
          <w:lang w:bidi="ar"/>
        </w:rPr>
        <w:t>必须完全满足招标文件以及合同中的技术要求，并确保甲方在使用该</w:t>
      </w:r>
      <w:r>
        <w:rPr>
          <w:rFonts w:hint="eastAsia" w:ascii="宋体" w:hAnsi="宋体" w:eastAsia="宋体" w:cs="宋体"/>
          <w:color w:val="000000"/>
          <w:sz w:val="24"/>
          <w:szCs w:val="24"/>
          <w:lang w:val="en-US" w:eastAsia="zh-CN" w:bidi="ar"/>
        </w:rPr>
        <w:t>设备</w:t>
      </w:r>
      <w:r>
        <w:rPr>
          <w:rFonts w:hint="eastAsia" w:ascii="宋体" w:hAnsi="宋体" w:eastAsia="宋体" w:cs="宋体"/>
          <w:color w:val="000000"/>
          <w:sz w:val="24"/>
          <w:szCs w:val="24"/>
          <w:lang w:bidi="ar"/>
        </w:rPr>
        <w:t>或其任何一部分时不涉及对第三方的专利权、版权、商标权、软件著作权以及其他权利的侵犯，且不涉及军事机密、国家机密以及法律法规禁止的信息，否则甲方将对乙方因此造成的所有损失进行追偿并追究法律责任。</w:t>
      </w:r>
    </w:p>
    <w:p w14:paraId="624F1306">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val="en-US" w:eastAsia="zh-CN" w:bidi="ar"/>
        </w:rPr>
        <w:t>2.</w:t>
      </w:r>
      <w:r>
        <w:rPr>
          <w:rFonts w:hint="eastAsia" w:ascii="宋体" w:hAnsi="宋体" w:eastAsia="宋体" w:cs="宋体"/>
          <w:sz w:val="24"/>
          <w:szCs w:val="24"/>
          <w:lang w:bidi="ar"/>
        </w:rPr>
        <w:t>乙方必须确保本项目中所有的硬件设备均为正规合法的渠道采购的（厂家直接采购或向厂家正式授权的代理商采购），且该设备必须为原厂生产的、全新的、未开封的、合格的正品。若乙方提供的产品为非正规渠道采购的，或设备为非原厂生产的、非全新的、非未开封的、非合格的正品，甲方有权解除合同，并对乙方因此造成的所有损失进行追偿并追究法律责任。</w:t>
      </w:r>
    </w:p>
    <w:p w14:paraId="71A0F9D3">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8"/>
          <w:szCs w:val="28"/>
          <w:lang w:bidi="ar"/>
        </w:rPr>
      </w:pPr>
      <w:r>
        <w:rPr>
          <w:rFonts w:hint="eastAsia" w:ascii="宋体" w:hAnsi="宋体" w:cs="宋体"/>
          <w:sz w:val="24"/>
          <w:szCs w:val="24"/>
          <w:lang w:val="en-US" w:eastAsia="zh-CN" w:bidi="ar"/>
        </w:rPr>
        <w:t>3.</w:t>
      </w:r>
      <w:r>
        <w:rPr>
          <w:rFonts w:hint="eastAsia" w:ascii="宋体" w:hAnsi="宋体" w:eastAsia="宋体" w:cs="宋体"/>
          <w:sz w:val="24"/>
          <w:szCs w:val="24"/>
          <w:lang w:bidi="ar"/>
        </w:rPr>
        <w:t>乙方必须确保本项目中所有涉及</w:t>
      </w:r>
      <w:r>
        <w:rPr>
          <w:rFonts w:hint="eastAsia" w:ascii="宋体" w:hAnsi="宋体" w:eastAsia="宋体" w:cs="宋体"/>
          <w:sz w:val="24"/>
          <w:szCs w:val="24"/>
          <w:lang w:val="en-US" w:eastAsia="zh-CN" w:bidi="ar"/>
        </w:rPr>
        <w:t>的</w:t>
      </w:r>
      <w:r>
        <w:rPr>
          <w:rFonts w:hint="eastAsia" w:ascii="宋体" w:hAnsi="宋体" w:eastAsia="宋体" w:cs="宋体"/>
          <w:b w:val="0"/>
          <w:bCs w:val="0"/>
          <w:kern w:val="2"/>
          <w:sz w:val="24"/>
          <w:szCs w:val="24"/>
          <w:lang w:val="en-US" w:eastAsia="zh-CN" w:bidi="ar"/>
        </w:rPr>
        <w:t>相关模块必须具备自主知识产权</w:t>
      </w:r>
      <w:r>
        <w:rPr>
          <w:rFonts w:hint="eastAsia" w:ascii="宋体" w:hAnsi="宋体" w:eastAsia="宋体" w:cs="宋体"/>
          <w:sz w:val="24"/>
          <w:szCs w:val="24"/>
          <w:lang w:bidi="ar"/>
        </w:rPr>
        <w:t>，</w:t>
      </w:r>
      <w:r>
        <w:rPr>
          <w:rFonts w:hint="eastAsia" w:ascii="宋体" w:hAnsi="宋体" w:eastAsia="宋体" w:cs="宋体"/>
          <w:sz w:val="24"/>
          <w:szCs w:val="24"/>
          <w:lang w:val="en-US" w:eastAsia="zh-CN" w:bidi="ar"/>
        </w:rPr>
        <w:t>甲方的</w:t>
      </w:r>
      <w:r>
        <w:rPr>
          <w:rFonts w:hint="eastAsia" w:ascii="宋体" w:hAnsi="宋体" w:eastAsia="宋体" w:cs="宋体"/>
          <w:sz w:val="24"/>
          <w:szCs w:val="24"/>
          <w:lang w:bidi="ar"/>
        </w:rPr>
        <w:t>使用期限为永久，并保证甲方的使用不涉及专利权、版权、商标权、软件著作权以及其他权利的侵犯，不涉及军事机密、国家机密以及法律法规禁止的信息</w:t>
      </w:r>
      <w:r>
        <w:rPr>
          <w:rFonts w:hint="eastAsia" w:ascii="宋体" w:hAnsi="宋体" w:eastAsia="宋体" w:cs="宋体"/>
          <w:sz w:val="24"/>
          <w:szCs w:val="24"/>
          <w:lang w:eastAsia="zh-CN" w:bidi="ar"/>
        </w:rPr>
        <w:t>，</w:t>
      </w:r>
      <w:r>
        <w:rPr>
          <w:rFonts w:hint="eastAsia" w:ascii="宋体" w:hAnsi="宋体" w:eastAsia="宋体" w:cs="宋体"/>
          <w:sz w:val="24"/>
          <w:szCs w:val="24"/>
          <w:lang w:val="en-US" w:eastAsia="zh-CN" w:bidi="ar"/>
        </w:rPr>
        <w:t>如无相关授权或有涉及侵权风险的</w:t>
      </w:r>
      <w:r>
        <w:rPr>
          <w:rFonts w:hint="eastAsia" w:ascii="宋体" w:hAnsi="宋体" w:eastAsia="宋体" w:cs="宋体"/>
          <w:sz w:val="24"/>
          <w:szCs w:val="24"/>
          <w:lang w:bidi="ar"/>
        </w:rPr>
        <w:t>，甲方有权解除合同，并对乙方因此造成的所有损失进行追偿并追究法律责任。</w:t>
      </w:r>
    </w:p>
    <w:p w14:paraId="68017ABA">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536" w:name="_Toc13073"/>
      <w:bookmarkStart w:id="537" w:name="_Toc3783"/>
      <w:bookmarkStart w:id="538" w:name="_Toc27301"/>
      <w:bookmarkStart w:id="539" w:name="_Toc437"/>
      <w:bookmarkStart w:id="540" w:name="_Toc207096498"/>
      <w:bookmarkStart w:id="541" w:name="_Toc206751834"/>
      <w:bookmarkStart w:id="542" w:name="_Toc12724"/>
      <w:bookmarkStart w:id="543" w:name="_Toc26030"/>
      <w:r>
        <w:rPr>
          <w:rFonts w:hint="eastAsia" w:ascii="黑体" w:hAnsi="黑体" w:eastAsia="黑体" w:cs="黑体"/>
          <w:b/>
          <w:sz w:val="28"/>
          <w:szCs w:val="28"/>
        </w:rPr>
        <w:t>五、质量保证</w:t>
      </w:r>
      <w:bookmarkEnd w:id="536"/>
      <w:bookmarkEnd w:id="537"/>
      <w:bookmarkEnd w:id="538"/>
      <w:bookmarkEnd w:id="539"/>
      <w:bookmarkEnd w:id="540"/>
      <w:bookmarkEnd w:id="541"/>
      <w:bookmarkEnd w:id="542"/>
      <w:bookmarkEnd w:id="543"/>
    </w:p>
    <w:p w14:paraId="76899124">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 xml:space="preserve">乙方所提供的货物的技术规格应与招标文件规定的技术规格及所附的“技术规格响应表”相一致；若技术性能无特殊说明，则按国家有关部门最新颁布的标准及规范为准。 </w:t>
      </w:r>
    </w:p>
    <w:p w14:paraId="6E7E07A2">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乙方必须确保本项目中所有的硬件设备</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均为正规渠道采购的（厂家直接采购或向厂家正式授权的代理商采购），且该设备必须为原厂生产的、全新的、未开封的、合格的正品，并完全符合合同规定的质量、规格和性能的要求。乙方应保证其提供的货物在正确安装、正常使用和保养条件下，在其使用寿命内具有良好的性能。</w:t>
      </w:r>
    </w:p>
    <w:p w14:paraId="7986A5E4">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 xml:space="preserve">货物验收后，在质量保证期内，乙方应对由于设计、工艺或材料的缺陷所发生的任何不足或故障负责，所需费用由乙方承担。 </w:t>
      </w:r>
    </w:p>
    <w:p w14:paraId="7B37CDE9">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val="en-US" w:eastAsia="zh-CN" w:bidi="ar"/>
        </w:rPr>
        <w:t>3.</w:t>
      </w:r>
      <w:r>
        <w:rPr>
          <w:rFonts w:hint="eastAsia" w:ascii="宋体" w:hAnsi="宋体" w:eastAsia="宋体" w:cs="宋体"/>
          <w:sz w:val="24"/>
          <w:szCs w:val="24"/>
          <w:lang w:bidi="ar"/>
        </w:rPr>
        <w:t>本项目质保期：</w:t>
      </w:r>
      <w:r>
        <w:rPr>
          <w:rFonts w:hint="eastAsia" w:ascii="宋体" w:hAnsi="宋体" w:eastAsia="宋体" w:cs="宋体"/>
          <w:sz w:val="24"/>
          <w:szCs w:val="24"/>
          <w:u w:val="single"/>
          <w:lang w:bidi="ar"/>
        </w:rPr>
        <w:t>设备质保期</w:t>
      </w:r>
      <w:r>
        <w:rPr>
          <w:rFonts w:hint="eastAsia" w:ascii="宋体" w:hAnsi="宋体" w:eastAsia="宋体" w:cs="宋体"/>
          <w:sz w:val="24"/>
          <w:szCs w:val="24"/>
          <w:u w:val="single"/>
          <w:lang w:val="en-US" w:eastAsia="zh-CN" w:bidi="ar"/>
        </w:rPr>
        <w:t xml:space="preserve"> </w:t>
      </w:r>
      <w:r>
        <w:rPr>
          <w:rFonts w:hint="eastAsia" w:ascii="宋体" w:hAnsi="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bidi="ar"/>
        </w:rPr>
        <w:t>年</w:t>
      </w:r>
      <w:r>
        <w:rPr>
          <w:rFonts w:hint="eastAsia" w:ascii="宋体" w:hAnsi="宋体" w:eastAsia="宋体" w:cs="宋体"/>
          <w:sz w:val="24"/>
          <w:szCs w:val="24"/>
          <w:lang w:bidi="ar"/>
        </w:rPr>
        <w:t>，自全部产品验收合格之日起算，在质保期内，乙方应对设备出现的质量及安全问题负责处理解决并承担一切费用。质保期内，设备如出现质量问题的，经原厂两次维修或更换，问题机型仍不能达到合同约定的质量标准，甲方有权退回出现问题的货物并要求乙方更换原厂生产的、全新的、未开封的、合格的正品设备，乙方应就甲方损失进行全部赔偿。质保期满后，终身免维修、维护费，对产品的维修仅收取零配件成本费。</w:t>
      </w:r>
    </w:p>
    <w:p w14:paraId="70DB9C48">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val="en-US" w:eastAsia="zh-CN" w:bidi="ar"/>
        </w:rPr>
        <w:t>4.</w:t>
      </w:r>
      <w:r>
        <w:rPr>
          <w:rFonts w:hint="eastAsia" w:ascii="宋体" w:hAnsi="宋体" w:eastAsia="宋体" w:cs="宋体"/>
          <w:sz w:val="24"/>
          <w:szCs w:val="24"/>
          <w:lang w:bidi="ar"/>
        </w:rPr>
        <w:t>甲方在设备使用过程中发生技术质量问题，乙方应提供及时有效的技术支持。乙方在合同履行期及后续服务期内，应保持联络畅通，如更换技术支持人员，应及时通知甲方，若因未履行通知义务，在质量问题出现24小时内仍无法联系到乙方，甲方可自行联系其他维修单位就行维修，产生的费用由乙方承担。</w:t>
      </w:r>
    </w:p>
    <w:p w14:paraId="6A1DB2DC">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val="en-US" w:eastAsia="zh-CN" w:bidi="ar"/>
        </w:rPr>
        <w:t>5.</w:t>
      </w:r>
      <w:r>
        <w:rPr>
          <w:rFonts w:hint="eastAsia" w:ascii="宋体" w:hAnsi="宋体" w:eastAsia="宋体" w:cs="宋体"/>
          <w:sz w:val="24"/>
          <w:szCs w:val="24"/>
          <w:lang w:bidi="ar"/>
        </w:rPr>
        <w:t>乙方应保障甲方拥有系统软件完整、永久、免费的权限，如涉及收费使用的，该费用由乙方自行承担。如产品交付后，甲方不能正常使用软件部分，甲方有权要求乙方承担合同总金额30%的违约金。</w:t>
      </w:r>
    </w:p>
    <w:p w14:paraId="0F933F13">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544" w:name="_Toc21790"/>
      <w:bookmarkStart w:id="545" w:name="_Toc207096499"/>
      <w:bookmarkStart w:id="546" w:name="_Toc24323"/>
      <w:bookmarkStart w:id="547" w:name="_Toc2982"/>
      <w:bookmarkStart w:id="548" w:name="_Toc1744"/>
      <w:bookmarkStart w:id="549" w:name="_Toc206751835"/>
      <w:bookmarkStart w:id="550" w:name="_Toc27231"/>
      <w:bookmarkStart w:id="551" w:name="_Toc16659"/>
      <w:r>
        <w:rPr>
          <w:rFonts w:hint="eastAsia" w:ascii="黑体" w:hAnsi="黑体" w:eastAsia="黑体" w:cs="黑体"/>
          <w:b/>
          <w:sz w:val="28"/>
          <w:szCs w:val="28"/>
        </w:rPr>
        <w:t>六、包装要求</w:t>
      </w:r>
      <w:bookmarkEnd w:id="544"/>
      <w:bookmarkEnd w:id="545"/>
      <w:bookmarkEnd w:id="546"/>
      <w:bookmarkEnd w:id="547"/>
      <w:bookmarkEnd w:id="548"/>
      <w:bookmarkEnd w:id="549"/>
      <w:bookmarkEnd w:id="550"/>
      <w:bookmarkEnd w:id="551"/>
    </w:p>
    <w:p w14:paraId="4A15A042">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cs="宋体"/>
          <w:sz w:val="24"/>
          <w:szCs w:val="24"/>
          <w:lang w:val="en-US" w:eastAsia="zh-CN" w:bidi="ar"/>
        </w:rPr>
        <w:t>.</w:t>
      </w:r>
      <w:r>
        <w:rPr>
          <w:rFonts w:hint="eastAsia" w:ascii="宋体" w:hAnsi="宋体" w:eastAsia="宋体" w:cs="宋体"/>
          <w:sz w:val="24"/>
          <w:szCs w:val="24"/>
          <w:lang w:bidi="ar"/>
        </w:rPr>
        <w:t>除合同另有规定外，乙方提供的全部设备均应按标准保护措施进行包装。该包装应适应于远距离运输、防潮、防震、防锈和防野蛮装卸，以确保货物安全无损运抵指定地点。由于包装不善所引起的货物损失均由乙方承担。</w:t>
      </w:r>
    </w:p>
    <w:p w14:paraId="3AB69F25">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cs="宋体"/>
          <w:sz w:val="24"/>
          <w:szCs w:val="24"/>
          <w:lang w:val="en-US" w:eastAsia="zh-CN" w:bidi="ar"/>
        </w:rPr>
        <w:t>.</w:t>
      </w:r>
      <w:r>
        <w:rPr>
          <w:rFonts w:hint="eastAsia" w:ascii="宋体" w:hAnsi="宋体" w:eastAsia="宋体" w:cs="宋体"/>
          <w:sz w:val="24"/>
          <w:szCs w:val="24"/>
          <w:lang w:bidi="ar"/>
        </w:rPr>
        <w:t>包装和运输（如适用，须满足《关于印发〈商品包装政府采购 需求标准（试行）〉、〈快递包装政府采购需求标准（试行）〉的通知》（财办库〔2020〕123号））。</w:t>
      </w:r>
    </w:p>
    <w:p w14:paraId="7E77A4D8">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3</w:t>
      </w:r>
      <w:r>
        <w:rPr>
          <w:rFonts w:hint="eastAsia" w:ascii="宋体" w:hAnsi="宋体" w:cs="宋体"/>
          <w:sz w:val="24"/>
          <w:szCs w:val="24"/>
          <w:lang w:val="en-US" w:eastAsia="zh-CN" w:bidi="ar"/>
        </w:rPr>
        <w:t>.</w:t>
      </w:r>
      <w:r>
        <w:rPr>
          <w:rFonts w:hint="eastAsia" w:ascii="宋体" w:hAnsi="宋体" w:eastAsia="宋体" w:cs="宋体"/>
          <w:sz w:val="24"/>
          <w:szCs w:val="24"/>
          <w:lang w:bidi="ar"/>
        </w:rPr>
        <w:t>每一包装单元内应附详细的装箱单和质量合格凭证。</w:t>
      </w:r>
      <w:bookmarkStart w:id="552" w:name="_Toc27776"/>
    </w:p>
    <w:p w14:paraId="5550AD64">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553" w:name="_Toc207096500"/>
      <w:bookmarkStart w:id="554" w:name="_Toc4311"/>
      <w:bookmarkStart w:id="555" w:name="_Toc21865"/>
      <w:bookmarkStart w:id="556" w:name="_Toc206751836"/>
      <w:bookmarkStart w:id="557" w:name="_Toc30299"/>
      <w:bookmarkStart w:id="558" w:name="_Toc6023"/>
      <w:bookmarkStart w:id="559" w:name="_Toc32245"/>
      <w:r>
        <w:rPr>
          <w:rFonts w:hint="eastAsia" w:ascii="黑体" w:hAnsi="黑体" w:eastAsia="黑体" w:cs="黑体"/>
          <w:b/>
          <w:sz w:val="28"/>
          <w:szCs w:val="28"/>
        </w:rPr>
        <w:t>七、交货和验收</w:t>
      </w:r>
      <w:bookmarkEnd w:id="552"/>
      <w:bookmarkEnd w:id="553"/>
      <w:bookmarkEnd w:id="554"/>
      <w:bookmarkEnd w:id="555"/>
      <w:bookmarkEnd w:id="556"/>
      <w:bookmarkEnd w:id="557"/>
      <w:bookmarkEnd w:id="558"/>
      <w:bookmarkEnd w:id="559"/>
    </w:p>
    <w:p w14:paraId="1F3F6AF6">
      <w:pPr>
        <w:keepLines w:val="0"/>
        <w:pageBreakBefore w:val="0"/>
        <w:widowControl/>
        <w:kinsoku/>
        <w:wordWrap/>
        <w:overflowPunct/>
        <w:topLinePunct w:val="0"/>
        <w:autoSpaceDE/>
        <w:autoSpaceDN/>
        <w:bidi w:val="0"/>
        <w:adjustRightInd/>
        <w:snapToGrid/>
        <w:spacing w:line="360" w:lineRule="auto"/>
        <w:ind w:left="0" w:right="0" w:firstLine="480" w:firstLineChars="200"/>
        <w:jc w:val="both"/>
        <w:rPr>
          <w:rFonts w:hint="eastAsia" w:ascii="宋体" w:hAnsi="宋体" w:eastAsia="宋体" w:cs="宋体"/>
          <w:color w:val="000000"/>
          <w:sz w:val="24"/>
          <w:szCs w:val="24"/>
          <w:lang w:bidi="ar"/>
        </w:rPr>
      </w:pPr>
      <w:r>
        <w:rPr>
          <w:rFonts w:hint="eastAsia" w:ascii="宋体" w:hAnsi="宋体" w:eastAsia="宋体" w:cs="宋体"/>
          <w:sz w:val="24"/>
          <w:szCs w:val="24"/>
          <w:lang w:bidi="ar"/>
        </w:rPr>
        <w:t>1</w:t>
      </w:r>
      <w:r>
        <w:rPr>
          <w:rFonts w:hint="eastAsia" w:ascii="宋体" w:hAnsi="宋体" w:cs="宋体"/>
          <w:sz w:val="24"/>
          <w:szCs w:val="24"/>
          <w:lang w:val="en-US" w:eastAsia="zh-CN" w:bidi="ar"/>
        </w:rPr>
        <w:t>.</w:t>
      </w:r>
      <w:r>
        <w:rPr>
          <w:rFonts w:hint="eastAsia" w:ascii="宋体" w:hAnsi="宋体" w:eastAsia="宋体" w:cs="宋体"/>
          <w:sz w:val="24"/>
          <w:szCs w:val="24"/>
          <w:lang w:bidi="ar"/>
        </w:rPr>
        <w:t>乙方应当在</w:t>
      </w:r>
      <w:r>
        <w:rPr>
          <w:rFonts w:hint="eastAsia" w:ascii="宋体" w:hAnsi="宋体" w:eastAsia="宋体" w:cs="宋体"/>
          <w:kern w:val="2"/>
          <w:sz w:val="24"/>
          <w:szCs w:val="24"/>
          <w:lang w:val="en-US" w:eastAsia="zh-CN" w:bidi="ar"/>
        </w:rPr>
        <w:t>合同签订后</w:t>
      </w:r>
      <w:r>
        <w:rPr>
          <w:rFonts w:hint="eastAsia" w:ascii="宋体" w:hAnsi="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天内完成全部建设、安装、调试培训、运行并交付使用</w:t>
      </w:r>
      <w:r>
        <w:rPr>
          <w:rFonts w:hint="eastAsia" w:ascii="宋体" w:hAnsi="宋体" w:eastAsia="宋体" w:cs="宋体"/>
          <w:sz w:val="24"/>
          <w:szCs w:val="24"/>
          <w:lang w:bidi="ar"/>
        </w:rPr>
        <w:t>，</w:t>
      </w:r>
      <w:r>
        <w:rPr>
          <w:rFonts w:hint="eastAsia" w:ascii="宋体" w:hAnsi="宋体" w:eastAsia="宋体" w:cs="宋体"/>
          <w:color w:val="000000"/>
          <w:sz w:val="24"/>
          <w:szCs w:val="24"/>
          <w:lang w:bidi="ar"/>
        </w:rPr>
        <w:t xml:space="preserve">保证项目功能全部无瑕疵的实现，并保证按招标内容的要求完成全部相关服务，地点由甲方指定。 </w:t>
      </w:r>
    </w:p>
    <w:p w14:paraId="7D2EBCE1">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cs="宋体"/>
          <w:sz w:val="24"/>
          <w:szCs w:val="24"/>
          <w:lang w:val="en-US" w:eastAsia="zh-CN" w:bidi="ar"/>
        </w:rPr>
        <w:t>.</w:t>
      </w:r>
      <w:r>
        <w:rPr>
          <w:rFonts w:hint="eastAsia" w:ascii="宋体" w:hAnsi="宋体" w:eastAsia="宋体" w:cs="宋体"/>
          <w:sz w:val="24"/>
          <w:szCs w:val="24"/>
          <w:lang w:bidi="ar"/>
        </w:rPr>
        <w:t>乙方交付的设备应当完全符合本合同或者招投标文件所规定的全部要求。乙方不得少交或多交货物。若乙方提供的设备及系统参数或功能不符合或不能完全符合招投标文件和合同要求的，甲方将拒收全部货物并解除合同，乙方将承担一切后果，甲方有权追究乙方的虚假应标行为带来的法律后果以及经济损失。</w:t>
      </w:r>
    </w:p>
    <w:p w14:paraId="0783C249">
      <w:pPr>
        <w:keepLines w:val="0"/>
        <w:pageBreakBefore w:val="0"/>
        <w:widowControl/>
        <w:kinsoku/>
        <w:wordWrap/>
        <w:overflowPunct/>
        <w:topLinePunct w:val="0"/>
        <w:autoSpaceDE/>
        <w:autoSpaceDN/>
        <w:bidi w:val="0"/>
        <w:snapToGrid/>
        <w:spacing w:line="360" w:lineRule="auto"/>
        <w:ind w:left="0" w:right="0" w:firstLine="480" w:firstLineChars="200"/>
        <w:jc w:val="both"/>
        <w:rPr>
          <w:rFonts w:hint="eastAsia" w:ascii="宋体" w:hAnsi="宋体" w:eastAsia="宋体" w:cs="宋体"/>
          <w:color w:val="000000"/>
          <w:sz w:val="24"/>
          <w:szCs w:val="24"/>
          <w:lang w:bidi="ar"/>
        </w:rPr>
      </w:pPr>
      <w:r>
        <w:rPr>
          <w:rFonts w:hint="eastAsia" w:ascii="宋体" w:hAnsi="宋体" w:eastAsia="宋体" w:cs="宋体"/>
          <w:sz w:val="24"/>
          <w:szCs w:val="24"/>
          <w:lang w:bidi="ar"/>
        </w:rPr>
        <w:t>3</w:t>
      </w:r>
      <w:r>
        <w:rPr>
          <w:rFonts w:hint="eastAsia" w:ascii="宋体" w:hAnsi="宋体" w:cs="宋体"/>
          <w:sz w:val="24"/>
          <w:szCs w:val="24"/>
          <w:lang w:val="en-US" w:eastAsia="zh-CN" w:bidi="ar"/>
        </w:rPr>
        <w:t>.</w:t>
      </w:r>
      <w:r>
        <w:rPr>
          <w:rFonts w:hint="eastAsia" w:ascii="宋体" w:hAnsi="宋体" w:eastAsia="宋体" w:cs="宋体"/>
          <w:color w:val="000000"/>
          <w:sz w:val="24"/>
          <w:szCs w:val="24"/>
          <w:lang w:bidi="ar"/>
        </w:rPr>
        <w:t>验收程序：</w:t>
      </w:r>
    </w:p>
    <w:p w14:paraId="5BB7B71D">
      <w:pPr>
        <w:keepLines w:val="0"/>
        <w:pageBreakBefore w:val="0"/>
        <w:widowControl/>
        <w:kinsoku/>
        <w:wordWrap/>
        <w:overflowPunct/>
        <w:topLinePunct w:val="0"/>
        <w:autoSpaceDE/>
        <w:autoSpaceDN/>
        <w:bidi w:val="0"/>
        <w:snapToGrid/>
        <w:spacing w:line="360" w:lineRule="auto"/>
        <w:ind w:left="0" w:right="0" w:firstLine="480" w:firstLineChars="200"/>
        <w:jc w:val="both"/>
        <w:rPr>
          <w:rFonts w:hint="eastAsia" w:ascii="宋体" w:hAnsi="宋体" w:eastAsia="宋体" w:cs="宋体"/>
          <w:sz w:val="24"/>
          <w:szCs w:val="24"/>
          <w:lang w:bidi="ar"/>
        </w:rPr>
      </w:pPr>
      <w:r>
        <w:rPr>
          <w:rFonts w:hint="eastAsia" w:ascii="宋体" w:hAnsi="宋体" w:cs="宋体"/>
          <w:sz w:val="24"/>
          <w:szCs w:val="24"/>
          <w:lang w:val="en-US" w:eastAsia="zh-CN" w:bidi="ar"/>
        </w:rPr>
        <w:t>（1）</w:t>
      </w:r>
      <w:r>
        <w:rPr>
          <w:rFonts w:hint="eastAsia" w:ascii="宋体" w:hAnsi="宋体" w:eastAsia="宋体" w:cs="宋体"/>
          <w:sz w:val="24"/>
          <w:szCs w:val="24"/>
          <w:lang w:bidi="ar"/>
        </w:rPr>
        <w:t>验收分为预验收与正式验收。</w:t>
      </w:r>
    </w:p>
    <w:p w14:paraId="0C452F93">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val="en-US" w:eastAsia="zh-CN" w:bidi="ar"/>
        </w:rPr>
        <w:t>（2）</w:t>
      </w:r>
      <w:r>
        <w:rPr>
          <w:rFonts w:hint="eastAsia" w:ascii="宋体" w:hAnsi="宋体" w:eastAsia="宋体" w:cs="宋体"/>
          <w:sz w:val="24"/>
          <w:szCs w:val="24"/>
          <w:lang w:bidi="ar"/>
        </w:rPr>
        <w:t>甲方应当在到货后的5个工作日内对货物进行预验收，预验收内容为型号、规格参数是否与招标参数一致、数量、外观质量及货物包装是否完好。</w:t>
      </w:r>
    </w:p>
    <w:p w14:paraId="3A39C3B1">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val="en-US" w:eastAsia="zh-CN" w:bidi="ar"/>
        </w:rPr>
        <w:t>（3）</w:t>
      </w:r>
      <w:r>
        <w:rPr>
          <w:rFonts w:hint="eastAsia" w:ascii="宋体" w:hAnsi="宋体" w:eastAsia="宋体" w:cs="宋体"/>
          <w:sz w:val="24"/>
          <w:szCs w:val="24"/>
          <w:lang w:bidi="ar"/>
        </w:rPr>
        <w:t>预验收时，乙方应将所提供设备的装箱清单、说明书、原厂保修卡、随货资料、配件、设备编码以及合同中要求出具的全部授权及承诺等交付给甲方，单证不齐全的，则甲方将拒收全部货物并按本合同约定承担违约责任。若乙方提供的货物完全满足预验收要求，则预验收通过。</w:t>
      </w:r>
    </w:p>
    <w:p w14:paraId="06B4FDE7">
      <w:pPr>
        <w:keepLines w:val="0"/>
        <w:pageBreakBefore w:val="0"/>
        <w:widowControl/>
        <w:kinsoku/>
        <w:wordWrap/>
        <w:overflowPunct/>
        <w:topLinePunct w:val="0"/>
        <w:autoSpaceDE/>
        <w:autoSpaceDN/>
        <w:bidi w:val="0"/>
        <w:snapToGrid/>
        <w:spacing w:line="360" w:lineRule="auto"/>
        <w:ind w:left="0" w:right="0" w:firstLine="480" w:firstLineChars="200"/>
        <w:jc w:val="both"/>
        <w:rPr>
          <w:rFonts w:hint="eastAsia" w:ascii="宋体" w:hAnsi="宋体" w:eastAsia="宋体" w:cs="宋体"/>
          <w:color w:val="000000"/>
          <w:sz w:val="24"/>
          <w:szCs w:val="24"/>
          <w:lang w:bidi="ar"/>
        </w:rPr>
      </w:pPr>
      <w:r>
        <w:rPr>
          <w:rFonts w:hint="eastAsia" w:ascii="宋体" w:hAnsi="宋体" w:cs="宋体"/>
          <w:sz w:val="24"/>
          <w:szCs w:val="24"/>
          <w:lang w:eastAsia="zh-CN" w:bidi="ar"/>
        </w:rPr>
        <w:t>（</w:t>
      </w:r>
      <w:r>
        <w:rPr>
          <w:rFonts w:hint="eastAsia" w:ascii="宋体" w:hAnsi="宋体" w:cs="宋体"/>
          <w:sz w:val="24"/>
          <w:szCs w:val="24"/>
          <w:lang w:val="en-US" w:eastAsia="zh-CN" w:bidi="ar"/>
        </w:rPr>
        <w:t>4</w:t>
      </w:r>
      <w:r>
        <w:rPr>
          <w:rFonts w:hint="eastAsia" w:ascii="宋体" w:hAnsi="宋体" w:cs="宋体"/>
          <w:sz w:val="24"/>
          <w:szCs w:val="24"/>
          <w:lang w:eastAsia="zh-CN" w:bidi="ar"/>
        </w:rPr>
        <w:t>）</w:t>
      </w:r>
      <w:r>
        <w:rPr>
          <w:rFonts w:hint="eastAsia" w:ascii="宋体" w:hAnsi="宋体" w:eastAsia="宋体" w:cs="宋体"/>
          <w:sz w:val="24"/>
          <w:szCs w:val="24"/>
          <w:lang w:bidi="ar"/>
        </w:rPr>
        <w:t>正式验收时，甲方将根据招标文件的要求，本项目验收必须一次性通过，乙方提供的所有货物必须完全满足招标文件及合同文件中的所有要求，如在验收过程中发现乙方提供的产品不满足或不能完全满足招标文件及合同文件中的所有要求的，甲方有权验收不合格并根据合同约定追究违约责任。乙方提供的所有货物完全满足招标文件及合同文件中的所有要求后，视为验收合格，由甲方签署验收单并加盖单位公章。</w:t>
      </w:r>
    </w:p>
    <w:p w14:paraId="7970A2F3">
      <w:pPr>
        <w:keepLines w:val="0"/>
        <w:pageBreakBefore w:val="0"/>
        <w:widowControl/>
        <w:kinsoku/>
        <w:wordWrap/>
        <w:overflowPunct/>
        <w:topLinePunct w:val="0"/>
        <w:autoSpaceDE/>
        <w:autoSpaceDN/>
        <w:bidi w:val="0"/>
        <w:snapToGrid/>
        <w:spacing w:line="360" w:lineRule="auto"/>
        <w:ind w:left="0" w:right="0" w:firstLine="480" w:firstLineChars="200"/>
        <w:jc w:val="both"/>
        <w:rPr>
          <w:rFonts w:hint="eastAsia" w:ascii="宋体" w:hAnsi="宋体" w:eastAsia="宋体" w:cs="宋体"/>
          <w:sz w:val="24"/>
          <w:szCs w:val="24"/>
          <w:lang w:bidi="ar"/>
        </w:rPr>
      </w:pPr>
      <w:r>
        <w:rPr>
          <w:rFonts w:hint="eastAsia" w:ascii="宋体" w:hAnsi="宋体" w:cs="宋体"/>
          <w:sz w:val="24"/>
          <w:szCs w:val="24"/>
          <w:lang w:eastAsia="zh-CN" w:bidi="ar"/>
        </w:rPr>
        <w:t>（</w:t>
      </w:r>
      <w:r>
        <w:rPr>
          <w:rFonts w:hint="eastAsia" w:ascii="宋体" w:hAnsi="宋体" w:cs="宋体"/>
          <w:sz w:val="24"/>
          <w:szCs w:val="24"/>
          <w:lang w:val="en-US" w:eastAsia="zh-CN" w:bidi="ar"/>
        </w:rPr>
        <w:t>5</w:t>
      </w:r>
      <w:r>
        <w:rPr>
          <w:rFonts w:hint="eastAsia" w:ascii="宋体" w:hAnsi="宋体" w:cs="宋体"/>
          <w:sz w:val="24"/>
          <w:szCs w:val="24"/>
          <w:lang w:eastAsia="zh-CN" w:bidi="ar"/>
        </w:rPr>
        <w:t>）</w:t>
      </w:r>
      <w:r>
        <w:rPr>
          <w:rFonts w:hint="eastAsia" w:ascii="宋体" w:hAnsi="宋体" w:eastAsia="宋体" w:cs="宋体"/>
          <w:sz w:val="24"/>
          <w:szCs w:val="24"/>
          <w:lang w:bidi="ar"/>
        </w:rPr>
        <w:t>验收通过后，如甲方发现乙方侵犯了第三方的专利权、版权、商标权、软件著作权以及其他权利，或因乙方提供的货物、软件及资源涉及军事机密、国家机密以及法律法规禁止的信息，或发现乙方在招投标及合同履行过程中存在虚假行为的，甲方仍然有权解除合同并追究乙方的一切法律责任。</w:t>
      </w:r>
    </w:p>
    <w:p w14:paraId="1F219FC5">
      <w:pPr>
        <w:pStyle w:val="19"/>
        <w:keepLines w:val="0"/>
        <w:pageBreakBefore w:val="0"/>
        <w:kinsoku/>
        <w:wordWrap/>
        <w:overflowPunct/>
        <w:topLinePunct w:val="0"/>
        <w:autoSpaceDE/>
        <w:autoSpaceDN/>
        <w:bidi w:val="0"/>
        <w:snapToGrid/>
        <w:spacing w:line="360" w:lineRule="auto"/>
        <w:ind w:left="0" w:right="0" w:firstLine="450" w:firstLineChars="200"/>
        <w:jc w:val="both"/>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bidi="ar"/>
        </w:rPr>
        <w:t>4</w:t>
      </w:r>
      <w:r>
        <w:rPr>
          <w:rFonts w:hint="eastAsia" w:ascii="宋体" w:hAnsi="宋体" w:eastAsia="宋体" w:cs="宋体"/>
          <w:sz w:val="24"/>
          <w:szCs w:val="24"/>
          <w:lang w:eastAsia="zh-CN"/>
        </w:rPr>
        <w:t>.乙方确认项目负责人为：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，联系方式：</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在双方确认项目负责人后，乙方不得任意更换项目负责人，如乙方确实需要更换项目负责人的，必须经双方协商一致同意后，乙方方可委派同资历的人员来更换现有人员进行实施。乙方必须保证任何更换不会影响到项目实施的质量及项目实施进度。</w:t>
      </w:r>
    </w:p>
    <w:p w14:paraId="255A26B7">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8"/>
          <w:szCs w:val="28"/>
        </w:rPr>
      </w:pPr>
      <w:r>
        <w:rPr>
          <w:rFonts w:hint="eastAsia" w:ascii="宋体" w:hAnsi="宋体" w:cs="宋体"/>
          <w:sz w:val="24"/>
          <w:szCs w:val="24"/>
          <w:lang w:val="en-US" w:eastAsia="zh-CN"/>
        </w:rPr>
        <w:t>5</w:t>
      </w:r>
      <w:r>
        <w:rPr>
          <w:rFonts w:hint="eastAsia" w:ascii="宋体" w:hAnsi="宋体" w:eastAsia="宋体" w:cs="宋体"/>
          <w:sz w:val="24"/>
          <w:szCs w:val="24"/>
        </w:rPr>
        <w:t>.乙方应自觉维护甲方的利益，对甲方信息严格保密，不得向任何单位和个人泄露所掌握的数据等信息，否则造成的后果和损失，由乙方承担。</w:t>
      </w:r>
    </w:p>
    <w:p w14:paraId="02182462">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560" w:name="_Toc32537"/>
      <w:bookmarkStart w:id="561" w:name="_Toc10460"/>
      <w:bookmarkStart w:id="562" w:name="_Toc32660"/>
      <w:bookmarkStart w:id="563" w:name="_Toc17334"/>
      <w:bookmarkStart w:id="564" w:name="_Toc206751837"/>
      <w:bookmarkStart w:id="565" w:name="_Toc207096501"/>
      <w:bookmarkStart w:id="566" w:name="_Toc29651"/>
      <w:bookmarkStart w:id="567" w:name="_Toc14276"/>
      <w:r>
        <w:rPr>
          <w:rFonts w:hint="eastAsia" w:ascii="黑体" w:hAnsi="黑体" w:eastAsia="黑体" w:cs="黑体"/>
          <w:b/>
          <w:sz w:val="28"/>
          <w:szCs w:val="28"/>
        </w:rPr>
        <w:t>八、伴随服务／售后服务</w:t>
      </w:r>
      <w:bookmarkEnd w:id="560"/>
      <w:bookmarkEnd w:id="561"/>
      <w:bookmarkEnd w:id="562"/>
      <w:bookmarkEnd w:id="563"/>
      <w:bookmarkEnd w:id="564"/>
      <w:bookmarkEnd w:id="565"/>
      <w:bookmarkEnd w:id="566"/>
      <w:bookmarkEnd w:id="567"/>
      <w:r>
        <w:rPr>
          <w:rFonts w:hint="eastAsia" w:ascii="黑体" w:hAnsi="黑体" w:eastAsia="黑体" w:cs="黑体"/>
          <w:b/>
          <w:sz w:val="28"/>
          <w:szCs w:val="28"/>
        </w:rPr>
        <w:t xml:space="preserve"> </w:t>
      </w:r>
    </w:p>
    <w:p w14:paraId="079A760B">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 xml:space="preserve">乙方应按照国家有关法律法规规章和“三包”规定以及合同所附的“服务承诺”以及合同要求的授权、承诺及单证提供服务。 </w:t>
      </w:r>
    </w:p>
    <w:p w14:paraId="7DC39EF5">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除前款规定外，乙方还应提供下列服务：</w:t>
      </w:r>
    </w:p>
    <w:p w14:paraId="4E8E0495">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 xml:space="preserve">（1）货物的现场安装、调试和/或启动监督； </w:t>
      </w:r>
    </w:p>
    <w:p w14:paraId="36ACFDD4">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 xml:space="preserve">（2）就货物的安装、启动、运行及维护等对甲方人员进行免费培训。 </w:t>
      </w:r>
    </w:p>
    <w:p w14:paraId="6271EA3C">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（3）乙方确保甲方使用该产品不涉及专利权、版权、商标权、软件著作权以及其他权利的侵犯，且可供甲方永久使用的正式授权。</w:t>
      </w:r>
    </w:p>
    <w:p w14:paraId="5C0F2C26">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3</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乙方每年提供不少于</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bidi="ar"/>
        </w:rPr>
        <w:t>次的现场设备维护及不少于</w:t>
      </w:r>
      <w:r>
        <w:rPr>
          <w:rFonts w:hint="eastAsia" w:ascii="宋体" w:hAnsi="宋体" w:eastAsia="宋体" w:cs="宋体"/>
          <w:sz w:val="24"/>
          <w:szCs w:val="24"/>
          <w:u w:val="single"/>
          <w:lang w:val="en-US" w:eastAsia="zh-CN" w:bidi="ar"/>
        </w:rPr>
        <w:t xml:space="preserve">  </w:t>
      </w:r>
      <w:r>
        <w:rPr>
          <w:rFonts w:hint="eastAsia" w:ascii="宋体" w:hAnsi="宋体" w:cs="宋体"/>
          <w:sz w:val="24"/>
          <w:szCs w:val="24"/>
          <w:u w:val="single"/>
          <w:lang w:val="en-US" w:eastAsia="zh-CN" w:bidi="ar"/>
        </w:rPr>
        <w:t xml:space="preserve"> </w:t>
      </w:r>
      <w:r>
        <w:rPr>
          <w:rFonts w:hint="eastAsia" w:ascii="宋体" w:hAnsi="宋体" w:eastAsia="宋体" w:cs="宋体"/>
          <w:sz w:val="24"/>
          <w:szCs w:val="24"/>
          <w:lang w:bidi="ar"/>
        </w:rPr>
        <w:t>次现场巡访。</w:t>
      </w:r>
    </w:p>
    <w:p w14:paraId="4BEEA845">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highlight w:val="none"/>
          <w:lang w:bidi="ar"/>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乙方保证在接到甲方报修通知后</w:t>
      </w:r>
      <w:r>
        <w:rPr>
          <w:rFonts w:hint="eastAsia" w:ascii="宋体" w:hAnsi="宋体" w:cs="宋体"/>
          <w:sz w:val="24"/>
          <w:szCs w:val="24"/>
          <w:u w:val="single"/>
          <w:lang w:val="en-US" w:eastAsia="zh-CN" w:bidi="ar"/>
        </w:rPr>
        <w:t xml:space="preserve">     </w:t>
      </w:r>
      <w:r>
        <w:rPr>
          <w:rFonts w:hint="eastAsia" w:ascii="宋体" w:hAnsi="宋体" w:eastAsia="宋体" w:cs="宋体"/>
          <w:sz w:val="24"/>
          <w:szCs w:val="24"/>
          <w:lang w:val="en-US" w:eastAsia="zh-CN" w:bidi="ar"/>
        </w:rPr>
        <w:t>小时</w:t>
      </w:r>
      <w:r>
        <w:rPr>
          <w:rFonts w:hint="eastAsia" w:ascii="宋体" w:hAnsi="宋体" w:eastAsia="宋体" w:cs="宋体"/>
          <w:sz w:val="24"/>
          <w:szCs w:val="24"/>
          <w:lang w:bidi="ar"/>
        </w:rPr>
        <w:t>内响应，</w:t>
      </w:r>
      <w:r>
        <w:rPr>
          <w:rFonts w:hint="eastAsia" w:ascii="宋体" w:hAnsi="宋体" w:eastAsia="宋体" w:cs="宋体"/>
          <w:sz w:val="24"/>
          <w:szCs w:val="24"/>
          <w:highlight w:val="none"/>
          <w:lang w:bidi="ar"/>
        </w:rPr>
        <w:t>若远程协助不能解决问题的，</w:t>
      </w:r>
      <w:r>
        <w:rPr>
          <w:rFonts w:hint="eastAsia" w:ascii="宋体" w:hAnsi="宋体" w:cs="宋体"/>
          <w:sz w:val="24"/>
          <w:szCs w:val="24"/>
          <w:u w:val="single"/>
          <w:lang w:val="en-US" w:eastAsia="zh-CN" w:bidi="ar"/>
        </w:rPr>
        <w:t xml:space="preserve">     </w:t>
      </w:r>
      <w:r>
        <w:rPr>
          <w:rFonts w:hint="eastAsia" w:ascii="宋体" w:hAnsi="宋体" w:eastAsia="宋体" w:cs="宋体"/>
          <w:sz w:val="24"/>
          <w:szCs w:val="24"/>
          <w:lang w:bidi="ar"/>
        </w:rPr>
        <w:t>小时内到达现场检修，若设备故障在检修</w:t>
      </w:r>
      <w:r>
        <w:rPr>
          <w:rFonts w:hint="eastAsia" w:ascii="宋体" w:hAnsi="宋体" w:eastAsia="宋体" w:cs="宋体"/>
          <w:sz w:val="24"/>
          <w:szCs w:val="24"/>
          <w:u w:val="single"/>
          <w:lang w:bidi="ar"/>
        </w:rPr>
        <w:t xml:space="preserve"> </w:t>
      </w:r>
      <w:r>
        <w:rPr>
          <w:rFonts w:hint="eastAsia" w:ascii="宋体" w:hAnsi="宋体" w:cs="宋体"/>
          <w:sz w:val="24"/>
          <w:szCs w:val="24"/>
          <w:u w:val="single"/>
          <w:lang w:val="en-US" w:eastAsia="zh-CN"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工作小时后仍无法排除，乙方应在</w:t>
      </w:r>
      <w:r>
        <w:rPr>
          <w:rFonts w:hint="eastAsia" w:ascii="宋体" w:hAnsi="宋体" w:eastAsia="宋体" w:cs="宋体"/>
          <w:sz w:val="24"/>
          <w:szCs w:val="24"/>
          <w:u w:val="single"/>
          <w:lang w:bidi="ar"/>
        </w:rPr>
        <w:t xml:space="preserve"> </w:t>
      </w:r>
      <w:r>
        <w:rPr>
          <w:rFonts w:hint="eastAsia" w:ascii="宋体" w:hAnsi="宋体" w:cs="宋体"/>
          <w:sz w:val="24"/>
          <w:szCs w:val="24"/>
          <w:u w:val="single"/>
          <w:lang w:val="en-US" w:eastAsia="zh-CN"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小时内免费提</w:t>
      </w:r>
      <w:r>
        <w:rPr>
          <w:rFonts w:hint="eastAsia" w:ascii="宋体" w:hAnsi="宋体" w:eastAsia="宋体" w:cs="宋体"/>
          <w:sz w:val="24"/>
          <w:szCs w:val="24"/>
          <w:highlight w:val="none"/>
          <w:lang w:bidi="ar"/>
        </w:rPr>
        <w:t>供不低于故障货物规格型号档次的备用货物供甲方使用，直至故障货物修复。</w:t>
      </w:r>
    </w:p>
    <w:p w14:paraId="1B9BB53C">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highlight w:val="none"/>
        </w:rPr>
      </w:pPr>
      <w:bookmarkStart w:id="568" w:name="_Hlk115101381"/>
      <w:bookmarkEnd w:id="568"/>
      <w:bookmarkStart w:id="569" w:name="_Toc13738"/>
      <w:bookmarkStart w:id="570" w:name="_Toc22775"/>
      <w:bookmarkStart w:id="571" w:name="_Toc28702"/>
      <w:bookmarkStart w:id="572" w:name="_Toc15647"/>
      <w:bookmarkStart w:id="573" w:name="_Toc207096502"/>
      <w:bookmarkStart w:id="574" w:name="_Toc12340"/>
      <w:bookmarkStart w:id="575" w:name="_Toc206751838"/>
      <w:bookmarkStart w:id="576" w:name="_Toc11107"/>
      <w:r>
        <w:rPr>
          <w:rFonts w:hint="eastAsia" w:ascii="黑体" w:hAnsi="黑体" w:eastAsia="黑体" w:cs="黑体"/>
          <w:b/>
          <w:sz w:val="28"/>
          <w:szCs w:val="28"/>
          <w:highlight w:val="none"/>
        </w:rPr>
        <w:t>九、货款支付</w:t>
      </w:r>
      <w:bookmarkEnd w:id="569"/>
      <w:bookmarkEnd w:id="570"/>
      <w:bookmarkEnd w:id="571"/>
      <w:bookmarkEnd w:id="572"/>
      <w:bookmarkEnd w:id="573"/>
      <w:bookmarkEnd w:id="574"/>
      <w:bookmarkEnd w:id="575"/>
      <w:bookmarkEnd w:id="576"/>
      <w:r>
        <w:rPr>
          <w:rFonts w:hint="eastAsia" w:ascii="黑体" w:hAnsi="黑体" w:eastAsia="黑体" w:cs="黑体"/>
          <w:b/>
          <w:sz w:val="28"/>
          <w:szCs w:val="28"/>
          <w:highlight w:val="none"/>
        </w:rPr>
        <w:t xml:space="preserve"> </w:t>
      </w:r>
    </w:p>
    <w:p w14:paraId="70776BD2">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u w:val="single"/>
          <w:lang w:bidi="ar"/>
        </w:rPr>
        <w:t>在乙方供货、安装调试完毕、培训结束后申请甲方验收，甲方验收合格后，由乙方开具等额的增值税专用发票给甲方，甲方收到后30日内一次性支付合同价款</w:t>
      </w:r>
      <w:bookmarkStart w:id="577" w:name="_Toc28500"/>
      <w:bookmarkStart w:id="578" w:name="_Toc28665"/>
      <w:bookmarkStart w:id="579" w:name="_Toc32401"/>
      <w:r>
        <w:rPr>
          <w:rFonts w:hint="eastAsia" w:ascii="宋体" w:hAnsi="宋体" w:eastAsia="宋体" w:cs="宋体"/>
          <w:sz w:val="24"/>
          <w:szCs w:val="24"/>
          <w:highlight w:val="none"/>
          <w:u w:val="single"/>
          <w:lang w:bidi="ar"/>
        </w:rPr>
        <w:t>。</w:t>
      </w:r>
    </w:p>
    <w:p w14:paraId="6D976DC5">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highlight w:val="none"/>
        </w:rPr>
      </w:pPr>
      <w:bookmarkStart w:id="580" w:name="_Toc207096503"/>
      <w:bookmarkStart w:id="581" w:name="_Toc30340"/>
      <w:bookmarkStart w:id="582" w:name="_Toc14463"/>
      <w:bookmarkStart w:id="583" w:name="_Toc9040"/>
      <w:bookmarkStart w:id="584" w:name="_Toc206751839"/>
      <w:r>
        <w:rPr>
          <w:rFonts w:hint="eastAsia" w:ascii="黑体" w:hAnsi="黑体" w:eastAsia="黑体" w:cs="黑体"/>
          <w:b/>
          <w:sz w:val="28"/>
          <w:szCs w:val="28"/>
          <w:highlight w:val="none"/>
        </w:rPr>
        <w:t>十、违约责任</w:t>
      </w:r>
      <w:bookmarkEnd w:id="577"/>
      <w:bookmarkEnd w:id="578"/>
      <w:bookmarkEnd w:id="579"/>
      <w:bookmarkEnd w:id="580"/>
      <w:bookmarkEnd w:id="581"/>
      <w:bookmarkEnd w:id="582"/>
      <w:bookmarkEnd w:id="583"/>
      <w:bookmarkEnd w:id="584"/>
    </w:p>
    <w:p w14:paraId="634CA3F3">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 xml:space="preserve">甲方无正当理由拒收货物的，由甲方向乙方偿付合同总价的10%违约金。 </w:t>
      </w:r>
    </w:p>
    <w:p w14:paraId="03CEE3F4">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 xml:space="preserve">甲方无正当理由不予支付货款的，应按照全国银行间同业拆借中心公布的贷款市场报价利率，向乙方支付逾期付款的违约金。 </w:t>
      </w:r>
    </w:p>
    <w:p w14:paraId="40414A78">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3</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 xml:space="preserve">如乙方不能交付货物，甲方将解除合同并要求乙方向甲方支付合同总价10 %的违约金。 </w:t>
      </w:r>
    </w:p>
    <w:p w14:paraId="296608F9">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如乙方验收不合格，甲方将拒收乙方提供的所有货物，并解除合同，要求乙方向甲方支付合同总价10 %的违约金。</w:t>
      </w:r>
    </w:p>
    <w:p w14:paraId="67A91F26">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5</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如乙方因虚假、涉嫌侵权造成合同无法履行或合同解除，甲方将拒收乙方提供的所有货物，并解除合同，要求乙方向甲方支付合同总价10 %的违约金。</w:t>
      </w:r>
    </w:p>
    <w:p w14:paraId="5D1E7B6D">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6</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乙方逾期交付货物的，每逾期 1 天，乙方向甲方偿付逾期交货部分货款总额的1%的滞纳金。如乙方逾期交货达7天，甲方将解除合同，解除合同的通知自到达乙方时生效。</w:t>
      </w:r>
    </w:p>
    <w:p w14:paraId="3C243128">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7</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乙方所交付的设备品种、型号、规格不符合合同规定的或定制的系统、平台等不符合合同的约定、投标承诺以及乙方的回复承诺的</w:t>
      </w:r>
      <w:r>
        <w:rPr>
          <w:rFonts w:hint="eastAsia" w:ascii="宋体" w:hAnsi="宋体" w:eastAsia="宋体" w:cs="宋体"/>
          <w:sz w:val="24"/>
          <w:szCs w:val="24"/>
          <w:lang w:val="en-US" w:eastAsia="zh-CN" w:bidi="ar"/>
        </w:rPr>
        <w:t>并致使合同目的无法实现的或设备功能不齐全的</w:t>
      </w:r>
      <w:r>
        <w:rPr>
          <w:rFonts w:hint="eastAsia" w:ascii="宋体" w:hAnsi="宋体" w:eastAsia="宋体" w:cs="宋体"/>
          <w:sz w:val="24"/>
          <w:szCs w:val="24"/>
          <w:lang w:bidi="ar"/>
        </w:rPr>
        <w:t>，甲方将拒收乙方提供的全部货物。此外，甲方有权要求乙方向甲方支付货款总额10%的违约金。</w:t>
      </w:r>
    </w:p>
    <w:p w14:paraId="48B34854">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8</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 xml:space="preserve">在乙方承诺的或国家规定的质量保证期内（取两者中最长的期限），如出现批量性质量问题的，经原厂两次维修或更换，问题机型仍不能达到合同约定的质量标准，甲方有权退回出现问题的货物并要求乙方更换正规合法的渠道采购的（厂家直接采购或向厂家正式授权的代理商采购），原厂生产的、全新的、未开封的、合格的正品设备，乙方应就甲方损失进行全部赔偿。 </w:t>
      </w:r>
    </w:p>
    <w:p w14:paraId="418E724D">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9</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 xml:space="preserve">乙方未按本合同的规定和“服务承诺”提供伴随服务 /售后服务的，每发生一次，应按合同总价款的2%向甲方承担违约责任。 </w:t>
      </w:r>
    </w:p>
    <w:p w14:paraId="464C4252">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0.</w:t>
      </w:r>
      <w:r>
        <w:rPr>
          <w:rFonts w:hint="eastAsia" w:ascii="宋体" w:hAnsi="宋体" w:eastAsia="宋体" w:cs="宋体"/>
          <w:sz w:val="24"/>
          <w:szCs w:val="24"/>
          <w:lang w:bidi="ar"/>
        </w:rPr>
        <w:t>乙方在承担上述一项或多项违约责任后，仍应继续履行合同规定的义务（甲方解除合同的除外）。甲方未能及时追究乙方的，任何一项违约责任并不表明甲方放弃追究乙方该项或其他违约责任。</w:t>
      </w:r>
      <w:bookmarkStart w:id="585" w:name="_Toc28753"/>
    </w:p>
    <w:p w14:paraId="4D7C779B">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586" w:name="_Toc12720"/>
      <w:bookmarkStart w:id="587" w:name="_Toc321"/>
      <w:bookmarkStart w:id="588" w:name="_Toc21671"/>
      <w:bookmarkStart w:id="589" w:name="_Toc27503"/>
      <w:bookmarkStart w:id="590" w:name="_Toc206751840"/>
      <w:bookmarkStart w:id="591" w:name="_Toc28392"/>
      <w:bookmarkStart w:id="592" w:name="_Toc207096504"/>
      <w:r>
        <w:rPr>
          <w:rFonts w:hint="eastAsia" w:ascii="黑体" w:hAnsi="黑体" w:eastAsia="黑体" w:cs="黑体"/>
          <w:b/>
          <w:sz w:val="28"/>
          <w:szCs w:val="28"/>
        </w:rPr>
        <w:t>十一、合同的变更和终止</w:t>
      </w:r>
      <w:bookmarkEnd w:id="585"/>
      <w:bookmarkEnd w:id="586"/>
      <w:bookmarkEnd w:id="587"/>
      <w:bookmarkEnd w:id="588"/>
      <w:bookmarkEnd w:id="589"/>
      <w:bookmarkEnd w:id="590"/>
      <w:bookmarkEnd w:id="591"/>
      <w:bookmarkEnd w:id="592"/>
    </w:p>
    <w:p w14:paraId="3E762F8A">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 xml:space="preserve">除《政府采购法》第 49 条、第 50 条第二款规定的情形，以及任何人发现乙方存在虚假或侵权行为导致合同无法签订外，本合同一经签订，甲乙双方不得擅自变更、中止或终止合同。 </w:t>
      </w:r>
      <w:bookmarkStart w:id="593" w:name="_Toc549"/>
      <w:bookmarkStart w:id="594" w:name="_Toc29413"/>
      <w:bookmarkStart w:id="595" w:name="_Toc18861"/>
    </w:p>
    <w:p w14:paraId="36D6F573">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596" w:name="_Toc211"/>
      <w:bookmarkStart w:id="597" w:name="_Toc10926"/>
      <w:bookmarkStart w:id="598" w:name="_Toc207096505"/>
      <w:bookmarkStart w:id="599" w:name="_Toc2242"/>
      <w:bookmarkStart w:id="600" w:name="_Toc206751841"/>
      <w:r>
        <w:rPr>
          <w:rFonts w:hint="eastAsia" w:ascii="黑体" w:hAnsi="黑体" w:eastAsia="黑体" w:cs="黑体"/>
          <w:b/>
          <w:sz w:val="28"/>
          <w:szCs w:val="28"/>
        </w:rPr>
        <w:t>十二、合同的转让</w:t>
      </w:r>
      <w:bookmarkEnd w:id="593"/>
      <w:bookmarkEnd w:id="594"/>
      <w:bookmarkEnd w:id="595"/>
      <w:bookmarkEnd w:id="596"/>
      <w:bookmarkEnd w:id="597"/>
      <w:bookmarkEnd w:id="598"/>
      <w:bookmarkEnd w:id="599"/>
      <w:bookmarkEnd w:id="600"/>
    </w:p>
    <w:p w14:paraId="74AC00E4">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乙方不得擅自部分或全部转让其应履行的合同义务，一经发现，甲方有权解除合同并要求乙方承担合同总金额10%的违约金。</w:t>
      </w:r>
    </w:p>
    <w:p w14:paraId="043CCE5E">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601" w:name="_Toc11077"/>
      <w:bookmarkStart w:id="602" w:name="_Toc14313"/>
      <w:bookmarkStart w:id="603" w:name="_Toc207096506"/>
      <w:bookmarkStart w:id="604" w:name="_Toc9355"/>
      <w:bookmarkStart w:id="605" w:name="_Toc28231"/>
      <w:bookmarkStart w:id="606" w:name="_Toc13240"/>
      <w:bookmarkStart w:id="607" w:name="_Toc206751842"/>
      <w:bookmarkStart w:id="608" w:name="_Toc28544"/>
      <w:r>
        <w:rPr>
          <w:rFonts w:hint="eastAsia" w:ascii="黑体" w:hAnsi="黑体" w:eastAsia="黑体" w:cs="黑体"/>
          <w:b/>
          <w:sz w:val="28"/>
          <w:szCs w:val="28"/>
        </w:rPr>
        <w:t>十三、争议的解决</w:t>
      </w:r>
      <w:bookmarkEnd w:id="601"/>
      <w:bookmarkEnd w:id="602"/>
      <w:bookmarkEnd w:id="603"/>
      <w:bookmarkEnd w:id="604"/>
      <w:bookmarkEnd w:id="605"/>
      <w:bookmarkEnd w:id="606"/>
      <w:bookmarkEnd w:id="607"/>
      <w:bookmarkEnd w:id="608"/>
    </w:p>
    <w:p w14:paraId="07483DDF">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因履行本合同引起的或与本合同有关的争议，甲、乙双方应首先通过友好协商解决，如果协商不能解决争议，则采取向甲方所在地人民法院起诉；</w:t>
      </w:r>
    </w:p>
    <w:p w14:paraId="0EA1BE02">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w:t>
      </w:r>
      <w:r>
        <w:rPr>
          <w:rFonts w:hint="eastAsia" w:ascii="宋体" w:hAnsi="宋体" w:eastAsia="宋体" w:cs="宋体"/>
          <w:sz w:val="24"/>
          <w:szCs w:val="24"/>
          <w:lang w:bidi="ar"/>
        </w:rPr>
        <w:t>合同关系续存期间，甲乙双方发生的诉讼、仲裁等纠纷或被第三人起诉或申请仲裁的（包括但不限于甲方作为被告、被申请人、第三人、证人等），发生的诉讼费、仲裁费、差旅费、律师费、鉴定费、公证费、保全费、保全担保费等相关费用由过失方承担。</w:t>
      </w:r>
    </w:p>
    <w:p w14:paraId="7D69428E">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609" w:name="_Toc3713"/>
      <w:bookmarkStart w:id="610" w:name="_Toc4864"/>
      <w:bookmarkStart w:id="611" w:name="_Toc206751843"/>
      <w:bookmarkStart w:id="612" w:name="_Toc29538"/>
      <w:bookmarkStart w:id="613" w:name="_Toc21425"/>
      <w:bookmarkStart w:id="614" w:name="_Toc207096507"/>
      <w:bookmarkStart w:id="615" w:name="_Toc8692"/>
      <w:bookmarkStart w:id="616" w:name="_Toc11074"/>
      <w:r>
        <w:rPr>
          <w:rFonts w:hint="eastAsia" w:ascii="黑体" w:hAnsi="黑体" w:eastAsia="黑体" w:cs="黑体"/>
          <w:b/>
          <w:sz w:val="28"/>
          <w:szCs w:val="28"/>
        </w:rPr>
        <w:t>十四、诚实信用</w:t>
      </w:r>
      <w:bookmarkEnd w:id="609"/>
      <w:bookmarkEnd w:id="610"/>
      <w:bookmarkEnd w:id="611"/>
      <w:bookmarkEnd w:id="612"/>
      <w:bookmarkEnd w:id="613"/>
      <w:bookmarkEnd w:id="614"/>
      <w:bookmarkEnd w:id="615"/>
      <w:bookmarkEnd w:id="616"/>
    </w:p>
    <w:p w14:paraId="519950F1">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乙方应诚实信用，</w:t>
      </w:r>
      <w:r>
        <w:rPr>
          <w:rFonts w:hint="eastAsia" w:ascii="宋体" w:hAnsi="宋体" w:eastAsia="宋体" w:cs="宋体"/>
          <w:color w:val="000000"/>
          <w:sz w:val="24"/>
          <w:szCs w:val="24"/>
          <w:lang w:bidi="ar"/>
        </w:rPr>
        <w:t>做出诚实信用服务承诺，</w:t>
      </w:r>
      <w:r>
        <w:rPr>
          <w:rFonts w:hint="eastAsia" w:ascii="宋体" w:hAnsi="宋体" w:eastAsia="宋体" w:cs="宋体"/>
          <w:sz w:val="24"/>
          <w:szCs w:val="24"/>
          <w:lang w:bidi="ar"/>
        </w:rPr>
        <w:t>严格按照招标文件要求和投标承诺履行合同，不向甲方进行商业贿赂或者提供不正当利益。</w:t>
      </w:r>
      <w:bookmarkStart w:id="617" w:name="_Toc6568"/>
    </w:p>
    <w:p w14:paraId="4C295EBA">
      <w:pPr>
        <w:keepNext/>
        <w:keepLines w:val="0"/>
        <w:pageBreakBefore w:val="0"/>
        <w:kinsoku/>
        <w:wordWrap/>
        <w:overflowPunct/>
        <w:topLinePunct w:val="0"/>
        <w:autoSpaceDE/>
        <w:autoSpaceDN/>
        <w:bidi w:val="0"/>
        <w:adjustRightInd w:val="0"/>
        <w:snapToGrid/>
        <w:spacing w:line="360" w:lineRule="auto"/>
        <w:ind w:left="0" w:right="0" w:firstLine="562" w:firstLineChars="200"/>
        <w:textAlignment w:val="baseline"/>
        <w:outlineLvl w:val="1"/>
        <w:rPr>
          <w:rFonts w:hint="eastAsia" w:ascii="黑体" w:hAnsi="黑体" w:eastAsia="黑体" w:cs="黑体"/>
          <w:b/>
          <w:sz w:val="28"/>
          <w:szCs w:val="28"/>
        </w:rPr>
      </w:pPr>
      <w:bookmarkStart w:id="618" w:name="_Toc20665"/>
      <w:bookmarkStart w:id="619" w:name="_Toc206751844"/>
      <w:bookmarkStart w:id="620" w:name="_Toc16356"/>
      <w:bookmarkStart w:id="621" w:name="_Toc207096508"/>
      <w:bookmarkStart w:id="622" w:name="_Toc25876"/>
      <w:bookmarkStart w:id="623" w:name="_Toc15271"/>
      <w:bookmarkStart w:id="624" w:name="_Toc27989"/>
      <w:r>
        <w:rPr>
          <w:rFonts w:hint="eastAsia" w:ascii="黑体" w:hAnsi="黑体" w:eastAsia="黑体" w:cs="黑体"/>
          <w:b/>
          <w:sz w:val="28"/>
          <w:szCs w:val="28"/>
        </w:rPr>
        <w:t>十五、合同生效及其他</w:t>
      </w:r>
      <w:bookmarkEnd w:id="617"/>
      <w:bookmarkEnd w:id="618"/>
      <w:bookmarkEnd w:id="619"/>
      <w:bookmarkEnd w:id="620"/>
      <w:bookmarkEnd w:id="621"/>
      <w:bookmarkEnd w:id="622"/>
      <w:bookmarkEnd w:id="623"/>
      <w:bookmarkEnd w:id="624"/>
    </w:p>
    <w:p w14:paraId="0983551B">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cs="宋体"/>
          <w:sz w:val="24"/>
          <w:szCs w:val="24"/>
          <w:lang w:val="en-US" w:eastAsia="zh-CN" w:bidi="ar"/>
        </w:rPr>
        <w:t>.</w:t>
      </w:r>
      <w:r>
        <w:rPr>
          <w:rFonts w:hint="eastAsia" w:ascii="宋体" w:hAnsi="宋体" w:eastAsia="宋体" w:cs="宋体"/>
          <w:sz w:val="24"/>
          <w:szCs w:val="24"/>
          <w:lang w:bidi="ar"/>
        </w:rPr>
        <w:t xml:space="preserve">本合同自双方法定代表人或授权代理人签字、盖章之日起生效。 </w:t>
      </w:r>
    </w:p>
    <w:p w14:paraId="0AC5E47E">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eastAsia="宋体" w:cs="宋体"/>
          <w:sz w:val="24"/>
          <w:szCs w:val="24"/>
          <w:lang w:bidi="ar"/>
        </w:rPr>
        <w:t>2</w:t>
      </w:r>
      <w:r>
        <w:rPr>
          <w:rFonts w:hint="eastAsia" w:ascii="宋体" w:hAnsi="宋体" w:cs="宋体"/>
          <w:sz w:val="24"/>
          <w:szCs w:val="24"/>
          <w:lang w:val="en-US" w:eastAsia="zh-CN" w:bidi="ar"/>
        </w:rPr>
        <w:t>.</w:t>
      </w:r>
      <w:r>
        <w:rPr>
          <w:rFonts w:hint="eastAsia" w:ascii="宋体" w:hAnsi="宋体" w:eastAsia="宋体" w:cs="宋体"/>
          <w:sz w:val="24"/>
          <w:szCs w:val="24"/>
          <w:lang w:bidi="ar"/>
        </w:rPr>
        <w:t>如在合同履行过程中甲方发现乙方虚假承诺或者围标串标等情形，对甲方依本合同享有权利或承担义务造成实质性影响致使合同目的不能实现的情形，甲方有权提前终止本合同，</w:t>
      </w:r>
      <w:r>
        <w:rPr>
          <w:rFonts w:hint="eastAsia" w:ascii="宋体" w:hAnsi="宋体" w:eastAsia="宋体" w:cs="宋体"/>
          <w:color w:val="000000"/>
          <w:sz w:val="24"/>
          <w:szCs w:val="24"/>
          <w:lang w:bidi="ar"/>
        </w:rPr>
        <w:t>乙方将全部承担由此造成的损失以及一切的法律后果。</w:t>
      </w:r>
    </w:p>
    <w:p w14:paraId="6A207FF8">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bidi="ar"/>
        </w:rPr>
        <w:t>3</w:t>
      </w:r>
      <w:r>
        <w:rPr>
          <w:rFonts w:hint="eastAsia" w:ascii="宋体" w:hAnsi="宋体" w:cs="宋体"/>
          <w:sz w:val="24"/>
          <w:szCs w:val="24"/>
          <w:lang w:val="en-US" w:eastAsia="zh-CN" w:bidi="ar"/>
        </w:rPr>
        <w:t>.</w:t>
      </w:r>
      <w:r>
        <w:rPr>
          <w:rFonts w:hint="eastAsia" w:ascii="宋体" w:hAnsi="宋体" w:eastAsia="宋体" w:cs="宋体"/>
          <w:sz w:val="24"/>
          <w:szCs w:val="24"/>
          <w:lang w:bidi="ar"/>
        </w:rPr>
        <w:t>本合同自双方法定代表人或委托代理人签字签章后生效， 至合同条款履行完毕时终止。</w:t>
      </w:r>
    </w:p>
    <w:p w14:paraId="489D89A8">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color w:val="000000"/>
          <w:sz w:val="24"/>
          <w:szCs w:val="24"/>
          <w:lang w:bidi="ar"/>
        </w:rPr>
      </w:pPr>
      <w:r>
        <w:rPr>
          <w:rFonts w:hint="eastAsia" w:ascii="宋体" w:hAnsi="宋体" w:eastAsia="宋体" w:cs="宋体"/>
          <w:sz w:val="24"/>
          <w:szCs w:val="24"/>
          <w:lang w:bidi="ar"/>
        </w:rPr>
        <w:t>4</w:t>
      </w:r>
      <w:r>
        <w:rPr>
          <w:rFonts w:hint="eastAsia" w:ascii="宋体" w:hAnsi="宋体" w:cs="宋体"/>
          <w:sz w:val="24"/>
          <w:szCs w:val="24"/>
          <w:lang w:val="en-US" w:eastAsia="zh-CN" w:bidi="ar"/>
        </w:rPr>
        <w:t>.</w:t>
      </w:r>
      <w:r>
        <w:rPr>
          <w:rFonts w:hint="eastAsia" w:ascii="宋体" w:hAnsi="宋体" w:eastAsia="宋体" w:cs="宋体"/>
          <w:sz w:val="24"/>
          <w:szCs w:val="24"/>
          <w:lang w:bidi="ar"/>
        </w:rPr>
        <w:t>本</w:t>
      </w:r>
      <w:r>
        <w:rPr>
          <w:rFonts w:hint="eastAsia" w:ascii="宋体" w:hAnsi="宋体" w:eastAsia="宋体" w:cs="宋体"/>
          <w:color w:val="000000"/>
          <w:sz w:val="24"/>
          <w:szCs w:val="24"/>
          <w:lang w:bidi="ar"/>
        </w:rPr>
        <w:t>项目</w:t>
      </w:r>
      <w:r>
        <w:rPr>
          <w:rFonts w:hint="eastAsia" w:ascii="宋体" w:hAnsi="宋体" w:eastAsia="宋体" w:cs="宋体"/>
          <w:sz w:val="24"/>
          <w:szCs w:val="24"/>
          <w:lang w:bidi="ar"/>
        </w:rPr>
        <w:t>项下基于甲方需求所</w:t>
      </w:r>
      <w:r>
        <w:rPr>
          <w:rFonts w:hint="eastAsia" w:ascii="宋体" w:hAnsi="宋体" w:eastAsia="宋体" w:cs="宋体"/>
          <w:color w:val="000000"/>
          <w:sz w:val="24"/>
          <w:szCs w:val="24"/>
          <w:lang w:bidi="ar"/>
        </w:rPr>
        <w:t>开发所形成的相关成果</w:t>
      </w:r>
      <w:r>
        <w:rPr>
          <w:rFonts w:hint="eastAsia" w:ascii="宋体" w:hAnsi="宋体" w:eastAsia="宋体" w:cs="宋体"/>
          <w:color w:val="000000"/>
          <w:sz w:val="24"/>
          <w:szCs w:val="24"/>
          <w:lang w:eastAsia="zh-CN" w:bidi="ar"/>
        </w:rPr>
        <w:t>、</w:t>
      </w:r>
      <w:r>
        <w:rPr>
          <w:rFonts w:hint="eastAsia" w:ascii="宋体" w:hAnsi="宋体" w:eastAsia="宋体" w:cs="宋体"/>
          <w:color w:val="000000"/>
          <w:sz w:val="24"/>
          <w:szCs w:val="24"/>
          <w:lang w:bidi="ar"/>
        </w:rPr>
        <w:t>模型和技术文档归属甲方，甲方拥有知识产权及永久使用权。乙方不得以任何方式提供给第三方使用。一经发现，乙方将全部承担由此造成的损失以及一切的法律后果。</w:t>
      </w:r>
    </w:p>
    <w:p w14:paraId="61623B17">
      <w:pPr>
        <w:keepLines w:val="0"/>
        <w:pageBreakBefore w:val="0"/>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val="en-US" w:eastAsia="zh-CN" w:bidi="ar"/>
        </w:rPr>
        <w:t>5</w:t>
      </w:r>
      <w:r>
        <w:rPr>
          <w:rFonts w:hint="eastAsia" w:ascii="宋体" w:hAnsi="宋体" w:cs="宋体"/>
          <w:sz w:val="24"/>
          <w:szCs w:val="24"/>
          <w:lang w:val="en-US" w:eastAsia="zh-CN" w:bidi="ar"/>
        </w:rPr>
        <w:t>.</w:t>
      </w:r>
      <w:r>
        <w:rPr>
          <w:rFonts w:hint="eastAsia" w:ascii="宋体" w:hAnsi="宋体" w:eastAsia="宋体" w:cs="宋体"/>
          <w:sz w:val="24"/>
          <w:szCs w:val="24"/>
          <w:lang w:bidi="ar"/>
        </w:rPr>
        <w:t>合同如有未尽事宜，须经双方共同协商，签订补充协议。</w:t>
      </w:r>
    </w:p>
    <w:p w14:paraId="11A2D6EB">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val="en-US" w:eastAsia="zh-CN" w:bidi="ar"/>
        </w:rPr>
        <w:t>6</w:t>
      </w:r>
      <w:r>
        <w:rPr>
          <w:rFonts w:hint="eastAsia" w:ascii="宋体" w:hAnsi="宋体" w:cs="宋体"/>
          <w:sz w:val="24"/>
          <w:szCs w:val="24"/>
          <w:lang w:val="en-US" w:eastAsia="zh-CN" w:bidi="ar"/>
        </w:rPr>
        <w:t>.</w:t>
      </w:r>
      <w:r>
        <w:rPr>
          <w:rFonts w:hint="eastAsia" w:ascii="宋体" w:hAnsi="宋体" w:eastAsia="宋体" w:cs="宋体"/>
          <w:sz w:val="24"/>
          <w:szCs w:val="24"/>
          <w:lang w:bidi="ar"/>
        </w:rPr>
        <w:t>本合同一式陆份，甲方执肆份，乙方执贰份，具有同等效力。</w:t>
      </w:r>
    </w:p>
    <w:p w14:paraId="0B58F95E">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eastAsia="宋体" w:cs="宋体"/>
          <w:sz w:val="24"/>
          <w:szCs w:val="24"/>
          <w:lang w:val="en-US" w:eastAsia="zh-CN" w:bidi="ar"/>
        </w:rPr>
        <w:t>7</w:t>
      </w:r>
      <w:r>
        <w:rPr>
          <w:rFonts w:hint="eastAsia" w:ascii="宋体" w:hAnsi="宋体" w:eastAsia="宋体" w:cs="宋体"/>
          <w:sz w:val="24"/>
          <w:szCs w:val="24"/>
          <w:lang w:bidi="ar"/>
        </w:rPr>
        <w:t>.附件：</w:t>
      </w:r>
    </w:p>
    <w:p w14:paraId="6A81BB6D">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eastAsia="zh-CN" w:bidi="ar"/>
        </w:rPr>
        <w:t>（</w:t>
      </w:r>
      <w:r>
        <w:rPr>
          <w:rFonts w:hint="eastAsia" w:ascii="宋体" w:hAnsi="宋体" w:cs="宋体"/>
          <w:sz w:val="24"/>
          <w:szCs w:val="24"/>
          <w:lang w:val="en-US" w:eastAsia="zh-CN" w:bidi="ar"/>
        </w:rPr>
        <w:t>1</w:t>
      </w:r>
      <w:r>
        <w:rPr>
          <w:rFonts w:hint="eastAsia" w:ascii="宋体" w:hAnsi="宋体" w:cs="宋体"/>
          <w:sz w:val="24"/>
          <w:szCs w:val="24"/>
          <w:lang w:eastAsia="zh-CN" w:bidi="ar"/>
        </w:rPr>
        <w:t>）</w:t>
      </w:r>
      <w:r>
        <w:rPr>
          <w:rFonts w:hint="eastAsia" w:ascii="宋体" w:hAnsi="宋体" w:eastAsia="宋体" w:cs="宋体"/>
          <w:sz w:val="24"/>
          <w:szCs w:val="24"/>
          <w:lang w:bidi="ar"/>
        </w:rPr>
        <w:t>《货物技术规格参数》；</w:t>
      </w:r>
    </w:p>
    <w:p w14:paraId="61DFAB2D">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4"/>
          <w:szCs w:val="24"/>
          <w:lang w:bidi="ar"/>
        </w:rPr>
      </w:pPr>
      <w:r>
        <w:rPr>
          <w:rFonts w:hint="eastAsia" w:ascii="宋体" w:hAnsi="宋体" w:cs="宋体"/>
          <w:sz w:val="24"/>
          <w:szCs w:val="24"/>
          <w:lang w:eastAsia="zh-CN" w:bidi="ar"/>
        </w:rPr>
        <w:t>（</w:t>
      </w:r>
      <w:r>
        <w:rPr>
          <w:rFonts w:hint="eastAsia" w:ascii="宋体" w:hAnsi="宋体" w:cs="宋体"/>
          <w:sz w:val="24"/>
          <w:szCs w:val="24"/>
          <w:lang w:val="en-US" w:eastAsia="zh-CN" w:bidi="ar"/>
        </w:rPr>
        <w:t>2</w:t>
      </w:r>
      <w:r>
        <w:rPr>
          <w:rFonts w:hint="eastAsia" w:ascii="宋体" w:hAnsi="宋体" w:cs="宋体"/>
          <w:sz w:val="24"/>
          <w:szCs w:val="24"/>
          <w:lang w:eastAsia="zh-CN" w:bidi="ar"/>
        </w:rPr>
        <w:t>）</w:t>
      </w:r>
      <w:r>
        <w:rPr>
          <w:rFonts w:hint="eastAsia" w:ascii="宋体" w:hAnsi="宋体" w:eastAsia="宋体" w:cs="宋体"/>
          <w:sz w:val="24"/>
          <w:szCs w:val="24"/>
          <w:lang w:bidi="ar"/>
        </w:rPr>
        <w:t>《项目预验收标准一览表》；</w:t>
      </w:r>
    </w:p>
    <w:p w14:paraId="0BAF445D">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both"/>
        <w:rPr>
          <w:rFonts w:hint="eastAsia" w:ascii="宋体" w:hAnsi="宋体" w:eastAsia="宋体" w:cs="宋体"/>
          <w:sz w:val="28"/>
          <w:szCs w:val="28"/>
          <w:lang w:eastAsia="zh-CN" w:bidi="ar"/>
        </w:rPr>
      </w:pPr>
      <w:r>
        <w:rPr>
          <w:rFonts w:hint="eastAsia" w:ascii="宋体" w:hAnsi="宋体" w:cs="宋体"/>
          <w:sz w:val="24"/>
          <w:szCs w:val="24"/>
          <w:lang w:eastAsia="zh-CN" w:bidi="ar"/>
        </w:rPr>
        <w:t>（</w:t>
      </w:r>
      <w:r>
        <w:rPr>
          <w:rFonts w:hint="eastAsia" w:ascii="宋体" w:hAnsi="宋体" w:cs="宋体"/>
          <w:sz w:val="24"/>
          <w:szCs w:val="24"/>
          <w:lang w:val="en-US" w:eastAsia="zh-CN" w:bidi="ar"/>
        </w:rPr>
        <w:t>3</w:t>
      </w:r>
      <w:r>
        <w:rPr>
          <w:rFonts w:hint="eastAsia" w:ascii="宋体" w:hAnsi="宋体" w:cs="宋体"/>
          <w:sz w:val="24"/>
          <w:szCs w:val="24"/>
          <w:lang w:eastAsia="zh-CN" w:bidi="ar"/>
        </w:rPr>
        <w:t>）</w:t>
      </w:r>
      <w:r>
        <w:rPr>
          <w:rFonts w:hint="eastAsia" w:ascii="宋体" w:hAnsi="宋体" w:eastAsia="宋体" w:cs="宋体"/>
          <w:sz w:val="24"/>
          <w:szCs w:val="24"/>
          <w:lang w:bidi="ar"/>
        </w:rPr>
        <w:t>《项目验收标准一览表》</w:t>
      </w:r>
      <w:r>
        <w:rPr>
          <w:rFonts w:hint="eastAsia" w:ascii="宋体" w:hAnsi="宋体" w:cs="宋体"/>
          <w:sz w:val="24"/>
          <w:szCs w:val="24"/>
          <w:lang w:eastAsia="zh-CN" w:bidi="ar"/>
        </w:rPr>
        <w:t>。</w:t>
      </w:r>
    </w:p>
    <w:p w14:paraId="3B6B53E6">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甲方（公章）：云南能源职业技术学院</w:t>
      </w:r>
    </w:p>
    <w:p w14:paraId="3AD564C3">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 xml:space="preserve">法定代表人签字： </w:t>
      </w:r>
    </w:p>
    <w:p w14:paraId="2CFC8DA7">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 xml:space="preserve">委托代理人签字： </w:t>
      </w:r>
    </w:p>
    <w:p w14:paraId="21E9A5AA">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开户银行： </w:t>
      </w:r>
    </w:p>
    <w:p w14:paraId="5923E0F1">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账 号： </w:t>
      </w:r>
    </w:p>
    <w:p w14:paraId="0C4BBC10">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地 址：曲靖市职教中心文苑北路8号</w:t>
      </w:r>
    </w:p>
    <w:p w14:paraId="05BA4F40">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电 话：</w:t>
      </w:r>
    </w:p>
    <w:p w14:paraId="16FF41FF">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日 期：</w:t>
      </w:r>
    </w:p>
    <w:p w14:paraId="4AF5EDDD">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p>
    <w:p w14:paraId="7549D143">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val="en-US" w:eastAsia="zh-CN" w:bidi="ar"/>
        </w:rPr>
      </w:pPr>
      <w:r>
        <w:rPr>
          <w:rFonts w:hint="eastAsia" w:ascii="宋体" w:hAnsi="宋体" w:eastAsia="宋体" w:cs="宋体"/>
          <w:sz w:val="24"/>
          <w:szCs w:val="24"/>
          <w:lang w:bidi="ar"/>
        </w:rPr>
        <w:t>乙方（公章）：</w:t>
      </w:r>
      <w:r>
        <w:rPr>
          <w:rFonts w:hint="eastAsia" w:ascii="宋体" w:hAnsi="宋体" w:eastAsia="宋体" w:cs="宋体"/>
          <w:sz w:val="24"/>
          <w:szCs w:val="24"/>
          <w:lang w:val="en-US" w:eastAsia="zh-CN" w:bidi="ar"/>
        </w:rPr>
        <w:t xml:space="preserve"> </w:t>
      </w:r>
    </w:p>
    <w:p w14:paraId="332F2EBB">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法定代表人签字：</w:t>
      </w:r>
    </w:p>
    <w:p w14:paraId="5940E8BC">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委托代理人签字：</w:t>
      </w:r>
    </w:p>
    <w:p w14:paraId="02A9219B">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开户银行：</w:t>
      </w:r>
    </w:p>
    <w:p w14:paraId="19D67019">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账 号：</w:t>
      </w:r>
    </w:p>
    <w:p w14:paraId="66A9DD5E">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地 址：</w:t>
      </w:r>
    </w:p>
    <w:p w14:paraId="7176ED29">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eastAsia="宋体" w:cs="宋体"/>
          <w:sz w:val="24"/>
          <w:szCs w:val="24"/>
          <w:lang w:bidi="ar"/>
        </w:rPr>
        <w:t>电 话：</w:t>
      </w:r>
    </w:p>
    <w:p w14:paraId="5299C3E0">
      <w:pPr>
        <w:keepLines w:val="0"/>
        <w:pageBreakBefore w:val="0"/>
        <w:widowControl/>
        <w:kinsoku/>
        <w:wordWrap/>
        <w:overflowPunct/>
        <w:topLinePunct w:val="0"/>
        <w:autoSpaceDE/>
        <w:autoSpaceDN/>
        <w:bidi w:val="0"/>
        <w:adjustRightInd w:val="0"/>
        <w:snapToGrid/>
        <w:spacing w:line="360" w:lineRule="auto"/>
        <w:ind w:left="0" w:right="0" w:firstLine="480" w:firstLineChars="200"/>
        <w:contextualSpacing/>
        <w:jc w:val="left"/>
        <w:rPr>
          <w:rFonts w:hint="eastAsia" w:ascii="宋体" w:hAnsi="宋体" w:eastAsia="宋体" w:cs="宋体"/>
          <w:sz w:val="24"/>
          <w:szCs w:val="24"/>
          <w:lang w:bidi="ar"/>
        </w:rPr>
      </w:pPr>
      <w:r>
        <w:rPr>
          <w:rFonts w:hint="eastAsia" w:ascii="宋体" w:hAnsi="宋体" w:cs="宋体"/>
          <w:sz w:val="24"/>
          <w:szCs w:val="24"/>
          <w:lang w:val="en-US" w:eastAsia="zh-CN" w:bidi="ar"/>
        </w:rPr>
        <w:t>日 期：</w:t>
      </w:r>
    </w:p>
    <w:p w14:paraId="131AF78E">
      <w:pPr>
        <w:keepLines w:val="0"/>
        <w:pageBreakBefore w:val="0"/>
        <w:kinsoku/>
        <w:wordWrap/>
        <w:overflowPunct/>
        <w:topLinePunct w:val="0"/>
        <w:autoSpaceDE/>
        <w:autoSpaceDN/>
        <w:bidi w:val="0"/>
        <w:snapToGrid/>
        <w:spacing w:line="360" w:lineRule="auto"/>
        <w:ind w:left="0" w:right="0" w:firstLine="480" w:firstLineChars="200"/>
        <w:rPr>
          <w:rFonts w:hint="eastAsia" w:ascii="宋体" w:hAnsi="宋体" w:eastAsia="宋体" w:cs="宋体"/>
          <w:lang w:val="en-US" w:eastAsia="zh-CN"/>
        </w:rPr>
      </w:pPr>
      <w:r>
        <w:rPr>
          <w:rFonts w:hint="eastAsia" w:ascii="宋体" w:hAnsi="宋体" w:eastAsia="宋体" w:cs="宋体"/>
          <w:sz w:val="24"/>
          <w:szCs w:val="24"/>
        </w:rPr>
        <w:t>附件一 货物技术规格参</w:t>
      </w:r>
      <w:r>
        <w:rPr>
          <w:rFonts w:hint="eastAsia" w:ascii="宋体" w:hAnsi="宋体" w:eastAsia="宋体" w:cs="宋体"/>
          <w:sz w:val="24"/>
          <w:szCs w:val="24"/>
          <w:lang w:val="en-US" w:eastAsia="zh-CN"/>
        </w:rPr>
        <w:t>数</w:t>
      </w:r>
    </w:p>
    <w:p w14:paraId="2AA020A2">
      <w:pPr>
        <w:keepLines w:val="0"/>
        <w:pageBreakBefore w:val="0"/>
        <w:widowControl/>
        <w:kinsoku/>
        <w:wordWrap/>
        <w:overflowPunct/>
        <w:topLinePunct w:val="0"/>
        <w:autoSpaceDE/>
        <w:autoSpaceDN/>
        <w:bidi w:val="0"/>
        <w:snapToGrid/>
        <w:spacing w:line="360" w:lineRule="auto"/>
        <w:ind w:left="0" w:right="0" w:firstLine="480" w:firstLineChars="200"/>
        <w:jc w:val="left"/>
        <w:rPr>
          <w:rFonts w:hint="eastAsia" w:ascii="宋体" w:hAnsi="宋体" w:eastAsia="宋体" w:cs="宋体"/>
        </w:rPr>
        <w:sectPr>
          <w:pgSz w:w="11906" w:h="16838"/>
          <w:pgMar w:top="1440" w:right="1418" w:bottom="1440" w:left="1701" w:header="851" w:footer="720" w:gutter="0"/>
          <w:pgNumType w:chapStyle="1"/>
          <w:cols w:space="720" w:num="1"/>
          <w:docGrid w:linePitch="331" w:charSpace="0"/>
        </w:sectPr>
      </w:pPr>
    </w:p>
    <w:p w14:paraId="548BD883">
      <w:pPr>
        <w:pStyle w:val="2"/>
        <w:spacing w:line="450" w:lineRule="exact"/>
        <w:rPr>
          <w:rFonts w:hint="eastAsia" w:ascii="黑体" w:hAnsi="黑体" w:eastAsia="黑体"/>
          <w:kern w:val="2"/>
          <w:szCs w:val="36"/>
        </w:rPr>
      </w:pPr>
      <w:bookmarkStart w:id="625" w:name="_Toc216365906"/>
      <w:r>
        <w:rPr>
          <w:rFonts w:hint="eastAsia" w:ascii="黑体" w:hAnsi="黑体" w:eastAsia="黑体"/>
          <w:kern w:val="2"/>
          <w:szCs w:val="36"/>
        </w:rPr>
        <w:t>第七章</w:t>
      </w:r>
      <w:r>
        <w:rPr>
          <w:rFonts w:ascii="黑体" w:hAnsi="黑体" w:eastAsia="黑体"/>
          <w:kern w:val="2"/>
          <w:szCs w:val="36"/>
        </w:rPr>
        <w:t xml:space="preserve"> </w:t>
      </w:r>
      <w:r>
        <w:rPr>
          <w:rFonts w:hint="eastAsia" w:ascii="黑体" w:hAnsi="黑体" w:eastAsia="黑体"/>
          <w:kern w:val="2"/>
          <w:szCs w:val="36"/>
        </w:rPr>
        <w:t>投标文件参考格式</w:t>
      </w:r>
      <w:bookmarkEnd w:id="625"/>
    </w:p>
    <w:p w14:paraId="13FDEE90">
      <w:pPr>
        <w:spacing w:line="900" w:lineRule="exact"/>
        <w:jc w:val="center"/>
        <w:rPr>
          <w:rFonts w:hint="eastAsia" w:ascii="黑体" w:hAnsi="黑体" w:eastAsia="黑体"/>
          <w:b/>
          <w:bCs/>
          <w:sz w:val="44"/>
          <w:szCs w:val="44"/>
          <w:u w:val="single"/>
          <w:lang w:eastAsia="zh-CN"/>
        </w:rPr>
      </w:pPr>
      <w:r>
        <w:rPr>
          <w:rFonts w:hint="eastAsia" w:ascii="黑体" w:hAnsi="黑体" w:eastAsia="黑体"/>
          <w:b/>
          <w:bCs/>
          <w:sz w:val="44"/>
          <w:szCs w:val="44"/>
          <w:lang w:eastAsia="zh-CN"/>
        </w:rPr>
        <w:t>云南能源职业技术学院智能化矿井多源数据数智共享平台建设项目</w:t>
      </w:r>
    </w:p>
    <w:p w14:paraId="0FB5BD0B">
      <w:pPr>
        <w:spacing w:line="360" w:lineRule="auto"/>
        <w:rPr>
          <w:rFonts w:hint="eastAsia" w:ascii="黑体" w:hAnsi="黑体" w:eastAsia="黑体" w:cs="宋体"/>
          <w:sz w:val="51"/>
          <w:szCs w:val="51"/>
        </w:rPr>
      </w:pPr>
    </w:p>
    <w:p w14:paraId="4A220159">
      <w:pPr>
        <w:spacing w:line="360" w:lineRule="auto"/>
        <w:rPr>
          <w:rFonts w:hint="eastAsia" w:cs="宋体" w:asciiTheme="minorEastAsia" w:hAnsiTheme="minorEastAsia" w:eastAsiaTheme="minorEastAsia"/>
        </w:rPr>
      </w:pPr>
    </w:p>
    <w:p w14:paraId="159A8F92">
      <w:pPr>
        <w:spacing w:line="360" w:lineRule="auto"/>
        <w:rPr>
          <w:rFonts w:hint="eastAsia" w:cs="宋体" w:asciiTheme="minorEastAsia" w:hAnsiTheme="minorEastAsia" w:eastAsiaTheme="minorEastAsia"/>
        </w:rPr>
      </w:pPr>
    </w:p>
    <w:p w14:paraId="65829E84">
      <w:pPr>
        <w:spacing w:line="360" w:lineRule="auto"/>
        <w:rPr>
          <w:rFonts w:hint="eastAsia" w:cs="宋体" w:asciiTheme="minorEastAsia" w:hAnsiTheme="minorEastAsia" w:eastAsiaTheme="minorEastAsia"/>
        </w:rPr>
      </w:pPr>
    </w:p>
    <w:p w14:paraId="5F081CEC">
      <w:pPr>
        <w:spacing w:before="120" w:beforeLines="50" w:after="120" w:afterLines="50" w:line="1400" w:lineRule="exact"/>
        <w:jc w:val="center"/>
        <w:rPr>
          <w:rFonts w:hint="eastAsia" w:ascii="宋体" w:hAnsi="宋体" w:cs="宋体"/>
          <w:b/>
          <w:sz w:val="116"/>
          <w:szCs w:val="116"/>
        </w:rPr>
      </w:pPr>
      <w:r>
        <w:rPr>
          <w:rFonts w:hint="eastAsia" w:ascii="宋体" w:hAnsi="宋体" w:cs="宋体"/>
          <w:b/>
          <w:sz w:val="116"/>
          <w:szCs w:val="116"/>
        </w:rPr>
        <w:t>投 标 文 件</w:t>
      </w:r>
    </w:p>
    <w:p w14:paraId="554A63F2">
      <w:pPr>
        <w:tabs>
          <w:tab w:val="left" w:pos="7380"/>
        </w:tabs>
        <w:spacing w:line="600" w:lineRule="exact"/>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项目编号：</w:t>
      </w:r>
      <w:r>
        <w:rPr>
          <w:rFonts w:hint="eastAsia" w:cs="宋体" w:asciiTheme="minorEastAsia" w:hAnsiTheme="minorEastAsia" w:eastAsiaTheme="minorEastAsia"/>
          <w:b/>
          <w:sz w:val="32"/>
          <w:szCs w:val="32"/>
          <w:lang w:eastAsia="zh-CN"/>
        </w:rPr>
        <w:t>YNZC2026-G1-01288-YNYS-0017</w:t>
      </w:r>
    </w:p>
    <w:p w14:paraId="21E92F6E">
      <w:pPr>
        <w:pStyle w:val="26"/>
        <w:spacing w:line="360" w:lineRule="auto"/>
        <w:ind w:firstLine="482" w:firstLineChars="200"/>
        <w:jc w:val="center"/>
        <w:rPr>
          <w:rFonts w:hint="eastAsia" w:cs="宋体" w:asciiTheme="minorEastAsia" w:hAnsiTheme="minorEastAsia" w:eastAsiaTheme="minorEastAsia"/>
          <w:b/>
          <w:kern w:val="0"/>
          <w:sz w:val="24"/>
        </w:rPr>
      </w:pPr>
    </w:p>
    <w:p w14:paraId="09CD53C0">
      <w:pPr>
        <w:pStyle w:val="26"/>
        <w:spacing w:line="360" w:lineRule="auto"/>
        <w:rPr>
          <w:rFonts w:hint="eastAsia" w:cs="宋体" w:asciiTheme="minorEastAsia" w:hAnsiTheme="minorEastAsia" w:eastAsiaTheme="minorEastAsia"/>
          <w:b/>
          <w:kern w:val="0"/>
          <w:sz w:val="24"/>
        </w:rPr>
      </w:pPr>
    </w:p>
    <w:p w14:paraId="2512967D">
      <w:pPr>
        <w:pStyle w:val="26"/>
        <w:spacing w:line="360" w:lineRule="auto"/>
        <w:rPr>
          <w:rFonts w:hint="eastAsia" w:cs="宋体" w:asciiTheme="minorEastAsia" w:hAnsiTheme="minorEastAsia" w:eastAsiaTheme="minorEastAsia"/>
          <w:b/>
          <w:kern w:val="0"/>
          <w:sz w:val="24"/>
        </w:rPr>
      </w:pPr>
    </w:p>
    <w:p w14:paraId="5523F38E">
      <w:pPr>
        <w:rPr>
          <w:rFonts w:hint="eastAsia" w:cs="宋体" w:asciiTheme="minorEastAsia" w:hAnsiTheme="minorEastAsia" w:eastAsiaTheme="minorEastAsia"/>
        </w:rPr>
      </w:pPr>
    </w:p>
    <w:p w14:paraId="5F4366A0">
      <w:pPr>
        <w:rPr>
          <w:rFonts w:hint="eastAsia" w:cs="宋体" w:asciiTheme="minorEastAsia" w:hAnsiTheme="minorEastAsia" w:eastAsiaTheme="minorEastAsia"/>
        </w:rPr>
      </w:pPr>
    </w:p>
    <w:p w14:paraId="37C4F260">
      <w:pPr>
        <w:spacing w:line="600" w:lineRule="exact"/>
        <w:ind w:firstLine="562" w:firstLineChars="200"/>
        <w:rPr>
          <w:rFonts w:hint="eastAsia" w:cs="宋体" w:asciiTheme="minorEastAsia" w:hAnsiTheme="minorEastAsia" w:eastAsiaTheme="minorEastAsia"/>
          <w:b/>
          <w:bCs/>
          <w:kern w:val="0"/>
          <w:sz w:val="28"/>
          <w:szCs w:val="28"/>
        </w:rPr>
      </w:pPr>
    </w:p>
    <w:p w14:paraId="19931615">
      <w:pPr>
        <w:spacing w:line="600" w:lineRule="exact"/>
        <w:ind w:firstLine="562" w:firstLineChars="200"/>
        <w:rPr>
          <w:rFonts w:hint="eastAsia" w:cs="宋体" w:asciiTheme="minorEastAsia" w:hAnsiTheme="minorEastAsia" w:eastAsiaTheme="minorEastAsia"/>
          <w:b/>
          <w:bCs/>
          <w:kern w:val="0"/>
          <w:sz w:val="28"/>
          <w:szCs w:val="28"/>
        </w:rPr>
      </w:pPr>
    </w:p>
    <w:p w14:paraId="3AC2E8DD">
      <w:pPr>
        <w:spacing w:line="360" w:lineRule="auto"/>
        <w:rPr>
          <w:rFonts w:hint="eastAsia" w:cs="宋体" w:asciiTheme="minorEastAsia" w:hAnsiTheme="minorEastAsia" w:eastAsiaTheme="minorEastAsia"/>
          <w:b/>
          <w:bCs/>
          <w:kern w:val="0"/>
          <w:sz w:val="30"/>
          <w:szCs w:val="30"/>
          <w:u w:val="single"/>
        </w:rPr>
      </w:pPr>
      <w:r>
        <w:rPr>
          <w:rFonts w:hint="eastAsia" w:cs="宋体" w:asciiTheme="minorEastAsia" w:hAnsiTheme="minorEastAsia" w:eastAsiaTheme="minorEastAsia"/>
          <w:b/>
          <w:bCs/>
          <w:kern w:val="0"/>
          <w:sz w:val="30"/>
          <w:szCs w:val="30"/>
        </w:rPr>
        <w:t>投标人全称：</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rPr>
        <w:t>（电子签章）</w:t>
      </w:r>
    </w:p>
    <w:p w14:paraId="626C39D4">
      <w:pPr>
        <w:pStyle w:val="26"/>
        <w:spacing w:line="360" w:lineRule="auto"/>
        <w:rPr>
          <w:b/>
          <w:bCs/>
          <w:sz w:val="30"/>
          <w:szCs w:val="30"/>
        </w:rPr>
      </w:pPr>
      <w:r>
        <w:rPr>
          <w:rFonts w:hint="eastAsia"/>
          <w:b/>
          <w:bCs/>
          <w:sz w:val="30"/>
          <w:szCs w:val="30"/>
        </w:rPr>
        <w:t>法定代表人：</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u w:val="single"/>
        </w:rPr>
        <w:tab/>
      </w:r>
      <w:r>
        <w:rPr>
          <w:rFonts w:hint="eastAsia"/>
          <w:b/>
          <w:bCs/>
          <w:sz w:val="30"/>
          <w:szCs w:val="30"/>
        </w:rPr>
        <w:t>（签名或签章）</w:t>
      </w:r>
    </w:p>
    <w:p w14:paraId="6CF36828">
      <w:pPr>
        <w:spacing w:line="360" w:lineRule="auto"/>
        <w:rPr>
          <w:rFonts w:hint="eastAsia" w:cs="宋体" w:asciiTheme="minorEastAsia" w:hAnsiTheme="minorEastAsia" w:eastAsiaTheme="minorEastAsia"/>
          <w:b/>
          <w:bCs/>
          <w:kern w:val="0"/>
          <w:sz w:val="30"/>
          <w:szCs w:val="30"/>
          <w:u w:val="single"/>
        </w:rPr>
      </w:pPr>
      <w:r>
        <w:rPr>
          <w:rFonts w:hint="eastAsia" w:cs="宋体" w:asciiTheme="minorEastAsia" w:hAnsiTheme="minorEastAsia" w:eastAsiaTheme="minorEastAsia"/>
          <w:b/>
          <w:bCs/>
          <w:kern w:val="0"/>
          <w:sz w:val="30"/>
          <w:szCs w:val="30"/>
        </w:rPr>
        <w:t>公司地址：</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p>
    <w:p w14:paraId="50EFC72F">
      <w:pPr>
        <w:spacing w:line="360" w:lineRule="auto"/>
        <w:rPr>
          <w:rFonts w:hint="eastAsia" w:cs="宋体" w:asciiTheme="minorEastAsia" w:hAnsiTheme="minorEastAsia" w:eastAsiaTheme="minorEastAsia"/>
          <w:b/>
          <w:bCs/>
          <w:kern w:val="0"/>
          <w:sz w:val="30"/>
          <w:szCs w:val="30"/>
          <w:u w:val="single"/>
        </w:rPr>
      </w:pPr>
      <w:r>
        <w:rPr>
          <w:rFonts w:hint="eastAsia" w:cs="宋体" w:asciiTheme="minorEastAsia" w:hAnsiTheme="minorEastAsia" w:eastAsiaTheme="minorEastAsia"/>
          <w:b/>
          <w:bCs/>
          <w:kern w:val="0"/>
          <w:sz w:val="30"/>
          <w:szCs w:val="30"/>
        </w:rPr>
        <w:t>联系人：</w:t>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rPr>
        <w:t>联系电话：</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u w:val="single"/>
        </w:rPr>
        <w:tab/>
      </w:r>
      <w:r>
        <w:rPr>
          <w:rFonts w:hint="eastAsia" w:cs="宋体" w:asciiTheme="minorEastAsia" w:hAnsiTheme="minorEastAsia" w:eastAsiaTheme="minorEastAsia"/>
          <w:b/>
          <w:bCs/>
          <w:kern w:val="0"/>
          <w:sz w:val="30"/>
          <w:szCs w:val="30"/>
          <w:u w:val="single"/>
        </w:rPr>
        <w:t xml:space="preserve">   </w:t>
      </w:r>
    </w:p>
    <w:p w14:paraId="19B92B45">
      <w:pPr>
        <w:spacing w:line="360" w:lineRule="auto"/>
        <w:rPr>
          <w:rFonts w:hint="eastAsia" w:cs="宋体" w:asciiTheme="minorEastAsia" w:hAnsiTheme="minorEastAsia" w:eastAsiaTheme="minorEastAsia"/>
          <w:b/>
          <w:bCs/>
          <w:kern w:val="0"/>
          <w:sz w:val="30"/>
          <w:szCs w:val="30"/>
        </w:rPr>
      </w:pPr>
      <w:r>
        <w:rPr>
          <w:rFonts w:hint="eastAsia" w:cs="宋体" w:asciiTheme="minorEastAsia" w:hAnsiTheme="minorEastAsia" w:eastAsiaTheme="minorEastAsia"/>
          <w:b/>
          <w:bCs/>
          <w:kern w:val="0"/>
          <w:sz w:val="30"/>
          <w:szCs w:val="30"/>
        </w:rPr>
        <w:t>日期：</w:t>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rPr>
        <w:t>年</w:t>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rPr>
        <w:t>月</w:t>
      </w:r>
      <w:r>
        <w:rPr>
          <w:rFonts w:hint="eastAsia" w:cs="宋体" w:asciiTheme="minorEastAsia" w:hAnsiTheme="minorEastAsia" w:eastAsiaTheme="minorEastAsia"/>
          <w:b/>
          <w:bCs/>
          <w:kern w:val="0"/>
          <w:sz w:val="30"/>
          <w:szCs w:val="30"/>
          <w:u w:val="single"/>
        </w:rPr>
        <w:t xml:space="preserve">     </w:t>
      </w:r>
      <w:r>
        <w:rPr>
          <w:rFonts w:hint="eastAsia" w:cs="宋体" w:asciiTheme="minorEastAsia" w:hAnsiTheme="minorEastAsia" w:eastAsiaTheme="minorEastAsia"/>
          <w:b/>
          <w:bCs/>
          <w:kern w:val="0"/>
          <w:sz w:val="30"/>
          <w:szCs w:val="30"/>
        </w:rPr>
        <w:t>日</w:t>
      </w:r>
      <w:bookmarkStart w:id="626" w:name="OLE_LINK33"/>
      <w:bookmarkStart w:id="627" w:name="_Toc193792897"/>
      <w:bookmarkStart w:id="628" w:name="_Toc66970031"/>
      <w:bookmarkStart w:id="629" w:name="_Toc192748568"/>
      <w:bookmarkStart w:id="630" w:name="_Toc97580356"/>
      <w:bookmarkStart w:id="631" w:name="_Toc13017"/>
      <w:bookmarkStart w:id="632" w:name="_Toc215313867"/>
      <w:bookmarkStart w:id="633" w:name="_Toc203147241"/>
    </w:p>
    <w:p w14:paraId="6FBDBDB2">
      <w:pPr>
        <w:widowControl/>
        <w:jc w:val="left"/>
        <w:rPr>
          <w:rFonts w:hint="eastAsia" w:ascii="黑体" w:hAnsi="黑体" w:eastAsia="黑体"/>
          <w:b/>
          <w:bCs/>
          <w:sz w:val="32"/>
          <w:szCs w:val="32"/>
        </w:rPr>
      </w:pPr>
      <w:bookmarkStart w:id="634" w:name="_Toc216365907"/>
      <w:r>
        <w:rPr>
          <w:rFonts w:hint="eastAsia" w:ascii="黑体" w:hAnsi="黑体" w:eastAsia="黑体"/>
          <w:bCs/>
          <w:sz w:val="32"/>
          <w:szCs w:val="32"/>
        </w:rPr>
        <w:br w:type="page"/>
      </w:r>
    </w:p>
    <w:p w14:paraId="5D234861">
      <w:pPr>
        <w:pStyle w:val="3"/>
        <w:tabs>
          <w:tab w:val="clear" w:pos="3999"/>
        </w:tabs>
        <w:spacing w:afterLines="0" w:line="460" w:lineRule="exact"/>
        <w:ind w:firstLine="643"/>
        <w:rPr>
          <w:rFonts w:hint="eastAsia" w:ascii="黑体" w:hAnsi="黑体" w:eastAsia="黑体"/>
          <w:bCs/>
          <w:sz w:val="32"/>
          <w:szCs w:val="32"/>
        </w:rPr>
      </w:pPr>
      <w:r>
        <w:rPr>
          <w:rFonts w:hint="eastAsia" w:ascii="黑体" w:hAnsi="黑体" w:eastAsia="黑体"/>
          <w:bCs/>
          <w:sz w:val="32"/>
          <w:szCs w:val="32"/>
        </w:rPr>
        <w:t>★</w:t>
      </w:r>
      <w:bookmarkEnd w:id="626"/>
      <w:r>
        <w:rPr>
          <w:rFonts w:hint="eastAsia" w:ascii="黑体" w:hAnsi="黑体" w:eastAsia="黑体"/>
          <w:bCs/>
          <w:sz w:val="32"/>
          <w:szCs w:val="32"/>
        </w:rPr>
        <w:t>开标（唱标）一览表</w:t>
      </w:r>
      <w:bookmarkEnd w:id="627"/>
      <w:bookmarkEnd w:id="628"/>
      <w:bookmarkEnd w:id="629"/>
      <w:bookmarkEnd w:id="630"/>
      <w:bookmarkEnd w:id="631"/>
      <w:bookmarkEnd w:id="632"/>
      <w:bookmarkEnd w:id="633"/>
      <w:bookmarkEnd w:id="634"/>
    </w:p>
    <w:p w14:paraId="2D9C8EAD">
      <w:pPr>
        <w:pStyle w:val="26"/>
        <w:rPr>
          <w:u w:val="single"/>
        </w:rPr>
      </w:pPr>
      <w:r>
        <w:rPr>
          <w:rFonts w:hint="eastAsia"/>
        </w:rPr>
        <w:t>项目名称：</w:t>
      </w:r>
    </w:p>
    <w:tbl>
      <w:tblPr>
        <w:tblStyle w:val="49"/>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2677"/>
        <w:gridCol w:w="5224"/>
      </w:tblGrid>
      <w:tr w14:paraId="1664E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4" w:hRule="atLeast"/>
          <w:jc w:val="center"/>
        </w:trPr>
        <w:tc>
          <w:tcPr>
            <w:tcW w:w="862" w:type="dxa"/>
            <w:vAlign w:val="center"/>
          </w:tcPr>
          <w:p w14:paraId="6A1A49BA">
            <w:pPr>
              <w:pStyle w:val="44"/>
              <w:widowControl w:val="0"/>
              <w:spacing w:before="0" w:beforeAutospacing="0" w:after="0" w:afterAutospacing="0"/>
              <w:jc w:val="center"/>
              <w:rPr>
                <w:rFonts w:hint="eastAsia" w:cs="宋体"/>
                <w:kern w:val="2"/>
                <w:sz w:val="21"/>
                <w:szCs w:val="21"/>
              </w:rPr>
            </w:pPr>
            <w:r>
              <w:rPr>
                <w:rFonts w:hint="eastAsia" w:cs="宋体"/>
                <w:kern w:val="2"/>
                <w:sz w:val="21"/>
                <w:szCs w:val="21"/>
              </w:rPr>
              <w:t>1</w:t>
            </w:r>
          </w:p>
        </w:tc>
        <w:tc>
          <w:tcPr>
            <w:tcW w:w="2677" w:type="dxa"/>
            <w:vAlign w:val="center"/>
          </w:tcPr>
          <w:p w14:paraId="0D8B5E55">
            <w:pPr>
              <w:pStyle w:val="44"/>
              <w:widowControl w:val="0"/>
              <w:spacing w:before="0" w:beforeAutospacing="0" w:after="0" w:afterAutospacing="0"/>
              <w:rPr>
                <w:rFonts w:hint="eastAsia" w:cs="宋体"/>
                <w:sz w:val="21"/>
                <w:szCs w:val="21"/>
              </w:rPr>
            </w:pPr>
            <w:bookmarkStart w:id="635" w:name="OLE_LINK24"/>
            <w:r>
              <w:rPr>
                <w:rFonts w:hint="eastAsia" w:cs="宋体"/>
                <w:sz w:val="21"/>
                <w:szCs w:val="21"/>
              </w:rPr>
              <w:t>投标总报价（元）</w:t>
            </w:r>
            <w:bookmarkEnd w:id="635"/>
          </w:p>
        </w:tc>
        <w:tc>
          <w:tcPr>
            <w:tcW w:w="5224" w:type="dxa"/>
            <w:vAlign w:val="center"/>
          </w:tcPr>
          <w:p w14:paraId="36AE9CB9">
            <w:pPr>
              <w:pStyle w:val="44"/>
              <w:widowControl w:val="0"/>
              <w:spacing w:before="0" w:beforeAutospacing="0" w:after="0" w:afterAutospacing="0"/>
              <w:jc w:val="both"/>
              <w:rPr>
                <w:rFonts w:hint="eastAsia" w:cs="宋体"/>
                <w:sz w:val="21"/>
                <w:szCs w:val="21"/>
              </w:rPr>
            </w:pPr>
            <w:r>
              <w:rPr>
                <w:rFonts w:hint="eastAsia" w:cs="宋体"/>
                <w:sz w:val="21"/>
                <w:szCs w:val="21"/>
              </w:rPr>
              <w:t>小写：</w:t>
            </w:r>
          </w:p>
          <w:p w14:paraId="63BF47BC">
            <w:pPr>
              <w:pStyle w:val="44"/>
              <w:widowControl w:val="0"/>
              <w:spacing w:before="0" w:beforeAutospacing="0" w:after="0" w:afterAutospacing="0"/>
              <w:jc w:val="both"/>
              <w:rPr>
                <w:rFonts w:hint="eastAsia" w:cs="宋体"/>
                <w:sz w:val="21"/>
                <w:szCs w:val="21"/>
              </w:rPr>
            </w:pPr>
          </w:p>
          <w:p w14:paraId="3C2FF208">
            <w:pPr>
              <w:pStyle w:val="44"/>
              <w:widowControl w:val="0"/>
              <w:spacing w:before="0" w:beforeAutospacing="0" w:after="0" w:afterAutospacing="0"/>
              <w:jc w:val="both"/>
              <w:rPr>
                <w:rFonts w:hint="eastAsia" w:cs="宋体"/>
                <w:sz w:val="21"/>
                <w:szCs w:val="21"/>
              </w:rPr>
            </w:pPr>
            <w:r>
              <w:rPr>
                <w:rFonts w:hint="eastAsia" w:cs="宋体"/>
                <w:sz w:val="21"/>
                <w:szCs w:val="21"/>
              </w:rPr>
              <w:t>大写：</w:t>
            </w:r>
          </w:p>
        </w:tc>
      </w:tr>
      <w:tr w14:paraId="635D0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862" w:type="dxa"/>
            <w:vAlign w:val="center"/>
          </w:tcPr>
          <w:p w14:paraId="37A32E5B">
            <w:pPr>
              <w:pStyle w:val="44"/>
              <w:widowControl w:val="0"/>
              <w:spacing w:before="0" w:beforeAutospacing="0" w:after="0" w:afterAutospacing="0"/>
              <w:jc w:val="center"/>
              <w:rPr>
                <w:rFonts w:hint="eastAsia" w:cs="宋体"/>
                <w:kern w:val="2"/>
                <w:sz w:val="21"/>
                <w:szCs w:val="21"/>
              </w:rPr>
            </w:pPr>
            <w:r>
              <w:rPr>
                <w:rFonts w:hint="eastAsia" w:cs="宋体"/>
                <w:kern w:val="2"/>
                <w:sz w:val="21"/>
                <w:szCs w:val="21"/>
              </w:rPr>
              <w:t>2</w:t>
            </w:r>
          </w:p>
        </w:tc>
        <w:tc>
          <w:tcPr>
            <w:tcW w:w="2677" w:type="dxa"/>
            <w:vAlign w:val="center"/>
          </w:tcPr>
          <w:p w14:paraId="0A36324D">
            <w:pPr>
              <w:pStyle w:val="44"/>
              <w:widowControl w:val="0"/>
              <w:spacing w:before="0" w:beforeAutospacing="0" w:after="0" w:afterAutospacing="0"/>
              <w:rPr>
                <w:rFonts w:hint="eastAsia" w:cs="宋体"/>
                <w:sz w:val="21"/>
                <w:szCs w:val="21"/>
              </w:rPr>
            </w:pPr>
            <w:r>
              <w:rPr>
                <w:rFonts w:hint="eastAsia" w:cs="宋体"/>
                <w:kern w:val="2"/>
                <w:sz w:val="21"/>
                <w:szCs w:val="21"/>
              </w:rPr>
              <w:t>交货期承诺</w:t>
            </w:r>
          </w:p>
        </w:tc>
        <w:tc>
          <w:tcPr>
            <w:tcW w:w="5224" w:type="dxa"/>
            <w:vAlign w:val="center"/>
          </w:tcPr>
          <w:p w14:paraId="5C347442">
            <w:pPr>
              <w:pStyle w:val="44"/>
              <w:widowControl w:val="0"/>
              <w:spacing w:before="0" w:beforeAutospacing="0" w:after="0" w:afterAutospacing="0"/>
              <w:jc w:val="both"/>
              <w:rPr>
                <w:rFonts w:hint="eastAsia" w:cs="宋体"/>
                <w:sz w:val="21"/>
                <w:szCs w:val="21"/>
              </w:rPr>
            </w:pPr>
          </w:p>
        </w:tc>
      </w:tr>
      <w:tr w14:paraId="1550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862" w:type="dxa"/>
            <w:vAlign w:val="center"/>
          </w:tcPr>
          <w:p w14:paraId="022F6879">
            <w:pPr>
              <w:pStyle w:val="44"/>
              <w:widowControl w:val="0"/>
              <w:spacing w:before="0" w:beforeAutospacing="0" w:after="0" w:afterAutospacing="0"/>
              <w:jc w:val="center"/>
              <w:rPr>
                <w:rFonts w:hint="eastAsia" w:cs="宋体"/>
                <w:kern w:val="2"/>
                <w:sz w:val="21"/>
                <w:szCs w:val="21"/>
              </w:rPr>
            </w:pPr>
            <w:r>
              <w:rPr>
                <w:rFonts w:hint="eastAsia" w:cs="宋体"/>
                <w:kern w:val="2"/>
                <w:sz w:val="21"/>
                <w:szCs w:val="21"/>
              </w:rPr>
              <w:t>3</w:t>
            </w:r>
          </w:p>
        </w:tc>
        <w:tc>
          <w:tcPr>
            <w:tcW w:w="2677" w:type="dxa"/>
            <w:vAlign w:val="center"/>
          </w:tcPr>
          <w:p w14:paraId="6FC7AB84">
            <w:pPr>
              <w:pStyle w:val="44"/>
              <w:widowControl w:val="0"/>
              <w:spacing w:before="0" w:beforeAutospacing="0" w:after="0" w:afterAutospacing="0"/>
              <w:rPr>
                <w:rFonts w:hint="eastAsia" w:cs="宋体"/>
                <w:kern w:val="2"/>
                <w:sz w:val="21"/>
                <w:szCs w:val="21"/>
              </w:rPr>
            </w:pPr>
            <w:bookmarkStart w:id="636" w:name="OLE_LINK25"/>
            <w:r>
              <w:rPr>
                <w:rFonts w:hint="eastAsia" w:cs="宋体"/>
                <w:sz w:val="21"/>
                <w:szCs w:val="21"/>
              </w:rPr>
              <w:t>质量承诺</w:t>
            </w:r>
            <w:bookmarkEnd w:id="636"/>
          </w:p>
        </w:tc>
        <w:tc>
          <w:tcPr>
            <w:tcW w:w="5224" w:type="dxa"/>
            <w:vAlign w:val="center"/>
          </w:tcPr>
          <w:p w14:paraId="5A0BE4AF">
            <w:pPr>
              <w:pStyle w:val="44"/>
              <w:widowControl w:val="0"/>
              <w:spacing w:before="0" w:beforeAutospacing="0" w:after="0" w:afterAutospacing="0"/>
              <w:jc w:val="both"/>
              <w:rPr>
                <w:rFonts w:hint="eastAsia" w:cs="宋体"/>
                <w:sz w:val="21"/>
                <w:szCs w:val="21"/>
              </w:rPr>
            </w:pPr>
          </w:p>
        </w:tc>
      </w:tr>
      <w:tr w14:paraId="61A6D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862" w:type="dxa"/>
            <w:vAlign w:val="center"/>
          </w:tcPr>
          <w:p w14:paraId="5E0F450E">
            <w:pPr>
              <w:pStyle w:val="44"/>
              <w:widowControl w:val="0"/>
              <w:spacing w:before="0" w:beforeAutospacing="0" w:after="0" w:afterAutospacing="0"/>
              <w:jc w:val="center"/>
              <w:rPr>
                <w:rFonts w:hint="eastAsia" w:cs="宋体"/>
                <w:kern w:val="2"/>
                <w:sz w:val="21"/>
                <w:szCs w:val="21"/>
              </w:rPr>
            </w:pPr>
            <w:r>
              <w:rPr>
                <w:rFonts w:hint="eastAsia" w:cs="宋体"/>
                <w:kern w:val="2"/>
                <w:sz w:val="21"/>
                <w:szCs w:val="21"/>
              </w:rPr>
              <w:t>4</w:t>
            </w:r>
          </w:p>
        </w:tc>
        <w:tc>
          <w:tcPr>
            <w:tcW w:w="2677" w:type="dxa"/>
            <w:vAlign w:val="center"/>
          </w:tcPr>
          <w:p w14:paraId="0AD90F05">
            <w:pPr>
              <w:pStyle w:val="44"/>
              <w:widowControl w:val="0"/>
              <w:spacing w:before="0" w:beforeAutospacing="0" w:after="0" w:afterAutospacing="0"/>
              <w:rPr>
                <w:rFonts w:hint="eastAsia" w:cs="宋体"/>
                <w:sz w:val="21"/>
                <w:szCs w:val="21"/>
              </w:rPr>
            </w:pPr>
            <w:r>
              <w:rPr>
                <w:rFonts w:hint="eastAsia" w:cs="宋体"/>
                <w:kern w:val="2"/>
                <w:sz w:val="21"/>
                <w:szCs w:val="21"/>
              </w:rPr>
              <w:t xml:space="preserve">投标文件有效期 </w:t>
            </w:r>
          </w:p>
        </w:tc>
        <w:tc>
          <w:tcPr>
            <w:tcW w:w="5224" w:type="dxa"/>
            <w:vAlign w:val="center"/>
          </w:tcPr>
          <w:p w14:paraId="4421D9A1">
            <w:pPr>
              <w:pStyle w:val="44"/>
              <w:widowControl w:val="0"/>
              <w:spacing w:before="0" w:beforeAutospacing="0" w:after="0" w:afterAutospacing="0"/>
              <w:jc w:val="both"/>
              <w:rPr>
                <w:rFonts w:hint="eastAsia" w:cs="宋体"/>
                <w:sz w:val="21"/>
                <w:szCs w:val="21"/>
              </w:rPr>
            </w:pPr>
            <w:r>
              <w:rPr>
                <w:rFonts w:hint="eastAsia" w:cs="宋体"/>
                <w:kern w:val="2"/>
                <w:sz w:val="21"/>
                <w:szCs w:val="21"/>
              </w:rPr>
              <w:t>自投标文件提交截止之日起算</w:t>
            </w:r>
            <w:r>
              <w:rPr>
                <w:rFonts w:hint="eastAsia" w:cs="宋体"/>
                <w:kern w:val="2"/>
                <w:sz w:val="21"/>
                <w:szCs w:val="21"/>
                <w:u w:val="single"/>
              </w:rPr>
              <w:t xml:space="preserve">    </w:t>
            </w:r>
            <w:r>
              <w:rPr>
                <w:rFonts w:hint="eastAsia" w:cs="宋体"/>
                <w:kern w:val="2"/>
                <w:sz w:val="21"/>
                <w:szCs w:val="21"/>
              </w:rPr>
              <w:t>日历天。</w:t>
            </w:r>
          </w:p>
        </w:tc>
      </w:tr>
      <w:tr w14:paraId="1C55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862" w:type="dxa"/>
            <w:vAlign w:val="center"/>
          </w:tcPr>
          <w:p w14:paraId="57F0D53D">
            <w:pPr>
              <w:pStyle w:val="44"/>
              <w:widowControl w:val="0"/>
              <w:spacing w:before="0" w:beforeAutospacing="0" w:after="0" w:afterAutospacing="0"/>
              <w:jc w:val="center"/>
              <w:rPr>
                <w:rFonts w:hint="eastAsia" w:cs="宋体"/>
                <w:kern w:val="2"/>
                <w:sz w:val="21"/>
                <w:szCs w:val="21"/>
              </w:rPr>
            </w:pPr>
            <w:r>
              <w:rPr>
                <w:rFonts w:hint="eastAsia" w:cs="宋体"/>
                <w:kern w:val="2"/>
                <w:sz w:val="21"/>
                <w:szCs w:val="21"/>
              </w:rPr>
              <w:t>5</w:t>
            </w:r>
          </w:p>
        </w:tc>
        <w:tc>
          <w:tcPr>
            <w:tcW w:w="2677" w:type="dxa"/>
            <w:vAlign w:val="center"/>
          </w:tcPr>
          <w:p w14:paraId="4D3160CC">
            <w:pPr>
              <w:pStyle w:val="44"/>
              <w:widowControl w:val="0"/>
              <w:spacing w:before="0" w:beforeAutospacing="0" w:after="0" w:afterAutospacing="0"/>
              <w:rPr>
                <w:rFonts w:hint="eastAsia" w:cs="宋体"/>
                <w:sz w:val="21"/>
                <w:szCs w:val="21"/>
              </w:rPr>
            </w:pPr>
            <w:r>
              <w:rPr>
                <w:rFonts w:hint="eastAsia" w:cs="宋体"/>
                <w:sz w:val="21"/>
                <w:szCs w:val="21"/>
              </w:rPr>
              <w:t>备注</w:t>
            </w:r>
          </w:p>
        </w:tc>
        <w:tc>
          <w:tcPr>
            <w:tcW w:w="5224" w:type="dxa"/>
            <w:vAlign w:val="center"/>
          </w:tcPr>
          <w:p w14:paraId="7A5B5191">
            <w:pPr>
              <w:pStyle w:val="44"/>
              <w:widowControl w:val="0"/>
              <w:spacing w:before="0" w:beforeAutospacing="0" w:after="0" w:afterAutospacing="0"/>
              <w:jc w:val="both"/>
              <w:rPr>
                <w:rFonts w:hint="eastAsia" w:cs="宋体"/>
                <w:kern w:val="2"/>
                <w:sz w:val="21"/>
                <w:szCs w:val="21"/>
              </w:rPr>
            </w:pPr>
          </w:p>
        </w:tc>
      </w:tr>
    </w:tbl>
    <w:p w14:paraId="06839B8C">
      <w:pPr>
        <w:pStyle w:val="26"/>
        <w:spacing w:line="360" w:lineRule="auto"/>
        <w:rPr>
          <w:sz w:val="24"/>
          <w:szCs w:val="24"/>
        </w:rPr>
      </w:pPr>
      <w:bookmarkStart w:id="637" w:name="_Hlk154133504"/>
      <w:r>
        <w:rPr>
          <w:rFonts w:hint="eastAsia"/>
          <w:sz w:val="24"/>
          <w:szCs w:val="24"/>
        </w:rPr>
        <w:t>注：1.此表应放于投标文件封面后第一页。</w:t>
      </w:r>
    </w:p>
    <w:p w14:paraId="01F2EE6E">
      <w:pPr>
        <w:ind w:firstLine="480" w:firstLineChars="200"/>
        <w:rPr>
          <w:rFonts w:ascii="宋体"/>
        </w:rPr>
      </w:pPr>
      <w:r>
        <w:rPr>
          <w:rFonts w:hint="eastAsia" w:ascii="宋体"/>
        </w:rPr>
        <w:t>2.投标总报价超过采购项目预算金额的，按无效标处理。</w:t>
      </w:r>
    </w:p>
    <w:bookmarkEnd w:id="637"/>
    <w:p w14:paraId="5FB197A6">
      <w:pPr>
        <w:spacing w:line="360" w:lineRule="auto"/>
        <w:ind w:firstLine="424" w:firstLineChars="177"/>
        <w:rPr>
          <w:rFonts w:hint="eastAsia" w:ascii="宋体" w:hAnsi="宋体"/>
        </w:rPr>
      </w:pPr>
    </w:p>
    <w:p w14:paraId="3B13A329">
      <w:pPr>
        <w:rPr>
          <w:rFonts w:hint="eastAsia" w:asciiTheme="minorEastAsia" w:hAnsiTheme="minorEastAsia" w:eastAsiaTheme="minorEastAsia"/>
        </w:rPr>
      </w:pPr>
    </w:p>
    <w:p w14:paraId="7B671CEE">
      <w:pPr>
        <w:rPr>
          <w:rFonts w:hint="eastAsia" w:asciiTheme="minorEastAsia" w:hAnsiTheme="minorEastAsia" w:eastAsiaTheme="minorEastAsia"/>
        </w:rPr>
      </w:pPr>
    </w:p>
    <w:p w14:paraId="3DCDC9C7">
      <w:pPr>
        <w:pStyle w:val="26"/>
        <w:rPr>
          <w:sz w:val="24"/>
          <w:szCs w:val="24"/>
        </w:rPr>
      </w:pPr>
      <w:r>
        <w:rPr>
          <w:rFonts w:hint="eastAsia"/>
          <w:sz w:val="24"/>
          <w:szCs w:val="24"/>
        </w:rPr>
        <w:t>投标人全称：</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sz w:val="24"/>
          <w:szCs w:val="24"/>
        </w:rPr>
        <w:t>（电子签章）</w:t>
      </w:r>
    </w:p>
    <w:p w14:paraId="1AC29FC0">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法定代表人：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（签名或签章）</w:t>
      </w:r>
    </w:p>
    <w:p w14:paraId="37775507">
      <w:pPr>
        <w:spacing w:line="600" w:lineRule="exact"/>
        <w:rPr>
          <w:rFonts w:hint="eastAsia" w:cs="宋体" w:asciiTheme="minorEastAsia" w:hAnsiTheme="minorEastAsia" w:eastAsiaTheme="minorEastAsia"/>
        </w:rPr>
      </w:pPr>
      <w:r>
        <w:rPr>
          <w:rFonts w:hint="eastAsia" w:cs="宋体" w:asciiTheme="minorEastAsia" w:hAnsiTheme="minorEastAsia" w:eastAsiaTheme="minorEastAsia"/>
        </w:rPr>
        <w:t>日  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月</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日</w:t>
      </w:r>
    </w:p>
    <w:p w14:paraId="7805C3EF">
      <w:pPr>
        <w:widowControl/>
        <w:jc w:val="left"/>
        <w:rPr>
          <w:rFonts w:hint="eastAsia" w:cs="宋体" w:asciiTheme="minorEastAsia" w:hAnsiTheme="minorEastAsia" w:eastAsiaTheme="minorEastAsia"/>
        </w:rPr>
      </w:pPr>
      <w:r>
        <w:rPr>
          <w:rFonts w:hint="eastAsia" w:cs="宋体" w:asciiTheme="minorEastAsia" w:hAnsiTheme="minorEastAsia" w:eastAsiaTheme="minorEastAsia"/>
        </w:rPr>
        <w:br w:type="page"/>
      </w:r>
    </w:p>
    <w:p w14:paraId="103A923A">
      <w:pPr>
        <w:spacing w:line="600" w:lineRule="exact"/>
        <w:jc w:val="center"/>
        <w:rPr>
          <w:rFonts w:hint="eastAsia" w:ascii="黑体" w:hAnsi="黑体" w:eastAsia="黑体"/>
          <w:b/>
          <w:bCs/>
          <w:sz w:val="32"/>
          <w:szCs w:val="32"/>
        </w:rPr>
      </w:pPr>
      <w:bookmarkStart w:id="638" w:name="_Hlk203209192"/>
      <w:r>
        <w:rPr>
          <w:rFonts w:hint="eastAsia" w:ascii="黑体" w:hAnsi="黑体" w:eastAsia="黑体"/>
          <w:b/>
          <w:bCs/>
          <w:sz w:val="32"/>
          <w:szCs w:val="32"/>
        </w:rPr>
        <w:t>分项报价表</w:t>
      </w:r>
    </w:p>
    <w:tbl>
      <w:tblPr>
        <w:tblStyle w:val="49"/>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344"/>
        <w:gridCol w:w="2000"/>
        <w:gridCol w:w="870"/>
        <w:gridCol w:w="940"/>
        <w:gridCol w:w="1444"/>
        <w:gridCol w:w="1480"/>
      </w:tblGrid>
      <w:tr w14:paraId="328A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2086BDA">
            <w:pPr>
              <w:spacing w:line="400" w:lineRule="exact"/>
              <w:jc w:val="center"/>
              <w:rPr>
                <w:rFonts w:hint="eastAsia" w:ascii="宋体" w:hAnsi="宋体"/>
                <w:b/>
                <w:bCs/>
                <w:sz w:val="21"/>
                <w:szCs w:val="21"/>
              </w:rPr>
            </w:pPr>
            <w:bookmarkStart w:id="639" w:name="OLE_LINK29"/>
            <w:r>
              <w:rPr>
                <w:rFonts w:hint="eastAsia" w:ascii="宋体" w:hAnsi="宋体"/>
                <w:b/>
                <w:bCs/>
                <w:sz w:val="21"/>
                <w:szCs w:val="21"/>
              </w:rPr>
              <w:t>序号</w:t>
            </w:r>
            <w:bookmarkEnd w:id="639"/>
          </w:p>
        </w:tc>
        <w:tc>
          <w:tcPr>
            <w:tcW w:w="1344" w:type="dxa"/>
            <w:tcBorders>
              <w:top w:val="single" w:color="auto" w:sz="4" w:space="0"/>
              <w:left w:val="single" w:color="auto" w:sz="4" w:space="0"/>
              <w:bottom w:val="single" w:color="auto" w:sz="4" w:space="0"/>
              <w:right w:val="single" w:color="auto" w:sz="4" w:space="0"/>
            </w:tcBorders>
            <w:vAlign w:val="center"/>
          </w:tcPr>
          <w:p w14:paraId="081E4731">
            <w:pPr>
              <w:spacing w:line="400" w:lineRule="exact"/>
              <w:jc w:val="center"/>
              <w:rPr>
                <w:rFonts w:hint="eastAsia" w:ascii="宋体" w:hAnsi="宋体"/>
                <w:b/>
                <w:bCs/>
                <w:sz w:val="21"/>
                <w:szCs w:val="21"/>
              </w:rPr>
            </w:pPr>
            <w:r>
              <w:rPr>
                <w:rFonts w:hint="eastAsia" w:ascii="宋体" w:hAnsi="宋体"/>
                <w:b/>
                <w:bCs/>
                <w:sz w:val="21"/>
                <w:szCs w:val="21"/>
              </w:rPr>
              <w:t>产品名称</w:t>
            </w:r>
          </w:p>
        </w:tc>
        <w:tc>
          <w:tcPr>
            <w:tcW w:w="2000" w:type="dxa"/>
            <w:tcBorders>
              <w:top w:val="single" w:color="auto" w:sz="4" w:space="0"/>
              <w:left w:val="single" w:color="auto" w:sz="4" w:space="0"/>
              <w:bottom w:val="single" w:color="auto" w:sz="4" w:space="0"/>
              <w:right w:val="single" w:color="auto" w:sz="4" w:space="0"/>
            </w:tcBorders>
            <w:vAlign w:val="center"/>
          </w:tcPr>
          <w:p w14:paraId="0C9DD0BC">
            <w:pPr>
              <w:spacing w:line="300" w:lineRule="exact"/>
              <w:jc w:val="center"/>
              <w:rPr>
                <w:rFonts w:hint="eastAsia" w:ascii="宋体" w:hAnsi="宋体"/>
                <w:b/>
                <w:bCs/>
                <w:sz w:val="21"/>
                <w:szCs w:val="21"/>
              </w:rPr>
            </w:pPr>
            <w:r>
              <w:rPr>
                <w:rFonts w:hint="eastAsia" w:ascii="宋体" w:hAnsi="宋体"/>
                <w:b/>
                <w:bCs/>
                <w:sz w:val="21"/>
                <w:szCs w:val="21"/>
              </w:rPr>
              <w:t>品牌、规格型号、制造商</w:t>
            </w:r>
          </w:p>
        </w:tc>
        <w:tc>
          <w:tcPr>
            <w:tcW w:w="870" w:type="dxa"/>
            <w:tcBorders>
              <w:top w:val="single" w:color="auto" w:sz="4" w:space="0"/>
              <w:left w:val="single" w:color="auto" w:sz="4" w:space="0"/>
              <w:bottom w:val="single" w:color="auto" w:sz="4" w:space="0"/>
              <w:right w:val="single" w:color="auto" w:sz="4" w:space="0"/>
            </w:tcBorders>
            <w:vAlign w:val="center"/>
          </w:tcPr>
          <w:p w14:paraId="1D5D7D0A">
            <w:pPr>
              <w:spacing w:line="400" w:lineRule="exact"/>
              <w:jc w:val="center"/>
              <w:rPr>
                <w:rFonts w:hint="eastAsia" w:ascii="宋体" w:hAnsi="宋体"/>
                <w:b/>
                <w:bCs/>
                <w:sz w:val="21"/>
                <w:szCs w:val="21"/>
              </w:rPr>
            </w:pPr>
            <w:r>
              <w:rPr>
                <w:rFonts w:hint="eastAsia" w:ascii="宋体" w:hAnsi="宋体"/>
                <w:b/>
                <w:bCs/>
                <w:sz w:val="21"/>
                <w:szCs w:val="21"/>
              </w:rPr>
              <w:t>数量</w:t>
            </w:r>
          </w:p>
        </w:tc>
        <w:tc>
          <w:tcPr>
            <w:tcW w:w="940" w:type="dxa"/>
            <w:tcBorders>
              <w:top w:val="single" w:color="auto" w:sz="4" w:space="0"/>
              <w:left w:val="single" w:color="auto" w:sz="4" w:space="0"/>
              <w:bottom w:val="single" w:color="auto" w:sz="4" w:space="0"/>
              <w:right w:val="single" w:color="auto" w:sz="4" w:space="0"/>
            </w:tcBorders>
            <w:vAlign w:val="center"/>
          </w:tcPr>
          <w:p w14:paraId="269299B6">
            <w:pPr>
              <w:spacing w:line="400" w:lineRule="exact"/>
              <w:jc w:val="center"/>
              <w:rPr>
                <w:rFonts w:hint="eastAsia" w:ascii="宋体" w:hAnsi="宋体"/>
                <w:b/>
                <w:bCs/>
                <w:sz w:val="21"/>
                <w:szCs w:val="21"/>
              </w:rPr>
            </w:pPr>
            <w:r>
              <w:rPr>
                <w:rFonts w:hint="eastAsia" w:ascii="宋体" w:hAnsi="宋体"/>
                <w:b/>
                <w:bCs/>
                <w:sz w:val="21"/>
                <w:szCs w:val="21"/>
              </w:rPr>
              <w:t>单位</w:t>
            </w:r>
          </w:p>
        </w:tc>
        <w:tc>
          <w:tcPr>
            <w:tcW w:w="1444" w:type="dxa"/>
            <w:tcBorders>
              <w:top w:val="single" w:color="auto" w:sz="4" w:space="0"/>
              <w:left w:val="single" w:color="auto" w:sz="4" w:space="0"/>
              <w:bottom w:val="single" w:color="auto" w:sz="4" w:space="0"/>
              <w:right w:val="single" w:color="auto" w:sz="4" w:space="0"/>
            </w:tcBorders>
            <w:vAlign w:val="center"/>
          </w:tcPr>
          <w:p w14:paraId="611FB3FB">
            <w:pPr>
              <w:spacing w:line="400" w:lineRule="exact"/>
              <w:jc w:val="center"/>
              <w:rPr>
                <w:rFonts w:hint="eastAsia" w:ascii="宋体" w:hAnsi="宋体"/>
                <w:b/>
                <w:bCs/>
                <w:sz w:val="21"/>
                <w:szCs w:val="21"/>
              </w:rPr>
            </w:pPr>
            <w:r>
              <w:rPr>
                <w:rFonts w:hint="eastAsia" w:ascii="宋体" w:hAnsi="宋体"/>
                <w:b/>
                <w:bCs/>
                <w:sz w:val="21"/>
                <w:szCs w:val="21"/>
              </w:rPr>
              <w:t>单价（元）</w:t>
            </w:r>
          </w:p>
        </w:tc>
        <w:tc>
          <w:tcPr>
            <w:tcW w:w="1480" w:type="dxa"/>
            <w:tcBorders>
              <w:top w:val="single" w:color="auto" w:sz="4" w:space="0"/>
              <w:left w:val="single" w:color="auto" w:sz="4" w:space="0"/>
              <w:bottom w:val="single" w:color="auto" w:sz="4" w:space="0"/>
              <w:right w:val="single" w:color="auto" w:sz="4" w:space="0"/>
            </w:tcBorders>
            <w:vAlign w:val="center"/>
          </w:tcPr>
          <w:p w14:paraId="18488E5C">
            <w:pPr>
              <w:spacing w:line="400" w:lineRule="exact"/>
              <w:jc w:val="center"/>
              <w:rPr>
                <w:rFonts w:hint="eastAsia" w:ascii="宋体" w:hAnsi="宋体"/>
                <w:b/>
                <w:bCs/>
                <w:sz w:val="21"/>
                <w:szCs w:val="21"/>
              </w:rPr>
            </w:pPr>
            <w:r>
              <w:rPr>
                <w:rFonts w:hint="eastAsia" w:ascii="宋体" w:hAnsi="宋体"/>
                <w:b/>
                <w:bCs/>
                <w:sz w:val="21"/>
                <w:szCs w:val="21"/>
              </w:rPr>
              <w:t>合</w:t>
            </w:r>
            <w:bookmarkStart w:id="640" w:name="OLE_LINK48"/>
            <w:r>
              <w:rPr>
                <w:rFonts w:hint="eastAsia" w:ascii="宋体" w:hAnsi="宋体"/>
                <w:b/>
                <w:bCs/>
                <w:sz w:val="21"/>
                <w:szCs w:val="21"/>
              </w:rPr>
              <w:t>价</w:t>
            </w:r>
            <w:bookmarkEnd w:id="640"/>
            <w:r>
              <w:rPr>
                <w:rFonts w:hint="eastAsia" w:ascii="宋体" w:hAnsi="宋体"/>
                <w:b/>
                <w:bCs/>
                <w:sz w:val="21"/>
                <w:szCs w:val="21"/>
              </w:rPr>
              <w:t>（元）</w:t>
            </w:r>
          </w:p>
        </w:tc>
      </w:tr>
      <w:tr w14:paraId="73121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83A19BF">
            <w:pPr>
              <w:spacing w:line="400" w:lineRule="exact"/>
              <w:jc w:val="center"/>
              <w:rPr>
                <w:rFonts w:hint="eastAsia" w:ascii="宋体" w:hAnsi="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vAlign w:val="center"/>
          </w:tcPr>
          <w:p w14:paraId="67FAADEB">
            <w:pPr>
              <w:spacing w:line="400" w:lineRule="exact"/>
              <w:rPr>
                <w:rFonts w:hint="eastAsia" w:ascii="宋体" w:hAnsi="宋体" w:cs="宋体"/>
                <w:kern w:val="0"/>
                <w:sz w:val="21"/>
                <w:szCs w:val="21"/>
              </w:rPr>
            </w:pPr>
          </w:p>
        </w:tc>
        <w:tc>
          <w:tcPr>
            <w:tcW w:w="2000" w:type="dxa"/>
            <w:tcBorders>
              <w:top w:val="single" w:color="auto" w:sz="4" w:space="0"/>
              <w:left w:val="single" w:color="auto" w:sz="4" w:space="0"/>
              <w:bottom w:val="single" w:color="auto" w:sz="4" w:space="0"/>
              <w:right w:val="single" w:color="auto" w:sz="4" w:space="0"/>
            </w:tcBorders>
          </w:tcPr>
          <w:p w14:paraId="16EF0231">
            <w:pPr>
              <w:spacing w:line="400" w:lineRule="exact"/>
              <w:jc w:val="center"/>
              <w:rPr>
                <w:rFonts w:hint="eastAsia" w:ascii="宋体" w:hAnsi="宋体" w:cs="宋体"/>
                <w:kern w:val="0"/>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14:paraId="6A33C1E7">
            <w:pPr>
              <w:spacing w:line="400" w:lineRule="exact"/>
              <w:jc w:val="center"/>
              <w:rPr>
                <w:rFonts w:hint="eastAsia" w:ascii="宋体" w:hAnsi="宋体" w:cs="宋体"/>
                <w:kern w:val="0"/>
                <w:sz w:val="21"/>
                <w:szCs w:val="21"/>
              </w:rPr>
            </w:pPr>
          </w:p>
        </w:tc>
        <w:tc>
          <w:tcPr>
            <w:tcW w:w="940" w:type="dxa"/>
            <w:tcBorders>
              <w:top w:val="single" w:color="auto" w:sz="4" w:space="0"/>
              <w:left w:val="single" w:color="auto" w:sz="4" w:space="0"/>
              <w:bottom w:val="single" w:color="auto" w:sz="4" w:space="0"/>
              <w:right w:val="single" w:color="auto" w:sz="4" w:space="0"/>
            </w:tcBorders>
            <w:vAlign w:val="center"/>
          </w:tcPr>
          <w:p w14:paraId="5EA2AC48">
            <w:pPr>
              <w:spacing w:line="400" w:lineRule="exact"/>
              <w:jc w:val="center"/>
              <w:rPr>
                <w:rFonts w:hint="eastAsia" w:ascii="宋体" w:hAnsi="宋体" w:cs="宋体"/>
                <w:kern w:val="0"/>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21B83F8B">
            <w:pPr>
              <w:spacing w:line="400" w:lineRule="exact"/>
              <w:rPr>
                <w:rFonts w:hint="eastAsia" w:ascii="宋体" w:hAnsi="宋体" w:cs="宋体"/>
                <w:kern w:val="0"/>
                <w:sz w:val="21"/>
                <w:szCs w:val="21"/>
              </w:rPr>
            </w:pPr>
          </w:p>
        </w:tc>
        <w:tc>
          <w:tcPr>
            <w:tcW w:w="1480" w:type="dxa"/>
            <w:tcBorders>
              <w:top w:val="single" w:color="auto" w:sz="4" w:space="0"/>
              <w:left w:val="single" w:color="auto" w:sz="4" w:space="0"/>
              <w:bottom w:val="single" w:color="auto" w:sz="4" w:space="0"/>
              <w:right w:val="single" w:color="auto" w:sz="4" w:space="0"/>
            </w:tcBorders>
            <w:vAlign w:val="center"/>
          </w:tcPr>
          <w:p w14:paraId="346A74DD">
            <w:pPr>
              <w:spacing w:line="400" w:lineRule="exact"/>
              <w:rPr>
                <w:rFonts w:hint="eastAsia" w:ascii="宋体" w:hAnsi="宋体" w:cs="宋体"/>
                <w:kern w:val="0"/>
                <w:sz w:val="21"/>
                <w:szCs w:val="21"/>
              </w:rPr>
            </w:pPr>
          </w:p>
        </w:tc>
      </w:tr>
      <w:tr w14:paraId="3275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1771F8F3">
            <w:pPr>
              <w:spacing w:line="400" w:lineRule="exact"/>
              <w:jc w:val="center"/>
              <w:rPr>
                <w:rFonts w:hint="eastAsia" w:ascii="宋体" w:hAnsi="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vAlign w:val="center"/>
          </w:tcPr>
          <w:p w14:paraId="0A68354F">
            <w:pPr>
              <w:spacing w:line="400" w:lineRule="exact"/>
              <w:rPr>
                <w:rFonts w:hint="eastAsia" w:ascii="宋体" w:hAnsi="宋体" w:cs="宋体"/>
                <w:kern w:val="0"/>
                <w:sz w:val="21"/>
                <w:szCs w:val="21"/>
              </w:rPr>
            </w:pPr>
          </w:p>
        </w:tc>
        <w:tc>
          <w:tcPr>
            <w:tcW w:w="2000" w:type="dxa"/>
            <w:tcBorders>
              <w:top w:val="single" w:color="auto" w:sz="4" w:space="0"/>
              <w:left w:val="single" w:color="auto" w:sz="4" w:space="0"/>
              <w:bottom w:val="single" w:color="auto" w:sz="4" w:space="0"/>
              <w:right w:val="single" w:color="auto" w:sz="4" w:space="0"/>
            </w:tcBorders>
          </w:tcPr>
          <w:p w14:paraId="5AD1BF8F">
            <w:pPr>
              <w:spacing w:line="400" w:lineRule="exact"/>
              <w:jc w:val="center"/>
              <w:rPr>
                <w:rFonts w:hint="eastAsia" w:ascii="宋体" w:hAnsi="宋体" w:cs="宋体"/>
                <w:kern w:val="0"/>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14:paraId="3BAEC311">
            <w:pPr>
              <w:spacing w:line="400" w:lineRule="exact"/>
              <w:jc w:val="center"/>
              <w:rPr>
                <w:rFonts w:hint="eastAsia" w:ascii="宋体" w:hAnsi="宋体" w:cs="宋体"/>
                <w:kern w:val="0"/>
                <w:sz w:val="21"/>
                <w:szCs w:val="21"/>
              </w:rPr>
            </w:pPr>
          </w:p>
        </w:tc>
        <w:tc>
          <w:tcPr>
            <w:tcW w:w="940" w:type="dxa"/>
            <w:tcBorders>
              <w:top w:val="single" w:color="auto" w:sz="4" w:space="0"/>
              <w:left w:val="single" w:color="auto" w:sz="4" w:space="0"/>
              <w:bottom w:val="single" w:color="auto" w:sz="4" w:space="0"/>
              <w:right w:val="single" w:color="auto" w:sz="4" w:space="0"/>
            </w:tcBorders>
            <w:vAlign w:val="center"/>
          </w:tcPr>
          <w:p w14:paraId="3A7E2F27">
            <w:pPr>
              <w:spacing w:line="400" w:lineRule="exact"/>
              <w:jc w:val="center"/>
              <w:rPr>
                <w:rFonts w:hint="eastAsia" w:ascii="宋体" w:hAnsi="宋体" w:cs="宋体"/>
                <w:kern w:val="0"/>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15E3CC0E">
            <w:pPr>
              <w:spacing w:line="400" w:lineRule="exact"/>
              <w:rPr>
                <w:rFonts w:hint="eastAsia" w:ascii="宋体" w:hAnsi="宋体" w:cs="宋体"/>
                <w:kern w:val="0"/>
                <w:sz w:val="21"/>
                <w:szCs w:val="21"/>
              </w:rPr>
            </w:pPr>
          </w:p>
        </w:tc>
        <w:tc>
          <w:tcPr>
            <w:tcW w:w="1480" w:type="dxa"/>
            <w:tcBorders>
              <w:top w:val="single" w:color="auto" w:sz="4" w:space="0"/>
              <w:left w:val="single" w:color="auto" w:sz="4" w:space="0"/>
              <w:bottom w:val="single" w:color="auto" w:sz="4" w:space="0"/>
              <w:right w:val="single" w:color="auto" w:sz="4" w:space="0"/>
            </w:tcBorders>
            <w:vAlign w:val="center"/>
          </w:tcPr>
          <w:p w14:paraId="5F17E33D">
            <w:pPr>
              <w:spacing w:line="400" w:lineRule="exact"/>
              <w:rPr>
                <w:rFonts w:hint="eastAsia" w:ascii="宋体" w:hAnsi="宋体" w:cs="宋体"/>
                <w:kern w:val="0"/>
                <w:sz w:val="21"/>
                <w:szCs w:val="21"/>
              </w:rPr>
            </w:pPr>
          </w:p>
        </w:tc>
      </w:tr>
      <w:tr w14:paraId="5A8D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43517B3">
            <w:pPr>
              <w:spacing w:line="400" w:lineRule="exact"/>
              <w:jc w:val="center"/>
              <w:rPr>
                <w:rFonts w:hint="eastAsia" w:ascii="宋体" w:hAnsi="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vAlign w:val="center"/>
          </w:tcPr>
          <w:p w14:paraId="63DB0804">
            <w:pPr>
              <w:spacing w:line="400" w:lineRule="exact"/>
              <w:rPr>
                <w:rFonts w:hint="eastAsia" w:ascii="宋体" w:hAnsi="宋体" w:cs="宋体"/>
                <w:kern w:val="0"/>
                <w:sz w:val="21"/>
                <w:szCs w:val="21"/>
              </w:rPr>
            </w:pPr>
          </w:p>
        </w:tc>
        <w:tc>
          <w:tcPr>
            <w:tcW w:w="2000" w:type="dxa"/>
            <w:tcBorders>
              <w:top w:val="single" w:color="auto" w:sz="4" w:space="0"/>
              <w:left w:val="single" w:color="auto" w:sz="4" w:space="0"/>
              <w:bottom w:val="single" w:color="auto" w:sz="4" w:space="0"/>
              <w:right w:val="single" w:color="auto" w:sz="4" w:space="0"/>
            </w:tcBorders>
          </w:tcPr>
          <w:p w14:paraId="64CF610F">
            <w:pPr>
              <w:spacing w:line="400" w:lineRule="exact"/>
              <w:jc w:val="center"/>
              <w:rPr>
                <w:rFonts w:hint="eastAsia" w:ascii="宋体" w:hAnsi="宋体" w:cs="宋体"/>
                <w:kern w:val="0"/>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14:paraId="02CB73F7">
            <w:pPr>
              <w:spacing w:line="400" w:lineRule="exact"/>
              <w:jc w:val="center"/>
              <w:rPr>
                <w:rFonts w:hint="eastAsia" w:ascii="宋体" w:hAnsi="宋体" w:cs="宋体"/>
                <w:kern w:val="0"/>
                <w:sz w:val="21"/>
                <w:szCs w:val="21"/>
              </w:rPr>
            </w:pPr>
          </w:p>
        </w:tc>
        <w:tc>
          <w:tcPr>
            <w:tcW w:w="940" w:type="dxa"/>
            <w:tcBorders>
              <w:top w:val="single" w:color="auto" w:sz="4" w:space="0"/>
              <w:left w:val="single" w:color="auto" w:sz="4" w:space="0"/>
              <w:bottom w:val="single" w:color="auto" w:sz="4" w:space="0"/>
              <w:right w:val="single" w:color="auto" w:sz="4" w:space="0"/>
            </w:tcBorders>
            <w:vAlign w:val="center"/>
          </w:tcPr>
          <w:p w14:paraId="522C7357">
            <w:pPr>
              <w:spacing w:line="400" w:lineRule="exact"/>
              <w:jc w:val="center"/>
              <w:rPr>
                <w:rFonts w:hint="eastAsia" w:ascii="宋体" w:hAnsi="宋体" w:cs="宋体"/>
                <w:kern w:val="0"/>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0E51BBAF">
            <w:pPr>
              <w:spacing w:line="400" w:lineRule="exact"/>
              <w:rPr>
                <w:rFonts w:hint="eastAsia" w:ascii="宋体" w:hAnsi="宋体" w:cs="宋体"/>
                <w:kern w:val="0"/>
                <w:sz w:val="21"/>
                <w:szCs w:val="21"/>
              </w:rPr>
            </w:pPr>
          </w:p>
        </w:tc>
        <w:tc>
          <w:tcPr>
            <w:tcW w:w="1480" w:type="dxa"/>
            <w:tcBorders>
              <w:top w:val="single" w:color="auto" w:sz="4" w:space="0"/>
              <w:left w:val="single" w:color="auto" w:sz="4" w:space="0"/>
              <w:bottom w:val="single" w:color="auto" w:sz="4" w:space="0"/>
              <w:right w:val="single" w:color="auto" w:sz="4" w:space="0"/>
            </w:tcBorders>
            <w:vAlign w:val="center"/>
          </w:tcPr>
          <w:p w14:paraId="7099E257">
            <w:pPr>
              <w:spacing w:line="400" w:lineRule="exact"/>
              <w:rPr>
                <w:rFonts w:hint="eastAsia" w:ascii="宋体" w:hAnsi="宋体" w:cs="宋体"/>
                <w:kern w:val="0"/>
                <w:sz w:val="21"/>
                <w:szCs w:val="21"/>
              </w:rPr>
            </w:pPr>
          </w:p>
        </w:tc>
      </w:tr>
      <w:tr w14:paraId="5240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3E5AB0B">
            <w:pPr>
              <w:spacing w:line="400" w:lineRule="exact"/>
              <w:jc w:val="center"/>
              <w:rPr>
                <w:rFonts w:hint="eastAsia" w:ascii="宋体" w:hAnsi="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vAlign w:val="center"/>
          </w:tcPr>
          <w:p w14:paraId="4CDFC0A1">
            <w:pPr>
              <w:spacing w:line="400" w:lineRule="exact"/>
              <w:rPr>
                <w:rFonts w:hint="eastAsia" w:ascii="宋体" w:hAnsi="宋体" w:cs="宋体"/>
                <w:kern w:val="0"/>
                <w:sz w:val="21"/>
                <w:szCs w:val="21"/>
              </w:rPr>
            </w:pPr>
          </w:p>
        </w:tc>
        <w:tc>
          <w:tcPr>
            <w:tcW w:w="2000" w:type="dxa"/>
            <w:tcBorders>
              <w:top w:val="single" w:color="auto" w:sz="4" w:space="0"/>
              <w:left w:val="single" w:color="auto" w:sz="4" w:space="0"/>
              <w:bottom w:val="single" w:color="auto" w:sz="4" w:space="0"/>
              <w:right w:val="single" w:color="auto" w:sz="4" w:space="0"/>
            </w:tcBorders>
          </w:tcPr>
          <w:p w14:paraId="3EEDAF3D">
            <w:pPr>
              <w:spacing w:line="400" w:lineRule="exact"/>
              <w:jc w:val="center"/>
              <w:rPr>
                <w:rFonts w:hint="eastAsia" w:ascii="宋体" w:hAnsi="宋体" w:cs="宋体"/>
                <w:kern w:val="0"/>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14:paraId="3F688D54">
            <w:pPr>
              <w:spacing w:line="400" w:lineRule="exact"/>
              <w:jc w:val="center"/>
              <w:rPr>
                <w:rFonts w:hint="eastAsia" w:ascii="宋体" w:hAnsi="宋体" w:cs="宋体"/>
                <w:kern w:val="0"/>
                <w:sz w:val="21"/>
                <w:szCs w:val="21"/>
              </w:rPr>
            </w:pPr>
          </w:p>
        </w:tc>
        <w:tc>
          <w:tcPr>
            <w:tcW w:w="940" w:type="dxa"/>
            <w:tcBorders>
              <w:top w:val="single" w:color="auto" w:sz="4" w:space="0"/>
              <w:left w:val="single" w:color="auto" w:sz="4" w:space="0"/>
              <w:bottom w:val="single" w:color="auto" w:sz="4" w:space="0"/>
              <w:right w:val="single" w:color="auto" w:sz="4" w:space="0"/>
            </w:tcBorders>
            <w:vAlign w:val="center"/>
          </w:tcPr>
          <w:p w14:paraId="2902A503">
            <w:pPr>
              <w:spacing w:line="400" w:lineRule="exact"/>
              <w:jc w:val="center"/>
              <w:rPr>
                <w:rFonts w:hint="eastAsia" w:ascii="宋体" w:hAnsi="宋体" w:cs="宋体"/>
                <w:kern w:val="0"/>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6581213B">
            <w:pPr>
              <w:spacing w:line="400" w:lineRule="exact"/>
              <w:rPr>
                <w:rFonts w:hint="eastAsia" w:ascii="宋体" w:hAnsi="宋体" w:cs="宋体"/>
                <w:kern w:val="0"/>
                <w:sz w:val="21"/>
                <w:szCs w:val="21"/>
              </w:rPr>
            </w:pPr>
          </w:p>
        </w:tc>
        <w:tc>
          <w:tcPr>
            <w:tcW w:w="1480" w:type="dxa"/>
            <w:tcBorders>
              <w:top w:val="single" w:color="auto" w:sz="4" w:space="0"/>
              <w:left w:val="single" w:color="auto" w:sz="4" w:space="0"/>
              <w:bottom w:val="single" w:color="auto" w:sz="4" w:space="0"/>
              <w:right w:val="single" w:color="auto" w:sz="4" w:space="0"/>
            </w:tcBorders>
            <w:vAlign w:val="center"/>
          </w:tcPr>
          <w:p w14:paraId="25E4B6AB">
            <w:pPr>
              <w:spacing w:line="400" w:lineRule="exact"/>
              <w:rPr>
                <w:rFonts w:hint="eastAsia" w:ascii="宋体" w:hAnsi="宋体" w:cs="宋体"/>
                <w:kern w:val="0"/>
                <w:sz w:val="21"/>
                <w:szCs w:val="21"/>
              </w:rPr>
            </w:pPr>
          </w:p>
        </w:tc>
      </w:tr>
      <w:tr w14:paraId="74851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E136398">
            <w:pPr>
              <w:spacing w:line="400" w:lineRule="exact"/>
              <w:jc w:val="center"/>
              <w:rPr>
                <w:rFonts w:hint="eastAsia" w:ascii="宋体" w:hAnsi="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vAlign w:val="center"/>
          </w:tcPr>
          <w:p w14:paraId="18E069AE">
            <w:pPr>
              <w:spacing w:line="400" w:lineRule="exact"/>
              <w:rPr>
                <w:rFonts w:hint="eastAsia" w:ascii="宋体" w:hAnsi="宋体" w:cs="宋体"/>
                <w:kern w:val="0"/>
                <w:sz w:val="21"/>
                <w:szCs w:val="21"/>
              </w:rPr>
            </w:pPr>
          </w:p>
        </w:tc>
        <w:tc>
          <w:tcPr>
            <w:tcW w:w="2000" w:type="dxa"/>
            <w:tcBorders>
              <w:top w:val="single" w:color="auto" w:sz="4" w:space="0"/>
              <w:left w:val="single" w:color="auto" w:sz="4" w:space="0"/>
              <w:bottom w:val="single" w:color="auto" w:sz="4" w:space="0"/>
              <w:right w:val="single" w:color="auto" w:sz="4" w:space="0"/>
            </w:tcBorders>
          </w:tcPr>
          <w:p w14:paraId="7442F92C">
            <w:pPr>
              <w:spacing w:line="400" w:lineRule="exact"/>
              <w:jc w:val="center"/>
              <w:rPr>
                <w:rFonts w:hint="eastAsia" w:ascii="宋体" w:hAnsi="宋体" w:cs="宋体"/>
                <w:kern w:val="0"/>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14:paraId="485DF955">
            <w:pPr>
              <w:spacing w:line="400" w:lineRule="exact"/>
              <w:jc w:val="center"/>
              <w:rPr>
                <w:rFonts w:hint="eastAsia" w:ascii="宋体" w:hAnsi="宋体" w:cs="宋体"/>
                <w:kern w:val="0"/>
                <w:sz w:val="21"/>
                <w:szCs w:val="21"/>
              </w:rPr>
            </w:pPr>
          </w:p>
        </w:tc>
        <w:tc>
          <w:tcPr>
            <w:tcW w:w="940" w:type="dxa"/>
            <w:tcBorders>
              <w:top w:val="single" w:color="auto" w:sz="4" w:space="0"/>
              <w:left w:val="single" w:color="auto" w:sz="4" w:space="0"/>
              <w:bottom w:val="single" w:color="auto" w:sz="4" w:space="0"/>
              <w:right w:val="single" w:color="auto" w:sz="4" w:space="0"/>
            </w:tcBorders>
            <w:vAlign w:val="center"/>
          </w:tcPr>
          <w:p w14:paraId="5832FE88">
            <w:pPr>
              <w:spacing w:line="400" w:lineRule="exact"/>
              <w:jc w:val="center"/>
              <w:rPr>
                <w:rFonts w:hint="eastAsia" w:ascii="宋体" w:hAnsi="宋体" w:cs="宋体"/>
                <w:kern w:val="0"/>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375B7A47">
            <w:pPr>
              <w:spacing w:line="400" w:lineRule="exact"/>
              <w:rPr>
                <w:rFonts w:hint="eastAsia" w:ascii="宋体" w:hAnsi="宋体" w:cs="宋体"/>
                <w:kern w:val="0"/>
                <w:sz w:val="21"/>
                <w:szCs w:val="21"/>
              </w:rPr>
            </w:pPr>
          </w:p>
        </w:tc>
        <w:tc>
          <w:tcPr>
            <w:tcW w:w="1480" w:type="dxa"/>
            <w:tcBorders>
              <w:top w:val="single" w:color="auto" w:sz="4" w:space="0"/>
              <w:left w:val="single" w:color="auto" w:sz="4" w:space="0"/>
              <w:bottom w:val="single" w:color="auto" w:sz="4" w:space="0"/>
              <w:right w:val="single" w:color="auto" w:sz="4" w:space="0"/>
            </w:tcBorders>
            <w:vAlign w:val="center"/>
          </w:tcPr>
          <w:p w14:paraId="4B6ECB96">
            <w:pPr>
              <w:spacing w:line="400" w:lineRule="exact"/>
              <w:rPr>
                <w:rFonts w:hint="eastAsia" w:ascii="宋体" w:hAnsi="宋体" w:cs="宋体"/>
                <w:kern w:val="0"/>
                <w:sz w:val="21"/>
                <w:szCs w:val="21"/>
              </w:rPr>
            </w:pPr>
          </w:p>
        </w:tc>
      </w:tr>
      <w:tr w14:paraId="70AF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023D6FA">
            <w:pPr>
              <w:spacing w:line="400" w:lineRule="exact"/>
              <w:jc w:val="center"/>
              <w:rPr>
                <w:rFonts w:hint="eastAsia" w:ascii="宋体" w:hAnsi="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vAlign w:val="center"/>
          </w:tcPr>
          <w:p w14:paraId="69FAEEE3">
            <w:pPr>
              <w:spacing w:line="400" w:lineRule="exact"/>
              <w:rPr>
                <w:rFonts w:hint="eastAsia" w:ascii="宋体" w:hAnsi="宋体" w:cs="宋体"/>
                <w:kern w:val="0"/>
                <w:sz w:val="21"/>
                <w:szCs w:val="21"/>
              </w:rPr>
            </w:pPr>
          </w:p>
        </w:tc>
        <w:tc>
          <w:tcPr>
            <w:tcW w:w="2000" w:type="dxa"/>
            <w:tcBorders>
              <w:top w:val="single" w:color="auto" w:sz="4" w:space="0"/>
              <w:left w:val="single" w:color="auto" w:sz="4" w:space="0"/>
              <w:bottom w:val="single" w:color="auto" w:sz="4" w:space="0"/>
              <w:right w:val="single" w:color="auto" w:sz="4" w:space="0"/>
            </w:tcBorders>
          </w:tcPr>
          <w:p w14:paraId="5AAB71E6">
            <w:pPr>
              <w:spacing w:line="400" w:lineRule="exact"/>
              <w:jc w:val="center"/>
              <w:rPr>
                <w:rFonts w:hint="eastAsia" w:ascii="宋体" w:hAnsi="宋体" w:cs="宋体"/>
                <w:kern w:val="0"/>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14:paraId="7E3D72EC">
            <w:pPr>
              <w:spacing w:line="400" w:lineRule="exact"/>
              <w:jc w:val="center"/>
              <w:rPr>
                <w:rFonts w:hint="eastAsia" w:ascii="宋体" w:hAnsi="宋体" w:cs="宋体"/>
                <w:kern w:val="0"/>
                <w:sz w:val="21"/>
                <w:szCs w:val="21"/>
              </w:rPr>
            </w:pPr>
          </w:p>
        </w:tc>
        <w:tc>
          <w:tcPr>
            <w:tcW w:w="940" w:type="dxa"/>
            <w:tcBorders>
              <w:top w:val="single" w:color="auto" w:sz="4" w:space="0"/>
              <w:left w:val="single" w:color="auto" w:sz="4" w:space="0"/>
              <w:bottom w:val="single" w:color="auto" w:sz="4" w:space="0"/>
              <w:right w:val="single" w:color="auto" w:sz="4" w:space="0"/>
            </w:tcBorders>
            <w:vAlign w:val="center"/>
          </w:tcPr>
          <w:p w14:paraId="166EB6EE">
            <w:pPr>
              <w:spacing w:line="400" w:lineRule="exact"/>
              <w:jc w:val="center"/>
              <w:rPr>
                <w:rFonts w:hint="eastAsia" w:ascii="宋体" w:hAnsi="宋体" w:cs="宋体"/>
                <w:kern w:val="0"/>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306C9138">
            <w:pPr>
              <w:spacing w:line="400" w:lineRule="exact"/>
              <w:rPr>
                <w:rFonts w:hint="eastAsia" w:ascii="宋体" w:hAnsi="宋体" w:cs="宋体"/>
                <w:kern w:val="0"/>
                <w:sz w:val="21"/>
                <w:szCs w:val="21"/>
              </w:rPr>
            </w:pPr>
          </w:p>
        </w:tc>
        <w:tc>
          <w:tcPr>
            <w:tcW w:w="1480" w:type="dxa"/>
            <w:tcBorders>
              <w:top w:val="single" w:color="auto" w:sz="4" w:space="0"/>
              <w:left w:val="single" w:color="auto" w:sz="4" w:space="0"/>
              <w:bottom w:val="single" w:color="auto" w:sz="4" w:space="0"/>
              <w:right w:val="single" w:color="auto" w:sz="4" w:space="0"/>
            </w:tcBorders>
            <w:vAlign w:val="center"/>
          </w:tcPr>
          <w:p w14:paraId="500BD321">
            <w:pPr>
              <w:spacing w:line="400" w:lineRule="exact"/>
              <w:rPr>
                <w:rFonts w:hint="eastAsia" w:ascii="宋体" w:hAnsi="宋体" w:cs="宋体"/>
                <w:kern w:val="0"/>
                <w:sz w:val="21"/>
                <w:szCs w:val="21"/>
              </w:rPr>
            </w:pPr>
          </w:p>
        </w:tc>
      </w:tr>
      <w:tr w14:paraId="5640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189820E0">
            <w:pPr>
              <w:spacing w:line="400" w:lineRule="exact"/>
              <w:jc w:val="center"/>
              <w:rPr>
                <w:rFonts w:hint="eastAsia" w:ascii="宋体" w:hAnsi="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vAlign w:val="center"/>
          </w:tcPr>
          <w:p w14:paraId="1F31FA6F">
            <w:pPr>
              <w:spacing w:line="400" w:lineRule="exact"/>
              <w:rPr>
                <w:rFonts w:hint="eastAsia" w:ascii="宋体" w:hAnsi="宋体" w:cs="宋体"/>
                <w:kern w:val="0"/>
                <w:sz w:val="21"/>
                <w:szCs w:val="21"/>
              </w:rPr>
            </w:pPr>
          </w:p>
        </w:tc>
        <w:tc>
          <w:tcPr>
            <w:tcW w:w="2000" w:type="dxa"/>
            <w:tcBorders>
              <w:top w:val="single" w:color="auto" w:sz="4" w:space="0"/>
              <w:left w:val="single" w:color="auto" w:sz="4" w:space="0"/>
              <w:bottom w:val="single" w:color="auto" w:sz="4" w:space="0"/>
              <w:right w:val="single" w:color="auto" w:sz="4" w:space="0"/>
            </w:tcBorders>
          </w:tcPr>
          <w:p w14:paraId="5B612B9F">
            <w:pPr>
              <w:spacing w:line="400" w:lineRule="exact"/>
              <w:jc w:val="center"/>
              <w:rPr>
                <w:rFonts w:hint="eastAsia" w:ascii="宋体" w:hAnsi="宋体" w:cs="宋体"/>
                <w:kern w:val="0"/>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14:paraId="39D34E8D">
            <w:pPr>
              <w:spacing w:line="400" w:lineRule="exact"/>
              <w:jc w:val="center"/>
              <w:rPr>
                <w:rFonts w:hint="eastAsia" w:ascii="宋体" w:hAnsi="宋体" w:cs="宋体"/>
                <w:kern w:val="0"/>
                <w:sz w:val="21"/>
                <w:szCs w:val="21"/>
              </w:rPr>
            </w:pPr>
          </w:p>
        </w:tc>
        <w:tc>
          <w:tcPr>
            <w:tcW w:w="940" w:type="dxa"/>
            <w:tcBorders>
              <w:top w:val="single" w:color="auto" w:sz="4" w:space="0"/>
              <w:left w:val="single" w:color="auto" w:sz="4" w:space="0"/>
              <w:bottom w:val="single" w:color="auto" w:sz="4" w:space="0"/>
              <w:right w:val="single" w:color="auto" w:sz="4" w:space="0"/>
            </w:tcBorders>
            <w:vAlign w:val="center"/>
          </w:tcPr>
          <w:p w14:paraId="7A793E40">
            <w:pPr>
              <w:spacing w:line="400" w:lineRule="exact"/>
              <w:jc w:val="center"/>
              <w:rPr>
                <w:rFonts w:hint="eastAsia" w:ascii="宋体" w:hAnsi="宋体" w:cs="宋体"/>
                <w:kern w:val="0"/>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185624F3">
            <w:pPr>
              <w:spacing w:line="400" w:lineRule="exact"/>
              <w:rPr>
                <w:rFonts w:hint="eastAsia" w:ascii="宋体" w:hAnsi="宋体" w:cs="宋体"/>
                <w:kern w:val="0"/>
                <w:sz w:val="21"/>
                <w:szCs w:val="21"/>
              </w:rPr>
            </w:pPr>
          </w:p>
        </w:tc>
        <w:tc>
          <w:tcPr>
            <w:tcW w:w="1480" w:type="dxa"/>
            <w:tcBorders>
              <w:top w:val="single" w:color="auto" w:sz="4" w:space="0"/>
              <w:left w:val="single" w:color="auto" w:sz="4" w:space="0"/>
              <w:bottom w:val="single" w:color="auto" w:sz="4" w:space="0"/>
              <w:right w:val="single" w:color="auto" w:sz="4" w:space="0"/>
            </w:tcBorders>
            <w:vAlign w:val="center"/>
          </w:tcPr>
          <w:p w14:paraId="3BD42FF5">
            <w:pPr>
              <w:spacing w:line="400" w:lineRule="exact"/>
              <w:rPr>
                <w:rFonts w:hint="eastAsia" w:ascii="宋体" w:hAnsi="宋体" w:cs="宋体"/>
                <w:kern w:val="0"/>
                <w:sz w:val="21"/>
                <w:szCs w:val="21"/>
              </w:rPr>
            </w:pPr>
          </w:p>
        </w:tc>
      </w:tr>
      <w:tr w14:paraId="72B5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5902D09">
            <w:pPr>
              <w:spacing w:line="400" w:lineRule="exact"/>
              <w:jc w:val="center"/>
              <w:rPr>
                <w:rFonts w:hint="eastAsia" w:ascii="宋体" w:hAnsi="宋体" w:cs="宋体"/>
                <w:kern w:val="0"/>
                <w:sz w:val="21"/>
                <w:szCs w:val="21"/>
              </w:rPr>
            </w:pPr>
          </w:p>
        </w:tc>
        <w:tc>
          <w:tcPr>
            <w:tcW w:w="1344" w:type="dxa"/>
            <w:tcBorders>
              <w:top w:val="single" w:color="auto" w:sz="4" w:space="0"/>
              <w:left w:val="single" w:color="auto" w:sz="4" w:space="0"/>
              <w:bottom w:val="single" w:color="auto" w:sz="4" w:space="0"/>
              <w:right w:val="single" w:color="auto" w:sz="4" w:space="0"/>
            </w:tcBorders>
            <w:vAlign w:val="center"/>
          </w:tcPr>
          <w:p w14:paraId="071C7782">
            <w:pPr>
              <w:spacing w:line="400" w:lineRule="exact"/>
              <w:rPr>
                <w:rFonts w:hint="eastAsia" w:ascii="宋体" w:hAnsi="宋体" w:cs="宋体"/>
                <w:kern w:val="0"/>
                <w:sz w:val="21"/>
                <w:szCs w:val="21"/>
              </w:rPr>
            </w:pPr>
          </w:p>
        </w:tc>
        <w:tc>
          <w:tcPr>
            <w:tcW w:w="2000" w:type="dxa"/>
            <w:tcBorders>
              <w:top w:val="single" w:color="auto" w:sz="4" w:space="0"/>
              <w:left w:val="single" w:color="auto" w:sz="4" w:space="0"/>
              <w:bottom w:val="single" w:color="auto" w:sz="4" w:space="0"/>
              <w:right w:val="single" w:color="auto" w:sz="4" w:space="0"/>
            </w:tcBorders>
          </w:tcPr>
          <w:p w14:paraId="6A216368">
            <w:pPr>
              <w:spacing w:line="400" w:lineRule="exact"/>
              <w:jc w:val="center"/>
              <w:rPr>
                <w:rFonts w:hint="eastAsia" w:ascii="宋体" w:hAnsi="宋体" w:cs="宋体"/>
                <w:kern w:val="0"/>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14:paraId="1DEF7AEE">
            <w:pPr>
              <w:spacing w:line="400" w:lineRule="exact"/>
              <w:jc w:val="center"/>
              <w:rPr>
                <w:rFonts w:hint="eastAsia" w:ascii="宋体" w:hAnsi="宋体" w:cs="宋体"/>
                <w:kern w:val="0"/>
                <w:sz w:val="21"/>
                <w:szCs w:val="21"/>
              </w:rPr>
            </w:pPr>
          </w:p>
        </w:tc>
        <w:tc>
          <w:tcPr>
            <w:tcW w:w="940" w:type="dxa"/>
            <w:tcBorders>
              <w:top w:val="single" w:color="auto" w:sz="4" w:space="0"/>
              <w:left w:val="single" w:color="auto" w:sz="4" w:space="0"/>
              <w:bottom w:val="single" w:color="auto" w:sz="4" w:space="0"/>
              <w:right w:val="single" w:color="auto" w:sz="4" w:space="0"/>
            </w:tcBorders>
            <w:vAlign w:val="center"/>
          </w:tcPr>
          <w:p w14:paraId="074BB064">
            <w:pPr>
              <w:spacing w:line="400" w:lineRule="exact"/>
              <w:jc w:val="center"/>
              <w:rPr>
                <w:rFonts w:hint="eastAsia" w:ascii="宋体" w:hAnsi="宋体" w:cs="宋体"/>
                <w:kern w:val="0"/>
                <w:sz w:val="21"/>
                <w:szCs w:val="21"/>
              </w:rPr>
            </w:pPr>
          </w:p>
        </w:tc>
        <w:tc>
          <w:tcPr>
            <w:tcW w:w="1444" w:type="dxa"/>
            <w:tcBorders>
              <w:top w:val="single" w:color="auto" w:sz="4" w:space="0"/>
              <w:left w:val="single" w:color="auto" w:sz="4" w:space="0"/>
              <w:bottom w:val="single" w:color="auto" w:sz="4" w:space="0"/>
              <w:right w:val="single" w:color="auto" w:sz="4" w:space="0"/>
            </w:tcBorders>
            <w:vAlign w:val="center"/>
          </w:tcPr>
          <w:p w14:paraId="7DBA9B14">
            <w:pPr>
              <w:spacing w:line="400" w:lineRule="exact"/>
              <w:rPr>
                <w:rFonts w:hint="eastAsia" w:ascii="宋体" w:hAnsi="宋体" w:cs="宋体"/>
                <w:kern w:val="0"/>
                <w:sz w:val="21"/>
                <w:szCs w:val="21"/>
              </w:rPr>
            </w:pPr>
          </w:p>
        </w:tc>
        <w:tc>
          <w:tcPr>
            <w:tcW w:w="1480" w:type="dxa"/>
            <w:tcBorders>
              <w:top w:val="single" w:color="auto" w:sz="4" w:space="0"/>
              <w:left w:val="single" w:color="auto" w:sz="4" w:space="0"/>
              <w:bottom w:val="single" w:color="auto" w:sz="4" w:space="0"/>
              <w:right w:val="single" w:color="auto" w:sz="4" w:space="0"/>
            </w:tcBorders>
            <w:vAlign w:val="center"/>
          </w:tcPr>
          <w:p w14:paraId="7ADC5BA7">
            <w:pPr>
              <w:spacing w:line="400" w:lineRule="exact"/>
              <w:rPr>
                <w:rFonts w:hint="eastAsia" w:ascii="宋体" w:hAnsi="宋体" w:cs="宋体"/>
                <w:kern w:val="0"/>
                <w:sz w:val="21"/>
                <w:szCs w:val="21"/>
              </w:rPr>
            </w:pPr>
          </w:p>
        </w:tc>
      </w:tr>
      <w:tr w14:paraId="71024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8777" w:type="dxa"/>
            <w:gridSpan w:val="7"/>
            <w:tcBorders>
              <w:top w:val="single" w:color="auto" w:sz="4" w:space="0"/>
              <w:left w:val="single" w:color="auto" w:sz="4" w:space="0"/>
              <w:bottom w:val="single" w:color="auto" w:sz="4" w:space="0"/>
              <w:right w:val="single" w:color="auto" w:sz="4" w:space="0"/>
            </w:tcBorders>
            <w:vAlign w:val="center"/>
          </w:tcPr>
          <w:p w14:paraId="26B06DCC">
            <w:pPr>
              <w:spacing w:line="400" w:lineRule="exact"/>
              <w:rPr>
                <w:rFonts w:hint="eastAsia" w:ascii="宋体" w:hAnsi="宋体" w:cs="宋体"/>
                <w:kern w:val="0"/>
                <w:sz w:val="21"/>
                <w:szCs w:val="21"/>
              </w:rPr>
            </w:pPr>
            <w:r>
              <w:rPr>
                <w:rFonts w:hint="eastAsia" w:ascii="宋体" w:hAnsi="宋体" w:cs="宋体"/>
                <w:kern w:val="0"/>
                <w:sz w:val="21"/>
                <w:szCs w:val="21"/>
              </w:rPr>
              <w:t>合   价（总价）小写：</w:t>
            </w:r>
            <w:r>
              <w:rPr>
                <w:rFonts w:hint="eastAsia" w:ascii="宋体" w:hAnsi="宋体" w:cs="宋体"/>
                <w:kern w:val="0"/>
                <w:sz w:val="21"/>
                <w:szCs w:val="21"/>
                <w:u w:val="single"/>
              </w:rPr>
              <w:t xml:space="preserve">                  </w:t>
            </w:r>
          </w:p>
          <w:p w14:paraId="5970F177">
            <w:pPr>
              <w:spacing w:line="400" w:lineRule="exact"/>
              <w:rPr>
                <w:rFonts w:hint="eastAsia" w:ascii="宋体" w:hAnsi="宋体" w:cs="宋体"/>
                <w:kern w:val="0"/>
                <w:sz w:val="21"/>
                <w:szCs w:val="21"/>
              </w:rPr>
            </w:pPr>
          </w:p>
          <w:p w14:paraId="5CEC5193">
            <w:pPr>
              <w:spacing w:line="400" w:lineRule="exact"/>
              <w:rPr>
                <w:rFonts w:hint="eastAsia" w:ascii="宋体" w:hAnsi="宋体" w:cs="宋体"/>
                <w:kern w:val="0"/>
                <w:sz w:val="21"/>
                <w:szCs w:val="21"/>
              </w:rPr>
            </w:pPr>
            <w:r>
              <w:rPr>
                <w:rFonts w:hint="eastAsia" w:ascii="宋体" w:hAnsi="宋体" w:cs="宋体"/>
                <w:kern w:val="0"/>
                <w:sz w:val="21"/>
                <w:szCs w:val="21"/>
              </w:rPr>
              <w:t>合   价（总价）大写：</w:t>
            </w:r>
            <w:r>
              <w:rPr>
                <w:rFonts w:hint="eastAsia" w:ascii="宋体" w:hAnsi="宋体" w:cs="宋体"/>
                <w:kern w:val="0"/>
                <w:sz w:val="21"/>
                <w:szCs w:val="21"/>
                <w:u w:val="single"/>
              </w:rPr>
              <w:t xml:space="preserve">                  </w:t>
            </w:r>
          </w:p>
        </w:tc>
      </w:tr>
    </w:tbl>
    <w:p w14:paraId="0007B7A2">
      <w:pPr>
        <w:pStyle w:val="26"/>
        <w:spacing w:line="360" w:lineRule="auto"/>
        <w:rPr>
          <w:sz w:val="24"/>
          <w:szCs w:val="24"/>
        </w:rPr>
      </w:pPr>
      <w:r>
        <w:rPr>
          <w:rFonts w:hint="eastAsia"/>
          <w:sz w:val="24"/>
          <w:szCs w:val="24"/>
        </w:rPr>
        <w:t>注：1.分项报价表中的总价必须与开标（唱标）一览表中的总报价一致。</w:t>
      </w:r>
    </w:p>
    <w:p w14:paraId="431C6225">
      <w:pPr>
        <w:pStyle w:val="26"/>
        <w:spacing w:line="360" w:lineRule="auto"/>
        <w:ind w:firstLine="480" w:firstLineChars="200"/>
        <w:rPr>
          <w:sz w:val="24"/>
          <w:szCs w:val="24"/>
        </w:rPr>
      </w:pPr>
      <w:r>
        <w:rPr>
          <w:rFonts w:hint="eastAsia"/>
          <w:sz w:val="24"/>
          <w:szCs w:val="24"/>
        </w:rPr>
        <w:t>2.总价超过采购预算金额的，按无效响应处理。</w:t>
      </w:r>
      <w:bookmarkEnd w:id="638"/>
    </w:p>
    <w:p w14:paraId="32EE0A4C">
      <w:pPr>
        <w:pStyle w:val="26"/>
        <w:spacing w:line="360" w:lineRule="auto"/>
        <w:rPr>
          <w:sz w:val="24"/>
          <w:szCs w:val="24"/>
        </w:rPr>
      </w:pPr>
    </w:p>
    <w:p w14:paraId="710DD974">
      <w:pPr>
        <w:pStyle w:val="26"/>
        <w:rPr>
          <w:sz w:val="24"/>
          <w:szCs w:val="24"/>
        </w:rPr>
      </w:pPr>
      <w:r>
        <w:rPr>
          <w:rFonts w:hint="eastAsia"/>
          <w:sz w:val="24"/>
          <w:szCs w:val="24"/>
        </w:rPr>
        <w:t>投标人全称：</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sz w:val="24"/>
          <w:szCs w:val="24"/>
        </w:rPr>
        <w:t>（电子签章）</w:t>
      </w:r>
    </w:p>
    <w:p w14:paraId="3B5C1ACC">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法定代表人：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（签名或签章）</w:t>
      </w:r>
    </w:p>
    <w:p w14:paraId="577CCE10">
      <w:pPr>
        <w:spacing w:line="600" w:lineRule="exact"/>
        <w:rPr>
          <w:rFonts w:hint="eastAsia" w:cs="宋体" w:asciiTheme="minorEastAsia" w:hAnsiTheme="minorEastAsia" w:eastAsiaTheme="minorEastAsia"/>
          <w:b/>
          <w:bCs/>
          <w:kern w:val="0"/>
          <w:sz w:val="30"/>
          <w:szCs w:val="30"/>
        </w:rPr>
      </w:pPr>
      <w:r>
        <w:rPr>
          <w:rFonts w:hint="eastAsia" w:cs="宋体" w:asciiTheme="minorEastAsia" w:hAnsiTheme="minorEastAsia" w:eastAsiaTheme="minorEastAsia"/>
        </w:rPr>
        <w:t>日  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月</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日</w:t>
      </w:r>
    </w:p>
    <w:p w14:paraId="69FA205D">
      <w:pPr>
        <w:widowControl/>
        <w:jc w:val="center"/>
        <w:rPr>
          <w:rFonts w:hint="eastAsia" w:ascii="黑体" w:hAnsi="黑体" w:eastAsia="黑体"/>
          <w:b/>
          <w:sz w:val="32"/>
          <w:szCs w:val="32"/>
        </w:rPr>
      </w:pPr>
      <w:r>
        <w:rPr>
          <w:rFonts w:cs="宋体" w:asciiTheme="minorEastAsia" w:hAnsiTheme="minorEastAsia" w:eastAsiaTheme="minorEastAsia"/>
          <w:b/>
          <w:bCs/>
          <w:sz w:val="32"/>
          <w:szCs w:val="32"/>
        </w:rPr>
        <w:br w:type="page"/>
      </w:r>
      <w:bookmarkStart w:id="641" w:name="_Toc97580357"/>
      <w:bookmarkStart w:id="642" w:name="_Toc82077246"/>
      <w:bookmarkStart w:id="643" w:name="_Toc146736321"/>
      <w:bookmarkStart w:id="644" w:name="_Toc90128599"/>
    </w:p>
    <w:p w14:paraId="3BB886D9">
      <w:pPr>
        <w:spacing w:line="360" w:lineRule="auto"/>
        <w:jc w:val="center"/>
        <w:outlineLvl w:val="1"/>
        <w:rPr>
          <w:rFonts w:hint="eastAsia" w:ascii="黑体" w:hAnsi="黑体" w:eastAsia="黑体"/>
          <w:b/>
          <w:sz w:val="32"/>
          <w:szCs w:val="32"/>
        </w:rPr>
      </w:pPr>
      <w:bookmarkStart w:id="645" w:name="_Toc203147242"/>
      <w:bookmarkStart w:id="646" w:name="_Toc216365908"/>
      <w:bookmarkStart w:id="647" w:name="_Toc192748569"/>
      <w:bookmarkStart w:id="648" w:name="_Toc193792898"/>
      <w:bookmarkStart w:id="649" w:name="_Toc215313868"/>
      <w:r>
        <w:rPr>
          <w:rFonts w:hint="eastAsia" w:ascii="黑体" w:hAnsi="黑体" w:eastAsia="黑体"/>
          <w:b/>
          <w:sz w:val="32"/>
          <w:szCs w:val="32"/>
        </w:rPr>
        <w:t>目  录</w:t>
      </w:r>
      <w:bookmarkEnd w:id="641"/>
      <w:bookmarkEnd w:id="642"/>
      <w:bookmarkEnd w:id="643"/>
      <w:bookmarkEnd w:id="644"/>
      <w:bookmarkEnd w:id="645"/>
      <w:bookmarkEnd w:id="646"/>
      <w:bookmarkEnd w:id="647"/>
      <w:bookmarkEnd w:id="648"/>
      <w:bookmarkEnd w:id="649"/>
    </w:p>
    <w:p w14:paraId="3119FE5C">
      <w:pPr>
        <w:pStyle w:val="384"/>
        <w:spacing w:line="360" w:lineRule="auto"/>
        <w:rPr>
          <w:rFonts w:hint="eastAsia" w:ascii="黑体" w:hAnsi="黑体" w:eastAsia="黑体"/>
          <w:b/>
          <w:sz w:val="28"/>
          <w:szCs w:val="28"/>
        </w:rPr>
      </w:pPr>
      <w:bookmarkStart w:id="650" w:name="_Toc93839946"/>
      <w:bookmarkStart w:id="651" w:name="_Toc95047066"/>
      <w:bookmarkStart w:id="652" w:name="_Toc90128834"/>
      <w:bookmarkStart w:id="653" w:name="_Toc90128600"/>
      <w:bookmarkStart w:id="654" w:name="_Toc97580358"/>
      <w:bookmarkStart w:id="655" w:name="_Toc95222500"/>
      <w:bookmarkStart w:id="656" w:name="_Toc90575655"/>
      <w:r>
        <w:rPr>
          <w:rFonts w:hint="eastAsia" w:ascii="黑体" w:hAnsi="黑体" w:eastAsia="黑体"/>
          <w:b/>
          <w:sz w:val="28"/>
          <w:szCs w:val="28"/>
        </w:rPr>
        <w:t xml:space="preserve">第一部分 </w:t>
      </w:r>
      <w:bookmarkEnd w:id="650"/>
      <w:bookmarkEnd w:id="651"/>
      <w:bookmarkEnd w:id="652"/>
      <w:bookmarkEnd w:id="653"/>
      <w:bookmarkEnd w:id="654"/>
      <w:bookmarkEnd w:id="655"/>
      <w:bookmarkEnd w:id="656"/>
      <w:r>
        <w:rPr>
          <w:rFonts w:hint="eastAsia" w:ascii="黑体" w:hAnsi="黑体" w:eastAsia="黑体"/>
          <w:b/>
          <w:sz w:val="28"/>
          <w:szCs w:val="28"/>
        </w:rPr>
        <w:t>资格审查及符合性审查部分</w:t>
      </w:r>
    </w:p>
    <w:p w14:paraId="4D3FECDB">
      <w:pPr>
        <w:pStyle w:val="384"/>
        <w:spacing w:line="360" w:lineRule="auto"/>
        <w:ind w:firstLine="480" w:firstLineChars="200"/>
        <w:rPr>
          <w:sz w:val="24"/>
        </w:rPr>
      </w:pPr>
      <w:bookmarkStart w:id="657" w:name="_Toc90128835"/>
      <w:bookmarkStart w:id="658" w:name="_Toc90575657"/>
      <w:bookmarkStart w:id="659" w:name="_Toc90128601"/>
      <w:bookmarkStart w:id="660" w:name="_Toc97580360"/>
      <w:bookmarkStart w:id="661" w:name="_Toc95047068"/>
      <w:bookmarkStart w:id="662" w:name="_Toc93839948"/>
      <w:bookmarkStart w:id="663" w:name="_Toc95222502"/>
      <w:r>
        <w:rPr>
          <w:rFonts w:hint="eastAsia"/>
          <w:sz w:val="24"/>
        </w:rPr>
        <w:t>一、法定代表人身份证明书</w:t>
      </w:r>
      <w:bookmarkEnd w:id="657"/>
      <w:bookmarkEnd w:id="658"/>
      <w:bookmarkEnd w:id="659"/>
      <w:bookmarkEnd w:id="660"/>
      <w:bookmarkEnd w:id="661"/>
      <w:bookmarkEnd w:id="662"/>
      <w:bookmarkEnd w:id="663"/>
    </w:p>
    <w:p w14:paraId="286E7ACE">
      <w:pPr>
        <w:pStyle w:val="384"/>
        <w:spacing w:line="360" w:lineRule="auto"/>
        <w:ind w:firstLine="480" w:firstLineChars="200"/>
        <w:rPr>
          <w:sz w:val="24"/>
        </w:rPr>
      </w:pPr>
      <w:bookmarkStart w:id="664" w:name="_Toc93839949"/>
      <w:bookmarkStart w:id="665" w:name="_Toc90575658"/>
      <w:bookmarkStart w:id="666" w:name="_Toc95047069"/>
      <w:bookmarkStart w:id="667" w:name="_Toc90128602"/>
      <w:bookmarkStart w:id="668" w:name="_Toc90128836"/>
      <w:bookmarkStart w:id="669" w:name="_Toc97580361"/>
      <w:bookmarkStart w:id="670" w:name="_Toc95222503"/>
      <w:r>
        <w:rPr>
          <w:rFonts w:hint="eastAsia"/>
          <w:sz w:val="24"/>
        </w:rPr>
        <w:t>二、法定代表人授权委托书（若有）</w:t>
      </w:r>
      <w:bookmarkEnd w:id="664"/>
      <w:bookmarkEnd w:id="665"/>
      <w:bookmarkEnd w:id="666"/>
      <w:bookmarkEnd w:id="667"/>
      <w:bookmarkEnd w:id="668"/>
      <w:bookmarkEnd w:id="669"/>
      <w:bookmarkEnd w:id="670"/>
    </w:p>
    <w:p w14:paraId="316A043B">
      <w:pPr>
        <w:pStyle w:val="384"/>
        <w:spacing w:line="360" w:lineRule="auto"/>
        <w:ind w:firstLine="480" w:firstLineChars="200"/>
        <w:rPr>
          <w:rFonts w:hint="eastAsia"/>
          <w:sz w:val="24"/>
        </w:rPr>
      </w:pPr>
      <w:r>
        <w:rPr>
          <w:rFonts w:hint="eastAsia"/>
          <w:sz w:val="24"/>
        </w:rPr>
        <w:t>三、投标人资格条件承诺函</w:t>
      </w:r>
    </w:p>
    <w:p w14:paraId="3F7DD169">
      <w:pPr>
        <w:pStyle w:val="384"/>
        <w:spacing w:line="360" w:lineRule="auto"/>
        <w:ind w:firstLine="480" w:firstLineChars="200"/>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四、关于系统对接功能及违约责任的专项承诺书</w:t>
      </w:r>
    </w:p>
    <w:p w14:paraId="4B312BA4">
      <w:pPr>
        <w:pStyle w:val="384"/>
        <w:spacing w:line="360" w:lineRule="auto"/>
        <w:rPr>
          <w:rFonts w:hint="eastAsia" w:ascii="黑体" w:hAnsi="黑体" w:eastAsia="黑体"/>
          <w:b/>
          <w:sz w:val="28"/>
          <w:szCs w:val="28"/>
        </w:rPr>
      </w:pPr>
      <w:bookmarkStart w:id="671" w:name="_Toc97580365"/>
      <w:bookmarkStart w:id="672" w:name="_Toc93839953"/>
      <w:bookmarkStart w:id="673" w:name="_Toc95047073"/>
      <w:bookmarkStart w:id="674" w:name="_Toc90128605"/>
      <w:bookmarkStart w:id="675" w:name="_Toc90575662"/>
      <w:bookmarkStart w:id="676" w:name="_Toc90128839"/>
      <w:bookmarkStart w:id="677" w:name="_Toc95222507"/>
      <w:r>
        <w:rPr>
          <w:rFonts w:hint="eastAsia" w:ascii="黑体" w:hAnsi="黑体" w:eastAsia="黑体"/>
          <w:b/>
          <w:sz w:val="28"/>
          <w:szCs w:val="28"/>
        </w:rPr>
        <w:t>第二部分 商务</w:t>
      </w:r>
      <w:bookmarkEnd w:id="671"/>
      <w:bookmarkEnd w:id="672"/>
      <w:bookmarkEnd w:id="673"/>
      <w:bookmarkEnd w:id="674"/>
      <w:bookmarkEnd w:id="675"/>
      <w:bookmarkEnd w:id="676"/>
      <w:bookmarkEnd w:id="677"/>
      <w:r>
        <w:rPr>
          <w:rFonts w:hint="eastAsia" w:ascii="黑体" w:hAnsi="黑体" w:eastAsia="黑体"/>
          <w:b/>
          <w:sz w:val="28"/>
          <w:szCs w:val="28"/>
        </w:rPr>
        <w:t>部分</w:t>
      </w:r>
    </w:p>
    <w:p w14:paraId="3864151C">
      <w:pPr>
        <w:pStyle w:val="384"/>
        <w:spacing w:line="360" w:lineRule="auto"/>
        <w:ind w:firstLine="480" w:firstLineChars="200"/>
        <w:rPr>
          <w:sz w:val="24"/>
        </w:rPr>
      </w:pPr>
      <w:bookmarkStart w:id="678" w:name="OLE_LINK6"/>
      <w:r>
        <w:rPr>
          <w:rFonts w:hint="eastAsia"/>
          <w:sz w:val="24"/>
        </w:rPr>
        <w:t>一、投标人基本情况表</w:t>
      </w:r>
    </w:p>
    <w:p w14:paraId="728AA78A">
      <w:pPr>
        <w:pStyle w:val="384"/>
        <w:spacing w:line="360" w:lineRule="auto"/>
        <w:ind w:firstLine="480" w:firstLineChars="200"/>
        <w:rPr>
          <w:sz w:val="24"/>
        </w:rPr>
      </w:pPr>
      <w:r>
        <w:rPr>
          <w:rFonts w:hint="eastAsia"/>
          <w:sz w:val="24"/>
        </w:rPr>
        <w:t>二、类似业绩</w:t>
      </w:r>
    </w:p>
    <w:p w14:paraId="4C4A4734">
      <w:pPr>
        <w:pStyle w:val="384"/>
        <w:spacing w:line="360" w:lineRule="auto"/>
        <w:ind w:firstLine="480" w:firstLineChars="200"/>
        <w:rPr>
          <w:sz w:val="24"/>
        </w:rPr>
      </w:pPr>
      <w:r>
        <w:rPr>
          <w:rFonts w:hint="eastAsia"/>
          <w:sz w:val="24"/>
        </w:rPr>
        <w:t>三、售后服务</w:t>
      </w:r>
    </w:p>
    <w:bookmarkEnd w:id="678"/>
    <w:p w14:paraId="36C5F5BA">
      <w:pPr>
        <w:pStyle w:val="384"/>
        <w:spacing w:line="360" w:lineRule="auto"/>
        <w:rPr>
          <w:rFonts w:hint="eastAsia" w:ascii="黑体" w:hAnsi="黑体" w:eastAsia="黑体"/>
          <w:b/>
          <w:sz w:val="28"/>
          <w:szCs w:val="28"/>
        </w:rPr>
      </w:pPr>
      <w:bookmarkStart w:id="679" w:name="_Toc90128844"/>
      <w:bookmarkStart w:id="680" w:name="_Toc95047078"/>
      <w:bookmarkStart w:id="681" w:name="_Toc95222512"/>
      <w:bookmarkStart w:id="682" w:name="_Toc90128610"/>
      <w:bookmarkStart w:id="683" w:name="_Toc93839958"/>
      <w:bookmarkStart w:id="684" w:name="_Toc97580369"/>
      <w:bookmarkStart w:id="685" w:name="_Toc90575667"/>
      <w:r>
        <w:rPr>
          <w:rFonts w:hint="eastAsia" w:ascii="黑体" w:hAnsi="黑体" w:eastAsia="黑体"/>
          <w:b/>
          <w:sz w:val="28"/>
          <w:szCs w:val="28"/>
        </w:rPr>
        <w:t>第三部分 技术</w:t>
      </w:r>
      <w:bookmarkEnd w:id="679"/>
      <w:bookmarkEnd w:id="680"/>
      <w:bookmarkEnd w:id="681"/>
      <w:bookmarkEnd w:id="682"/>
      <w:bookmarkEnd w:id="683"/>
      <w:bookmarkEnd w:id="684"/>
      <w:bookmarkEnd w:id="685"/>
      <w:r>
        <w:rPr>
          <w:rFonts w:hint="eastAsia" w:ascii="黑体" w:hAnsi="黑体" w:eastAsia="黑体"/>
          <w:b/>
          <w:sz w:val="28"/>
          <w:szCs w:val="28"/>
        </w:rPr>
        <w:t>部分</w:t>
      </w:r>
    </w:p>
    <w:p w14:paraId="6370C319">
      <w:pPr>
        <w:pStyle w:val="384"/>
        <w:spacing w:line="360" w:lineRule="auto"/>
        <w:ind w:firstLine="480" w:firstLineChars="200"/>
        <w:rPr>
          <w:sz w:val="24"/>
        </w:rPr>
      </w:pPr>
      <w:r>
        <w:rPr>
          <w:rFonts w:hint="eastAsia"/>
          <w:sz w:val="24"/>
        </w:rPr>
        <w:t>一、技术指标响应表</w:t>
      </w:r>
    </w:p>
    <w:p w14:paraId="77F990D0">
      <w:pPr>
        <w:pStyle w:val="384"/>
        <w:spacing w:line="360" w:lineRule="auto"/>
        <w:ind w:firstLine="480" w:firstLineChars="200"/>
        <w:rPr>
          <w:sz w:val="24"/>
        </w:rPr>
      </w:pPr>
      <w:r>
        <w:rPr>
          <w:rFonts w:hint="eastAsia"/>
          <w:sz w:val="24"/>
        </w:rPr>
        <w:t>二、</w:t>
      </w:r>
      <w:r>
        <w:rPr>
          <w:rFonts w:hint="eastAsia"/>
          <w:sz w:val="24"/>
          <w:lang w:val="en-US" w:eastAsia="zh-CN"/>
        </w:rPr>
        <w:t>项目实施方案</w:t>
      </w:r>
    </w:p>
    <w:p w14:paraId="3C3569A2">
      <w:pPr>
        <w:pStyle w:val="384"/>
        <w:spacing w:line="360" w:lineRule="auto"/>
        <w:ind w:firstLine="480" w:firstLineChars="200"/>
        <w:rPr>
          <w:rFonts w:hint="default"/>
          <w:sz w:val="24"/>
          <w:lang w:val="en-US"/>
        </w:rPr>
      </w:pPr>
      <w:r>
        <w:rPr>
          <w:rFonts w:hint="eastAsia"/>
          <w:sz w:val="24"/>
        </w:rPr>
        <w:t>三、</w:t>
      </w:r>
      <w:r>
        <w:rPr>
          <w:rFonts w:hint="eastAsia"/>
          <w:sz w:val="24"/>
          <w:lang w:val="en-US" w:eastAsia="zh-CN"/>
        </w:rPr>
        <w:t>现场演示方案</w:t>
      </w:r>
    </w:p>
    <w:p w14:paraId="68223F3F">
      <w:pPr>
        <w:spacing w:line="360" w:lineRule="auto"/>
      </w:pPr>
      <w:r>
        <w:rPr>
          <w:rFonts w:hint="eastAsia" w:ascii="黑体" w:hAnsi="黑体" w:eastAsia="黑体"/>
          <w:b/>
          <w:sz w:val="28"/>
          <w:szCs w:val="28"/>
        </w:rPr>
        <w:t>第四部分 其他部分</w:t>
      </w:r>
    </w:p>
    <w:p w14:paraId="04E13419">
      <w:pPr>
        <w:pStyle w:val="384"/>
        <w:spacing w:line="360" w:lineRule="auto"/>
        <w:ind w:firstLine="480" w:firstLineChars="200"/>
        <w:rPr>
          <w:sz w:val="24"/>
        </w:rPr>
      </w:pPr>
      <w:r>
        <w:rPr>
          <w:rFonts w:hint="eastAsia"/>
          <w:sz w:val="24"/>
        </w:rPr>
        <w:t>一、中小企业声明函（若有）</w:t>
      </w:r>
    </w:p>
    <w:p w14:paraId="4E985F40">
      <w:pPr>
        <w:pStyle w:val="384"/>
        <w:spacing w:line="360" w:lineRule="auto"/>
        <w:ind w:firstLine="480" w:firstLineChars="200"/>
        <w:rPr>
          <w:sz w:val="24"/>
        </w:rPr>
      </w:pPr>
      <w:r>
        <w:rPr>
          <w:rFonts w:hint="eastAsia"/>
          <w:sz w:val="24"/>
        </w:rPr>
        <w:t>二、监狱企业证明文件（若有）</w:t>
      </w:r>
    </w:p>
    <w:p w14:paraId="468AEE9F">
      <w:pPr>
        <w:pStyle w:val="384"/>
        <w:spacing w:line="360" w:lineRule="auto"/>
        <w:ind w:firstLine="480" w:firstLineChars="200"/>
        <w:rPr>
          <w:sz w:val="24"/>
        </w:rPr>
      </w:pPr>
      <w:r>
        <w:rPr>
          <w:rFonts w:hint="eastAsia"/>
          <w:sz w:val="24"/>
        </w:rPr>
        <w:t>三、残疾人福利性单位声明函（若有）</w:t>
      </w:r>
    </w:p>
    <w:p w14:paraId="5AF11177">
      <w:pPr>
        <w:pStyle w:val="384"/>
        <w:spacing w:line="360" w:lineRule="auto"/>
        <w:ind w:firstLine="480" w:firstLineChars="200"/>
        <w:rPr>
          <w:sz w:val="24"/>
        </w:rPr>
      </w:pPr>
      <w:r>
        <w:rPr>
          <w:rFonts w:hint="eastAsia"/>
          <w:sz w:val="24"/>
        </w:rPr>
        <w:t>四、关于符合本国产品标准的声明函（若有）</w:t>
      </w:r>
    </w:p>
    <w:p w14:paraId="6D37FBE9">
      <w:pPr>
        <w:pStyle w:val="384"/>
        <w:spacing w:line="360" w:lineRule="auto"/>
        <w:ind w:firstLine="480" w:firstLineChars="200"/>
        <w:rPr>
          <w:sz w:val="24"/>
        </w:rPr>
      </w:pPr>
      <w:r>
        <w:rPr>
          <w:rFonts w:hint="eastAsia"/>
          <w:sz w:val="24"/>
        </w:rPr>
        <w:t>五、投标人认为重要的其他资料</w:t>
      </w:r>
      <w:bookmarkStart w:id="686" w:name="_Toc97580381"/>
    </w:p>
    <w:p w14:paraId="17C81940">
      <w:pPr>
        <w:spacing w:line="560" w:lineRule="exact"/>
        <w:jc w:val="left"/>
        <w:rPr>
          <w:rFonts w:hint="eastAsia" w:ascii="宋体" w:hAnsi="宋体"/>
        </w:rPr>
      </w:pPr>
    </w:p>
    <w:p w14:paraId="727D6C9C">
      <w:pPr>
        <w:widowControl/>
        <w:jc w:val="left"/>
        <w:rPr>
          <w:rFonts w:hint="eastAsia" w:ascii="宋体" w:hAnsi="宋体" w:cs="宋体"/>
        </w:rPr>
      </w:pPr>
      <w:r>
        <w:rPr>
          <w:rFonts w:ascii="宋体" w:hAnsi="宋体" w:cs="宋体"/>
        </w:rPr>
        <w:br w:type="page"/>
      </w:r>
    </w:p>
    <w:p w14:paraId="50BC9DFF">
      <w:pPr>
        <w:pStyle w:val="476"/>
        <w:ind w:firstLine="480"/>
        <w:rPr>
          <w:rFonts w:hint="eastAsia"/>
        </w:rPr>
      </w:pPr>
    </w:p>
    <w:p w14:paraId="6F062D41">
      <w:pPr>
        <w:pStyle w:val="476"/>
        <w:ind w:firstLine="480"/>
        <w:rPr>
          <w:rFonts w:hint="eastAsia"/>
        </w:rPr>
      </w:pPr>
    </w:p>
    <w:p w14:paraId="5B030CD9">
      <w:pPr>
        <w:pStyle w:val="476"/>
        <w:ind w:firstLine="480"/>
        <w:rPr>
          <w:rFonts w:hint="eastAsia"/>
        </w:rPr>
      </w:pPr>
    </w:p>
    <w:p w14:paraId="1F10D2F3">
      <w:pPr>
        <w:pStyle w:val="476"/>
        <w:ind w:firstLine="480"/>
        <w:rPr>
          <w:rFonts w:hint="eastAsia"/>
        </w:rPr>
      </w:pPr>
    </w:p>
    <w:p w14:paraId="63798041">
      <w:pPr>
        <w:pStyle w:val="476"/>
        <w:ind w:firstLine="640"/>
        <w:rPr>
          <w:rFonts w:hint="eastAsia"/>
          <w:sz w:val="32"/>
          <w:szCs w:val="32"/>
        </w:rPr>
      </w:pPr>
    </w:p>
    <w:p w14:paraId="473A1E7F">
      <w:pPr>
        <w:pStyle w:val="476"/>
        <w:ind w:firstLine="640"/>
        <w:rPr>
          <w:rFonts w:hint="eastAsia"/>
          <w:sz w:val="32"/>
          <w:szCs w:val="32"/>
        </w:rPr>
      </w:pPr>
    </w:p>
    <w:p w14:paraId="1BB0C2A9">
      <w:pPr>
        <w:pStyle w:val="476"/>
        <w:ind w:firstLine="640"/>
        <w:rPr>
          <w:rFonts w:hint="eastAsia"/>
          <w:sz w:val="32"/>
          <w:szCs w:val="32"/>
        </w:rPr>
      </w:pPr>
    </w:p>
    <w:p w14:paraId="67287CAC">
      <w:pPr>
        <w:pStyle w:val="476"/>
        <w:ind w:firstLine="640"/>
        <w:rPr>
          <w:rFonts w:hint="eastAsia"/>
          <w:sz w:val="32"/>
          <w:szCs w:val="32"/>
        </w:rPr>
      </w:pPr>
    </w:p>
    <w:p w14:paraId="1743C3EE">
      <w:pPr>
        <w:pStyle w:val="476"/>
        <w:ind w:firstLine="640"/>
        <w:rPr>
          <w:rFonts w:hint="eastAsia"/>
          <w:sz w:val="32"/>
          <w:szCs w:val="32"/>
        </w:rPr>
      </w:pPr>
    </w:p>
    <w:p w14:paraId="1DC03517">
      <w:pPr>
        <w:pStyle w:val="476"/>
        <w:ind w:firstLine="640"/>
        <w:rPr>
          <w:rFonts w:hint="eastAsia"/>
          <w:sz w:val="32"/>
          <w:szCs w:val="32"/>
        </w:rPr>
      </w:pPr>
    </w:p>
    <w:p w14:paraId="71C16C99">
      <w:pPr>
        <w:spacing w:line="360" w:lineRule="auto"/>
        <w:jc w:val="center"/>
        <w:outlineLvl w:val="1"/>
        <w:rPr>
          <w:rFonts w:hint="eastAsia" w:ascii="黑体" w:hAnsi="黑体" w:eastAsia="黑体"/>
          <w:b/>
          <w:sz w:val="36"/>
          <w:szCs w:val="36"/>
        </w:rPr>
      </w:pPr>
      <w:bookmarkStart w:id="687" w:name="_Toc215313869"/>
      <w:bookmarkStart w:id="688" w:name="_Toc216365909"/>
      <w:bookmarkStart w:id="689" w:name="_Toc192748570"/>
      <w:bookmarkStart w:id="690" w:name="_Toc146736322"/>
      <w:bookmarkStart w:id="691" w:name="_Toc203147243"/>
      <w:bookmarkStart w:id="692" w:name="_Toc193792899"/>
      <w:r>
        <w:rPr>
          <w:rFonts w:hint="eastAsia" w:ascii="黑体" w:hAnsi="黑体" w:eastAsia="黑体"/>
          <w:b/>
          <w:sz w:val="36"/>
          <w:szCs w:val="36"/>
        </w:rPr>
        <w:t xml:space="preserve">第一部分 </w:t>
      </w:r>
      <w:bookmarkEnd w:id="686"/>
      <w:r>
        <w:rPr>
          <w:rFonts w:hint="eastAsia" w:ascii="黑体" w:hAnsi="黑体" w:eastAsia="黑体"/>
          <w:b/>
          <w:sz w:val="36"/>
          <w:szCs w:val="36"/>
        </w:rPr>
        <w:t>资格审查及符合性审查部分</w:t>
      </w:r>
      <w:bookmarkEnd w:id="687"/>
      <w:bookmarkEnd w:id="688"/>
      <w:bookmarkEnd w:id="689"/>
      <w:bookmarkEnd w:id="690"/>
      <w:bookmarkEnd w:id="691"/>
      <w:bookmarkEnd w:id="692"/>
    </w:p>
    <w:p w14:paraId="24702118">
      <w:pPr>
        <w:pStyle w:val="476"/>
        <w:ind w:firstLine="480"/>
        <w:rPr>
          <w:rFonts w:hint="eastAsia" w:eastAsia="黑体"/>
        </w:rPr>
      </w:pPr>
      <w:r>
        <w:br w:type="page"/>
      </w:r>
    </w:p>
    <w:p w14:paraId="7CB264C4">
      <w:pPr>
        <w:pStyle w:val="5"/>
        <w:rPr>
          <w:rFonts w:hint="eastAsia" w:ascii="黑体" w:hAnsi="黑体" w:cs="宋体"/>
        </w:rPr>
      </w:pPr>
      <w:bookmarkStart w:id="693" w:name="_Toc438160902"/>
      <w:bookmarkStart w:id="694" w:name="_Toc432230663"/>
      <w:bookmarkStart w:id="695" w:name="_Toc431280098"/>
      <w:bookmarkStart w:id="696" w:name="_Toc493494624"/>
      <w:bookmarkStart w:id="697" w:name="_Toc29385"/>
      <w:bookmarkStart w:id="698" w:name="_Toc431279934"/>
      <w:bookmarkStart w:id="699" w:name="_Toc97580383"/>
      <w:r>
        <w:rPr>
          <w:rFonts w:hint="eastAsia" w:ascii="黑体" w:hAnsi="黑体" w:cs="宋体"/>
        </w:rPr>
        <w:t>一、法定代表人身份证明书</w:t>
      </w:r>
      <w:bookmarkEnd w:id="693"/>
      <w:bookmarkEnd w:id="694"/>
      <w:bookmarkEnd w:id="695"/>
      <w:bookmarkEnd w:id="696"/>
      <w:bookmarkEnd w:id="697"/>
      <w:bookmarkEnd w:id="698"/>
      <w:bookmarkEnd w:id="699"/>
    </w:p>
    <w:p w14:paraId="62D0A53E">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投标人名称：</w:t>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 xml:space="preserve"> </w:t>
      </w:r>
    </w:p>
    <w:p w14:paraId="7960270B">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单位性质：</w:t>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p>
    <w:p w14:paraId="78C6C3EF">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成立时间：</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年</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月</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日</w:t>
      </w:r>
    </w:p>
    <w:p w14:paraId="7C579A3D">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经营期限：</w:t>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p>
    <w:p w14:paraId="47C4FE16">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姓名：</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性别：</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年龄：</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职务：</w:t>
      </w:r>
      <w:r>
        <w:rPr>
          <w:rFonts w:hint="eastAsia" w:cs="宋体" w:asciiTheme="minorEastAsia" w:hAnsiTheme="minorEastAsia" w:eastAsiaTheme="minorEastAsia"/>
          <w:kern w:val="0"/>
          <w:u w:val="single"/>
        </w:rPr>
        <w:tab/>
      </w:r>
      <w:r>
        <w:rPr>
          <w:rFonts w:hint="eastAsia" w:cs="宋体" w:asciiTheme="minorEastAsia" w:hAnsiTheme="minorEastAsia" w:eastAsiaTheme="minorEastAsia"/>
          <w:kern w:val="0"/>
          <w:u w:val="single"/>
        </w:rPr>
        <w:tab/>
      </w:r>
    </w:p>
    <w:p w14:paraId="6B54696E">
      <w:pPr>
        <w:spacing w:before="120" w:beforeLines="50" w:after="120" w:afterLines="50" w:line="560" w:lineRule="exact"/>
        <w:rPr>
          <w:rFonts w:hint="eastAsia" w:cs="宋体" w:asciiTheme="minorEastAsia" w:hAnsiTheme="minorEastAsia" w:eastAsiaTheme="minorEastAsia"/>
          <w:kern w:val="0"/>
        </w:rPr>
      </w:pPr>
      <w:r>
        <w:rPr>
          <w:rFonts w:hint="eastAsia" w:cs="宋体" w:asciiTheme="minorEastAsia" w:hAnsiTheme="minorEastAsia" w:eastAsiaTheme="minorEastAsia"/>
          <w:kern w:val="0"/>
        </w:rPr>
        <w:t>系</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（投标人名称）的法定代表人。</w:t>
      </w:r>
    </w:p>
    <w:p w14:paraId="205DA031">
      <w:pPr>
        <w:spacing w:line="560" w:lineRule="exact"/>
        <w:rPr>
          <w:rFonts w:hint="eastAsia" w:cs="宋体" w:asciiTheme="minorEastAsia" w:hAnsiTheme="minorEastAsia" w:eastAsiaTheme="minorEastAsia"/>
          <w:kern w:val="0"/>
          <w:u w:val="single"/>
        </w:rPr>
      </w:pPr>
      <w:r>
        <w:rPr>
          <w:rFonts w:hint="eastAsia" w:cs="宋体" w:asciiTheme="minorEastAsia" w:hAnsiTheme="minorEastAsia" w:eastAsiaTheme="minorEastAsia"/>
          <w:b/>
          <w:kern w:val="0"/>
          <w:u w:val="single"/>
        </w:rPr>
        <w:t>后附法定代表人身份证扫描件。</w:t>
      </w:r>
    </w:p>
    <w:p w14:paraId="42D73BC3">
      <w:pPr>
        <w:spacing w:line="360" w:lineRule="auto"/>
        <w:rPr>
          <w:rFonts w:hint="eastAsia" w:cs="宋体" w:asciiTheme="minorEastAsia" w:hAnsiTheme="minorEastAsia" w:eastAsiaTheme="minorEastAsia"/>
          <w:kern w:val="0"/>
        </w:rPr>
      </w:pPr>
    </w:p>
    <w:p w14:paraId="561C7803">
      <w:pPr>
        <w:spacing w:line="360" w:lineRule="auto"/>
        <w:jc w:val="left"/>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    特此证明。</w:t>
      </w:r>
    </w:p>
    <w:p w14:paraId="1D34F291">
      <w:pPr>
        <w:spacing w:line="360" w:lineRule="auto"/>
        <w:ind w:firstLine="560" w:firstLineChars="200"/>
        <w:jc w:val="center"/>
        <w:rPr>
          <w:rFonts w:hint="eastAsia"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 xml:space="preserve">            </w:t>
      </w:r>
    </w:p>
    <w:p w14:paraId="134A7899">
      <w:pPr>
        <w:spacing w:line="360" w:lineRule="auto"/>
        <w:ind w:firstLine="560" w:firstLineChars="200"/>
        <w:jc w:val="center"/>
        <w:rPr>
          <w:rFonts w:hint="eastAsia" w:cs="宋体" w:asciiTheme="minorEastAsia" w:hAnsiTheme="minorEastAsia" w:eastAsiaTheme="minorEastAsia"/>
          <w:kern w:val="0"/>
          <w:sz w:val="28"/>
          <w:szCs w:val="28"/>
        </w:rPr>
      </w:pPr>
    </w:p>
    <w:p w14:paraId="2B0149D8">
      <w:pPr>
        <w:spacing w:line="360" w:lineRule="auto"/>
        <w:ind w:firstLine="560" w:firstLineChars="200"/>
        <w:jc w:val="center"/>
        <w:rPr>
          <w:rFonts w:hint="eastAsia" w:cs="宋体" w:asciiTheme="minorEastAsia" w:hAnsiTheme="minorEastAsia" w:eastAsiaTheme="minorEastAsia"/>
          <w:kern w:val="0"/>
          <w:sz w:val="28"/>
          <w:szCs w:val="28"/>
        </w:rPr>
      </w:pPr>
    </w:p>
    <w:p w14:paraId="6B7AA926">
      <w:pPr>
        <w:spacing w:line="360" w:lineRule="auto"/>
        <w:ind w:firstLine="560" w:firstLineChars="200"/>
        <w:jc w:val="center"/>
        <w:rPr>
          <w:rFonts w:hint="eastAsia" w:cs="宋体" w:asciiTheme="minorEastAsia" w:hAnsiTheme="minorEastAsia" w:eastAsiaTheme="minorEastAsia"/>
          <w:kern w:val="0"/>
          <w:sz w:val="28"/>
          <w:szCs w:val="28"/>
        </w:rPr>
      </w:pPr>
    </w:p>
    <w:p w14:paraId="5BB81429">
      <w:pPr>
        <w:spacing w:line="360" w:lineRule="auto"/>
        <w:ind w:firstLine="560" w:firstLineChars="200"/>
        <w:jc w:val="center"/>
        <w:rPr>
          <w:rFonts w:hint="eastAsia" w:cs="宋体" w:asciiTheme="minorEastAsia" w:hAnsiTheme="minorEastAsia" w:eastAsiaTheme="minorEastAsia"/>
          <w:kern w:val="0"/>
          <w:sz w:val="28"/>
          <w:szCs w:val="28"/>
        </w:rPr>
      </w:pPr>
    </w:p>
    <w:p w14:paraId="3FEA3E63">
      <w:pPr>
        <w:spacing w:line="360" w:lineRule="auto"/>
        <w:ind w:firstLine="560" w:firstLineChars="200"/>
        <w:jc w:val="center"/>
        <w:rPr>
          <w:rFonts w:hint="eastAsia" w:cs="宋体" w:asciiTheme="minorEastAsia" w:hAnsiTheme="minorEastAsia" w:eastAsiaTheme="minorEastAsia"/>
          <w:kern w:val="0"/>
          <w:sz w:val="28"/>
          <w:szCs w:val="28"/>
        </w:rPr>
      </w:pPr>
    </w:p>
    <w:p w14:paraId="18683F79">
      <w:pPr>
        <w:spacing w:line="360" w:lineRule="auto"/>
        <w:ind w:firstLine="480" w:firstLineChars="200"/>
        <w:jc w:val="center"/>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                        投标人全称：</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rPr>
        <w:t>（电子签章）</w:t>
      </w:r>
    </w:p>
    <w:p w14:paraId="7257C0D2">
      <w:pPr>
        <w:spacing w:line="360" w:lineRule="auto"/>
        <w:ind w:firstLine="480" w:firstLineChars="200"/>
        <w:jc w:val="center"/>
        <w:rPr>
          <w:rFonts w:hint="eastAsia" w:cs="宋体" w:asciiTheme="minorEastAsia" w:hAnsiTheme="minorEastAsia" w:eastAsiaTheme="minorEastAsia"/>
          <w:kern w:val="0"/>
        </w:rPr>
      </w:pPr>
    </w:p>
    <w:p w14:paraId="2B8D3D83">
      <w:pPr>
        <w:widowControl/>
        <w:spacing w:line="360" w:lineRule="auto"/>
        <w:ind w:firstLine="480" w:firstLineChars="200"/>
        <w:jc w:val="center"/>
        <w:rPr>
          <w:rFonts w:hint="eastAsia" w:cs="宋体" w:asciiTheme="minorEastAsia" w:hAnsiTheme="minorEastAsia" w:eastAsiaTheme="minorEastAsia"/>
          <w:kern w:val="0"/>
        </w:rPr>
      </w:pPr>
      <w:r>
        <w:rPr>
          <w:rFonts w:hint="eastAsia" w:cs="宋体" w:asciiTheme="minorEastAsia" w:hAnsiTheme="minorEastAsia" w:eastAsiaTheme="minorEastAsia"/>
          <w:kern w:val="0"/>
        </w:rPr>
        <w:t xml:space="preserve">                             </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年</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月</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kern w:val="0"/>
        </w:rPr>
        <w:t>日</w:t>
      </w:r>
    </w:p>
    <w:p w14:paraId="647DA2EE">
      <w:pPr>
        <w:spacing w:line="360" w:lineRule="auto"/>
        <w:ind w:firstLine="560" w:firstLineChars="200"/>
        <w:jc w:val="center"/>
        <w:rPr>
          <w:rFonts w:hint="eastAsia" w:cs="宋体" w:asciiTheme="minorEastAsia" w:hAnsiTheme="minorEastAsia" w:eastAsiaTheme="minorEastAsia"/>
          <w:kern w:val="0"/>
          <w:sz w:val="28"/>
          <w:szCs w:val="28"/>
        </w:rPr>
      </w:pPr>
    </w:p>
    <w:p w14:paraId="42E06438">
      <w:pPr>
        <w:spacing w:line="360" w:lineRule="auto"/>
        <w:rPr>
          <w:rFonts w:hint="eastAsia" w:cs="宋体" w:asciiTheme="minorEastAsia" w:hAnsiTheme="minorEastAsia" w:eastAsiaTheme="minorEastAsia"/>
          <w:kern w:val="0"/>
          <w:sz w:val="28"/>
          <w:szCs w:val="28"/>
        </w:rPr>
      </w:pPr>
    </w:p>
    <w:p w14:paraId="3571976E">
      <w:pPr>
        <w:pStyle w:val="5"/>
      </w:pPr>
      <w:bookmarkStart w:id="700" w:name="_Toc23959"/>
      <w:bookmarkStart w:id="701" w:name="_Toc14683"/>
      <w:bookmarkStart w:id="702" w:name="_Toc431279935"/>
      <w:bookmarkStart w:id="703" w:name="_Toc432230664"/>
      <w:bookmarkStart w:id="704" w:name="_Toc431280099"/>
      <w:r>
        <w:rPr>
          <w:rFonts w:hint="eastAsia" w:cs="宋体" w:asciiTheme="minorEastAsia" w:hAnsiTheme="minorEastAsia" w:eastAsiaTheme="minorEastAsia"/>
        </w:rPr>
        <w:br w:type="page"/>
      </w:r>
      <w:bookmarkStart w:id="705" w:name="_Toc438160903"/>
      <w:bookmarkStart w:id="706" w:name="_Toc493494625"/>
      <w:bookmarkStart w:id="707" w:name="_Toc97580384"/>
      <w:bookmarkStart w:id="708" w:name="_Toc1097"/>
      <w:bookmarkStart w:id="709" w:name="_Toc90069649"/>
      <w:bookmarkStart w:id="710" w:name="_Toc90042122"/>
      <w:bookmarkStart w:id="711" w:name="_Hlk215482085"/>
      <w:r>
        <w:rPr>
          <w:rFonts w:hint="eastAsia"/>
        </w:rPr>
        <w:t>二、</w:t>
      </w:r>
      <w:bookmarkStart w:id="712" w:name="_Toc85367757"/>
      <w:bookmarkStart w:id="713" w:name="_Toc88228334"/>
      <w:bookmarkStart w:id="714" w:name="_Toc82077266"/>
      <w:bookmarkStart w:id="715" w:name="_Toc79526138"/>
      <w:bookmarkStart w:id="716" w:name="_Toc78448063"/>
      <w:bookmarkStart w:id="717" w:name="_Toc85094978"/>
      <w:r>
        <w:rPr>
          <w:rFonts w:hint="eastAsia"/>
        </w:rPr>
        <w:t>法定代表人授权委托书</w:t>
      </w:r>
      <w:bookmarkEnd w:id="700"/>
      <w:bookmarkEnd w:id="701"/>
      <w:r>
        <w:rPr>
          <w:rFonts w:hint="eastAsia"/>
        </w:rPr>
        <w:t>（若有）</w:t>
      </w:r>
      <w:bookmarkEnd w:id="702"/>
      <w:bookmarkEnd w:id="703"/>
      <w:bookmarkEnd w:id="704"/>
      <w:bookmarkEnd w:id="705"/>
      <w:bookmarkEnd w:id="706"/>
      <w:bookmarkEnd w:id="707"/>
      <w:bookmarkEnd w:id="708"/>
      <w:bookmarkEnd w:id="709"/>
      <w:bookmarkEnd w:id="710"/>
      <w:bookmarkEnd w:id="712"/>
      <w:bookmarkEnd w:id="713"/>
      <w:bookmarkEnd w:id="714"/>
      <w:bookmarkEnd w:id="715"/>
      <w:bookmarkEnd w:id="716"/>
      <w:bookmarkEnd w:id="717"/>
    </w:p>
    <w:p w14:paraId="61CB1DB1">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bookmarkStart w:id="718" w:name="_Toc432230665"/>
      <w:bookmarkStart w:id="719" w:name="_Toc438160904"/>
      <w:bookmarkStart w:id="720" w:name="_Toc431279936"/>
      <w:bookmarkStart w:id="721" w:name="_Toc493494626"/>
      <w:bookmarkStart w:id="722" w:name="_Toc11716"/>
      <w:bookmarkStart w:id="723" w:name="_Toc431280100"/>
    </w:p>
    <w:p w14:paraId="483EFB1F">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本授权书声明：</w:t>
      </w:r>
      <w:r>
        <w:rPr>
          <w:rFonts w:hint="eastAsia" w:cs="宋体" w:asciiTheme="minorEastAsia" w:hAnsiTheme="minorEastAsia" w:eastAsiaTheme="minorEastAsia"/>
          <w:szCs w:val="20"/>
          <w:u w:val="single"/>
        </w:rPr>
        <w:t xml:space="preserve">  (投标人全称) </w:t>
      </w:r>
      <w:r>
        <w:rPr>
          <w:rFonts w:hint="eastAsia" w:cs="宋体" w:asciiTheme="minorEastAsia" w:hAnsiTheme="minorEastAsia" w:eastAsiaTheme="minorEastAsia"/>
          <w:szCs w:val="20"/>
        </w:rPr>
        <w:t>的法定代表人，代表本单位授权</w:t>
      </w:r>
      <w:r>
        <w:rPr>
          <w:rFonts w:hint="eastAsia" w:cs="宋体" w:asciiTheme="minorEastAsia" w:hAnsiTheme="minorEastAsia" w:eastAsiaTheme="minorEastAsia"/>
          <w:szCs w:val="20"/>
          <w:u w:val="single"/>
        </w:rPr>
        <w:t>（委托代理人姓名）</w:t>
      </w:r>
      <w:r>
        <w:rPr>
          <w:rFonts w:hint="eastAsia" w:cs="宋体" w:asciiTheme="minorEastAsia" w:hAnsiTheme="minorEastAsia" w:eastAsiaTheme="minorEastAsia"/>
          <w:szCs w:val="20"/>
        </w:rPr>
        <w:t>为本单位合法代理人，就贵方组织的有关</w:t>
      </w:r>
      <w:r>
        <w:rPr>
          <w:rFonts w:hint="eastAsia" w:cs="宋体" w:asciiTheme="minorEastAsia" w:hAnsiTheme="minorEastAsia" w:eastAsiaTheme="minorEastAsia"/>
          <w:szCs w:val="20"/>
          <w:u w:val="single"/>
        </w:rPr>
        <w:t xml:space="preserve"> （项目名称）（项目编号：   ）</w:t>
      </w:r>
      <w:r>
        <w:rPr>
          <w:rFonts w:hint="eastAsia" w:cs="宋体" w:asciiTheme="minorEastAsia" w:hAnsiTheme="minorEastAsia" w:eastAsiaTheme="minorEastAsia"/>
          <w:szCs w:val="20"/>
        </w:rPr>
        <w:t>的招标，以本单位名义投标。代理人在本项目投标过程中所签署的一切文件和处理与之有关的一切事务，我方均予承认。</w:t>
      </w:r>
    </w:p>
    <w:p w14:paraId="3334BCB6">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本委托书期限，自</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年</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月</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日起到</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年</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月</w:t>
      </w:r>
      <w:r>
        <w:rPr>
          <w:rFonts w:hint="eastAsia" w:cs="宋体" w:asciiTheme="minorEastAsia" w:hAnsiTheme="minorEastAsia" w:eastAsiaTheme="minorEastAsia"/>
          <w:szCs w:val="20"/>
          <w:u w:val="single"/>
        </w:rPr>
        <w:t xml:space="preserve">   </w:t>
      </w:r>
      <w:r>
        <w:rPr>
          <w:rFonts w:hint="eastAsia" w:cs="宋体" w:asciiTheme="minorEastAsia" w:hAnsiTheme="minorEastAsia" w:eastAsiaTheme="minorEastAsia"/>
          <w:szCs w:val="20"/>
        </w:rPr>
        <w:t>日止。</w:t>
      </w:r>
    </w:p>
    <w:p w14:paraId="093873E7">
      <w:pPr>
        <w:pStyle w:val="44"/>
        <w:widowControl w:val="0"/>
        <w:spacing w:before="0" w:beforeAutospacing="0" w:after="0" w:afterAutospacing="0" w:line="360" w:lineRule="auto"/>
        <w:ind w:firstLine="480" w:firstLineChars="200"/>
        <w:jc w:val="both"/>
        <w:rPr>
          <w:rFonts w:hint="eastAsia" w:cs="宋体" w:asciiTheme="minorEastAsia" w:hAnsiTheme="minorEastAsia" w:eastAsiaTheme="minorEastAsia"/>
          <w:szCs w:val="20"/>
        </w:rPr>
      </w:pPr>
      <w:r>
        <w:rPr>
          <w:rFonts w:hint="eastAsia" w:cs="宋体" w:asciiTheme="minorEastAsia" w:hAnsiTheme="minorEastAsia" w:eastAsiaTheme="minorEastAsia"/>
          <w:szCs w:val="20"/>
        </w:rPr>
        <w:t>授权代表无转委托权，特此委托。</w:t>
      </w:r>
    </w:p>
    <w:p w14:paraId="55C319F7">
      <w:pPr>
        <w:pStyle w:val="44"/>
        <w:widowControl w:val="0"/>
        <w:spacing w:before="0" w:beforeAutospacing="0" w:after="0" w:afterAutospacing="0" w:line="360" w:lineRule="auto"/>
        <w:ind w:firstLine="482" w:firstLineChars="200"/>
        <w:jc w:val="both"/>
        <w:rPr>
          <w:rFonts w:hint="eastAsia" w:cs="宋体" w:asciiTheme="minorEastAsia" w:hAnsiTheme="minorEastAsia" w:eastAsiaTheme="minorEastAsia"/>
          <w:b/>
          <w:szCs w:val="20"/>
          <w:u w:val="single"/>
        </w:rPr>
      </w:pPr>
      <w:r>
        <w:rPr>
          <w:rFonts w:hint="eastAsia" w:cs="宋体" w:asciiTheme="minorEastAsia" w:hAnsiTheme="minorEastAsia" w:eastAsiaTheme="minorEastAsia"/>
          <w:b/>
          <w:szCs w:val="20"/>
          <w:u w:val="single"/>
        </w:rPr>
        <w:t>后附代理人身份证扫描件，并加盖投标人电子公章。</w:t>
      </w:r>
      <w:bookmarkEnd w:id="711"/>
    </w:p>
    <w:p w14:paraId="38C809A6">
      <w:pPr>
        <w:pStyle w:val="44"/>
        <w:widowControl w:val="0"/>
        <w:spacing w:before="120" w:beforeLines="50" w:beforeAutospacing="0" w:after="120" w:afterLines="50" w:afterAutospacing="0" w:line="360" w:lineRule="auto"/>
        <w:ind w:firstLine="5454" w:firstLineChars="1948"/>
        <w:jc w:val="both"/>
        <w:rPr>
          <w:rFonts w:hint="eastAsia" w:cs="宋体" w:asciiTheme="minorEastAsia" w:hAnsiTheme="minorEastAsia" w:eastAsiaTheme="minorEastAsia"/>
          <w:sz w:val="28"/>
          <w:szCs w:val="28"/>
        </w:rPr>
      </w:pPr>
    </w:p>
    <w:p w14:paraId="6D26F4E0">
      <w:pPr>
        <w:pStyle w:val="44"/>
        <w:widowControl w:val="0"/>
        <w:spacing w:before="0" w:beforeAutospacing="0" w:after="0" w:afterAutospacing="0" w:line="60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rPr>
        <w:t>投标人全称</w:t>
      </w:r>
      <w:r>
        <w:rPr>
          <w:rFonts w:hint="eastAsia" w:cs="宋体" w:asciiTheme="minorEastAsia" w:hAnsiTheme="minorEastAsia" w:eastAsiaTheme="minorEastAsia"/>
          <w:kern w:val="2"/>
        </w:rPr>
        <w:t>：</w:t>
      </w:r>
      <w:r>
        <w:rPr>
          <w:rFonts w:hint="eastAsia" w:cs="宋体" w:asciiTheme="minorEastAsia" w:hAnsiTheme="minorEastAsia" w:eastAsiaTheme="minorEastAsia"/>
          <w:kern w:val="2"/>
          <w:u w:val="single"/>
        </w:rPr>
        <w:t xml:space="preserve">   </w:t>
      </w:r>
      <w:r>
        <w:rPr>
          <w:rFonts w:cs="宋体" w:asciiTheme="minorEastAsia" w:hAnsiTheme="minorEastAsia" w:eastAsiaTheme="minorEastAsia"/>
          <w:kern w:val="2"/>
          <w:u w:val="single"/>
        </w:rPr>
        <w:t xml:space="preserve">      </w:t>
      </w:r>
      <w:r>
        <w:rPr>
          <w:rFonts w:hint="eastAsia" w:cs="宋体" w:asciiTheme="minorEastAsia" w:hAnsiTheme="minorEastAsia" w:eastAsiaTheme="minorEastAsia"/>
          <w:kern w:val="2"/>
          <w:u w:val="single"/>
        </w:rPr>
        <w:t xml:space="preserve">    </w:t>
      </w:r>
      <w:r>
        <w:rPr>
          <w:rFonts w:cs="宋体" w:asciiTheme="minorEastAsia" w:hAnsiTheme="minorEastAsia" w:eastAsiaTheme="minorEastAsia"/>
          <w:kern w:val="2"/>
          <w:u w:val="single"/>
        </w:rPr>
        <w:t xml:space="preserve">          </w:t>
      </w:r>
      <w:r>
        <w:rPr>
          <w:rFonts w:hint="eastAsia" w:cs="宋体" w:asciiTheme="minorEastAsia" w:hAnsiTheme="minorEastAsia" w:eastAsiaTheme="minorEastAsia"/>
          <w:kern w:val="2"/>
        </w:rPr>
        <w:t>（</w:t>
      </w:r>
      <w:r>
        <w:rPr>
          <w:rFonts w:hint="eastAsia" w:cs="宋体" w:asciiTheme="minorEastAsia" w:hAnsiTheme="minorEastAsia" w:eastAsiaTheme="minorEastAsia"/>
          <w:bCs/>
          <w:kern w:val="2"/>
        </w:rPr>
        <w:t>电子签章</w:t>
      </w:r>
      <w:r>
        <w:rPr>
          <w:rFonts w:hint="eastAsia" w:cs="宋体" w:asciiTheme="minorEastAsia" w:hAnsiTheme="minorEastAsia" w:eastAsiaTheme="minorEastAsia"/>
          <w:kern w:val="2"/>
        </w:rPr>
        <w:t>）</w:t>
      </w:r>
    </w:p>
    <w:p w14:paraId="0A8D31D6">
      <w:pPr>
        <w:pStyle w:val="44"/>
        <w:widowControl w:val="0"/>
        <w:spacing w:before="0" w:beforeAutospacing="0" w:after="0" w:afterAutospacing="0" w:line="600" w:lineRule="exact"/>
        <w:rPr>
          <w:rFonts w:hint="eastAsia" w:cs="宋体" w:asciiTheme="minorEastAsia" w:hAnsiTheme="minorEastAsia" w:eastAsiaTheme="minorEastAsia"/>
        </w:rPr>
      </w:pPr>
      <w:r>
        <w:rPr>
          <w:rFonts w:hint="eastAsia" w:cs="宋体" w:asciiTheme="minorEastAsia" w:hAnsiTheme="minorEastAsia" w:eastAsiaTheme="minorEastAsia"/>
        </w:rPr>
        <w:t>法定代表人：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w:t>
      </w:r>
      <w:r>
        <w:rPr>
          <w:rFonts w:hint="eastAsia" w:cs="宋体" w:asciiTheme="minorEastAsia" w:hAnsiTheme="minorEastAsia" w:eastAsiaTheme="minorEastAsia"/>
          <w:bCs/>
        </w:rPr>
        <w:t>签名或签章</w:t>
      </w:r>
      <w:r>
        <w:rPr>
          <w:rFonts w:hint="eastAsia" w:cs="宋体" w:asciiTheme="minorEastAsia" w:hAnsiTheme="minorEastAsia" w:eastAsiaTheme="minorEastAsia"/>
        </w:rPr>
        <w:t>）</w:t>
      </w:r>
    </w:p>
    <w:p w14:paraId="65BD86FA">
      <w:pPr>
        <w:pStyle w:val="44"/>
        <w:widowControl w:val="0"/>
        <w:spacing w:before="0" w:beforeAutospacing="0" w:after="0" w:afterAutospacing="0" w:line="600" w:lineRule="exact"/>
        <w:rPr>
          <w:rFonts w:hint="eastAsia" w:cs="宋体" w:asciiTheme="minorEastAsia" w:hAnsiTheme="minorEastAsia" w:eastAsiaTheme="minorEastAsia"/>
          <w:u w:val="single"/>
        </w:rPr>
      </w:pPr>
      <w:r>
        <w:rPr>
          <w:rFonts w:hint="eastAsia" w:cs="宋体" w:asciiTheme="minorEastAsia" w:hAnsiTheme="minorEastAsia" w:eastAsiaTheme="minorEastAsia"/>
        </w:rPr>
        <w:t>法定代表人身份证号码：</w:t>
      </w:r>
      <w:r>
        <w:rPr>
          <w:rFonts w:cs="宋体" w:asciiTheme="minorEastAsia" w:hAnsiTheme="minorEastAsia" w:eastAsiaTheme="minorEastAsia"/>
          <w:u w:val="single"/>
        </w:rPr>
        <w:t xml:space="preserve">                    </w:t>
      </w:r>
    </w:p>
    <w:p w14:paraId="32F0136A">
      <w:pPr>
        <w:pStyle w:val="44"/>
        <w:widowControl w:val="0"/>
        <w:spacing w:before="0" w:beforeAutospacing="0" w:after="0" w:afterAutospacing="0" w:line="600" w:lineRule="exact"/>
        <w:rPr>
          <w:rFonts w:hint="eastAsia" w:cs="宋体" w:asciiTheme="minorEastAsia" w:hAnsiTheme="minorEastAsia" w:eastAsiaTheme="minorEastAsia"/>
        </w:rPr>
      </w:pPr>
      <w:r>
        <w:rPr>
          <w:rFonts w:hint="eastAsia" w:cs="宋体" w:asciiTheme="minorEastAsia" w:hAnsiTheme="minorEastAsia" w:eastAsiaTheme="minorEastAsia"/>
        </w:rPr>
        <w:t>代理人：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w:t>
      </w:r>
      <w:r>
        <w:rPr>
          <w:rFonts w:hint="eastAsia" w:cs="宋体" w:asciiTheme="minorEastAsia" w:hAnsiTheme="minorEastAsia" w:eastAsiaTheme="minorEastAsia"/>
          <w:bCs/>
        </w:rPr>
        <w:t>签名或签章</w:t>
      </w:r>
      <w:r>
        <w:rPr>
          <w:rFonts w:hint="eastAsia" w:cs="宋体" w:asciiTheme="minorEastAsia" w:hAnsiTheme="minorEastAsia" w:eastAsiaTheme="minorEastAsia"/>
        </w:rPr>
        <w:t>）</w:t>
      </w:r>
    </w:p>
    <w:p w14:paraId="3F25A73E">
      <w:pPr>
        <w:pStyle w:val="44"/>
        <w:widowControl w:val="0"/>
        <w:spacing w:before="0" w:beforeAutospacing="0" w:after="0" w:afterAutospacing="0" w:line="600" w:lineRule="exact"/>
        <w:rPr>
          <w:rFonts w:hint="eastAsia" w:cs="宋体" w:asciiTheme="minorEastAsia" w:hAnsiTheme="minorEastAsia" w:eastAsiaTheme="minorEastAsia"/>
          <w:u w:val="single"/>
        </w:rPr>
      </w:pPr>
      <w:r>
        <w:rPr>
          <w:rFonts w:hint="eastAsia" w:cs="宋体" w:asciiTheme="minorEastAsia" w:hAnsiTheme="minorEastAsia" w:eastAsiaTheme="minorEastAsia"/>
        </w:rPr>
        <w:t>代理人身份证号码：</w:t>
      </w:r>
      <w:r>
        <w:rPr>
          <w:rFonts w:hint="eastAsia" w:cs="宋体" w:asciiTheme="minorEastAsia" w:hAnsiTheme="minorEastAsia" w:eastAsiaTheme="minorEastAsia"/>
          <w:kern w:val="2"/>
          <w:u w:val="single"/>
        </w:rPr>
        <w:t xml:space="preserve"> </w:t>
      </w:r>
      <w:r>
        <w:rPr>
          <w:rFonts w:cs="宋体" w:asciiTheme="minorEastAsia" w:hAnsiTheme="minorEastAsia" w:eastAsiaTheme="minorEastAsia"/>
          <w:u w:val="single"/>
        </w:rPr>
        <w:t xml:space="preserve">                   </w:t>
      </w:r>
    </w:p>
    <w:p w14:paraId="228DD848">
      <w:pPr>
        <w:pStyle w:val="44"/>
        <w:widowControl w:val="0"/>
        <w:spacing w:before="0" w:beforeAutospacing="0" w:after="0" w:afterAutospacing="0" w:line="560" w:lineRule="exact"/>
        <w:rPr>
          <w:rFonts w:hint="eastAsia" w:cs="宋体" w:asciiTheme="minorEastAsia" w:hAnsiTheme="minorEastAsia" w:eastAsiaTheme="minorEastAsia"/>
        </w:rPr>
      </w:pPr>
      <w:r>
        <w:rPr>
          <w:rFonts w:hint="eastAsia" w:cs="宋体" w:asciiTheme="minorEastAsia" w:hAnsiTheme="minorEastAsia" w:eastAsiaTheme="minorEastAsia"/>
        </w:rPr>
        <w:t>日      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月</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日</w:t>
      </w:r>
    </w:p>
    <w:p w14:paraId="36AF0511">
      <w:pPr>
        <w:pStyle w:val="44"/>
        <w:widowControl w:val="0"/>
        <w:spacing w:before="0" w:beforeAutospacing="0" w:after="0" w:afterAutospacing="0" w:line="560" w:lineRule="exact"/>
        <w:ind w:firstLine="480" w:firstLineChars="200"/>
        <w:jc w:val="center"/>
        <w:rPr>
          <w:rFonts w:hint="eastAsia" w:cs="宋体" w:asciiTheme="minorEastAsia" w:hAnsiTheme="minorEastAsia" w:eastAsiaTheme="minorEastAsia"/>
        </w:rPr>
      </w:pPr>
    </w:p>
    <w:p w14:paraId="73623EE1">
      <w:pPr>
        <w:widowControl/>
        <w:jc w:val="left"/>
        <w:rPr>
          <w:rFonts w:hint="eastAsia" w:ascii="黑体" w:hAnsi="黑体" w:eastAsia="黑体"/>
          <w:b/>
          <w:sz w:val="32"/>
          <w:szCs w:val="32"/>
        </w:rPr>
      </w:pPr>
      <w:r>
        <w:rPr>
          <w:rFonts w:ascii="黑体" w:hAnsi="黑体" w:eastAsia="黑体"/>
          <w:sz w:val="32"/>
          <w:szCs w:val="32"/>
        </w:rPr>
        <w:br w:type="page"/>
      </w:r>
    </w:p>
    <w:bookmarkEnd w:id="718"/>
    <w:bookmarkEnd w:id="719"/>
    <w:bookmarkEnd w:id="720"/>
    <w:bookmarkEnd w:id="721"/>
    <w:bookmarkEnd w:id="722"/>
    <w:bookmarkEnd w:id="723"/>
    <w:p w14:paraId="1B13388C">
      <w:pPr>
        <w:pStyle w:val="5"/>
        <w:spacing w:line="360" w:lineRule="auto"/>
        <w:rPr>
          <w:rFonts w:hint="eastAsia" w:ascii="黑体" w:hAnsi="黑体" w:cs="宋体"/>
        </w:rPr>
      </w:pPr>
      <w:bookmarkStart w:id="724" w:name="OLE_LINK55"/>
      <w:bookmarkStart w:id="725" w:name="_Toc82077268"/>
      <w:bookmarkStart w:id="726" w:name="_Toc15292"/>
      <w:bookmarkStart w:id="727" w:name="_Toc88228336"/>
      <w:bookmarkStart w:id="728" w:name="_Toc432230666"/>
      <w:bookmarkStart w:id="729" w:name="_Toc85367759"/>
      <w:bookmarkStart w:id="730" w:name="_Toc438160905"/>
      <w:bookmarkStart w:id="731" w:name="_Toc347849250"/>
      <w:bookmarkStart w:id="732" w:name="_Toc90069651"/>
      <w:bookmarkStart w:id="733" w:name="_Toc85094980"/>
      <w:bookmarkStart w:id="734" w:name="_Toc90042124"/>
      <w:bookmarkStart w:id="735" w:name="_Toc380507203"/>
      <w:bookmarkStart w:id="736" w:name="_Toc79526140"/>
      <w:bookmarkStart w:id="737" w:name="_Toc431279937"/>
      <w:bookmarkStart w:id="738" w:name="_Toc493494627"/>
      <w:bookmarkStart w:id="739" w:name="_Toc15247"/>
      <w:bookmarkStart w:id="740" w:name="_Toc97580387"/>
      <w:bookmarkStart w:id="741" w:name="_Toc78448065"/>
      <w:bookmarkStart w:id="742" w:name="_Toc431280101"/>
      <w:bookmarkStart w:id="743" w:name="_Toc415745007"/>
      <w:r>
        <w:rPr>
          <w:rFonts w:hint="eastAsia" w:ascii="黑体" w:hAnsi="黑体" w:cs="宋体"/>
        </w:rPr>
        <w:t>★</w:t>
      </w:r>
      <w:bookmarkEnd w:id="724"/>
      <w:r>
        <w:rPr>
          <w:rFonts w:hint="eastAsia" w:ascii="黑体" w:hAnsi="黑体" w:cs="宋体"/>
        </w:rPr>
        <w:t>三、投标人资格条件承诺函</w:t>
      </w:r>
    </w:p>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14:paraId="4B6D219C">
      <w:pPr>
        <w:spacing w:line="360" w:lineRule="auto"/>
        <w:ind w:firstLine="480" w:firstLineChars="200"/>
        <w:rPr>
          <w:rFonts w:hint="eastAsia" w:ascii="宋体" w:hAnsi="宋体"/>
        </w:rPr>
      </w:pPr>
      <w:r>
        <w:rPr>
          <w:rFonts w:ascii="宋体" w:hAnsi="宋体"/>
        </w:rPr>
        <w:t>我方</w:t>
      </w:r>
      <w:r>
        <w:rPr>
          <w:rFonts w:hint="eastAsia" w:ascii="宋体" w:hAnsi="宋体"/>
          <w:u w:val="single"/>
        </w:rPr>
        <w:t xml:space="preserve"> </w:t>
      </w:r>
      <w:r>
        <w:rPr>
          <w:rFonts w:ascii="宋体" w:hAnsi="宋体"/>
          <w:u w:val="single"/>
        </w:rPr>
        <w:t xml:space="preserve">  （</w:t>
      </w:r>
      <w:r>
        <w:rPr>
          <w:rFonts w:hint="eastAsia" w:ascii="宋体" w:hAnsi="宋体"/>
          <w:u w:val="single"/>
        </w:rPr>
        <w:t>投标人</w:t>
      </w:r>
      <w:r>
        <w:rPr>
          <w:rFonts w:ascii="宋体" w:hAnsi="宋体"/>
          <w:u w:val="single"/>
        </w:rPr>
        <w:t>名称）</w:t>
      </w:r>
      <w:r>
        <w:rPr>
          <w:rFonts w:ascii="宋体" w:hAnsi="宋体"/>
        </w:rPr>
        <w:t>符合《中华人民共和国政府采购法》第二十二条规定条件，具体包括：</w:t>
      </w:r>
    </w:p>
    <w:p w14:paraId="34AF33D7">
      <w:pPr>
        <w:spacing w:line="360" w:lineRule="auto"/>
        <w:ind w:firstLine="480" w:firstLineChars="200"/>
        <w:rPr>
          <w:rFonts w:hint="eastAsia" w:ascii="宋体" w:hAnsi="宋体"/>
        </w:rPr>
      </w:pPr>
      <w:r>
        <w:rPr>
          <w:rFonts w:ascii="宋体" w:hAnsi="宋体"/>
        </w:rPr>
        <w:t>1.具有独立承担民事责任的能力；</w:t>
      </w:r>
    </w:p>
    <w:p w14:paraId="40649499">
      <w:pPr>
        <w:spacing w:line="360" w:lineRule="auto"/>
        <w:ind w:firstLine="480" w:firstLineChars="200"/>
        <w:rPr>
          <w:rFonts w:hint="eastAsia" w:ascii="宋体" w:hAnsi="宋体"/>
        </w:rPr>
      </w:pPr>
      <w:r>
        <w:rPr>
          <w:rFonts w:ascii="宋体" w:hAnsi="宋体"/>
        </w:rPr>
        <w:t>2.具有良好的商业信誉和健全的财务会计制度；</w:t>
      </w:r>
    </w:p>
    <w:p w14:paraId="6DA59516">
      <w:pPr>
        <w:spacing w:line="360" w:lineRule="auto"/>
        <w:ind w:firstLine="480" w:firstLineChars="200"/>
        <w:rPr>
          <w:rFonts w:hint="eastAsia" w:ascii="宋体" w:hAnsi="宋体"/>
        </w:rPr>
      </w:pPr>
      <w:r>
        <w:rPr>
          <w:rFonts w:ascii="宋体" w:hAnsi="宋体"/>
        </w:rPr>
        <w:t>3.有依法缴纳税收和社会保障资金的良好记录；</w:t>
      </w:r>
    </w:p>
    <w:p w14:paraId="04554F3A">
      <w:pPr>
        <w:spacing w:line="360" w:lineRule="auto"/>
        <w:ind w:firstLine="480" w:firstLineChars="200"/>
        <w:rPr>
          <w:rFonts w:hint="eastAsia" w:ascii="宋体" w:hAnsi="宋体"/>
        </w:rPr>
      </w:pPr>
      <w:r>
        <w:rPr>
          <w:rFonts w:ascii="宋体" w:hAnsi="宋体"/>
        </w:rPr>
        <w:t>4.具有履行合同所必需的设备和专业技术能力；</w:t>
      </w:r>
    </w:p>
    <w:p w14:paraId="57CD1CA4">
      <w:pPr>
        <w:spacing w:line="360" w:lineRule="auto"/>
        <w:ind w:firstLine="480" w:firstLineChars="200"/>
        <w:rPr>
          <w:rFonts w:hint="eastAsia" w:ascii="宋体" w:hAnsi="宋体"/>
        </w:rPr>
      </w:pPr>
      <w:r>
        <w:rPr>
          <w:rFonts w:ascii="宋体" w:hAnsi="宋体"/>
        </w:rPr>
        <w:t>5.参加本次政府采购活动前三年内，在经营活动中没有重大违法记录；</w:t>
      </w:r>
    </w:p>
    <w:p w14:paraId="72D09EBC">
      <w:pPr>
        <w:spacing w:line="360" w:lineRule="auto"/>
        <w:ind w:firstLine="480" w:firstLineChars="200"/>
        <w:rPr>
          <w:rFonts w:hint="eastAsia" w:ascii="宋体" w:hAnsi="宋体"/>
        </w:rPr>
      </w:pPr>
      <w:r>
        <w:rPr>
          <w:rFonts w:ascii="宋体" w:hAnsi="宋体"/>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4866865C">
      <w:pPr>
        <w:spacing w:line="360" w:lineRule="auto"/>
        <w:ind w:firstLine="480" w:firstLineChars="200"/>
        <w:rPr>
          <w:rFonts w:hint="eastAsia" w:ascii="宋体" w:hAnsi="宋体"/>
        </w:rPr>
      </w:pPr>
      <w:r>
        <w:rPr>
          <w:rFonts w:ascii="宋体" w:hAnsi="宋体"/>
        </w:rPr>
        <w:t>7.在投标截止日期前未被列入失信被执行人名单、重大税收违法案件当事人名单、政府采购严重违法失信行为记录名单。</w:t>
      </w:r>
    </w:p>
    <w:p w14:paraId="203D5F33">
      <w:pPr>
        <w:spacing w:line="360" w:lineRule="auto"/>
        <w:ind w:firstLine="480" w:firstLineChars="200"/>
        <w:rPr>
          <w:rFonts w:hint="eastAsia" w:ascii="宋体" w:hAnsi="宋体"/>
        </w:rPr>
      </w:pPr>
      <w:r>
        <w:rPr>
          <w:rFonts w:ascii="宋体" w:hAnsi="宋体"/>
        </w:rPr>
        <w:t>我方对上述承诺的真实性负责，接受社会公众监督，如需检查核验，自愿接受采购单位（采购代理机构）的检查核验，配合提供相关证明材料，证明符合《中华人民共和国政府采购法》规定的</w:t>
      </w:r>
      <w:r>
        <w:rPr>
          <w:rFonts w:hint="eastAsia" w:ascii="宋体" w:hAnsi="宋体"/>
        </w:rPr>
        <w:t>投标人</w:t>
      </w:r>
      <w:r>
        <w:rPr>
          <w:rFonts w:ascii="宋体" w:hAnsi="宋体"/>
        </w:rPr>
        <w:t>基本资格条件。如有虚假，愿依法承担相应责任。</w:t>
      </w:r>
    </w:p>
    <w:p w14:paraId="6D79F0F4">
      <w:pPr>
        <w:spacing w:line="360" w:lineRule="auto"/>
        <w:ind w:firstLine="480" w:firstLineChars="200"/>
        <w:rPr>
          <w:rFonts w:hint="eastAsia" w:ascii="宋体" w:hAnsi="宋体"/>
        </w:rPr>
      </w:pPr>
      <w:r>
        <w:rPr>
          <w:rFonts w:ascii="宋体" w:hAnsi="宋体"/>
        </w:rPr>
        <w:t xml:space="preserve">特此承诺。    </w:t>
      </w:r>
    </w:p>
    <w:p w14:paraId="7A1DC124">
      <w:pPr>
        <w:pStyle w:val="26"/>
        <w:spacing w:line="560" w:lineRule="exact"/>
        <w:rPr>
          <w:rFonts w:hint="eastAsia" w:cs="宋体" w:asciiTheme="minorEastAsia" w:hAnsiTheme="minorEastAsia" w:eastAsiaTheme="minorEastAsia"/>
          <w:sz w:val="24"/>
          <w:szCs w:val="24"/>
        </w:rPr>
      </w:pPr>
    </w:p>
    <w:p w14:paraId="62876FB2">
      <w:pPr>
        <w:pStyle w:val="26"/>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投标人全称：</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sz w:val="24"/>
          <w:szCs w:val="24"/>
        </w:rPr>
        <w:t>（电子签章）</w:t>
      </w:r>
    </w:p>
    <w:p w14:paraId="00D4F5FB">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法定代表人：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（签名或签章）</w:t>
      </w:r>
    </w:p>
    <w:p w14:paraId="74A1DEFE">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日  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月</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日</w:t>
      </w:r>
    </w:p>
    <w:p w14:paraId="04ED4A65">
      <w:pPr>
        <w:rPr>
          <w:rFonts w:hint="eastAsia" w:cs="宋体" w:asciiTheme="minorEastAsia" w:hAnsiTheme="minorEastAsia" w:eastAsiaTheme="minorEastAsia"/>
        </w:rPr>
      </w:pPr>
      <w:r>
        <w:rPr>
          <w:rFonts w:hint="eastAsia" w:cs="宋体" w:asciiTheme="minorEastAsia" w:hAnsiTheme="minorEastAsia" w:eastAsiaTheme="minorEastAsia"/>
        </w:rPr>
        <w:br w:type="page"/>
      </w:r>
    </w:p>
    <w:p w14:paraId="2B655D04">
      <w:pPr>
        <w:pStyle w:val="384"/>
        <w:spacing w:line="360" w:lineRule="auto"/>
        <w:ind w:firstLine="643" w:firstLineChars="200"/>
        <w:jc w:val="center"/>
        <w:rPr>
          <w:rFonts w:hint="eastAsia" w:ascii="黑体" w:hAnsi="黑体" w:eastAsia="黑体" w:cs="宋体"/>
          <w:b/>
          <w:kern w:val="0"/>
          <w:sz w:val="32"/>
          <w:szCs w:val="20"/>
          <w:highlight w:val="none"/>
          <w:lang w:val="en-US" w:eastAsia="zh-CN" w:bidi="ar-SA"/>
        </w:rPr>
      </w:pPr>
      <w:r>
        <w:rPr>
          <w:rFonts w:hint="eastAsia" w:ascii="黑体" w:hAnsi="黑体" w:eastAsia="黑体" w:cs="宋体"/>
          <w:b/>
          <w:kern w:val="0"/>
          <w:sz w:val="32"/>
          <w:szCs w:val="20"/>
          <w:highlight w:val="none"/>
          <w:lang w:val="en-US" w:eastAsia="zh-CN" w:bidi="ar-SA"/>
        </w:rPr>
        <w:t>★四、关于系统对接功能及违约责任的专项承诺书</w:t>
      </w:r>
    </w:p>
    <w:p w14:paraId="5A8E0611">
      <w:pPr>
        <w:spacing w:line="360" w:lineRule="auto"/>
        <w:rPr>
          <w:rFonts w:ascii="宋体" w:hAnsi="宋体"/>
          <w:highlight w:val="none"/>
        </w:rPr>
      </w:pPr>
      <w:r>
        <w:rPr>
          <w:rFonts w:ascii="宋体" w:hAnsi="宋体" w:cs="Times New Roman"/>
          <w:b/>
          <w:bCs/>
          <w:highlight w:val="none"/>
        </w:rPr>
        <w:t>致：</w:t>
      </w:r>
      <w:r>
        <w:rPr>
          <w:rFonts w:ascii="宋体" w:hAnsi="宋体" w:cs="Times New Roman"/>
          <w:b/>
          <w:bCs/>
          <w:highlight w:val="none"/>
          <w:u w:val="single"/>
        </w:rPr>
        <w:t>云南能源职业技术学院</w:t>
      </w:r>
    </w:p>
    <w:p w14:paraId="4E5F0E03">
      <w:pPr>
        <w:spacing w:line="360" w:lineRule="auto"/>
        <w:ind w:firstLine="480" w:firstLineChars="200"/>
        <w:rPr>
          <w:rFonts w:ascii="宋体" w:hAnsi="宋体"/>
          <w:highlight w:val="none"/>
        </w:rPr>
      </w:pPr>
      <w:r>
        <w:rPr>
          <w:rFonts w:ascii="宋体" w:hAnsi="宋体"/>
          <w:highlight w:val="none"/>
          <w:lang w:val="en-US" w:eastAsia="zh-CN"/>
        </w:rPr>
        <w:t>本单位已充分研读本项目招标文件全部内容，清晰知悉本项目新建系统需与采购人现有【煤矿智能化数据应用管控平台】完成互联互通、数据交互对接相关全部要求，自愿作出如下不可撤销、具有法律约束力的专项承诺：</w:t>
      </w:r>
    </w:p>
    <w:p w14:paraId="24A7424D">
      <w:pPr>
        <w:spacing w:line="360" w:lineRule="auto"/>
        <w:ind w:firstLine="482" w:firstLineChars="200"/>
        <w:rPr>
          <w:rFonts w:ascii="宋体" w:hAnsi="宋体"/>
          <w:b/>
          <w:bCs/>
          <w:highlight w:val="none"/>
        </w:rPr>
      </w:pPr>
      <w:r>
        <w:rPr>
          <w:rFonts w:ascii="宋体" w:hAnsi="宋体"/>
          <w:b/>
          <w:bCs/>
          <w:highlight w:val="none"/>
          <w:lang w:val="en-US" w:eastAsia="zh-CN"/>
        </w:rPr>
        <w:t>一、对接功能专项承诺</w:t>
      </w:r>
    </w:p>
    <w:p w14:paraId="13D3A34E">
      <w:pPr>
        <w:spacing w:line="360" w:lineRule="auto"/>
        <w:ind w:firstLine="480" w:firstLineChars="200"/>
        <w:rPr>
          <w:rFonts w:ascii="宋体" w:hAnsi="宋体"/>
          <w:highlight w:val="none"/>
        </w:rPr>
      </w:pPr>
      <w:r>
        <w:rPr>
          <w:rFonts w:hint="eastAsia" w:ascii="宋体" w:hAnsi="宋体"/>
          <w:highlight w:val="none"/>
          <w:lang w:val="en-US" w:eastAsia="zh-CN"/>
        </w:rPr>
        <w:t>1.</w:t>
      </w:r>
      <w:r>
        <w:rPr>
          <w:rFonts w:ascii="宋体" w:hAnsi="宋体"/>
          <w:highlight w:val="none"/>
        </w:rPr>
        <w:t>本单位承诺，所投全部硬件设备、软件系统、安全管控平台及集成实施方案，均具备标准化开放接口、通用合规通信协议与规范数据字段，完全适配采购人现有【煤矿智能化数据应用管控平台】技术架构。</w:t>
      </w:r>
    </w:p>
    <w:p w14:paraId="62644500">
      <w:pPr>
        <w:spacing w:line="360" w:lineRule="auto"/>
        <w:ind w:firstLine="480" w:firstLineChars="200"/>
        <w:rPr>
          <w:rFonts w:ascii="宋体" w:hAnsi="宋体"/>
          <w:highlight w:val="none"/>
        </w:rPr>
      </w:pPr>
      <w:r>
        <w:rPr>
          <w:rFonts w:hint="eastAsia" w:ascii="宋体" w:hAnsi="宋体"/>
          <w:highlight w:val="none"/>
          <w:lang w:val="en-US" w:eastAsia="zh-CN"/>
        </w:rPr>
        <w:t>2.</w:t>
      </w:r>
      <w:r>
        <w:rPr>
          <w:rFonts w:ascii="宋体" w:hAnsi="宋体"/>
          <w:highlight w:val="none"/>
        </w:rPr>
        <w:t>保证项目实施完成后，可实现两个系统间多源数据实时采集、稳定传输、安全交互、合规存储与智能分析，全面满足招标文件约定的全部业务功能与技术指标要求，保障整体业务正常闭环运行。</w:t>
      </w:r>
    </w:p>
    <w:p w14:paraId="2D8AD617">
      <w:pPr>
        <w:spacing w:line="360" w:lineRule="auto"/>
        <w:ind w:firstLine="482" w:firstLineChars="200"/>
        <w:rPr>
          <w:rFonts w:ascii="宋体" w:hAnsi="宋体"/>
          <w:b/>
          <w:bCs/>
          <w:highlight w:val="none"/>
          <w:lang w:val="en-US" w:eastAsia="zh-CN"/>
        </w:rPr>
      </w:pPr>
      <w:r>
        <w:rPr>
          <w:rFonts w:ascii="宋体" w:hAnsi="宋体"/>
          <w:b/>
          <w:bCs/>
          <w:highlight w:val="none"/>
          <w:lang w:val="en-US" w:eastAsia="zh-CN"/>
        </w:rPr>
        <w:t>二、双方责任清晰界定承诺</w:t>
      </w:r>
    </w:p>
    <w:p w14:paraId="19C14E8C">
      <w:pPr>
        <w:spacing w:line="360" w:lineRule="auto"/>
        <w:ind w:firstLine="480" w:firstLineChars="200"/>
        <w:rPr>
          <w:rFonts w:ascii="宋体" w:hAnsi="宋体"/>
          <w:highlight w:val="none"/>
        </w:rPr>
      </w:pPr>
      <w:r>
        <w:rPr>
          <w:rFonts w:hint="eastAsia" w:ascii="宋体" w:hAnsi="宋体"/>
          <w:highlight w:val="none"/>
          <w:lang w:val="en-US" w:eastAsia="zh-CN"/>
        </w:rPr>
        <w:t>1.</w:t>
      </w:r>
      <w:r>
        <w:rPr>
          <w:rFonts w:ascii="宋体" w:hAnsi="宋体"/>
          <w:highlight w:val="none"/>
        </w:rPr>
        <w:t>采购人责任：负责依规提供现有平台公开可用的接口文档、标准通信协议、基础数据格式说明，开放必要合规的调试权限与测试环境，配合开展联调联试工作。</w:t>
      </w:r>
    </w:p>
    <w:p w14:paraId="6C0E35FA">
      <w:pPr>
        <w:spacing w:line="360" w:lineRule="auto"/>
        <w:ind w:firstLine="480" w:firstLineChars="200"/>
        <w:rPr>
          <w:rFonts w:ascii="宋体" w:hAnsi="宋体"/>
          <w:highlight w:val="none"/>
        </w:rPr>
      </w:pPr>
      <w:r>
        <w:rPr>
          <w:rFonts w:hint="eastAsia" w:ascii="宋体" w:hAnsi="宋体"/>
          <w:highlight w:val="none"/>
          <w:lang w:val="en-US" w:eastAsia="zh-CN"/>
        </w:rPr>
        <w:t>2.</w:t>
      </w:r>
      <w:r>
        <w:rPr>
          <w:rFonts w:ascii="宋体" w:hAnsi="宋体"/>
          <w:highlight w:val="none"/>
        </w:rPr>
        <w:t>本单位责任：严格依据采购人提供的标准资料完成适配开发、配置调试、数据映射、安全加密对接、全流程联调；因我方技术方案缺陷、产品选型不兼容、配置错误、实施运维不当、调试不到位等自身原因造成对接失败、功能缺失、数据异常的，由我方全权负责整改、优化、更换设备及系统配置，承担全部相关费用。</w:t>
      </w:r>
    </w:p>
    <w:p w14:paraId="6756A043">
      <w:pPr>
        <w:spacing w:line="360" w:lineRule="auto"/>
        <w:ind w:firstLine="482" w:firstLineChars="200"/>
        <w:rPr>
          <w:rFonts w:ascii="宋体" w:hAnsi="宋体"/>
          <w:b/>
          <w:bCs/>
          <w:highlight w:val="none"/>
        </w:rPr>
      </w:pPr>
      <w:r>
        <w:rPr>
          <w:rFonts w:ascii="宋体" w:hAnsi="宋体"/>
          <w:b/>
          <w:bCs/>
          <w:highlight w:val="none"/>
          <w:lang w:val="en-US" w:eastAsia="zh-CN"/>
        </w:rPr>
        <w:t>三、违约处理自愿履约承诺</w:t>
      </w:r>
    </w:p>
    <w:p w14:paraId="3C8C3CBE">
      <w:pPr>
        <w:spacing w:line="360" w:lineRule="auto"/>
        <w:ind w:firstLine="480" w:firstLineChars="200"/>
        <w:rPr>
          <w:rFonts w:ascii="宋体" w:hAnsi="宋体"/>
          <w:highlight w:val="none"/>
        </w:rPr>
      </w:pPr>
      <w:r>
        <w:rPr>
          <w:rFonts w:ascii="宋体" w:hAnsi="宋体"/>
          <w:highlight w:val="none"/>
        </w:rPr>
        <w:t>若因本单位自身原因，导致项目竣工验收阶段仍无法完成约定对接功能、核心数据业务无法正常运行，且在采购人限定合理整改期限内，经多次优化调试仍达不到招标及合同约定标准的</w:t>
      </w:r>
      <w:r>
        <w:rPr>
          <w:rFonts w:hint="eastAsia" w:ascii="宋体" w:hAnsi="宋体"/>
          <w:highlight w:val="none"/>
          <w:lang w:eastAsia="zh-CN"/>
        </w:rPr>
        <w:t>：</w:t>
      </w:r>
      <w:r>
        <w:rPr>
          <w:rFonts w:ascii="宋体" w:hAnsi="宋体"/>
          <w:highlight w:val="none"/>
        </w:rPr>
        <w:t>（</w:t>
      </w:r>
      <w:r>
        <w:rPr>
          <w:rFonts w:hint="eastAsia" w:ascii="宋体" w:hAnsi="宋体"/>
          <w:highlight w:val="none"/>
          <w:lang w:val="en-US" w:eastAsia="zh-CN"/>
        </w:rPr>
        <w:t>1</w:t>
      </w:r>
      <w:r>
        <w:rPr>
          <w:rFonts w:ascii="宋体" w:hAnsi="宋体"/>
          <w:highlight w:val="none"/>
        </w:rPr>
        <w:t>）本单位自愿承担采购人由此产生的合法直接经济损失（含必要整改差价、合理工期延误损失、合规第三方调试费用等），不主张超额、无理免责抗辩；（</w:t>
      </w:r>
      <w:r>
        <w:rPr>
          <w:rFonts w:hint="eastAsia" w:ascii="宋体" w:hAnsi="宋体"/>
          <w:highlight w:val="none"/>
          <w:lang w:val="en-US" w:eastAsia="zh-CN"/>
        </w:rPr>
        <w:t>2</w:t>
      </w:r>
      <w:r>
        <w:rPr>
          <w:rFonts w:ascii="宋体" w:hAnsi="宋体"/>
          <w:highlight w:val="none"/>
        </w:rPr>
        <w:t>）如需对不合格设备、不兼容系统进行拆除、更换、整改迁移，全部人工、材料、施工、清运及场地复原费用均由本单位全额承担，无条件配合采购人完成整改落地。</w:t>
      </w:r>
    </w:p>
    <w:p w14:paraId="6AEAB99F">
      <w:pPr>
        <w:spacing w:line="360" w:lineRule="auto"/>
        <w:ind w:firstLine="480" w:firstLineChars="200"/>
        <w:rPr>
          <w:rFonts w:ascii="宋体" w:hAnsi="宋体"/>
          <w:highlight w:val="none"/>
        </w:rPr>
      </w:pPr>
      <w:r>
        <w:rPr>
          <w:rFonts w:ascii="宋体" w:hAnsi="宋体"/>
          <w:highlight w:val="none"/>
        </w:rPr>
        <w:t>本承诺仅针对我方自身履约过错承担责任；因采购人现有平台原生底层故障、架构重大变更、未提供约定对接资料、私自改动系统配置等非我方原因导致对接异常的，不属于我方违约范畴，双方友好协商处置。</w:t>
      </w:r>
    </w:p>
    <w:p w14:paraId="3525C884">
      <w:pPr>
        <w:spacing w:line="360" w:lineRule="auto"/>
        <w:ind w:firstLine="482" w:firstLineChars="200"/>
        <w:rPr>
          <w:rFonts w:ascii="宋体" w:hAnsi="宋体"/>
          <w:b/>
          <w:bCs/>
          <w:highlight w:val="none"/>
        </w:rPr>
      </w:pPr>
      <w:r>
        <w:rPr>
          <w:rFonts w:ascii="宋体" w:hAnsi="宋体"/>
          <w:b/>
          <w:bCs/>
          <w:highlight w:val="none"/>
          <w:lang w:val="en-US" w:eastAsia="zh-CN"/>
        </w:rPr>
        <w:t>四、其他补充承诺</w:t>
      </w:r>
    </w:p>
    <w:p w14:paraId="5AFC3C3D">
      <w:pPr>
        <w:spacing w:line="360" w:lineRule="auto"/>
        <w:ind w:firstLine="480" w:firstLineChars="200"/>
        <w:rPr>
          <w:rFonts w:ascii="宋体" w:hAnsi="宋体"/>
          <w:highlight w:val="none"/>
        </w:rPr>
      </w:pPr>
      <w:r>
        <w:rPr>
          <w:rFonts w:ascii="宋体" w:hAnsi="宋体"/>
          <w:highlight w:val="none"/>
        </w:rPr>
        <w:t>本承诺书为投标文件实质性组成部分，与投标文件、后续中标合同具有同等法律效力；本承诺一经加盖公章及法定代表人签章</w:t>
      </w:r>
      <w:r>
        <w:rPr>
          <w:rFonts w:hint="eastAsia" w:ascii="宋体" w:hAnsi="宋体"/>
          <w:highlight w:val="none"/>
          <w:lang w:val="en-US" w:eastAsia="zh-CN"/>
        </w:rPr>
        <w:t>或</w:t>
      </w:r>
      <w:r>
        <w:rPr>
          <w:rFonts w:ascii="宋体" w:hAnsi="宋体"/>
          <w:highlight w:val="none"/>
        </w:rPr>
        <w:t>签字，永久有效，不得单方撤销、变更或无效抗辩。</w:t>
      </w:r>
    </w:p>
    <w:p w14:paraId="5960C425">
      <w:pPr>
        <w:pStyle w:val="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宋体" w:asciiTheme="minorEastAsia" w:hAnsiTheme="minorEastAsia" w:eastAsiaTheme="minorEastAsia"/>
          <w:sz w:val="24"/>
          <w:szCs w:val="24"/>
          <w:highlight w:val="none"/>
        </w:rPr>
      </w:pPr>
    </w:p>
    <w:p w14:paraId="36E653AA">
      <w:pPr>
        <w:pStyle w:val="26"/>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投标人全称：</w:t>
      </w:r>
      <w:r>
        <w:rPr>
          <w:rFonts w:hint="eastAsia" w:cs="宋体" w:asciiTheme="minorEastAsia" w:hAnsiTheme="minorEastAsia" w:eastAsiaTheme="minorEastAsia"/>
          <w:kern w:val="0"/>
          <w:highlight w:val="none"/>
          <w:u w:val="single"/>
        </w:rPr>
        <w:t xml:space="preserve">                  </w:t>
      </w:r>
      <w:r>
        <w:rPr>
          <w:rFonts w:hint="eastAsia" w:cs="宋体" w:asciiTheme="minorEastAsia" w:hAnsiTheme="minorEastAsia" w:eastAsiaTheme="minorEastAsia"/>
          <w:sz w:val="24"/>
          <w:szCs w:val="24"/>
          <w:highlight w:val="none"/>
        </w:rPr>
        <w:t>（电子签章）</w:t>
      </w:r>
    </w:p>
    <w:p w14:paraId="6BEE1ADA">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法定代表人：</w:t>
      </w:r>
      <w:r>
        <w:rPr>
          <w:rFonts w:hint="eastAsia" w:cs="宋体" w:asciiTheme="minorEastAsia" w:hAnsiTheme="minorEastAsia" w:eastAsiaTheme="minorEastAsia"/>
          <w:highlight w:val="none"/>
          <w:u w:val="single"/>
        </w:rPr>
        <w:t xml:space="preserve">       </w:t>
      </w:r>
      <w:r>
        <w:rPr>
          <w:rFonts w:cs="宋体" w:asciiTheme="minorEastAsia" w:hAnsiTheme="minorEastAsia" w:eastAsiaTheme="minorEastAsia"/>
          <w:highlight w:val="none"/>
          <w:u w:val="single"/>
        </w:rPr>
        <w:t xml:space="preserve">      </w:t>
      </w:r>
      <w:r>
        <w:rPr>
          <w:rFonts w:hint="eastAsia" w:cs="宋体" w:asciiTheme="minorEastAsia" w:hAnsiTheme="minorEastAsia" w:eastAsiaTheme="minorEastAsia"/>
          <w:highlight w:val="none"/>
          <w:u w:val="single"/>
        </w:rPr>
        <w:t xml:space="preserve">   </w:t>
      </w:r>
      <w:r>
        <w:rPr>
          <w:rFonts w:hint="eastAsia" w:cs="宋体" w:asciiTheme="minorEastAsia" w:hAnsiTheme="minorEastAsia" w:eastAsiaTheme="minorEastAsia"/>
          <w:highlight w:val="none"/>
        </w:rPr>
        <w:t>（</w:t>
      </w:r>
      <w:r>
        <w:rPr>
          <w:rFonts w:hint="eastAsia" w:cs="宋体" w:asciiTheme="minorEastAsia" w:hAnsiTheme="minorEastAsia" w:eastAsiaTheme="minorEastAsia"/>
          <w:bCs/>
          <w:highlight w:val="none"/>
        </w:rPr>
        <w:t>签名或签章</w:t>
      </w:r>
      <w:r>
        <w:rPr>
          <w:rFonts w:hint="eastAsia" w:cs="宋体" w:asciiTheme="minorEastAsia" w:hAnsiTheme="minorEastAsia" w:eastAsiaTheme="minorEastAsia"/>
          <w:highlight w:val="none"/>
        </w:rPr>
        <w:t>）</w:t>
      </w:r>
    </w:p>
    <w:p w14:paraId="4C59CA1F">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日  期：</w:t>
      </w:r>
      <w:r>
        <w:rPr>
          <w:rFonts w:hint="eastAsia" w:cs="宋体" w:asciiTheme="minorEastAsia" w:hAnsiTheme="minorEastAsia" w:eastAsiaTheme="minorEastAsia"/>
          <w:highlight w:val="none"/>
          <w:u w:val="single"/>
        </w:rPr>
        <w:t xml:space="preserve">      </w:t>
      </w:r>
      <w:r>
        <w:rPr>
          <w:rFonts w:hint="eastAsia" w:cs="宋体" w:asciiTheme="minorEastAsia" w:hAnsiTheme="minorEastAsia" w:eastAsiaTheme="minorEastAsia"/>
          <w:highlight w:val="none"/>
        </w:rPr>
        <w:t>年</w:t>
      </w:r>
      <w:r>
        <w:rPr>
          <w:rFonts w:hint="eastAsia" w:cs="宋体" w:asciiTheme="minorEastAsia" w:hAnsiTheme="minorEastAsia" w:eastAsiaTheme="minorEastAsia"/>
          <w:highlight w:val="none"/>
          <w:u w:val="single"/>
        </w:rPr>
        <w:t xml:space="preserve">     </w:t>
      </w:r>
      <w:r>
        <w:rPr>
          <w:rFonts w:hint="eastAsia" w:cs="宋体" w:asciiTheme="minorEastAsia" w:hAnsiTheme="minorEastAsia" w:eastAsiaTheme="minorEastAsia"/>
          <w:highlight w:val="none"/>
        </w:rPr>
        <w:t>月</w:t>
      </w:r>
      <w:r>
        <w:rPr>
          <w:rFonts w:hint="eastAsia" w:cs="宋体" w:asciiTheme="minorEastAsia" w:hAnsiTheme="minorEastAsia" w:eastAsiaTheme="minorEastAsia"/>
          <w:highlight w:val="none"/>
          <w:u w:val="single"/>
        </w:rPr>
        <w:t xml:space="preserve">      </w:t>
      </w:r>
      <w:r>
        <w:rPr>
          <w:rFonts w:hint="eastAsia" w:cs="宋体" w:asciiTheme="minorEastAsia" w:hAnsiTheme="minorEastAsia" w:eastAsiaTheme="minorEastAsia"/>
          <w:highlight w:val="none"/>
        </w:rPr>
        <w:t>日</w:t>
      </w:r>
    </w:p>
    <w:p w14:paraId="78B7D0B9">
      <w:pPr>
        <w:pStyle w:val="384"/>
        <w:keepNext w:val="0"/>
        <w:keepLines w:val="0"/>
        <w:pageBreakBefore w:val="0"/>
        <w:kinsoku/>
        <w:wordWrap/>
        <w:overflowPunct/>
        <w:topLinePunct w:val="0"/>
        <w:autoSpaceDE/>
        <w:autoSpaceDN/>
        <w:bidi w:val="0"/>
        <w:adjustRightInd/>
        <w:snapToGrid/>
        <w:spacing w:line="360" w:lineRule="auto"/>
        <w:ind w:firstLine="643" w:firstLineChars="200"/>
        <w:jc w:val="center"/>
        <w:textAlignment w:val="auto"/>
        <w:rPr>
          <w:rFonts w:hint="eastAsia" w:ascii="黑体" w:hAnsi="黑体" w:eastAsia="黑体" w:cs="宋体"/>
          <w:b/>
          <w:kern w:val="0"/>
          <w:sz w:val="32"/>
          <w:szCs w:val="20"/>
          <w:highlight w:val="none"/>
          <w:lang w:val="en-US" w:eastAsia="zh-CN" w:bidi="ar-SA"/>
        </w:rPr>
      </w:pPr>
    </w:p>
    <w:p w14:paraId="406EC9AE">
      <w:pPr>
        <w:pStyle w:val="384"/>
        <w:keepNext w:val="0"/>
        <w:keepLines w:val="0"/>
        <w:pageBreakBefore w:val="0"/>
        <w:kinsoku/>
        <w:wordWrap/>
        <w:overflowPunct/>
        <w:topLinePunct w:val="0"/>
        <w:autoSpaceDE/>
        <w:autoSpaceDN/>
        <w:bidi w:val="0"/>
        <w:adjustRightInd/>
        <w:snapToGrid/>
        <w:spacing w:line="360" w:lineRule="auto"/>
        <w:ind w:firstLine="643" w:firstLineChars="200"/>
        <w:jc w:val="center"/>
        <w:textAlignment w:val="auto"/>
        <w:rPr>
          <w:rFonts w:hint="default" w:ascii="黑体" w:hAnsi="黑体" w:eastAsia="黑体" w:cs="宋体"/>
          <w:b/>
          <w:kern w:val="0"/>
          <w:sz w:val="32"/>
          <w:szCs w:val="20"/>
          <w:highlight w:val="none"/>
          <w:lang w:val="en-US" w:eastAsia="zh-CN" w:bidi="ar-SA"/>
        </w:rPr>
      </w:pPr>
    </w:p>
    <w:p w14:paraId="5291195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cs="宋体" w:asciiTheme="minorEastAsia" w:hAnsiTheme="minorEastAsia" w:eastAsiaTheme="minorEastAsia"/>
          <w:highlight w:val="none"/>
        </w:rPr>
      </w:pPr>
    </w:p>
    <w:p w14:paraId="1E4BBE9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br w:type="page"/>
      </w:r>
    </w:p>
    <w:bookmarkEnd w:id="743"/>
    <w:p w14:paraId="5ADC5BAB">
      <w:pPr>
        <w:pStyle w:val="22"/>
      </w:pPr>
      <w:bookmarkStart w:id="744" w:name="_Toc431279939"/>
      <w:bookmarkStart w:id="745" w:name="_Toc5757"/>
      <w:bookmarkStart w:id="746" w:name="_Toc28457"/>
      <w:bookmarkStart w:id="747" w:name="_Toc431280103"/>
      <w:bookmarkStart w:id="748" w:name="_Toc415745014"/>
      <w:bookmarkStart w:id="749" w:name="_Toc402339526"/>
    </w:p>
    <w:p w14:paraId="52B58660">
      <w:pPr>
        <w:pStyle w:val="22"/>
      </w:pPr>
    </w:p>
    <w:p w14:paraId="18F0EB8A">
      <w:pPr>
        <w:pStyle w:val="22"/>
      </w:pPr>
    </w:p>
    <w:p w14:paraId="6D88DEBA">
      <w:pPr>
        <w:pStyle w:val="22"/>
      </w:pPr>
    </w:p>
    <w:p w14:paraId="36D57E5B">
      <w:pPr>
        <w:pStyle w:val="22"/>
      </w:pPr>
    </w:p>
    <w:p w14:paraId="375D3B68">
      <w:pPr>
        <w:pStyle w:val="22"/>
      </w:pPr>
    </w:p>
    <w:p w14:paraId="0EBCD02A">
      <w:pPr>
        <w:pStyle w:val="22"/>
      </w:pPr>
    </w:p>
    <w:p w14:paraId="7C8A8464">
      <w:pPr>
        <w:pStyle w:val="22"/>
      </w:pPr>
    </w:p>
    <w:p w14:paraId="6905E5D0">
      <w:pPr>
        <w:pStyle w:val="22"/>
      </w:pPr>
    </w:p>
    <w:p w14:paraId="224E5593">
      <w:pPr>
        <w:pStyle w:val="22"/>
      </w:pPr>
    </w:p>
    <w:p w14:paraId="3235A94B">
      <w:pPr>
        <w:pStyle w:val="22"/>
      </w:pPr>
    </w:p>
    <w:p w14:paraId="4FAC6143">
      <w:pPr>
        <w:pStyle w:val="22"/>
      </w:pPr>
    </w:p>
    <w:p w14:paraId="231C17F7">
      <w:pPr>
        <w:pStyle w:val="22"/>
      </w:pPr>
    </w:p>
    <w:p w14:paraId="07D0234B">
      <w:pPr>
        <w:pStyle w:val="22"/>
      </w:pPr>
    </w:p>
    <w:p w14:paraId="56E6AF70">
      <w:pPr>
        <w:pStyle w:val="22"/>
      </w:pPr>
    </w:p>
    <w:p w14:paraId="6AE5488E">
      <w:pPr>
        <w:pStyle w:val="22"/>
      </w:pPr>
    </w:p>
    <w:p w14:paraId="791D6CDD">
      <w:pPr>
        <w:pStyle w:val="22"/>
      </w:pPr>
    </w:p>
    <w:p w14:paraId="78E64F18">
      <w:pPr>
        <w:pStyle w:val="22"/>
      </w:pPr>
    </w:p>
    <w:p w14:paraId="367552D1">
      <w:pPr>
        <w:pStyle w:val="22"/>
      </w:pPr>
    </w:p>
    <w:p w14:paraId="4DF6E295">
      <w:pPr>
        <w:pStyle w:val="22"/>
      </w:pPr>
    </w:p>
    <w:p w14:paraId="135F52FC">
      <w:pPr>
        <w:pStyle w:val="22"/>
      </w:pPr>
    </w:p>
    <w:p w14:paraId="4AFF53C1">
      <w:pPr>
        <w:pStyle w:val="22"/>
      </w:pPr>
    </w:p>
    <w:p w14:paraId="403CF485">
      <w:pPr>
        <w:pStyle w:val="22"/>
      </w:pPr>
    </w:p>
    <w:p w14:paraId="7D7D713F">
      <w:pPr>
        <w:pStyle w:val="22"/>
      </w:pPr>
    </w:p>
    <w:p w14:paraId="506E8369">
      <w:pPr>
        <w:widowControl/>
        <w:jc w:val="left"/>
        <w:rPr>
          <w:rFonts w:hint="eastAsia" w:cs="宋体" w:asciiTheme="minorEastAsia" w:hAnsiTheme="minorEastAsia" w:eastAsiaTheme="minorEastAsia"/>
        </w:rPr>
      </w:pPr>
    </w:p>
    <w:p w14:paraId="3AB420FF">
      <w:pPr>
        <w:widowControl/>
        <w:jc w:val="left"/>
        <w:rPr>
          <w:rFonts w:hint="eastAsia" w:cs="宋体" w:asciiTheme="minorEastAsia" w:hAnsiTheme="minorEastAsia" w:eastAsiaTheme="minorEastAsia"/>
        </w:rPr>
      </w:pPr>
    </w:p>
    <w:p w14:paraId="2B62A5EA">
      <w:pPr>
        <w:spacing w:line="360" w:lineRule="auto"/>
        <w:jc w:val="center"/>
        <w:outlineLvl w:val="1"/>
        <w:rPr>
          <w:rFonts w:hint="eastAsia" w:ascii="黑体" w:hAnsi="黑体" w:eastAsia="黑体"/>
          <w:b/>
          <w:sz w:val="36"/>
          <w:szCs w:val="36"/>
        </w:rPr>
      </w:pPr>
      <w:bookmarkStart w:id="750" w:name="_Toc97580389"/>
      <w:bookmarkStart w:id="751" w:name="_Toc203147244"/>
      <w:bookmarkStart w:id="752" w:name="_Toc192748571"/>
      <w:bookmarkStart w:id="753" w:name="_Toc215313870"/>
      <w:bookmarkStart w:id="754" w:name="_Toc216365910"/>
      <w:bookmarkStart w:id="755" w:name="_Toc193792900"/>
      <w:bookmarkStart w:id="756" w:name="_Toc146736323"/>
      <w:r>
        <w:rPr>
          <w:rFonts w:hint="eastAsia" w:ascii="黑体" w:hAnsi="黑体" w:eastAsia="黑体"/>
          <w:b/>
          <w:sz w:val="36"/>
          <w:szCs w:val="36"/>
        </w:rPr>
        <w:t>第二部分 商务</w:t>
      </w:r>
      <w:bookmarkEnd w:id="750"/>
      <w:r>
        <w:rPr>
          <w:rFonts w:hint="eastAsia" w:ascii="黑体" w:hAnsi="黑体" w:eastAsia="黑体"/>
          <w:b/>
          <w:sz w:val="36"/>
          <w:szCs w:val="36"/>
        </w:rPr>
        <w:t>部分</w:t>
      </w:r>
      <w:bookmarkEnd w:id="751"/>
      <w:bookmarkEnd w:id="752"/>
      <w:bookmarkEnd w:id="753"/>
      <w:bookmarkEnd w:id="754"/>
      <w:bookmarkEnd w:id="755"/>
      <w:bookmarkEnd w:id="756"/>
    </w:p>
    <w:p w14:paraId="0283BC3B"/>
    <w:bookmarkEnd w:id="744"/>
    <w:bookmarkEnd w:id="745"/>
    <w:bookmarkEnd w:id="746"/>
    <w:bookmarkEnd w:id="747"/>
    <w:p w14:paraId="12D8DC15">
      <w:pPr>
        <w:widowControl/>
        <w:jc w:val="left"/>
      </w:pPr>
      <w:bookmarkStart w:id="757" w:name="_Toc88228338"/>
      <w:bookmarkStart w:id="758" w:name="_Toc90042125"/>
      <w:bookmarkStart w:id="759" w:name="_Toc90069652"/>
      <w:bookmarkStart w:id="760" w:name="_Toc79526142"/>
      <w:bookmarkStart w:id="761" w:name="_Toc431280104"/>
      <w:bookmarkStart w:id="762" w:name="_Toc82077270"/>
      <w:bookmarkStart w:id="763" w:name="_Toc85094982"/>
      <w:bookmarkStart w:id="764" w:name="_Toc97580390"/>
      <w:bookmarkStart w:id="765" w:name="_Toc432230669"/>
      <w:bookmarkStart w:id="766" w:name="_Toc431279940"/>
      <w:bookmarkStart w:id="767" w:name="_Toc85367761"/>
      <w:bookmarkStart w:id="768" w:name="_Toc78448067"/>
      <w:r>
        <w:rPr>
          <w:b/>
        </w:rPr>
        <w:br w:type="page"/>
      </w:r>
    </w:p>
    <w:p w14:paraId="247FD166">
      <w:pPr>
        <w:pStyle w:val="5"/>
      </w:pPr>
      <w:r>
        <w:rPr>
          <w:rFonts w:hint="eastAsia"/>
        </w:rPr>
        <w:t>一、投标人基本情况表</w:t>
      </w:r>
      <w:bookmarkEnd w:id="757"/>
      <w:bookmarkEnd w:id="758"/>
      <w:bookmarkEnd w:id="759"/>
      <w:bookmarkEnd w:id="760"/>
      <w:bookmarkEnd w:id="761"/>
      <w:bookmarkEnd w:id="762"/>
      <w:bookmarkEnd w:id="763"/>
      <w:bookmarkEnd w:id="764"/>
      <w:bookmarkEnd w:id="765"/>
      <w:bookmarkEnd w:id="766"/>
      <w:bookmarkEnd w:id="767"/>
      <w:bookmarkEnd w:id="768"/>
    </w:p>
    <w:tbl>
      <w:tblPr>
        <w:tblStyle w:val="49"/>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0"/>
        <w:gridCol w:w="1335"/>
        <w:gridCol w:w="697"/>
        <w:gridCol w:w="1520"/>
        <w:gridCol w:w="1306"/>
        <w:gridCol w:w="1824"/>
      </w:tblGrid>
      <w:tr w14:paraId="733E8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5690F046">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投标人名称</w:t>
            </w:r>
          </w:p>
        </w:tc>
        <w:tc>
          <w:tcPr>
            <w:tcW w:w="6682" w:type="dxa"/>
            <w:gridSpan w:val="5"/>
            <w:vAlign w:val="center"/>
          </w:tcPr>
          <w:p w14:paraId="115E8C71">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21FF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41603D81">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注册地址</w:t>
            </w:r>
          </w:p>
        </w:tc>
        <w:tc>
          <w:tcPr>
            <w:tcW w:w="3552" w:type="dxa"/>
            <w:gridSpan w:val="3"/>
            <w:vAlign w:val="center"/>
          </w:tcPr>
          <w:p w14:paraId="24246617">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1306" w:type="dxa"/>
            <w:vAlign w:val="center"/>
          </w:tcPr>
          <w:p w14:paraId="236D4D3C">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邮政编码</w:t>
            </w:r>
          </w:p>
        </w:tc>
        <w:tc>
          <w:tcPr>
            <w:tcW w:w="1824" w:type="dxa"/>
            <w:vAlign w:val="center"/>
          </w:tcPr>
          <w:p w14:paraId="3338B836">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6C85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Merge w:val="restart"/>
            <w:vAlign w:val="center"/>
          </w:tcPr>
          <w:p w14:paraId="6A6ADB7F">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联系方式</w:t>
            </w:r>
          </w:p>
        </w:tc>
        <w:tc>
          <w:tcPr>
            <w:tcW w:w="1335" w:type="dxa"/>
            <w:vAlign w:val="center"/>
          </w:tcPr>
          <w:p w14:paraId="207384AF">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联系人</w:t>
            </w:r>
          </w:p>
        </w:tc>
        <w:tc>
          <w:tcPr>
            <w:tcW w:w="2217" w:type="dxa"/>
            <w:gridSpan w:val="2"/>
            <w:vAlign w:val="center"/>
          </w:tcPr>
          <w:p w14:paraId="0AB5F67C">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1306" w:type="dxa"/>
            <w:vAlign w:val="center"/>
          </w:tcPr>
          <w:p w14:paraId="01BD9C69">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电 话</w:t>
            </w:r>
          </w:p>
        </w:tc>
        <w:tc>
          <w:tcPr>
            <w:tcW w:w="1824" w:type="dxa"/>
            <w:vAlign w:val="center"/>
          </w:tcPr>
          <w:p w14:paraId="622625CF">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267EB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Merge w:val="continue"/>
            <w:vAlign w:val="center"/>
          </w:tcPr>
          <w:p w14:paraId="542DF7D9">
            <w:pPr>
              <w:autoSpaceDE w:val="0"/>
              <w:autoSpaceDN w:val="0"/>
              <w:adjustRightInd w:val="0"/>
              <w:spacing w:line="360" w:lineRule="exact"/>
              <w:jc w:val="center"/>
              <w:rPr>
                <w:rFonts w:hint="eastAsia" w:cs="宋体" w:asciiTheme="minorEastAsia" w:hAnsiTheme="minorEastAsia" w:eastAsiaTheme="minorEastAsia"/>
                <w:kern w:val="0"/>
                <w:sz w:val="21"/>
                <w:szCs w:val="21"/>
              </w:rPr>
            </w:pPr>
          </w:p>
        </w:tc>
        <w:tc>
          <w:tcPr>
            <w:tcW w:w="1335" w:type="dxa"/>
            <w:vAlign w:val="center"/>
          </w:tcPr>
          <w:p w14:paraId="028A1195">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传 真</w:t>
            </w:r>
          </w:p>
        </w:tc>
        <w:tc>
          <w:tcPr>
            <w:tcW w:w="2217" w:type="dxa"/>
            <w:gridSpan w:val="2"/>
            <w:vAlign w:val="center"/>
          </w:tcPr>
          <w:p w14:paraId="05D13B21">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1306" w:type="dxa"/>
            <w:vAlign w:val="center"/>
          </w:tcPr>
          <w:p w14:paraId="46D604BB">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网 址</w:t>
            </w:r>
          </w:p>
        </w:tc>
        <w:tc>
          <w:tcPr>
            <w:tcW w:w="1824" w:type="dxa"/>
            <w:vAlign w:val="center"/>
          </w:tcPr>
          <w:p w14:paraId="1B805D0F">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425F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667AEA96">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法定代表人</w:t>
            </w:r>
          </w:p>
        </w:tc>
        <w:tc>
          <w:tcPr>
            <w:tcW w:w="1335" w:type="dxa"/>
            <w:vAlign w:val="center"/>
          </w:tcPr>
          <w:p w14:paraId="148675E1">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姓名</w:t>
            </w:r>
          </w:p>
        </w:tc>
        <w:tc>
          <w:tcPr>
            <w:tcW w:w="2217" w:type="dxa"/>
            <w:gridSpan w:val="2"/>
            <w:vAlign w:val="center"/>
          </w:tcPr>
          <w:p w14:paraId="0564F61C">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1306" w:type="dxa"/>
            <w:vAlign w:val="center"/>
          </w:tcPr>
          <w:p w14:paraId="0D423A96">
            <w:pPr>
              <w:autoSpaceDE w:val="0"/>
              <w:autoSpaceDN w:val="0"/>
              <w:adjustRightInd w:val="0"/>
              <w:spacing w:line="360" w:lineRule="exact"/>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电话</w:t>
            </w:r>
          </w:p>
        </w:tc>
        <w:tc>
          <w:tcPr>
            <w:tcW w:w="1824" w:type="dxa"/>
            <w:vAlign w:val="center"/>
          </w:tcPr>
          <w:p w14:paraId="40CE38A0">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0EB1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5812554E">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成立时间</w:t>
            </w:r>
          </w:p>
        </w:tc>
        <w:tc>
          <w:tcPr>
            <w:tcW w:w="2032" w:type="dxa"/>
            <w:gridSpan w:val="2"/>
            <w:vAlign w:val="center"/>
          </w:tcPr>
          <w:p w14:paraId="525F8792">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c>
          <w:tcPr>
            <w:tcW w:w="4650" w:type="dxa"/>
            <w:gridSpan w:val="3"/>
            <w:vAlign w:val="center"/>
          </w:tcPr>
          <w:p w14:paraId="35E0DE02">
            <w:pPr>
              <w:autoSpaceDE w:val="0"/>
              <w:autoSpaceDN w:val="0"/>
              <w:adjustRightInd w:val="0"/>
              <w:spacing w:line="360" w:lineRule="exact"/>
              <w:ind w:firstLine="840" w:firstLineChars="400"/>
              <w:jc w:val="left"/>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员工总人数：</w:t>
            </w:r>
          </w:p>
        </w:tc>
      </w:tr>
      <w:tr w14:paraId="27624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51D73854">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营业执照号</w:t>
            </w:r>
          </w:p>
        </w:tc>
        <w:tc>
          <w:tcPr>
            <w:tcW w:w="6682" w:type="dxa"/>
            <w:gridSpan w:val="5"/>
            <w:vAlign w:val="center"/>
          </w:tcPr>
          <w:p w14:paraId="4898C249">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05A85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00528A2F">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注册资金</w:t>
            </w:r>
          </w:p>
        </w:tc>
        <w:tc>
          <w:tcPr>
            <w:tcW w:w="6682" w:type="dxa"/>
            <w:gridSpan w:val="5"/>
            <w:vAlign w:val="center"/>
          </w:tcPr>
          <w:p w14:paraId="798BDCF3">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29A66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266F2838">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开户银行</w:t>
            </w:r>
          </w:p>
        </w:tc>
        <w:tc>
          <w:tcPr>
            <w:tcW w:w="6682" w:type="dxa"/>
            <w:gridSpan w:val="5"/>
            <w:vAlign w:val="center"/>
          </w:tcPr>
          <w:p w14:paraId="1166A3CB">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11F6D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60" w:type="dxa"/>
            <w:vAlign w:val="center"/>
          </w:tcPr>
          <w:p w14:paraId="6FA7FEF6">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账号</w:t>
            </w:r>
          </w:p>
        </w:tc>
        <w:tc>
          <w:tcPr>
            <w:tcW w:w="6682" w:type="dxa"/>
            <w:gridSpan w:val="5"/>
            <w:vAlign w:val="center"/>
          </w:tcPr>
          <w:p w14:paraId="1AED0573">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0B383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8" w:hRule="atLeast"/>
        </w:trPr>
        <w:tc>
          <w:tcPr>
            <w:tcW w:w="1960" w:type="dxa"/>
            <w:vAlign w:val="center"/>
          </w:tcPr>
          <w:p w14:paraId="46A6DC55">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经营范围</w:t>
            </w:r>
          </w:p>
        </w:tc>
        <w:tc>
          <w:tcPr>
            <w:tcW w:w="6682" w:type="dxa"/>
            <w:gridSpan w:val="5"/>
            <w:vAlign w:val="center"/>
          </w:tcPr>
          <w:p w14:paraId="0A5F75D5">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r w14:paraId="04D5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1960" w:type="dxa"/>
            <w:vAlign w:val="center"/>
          </w:tcPr>
          <w:p w14:paraId="064CE227">
            <w:pPr>
              <w:autoSpaceDE w:val="0"/>
              <w:autoSpaceDN w:val="0"/>
              <w:adjustRightInd w:val="0"/>
              <w:spacing w:line="360" w:lineRule="exact"/>
              <w:jc w:val="center"/>
              <w:rPr>
                <w:rFonts w:hint="eastAsia"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备注</w:t>
            </w:r>
          </w:p>
        </w:tc>
        <w:tc>
          <w:tcPr>
            <w:tcW w:w="6682" w:type="dxa"/>
            <w:gridSpan w:val="5"/>
            <w:vAlign w:val="center"/>
          </w:tcPr>
          <w:p w14:paraId="4E8CA651">
            <w:pPr>
              <w:autoSpaceDE w:val="0"/>
              <w:autoSpaceDN w:val="0"/>
              <w:adjustRightInd w:val="0"/>
              <w:spacing w:line="360" w:lineRule="exact"/>
              <w:jc w:val="left"/>
              <w:rPr>
                <w:rFonts w:hint="eastAsia" w:cs="宋体" w:asciiTheme="minorEastAsia" w:hAnsiTheme="minorEastAsia" w:eastAsiaTheme="minorEastAsia"/>
                <w:kern w:val="0"/>
                <w:sz w:val="21"/>
                <w:szCs w:val="21"/>
              </w:rPr>
            </w:pPr>
          </w:p>
        </w:tc>
      </w:tr>
    </w:tbl>
    <w:p w14:paraId="08222572">
      <w:pPr>
        <w:spacing w:line="360" w:lineRule="auto"/>
        <w:jc w:val="center"/>
        <w:rPr>
          <w:rFonts w:hint="eastAsia" w:asciiTheme="minorEastAsia" w:hAnsiTheme="minorEastAsia" w:eastAsiaTheme="minorEastAsia"/>
          <w:b/>
        </w:rPr>
      </w:pPr>
    </w:p>
    <w:p w14:paraId="210331A6">
      <w:pPr>
        <w:widowControl/>
        <w:jc w:val="left"/>
        <w:rPr>
          <w:rFonts w:hint="eastAsia" w:asciiTheme="minorEastAsia" w:hAnsiTheme="minorEastAsia" w:eastAsiaTheme="minorEastAsia"/>
          <w:b/>
        </w:rPr>
      </w:pPr>
      <w:r>
        <w:rPr>
          <w:rFonts w:hint="eastAsia" w:asciiTheme="minorEastAsia" w:hAnsiTheme="minorEastAsia" w:eastAsiaTheme="minorEastAsia"/>
          <w:b/>
        </w:rPr>
        <w:br w:type="page"/>
      </w:r>
    </w:p>
    <w:p w14:paraId="12947FBB">
      <w:pPr>
        <w:pStyle w:val="5"/>
      </w:pPr>
      <w:r>
        <w:rPr>
          <w:rFonts w:hint="eastAsia"/>
        </w:rPr>
        <w:t>二、类似业绩</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972"/>
        <w:gridCol w:w="1494"/>
        <w:gridCol w:w="1635"/>
        <w:gridCol w:w="2143"/>
      </w:tblGrid>
      <w:tr w14:paraId="319B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65F4D4EA">
            <w:pPr>
              <w:widowControl/>
              <w:jc w:val="center"/>
              <w:rPr>
                <w:rFonts w:hint="eastAsia" w:ascii="宋体" w:hAnsi="宋体"/>
                <w:bCs/>
                <w:kern w:val="0"/>
                <w:sz w:val="21"/>
                <w:szCs w:val="21"/>
              </w:rPr>
            </w:pPr>
            <w:r>
              <w:rPr>
                <w:rFonts w:hint="eastAsia" w:ascii="宋体" w:hAnsi="宋体"/>
                <w:bCs/>
                <w:kern w:val="0"/>
                <w:sz w:val="21"/>
                <w:szCs w:val="21"/>
              </w:rPr>
              <w:t>序号</w:t>
            </w:r>
          </w:p>
        </w:tc>
        <w:tc>
          <w:tcPr>
            <w:tcW w:w="1972" w:type="dxa"/>
            <w:tcBorders>
              <w:top w:val="single" w:color="auto" w:sz="4" w:space="0"/>
              <w:left w:val="single" w:color="auto" w:sz="4" w:space="0"/>
              <w:bottom w:val="single" w:color="auto" w:sz="4" w:space="0"/>
              <w:right w:val="single" w:color="auto" w:sz="4" w:space="0"/>
            </w:tcBorders>
            <w:vAlign w:val="center"/>
          </w:tcPr>
          <w:p w14:paraId="7C9906BF">
            <w:pPr>
              <w:widowControl/>
              <w:jc w:val="center"/>
              <w:rPr>
                <w:rFonts w:hint="eastAsia" w:ascii="宋体" w:hAnsi="宋体"/>
                <w:bCs/>
                <w:kern w:val="0"/>
                <w:sz w:val="21"/>
                <w:szCs w:val="21"/>
              </w:rPr>
            </w:pPr>
            <w:r>
              <w:rPr>
                <w:rFonts w:hint="eastAsia" w:ascii="宋体" w:hAnsi="宋体"/>
                <w:bCs/>
                <w:kern w:val="0"/>
                <w:sz w:val="21"/>
                <w:szCs w:val="21"/>
              </w:rPr>
              <w:t>项目名称</w:t>
            </w:r>
          </w:p>
        </w:tc>
        <w:tc>
          <w:tcPr>
            <w:tcW w:w="1494" w:type="dxa"/>
            <w:tcBorders>
              <w:top w:val="single" w:color="auto" w:sz="4" w:space="0"/>
              <w:left w:val="single" w:color="auto" w:sz="4" w:space="0"/>
              <w:bottom w:val="single" w:color="auto" w:sz="4" w:space="0"/>
              <w:right w:val="single" w:color="auto" w:sz="4" w:space="0"/>
            </w:tcBorders>
            <w:vAlign w:val="center"/>
          </w:tcPr>
          <w:p w14:paraId="15A4C340">
            <w:pPr>
              <w:widowControl/>
              <w:jc w:val="center"/>
              <w:rPr>
                <w:rFonts w:hint="eastAsia" w:ascii="宋体" w:hAnsi="宋体"/>
                <w:bCs/>
                <w:kern w:val="0"/>
                <w:sz w:val="21"/>
                <w:szCs w:val="21"/>
              </w:rPr>
            </w:pPr>
            <w:r>
              <w:rPr>
                <w:rFonts w:hint="eastAsia" w:ascii="宋体" w:hAnsi="宋体"/>
                <w:bCs/>
                <w:kern w:val="0"/>
                <w:sz w:val="21"/>
                <w:szCs w:val="21"/>
              </w:rPr>
              <w:t>委托单位名称</w:t>
            </w:r>
          </w:p>
        </w:tc>
        <w:tc>
          <w:tcPr>
            <w:tcW w:w="1635" w:type="dxa"/>
            <w:tcBorders>
              <w:top w:val="single" w:color="auto" w:sz="4" w:space="0"/>
              <w:left w:val="single" w:color="auto" w:sz="4" w:space="0"/>
              <w:bottom w:val="single" w:color="auto" w:sz="4" w:space="0"/>
              <w:right w:val="single" w:color="auto" w:sz="4" w:space="0"/>
            </w:tcBorders>
            <w:vAlign w:val="center"/>
          </w:tcPr>
          <w:p w14:paraId="6CE33D72">
            <w:pPr>
              <w:widowControl/>
              <w:jc w:val="center"/>
              <w:rPr>
                <w:rFonts w:hint="eastAsia" w:ascii="宋体" w:hAnsi="宋体"/>
                <w:bCs/>
                <w:kern w:val="0"/>
                <w:sz w:val="21"/>
                <w:szCs w:val="21"/>
              </w:rPr>
            </w:pPr>
            <w:r>
              <w:rPr>
                <w:rFonts w:hint="eastAsia" w:ascii="宋体" w:hAnsi="宋体"/>
                <w:bCs/>
                <w:kern w:val="0"/>
                <w:sz w:val="21"/>
                <w:szCs w:val="21"/>
              </w:rPr>
              <w:t>交货期</w:t>
            </w:r>
          </w:p>
        </w:tc>
        <w:tc>
          <w:tcPr>
            <w:tcW w:w="2143" w:type="dxa"/>
            <w:tcBorders>
              <w:top w:val="single" w:color="auto" w:sz="4" w:space="0"/>
              <w:left w:val="single" w:color="auto" w:sz="4" w:space="0"/>
              <w:bottom w:val="single" w:color="auto" w:sz="4" w:space="0"/>
              <w:right w:val="single" w:color="auto" w:sz="4" w:space="0"/>
            </w:tcBorders>
            <w:vAlign w:val="center"/>
          </w:tcPr>
          <w:p w14:paraId="64B93E64">
            <w:pPr>
              <w:widowControl/>
              <w:jc w:val="center"/>
              <w:rPr>
                <w:rFonts w:hint="eastAsia" w:ascii="宋体" w:hAnsi="宋体"/>
                <w:bCs/>
                <w:kern w:val="0"/>
                <w:sz w:val="21"/>
                <w:szCs w:val="21"/>
              </w:rPr>
            </w:pPr>
            <w:r>
              <w:rPr>
                <w:rFonts w:hint="eastAsia" w:ascii="宋体" w:hAnsi="宋体"/>
                <w:bCs/>
                <w:kern w:val="0"/>
                <w:sz w:val="21"/>
                <w:szCs w:val="21"/>
              </w:rPr>
              <w:t>委托单位联系人及电话</w:t>
            </w:r>
          </w:p>
        </w:tc>
      </w:tr>
      <w:tr w14:paraId="04FD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31901F42">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010BF415">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429F7995">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7B082C8E">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03A250AE">
            <w:pPr>
              <w:widowControl/>
              <w:jc w:val="left"/>
              <w:rPr>
                <w:rFonts w:hint="eastAsia" w:ascii="宋体" w:hAnsi="宋体"/>
                <w:b/>
                <w:kern w:val="0"/>
                <w:sz w:val="21"/>
                <w:szCs w:val="21"/>
              </w:rPr>
            </w:pPr>
          </w:p>
        </w:tc>
      </w:tr>
      <w:tr w14:paraId="61C80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194FED8B">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2A58AB50">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26B0F049">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6CFEDA49">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08092473">
            <w:pPr>
              <w:widowControl/>
              <w:jc w:val="left"/>
              <w:rPr>
                <w:rFonts w:hint="eastAsia" w:ascii="宋体" w:hAnsi="宋体"/>
                <w:b/>
                <w:kern w:val="0"/>
                <w:sz w:val="21"/>
                <w:szCs w:val="21"/>
              </w:rPr>
            </w:pPr>
          </w:p>
        </w:tc>
      </w:tr>
      <w:tr w14:paraId="0679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5103A85B">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145E79A9">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076E10A1">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2480A7DD">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76B485AD">
            <w:pPr>
              <w:widowControl/>
              <w:jc w:val="left"/>
              <w:rPr>
                <w:rFonts w:hint="eastAsia" w:ascii="宋体" w:hAnsi="宋体"/>
                <w:b/>
                <w:kern w:val="0"/>
                <w:sz w:val="21"/>
                <w:szCs w:val="21"/>
              </w:rPr>
            </w:pPr>
          </w:p>
        </w:tc>
      </w:tr>
      <w:tr w14:paraId="1273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70DEB20A">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2A612B69">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6CCB25B2">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4872139A">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5B66D130">
            <w:pPr>
              <w:widowControl/>
              <w:jc w:val="left"/>
              <w:rPr>
                <w:rFonts w:hint="eastAsia" w:ascii="宋体" w:hAnsi="宋体"/>
                <w:b/>
                <w:kern w:val="0"/>
                <w:sz w:val="21"/>
                <w:szCs w:val="21"/>
              </w:rPr>
            </w:pPr>
          </w:p>
        </w:tc>
      </w:tr>
      <w:tr w14:paraId="17993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066D28F1">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24C861CC">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365C8416">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16440395">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4A4A1876">
            <w:pPr>
              <w:widowControl/>
              <w:jc w:val="left"/>
              <w:rPr>
                <w:rFonts w:hint="eastAsia" w:ascii="宋体" w:hAnsi="宋体"/>
                <w:b/>
                <w:kern w:val="0"/>
                <w:sz w:val="21"/>
                <w:szCs w:val="21"/>
              </w:rPr>
            </w:pPr>
          </w:p>
        </w:tc>
      </w:tr>
      <w:tr w14:paraId="6D89C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6CB61889">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20D83C01">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2282AC23">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0A126FEB">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005C3C81">
            <w:pPr>
              <w:widowControl/>
              <w:jc w:val="left"/>
              <w:rPr>
                <w:rFonts w:hint="eastAsia" w:ascii="宋体" w:hAnsi="宋体"/>
                <w:b/>
                <w:kern w:val="0"/>
                <w:sz w:val="21"/>
                <w:szCs w:val="21"/>
              </w:rPr>
            </w:pPr>
          </w:p>
        </w:tc>
      </w:tr>
      <w:tr w14:paraId="3E3F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58DDDF39">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52C963A6">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1300BE42">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1E8FB37C">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09E556CB">
            <w:pPr>
              <w:widowControl/>
              <w:jc w:val="left"/>
              <w:rPr>
                <w:rFonts w:hint="eastAsia" w:ascii="宋体" w:hAnsi="宋体"/>
                <w:b/>
                <w:kern w:val="0"/>
                <w:sz w:val="21"/>
                <w:szCs w:val="21"/>
              </w:rPr>
            </w:pPr>
          </w:p>
        </w:tc>
      </w:tr>
      <w:tr w14:paraId="173A9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223E0A7B">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4124DCE3">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3E3ABFE4">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6EE055FB">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2F4F7B51">
            <w:pPr>
              <w:widowControl/>
              <w:jc w:val="left"/>
              <w:rPr>
                <w:rFonts w:hint="eastAsia" w:ascii="宋体" w:hAnsi="宋体"/>
                <w:b/>
                <w:kern w:val="0"/>
                <w:sz w:val="21"/>
                <w:szCs w:val="21"/>
              </w:rPr>
            </w:pPr>
          </w:p>
        </w:tc>
      </w:tr>
      <w:tr w14:paraId="440F5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3D29A9D4">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02650701">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78CA74CC">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09EFA23D">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492FA665">
            <w:pPr>
              <w:widowControl/>
              <w:jc w:val="left"/>
              <w:rPr>
                <w:rFonts w:hint="eastAsia" w:ascii="宋体" w:hAnsi="宋体"/>
                <w:b/>
                <w:kern w:val="0"/>
                <w:sz w:val="21"/>
                <w:szCs w:val="21"/>
              </w:rPr>
            </w:pPr>
          </w:p>
        </w:tc>
      </w:tr>
      <w:tr w14:paraId="03FB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1CC75142">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25850D5F">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7C5EB86B">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58D5E8F1">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215639FF">
            <w:pPr>
              <w:widowControl/>
              <w:jc w:val="left"/>
              <w:rPr>
                <w:rFonts w:hint="eastAsia" w:ascii="宋体" w:hAnsi="宋体"/>
                <w:b/>
                <w:kern w:val="0"/>
                <w:sz w:val="21"/>
                <w:szCs w:val="21"/>
              </w:rPr>
            </w:pPr>
          </w:p>
        </w:tc>
      </w:tr>
      <w:tr w14:paraId="4D2A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6B275E42">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605809F4">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2C82B8C6">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2DF74352">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01DE6DE5">
            <w:pPr>
              <w:widowControl/>
              <w:jc w:val="left"/>
              <w:rPr>
                <w:rFonts w:hint="eastAsia" w:ascii="宋体" w:hAnsi="宋体"/>
                <w:b/>
                <w:kern w:val="0"/>
                <w:sz w:val="21"/>
                <w:szCs w:val="21"/>
              </w:rPr>
            </w:pPr>
          </w:p>
        </w:tc>
      </w:tr>
      <w:tr w14:paraId="604D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766860DF">
            <w:pPr>
              <w:widowControl/>
              <w:jc w:val="left"/>
              <w:rPr>
                <w:rFonts w:hint="eastAsia" w:ascii="宋体" w:hAnsi="宋体"/>
                <w:b/>
                <w:kern w:val="0"/>
                <w:sz w:val="21"/>
                <w:szCs w:val="21"/>
              </w:rPr>
            </w:pPr>
          </w:p>
        </w:tc>
        <w:tc>
          <w:tcPr>
            <w:tcW w:w="1972" w:type="dxa"/>
            <w:tcBorders>
              <w:top w:val="single" w:color="auto" w:sz="4" w:space="0"/>
              <w:left w:val="single" w:color="auto" w:sz="4" w:space="0"/>
              <w:bottom w:val="single" w:color="auto" w:sz="4" w:space="0"/>
              <w:right w:val="single" w:color="auto" w:sz="4" w:space="0"/>
            </w:tcBorders>
            <w:vAlign w:val="center"/>
          </w:tcPr>
          <w:p w14:paraId="1D593D48">
            <w:pPr>
              <w:widowControl/>
              <w:jc w:val="left"/>
              <w:rPr>
                <w:rFonts w:hint="eastAsia" w:ascii="宋体" w:hAnsi="宋体"/>
                <w:b/>
                <w:kern w:val="0"/>
                <w:sz w:val="21"/>
                <w:szCs w:val="21"/>
              </w:rPr>
            </w:pPr>
          </w:p>
        </w:tc>
        <w:tc>
          <w:tcPr>
            <w:tcW w:w="1494" w:type="dxa"/>
            <w:tcBorders>
              <w:top w:val="single" w:color="auto" w:sz="4" w:space="0"/>
              <w:left w:val="single" w:color="auto" w:sz="4" w:space="0"/>
              <w:bottom w:val="single" w:color="auto" w:sz="4" w:space="0"/>
              <w:right w:val="single" w:color="auto" w:sz="4" w:space="0"/>
            </w:tcBorders>
            <w:vAlign w:val="center"/>
          </w:tcPr>
          <w:p w14:paraId="0390A6C9">
            <w:pPr>
              <w:widowControl/>
              <w:jc w:val="left"/>
              <w:rPr>
                <w:rFonts w:hint="eastAsia" w:ascii="宋体" w:hAnsi="宋体"/>
                <w:b/>
                <w:kern w:val="0"/>
                <w:sz w:val="21"/>
                <w:szCs w:val="21"/>
              </w:rPr>
            </w:pPr>
          </w:p>
        </w:tc>
        <w:tc>
          <w:tcPr>
            <w:tcW w:w="1635" w:type="dxa"/>
            <w:tcBorders>
              <w:top w:val="single" w:color="auto" w:sz="4" w:space="0"/>
              <w:left w:val="single" w:color="auto" w:sz="4" w:space="0"/>
              <w:bottom w:val="single" w:color="auto" w:sz="4" w:space="0"/>
              <w:right w:val="single" w:color="auto" w:sz="4" w:space="0"/>
            </w:tcBorders>
            <w:vAlign w:val="center"/>
          </w:tcPr>
          <w:p w14:paraId="5F5B2643">
            <w:pPr>
              <w:widowControl/>
              <w:jc w:val="left"/>
              <w:rPr>
                <w:rFonts w:hint="eastAsia" w:ascii="宋体" w:hAnsi="宋体"/>
                <w:b/>
                <w:kern w:val="0"/>
                <w:sz w:val="21"/>
                <w:szCs w:val="21"/>
              </w:rPr>
            </w:pPr>
          </w:p>
        </w:tc>
        <w:tc>
          <w:tcPr>
            <w:tcW w:w="2143" w:type="dxa"/>
            <w:tcBorders>
              <w:top w:val="single" w:color="auto" w:sz="4" w:space="0"/>
              <w:left w:val="single" w:color="auto" w:sz="4" w:space="0"/>
              <w:bottom w:val="single" w:color="auto" w:sz="4" w:space="0"/>
              <w:right w:val="single" w:color="auto" w:sz="4" w:space="0"/>
            </w:tcBorders>
            <w:vAlign w:val="center"/>
          </w:tcPr>
          <w:p w14:paraId="46D7CFDA">
            <w:pPr>
              <w:widowControl/>
              <w:jc w:val="left"/>
              <w:rPr>
                <w:rFonts w:hint="eastAsia" w:ascii="宋体" w:hAnsi="宋体"/>
                <w:b/>
                <w:kern w:val="0"/>
                <w:sz w:val="21"/>
                <w:szCs w:val="21"/>
              </w:rPr>
            </w:pPr>
          </w:p>
        </w:tc>
      </w:tr>
    </w:tbl>
    <w:p w14:paraId="1EF935B2">
      <w:pPr>
        <w:jc w:val="left"/>
      </w:pPr>
      <w:r>
        <w:rPr>
          <w:rFonts w:hint="eastAsia" w:ascii="宋体" w:hAnsi="宋体"/>
          <w:bCs/>
          <w:kern w:val="0"/>
          <w:sz w:val="21"/>
          <w:szCs w:val="21"/>
        </w:rPr>
        <w:t>注：证明材料附表后。</w:t>
      </w:r>
    </w:p>
    <w:p w14:paraId="598DB6CB">
      <w:pPr>
        <w:widowControl/>
        <w:jc w:val="left"/>
        <w:rPr>
          <w:rFonts w:hint="eastAsia" w:asciiTheme="minorEastAsia" w:hAnsiTheme="minorEastAsia" w:eastAsiaTheme="minorEastAsia"/>
          <w:b/>
        </w:rPr>
      </w:pPr>
      <w:r>
        <w:rPr>
          <w:rFonts w:asciiTheme="minorEastAsia" w:hAnsiTheme="minorEastAsia" w:eastAsiaTheme="minorEastAsia"/>
          <w:b/>
        </w:rPr>
        <w:br w:type="page"/>
      </w:r>
      <w:bookmarkEnd w:id="748"/>
      <w:bookmarkEnd w:id="749"/>
    </w:p>
    <w:p w14:paraId="2CAA6E60">
      <w:pPr>
        <w:pStyle w:val="5"/>
        <w:jc w:val="center"/>
      </w:pPr>
      <w:r>
        <w:rPr>
          <w:rFonts w:hint="eastAsia"/>
        </w:rPr>
        <w:t>三、售后服务</w:t>
      </w:r>
    </w:p>
    <w:p w14:paraId="75A80BE6">
      <w:pPr>
        <w:spacing w:line="560" w:lineRule="exact"/>
        <w:jc w:val="center"/>
        <w:rPr>
          <w:rFonts w:hint="eastAsia" w:ascii="宋体" w:hAnsi="宋体"/>
        </w:rPr>
      </w:pPr>
      <w:r>
        <w:rPr>
          <w:rFonts w:hint="eastAsia" w:ascii="宋体" w:hAnsi="宋体"/>
        </w:rPr>
        <w:t>由投标人根据采购需求、评审标准，结合自身情况自行编写。</w:t>
      </w:r>
    </w:p>
    <w:p w14:paraId="4ADD7ABA">
      <w:pPr>
        <w:widowControl/>
        <w:jc w:val="left"/>
        <w:rPr>
          <w:rFonts w:hint="eastAsia" w:ascii="宋体" w:hAnsi="宋体"/>
          <w:bCs/>
          <w:kern w:val="0"/>
          <w:sz w:val="21"/>
          <w:szCs w:val="21"/>
        </w:rPr>
      </w:pPr>
    </w:p>
    <w:p w14:paraId="2DBA1B4C">
      <w:pPr>
        <w:widowControl/>
        <w:jc w:val="left"/>
        <w:rPr>
          <w:rFonts w:ascii="Arial" w:hAnsi="Arial" w:eastAsia="黑体"/>
          <w:b/>
          <w:kern w:val="0"/>
          <w:sz w:val="32"/>
          <w:szCs w:val="20"/>
        </w:rPr>
      </w:pPr>
      <w:r>
        <w:br w:type="page"/>
      </w:r>
    </w:p>
    <w:p w14:paraId="57B5F166">
      <w:pPr>
        <w:spacing w:line="560" w:lineRule="exact"/>
        <w:jc w:val="left"/>
        <w:rPr>
          <w:rFonts w:hint="eastAsia" w:ascii="宋体" w:hAnsi="宋体"/>
        </w:rPr>
      </w:pPr>
    </w:p>
    <w:p w14:paraId="79FAB822">
      <w:pPr>
        <w:spacing w:line="560" w:lineRule="exact"/>
        <w:jc w:val="left"/>
        <w:rPr>
          <w:rFonts w:hint="eastAsia" w:ascii="宋体" w:hAnsi="宋体"/>
        </w:rPr>
      </w:pPr>
    </w:p>
    <w:p w14:paraId="2276E7A4">
      <w:pPr>
        <w:spacing w:line="560" w:lineRule="exact"/>
        <w:jc w:val="left"/>
        <w:rPr>
          <w:rFonts w:hint="eastAsia" w:ascii="宋体" w:hAnsi="宋体"/>
        </w:rPr>
      </w:pPr>
    </w:p>
    <w:p w14:paraId="46A138A6">
      <w:pPr>
        <w:spacing w:line="560" w:lineRule="exact"/>
        <w:jc w:val="left"/>
        <w:rPr>
          <w:rFonts w:hint="eastAsia" w:ascii="宋体" w:hAnsi="宋体"/>
        </w:rPr>
      </w:pPr>
    </w:p>
    <w:p w14:paraId="32070961">
      <w:pPr>
        <w:spacing w:line="560" w:lineRule="exact"/>
        <w:jc w:val="left"/>
        <w:rPr>
          <w:rFonts w:hint="eastAsia" w:ascii="宋体" w:hAnsi="宋体"/>
        </w:rPr>
      </w:pPr>
    </w:p>
    <w:p w14:paraId="52FF963E">
      <w:pPr>
        <w:spacing w:line="560" w:lineRule="exact"/>
        <w:jc w:val="left"/>
        <w:rPr>
          <w:rFonts w:hint="eastAsia" w:ascii="宋体" w:hAnsi="宋体"/>
        </w:rPr>
      </w:pPr>
    </w:p>
    <w:p w14:paraId="3233B7B8">
      <w:pPr>
        <w:spacing w:line="560" w:lineRule="exact"/>
        <w:jc w:val="left"/>
        <w:rPr>
          <w:rFonts w:hint="eastAsia" w:ascii="宋体" w:hAnsi="宋体"/>
        </w:rPr>
      </w:pPr>
    </w:p>
    <w:p w14:paraId="051BD69A">
      <w:pPr>
        <w:spacing w:line="560" w:lineRule="exact"/>
        <w:jc w:val="left"/>
        <w:rPr>
          <w:rFonts w:hint="eastAsia" w:ascii="宋体" w:hAnsi="宋体"/>
        </w:rPr>
      </w:pPr>
    </w:p>
    <w:p w14:paraId="180493BC">
      <w:pPr>
        <w:spacing w:line="560" w:lineRule="exact"/>
        <w:jc w:val="left"/>
        <w:rPr>
          <w:rFonts w:hint="eastAsia" w:ascii="宋体" w:hAnsi="宋体"/>
        </w:rPr>
      </w:pPr>
    </w:p>
    <w:p w14:paraId="02A45936">
      <w:pPr>
        <w:spacing w:line="360" w:lineRule="auto"/>
        <w:jc w:val="center"/>
        <w:rPr>
          <w:rFonts w:hint="eastAsia" w:ascii="宋体" w:hAnsi="宋体"/>
        </w:rPr>
      </w:pPr>
    </w:p>
    <w:p w14:paraId="75FF0BC9">
      <w:pPr>
        <w:spacing w:line="360" w:lineRule="auto"/>
        <w:jc w:val="center"/>
        <w:outlineLvl w:val="1"/>
        <w:rPr>
          <w:rFonts w:hint="eastAsia" w:ascii="黑体" w:hAnsi="黑体" w:eastAsia="黑体"/>
          <w:b/>
          <w:sz w:val="36"/>
          <w:szCs w:val="36"/>
        </w:rPr>
      </w:pPr>
      <w:bookmarkStart w:id="769" w:name="_Toc97580393"/>
      <w:bookmarkStart w:id="770" w:name="_Toc193792901"/>
      <w:bookmarkStart w:id="771" w:name="_Toc192748572"/>
      <w:bookmarkStart w:id="772" w:name="_Toc216365911"/>
      <w:bookmarkStart w:id="773" w:name="_Toc215313871"/>
      <w:bookmarkStart w:id="774" w:name="_Toc203147245"/>
      <w:bookmarkStart w:id="775" w:name="_Toc146736324"/>
      <w:r>
        <w:rPr>
          <w:rFonts w:hint="eastAsia" w:ascii="黑体" w:hAnsi="黑体" w:eastAsia="黑体"/>
          <w:b/>
          <w:sz w:val="36"/>
          <w:szCs w:val="36"/>
        </w:rPr>
        <w:t>第三部分 技术</w:t>
      </w:r>
      <w:bookmarkEnd w:id="769"/>
      <w:r>
        <w:rPr>
          <w:rFonts w:hint="eastAsia" w:ascii="黑体" w:hAnsi="黑体" w:eastAsia="黑体"/>
          <w:b/>
          <w:sz w:val="36"/>
          <w:szCs w:val="36"/>
        </w:rPr>
        <w:t>部分</w:t>
      </w:r>
      <w:bookmarkEnd w:id="770"/>
      <w:bookmarkEnd w:id="771"/>
      <w:bookmarkEnd w:id="772"/>
      <w:bookmarkEnd w:id="773"/>
      <w:bookmarkEnd w:id="774"/>
      <w:bookmarkEnd w:id="775"/>
    </w:p>
    <w:p w14:paraId="54740D70">
      <w:pPr>
        <w:spacing w:line="560" w:lineRule="exact"/>
        <w:jc w:val="left"/>
        <w:rPr>
          <w:rFonts w:hint="eastAsia" w:ascii="宋体" w:hAnsi="宋体"/>
        </w:rPr>
      </w:pPr>
    </w:p>
    <w:p w14:paraId="0334765B">
      <w:pPr>
        <w:widowControl/>
        <w:jc w:val="left"/>
        <w:rPr>
          <w:rFonts w:hint="eastAsia" w:ascii="宋体" w:hAnsi="宋体"/>
        </w:rPr>
      </w:pPr>
      <w:r>
        <w:rPr>
          <w:rFonts w:ascii="宋体" w:hAnsi="宋体"/>
        </w:rPr>
        <w:br w:type="page"/>
      </w:r>
    </w:p>
    <w:p w14:paraId="0EAD2D6B">
      <w:pPr>
        <w:pStyle w:val="384"/>
        <w:spacing w:line="360" w:lineRule="auto"/>
        <w:jc w:val="center"/>
        <w:rPr>
          <w:rFonts w:hint="eastAsia" w:ascii="黑体" w:hAnsi="黑体" w:eastAsia="黑体"/>
          <w:b/>
          <w:sz w:val="32"/>
          <w:szCs w:val="32"/>
        </w:rPr>
      </w:pPr>
      <w:bookmarkStart w:id="776" w:name="_Hlk201770896"/>
      <w:bookmarkStart w:id="777" w:name="_Toc90042127"/>
      <w:bookmarkStart w:id="778" w:name="_Toc97580394"/>
      <w:bookmarkStart w:id="779" w:name="_Toc90069654"/>
      <w:r>
        <w:rPr>
          <w:rFonts w:hint="eastAsia" w:ascii="黑体" w:hAnsi="黑体" w:eastAsia="黑体"/>
          <w:b/>
          <w:sz w:val="32"/>
          <w:szCs w:val="32"/>
        </w:rPr>
        <w:t>一、技术指标响应表</w:t>
      </w:r>
    </w:p>
    <w:p w14:paraId="24B429BB">
      <w:pPr>
        <w:pStyle w:val="384"/>
        <w:spacing w:line="360" w:lineRule="auto"/>
        <w:ind w:left="480"/>
        <w:rPr>
          <w:rFonts w:hint="eastAsia" w:ascii="宋体" w:hAnsi="宋体"/>
          <w:b/>
          <w:bCs/>
          <w:sz w:val="24"/>
        </w:rPr>
      </w:pPr>
      <w:r>
        <w:rPr>
          <w:rFonts w:hint="eastAsia" w:ascii="宋体" w:hAnsi="宋体"/>
          <w:b/>
          <w:bCs/>
          <w:sz w:val="24"/>
        </w:rPr>
        <w:t>项目名称：</w:t>
      </w:r>
    </w:p>
    <w:tbl>
      <w:tblPr>
        <w:tblStyle w:val="49"/>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308"/>
        <w:gridCol w:w="1723"/>
        <w:gridCol w:w="1786"/>
        <w:gridCol w:w="1051"/>
        <w:gridCol w:w="1182"/>
        <w:gridCol w:w="1182"/>
      </w:tblGrid>
      <w:tr w14:paraId="5EA3B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14:paraId="2EB1BCD5">
            <w:pPr>
              <w:spacing w:before="120" w:after="120"/>
              <w:ind w:right="-58" w:rightChars="-24"/>
              <w:jc w:val="center"/>
              <w:rPr>
                <w:rFonts w:hint="eastAsia" w:ascii="宋体" w:hAnsi="宋体"/>
                <w:sz w:val="21"/>
                <w:szCs w:val="21"/>
              </w:rPr>
            </w:pPr>
            <w:r>
              <w:rPr>
                <w:rFonts w:hint="eastAsia" w:ascii="宋体" w:hAnsi="宋体"/>
                <w:sz w:val="21"/>
                <w:szCs w:val="21"/>
              </w:rPr>
              <w:t>产品</w:t>
            </w:r>
          </w:p>
          <w:p w14:paraId="73A5FF4F">
            <w:pPr>
              <w:spacing w:before="120" w:after="120"/>
              <w:ind w:right="-58" w:rightChars="-24"/>
              <w:jc w:val="center"/>
              <w:rPr>
                <w:rFonts w:hint="eastAsia" w:ascii="宋体" w:hAnsi="宋体"/>
                <w:sz w:val="21"/>
                <w:szCs w:val="21"/>
              </w:rPr>
            </w:pPr>
            <w:r>
              <w:rPr>
                <w:rFonts w:hint="eastAsia" w:ascii="宋体" w:hAnsi="宋体"/>
                <w:sz w:val="21"/>
                <w:szCs w:val="21"/>
              </w:rPr>
              <w:t>名称</w:t>
            </w:r>
          </w:p>
        </w:tc>
        <w:tc>
          <w:tcPr>
            <w:tcW w:w="1308" w:type="dxa"/>
            <w:tcBorders>
              <w:top w:val="single" w:color="auto" w:sz="4" w:space="0"/>
              <w:left w:val="nil"/>
              <w:bottom w:val="single" w:color="auto" w:sz="4" w:space="0"/>
              <w:right w:val="single" w:color="auto" w:sz="4" w:space="0"/>
            </w:tcBorders>
            <w:vAlign w:val="center"/>
          </w:tcPr>
          <w:p w14:paraId="424061ED">
            <w:pPr>
              <w:spacing w:before="120" w:after="120"/>
              <w:ind w:right="-58" w:rightChars="-24"/>
              <w:jc w:val="center"/>
              <w:rPr>
                <w:rFonts w:hint="eastAsia" w:ascii="宋体" w:hAnsi="宋体"/>
                <w:sz w:val="21"/>
                <w:szCs w:val="21"/>
              </w:rPr>
            </w:pPr>
            <w:r>
              <w:rPr>
                <w:rFonts w:hint="eastAsia" w:ascii="宋体" w:hAnsi="宋体"/>
                <w:sz w:val="21"/>
                <w:szCs w:val="21"/>
              </w:rPr>
              <w:t>品牌、型号</w:t>
            </w:r>
          </w:p>
        </w:tc>
        <w:tc>
          <w:tcPr>
            <w:tcW w:w="1723" w:type="dxa"/>
            <w:tcBorders>
              <w:top w:val="single" w:color="auto" w:sz="4" w:space="0"/>
              <w:left w:val="nil"/>
              <w:bottom w:val="single" w:color="auto" w:sz="4" w:space="0"/>
              <w:right w:val="single" w:color="auto" w:sz="4" w:space="0"/>
            </w:tcBorders>
            <w:vAlign w:val="center"/>
          </w:tcPr>
          <w:p w14:paraId="3AF98E0D">
            <w:pPr>
              <w:spacing w:before="120" w:after="120"/>
              <w:ind w:right="-58" w:rightChars="-24"/>
              <w:jc w:val="center"/>
              <w:rPr>
                <w:rFonts w:hint="eastAsia" w:ascii="宋体" w:hAnsi="宋体"/>
                <w:sz w:val="21"/>
                <w:szCs w:val="21"/>
              </w:rPr>
            </w:pPr>
            <w:r>
              <w:rPr>
                <w:rFonts w:hint="eastAsia" w:ascii="宋体" w:hAnsi="宋体"/>
                <w:sz w:val="21"/>
                <w:szCs w:val="21"/>
              </w:rPr>
              <w:t>招标文件技术参数及要求</w:t>
            </w:r>
          </w:p>
        </w:tc>
        <w:tc>
          <w:tcPr>
            <w:tcW w:w="1786" w:type="dxa"/>
            <w:tcBorders>
              <w:top w:val="single" w:color="auto" w:sz="4" w:space="0"/>
              <w:left w:val="nil"/>
              <w:bottom w:val="single" w:color="auto" w:sz="4" w:space="0"/>
              <w:right w:val="single" w:color="auto" w:sz="4" w:space="0"/>
            </w:tcBorders>
            <w:vAlign w:val="center"/>
          </w:tcPr>
          <w:p w14:paraId="12CB511B">
            <w:pPr>
              <w:spacing w:before="120" w:after="120"/>
              <w:ind w:right="-58" w:rightChars="-24"/>
              <w:jc w:val="center"/>
              <w:rPr>
                <w:rFonts w:hint="eastAsia" w:ascii="宋体" w:hAnsi="宋体"/>
                <w:sz w:val="21"/>
                <w:szCs w:val="21"/>
              </w:rPr>
            </w:pPr>
            <w:r>
              <w:rPr>
                <w:rFonts w:hint="eastAsia" w:ascii="宋体" w:hAnsi="宋体"/>
                <w:sz w:val="21"/>
                <w:szCs w:val="21"/>
              </w:rPr>
              <w:t>投标对应技术参数及性能指标</w:t>
            </w:r>
          </w:p>
        </w:tc>
        <w:tc>
          <w:tcPr>
            <w:tcW w:w="1051" w:type="dxa"/>
            <w:tcBorders>
              <w:top w:val="single" w:color="auto" w:sz="4" w:space="0"/>
              <w:left w:val="nil"/>
              <w:bottom w:val="single" w:color="auto" w:sz="4" w:space="0"/>
              <w:right w:val="single" w:color="auto" w:sz="4" w:space="0"/>
            </w:tcBorders>
            <w:vAlign w:val="center"/>
          </w:tcPr>
          <w:p w14:paraId="1CF33E1F">
            <w:pPr>
              <w:spacing w:before="120" w:after="120"/>
              <w:ind w:right="-58" w:rightChars="-24"/>
              <w:jc w:val="center"/>
              <w:rPr>
                <w:rFonts w:hint="eastAsia" w:ascii="宋体" w:hAnsi="宋体"/>
                <w:sz w:val="21"/>
                <w:szCs w:val="21"/>
              </w:rPr>
            </w:pPr>
            <w:r>
              <w:rPr>
                <w:rFonts w:hint="eastAsia" w:ascii="宋体" w:hAnsi="宋体"/>
                <w:sz w:val="21"/>
                <w:szCs w:val="21"/>
              </w:rPr>
              <w:t>响应程度</w:t>
            </w:r>
          </w:p>
        </w:tc>
        <w:tc>
          <w:tcPr>
            <w:tcW w:w="1182" w:type="dxa"/>
            <w:tcBorders>
              <w:top w:val="single" w:color="auto" w:sz="4" w:space="0"/>
              <w:left w:val="nil"/>
              <w:bottom w:val="single" w:color="auto" w:sz="4" w:space="0"/>
              <w:right w:val="single" w:color="auto" w:sz="4" w:space="0"/>
            </w:tcBorders>
            <w:vAlign w:val="center"/>
          </w:tcPr>
          <w:p w14:paraId="3AA2DF6A">
            <w:pPr>
              <w:spacing w:before="120" w:after="120"/>
              <w:ind w:right="-58" w:rightChars="-24"/>
              <w:jc w:val="center"/>
              <w:rPr>
                <w:rFonts w:hint="eastAsia" w:ascii="宋体" w:hAnsi="宋体"/>
                <w:sz w:val="21"/>
                <w:szCs w:val="21"/>
              </w:rPr>
            </w:pPr>
            <w:r>
              <w:rPr>
                <w:rFonts w:hint="eastAsia" w:ascii="宋体" w:hAnsi="宋体"/>
                <w:sz w:val="21"/>
                <w:szCs w:val="21"/>
              </w:rPr>
              <w:t>标注环保产品/节能产品</w:t>
            </w:r>
          </w:p>
        </w:tc>
        <w:tc>
          <w:tcPr>
            <w:tcW w:w="1182" w:type="dxa"/>
            <w:tcBorders>
              <w:top w:val="single" w:color="auto" w:sz="4" w:space="0"/>
              <w:left w:val="nil"/>
              <w:bottom w:val="single" w:color="auto" w:sz="4" w:space="0"/>
              <w:right w:val="single" w:color="auto" w:sz="4" w:space="0"/>
            </w:tcBorders>
            <w:vAlign w:val="center"/>
          </w:tcPr>
          <w:p w14:paraId="1561A92C">
            <w:pPr>
              <w:spacing w:before="120" w:after="120"/>
              <w:ind w:right="-58" w:rightChars="-24"/>
              <w:jc w:val="center"/>
              <w:rPr>
                <w:rFonts w:hint="eastAsia" w:ascii="宋体" w:hAnsi="宋体"/>
                <w:sz w:val="21"/>
                <w:szCs w:val="21"/>
              </w:rPr>
            </w:pPr>
            <w:r>
              <w:rPr>
                <w:rFonts w:hint="eastAsia" w:ascii="宋体" w:hAnsi="宋体"/>
                <w:sz w:val="21"/>
                <w:szCs w:val="21"/>
              </w:rPr>
              <w:t>相应证明材料页码</w:t>
            </w:r>
          </w:p>
        </w:tc>
      </w:tr>
      <w:tr w14:paraId="3EE4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14:paraId="48D50F1E">
            <w:pPr>
              <w:spacing w:before="120" w:after="120"/>
              <w:ind w:right="-58" w:rightChars="-24"/>
              <w:rPr>
                <w:rFonts w:hint="eastAsia" w:ascii="宋体" w:hAnsi="宋体"/>
              </w:rPr>
            </w:pPr>
          </w:p>
        </w:tc>
        <w:tc>
          <w:tcPr>
            <w:tcW w:w="1308" w:type="dxa"/>
            <w:tcBorders>
              <w:top w:val="single" w:color="auto" w:sz="4" w:space="0"/>
              <w:left w:val="nil"/>
              <w:bottom w:val="single" w:color="auto" w:sz="4" w:space="0"/>
              <w:right w:val="single" w:color="auto" w:sz="4" w:space="0"/>
            </w:tcBorders>
            <w:vAlign w:val="center"/>
          </w:tcPr>
          <w:p w14:paraId="30B1C452">
            <w:pPr>
              <w:spacing w:before="120" w:after="120"/>
              <w:ind w:right="-58" w:rightChars="-24"/>
              <w:rPr>
                <w:rFonts w:hint="eastAsia" w:ascii="宋体" w:hAnsi="宋体"/>
              </w:rPr>
            </w:pPr>
          </w:p>
        </w:tc>
        <w:tc>
          <w:tcPr>
            <w:tcW w:w="1723" w:type="dxa"/>
            <w:tcBorders>
              <w:top w:val="single" w:color="auto" w:sz="4" w:space="0"/>
              <w:left w:val="nil"/>
              <w:bottom w:val="single" w:color="auto" w:sz="4" w:space="0"/>
              <w:right w:val="single" w:color="auto" w:sz="4" w:space="0"/>
            </w:tcBorders>
            <w:vAlign w:val="center"/>
          </w:tcPr>
          <w:p w14:paraId="2EC55023">
            <w:pPr>
              <w:spacing w:before="120" w:after="120"/>
              <w:ind w:right="-58" w:rightChars="-24"/>
              <w:rPr>
                <w:rFonts w:hint="eastAsia" w:ascii="宋体" w:hAnsi="宋体"/>
              </w:rPr>
            </w:pPr>
          </w:p>
        </w:tc>
        <w:tc>
          <w:tcPr>
            <w:tcW w:w="1786" w:type="dxa"/>
            <w:tcBorders>
              <w:top w:val="single" w:color="auto" w:sz="4" w:space="0"/>
              <w:left w:val="nil"/>
              <w:bottom w:val="single" w:color="auto" w:sz="4" w:space="0"/>
              <w:right w:val="single" w:color="auto" w:sz="4" w:space="0"/>
            </w:tcBorders>
            <w:vAlign w:val="center"/>
          </w:tcPr>
          <w:p w14:paraId="62A01A17">
            <w:pPr>
              <w:spacing w:before="120" w:after="120"/>
              <w:ind w:right="-58" w:rightChars="-24"/>
              <w:rPr>
                <w:rFonts w:hint="eastAsia" w:ascii="宋体" w:hAnsi="宋体"/>
              </w:rPr>
            </w:pPr>
          </w:p>
        </w:tc>
        <w:tc>
          <w:tcPr>
            <w:tcW w:w="1051" w:type="dxa"/>
            <w:tcBorders>
              <w:top w:val="single" w:color="auto" w:sz="4" w:space="0"/>
              <w:left w:val="nil"/>
              <w:bottom w:val="single" w:color="auto" w:sz="4" w:space="0"/>
              <w:right w:val="single" w:color="auto" w:sz="4" w:space="0"/>
            </w:tcBorders>
            <w:vAlign w:val="center"/>
          </w:tcPr>
          <w:p w14:paraId="3315DA38">
            <w:pPr>
              <w:spacing w:before="120" w:after="120"/>
              <w:ind w:right="-58" w:rightChars="-24"/>
              <w:rPr>
                <w:rFonts w:hint="eastAsia" w:ascii="宋体" w:hAnsi="宋体"/>
              </w:rPr>
            </w:pPr>
          </w:p>
        </w:tc>
        <w:tc>
          <w:tcPr>
            <w:tcW w:w="1182" w:type="dxa"/>
            <w:tcBorders>
              <w:top w:val="single" w:color="auto" w:sz="4" w:space="0"/>
              <w:left w:val="nil"/>
              <w:bottom w:val="single" w:color="auto" w:sz="4" w:space="0"/>
              <w:right w:val="single" w:color="auto" w:sz="4" w:space="0"/>
            </w:tcBorders>
            <w:vAlign w:val="center"/>
          </w:tcPr>
          <w:p w14:paraId="68616577">
            <w:pPr>
              <w:spacing w:before="120" w:after="120"/>
              <w:ind w:right="-58" w:rightChars="-24"/>
              <w:rPr>
                <w:rFonts w:hint="eastAsia" w:ascii="宋体" w:hAnsi="宋体"/>
              </w:rPr>
            </w:pPr>
          </w:p>
        </w:tc>
        <w:tc>
          <w:tcPr>
            <w:tcW w:w="1182" w:type="dxa"/>
            <w:tcBorders>
              <w:top w:val="single" w:color="auto" w:sz="4" w:space="0"/>
              <w:left w:val="nil"/>
              <w:bottom w:val="single" w:color="auto" w:sz="4" w:space="0"/>
              <w:right w:val="single" w:color="auto" w:sz="4" w:space="0"/>
            </w:tcBorders>
            <w:vAlign w:val="center"/>
          </w:tcPr>
          <w:p w14:paraId="7B7E7F3D">
            <w:pPr>
              <w:spacing w:before="120" w:after="120"/>
              <w:ind w:right="-58" w:rightChars="-24"/>
              <w:rPr>
                <w:rFonts w:hint="eastAsia" w:ascii="宋体" w:hAnsi="宋体"/>
              </w:rPr>
            </w:pPr>
          </w:p>
        </w:tc>
      </w:tr>
      <w:tr w14:paraId="0F6F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14:paraId="52D557AC">
            <w:pPr>
              <w:spacing w:before="120" w:after="120"/>
              <w:ind w:right="-58" w:rightChars="-24"/>
              <w:rPr>
                <w:rFonts w:hint="eastAsia" w:ascii="宋体" w:hAnsi="宋体"/>
              </w:rPr>
            </w:pPr>
          </w:p>
        </w:tc>
        <w:tc>
          <w:tcPr>
            <w:tcW w:w="1308" w:type="dxa"/>
            <w:tcBorders>
              <w:top w:val="single" w:color="auto" w:sz="4" w:space="0"/>
              <w:left w:val="nil"/>
              <w:bottom w:val="single" w:color="auto" w:sz="4" w:space="0"/>
              <w:right w:val="single" w:color="auto" w:sz="4" w:space="0"/>
            </w:tcBorders>
            <w:vAlign w:val="center"/>
          </w:tcPr>
          <w:p w14:paraId="5D91400B">
            <w:pPr>
              <w:spacing w:before="120" w:after="120"/>
              <w:ind w:right="-58" w:rightChars="-24"/>
              <w:rPr>
                <w:rFonts w:hint="eastAsia" w:ascii="宋体" w:hAnsi="宋体"/>
              </w:rPr>
            </w:pPr>
          </w:p>
        </w:tc>
        <w:tc>
          <w:tcPr>
            <w:tcW w:w="1723" w:type="dxa"/>
            <w:tcBorders>
              <w:top w:val="single" w:color="auto" w:sz="4" w:space="0"/>
              <w:left w:val="nil"/>
              <w:bottom w:val="single" w:color="auto" w:sz="4" w:space="0"/>
              <w:right w:val="single" w:color="auto" w:sz="4" w:space="0"/>
            </w:tcBorders>
            <w:vAlign w:val="center"/>
          </w:tcPr>
          <w:p w14:paraId="2852C8AE">
            <w:pPr>
              <w:spacing w:before="120" w:after="120"/>
              <w:ind w:right="-58" w:rightChars="-24"/>
              <w:rPr>
                <w:rFonts w:hint="eastAsia" w:ascii="宋体" w:hAnsi="宋体"/>
              </w:rPr>
            </w:pPr>
          </w:p>
        </w:tc>
        <w:tc>
          <w:tcPr>
            <w:tcW w:w="1786" w:type="dxa"/>
            <w:tcBorders>
              <w:top w:val="single" w:color="auto" w:sz="4" w:space="0"/>
              <w:left w:val="nil"/>
              <w:bottom w:val="single" w:color="auto" w:sz="4" w:space="0"/>
              <w:right w:val="single" w:color="auto" w:sz="4" w:space="0"/>
            </w:tcBorders>
            <w:vAlign w:val="center"/>
          </w:tcPr>
          <w:p w14:paraId="0AE97728">
            <w:pPr>
              <w:spacing w:before="120" w:after="120"/>
              <w:ind w:right="-58" w:rightChars="-24"/>
              <w:rPr>
                <w:rFonts w:hint="eastAsia" w:ascii="宋体" w:hAnsi="宋体"/>
              </w:rPr>
            </w:pPr>
          </w:p>
        </w:tc>
        <w:tc>
          <w:tcPr>
            <w:tcW w:w="1051" w:type="dxa"/>
            <w:tcBorders>
              <w:top w:val="single" w:color="auto" w:sz="4" w:space="0"/>
              <w:left w:val="nil"/>
              <w:bottom w:val="single" w:color="auto" w:sz="4" w:space="0"/>
              <w:right w:val="single" w:color="auto" w:sz="4" w:space="0"/>
            </w:tcBorders>
            <w:vAlign w:val="center"/>
          </w:tcPr>
          <w:p w14:paraId="398CF8FF">
            <w:pPr>
              <w:spacing w:before="120" w:after="120"/>
              <w:ind w:right="-58" w:rightChars="-24"/>
              <w:rPr>
                <w:rFonts w:hint="eastAsia" w:ascii="宋体" w:hAnsi="宋体"/>
              </w:rPr>
            </w:pPr>
          </w:p>
        </w:tc>
        <w:tc>
          <w:tcPr>
            <w:tcW w:w="1182" w:type="dxa"/>
            <w:tcBorders>
              <w:top w:val="single" w:color="auto" w:sz="4" w:space="0"/>
              <w:left w:val="nil"/>
              <w:bottom w:val="single" w:color="auto" w:sz="4" w:space="0"/>
              <w:right w:val="single" w:color="auto" w:sz="4" w:space="0"/>
            </w:tcBorders>
            <w:vAlign w:val="center"/>
          </w:tcPr>
          <w:p w14:paraId="703922B4">
            <w:pPr>
              <w:spacing w:before="120" w:after="120"/>
              <w:ind w:right="-58" w:rightChars="-24"/>
              <w:rPr>
                <w:rFonts w:hint="eastAsia" w:ascii="宋体" w:hAnsi="宋体"/>
              </w:rPr>
            </w:pPr>
          </w:p>
        </w:tc>
        <w:tc>
          <w:tcPr>
            <w:tcW w:w="1182" w:type="dxa"/>
            <w:tcBorders>
              <w:top w:val="single" w:color="auto" w:sz="4" w:space="0"/>
              <w:left w:val="nil"/>
              <w:bottom w:val="single" w:color="auto" w:sz="4" w:space="0"/>
              <w:right w:val="single" w:color="auto" w:sz="4" w:space="0"/>
            </w:tcBorders>
            <w:vAlign w:val="center"/>
          </w:tcPr>
          <w:p w14:paraId="5AF54BF3">
            <w:pPr>
              <w:spacing w:before="120" w:after="120"/>
              <w:ind w:right="-58" w:rightChars="-24"/>
              <w:rPr>
                <w:rFonts w:hint="eastAsia" w:ascii="宋体" w:hAnsi="宋体"/>
              </w:rPr>
            </w:pPr>
          </w:p>
        </w:tc>
      </w:tr>
      <w:tr w14:paraId="3528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14:paraId="4587163E">
            <w:pPr>
              <w:spacing w:before="120" w:after="120"/>
              <w:ind w:right="-58" w:rightChars="-24"/>
              <w:rPr>
                <w:rFonts w:hint="eastAsia" w:ascii="宋体" w:hAnsi="宋体"/>
              </w:rPr>
            </w:pPr>
          </w:p>
        </w:tc>
        <w:tc>
          <w:tcPr>
            <w:tcW w:w="1308" w:type="dxa"/>
            <w:tcBorders>
              <w:top w:val="single" w:color="auto" w:sz="4" w:space="0"/>
              <w:left w:val="nil"/>
              <w:bottom w:val="single" w:color="auto" w:sz="4" w:space="0"/>
              <w:right w:val="single" w:color="auto" w:sz="4" w:space="0"/>
            </w:tcBorders>
            <w:vAlign w:val="center"/>
          </w:tcPr>
          <w:p w14:paraId="6A6D12C6">
            <w:pPr>
              <w:spacing w:before="120" w:after="120"/>
              <w:ind w:right="-58" w:rightChars="-24"/>
              <w:rPr>
                <w:rFonts w:hint="eastAsia" w:ascii="宋体" w:hAnsi="宋体"/>
              </w:rPr>
            </w:pPr>
          </w:p>
        </w:tc>
        <w:tc>
          <w:tcPr>
            <w:tcW w:w="1723" w:type="dxa"/>
            <w:tcBorders>
              <w:top w:val="single" w:color="auto" w:sz="4" w:space="0"/>
              <w:left w:val="nil"/>
              <w:bottom w:val="single" w:color="auto" w:sz="4" w:space="0"/>
              <w:right w:val="single" w:color="auto" w:sz="4" w:space="0"/>
            </w:tcBorders>
            <w:vAlign w:val="center"/>
          </w:tcPr>
          <w:p w14:paraId="7576365B">
            <w:pPr>
              <w:spacing w:before="120" w:after="120"/>
              <w:ind w:right="-58" w:rightChars="-24"/>
              <w:rPr>
                <w:rFonts w:hint="eastAsia" w:ascii="宋体" w:hAnsi="宋体"/>
              </w:rPr>
            </w:pPr>
          </w:p>
        </w:tc>
        <w:tc>
          <w:tcPr>
            <w:tcW w:w="1786" w:type="dxa"/>
            <w:tcBorders>
              <w:top w:val="single" w:color="auto" w:sz="4" w:space="0"/>
              <w:left w:val="nil"/>
              <w:bottom w:val="single" w:color="auto" w:sz="4" w:space="0"/>
              <w:right w:val="single" w:color="auto" w:sz="4" w:space="0"/>
            </w:tcBorders>
            <w:vAlign w:val="center"/>
          </w:tcPr>
          <w:p w14:paraId="531027A2">
            <w:pPr>
              <w:spacing w:before="120" w:after="120"/>
              <w:ind w:right="-58" w:rightChars="-24"/>
              <w:rPr>
                <w:rFonts w:hint="eastAsia" w:ascii="宋体" w:hAnsi="宋体"/>
              </w:rPr>
            </w:pPr>
          </w:p>
        </w:tc>
        <w:tc>
          <w:tcPr>
            <w:tcW w:w="1051" w:type="dxa"/>
            <w:tcBorders>
              <w:top w:val="single" w:color="auto" w:sz="4" w:space="0"/>
              <w:left w:val="nil"/>
              <w:bottom w:val="single" w:color="auto" w:sz="4" w:space="0"/>
              <w:right w:val="single" w:color="auto" w:sz="4" w:space="0"/>
            </w:tcBorders>
            <w:vAlign w:val="center"/>
          </w:tcPr>
          <w:p w14:paraId="2DCD6551">
            <w:pPr>
              <w:spacing w:before="120" w:after="120"/>
              <w:ind w:right="-58" w:rightChars="-24"/>
              <w:rPr>
                <w:rFonts w:hint="eastAsia" w:ascii="宋体" w:hAnsi="宋体"/>
              </w:rPr>
            </w:pPr>
          </w:p>
        </w:tc>
        <w:tc>
          <w:tcPr>
            <w:tcW w:w="1182" w:type="dxa"/>
            <w:tcBorders>
              <w:top w:val="single" w:color="auto" w:sz="4" w:space="0"/>
              <w:left w:val="nil"/>
              <w:bottom w:val="single" w:color="auto" w:sz="4" w:space="0"/>
              <w:right w:val="single" w:color="auto" w:sz="4" w:space="0"/>
            </w:tcBorders>
            <w:vAlign w:val="center"/>
          </w:tcPr>
          <w:p w14:paraId="3BB4AABE">
            <w:pPr>
              <w:spacing w:before="120" w:after="120"/>
              <w:ind w:right="-58" w:rightChars="-24"/>
              <w:rPr>
                <w:rFonts w:hint="eastAsia" w:ascii="宋体" w:hAnsi="宋体"/>
              </w:rPr>
            </w:pPr>
          </w:p>
        </w:tc>
        <w:tc>
          <w:tcPr>
            <w:tcW w:w="1182" w:type="dxa"/>
            <w:tcBorders>
              <w:top w:val="single" w:color="auto" w:sz="4" w:space="0"/>
              <w:left w:val="nil"/>
              <w:bottom w:val="single" w:color="auto" w:sz="4" w:space="0"/>
              <w:right w:val="single" w:color="auto" w:sz="4" w:space="0"/>
            </w:tcBorders>
            <w:vAlign w:val="center"/>
          </w:tcPr>
          <w:p w14:paraId="1D071E75">
            <w:pPr>
              <w:spacing w:before="120" w:after="120"/>
              <w:ind w:right="-58" w:rightChars="-24"/>
              <w:rPr>
                <w:rFonts w:hint="eastAsia" w:ascii="宋体" w:hAnsi="宋体"/>
              </w:rPr>
            </w:pPr>
          </w:p>
        </w:tc>
      </w:tr>
      <w:bookmarkEnd w:id="776"/>
    </w:tbl>
    <w:p w14:paraId="5FE30966">
      <w:pPr>
        <w:spacing w:line="360" w:lineRule="auto"/>
        <w:rPr>
          <w:rFonts w:hint="eastAsia" w:ascii="宋体" w:hAnsi="宋体"/>
          <w:b/>
          <w:bCs/>
          <w:sz w:val="21"/>
          <w:szCs w:val="21"/>
        </w:rPr>
      </w:pPr>
      <w:r>
        <w:rPr>
          <w:rFonts w:hint="eastAsia" w:ascii="宋体" w:hAnsi="宋体"/>
          <w:b/>
          <w:bCs/>
          <w:sz w:val="21"/>
          <w:szCs w:val="21"/>
        </w:rPr>
        <w:t>填表要求：</w:t>
      </w:r>
    </w:p>
    <w:p w14:paraId="23EC65DF">
      <w:pPr>
        <w:spacing w:line="360" w:lineRule="auto"/>
        <w:ind w:firstLine="420" w:firstLineChars="200"/>
        <w:rPr>
          <w:rFonts w:hint="eastAsia" w:ascii="宋体" w:hAnsi="宋体"/>
          <w:sz w:val="21"/>
          <w:szCs w:val="21"/>
        </w:rPr>
      </w:pPr>
      <w:r>
        <w:rPr>
          <w:rFonts w:hint="eastAsia" w:ascii="宋体" w:hAnsi="宋体"/>
          <w:sz w:val="21"/>
          <w:szCs w:val="21"/>
        </w:rPr>
        <w:t>1.表格中“响应程度”一列，投标人只能如实填写“满足”、“正偏离”或“负偏离”。投标产品满足招标文件要求的，填写“满足”；高于招标文件要求的，填写“正偏离”，低于招标文件要求的，填写“负偏离”。</w:t>
      </w:r>
    </w:p>
    <w:p w14:paraId="3F0CF15B">
      <w:pPr>
        <w:spacing w:line="360" w:lineRule="auto"/>
        <w:ind w:firstLine="420" w:firstLineChars="200"/>
        <w:rPr>
          <w:rFonts w:hint="eastAsia" w:ascii="宋体" w:hAnsi="宋体"/>
          <w:sz w:val="21"/>
          <w:szCs w:val="21"/>
        </w:rPr>
      </w:pPr>
      <w:r>
        <w:rPr>
          <w:rFonts w:hint="eastAsia" w:ascii="宋体" w:hAnsi="宋体"/>
          <w:sz w:val="21"/>
          <w:szCs w:val="21"/>
        </w:rPr>
        <w:t>2.请按投标产品的实际技术参数，逐条对应招标文件“第三章 采购需求”中的技术要求真实填写该表，投标对应技术参数及性能指标栏中对应的参数有“正偏离”或“负偏离”的须用红色字体及下划线标记出来。</w:t>
      </w:r>
    </w:p>
    <w:p w14:paraId="6E9405A0">
      <w:pPr>
        <w:spacing w:line="360" w:lineRule="auto"/>
        <w:ind w:firstLine="422" w:firstLineChars="200"/>
        <w:rPr>
          <w:rFonts w:hint="eastAsia" w:ascii="宋体" w:hAnsi="宋体"/>
          <w:b/>
          <w:bCs/>
          <w:sz w:val="21"/>
          <w:szCs w:val="21"/>
        </w:rPr>
      </w:pPr>
      <w:r>
        <w:rPr>
          <w:rFonts w:hint="eastAsia" w:ascii="宋体" w:hAnsi="宋体"/>
          <w:b/>
          <w:bCs/>
          <w:sz w:val="21"/>
          <w:szCs w:val="21"/>
        </w:rPr>
        <w:t>3.投标人须填写所投产品品牌及型号，不填写品牌及型号视为负偏离。</w:t>
      </w:r>
    </w:p>
    <w:p w14:paraId="3FA8B599">
      <w:pPr>
        <w:spacing w:line="360" w:lineRule="auto"/>
        <w:ind w:firstLine="420" w:firstLineChars="200"/>
        <w:rPr>
          <w:rFonts w:hint="eastAsia" w:ascii="宋体" w:hAnsi="宋体"/>
          <w:sz w:val="21"/>
          <w:szCs w:val="21"/>
        </w:rPr>
      </w:pPr>
      <w:r>
        <w:rPr>
          <w:rFonts w:hint="eastAsia" w:ascii="宋体" w:hAnsi="宋体"/>
          <w:sz w:val="21"/>
          <w:szCs w:val="21"/>
        </w:rPr>
        <w:t>4.须逐条精准填写证明材料页码，出现下列情形之一的视为负偏离：①未逐条精准填写证明材料页码(例如：出现证明材料见P60至80页，类似不精准页码标示)；②所填页码不精准、混乱，导致找到页码与参数不匹配；③相应参数证明材料不清晰、模糊不能辨认。</w:t>
      </w:r>
    </w:p>
    <w:p w14:paraId="464B8CC4">
      <w:pPr>
        <w:pStyle w:val="384"/>
        <w:spacing w:line="360" w:lineRule="auto"/>
        <w:ind w:left="480"/>
        <w:rPr>
          <w:rFonts w:hint="eastAsia" w:ascii="宋体" w:hAnsi="宋体"/>
          <w:szCs w:val="21"/>
        </w:rPr>
      </w:pPr>
      <w:r>
        <w:rPr>
          <w:rFonts w:hint="eastAsia" w:ascii="宋体" w:hAnsi="宋体"/>
          <w:szCs w:val="21"/>
        </w:rPr>
        <w:t>5.证明材料附后。</w:t>
      </w:r>
    </w:p>
    <w:p w14:paraId="5B642167">
      <w:pPr>
        <w:pStyle w:val="384"/>
        <w:spacing w:line="360" w:lineRule="auto"/>
        <w:ind w:left="480"/>
        <w:rPr>
          <w:rFonts w:hint="eastAsia" w:ascii="宋体" w:hAnsi="宋体"/>
          <w:sz w:val="24"/>
        </w:rPr>
      </w:pPr>
    </w:p>
    <w:p w14:paraId="2B626355">
      <w:pPr>
        <w:pStyle w:val="26"/>
        <w:spacing w:line="5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投标人全称：</w:t>
      </w:r>
      <w:r>
        <w:rPr>
          <w:rFonts w:hint="eastAsia" w:cs="宋体" w:asciiTheme="minorEastAsia" w:hAnsiTheme="minorEastAsia" w:eastAsiaTheme="minorEastAsia"/>
          <w:kern w:val="0"/>
          <w:u w:val="single"/>
        </w:rPr>
        <w:t xml:space="preserve">                  </w:t>
      </w:r>
      <w:r>
        <w:rPr>
          <w:rFonts w:hint="eastAsia" w:cs="宋体" w:asciiTheme="minorEastAsia" w:hAnsiTheme="minorEastAsia" w:eastAsiaTheme="minorEastAsia"/>
          <w:sz w:val="24"/>
          <w:szCs w:val="24"/>
        </w:rPr>
        <w:t>（电子签章）</w:t>
      </w:r>
    </w:p>
    <w:p w14:paraId="78897178">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法定代表人：</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（签名或签章）</w:t>
      </w:r>
    </w:p>
    <w:p w14:paraId="4BD2EE45">
      <w:pPr>
        <w:spacing w:line="560" w:lineRule="exact"/>
        <w:jc w:val="left"/>
        <w:rPr>
          <w:rFonts w:hint="eastAsia" w:cs="宋体" w:asciiTheme="minorEastAsia" w:hAnsiTheme="minorEastAsia" w:eastAsiaTheme="minorEastAsia"/>
        </w:rPr>
      </w:pPr>
      <w:r>
        <w:rPr>
          <w:rFonts w:hint="eastAsia" w:cs="宋体" w:asciiTheme="minorEastAsia" w:hAnsiTheme="minorEastAsia" w:eastAsiaTheme="minorEastAsia"/>
        </w:rPr>
        <w:t>日  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月</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日</w:t>
      </w:r>
    </w:p>
    <w:p w14:paraId="760BB9A2">
      <w:pPr>
        <w:widowControl/>
        <w:jc w:val="left"/>
        <w:rPr>
          <w:rFonts w:hint="eastAsia" w:ascii="黑体" w:hAnsi="黑体" w:eastAsia="黑体"/>
          <w:b/>
          <w:sz w:val="32"/>
          <w:szCs w:val="32"/>
        </w:rPr>
      </w:pPr>
      <w:r>
        <w:rPr>
          <w:rFonts w:hint="eastAsia" w:ascii="黑体" w:hAnsi="黑体" w:eastAsia="黑体"/>
          <w:b/>
          <w:sz w:val="32"/>
          <w:szCs w:val="32"/>
        </w:rPr>
        <w:br w:type="page"/>
      </w:r>
    </w:p>
    <w:p w14:paraId="25A932CE">
      <w:pPr>
        <w:spacing w:line="360" w:lineRule="auto"/>
        <w:rPr>
          <w:rFonts w:hint="eastAsia" w:ascii="黑体" w:hAnsi="黑体" w:eastAsia="黑体" w:cs="Times New Roman"/>
          <w:b/>
          <w:kern w:val="2"/>
          <w:sz w:val="32"/>
          <w:szCs w:val="32"/>
          <w:lang w:val="en-US" w:eastAsia="zh-CN" w:bidi="ar-SA"/>
        </w:rPr>
      </w:pPr>
      <w:r>
        <w:rPr>
          <w:rFonts w:hint="eastAsia" w:ascii="黑体" w:hAnsi="黑体" w:eastAsia="黑体" w:cs="Times New Roman"/>
          <w:b/>
          <w:kern w:val="2"/>
          <w:sz w:val="32"/>
          <w:szCs w:val="32"/>
          <w:lang w:val="en-US" w:eastAsia="zh-CN" w:bidi="ar-SA"/>
        </w:rPr>
        <w:t>二、项目实施方案</w:t>
      </w:r>
    </w:p>
    <w:p w14:paraId="6B23BB1D">
      <w:pPr>
        <w:spacing w:line="360" w:lineRule="auto"/>
        <w:rPr>
          <w:rFonts w:hint="default" w:ascii="黑体" w:hAnsi="黑体" w:eastAsia="黑体" w:cs="Times New Roman"/>
          <w:b/>
          <w:kern w:val="2"/>
          <w:sz w:val="32"/>
          <w:szCs w:val="32"/>
          <w:lang w:val="en-US" w:eastAsia="zh-CN" w:bidi="ar-SA"/>
        </w:rPr>
      </w:pPr>
      <w:r>
        <w:rPr>
          <w:rFonts w:hint="eastAsia" w:ascii="黑体" w:hAnsi="黑体" w:eastAsia="黑体" w:cs="Times New Roman"/>
          <w:b/>
          <w:kern w:val="2"/>
          <w:sz w:val="32"/>
          <w:szCs w:val="32"/>
          <w:lang w:val="en-US" w:eastAsia="zh-CN" w:bidi="ar-SA"/>
        </w:rPr>
        <w:t>三、现场演示方案</w:t>
      </w:r>
    </w:p>
    <w:p w14:paraId="2405301C"/>
    <w:p w14:paraId="3A113C5B">
      <w:pPr>
        <w:jc w:val="center"/>
      </w:pPr>
      <w:r>
        <w:rPr>
          <w:rFonts w:hint="eastAsia" w:ascii="宋体" w:hAnsi="宋体"/>
        </w:rPr>
        <w:t>由投标人根据采购需求、评审标准，结合自身情况自行编写。</w:t>
      </w:r>
    </w:p>
    <w:bookmarkEnd w:id="777"/>
    <w:bookmarkEnd w:id="778"/>
    <w:bookmarkEnd w:id="779"/>
    <w:p w14:paraId="42453065">
      <w:pPr>
        <w:widowControl/>
        <w:spacing w:line="360" w:lineRule="auto"/>
        <w:jc w:val="center"/>
        <w:rPr>
          <w:rFonts w:hint="eastAsia" w:ascii="宋体" w:hAnsi="宋体"/>
        </w:rPr>
      </w:pPr>
      <w:bookmarkStart w:id="780" w:name="_Toc97580402"/>
      <w:bookmarkStart w:id="781" w:name="_Toc88936444"/>
      <w:bookmarkStart w:id="782" w:name="_Hlk132191560"/>
    </w:p>
    <w:p w14:paraId="735E7B83">
      <w:pPr>
        <w:rPr>
          <w:rFonts w:hint="eastAsia" w:ascii="宋体" w:hAnsi="宋体"/>
        </w:rPr>
      </w:pPr>
      <w:r>
        <w:rPr>
          <w:rFonts w:ascii="宋体" w:hAnsi="宋体"/>
        </w:rPr>
        <w:br w:type="page"/>
      </w:r>
    </w:p>
    <w:p w14:paraId="0AB55537">
      <w:pPr>
        <w:spacing w:line="560" w:lineRule="exact"/>
        <w:jc w:val="left"/>
        <w:rPr>
          <w:rFonts w:hint="eastAsia" w:ascii="宋体" w:hAnsi="宋体"/>
        </w:rPr>
      </w:pPr>
    </w:p>
    <w:p w14:paraId="6992E5EF">
      <w:pPr>
        <w:spacing w:line="560" w:lineRule="exact"/>
        <w:jc w:val="left"/>
        <w:rPr>
          <w:rFonts w:hint="eastAsia" w:ascii="宋体" w:hAnsi="宋体"/>
        </w:rPr>
      </w:pPr>
    </w:p>
    <w:p w14:paraId="438C028D">
      <w:pPr>
        <w:spacing w:line="560" w:lineRule="exact"/>
        <w:jc w:val="left"/>
        <w:rPr>
          <w:rFonts w:hint="eastAsia" w:ascii="宋体" w:hAnsi="宋体"/>
        </w:rPr>
      </w:pPr>
    </w:p>
    <w:p w14:paraId="6D4AB74F">
      <w:pPr>
        <w:spacing w:line="560" w:lineRule="exact"/>
        <w:jc w:val="left"/>
        <w:rPr>
          <w:rFonts w:hint="eastAsia" w:ascii="宋体" w:hAnsi="宋体"/>
        </w:rPr>
      </w:pPr>
    </w:p>
    <w:p w14:paraId="6667349A">
      <w:pPr>
        <w:spacing w:line="560" w:lineRule="exact"/>
        <w:jc w:val="left"/>
        <w:rPr>
          <w:rFonts w:hint="eastAsia" w:ascii="宋体" w:hAnsi="宋体"/>
        </w:rPr>
      </w:pPr>
    </w:p>
    <w:p w14:paraId="2059EF29">
      <w:pPr>
        <w:spacing w:line="560" w:lineRule="exact"/>
        <w:jc w:val="left"/>
        <w:rPr>
          <w:rFonts w:hint="eastAsia" w:ascii="宋体" w:hAnsi="宋体"/>
        </w:rPr>
      </w:pPr>
    </w:p>
    <w:p w14:paraId="3538AAFF">
      <w:pPr>
        <w:spacing w:line="560" w:lineRule="exact"/>
        <w:jc w:val="left"/>
        <w:rPr>
          <w:rFonts w:hint="eastAsia" w:ascii="宋体" w:hAnsi="宋体"/>
        </w:rPr>
      </w:pPr>
    </w:p>
    <w:p w14:paraId="5A04CDD4">
      <w:pPr>
        <w:spacing w:line="560" w:lineRule="exact"/>
        <w:jc w:val="left"/>
        <w:rPr>
          <w:rFonts w:hint="eastAsia" w:ascii="宋体" w:hAnsi="宋体"/>
        </w:rPr>
      </w:pPr>
    </w:p>
    <w:p w14:paraId="05592C04">
      <w:pPr>
        <w:spacing w:line="560" w:lineRule="exact"/>
        <w:jc w:val="left"/>
        <w:rPr>
          <w:rFonts w:hint="eastAsia" w:ascii="宋体" w:hAnsi="宋体"/>
        </w:rPr>
      </w:pPr>
    </w:p>
    <w:p w14:paraId="48FA3B71">
      <w:pPr>
        <w:pStyle w:val="476"/>
        <w:ind w:firstLine="480"/>
        <w:rPr>
          <w:rFonts w:hint="eastAsia"/>
        </w:rPr>
      </w:pPr>
    </w:p>
    <w:p w14:paraId="42C73B69">
      <w:pPr>
        <w:spacing w:line="360" w:lineRule="auto"/>
        <w:jc w:val="center"/>
        <w:outlineLvl w:val="1"/>
        <w:rPr>
          <w:rFonts w:hint="eastAsia" w:ascii="黑体" w:hAnsi="黑体" w:eastAsia="黑体"/>
          <w:b/>
          <w:sz w:val="36"/>
          <w:szCs w:val="36"/>
        </w:rPr>
      </w:pPr>
      <w:bookmarkStart w:id="783" w:name="_Toc215313872"/>
      <w:bookmarkStart w:id="784" w:name="_Toc216365912"/>
      <w:bookmarkStart w:id="785" w:name="_Toc193792903"/>
      <w:bookmarkStart w:id="786" w:name="_Toc203147246"/>
      <w:bookmarkStart w:id="787" w:name="_Toc192748574"/>
      <w:bookmarkStart w:id="788" w:name="_Toc146736325"/>
      <w:r>
        <w:rPr>
          <w:rFonts w:hint="eastAsia" w:ascii="黑体" w:hAnsi="黑体" w:eastAsia="黑体"/>
          <w:b/>
          <w:sz w:val="36"/>
          <w:szCs w:val="36"/>
        </w:rPr>
        <w:t>第四部分 其他部分</w:t>
      </w:r>
      <w:bookmarkEnd w:id="783"/>
      <w:bookmarkEnd w:id="784"/>
      <w:bookmarkEnd w:id="785"/>
      <w:bookmarkEnd w:id="786"/>
      <w:bookmarkEnd w:id="787"/>
      <w:bookmarkEnd w:id="788"/>
    </w:p>
    <w:p w14:paraId="703F116B">
      <w:pPr>
        <w:spacing w:line="560" w:lineRule="exact"/>
        <w:jc w:val="left"/>
        <w:rPr>
          <w:rFonts w:hint="eastAsia" w:ascii="宋体" w:hAnsi="宋体"/>
        </w:rPr>
      </w:pPr>
    </w:p>
    <w:p w14:paraId="3E8C33C0">
      <w:pPr>
        <w:spacing w:line="560" w:lineRule="exact"/>
        <w:jc w:val="left"/>
        <w:rPr>
          <w:rFonts w:hint="eastAsia" w:ascii="宋体" w:hAnsi="宋体"/>
        </w:rPr>
      </w:pPr>
    </w:p>
    <w:p w14:paraId="23AA2C96">
      <w:pPr>
        <w:spacing w:line="560" w:lineRule="exact"/>
        <w:jc w:val="left"/>
        <w:rPr>
          <w:rFonts w:hint="eastAsia" w:ascii="宋体" w:hAnsi="宋体"/>
        </w:rPr>
      </w:pPr>
    </w:p>
    <w:p w14:paraId="527D362E">
      <w:pPr>
        <w:widowControl/>
        <w:jc w:val="left"/>
        <w:rPr>
          <w:rFonts w:hint="eastAsia" w:ascii="黑体" w:hAnsi="黑体" w:eastAsia="黑体"/>
          <w:b/>
          <w:sz w:val="32"/>
          <w:szCs w:val="32"/>
        </w:rPr>
      </w:pPr>
    </w:p>
    <w:p w14:paraId="28946BB0">
      <w:pPr>
        <w:widowControl/>
        <w:jc w:val="left"/>
        <w:rPr>
          <w:rFonts w:hint="eastAsia" w:ascii="黑体" w:hAnsi="黑体" w:eastAsia="黑体"/>
          <w:b/>
          <w:sz w:val="32"/>
          <w:szCs w:val="32"/>
        </w:rPr>
      </w:pPr>
      <w:r>
        <w:rPr>
          <w:rFonts w:ascii="黑体" w:hAnsi="黑体" w:eastAsia="黑体"/>
          <w:sz w:val="32"/>
          <w:szCs w:val="32"/>
        </w:rPr>
        <w:br w:type="page"/>
      </w:r>
    </w:p>
    <w:p w14:paraId="60F404C5">
      <w:pPr>
        <w:pStyle w:val="5"/>
      </w:pPr>
      <w:r>
        <w:rPr>
          <w:rFonts w:hint="eastAsia"/>
        </w:rPr>
        <w:t>一、中小企业声明函（若有）</w:t>
      </w:r>
      <w:bookmarkEnd w:id="780"/>
      <w:bookmarkEnd w:id="781"/>
    </w:p>
    <w:p w14:paraId="0C67DE80"/>
    <w:p w14:paraId="07CF7B51">
      <w:pPr>
        <w:autoSpaceDE w:val="0"/>
        <w:autoSpaceDN w:val="0"/>
        <w:adjustRightInd w:val="0"/>
        <w:spacing w:line="360" w:lineRule="auto"/>
        <w:ind w:firstLine="480" w:firstLineChars="200"/>
        <w:rPr>
          <w:rFonts w:hint="eastAsia" w:ascii="宋体" w:hAnsi="宋体" w:cs="仿宋"/>
          <w:kern w:val="0"/>
        </w:rPr>
      </w:pPr>
      <w:bookmarkStart w:id="789" w:name="_Hlk203209382"/>
      <w:r>
        <w:rPr>
          <w:rFonts w:hint="eastAsia" w:ascii="宋体" w:hAnsi="宋体" w:cs="仿宋"/>
          <w:kern w:val="0"/>
        </w:rPr>
        <w:t>本公司（联合体）郑重声明，根据《政府采购促进中小企业发展管理办法》（财库</w:t>
      </w:r>
      <w:r>
        <w:rPr>
          <w:rFonts w:hint="eastAsia" w:ascii="宋体" w:hAnsi="宋体"/>
          <w:kern w:val="0"/>
        </w:rPr>
        <w:t>﹝</w:t>
      </w:r>
      <w:r>
        <w:rPr>
          <w:rFonts w:hint="eastAsia" w:ascii="宋体" w:hAnsi="宋体" w:cs="仿宋"/>
          <w:kern w:val="0"/>
        </w:rPr>
        <w:t>2020</w:t>
      </w:r>
      <w:r>
        <w:rPr>
          <w:rFonts w:hint="eastAsia" w:ascii="宋体" w:hAnsi="宋体"/>
          <w:kern w:val="0"/>
        </w:rPr>
        <w:t>﹞</w:t>
      </w:r>
      <w:r>
        <w:rPr>
          <w:rFonts w:hint="eastAsia" w:ascii="宋体" w:hAnsi="宋体" w:cs="仿宋"/>
          <w:kern w:val="0"/>
        </w:rPr>
        <w:t>46 号）的规定，本公司（联合体）参加</w:t>
      </w:r>
      <w:r>
        <w:rPr>
          <w:rFonts w:hint="eastAsia" w:ascii="宋体" w:hAnsi="宋体" w:cs="仿宋"/>
          <w:kern w:val="0"/>
          <w:u w:val="single"/>
        </w:rPr>
        <w:t xml:space="preserve">  （单位名称）  </w:t>
      </w:r>
      <w:r>
        <w:rPr>
          <w:rFonts w:hint="eastAsia" w:ascii="宋体" w:hAnsi="宋体" w:cs="仿宋"/>
          <w:kern w:val="0"/>
        </w:rPr>
        <w:t>的</w:t>
      </w:r>
      <w:r>
        <w:rPr>
          <w:rFonts w:hint="eastAsia" w:ascii="宋体" w:hAnsi="宋体" w:cs="仿宋"/>
          <w:kern w:val="0"/>
          <w:u w:val="single"/>
        </w:rPr>
        <w:t xml:space="preserve"> （项目名称）</w:t>
      </w:r>
      <w:r>
        <w:rPr>
          <w:rFonts w:hint="eastAsia" w:ascii="宋体" w:hAnsi="宋体" w:cs="仿宋"/>
          <w:kern w:val="0"/>
        </w:rPr>
        <w:t>采购活动，提供的货物全部由符合政策要求的中小企业制造。相关企业（含联合体中的中小企业、签订分包意向协议的中小企业）的具体情况如下：</w:t>
      </w:r>
    </w:p>
    <w:p w14:paraId="3DBA8959">
      <w:pPr>
        <w:autoSpaceDE w:val="0"/>
        <w:autoSpaceDN w:val="0"/>
        <w:adjustRightInd w:val="0"/>
        <w:spacing w:line="360" w:lineRule="auto"/>
        <w:ind w:firstLine="480" w:firstLineChars="200"/>
        <w:rPr>
          <w:rFonts w:hint="eastAsia" w:ascii="宋体" w:hAnsi="宋体" w:cs="仿宋"/>
          <w:kern w:val="0"/>
        </w:rPr>
      </w:pPr>
      <w:r>
        <w:rPr>
          <w:rFonts w:hint="eastAsia" w:ascii="宋体" w:hAnsi="宋体" w:cs="仿宋"/>
          <w:kern w:val="0"/>
        </w:rPr>
        <w:t>1.</w:t>
      </w:r>
      <w:r>
        <w:rPr>
          <w:rFonts w:hint="eastAsia" w:ascii="宋体" w:hAnsi="宋体" w:cs="仿宋"/>
          <w:kern w:val="0"/>
          <w:u w:val="single"/>
        </w:rPr>
        <w:t xml:space="preserve">  （标的名称）  </w:t>
      </w:r>
      <w:r>
        <w:rPr>
          <w:rFonts w:hint="eastAsia" w:ascii="宋体" w:hAnsi="宋体" w:cs="仿宋"/>
          <w:kern w:val="0"/>
        </w:rPr>
        <w:t>，属于</w:t>
      </w:r>
      <w:bookmarkStart w:id="790" w:name="OLE_LINK99"/>
      <w:r>
        <w:rPr>
          <w:rFonts w:hint="eastAsia" w:ascii="宋体" w:hAnsi="宋体" w:cs="仿宋"/>
          <w:kern w:val="0"/>
          <w:u w:val="single"/>
        </w:rPr>
        <w:t xml:space="preserve"> </w:t>
      </w:r>
      <w:r>
        <w:rPr>
          <w:rFonts w:hint="eastAsia" w:ascii="宋体" w:hAnsi="宋体" w:cs="仿宋"/>
          <w:kern w:val="0"/>
          <w:u w:val="single"/>
          <w:lang w:val="en-US" w:eastAsia="zh-CN"/>
        </w:rPr>
        <w:t xml:space="preserve"> 工业  </w:t>
      </w:r>
      <w:bookmarkEnd w:id="790"/>
      <w:r>
        <w:rPr>
          <w:rFonts w:hint="eastAsia" w:ascii="宋体" w:hAnsi="宋体" w:cs="仿宋"/>
          <w:kern w:val="0"/>
        </w:rPr>
        <w:t>；制造商为</w:t>
      </w:r>
      <w:r>
        <w:rPr>
          <w:rFonts w:hint="eastAsia" w:ascii="宋体" w:hAnsi="宋体" w:cs="仿宋"/>
          <w:kern w:val="0"/>
          <w:u w:val="single"/>
        </w:rPr>
        <w:t>（企业名称）</w:t>
      </w:r>
      <w:r>
        <w:rPr>
          <w:rFonts w:hint="eastAsia" w:ascii="宋体" w:hAnsi="宋体" w:cs="仿宋"/>
          <w:kern w:val="0"/>
        </w:rPr>
        <w:t>，从业人员</w:t>
      </w:r>
      <w:r>
        <w:rPr>
          <w:rFonts w:hint="eastAsia" w:ascii="宋体" w:hAnsi="宋体" w:cs="仿宋"/>
          <w:kern w:val="0"/>
          <w:u w:val="single"/>
        </w:rPr>
        <w:t xml:space="preserve">     </w:t>
      </w:r>
      <w:r>
        <w:rPr>
          <w:rFonts w:hint="eastAsia" w:ascii="宋体" w:hAnsi="宋体" w:cs="仿宋"/>
          <w:kern w:val="0"/>
        </w:rPr>
        <w:t>人，营业收入为</w:t>
      </w:r>
      <w:r>
        <w:rPr>
          <w:rFonts w:hint="eastAsia" w:ascii="宋体" w:hAnsi="宋体" w:cs="仿宋"/>
          <w:kern w:val="0"/>
          <w:u w:val="single"/>
        </w:rPr>
        <w:t xml:space="preserve">     </w:t>
      </w:r>
      <w:r>
        <w:rPr>
          <w:rFonts w:hint="eastAsia" w:ascii="宋体" w:hAnsi="宋体" w:cs="仿宋"/>
          <w:kern w:val="0"/>
        </w:rPr>
        <w:t>万元，资产总额为</w:t>
      </w:r>
      <w:r>
        <w:rPr>
          <w:rFonts w:hint="eastAsia" w:ascii="宋体" w:hAnsi="宋体" w:cs="仿宋"/>
          <w:kern w:val="0"/>
          <w:u w:val="single"/>
        </w:rPr>
        <w:t xml:space="preserve">    </w:t>
      </w:r>
      <w:r>
        <w:rPr>
          <w:rFonts w:hint="eastAsia" w:ascii="宋体" w:hAnsi="宋体" w:cs="仿宋"/>
          <w:kern w:val="0"/>
        </w:rPr>
        <w:t>万元，属于</w:t>
      </w:r>
      <w:r>
        <w:rPr>
          <w:rFonts w:hint="eastAsia" w:ascii="宋体" w:hAnsi="宋体" w:cs="仿宋"/>
          <w:kern w:val="0"/>
          <w:u w:val="single"/>
        </w:rPr>
        <w:t>（中型企业、小型企业、微型企业）</w:t>
      </w:r>
      <w:r>
        <w:rPr>
          <w:rFonts w:hint="eastAsia" w:ascii="宋体" w:hAnsi="宋体" w:cs="仿宋"/>
          <w:kern w:val="0"/>
        </w:rPr>
        <w:t>；</w:t>
      </w:r>
    </w:p>
    <w:p w14:paraId="3833FAA4">
      <w:pPr>
        <w:autoSpaceDE w:val="0"/>
        <w:autoSpaceDN w:val="0"/>
        <w:adjustRightInd w:val="0"/>
        <w:spacing w:line="360" w:lineRule="auto"/>
        <w:ind w:firstLine="480" w:firstLineChars="200"/>
        <w:rPr>
          <w:rFonts w:hint="eastAsia" w:ascii="宋体" w:hAnsi="宋体" w:cs="仿宋"/>
          <w:kern w:val="0"/>
        </w:rPr>
      </w:pPr>
      <w:r>
        <w:rPr>
          <w:rFonts w:hint="eastAsia" w:ascii="宋体" w:hAnsi="宋体" w:cs="仿宋"/>
          <w:kern w:val="0"/>
        </w:rPr>
        <w:t>2.</w:t>
      </w:r>
      <w:r>
        <w:rPr>
          <w:rFonts w:hint="eastAsia" w:ascii="宋体" w:hAnsi="宋体" w:cs="仿宋"/>
          <w:kern w:val="0"/>
          <w:u w:val="single"/>
        </w:rPr>
        <w:t xml:space="preserve">  （标的名称）  </w:t>
      </w:r>
      <w:r>
        <w:rPr>
          <w:rFonts w:hint="eastAsia" w:ascii="宋体" w:hAnsi="宋体" w:cs="仿宋"/>
          <w:kern w:val="0"/>
        </w:rPr>
        <w:t>，属于</w:t>
      </w:r>
      <w:r>
        <w:rPr>
          <w:rFonts w:hint="eastAsia" w:ascii="宋体" w:hAnsi="宋体" w:cs="仿宋"/>
          <w:kern w:val="0"/>
          <w:u w:val="single"/>
        </w:rPr>
        <w:t xml:space="preserve"> </w:t>
      </w:r>
      <w:r>
        <w:rPr>
          <w:rFonts w:hint="eastAsia" w:ascii="宋体" w:hAnsi="宋体" w:cs="仿宋"/>
          <w:kern w:val="0"/>
          <w:u w:val="single"/>
          <w:lang w:val="en-US" w:eastAsia="zh-CN"/>
        </w:rPr>
        <w:t xml:space="preserve"> 工业  </w:t>
      </w:r>
      <w:r>
        <w:rPr>
          <w:rFonts w:hint="eastAsia" w:ascii="宋体" w:hAnsi="宋体" w:cs="仿宋"/>
          <w:kern w:val="0"/>
          <w:u w:val="single"/>
        </w:rPr>
        <w:t xml:space="preserve"> </w:t>
      </w:r>
      <w:r>
        <w:rPr>
          <w:rFonts w:hint="eastAsia" w:ascii="宋体" w:hAnsi="宋体" w:cs="仿宋"/>
          <w:kern w:val="0"/>
        </w:rPr>
        <w:t>；制造商为</w:t>
      </w:r>
      <w:r>
        <w:rPr>
          <w:rFonts w:hint="eastAsia" w:ascii="宋体" w:hAnsi="宋体" w:cs="仿宋"/>
          <w:kern w:val="0"/>
          <w:u w:val="single"/>
        </w:rPr>
        <w:t>（企业名称）</w:t>
      </w:r>
      <w:r>
        <w:rPr>
          <w:rFonts w:hint="eastAsia" w:ascii="宋体" w:hAnsi="宋体" w:cs="仿宋"/>
          <w:kern w:val="0"/>
        </w:rPr>
        <w:t>，从业人员</w:t>
      </w:r>
      <w:r>
        <w:rPr>
          <w:rFonts w:hint="eastAsia" w:ascii="宋体" w:hAnsi="宋体" w:cs="仿宋"/>
          <w:kern w:val="0"/>
          <w:u w:val="single"/>
        </w:rPr>
        <w:t xml:space="preserve">    </w:t>
      </w:r>
      <w:r>
        <w:rPr>
          <w:rFonts w:hint="eastAsia" w:ascii="宋体" w:hAnsi="宋体" w:cs="仿宋"/>
          <w:kern w:val="0"/>
        </w:rPr>
        <w:t>人，营业收入为</w:t>
      </w:r>
      <w:r>
        <w:rPr>
          <w:rFonts w:hint="eastAsia" w:ascii="宋体" w:hAnsi="宋体" w:cs="仿宋"/>
          <w:kern w:val="0"/>
          <w:u w:val="single"/>
        </w:rPr>
        <w:t xml:space="preserve">    </w:t>
      </w:r>
      <w:r>
        <w:rPr>
          <w:rFonts w:hint="eastAsia" w:ascii="宋体" w:hAnsi="宋体" w:cs="仿宋"/>
          <w:kern w:val="0"/>
        </w:rPr>
        <w:t>万元，资产总额为</w:t>
      </w:r>
      <w:r>
        <w:rPr>
          <w:rFonts w:hint="eastAsia" w:ascii="宋体" w:hAnsi="宋体" w:cs="仿宋"/>
          <w:kern w:val="0"/>
          <w:u w:val="single"/>
        </w:rPr>
        <w:t xml:space="preserve"> </w:t>
      </w:r>
      <w:r>
        <w:rPr>
          <w:rFonts w:hint="eastAsia" w:ascii="宋体" w:hAnsi="宋体" w:cs="仿宋"/>
          <w:kern w:val="0"/>
          <w:u w:val="single"/>
          <w:lang w:val="en-US" w:eastAsia="zh-CN"/>
        </w:rPr>
        <w:t xml:space="preserve"> </w:t>
      </w:r>
      <w:r>
        <w:rPr>
          <w:rFonts w:hint="eastAsia" w:ascii="宋体" w:hAnsi="宋体" w:cs="仿宋"/>
          <w:kern w:val="0"/>
          <w:u w:val="single"/>
        </w:rPr>
        <w:t xml:space="preserve">  </w:t>
      </w:r>
      <w:r>
        <w:rPr>
          <w:rFonts w:hint="eastAsia" w:ascii="宋体" w:hAnsi="宋体" w:cs="仿宋"/>
          <w:kern w:val="0"/>
        </w:rPr>
        <w:t>万元，属于</w:t>
      </w:r>
      <w:r>
        <w:rPr>
          <w:rFonts w:hint="eastAsia" w:ascii="宋体" w:hAnsi="宋体" w:cs="仿宋"/>
          <w:kern w:val="0"/>
          <w:u w:val="single"/>
        </w:rPr>
        <w:t>（中型企业、小型企业、微型企业）</w:t>
      </w:r>
      <w:r>
        <w:rPr>
          <w:rFonts w:hint="eastAsia" w:ascii="宋体" w:hAnsi="宋体" w:cs="仿宋"/>
          <w:kern w:val="0"/>
        </w:rPr>
        <w:t>；</w:t>
      </w:r>
    </w:p>
    <w:p w14:paraId="3D234137">
      <w:pPr>
        <w:autoSpaceDE w:val="0"/>
        <w:autoSpaceDN w:val="0"/>
        <w:adjustRightInd w:val="0"/>
        <w:spacing w:line="360" w:lineRule="auto"/>
        <w:ind w:firstLine="480" w:firstLineChars="200"/>
        <w:rPr>
          <w:rFonts w:hint="eastAsia" w:ascii="宋体" w:hAnsi="宋体" w:cs="仿宋"/>
          <w:kern w:val="0"/>
        </w:rPr>
      </w:pPr>
      <w:r>
        <w:rPr>
          <w:rFonts w:hint="eastAsia" w:ascii="宋体" w:hAnsi="宋体" w:cs="仿宋"/>
          <w:kern w:val="0"/>
        </w:rPr>
        <w:t>……</w:t>
      </w:r>
    </w:p>
    <w:p w14:paraId="0C89BA71">
      <w:pPr>
        <w:autoSpaceDE w:val="0"/>
        <w:autoSpaceDN w:val="0"/>
        <w:adjustRightInd w:val="0"/>
        <w:spacing w:line="360" w:lineRule="auto"/>
        <w:ind w:firstLine="480" w:firstLineChars="200"/>
        <w:rPr>
          <w:rFonts w:hint="eastAsia" w:ascii="宋体" w:hAnsi="宋体" w:cs="仿宋"/>
          <w:kern w:val="0"/>
        </w:rPr>
      </w:pPr>
      <w:r>
        <w:rPr>
          <w:rFonts w:hint="eastAsia" w:ascii="宋体" w:hAnsi="宋体" w:cs="仿宋"/>
          <w:kern w:val="0"/>
        </w:rPr>
        <w:t>以上企业，不属于大企业的分支机构，不存在控股股东为大企业的情形，也不存在与大企业的负责人为同一人的情形。</w:t>
      </w:r>
    </w:p>
    <w:p w14:paraId="1AC24444">
      <w:pPr>
        <w:autoSpaceDE w:val="0"/>
        <w:autoSpaceDN w:val="0"/>
        <w:adjustRightInd w:val="0"/>
        <w:spacing w:line="360" w:lineRule="auto"/>
        <w:ind w:firstLine="480" w:firstLineChars="200"/>
        <w:rPr>
          <w:rFonts w:hint="eastAsia" w:ascii="宋体" w:hAnsi="宋体" w:cs="仿宋"/>
          <w:kern w:val="0"/>
        </w:rPr>
      </w:pPr>
      <w:r>
        <w:rPr>
          <w:rFonts w:hint="eastAsia" w:ascii="宋体" w:hAnsi="宋体" w:cs="仿宋"/>
          <w:kern w:val="0"/>
        </w:rPr>
        <w:t>本企业对上述声明内容的真实性负责。如有虚假，将依法承担相应责任。</w:t>
      </w:r>
      <w:bookmarkEnd w:id="789"/>
    </w:p>
    <w:p w14:paraId="29C1958F">
      <w:pPr>
        <w:autoSpaceDE w:val="0"/>
        <w:autoSpaceDN w:val="0"/>
        <w:adjustRightInd w:val="0"/>
        <w:spacing w:line="360" w:lineRule="auto"/>
        <w:jc w:val="left"/>
        <w:rPr>
          <w:rFonts w:hint="eastAsia" w:ascii="宋体" w:hAnsi="宋体" w:cs="仿宋"/>
          <w:kern w:val="0"/>
        </w:rPr>
      </w:pPr>
    </w:p>
    <w:p w14:paraId="029352EA">
      <w:pPr>
        <w:spacing w:line="600" w:lineRule="exact"/>
        <w:ind w:firstLine="4560" w:firstLineChars="1900"/>
        <w:rPr>
          <w:rFonts w:hint="eastAsia" w:ascii="宋体" w:hAnsi="宋体" w:cs="宋体"/>
          <w:bCs/>
          <w:kern w:val="0"/>
          <w:u w:val="single"/>
        </w:rPr>
      </w:pPr>
      <w:r>
        <w:rPr>
          <w:rFonts w:hint="eastAsia" w:ascii="宋体" w:hAnsi="宋体" w:cs="宋体"/>
          <w:bCs/>
          <w:kern w:val="0"/>
        </w:rPr>
        <w:t>企业名称（盖章）：</w:t>
      </w:r>
    </w:p>
    <w:p w14:paraId="68E084D1">
      <w:pPr>
        <w:spacing w:line="600" w:lineRule="exact"/>
        <w:ind w:right="480" w:firstLine="4560" w:firstLineChars="1900"/>
        <w:rPr>
          <w:rFonts w:hint="eastAsia" w:ascii="宋体" w:hAnsi="宋体" w:cs="宋体"/>
        </w:rPr>
      </w:pPr>
      <w:r>
        <w:rPr>
          <w:rFonts w:hint="eastAsia" w:ascii="宋体" w:hAnsi="宋体" w:cs="宋体"/>
        </w:rPr>
        <w:t>日  期：</w:t>
      </w:r>
    </w:p>
    <w:p w14:paraId="08542D68">
      <w:pPr>
        <w:spacing w:line="600" w:lineRule="exact"/>
        <w:ind w:right="480"/>
        <w:rPr>
          <w:rFonts w:hint="eastAsia" w:ascii="宋体" w:hAnsi="宋体" w:cs="宋体"/>
          <w:kern w:val="0"/>
        </w:rPr>
      </w:pPr>
    </w:p>
    <w:p w14:paraId="205EB358">
      <w:pPr>
        <w:spacing w:line="600" w:lineRule="exact"/>
        <w:ind w:right="480"/>
        <w:rPr>
          <w:rFonts w:hint="eastAsia" w:ascii="宋体" w:hAnsi="宋体" w:cs="宋体"/>
        </w:rPr>
      </w:pPr>
      <w:r>
        <w:rPr>
          <w:rFonts w:hint="eastAsia" w:ascii="宋体" w:hAnsi="宋体"/>
        </w:rPr>
        <w:t>从业人员、营业收入、资产总额填报上一年度数据，无上一年度数据的新成立企业可不填报。</w:t>
      </w:r>
    </w:p>
    <w:p w14:paraId="6C12F229">
      <w:pPr>
        <w:widowControl/>
        <w:spacing w:line="360" w:lineRule="auto"/>
        <w:ind w:firstLine="480" w:firstLineChars="200"/>
        <w:jc w:val="left"/>
        <w:rPr>
          <w:rFonts w:hint="eastAsia" w:ascii="宋体" w:hAnsi="宋体" w:cs="仿宋"/>
        </w:rPr>
      </w:pPr>
    </w:p>
    <w:p w14:paraId="2DE0FBC4">
      <w:pPr>
        <w:spacing w:line="600" w:lineRule="exact"/>
        <w:ind w:right="480"/>
        <w:rPr>
          <w:rFonts w:hint="eastAsia" w:ascii="宋体" w:hAnsi="宋体" w:cs="宋体"/>
        </w:rPr>
      </w:pPr>
    </w:p>
    <w:p w14:paraId="2B276532">
      <w:pPr>
        <w:spacing w:line="600" w:lineRule="exact"/>
        <w:ind w:right="480"/>
        <w:rPr>
          <w:rFonts w:hint="eastAsia" w:ascii="宋体" w:hAnsi="宋体" w:cs="仿宋"/>
        </w:rPr>
      </w:pPr>
    </w:p>
    <w:p w14:paraId="21620496">
      <w:pPr>
        <w:tabs>
          <w:tab w:val="left" w:pos="5580"/>
        </w:tabs>
        <w:spacing w:line="360" w:lineRule="auto"/>
        <w:ind w:firstLine="569" w:firstLineChars="236"/>
        <w:rPr>
          <w:b/>
          <w:bCs/>
        </w:rPr>
      </w:pPr>
    </w:p>
    <w:p w14:paraId="4856A4AA">
      <w:r>
        <w:rPr>
          <w:rFonts w:hint="eastAsia"/>
        </w:rPr>
        <w:br w:type="page"/>
      </w:r>
      <w:bookmarkStart w:id="791" w:name="_Toc22082"/>
      <w:bookmarkStart w:id="792" w:name="_Toc66692299"/>
      <w:bookmarkStart w:id="793" w:name="_Toc88936445"/>
      <w:bookmarkStart w:id="794" w:name="_Toc507412336"/>
      <w:bookmarkStart w:id="795" w:name="_Toc507409073"/>
    </w:p>
    <w:p w14:paraId="3EF7F41C">
      <w:pPr>
        <w:pStyle w:val="5"/>
      </w:pPr>
      <w:bookmarkStart w:id="796" w:name="_Toc97580403"/>
      <w:r>
        <w:rPr>
          <w:rFonts w:hint="eastAsia"/>
        </w:rPr>
        <w:t>二、监狱企业证明文件</w:t>
      </w:r>
      <w:bookmarkEnd w:id="791"/>
      <w:r>
        <w:rPr>
          <w:rFonts w:hint="eastAsia"/>
        </w:rPr>
        <w:t>（若有）</w:t>
      </w:r>
      <w:bookmarkEnd w:id="792"/>
      <w:bookmarkEnd w:id="793"/>
      <w:bookmarkEnd w:id="796"/>
    </w:p>
    <w:p w14:paraId="495CB4A8"/>
    <w:bookmarkEnd w:id="794"/>
    <w:bookmarkEnd w:id="795"/>
    <w:p w14:paraId="048B6CBF">
      <w:pPr>
        <w:spacing w:line="360" w:lineRule="auto"/>
        <w:ind w:firstLine="480" w:firstLineChars="200"/>
        <w:rPr>
          <w:rFonts w:hint="eastAsia" w:ascii="宋体" w:hAnsi="宋体" w:cs="仿宋"/>
        </w:rPr>
      </w:pPr>
      <w:bookmarkStart w:id="797" w:name="_Toc27485950"/>
      <w:bookmarkStart w:id="798" w:name="_Toc25570392"/>
      <w:r>
        <w:rPr>
          <w:rFonts w:hint="eastAsia" w:ascii="宋体" w:hAnsi="宋体" w:cs="仿宋"/>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D79B73">
      <w:pPr>
        <w:spacing w:line="360" w:lineRule="auto"/>
        <w:ind w:firstLine="480" w:firstLineChars="200"/>
        <w:rPr>
          <w:rFonts w:hint="eastAsia" w:ascii="宋体" w:hAnsi="宋体" w:cs="仿宋"/>
        </w:rPr>
      </w:pPr>
      <w:r>
        <w:rPr>
          <w:rFonts w:hint="eastAsia" w:ascii="宋体" w:hAnsi="宋体" w:cs="仿宋"/>
        </w:rPr>
        <w:t>监狱企业参加采购活动时，应当提供由省级以上监狱管理局、戒毒管理局（含新疆生产建设兵团）出具的属于监狱企业的证明文件。</w:t>
      </w:r>
    </w:p>
    <w:p w14:paraId="3173703B">
      <w:pPr>
        <w:widowControl/>
        <w:spacing w:line="360" w:lineRule="auto"/>
        <w:ind w:firstLine="480" w:firstLineChars="200"/>
        <w:rPr>
          <w:rFonts w:hint="eastAsia" w:ascii="宋体" w:hAnsi="宋体" w:cs="仿宋"/>
          <w:bCs/>
        </w:rPr>
      </w:pPr>
      <w:r>
        <w:rPr>
          <w:rFonts w:hint="eastAsia" w:ascii="宋体" w:hAnsi="宋体" w:cs="仿宋"/>
          <w:bCs/>
        </w:rPr>
        <w:t>注：符合《财政部 司法部关于政府采购支持监狱企业发展有关问题的通知》（财库[2014]68号）价格扣减条件的投标人须提交，符合条件的监狱企业在参加政府采购活动时，应当按《财政部 司法部关于政府采购支持监狱企业发展有关问题的通知》（财库[2014]68号）提供规定的《监狱企业证明文件》，并对证明文件的真实性负责。</w:t>
      </w:r>
    </w:p>
    <w:p w14:paraId="34A55F2D">
      <w:pPr>
        <w:widowControl/>
        <w:spacing w:line="360" w:lineRule="auto"/>
        <w:jc w:val="left"/>
        <w:rPr>
          <w:rFonts w:hint="eastAsia" w:ascii="宋体" w:hAnsi="宋体" w:cs="仿宋"/>
          <w:b/>
        </w:rPr>
      </w:pPr>
    </w:p>
    <w:p w14:paraId="47410FB9">
      <w:pPr>
        <w:tabs>
          <w:tab w:val="left" w:pos="5580"/>
        </w:tabs>
        <w:spacing w:line="600" w:lineRule="exact"/>
        <w:ind w:firstLine="482" w:firstLineChars="200"/>
        <w:rPr>
          <w:b/>
          <w:bCs/>
        </w:rPr>
      </w:pPr>
      <w:r>
        <w:rPr>
          <w:rFonts w:hint="eastAsia" w:ascii="宋体" w:hAnsi="宋体" w:cs="宋体"/>
          <w:b/>
          <w:bCs/>
          <w:kern w:val="0"/>
        </w:rPr>
        <w:t>注：投标人若没有监狱企业证明文件，此处填 “非监狱企业”。</w:t>
      </w:r>
    </w:p>
    <w:p w14:paraId="29C00C4B">
      <w:pPr>
        <w:pStyle w:val="5"/>
        <w:rPr>
          <w:rFonts w:hint="eastAsia" w:ascii="宋体" w:hAnsi="宋体" w:cs="宋体"/>
          <w:bCs/>
          <w:kern w:val="0"/>
        </w:rPr>
      </w:pPr>
      <w:r>
        <w:rPr>
          <w:b w:val="0"/>
          <w:bCs/>
          <w:sz w:val="24"/>
          <w:szCs w:val="24"/>
        </w:rPr>
        <w:br w:type="page"/>
      </w:r>
      <w:bookmarkStart w:id="799" w:name="_Toc28475"/>
      <w:bookmarkStart w:id="800" w:name="_Toc88936446"/>
      <w:bookmarkStart w:id="801" w:name="_Toc66692300"/>
      <w:bookmarkStart w:id="802" w:name="_Toc97580404"/>
      <w:r>
        <w:rPr>
          <w:rFonts w:hint="eastAsia"/>
          <w:szCs w:val="32"/>
        </w:rPr>
        <w:t>三、残疾人福利性单位声明函</w:t>
      </w:r>
      <w:bookmarkEnd w:id="797"/>
      <w:bookmarkEnd w:id="798"/>
      <w:bookmarkEnd w:id="799"/>
      <w:r>
        <w:rPr>
          <w:rFonts w:hint="eastAsia"/>
          <w:szCs w:val="32"/>
        </w:rPr>
        <w:t>（若有）</w:t>
      </w:r>
      <w:bookmarkEnd w:id="800"/>
      <w:bookmarkEnd w:id="801"/>
      <w:bookmarkEnd w:id="802"/>
    </w:p>
    <w:p w14:paraId="47A45484"/>
    <w:p w14:paraId="064B196F">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1B63C3">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本单位对上述声明的真实性负责。如有虚假，将依法承担相应责任。</w:t>
      </w:r>
    </w:p>
    <w:p w14:paraId="57CED84D">
      <w:pPr>
        <w:pStyle w:val="26"/>
        <w:spacing w:line="360" w:lineRule="auto"/>
        <w:ind w:left="5250" w:firstLine="4080" w:firstLineChars="1700"/>
        <w:rPr>
          <w:rFonts w:hint="eastAsia" w:hAnsi="宋体" w:cs="宋体"/>
          <w:sz w:val="24"/>
          <w:szCs w:val="24"/>
        </w:rPr>
      </w:pPr>
    </w:p>
    <w:p w14:paraId="354CDF1C">
      <w:pPr>
        <w:tabs>
          <w:tab w:val="left" w:pos="5580"/>
        </w:tabs>
        <w:spacing w:line="600" w:lineRule="exact"/>
        <w:jc w:val="left"/>
        <w:rPr>
          <w:rFonts w:hint="eastAsia" w:ascii="宋体" w:hAnsi="宋体" w:cs="宋体"/>
          <w:bCs/>
          <w:kern w:val="0"/>
        </w:rPr>
      </w:pPr>
      <w:r>
        <w:rPr>
          <w:rFonts w:hint="eastAsia" w:ascii="宋体" w:hAnsi="宋体" w:cs="宋体"/>
          <w:bCs/>
          <w:kern w:val="0"/>
        </w:rPr>
        <w:t>单位名称（盖章）：</w:t>
      </w:r>
    </w:p>
    <w:p w14:paraId="6118068B">
      <w:pPr>
        <w:tabs>
          <w:tab w:val="left" w:pos="5580"/>
        </w:tabs>
        <w:spacing w:line="600" w:lineRule="exact"/>
        <w:jc w:val="left"/>
        <w:rPr>
          <w:rFonts w:hint="eastAsia" w:ascii="宋体" w:hAnsi="宋体" w:cs="宋体"/>
        </w:rPr>
      </w:pPr>
      <w:r>
        <w:rPr>
          <w:rFonts w:hint="eastAsia" w:ascii="宋体" w:hAnsi="宋体" w:cs="宋体"/>
          <w:bCs/>
          <w:kern w:val="0"/>
        </w:rPr>
        <w:t>日 期：</w:t>
      </w:r>
    </w:p>
    <w:p w14:paraId="71BFE65F">
      <w:pPr>
        <w:pStyle w:val="476"/>
        <w:ind w:firstLine="480"/>
        <w:rPr>
          <w:rFonts w:hint="eastAsia"/>
          <w:lang w:val="en-US"/>
        </w:rPr>
      </w:pPr>
    </w:p>
    <w:p w14:paraId="69F5CF95">
      <w:pPr>
        <w:widowControl/>
        <w:jc w:val="left"/>
        <w:rPr>
          <w:rFonts w:hint="eastAsia" w:ascii="黑体" w:hAnsi="黑体" w:eastAsia="黑体"/>
          <w:b/>
          <w:sz w:val="36"/>
          <w:szCs w:val="36"/>
        </w:rPr>
      </w:pPr>
      <w:r>
        <w:rPr>
          <w:rFonts w:hint="eastAsia" w:ascii="黑体" w:hAnsi="黑体" w:eastAsia="黑体"/>
          <w:b/>
          <w:sz w:val="36"/>
          <w:szCs w:val="36"/>
        </w:rPr>
        <w:br w:type="page"/>
      </w:r>
    </w:p>
    <w:p w14:paraId="1AB87952">
      <w:pPr>
        <w:pStyle w:val="5"/>
        <w:spacing w:line="360" w:lineRule="auto"/>
        <w:rPr>
          <w:szCs w:val="32"/>
        </w:rPr>
      </w:pPr>
      <w:r>
        <w:rPr>
          <w:rFonts w:hint="eastAsia"/>
          <w:szCs w:val="32"/>
        </w:rPr>
        <w:t>四、关于符合本国产品标准的声明函（若有）</w:t>
      </w:r>
    </w:p>
    <w:p w14:paraId="4FE3B473">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本公司(单位)郑重声明，根据《国务院办公厅关于在政府采购中实施本国产品标准及相关政策的通知》(国办发〔2025〕34号)的规定，本公司(单位)提供的以下产品属于本国产品。具体情况如下:</w:t>
      </w:r>
    </w:p>
    <w:p w14:paraId="6D8E865A">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1.</w:t>
      </w:r>
      <w:r>
        <w:rPr>
          <w:rFonts w:hint="eastAsia" w:ascii="宋体" w:hAnsi="宋体" w:cs="宋体"/>
          <w:kern w:val="0"/>
          <w:u w:val="single"/>
        </w:rPr>
        <w:t>(产品名称1)</w:t>
      </w:r>
      <w:r>
        <w:rPr>
          <w:rFonts w:hint="eastAsia" w:ascii="宋体" w:hAnsi="宋体" w:cs="宋体"/>
          <w:kern w:val="0"/>
        </w:rPr>
        <w:t>1，生产厂为</w:t>
      </w:r>
      <w:r>
        <w:rPr>
          <w:rFonts w:hint="eastAsia" w:ascii="宋体" w:hAnsi="宋体" w:cs="宋体"/>
          <w:kern w:val="0"/>
          <w:u w:val="single"/>
        </w:rPr>
        <w:t xml:space="preserve"> (厂名) </w:t>
      </w:r>
      <w:r>
        <w:rPr>
          <w:rFonts w:hint="eastAsia" w:ascii="宋体" w:hAnsi="宋体" w:cs="宋体"/>
          <w:kern w:val="0"/>
        </w:rPr>
        <w:t>2,厂址为</w:t>
      </w:r>
      <w:r>
        <w:rPr>
          <w:rFonts w:hint="eastAsia" w:ascii="宋体" w:hAnsi="宋体" w:cs="宋体"/>
          <w:kern w:val="0"/>
          <w:u w:val="single"/>
        </w:rPr>
        <w:t xml:space="preserve"> (生产厂址) </w:t>
      </w:r>
      <w:r>
        <w:rPr>
          <w:rFonts w:hint="eastAsia" w:ascii="宋体" w:hAnsi="宋体" w:cs="宋体"/>
          <w:kern w:val="0"/>
        </w:rPr>
        <w:t>。</w:t>
      </w:r>
      <w:r>
        <w:rPr>
          <w:rFonts w:hint="eastAsia" w:ascii="宋体" w:hAnsi="宋体" w:cs="宋体"/>
          <w:kern w:val="0"/>
          <w:u w:val="single"/>
        </w:rPr>
        <w:t xml:space="preserve"> (产品名称1) </w:t>
      </w:r>
      <w:r>
        <w:rPr>
          <w:rFonts w:hint="eastAsia" w:ascii="宋体" w:hAnsi="宋体" w:cs="宋体"/>
          <w:kern w:val="0"/>
        </w:rPr>
        <w:t>的中国境内生产的组件成本占比≥</w:t>
      </w:r>
      <w:r>
        <w:rPr>
          <w:rFonts w:hint="eastAsia" w:ascii="宋体" w:hAnsi="宋体" w:cs="宋体"/>
          <w:kern w:val="0"/>
          <w:u w:val="single"/>
        </w:rPr>
        <w:t xml:space="preserve"> (规定比例) </w:t>
      </w:r>
      <w:r>
        <w:rPr>
          <w:rFonts w:hint="eastAsia" w:ascii="宋体" w:hAnsi="宋体" w:cs="宋体"/>
          <w:kern w:val="0"/>
        </w:rPr>
        <w:t>3。</w:t>
      </w:r>
      <w:r>
        <w:rPr>
          <w:rFonts w:hint="eastAsia" w:ascii="宋体" w:hAnsi="宋体" w:cs="宋体"/>
          <w:kern w:val="0"/>
          <w:u w:val="single"/>
        </w:rPr>
        <w:t xml:space="preserve"> (产品名称1) </w:t>
      </w:r>
      <w:r>
        <w:rPr>
          <w:rFonts w:hint="eastAsia" w:ascii="宋体" w:hAnsi="宋体" w:cs="宋体"/>
          <w:kern w:val="0"/>
        </w:rPr>
        <w:t>的</w:t>
      </w:r>
      <w:r>
        <w:rPr>
          <w:rFonts w:hint="eastAsia" w:ascii="宋体" w:hAnsi="宋体" w:cs="宋体"/>
          <w:kern w:val="0"/>
          <w:u w:val="single"/>
        </w:rPr>
        <w:t xml:space="preserve"> (关键组件)</w:t>
      </w:r>
      <w:r>
        <w:rPr>
          <w:rFonts w:hint="eastAsia" w:ascii="宋体" w:hAnsi="宋体" w:cs="宋体"/>
          <w:kern w:val="0"/>
        </w:rPr>
        <w:t xml:space="preserve"> 4在中国境内生产。</w:t>
      </w:r>
      <w:r>
        <w:rPr>
          <w:rFonts w:hint="eastAsia" w:ascii="宋体" w:hAnsi="宋体" w:cs="宋体"/>
          <w:kern w:val="0"/>
          <w:u w:val="single"/>
        </w:rPr>
        <w:t xml:space="preserve"> (产品名称1) </w:t>
      </w:r>
      <w:r>
        <w:rPr>
          <w:rFonts w:hint="eastAsia" w:ascii="宋体" w:hAnsi="宋体" w:cs="宋体"/>
          <w:kern w:val="0"/>
        </w:rPr>
        <w:t>的</w:t>
      </w:r>
      <w:r>
        <w:rPr>
          <w:rFonts w:hint="eastAsia" w:ascii="宋体" w:hAnsi="宋体" w:cs="宋体"/>
          <w:kern w:val="0"/>
          <w:u w:val="single"/>
        </w:rPr>
        <w:t xml:space="preserve"> (关键工序) </w:t>
      </w:r>
      <w:r>
        <w:rPr>
          <w:rFonts w:hint="eastAsia" w:ascii="宋体" w:hAnsi="宋体" w:cs="宋体"/>
          <w:kern w:val="0"/>
        </w:rPr>
        <w:t>5在中国境内完成。</w:t>
      </w:r>
    </w:p>
    <w:p w14:paraId="0FC51E17">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2.</w:t>
      </w:r>
      <w:r>
        <w:rPr>
          <w:rFonts w:hint="eastAsia" w:ascii="宋体" w:hAnsi="宋体" w:cs="宋体"/>
          <w:kern w:val="0"/>
          <w:u w:val="single"/>
        </w:rPr>
        <w:t xml:space="preserve">(产品名称2) </w:t>
      </w:r>
      <w:r>
        <w:rPr>
          <w:rFonts w:hint="eastAsia" w:ascii="宋体" w:hAnsi="宋体" w:cs="宋体"/>
          <w:kern w:val="0"/>
        </w:rPr>
        <w:t>，生产厂为</w:t>
      </w:r>
      <w:r>
        <w:rPr>
          <w:rFonts w:hint="eastAsia" w:ascii="宋体" w:hAnsi="宋体" w:cs="宋体"/>
          <w:kern w:val="0"/>
          <w:u w:val="single"/>
        </w:rPr>
        <w:t xml:space="preserve"> (厂名) </w:t>
      </w:r>
      <w:r>
        <w:rPr>
          <w:rFonts w:hint="eastAsia" w:ascii="宋体" w:hAnsi="宋体" w:cs="宋体"/>
          <w:kern w:val="0"/>
        </w:rPr>
        <w:t>,厂址为</w:t>
      </w:r>
      <w:r>
        <w:rPr>
          <w:rFonts w:hint="eastAsia" w:ascii="宋体" w:hAnsi="宋体" w:cs="宋体"/>
          <w:kern w:val="0"/>
          <w:u w:val="single"/>
        </w:rPr>
        <w:t xml:space="preserve"> (生产厂址) </w:t>
      </w:r>
      <w:r>
        <w:rPr>
          <w:rFonts w:hint="eastAsia" w:ascii="宋体" w:hAnsi="宋体" w:cs="宋体"/>
          <w:kern w:val="0"/>
        </w:rPr>
        <w:t>。</w:t>
      </w:r>
      <w:r>
        <w:rPr>
          <w:rFonts w:hint="eastAsia" w:ascii="宋体" w:hAnsi="宋体" w:cs="宋体"/>
          <w:kern w:val="0"/>
          <w:u w:val="single"/>
        </w:rPr>
        <w:t xml:space="preserve"> (产品名称2) </w:t>
      </w:r>
      <w:r>
        <w:rPr>
          <w:rFonts w:hint="eastAsia" w:ascii="宋体" w:hAnsi="宋体" w:cs="宋体"/>
          <w:kern w:val="0"/>
        </w:rPr>
        <w:t>的中国境内生产的组件成本占比≥</w:t>
      </w:r>
      <w:r>
        <w:rPr>
          <w:rFonts w:hint="eastAsia" w:ascii="宋体" w:hAnsi="宋体" w:cs="宋体"/>
          <w:kern w:val="0"/>
          <w:u w:val="single"/>
        </w:rPr>
        <w:t xml:space="preserve"> (规定比例) </w:t>
      </w:r>
      <w:r>
        <w:rPr>
          <w:rFonts w:hint="eastAsia" w:ascii="宋体" w:hAnsi="宋体" w:cs="宋体"/>
          <w:kern w:val="0"/>
        </w:rPr>
        <w:t>。</w:t>
      </w:r>
      <w:r>
        <w:rPr>
          <w:rFonts w:hint="eastAsia" w:ascii="宋体" w:hAnsi="宋体" w:cs="宋体"/>
          <w:kern w:val="0"/>
          <w:u w:val="single"/>
        </w:rPr>
        <w:t xml:space="preserve"> (产品名称2) </w:t>
      </w:r>
      <w:r>
        <w:rPr>
          <w:rFonts w:hint="eastAsia" w:ascii="宋体" w:hAnsi="宋体" w:cs="宋体"/>
          <w:kern w:val="0"/>
        </w:rPr>
        <w:t>的</w:t>
      </w:r>
      <w:r>
        <w:rPr>
          <w:rFonts w:hint="eastAsia" w:ascii="宋体" w:hAnsi="宋体" w:cs="宋体"/>
          <w:kern w:val="0"/>
          <w:u w:val="single"/>
        </w:rPr>
        <w:t xml:space="preserve"> (关键组件) </w:t>
      </w:r>
      <w:r>
        <w:rPr>
          <w:rFonts w:hint="eastAsia" w:ascii="宋体" w:hAnsi="宋体" w:cs="宋体"/>
          <w:kern w:val="0"/>
        </w:rPr>
        <w:t>在中国境内生产。</w:t>
      </w:r>
      <w:r>
        <w:rPr>
          <w:rFonts w:hint="eastAsia" w:ascii="宋体" w:hAnsi="宋体" w:cs="宋体"/>
          <w:kern w:val="0"/>
          <w:u w:val="single"/>
        </w:rPr>
        <w:t>(产品名称2)</w:t>
      </w:r>
      <w:r>
        <w:rPr>
          <w:rFonts w:hint="eastAsia" w:ascii="宋体" w:hAnsi="宋体" w:cs="宋体"/>
          <w:kern w:val="0"/>
        </w:rPr>
        <w:t>的</w:t>
      </w:r>
      <w:r>
        <w:rPr>
          <w:rFonts w:hint="eastAsia" w:ascii="宋体" w:hAnsi="宋体" w:cs="宋体"/>
          <w:kern w:val="0"/>
          <w:u w:val="single"/>
        </w:rPr>
        <w:t>(关键工序)</w:t>
      </w:r>
      <w:r>
        <w:rPr>
          <w:rFonts w:hint="eastAsia" w:ascii="宋体" w:hAnsi="宋体" w:cs="宋体"/>
          <w:kern w:val="0"/>
        </w:rPr>
        <w:t>在中国境内完成。</w:t>
      </w:r>
    </w:p>
    <w:p w14:paraId="18200158">
      <w:pPr>
        <w:widowControl/>
        <w:shd w:val="clear" w:color="auto" w:fill="FFFFFF"/>
        <w:spacing w:line="360" w:lineRule="auto"/>
        <w:ind w:left="480" w:leftChars="200"/>
        <w:rPr>
          <w:rFonts w:hint="eastAsia" w:ascii="宋体" w:hAnsi="宋体" w:cs="宋体"/>
          <w:kern w:val="0"/>
        </w:rPr>
      </w:pPr>
      <w:r>
        <w:rPr>
          <w:rFonts w:hint="eastAsia" w:ascii="宋体" w:hAnsi="宋体" w:cs="宋体"/>
          <w:kern w:val="0"/>
        </w:rPr>
        <w:t>......</w:t>
      </w:r>
    </w:p>
    <w:p w14:paraId="1EE04E29">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本公司(单位)对上述声明内容的真实性负责。如有虚假，愿承担相应法律责任。</w:t>
      </w:r>
    </w:p>
    <w:p w14:paraId="1E232F6C">
      <w:pPr>
        <w:pStyle w:val="476"/>
        <w:spacing w:line="360" w:lineRule="auto"/>
        <w:ind w:firstLine="480"/>
        <w:rPr>
          <w:rFonts w:hint="eastAsia"/>
        </w:rPr>
      </w:pPr>
    </w:p>
    <w:p w14:paraId="46DF025F">
      <w:pPr>
        <w:pStyle w:val="476"/>
        <w:spacing w:line="360" w:lineRule="auto"/>
        <w:ind w:firstLine="480"/>
        <w:rPr>
          <w:rFonts w:hint="eastAsia"/>
        </w:rPr>
      </w:pPr>
    </w:p>
    <w:p w14:paraId="746AE2EE">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公司（单位）名称（盖章）：</w:t>
      </w:r>
    </w:p>
    <w:p w14:paraId="4390BE4B">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日期：   年   月   日</w:t>
      </w:r>
    </w:p>
    <w:p w14:paraId="22E12A93">
      <w:pPr>
        <w:pStyle w:val="377"/>
      </w:pPr>
    </w:p>
    <w:p w14:paraId="332B0F63">
      <w:pPr>
        <w:pStyle w:val="377"/>
        <w:rPr>
          <w:szCs w:val="32"/>
        </w:rPr>
      </w:pPr>
    </w:p>
    <w:p w14:paraId="15FA1578">
      <w:pPr>
        <w:pStyle w:val="377"/>
        <w:rPr>
          <w:szCs w:val="32"/>
        </w:rPr>
      </w:pPr>
    </w:p>
    <w:p w14:paraId="36166187">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1.产品如有型号，请在“产品名称”栏一并填写。</w:t>
      </w:r>
    </w:p>
    <w:p w14:paraId="13A85615">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2.生产厂名与厂址应与生产厂营业执照载明的相关信息保持一致。</w:t>
      </w:r>
    </w:p>
    <w:p w14:paraId="3BFB1588">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3.该产品的中国境内生产的组件成本占比相关要求实施前，“规定比例”栏可不填，下同。</w:t>
      </w:r>
    </w:p>
    <w:p w14:paraId="2A75DB33">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4.该产品的关键组件要求实施前，“关键组件”栏可不填，下同。</w:t>
      </w:r>
    </w:p>
    <w:p w14:paraId="0666F05F">
      <w:pPr>
        <w:widowControl/>
        <w:shd w:val="clear" w:color="auto" w:fill="FFFFFF"/>
        <w:spacing w:line="360" w:lineRule="auto"/>
        <w:ind w:firstLine="480" w:firstLineChars="200"/>
        <w:rPr>
          <w:rFonts w:hint="eastAsia" w:ascii="宋体" w:hAnsi="宋体" w:cs="宋体"/>
          <w:kern w:val="0"/>
        </w:rPr>
      </w:pPr>
      <w:r>
        <w:rPr>
          <w:rFonts w:hint="eastAsia" w:ascii="宋体" w:hAnsi="宋体" w:cs="宋体"/>
          <w:kern w:val="0"/>
        </w:rPr>
        <w:t>5.该产品的关键工序要求实施前，“关键工序”栏可不填，下同。</w:t>
      </w:r>
    </w:p>
    <w:p w14:paraId="362032DF">
      <w:pPr>
        <w:widowControl/>
        <w:shd w:val="clear" w:color="auto" w:fill="FFFFFF"/>
        <w:spacing w:line="360" w:lineRule="auto"/>
        <w:ind w:firstLine="480" w:firstLineChars="200"/>
        <w:rPr>
          <w:rFonts w:hint="eastAsia" w:ascii="宋体" w:hAnsi="宋体" w:cs="宋体"/>
          <w:kern w:val="0"/>
        </w:rPr>
      </w:pPr>
    </w:p>
    <w:p w14:paraId="0C4C5DFF">
      <w:pPr>
        <w:widowControl/>
        <w:jc w:val="left"/>
        <w:rPr>
          <w:rFonts w:hint="eastAsia" w:ascii="黑体" w:hAnsi="黑体" w:eastAsia="黑体"/>
          <w:b/>
          <w:sz w:val="36"/>
          <w:szCs w:val="36"/>
        </w:rPr>
      </w:pPr>
    </w:p>
    <w:p w14:paraId="68BEAFF7">
      <w:pPr>
        <w:pStyle w:val="476"/>
        <w:ind w:firstLine="480"/>
        <w:rPr>
          <w:rFonts w:hint="eastAsia"/>
        </w:rPr>
      </w:pPr>
      <w:r>
        <w:br w:type="page"/>
      </w:r>
    </w:p>
    <w:p w14:paraId="767176A3">
      <w:pPr>
        <w:pStyle w:val="5"/>
        <w:rPr>
          <w:szCs w:val="32"/>
        </w:rPr>
      </w:pPr>
      <w:r>
        <w:rPr>
          <w:rFonts w:hint="eastAsia"/>
          <w:szCs w:val="32"/>
        </w:rPr>
        <w:t>五、投标人认为重要的其他资料</w:t>
      </w:r>
      <w:bookmarkEnd w:id="782"/>
    </w:p>
    <w:p w14:paraId="79E1383B">
      <w:pPr>
        <w:rPr>
          <w:rFonts w:hint="eastAsia" w:ascii="宋体" w:hAnsi="宋体" w:cs="宋体"/>
        </w:rPr>
      </w:pPr>
    </w:p>
    <w:p w14:paraId="50373ABA">
      <w:pPr>
        <w:jc w:val="center"/>
      </w:pPr>
      <w:r>
        <w:rPr>
          <w:rFonts w:hint="eastAsia" w:ascii="宋体" w:hAnsi="宋体" w:cs="宋体"/>
        </w:rPr>
        <w:t>投标人自行编写</w:t>
      </w:r>
      <w:bookmarkEnd w:id="498"/>
    </w:p>
    <w:p w14:paraId="71D4BED2">
      <w:pPr>
        <w:widowControl/>
        <w:jc w:val="left"/>
        <w:rPr>
          <w:rFonts w:hint="eastAsia" w:ascii="黑体" w:hAnsi="黑体" w:eastAsia="黑体"/>
          <w:b/>
          <w:sz w:val="36"/>
          <w:szCs w:val="36"/>
        </w:rPr>
      </w:pPr>
    </w:p>
    <w:sectPr>
      <w:footerReference r:id="rId8" w:type="first"/>
      <w:footerReference r:id="rId7" w:type="default"/>
      <w:pgSz w:w="11906" w:h="16838"/>
      <w:pgMar w:top="1440" w:right="1418" w:bottom="1440" w:left="1701" w:header="720" w:footer="720" w:gutter="0"/>
      <w:pgNumType w:chapStyle="1"/>
      <w:cols w:space="0" w:num="1"/>
      <w:titlePg/>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金山简黑体">
    <w:altName w:val="宋体"/>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ヒラギノ角ゴ Pro W3">
    <w:altName w:val="宋体"/>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汉仪大黑简K艵.">
    <w:altName w:val="黑体"/>
    <w:panose1 w:val="00000000000000000000"/>
    <w:charset w:val="86"/>
    <w:family w:val="swiss"/>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方正小标宋_GBK">
    <w:altName w:val="微软雅黑"/>
    <w:panose1 w:val="00000000000000000000"/>
    <w:charset w:val="86"/>
    <w:family w:val="auto"/>
    <w:pitch w:val="default"/>
    <w:sig w:usb0="00000000" w:usb1="00000000" w:usb2="00080016" w:usb3="00000000" w:csb0="00040001"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方正小标宋简体">
    <w:altName w:val="微软雅黑"/>
    <w:panose1 w:val="00000000000000000000"/>
    <w:charset w:val="86"/>
    <w:family w:val="auto"/>
    <w:pitch w:val="default"/>
    <w:sig w:usb0="00000000" w:usb1="00000000" w:usb2="00000012" w:usb3="00000000" w:csb0="00040001" w:csb1="00000000"/>
  </w:font>
  <w:font w:name="Segoe UI Symbol">
    <w:panose1 w:val="020B0502040204020203"/>
    <w:charset w:val="00"/>
    <w:family w:val="swiss"/>
    <w:pitch w:val="default"/>
    <w:sig w:usb0="800001E3" w:usb1="1200FFEF" w:usb2="00040000" w:usb3="04000000" w:csb0="00000001" w:csb1="40000000"/>
  </w:font>
  <w:font w:name="inherit">
    <w:altName w:val="Times New Roman"/>
    <w:panose1 w:val="00000000000000000000"/>
    <w:charset w:val="00"/>
    <w:family w:val="roman"/>
    <w:pitch w:val="default"/>
    <w:sig w:usb0="00000000"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FC872">
    <w:pPr>
      <w:pStyle w:val="31"/>
      <w:jc w:val="right"/>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35907740"/>
    </w:sdtPr>
    <w:sdtContent>
      <w:p w14:paraId="4EFD5463">
        <w:pPr>
          <w:pStyle w:val="31"/>
          <w:jc w:val="center"/>
        </w:pPr>
        <w:r>
          <w:fldChar w:fldCharType="begin"/>
        </w:r>
        <w:r>
          <w:instrText xml:space="preserve">PAGE   \* MERGEFORMAT</w:instrText>
        </w:r>
        <w:r>
          <w:fldChar w:fldCharType="separate"/>
        </w:r>
        <w:r>
          <w:rPr>
            <w:lang w:val="zh-CN"/>
          </w:rPr>
          <w:t>48</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81708014"/>
    </w:sdtPr>
    <w:sdtContent>
      <w:p w14:paraId="4B3E538E">
        <w:pPr>
          <w:pStyle w:val="31"/>
          <w:jc w:val="center"/>
        </w:pPr>
        <w:r>
          <w:fldChar w:fldCharType="begin"/>
        </w:r>
        <w:r>
          <w:instrText xml:space="preserve">PAGE   \* MERGEFORMAT</w:instrText>
        </w:r>
        <w:r>
          <w:fldChar w:fldCharType="separate"/>
        </w:r>
        <w:r>
          <w:rPr>
            <w:lang w:val="zh-CN"/>
          </w:rPr>
          <w:t>27</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9977028"/>
    </w:sdtPr>
    <w:sdtContent>
      <w:p w14:paraId="0C5746FF">
        <w:pPr>
          <w:pStyle w:val="31"/>
          <w:jc w:val="center"/>
        </w:pPr>
        <w:r>
          <w:fldChar w:fldCharType="begin"/>
        </w:r>
        <w:r>
          <w:instrText xml:space="preserve">PAGE   \* MERGEFORMAT</w:instrText>
        </w:r>
        <w:r>
          <w:fldChar w:fldCharType="separate"/>
        </w:r>
        <w:r>
          <w:rPr>
            <w:lang w:val="zh-CN"/>
          </w:rPr>
          <w:t>76</w:t>
        </w:r>
        <w:r>
          <w:fldChar w:fldCharType="end"/>
        </w:r>
      </w:p>
    </w:sdtContent>
  </w:sdt>
  <w:p w14:paraId="0B4B5C76">
    <w:pPr>
      <w:pStyle w:val="31"/>
      <w:jc w:val="right"/>
      <w:rPr>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8826240"/>
    </w:sdtPr>
    <w:sdtContent>
      <w:p w14:paraId="1EA1224E">
        <w:pPr>
          <w:pStyle w:val="31"/>
          <w:jc w:val="center"/>
        </w:pPr>
        <w:r>
          <w:fldChar w:fldCharType="begin"/>
        </w:r>
        <w:r>
          <w:instrText xml:space="preserve">PAGE   \* MERGEFORMAT</w:instrText>
        </w:r>
        <w:r>
          <w:fldChar w:fldCharType="separate"/>
        </w:r>
        <w:r>
          <w:rPr>
            <w:lang w:val="zh-CN"/>
          </w:rPr>
          <w:t>74</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0C4F2">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2"/>
    <w:multiLevelType w:val="singleLevel"/>
    <w:tmpl w:val="FFFFFF82"/>
    <w:lvl w:ilvl="0" w:tentative="0">
      <w:start w:val="1"/>
      <w:numFmt w:val="bullet"/>
      <w:pStyle w:val="18"/>
      <w:lvlText w:val=""/>
      <w:lvlJc w:val="left"/>
      <w:pPr>
        <w:tabs>
          <w:tab w:val="left" w:pos="9344"/>
        </w:tabs>
        <w:ind w:left="9344" w:leftChars="400" w:hanging="360" w:hangingChars="200"/>
      </w:pPr>
      <w:rPr>
        <w:rFonts w:hint="default" w:ascii="Wingdings" w:hAnsi="Wingdings"/>
      </w:rPr>
    </w:lvl>
  </w:abstractNum>
  <w:abstractNum w:abstractNumId="1">
    <w:nsid w:val="00000005"/>
    <w:multiLevelType w:val="multilevel"/>
    <w:tmpl w:val="00000005"/>
    <w:lvl w:ilvl="0" w:tentative="0">
      <w:start w:val="2"/>
      <w:numFmt w:val="japaneseCounting"/>
      <w:lvlText w:val="%1、"/>
      <w:lvlJc w:val="left"/>
      <w:pPr>
        <w:tabs>
          <w:tab w:val="left" w:pos="720"/>
        </w:tabs>
        <w:ind w:left="720" w:hanging="720"/>
      </w:pPr>
      <w:rPr>
        <w:rFonts w:hint="default" w:cs="Times New Roman"/>
      </w:rPr>
    </w:lvl>
    <w:lvl w:ilvl="1" w:tentative="0">
      <w:start w:val="1"/>
      <w:numFmt w:val="decimal"/>
      <w:pStyle w:val="176"/>
      <w:lvlText w:val="%2、"/>
      <w:lvlJc w:val="left"/>
      <w:pPr>
        <w:tabs>
          <w:tab w:val="left" w:pos="780"/>
        </w:tabs>
        <w:ind w:left="780" w:hanging="360"/>
      </w:pPr>
      <w:rPr>
        <w:rFonts w:hint="default" w:cs="Times New Roman"/>
      </w:rPr>
    </w:lvl>
    <w:lvl w:ilvl="2" w:tentative="0">
      <w:start w:val="1"/>
      <w:numFmt w:val="lowerRoman"/>
      <w:lvlText w:val="%3."/>
      <w:lvlJc w:val="right"/>
      <w:pPr>
        <w:tabs>
          <w:tab w:val="left" w:pos="1260"/>
        </w:tabs>
        <w:ind w:left="1260" w:hanging="42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0000000C"/>
    <w:multiLevelType w:val="multilevel"/>
    <w:tmpl w:val="0000000C"/>
    <w:lvl w:ilvl="0" w:tentative="0">
      <w:start w:val="1"/>
      <w:numFmt w:val="decimal"/>
      <w:pStyle w:val="106"/>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15"/>
    <w:multiLevelType w:val="multilevel"/>
    <w:tmpl w:val="00000015"/>
    <w:lvl w:ilvl="0" w:tentative="0">
      <w:start w:val="1"/>
      <w:numFmt w:val="decimal"/>
      <w:pStyle w:val="111"/>
      <w:lvlText w:val="%1."/>
      <w:lvlJc w:val="left"/>
      <w:pPr>
        <w:tabs>
          <w:tab w:val="left" w:pos="835"/>
        </w:tabs>
        <w:ind w:left="835" w:hanging="425"/>
      </w:pPr>
      <w:rPr>
        <w:rFonts w:hint="eastAsia"/>
      </w:rPr>
    </w:lvl>
    <w:lvl w:ilvl="1" w:tentative="0">
      <w:start w:val="1"/>
      <w:numFmt w:val="decimal"/>
      <w:isLgl/>
      <w:lvlText w:val="%1.%2."/>
      <w:lvlJc w:val="left"/>
      <w:pPr>
        <w:tabs>
          <w:tab w:val="left" w:pos="977"/>
        </w:tabs>
        <w:ind w:left="977" w:hanging="567"/>
      </w:pPr>
      <w:rPr>
        <w:rFonts w:hint="eastAsia"/>
      </w:rPr>
    </w:lvl>
    <w:lvl w:ilvl="2" w:tentative="0">
      <w:start w:val="1"/>
      <w:numFmt w:val="decimal"/>
      <w:lvlText w:val="%1.%2.%3."/>
      <w:lvlJc w:val="left"/>
      <w:pPr>
        <w:tabs>
          <w:tab w:val="left" w:pos="1119"/>
        </w:tabs>
        <w:ind w:left="1119" w:hanging="709"/>
      </w:pPr>
      <w:rPr>
        <w:rFonts w:hint="eastAsia"/>
      </w:rPr>
    </w:lvl>
    <w:lvl w:ilvl="3" w:tentative="0">
      <w:start w:val="1"/>
      <w:numFmt w:val="decimal"/>
      <w:lvlText w:val="%1.%2.%3.%4."/>
      <w:lvlJc w:val="left"/>
      <w:pPr>
        <w:tabs>
          <w:tab w:val="left" w:pos="1261"/>
        </w:tabs>
        <w:ind w:left="1261" w:hanging="851"/>
      </w:pPr>
      <w:rPr>
        <w:rFonts w:hint="eastAsia"/>
      </w:rPr>
    </w:lvl>
    <w:lvl w:ilvl="4" w:tentative="0">
      <w:start w:val="1"/>
      <w:numFmt w:val="decimal"/>
      <w:lvlText w:val="%1.%2.%3.%4.%5."/>
      <w:lvlJc w:val="left"/>
      <w:pPr>
        <w:tabs>
          <w:tab w:val="left" w:pos="1402"/>
        </w:tabs>
        <w:ind w:left="1402" w:hanging="992"/>
      </w:pPr>
      <w:rPr>
        <w:rFonts w:hint="eastAsia"/>
      </w:rPr>
    </w:lvl>
    <w:lvl w:ilvl="5" w:tentative="0">
      <w:start w:val="1"/>
      <w:numFmt w:val="decimal"/>
      <w:lvlText w:val="%1.%2.%3.%4.%5.%6."/>
      <w:lvlJc w:val="left"/>
      <w:pPr>
        <w:tabs>
          <w:tab w:val="left" w:pos="1544"/>
        </w:tabs>
        <w:ind w:left="1544" w:hanging="1134"/>
      </w:pPr>
      <w:rPr>
        <w:rFonts w:hint="eastAsia"/>
      </w:rPr>
    </w:lvl>
    <w:lvl w:ilvl="6" w:tentative="0">
      <w:start w:val="1"/>
      <w:numFmt w:val="decimal"/>
      <w:lvlText w:val="%1.%2.%3.%4.%5.%6.%7."/>
      <w:lvlJc w:val="left"/>
      <w:pPr>
        <w:tabs>
          <w:tab w:val="left" w:pos="1686"/>
        </w:tabs>
        <w:ind w:left="1686" w:hanging="1276"/>
      </w:pPr>
      <w:rPr>
        <w:rFonts w:hint="eastAsia"/>
      </w:rPr>
    </w:lvl>
    <w:lvl w:ilvl="7" w:tentative="0">
      <w:start w:val="1"/>
      <w:numFmt w:val="decimal"/>
      <w:lvlText w:val="%1.%2.%3.%4.%5.%6.%7.%8."/>
      <w:lvlJc w:val="left"/>
      <w:pPr>
        <w:tabs>
          <w:tab w:val="left" w:pos="1828"/>
        </w:tabs>
        <w:ind w:left="1828" w:hanging="1418"/>
      </w:pPr>
      <w:rPr>
        <w:rFonts w:hint="eastAsia"/>
      </w:rPr>
    </w:lvl>
    <w:lvl w:ilvl="8" w:tentative="0">
      <w:start w:val="1"/>
      <w:numFmt w:val="decimal"/>
      <w:lvlText w:val="%1.%2.%3.%4.%5.%6.%7.%8.%9."/>
      <w:lvlJc w:val="left"/>
      <w:pPr>
        <w:tabs>
          <w:tab w:val="left" w:pos="1969"/>
        </w:tabs>
        <w:ind w:left="1969" w:hanging="1559"/>
      </w:pPr>
      <w:rPr>
        <w:rFonts w:hint="eastAsia"/>
      </w:rPr>
    </w:lvl>
  </w:abstractNum>
  <w:abstractNum w:abstractNumId="4">
    <w:nsid w:val="097907D7"/>
    <w:multiLevelType w:val="multilevel"/>
    <w:tmpl w:val="097907D7"/>
    <w:lvl w:ilvl="0" w:tentative="0">
      <w:start w:val="1"/>
      <w:numFmt w:val="decimal"/>
      <w:pStyle w:val="233"/>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CA75A52"/>
    <w:multiLevelType w:val="multilevel"/>
    <w:tmpl w:val="4CA75A52"/>
    <w:lvl w:ilvl="0" w:tentative="0">
      <w:start w:val="1"/>
      <w:numFmt w:val="decimal"/>
      <w:pStyle w:val="471"/>
      <w:lvlText w:val="%1)"/>
      <w:lvlJc w:val="left"/>
      <w:pPr>
        <w:ind w:left="420" w:firstLine="0"/>
      </w:pPr>
    </w:lvl>
    <w:lvl w:ilvl="1" w:tentative="0">
      <w:start w:val="1"/>
      <w:numFmt w:val="lowerLetter"/>
      <w:lvlText w:val="%2)"/>
      <w:lvlJc w:val="left"/>
      <w:pPr>
        <w:ind w:left="420" w:hanging="4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6">
    <w:nsid w:val="57CE3BF7"/>
    <w:multiLevelType w:val="multilevel"/>
    <w:tmpl w:val="57CE3BF7"/>
    <w:lvl w:ilvl="0" w:tentative="0">
      <w:start w:val="1"/>
      <w:numFmt w:val="decimal"/>
      <w:pStyle w:val="427"/>
      <w:lvlText w:val="步骤%1"/>
      <w:lvlJc w:val="left"/>
      <w:pPr>
        <w:ind w:left="1588" w:hanging="755"/>
      </w:pPr>
      <w:rPr>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1673" w:hanging="420"/>
      </w:pPr>
    </w:lvl>
    <w:lvl w:ilvl="2" w:tentative="0">
      <w:start w:val="1"/>
      <w:numFmt w:val="lowerRoman"/>
      <w:lvlText w:val="%3."/>
      <w:lvlJc w:val="right"/>
      <w:pPr>
        <w:ind w:left="2093" w:hanging="420"/>
      </w:pPr>
    </w:lvl>
    <w:lvl w:ilvl="3" w:tentative="0">
      <w:start w:val="1"/>
      <w:numFmt w:val="decimal"/>
      <w:lvlText w:val="%4."/>
      <w:lvlJc w:val="left"/>
      <w:pPr>
        <w:ind w:left="2513" w:hanging="420"/>
      </w:pPr>
    </w:lvl>
    <w:lvl w:ilvl="4" w:tentative="0">
      <w:start w:val="1"/>
      <w:numFmt w:val="lowerLetter"/>
      <w:lvlText w:val="%5)"/>
      <w:lvlJc w:val="left"/>
      <w:pPr>
        <w:ind w:left="2933" w:hanging="420"/>
      </w:pPr>
    </w:lvl>
    <w:lvl w:ilvl="5" w:tentative="0">
      <w:start w:val="1"/>
      <w:numFmt w:val="lowerRoman"/>
      <w:lvlText w:val="%6."/>
      <w:lvlJc w:val="right"/>
      <w:pPr>
        <w:ind w:left="3353" w:hanging="420"/>
      </w:pPr>
    </w:lvl>
    <w:lvl w:ilvl="6" w:tentative="0">
      <w:start w:val="1"/>
      <w:numFmt w:val="decimal"/>
      <w:lvlText w:val="%7."/>
      <w:lvlJc w:val="left"/>
      <w:pPr>
        <w:ind w:left="3773" w:hanging="420"/>
      </w:pPr>
    </w:lvl>
    <w:lvl w:ilvl="7" w:tentative="0">
      <w:start w:val="1"/>
      <w:numFmt w:val="lowerLetter"/>
      <w:lvlText w:val="%8)"/>
      <w:lvlJc w:val="left"/>
      <w:pPr>
        <w:ind w:left="4193" w:hanging="420"/>
      </w:pPr>
    </w:lvl>
    <w:lvl w:ilvl="8" w:tentative="0">
      <w:start w:val="1"/>
      <w:numFmt w:val="lowerRoman"/>
      <w:lvlText w:val="%9."/>
      <w:lvlJc w:val="right"/>
      <w:pPr>
        <w:ind w:left="4613" w:hanging="420"/>
      </w:pPr>
    </w:lvl>
  </w:abstractNum>
  <w:abstractNum w:abstractNumId="7">
    <w:nsid w:val="5801D9F8"/>
    <w:multiLevelType w:val="singleLevel"/>
    <w:tmpl w:val="5801D9F8"/>
    <w:lvl w:ilvl="0" w:tentative="0">
      <w:start w:val="5"/>
      <w:numFmt w:val="chineseCounting"/>
      <w:pStyle w:val="557"/>
      <w:suff w:val="space"/>
      <w:lvlText w:val="第%1章"/>
      <w:lvlJc w:val="left"/>
    </w:lvl>
  </w:abstractNum>
  <w:abstractNum w:abstractNumId="8">
    <w:nsid w:val="605200A4"/>
    <w:multiLevelType w:val="multilevel"/>
    <w:tmpl w:val="605200A4"/>
    <w:lvl w:ilvl="0" w:tentative="0">
      <w:start w:val="1"/>
      <w:numFmt w:val="bullet"/>
      <w:pStyle w:val="423"/>
      <w:lvlText w:val=""/>
      <w:lvlJc w:val="left"/>
      <w:pPr>
        <w:ind w:left="420" w:hanging="420"/>
      </w:pPr>
      <w:rPr>
        <w:rFonts w:hint="default" w:ascii="Wingdings" w:hAnsi="Wingdings"/>
        <w:sz w:val="16"/>
        <w:szCs w:val="16"/>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60B53DD9"/>
    <w:multiLevelType w:val="multilevel"/>
    <w:tmpl w:val="60B53DD9"/>
    <w:lvl w:ilvl="0" w:tentative="0">
      <w:start w:val="1"/>
      <w:numFmt w:val="chineseCountingThousand"/>
      <w:pStyle w:val="496"/>
      <w:lvlText w:val="%1、"/>
      <w:lvlJc w:val="left"/>
      <w:pPr>
        <w:ind w:left="420" w:hanging="420"/>
      </w:pPr>
      <w:rPr>
        <w:rFonts w:hint="eastAsia"/>
        <w:lang w:val="en-US"/>
      </w:rPr>
    </w:lvl>
    <w:lvl w:ilvl="1" w:tentative="0">
      <w:start w:val="1"/>
      <w:numFmt w:val="decimal"/>
      <w:lvlText w:val="%2."/>
      <w:lvlJc w:val="left"/>
      <w:pPr>
        <w:ind w:left="0" w:firstLine="0"/>
      </w:pPr>
      <w:rPr>
        <w:rFonts w:hint="eastAsia"/>
      </w:rPr>
    </w:lvl>
    <w:lvl w:ilvl="2" w:tentative="0">
      <w:start w:val="1"/>
      <w:numFmt w:val="decimal"/>
      <w:lvlText w:val="%2.%3."/>
      <w:lvlJc w:val="left"/>
      <w:pPr>
        <w:ind w:left="0" w:firstLine="0"/>
      </w:pPr>
      <w:rPr>
        <w:rFonts w:hint="eastAsia"/>
      </w:rPr>
    </w:lvl>
    <w:lvl w:ilvl="3" w:tentative="0">
      <w:start w:val="1"/>
      <w:numFmt w:val="decimal"/>
      <w:lvlText w:val="%2.%3.%4."/>
      <w:lvlJc w:val="left"/>
      <w:pPr>
        <w:ind w:left="0" w:firstLine="0"/>
      </w:pPr>
      <w:rPr>
        <w:rFonts w:hint="eastAsia"/>
      </w:rPr>
    </w:lvl>
    <w:lvl w:ilvl="4" w:tentative="0">
      <w:start w:val="1"/>
      <w:numFmt w:val="decimal"/>
      <w:lvlText w:val="%2.%3.%4.%5."/>
      <w:lvlJc w:val="left"/>
      <w:pPr>
        <w:ind w:left="0" w:firstLine="0"/>
      </w:pPr>
      <w:rPr>
        <w:b w:val="0"/>
        <w:bCs w:val="0"/>
        <w:i w:val="0"/>
        <w:iCs w:val="0"/>
        <w:caps w:val="0"/>
        <w:smallCaps w:val="0"/>
        <w:strike w:val="0"/>
        <w:dstrike w:val="0"/>
        <w:vanish w:val="0"/>
        <w:spacing w:val="0"/>
        <w:position w:val="0"/>
        <w:u w:val="none"/>
        <w:vertAlign w:val="baseline"/>
      </w:rPr>
    </w:lvl>
    <w:lvl w:ilvl="5" w:tentative="0">
      <w:start w:val="1"/>
      <w:numFmt w:val="decimal"/>
      <w:lvlText w:val="%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0">
    <w:nsid w:val="63852405"/>
    <w:multiLevelType w:val="multilevel"/>
    <w:tmpl w:val="63852405"/>
    <w:lvl w:ilvl="0" w:tentative="0">
      <w:start w:val="1"/>
      <w:numFmt w:val="decimal"/>
      <w:pStyle w:val="302"/>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1">
    <w:nsid w:val="7775240B"/>
    <w:multiLevelType w:val="singleLevel"/>
    <w:tmpl w:val="7775240B"/>
    <w:lvl w:ilvl="0" w:tentative="0">
      <w:start w:val="2"/>
      <w:numFmt w:val="decimal"/>
      <w:lvlText w:val="%1."/>
      <w:lvlJc w:val="left"/>
      <w:pPr>
        <w:tabs>
          <w:tab w:val="left" w:pos="312"/>
        </w:tabs>
      </w:pPr>
    </w:lvl>
  </w:abstractNum>
  <w:abstractNum w:abstractNumId="12">
    <w:nsid w:val="7DBEB252"/>
    <w:multiLevelType w:val="singleLevel"/>
    <w:tmpl w:val="7DBEB252"/>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 w:numId="5">
    <w:abstractNumId w:val="4"/>
  </w:num>
  <w:num w:numId="6">
    <w:abstractNumId w:val="10"/>
  </w:num>
  <w:num w:numId="7">
    <w:abstractNumId w:val="8"/>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7"/>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20"/>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yMWFiYTAxNjIzMWM4Mjk2MTM4ODk3Y2Y4NDM1ZjMifQ=="/>
  </w:docVars>
  <w:rsids>
    <w:rsidRoot w:val="00172A27"/>
    <w:rsid w:val="00000A01"/>
    <w:rsid w:val="000016C3"/>
    <w:rsid w:val="00001986"/>
    <w:rsid w:val="00002100"/>
    <w:rsid w:val="00002380"/>
    <w:rsid w:val="000026C0"/>
    <w:rsid w:val="00002A04"/>
    <w:rsid w:val="0000344B"/>
    <w:rsid w:val="00003584"/>
    <w:rsid w:val="0000370F"/>
    <w:rsid w:val="0000376B"/>
    <w:rsid w:val="000039A0"/>
    <w:rsid w:val="00003D61"/>
    <w:rsid w:val="00003FB7"/>
    <w:rsid w:val="0000405E"/>
    <w:rsid w:val="0000417E"/>
    <w:rsid w:val="0000426C"/>
    <w:rsid w:val="00004511"/>
    <w:rsid w:val="00004B3B"/>
    <w:rsid w:val="00004B6A"/>
    <w:rsid w:val="00005291"/>
    <w:rsid w:val="000054D4"/>
    <w:rsid w:val="00005C87"/>
    <w:rsid w:val="00005D9C"/>
    <w:rsid w:val="00005EB1"/>
    <w:rsid w:val="00006325"/>
    <w:rsid w:val="00007158"/>
    <w:rsid w:val="0000783F"/>
    <w:rsid w:val="000078CE"/>
    <w:rsid w:val="000100C8"/>
    <w:rsid w:val="0001077D"/>
    <w:rsid w:val="00010B8B"/>
    <w:rsid w:val="00011085"/>
    <w:rsid w:val="000113BC"/>
    <w:rsid w:val="000116E8"/>
    <w:rsid w:val="00011E83"/>
    <w:rsid w:val="000121FA"/>
    <w:rsid w:val="000123C6"/>
    <w:rsid w:val="00012D70"/>
    <w:rsid w:val="000134D1"/>
    <w:rsid w:val="00013C5A"/>
    <w:rsid w:val="00014124"/>
    <w:rsid w:val="000158A8"/>
    <w:rsid w:val="00015B00"/>
    <w:rsid w:val="00015D34"/>
    <w:rsid w:val="00016B39"/>
    <w:rsid w:val="0001735A"/>
    <w:rsid w:val="0001755F"/>
    <w:rsid w:val="000176B0"/>
    <w:rsid w:val="0001790E"/>
    <w:rsid w:val="000179AF"/>
    <w:rsid w:val="000179EB"/>
    <w:rsid w:val="00017D64"/>
    <w:rsid w:val="00017F40"/>
    <w:rsid w:val="0002009F"/>
    <w:rsid w:val="000204ED"/>
    <w:rsid w:val="00020A28"/>
    <w:rsid w:val="00020A73"/>
    <w:rsid w:val="00020EC3"/>
    <w:rsid w:val="00021844"/>
    <w:rsid w:val="000220E3"/>
    <w:rsid w:val="00022147"/>
    <w:rsid w:val="000228C1"/>
    <w:rsid w:val="00022B08"/>
    <w:rsid w:val="00022E2F"/>
    <w:rsid w:val="00022E66"/>
    <w:rsid w:val="00023413"/>
    <w:rsid w:val="00023430"/>
    <w:rsid w:val="00023B75"/>
    <w:rsid w:val="00024565"/>
    <w:rsid w:val="00024665"/>
    <w:rsid w:val="00024C58"/>
    <w:rsid w:val="0002527A"/>
    <w:rsid w:val="00025355"/>
    <w:rsid w:val="00025979"/>
    <w:rsid w:val="000259C2"/>
    <w:rsid w:val="00025D68"/>
    <w:rsid w:val="0002608B"/>
    <w:rsid w:val="00026206"/>
    <w:rsid w:val="00026260"/>
    <w:rsid w:val="0002666A"/>
    <w:rsid w:val="000266F0"/>
    <w:rsid w:val="000268FF"/>
    <w:rsid w:val="00026B81"/>
    <w:rsid w:val="00026E4B"/>
    <w:rsid w:val="00027244"/>
    <w:rsid w:val="00027321"/>
    <w:rsid w:val="000274CC"/>
    <w:rsid w:val="00027620"/>
    <w:rsid w:val="00027AAE"/>
    <w:rsid w:val="00030321"/>
    <w:rsid w:val="00030C5B"/>
    <w:rsid w:val="000312B6"/>
    <w:rsid w:val="00031729"/>
    <w:rsid w:val="00032B14"/>
    <w:rsid w:val="00032BAE"/>
    <w:rsid w:val="00032CE3"/>
    <w:rsid w:val="00033604"/>
    <w:rsid w:val="000339D1"/>
    <w:rsid w:val="000344E1"/>
    <w:rsid w:val="000345AF"/>
    <w:rsid w:val="0003460C"/>
    <w:rsid w:val="00034A79"/>
    <w:rsid w:val="00034D41"/>
    <w:rsid w:val="000350F7"/>
    <w:rsid w:val="00035190"/>
    <w:rsid w:val="0003535F"/>
    <w:rsid w:val="000353AE"/>
    <w:rsid w:val="00035695"/>
    <w:rsid w:val="000359FA"/>
    <w:rsid w:val="00035C71"/>
    <w:rsid w:val="00036090"/>
    <w:rsid w:val="00036231"/>
    <w:rsid w:val="0003661C"/>
    <w:rsid w:val="00037BCD"/>
    <w:rsid w:val="00040074"/>
    <w:rsid w:val="00040228"/>
    <w:rsid w:val="000402EE"/>
    <w:rsid w:val="0004052C"/>
    <w:rsid w:val="00040995"/>
    <w:rsid w:val="00040C8D"/>
    <w:rsid w:val="00040E30"/>
    <w:rsid w:val="00040E9E"/>
    <w:rsid w:val="0004105B"/>
    <w:rsid w:val="000410A0"/>
    <w:rsid w:val="000410A8"/>
    <w:rsid w:val="0004111E"/>
    <w:rsid w:val="0004142F"/>
    <w:rsid w:val="000414D5"/>
    <w:rsid w:val="00041DA6"/>
    <w:rsid w:val="00042859"/>
    <w:rsid w:val="00042F07"/>
    <w:rsid w:val="00043318"/>
    <w:rsid w:val="0004398E"/>
    <w:rsid w:val="00043A4A"/>
    <w:rsid w:val="00043F0E"/>
    <w:rsid w:val="00044206"/>
    <w:rsid w:val="000444E2"/>
    <w:rsid w:val="000445E2"/>
    <w:rsid w:val="000450A1"/>
    <w:rsid w:val="000450D1"/>
    <w:rsid w:val="000451CA"/>
    <w:rsid w:val="000460CA"/>
    <w:rsid w:val="00046349"/>
    <w:rsid w:val="00046803"/>
    <w:rsid w:val="000468AD"/>
    <w:rsid w:val="0004707E"/>
    <w:rsid w:val="00047093"/>
    <w:rsid w:val="00047364"/>
    <w:rsid w:val="000476CE"/>
    <w:rsid w:val="000478AD"/>
    <w:rsid w:val="00047DD9"/>
    <w:rsid w:val="00047DEC"/>
    <w:rsid w:val="000508D5"/>
    <w:rsid w:val="00050B90"/>
    <w:rsid w:val="00050D3B"/>
    <w:rsid w:val="00050EA3"/>
    <w:rsid w:val="0005113E"/>
    <w:rsid w:val="000516FB"/>
    <w:rsid w:val="0005190A"/>
    <w:rsid w:val="00051D1D"/>
    <w:rsid w:val="00051F88"/>
    <w:rsid w:val="00052637"/>
    <w:rsid w:val="0005285A"/>
    <w:rsid w:val="00052B67"/>
    <w:rsid w:val="000534E1"/>
    <w:rsid w:val="000535A9"/>
    <w:rsid w:val="000536EA"/>
    <w:rsid w:val="000542D1"/>
    <w:rsid w:val="0005441D"/>
    <w:rsid w:val="00054808"/>
    <w:rsid w:val="00054FA0"/>
    <w:rsid w:val="000554B4"/>
    <w:rsid w:val="00055787"/>
    <w:rsid w:val="00055A02"/>
    <w:rsid w:val="00055CBD"/>
    <w:rsid w:val="00055FD3"/>
    <w:rsid w:val="0005761D"/>
    <w:rsid w:val="00057805"/>
    <w:rsid w:val="00057AB6"/>
    <w:rsid w:val="00060403"/>
    <w:rsid w:val="000608FE"/>
    <w:rsid w:val="00060C57"/>
    <w:rsid w:val="0006187C"/>
    <w:rsid w:val="00061947"/>
    <w:rsid w:val="00061AC4"/>
    <w:rsid w:val="000620E2"/>
    <w:rsid w:val="000622C1"/>
    <w:rsid w:val="00062602"/>
    <w:rsid w:val="0006288C"/>
    <w:rsid w:val="0006313E"/>
    <w:rsid w:val="00063327"/>
    <w:rsid w:val="00064428"/>
    <w:rsid w:val="00064A9B"/>
    <w:rsid w:val="00064E38"/>
    <w:rsid w:val="0006535B"/>
    <w:rsid w:val="000653B6"/>
    <w:rsid w:val="000654FF"/>
    <w:rsid w:val="00065EFB"/>
    <w:rsid w:val="00066141"/>
    <w:rsid w:val="00066380"/>
    <w:rsid w:val="0006679B"/>
    <w:rsid w:val="000668F4"/>
    <w:rsid w:val="00066AC3"/>
    <w:rsid w:val="00066C67"/>
    <w:rsid w:val="00066F8B"/>
    <w:rsid w:val="000673A8"/>
    <w:rsid w:val="000673B6"/>
    <w:rsid w:val="000673D9"/>
    <w:rsid w:val="0006743B"/>
    <w:rsid w:val="00067849"/>
    <w:rsid w:val="0006790E"/>
    <w:rsid w:val="00070150"/>
    <w:rsid w:val="00070BBD"/>
    <w:rsid w:val="00070CB5"/>
    <w:rsid w:val="00070EFE"/>
    <w:rsid w:val="000712F4"/>
    <w:rsid w:val="00071BA8"/>
    <w:rsid w:val="000724AE"/>
    <w:rsid w:val="0007272F"/>
    <w:rsid w:val="00072768"/>
    <w:rsid w:val="0007286C"/>
    <w:rsid w:val="000728DF"/>
    <w:rsid w:val="00072BCD"/>
    <w:rsid w:val="00072C73"/>
    <w:rsid w:val="00072CE3"/>
    <w:rsid w:val="00072D3A"/>
    <w:rsid w:val="00072F9E"/>
    <w:rsid w:val="00073075"/>
    <w:rsid w:val="00073A0C"/>
    <w:rsid w:val="000740CC"/>
    <w:rsid w:val="000746C9"/>
    <w:rsid w:val="00074B39"/>
    <w:rsid w:val="00074D4D"/>
    <w:rsid w:val="00074D8B"/>
    <w:rsid w:val="00075155"/>
    <w:rsid w:val="0007576E"/>
    <w:rsid w:val="00075D5A"/>
    <w:rsid w:val="00075F1D"/>
    <w:rsid w:val="00076A72"/>
    <w:rsid w:val="000774D9"/>
    <w:rsid w:val="000774E9"/>
    <w:rsid w:val="000776D5"/>
    <w:rsid w:val="00077A76"/>
    <w:rsid w:val="00077CE3"/>
    <w:rsid w:val="00077F38"/>
    <w:rsid w:val="000800D9"/>
    <w:rsid w:val="00080581"/>
    <w:rsid w:val="000805E8"/>
    <w:rsid w:val="00080935"/>
    <w:rsid w:val="00080B51"/>
    <w:rsid w:val="00081069"/>
    <w:rsid w:val="00081C0E"/>
    <w:rsid w:val="00081CBE"/>
    <w:rsid w:val="00081D4E"/>
    <w:rsid w:val="000820CD"/>
    <w:rsid w:val="000824BF"/>
    <w:rsid w:val="0008255B"/>
    <w:rsid w:val="00082693"/>
    <w:rsid w:val="000829B2"/>
    <w:rsid w:val="00083609"/>
    <w:rsid w:val="00083909"/>
    <w:rsid w:val="00083A1C"/>
    <w:rsid w:val="00083B44"/>
    <w:rsid w:val="00083F81"/>
    <w:rsid w:val="0008430D"/>
    <w:rsid w:val="0008443F"/>
    <w:rsid w:val="00084780"/>
    <w:rsid w:val="00084A64"/>
    <w:rsid w:val="00084AD4"/>
    <w:rsid w:val="0008522F"/>
    <w:rsid w:val="0008556E"/>
    <w:rsid w:val="000855DD"/>
    <w:rsid w:val="0008591A"/>
    <w:rsid w:val="00085FC0"/>
    <w:rsid w:val="000864E9"/>
    <w:rsid w:val="00086581"/>
    <w:rsid w:val="0008658F"/>
    <w:rsid w:val="000865C6"/>
    <w:rsid w:val="0008678C"/>
    <w:rsid w:val="00086BAF"/>
    <w:rsid w:val="00086E6E"/>
    <w:rsid w:val="00087436"/>
    <w:rsid w:val="00087464"/>
    <w:rsid w:val="00087F13"/>
    <w:rsid w:val="000901E0"/>
    <w:rsid w:val="0009065A"/>
    <w:rsid w:val="000908AC"/>
    <w:rsid w:val="00090E7F"/>
    <w:rsid w:val="0009127D"/>
    <w:rsid w:val="000917C2"/>
    <w:rsid w:val="00091983"/>
    <w:rsid w:val="000919D3"/>
    <w:rsid w:val="00091A0C"/>
    <w:rsid w:val="00091DCB"/>
    <w:rsid w:val="00091E25"/>
    <w:rsid w:val="00092651"/>
    <w:rsid w:val="00092766"/>
    <w:rsid w:val="00092915"/>
    <w:rsid w:val="000929E3"/>
    <w:rsid w:val="00092A50"/>
    <w:rsid w:val="00092C10"/>
    <w:rsid w:val="00092D39"/>
    <w:rsid w:val="00093605"/>
    <w:rsid w:val="000937B8"/>
    <w:rsid w:val="00093916"/>
    <w:rsid w:val="00093FA4"/>
    <w:rsid w:val="000940FC"/>
    <w:rsid w:val="00094225"/>
    <w:rsid w:val="0009463E"/>
    <w:rsid w:val="00094958"/>
    <w:rsid w:val="00094ABF"/>
    <w:rsid w:val="00094B69"/>
    <w:rsid w:val="00094C08"/>
    <w:rsid w:val="000954A2"/>
    <w:rsid w:val="00095525"/>
    <w:rsid w:val="0009571D"/>
    <w:rsid w:val="00095AB4"/>
    <w:rsid w:val="00095D81"/>
    <w:rsid w:val="00095F5A"/>
    <w:rsid w:val="00096E53"/>
    <w:rsid w:val="00096E5D"/>
    <w:rsid w:val="00096EE2"/>
    <w:rsid w:val="00096FD9"/>
    <w:rsid w:val="00097357"/>
    <w:rsid w:val="000975B5"/>
    <w:rsid w:val="0009799D"/>
    <w:rsid w:val="00097C5B"/>
    <w:rsid w:val="000A0750"/>
    <w:rsid w:val="000A138E"/>
    <w:rsid w:val="000A2043"/>
    <w:rsid w:val="000A319B"/>
    <w:rsid w:val="000A32A7"/>
    <w:rsid w:val="000A3560"/>
    <w:rsid w:val="000A3583"/>
    <w:rsid w:val="000A366F"/>
    <w:rsid w:val="000A3A91"/>
    <w:rsid w:val="000A4116"/>
    <w:rsid w:val="000A4567"/>
    <w:rsid w:val="000A4E94"/>
    <w:rsid w:val="000A514C"/>
    <w:rsid w:val="000A5175"/>
    <w:rsid w:val="000A524E"/>
    <w:rsid w:val="000A60F3"/>
    <w:rsid w:val="000A6414"/>
    <w:rsid w:val="000A64AA"/>
    <w:rsid w:val="000A67FE"/>
    <w:rsid w:val="000A6A9B"/>
    <w:rsid w:val="000A6D35"/>
    <w:rsid w:val="000A711B"/>
    <w:rsid w:val="000A717A"/>
    <w:rsid w:val="000A7360"/>
    <w:rsid w:val="000A7791"/>
    <w:rsid w:val="000A7924"/>
    <w:rsid w:val="000A7945"/>
    <w:rsid w:val="000A7DAD"/>
    <w:rsid w:val="000A7EF6"/>
    <w:rsid w:val="000B0076"/>
    <w:rsid w:val="000B031A"/>
    <w:rsid w:val="000B05EC"/>
    <w:rsid w:val="000B0CE2"/>
    <w:rsid w:val="000B1020"/>
    <w:rsid w:val="000B1459"/>
    <w:rsid w:val="000B17A6"/>
    <w:rsid w:val="000B1993"/>
    <w:rsid w:val="000B1BA1"/>
    <w:rsid w:val="000B264A"/>
    <w:rsid w:val="000B26F1"/>
    <w:rsid w:val="000B28B8"/>
    <w:rsid w:val="000B298E"/>
    <w:rsid w:val="000B2D89"/>
    <w:rsid w:val="000B3036"/>
    <w:rsid w:val="000B31EE"/>
    <w:rsid w:val="000B3853"/>
    <w:rsid w:val="000B3C58"/>
    <w:rsid w:val="000B4075"/>
    <w:rsid w:val="000B427A"/>
    <w:rsid w:val="000B42DA"/>
    <w:rsid w:val="000B4556"/>
    <w:rsid w:val="000B5167"/>
    <w:rsid w:val="000B5817"/>
    <w:rsid w:val="000B597B"/>
    <w:rsid w:val="000B5BFD"/>
    <w:rsid w:val="000B5FA1"/>
    <w:rsid w:val="000B6322"/>
    <w:rsid w:val="000B6469"/>
    <w:rsid w:val="000B66EF"/>
    <w:rsid w:val="000B6F0C"/>
    <w:rsid w:val="000B7260"/>
    <w:rsid w:val="000B7837"/>
    <w:rsid w:val="000B78F8"/>
    <w:rsid w:val="000B7BDC"/>
    <w:rsid w:val="000C005B"/>
    <w:rsid w:val="000C15E7"/>
    <w:rsid w:val="000C1FC8"/>
    <w:rsid w:val="000C2051"/>
    <w:rsid w:val="000C2210"/>
    <w:rsid w:val="000C2343"/>
    <w:rsid w:val="000C3012"/>
    <w:rsid w:val="000C3100"/>
    <w:rsid w:val="000C323B"/>
    <w:rsid w:val="000C34EE"/>
    <w:rsid w:val="000C3705"/>
    <w:rsid w:val="000C434A"/>
    <w:rsid w:val="000C4438"/>
    <w:rsid w:val="000C49A0"/>
    <w:rsid w:val="000C5FEC"/>
    <w:rsid w:val="000C6593"/>
    <w:rsid w:val="000C6C08"/>
    <w:rsid w:val="000C7018"/>
    <w:rsid w:val="000C75DF"/>
    <w:rsid w:val="000C7F03"/>
    <w:rsid w:val="000D026B"/>
    <w:rsid w:val="000D075B"/>
    <w:rsid w:val="000D1378"/>
    <w:rsid w:val="000D1525"/>
    <w:rsid w:val="000D15FF"/>
    <w:rsid w:val="000D1608"/>
    <w:rsid w:val="000D1AC5"/>
    <w:rsid w:val="000D27A9"/>
    <w:rsid w:val="000D3065"/>
    <w:rsid w:val="000D34FE"/>
    <w:rsid w:val="000D365E"/>
    <w:rsid w:val="000D3EA2"/>
    <w:rsid w:val="000D43B4"/>
    <w:rsid w:val="000D4575"/>
    <w:rsid w:val="000D55D8"/>
    <w:rsid w:val="000D5ADF"/>
    <w:rsid w:val="000D5E4B"/>
    <w:rsid w:val="000D6206"/>
    <w:rsid w:val="000D679E"/>
    <w:rsid w:val="000D691D"/>
    <w:rsid w:val="000D6CEA"/>
    <w:rsid w:val="000D778B"/>
    <w:rsid w:val="000D7ACF"/>
    <w:rsid w:val="000E0088"/>
    <w:rsid w:val="000E0227"/>
    <w:rsid w:val="000E038B"/>
    <w:rsid w:val="000E13AC"/>
    <w:rsid w:val="000E1C1A"/>
    <w:rsid w:val="000E2619"/>
    <w:rsid w:val="000E2B55"/>
    <w:rsid w:val="000E2D71"/>
    <w:rsid w:val="000E3249"/>
    <w:rsid w:val="000E3485"/>
    <w:rsid w:val="000E34DC"/>
    <w:rsid w:val="000E3528"/>
    <w:rsid w:val="000E362F"/>
    <w:rsid w:val="000E3977"/>
    <w:rsid w:val="000E3AD6"/>
    <w:rsid w:val="000E3C83"/>
    <w:rsid w:val="000E3E9D"/>
    <w:rsid w:val="000E402E"/>
    <w:rsid w:val="000E5E1E"/>
    <w:rsid w:val="000E5E66"/>
    <w:rsid w:val="000E6264"/>
    <w:rsid w:val="000E6293"/>
    <w:rsid w:val="000E63DF"/>
    <w:rsid w:val="000E6ACD"/>
    <w:rsid w:val="000E7A5E"/>
    <w:rsid w:val="000E7B11"/>
    <w:rsid w:val="000E7B73"/>
    <w:rsid w:val="000E7C95"/>
    <w:rsid w:val="000E7D37"/>
    <w:rsid w:val="000E7D50"/>
    <w:rsid w:val="000F0770"/>
    <w:rsid w:val="000F0AC3"/>
    <w:rsid w:val="000F0AD0"/>
    <w:rsid w:val="000F0D7D"/>
    <w:rsid w:val="000F0F42"/>
    <w:rsid w:val="000F1A85"/>
    <w:rsid w:val="000F24A0"/>
    <w:rsid w:val="000F2E68"/>
    <w:rsid w:val="000F32F2"/>
    <w:rsid w:val="000F34A5"/>
    <w:rsid w:val="000F3585"/>
    <w:rsid w:val="000F3615"/>
    <w:rsid w:val="000F378C"/>
    <w:rsid w:val="000F3D4A"/>
    <w:rsid w:val="000F490F"/>
    <w:rsid w:val="000F4997"/>
    <w:rsid w:val="000F4B16"/>
    <w:rsid w:val="000F4C25"/>
    <w:rsid w:val="000F4D5D"/>
    <w:rsid w:val="000F4F92"/>
    <w:rsid w:val="000F598D"/>
    <w:rsid w:val="000F63B8"/>
    <w:rsid w:val="000F6785"/>
    <w:rsid w:val="000F6AC4"/>
    <w:rsid w:val="000F7553"/>
    <w:rsid w:val="000F763F"/>
    <w:rsid w:val="000F7710"/>
    <w:rsid w:val="00100D26"/>
    <w:rsid w:val="00100FFF"/>
    <w:rsid w:val="001013CC"/>
    <w:rsid w:val="00101593"/>
    <w:rsid w:val="001016AA"/>
    <w:rsid w:val="001019C5"/>
    <w:rsid w:val="00102093"/>
    <w:rsid w:val="0010222B"/>
    <w:rsid w:val="00102488"/>
    <w:rsid w:val="001025FC"/>
    <w:rsid w:val="00102602"/>
    <w:rsid w:val="00103155"/>
    <w:rsid w:val="001033BB"/>
    <w:rsid w:val="0010374E"/>
    <w:rsid w:val="001037B7"/>
    <w:rsid w:val="00103BAE"/>
    <w:rsid w:val="00103EFA"/>
    <w:rsid w:val="0010429D"/>
    <w:rsid w:val="00104352"/>
    <w:rsid w:val="00104430"/>
    <w:rsid w:val="0010473C"/>
    <w:rsid w:val="001059A7"/>
    <w:rsid w:val="00105A70"/>
    <w:rsid w:val="00105B8D"/>
    <w:rsid w:val="00105E7C"/>
    <w:rsid w:val="00105E7E"/>
    <w:rsid w:val="00105F34"/>
    <w:rsid w:val="00106047"/>
    <w:rsid w:val="00106919"/>
    <w:rsid w:val="001069BE"/>
    <w:rsid w:val="00106C18"/>
    <w:rsid w:val="0010731E"/>
    <w:rsid w:val="00107358"/>
    <w:rsid w:val="001076F9"/>
    <w:rsid w:val="0010775D"/>
    <w:rsid w:val="00107ABE"/>
    <w:rsid w:val="00107BCE"/>
    <w:rsid w:val="00107E97"/>
    <w:rsid w:val="00107F25"/>
    <w:rsid w:val="001100E4"/>
    <w:rsid w:val="001103C6"/>
    <w:rsid w:val="00110782"/>
    <w:rsid w:val="001109CC"/>
    <w:rsid w:val="00110A3B"/>
    <w:rsid w:val="00110C3F"/>
    <w:rsid w:val="00110DA4"/>
    <w:rsid w:val="001116AE"/>
    <w:rsid w:val="001117F1"/>
    <w:rsid w:val="00111995"/>
    <w:rsid w:val="001119F1"/>
    <w:rsid w:val="00111B69"/>
    <w:rsid w:val="001120EE"/>
    <w:rsid w:val="00112774"/>
    <w:rsid w:val="00112ECF"/>
    <w:rsid w:val="00113BEE"/>
    <w:rsid w:val="00113D25"/>
    <w:rsid w:val="0011411B"/>
    <w:rsid w:val="0011452C"/>
    <w:rsid w:val="001146EB"/>
    <w:rsid w:val="001146EE"/>
    <w:rsid w:val="00114BFF"/>
    <w:rsid w:val="00114DDE"/>
    <w:rsid w:val="00115396"/>
    <w:rsid w:val="001154DF"/>
    <w:rsid w:val="00115D2D"/>
    <w:rsid w:val="00117623"/>
    <w:rsid w:val="001179BF"/>
    <w:rsid w:val="00117BF1"/>
    <w:rsid w:val="0012018B"/>
    <w:rsid w:val="00120457"/>
    <w:rsid w:val="00120A3B"/>
    <w:rsid w:val="00121607"/>
    <w:rsid w:val="00121A1B"/>
    <w:rsid w:val="00122363"/>
    <w:rsid w:val="0012271D"/>
    <w:rsid w:val="00122924"/>
    <w:rsid w:val="00122F04"/>
    <w:rsid w:val="00123416"/>
    <w:rsid w:val="00123A54"/>
    <w:rsid w:val="00123B84"/>
    <w:rsid w:val="001241F4"/>
    <w:rsid w:val="00124347"/>
    <w:rsid w:val="001244D3"/>
    <w:rsid w:val="001248E8"/>
    <w:rsid w:val="00124F5D"/>
    <w:rsid w:val="00125301"/>
    <w:rsid w:val="001260CE"/>
    <w:rsid w:val="001262FF"/>
    <w:rsid w:val="00126763"/>
    <w:rsid w:val="001268E7"/>
    <w:rsid w:val="00126A6E"/>
    <w:rsid w:val="00126E52"/>
    <w:rsid w:val="00126F37"/>
    <w:rsid w:val="0012714A"/>
    <w:rsid w:val="00127400"/>
    <w:rsid w:val="0012779C"/>
    <w:rsid w:val="00127AC1"/>
    <w:rsid w:val="0013003A"/>
    <w:rsid w:val="00130104"/>
    <w:rsid w:val="00130398"/>
    <w:rsid w:val="001306C1"/>
    <w:rsid w:val="00130740"/>
    <w:rsid w:val="00130E24"/>
    <w:rsid w:val="001311B8"/>
    <w:rsid w:val="00131445"/>
    <w:rsid w:val="00131555"/>
    <w:rsid w:val="00131734"/>
    <w:rsid w:val="00131BF4"/>
    <w:rsid w:val="00131F20"/>
    <w:rsid w:val="00132129"/>
    <w:rsid w:val="001324A6"/>
    <w:rsid w:val="00132CA7"/>
    <w:rsid w:val="001338D2"/>
    <w:rsid w:val="00133BB8"/>
    <w:rsid w:val="00133E9A"/>
    <w:rsid w:val="001345CB"/>
    <w:rsid w:val="0013552C"/>
    <w:rsid w:val="00135720"/>
    <w:rsid w:val="00135F0C"/>
    <w:rsid w:val="001369BA"/>
    <w:rsid w:val="00136A81"/>
    <w:rsid w:val="00137104"/>
    <w:rsid w:val="0013759F"/>
    <w:rsid w:val="00137B8A"/>
    <w:rsid w:val="00137E16"/>
    <w:rsid w:val="0014003A"/>
    <w:rsid w:val="0014022D"/>
    <w:rsid w:val="00140410"/>
    <w:rsid w:val="0014050A"/>
    <w:rsid w:val="001405A6"/>
    <w:rsid w:val="00140644"/>
    <w:rsid w:val="00140E82"/>
    <w:rsid w:val="00141071"/>
    <w:rsid w:val="0014120F"/>
    <w:rsid w:val="0014143F"/>
    <w:rsid w:val="0014269C"/>
    <w:rsid w:val="00142961"/>
    <w:rsid w:val="00142B1D"/>
    <w:rsid w:val="00142E90"/>
    <w:rsid w:val="00143565"/>
    <w:rsid w:val="00143A06"/>
    <w:rsid w:val="00143A88"/>
    <w:rsid w:val="00143DA0"/>
    <w:rsid w:val="00144345"/>
    <w:rsid w:val="0014454A"/>
    <w:rsid w:val="00144B2F"/>
    <w:rsid w:val="0014571B"/>
    <w:rsid w:val="001457D3"/>
    <w:rsid w:val="00145808"/>
    <w:rsid w:val="00145DBE"/>
    <w:rsid w:val="00145E3B"/>
    <w:rsid w:val="00146055"/>
    <w:rsid w:val="0014660D"/>
    <w:rsid w:val="0014692F"/>
    <w:rsid w:val="00146F7C"/>
    <w:rsid w:val="0014758F"/>
    <w:rsid w:val="001478F0"/>
    <w:rsid w:val="0014797E"/>
    <w:rsid w:val="001500FA"/>
    <w:rsid w:val="00150310"/>
    <w:rsid w:val="00150418"/>
    <w:rsid w:val="001509E8"/>
    <w:rsid w:val="00150BF6"/>
    <w:rsid w:val="00150D3C"/>
    <w:rsid w:val="00150F4B"/>
    <w:rsid w:val="00151341"/>
    <w:rsid w:val="001524B3"/>
    <w:rsid w:val="0015266E"/>
    <w:rsid w:val="00152859"/>
    <w:rsid w:val="00152B97"/>
    <w:rsid w:val="00153850"/>
    <w:rsid w:val="00153EBD"/>
    <w:rsid w:val="00154148"/>
    <w:rsid w:val="001542A9"/>
    <w:rsid w:val="00154429"/>
    <w:rsid w:val="001548DE"/>
    <w:rsid w:val="00155167"/>
    <w:rsid w:val="001557F8"/>
    <w:rsid w:val="00155B0A"/>
    <w:rsid w:val="0015647A"/>
    <w:rsid w:val="00156BBC"/>
    <w:rsid w:val="00156C66"/>
    <w:rsid w:val="00156C6D"/>
    <w:rsid w:val="00157377"/>
    <w:rsid w:val="001576EA"/>
    <w:rsid w:val="00157AAE"/>
    <w:rsid w:val="00157AE3"/>
    <w:rsid w:val="00157F61"/>
    <w:rsid w:val="001603EE"/>
    <w:rsid w:val="00160568"/>
    <w:rsid w:val="001622C9"/>
    <w:rsid w:val="0016239D"/>
    <w:rsid w:val="00162718"/>
    <w:rsid w:val="0016276B"/>
    <w:rsid w:val="00162A12"/>
    <w:rsid w:val="00162C61"/>
    <w:rsid w:val="00163147"/>
    <w:rsid w:val="001632C6"/>
    <w:rsid w:val="00163501"/>
    <w:rsid w:val="001636B3"/>
    <w:rsid w:val="001637F1"/>
    <w:rsid w:val="0016410B"/>
    <w:rsid w:val="00164735"/>
    <w:rsid w:val="001647DF"/>
    <w:rsid w:val="00164D0E"/>
    <w:rsid w:val="001653EF"/>
    <w:rsid w:val="0016573E"/>
    <w:rsid w:val="00165EC6"/>
    <w:rsid w:val="001661D7"/>
    <w:rsid w:val="001661FB"/>
    <w:rsid w:val="0016679E"/>
    <w:rsid w:val="001667CD"/>
    <w:rsid w:val="00166A8B"/>
    <w:rsid w:val="00166CCF"/>
    <w:rsid w:val="001672DA"/>
    <w:rsid w:val="00167484"/>
    <w:rsid w:val="001676CB"/>
    <w:rsid w:val="00167D23"/>
    <w:rsid w:val="00167D6B"/>
    <w:rsid w:val="00167F94"/>
    <w:rsid w:val="0017029F"/>
    <w:rsid w:val="0017041D"/>
    <w:rsid w:val="00170CE6"/>
    <w:rsid w:val="00170E60"/>
    <w:rsid w:val="00171B21"/>
    <w:rsid w:val="00171CB8"/>
    <w:rsid w:val="00171CD3"/>
    <w:rsid w:val="00171E7C"/>
    <w:rsid w:val="001721C6"/>
    <w:rsid w:val="00172A27"/>
    <w:rsid w:val="00173706"/>
    <w:rsid w:val="001737D1"/>
    <w:rsid w:val="00174A1B"/>
    <w:rsid w:val="00174B35"/>
    <w:rsid w:val="00175010"/>
    <w:rsid w:val="00175081"/>
    <w:rsid w:val="001755ED"/>
    <w:rsid w:val="0017587B"/>
    <w:rsid w:val="00175A1D"/>
    <w:rsid w:val="00175BE3"/>
    <w:rsid w:val="00176204"/>
    <w:rsid w:val="001762BB"/>
    <w:rsid w:val="001763BB"/>
    <w:rsid w:val="00176452"/>
    <w:rsid w:val="001766EB"/>
    <w:rsid w:val="00176728"/>
    <w:rsid w:val="00176C3C"/>
    <w:rsid w:val="00176E56"/>
    <w:rsid w:val="001770C8"/>
    <w:rsid w:val="001771BD"/>
    <w:rsid w:val="00177641"/>
    <w:rsid w:val="001804E1"/>
    <w:rsid w:val="001807BB"/>
    <w:rsid w:val="00180BA3"/>
    <w:rsid w:val="00180E9E"/>
    <w:rsid w:val="00181FD2"/>
    <w:rsid w:val="001821A2"/>
    <w:rsid w:val="00182253"/>
    <w:rsid w:val="001823F6"/>
    <w:rsid w:val="00182665"/>
    <w:rsid w:val="00182BAE"/>
    <w:rsid w:val="00182CDB"/>
    <w:rsid w:val="00183593"/>
    <w:rsid w:val="00183866"/>
    <w:rsid w:val="00183BC9"/>
    <w:rsid w:val="00183C79"/>
    <w:rsid w:val="00183F8B"/>
    <w:rsid w:val="00183FD4"/>
    <w:rsid w:val="001840F1"/>
    <w:rsid w:val="00184310"/>
    <w:rsid w:val="001845A4"/>
    <w:rsid w:val="00184D1B"/>
    <w:rsid w:val="00184D44"/>
    <w:rsid w:val="0018551F"/>
    <w:rsid w:val="0018586E"/>
    <w:rsid w:val="001865E1"/>
    <w:rsid w:val="0018660A"/>
    <w:rsid w:val="001867CE"/>
    <w:rsid w:val="0018692B"/>
    <w:rsid w:val="00186C5E"/>
    <w:rsid w:val="00186F80"/>
    <w:rsid w:val="00187344"/>
    <w:rsid w:val="00187958"/>
    <w:rsid w:val="001879EF"/>
    <w:rsid w:val="00187B72"/>
    <w:rsid w:val="00190807"/>
    <w:rsid w:val="001908C1"/>
    <w:rsid w:val="0019094C"/>
    <w:rsid w:val="00190C04"/>
    <w:rsid w:val="001911D4"/>
    <w:rsid w:val="001911D9"/>
    <w:rsid w:val="001913E6"/>
    <w:rsid w:val="00191C4C"/>
    <w:rsid w:val="00191C6B"/>
    <w:rsid w:val="001929E2"/>
    <w:rsid w:val="00192E3C"/>
    <w:rsid w:val="0019300D"/>
    <w:rsid w:val="0019317E"/>
    <w:rsid w:val="00193412"/>
    <w:rsid w:val="00193AB7"/>
    <w:rsid w:val="001940AF"/>
    <w:rsid w:val="001942C4"/>
    <w:rsid w:val="00194469"/>
    <w:rsid w:val="001946C3"/>
    <w:rsid w:val="001946E4"/>
    <w:rsid w:val="001948E3"/>
    <w:rsid w:val="001953CC"/>
    <w:rsid w:val="001958AF"/>
    <w:rsid w:val="00195A5B"/>
    <w:rsid w:val="00195D10"/>
    <w:rsid w:val="00195F09"/>
    <w:rsid w:val="00196324"/>
    <w:rsid w:val="00196335"/>
    <w:rsid w:val="001965B7"/>
    <w:rsid w:val="00196659"/>
    <w:rsid w:val="00196F63"/>
    <w:rsid w:val="00197CE1"/>
    <w:rsid w:val="001A0561"/>
    <w:rsid w:val="001A077D"/>
    <w:rsid w:val="001A1016"/>
    <w:rsid w:val="001A26BE"/>
    <w:rsid w:val="001A31C7"/>
    <w:rsid w:val="001A41DD"/>
    <w:rsid w:val="001A4AAC"/>
    <w:rsid w:val="001A4C1B"/>
    <w:rsid w:val="001A4E28"/>
    <w:rsid w:val="001A4FEA"/>
    <w:rsid w:val="001A5579"/>
    <w:rsid w:val="001A5927"/>
    <w:rsid w:val="001A5A48"/>
    <w:rsid w:val="001A6246"/>
    <w:rsid w:val="001A667D"/>
    <w:rsid w:val="001A66ED"/>
    <w:rsid w:val="001A6964"/>
    <w:rsid w:val="001A6FDA"/>
    <w:rsid w:val="001A7474"/>
    <w:rsid w:val="001B05E5"/>
    <w:rsid w:val="001B078E"/>
    <w:rsid w:val="001B0927"/>
    <w:rsid w:val="001B09F5"/>
    <w:rsid w:val="001B0A07"/>
    <w:rsid w:val="001B0D22"/>
    <w:rsid w:val="001B0F3A"/>
    <w:rsid w:val="001B11D1"/>
    <w:rsid w:val="001B1320"/>
    <w:rsid w:val="001B133D"/>
    <w:rsid w:val="001B150E"/>
    <w:rsid w:val="001B1EB6"/>
    <w:rsid w:val="001B2177"/>
    <w:rsid w:val="001B23B0"/>
    <w:rsid w:val="001B2F43"/>
    <w:rsid w:val="001B3602"/>
    <w:rsid w:val="001B3DEE"/>
    <w:rsid w:val="001B3F1C"/>
    <w:rsid w:val="001B3F5F"/>
    <w:rsid w:val="001B3F6E"/>
    <w:rsid w:val="001B48A9"/>
    <w:rsid w:val="001B49EA"/>
    <w:rsid w:val="001B65DB"/>
    <w:rsid w:val="001B7272"/>
    <w:rsid w:val="001B73EA"/>
    <w:rsid w:val="001B7578"/>
    <w:rsid w:val="001B7B44"/>
    <w:rsid w:val="001C036D"/>
    <w:rsid w:val="001C04A4"/>
    <w:rsid w:val="001C0915"/>
    <w:rsid w:val="001C0A30"/>
    <w:rsid w:val="001C1024"/>
    <w:rsid w:val="001C1BA7"/>
    <w:rsid w:val="001C21EC"/>
    <w:rsid w:val="001C2A1B"/>
    <w:rsid w:val="001C2D95"/>
    <w:rsid w:val="001C3E81"/>
    <w:rsid w:val="001C40EA"/>
    <w:rsid w:val="001C4D92"/>
    <w:rsid w:val="001C4E2D"/>
    <w:rsid w:val="001C50BF"/>
    <w:rsid w:val="001C5425"/>
    <w:rsid w:val="001C555F"/>
    <w:rsid w:val="001C562A"/>
    <w:rsid w:val="001C59B9"/>
    <w:rsid w:val="001C6053"/>
    <w:rsid w:val="001C64B0"/>
    <w:rsid w:val="001C6F44"/>
    <w:rsid w:val="001C7113"/>
    <w:rsid w:val="001C73B3"/>
    <w:rsid w:val="001D01FB"/>
    <w:rsid w:val="001D0873"/>
    <w:rsid w:val="001D0CE7"/>
    <w:rsid w:val="001D1844"/>
    <w:rsid w:val="001D1CF1"/>
    <w:rsid w:val="001D2652"/>
    <w:rsid w:val="001D2AC3"/>
    <w:rsid w:val="001D2CA9"/>
    <w:rsid w:val="001D2CCE"/>
    <w:rsid w:val="001D2D6E"/>
    <w:rsid w:val="001D3694"/>
    <w:rsid w:val="001D3917"/>
    <w:rsid w:val="001D513C"/>
    <w:rsid w:val="001D5354"/>
    <w:rsid w:val="001D5670"/>
    <w:rsid w:val="001D59D2"/>
    <w:rsid w:val="001D5C22"/>
    <w:rsid w:val="001D5E9F"/>
    <w:rsid w:val="001D62C5"/>
    <w:rsid w:val="001D66A2"/>
    <w:rsid w:val="001D6E98"/>
    <w:rsid w:val="001D7A23"/>
    <w:rsid w:val="001E00D7"/>
    <w:rsid w:val="001E0370"/>
    <w:rsid w:val="001E0618"/>
    <w:rsid w:val="001E0E52"/>
    <w:rsid w:val="001E1499"/>
    <w:rsid w:val="001E15A8"/>
    <w:rsid w:val="001E17B1"/>
    <w:rsid w:val="001E17CE"/>
    <w:rsid w:val="001E19B1"/>
    <w:rsid w:val="001E1F9C"/>
    <w:rsid w:val="001E21F8"/>
    <w:rsid w:val="001E233F"/>
    <w:rsid w:val="001E23EB"/>
    <w:rsid w:val="001E2873"/>
    <w:rsid w:val="001E294D"/>
    <w:rsid w:val="001E2D38"/>
    <w:rsid w:val="001E37A3"/>
    <w:rsid w:val="001E39FB"/>
    <w:rsid w:val="001E3C3B"/>
    <w:rsid w:val="001E3E1D"/>
    <w:rsid w:val="001E430A"/>
    <w:rsid w:val="001E5215"/>
    <w:rsid w:val="001E5225"/>
    <w:rsid w:val="001E53C1"/>
    <w:rsid w:val="001E53F2"/>
    <w:rsid w:val="001E58BF"/>
    <w:rsid w:val="001E638B"/>
    <w:rsid w:val="001E6523"/>
    <w:rsid w:val="001E6A1F"/>
    <w:rsid w:val="001E6FEB"/>
    <w:rsid w:val="001E7326"/>
    <w:rsid w:val="001E7A00"/>
    <w:rsid w:val="001E7DE8"/>
    <w:rsid w:val="001E7E48"/>
    <w:rsid w:val="001F003F"/>
    <w:rsid w:val="001F0878"/>
    <w:rsid w:val="001F0ECF"/>
    <w:rsid w:val="001F137F"/>
    <w:rsid w:val="001F186E"/>
    <w:rsid w:val="001F1AC2"/>
    <w:rsid w:val="001F1D22"/>
    <w:rsid w:val="001F2310"/>
    <w:rsid w:val="001F277D"/>
    <w:rsid w:val="001F2D09"/>
    <w:rsid w:val="001F351D"/>
    <w:rsid w:val="001F37C0"/>
    <w:rsid w:val="001F3C2B"/>
    <w:rsid w:val="001F41EB"/>
    <w:rsid w:val="001F4260"/>
    <w:rsid w:val="001F4301"/>
    <w:rsid w:val="001F4860"/>
    <w:rsid w:val="001F4D51"/>
    <w:rsid w:val="001F4EFE"/>
    <w:rsid w:val="001F58A5"/>
    <w:rsid w:val="001F5CA9"/>
    <w:rsid w:val="001F5E35"/>
    <w:rsid w:val="001F622B"/>
    <w:rsid w:val="001F6321"/>
    <w:rsid w:val="001F6475"/>
    <w:rsid w:val="001F65B8"/>
    <w:rsid w:val="001F69CF"/>
    <w:rsid w:val="001F6FD7"/>
    <w:rsid w:val="001F729D"/>
    <w:rsid w:val="001F75E7"/>
    <w:rsid w:val="001F7ACC"/>
    <w:rsid w:val="002001AE"/>
    <w:rsid w:val="00200578"/>
    <w:rsid w:val="002007C7"/>
    <w:rsid w:val="00200B95"/>
    <w:rsid w:val="0020100D"/>
    <w:rsid w:val="002011BA"/>
    <w:rsid w:val="002012C7"/>
    <w:rsid w:val="00201753"/>
    <w:rsid w:val="0020189D"/>
    <w:rsid w:val="00201A6F"/>
    <w:rsid w:val="00201DED"/>
    <w:rsid w:val="002020DB"/>
    <w:rsid w:val="00202226"/>
    <w:rsid w:val="002023D1"/>
    <w:rsid w:val="002024B8"/>
    <w:rsid w:val="0020258D"/>
    <w:rsid w:val="002026A6"/>
    <w:rsid w:val="0020276F"/>
    <w:rsid w:val="00202837"/>
    <w:rsid w:val="00202B51"/>
    <w:rsid w:val="00202CCE"/>
    <w:rsid w:val="0020307B"/>
    <w:rsid w:val="00203915"/>
    <w:rsid w:val="0020392E"/>
    <w:rsid w:val="00203DDA"/>
    <w:rsid w:val="00203EAD"/>
    <w:rsid w:val="00204536"/>
    <w:rsid w:val="00204921"/>
    <w:rsid w:val="00204ECC"/>
    <w:rsid w:val="00205067"/>
    <w:rsid w:val="002051B6"/>
    <w:rsid w:val="00205228"/>
    <w:rsid w:val="00205428"/>
    <w:rsid w:val="00205724"/>
    <w:rsid w:val="002059BE"/>
    <w:rsid w:val="00205C26"/>
    <w:rsid w:val="00206018"/>
    <w:rsid w:val="00206031"/>
    <w:rsid w:val="00206CF4"/>
    <w:rsid w:val="00206E06"/>
    <w:rsid w:val="00206E0E"/>
    <w:rsid w:val="00206ED8"/>
    <w:rsid w:val="00206FC8"/>
    <w:rsid w:val="00210013"/>
    <w:rsid w:val="002101A0"/>
    <w:rsid w:val="00210B6E"/>
    <w:rsid w:val="00210C26"/>
    <w:rsid w:val="002110B4"/>
    <w:rsid w:val="002112D3"/>
    <w:rsid w:val="002113CD"/>
    <w:rsid w:val="00211641"/>
    <w:rsid w:val="00211675"/>
    <w:rsid w:val="0021173F"/>
    <w:rsid w:val="002117BB"/>
    <w:rsid w:val="002123F3"/>
    <w:rsid w:val="002124F1"/>
    <w:rsid w:val="0021266C"/>
    <w:rsid w:val="00212FC4"/>
    <w:rsid w:val="0021332F"/>
    <w:rsid w:val="00213506"/>
    <w:rsid w:val="0021388C"/>
    <w:rsid w:val="00213F2D"/>
    <w:rsid w:val="002142A2"/>
    <w:rsid w:val="002145C1"/>
    <w:rsid w:val="002146FB"/>
    <w:rsid w:val="002149E7"/>
    <w:rsid w:val="00214DCC"/>
    <w:rsid w:val="00214DDB"/>
    <w:rsid w:val="00214FAB"/>
    <w:rsid w:val="0021514D"/>
    <w:rsid w:val="002153D2"/>
    <w:rsid w:val="00215839"/>
    <w:rsid w:val="00215A57"/>
    <w:rsid w:val="00215AE9"/>
    <w:rsid w:val="00215B44"/>
    <w:rsid w:val="00216CF4"/>
    <w:rsid w:val="00216EE8"/>
    <w:rsid w:val="00217004"/>
    <w:rsid w:val="00217166"/>
    <w:rsid w:val="00217623"/>
    <w:rsid w:val="00220B8C"/>
    <w:rsid w:val="0022141A"/>
    <w:rsid w:val="0022144C"/>
    <w:rsid w:val="0022147B"/>
    <w:rsid w:val="00221752"/>
    <w:rsid w:val="00221887"/>
    <w:rsid w:val="002223A1"/>
    <w:rsid w:val="002226A4"/>
    <w:rsid w:val="0022285D"/>
    <w:rsid w:val="00223354"/>
    <w:rsid w:val="0022392A"/>
    <w:rsid w:val="00223AA3"/>
    <w:rsid w:val="00223DEB"/>
    <w:rsid w:val="00224107"/>
    <w:rsid w:val="0022439E"/>
    <w:rsid w:val="00224D76"/>
    <w:rsid w:val="00224DC3"/>
    <w:rsid w:val="00225004"/>
    <w:rsid w:val="00225378"/>
    <w:rsid w:val="00225E68"/>
    <w:rsid w:val="00225F25"/>
    <w:rsid w:val="002260F1"/>
    <w:rsid w:val="00226160"/>
    <w:rsid w:val="002264CC"/>
    <w:rsid w:val="002265CD"/>
    <w:rsid w:val="0022676B"/>
    <w:rsid w:val="00226820"/>
    <w:rsid w:val="00226A7E"/>
    <w:rsid w:val="00226D94"/>
    <w:rsid w:val="00227507"/>
    <w:rsid w:val="002278CB"/>
    <w:rsid w:val="00227916"/>
    <w:rsid w:val="00227A7F"/>
    <w:rsid w:val="00227CE5"/>
    <w:rsid w:val="00230330"/>
    <w:rsid w:val="00230341"/>
    <w:rsid w:val="0023038F"/>
    <w:rsid w:val="00230523"/>
    <w:rsid w:val="00230935"/>
    <w:rsid w:val="00230A47"/>
    <w:rsid w:val="00230F0A"/>
    <w:rsid w:val="00230FE9"/>
    <w:rsid w:val="00231694"/>
    <w:rsid w:val="00231937"/>
    <w:rsid w:val="00231954"/>
    <w:rsid w:val="00231E89"/>
    <w:rsid w:val="002320CB"/>
    <w:rsid w:val="00232966"/>
    <w:rsid w:val="00232A0C"/>
    <w:rsid w:val="00232E56"/>
    <w:rsid w:val="00233269"/>
    <w:rsid w:val="0023406E"/>
    <w:rsid w:val="00234127"/>
    <w:rsid w:val="00234CDC"/>
    <w:rsid w:val="00235123"/>
    <w:rsid w:val="0023640C"/>
    <w:rsid w:val="002366DA"/>
    <w:rsid w:val="002368F2"/>
    <w:rsid w:val="00236B20"/>
    <w:rsid w:val="00236EE4"/>
    <w:rsid w:val="0024120D"/>
    <w:rsid w:val="00241997"/>
    <w:rsid w:val="00241B14"/>
    <w:rsid w:val="00241ECF"/>
    <w:rsid w:val="00241FDF"/>
    <w:rsid w:val="00242020"/>
    <w:rsid w:val="00242081"/>
    <w:rsid w:val="002425CF"/>
    <w:rsid w:val="00242686"/>
    <w:rsid w:val="00242E61"/>
    <w:rsid w:val="00244777"/>
    <w:rsid w:val="002447C0"/>
    <w:rsid w:val="00244AC5"/>
    <w:rsid w:val="00244FC7"/>
    <w:rsid w:val="00245001"/>
    <w:rsid w:val="0024540C"/>
    <w:rsid w:val="0024585D"/>
    <w:rsid w:val="00245E03"/>
    <w:rsid w:val="002461FF"/>
    <w:rsid w:val="002463AA"/>
    <w:rsid w:val="002463ED"/>
    <w:rsid w:val="00246639"/>
    <w:rsid w:val="00246B81"/>
    <w:rsid w:val="0024762C"/>
    <w:rsid w:val="00247D23"/>
    <w:rsid w:val="00247DB7"/>
    <w:rsid w:val="00247EFA"/>
    <w:rsid w:val="0025006B"/>
    <w:rsid w:val="00250A16"/>
    <w:rsid w:val="00251236"/>
    <w:rsid w:val="00251668"/>
    <w:rsid w:val="002520A4"/>
    <w:rsid w:val="0025210C"/>
    <w:rsid w:val="002521C7"/>
    <w:rsid w:val="002521D2"/>
    <w:rsid w:val="0025243A"/>
    <w:rsid w:val="00252A59"/>
    <w:rsid w:val="00252A98"/>
    <w:rsid w:val="00252EF2"/>
    <w:rsid w:val="00253B2C"/>
    <w:rsid w:val="00253D91"/>
    <w:rsid w:val="00254007"/>
    <w:rsid w:val="00254158"/>
    <w:rsid w:val="0025434C"/>
    <w:rsid w:val="00254795"/>
    <w:rsid w:val="00254F59"/>
    <w:rsid w:val="00254FC2"/>
    <w:rsid w:val="00255523"/>
    <w:rsid w:val="002559E5"/>
    <w:rsid w:val="002559F6"/>
    <w:rsid w:val="00255AA8"/>
    <w:rsid w:val="0025619B"/>
    <w:rsid w:val="002561E0"/>
    <w:rsid w:val="00256225"/>
    <w:rsid w:val="002564A5"/>
    <w:rsid w:val="00256A0C"/>
    <w:rsid w:val="00257015"/>
    <w:rsid w:val="002571E2"/>
    <w:rsid w:val="0025723F"/>
    <w:rsid w:val="00257DAE"/>
    <w:rsid w:val="00257EB7"/>
    <w:rsid w:val="002600AD"/>
    <w:rsid w:val="0026020A"/>
    <w:rsid w:val="0026059E"/>
    <w:rsid w:val="00260651"/>
    <w:rsid w:val="00260A84"/>
    <w:rsid w:val="00260ACD"/>
    <w:rsid w:val="00260F48"/>
    <w:rsid w:val="00260F88"/>
    <w:rsid w:val="002616F3"/>
    <w:rsid w:val="002617E4"/>
    <w:rsid w:val="00261E69"/>
    <w:rsid w:val="002621B5"/>
    <w:rsid w:val="002624D6"/>
    <w:rsid w:val="00262530"/>
    <w:rsid w:val="002626C8"/>
    <w:rsid w:val="00262738"/>
    <w:rsid w:val="002627FF"/>
    <w:rsid w:val="002629F3"/>
    <w:rsid w:val="002640D3"/>
    <w:rsid w:val="00264265"/>
    <w:rsid w:val="002643C6"/>
    <w:rsid w:val="0026467C"/>
    <w:rsid w:val="0026497B"/>
    <w:rsid w:val="00264A86"/>
    <w:rsid w:val="00264EFD"/>
    <w:rsid w:val="002657E6"/>
    <w:rsid w:val="00266326"/>
    <w:rsid w:val="0026676A"/>
    <w:rsid w:val="00266E7F"/>
    <w:rsid w:val="00267AC5"/>
    <w:rsid w:val="00267AD8"/>
    <w:rsid w:val="00267C84"/>
    <w:rsid w:val="00267E80"/>
    <w:rsid w:val="00270244"/>
    <w:rsid w:val="00270641"/>
    <w:rsid w:val="002706D2"/>
    <w:rsid w:val="00270763"/>
    <w:rsid w:val="00270F83"/>
    <w:rsid w:val="00270FC7"/>
    <w:rsid w:val="002718B7"/>
    <w:rsid w:val="002718C5"/>
    <w:rsid w:val="002718D7"/>
    <w:rsid w:val="00271CF7"/>
    <w:rsid w:val="0027212D"/>
    <w:rsid w:val="0027248E"/>
    <w:rsid w:val="00272D8F"/>
    <w:rsid w:val="00272FD3"/>
    <w:rsid w:val="00273142"/>
    <w:rsid w:val="00273C98"/>
    <w:rsid w:val="00273D0B"/>
    <w:rsid w:val="00274305"/>
    <w:rsid w:val="002743A9"/>
    <w:rsid w:val="0027476C"/>
    <w:rsid w:val="002749E7"/>
    <w:rsid w:val="00274AFF"/>
    <w:rsid w:val="00274EB2"/>
    <w:rsid w:val="0027519A"/>
    <w:rsid w:val="002751F3"/>
    <w:rsid w:val="00275A84"/>
    <w:rsid w:val="00275C33"/>
    <w:rsid w:val="00275E2D"/>
    <w:rsid w:val="00276578"/>
    <w:rsid w:val="002766ED"/>
    <w:rsid w:val="00276710"/>
    <w:rsid w:val="00276C4B"/>
    <w:rsid w:val="00276D61"/>
    <w:rsid w:val="00277059"/>
    <w:rsid w:val="00277B41"/>
    <w:rsid w:val="00277DE3"/>
    <w:rsid w:val="0028028A"/>
    <w:rsid w:val="0028039A"/>
    <w:rsid w:val="00280764"/>
    <w:rsid w:val="00280A5A"/>
    <w:rsid w:val="002810DF"/>
    <w:rsid w:val="00281241"/>
    <w:rsid w:val="00281881"/>
    <w:rsid w:val="002818A9"/>
    <w:rsid w:val="00281BD3"/>
    <w:rsid w:val="00281C45"/>
    <w:rsid w:val="00281D7C"/>
    <w:rsid w:val="00282022"/>
    <w:rsid w:val="0028214E"/>
    <w:rsid w:val="0028234A"/>
    <w:rsid w:val="00282681"/>
    <w:rsid w:val="002827A7"/>
    <w:rsid w:val="002829AF"/>
    <w:rsid w:val="00282CAB"/>
    <w:rsid w:val="00282D93"/>
    <w:rsid w:val="002834DA"/>
    <w:rsid w:val="00283A1E"/>
    <w:rsid w:val="00283BA7"/>
    <w:rsid w:val="0028451F"/>
    <w:rsid w:val="002849D3"/>
    <w:rsid w:val="00284B89"/>
    <w:rsid w:val="00284BE3"/>
    <w:rsid w:val="00284F33"/>
    <w:rsid w:val="00284FDE"/>
    <w:rsid w:val="00285239"/>
    <w:rsid w:val="00285282"/>
    <w:rsid w:val="00285DC7"/>
    <w:rsid w:val="00286449"/>
    <w:rsid w:val="0028644F"/>
    <w:rsid w:val="00287314"/>
    <w:rsid w:val="00287FFC"/>
    <w:rsid w:val="0029041D"/>
    <w:rsid w:val="00290762"/>
    <w:rsid w:val="00290A65"/>
    <w:rsid w:val="00290DC4"/>
    <w:rsid w:val="00290F44"/>
    <w:rsid w:val="00290F74"/>
    <w:rsid w:val="00290FD7"/>
    <w:rsid w:val="002912D6"/>
    <w:rsid w:val="0029151E"/>
    <w:rsid w:val="00291E45"/>
    <w:rsid w:val="00292611"/>
    <w:rsid w:val="00292AE5"/>
    <w:rsid w:val="00292AE6"/>
    <w:rsid w:val="00292EA0"/>
    <w:rsid w:val="00293075"/>
    <w:rsid w:val="00293631"/>
    <w:rsid w:val="00293709"/>
    <w:rsid w:val="00293AEC"/>
    <w:rsid w:val="00293FBA"/>
    <w:rsid w:val="00294021"/>
    <w:rsid w:val="00294063"/>
    <w:rsid w:val="00294359"/>
    <w:rsid w:val="00294964"/>
    <w:rsid w:val="002958EC"/>
    <w:rsid w:val="00296735"/>
    <w:rsid w:val="00296740"/>
    <w:rsid w:val="0029692E"/>
    <w:rsid w:val="002973E6"/>
    <w:rsid w:val="00297453"/>
    <w:rsid w:val="0029771F"/>
    <w:rsid w:val="00297C3F"/>
    <w:rsid w:val="002A0391"/>
    <w:rsid w:val="002A04AE"/>
    <w:rsid w:val="002A04DE"/>
    <w:rsid w:val="002A0AA5"/>
    <w:rsid w:val="002A11DC"/>
    <w:rsid w:val="002A1254"/>
    <w:rsid w:val="002A1742"/>
    <w:rsid w:val="002A1A29"/>
    <w:rsid w:val="002A1BF8"/>
    <w:rsid w:val="002A21BF"/>
    <w:rsid w:val="002A2409"/>
    <w:rsid w:val="002A3788"/>
    <w:rsid w:val="002A3B7A"/>
    <w:rsid w:val="002A4A46"/>
    <w:rsid w:val="002A4EB3"/>
    <w:rsid w:val="002A4EB5"/>
    <w:rsid w:val="002A4F97"/>
    <w:rsid w:val="002A5725"/>
    <w:rsid w:val="002A59AF"/>
    <w:rsid w:val="002A66AF"/>
    <w:rsid w:val="002A71F0"/>
    <w:rsid w:val="002A76D0"/>
    <w:rsid w:val="002A77D8"/>
    <w:rsid w:val="002A7933"/>
    <w:rsid w:val="002A797A"/>
    <w:rsid w:val="002A7AF0"/>
    <w:rsid w:val="002A7CE9"/>
    <w:rsid w:val="002B008E"/>
    <w:rsid w:val="002B008F"/>
    <w:rsid w:val="002B0411"/>
    <w:rsid w:val="002B046D"/>
    <w:rsid w:val="002B184A"/>
    <w:rsid w:val="002B1BE9"/>
    <w:rsid w:val="002B1DF6"/>
    <w:rsid w:val="002B2135"/>
    <w:rsid w:val="002B21DE"/>
    <w:rsid w:val="002B2585"/>
    <w:rsid w:val="002B2A92"/>
    <w:rsid w:val="002B3A1D"/>
    <w:rsid w:val="002B3BAF"/>
    <w:rsid w:val="002B43F3"/>
    <w:rsid w:val="002B472F"/>
    <w:rsid w:val="002B4C24"/>
    <w:rsid w:val="002B4C75"/>
    <w:rsid w:val="002B4D8B"/>
    <w:rsid w:val="002B4E05"/>
    <w:rsid w:val="002B510E"/>
    <w:rsid w:val="002B5288"/>
    <w:rsid w:val="002B5DEF"/>
    <w:rsid w:val="002B61A2"/>
    <w:rsid w:val="002B62A9"/>
    <w:rsid w:val="002B6E22"/>
    <w:rsid w:val="002B6E9D"/>
    <w:rsid w:val="002B6EFE"/>
    <w:rsid w:val="002B753F"/>
    <w:rsid w:val="002B7D56"/>
    <w:rsid w:val="002C049D"/>
    <w:rsid w:val="002C10BD"/>
    <w:rsid w:val="002C12A4"/>
    <w:rsid w:val="002C13BB"/>
    <w:rsid w:val="002C1506"/>
    <w:rsid w:val="002C1F1D"/>
    <w:rsid w:val="002C250C"/>
    <w:rsid w:val="002C2785"/>
    <w:rsid w:val="002C29DD"/>
    <w:rsid w:val="002C2F73"/>
    <w:rsid w:val="002C3192"/>
    <w:rsid w:val="002C326E"/>
    <w:rsid w:val="002C3541"/>
    <w:rsid w:val="002C38A9"/>
    <w:rsid w:val="002C404C"/>
    <w:rsid w:val="002C412C"/>
    <w:rsid w:val="002C41D7"/>
    <w:rsid w:val="002C41F8"/>
    <w:rsid w:val="002C44A7"/>
    <w:rsid w:val="002C4895"/>
    <w:rsid w:val="002C49F3"/>
    <w:rsid w:val="002C5303"/>
    <w:rsid w:val="002C54E3"/>
    <w:rsid w:val="002C5C20"/>
    <w:rsid w:val="002C60F2"/>
    <w:rsid w:val="002C6185"/>
    <w:rsid w:val="002C73F9"/>
    <w:rsid w:val="002C74AD"/>
    <w:rsid w:val="002C7779"/>
    <w:rsid w:val="002C7934"/>
    <w:rsid w:val="002C7D69"/>
    <w:rsid w:val="002C7F0B"/>
    <w:rsid w:val="002D077A"/>
    <w:rsid w:val="002D12E7"/>
    <w:rsid w:val="002D146A"/>
    <w:rsid w:val="002D1D94"/>
    <w:rsid w:val="002D1F9A"/>
    <w:rsid w:val="002D22B8"/>
    <w:rsid w:val="002D2563"/>
    <w:rsid w:val="002D29B1"/>
    <w:rsid w:val="002D2DA2"/>
    <w:rsid w:val="002D3904"/>
    <w:rsid w:val="002D3E8E"/>
    <w:rsid w:val="002D3F7E"/>
    <w:rsid w:val="002D4359"/>
    <w:rsid w:val="002D5137"/>
    <w:rsid w:val="002D5B9C"/>
    <w:rsid w:val="002D5C8E"/>
    <w:rsid w:val="002D5EC4"/>
    <w:rsid w:val="002D5EEE"/>
    <w:rsid w:val="002D65B3"/>
    <w:rsid w:val="002D6DDD"/>
    <w:rsid w:val="002D7438"/>
    <w:rsid w:val="002D744F"/>
    <w:rsid w:val="002D749E"/>
    <w:rsid w:val="002D7651"/>
    <w:rsid w:val="002D790D"/>
    <w:rsid w:val="002E01F3"/>
    <w:rsid w:val="002E0636"/>
    <w:rsid w:val="002E0689"/>
    <w:rsid w:val="002E06B0"/>
    <w:rsid w:val="002E08A0"/>
    <w:rsid w:val="002E0B3C"/>
    <w:rsid w:val="002E0E17"/>
    <w:rsid w:val="002E1068"/>
    <w:rsid w:val="002E1EE3"/>
    <w:rsid w:val="002E1F99"/>
    <w:rsid w:val="002E21DE"/>
    <w:rsid w:val="002E2303"/>
    <w:rsid w:val="002E2450"/>
    <w:rsid w:val="002E31A3"/>
    <w:rsid w:val="002E32F9"/>
    <w:rsid w:val="002E34B4"/>
    <w:rsid w:val="002E3B5D"/>
    <w:rsid w:val="002E3BD7"/>
    <w:rsid w:val="002E3CB6"/>
    <w:rsid w:val="002E43C5"/>
    <w:rsid w:val="002E4585"/>
    <w:rsid w:val="002E4667"/>
    <w:rsid w:val="002E4704"/>
    <w:rsid w:val="002E4734"/>
    <w:rsid w:val="002E4A99"/>
    <w:rsid w:val="002E4EA9"/>
    <w:rsid w:val="002E4EFB"/>
    <w:rsid w:val="002E574C"/>
    <w:rsid w:val="002E57C2"/>
    <w:rsid w:val="002E610A"/>
    <w:rsid w:val="002E65D3"/>
    <w:rsid w:val="002E675E"/>
    <w:rsid w:val="002E6A10"/>
    <w:rsid w:val="002E6A71"/>
    <w:rsid w:val="002E6EB0"/>
    <w:rsid w:val="002E6EBE"/>
    <w:rsid w:val="002E6F12"/>
    <w:rsid w:val="002E70DD"/>
    <w:rsid w:val="002E7509"/>
    <w:rsid w:val="002E7B47"/>
    <w:rsid w:val="002E7E77"/>
    <w:rsid w:val="002E7F4D"/>
    <w:rsid w:val="002F0062"/>
    <w:rsid w:val="002F0176"/>
    <w:rsid w:val="002F01F8"/>
    <w:rsid w:val="002F0548"/>
    <w:rsid w:val="002F0701"/>
    <w:rsid w:val="002F07B6"/>
    <w:rsid w:val="002F0954"/>
    <w:rsid w:val="002F0D2E"/>
    <w:rsid w:val="002F0F75"/>
    <w:rsid w:val="002F126F"/>
    <w:rsid w:val="002F14DA"/>
    <w:rsid w:val="002F1844"/>
    <w:rsid w:val="002F1A1A"/>
    <w:rsid w:val="002F1DD8"/>
    <w:rsid w:val="002F2130"/>
    <w:rsid w:val="002F2375"/>
    <w:rsid w:val="002F2CBF"/>
    <w:rsid w:val="002F2D32"/>
    <w:rsid w:val="002F2D76"/>
    <w:rsid w:val="002F2EA5"/>
    <w:rsid w:val="002F42AF"/>
    <w:rsid w:val="002F42CB"/>
    <w:rsid w:val="002F4551"/>
    <w:rsid w:val="002F4D98"/>
    <w:rsid w:val="002F5012"/>
    <w:rsid w:val="002F508E"/>
    <w:rsid w:val="002F5155"/>
    <w:rsid w:val="002F53D5"/>
    <w:rsid w:val="002F5588"/>
    <w:rsid w:val="002F5800"/>
    <w:rsid w:val="002F58D1"/>
    <w:rsid w:val="002F591C"/>
    <w:rsid w:val="002F5D64"/>
    <w:rsid w:val="002F5DF3"/>
    <w:rsid w:val="002F60DD"/>
    <w:rsid w:val="002F6323"/>
    <w:rsid w:val="002F6502"/>
    <w:rsid w:val="002F6505"/>
    <w:rsid w:val="002F663D"/>
    <w:rsid w:val="002F6AEE"/>
    <w:rsid w:val="002F7431"/>
    <w:rsid w:val="002F7693"/>
    <w:rsid w:val="002F7D77"/>
    <w:rsid w:val="002F7E9B"/>
    <w:rsid w:val="00300120"/>
    <w:rsid w:val="00300484"/>
    <w:rsid w:val="00300EFB"/>
    <w:rsid w:val="003010D7"/>
    <w:rsid w:val="00301A74"/>
    <w:rsid w:val="003020B3"/>
    <w:rsid w:val="00302501"/>
    <w:rsid w:val="003025D5"/>
    <w:rsid w:val="00302C0A"/>
    <w:rsid w:val="00303296"/>
    <w:rsid w:val="00303462"/>
    <w:rsid w:val="0030395B"/>
    <w:rsid w:val="00303BE8"/>
    <w:rsid w:val="00303E4A"/>
    <w:rsid w:val="00304CC8"/>
    <w:rsid w:val="0030551E"/>
    <w:rsid w:val="00305732"/>
    <w:rsid w:val="00305A24"/>
    <w:rsid w:val="00305AA9"/>
    <w:rsid w:val="003061DF"/>
    <w:rsid w:val="00306363"/>
    <w:rsid w:val="00306781"/>
    <w:rsid w:val="00306D59"/>
    <w:rsid w:val="0030713F"/>
    <w:rsid w:val="003074EC"/>
    <w:rsid w:val="0030774A"/>
    <w:rsid w:val="0031013C"/>
    <w:rsid w:val="003104EA"/>
    <w:rsid w:val="003104FA"/>
    <w:rsid w:val="00310B30"/>
    <w:rsid w:val="00311DAF"/>
    <w:rsid w:val="00312FDD"/>
    <w:rsid w:val="00312FF2"/>
    <w:rsid w:val="0031326C"/>
    <w:rsid w:val="00313642"/>
    <w:rsid w:val="00314756"/>
    <w:rsid w:val="00314C53"/>
    <w:rsid w:val="00314E95"/>
    <w:rsid w:val="00315586"/>
    <w:rsid w:val="00315B51"/>
    <w:rsid w:val="003164A7"/>
    <w:rsid w:val="00316676"/>
    <w:rsid w:val="00316BC9"/>
    <w:rsid w:val="00316D60"/>
    <w:rsid w:val="00317322"/>
    <w:rsid w:val="00317B00"/>
    <w:rsid w:val="003208CD"/>
    <w:rsid w:val="00320B82"/>
    <w:rsid w:val="00320FA7"/>
    <w:rsid w:val="00321379"/>
    <w:rsid w:val="00321577"/>
    <w:rsid w:val="0032173F"/>
    <w:rsid w:val="00322CCF"/>
    <w:rsid w:val="00322F3B"/>
    <w:rsid w:val="003235A2"/>
    <w:rsid w:val="00324355"/>
    <w:rsid w:val="003243E8"/>
    <w:rsid w:val="003243F9"/>
    <w:rsid w:val="00324407"/>
    <w:rsid w:val="00324492"/>
    <w:rsid w:val="0032454E"/>
    <w:rsid w:val="00324707"/>
    <w:rsid w:val="003247DF"/>
    <w:rsid w:val="00324CCF"/>
    <w:rsid w:val="003252AD"/>
    <w:rsid w:val="003256D6"/>
    <w:rsid w:val="00325DF5"/>
    <w:rsid w:val="003261CC"/>
    <w:rsid w:val="00326456"/>
    <w:rsid w:val="0032687F"/>
    <w:rsid w:val="00326DF9"/>
    <w:rsid w:val="00326E9D"/>
    <w:rsid w:val="0032741A"/>
    <w:rsid w:val="00327AB9"/>
    <w:rsid w:val="00327DE4"/>
    <w:rsid w:val="00330062"/>
    <w:rsid w:val="003300E9"/>
    <w:rsid w:val="003307F5"/>
    <w:rsid w:val="00330C97"/>
    <w:rsid w:val="00330D37"/>
    <w:rsid w:val="00330F69"/>
    <w:rsid w:val="00331006"/>
    <w:rsid w:val="003312FB"/>
    <w:rsid w:val="00331754"/>
    <w:rsid w:val="00331AB7"/>
    <w:rsid w:val="003324D1"/>
    <w:rsid w:val="003325FA"/>
    <w:rsid w:val="003326DF"/>
    <w:rsid w:val="0033281B"/>
    <w:rsid w:val="00333D11"/>
    <w:rsid w:val="003342B9"/>
    <w:rsid w:val="0033472A"/>
    <w:rsid w:val="00334737"/>
    <w:rsid w:val="00334DEE"/>
    <w:rsid w:val="00335928"/>
    <w:rsid w:val="00335A6D"/>
    <w:rsid w:val="00335B1F"/>
    <w:rsid w:val="00336117"/>
    <w:rsid w:val="00336205"/>
    <w:rsid w:val="00336C03"/>
    <w:rsid w:val="0033759A"/>
    <w:rsid w:val="0034028A"/>
    <w:rsid w:val="0034038B"/>
    <w:rsid w:val="00340BD8"/>
    <w:rsid w:val="00341197"/>
    <w:rsid w:val="0034128E"/>
    <w:rsid w:val="0034178A"/>
    <w:rsid w:val="00341C83"/>
    <w:rsid w:val="00341E35"/>
    <w:rsid w:val="00341F34"/>
    <w:rsid w:val="0034216E"/>
    <w:rsid w:val="003423A4"/>
    <w:rsid w:val="003431CC"/>
    <w:rsid w:val="003436FD"/>
    <w:rsid w:val="00343F8F"/>
    <w:rsid w:val="00344145"/>
    <w:rsid w:val="0034467A"/>
    <w:rsid w:val="00344857"/>
    <w:rsid w:val="003448F6"/>
    <w:rsid w:val="00344EDB"/>
    <w:rsid w:val="00344EF4"/>
    <w:rsid w:val="00344FD4"/>
    <w:rsid w:val="00345297"/>
    <w:rsid w:val="00345B27"/>
    <w:rsid w:val="00345CFB"/>
    <w:rsid w:val="00345FB6"/>
    <w:rsid w:val="003462C4"/>
    <w:rsid w:val="003464A4"/>
    <w:rsid w:val="00346650"/>
    <w:rsid w:val="003467AA"/>
    <w:rsid w:val="003470AD"/>
    <w:rsid w:val="0034712E"/>
    <w:rsid w:val="00347303"/>
    <w:rsid w:val="00347AC3"/>
    <w:rsid w:val="00347B79"/>
    <w:rsid w:val="00350911"/>
    <w:rsid w:val="003509FF"/>
    <w:rsid w:val="00350A73"/>
    <w:rsid w:val="0035102E"/>
    <w:rsid w:val="00351157"/>
    <w:rsid w:val="0035118A"/>
    <w:rsid w:val="003516F7"/>
    <w:rsid w:val="00351ABD"/>
    <w:rsid w:val="00351ACB"/>
    <w:rsid w:val="00351BC7"/>
    <w:rsid w:val="00352945"/>
    <w:rsid w:val="00352FB8"/>
    <w:rsid w:val="003535B2"/>
    <w:rsid w:val="0035384E"/>
    <w:rsid w:val="00354AEC"/>
    <w:rsid w:val="00355084"/>
    <w:rsid w:val="003554A3"/>
    <w:rsid w:val="00355A46"/>
    <w:rsid w:val="00355CD1"/>
    <w:rsid w:val="00355E7A"/>
    <w:rsid w:val="00355FBD"/>
    <w:rsid w:val="0035614E"/>
    <w:rsid w:val="0035683B"/>
    <w:rsid w:val="00356A01"/>
    <w:rsid w:val="003570C0"/>
    <w:rsid w:val="00357337"/>
    <w:rsid w:val="003574BE"/>
    <w:rsid w:val="003576CD"/>
    <w:rsid w:val="00360051"/>
    <w:rsid w:val="0036021F"/>
    <w:rsid w:val="003603C6"/>
    <w:rsid w:val="003605CC"/>
    <w:rsid w:val="00360A3E"/>
    <w:rsid w:val="00360D25"/>
    <w:rsid w:val="00362FC6"/>
    <w:rsid w:val="003635CB"/>
    <w:rsid w:val="0036366D"/>
    <w:rsid w:val="00363A49"/>
    <w:rsid w:val="00363CB1"/>
    <w:rsid w:val="00363D7D"/>
    <w:rsid w:val="0036459E"/>
    <w:rsid w:val="00364B91"/>
    <w:rsid w:val="00365F29"/>
    <w:rsid w:val="00366A2B"/>
    <w:rsid w:val="00366BFB"/>
    <w:rsid w:val="00367555"/>
    <w:rsid w:val="0036787B"/>
    <w:rsid w:val="003678F1"/>
    <w:rsid w:val="00367B42"/>
    <w:rsid w:val="003703E2"/>
    <w:rsid w:val="0037066C"/>
    <w:rsid w:val="00370685"/>
    <w:rsid w:val="003714CD"/>
    <w:rsid w:val="00371F9C"/>
    <w:rsid w:val="00372417"/>
    <w:rsid w:val="003725A1"/>
    <w:rsid w:val="003725CF"/>
    <w:rsid w:val="00372688"/>
    <w:rsid w:val="003726E2"/>
    <w:rsid w:val="00372F60"/>
    <w:rsid w:val="003734BD"/>
    <w:rsid w:val="00373660"/>
    <w:rsid w:val="003741E2"/>
    <w:rsid w:val="00374A47"/>
    <w:rsid w:val="00374C20"/>
    <w:rsid w:val="00374F78"/>
    <w:rsid w:val="00375071"/>
    <w:rsid w:val="00375081"/>
    <w:rsid w:val="003754CE"/>
    <w:rsid w:val="0037571F"/>
    <w:rsid w:val="00375C23"/>
    <w:rsid w:val="00375DC8"/>
    <w:rsid w:val="00375DCD"/>
    <w:rsid w:val="0037638E"/>
    <w:rsid w:val="003765D6"/>
    <w:rsid w:val="00376C1B"/>
    <w:rsid w:val="00376EAC"/>
    <w:rsid w:val="00376FC2"/>
    <w:rsid w:val="00377546"/>
    <w:rsid w:val="00377731"/>
    <w:rsid w:val="00377DE5"/>
    <w:rsid w:val="00380CFA"/>
    <w:rsid w:val="003810FF"/>
    <w:rsid w:val="00381440"/>
    <w:rsid w:val="00381ABC"/>
    <w:rsid w:val="00381E5F"/>
    <w:rsid w:val="00381EBD"/>
    <w:rsid w:val="00381EF3"/>
    <w:rsid w:val="003820CB"/>
    <w:rsid w:val="0038218B"/>
    <w:rsid w:val="00382200"/>
    <w:rsid w:val="00382343"/>
    <w:rsid w:val="003823C8"/>
    <w:rsid w:val="00382FF6"/>
    <w:rsid w:val="0038300E"/>
    <w:rsid w:val="00383207"/>
    <w:rsid w:val="00383365"/>
    <w:rsid w:val="00383805"/>
    <w:rsid w:val="00383B15"/>
    <w:rsid w:val="003845C8"/>
    <w:rsid w:val="00384C95"/>
    <w:rsid w:val="00384CDB"/>
    <w:rsid w:val="00385115"/>
    <w:rsid w:val="003852D9"/>
    <w:rsid w:val="00385C26"/>
    <w:rsid w:val="00385E2C"/>
    <w:rsid w:val="003865AB"/>
    <w:rsid w:val="003866D8"/>
    <w:rsid w:val="003868B7"/>
    <w:rsid w:val="003868FD"/>
    <w:rsid w:val="003869C3"/>
    <w:rsid w:val="00386F0A"/>
    <w:rsid w:val="003873C0"/>
    <w:rsid w:val="00390DCF"/>
    <w:rsid w:val="0039155D"/>
    <w:rsid w:val="003917C1"/>
    <w:rsid w:val="00391A18"/>
    <w:rsid w:val="00391C5D"/>
    <w:rsid w:val="0039219C"/>
    <w:rsid w:val="0039289D"/>
    <w:rsid w:val="00392B61"/>
    <w:rsid w:val="00392E57"/>
    <w:rsid w:val="00392EF1"/>
    <w:rsid w:val="0039358E"/>
    <w:rsid w:val="00393679"/>
    <w:rsid w:val="0039376D"/>
    <w:rsid w:val="00393827"/>
    <w:rsid w:val="00393F5A"/>
    <w:rsid w:val="003943AE"/>
    <w:rsid w:val="00395522"/>
    <w:rsid w:val="00395F30"/>
    <w:rsid w:val="00395FE4"/>
    <w:rsid w:val="00396860"/>
    <w:rsid w:val="003971C1"/>
    <w:rsid w:val="0039727F"/>
    <w:rsid w:val="003975C1"/>
    <w:rsid w:val="003976CE"/>
    <w:rsid w:val="00397D91"/>
    <w:rsid w:val="003A0304"/>
    <w:rsid w:val="003A0377"/>
    <w:rsid w:val="003A052D"/>
    <w:rsid w:val="003A0818"/>
    <w:rsid w:val="003A085C"/>
    <w:rsid w:val="003A1182"/>
    <w:rsid w:val="003A123B"/>
    <w:rsid w:val="003A124B"/>
    <w:rsid w:val="003A1981"/>
    <w:rsid w:val="003A1DE7"/>
    <w:rsid w:val="003A1F4B"/>
    <w:rsid w:val="003A2B91"/>
    <w:rsid w:val="003A2D87"/>
    <w:rsid w:val="003A325E"/>
    <w:rsid w:val="003A3670"/>
    <w:rsid w:val="003A3899"/>
    <w:rsid w:val="003A3DCB"/>
    <w:rsid w:val="003A3E33"/>
    <w:rsid w:val="003A4C15"/>
    <w:rsid w:val="003A4CE2"/>
    <w:rsid w:val="003A4F17"/>
    <w:rsid w:val="003A4FAE"/>
    <w:rsid w:val="003A50FA"/>
    <w:rsid w:val="003A5BED"/>
    <w:rsid w:val="003A60CE"/>
    <w:rsid w:val="003A6272"/>
    <w:rsid w:val="003A6304"/>
    <w:rsid w:val="003A68A7"/>
    <w:rsid w:val="003A6AF1"/>
    <w:rsid w:val="003A6D4D"/>
    <w:rsid w:val="003A70A6"/>
    <w:rsid w:val="003A7F76"/>
    <w:rsid w:val="003B00F6"/>
    <w:rsid w:val="003B13AB"/>
    <w:rsid w:val="003B14A9"/>
    <w:rsid w:val="003B1B8D"/>
    <w:rsid w:val="003B36E4"/>
    <w:rsid w:val="003B3E36"/>
    <w:rsid w:val="003B40D9"/>
    <w:rsid w:val="003B44BC"/>
    <w:rsid w:val="003B454F"/>
    <w:rsid w:val="003B4848"/>
    <w:rsid w:val="003B4867"/>
    <w:rsid w:val="003B571F"/>
    <w:rsid w:val="003B63AB"/>
    <w:rsid w:val="003B66EB"/>
    <w:rsid w:val="003B6BC2"/>
    <w:rsid w:val="003B6F2D"/>
    <w:rsid w:val="003B7045"/>
    <w:rsid w:val="003B72E5"/>
    <w:rsid w:val="003B7373"/>
    <w:rsid w:val="003B74E5"/>
    <w:rsid w:val="003B7628"/>
    <w:rsid w:val="003B7E15"/>
    <w:rsid w:val="003C026C"/>
    <w:rsid w:val="003C0330"/>
    <w:rsid w:val="003C049C"/>
    <w:rsid w:val="003C0513"/>
    <w:rsid w:val="003C1128"/>
    <w:rsid w:val="003C129A"/>
    <w:rsid w:val="003C12A9"/>
    <w:rsid w:val="003C12E4"/>
    <w:rsid w:val="003C1803"/>
    <w:rsid w:val="003C19DE"/>
    <w:rsid w:val="003C1CAD"/>
    <w:rsid w:val="003C2694"/>
    <w:rsid w:val="003C280C"/>
    <w:rsid w:val="003C2F32"/>
    <w:rsid w:val="003C3197"/>
    <w:rsid w:val="003C32E7"/>
    <w:rsid w:val="003C3609"/>
    <w:rsid w:val="003C3E10"/>
    <w:rsid w:val="003C3E72"/>
    <w:rsid w:val="003C4B16"/>
    <w:rsid w:val="003C4F04"/>
    <w:rsid w:val="003C4FBC"/>
    <w:rsid w:val="003C513B"/>
    <w:rsid w:val="003C515A"/>
    <w:rsid w:val="003C523E"/>
    <w:rsid w:val="003C528B"/>
    <w:rsid w:val="003C53BE"/>
    <w:rsid w:val="003C55BE"/>
    <w:rsid w:val="003C596B"/>
    <w:rsid w:val="003C5C1F"/>
    <w:rsid w:val="003C6018"/>
    <w:rsid w:val="003C65CB"/>
    <w:rsid w:val="003C6CFE"/>
    <w:rsid w:val="003C6DF1"/>
    <w:rsid w:val="003C7073"/>
    <w:rsid w:val="003C7258"/>
    <w:rsid w:val="003C7E1F"/>
    <w:rsid w:val="003D0062"/>
    <w:rsid w:val="003D0122"/>
    <w:rsid w:val="003D06A5"/>
    <w:rsid w:val="003D0B90"/>
    <w:rsid w:val="003D0C39"/>
    <w:rsid w:val="003D0C3B"/>
    <w:rsid w:val="003D0E0A"/>
    <w:rsid w:val="003D14E1"/>
    <w:rsid w:val="003D1568"/>
    <w:rsid w:val="003D15C3"/>
    <w:rsid w:val="003D17E9"/>
    <w:rsid w:val="003D184B"/>
    <w:rsid w:val="003D19C7"/>
    <w:rsid w:val="003D1D31"/>
    <w:rsid w:val="003D1ED3"/>
    <w:rsid w:val="003D1EF4"/>
    <w:rsid w:val="003D1F31"/>
    <w:rsid w:val="003D22BD"/>
    <w:rsid w:val="003D30B8"/>
    <w:rsid w:val="003D331D"/>
    <w:rsid w:val="003D37C2"/>
    <w:rsid w:val="003D44A0"/>
    <w:rsid w:val="003D515B"/>
    <w:rsid w:val="003D5590"/>
    <w:rsid w:val="003D55DC"/>
    <w:rsid w:val="003D5C3D"/>
    <w:rsid w:val="003D5F05"/>
    <w:rsid w:val="003D5FF1"/>
    <w:rsid w:val="003D6662"/>
    <w:rsid w:val="003D6A6D"/>
    <w:rsid w:val="003D6B71"/>
    <w:rsid w:val="003D6D55"/>
    <w:rsid w:val="003D6FFB"/>
    <w:rsid w:val="003D702A"/>
    <w:rsid w:val="003D706C"/>
    <w:rsid w:val="003D729B"/>
    <w:rsid w:val="003D73C6"/>
    <w:rsid w:val="003D74F2"/>
    <w:rsid w:val="003D751B"/>
    <w:rsid w:val="003D7873"/>
    <w:rsid w:val="003D7915"/>
    <w:rsid w:val="003D7B09"/>
    <w:rsid w:val="003E00CB"/>
    <w:rsid w:val="003E0759"/>
    <w:rsid w:val="003E0822"/>
    <w:rsid w:val="003E0BA6"/>
    <w:rsid w:val="003E0C2D"/>
    <w:rsid w:val="003E0D98"/>
    <w:rsid w:val="003E13CC"/>
    <w:rsid w:val="003E1451"/>
    <w:rsid w:val="003E19B8"/>
    <w:rsid w:val="003E1BA9"/>
    <w:rsid w:val="003E1F05"/>
    <w:rsid w:val="003E2871"/>
    <w:rsid w:val="003E2F47"/>
    <w:rsid w:val="003E3280"/>
    <w:rsid w:val="003E3453"/>
    <w:rsid w:val="003E3B7A"/>
    <w:rsid w:val="003E43CA"/>
    <w:rsid w:val="003E46B4"/>
    <w:rsid w:val="003E47D6"/>
    <w:rsid w:val="003E47DD"/>
    <w:rsid w:val="003E4AD0"/>
    <w:rsid w:val="003E4BB0"/>
    <w:rsid w:val="003E5044"/>
    <w:rsid w:val="003E50BB"/>
    <w:rsid w:val="003E5457"/>
    <w:rsid w:val="003E58D9"/>
    <w:rsid w:val="003E5D17"/>
    <w:rsid w:val="003E6670"/>
    <w:rsid w:val="003E66A4"/>
    <w:rsid w:val="003E67C6"/>
    <w:rsid w:val="003E6903"/>
    <w:rsid w:val="003E70E6"/>
    <w:rsid w:val="003E712D"/>
    <w:rsid w:val="003E7170"/>
    <w:rsid w:val="003E7421"/>
    <w:rsid w:val="003E7797"/>
    <w:rsid w:val="003E77DA"/>
    <w:rsid w:val="003E7CF6"/>
    <w:rsid w:val="003F008F"/>
    <w:rsid w:val="003F0971"/>
    <w:rsid w:val="003F12FF"/>
    <w:rsid w:val="003F19B8"/>
    <w:rsid w:val="003F19D3"/>
    <w:rsid w:val="003F2255"/>
    <w:rsid w:val="003F241D"/>
    <w:rsid w:val="003F270A"/>
    <w:rsid w:val="003F2D19"/>
    <w:rsid w:val="003F3280"/>
    <w:rsid w:val="003F3432"/>
    <w:rsid w:val="003F3544"/>
    <w:rsid w:val="003F3ACC"/>
    <w:rsid w:val="003F43D8"/>
    <w:rsid w:val="003F48E1"/>
    <w:rsid w:val="003F4BA5"/>
    <w:rsid w:val="003F5018"/>
    <w:rsid w:val="003F50B0"/>
    <w:rsid w:val="003F516E"/>
    <w:rsid w:val="003F543C"/>
    <w:rsid w:val="003F560D"/>
    <w:rsid w:val="003F5C08"/>
    <w:rsid w:val="003F5FAD"/>
    <w:rsid w:val="003F61AC"/>
    <w:rsid w:val="003F66B0"/>
    <w:rsid w:val="003F683C"/>
    <w:rsid w:val="003F6A7D"/>
    <w:rsid w:val="003F6D6B"/>
    <w:rsid w:val="003F6F33"/>
    <w:rsid w:val="003F70A1"/>
    <w:rsid w:val="003F78C5"/>
    <w:rsid w:val="003F79E3"/>
    <w:rsid w:val="003F7A04"/>
    <w:rsid w:val="00400C5C"/>
    <w:rsid w:val="004011C6"/>
    <w:rsid w:val="00401202"/>
    <w:rsid w:val="00401282"/>
    <w:rsid w:val="00401587"/>
    <w:rsid w:val="00401647"/>
    <w:rsid w:val="00401791"/>
    <w:rsid w:val="004017CB"/>
    <w:rsid w:val="00401DB5"/>
    <w:rsid w:val="004024A1"/>
    <w:rsid w:val="004024C0"/>
    <w:rsid w:val="00402523"/>
    <w:rsid w:val="004030C4"/>
    <w:rsid w:val="00403766"/>
    <w:rsid w:val="00403B10"/>
    <w:rsid w:val="00403F49"/>
    <w:rsid w:val="004040F4"/>
    <w:rsid w:val="004043DB"/>
    <w:rsid w:val="00404B61"/>
    <w:rsid w:val="00404BE8"/>
    <w:rsid w:val="00404E16"/>
    <w:rsid w:val="004053F8"/>
    <w:rsid w:val="00405458"/>
    <w:rsid w:val="00405A35"/>
    <w:rsid w:val="00406B11"/>
    <w:rsid w:val="00406DA6"/>
    <w:rsid w:val="00406F1B"/>
    <w:rsid w:val="004070D1"/>
    <w:rsid w:val="004075A3"/>
    <w:rsid w:val="00410162"/>
    <w:rsid w:val="00410324"/>
    <w:rsid w:val="0041037B"/>
    <w:rsid w:val="004103F0"/>
    <w:rsid w:val="00410D86"/>
    <w:rsid w:val="0041167A"/>
    <w:rsid w:val="004118CB"/>
    <w:rsid w:val="00411A25"/>
    <w:rsid w:val="00411E6C"/>
    <w:rsid w:val="004127AE"/>
    <w:rsid w:val="00412C50"/>
    <w:rsid w:val="00412E80"/>
    <w:rsid w:val="0041345D"/>
    <w:rsid w:val="00413C99"/>
    <w:rsid w:val="00413FED"/>
    <w:rsid w:val="00414018"/>
    <w:rsid w:val="0041421D"/>
    <w:rsid w:val="00414332"/>
    <w:rsid w:val="00414397"/>
    <w:rsid w:val="00414845"/>
    <w:rsid w:val="0041511A"/>
    <w:rsid w:val="00415A02"/>
    <w:rsid w:val="00415A6B"/>
    <w:rsid w:val="00416A93"/>
    <w:rsid w:val="00416F83"/>
    <w:rsid w:val="0041735C"/>
    <w:rsid w:val="00417E6D"/>
    <w:rsid w:val="00417F82"/>
    <w:rsid w:val="00420711"/>
    <w:rsid w:val="004207F2"/>
    <w:rsid w:val="00420865"/>
    <w:rsid w:val="00420923"/>
    <w:rsid w:val="004215BB"/>
    <w:rsid w:val="00421904"/>
    <w:rsid w:val="004222B5"/>
    <w:rsid w:val="00422446"/>
    <w:rsid w:val="0042277D"/>
    <w:rsid w:val="00422C1E"/>
    <w:rsid w:val="00422C9A"/>
    <w:rsid w:val="00422EA5"/>
    <w:rsid w:val="0042400E"/>
    <w:rsid w:val="00424170"/>
    <w:rsid w:val="004241EB"/>
    <w:rsid w:val="004242A6"/>
    <w:rsid w:val="004243DF"/>
    <w:rsid w:val="00424465"/>
    <w:rsid w:val="00424683"/>
    <w:rsid w:val="0042478D"/>
    <w:rsid w:val="0042481B"/>
    <w:rsid w:val="00424D49"/>
    <w:rsid w:val="00424FB0"/>
    <w:rsid w:val="00425065"/>
    <w:rsid w:val="004255C0"/>
    <w:rsid w:val="004256C8"/>
    <w:rsid w:val="00425D62"/>
    <w:rsid w:val="0042619B"/>
    <w:rsid w:val="004261E5"/>
    <w:rsid w:val="00426745"/>
    <w:rsid w:val="00427210"/>
    <w:rsid w:val="00427390"/>
    <w:rsid w:val="004273C1"/>
    <w:rsid w:val="004276CE"/>
    <w:rsid w:val="00427C88"/>
    <w:rsid w:val="00427DE7"/>
    <w:rsid w:val="00427F5B"/>
    <w:rsid w:val="00427FC0"/>
    <w:rsid w:val="004303C3"/>
    <w:rsid w:val="004307A8"/>
    <w:rsid w:val="00430941"/>
    <w:rsid w:val="00430D73"/>
    <w:rsid w:val="00430DF8"/>
    <w:rsid w:val="004311F8"/>
    <w:rsid w:val="00431511"/>
    <w:rsid w:val="004316C2"/>
    <w:rsid w:val="00431B00"/>
    <w:rsid w:val="00431CA2"/>
    <w:rsid w:val="00431FE4"/>
    <w:rsid w:val="0043251D"/>
    <w:rsid w:val="0043260E"/>
    <w:rsid w:val="004331A7"/>
    <w:rsid w:val="00433926"/>
    <w:rsid w:val="00433AF1"/>
    <w:rsid w:val="00434371"/>
    <w:rsid w:val="004344A3"/>
    <w:rsid w:val="004357C8"/>
    <w:rsid w:val="004357DF"/>
    <w:rsid w:val="00436235"/>
    <w:rsid w:val="0043631D"/>
    <w:rsid w:val="00436ABC"/>
    <w:rsid w:val="00436DC7"/>
    <w:rsid w:val="00436EF3"/>
    <w:rsid w:val="0043707B"/>
    <w:rsid w:val="00437619"/>
    <w:rsid w:val="00437A86"/>
    <w:rsid w:val="00437AE5"/>
    <w:rsid w:val="00437E56"/>
    <w:rsid w:val="00437E9C"/>
    <w:rsid w:val="00440250"/>
    <w:rsid w:val="00440501"/>
    <w:rsid w:val="00440672"/>
    <w:rsid w:val="00440C2B"/>
    <w:rsid w:val="00441394"/>
    <w:rsid w:val="00441408"/>
    <w:rsid w:val="00441685"/>
    <w:rsid w:val="00441954"/>
    <w:rsid w:val="00441991"/>
    <w:rsid w:val="004419BF"/>
    <w:rsid w:val="00442038"/>
    <w:rsid w:val="00442499"/>
    <w:rsid w:val="00442602"/>
    <w:rsid w:val="004429B5"/>
    <w:rsid w:val="00442B7A"/>
    <w:rsid w:val="004430FD"/>
    <w:rsid w:val="0044315A"/>
    <w:rsid w:val="0044380F"/>
    <w:rsid w:val="0044383B"/>
    <w:rsid w:val="004438B9"/>
    <w:rsid w:val="00444029"/>
    <w:rsid w:val="0044448E"/>
    <w:rsid w:val="00444539"/>
    <w:rsid w:val="00444F63"/>
    <w:rsid w:val="00445960"/>
    <w:rsid w:val="00446398"/>
    <w:rsid w:val="004463DB"/>
    <w:rsid w:val="0044652C"/>
    <w:rsid w:val="004466FC"/>
    <w:rsid w:val="004468A1"/>
    <w:rsid w:val="00447013"/>
    <w:rsid w:val="004472F4"/>
    <w:rsid w:val="00447ED3"/>
    <w:rsid w:val="00450177"/>
    <w:rsid w:val="00450302"/>
    <w:rsid w:val="0045038C"/>
    <w:rsid w:val="0045091B"/>
    <w:rsid w:val="0045096D"/>
    <w:rsid w:val="00451392"/>
    <w:rsid w:val="00451798"/>
    <w:rsid w:val="0045187D"/>
    <w:rsid w:val="00451CB4"/>
    <w:rsid w:val="00451EC5"/>
    <w:rsid w:val="00452024"/>
    <w:rsid w:val="00452212"/>
    <w:rsid w:val="0045228A"/>
    <w:rsid w:val="004524FA"/>
    <w:rsid w:val="00452C23"/>
    <w:rsid w:val="00453284"/>
    <w:rsid w:val="004537FD"/>
    <w:rsid w:val="00453834"/>
    <w:rsid w:val="00453A3B"/>
    <w:rsid w:val="00453B1A"/>
    <w:rsid w:val="004540E1"/>
    <w:rsid w:val="00454982"/>
    <w:rsid w:val="00454B3E"/>
    <w:rsid w:val="00454DEB"/>
    <w:rsid w:val="00455447"/>
    <w:rsid w:val="00455A8E"/>
    <w:rsid w:val="00455D56"/>
    <w:rsid w:val="00456028"/>
    <w:rsid w:val="004560B7"/>
    <w:rsid w:val="00456B13"/>
    <w:rsid w:val="004570AF"/>
    <w:rsid w:val="00457390"/>
    <w:rsid w:val="004579FA"/>
    <w:rsid w:val="00457DB7"/>
    <w:rsid w:val="00457E6F"/>
    <w:rsid w:val="004600A4"/>
    <w:rsid w:val="004604FB"/>
    <w:rsid w:val="004608FB"/>
    <w:rsid w:val="00460A75"/>
    <w:rsid w:val="00460D70"/>
    <w:rsid w:val="00461058"/>
    <w:rsid w:val="004613FB"/>
    <w:rsid w:val="0046194D"/>
    <w:rsid w:val="00461C10"/>
    <w:rsid w:val="00462204"/>
    <w:rsid w:val="0046237E"/>
    <w:rsid w:val="004624F7"/>
    <w:rsid w:val="0046284C"/>
    <w:rsid w:val="00462916"/>
    <w:rsid w:val="00462AA6"/>
    <w:rsid w:val="00462B14"/>
    <w:rsid w:val="00462E41"/>
    <w:rsid w:val="00463248"/>
    <w:rsid w:val="0046375C"/>
    <w:rsid w:val="00463E9B"/>
    <w:rsid w:val="004649EC"/>
    <w:rsid w:val="00464F6E"/>
    <w:rsid w:val="00465092"/>
    <w:rsid w:val="0046545A"/>
    <w:rsid w:val="00465BC2"/>
    <w:rsid w:val="00465F4B"/>
    <w:rsid w:val="00466845"/>
    <w:rsid w:val="00466A54"/>
    <w:rsid w:val="00466C74"/>
    <w:rsid w:val="00466E3B"/>
    <w:rsid w:val="00466EAF"/>
    <w:rsid w:val="004670E0"/>
    <w:rsid w:val="00467611"/>
    <w:rsid w:val="00467EE6"/>
    <w:rsid w:val="00470190"/>
    <w:rsid w:val="00470A8E"/>
    <w:rsid w:val="00470CD7"/>
    <w:rsid w:val="00470DF1"/>
    <w:rsid w:val="00470E3B"/>
    <w:rsid w:val="004719D0"/>
    <w:rsid w:val="00471CB9"/>
    <w:rsid w:val="00471F39"/>
    <w:rsid w:val="00473674"/>
    <w:rsid w:val="00473BB3"/>
    <w:rsid w:val="00473E62"/>
    <w:rsid w:val="004743B7"/>
    <w:rsid w:val="0047495E"/>
    <w:rsid w:val="00474D4A"/>
    <w:rsid w:val="00475269"/>
    <w:rsid w:val="0047550E"/>
    <w:rsid w:val="00475B2B"/>
    <w:rsid w:val="00475D02"/>
    <w:rsid w:val="004762DC"/>
    <w:rsid w:val="004768E3"/>
    <w:rsid w:val="00476CBC"/>
    <w:rsid w:val="0047752A"/>
    <w:rsid w:val="004776B2"/>
    <w:rsid w:val="00477C14"/>
    <w:rsid w:val="00477D6F"/>
    <w:rsid w:val="00477FF9"/>
    <w:rsid w:val="00480309"/>
    <w:rsid w:val="00480938"/>
    <w:rsid w:val="0048095C"/>
    <w:rsid w:val="00481306"/>
    <w:rsid w:val="0048136B"/>
    <w:rsid w:val="00481820"/>
    <w:rsid w:val="00481F28"/>
    <w:rsid w:val="00482206"/>
    <w:rsid w:val="004825F2"/>
    <w:rsid w:val="00482939"/>
    <w:rsid w:val="00482A00"/>
    <w:rsid w:val="00482FDA"/>
    <w:rsid w:val="0048373A"/>
    <w:rsid w:val="004839A8"/>
    <w:rsid w:val="00483D8F"/>
    <w:rsid w:val="0048475F"/>
    <w:rsid w:val="004848F4"/>
    <w:rsid w:val="004850F5"/>
    <w:rsid w:val="0048594F"/>
    <w:rsid w:val="00485BB9"/>
    <w:rsid w:val="00485BE6"/>
    <w:rsid w:val="00485F66"/>
    <w:rsid w:val="0048650D"/>
    <w:rsid w:val="004871F5"/>
    <w:rsid w:val="00487270"/>
    <w:rsid w:val="00487A5B"/>
    <w:rsid w:val="00487B1B"/>
    <w:rsid w:val="00487C77"/>
    <w:rsid w:val="00487DCE"/>
    <w:rsid w:val="00487FB6"/>
    <w:rsid w:val="0049039F"/>
    <w:rsid w:val="004903EE"/>
    <w:rsid w:val="00490510"/>
    <w:rsid w:val="004906DF"/>
    <w:rsid w:val="00490AE4"/>
    <w:rsid w:val="00491004"/>
    <w:rsid w:val="00491377"/>
    <w:rsid w:val="0049145C"/>
    <w:rsid w:val="00491AED"/>
    <w:rsid w:val="0049263A"/>
    <w:rsid w:val="004926FD"/>
    <w:rsid w:val="004928BA"/>
    <w:rsid w:val="00492D9B"/>
    <w:rsid w:val="004930A7"/>
    <w:rsid w:val="00493217"/>
    <w:rsid w:val="0049344D"/>
    <w:rsid w:val="00493976"/>
    <w:rsid w:val="00493C25"/>
    <w:rsid w:val="0049427D"/>
    <w:rsid w:val="004949BE"/>
    <w:rsid w:val="00494DC8"/>
    <w:rsid w:val="004951EF"/>
    <w:rsid w:val="00495440"/>
    <w:rsid w:val="00495484"/>
    <w:rsid w:val="00495808"/>
    <w:rsid w:val="00496844"/>
    <w:rsid w:val="00496A49"/>
    <w:rsid w:val="00496B96"/>
    <w:rsid w:val="00496DAE"/>
    <w:rsid w:val="00497325"/>
    <w:rsid w:val="0049733F"/>
    <w:rsid w:val="00497579"/>
    <w:rsid w:val="00497CC0"/>
    <w:rsid w:val="00497CFC"/>
    <w:rsid w:val="004A06E9"/>
    <w:rsid w:val="004A0735"/>
    <w:rsid w:val="004A0A96"/>
    <w:rsid w:val="004A0DA9"/>
    <w:rsid w:val="004A1489"/>
    <w:rsid w:val="004A14DD"/>
    <w:rsid w:val="004A196F"/>
    <w:rsid w:val="004A1B04"/>
    <w:rsid w:val="004A2496"/>
    <w:rsid w:val="004A2930"/>
    <w:rsid w:val="004A2B8C"/>
    <w:rsid w:val="004A2DBD"/>
    <w:rsid w:val="004A2FAC"/>
    <w:rsid w:val="004A3111"/>
    <w:rsid w:val="004A3E81"/>
    <w:rsid w:val="004A4473"/>
    <w:rsid w:val="004A48C1"/>
    <w:rsid w:val="004A4940"/>
    <w:rsid w:val="004A5686"/>
    <w:rsid w:val="004A5AEE"/>
    <w:rsid w:val="004A69A0"/>
    <w:rsid w:val="004A7524"/>
    <w:rsid w:val="004A7644"/>
    <w:rsid w:val="004A7870"/>
    <w:rsid w:val="004A7DCE"/>
    <w:rsid w:val="004B0842"/>
    <w:rsid w:val="004B0E69"/>
    <w:rsid w:val="004B13DA"/>
    <w:rsid w:val="004B1848"/>
    <w:rsid w:val="004B1FC4"/>
    <w:rsid w:val="004B206B"/>
    <w:rsid w:val="004B24E8"/>
    <w:rsid w:val="004B279B"/>
    <w:rsid w:val="004B2C93"/>
    <w:rsid w:val="004B2E11"/>
    <w:rsid w:val="004B3B73"/>
    <w:rsid w:val="004B42FB"/>
    <w:rsid w:val="004B46CB"/>
    <w:rsid w:val="004B4B75"/>
    <w:rsid w:val="004B4DAB"/>
    <w:rsid w:val="004B4E9D"/>
    <w:rsid w:val="004B5104"/>
    <w:rsid w:val="004B5302"/>
    <w:rsid w:val="004B541F"/>
    <w:rsid w:val="004B5C25"/>
    <w:rsid w:val="004B5C4D"/>
    <w:rsid w:val="004B5EBD"/>
    <w:rsid w:val="004B5F39"/>
    <w:rsid w:val="004B5FE2"/>
    <w:rsid w:val="004B68A8"/>
    <w:rsid w:val="004B68EF"/>
    <w:rsid w:val="004B73BB"/>
    <w:rsid w:val="004B7809"/>
    <w:rsid w:val="004B7A36"/>
    <w:rsid w:val="004B7C09"/>
    <w:rsid w:val="004B7E6B"/>
    <w:rsid w:val="004B7F3B"/>
    <w:rsid w:val="004C0131"/>
    <w:rsid w:val="004C1829"/>
    <w:rsid w:val="004C191F"/>
    <w:rsid w:val="004C2097"/>
    <w:rsid w:val="004C22F0"/>
    <w:rsid w:val="004C2374"/>
    <w:rsid w:val="004C2F79"/>
    <w:rsid w:val="004C3C9B"/>
    <w:rsid w:val="004C468E"/>
    <w:rsid w:val="004C46C2"/>
    <w:rsid w:val="004C4D76"/>
    <w:rsid w:val="004C4EA4"/>
    <w:rsid w:val="004C509E"/>
    <w:rsid w:val="004C5898"/>
    <w:rsid w:val="004C5967"/>
    <w:rsid w:val="004C5AF1"/>
    <w:rsid w:val="004C5DA4"/>
    <w:rsid w:val="004C64E8"/>
    <w:rsid w:val="004C6671"/>
    <w:rsid w:val="004C69E0"/>
    <w:rsid w:val="004C6BDA"/>
    <w:rsid w:val="004C73FC"/>
    <w:rsid w:val="004C76BB"/>
    <w:rsid w:val="004C7944"/>
    <w:rsid w:val="004D0140"/>
    <w:rsid w:val="004D08F7"/>
    <w:rsid w:val="004D11FB"/>
    <w:rsid w:val="004D1426"/>
    <w:rsid w:val="004D187A"/>
    <w:rsid w:val="004D1ED2"/>
    <w:rsid w:val="004D2530"/>
    <w:rsid w:val="004D263F"/>
    <w:rsid w:val="004D2948"/>
    <w:rsid w:val="004D2A19"/>
    <w:rsid w:val="004D2C3F"/>
    <w:rsid w:val="004D35F6"/>
    <w:rsid w:val="004D3AC3"/>
    <w:rsid w:val="004D3EB1"/>
    <w:rsid w:val="004D4E12"/>
    <w:rsid w:val="004D53FF"/>
    <w:rsid w:val="004D5431"/>
    <w:rsid w:val="004D599B"/>
    <w:rsid w:val="004D5EC5"/>
    <w:rsid w:val="004D6337"/>
    <w:rsid w:val="004D6C7D"/>
    <w:rsid w:val="004D6F04"/>
    <w:rsid w:val="004D7233"/>
    <w:rsid w:val="004D7378"/>
    <w:rsid w:val="004D74CA"/>
    <w:rsid w:val="004D7B63"/>
    <w:rsid w:val="004D7FD0"/>
    <w:rsid w:val="004E0FE9"/>
    <w:rsid w:val="004E1069"/>
    <w:rsid w:val="004E1274"/>
    <w:rsid w:val="004E18DD"/>
    <w:rsid w:val="004E1A8E"/>
    <w:rsid w:val="004E1F98"/>
    <w:rsid w:val="004E2204"/>
    <w:rsid w:val="004E2C4B"/>
    <w:rsid w:val="004E2CEE"/>
    <w:rsid w:val="004E2CF1"/>
    <w:rsid w:val="004E3199"/>
    <w:rsid w:val="004E329E"/>
    <w:rsid w:val="004E3548"/>
    <w:rsid w:val="004E3ADC"/>
    <w:rsid w:val="004E3E17"/>
    <w:rsid w:val="004E4030"/>
    <w:rsid w:val="004E44D5"/>
    <w:rsid w:val="004E45FF"/>
    <w:rsid w:val="004E4802"/>
    <w:rsid w:val="004E4804"/>
    <w:rsid w:val="004E496B"/>
    <w:rsid w:val="004E4A84"/>
    <w:rsid w:val="004E5376"/>
    <w:rsid w:val="004E5855"/>
    <w:rsid w:val="004E59C2"/>
    <w:rsid w:val="004E6258"/>
    <w:rsid w:val="004E63BC"/>
    <w:rsid w:val="004E64AB"/>
    <w:rsid w:val="004E6575"/>
    <w:rsid w:val="004E660A"/>
    <w:rsid w:val="004E6A73"/>
    <w:rsid w:val="004E6D58"/>
    <w:rsid w:val="004E7BB6"/>
    <w:rsid w:val="004E7F92"/>
    <w:rsid w:val="004F02C0"/>
    <w:rsid w:val="004F080F"/>
    <w:rsid w:val="004F0847"/>
    <w:rsid w:val="004F0884"/>
    <w:rsid w:val="004F09FB"/>
    <w:rsid w:val="004F0D6D"/>
    <w:rsid w:val="004F0DA6"/>
    <w:rsid w:val="004F0FD0"/>
    <w:rsid w:val="004F0FDB"/>
    <w:rsid w:val="004F1230"/>
    <w:rsid w:val="004F15CF"/>
    <w:rsid w:val="004F1BB5"/>
    <w:rsid w:val="004F2277"/>
    <w:rsid w:val="004F2611"/>
    <w:rsid w:val="004F272C"/>
    <w:rsid w:val="004F2B57"/>
    <w:rsid w:val="004F2C8A"/>
    <w:rsid w:val="004F2F91"/>
    <w:rsid w:val="004F2FC0"/>
    <w:rsid w:val="004F3412"/>
    <w:rsid w:val="004F34CB"/>
    <w:rsid w:val="004F3997"/>
    <w:rsid w:val="004F3D5E"/>
    <w:rsid w:val="004F4249"/>
    <w:rsid w:val="004F45CD"/>
    <w:rsid w:val="004F4F13"/>
    <w:rsid w:val="004F4FFD"/>
    <w:rsid w:val="004F50A4"/>
    <w:rsid w:val="004F517B"/>
    <w:rsid w:val="004F5759"/>
    <w:rsid w:val="004F5795"/>
    <w:rsid w:val="004F58C5"/>
    <w:rsid w:val="004F656B"/>
    <w:rsid w:val="004F65C6"/>
    <w:rsid w:val="004F6D07"/>
    <w:rsid w:val="004F700F"/>
    <w:rsid w:val="004F70EA"/>
    <w:rsid w:val="004F7230"/>
    <w:rsid w:val="004F7FE1"/>
    <w:rsid w:val="004F7FE9"/>
    <w:rsid w:val="00500187"/>
    <w:rsid w:val="005002CF"/>
    <w:rsid w:val="0050096D"/>
    <w:rsid w:val="00500C08"/>
    <w:rsid w:val="00500D3C"/>
    <w:rsid w:val="00500F37"/>
    <w:rsid w:val="005012A5"/>
    <w:rsid w:val="0050193D"/>
    <w:rsid w:val="00501C5C"/>
    <w:rsid w:val="005023E2"/>
    <w:rsid w:val="00502458"/>
    <w:rsid w:val="00502501"/>
    <w:rsid w:val="005027A0"/>
    <w:rsid w:val="00502C49"/>
    <w:rsid w:val="00502FB1"/>
    <w:rsid w:val="00503169"/>
    <w:rsid w:val="005032B1"/>
    <w:rsid w:val="00503520"/>
    <w:rsid w:val="00503707"/>
    <w:rsid w:val="00503B61"/>
    <w:rsid w:val="00504774"/>
    <w:rsid w:val="00504C5E"/>
    <w:rsid w:val="00504CE6"/>
    <w:rsid w:val="0050565C"/>
    <w:rsid w:val="00505DDC"/>
    <w:rsid w:val="0050648D"/>
    <w:rsid w:val="005066B0"/>
    <w:rsid w:val="005066BD"/>
    <w:rsid w:val="00506815"/>
    <w:rsid w:val="0050682A"/>
    <w:rsid w:val="00506B2D"/>
    <w:rsid w:val="0050776F"/>
    <w:rsid w:val="00507957"/>
    <w:rsid w:val="00507E42"/>
    <w:rsid w:val="005101E3"/>
    <w:rsid w:val="005102AF"/>
    <w:rsid w:val="0051036C"/>
    <w:rsid w:val="005105DC"/>
    <w:rsid w:val="00510818"/>
    <w:rsid w:val="00510AE7"/>
    <w:rsid w:val="00510D14"/>
    <w:rsid w:val="005115E5"/>
    <w:rsid w:val="00511D23"/>
    <w:rsid w:val="005120FE"/>
    <w:rsid w:val="00512158"/>
    <w:rsid w:val="00512B96"/>
    <w:rsid w:val="00512DC5"/>
    <w:rsid w:val="00512E40"/>
    <w:rsid w:val="005130B6"/>
    <w:rsid w:val="00513779"/>
    <w:rsid w:val="00513AF5"/>
    <w:rsid w:val="00513BD0"/>
    <w:rsid w:val="00513EB1"/>
    <w:rsid w:val="0051400F"/>
    <w:rsid w:val="005147B6"/>
    <w:rsid w:val="0051496F"/>
    <w:rsid w:val="00514A42"/>
    <w:rsid w:val="00514C41"/>
    <w:rsid w:val="00514FB0"/>
    <w:rsid w:val="0051566A"/>
    <w:rsid w:val="00516961"/>
    <w:rsid w:val="00516F70"/>
    <w:rsid w:val="00516FE0"/>
    <w:rsid w:val="005171F5"/>
    <w:rsid w:val="005173BD"/>
    <w:rsid w:val="00517EAC"/>
    <w:rsid w:val="00520214"/>
    <w:rsid w:val="005205D7"/>
    <w:rsid w:val="00520B37"/>
    <w:rsid w:val="00520EEE"/>
    <w:rsid w:val="005213B9"/>
    <w:rsid w:val="00521428"/>
    <w:rsid w:val="005217C0"/>
    <w:rsid w:val="00521C40"/>
    <w:rsid w:val="00521DB8"/>
    <w:rsid w:val="00521E7C"/>
    <w:rsid w:val="0052233F"/>
    <w:rsid w:val="005225D2"/>
    <w:rsid w:val="00522E7D"/>
    <w:rsid w:val="00522FB9"/>
    <w:rsid w:val="005233FC"/>
    <w:rsid w:val="00523517"/>
    <w:rsid w:val="00523ED6"/>
    <w:rsid w:val="00524540"/>
    <w:rsid w:val="00524E1B"/>
    <w:rsid w:val="00524ED8"/>
    <w:rsid w:val="00525011"/>
    <w:rsid w:val="0052597E"/>
    <w:rsid w:val="00525BE7"/>
    <w:rsid w:val="00525EFA"/>
    <w:rsid w:val="0052642B"/>
    <w:rsid w:val="0052649B"/>
    <w:rsid w:val="0052658B"/>
    <w:rsid w:val="00526AB5"/>
    <w:rsid w:val="00526D84"/>
    <w:rsid w:val="00527565"/>
    <w:rsid w:val="00527B8F"/>
    <w:rsid w:val="00527CEE"/>
    <w:rsid w:val="00527D5C"/>
    <w:rsid w:val="005305E4"/>
    <w:rsid w:val="00530612"/>
    <w:rsid w:val="005306E4"/>
    <w:rsid w:val="00530C86"/>
    <w:rsid w:val="00530F7E"/>
    <w:rsid w:val="00531158"/>
    <w:rsid w:val="00531F8B"/>
    <w:rsid w:val="005323F2"/>
    <w:rsid w:val="0053260E"/>
    <w:rsid w:val="00532948"/>
    <w:rsid w:val="00532B61"/>
    <w:rsid w:val="005330CA"/>
    <w:rsid w:val="00533424"/>
    <w:rsid w:val="005335BF"/>
    <w:rsid w:val="00533FA4"/>
    <w:rsid w:val="00534280"/>
    <w:rsid w:val="00534CE7"/>
    <w:rsid w:val="00534E11"/>
    <w:rsid w:val="00535B7F"/>
    <w:rsid w:val="005363F4"/>
    <w:rsid w:val="0053718F"/>
    <w:rsid w:val="00537286"/>
    <w:rsid w:val="005378AD"/>
    <w:rsid w:val="00537B18"/>
    <w:rsid w:val="00537D38"/>
    <w:rsid w:val="005409DE"/>
    <w:rsid w:val="00540B4E"/>
    <w:rsid w:val="00540DE7"/>
    <w:rsid w:val="00541218"/>
    <w:rsid w:val="00541698"/>
    <w:rsid w:val="00541B5C"/>
    <w:rsid w:val="005422EF"/>
    <w:rsid w:val="005422FA"/>
    <w:rsid w:val="0054241C"/>
    <w:rsid w:val="00542924"/>
    <w:rsid w:val="00542DD0"/>
    <w:rsid w:val="00542ECC"/>
    <w:rsid w:val="005430A0"/>
    <w:rsid w:val="00543E95"/>
    <w:rsid w:val="00543F40"/>
    <w:rsid w:val="00543F50"/>
    <w:rsid w:val="00544609"/>
    <w:rsid w:val="00544A8F"/>
    <w:rsid w:val="005453CE"/>
    <w:rsid w:val="005455EA"/>
    <w:rsid w:val="0054560A"/>
    <w:rsid w:val="00545851"/>
    <w:rsid w:val="005465AC"/>
    <w:rsid w:val="0054666A"/>
    <w:rsid w:val="00546B84"/>
    <w:rsid w:val="00546F74"/>
    <w:rsid w:val="00547379"/>
    <w:rsid w:val="00547AFC"/>
    <w:rsid w:val="00547EC2"/>
    <w:rsid w:val="005503D9"/>
    <w:rsid w:val="005504F4"/>
    <w:rsid w:val="005505DA"/>
    <w:rsid w:val="00550C7D"/>
    <w:rsid w:val="0055162F"/>
    <w:rsid w:val="00551734"/>
    <w:rsid w:val="0055189C"/>
    <w:rsid w:val="005519CD"/>
    <w:rsid w:val="00551A01"/>
    <w:rsid w:val="005521CE"/>
    <w:rsid w:val="00552320"/>
    <w:rsid w:val="00552856"/>
    <w:rsid w:val="00552A86"/>
    <w:rsid w:val="00552F9B"/>
    <w:rsid w:val="00552FF1"/>
    <w:rsid w:val="00553323"/>
    <w:rsid w:val="00553483"/>
    <w:rsid w:val="00553572"/>
    <w:rsid w:val="005539ED"/>
    <w:rsid w:val="00553A6F"/>
    <w:rsid w:val="00553CC5"/>
    <w:rsid w:val="0055419F"/>
    <w:rsid w:val="00554BFD"/>
    <w:rsid w:val="00554CD8"/>
    <w:rsid w:val="00554EAA"/>
    <w:rsid w:val="00555695"/>
    <w:rsid w:val="00555EC4"/>
    <w:rsid w:val="005568E7"/>
    <w:rsid w:val="00556BBB"/>
    <w:rsid w:val="00556F76"/>
    <w:rsid w:val="005575A8"/>
    <w:rsid w:val="00557B8D"/>
    <w:rsid w:val="00557E9D"/>
    <w:rsid w:val="00560625"/>
    <w:rsid w:val="00560972"/>
    <w:rsid w:val="0056109F"/>
    <w:rsid w:val="005614B8"/>
    <w:rsid w:val="00561556"/>
    <w:rsid w:val="00561A8E"/>
    <w:rsid w:val="005622B9"/>
    <w:rsid w:val="00562775"/>
    <w:rsid w:val="00562A49"/>
    <w:rsid w:val="00562A4A"/>
    <w:rsid w:val="00562CA9"/>
    <w:rsid w:val="005630FC"/>
    <w:rsid w:val="00563146"/>
    <w:rsid w:val="0056355E"/>
    <w:rsid w:val="005638CC"/>
    <w:rsid w:val="00563AAC"/>
    <w:rsid w:val="00563FC2"/>
    <w:rsid w:val="00563FC3"/>
    <w:rsid w:val="005640CD"/>
    <w:rsid w:val="0056425C"/>
    <w:rsid w:val="005646B0"/>
    <w:rsid w:val="00564B2C"/>
    <w:rsid w:val="00564B6B"/>
    <w:rsid w:val="00564C72"/>
    <w:rsid w:val="00565298"/>
    <w:rsid w:val="00565834"/>
    <w:rsid w:val="00565A3B"/>
    <w:rsid w:val="00565C78"/>
    <w:rsid w:val="00565D07"/>
    <w:rsid w:val="00566BC3"/>
    <w:rsid w:val="00567243"/>
    <w:rsid w:val="00567276"/>
    <w:rsid w:val="00567A21"/>
    <w:rsid w:val="00567A33"/>
    <w:rsid w:val="00567A4F"/>
    <w:rsid w:val="00567DC4"/>
    <w:rsid w:val="00570198"/>
    <w:rsid w:val="005701FC"/>
    <w:rsid w:val="00570448"/>
    <w:rsid w:val="00570833"/>
    <w:rsid w:val="005709CA"/>
    <w:rsid w:val="00571574"/>
    <w:rsid w:val="005718AE"/>
    <w:rsid w:val="00572063"/>
    <w:rsid w:val="0057342D"/>
    <w:rsid w:val="0057365A"/>
    <w:rsid w:val="005737D5"/>
    <w:rsid w:val="00573A87"/>
    <w:rsid w:val="00573BFC"/>
    <w:rsid w:val="00574820"/>
    <w:rsid w:val="00574CD8"/>
    <w:rsid w:val="0057516D"/>
    <w:rsid w:val="005752FF"/>
    <w:rsid w:val="0057561A"/>
    <w:rsid w:val="005757E7"/>
    <w:rsid w:val="00575DDF"/>
    <w:rsid w:val="00575E4B"/>
    <w:rsid w:val="005762C1"/>
    <w:rsid w:val="0057661F"/>
    <w:rsid w:val="00576B5D"/>
    <w:rsid w:val="0057710F"/>
    <w:rsid w:val="00577226"/>
    <w:rsid w:val="005772F6"/>
    <w:rsid w:val="005777BE"/>
    <w:rsid w:val="00577CCE"/>
    <w:rsid w:val="00577E32"/>
    <w:rsid w:val="005801BD"/>
    <w:rsid w:val="005803D0"/>
    <w:rsid w:val="005807D3"/>
    <w:rsid w:val="00580918"/>
    <w:rsid w:val="00580A13"/>
    <w:rsid w:val="00580C7B"/>
    <w:rsid w:val="00580F8B"/>
    <w:rsid w:val="005817A7"/>
    <w:rsid w:val="00581B10"/>
    <w:rsid w:val="00582010"/>
    <w:rsid w:val="00582191"/>
    <w:rsid w:val="00582A25"/>
    <w:rsid w:val="005832D4"/>
    <w:rsid w:val="00584067"/>
    <w:rsid w:val="00584958"/>
    <w:rsid w:val="00584BBE"/>
    <w:rsid w:val="00584D19"/>
    <w:rsid w:val="005850CB"/>
    <w:rsid w:val="005852D1"/>
    <w:rsid w:val="00585978"/>
    <w:rsid w:val="00585CF1"/>
    <w:rsid w:val="00585FED"/>
    <w:rsid w:val="005866D9"/>
    <w:rsid w:val="00586923"/>
    <w:rsid w:val="00586CE6"/>
    <w:rsid w:val="0058725C"/>
    <w:rsid w:val="005875C5"/>
    <w:rsid w:val="005875EE"/>
    <w:rsid w:val="00587804"/>
    <w:rsid w:val="00587873"/>
    <w:rsid w:val="00587CCD"/>
    <w:rsid w:val="00590258"/>
    <w:rsid w:val="0059035A"/>
    <w:rsid w:val="00590720"/>
    <w:rsid w:val="00590856"/>
    <w:rsid w:val="00590C55"/>
    <w:rsid w:val="00590D4E"/>
    <w:rsid w:val="00591405"/>
    <w:rsid w:val="00591503"/>
    <w:rsid w:val="00591C13"/>
    <w:rsid w:val="00591C19"/>
    <w:rsid w:val="00591DA9"/>
    <w:rsid w:val="0059216C"/>
    <w:rsid w:val="005926F0"/>
    <w:rsid w:val="00592B49"/>
    <w:rsid w:val="00592C9F"/>
    <w:rsid w:val="00592FF1"/>
    <w:rsid w:val="0059309D"/>
    <w:rsid w:val="005930C4"/>
    <w:rsid w:val="00593A03"/>
    <w:rsid w:val="00593AB7"/>
    <w:rsid w:val="00593ACC"/>
    <w:rsid w:val="00593F2F"/>
    <w:rsid w:val="00594669"/>
    <w:rsid w:val="00595579"/>
    <w:rsid w:val="005956E7"/>
    <w:rsid w:val="005957DD"/>
    <w:rsid w:val="00595C00"/>
    <w:rsid w:val="0059610C"/>
    <w:rsid w:val="00596F32"/>
    <w:rsid w:val="00597296"/>
    <w:rsid w:val="00597595"/>
    <w:rsid w:val="00597F71"/>
    <w:rsid w:val="005A0186"/>
    <w:rsid w:val="005A13E5"/>
    <w:rsid w:val="005A17C6"/>
    <w:rsid w:val="005A17D8"/>
    <w:rsid w:val="005A1D13"/>
    <w:rsid w:val="005A259E"/>
    <w:rsid w:val="005A265B"/>
    <w:rsid w:val="005A2975"/>
    <w:rsid w:val="005A3104"/>
    <w:rsid w:val="005A311D"/>
    <w:rsid w:val="005A3183"/>
    <w:rsid w:val="005A33BE"/>
    <w:rsid w:val="005A33D2"/>
    <w:rsid w:val="005A35B5"/>
    <w:rsid w:val="005A3784"/>
    <w:rsid w:val="005A404D"/>
    <w:rsid w:val="005A4146"/>
    <w:rsid w:val="005A4279"/>
    <w:rsid w:val="005A428C"/>
    <w:rsid w:val="005A48BD"/>
    <w:rsid w:val="005A4A20"/>
    <w:rsid w:val="005A4F81"/>
    <w:rsid w:val="005A501B"/>
    <w:rsid w:val="005A5938"/>
    <w:rsid w:val="005A6129"/>
    <w:rsid w:val="005A6857"/>
    <w:rsid w:val="005A6C41"/>
    <w:rsid w:val="005A6EF5"/>
    <w:rsid w:val="005A6F49"/>
    <w:rsid w:val="005A7671"/>
    <w:rsid w:val="005A77AB"/>
    <w:rsid w:val="005A7D1D"/>
    <w:rsid w:val="005B079C"/>
    <w:rsid w:val="005B0A2F"/>
    <w:rsid w:val="005B0B9E"/>
    <w:rsid w:val="005B0BB3"/>
    <w:rsid w:val="005B275D"/>
    <w:rsid w:val="005B33A7"/>
    <w:rsid w:val="005B3ADC"/>
    <w:rsid w:val="005B43BC"/>
    <w:rsid w:val="005B4AEC"/>
    <w:rsid w:val="005B4E37"/>
    <w:rsid w:val="005B5267"/>
    <w:rsid w:val="005B5879"/>
    <w:rsid w:val="005B592D"/>
    <w:rsid w:val="005B5AAC"/>
    <w:rsid w:val="005B5D51"/>
    <w:rsid w:val="005B64FB"/>
    <w:rsid w:val="005B681A"/>
    <w:rsid w:val="005B6CD6"/>
    <w:rsid w:val="005B7C5A"/>
    <w:rsid w:val="005C0649"/>
    <w:rsid w:val="005C0839"/>
    <w:rsid w:val="005C12A2"/>
    <w:rsid w:val="005C1724"/>
    <w:rsid w:val="005C1DB2"/>
    <w:rsid w:val="005C22B8"/>
    <w:rsid w:val="005C27C5"/>
    <w:rsid w:val="005C2F58"/>
    <w:rsid w:val="005C3218"/>
    <w:rsid w:val="005C3628"/>
    <w:rsid w:val="005C3AAF"/>
    <w:rsid w:val="005C3DE0"/>
    <w:rsid w:val="005C3EB4"/>
    <w:rsid w:val="005C3F5D"/>
    <w:rsid w:val="005C4429"/>
    <w:rsid w:val="005C46DC"/>
    <w:rsid w:val="005C489D"/>
    <w:rsid w:val="005C4CA2"/>
    <w:rsid w:val="005C4CFC"/>
    <w:rsid w:val="005C53CD"/>
    <w:rsid w:val="005C575D"/>
    <w:rsid w:val="005C5E7B"/>
    <w:rsid w:val="005C5FF0"/>
    <w:rsid w:val="005C61FD"/>
    <w:rsid w:val="005C6304"/>
    <w:rsid w:val="005C651C"/>
    <w:rsid w:val="005C65B3"/>
    <w:rsid w:val="005C673B"/>
    <w:rsid w:val="005C6E03"/>
    <w:rsid w:val="005C70D9"/>
    <w:rsid w:val="005D07FD"/>
    <w:rsid w:val="005D0AFB"/>
    <w:rsid w:val="005D0B92"/>
    <w:rsid w:val="005D0C0F"/>
    <w:rsid w:val="005D0CF8"/>
    <w:rsid w:val="005D1328"/>
    <w:rsid w:val="005D15B6"/>
    <w:rsid w:val="005D17EB"/>
    <w:rsid w:val="005D1929"/>
    <w:rsid w:val="005D1DC1"/>
    <w:rsid w:val="005D1EED"/>
    <w:rsid w:val="005D20C3"/>
    <w:rsid w:val="005D244E"/>
    <w:rsid w:val="005D2564"/>
    <w:rsid w:val="005D2786"/>
    <w:rsid w:val="005D27F4"/>
    <w:rsid w:val="005D287E"/>
    <w:rsid w:val="005D29B9"/>
    <w:rsid w:val="005D2E75"/>
    <w:rsid w:val="005D379D"/>
    <w:rsid w:val="005D3A62"/>
    <w:rsid w:val="005D3FC9"/>
    <w:rsid w:val="005D4158"/>
    <w:rsid w:val="005D4468"/>
    <w:rsid w:val="005D4534"/>
    <w:rsid w:val="005D4607"/>
    <w:rsid w:val="005D488A"/>
    <w:rsid w:val="005D4A4F"/>
    <w:rsid w:val="005D4A7F"/>
    <w:rsid w:val="005D4F26"/>
    <w:rsid w:val="005D5292"/>
    <w:rsid w:val="005D561C"/>
    <w:rsid w:val="005D585A"/>
    <w:rsid w:val="005D5979"/>
    <w:rsid w:val="005D627B"/>
    <w:rsid w:val="005D64D9"/>
    <w:rsid w:val="005D65DC"/>
    <w:rsid w:val="005D67E8"/>
    <w:rsid w:val="005D6C5A"/>
    <w:rsid w:val="005D6DA1"/>
    <w:rsid w:val="005D77C7"/>
    <w:rsid w:val="005D7853"/>
    <w:rsid w:val="005D7C06"/>
    <w:rsid w:val="005E03A7"/>
    <w:rsid w:val="005E04E4"/>
    <w:rsid w:val="005E0727"/>
    <w:rsid w:val="005E0B59"/>
    <w:rsid w:val="005E0CBD"/>
    <w:rsid w:val="005E16F4"/>
    <w:rsid w:val="005E1C6F"/>
    <w:rsid w:val="005E2241"/>
    <w:rsid w:val="005E23ED"/>
    <w:rsid w:val="005E2A11"/>
    <w:rsid w:val="005E2CB7"/>
    <w:rsid w:val="005E2DED"/>
    <w:rsid w:val="005E3474"/>
    <w:rsid w:val="005E41CA"/>
    <w:rsid w:val="005E4C73"/>
    <w:rsid w:val="005E4DB8"/>
    <w:rsid w:val="005E4EB2"/>
    <w:rsid w:val="005E5107"/>
    <w:rsid w:val="005E51CB"/>
    <w:rsid w:val="005E5BCC"/>
    <w:rsid w:val="005E5EDE"/>
    <w:rsid w:val="005E60EB"/>
    <w:rsid w:val="005E6825"/>
    <w:rsid w:val="005E78C8"/>
    <w:rsid w:val="005E7947"/>
    <w:rsid w:val="005E7B3E"/>
    <w:rsid w:val="005E7C7F"/>
    <w:rsid w:val="005E7E30"/>
    <w:rsid w:val="005F0DC0"/>
    <w:rsid w:val="005F0E07"/>
    <w:rsid w:val="005F145C"/>
    <w:rsid w:val="005F1690"/>
    <w:rsid w:val="005F1DF3"/>
    <w:rsid w:val="005F2033"/>
    <w:rsid w:val="005F20AE"/>
    <w:rsid w:val="005F2871"/>
    <w:rsid w:val="005F2DC3"/>
    <w:rsid w:val="005F2E86"/>
    <w:rsid w:val="005F2EFF"/>
    <w:rsid w:val="005F3BC2"/>
    <w:rsid w:val="005F4DBC"/>
    <w:rsid w:val="005F560F"/>
    <w:rsid w:val="005F5663"/>
    <w:rsid w:val="005F57D5"/>
    <w:rsid w:val="005F5AC1"/>
    <w:rsid w:val="005F6398"/>
    <w:rsid w:val="005F64A3"/>
    <w:rsid w:val="005F6878"/>
    <w:rsid w:val="005F692F"/>
    <w:rsid w:val="005F6A6A"/>
    <w:rsid w:val="005F6B37"/>
    <w:rsid w:val="005F7421"/>
    <w:rsid w:val="005F7769"/>
    <w:rsid w:val="005F7D43"/>
    <w:rsid w:val="00600E80"/>
    <w:rsid w:val="006018E9"/>
    <w:rsid w:val="00601FBB"/>
    <w:rsid w:val="006020FD"/>
    <w:rsid w:val="0060256E"/>
    <w:rsid w:val="00602813"/>
    <w:rsid w:val="00602815"/>
    <w:rsid w:val="00602E45"/>
    <w:rsid w:val="006030EC"/>
    <w:rsid w:val="00603129"/>
    <w:rsid w:val="006032E3"/>
    <w:rsid w:val="006033B4"/>
    <w:rsid w:val="00603588"/>
    <w:rsid w:val="00603BF2"/>
    <w:rsid w:val="00603E2A"/>
    <w:rsid w:val="00604304"/>
    <w:rsid w:val="00604C5C"/>
    <w:rsid w:val="0060601D"/>
    <w:rsid w:val="00606429"/>
    <w:rsid w:val="00606476"/>
    <w:rsid w:val="006065F6"/>
    <w:rsid w:val="00606792"/>
    <w:rsid w:val="00610549"/>
    <w:rsid w:val="006105B3"/>
    <w:rsid w:val="006108DE"/>
    <w:rsid w:val="006109E0"/>
    <w:rsid w:val="00610B74"/>
    <w:rsid w:val="00610C45"/>
    <w:rsid w:val="006110C4"/>
    <w:rsid w:val="006114DB"/>
    <w:rsid w:val="00611C87"/>
    <w:rsid w:val="00611CDB"/>
    <w:rsid w:val="00611FC9"/>
    <w:rsid w:val="00612424"/>
    <w:rsid w:val="00612BCC"/>
    <w:rsid w:val="00612E83"/>
    <w:rsid w:val="00613002"/>
    <w:rsid w:val="00613501"/>
    <w:rsid w:val="00613D47"/>
    <w:rsid w:val="00613F77"/>
    <w:rsid w:val="006140E2"/>
    <w:rsid w:val="00614967"/>
    <w:rsid w:val="00614A9B"/>
    <w:rsid w:val="00614D07"/>
    <w:rsid w:val="00614DBB"/>
    <w:rsid w:val="0061527D"/>
    <w:rsid w:val="00615E01"/>
    <w:rsid w:val="00615E43"/>
    <w:rsid w:val="00615E4C"/>
    <w:rsid w:val="0061604D"/>
    <w:rsid w:val="006162DA"/>
    <w:rsid w:val="0061659C"/>
    <w:rsid w:val="00616692"/>
    <w:rsid w:val="0061683E"/>
    <w:rsid w:val="00616954"/>
    <w:rsid w:val="00616C84"/>
    <w:rsid w:val="00616E81"/>
    <w:rsid w:val="00616F1E"/>
    <w:rsid w:val="006175DE"/>
    <w:rsid w:val="00617C61"/>
    <w:rsid w:val="0062058A"/>
    <w:rsid w:val="00620925"/>
    <w:rsid w:val="00620EE6"/>
    <w:rsid w:val="0062127C"/>
    <w:rsid w:val="0062133C"/>
    <w:rsid w:val="00621694"/>
    <w:rsid w:val="00621757"/>
    <w:rsid w:val="00622144"/>
    <w:rsid w:val="00622897"/>
    <w:rsid w:val="00622AA9"/>
    <w:rsid w:val="00622C13"/>
    <w:rsid w:val="00622D63"/>
    <w:rsid w:val="00622DA5"/>
    <w:rsid w:val="006230C3"/>
    <w:rsid w:val="00623103"/>
    <w:rsid w:val="00623452"/>
    <w:rsid w:val="00623796"/>
    <w:rsid w:val="00623934"/>
    <w:rsid w:val="00623D79"/>
    <w:rsid w:val="0062410D"/>
    <w:rsid w:val="00624E3A"/>
    <w:rsid w:val="0062528E"/>
    <w:rsid w:val="0062540D"/>
    <w:rsid w:val="006255D8"/>
    <w:rsid w:val="00625653"/>
    <w:rsid w:val="0062592D"/>
    <w:rsid w:val="0062654A"/>
    <w:rsid w:val="006268CF"/>
    <w:rsid w:val="006268E5"/>
    <w:rsid w:val="00627313"/>
    <w:rsid w:val="0062767E"/>
    <w:rsid w:val="0063033D"/>
    <w:rsid w:val="00630E46"/>
    <w:rsid w:val="00630EE0"/>
    <w:rsid w:val="00630EE5"/>
    <w:rsid w:val="0063176A"/>
    <w:rsid w:val="006317B6"/>
    <w:rsid w:val="00631AB1"/>
    <w:rsid w:val="00631D9B"/>
    <w:rsid w:val="00631DBB"/>
    <w:rsid w:val="00631EB5"/>
    <w:rsid w:val="006323AF"/>
    <w:rsid w:val="00632495"/>
    <w:rsid w:val="00633074"/>
    <w:rsid w:val="0063321D"/>
    <w:rsid w:val="00633306"/>
    <w:rsid w:val="00633B0E"/>
    <w:rsid w:val="00633F7E"/>
    <w:rsid w:val="0063440F"/>
    <w:rsid w:val="00634503"/>
    <w:rsid w:val="00634544"/>
    <w:rsid w:val="0063484C"/>
    <w:rsid w:val="00635389"/>
    <w:rsid w:val="00635FBF"/>
    <w:rsid w:val="00636235"/>
    <w:rsid w:val="0063676C"/>
    <w:rsid w:val="0063684A"/>
    <w:rsid w:val="00636C08"/>
    <w:rsid w:val="00637663"/>
    <w:rsid w:val="006401B9"/>
    <w:rsid w:val="00640241"/>
    <w:rsid w:val="0064080D"/>
    <w:rsid w:val="00640841"/>
    <w:rsid w:val="00640866"/>
    <w:rsid w:val="00640AED"/>
    <w:rsid w:val="0064118C"/>
    <w:rsid w:val="006412F0"/>
    <w:rsid w:val="0064180A"/>
    <w:rsid w:val="00641A1B"/>
    <w:rsid w:val="00641D82"/>
    <w:rsid w:val="00642129"/>
    <w:rsid w:val="00642522"/>
    <w:rsid w:val="00642830"/>
    <w:rsid w:val="00642851"/>
    <w:rsid w:val="00642AFD"/>
    <w:rsid w:val="00642BC9"/>
    <w:rsid w:val="00642D0D"/>
    <w:rsid w:val="00642F4E"/>
    <w:rsid w:val="00642FF9"/>
    <w:rsid w:val="0064318D"/>
    <w:rsid w:val="006433B1"/>
    <w:rsid w:val="0064351E"/>
    <w:rsid w:val="006436AD"/>
    <w:rsid w:val="00643B4E"/>
    <w:rsid w:val="00643BEC"/>
    <w:rsid w:val="00644171"/>
    <w:rsid w:val="006442DC"/>
    <w:rsid w:val="006446FD"/>
    <w:rsid w:val="00644B0E"/>
    <w:rsid w:val="00645209"/>
    <w:rsid w:val="00645F91"/>
    <w:rsid w:val="0064609C"/>
    <w:rsid w:val="00646204"/>
    <w:rsid w:val="006462D9"/>
    <w:rsid w:val="006465BD"/>
    <w:rsid w:val="00646A65"/>
    <w:rsid w:val="00646C32"/>
    <w:rsid w:val="006472AE"/>
    <w:rsid w:val="00647426"/>
    <w:rsid w:val="006475E9"/>
    <w:rsid w:val="00647602"/>
    <w:rsid w:val="006477EB"/>
    <w:rsid w:val="00647881"/>
    <w:rsid w:val="00647AEB"/>
    <w:rsid w:val="00647F47"/>
    <w:rsid w:val="00647FC8"/>
    <w:rsid w:val="00650F49"/>
    <w:rsid w:val="00651595"/>
    <w:rsid w:val="00651C9F"/>
    <w:rsid w:val="00651E6E"/>
    <w:rsid w:val="00652011"/>
    <w:rsid w:val="00652343"/>
    <w:rsid w:val="00652859"/>
    <w:rsid w:val="006528B6"/>
    <w:rsid w:val="00652AA0"/>
    <w:rsid w:val="00652BAF"/>
    <w:rsid w:val="00653E26"/>
    <w:rsid w:val="00653F29"/>
    <w:rsid w:val="0065464E"/>
    <w:rsid w:val="00654B1C"/>
    <w:rsid w:val="00654B74"/>
    <w:rsid w:val="00654D3B"/>
    <w:rsid w:val="00655061"/>
    <w:rsid w:val="00655686"/>
    <w:rsid w:val="00655B4C"/>
    <w:rsid w:val="00655EB6"/>
    <w:rsid w:val="006560E3"/>
    <w:rsid w:val="00656897"/>
    <w:rsid w:val="006568CE"/>
    <w:rsid w:val="00656BCD"/>
    <w:rsid w:val="00656CB8"/>
    <w:rsid w:val="00657297"/>
    <w:rsid w:val="00657B98"/>
    <w:rsid w:val="0066069E"/>
    <w:rsid w:val="006607BA"/>
    <w:rsid w:val="00660ACB"/>
    <w:rsid w:val="00660CDA"/>
    <w:rsid w:val="00660FC3"/>
    <w:rsid w:val="00661129"/>
    <w:rsid w:val="0066124C"/>
    <w:rsid w:val="006615A1"/>
    <w:rsid w:val="0066198A"/>
    <w:rsid w:val="00661EBD"/>
    <w:rsid w:val="0066246B"/>
    <w:rsid w:val="006628F3"/>
    <w:rsid w:val="00663077"/>
    <w:rsid w:val="00663322"/>
    <w:rsid w:val="006634EE"/>
    <w:rsid w:val="00663CAA"/>
    <w:rsid w:val="00663E87"/>
    <w:rsid w:val="0066412F"/>
    <w:rsid w:val="00664295"/>
    <w:rsid w:val="00664362"/>
    <w:rsid w:val="0066466C"/>
    <w:rsid w:val="006648CF"/>
    <w:rsid w:val="00664B60"/>
    <w:rsid w:val="006652F5"/>
    <w:rsid w:val="006653F1"/>
    <w:rsid w:val="006658B7"/>
    <w:rsid w:val="00665A30"/>
    <w:rsid w:val="00665A9E"/>
    <w:rsid w:val="00665C96"/>
    <w:rsid w:val="00666071"/>
    <w:rsid w:val="00666146"/>
    <w:rsid w:val="006663E4"/>
    <w:rsid w:val="00666A09"/>
    <w:rsid w:val="00666B10"/>
    <w:rsid w:val="00666B75"/>
    <w:rsid w:val="00666B8A"/>
    <w:rsid w:val="00666FD9"/>
    <w:rsid w:val="00667036"/>
    <w:rsid w:val="00667228"/>
    <w:rsid w:val="006677A8"/>
    <w:rsid w:val="00667B5D"/>
    <w:rsid w:val="00667F4A"/>
    <w:rsid w:val="00670B4B"/>
    <w:rsid w:val="00670F00"/>
    <w:rsid w:val="00671016"/>
    <w:rsid w:val="00671049"/>
    <w:rsid w:val="006711CC"/>
    <w:rsid w:val="00671488"/>
    <w:rsid w:val="00671C31"/>
    <w:rsid w:val="00671E31"/>
    <w:rsid w:val="00671E4E"/>
    <w:rsid w:val="00672048"/>
    <w:rsid w:val="00672A75"/>
    <w:rsid w:val="00672B0C"/>
    <w:rsid w:val="00672C37"/>
    <w:rsid w:val="00672CB8"/>
    <w:rsid w:val="00672F7F"/>
    <w:rsid w:val="00673089"/>
    <w:rsid w:val="006731AE"/>
    <w:rsid w:val="006734E4"/>
    <w:rsid w:val="006736A7"/>
    <w:rsid w:val="00673913"/>
    <w:rsid w:val="00673BAA"/>
    <w:rsid w:val="006742D1"/>
    <w:rsid w:val="006744DF"/>
    <w:rsid w:val="006746A9"/>
    <w:rsid w:val="0067470E"/>
    <w:rsid w:val="00674C31"/>
    <w:rsid w:val="006753AC"/>
    <w:rsid w:val="006757F3"/>
    <w:rsid w:val="00675AE8"/>
    <w:rsid w:val="006761D8"/>
    <w:rsid w:val="006763E0"/>
    <w:rsid w:val="00676941"/>
    <w:rsid w:val="00677243"/>
    <w:rsid w:val="006774C7"/>
    <w:rsid w:val="0067756F"/>
    <w:rsid w:val="00677910"/>
    <w:rsid w:val="00677987"/>
    <w:rsid w:val="00677A40"/>
    <w:rsid w:val="00677F6F"/>
    <w:rsid w:val="006802BC"/>
    <w:rsid w:val="0068069B"/>
    <w:rsid w:val="00680D09"/>
    <w:rsid w:val="00681738"/>
    <w:rsid w:val="00681B26"/>
    <w:rsid w:val="006820E1"/>
    <w:rsid w:val="0068216A"/>
    <w:rsid w:val="00682762"/>
    <w:rsid w:val="00682B75"/>
    <w:rsid w:val="00682CF2"/>
    <w:rsid w:val="00682D0E"/>
    <w:rsid w:val="00683363"/>
    <w:rsid w:val="006834D1"/>
    <w:rsid w:val="0068403F"/>
    <w:rsid w:val="00684069"/>
    <w:rsid w:val="00684511"/>
    <w:rsid w:val="00684664"/>
    <w:rsid w:val="00684C89"/>
    <w:rsid w:val="00685241"/>
    <w:rsid w:val="00685517"/>
    <w:rsid w:val="00685F80"/>
    <w:rsid w:val="00686130"/>
    <w:rsid w:val="00686151"/>
    <w:rsid w:val="00686188"/>
    <w:rsid w:val="00686F5A"/>
    <w:rsid w:val="0068744A"/>
    <w:rsid w:val="00687DA7"/>
    <w:rsid w:val="0069007E"/>
    <w:rsid w:val="00690628"/>
    <w:rsid w:val="00691191"/>
    <w:rsid w:val="0069123D"/>
    <w:rsid w:val="00691772"/>
    <w:rsid w:val="006919A7"/>
    <w:rsid w:val="00691D75"/>
    <w:rsid w:val="0069221B"/>
    <w:rsid w:val="00692314"/>
    <w:rsid w:val="006923CF"/>
    <w:rsid w:val="00692616"/>
    <w:rsid w:val="006929DB"/>
    <w:rsid w:val="00692D27"/>
    <w:rsid w:val="00692EAA"/>
    <w:rsid w:val="0069303F"/>
    <w:rsid w:val="006934BB"/>
    <w:rsid w:val="00693EF9"/>
    <w:rsid w:val="0069402D"/>
    <w:rsid w:val="00694275"/>
    <w:rsid w:val="006946D5"/>
    <w:rsid w:val="00694FB6"/>
    <w:rsid w:val="006953D7"/>
    <w:rsid w:val="00695848"/>
    <w:rsid w:val="00695C3D"/>
    <w:rsid w:val="0069638F"/>
    <w:rsid w:val="00696EAE"/>
    <w:rsid w:val="00697A6C"/>
    <w:rsid w:val="00697ADF"/>
    <w:rsid w:val="006A0555"/>
    <w:rsid w:val="006A0BAE"/>
    <w:rsid w:val="006A0FDB"/>
    <w:rsid w:val="006A113F"/>
    <w:rsid w:val="006A1C24"/>
    <w:rsid w:val="006A1FD7"/>
    <w:rsid w:val="006A2186"/>
    <w:rsid w:val="006A2337"/>
    <w:rsid w:val="006A23D4"/>
    <w:rsid w:val="006A2630"/>
    <w:rsid w:val="006A2A0B"/>
    <w:rsid w:val="006A2CE3"/>
    <w:rsid w:val="006A2F19"/>
    <w:rsid w:val="006A306B"/>
    <w:rsid w:val="006A3196"/>
    <w:rsid w:val="006A35B4"/>
    <w:rsid w:val="006A447D"/>
    <w:rsid w:val="006A44AF"/>
    <w:rsid w:val="006A4AAF"/>
    <w:rsid w:val="006A4E6F"/>
    <w:rsid w:val="006A551F"/>
    <w:rsid w:val="006A6B60"/>
    <w:rsid w:val="006A7D00"/>
    <w:rsid w:val="006B015E"/>
    <w:rsid w:val="006B07C3"/>
    <w:rsid w:val="006B093D"/>
    <w:rsid w:val="006B0A3B"/>
    <w:rsid w:val="006B0E65"/>
    <w:rsid w:val="006B0FFC"/>
    <w:rsid w:val="006B12DE"/>
    <w:rsid w:val="006B14FD"/>
    <w:rsid w:val="006B184C"/>
    <w:rsid w:val="006B1E2D"/>
    <w:rsid w:val="006B2EDB"/>
    <w:rsid w:val="006B3399"/>
    <w:rsid w:val="006B36F9"/>
    <w:rsid w:val="006B3716"/>
    <w:rsid w:val="006B38EB"/>
    <w:rsid w:val="006B3A0B"/>
    <w:rsid w:val="006B3FF5"/>
    <w:rsid w:val="006B4892"/>
    <w:rsid w:val="006B4B04"/>
    <w:rsid w:val="006B5353"/>
    <w:rsid w:val="006B573C"/>
    <w:rsid w:val="006B676E"/>
    <w:rsid w:val="006B687A"/>
    <w:rsid w:val="006B69A9"/>
    <w:rsid w:val="006B6D8B"/>
    <w:rsid w:val="006B7977"/>
    <w:rsid w:val="006B7F46"/>
    <w:rsid w:val="006C0748"/>
    <w:rsid w:val="006C08D8"/>
    <w:rsid w:val="006C0B04"/>
    <w:rsid w:val="006C0ECC"/>
    <w:rsid w:val="006C116F"/>
    <w:rsid w:val="006C14F7"/>
    <w:rsid w:val="006C17F3"/>
    <w:rsid w:val="006C1B76"/>
    <w:rsid w:val="006C1E1E"/>
    <w:rsid w:val="006C1FA8"/>
    <w:rsid w:val="006C24EA"/>
    <w:rsid w:val="006C347E"/>
    <w:rsid w:val="006C3B8C"/>
    <w:rsid w:val="006C3BA4"/>
    <w:rsid w:val="006C3BE2"/>
    <w:rsid w:val="006C3F55"/>
    <w:rsid w:val="006C40E9"/>
    <w:rsid w:val="006C4A94"/>
    <w:rsid w:val="006C4B84"/>
    <w:rsid w:val="006C51F8"/>
    <w:rsid w:val="006C69E2"/>
    <w:rsid w:val="006C6F4D"/>
    <w:rsid w:val="006C7011"/>
    <w:rsid w:val="006C73AF"/>
    <w:rsid w:val="006C7422"/>
    <w:rsid w:val="006C77A2"/>
    <w:rsid w:val="006D0244"/>
    <w:rsid w:val="006D0316"/>
    <w:rsid w:val="006D049E"/>
    <w:rsid w:val="006D0782"/>
    <w:rsid w:val="006D114F"/>
    <w:rsid w:val="006D118D"/>
    <w:rsid w:val="006D1282"/>
    <w:rsid w:val="006D12BB"/>
    <w:rsid w:val="006D1F21"/>
    <w:rsid w:val="006D2260"/>
    <w:rsid w:val="006D2445"/>
    <w:rsid w:val="006D2858"/>
    <w:rsid w:val="006D2946"/>
    <w:rsid w:val="006D2D56"/>
    <w:rsid w:val="006D2F4C"/>
    <w:rsid w:val="006D3086"/>
    <w:rsid w:val="006D341E"/>
    <w:rsid w:val="006D3553"/>
    <w:rsid w:val="006D3578"/>
    <w:rsid w:val="006D3988"/>
    <w:rsid w:val="006D39E0"/>
    <w:rsid w:val="006D42D5"/>
    <w:rsid w:val="006D42DA"/>
    <w:rsid w:val="006D42FC"/>
    <w:rsid w:val="006D4B65"/>
    <w:rsid w:val="006D553D"/>
    <w:rsid w:val="006D5C7E"/>
    <w:rsid w:val="006D5FD0"/>
    <w:rsid w:val="006D600D"/>
    <w:rsid w:val="006D6350"/>
    <w:rsid w:val="006D69F6"/>
    <w:rsid w:val="006D6B15"/>
    <w:rsid w:val="006D6CCC"/>
    <w:rsid w:val="006D6E47"/>
    <w:rsid w:val="006D75D8"/>
    <w:rsid w:val="006D76ED"/>
    <w:rsid w:val="006D7C10"/>
    <w:rsid w:val="006D7E69"/>
    <w:rsid w:val="006E059A"/>
    <w:rsid w:val="006E0B1B"/>
    <w:rsid w:val="006E0D23"/>
    <w:rsid w:val="006E0FBC"/>
    <w:rsid w:val="006E125A"/>
    <w:rsid w:val="006E1348"/>
    <w:rsid w:val="006E1768"/>
    <w:rsid w:val="006E18EC"/>
    <w:rsid w:val="006E1A39"/>
    <w:rsid w:val="006E1EBE"/>
    <w:rsid w:val="006E1FCC"/>
    <w:rsid w:val="006E24A2"/>
    <w:rsid w:val="006E2A1C"/>
    <w:rsid w:val="006E2FA3"/>
    <w:rsid w:val="006E319E"/>
    <w:rsid w:val="006E32AC"/>
    <w:rsid w:val="006E36D9"/>
    <w:rsid w:val="006E474A"/>
    <w:rsid w:val="006E51C4"/>
    <w:rsid w:val="006E55C3"/>
    <w:rsid w:val="006E5790"/>
    <w:rsid w:val="006E5913"/>
    <w:rsid w:val="006E5AF5"/>
    <w:rsid w:val="006E6157"/>
    <w:rsid w:val="006E6AEC"/>
    <w:rsid w:val="006E6EEC"/>
    <w:rsid w:val="006F0213"/>
    <w:rsid w:val="006F0449"/>
    <w:rsid w:val="006F04A2"/>
    <w:rsid w:val="006F07A3"/>
    <w:rsid w:val="006F0B69"/>
    <w:rsid w:val="006F0CD6"/>
    <w:rsid w:val="006F0FCC"/>
    <w:rsid w:val="006F114A"/>
    <w:rsid w:val="006F119D"/>
    <w:rsid w:val="006F1299"/>
    <w:rsid w:val="006F152D"/>
    <w:rsid w:val="006F1C1E"/>
    <w:rsid w:val="006F2355"/>
    <w:rsid w:val="006F2747"/>
    <w:rsid w:val="006F2BED"/>
    <w:rsid w:val="006F32D8"/>
    <w:rsid w:val="006F3845"/>
    <w:rsid w:val="006F3892"/>
    <w:rsid w:val="006F3C03"/>
    <w:rsid w:val="006F406F"/>
    <w:rsid w:val="006F41AA"/>
    <w:rsid w:val="006F443A"/>
    <w:rsid w:val="006F46F4"/>
    <w:rsid w:val="006F571B"/>
    <w:rsid w:val="006F580A"/>
    <w:rsid w:val="006F5970"/>
    <w:rsid w:val="006F673C"/>
    <w:rsid w:val="006F6AD5"/>
    <w:rsid w:val="006F7543"/>
    <w:rsid w:val="006F7A9F"/>
    <w:rsid w:val="006F7C60"/>
    <w:rsid w:val="00700590"/>
    <w:rsid w:val="00700646"/>
    <w:rsid w:val="0070076E"/>
    <w:rsid w:val="0070078B"/>
    <w:rsid w:val="00700B13"/>
    <w:rsid w:val="00700B2D"/>
    <w:rsid w:val="00701876"/>
    <w:rsid w:val="00701B58"/>
    <w:rsid w:val="00701DB5"/>
    <w:rsid w:val="0070209E"/>
    <w:rsid w:val="007026C0"/>
    <w:rsid w:val="007030DA"/>
    <w:rsid w:val="00703C65"/>
    <w:rsid w:val="00704BC9"/>
    <w:rsid w:val="00704FB5"/>
    <w:rsid w:val="007050D1"/>
    <w:rsid w:val="007050FF"/>
    <w:rsid w:val="00705159"/>
    <w:rsid w:val="00705220"/>
    <w:rsid w:val="00705226"/>
    <w:rsid w:val="007055BD"/>
    <w:rsid w:val="00705748"/>
    <w:rsid w:val="00705D80"/>
    <w:rsid w:val="007065B1"/>
    <w:rsid w:val="00706926"/>
    <w:rsid w:val="00706CBB"/>
    <w:rsid w:val="00706E4F"/>
    <w:rsid w:val="0070737F"/>
    <w:rsid w:val="0070749C"/>
    <w:rsid w:val="00707569"/>
    <w:rsid w:val="0070759B"/>
    <w:rsid w:val="00707A28"/>
    <w:rsid w:val="00707D40"/>
    <w:rsid w:val="00707E36"/>
    <w:rsid w:val="00710329"/>
    <w:rsid w:val="0071039E"/>
    <w:rsid w:val="0071075C"/>
    <w:rsid w:val="00710EE4"/>
    <w:rsid w:val="00711373"/>
    <w:rsid w:val="0071170E"/>
    <w:rsid w:val="007118E9"/>
    <w:rsid w:val="00711FE6"/>
    <w:rsid w:val="0071291B"/>
    <w:rsid w:val="00712EB2"/>
    <w:rsid w:val="0071317F"/>
    <w:rsid w:val="007135F2"/>
    <w:rsid w:val="007136DD"/>
    <w:rsid w:val="007137AB"/>
    <w:rsid w:val="00713BE2"/>
    <w:rsid w:val="00713F24"/>
    <w:rsid w:val="0071413A"/>
    <w:rsid w:val="007141D2"/>
    <w:rsid w:val="007142FC"/>
    <w:rsid w:val="00714335"/>
    <w:rsid w:val="00714978"/>
    <w:rsid w:val="00715933"/>
    <w:rsid w:val="00715EE4"/>
    <w:rsid w:val="0071608B"/>
    <w:rsid w:val="007161E7"/>
    <w:rsid w:val="00716CB8"/>
    <w:rsid w:val="007170ED"/>
    <w:rsid w:val="00717419"/>
    <w:rsid w:val="00717930"/>
    <w:rsid w:val="00717E96"/>
    <w:rsid w:val="0072000D"/>
    <w:rsid w:val="00720675"/>
    <w:rsid w:val="0072072A"/>
    <w:rsid w:val="00720744"/>
    <w:rsid w:val="00720977"/>
    <w:rsid w:val="00721362"/>
    <w:rsid w:val="00721B61"/>
    <w:rsid w:val="00721B68"/>
    <w:rsid w:val="00721D7E"/>
    <w:rsid w:val="00721FAA"/>
    <w:rsid w:val="0072216F"/>
    <w:rsid w:val="0072242B"/>
    <w:rsid w:val="00722728"/>
    <w:rsid w:val="0072275B"/>
    <w:rsid w:val="00722A09"/>
    <w:rsid w:val="0072327F"/>
    <w:rsid w:val="00723365"/>
    <w:rsid w:val="00723A73"/>
    <w:rsid w:val="00723A7D"/>
    <w:rsid w:val="00723BCC"/>
    <w:rsid w:val="00723C52"/>
    <w:rsid w:val="00723F45"/>
    <w:rsid w:val="00724CA0"/>
    <w:rsid w:val="00724E45"/>
    <w:rsid w:val="007255E2"/>
    <w:rsid w:val="00726014"/>
    <w:rsid w:val="00726745"/>
    <w:rsid w:val="00727D84"/>
    <w:rsid w:val="00727ECA"/>
    <w:rsid w:val="00727EEE"/>
    <w:rsid w:val="0073041B"/>
    <w:rsid w:val="00730C21"/>
    <w:rsid w:val="007310B1"/>
    <w:rsid w:val="007314AD"/>
    <w:rsid w:val="007315BA"/>
    <w:rsid w:val="00731AB5"/>
    <w:rsid w:val="007321AF"/>
    <w:rsid w:val="00732A6C"/>
    <w:rsid w:val="0073328B"/>
    <w:rsid w:val="00733432"/>
    <w:rsid w:val="007339F5"/>
    <w:rsid w:val="00733A5A"/>
    <w:rsid w:val="00733AC7"/>
    <w:rsid w:val="00733E29"/>
    <w:rsid w:val="00733F2D"/>
    <w:rsid w:val="00733FF9"/>
    <w:rsid w:val="00734790"/>
    <w:rsid w:val="007348C3"/>
    <w:rsid w:val="00734B63"/>
    <w:rsid w:val="00734C37"/>
    <w:rsid w:val="00734FB6"/>
    <w:rsid w:val="0073547F"/>
    <w:rsid w:val="007356BB"/>
    <w:rsid w:val="0073570D"/>
    <w:rsid w:val="0073580B"/>
    <w:rsid w:val="0073617A"/>
    <w:rsid w:val="007362FA"/>
    <w:rsid w:val="007364F5"/>
    <w:rsid w:val="0073675C"/>
    <w:rsid w:val="00736EA4"/>
    <w:rsid w:val="0073744D"/>
    <w:rsid w:val="007400D0"/>
    <w:rsid w:val="007402D6"/>
    <w:rsid w:val="00740316"/>
    <w:rsid w:val="007409AC"/>
    <w:rsid w:val="00740D66"/>
    <w:rsid w:val="007411D6"/>
    <w:rsid w:val="0074135C"/>
    <w:rsid w:val="00741B56"/>
    <w:rsid w:val="00741EF7"/>
    <w:rsid w:val="00742194"/>
    <w:rsid w:val="00742C93"/>
    <w:rsid w:val="00742F1E"/>
    <w:rsid w:val="0074310E"/>
    <w:rsid w:val="00743336"/>
    <w:rsid w:val="007433E7"/>
    <w:rsid w:val="007436E4"/>
    <w:rsid w:val="0074450A"/>
    <w:rsid w:val="00744657"/>
    <w:rsid w:val="007447B7"/>
    <w:rsid w:val="00744A02"/>
    <w:rsid w:val="00745126"/>
    <w:rsid w:val="00745388"/>
    <w:rsid w:val="007454EB"/>
    <w:rsid w:val="00745687"/>
    <w:rsid w:val="00745A7A"/>
    <w:rsid w:val="00745F3F"/>
    <w:rsid w:val="007463BA"/>
    <w:rsid w:val="007466CE"/>
    <w:rsid w:val="0074682A"/>
    <w:rsid w:val="00746F84"/>
    <w:rsid w:val="00746F8F"/>
    <w:rsid w:val="007472B9"/>
    <w:rsid w:val="00747440"/>
    <w:rsid w:val="00747D5E"/>
    <w:rsid w:val="00747EB4"/>
    <w:rsid w:val="00750350"/>
    <w:rsid w:val="007503B3"/>
    <w:rsid w:val="0075079B"/>
    <w:rsid w:val="007508CB"/>
    <w:rsid w:val="007512D6"/>
    <w:rsid w:val="00751C36"/>
    <w:rsid w:val="00751C9D"/>
    <w:rsid w:val="007527B0"/>
    <w:rsid w:val="00752D39"/>
    <w:rsid w:val="00752EFA"/>
    <w:rsid w:val="00753937"/>
    <w:rsid w:val="00753CBE"/>
    <w:rsid w:val="00754475"/>
    <w:rsid w:val="00754B6B"/>
    <w:rsid w:val="00754C01"/>
    <w:rsid w:val="00754C73"/>
    <w:rsid w:val="007554E8"/>
    <w:rsid w:val="00755C93"/>
    <w:rsid w:val="00755D8C"/>
    <w:rsid w:val="00755EA4"/>
    <w:rsid w:val="007563C7"/>
    <w:rsid w:val="00756405"/>
    <w:rsid w:val="00756BC7"/>
    <w:rsid w:val="00756DE9"/>
    <w:rsid w:val="00756E8D"/>
    <w:rsid w:val="00756F28"/>
    <w:rsid w:val="007572A3"/>
    <w:rsid w:val="007575F8"/>
    <w:rsid w:val="007576F6"/>
    <w:rsid w:val="00757820"/>
    <w:rsid w:val="00757DC2"/>
    <w:rsid w:val="00757E9D"/>
    <w:rsid w:val="00760881"/>
    <w:rsid w:val="00760A2D"/>
    <w:rsid w:val="00760C4E"/>
    <w:rsid w:val="007614A6"/>
    <w:rsid w:val="007615C5"/>
    <w:rsid w:val="0076171B"/>
    <w:rsid w:val="00761A44"/>
    <w:rsid w:val="007621FA"/>
    <w:rsid w:val="00762A7A"/>
    <w:rsid w:val="00762E71"/>
    <w:rsid w:val="007632F7"/>
    <w:rsid w:val="00763692"/>
    <w:rsid w:val="0076376D"/>
    <w:rsid w:val="0076386A"/>
    <w:rsid w:val="0076434F"/>
    <w:rsid w:val="00764EEE"/>
    <w:rsid w:val="00765527"/>
    <w:rsid w:val="0076629B"/>
    <w:rsid w:val="00766446"/>
    <w:rsid w:val="00766646"/>
    <w:rsid w:val="007667ED"/>
    <w:rsid w:val="0076682A"/>
    <w:rsid w:val="00766DFC"/>
    <w:rsid w:val="007674E5"/>
    <w:rsid w:val="007675BE"/>
    <w:rsid w:val="00767B7D"/>
    <w:rsid w:val="00767C97"/>
    <w:rsid w:val="0077026A"/>
    <w:rsid w:val="00770F8F"/>
    <w:rsid w:val="007714BB"/>
    <w:rsid w:val="00771CFC"/>
    <w:rsid w:val="00771DF0"/>
    <w:rsid w:val="00771F67"/>
    <w:rsid w:val="00772951"/>
    <w:rsid w:val="007729AA"/>
    <w:rsid w:val="007734CE"/>
    <w:rsid w:val="00773A24"/>
    <w:rsid w:val="00773A60"/>
    <w:rsid w:val="00773B9B"/>
    <w:rsid w:val="00773BA3"/>
    <w:rsid w:val="007742A1"/>
    <w:rsid w:val="007750D9"/>
    <w:rsid w:val="00775117"/>
    <w:rsid w:val="0077532C"/>
    <w:rsid w:val="00775A43"/>
    <w:rsid w:val="00775D8B"/>
    <w:rsid w:val="00776030"/>
    <w:rsid w:val="007763F8"/>
    <w:rsid w:val="00776AAC"/>
    <w:rsid w:val="00777A06"/>
    <w:rsid w:val="00777A0D"/>
    <w:rsid w:val="007802E4"/>
    <w:rsid w:val="0078063B"/>
    <w:rsid w:val="0078066A"/>
    <w:rsid w:val="007807FB"/>
    <w:rsid w:val="007817FF"/>
    <w:rsid w:val="0078197E"/>
    <w:rsid w:val="00781D73"/>
    <w:rsid w:val="00781F83"/>
    <w:rsid w:val="0078201F"/>
    <w:rsid w:val="007820B7"/>
    <w:rsid w:val="00782282"/>
    <w:rsid w:val="00783195"/>
    <w:rsid w:val="00783335"/>
    <w:rsid w:val="0078413A"/>
    <w:rsid w:val="007846D9"/>
    <w:rsid w:val="00784ADA"/>
    <w:rsid w:val="00784BA1"/>
    <w:rsid w:val="00784CFD"/>
    <w:rsid w:val="00784D61"/>
    <w:rsid w:val="007850E8"/>
    <w:rsid w:val="007853B6"/>
    <w:rsid w:val="007854FE"/>
    <w:rsid w:val="0078590B"/>
    <w:rsid w:val="00785914"/>
    <w:rsid w:val="00786F70"/>
    <w:rsid w:val="00787BE8"/>
    <w:rsid w:val="0079086D"/>
    <w:rsid w:val="00790B8E"/>
    <w:rsid w:val="00790C24"/>
    <w:rsid w:val="007910BB"/>
    <w:rsid w:val="00791511"/>
    <w:rsid w:val="00791BEB"/>
    <w:rsid w:val="00791C41"/>
    <w:rsid w:val="00791CA5"/>
    <w:rsid w:val="00792922"/>
    <w:rsid w:val="00792A98"/>
    <w:rsid w:val="00793030"/>
    <w:rsid w:val="007932EC"/>
    <w:rsid w:val="007934FD"/>
    <w:rsid w:val="0079375E"/>
    <w:rsid w:val="0079386C"/>
    <w:rsid w:val="00793D9C"/>
    <w:rsid w:val="00794068"/>
    <w:rsid w:val="0079466D"/>
    <w:rsid w:val="00794877"/>
    <w:rsid w:val="007948D4"/>
    <w:rsid w:val="00794BCB"/>
    <w:rsid w:val="0079555F"/>
    <w:rsid w:val="007955EC"/>
    <w:rsid w:val="007960E0"/>
    <w:rsid w:val="007963F2"/>
    <w:rsid w:val="0079691A"/>
    <w:rsid w:val="00796D79"/>
    <w:rsid w:val="00796EE6"/>
    <w:rsid w:val="00797372"/>
    <w:rsid w:val="00797626"/>
    <w:rsid w:val="0079762F"/>
    <w:rsid w:val="007977BA"/>
    <w:rsid w:val="0079793B"/>
    <w:rsid w:val="00797C7D"/>
    <w:rsid w:val="007A01BE"/>
    <w:rsid w:val="007A05E3"/>
    <w:rsid w:val="007A062E"/>
    <w:rsid w:val="007A06CE"/>
    <w:rsid w:val="007A0C93"/>
    <w:rsid w:val="007A0DB6"/>
    <w:rsid w:val="007A0EAE"/>
    <w:rsid w:val="007A1A52"/>
    <w:rsid w:val="007A2028"/>
    <w:rsid w:val="007A2CCD"/>
    <w:rsid w:val="007A2E02"/>
    <w:rsid w:val="007A3140"/>
    <w:rsid w:val="007A33D0"/>
    <w:rsid w:val="007A367D"/>
    <w:rsid w:val="007A36ED"/>
    <w:rsid w:val="007A3825"/>
    <w:rsid w:val="007A3ABC"/>
    <w:rsid w:val="007A3FCD"/>
    <w:rsid w:val="007A4492"/>
    <w:rsid w:val="007A44E0"/>
    <w:rsid w:val="007A4A10"/>
    <w:rsid w:val="007A4B98"/>
    <w:rsid w:val="007A4E0E"/>
    <w:rsid w:val="007A4F22"/>
    <w:rsid w:val="007A56A1"/>
    <w:rsid w:val="007A58C0"/>
    <w:rsid w:val="007A5F4E"/>
    <w:rsid w:val="007A6996"/>
    <w:rsid w:val="007A6A84"/>
    <w:rsid w:val="007A7053"/>
    <w:rsid w:val="007A75DD"/>
    <w:rsid w:val="007A79F1"/>
    <w:rsid w:val="007A7C48"/>
    <w:rsid w:val="007B0BEC"/>
    <w:rsid w:val="007B182B"/>
    <w:rsid w:val="007B1EC4"/>
    <w:rsid w:val="007B2251"/>
    <w:rsid w:val="007B2EC0"/>
    <w:rsid w:val="007B3067"/>
    <w:rsid w:val="007B3627"/>
    <w:rsid w:val="007B3A3D"/>
    <w:rsid w:val="007B4632"/>
    <w:rsid w:val="007B4902"/>
    <w:rsid w:val="007B4CBB"/>
    <w:rsid w:val="007B4D77"/>
    <w:rsid w:val="007B4DF5"/>
    <w:rsid w:val="007B52DA"/>
    <w:rsid w:val="007B5508"/>
    <w:rsid w:val="007B5F22"/>
    <w:rsid w:val="007B6565"/>
    <w:rsid w:val="007B68E8"/>
    <w:rsid w:val="007B6CCA"/>
    <w:rsid w:val="007B6CE4"/>
    <w:rsid w:val="007B6DCF"/>
    <w:rsid w:val="007B7616"/>
    <w:rsid w:val="007B766F"/>
    <w:rsid w:val="007B777B"/>
    <w:rsid w:val="007B78E6"/>
    <w:rsid w:val="007B7B64"/>
    <w:rsid w:val="007C0423"/>
    <w:rsid w:val="007C0503"/>
    <w:rsid w:val="007C07A2"/>
    <w:rsid w:val="007C087D"/>
    <w:rsid w:val="007C0CE5"/>
    <w:rsid w:val="007C0D2F"/>
    <w:rsid w:val="007C0ECE"/>
    <w:rsid w:val="007C1401"/>
    <w:rsid w:val="007C19A8"/>
    <w:rsid w:val="007C19C8"/>
    <w:rsid w:val="007C21EF"/>
    <w:rsid w:val="007C2306"/>
    <w:rsid w:val="007C25B5"/>
    <w:rsid w:val="007C2643"/>
    <w:rsid w:val="007C30AA"/>
    <w:rsid w:val="007C3314"/>
    <w:rsid w:val="007C37CD"/>
    <w:rsid w:val="007C3A6A"/>
    <w:rsid w:val="007C43B2"/>
    <w:rsid w:val="007C5D3D"/>
    <w:rsid w:val="007C60C2"/>
    <w:rsid w:val="007C68B2"/>
    <w:rsid w:val="007C6B69"/>
    <w:rsid w:val="007C6E57"/>
    <w:rsid w:val="007C6EE5"/>
    <w:rsid w:val="007C6FA6"/>
    <w:rsid w:val="007C742F"/>
    <w:rsid w:val="007C7590"/>
    <w:rsid w:val="007C78C8"/>
    <w:rsid w:val="007D0056"/>
    <w:rsid w:val="007D0735"/>
    <w:rsid w:val="007D0A8A"/>
    <w:rsid w:val="007D0F65"/>
    <w:rsid w:val="007D108E"/>
    <w:rsid w:val="007D10AE"/>
    <w:rsid w:val="007D1111"/>
    <w:rsid w:val="007D161E"/>
    <w:rsid w:val="007D1FEA"/>
    <w:rsid w:val="007D2066"/>
    <w:rsid w:val="007D25B2"/>
    <w:rsid w:val="007D275C"/>
    <w:rsid w:val="007D2DA0"/>
    <w:rsid w:val="007D35A4"/>
    <w:rsid w:val="007D35B0"/>
    <w:rsid w:val="007D3BCA"/>
    <w:rsid w:val="007D431A"/>
    <w:rsid w:val="007D4AF5"/>
    <w:rsid w:val="007D4BFF"/>
    <w:rsid w:val="007D4DFB"/>
    <w:rsid w:val="007D514C"/>
    <w:rsid w:val="007D5299"/>
    <w:rsid w:val="007D55D0"/>
    <w:rsid w:val="007D5786"/>
    <w:rsid w:val="007D59F7"/>
    <w:rsid w:val="007D5B1D"/>
    <w:rsid w:val="007D6790"/>
    <w:rsid w:val="007D78A3"/>
    <w:rsid w:val="007E0043"/>
    <w:rsid w:val="007E02AC"/>
    <w:rsid w:val="007E02EA"/>
    <w:rsid w:val="007E1070"/>
    <w:rsid w:val="007E1DC6"/>
    <w:rsid w:val="007E2080"/>
    <w:rsid w:val="007E2577"/>
    <w:rsid w:val="007E2958"/>
    <w:rsid w:val="007E2C86"/>
    <w:rsid w:val="007E2D03"/>
    <w:rsid w:val="007E2F45"/>
    <w:rsid w:val="007E32A3"/>
    <w:rsid w:val="007E3916"/>
    <w:rsid w:val="007E3E3F"/>
    <w:rsid w:val="007E3F55"/>
    <w:rsid w:val="007E42B4"/>
    <w:rsid w:val="007E4BBC"/>
    <w:rsid w:val="007E523C"/>
    <w:rsid w:val="007E528D"/>
    <w:rsid w:val="007E541A"/>
    <w:rsid w:val="007E546E"/>
    <w:rsid w:val="007E55AA"/>
    <w:rsid w:val="007E55FF"/>
    <w:rsid w:val="007E5B64"/>
    <w:rsid w:val="007E5D0B"/>
    <w:rsid w:val="007E68AA"/>
    <w:rsid w:val="007E6970"/>
    <w:rsid w:val="007E7329"/>
    <w:rsid w:val="007E7A58"/>
    <w:rsid w:val="007E7B85"/>
    <w:rsid w:val="007E7EC6"/>
    <w:rsid w:val="007F0831"/>
    <w:rsid w:val="007F0A83"/>
    <w:rsid w:val="007F0CD8"/>
    <w:rsid w:val="007F1360"/>
    <w:rsid w:val="007F1C11"/>
    <w:rsid w:val="007F2193"/>
    <w:rsid w:val="007F2353"/>
    <w:rsid w:val="007F32DC"/>
    <w:rsid w:val="007F35ED"/>
    <w:rsid w:val="007F3779"/>
    <w:rsid w:val="007F37C9"/>
    <w:rsid w:val="007F38BE"/>
    <w:rsid w:val="007F3E17"/>
    <w:rsid w:val="007F3F66"/>
    <w:rsid w:val="007F45DA"/>
    <w:rsid w:val="007F499E"/>
    <w:rsid w:val="007F4C30"/>
    <w:rsid w:val="007F5485"/>
    <w:rsid w:val="007F5577"/>
    <w:rsid w:val="007F5F77"/>
    <w:rsid w:val="007F6174"/>
    <w:rsid w:val="007F65E6"/>
    <w:rsid w:val="007F7334"/>
    <w:rsid w:val="007F7A55"/>
    <w:rsid w:val="00800014"/>
    <w:rsid w:val="0080018D"/>
    <w:rsid w:val="008001A1"/>
    <w:rsid w:val="008001F1"/>
    <w:rsid w:val="008004D5"/>
    <w:rsid w:val="008005BF"/>
    <w:rsid w:val="0080088F"/>
    <w:rsid w:val="0080095B"/>
    <w:rsid w:val="00800A2F"/>
    <w:rsid w:val="00800AA3"/>
    <w:rsid w:val="00800CE3"/>
    <w:rsid w:val="008015C6"/>
    <w:rsid w:val="00801C8F"/>
    <w:rsid w:val="00801E9E"/>
    <w:rsid w:val="00802093"/>
    <w:rsid w:val="008025A5"/>
    <w:rsid w:val="00802833"/>
    <w:rsid w:val="00802F6F"/>
    <w:rsid w:val="00803307"/>
    <w:rsid w:val="0080343C"/>
    <w:rsid w:val="00803738"/>
    <w:rsid w:val="00804563"/>
    <w:rsid w:val="00804966"/>
    <w:rsid w:val="00804999"/>
    <w:rsid w:val="00804C09"/>
    <w:rsid w:val="00805FC7"/>
    <w:rsid w:val="0080637D"/>
    <w:rsid w:val="00806484"/>
    <w:rsid w:val="00806627"/>
    <w:rsid w:val="00806A98"/>
    <w:rsid w:val="00806BAF"/>
    <w:rsid w:val="00806CC9"/>
    <w:rsid w:val="00806DC1"/>
    <w:rsid w:val="00806EA0"/>
    <w:rsid w:val="00807052"/>
    <w:rsid w:val="00807BE3"/>
    <w:rsid w:val="008106BD"/>
    <w:rsid w:val="00810BA4"/>
    <w:rsid w:val="00810D18"/>
    <w:rsid w:val="00811BCF"/>
    <w:rsid w:val="00811BD1"/>
    <w:rsid w:val="00811CEE"/>
    <w:rsid w:val="00812991"/>
    <w:rsid w:val="00812CBB"/>
    <w:rsid w:val="00812D04"/>
    <w:rsid w:val="008138B7"/>
    <w:rsid w:val="0081390A"/>
    <w:rsid w:val="00814248"/>
    <w:rsid w:val="0081478F"/>
    <w:rsid w:val="0081529F"/>
    <w:rsid w:val="00815EF3"/>
    <w:rsid w:val="00816840"/>
    <w:rsid w:val="00816887"/>
    <w:rsid w:val="00816F1C"/>
    <w:rsid w:val="008179E3"/>
    <w:rsid w:val="00817DF6"/>
    <w:rsid w:val="00820260"/>
    <w:rsid w:val="0082057A"/>
    <w:rsid w:val="008206DF"/>
    <w:rsid w:val="00820B9F"/>
    <w:rsid w:val="00820BC7"/>
    <w:rsid w:val="00820C66"/>
    <w:rsid w:val="00820EBE"/>
    <w:rsid w:val="00821229"/>
    <w:rsid w:val="00821592"/>
    <w:rsid w:val="0082169B"/>
    <w:rsid w:val="0082188C"/>
    <w:rsid w:val="00821F90"/>
    <w:rsid w:val="0082256D"/>
    <w:rsid w:val="0082421B"/>
    <w:rsid w:val="0082474E"/>
    <w:rsid w:val="00825023"/>
    <w:rsid w:val="00825780"/>
    <w:rsid w:val="00825CD0"/>
    <w:rsid w:val="008260BB"/>
    <w:rsid w:val="008265A6"/>
    <w:rsid w:val="0082692C"/>
    <w:rsid w:val="00826EED"/>
    <w:rsid w:val="00826FE1"/>
    <w:rsid w:val="00827000"/>
    <w:rsid w:val="00827296"/>
    <w:rsid w:val="008275CD"/>
    <w:rsid w:val="00827974"/>
    <w:rsid w:val="00827AC2"/>
    <w:rsid w:val="00827F0E"/>
    <w:rsid w:val="00830DB7"/>
    <w:rsid w:val="00831206"/>
    <w:rsid w:val="00831E29"/>
    <w:rsid w:val="008320FC"/>
    <w:rsid w:val="00832D69"/>
    <w:rsid w:val="00832E03"/>
    <w:rsid w:val="00832EE0"/>
    <w:rsid w:val="008339B9"/>
    <w:rsid w:val="00833C94"/>
    <w:rsid w:val="00834AFB"/>
    <w:rsid w:val="008356A9"/>
    <w:rsid w:val="00835811"/>
    <w:rsid w:val="00835CF9"/>
    <w:rsid w:val="00835EDE"/>
    <w:rsid w:val="008367D7"/>
    <w:rsid w:val="00836CB5"/>
    <w:rsid w:val="00836DCC"/>
    <w:rsid w:val="00837388"/>
    <w:rsid w:val="00837AD6"/>
    <w:rsid w:val="00837B3A"/>
    <w:rsid w:val="00840801"/>
    <w:rsid w:val="008408CC"/>
    <w:rsid w:val="00840C9F"/>
    <w:rsid w:val="0084101B"/>
    <w:rsid w:val="00841AE5"/>
    <w:rsid w:val="00842040"/>
    <w:rsid w:val="008426AF"/>
    <w:rsid w:val="00842D1A"/>
    <w:rsid w:val="00842DB5"/>
    <w:rsid w:val="00842FF2"/>
    <w:rsid w:val="0084361B"/>
    <w:rsid w:val="0084396D"/>
    <w:rsid w:val="00843EB5"/>
    <w:rsid w:val="00843F35"/>
    <w:rsid w:val="0084430F"/>
    <w:rsid w:val="00844C9D"/>
    <w:rsid w:val="008451DF"/>
    <w:rsid w:val="008453EA"/>
    <w:rsid w:val="008454FB"/>
    <w:rsid w:val="00845B61"/>
    <w:rsid w:val="00845D95"/>
    <w:rsid w:val="008461EF"/>
    <w:rsid w:val="008465EA"/>
    <w:rsid w:val="00846999"/>
    <w:rsid w:val="00846B19"/>
    <w:rsid w:val="00847495"/>
    <w:rsid w:val="008476EB"/>
    <w:rsid w:val="008477EE"/>
    <w:rsid w:val="00847822"/>
    <w:rsid w:val="00850000"/>
    <w:rsid w:val="00850923"/>
    <w:rsid w:val="00850BCE"/>
    <w:rsid w:val="00851208"/>
    <w:rsid w:val="00851323"/>
    <w:rsid w:val="008516C2"/>
    <w:rsid w:val="00851B53"/>
    <w:rsid w:val="00851F03"/>
    <w:rsid w:val="0085241C"/>
    <w:rsid w:val="00852A80"/>
    <w:rsid w:val="00852FF5"/>
    <w:rsid w:val="0085344B"/>
    <w:rsid w:val="00853877"/>
    <w:rsid w:val="00853EF1"/>
    <w:rsid w:val="00854263"/>
    <w:rsid w:val="008542AA"/>
    <w:rsid w:val="008542E0"/>
    <w:rsid w:val="008544C3"/>
    <w:rsid w:val="008545D4"/>
    <w:rsid w:val="00854730"/>
    <w:rsid w:val="0085540C"/>
    <w:rsid w:val="0085549D"/>
    <w:rsid w:val="00855CAB"/>
    <w:rsid w:val="00855CBD"/>
    <w:rsid w:val="00855F6E"/>
    <w:rsid w:val="008561D7"/>
    <w:rsid w:val="00856D29"/>
    <w:rsid w:val="00857AC4"/>
    <w:rsid w:val="00857C43"/>
    <w:rsid w:val="0086030F"/>
    <w:rsid w:val="008605CA"/>
    <w:rsid w:val="0086097D"/>
    <w:rsid w:val="00861068"/>
    <w:rsid w:val="00861262"/>
    <w:rsid w:val="00861416"/>
    <w:rsid w:val="0086146C"/>
    <w:rsid w:val="00862229"/>
    <w:rsid w:val="00862583"/>
    <w:rsid w:val="0086261A"/>
    <w:rsid w:val="008627B4"/>
    <w:rsid w:val="008627B7"/>
    <w:rsid w:val="00862B88"/>
    <w:rsid w:val="00862FCA"/>
    <w:rsid w:val="0086319B"/>
    <w:rsid w:val="008633B7"/>
    <w:rsid w:val="00863868"/>
    <w:rsid w:val="008638C1"/>
    <w:rsid w:val="00863D7A"/>
    <w:rsid w:val="00863FAD"/>
    <w:rsid w:val="0086405D"/>
    <w:rsid w:val="00864769"/>
    <w:rsid w:val="00864EC4"/>
    <w:rsid w:val="00864FDC"/>
    <w:rsid w:val="0086548D"/>
    <w:rsid w:val="00865D3D"/>
    <w:rsid w:val="00865E3B"/>
    <w:rsid w:val="00865EAD"/>
    <w:rsid w:val="0086608C"/>
    <w:rsid w:val="00866C99"/>
    <w:rsid w:val="00866D20"/>
    <w:rsid w:val="00866D35"/>
    <w:rsid w:val="00867196"/>
    <w:rsid w:val="00867292"/>
    <w:rsid w:val="00867504"/>
    <w:rsid w:val="00867636"/>
    <w:rsid w:val="00867728"/>
    <w:rsid w:val="008678EE"/>
    <w:rsid w:val="00867D54"/>
    <w:rsid w:val="00867EB9"/>
    <w:rsid w:val="00867F09"/>
    <w:rsid w:val="00870027"/>
    <w:rsid w:val="0087034C"/>
    <w:rsid w:val="00870D2E"/>
    <w:rsid w:val="00870F2F"/>
    <w:rsid w:val="00871102"/>
    <w:rsid w:val="0087122F"/>
    <w:rsid w:val="00871690"/>
    <w:rsid w:val="008719A6"/>
    <w:rsid w:val="008720F9"/>
    <w:rsid w:val="008725D9"/>
    <w:rsid w:val="00872908"/>
    <w:rsid w:val="00873464"/>
    <w:rsid w:val="00873494"/>
    <w:rsid w:val="008737A3"/>
    <w:rsid w:val="0087390F"/>
    <w:rsid w:val="008739EA"/>
    <w:rsid w:val="00874430"/>
    <w:rsid w:val="00875CB3"/>
    <w:rsid w:val="00875CF3"/>
    <w:rsid w:val="00875D75"/>
    <w:rsid w:val="0087650B"/>
    <w:rsid w:val="008765D9"/>
    <w:rsid w:val="0087663C"/>
    <w:rsid w:val="00876FE3"/>
    <w:rsid w:val="00877BEC"/>
    <w:rsid w:val="00880026"/>
    <w:rsid w:val="00880161"/>
    <w:rsid w:val="0088022B"/>
    <w:rsid w:val="008808EB"/>
    <w:rsid w:val="00881350"/>
    <w:rsid w:val="00881A07"/>
    <w:rsid w:val="00882049"/>
    <w:rsid w:val="00882119"/>
    <w:rsid w:val="00882439"/>
    <w:rsid w:val="00882D12"/>
    <w:rsid w:val="00882FB6"/>
    <w:rsid w:val="00883864"/>
    <w:rsid w:val="00883AA8"/>
    <w:rsid w:val="00883FA7"/>
    <w:rsid w:val="008843B1"/>
    <w:rsid w:val="008846CB"/>
    <w:rsid w:val="00884D05"/>
    <w:rsid w:val="0088510F"/>
    <w:rsid w:val="008853DC"/>
    <w:rsid w:val="008854AA"/>
    <w:rsid w:val="008857D1"/>
    <w:rsid w:val="00885928"/>
    <w:rsid w:val="008859E6"/>
    <w:rsid w:val="00885B1C"/>
    <w:rsid w:val="008863D7"/>
    <w:rsid w:val="008864BB"/>
    <w:rsid w:val="008867F9"/>
    <w:rsid w:val="00887AD3"/>
    <w:rsid w:val="008902AF"/>
    <w:rsid w:val="0089092B"/>
    <w:rsid w:val="00890979"/>
    <w:rsid w:val="008909D3"/>
    <w:rsid w:val="00890A29"/>
    <w:rsid w:val="00890E6C"/>
    <w:rsid w:val="00891601"/>
    <w:rsid w:val="00891B22"/>
    <w:rsid w:val="0089224B"/>
    <w:rsid w:val="00893109"/>
    <w:rsid w:val="008934F2"/>
    <w:rsid w:val="00893A56"/>
    <w:rsid w:val="00893E2E"/>
    <w:rsid w:val="00893E6B"/>
    <w:rsid w:val="00893FD4"/>
    <w:rsid w:val="00894769"/>
    <w:rsid w:val="00894B11"/>
    <w:rsid w:val="0089517D"/>
    <w:rsid w:val="0089565A"/>
    <w:rsid w:val="0089691F"/>
    <w:rsid w:val="00896982"/>
    <w:rsid w:val="008969F3"/>
    <w:rsid w:val="00897070"/>
    <w:rsid w:val="00897466"/>
    <w:rsid w:val="00897BB8"/>
    <w:rsid w:val="00897DE4"/>
    <w:rsid w:val="008A016C"/>
    <w:rsid w:val="008A0302"/>
    <w:rsid w:val="008A04BE"/>
    <w:rsid w:val="008A1263"/>
    <w:rsid w:val="008A12EE"/>
    <w:rsid w:val="008A19B0"/>
    <w:rsid w:val="008A1AE4"/>
    <w:rsid w:val="008A1E2C"/>
    <w:rsid w:val="008A1EF0"/>
    <w:rsid w:val="008A211F"/>
    <w:rsid w:val="008A22FB"/>
    <w:rsid w:val="008A26B7"/>
    <w:rsid w:val="008A2D11"/>
    <w:rsid w:val="008A2F26"/>
    <w:rsid w:val="008A30C9"/>
    <w:rsid w:val="008A36DC"/>
    <w:rsid w:val="008A396A"/>
    <w:rsid w:val="008A3B1A"/>
    <w:rsid w:val="008A3CA9"/>
    <w:rsid w:val="008A3E56"/>
    <w:rsid w:val="008A4710"/>
    <w:rsid w:val="008A4826"/>
    <w:rsid w:val="008A4EB5"/>
    <w:rsid w:val="008A54B5"/>
    <w:rsid w:val="008A5DE4"/>
    <w:rsid w:val="008A66BA"/>
    <w:rsid w:val="008A7623"/>
    <w:rsid w:val="008A7DB9"/>
    <w:rsid w:val="008A7DD7"/>
    <w:rsid w:val="008B00A8"/>
    <w:rsid w:val="008B020A"/>
    <w:rsid w:val="008B0906"/>
    <w:rsid w:val="008B098B"/>
    <w:rsid w:val="008B0A78"/>
    <w:rsid w:val="008B0B52"/>
    <w:rsid w:val="008B1185"/>
    <w:rsid w:val="008B14A0"/>
    <w:rsid w:val="008B15D1"/>
    <w:rsid w:val="008B1FDC"/>
    <w:rsid w:val="008B27BA"/>
    <w:rsid w:val="008B28A1"/>
    <w:rsid w:val="008B2F14"/>
    <w:rsid w:val="008B33D9"/>
    <w:rsid w:val="008B3646"/>
    <w:rsid w:val="008B3653"/>
    <w:rsid w:val="008B3699"/>
    <w:rsid w:val="008B4146"/>
    <w:rsid w:val="008B48F8"/>
    <w:rsid w:val="008B492D"/>
    <w:rsid w:val="008B4AC0"/>
    <w:rsid w:val="008B4BDB"/>
    <w:rsid w:val="008B4E30"/>
    <w:rsid w:val="008B4F04"/>
    <w:rsid w:val="008B598A"/>
    <w:rsid w:val="008B6599"/>
    <w:rsid w:val="008B66E4"/>
    <w:rsid w:val="008B6C02"/>
    <w:rsid w:val="008B6ED1"/>
    <w:rsid w:val="008B6ED6"/>
    <w:rsid w:val="008B6EEE"/>
    <w:rsid w:val="008B7583"/>
    <w:rsid w:val="008B7658"/>
    <w:rsid w:val="008C0036"/>
    <w:rsid w:val="008C0189"/>
    <w:rsid w:val="008C01FF"/>
    <w:rsid w:val="008C04A1"/>
    <w:rsid w:val="008C07DD"/>
    <w:rsid w:val="008C0C14"/>
    <w:rsid w:val="008C1894"/>
    <w:rsid w:val="008C1B80"/>
    <w:rsid w:val="008C1FF6"/>
    <w:rsid w:val="008C260A"/>
    <w:rsid w:val="008C3234"/>
    <w:rsid w:val="008C3407"/>
    <w:rsid w:val="008C359D"/>
    <w:rsid w:val="008C35F0"/>
    <w:rsid w:val="008C3A30"/>
    <w:rsid w:val="008C3CE9"/>
    <w:rsid w:val="008C3D1F"/>
    <w:rsid w:val="008C3D65"/>
    <w:rsid w:val="008C3E73"/>
    <w:rsid w:val="008C40D4"/>
    <w:rsid w:val="008C4873"/>
    <w:rsid w:val="008C50F4"/>
    <w:rsid w:val="008C5598"/>
    <w:rsid w:val="008C582E"/>
    <w:rsid w:val="008C59D9"/>
    <w:rsid w:val="008C5A9D"/>
    <w:rsid w:val="008C6005"/>
    <w:rsid w:val="008C63E0"/>
    <w:rsid w:val="008C67A8"/>
    <w:rsid w:val="008C6C5A"/>
    <w:rsid w:val="008C6CB3"/>
    <w:rsid w:val="008C6CDB"/>
    <w:rsid w:val="008C6DA1"/>
    <w:rsid w:val="008C764C"/>
    <w:rsid w:val="008C77FD"/>
    <w:rsid w:val="008C7A6D"/>
    <w:rsid w:val="008C7C69"/>
    <w:rsid w:val="008C7C6E"/>
    <w:rsid w:val="008D004D"/>
    <w:rsid w:val="008D0279"/>
    <w:rsid w:val="008D0449"/>
    <w:rsid w:val="008D080F"/>
    <w:rsid w:val="008D091E"/>
    <w:rsid w:val="008D0A28"/>
    <w:rsid w:val="008D0F25"/>
    <w:rsid w:val="008D175F"/>
    <w:rsid w:val="008D1B33"/>
    <w:rsid w:val="008D1BBD"/>
    <w:rsid w:val="008D1D1B"/>
    <w:rsid w:val="008D1DDF"/>
    <w:rsid w:val="008D21C7"/>
    <w:rsid w:val="008D2581"/>
    <w:rsid w:val="008D25D7"/>
    <w:rsid w:val="008D27A1"/>
    <w:rsid w:val="008D28BB"/>
    <w:rsid w:val="008D2BED"/>
    <w:rsid w:val="008D2F78"/>
    <w:rsid w:val="008D3409"/>
    <w:rsid w:val="008D349F"/>
    <w:rsid w:val="008D3775"/>
    <w:rsid w:val="008D37CC"/>
    <w:rsid w:val="008D38DE"/>
    <w:rsid w:val="008D3B23"/>
    <w:rsid w:val="008D3C71"/>
    <w:rsid w:val="008D443E"/>
    <w:rsid w:val="008D4837"/>
    <w:rsid w:val="008D4A70"/>
    <w:rsid w:val="008D4C01"/>
    <w:rsid w:val="008D50A9"/>
    <w:rsid w:val="008D597C"/>
    <w:rsid w:val="008D6BF8"/>
    <w:rsid w:val="008D6EF4"/>
    <w:rsid w:val="008D7D6D"/>
    <w:rsid w:val="008D7D78"/>
    <w:rsid w:val="008E009F"/>
    <w:rsid w:val="008E0112"/>
    <w:rsid w:val="008E0255"/>
    <w:rsid w:val="008E039C"/>
    <w:rsid w:val="008E0502"/>
    <w:rsid w:val="008E057F"/>
    <w:rsid w:val="008E08AF"/>
    <w:rsid w:val="008E0B9C"/>
    <w:rsid w:val="008E0C91"/>
    <w:rsid w:val="008E1034"/>
    <w:rsid w:val="008E12DD"/>
    <w:rsid w:val="008E13DE"/>
    <w:rsid w:val="008E157B"/>
    <w:rsid w:val="008E184F"/>
    <w:rsid w:val="008E1C37"/>
    <w:rsid w:val="008E1CF1"/>
    <w:rsid w:val="008E1E6F"/>
    <w:rsid w:val="008E2307"/>
    <w:rsid w:val="008E2431"/>
    <w:rsid w:val="008E276F"/>
    <w:rsid w:val="008E2A8E"/>
    <w:rsid w:val="008E2D12"/>
    <w:rsid w:val="008E2FA8"/>
    <w:rsid w:val="008E327D"/>
    <w:rsid w:val="008E3B0E"/>
    <w:rsid w:val="008E3D86"/>
    <w:rsid w:val="008E42F1"/>
    <w:rsid w:val="008E4711"/>
    <w:rsid w:val="008E4A3E"/>
    <w:rsid w:val="008E4B81"/>
    <w:rsid w:val="008E4C55"/>
    <w:rsid w:val="008E503E"/>
    <w:rsid w:val="008E50F7"/>
    <w:rsid w:val="008E5409"/>
    <w:rsid w:val="008E54DE"/>
    <w:rsid w:val="008E5643"/>
    <w:rsid w:val="008E571F"/>
    <w:rsid w:val="008E5C13"/>
    <w:rsid w:val="008E5E94"/>
    <w:rsid w:val="008E6120"/>
    <w:rsid w:val="008E669F"/>
    <w:rsid w:val="008E717D"/>
    <w:rsid w:val="008E770C"/>
    <w:rsid w:val="008E792F"/>
    <w:rsid w:val="008E7B7D"/>
    <w:rsid w:val="008E7B93"/>
    <w:rsid w:val="008F02F5"/>
    <w:rsid w:val="008F03AE"/>
    <w:rsid w:val="008F0A9D"/>
    <w:rsid w:val="008F0B0C"/>
    <w:rsid w:val="008F0EFD"/>
    <w:rsid w:val="008F11EF"/>
    <w:rsid w:val="008F1203"/>
    <w:rsid w:val="008F13D0"/>
    <w:rsid w:val="008F156D"/>
    <w:rsid w:val="008F1755"/>
    <w:rsid w:val="008F175E"/>
    <w:rsid w:val="008F1906"/>
    <w:rsid w:val="008F1A2F"/>
    <w:rsid w:val="008F2037"/>
    <w:rsid w:val="008F21F0"/>
    <w:rsid w:val="008F23BD"/>
    <w:rsid w:val="008F2486"/>
    <w:rsid w:val="008F27E4"/>
    <w:rsid w:val="008F2A0D"/>
    <w:rsid w:val="008F36F3"/>
    <w:rsid w:val="008F3760"/>
    <w:rsid w:val="008F3A05"/>
    <w:rsid w:val="008F3FD3"/>
    <w:rsid w:val="008F4040"/>
    <w:rsid w:val="008F4836"/>
    <w:rsid w:val="008F49D4"/>
    <w:rsid w:val="008F4A39"/>
    <w:rsid w:val="008F5B8D"/>
    <w:rsid w:val="008F6BDC"/>
    <w:rsid w:val="008F6DB7"/>
    <w:rsid w:val="008F70F0"/>
    <w:rsid w:val="008F7303"/>
    <w:rsid w:val="008F7556"/>
    <w:rsid w:val="008F7989"/>
    <w:rsid w:val="008F7B5A"/>
    <w:rsid w:val="008F7C9C"/>
    <w:rsid w:val="009002D2"/>
    <w:rsid w:val="0090091C"/>
    <w:rsid w:val="009010C0"/>
    <w:rsid w:val="00901BFC"/>
    <w:rsid w:val="00901D5E"/>
    <w:rsid w:val="00901D7F"/>
    <w:rsid w:val="00901E3A"/>
    <w:rsid w:val="00902975"/>
    <w:rsid w:val="00902C72"/>
    <w:rsid w:val="0090306C"/>
    <w:rsid w:val="0090316C"/>
    <w:rsid w:val="0090323D"/>
    <w:rsid w:val="009032BE"/>
    <w:rsid w:val="00903334"/>
    <w:rsid w:val="00903393"/>
    <w:rsid w:val="00903438"/>
    <w:rsid w:val="00903712"/>
    <w:rsid w:val="00903F43"/>
    <w:rsid w:val="00904048"/>
    <w:rsid w:val="009041A2"/>
    <w:rsid w:val="0090460C"/>
    <w:rsid w:val="00904719"/>
    <w:rsid w:val="00904946"/>
    <w:rsid w:val="00904982"/>
    <w:rsid w:val="009052EF"/>
    <w:rsid w:val="009054CF"/>
    <w:rsid w:val="0090554A"/>
    <w:rsid w:val="0090572B"/>
    <w:rsid w:val="00905ADB"/>
    <w:rsid w:val="00905F2D"/>
    <w:rsid w:val="009060F9"/>
    <w:rsid w:val="00906B02"/>
    <w:rsid w:val="00906F62"/>
    <w:rsid w:val="0090789B"/>
    <w:rsid w:val="00907903"/>
    <w:rsid w:val="00907907"/>
    <w:rsid w:val="00907E5C"/>
    <w:rsid w:val="00910FEF"/>
    <w:rsid w:val="00911AD8"/>
    <w:rsid w:val="00911D3C"/>
    <w:rsid w:val="00911F87"/>
    <w:rsid w:val="009123AE"/>
    <w:rsid w:val="009123D9"/>
    <w:rsid w:val="00912429"/>
    <w:rsid w:val="009127E3"/>
    <w:rsid w:val="00912B5C"/>
    <w:rsid w:val="00913501"/>
    <w:rsid w:val="0091392A"/>
    <w:rsid w:val="009145EB"/>
    <w:rsid w:val="009148DE"/>
    <w:rsid w:val="00915663"/>
    <w:rsid w:val="009156AC"/>
    <w:rsid w:val="00915A12"/>
    <w:rsid w:val="00915E8B"/>
    <w:rsid w:val="00915EA4"/>
    <w:rsid w:val="00916322"/>
    <w:rsid w:val="00916522"/>
    <w:rsid w:val="0091705C"/>
    <w:rsid w:val="0091732D"/>
    <w:rsid w:val="009173BE"/>
    <w:rsid w:val="009174EA"/>
    <w:rsid w:val="00917712"/>
    <w:rsid w:val="00917A3E"/>
    <w:rsid w:val="00920447"/>
    <w:rsid w:val="00920600"/>
    <w:rsid w:val="00920964"/>
    <w:rsid w:val="00920C42"/>
    <w:rsid w:val="00920CA9"/>
    <w:rsid w:val="00921733"/>
    <w:rsid w:val="00921793"/>
    <w:rsid w:val="00921880"/>
    <w:rsid w:val="00921989"/>
    <w:rsid w:val="00922422"/>
    <w:rsid w:val="00922518"/>
    <w:rsid w:val="0092276B"/>
    <w:rsid w:val="00922830"/>
    <w:rsid w:val="009228D9"/>
    <w:rsid w:val="00922F44"/>
    <w:rsid w:val="00924297"/>
    <w:rsid w:val="00924323"/>
    <w:rsid w:val="00924690"/>
    <w:rsid w:val="00924857"/>
    <w:rsid w:val="00924AD1"/>
    <w:rsid w:val="00924D84"/>
    <w:rsid w:val="00925015"/>
    <w:rsid w:val="00925073"/>
    <w:rsid w:val="0092622C"/>
    <w:rsid w:val="009262B1"/>
    <w:rsid w:val="00926539"/>
    <w:rsid w:val="00926690"/>
    <w:rsid w:val="009268BE"/>
    <w:rsid w:val="009268EF"/>
    <w:rsid w:val="00926920"/>
    <w:rsid w:val="00926C44"/>
    <w:rsid w:val="0092710F"/>
    <w:rsid w:val="0092762B"/>
    <w:rsid w:val="00927D31"/>
    <w:rsid w:val="00930796"/>
    <w:rsid w:val="009309FD"/>
    <w:rsid w:val="00930B0F"/>
    <w:rsid w:val="00930B97"/>
    <w:rsid w:val="0093211E"/>
    <w:rsid w:val="00932293"/>
    <w:rsid w:val="0093231F"/>
    <w:rsid w:val="009325E3"/>
    <w:rsid w:val="00932886"/>
    <w:rsid w:val="00932FA1"/>
    <w:rsid w:val="009330AB"/>
    <w:rsid w:val="0093355F"/>
    <w:rsid w:val="009337E0"/>
    <w:rsid w:val="00933838"/>
    <w:rsid w:val="00934CBA"/>
    <w:rsid w:val="009355A6"/>
    <w:rsid w:val="00935622"/>
    <w:rsid w:val="009356FC"/>
    <w:rsid w:val="00935C5E"/>
    <w:rsid w:val="009360A4"/>
    <w:rsid w:val="009360FE"/>
    <w:rsid w:val="009364DB"/>
    <w:rsid w:val="0093684C"/>
    <w:rsid w:val="00936DAC"/>
    <w:rsid w:val="009374D9"/>
    <w:rsid w:val="009379E5"/>
    <w:rsid w:val="00937CA4"/>
    <w:rsid w:val="009402BE"/>
    <w:rsid w:val="00940321"/>
    <w:rsid w:val="009403F1"/>
    <w:rsid w:val="00940550"/>
    <w:rsid w:val="0094063F"/>
    <w:rsid w:val="00940C06"/>
    <w:rsid w:val="00940D6C"/>
    <w:rsid w:val="00941C5A"/>
    <w:rsid w:val="00941E94"/>
    <w:rsid w:val="00941EA8"/>
    <w:rsid w:val="009420CE"/>
    <w:rsid w:val="00942421"/>
    <w:rsid w:val="00942770"/>
    <w:rsid w:val="009427CA"/>
    <w:rsid w:val="00942FD7"/>
    <w:rsid w:val="00943165"/>
    <w:rsid w:val="009433D5"/>
    <w:rsid w:val="009437AD"/>
    <w:rsid w:val="00944140"/>
    <w:rsid w:val="00944B9B"/>
    <w:rsid w:val="00944D66"/>
    <w:rsid w:val="00945878"/>
    <w:rsid w:val="00945AD9"/>
    <w:rsid w:val="00945C9B"/>
    <w:rsid w:val="009460F3"/>
    <w:rsid w:val="00946139"/>
    <w:rsid w:val="009465F0"/>
    <w:rsid w:val="0094697A"/>
    <w:rsid w:val="00946BEF"/>
    <w:rsid w:val="0094715D"/>
    <w:rsid w:val="0094729E"/>
    <w:rsid w:val="00947C14"/>
    <w:rsid w:val="00947CF2"/>
    <w:rsid w:val="009501A0"/>
    <w:rsid w:val="009501BD"/>
    <w:rsid w:val="00950510"/>
    <w:rsid w:val="00950B7E"/>
    <w:rsid w:val="009516D4"/>
    <w:rsid w:val="00951E44"/>
    <w:rsid w:val="009526D7"/>
    <w:rsid w:val="00952E22"/>
    <w:rsid w:val="00952E2C"/>
    <w:rsid w:val="00952ECB"/>
    <w:rsid w:val="0095309D"/>
    <w:rsid w:val="00953706"/>
    <w:rsid w:val="00953EF8"/>
    <w:rsid w:val="0095499E"/>
    <w:rsid w:val="00954DC3"/>
    <w:rsid w:val="009550BD"/>
    <w:rsid w:val="00955534"/>
    <w:rsid w:val="0095563A"/>
    <w:rsid w:val="00955694"/>
    <w:rsid w:val="00955769"/>
    <w:rsid w:val="00956063"/>
    <w:rsid w:val="00956118"/>
    <w:rsid w:val="00956961"/>
    <w:rsid w:val="00956C87"/>
    <w:rsid w:val="0095751B"/>
    <w:rsid w:val="009578FE"/>
    <w:rsid w:val="00960F91"/>
    <w:rsid w:val="009610ED"/>
    <w:rsid w:val="00961AB9"/>
    <w:rsid w:val="00961CA2"/>
    <w:rsid w:val="00962023"/>
    <w:rsid w:val="009624BF"/>
    <w:rsid w:val="00962D62"/>
    <w:rsid w:val="009634C9"/>
    <w:rsid w:val="009634D9"/>
    <w:rsid w:val="00963832"/>
    <w:rsid w:val="00963A75"/>
    <w:rsid w:val="00963AF3"/>
    <w:rsid w:val="00963C57"/>
    <w:rsid w:val="0096423C"/>
    <w:rsid w:val="00964335"/>
    <w:rsid w:val="009643AD"/>
    <w:rsid w:val="0096515A"/>
    <w:rsid w:val="00965250"/>
    <w:rsid w:val="00965A46"/>
    <w:rsid w:val="00965A4F"/>
    <w:rsid w:val="009667FE"/>
    <w:rsid w:val="00966960"/>
    <w:rsid w:val="009669FE"/>
    <w:rsid w:val="00966CA4"/>
    <w:rsid w:val="009673A7"/>
    <w:rsid w:val="0096767C"/>
    <w:rsid w:val="00967978"/>
    <w:rsid w:val="00967ABE"/>
    <w:rsid w:val="00967B15"/>
    <w:rsid w:val="00967EEF"/>
    <w:rsid w:val="00970081"/>
    <w:rsid w:val="009701F3"/>
    <w:rsid w:val="00970805"/>
    <w:rsid w:val="00970E2B"/>
    <w:rsid w:val="00971C01"/>
    <w:rsid w:val="00971C6B"/>
    <w:rsid w:val="00971E4E"/>
    <w:rsid w:val="00971FC5"/>
    <w:rsid w:val="009725AC"/>
    <w:rsid w:val="00972A6E"/>
    <w:rsid w:val="00972F30"/>
    <w:rsid w:val="00972FB2"/>
    <w:rsid w:val="00973297"/>
    <w:rsid w:val="00973326"/>
    <w:rsid w:val="009733EC"/>
    <w:rsid w:val="00973748"/>
    <w:rsid w:val="00973CAD"/>
    <w:rsid w:val="00973D26"/>
    <w:rsid w:val="00974779"/>
    <w:rsid w:val="00974780"/>
    <w:rsid w:val="00974787"/>
    <w:rsid w:val="00974AD9"/>
    <w:rsid w:val="00975266"/>
    <w:rsid w:val="009757E9"/>
    <w:rsid w:val="00975DD0"/>
    <w:rsid w:val="0097684D"/>
    <w:rsid w:val="00976EFB"/>
    <w:rsid w:val="009772AB"/>
    <w:rsid w:val="009772F2"/>
    <w:rsid w:val="0097733B"/>
    <w:rsid w:val="009773F2"/>
    <w:rsid w:val="0097783C"/>
    <w:rsid w:val="00977851"/>
    <w:rsid w:val="00977A28"/>
    <w:rsid w:val="00980095"/>
    <w:rsid w:val="009801C3"/>
    <w:rsid w:val="0098050B"/>
    <w:rsid w:val="00980C2E"/>
    <w:rsid w:val="00980E09"/>
    <w:rsid w:val="00980F07"/>
    <w:rsid w:val="00980F29"/>
    <w:rsid w:val="00981104"/>
    <w:rsid w:val="009811A3"/>
    <w:rsid w:val="00981CC6"/>
    <w:rsid w:val="00981D66"/>
    <w:rsid w:val="00982FC9"/>
    <w:rsid w:val="0098316F"/>
    <w:rsid w:val="00983200"/>
    <w:rsid w:val="009839EE"/>
    <w:rsid w:val="00983E8E"/>
    <w:rsid w:val="00984156"/>
    <w:rsid w:val="00984EC7"/>
    <w:rsid w:val="0098551A"/>
    <w:rsid w:val="00985713"/>
    <w:rsid w:val="00985D32"/>
    <w:rsid w:val="00985D67"/>
    <w:rsid w:val="00986200"/>
    <w:rsid w:val="009869A1"/>
    <w:rsid w:val="00986C14"/>
    <w:rsid w:val="009872AD"/>
    <w:rsid w:val="00987975"/>
    <w:rsid w:val="00987B01"/>
    <w:rsid w:val="00987EBD"/>
    <w:rsid w:val="009903E6"/>
    <w:rsid w:val="009908BB"/>
    <w:rsid w:val="0099092E"/>
    <w:rsid w:val="00990BDD"/>
    <w:rsid w:val="00990E23"/>
    <w:rsid w:val="0099108B"/>
    <w:rsid w:val="00991A66"/>
    <w:rsid w:val="00991CD3"/>
    <w:rsid w:val="00991F0A"/>
    <w:rsid w:val="0099237F"/>
    <w:rsid w:val="009927B0"/>
    <w:rsid w:val="00992DE1"/>
    <w:rsid w:val="009936AC"/>
    <w:rsid w:val="00993738"/>
    <w:rsid w:val="0099406B"/>
    <w:rsid w:val="00994650"/>
    <w:rsid w:val="009949E4"/>
    <w:rsid w:val="00994E93"/>
    <w:rsid w:val="00994F53"/>
    <w:rsid w:val="009955D4"/>
    <w:rsid w:val="00995AD9"/>
    <w:rsid w:val="00995D0D"/>
    <w:rsid w:val="00995F06"/>
    <w:rsid w:val="00996061"/>
    <w:rsid w:val="00996D33"/>
    <w:rsid w:val="00997575"/>
    <w:rsid w:val="00997665"/>
    <w:rsid w:val="009979B8"/>
    <w:rsid w:val="00997D0F"/>
    <w:rsid w:val="00997F73"/>
    <w:rsid w:val="009A0608"/>
    <w:rsid w:val="009A10D7"/>
    <w:rsid w:val="009A10EF"/>
    <w:rsid w:val="009A147A"/>
    <w:rsid w:val="009A1ED8"/>
    <w:rsid w:val="009A20B0"/>
    <w:rsid w:val="009A2CA1"/>
    <w:rsid w:val="009A315D"/>
    <w:rsid w:val="009A32EA"/>
    <w:rsid w:val="009A3572"/>
    <w:rsid w:val="009A3783"/>
    <w:rsid w:val="009A4100"/>
    <w:rsid w:val="009A41BF"/>
    <w:rsid w:val="009A41CC"/>
    <w:rsid w:val="009A41EE"/>
    <w:rsid w:val="009A4660"/>
    <w:rsid w:val="009A4C26"/>
    <w:rsid w:val="009A4E8F"/>
    <w:rsid w:val="009A546C"/>
    <w:rsid w:val="009A5EFF"/>
    <w:rsid w:val="009A616D"/>
    <w:rsid w:val="009A63E0"/>
    <w:rsid w:val="009A6EB0"/>
    <w:rsid w:val="009A717E"/>
    <w:rsid w:val="009A72A9"/>
    <w:rsid w:val="009A7413"/>
    <w:rsid w:val="009A7B31"/>
    <w:rsid w:val="009A7F85"/>
    <w:rsid w:val="009B0AF4"/>
    <w:rsid w:val="009B0F1A"/>
    <w:rsid w:val="009B17EF"/>
    <w:rsid w:val="009B18B4"/>
    <w:rsid w:val="009B1A15"/>
    <w:rsid w:val="009B1DD9"/>
    <w:rsid w:val="009B1E75"/>
    <w:rsid w:val="009B2028"/>
    <w:rsid w:val="009B231E"/>
    <w:rsid w:val="009B2563"/>
    <w:rsid w:val="009B3171"/>
    <w:rsid w:val="009B33D2"/>
    <w:rsid w:val="009B33E4"/>
    <w:rsid w:val="009B3621"/>
    <w:rsid w:val="009B3C5F"/>
    <w:rsid w:val="009B508D"/>
    <w:rsid w:val="009B5521"/>
    <w:rsid w:val="009B5C61"/>
    <w:rsid w:val="009B600D"/>
    <w:rsid w:val="009B60E1"/>
    <w:rsid w:val="009B75B5"/>
    <w:rsid w:val="009C065A"/>
    <w:rsid w:val="009C135B"/>
    <w:rsid w:val="009C1420"/>
    <w:rsid w:val="009C1AF5"/>
    <w:rsid w:val="009C1C71"/>
    <w:rsid w:val="009C2686"/>
    <w:rsid w:val="009C2863"/>
    <w:rsid w:val="009C3E50"/>
    <w:rsid w:val="009C4124"/>
    <w:rsid w:val="009C41D1"/>
    <w:rsid w:val="009C4302"/>
    <w:rsid w:val="009C4AEF"/>
    <w:rsid w:val="009C4CE2"/>
    <w:rsid w:val="009C5511"/>
    <w:rsid w:val="009C57A6"/>
    <w:rsid w:val="009C5CDB"/>
    <w:rsid w:val="009C5DFD"/>
    <w:rsid w:val="009C62E2"/>
    <w:rsid w:val="009C632B"/>
    <w:rsid w:val="009C6913"/>
    <w:rsid w:val="009C699C"/>
    <w:rsid w:val="009C6E2D"/>
    <w:rsid w:val="009C771F"/>
    <w:rsid w:val="009C7780"/>
    <w:rsid w:val="009C78FF"/>
    <w:rsid w:val="009C7A7C"/>
    <w:rsid w:val="009C7B2B"/>
    <w:rsid w:val="009D005F"/>
    <w:rsid w:val="009D02FC"/>
    <w:rsid w:val="009D076C"/>
    <w:rsid w:val="009D07F3"/>
    <w:rsid w:val="009D086C"/>
    <w:rsid w:val="009D0CC9"/>
    <w:rsid w:val="009D10DC"/>
    <w:rsid w:val="009D1B8E"/>
    <w:rsid w:val="009D1EB3"/>
    <w:rsid w:val="009D1F0B"/>
    <w:rsid w:val="009D2473"/>
    <w:rsid w:val="009D24EF"/>
    <w:rsid w:val="009D255B"/>
    <w:rsid w:val="009D27B3"/>
    <w:rsid w:val="009D294B"/>
    <w:rsid w:val="009D2F47"/>
    <w:rsid w:val="009D378E"/>
    <w:rsid w:val="009D3CA0"/>
    <w:rsid w:val="009D40D1"/>
    <w:rsid w:val="009D469D"/>
    <w:rsid w:val="009D4FC8"/>
    <w:rsid w:val="009D508B"/>
    <w:rsid w:val="009D5352"/>
    <w:rsid w:val="009D5933"/>
    <w:rsid w:val="009D5E58"/>
    <w:rsid w:val="009D618C"/>
    <w:rsid w:val="009D61C1"/>
    <w:rsid w:val="009D641F"/>
    <w:rsid w:val="009D68B0"/>
    <w:rsid w:val="009D6C01"/>
    <w:rsid w:val="009D6E4A"/>
    <w:rsid w:val="009D7016"/>
    <w:rsid w:val="009D7309"/>
    <w:rsid w:val="009E0094"/>
    <w:rsid w:val="009E082A"/>
    <w:rsid w:val="009E0E47"/>
    <w:rsid w:val="009E12F2"/>
    <w:rsid w:val="009E15F7"/>
    <w:rsid w:val="009E19F5"/>
    <w:rsid w:val="009E1B78"/>
    <w:rsid w:val="009E22D7"/>
    <w:rsid w:val="009E26F1"/>
    <w:rsid w:val="009E32BD"/>
    <w:rsid w:val="009E4DC5"/>
    <w:rsid w:val="009E508E"/>
    <w:rsid w:val="009E53C4"/>
    <w:rsid w:val="009E589E"/>
    <w:rsid w:val="009E5A51"/>
    <w:rsid w:val="009E5B0E"/>
    <w:rsid w:val="009E600D"/>
    <w:rsid w:val="009E6C6E"/>
    <w:rsid w:val="009E78F5"/>
    <w:rsid w:val="009E7D11"/>
    <w:rsid w:val="009F0B80"/>
    <w:rsid w:val="009F0C24"/>
    <w:rsid w:val="009F0C30"/>
    <w:rsid w:val="009F0EB1"/>
    <w:rsid w:val="009F11D5"/>
    <w:rsid w:val="009F1608"/>
    <w:rsid w:val="009F1E56"/>
    <w:rsid w:val="009F1F9C"/>
    <w:rsid w:val="009F23FF"/>
    <w:rsid w:val="009F272E"/>
    <w:rsid w:val="009F2968"/>
    <w:rsid w:val="009F312F"/>
    <w:rsid w:val="009F321D"/>
    <w:rsid w:val="009F3891"/>
    <w:rsid w:val="009F3A49"/>
    <w:rsid w:val="009F3B61"/>
    <w:rsid w:val="009F3D4F"/>
    <w:rsid w:val="009F3E32"/>
    <w:rsid w:val="009F448B"/>
    <w:rsid w:val="009F467D"/>
    <w:rsid w:val="009F4DDC"/>
    <w:rsid w:val="009F4E58"/>
    <w:rsid w:val="009F51C6"/>
    <w:rsid w:val="009F5312"/>
    <w:rsid w:val="009F5F3E"/>
    <w:rsid w:val="009F5FDE"/>
    <w:rsid w:val="009F630C"/>
    <w:rsid w:val="009F642C"/>
    <w:rsid w:val="009F6E59"/>
    <w:rsid w:val="009F6F6B"/>
    <w:rsid w:val="009F77AD"/>
    <w:rsid w:val="009F77C9"/>
    <w:rsid w:val="009F7ABE"/>
    <w:rsid w:val="009F7C4A"/>
    <w:rsid w:val="009F7C52"/>
    <w:rsid w:val="009F7DD6"/>
    <w:rsid w:val="00A007B7"/>
    <w:rsid w:val="00A00DB5"/>
    <w:rsid w:val="00A0114F"/>
    <w:rsid w:val="00A0117E"/>
    <w:rsid w:val="00A014A9"/>
    <w:rsid w:val="00A015E4"/>
    <w:rsid w:val="00A018DC"/>
    <w:rsid w:val="00A01944"/>
    <w:rsid w:val="00A01B08"/>
    <w:rsid w:val="00A01B40"/>
    <w:rsid w:val="00A0212E"/>
    <w:rsid w:val="00A02471"/>
    <w:rsid w:val="00A02D50"/>
    <w:rsid w:val="00A03A1B"/>
    <w:rsid w:val="00A04060"/>
    <w:rsid w:val="00A0424F"/>
    <w:rsid w:val="00A042A4"/>
    <w:rsid w:val="00A04767"/>
    <w:rsid w:val="00A048C7"/>
    <w:rsid w:val="00A04A0E"/>
    <w:rsid w:val="00A04C07"/>
    <w:rsid w:val="00A04C7D"/>
    <w:rsid w:val="00A04F31"/>
    <w:rsid w:val="00A050C1"/>
    <w:rsid w:val="00A050C2"/>
    <w:rsid w:val="00A05E7F"/>
    <w:rsid w:val="00A060C3"/>
    <w:rsid w:val="00A06290"/>
    <w:rsid w:val="00A06589"/>
    <w:rsid w:val="00A06631"/>
    <w:rsid w:val="00A067BB"/>
    <w:rsid w:val="00A06BC3"/>
    <w:rsid w:val="00A06D07"/>
    <w:rsid w:val="00A072D8"/>
    <w:rsid w:val="00A07449"/>
    <w:rsid w:val="00A07714"/>
    <w:rsid w:val="00A079EC"/>
    <w:rsid w:val="00A07C40"/>
    <w:rsid w:val="00A105F1"/>
    <w:rsid w:val="00A10627"/>
    <w:rsid w:val="00A10FDD"/>
    <w:rsid w:val="00A1195C"/>
    <w:rsid w:val="00A119E4"/>
    <w:rsid w:val="00A11ABA"/>
    <w:rsid w:val="00A11EDE"/>
    <w:rsid w:val="00A12280"/>
    <w:rsid w:val="00A1268F"/>
    <w:rsid w:val="00A12B26"/>
    <w:rsid w:val="00A131A0"/>
    <w:rsid w:val="00A13DEB"/>
    <w:rsid w:val="00A14793"/>
    <w:rsid w:val="00A14967"/>
    <w:rsid w:val="00A14ACB"/>
    <w:rsid w:val="00A1515B"/>
    <w:rsid w:val="00A15781"/>
    <w:rsid w:val="00A1581C"/>
    <w:rsid w:val="00A1635E"/>
    <w:rsid w:val="00A16BEF"/>
    <w:rsid w:val="00A16D4D"/>
    <w:rsid w:val="00A16ECB"/>
    <w:rsid w:val="00A16F2A"/>
    <w:rsid w:val="00A1767F"/>
    <w:rsid w:val="00A176AD"/>
    <w:rsid w:val="00A17967"/>
    <w:rsid w:val="00A17E94"/>
    <w:rsid w:val="00A17EC8"/>
    <w:rsid w:val="00A200A8"/>
    <w:rsid w:val="00A203E7"/>
    <w:rsid w:val="00A2078B"/>
    <w:rsid w:val="00A207B9"/>
    <w:rsid w:val="00A207BA"/>
    <w:rsid w:val="00A20B93"/>
    <w:rsid w:val="00A20F2D"/>
    <w:rsid w:val="00A20FE5"/>
    <w:rsid w:val="00A2142F"/>
    <w:rsid w:val="00A214FD"/>
    <w:rsid w:val="00A21561"/>
    <w:rsid w:val="00A22BB3"/>
    <w:rsid w:val="00A22CE5"/>
    <w:rsid w:val="00A23018"/>
    <w:rsid w:val="00A2320A"/>
    <w:rsid w:val="00A235C9"/>
    <w:rsid w:val="00A238F1"/>
    <w:rsid w:val="00A23D67"/>
    <w:rsid w:val="00A24440"/>
    <w:rsid w:val="00A248BC"/>
    <w:rsid w:val="00A24A89"/>
    <w:rsid w:val="00A255B0"/>
    <w:rsid w:val="00A2671F"/>
    <w:rsid w:val="00A26AC5"/>
    <w:rsid w:val="00A26B0D"/>
    <w:rsid w:val="00A26D85"/>
    <w:rsid w:val="00A2738E"/>
    <w:rsid w:val="00A275DA"/>
    <w:rsid w:val="00A27C0D"/>
    <w:rsid w:val="00A304CC"/>
    <w:rsid w:val="00A305F7"/>
    <w:rsid w:val="00A30C30"/>
    <w:rsid w:val="00A30CF6"/>
    <w:rsid w:val="00A30E79"/>
    <w:rsid w:val="00A31505"/>
    <w:rsid w:val="00A316CB"/>
    <w:rsid w:val="00A31BF7"/>
    <w:rsid w:val="00A321CC"/>
    <w:rsid w:val="00A32734"/>
    <w:rsid w:val="00A32C09"/>
    <w:rsid w:val="00A32ECC"/>
    <w:rsid w:val="00A33243"/>
    <w:rsid w:val="00A33964"/>
    <w:rsid w:val="00A33BF4"/>
    <w:rsid w:val="00A33DE2"/>
    <w:rsid w:val="00A34218"/>
    <w:rsid w:val="00A3442A"/>
    <w:rsid w:val="00A34601"/>
    <w:rsid w:val="00A356A6"/>
    <w:rsid w:val="00A356F6"/>
    <w:rsid w:val="00A35B6D"/>
    <w:rsid w:val="00A35D87"/>
    <w:rsid w:val="00A36232"/>
    <w:rsid w:val="00A3631B"/>
    <w:rsid w:val="00A36479"/>
    <w:rsid w:val="00A36982"/>
    <w:rsid w:val="00A36A20"/>
    <w:rsid w:val="00A36AFC"/>
    <w:rsid w:val="00A37072"/>
    <w:rsid w:val="00A3727F"/>
    <w:rsid w:val="00A3767F"/>
    <w:rsid w:val="00A377AC"/>
    <w:rsid w:val="00A37A03"/>
    <w:rsid w:val="00A37AEB"/>
    <w:rsid w:val="00A40294"/>
    <w:rsid w:val="00A4066E"/>
    <w:rsid w:val="00A40B2D"/>
    <w:rsid w:val="00A40BAE"/>
    <w:rsid w:val="00A40CDA"/>
    <w:rsid w:val="00A41170"/>
    <w:rsid w:val="00A411C5"/>
    <w:rsid w:val="00A416FE"/>
    <w:rsid w:val="00A41D0B"/>
    <w:rsid w:val="00A42357"/>
    <w:rsid w:val="00A42362"/>
    <w:rsid w:val="00A42BE2"/>
    <w:rsid w:val="00A42F6F"/>
    <w:rsid w:val="00A43163"/>
    <w:rsid w:val="00A43EA1"/>
    <w:rsid w:val="00A44955"/>
    <w:rsid w:val="00A4502D"/>
    <w:rsid w:val="00A455C2"/>
    <w:rsid w:val="00A46085"/>
    <w:rsid w:val="00A4682B"/>
    <w:rsid w:val="00A468E8"/>
    <w:rsid w:val="00A46A50"/>
    <w:rsid w:val="00A46BB3"/>
    <w:rsid w:val="00A46D45"/>
    <w:rsid w:val="00A46EFF"/>
    <w:rsid w:val="00A470E9"/>
    <w:rsid w:val="00A4732C"/>
    <w:rsid w:val="00A47BB2"/>
    <w:rsid w:val="00A47BDF"/>
    <w:rsid w:val="00A47F9F"/>
    <w:rsid w:val="00A5019E"/>
    <w:rsid w:val="00A50223"/>
    <w:rsid w:val="00A51223"/>
    <w:rsid w:val="00A516E6"/>
    <w:rsid w:val="00A51995"/>
    <w:rsid w:val="00A51EC6"/>
    <w:rsid w:val="00A52045"/>
    <w:rsid w:val="00A520B4"/>
    <w:rsid w:val="00A52A83"/>
    <w:rsid w:val="00A53643"/>
    <w:rsid w:val="00A53C59"/>
    <w:rsid w:val="00A54135"/>
    <w:rsid w:val="00A542F9"/>
    <w:rsid w:val="00A5466B"/>
    <w:rsid w:val="00A54C5B"/>
    <w:rsid w:val="00A54D41"/>
    <w:rsid w:val="00A54E0F"/>
    <w:rsid w:val="00A550CF"/>
    <w:rsid w:val="00A5527A"/>
    <w:rsid w:val="00A55283"/>
    <w:rsid w:val="00A553A7"/>
    <w:rsid w:val="00A55562"/>
    <w:rsid w:val="00A55BB9"/>
    <w:rsid w:val="00A55BC0"/>
    <w:rsid w:val="00A55F11"/>
    <w:rsid w:val="00A55F5D"/>
    <w:rsid w:val="00A55F93"/>
    <w:rsid w:val="00A5621A"/>
    <w:rsid w:val="00A566F3"/>
    <w:rsid w:val="00A57B63"/>
    <w:rsid w:val="00A57EA8"/>
    <w:rsid w:val="00A57F8C"/>
    <w:rsid w:val="00A60363"/>
    <w:rsid w:val="00A604EE"/>
    <w:rsid w:val="00A60DCD"/>
    <w:rsid w:val="00A60F94"/>
    <w:rsid w:val="00A61374"/>
    <w:rsid w:val="00A61423"/>
    <w:rsid w:val="00A61774"/>
    <w:rsid w:val="00A618BD"/>
    <w:rsid w:val="00A61D96"/>
    <w:rsid w:val="00A61F08"/>
    <w:rsid w:val="00A62215"/>
    <w:rsid w:val="00A625A4"/>
    <w:rsid w:val="00A627B5"/>
    <w:rsid w:val="00A6292F"/>
    <w:rsid w:val="00A6307B"/>
    <w:rsid w:val="00A63770"/>
    <w:rsid w:val="00A63FEB"/>
    <w:rsid w:val="00A63FF4"/>
    <w:rsid w:val="00A6436A"/>
    <w:rsid w:val="00A64527"/>
    <w:rsid w:val="00A65418"/>
    <w:rsid w:val="00A655BA"/>
    <w:rsid w:val="00A65E82"/>
    <w:rsid w:val="00A66335"/>
    <w:rsid w:val="00A6692C"/>
    <w:rsid w:val="00A66ADA"/>
    <w:rsid w:val="00A66C22"/>
    <w:rsid w:val="00A67028"/>
    <w:rsid w:val="00A6716D"/>
    <w:rsid w:val="00A679C0"/>
    <w:rsid w:val="00A67AA5"/>
    <w:rsid w:val="00A67F18"/>
    <w:rsid w:val="00A70525"/>
    <w:rsid w:val="00A709DA"/>
    <w:rsid w:val="00A70B27"/>
    <w:rsid w:val="00A70BC1"/>
    <w:rsid w:val="00A70D52"/>
    <w:rsid w:val="00A70D62"/>
    <w:rsid w:val="00A70E78"/>
    <w:rsid w:val="00A70EFA"/>
    <w:rsid w:val="00A71302"/>
    <w:rsid w:val="00A7133B"/>
    <w:rsid w:val="00A71F77"/>
    <w:rsid w:val="00A72078"/>
    <w:rsid w:val="00A72B40"/>
    <w:rsid w:val="00A72E18"/>
    <w:rsid w:val="00A7340B"/>
    <w:rsid w:val="00A73B5D"/>
    <w:rsid w:val="00A73E74"/>
    <w:rsid w:val="00A73EBA"/>
    <w:rsid w:val="00A73F44"/>
    <w:rsid w:val="00A73FBB"/>
    <w:rsid w:val="00A7429D"/>
    <w:rsid w:val="00A74646"/>
    <w:rsid w:val="00A7466A"/>
    <w:rsid w:val="00A74BED"/>
    <w:rsid w:val="00A751CA"/>
    <w:rsid w:val="00A75556"/>
    <w:rsid w:val="00A75724"/>
    <w:rsid w:val="00A759A5"/>
    <w:rsid w:val="00A75A58"/>
    <w:rsid w:val="00A75E58"/>
    <w:rsid w:val="00A76459"/>
    <w:rsid w:val="00A76BF0"/>
    <w:rsid w:val="00A76F0E"/>
    <w:rsid w:val="00A77202"/>
    <w:rsid w:val="00A77398"/>
    <w:rsid w:val="00A773C6"/>
    <w:rsid w:val="00A773CD"/>
    <w:rsid w:val="00A77999"/>
    <w:rsid w:val="00A77A3D"/>
    <w:rsid w:val="00A77E53"/>
    <w:rsid w:val="00A801D5"/>
    <w:rsid w:val="00A8082B"/>
    <w:rsid w:val="00A80874"/>
    <w:rsid w:val="00A80BF8"/>
    <w:rsid w:val="00A81427"/>
    <w:rsid w:val="00A817B0"/>
    <w:rsid w:val="00A819FA"/>
    <w:rsid w:val="00A81DFC"/>
    <w:rsid w:val="00A81E91"/>
    <w:rsid w:val="00A823C7"/>
    <w:rsid w:val="00A82424"/>
    <w:rsid w:val="00A82475"/>
    <w:rsid w:val="00A82EAF"/>
    <w:rsid w:val="00A83129"/>
    <w:rsid w:val="00A832BB"/>
    <w:rsid w:val="00A833D8"/>
    <w:rsid w:val="00A84626"/>
    <w:rsid w:val="00A846F5"/>
    <w:rsid w:val="00A84801"/>
    <w:rsid w:val="00A84A06"/>
    <w:rsid w:val="00A84B28"/>
    <w:rsid w:val="00A850CF"/>
    <w:rsid w:val="00A854F2"/>
    <w:rsid w:val="00A8561C"/>
    <w:rsid w:val="00A85758"/>
    <w:rsid w:val="00A857CD"/>
    <w:rsid w:val="00A85B52"/>
    <w:rsid w:val="00A85CA8"/>
    <w:rsid w:val="00A85DE4"/>
    <w:rsid w:val="00A85DF1"/>
    <w:rsid w:val="00A85E9A"/>
    <w:rsid w:val="00A85ED5"/>
    <w:rsid w:val="00A86971"/>
    <w:rsid w:val="00A86B5B"/>
    <w:rsid w:val="00A86F17"/>
    <w:rsid w:val="00A87219"/>
    <w:rsid w:val="00A874B5"/>
    <w:rsid w:val="00A874D3"/>
    <w:rsid w:val="00A877F2"/>
    <w:rsid w:val="00A8797A"/>
    <w:rsid w:val="00A87D97"/>
    <w:rsid w:val="00A90099"/>
    <w:rsid w:val="00A905C3"/>
    <w:rsid w:val="00A90BF1"/>
    <w:rsid w:val="00A90C41"/>
    <w:rsid w:val="00A90FB8"/>
    <w:rsid w:val="00A91550"/>
    <w:rsid w:val="00A9190D"/>
    <w:rsid w:val="00A91A3E"/>
    <w:rsid w:val="00A91A51"/>
    <w:rsid w:val="00A91F24"/>
    <w:rsid w:val="00A92A23"/>
    <w:rsid w:val="00A92F32"/>
    <w:rsid w:val="00A937A8"/>
    <w:rsid w:val="00A940CC"/>
    <w:rsid w:val="00A94622"/>
    <w:rsid w:val="00A948AC"/>
    <w:rsid w:val="00A94D86"/>
    <w:rsid w:val="00A94FB5"/>
    <w:rsid w:val="00A9509B"/>
    <w:rsid w:val="00A950E6"/>
    <w:rsid w:val="00A95329"/>
    <w:rsid w:val="00A956FD"/>
    <w:rsid w:val="00A95B0C"/>
    <w:rsid w:val="00A95BE4"/>
    <w:rsid w:val="00A95C6D"/>
    <w:rsid w:val="00A96318"/>
    <w:rsid w:val="00A9650E"/>
    <w:rsid w:val="00A96586"/>
    <w:rsid w:val="00A968FF"/>
    <w:rsid w:val="00A96AB6"/>
    <w:rsid w:val="00A9709D"/>
    <w:rsid w:val="00A97631"/>
    <w:rsid w:val="00A97A8A"/>
    <w:rsid w:val="00A97F43"/>
    <w:rsid w:val="00AA00D4"/>
    <w:rsid w:val="00AA01B4"/>
    <w:rsid w:val="00AA03A0"/>
    <w:rsid w:val="00AA09BC"/>
    <w:rsid w:val="00AA0C01"/>
    <w:rsid w:val="00AA0F3C"/>
    <w:rsid w:val="00AA11DC"/>
    <w:rsid w:val="00AA177F"/>
    <w:rsid w:val="00AA1818"/>
    <w:rsid w:val="00AA184D"/>
    <w:rsid w:val="00AA1AA6"/>
    <w:rsid w:val="00AA1AB7"/>
    <w:rsid w:val="00AA1CF6"/>
    <w:rsid w:val="00AA2243"/>
    <w:rsid w:val="00AA2961"/>
    <w:rsid w:val="00AA2A71"/>
    <w:rsid w:val="00AA30A7"/>
    <w:rsid w:val="00AA45D4"/>
    <w:rsid w:val="00AA4A30"/>
    <w:rsid w:val="00AA4C4D"/>
    <w:rsid w:val="00AA5062"/>
    <w:rsid w:val="00AA576A"/>
    <w:rsid w:val="00AA5A59"/>
    <w:rsid w:val="00AA6086"/>
    <w:rsid w:val="00AA6368"/>
    <w:rsid w:val="00AA69F1"/>
    <w:rsid w:val="00AA6A49"/>
    <w:rsid w:val="00AA6C28"/>
    <w:rsid w:val="00AA7332"/>
    <w:rsid w:val="00AA74BD"/>
    <w:rsid w:val="00AA765D"/>
    <w:rsid w:val="00AA76DC"/>
    <w:rsid w:val="00AA79AD"/>
    <w:rsid w:val="00AA7B38"/>
    <w:rsid w:val="00AA7D03"/>
    <w:rsid w:val="00AB0173"/>
    <w:rsid w:val="00AB03BB"/>
    <w:rsid w:val="00AB14A5"/>
    <w:rsid w:val="00AB1693"/>
    <w:rsid w:val="00AB1DC1"/>
    <w:rsid w:val="00AB22C3"/>
    <w:rsid w:val="00AB28E9"/>
    <w:rsid w:val="00AB2A97"/>
    <w:rsid w:val="00AB3051"/>
    <w:rsid w:val="00AB31A7"/>
    <w:rsid w:val="00AB31DC"/>
    <w:rsid w:val="00AB3399"/>
    <w:rsid w:val="00AB3556"/>
    <w:rsid w:val="00AB3572"/>
    <w:rsid w:val="00AB4341"/>
    <w:rsid w:val="00AB50B1"/>
    <w:rsid w:val="00AB5612"/>
    <w:rsid w:val="00AB5BDE"/>
    <w:rsid w:val="00AB5D52"/>
    <w:rsid w:val="00AB653D"/>
    <w:rsid w:val="00AB66DD"/>
    <w:rsid w:val="00AB6747"/>
    <w:rsid w:val="00AB7134"/>
    <w:rsid w:val="00AB74A0"/>
    <w:rsid w:val="00AB7516"/>
    <w:rsid w:val="00AB75CC"/>
    <w:rsid w:val="00AB7B4C"/>
    <w:rsid w:val="00AC0546"/>
    <w:rsid w:val="00AC0594"/>
    <w:rsid w:val="00AC08D0"/>
    <w:rsid w:val="00AC12C2"/>
    <w:rsid w:val="00AC1BE8"/>
    <w:rsid w:val="00AC2010"/>
    <w:rsid w:val="00AC20B1"/>
    <w:rsid w:val="00AC20D9"/>
    <w:rsid w:val="00AC29C2"/>
    <w:rsid w:val="00AC2B9C"/>
    <w:rsid w:val="00AC2FC4"/>
    <w:rsid w:val="00AC3022"/>
    <w:rsid w:val="00AC37FC"/>
    <w:rsid w:val="00AC3E1C"/>
    <w:rsid w:val="00AC4222"/>
    <w:rsid w:val="00AC5CBF"/>
    <w:rsid w:val="00AC5DC3"/>
    <w:rsid w:val="00AC5E56"/>
    <w:rsid w:val="00AC6A39"/>
    <w:rsid w:val="00AC6B67"/>
    <w:rsid w:val="00AC6E7E"/>
    <w:rsid w:val="00AC72AE"/>
    <w:rsid w:val="00AC7437"/>
    <w:rsid w:val="00AC748A"/>
    <w:rsid w:val="00AC7A00"/>
    <w:rsid w:val="00AD0398"/>
    <w:rsid w:val="00AD0718"/>
    <w:rsid w:val="00AD0D3A"/>
    <w:rsid w:val="00AD126C"/>
    <w:rsid w:val="00AD17F7"/>
    <w:rsid w:val="00AD1951"/>
    <w:rsid w:val="00AD1D4F"/>
    <w:rsid w:val="00AD22E8"/>
    <w:rsid w:val="00AD2B0B"/>
    <w:rsid w:val="00AD2B6B"/>
    <w:rsid w:val="00AD2E14"/>
    <w:rsid w:val="00AD3124"/>
    <w:rsid w:val="00AD34B0"/>
    <w:rsid w:val="00AD359A"/>
    <w:rsid w:val="00AD408A"/>
    <w:rsid w:val="00AD4199"/>
    <w:rsid w:val="00AD4515"/>
    <w:rsid w:val="00AD4CAA"/>
    <w:rsid w:val="00AD503B"/>
    <w:rsid w:val="00AD56C3"/>
    <w:rsid w:val="00AD57B3"/>
    <w:rsid w:val="00AD66E1"/>
    <w:rsid w:val="00AD7162"/>
    <w:rsid w:val="00AD7615"/>
    <w:rsid w:val="00AD773E"/>
    <w:rsid w:val="00AD7D49"/>
    <w:rsid w:val="00AD7EF3"/>
    <w:rsid w:val="00AE0626"/>
    <w:rsid w:val="00AE0670"/>
    <w:rsid w:val="00AE0844"/>
    <w:rsid w:val="00AE0DF9"/>
    <w:rsid w:val="00AE1B2E"/>
    <w:rsid w:val="00AE1E9D"/>
    <w:rsid w:val="00AE1FEE"/>
    <w:rsid w:val="00AE1FF9"/>
    <w:rsid w:val="00AE263A"/>
    <w:rsid w:val="00AE2A75"/>
    <w:rsid w:val="00AE2F7E"/>
    <w:rsid w:val="00AE3737"/>
    <w:rsid w:val="00AE37EB"/>
    <w:rsid w:val="00AE3B01"/>
    <w:rsid w:val="00AE4E5B"/>
    <w:rsid w:val="00AE4E6F"/>
    <w:rsid w:val="00AE57E1"/>
    <w:rsid w:val="00AE6021"/>
    <w:rsid w:val="00AE60C8"/>
    <w:rsid w:val="00AE62B2"/>
    <w:rsid w:val="00AE68F4"/>
    <w:rsid w:val="00AE6A0B"/>
    <w:rsid w:val="00AE6FE7"/>
    <w:rsid w:val="00AE76AC"/>
    <w:rsid w:val="00AE78C1"/>
    <w:rsid w:val="00AE7C25"/>
    <w:rsid w:val="00AE7E2B"/>
    <w:rsid w:val="00AF08C7"/>
    <w:rsid w:val="00AF1CD4"/>
    <w:rsid w:val="00AF1EAC"/>
    <w:rsid w:val="00AF1F35"/>
    <w:rsid w:val="00AF2378"/>
    <w:rsid w:val="00AF2508"/>
    <w:rsid w:val="00AF26EC"/>
    <w:rsid w:val="00AF272B"/>
    <w:rsid w:val="00AF275C"/>
    <w:rsid w:val="00AF2DFA"/>
    <w:rsid w:val="00AF361F"/>
    <w:rsid w:val="00AF3764"/>
    <w:rsid w:val="00AF3CD1"/>
    <w:rsid w:val="00AF3EE0"/>
    <w:rsid w:val="00AF4489"/>
    <w:rsid w:val="00AF47BB"/>
    <w:rsid w:val="00AF4AF9"/>
    <w:rsid w:val="00AF4C13"/>
    <w:rsid w:val="00AF59C7"/>
    <w:rsid w:val="00AF5A1C"/>
    <w:rsid w:val="00AF5C5B"/>
    <w:rsid w:val="00AF5D90"/>
    <w:rsid w:val="00AF6C0F"/>
    <w:rsid w:val="00AF6F7E"/>
    <w:rsid w:val="00AF77E5"/>
    <w:rsid w:val="00AF7946"/>
    <w:rsid w:val="00AF7A17"/>
    <w:rsid w:val="00AF7E6F"/>
    <w:rsid w:val="00B007FB"/>
    <w:rsid w:val="00B01596"/>
    <w:rsid w:val="00B01622"/>
    <w:rsid w:val="00B01763"/>
    <w:rsid w:val="00B01791"/>
    <w:rsid w:val="00B02662"/>
    <w:rsid w:val="00B0288E"/>
    <w:rsid w:val="00B030B1"/>
    <w:rsid w:val="00B03111"/>
    <w:rsid w:val="00B0331D"/>
    <w:rsid w:val="00B038D9"/>
    <w:rsid w:val="00B04198"/>
    <w:rsid w:val="00B0448D"/>
    <w:rsid w:val="00B04882"/>
    <w:rsid w:val="00B04C61"/>
    <w:rsid w:val="00B0527C"/>
    <w:rsid w:val="00B05589"/>
    <w:rsid w:val="00B057EE"/>
    <w:rsid w:val="00B0589D"/>
    <w:rsid w:val="00B05D3E"/>
    <w:rsid w:val="00B06282"/>
    <w:rsid w:val="00B06690"/>
    <w:rsid w:val="00B066DA"/>
    <w:rsid w:val="00B0684D"/>
    <w:rsid w:val="00B06932"/>
    <w:rsid w:val="00B06D39"/>
    <w:rsid w:val="00B072DF"/>
    <w:rsid w:val="00B07806"/>
    <w:rsid w:val="00B07D1B"/>
    <w:rsid w:val="00B10093"/>
    <w:rsid w:val="00B101ED"/>
    <w:rsid w:val="00B10281"/>
    <w:rsid w:val="00B10324"/>
    <w:rsid w:val="00B10756"/>
    <w:rsid w:val="00B10890"/>
    <w:rsid w:val="00B11FA8"/>
    <w:rsid w:val="00B12604"/>
    <w:rsid w:val="00B12B21"/>
    <w:rsid w:val="00B12B9B"/>
    <w:rsid w:val="00B139E6"/>
    <w:rsid w:val="00B14288"/>
    <w:rsid w:val="00B143B2"/>
    <w:rsid w:val="00B1443C"/>
    <w:rsid w:val="00B14815"/>
    <w:rsid w:val="00B151C8"/>
    <w:rsid w:val="00B156D8"/>
    <w:rsid w:val="00B15E0A"/>
    <w:rsid w:val="00B16406"/>
    <w:rsid w:val="00B167FC"/>
    <w:rsid w:val="00B16CD1"/>
    <w:rsid w:val="00B17052"/>
    <w:rsid w:val="00B171B7"/>
    <w:rsid w:val="00B1752E"/>
    <w:rsid w:val="00B17683"/>
    <w:rsid w:val="00B1774A"/>
    <w:rsid w:val="00B17980"/>
    <w:rsid w:val="00B17CF8"/>
    <w:rsid w:val="00B17D41"/>
    <w:rsid w:val="00B200A7"/>
    <w:rsid w:val="00B20171"/>
    <w:rsid w:val="00B20312"/>
    <w:rsid w:val="00B20513"/>
    <w:rsid w:val="00B21ACD"/>
    <w:rsid w:val="00B21C5B"/>
    <w:rsid w:val="00B21D66"/>
    <w:rsid w:val="00B21D81"/>
    <w:rsid w:val="00B233B2"/>
    <w:rsid w:val="00B2349D"/>
    <w:rsid w:val="00B2350E"/>
    <w:rsid w:val="00B23863"/>
    <w:rsid w:val="00B2413C"/>
    <w:rsid w:val="00B24515"/>
    <w:rsid w:val="00B245A7"/>
    <w:rsid w:val="00B245F6"/>
    <w:rsid w:val="00B24B89"/>
    <w:rsid w:val="00B254C5"/>
    <w:rsid w:val="00B259DE"/>
    <w:rsid w:val="00B25D2B"/>
    <w:rsid w:val="00B25DEB"/>
    <w:rsid w:val="00B25E60"/>
    <w:rsid w:val="00B26668"/>
    <w:rsid w:val="00B2667F"/>
    <w:rsid w:val="00B26C74"/>
    <w:rsid w:val="00B26DAB"/>
    <w:rsid w:val="00B2756E"/>
    <w:rsid w:val="00B276FA"/>
    <w:rsid w:val="00B27B71"/>
    <w:rsid w:val="00B27FB3"/>
    <w:rsid w:val="00B300FD"/>
    <w:rsid w:val="00B30A39"/>
    <w:rsid w:val="00B30B43"/>
    <w:rsid w:val="00B30D0D"/>
    <w:rsid w:val="00B310F3"/>
    <w:rsid w:val="00B313B6"/>
    <w:rsid w:val="00B3158B"/>
    <w:rsid w:val="00B315F8"/>
    <w:rsid w:val="00B31AEF"/>
    <w:rsid w:val="00B3275F"/>
    <w:rsid w:val="00B32AF5"/>
    <w:rsid w:val="00B32B6E"/>
    <w:rsid w:val="00B32D1A"/>
    <w:rsid w:val="00B33496"/>
    <w:rsid w:val="00B337D1"/>
    <w:rsid w:val="00B33AC7"/>
    <w:rsid w:val="00B34674"/>
    <w:rsid w:val="00B3474F"/>
    <w:rsid w:val="00B34B77"/>
    <w:rsid w:val="00B35143"/>
    <w:rsid w:val="00B35512"/>
    <w:rsid w:val="00B35B81"/>
    <w:rsid w:val="00B363D3"/>
    <w:rsid w:val="00B36493"/>
    <w:rsid w:val="00B364D1"/>
    <w:rsid w:val="00B36533"/>
    <w:rsid w:val="00B366BD"/>
    <w:rsid w:val="00B36736"/>
    <w:rsid w:val="00B3705D"/>
    <w:rsid w:val="00B37130"/>
    <w:rsid w:val="00B372E7"/>
    <w:rsid w:val="00B37E3F"/>
    <w:rsid w:val="00B40CA0"/>
    <w:rsid w:val="00B40F98"/>
    <w:rsid w:val="00B4179B"/>
    <w:rsid w:val="00B41870"/>
    <w:rsid w:val="00B41A0D"/>
    <w:rsid w:val="00B41E9B"/>
    <w:rsid w:val="00B420AA"/>
    <w:rsid w:val="00B421A6"/>
    <w:rsid w:val="00B421F8"/>
    <w:rsid w:val="00B4239C"/>
    <w:rsid w:val="00B424F4"/>
    <w:rsid w:val="00B425B4"/>
    <w:rsid w:val="00B4260E"/>
    <w:rsid w:val="00B42A4B"/>
    <w:rsid w:val="00B42A69"/>
    <w:rsid w:val="00B42ACC"/>
    <w:rsid w:val="00B42D2C"/>
    <w:rsid w:val="00B42FC8"/>
    <w:rsid w:val="00B43197"/>
    <w:rsid w:val="00B43504"/>
    <w:rsid w:val="00B43ABD"/>
    <w:rsid w:val="00B44366"/>
    <w:rsid w:val="00B446E3"/>
    <w:rsid w:val="00B44748"/>
    <w:rsid w:val="00B44C5A"/>
    <w:rsid w:val="00B45011"/>
    <w:rsid w:val="00B4501B"/>
    <w:rsid w:val="00B4596D"/>
    <w:rsid w:val="00B45A69"/>
    <w:rsid w:val="00B45B43"/>
    <w:rsid w:val="00B45C83"/>
    <w:rsid w:val="00B46033"/>
    <w:rsid w:val="00B46529"/>
    <w:rsid w:val="00B465F7"/>
    <w:rsid w:val="00B46E47"/>
    <w:rsid w:val="00B47473"/>
    <w:rsid w:val="00B47543"/>
    <w:rsid w:val="00B506CE"/>
    <w:rsid w:val="00B50740"/>
    <w:rsid w:val="00B50C15"/>
    <w:rsid w:val="00B512C1"/>
    <w:rsid w:val="00B51988"/>
    <w:rsid w:val="00B51E68"/>
    <w:rsid w:val="00B525CA"/>
    <w:rsid w:val="00B53396"/>
    <w:rsid w:val="00B53670"/>
    <w:rsid w:val="00B53749"/>
    <w:rsid w:val="00B5417B"/>
    <w:rsid w:val="00B542AA"/>
    <w:rsid w:val="00B547F7"/>
    <w:rsid w:val="00B54AD8"/>
    <w:rsid w:val="00B54F86"/>
    <w:rsid w:val="00B553C4"/>
    <w:rsid w:val="00B55CBB"/>
    <w:rsid w:val="00B55EDD"/>
    <w:rsid w:val="00B56055"/>
    <w:rsid w:val="00B564B2"/>
    <w:rsid w:val="00B56605"/>
    <w:rsid w:val="00B56669"/>
    <w:rsid w:val="00B566B5"/>
    <w:rsid w:val="00B56D09"/>
    <w:rsid w:val="00B56F40"/>
    <w:rsid w:val="00B57539"/>
    <w:rsid w:val="00B57E4E"/>
    <w:rsid w:val="00B57EDE"/>
    <w:rsid w:val="00B60B6F"/>
    <w:rsid w:val="00B60EDC"/>
    <w:rsid w:val="00B60FD9"/>
    <w:rsid w:val="00B61098"/>
    <w:rsid w:val="00B61475"/>
    <w:rsid w:val="00B61F78"/>
    <w:rsid w:val="00B6209D"/>
    <w:rsid w:val="00B62188"/>
    <w:rsid w:val="00B624E1"/>
    <w:rsid w:val="00B62521"/>
    <w:rsid w:val="00B628EA"/>
    <w:rsid w:val="00B62BFB"/>
    <w:rsid w:val="00B62C34"/>
    <w:rsid w:val="00B62C65"/>
    <w:rsid w:val="00B62E8C"/>
    <w:rsid w:val="00B63954"/>
    <w:rsid w:val="00B63B36"/>
    <w:rsid w:val="00B63C54"/>
    <w:rsid w:val="00B64437"/>
    <w:rsid w:val="00B64C9D"/>
    <w:rsid w:val="00B64CFE"/>
    <w:rsid w:val="00B65053"/>
    <w:rsid w:val="00B65843"/>
    <w:rsid w:val="00B65F13"/>
    <w:rsid w:val="00B664AC"/>
    <w:rsid w:val="00B66530"/>
    <w:rsid w:val="00B6682C"/>
    <w:rsid w:val="00B669BA"/>
    <w:rsid w:val="00B66AA6"/>
    <w:rsid w:val="00B66C2B"/>
    <w:rsid w:val="00B6704A"/>
    <w:rsid w:val="00B67229"/>
    <w:rsid w:val="00B673D4"/>
    <w:rsid w:val="00B67743"/>
    <w:rsid w:val="00B7021A"/>
    <w:rsid w:val="00B705BD"/>
    <w:rsid w:val="00B7077D"/>
    <w:rsid w:val="00B707CA"/>
    <w:rsid w:val="00B7123B"/>
    <w:rsid w:val="00B71BF1"/>
    <w:rsid w:val="00B71D77"/>
    <w:rsid w:val="00B726C0"/>
    <w:rsid w:val="00B72A5E"/>
    <w:rsid w:val="00B73034"/>
    <w:rsid w:val="00B730F0"/>
    <w:rsid w:val="00B73568"/>
    <w:rsid w:val="00B73694"/>
    <w:rsid w:val="00B74395"/>
    <w:rsid w:val="00B74A76"/>
    <w:rsid w:val="00B74B09"/>
    <w:rsid w:val="00B74D11"/>
    <w:rsid w:val="00B74DA5"/>
    <w:rsid w:val="00B74DD2"/>
    <w:rsid w:val="00B74FF3"/>
    <w:rsid w:val="00B752B7"/>
    <w:rsid w:val="00B7551E"/>
    <w:rsid w:val="00B75B57"/>
    <w:rsid w:val="00B75D20"/>
    <w:rsid w:val="00B7614B"/>
    <w:rsid w:val="00B76255"/>
    <w:rsid w:val="00B772B6"/>
    <w:rsid w:val="00B77306"/>
    <w:rsid w:val="00B77906"/>
    <w:rsid w:val="00B77B0E"/>
    <w:rsid w:val="00B806AD"/>
    <w:rsid w:val="00B80791"/>
    <w:rsid w:val="00B80842"/>
    <w:rsid w:val="00B80A98"/>
    <w:rsid w:val="00B81E4E"/>
    <w:rsid w:val="00B824AA"/>
    <w:rsid w:val="00B82B1E"/>
    <w:rsid w:val="00B82D9A"/>
    <w:rsid w:val="00B83293"/>
    <w:rsid w:val="00B83696"/>
    <w:rsid w:val="00B83E3E"/>
    <w:rsid w:val="00B83E9E"/>
    <w:rsid w:val="00B8403B"/>
    <w:rsid w:val="00B847AF"/>
    <w:rsid w:val="00B84856"/>
    <w:rsid w:val="00B84864"/>
    <w:rsid w:val="00B84C1B"/>
    <w:rsid w:val="00B84C48"/>
    <w:rsid w:val="00B84D31"/>
    <w:rsid w:val="00B852EC"/>
    <w:rsid w:val="00B8536F"/>
    <w:rsid w:val="00B8555B"/>
    <w:rsid w:val="00B85604"/>
    <w:rsid w:val="00B856AE"/>
    <w:rsid w:val="00B85F87"/>
    <w:rsid w:val="00B861E0"/>
    <w:rsid w:val="00B864EF"/>
    <w:rsid w:val="00B86616"/>
    <w:rsid w:val="00B86B89"/>
    <w:rsid w:val="00B86D9E"/>
    <w:rsid w:val="00B86F0F"/>
    <w:rsid w:val="00B87367"/>
    <w:rsid w:val="00B877AD"/>
    <w:rsid w:val="00B902D4"/>
    <w:rsid w:val="00B908E9"/>
    <w:rsid w:val="00B90BDD"/>
    <w:rsid w:val="00B90E95"/>
    <w:rsid w:val="00B920FE"/>
    <w:rsid w:val="00B92107"/>
    <w:rsid w:val="00B92B0A"/>
    <w:rsid w:val="00B93168"/>
    <w:rsid w:val="00B93481"/>
    <w:rsid w:val="00B937A9"/>
    <w:rsid w:val="00B93949"/>
    <w:rsid w:val="00B93AE9"/>
    <w:rsid w:val="00B940C0"/>
    <w:rsid w:val="00B943C0"/>
    <w:rsid w:val="00B94440"/>
    <w:rsid w:val="00B94745"/>
    <w:rsid w:val="00B9498D"/>
    <w:rsid w:val="00B94993"/>
    <w:rsid w:val="00B94FB6"/>
    <w:rsid w:val="00B951C9"/>
    <w:rsid w:val="00B9587E"/>
    <w:rsid w:val="00B95B00"/>
    <w:rsid w:val="00B95F59"/>
    <w:rsid w:val="00B9694D"/>
    <w:rsid w:val="00B96CC2"/>
    <w:rsid w:val="00B96D2A"/>
    <w:rsid w:val="00B96E43"/>
    <w:rsid w:val="00B975D2"/>
    <w:rsid w:val="00B975F3"/>
    <w:rsid w:val="00B976B0"/>
    <w:rsid w:val="00B97890"/>
    <w:rsid w:val="00B97C2C"/>
    <w:rsid w:val="00BA0452"/>
    <w:rsid w:val="00BA0D28"/>
    <w:rsid w:val="00BA1093"/>
    <w:rsid w:val="00BA1446"/>
    <w:rsid w:val="00BA191C"/>
    <w:rsid w:val="00BA1981"/>
    <w:rsid w:val="00BA1D6C"/>
    <w:rsid w:val="00BA21F3"/>
    <w:rsid w:val="00BA250C"/>
    <w:rsid w:val="00BA2E3E"/>
    <w:rsid w:val="00BA2FA0"/>
    <w:rsid w:val="00BA3527"/>
    <w:rsid w:val="00BA3E12"/>
    <w:rsid w:val="00BA418F"/>
    <w:rsid w:val="00BA43AC"/>
    <w:rsid w:val="00BA454E"/>
    <w:rsid w:val="00BA464C"/>
    <w:rsid w:val="00BA472B"/>
    <w:rsid w:val="00BA4AA1"/>
    <w:rsid w:val="00BA5249"/>
    <w:rsid w:val="00BA5286"/>
    <w:rsid w:val="00BA5661"/>
    <w:rsid w:val="00BA6A99"/>
    <w:rsid w:val="00BA6F23"/>
    <w:rsid w:val="00BA70B6"/>
    <w:rsid w:val="00BA73F0"/>
    <w:rsid w:val="00BA74B9"/>
    <w:rsid w:val="00BA75E7"/>
    <w:rsid w:val="00BA7A46"/>
    <w:rsid w:val="00BA7F4A"/>
    <w:rsid w:val="00BB08CC"/>
    <w:rsid w:val="00BB0AB2"/>
    <w:rsid w:val="00BB0ACB"/>
    <w:rsid w:val="00BB113F"/>
    <w:rsid w:val="00BB1203"/>
    <w:rsid w:val="00BB14EE"/>
    <w:rsid w:val="00BB1958"/>
    <w:rsid w:val="00BB1FDF"/>
    <w:rsid w:val="00BB31C3"/>
    <w:rsid w:val="00BB3501"/>
    <w:rsid w:val="00BB4018"/>
    <w:rsid w:val="00BB40B8"/>
    <w:rsid w:val="00BB46B2"/>
    <w:rsid w:val="00BB4BD3"/>
    <w:rsid w:val="00BB55AB"/>
    <w:rsid w:val="00BB5AEE"/>
    <w:rsid w:val="00BB5C69"/>
    <w:rsid w:val="00BB5EA6"/>
    <w:rsid w:val="00BB60BE"/>
    <w:rsid w:val="00BB64A7"/>
    <w:rsid w:val="00BB65A4"/>
    <w:rsid w:val="00BB6C4B"/>
    <w:rsid w:val="00BB766F"/>
    <w:rsid w:val="00BB78F0"/>
    <w:rsid w:val="00BB7A7D"/>
    <w:rsid w:val="00BC0313"/>
    <w:rsid w:val="00BC049E"/>
    <w:rsid w:val="00BC1474"/>
    <w:rsid w:val="00BC1C17"/>
    <w:rsid w:val="00BC1F60"/>
    <w:rsid w:val="00BC1F8E"/>
    <w:rsid w:val="00BC2112"/>
    <w:rsid w:val="00BC2152"/>
    <w:rsid w:val="00BC26A2"/>
    <w:rsid w:val="00BC33B9"/>
    <w:rsid w:val="00BC341B"/>
    <w:rsid w:val="00BC3543"/>
    <w:rsid w:val="00BC3C0F"/>
    <w:rsid w:val="00BC3D71"/>
    <w:rsid w:val="00BC3F9D"/>
    <w:rsid w:val="00BC42EA"/>
    <w:rsid w:val="00BC44E7"/>
    <w:rsid w:val="00BC4CEE"/>
    <w:rsid w:val="00BC52F6"/>
    <w:rsid w:val="00BC55EA"/>
    <w:rsid w:val="00BC568E"/>
    <w:rsid w:val="00BC5D83"/>
    <w:rsid w:val="00BC651E"/>
    <w:rsid w:val="00BC663D"/>
    <w:rsid w:val="00BC6C88"/>
    <w:rsid w:val="00BC74B7"/>
    <w:rsid w:val="00BC75D5"/>
    <w:rsid w:val="00BC76D5"/>
    <w:rsid w:val="00BC77B4"/>
    <w:rsid w:val="00BC7950"/>
    <w:rsid w:val="00BD045C"/>
    <w:rsid w:val="00BD0A03"/>
    <w:rsid w:val="00BD0A45"/>
    <w:rsid w:val="00BD0DD4"/>
    <w:rsid w:val="00BD0EE2"/>
    <w:rsid w:val="00BD142F"/>
    <w:rsid w:val="00BD1431"/>
    <w:rsid w:val="00BD15E6"/>
    <w:rsid w:val="00BD1675"/>
    <w:rsid w:val="00BD17EA"/>
    <w:rsid w:val="00BD1B9B"/>
    <w:rsid w:val="00BD1CFB"/>
    <w:rsid w:val="00BD1FD8"/>
    <w:rsid w:val="00BD208F"/>
    <w:rsid w:val="00BD21E0"/>
    <w:rsid w:val="00BD25E2"/>
    <w:rsid w:val="00BD266D"/>
    <w:rsid w:val="00BD2DE9"/>
    <w:rsid w:val="00BD32C5"/>
    <w:rsid w:val="00BD3920"/>
    <w:rsid w:val="00BD3B8C"/>
    <w:rsid w:val="00BD3CFF"/>
    <w:rsid w:val="00BD3D37"/>
    <w:rsid w:val="00BD3E0F"/>
    <w:rsid w:val="00BD3F50"/>
    <w:rsid w:val="00BD4068"/>
    <w:rsid w:val="00BD489C"/>
    <w:rsid w:val="00BD4A9E"/>
    <w:rsid w:val="00BD4AD7"/>
    <w:rsid w:val="00BD4ADB"/>
    <w:rsid w:val="00BD4C92"/>
    <w:rsid w:val="00BD4F02"/>
    <w:rsid w:val="00BD523F"/>
    <w:rsid w:val="00BD53A1"/>
    <w:rsid w:val="00BD699B"/>
    <w:rsid w:val="00BD6B43"/>
    <w:rsid w:val="00BD7402"/>
    <w:rsid w:val="00BD7E0D"/>
    <w:rsid w:val="00BE0A21"/>
    <w:rsid w:val="00BE0BFC"/>
    <w:rsid w:val="00BE0DD8"/>
    <w:rsid w:val="00BE16D2"/>
    <w:rsid w:val="00BE17EE"/>
    <w:rsid w:val="00BE1927"/>
    <w:rsid w:val="00BE1C5C"/>
    <w:rsid w:val="00BE1FCA"/>
    <w:rsid w:val="00BE2FD9"/>
    <w:rsid w:val="00BE300A"/>
    <w:rsid w:val="00BE3184"/>
    <w:rsid w:val="00BE32F1"/>
    <w:rsid w:val="00BE33E5"/>
    <w:rsid w:val="00BE362E"/>
    <w:rsid w:val="00BE381E"/>
    <w:rsid w:val="00BE3D9D"/>
    <w:rsid w:val="00BE416D"/>
    <w:rsid w:val="00BE4951"/>
    <w:rsid w:val="00BE4962"/>
    <w:rsid w:val="00BE4AA7"/>
    <w:rsid w:val="00BE4E9E"/>
    <w:rsid w:val="00BE4F14"/>
    <w:rsid w:val="00BE593F"/>
    <w:rsid w:val="00BE5A8F"/>
    <w:rsid w:val="00BE60B8"/>
    <w:rsid w:val="00BE618D"/>
    <w:rsid w:val="00BE62A5"/>
    <w:rsid w:val="00BE66F6"/>
    <w:rsid w:val="00BE6F64"/>
    <w:rsid w:val="00BE779F"/>
    <w:rsid w:val="00BE7900"/>
    <w:rsid w:val="00BE7EFD"/>
    <w:rsid w:val="00BF0730"/>
    <w:rsid w:val="00BF0878"/>
    <w:rsid w:val="00BF0B22"/>
    <w:rsid w:val="00BF0DFF"/>
    <w:rsid w:val="00BF0FA8"/>
    <w:rsid w:val="00BF100F"/>
    <w:rsid w:val="00BF1973"/>
    <w:rsid w:val="00BF1991"/>
    <w:rsid w:val="00BF1C27"/>
    <w:rsid w:val="00BF23E7"/>
    <w:rsid w:val="00BF252B"/>
    <w:rsid w:val="00BF25F4"/>
    <w:rsid w:val="00BF2C52"/>
    <w:rsid w:val="00BF2F07"/>
    <w:rsid w:val="00BF4671"/>
    <w:rsid w:val="00BF4E70"/>
    <w:rsid w:val="00BF513A"/>
    <w:rsid w:val="00BF526B"/>
    <w:rsid w:val="00BF55AB"/>
    <w:rsid w:val="00BF55F8"/>
    <w:rsid w:val="00BF5747"/>
    <w:rsid w:val="00BF6588"/>
    <w:rsid w:val="00BF6719"/>
    <w:rsid w:val="00BF711C"/>
    <w:rsid w:val="00BF7696"/>
    <w:rsid w:val="00BF7C46"/>
    <w:rsid w:val="00BF7CDF"/>
    <w:rsid w:val="00C00103"/>
    <w:rsid w:val="00C0027D"/>
    <w:rsid w:val="00C002F6"/>
    <w:rsid w:val="00C006BB"/>
    <w:rsid w:val="00C00874"/>
    <w:rsid w:val="00C00CFC"/>
    <w:rsid w:val="00C01114"/>
    <w:rsid w:val="00C012CE"/>
    <w:rsid w:val="00C01429"/>
    <w:rsid w:val="00C01C26"/>
    <w:rsid w:val="00C01FE5"/>
    <w:rsid w:val="00C028F3"/>
    <w:rsid w:val="00C02A29"/>
    <w:rsid w:val="00C02AD8"/>
    <w:rsid w:val="00C02E51"/>
    <w:rsid w:val="00C03172"/>
    <w:rsid w:val="00C031B6"/>
    <w:rsid w:val="00C0330B"/>
    <w:rsid w:val="00C0340C"/>
    <w:rsid w:val="00C036A3"/>
    <w:rsid w:val="00C0374C"/>
    <w:rsid w:val="00C037FB"/>
    <w:rsid w:val="00C0417E"/>
    <w:rsid w:val="00C043C6"/>
    <w:rsid w:val="00C04A5C"/>
    <w:rsid w:val="00C04C0C"/>
    <w:rsid w:val="00C04D29"/>
    <w:rsid w:val="00C05658"/>
    <w:rsid w:val="00C05D0C"/>
    <w:rsid w:val="00C0661C"/>
    <w:rsid w:val="00C06832"/>
    <w:rsid w:val="00C068EB"/>
    <w:rsid w:val="00C06BE8"/>
    <w:rsid w:val="00C06C73"/>
    <w:rsid w:val="00C06C90"/>
    <w:rsid w:val="00C0733F"/>
    <w:rsid w:val="00C0754A"/>
    <w:rsid w:val="00C0758C"/>
    <w:rsid w:val="00C07A0C"/>
    <w:rsid w:val="00C07AB0"/>
    <w:rsid w:val="00C1017F"/>
    <w:rsid w:val="00C10A81"/>
    <w:rsid w:val="00C10AA4"/>
    <w:rsid w:val="00C10AAC"/>
    <w:rsid w:val="00C10D0D"/>
    <w:rsid w:val="00C1108D"/>
    <w:rsid w:val="00C11368"/>
    <w:rsid w:val="00C11ACD"/>
    <w:rsid w:val="00C11B1F"/>
    <w:rsid w:val="00C11CC0"/>
    <w:rsid w:val="00C11EA6"/>
    <w:rsid w:val="00C1270A"/>
    <w:rsid w:val="00C1274A"/>
    <w:rsid w:val="00C1293D"/>
    <w:rsid w:val="00C12D15"/>
    <w:rsid w:val="00C12F97"/>
    <w:rsid w:val="00C13154"/>
    <w:rsid w:val="00C1377D"/>
    <w:rsid w:val="00C13833"/>
    <w:rsid w:val="00C13C74"/>
    <w:rsid w:val="00C141C3"/>
    <w:rsid w:val="00C14F5C"/>
    <w:rsid w:val="00C15957"/>
    <w:rsid w:val="00C15A3A"/>
    <w:rsid w:val="00C15CDE"/>
    <w:rsid w:val="00C16769"/>
    <w:rsid w:val="00C16989"/>
    <w:rsid w:val="00C1762D"/>
    <w:rsid w:val="00C17F99"/>
    <w:rsid w:val="00C200C2"/>
    <w:rsid w:val="00C2032A"/>
    <w:rsid w:val="00C20524"/>
    <w:rsid w:val="00C20E93"/>
    <w:rsid w:val="00C210A4"/>
    <w:rsid w:val="00C211CB"/>
    <w:rsid w:val="00C21774"/>
    <w:rsid w:val="00C219B4"/>
    <w:rsid w:val="00C21F22"/>
    <w:rsid w:val="00C220BD"/>
    <w:rsid w:val="00C22A7E"/>
    <w:rsid w:val="00C244B8"/>
    <w:rsid w:val="00C247EB"/>
    <w:rsid w:val="00C2483C"/>
    <w:rsid w:val="00C24D96"/>
    <w:rsid w:val="00C24DF6"/>
    <w:rsid w:val="00C24F3E"/>
    <w:rsid w:val="00C252D1"/>
    <w:rsid w:val="00C253F5"/>
    <w:rsid w:val="00C2594E"/>
    <w:rsid w:val="00C25CD9"/>
    <w:rsid w:val="00C26513"/>
    <w:rsid w:val="00C26693"/>
    <w:rsid w:val="00C26823"/>
    <w:rsid w:val="00C26C74"/>
    <w:rsid w:val="00C271AC"/>
    <w:rsid w:val="00C277BB"/>
    <w:rsid w:val="00C27C67"/>
    <w:rsid w:val="00C304B9"/>
    <w:rsid w:val="00C307ED"/>
    <w:rsid w:val="00C30A85"/>
    <w:rsid w:val="00C30B63"/>
    <w:rsid w:val="00C30FA7"/>
    <w:rsid w:val="00C31833"/>
    <w:rsid w:val="00C329A7"/>
    <w:rsid w:val="00C329D5"/>
    <w:rsid w:val="00C32CC7"/>
    <w:rsid w:val="00C32F9D"/>
    <w:rsid w:val="00C333E9"/>
    <w:rsid w:val="00C33400"/>
    <w:rsid w:val="00C3367F"/>
    <w:rsid w:val="00C33A51"/>
    <w:rsid w:val="00C33EAB"/>
    <w:rsid w:val="00C34577"/>
    <w:rsid w:val="00C34A09"/>
    <w:rsid w:val="00C34AC1"/>
    <w:rsid w:val="00C34CAA"/>
    <w:rsid w:val="00C34D85"/>
    <w:rsid w:val="00C34DA3"/>
    <w:rsid w:val="00C35857"/>
    <w:rsid w:val="00C35CE2"/>
    <w:rsid w:val="00C35DD9"/>
    <w:rsid w:val="00C35DE7"/>
    <w:rsid w:val="00C35F27"/>
    <w:rsid w:val="00C36ADB"/>
    <w:rsid w:val="00C36C79"/>
    <w:rsid w:val="00C36D5C"/>
    <w:rsid w:val="00C377E8"/>
    <w:rsid w:val="00C37D32"/>
    <w:rsid w:val="00C37F90"/>
    <w:rsid w:val="00C37FF8"/>
    <w:rsid w:val="00C4047F"/>
    <w:rsid w:val="00C412B7"/>
    <w:rsid w:val="00C4169C"/>
    <w:rsid w:val="00C4185A"/>
    <w:rsid w:val="00C41FD8"/>
    <w:rsid w:val="00C428CE"/>
    <w:rsid w:val="00C42CC4"/>
    <w:rsid w:val="00C42E5B"/>
    <w:rsid w:val="00C42F23"/>
    <w:rsid w:val="00C4449D"/>
    <w:rsid w:val="00C444C6"/>
    <w:rsid w:val="00C44607"/>
    <w:rsid w:val="00C44D43"/>
    <w:rsid w:val="00C4505D"/>
    <w:rsid w:val="00C452A4"/>
    <w:rsid w:val="00C459DA"/>
    <w:rsid w:val="00C45E1E"/>
    <w:rsid w:val="00C45FC9"/>
    <w:rsid w:val="00C463AF"/>
    <w:rsid w:val="00C46E85"/>
    <w:rsid w:val="00C4701C"/>
    <w:rsid w:val="00C4711C"/>
    <w:rsid w:val="00C47314"/>
    <w:rsid w:val="00C475F6"/>
    <w:rsid w:val="00C477FA"/>
    <w:rsid w:val="00C47825"/>
    <w:rsid w:val="00C51322"/>
    <w:rsid w:val="00C51930"/>
    <w:rsid w:val="00C51AE0"/>
    <w:rsid w:val="00C51CD7"/>
    <w:rsid w:val="00C51F08"/>
    <w:rsid w:val="00C5223B"/>
    <w:rsid w:val="00C52252"/>
    <w:rsid w:val="00C526AA"/>
    <w:rsid w:val="00C526DC"/>
    <w:rsid w:val="00C52B3F"/>
    <w:rsid w:val="00C52DF2"/>
    <w:rsid w:val="00C53235"/>
    <w:rsid w:val="00C535AC"/>
    <w:rsid w:val="00C537EE"/>
    <w:rsid w:val="00C53B1C"/>
    <w:rsid w:val="00C53BA6"/>
    <w:rsid w:val="00C53C99"/>
    <w:rsid w:val="00C53E6B"/>
    <w:rsid w:val="00C5402A"/>
    <w:rsid w:val="00C542DC"/>
    <w:rsid w:val="00C5438D"/>
    <w:rsid w:val="00C544AE"/>
    <w:rsid w:val="00C54AA5"/>
    <w:rsid w:val="00C54F9E"/>
    <w:rsid w:val="00C55705"/>
    <w:rsid w:val="00C5577A"/>
    <w:rsid w:val="00C557D9"/>
    <w:rsid w:val="00C5586D"/>
    <w:rsid w:val="00C55C01"/>
    <w:rsid w:val="00C564C8"/>
    <w:rsid w:val="00C56EE0"/>
    <w:rsid w:val="00C570B9"/>
    <w:rsid w:val="00C571B5"/>
    <w:rsid w:val="00C572B4"/>
    <w:rsid w:val="00C573F7"/>
    <w:rsid w:val="00C57554"/>
    <w:rsid w:val="00C57816"/>
    <w:rsid w:val="00C57B82"/>
    <w:rsid w:val="00C60AFB"/>
    <w:rsid w:val="00C614E8"/>
    <w:rsid w:val="00C6179F"/>
    <w:rsid w:val="00C6229A"/>
    <w:rsid w:val="00C62313"/>
    <w:rsid w:val="00C624D4"/>
    <w:rsid w:val="00C626AC"/>
    <w:rsid w:val="00C62C2C"/>
    <w:rsid w:val="00C62E71"/>
    <w:rsid w:val="00C632AE"/>
    <w:rsid w:val="00C6366D"/>
    <w:rsid w:val="00C63722"/>
    <w:rsid w:val="00C63827"/>
    <w:rsid w:val="00C63C3A"/>
    <w:rsid w:val="00C63D32"/>
    <w:rsid w:val="00C63DFB"/>
    <w:rsid w:val="00C64005"/>
    <w:rsid w:val="00C646EF"/>
    <w:rsid w:val="00C64E79"/>
    <w:rsid w:val="00C653AA"/>
    <w:rsid w:val="00C655E1"/>
    <w:rsid w:val="00C65E33"/>
    <w:rsid w:val="00C65F93"/>
    <w:rsid w:val="00C66563"/>
    <w:rsid w:val="00C66F4F"/>
    <w:rsid w:val="00C67534"/>
    <w:rsid w:val="00C67B25"/>
    <w:rsid w:val="00C67D33"/>
    <w:rsid w:val="00C67E50"/>
    <w:rsid w:val="00C70002"/>
    <w:rsid w:val="00C70ACD"/>
    <w:rsid w:val="00C70ADB"/>
    <w:rsid w:val="00C7136C"/>
    <w:rsid w:val="00C72066"/>
    <w:rsid w:val="00C720CB"/>
    <w:rsid w:val="00C722C4"/>
    <w:rsid w:val="00C72543"/>
    <w:rsid w:val="00C7282F"/>
    <w:rsid w:val="00C729C9"/>
    <w:rsid w:val="00C729EC"/>
    <w:rsid w:val="00C72A73"/>
    <w:rsid w:val="00C73035"/>
    <w:rsid w:val="00C735AE"/>
    <w:rsid w:val="00C739C4"/>
    <w:rsid w:val="00C73F0F"/>
    <w:rsid w:val="00C74ACA"/>
    <w:rsid w:val="00C74D97"/>
    <w:rsid w:val="00C7534F"/>
    <w:rsid w:val="00C75668"/>
    <w:rsid w:val="00C761BF"/>
    <w:rsid w:val="00C768B3"/>
    <w:rsid w:val="00C76C4F"/>
    <w:rsid w:val="00C77D16"/>
    <w:rsid w:val="00C77E3B"/>
    <w:rsid w:val="00C77E87"/>
    <w:rsid w:val="00C80210"/>
    <w:rsid w:val="00C802BF"/>
    <w:rsid w:val="00C80512"/>
    <w:rsid w:val="00C8069E"/>
    <w:rsid w:val="00C80B19"/>
    <w:rsid w:val="00C80D90"/>
    <w:rsid w:val="00C8128D"/>
    <w:rsid w:val="00C8187B"/>
    <w:rsid w:val="00C81F9B"/>
    <w:rsid w:val="00C8230D"/>
    <w:rsid w:val="00C82361"/>
    <w:rsid w:val="00C825C8"/>
    <w:rsid w:val="00C827B9"/>
    <w:rsid w:val="00C830D7"/>
    <w:rsid w:val="00C838E7"/>
    <w:rsid w:val="00C839EC"/>
    <w:rsid w:val="00C83AF1"/>
    <w:rsid w:val="00C84763"/>
    <w:rsid w:val="00C848BE"/>
    <w:rsid w:val="00C84A22"/>
    <w:rsid w:val="00C84CB4"/>
    <w:rsid w:val="00C85DE4"/>
    <w:rsid w:val="00C85EB0"/>
    <w:rsid w:val="00C86253"/>
    <w:rsid w:val="00C866FA"/>
    <w:rsid w:val="00C86BCA"/>
    <w:rsid w:val="00C86D7A"/>
    <w:rsid w:val="00C87180"/>
    <w:rsid w:val="00C8723E"/>
    <w:rsid w:val="00C872CB"/>
    <w:rsid w:val="00C902D0"/>
    <w:rsid w:val="00C9080B"/>
    <w:rsid w:val="00C90F09"/>
    <w:rsid w:val="00C9106E"/>
    <w:rsid w:val="00C91223"/>
    <w:rsid w:val="00C91253"/>
    <w:rsid w:val="00C912F6"/>
    <w:rsid w:val="00C9172E"/>
    <w:rsid w:val="00C917EF"/>
    <w:rsid w:val="00C922D5"/>
    <w:rsid w:val="00C9278B"/>
    <w:rsid w:val="00C93043"/>
    <w:rsid w:val="00C930D1"/>
    <w:rsid w:val="00C9354D"/>
    <w:rsid w:val="00C93AF6"/>
    <w:rsid w:val="00C93EB0"/>
    <w:rsid w:val="00C93F52"/>
    <w:rsid w:val="00C93F99"/>
    <w:rsid w:val="00C9402B"/>
    <w:rsid w:val="00C94144"/>
    <w:rsid w:val="00C94428"/>
    <w:rsid w:val="00C94B0A"/>
    <w:rsid w:val="00C952E7"/>
    <w:rsid w:val="00C957B7"/>
    <w:rsid w:val="00C95EF9"/>
    <w:rsid w:val="00C961B6"/>
    <w:rsid w:val="00C962D0"/>
    <w:rsid w:val="00C96425"/>
    <w:rsid w:val="00C96C83"/>
    <w:rsid w:val="00C97287"/>
    <w:rsid w:val="00C973FC"/>
    <w:rsid w:val="00C9764F"/>
    <w:rsid w:val="00C97789"/>
    <w:rsid w:val="00C97804"/>
    <w:rsid w:val="00C97EEA"/>
    <w:rsid w:val="00CA03F6"/>
    <w:rsid w:val="00CA09C6"/>
    <w:rsid w:val="00CA0D49"/>
    <w:rsid w:val="00CA0DEC"/>
    <w:rsid w:val="00CA100E"/>
    <w:rsid w:val="00CA1148"/>
    <w:rsid w:val="00CA11FD"/>
    <w:rsid w:val="00CA125D"/>
    <w:rsid w:val="00CA170D"/>
    <w:rsid w:val="00CA1AC7"/>
    <w:rsid w:val="00CA2385"/>
    <w:rsid w:val="00CA2793"/>
    <w:rsid w:val="00CA2804"/>
    <w:rsid w:val="00CA2D06"/>
    <w:rsid w:val="00CA3A75"/>
    <w:rsid w:val="00CA3E8D"/>
    <w:rsid w:val="00CA41EC"/>
    <w:rsid w:val="00CA4413"/>
    <w:rsid w:val="00CA5AFC"/>
    <w:rsid w:val="00CA6407"/>
    <w:rsid w:val="00CA6900"/>
    <w:rsid w:val="00CA6A8B"/>
    <w:rsid w:val="00CA6DA8"/>
    <w:rsid w:val="00CA6FB9"/>
    <w:rsid w:val="00CA7E7B"/>
    <w:rsid w:val="00CB06F2"/>
    <w:rsid w:val="00CB08F3"/>
    <w:rsid w:val="00CB09E8"/>
    <w:rsid w:val="00CB10FD"/>
    <w:rsid w:val="00CB207F"/>
    <w:rsid w:val="00CB2157"/>
    <w:rsid w:val="00CB2392"/>
    <w:rsid w:val="00CB2457"/>
    <w:rsid w:val="00CB24A9"/>
    <w:rsid w:val="00CB2FDA"/>
    <w:rsid w:val="00CB3264"/>
    <w:rsid w:val="00CB3399"/>
    <w:rsid w:val="00CB3A0A"/>
    <w:rsid w:val="00CB3BFF"/>
    <w:rsid w:val="00CB3D83"/>
    <w:rsid w:val="00CB3EA0"/>
    <w:rsid w:val="00CB4278"/>
    <w:rsid w:val="00CB4864"/>
    <w:rsid w:val="00CB5314"/>
    <w:rsid w:val="00CB5ACE"/>
    <w:rsid w:val="00CB5E66"/>
    <w:rsid w:val="00CB615F"/>
    <w:rsid w:val="00CB61FF"/>
    <w:rsid w:val="00CB63A1"/>
    <w:rsid w:val="00CB6E94"/>
    <w:rsid w:val="00CB6FE6"/>
    <w:rsid w:val="00CB725C"/>
    <w:rsid w:val="00CB7399"/>
    <w:rsid w:val="00CB789F"/>
    <w:rsid w:val="00CB7AE3"/>
    <w:rsid w:val="00CB7D4B"/>
    <w:rsid w:val="00CB7EF6"/>
    <w:rsid w:val="00CB7F14"/>
    <w:rsid w:val="00CC055A"/>
    <w:rsid w:val="00CC0B02"/>
    <w:rsid w:val="00CC0DB4"/>
    <w:rsid w:val="00CC17E2"/>
    <w:rsid w:val="00CC1861"/>
    <w:rsid w:val="00CC1894"/>
    <w:rsid w:val="00CC20D5"/>
    <w:rsid w:val="00CC25FE"/>
    <w:rsid w:val="00CC31B1"/>
    <w:rsid w:val="00CC34B3"/>
    <w:rsid w:val="00CC3BE0"/>
    <w:rsid w:val="00CC3D8A"/>
    <w:rsid w:val="00CC3EE3"/>
    <w:rsid w:val="00CC3EF0"/>
    <w:rsid w:val="00CC4071"/>
    <w:rsid w:val="00CC4506"/>
    <w:rsid w:val="00CC4B89"/>
    <w:rsid w:val="00CC4DF5"/>
    <w:rsid w:val="00CC59A4"/>
    <w:rsid w:val="00CC6021"/>
    <w:rsid w:val="00CC6224"/>
    <w:rsid w:val="00CC641B"/>
    <w:rsid w:val="00CC6AFC"/>
    <w:rsid w:val="00CC6B39"/>
    <w:rsid w:val="00CC6F5F"/>
    <w:rsid w:val="00CC6FD8"/>
    <w:rsid w:val="00CC76EE"/>
    <w:rsid w:val="00CC7859"/>
    <w:rsid w:val="00CC7AB8"/>
    <w:rsid w:val="00CC7D9A"/>
    <w:rsid w:val="00CD00F6"/>
    <w:rsid w:val="00CD037F"/>
    <w:rsid w:val="00CD03E3"/>
    <w:rsid w:val="00CD050C"/>
    <w:rsid w:val="00CD0731"/>
    <w:rsid w:val="00CD07AC"/>
    <w:rsid w:val="00CD086D"/>
    <w:rsid w:val="00CD0B17"/>
    <w:rsid w:val="00CD175B"/>
    <w:rsid w:val="00CD1A16"/>
    <w:rsid w:val="00CD1CF9"/>
    <w:rsid w:val="00CD1D45"/>
    <w:rsid w:val="00CD1D6C"/>
    <w:rsid w:val="00CD26D3"/>
    <w:rsid w:val="00CD2708"/>
    <w:rsid w:val="00CD2997"/>
    <w:rsid w:val="00CD29FE"/>
    <w:rsid w:val="00CD3561"/>
    <w:rsid w:val="00CD3720"/>
    <w:rsid w:val="00CD3A06"/>
    <w:rsid w:val="00CD3D8E"/>
    <w:rsid w:val="00CD4682"/>
    <w:rsid w:val="00CD5375"/>
    <w:rsid w:val="00CD5386"/>
    <w:rsid w:val="00CD5449"/>
    <w:rsid w:val="00CD57D7"/>
    <w:rsid w:val="00CD60DE"/>
    <w:rsid w:val="00CD6223"/>
    <w:rsid w:val="00CD684F"/>
    <w:rsid w:val="00CD6AE9"/>
    <w:rsid w:val="00CD6F33"/>
    <w:rsid w:val="00CD6FFC"/>
    <w:rsid w:val="00CD70EC"/>
    <w:rsid w:val="00CD7835"/>
    <w:rsid w:val="00CD7A01"/>
    <w:rsid w:val="00CD7E7C"/>
    <w:rsid w:val="00CE009B"/>
    <w:rsid w:val="00CE081F"/>
    <w:rsid w:val="00CE082B"/>
    <w:rsid w:val="00CE0922"/>
    <w:rsid w:val="00CE0D94"/>
    <w:rsid w:val="00CE0DEF"/>
    <w:rsid w:val="00CE0F42"/>
    <w:rsid w:val="00CE10C6"/>
    <w:rsid w:val="00CE1545"/>
    <w:rsid w:val="00CE2227"/>
    <w:rsid w:val="00CE2D94"/>
    <w:rsid w:val="00CE3DD8"/>
    <w:rsid w:val="00CE3FD1"/>
    <w:rsid w:val="00CE40FF"/>
    <w:rsid w:val="00CE4A34"/>
    <w:rsid w:val="00CE5024"/>
    <w:rsid w:val="00CE5E7C"/>
    <w:rsid w:val="00CE60DB"/>
    <w:rsid w:val="00CE66A8"/>
    <w:rsid w:val="00CE673B"/>
    <w:rsid w:val="00CE69A0"/>
    <w:rsid w:val="00CE6A06"/>
    <w:rsid w:val="00CE6A52"/>
    <w:rsid w:val="00CE73F5"/>
    <w:rsid w:val="00CE747B"/>
    <w:rsid w:val="00CF0117"/>
    <w:rsid w:val="00CF015C"/>
    <w:rsid w:val="00CF02CD"/>
    <w:rsid w:val="00CF058B"/>
    <w:rsid w:val="00CF080E"/>
    <w:rsid w:val="00CF0A46"/>
    <w:rsid w:val="00CF0A80"/>
    <w:rsid w:val="00CF0B1F"/>
    <w:rsid w:val="00CF1BB8"/>
    <w:rsid w:val="00CF1BD5"/>
    <w:rsid w:val="00CF20A5"/>
    <w:rsid w:val="00CF2588"/>
    <w:rsid w:val="00CF2F3F"/>
    <w:rsid w:val="00CF2FEC"/>
    <w:rsid w:val="00CF3064"/>
    <w:rsid w:val="00CF31B7"/>
    <w:rsid w:val="00CF3560"/>
    <w:rsid w:val="00CF3877"/>
    <w:rsid w:val="00CF3AE7"/>
    <w:rsid w:val="00CF3D5D"/>
    <w:rsid w:val="00CF3E69"/>
    <w:rsid w:val="00CF40E9"/>
    <w:rsid w:val="00CF4133"/>
    <w:rsid w:val="00CF47F6"/>
    <w:rsid w:val="00CF52FB"/>
    <w:rsid w:val="00CF535D"/>
    <w:rsid w:val="00CF55AE"/>
    <w:rsid w:val="00CF5CB5"/>
    <w:rsid w:val="00CF5E7D"/>
    <w:rsid w:val="00CF66B7"/>
    <w:rsid w:val="00CF68BA"/>
    <w:rsid w:val="00CF6B45"/>
    <w:rsid w:val="00CF6B67"/>
    <w:rsid w:val="00CF7092"/>
    <w:rsid w:val="00D00200"/>
    <w:rsid w:val="00D003C9"/>
    <w:rsid w:val="00D0048E"/>
    <w:rsid w:val="00D0053F"/>
    <w:rsid w:val="00D0083C"/>
    <w:rsid w:val="00D0095F"/>
    <w:rsid w:val="00D01140"/>
    <w:rsid w:val="00D01888"/>
    <w:rsid w:val="00D01930"/>
    <w:rsid w:val="00D01983"/>
    <w:rsid w:val="00D01A7D"/>
    <w:rsid w:val="00D0217A"/>
    <w:rsid w:val="00D029D7"/>
    <w:rsid w:val="00D02BAF"/>
    <w:rsid w:val="00D031CA"/>
    <w:rsid w:val="00D0334C"/>
    <w:rsid w:val="00D03375"/>
    <w:rsid w:val="00D033A2"/>
    <w:rsid w:val="00D03865"/>
    <w:rsid w:val="00D039B9"/>
    <w:rsid w:val="00D03CEA"/>
    <w:rsid w:val="00D03FE9"/>
    <w:rsid w:val="00D05149"/>
    <w:rsid w:val="00D0578A"/>
    <w:rsid w:val="00D05E54"/>
    <w:rsid w:val="00D0651F"/>
    <w:rsid w:val="00D065E0"/>
    <w:rsid w:val="00D066C3"/>
    <w:rsid w:val="00D06917"/>
    <w:rsid w:val="00D07149"/>
    <w:rsid w:val="00D071B9"/>
    <w:rsid w:val="00D074E1"/>
    <w:rsid w:val="00D07600"/>
    <w:rsid w:val="00D07B9A"/>
    <w:rsid w:val="00D07C52"/>
    <w:rsid w:val="00D1044B"/>
    <w:rsid w:val="00D10D85"/>
    <w:rsid w:val="00D10EAE"/>
    <w:rsid w:val="00D10FDE"/>
    <w:rsid w:val="00D110BE"/>
    <w:rsid w:val="00D11A42"/>
    <w:rsid w:val="00D11A87"/>
    <w:rsid w:val="00D12932"/>
    <w:rsid w:val="00D12A1D"/>
    <w:rsid w:val="00D1363F"/>
    <w:rsid w:val="00D137B5"/>
    <w:rsid w:val="00D13C2B"/>
    <w:rsid w:val="00D13CCB"/>
    <w:rsid w:val="00D14037"/>
    <w:rsid w:val="00D142B5"/>
    <w:rsid w:val="00D14717"/>
    <w:rsid w:val="00D14BDE"/>
    <w:rsid w:val="00D14C67"/>
    <w:rsid w:val="00D14D63"/>
    <w:rsid w:val="00D15370"/>
    <w:rsid w:val="00D15B04"/>
    <w:rsid w:val="00D15CA5"/>
    <w:rsid w:val="00D161AC"/>
    <w:rsid w:val="00D165E8"/>
    <w:rsid w:val="00D166AA"/>
    <w:rsid w:val="00D16DD9"/>
    <w:rsid w:val="00D16FEF"/>
    <w:rsid w:val="00D173AC"/>
    <w:rsid w:val="00D17918"/>
    <w:rsid w:val="00D202F6"/>
    <w:rsid w:val="00D2055E"/>
    <w:rsid w:val="00D21738"/>
    <w:rsid w:val="00D219F9"/>
    <w:rsid w:val="00D21C41"/>
    <w:rsid w:val="00D21DCC"/>
    <w:rsid w:val="00D22132"/>
    <w:rsid w:val="00D22545"/>
    <w:rsid w:val="00D22831"/>
    <w:rsid w:val="00D22901"/>
    <w:rsid w:val="00D2316A"/>
    <w:rsid w:val="00D232B0"/>
    <w:rsid w:val="00D23561"/>
    <w:rsid w:val="00D237D6"/>
    <w:rsid w:val="00D24C35"/>
    <w:rsid w:val="00D24D53"/>
    <w:rsid w:val="00D24ECD"/>
    <w:rsid w:val="00D252E1"/>
    <w:rsid w:val="00D2649F"/>
    <w:rsid w:val="00D273A9"/>
    <w:rsid w:val="00D27AF4"/>
    <w:rsid w:val="00D30941"/>
    <w:rsid w:val="00D31131"/>
    <w:rsid w:val="00D31A9D"/>
    <w:rsid w:val="00D32AC0"/>
    <w:rsid w:val="00D32CF7"/>
    <w:rsid w:val="00D32E58"/>
    <w:rsid w:val="00D32EBA"/>
    <w:rsid w:val="00D3307B"/>
    <w:rsid w:val="00D33570"/>
    <w:rsid w:val="00D33999"/>
    <w:rsid w:val="00D33CC6"/>
    <w:rsid w:val="00D33F5F"/>
    <w:rsid w:val="00D33FAC"/>
    <w:rsid w:val="00D342BE"/>
    <w:rsid w:val="00D342F9"/>
    <w:rsid w:val="00D346C8"/>
    <w:rsid w:val="00D348DA"/>
    <w:rsid w:val="00D34908"/>
    <w:rsid w:val="00D35CDF"/>
    <w:rsid w:val="00D35F98"/>
    <w:rsid w:val="00D35FED"/>
    <w:rsid w:val="00D36174"/>
    <w:rsid w:val="00D3642F"/>
    <w:rsid w:val="00D3664D"/>
    <w:rsid w:val="00D367BF"/>
    <w:rsid w:val="00D37F20"/>
    <w:rsid w:val="00D4039E"/>
    <w:rsid w:val="00D40852"/>
    <w:rsid w:val="00D40C0C"/>
    <w:rsid w:val="00D40F00"/>
    <w:rsid w:val="00D416AE"/>
    <w:rsid w:val="00D41E17"/>
    <w:rsid w:val="00D41FBD"/>
    <w:rsid w:val="00D422FB"/>
    <w:rsid w:val="00D42607"/>
    <w:rsid w:val="00D42860"/>
    <w:rsid w:val="00D42AEE"/>
    <w:rsid w:val="00D43F97"/>
    <w:rsid w:val="00D4419F"/>
    <w:rsid w:val="00D44277"/>
    <w:rsid w:val="00D44B02"/>
    <w:rsid w:val="00D44EE0"/>
    <w:rsid w:val="00D4551D"/>
    <w:rsid w:val="00D455DD"/>
    <w:rsid w:val="00D459E7"/>
    <w:rsid w:val="00D46098"/>
    <w:rsid w:val="00D46199"/>
    <w:rsid w:val="00D462F7"/>
    <w:rsid w:val="00D4671B"/>
    <w:rsid w:val="00D46B3B"/>
    <w:rsid w:val="00D46BCB"/>
    <w:rsid w:val="00D47089"/>
    <w:rsid w:val="00D4740B"/>
    <w:rsid w:val="00D47469"/>
    <w:rsid w:val="00D479F7"/>
    <w:rsid w:val="00D47B0F"/>
    <w:rsid w:val="00D47C20"/>
    <w:rsid w:val="00D47F1D"/>
    <w:rsid w:val="00D502EC"/>
    <w:rsid w:val="00D50397"/>
    <w:rsid w:val="00D504DB"/>
    <w:rsid w:val="00D5145E"/>
    <w:rsid w:val="00D51B12"/>
    <w:rsid w:val="00D51B52"/>
    <w:rsid w:val="00D51DCB"/>
    <w:rsid w:val="00D51FA4"/>
    <w:rsid w:val="00D51FB9"/>
    <w:rsid w:val="00D52120"/>
    <w:rsid w:val="00D52284"/>
    <w:rsid w:val="00D522D0"/>
    <w:rsid w:val="00D53772"/>
    <w:rsid w:val="00D537FC"/>
    <w:rsid w:val="00D53B8F"/>
    <w:rsid w:val="00D53C49"/>
    <w:rsid w:val="00D542EE"/>
    <w:rsid w:val="00D54429"/>
    <w:rsid w:val="00D54791"/>
    <w:rsid w:val="00D54932"/>
    <w:rsid w:val="00D54B9A"/>
    <w:rsid w:val="00D54C8F"/>
    <w:rsid w:val="00D54FC2"/>
    <w:rsid w:val="00D54FDD"/>
    <w:rsid w:val="00D5548F"/>
    <w:rsid w:val="00D55B3F"/>
    <w:rsid w:val="00D55C27"/>
    <w:rsid w:val="00D55D73"/>
    <w:rsid w:val="00D56458"/>
    <w:rsid w:val="00D56906"/>
    <w:rsid w:val="00D569A3"/>
    <w:rsid w:val="00D56FB5"/>
    <w:rsid w:val="00D57415"/>
    <w:rsid w:val="00D57453"/>
    <w:rsid w:val="00D578C6"/>
    <w:rsid w:val="00D57D0A"/>
    <w:rsid w:val="00D60006"/>
    <w:rsid w:val="00D600C7"/>
    <w:rsid w:val="00D60163"/>
    <w:rsid w:val="00D60813"/>
    <w:rsid w:val="00D6083D"/>
    <w:rsid w:val="00D608AC"/>
    <w:rsid w:val="00D60CA7"/>
    <w:rsid w:val="00D610FD"/>
    <w:rsid w:val="00D6133B"/>
    <w:rsid w:val="00D61568"/>
    <w:rsid w:val="00D61C76"/>
    <w:rsid w:val="00D61D41"/>
    <w:rsid w:val="00D61E5A"/>
    <w:rsid w:val="00D62133"/>
    <w:rsid w:val="00D6247F"/>
    <w:rsid w:val="00D62483"/>
    <w:rsid w:val="00D62ED2"/>
    <w:rsid w:val="00D6308B"/>
    <w:rsid w:val="00D6318E"/>
    <w:rsid w:val="00D63946"/>
    <w:rsid w:val="00D63B8B"/>
    <w:rsid w:val="00D63D7C"/>
    <w:rsid w:val="00D63DDE"/>
    <w:rsid w:val="00D63E0C"/>
    <w:rsid w:val="00D64108"/>
    <w:rsid w:val="00D642D7"/>
    <w:rsid w:val="00D643C1"/>
    <w:rsid w:val="00D645EF"/>
    <w:rsid w:val="00D64ED8"/>
    <w:rsid w:val="00D65186"/>
    <w:rsid w:val="00D651D6"/>
    <w:rsid w:val="00D65B2E"/>
    <w:rsid w:val="00D65C94"/>
    <w:rsid w:val="00D662A8"/>
    <w:rsid w:val="00D663AD"/>
    <w:rsid w:val="00D66B52"/>
    <w:rsid w:val="00D66D28"/>
    <w:rsid w:val="00D672CE"/>
    <w:rsid w:val="00D6790C"/>
    <w:rsid w:val="00D67F05"/>
    <w:rsid w:val="00D7018A"/>
    <w:rsid w:val="00D7077E"/>
    <w:rsid w:val="00D70AD3"/>
    <w:rsid w:val="00D70BC4"/>
    <w:rsid w:val="00D70C8B"/>
    <w:rsid w:val="00D7104D"/>
    <w:rsid w:val="00D71469"/>
    <w:rsid w:val="00D7155D"/>
    <w:rsid w:val="00D715F0"/>
    <w:rsid w:val="00D71B8A"/>
    <w:rsid w:val="00D71FCE"/>
    <w:rsid w:val="00D723D3"/>
    <w:rsid w:val="00D727E4"/>
    <w:rsid w:val="00D72C06"/>
    <w:rsid w:val="00D72DF5"/>
    <w:rsid w:val="00D73683"/>
    <w:rsid w:val="00D73C5B"/>
    <w:rsid w:val="00D73C60"/>
    <w:rsid w:val="00D73CAA"/>
    <w:rsid w:val="00D7447F"/>
    <w:rsid w:val="00D749FF"/>
    <w:rsid w:val="00D750A3"/>
    <w:rsid w:val="00D7549A"/>
    <w:rsid w:val="00D754A6"/>
    <w:rsid w:val="00D75630"/>
    <w:rsid w:val="00D75DB8"/>
    <w:rsid w:val="00D765A5"/>
    <w:rsid w:val="00D768B7"/>
    <w:rsid w:val="00D76A6B"/>
    <w:rsid w:val="00D76FBD"/>
    <w:rsid w:val="00D7725D"/>
    <w:rsid w:val="00D7785D"/>
    <w:rsid w:val="00D77D5D"/>
    <w:rsid w:val="00D77D8E"/>
    <w:rsid w:val="00D8033E"/>
    <w:rsid w:val="00D805F7"/>
    <w:rsid w:val="00D80923"/>
    <w:rsid w:val="00D81484"/>
    <w:rsid w:val="00D81B4E"/>
    <w:rsid w:val="00D81C7D"/>
    <w:rsid w:val="00D82096"/>
    <w:rsid w:val="00D82510"/>
    <w:rsid w:val="00D82ABB"/>
    <w:rsid w:val="00D82BE8"/>
    <w:rsid w:val="00D82D0C"/>
    <w:rsid w:val="00D831F0"/>
    <w:rsid w:val="00D832B7"/>
    <w:rsid w:val="00D83C66"/>
    <w:rsid w:val="00D83E71"/>
    <w:rsid w:val="00D842E6"/>
    <w:rsid w:val="00D84F1B"/>
    <w:rsid w:val="00D853CA"/>
    <w:rsid w:val="00D86192"/>
    <w:rsid w:val="00D861F3"/>
    <w:rsid w:val="00D86D01"/>
    <w:rsid w:val="00D87571"/>
    <w:rsid w:val="00D87B58"/>
    <w:rsid w:val="00D87F89"/>
    <w:rsid w:val="00D90C0F"/>
    <w:rsid w:val="00D90F3E"/>
    <w:rsid w:val="00D913CE"/>
    <w:rsid w:val="00D915C0"/>
    <w:rsid w:val="00D918AB"/>
    <w:rsid w:val="00D92208"/>
    <w:rsid w:val="00D92580"/>
    <w:rsid w:val="00D9283E"/>
    <w:rsid w:val="00D92F4D"/>
    <w:rsid w:val="00D92F89"/>
    <w:rsid w:val="00D93027"/>
    <w:rsid w:val="00D931A9"/>
    <w:rsid w:val="00D93889"/>
    <w:rsid w:val="00D94678"/>
    <w:rsid w:val="00D947DF"/>
    <w:rsid w:val="00D94DEA"/>
    <w:rsid w:val="00D9502A"/>
    <w:rsid w:val="00D95965"/>
    <w:rsid w:val="00D95D03"/>
    <w:rsid w:val="00D95F18"/>
    <w:rsid w:val="00D9632F"/>
    <w:rsid w:val="00D9647E"/>
    <w:rsid w:val="00D96614"/>
    <w:rsid w:val="00D96863"/>
    <w:rsid w:val="00D9730F"/>
    <w:rsid w:val="00D97F3F"/>
    <w:rsid w:val="00DA013E"/>
    <w:rsid w:val="00DA0269"/>
    <w:rsid w:val="00DA0883"/>
    <w:rsid w:val="00DA099E"/>
    <w:rsid w:val="00DA0D43"/>
    <w:rsid w:val="00DA100F"/>
    <w:rsid w:val="00DA16DA"/>
    <w:rsid w:val="00DA183C"/>
    <w:rsid w:val="00DA1991"/>
    <w:rsid w:val="00DA1B23"/>
    <w:rsid w:val="00DA209F"/>
    <w:rsid w:val="00DA227A"/>
    <w:rsid w:val="00DA2D04"/>
    <w:rsid w:val="00DA2E1A"/>
    <w:rsid w:val="00DA2F18"/>
    <w:rsid w:val="00DA3252"/>
    <w:rsid w:val="00DA34F0"/>
    <w:rsid w:val="00DA3C01"/>
    <w:rsid w:val="00DA3E55"/>
    <w:rsid w:val="00DA3F7B"/>
    <w:rsid w:val="00DA47FF"/>
    <w:rsid w:val="00DA48CF"/>
    <w:rsid w:val="00DA49BA"/>
    <w:rsid w:val="00DA512B"/>
    <w:rsid w:val="00DA5183"/>
    <w:rsid w:val="00DA55CD"/>
    <w:rsid w:val="00DA55F7"/>
    <w:rsid w:val="00DA5705"/>
    <w:rsid w:val="00DA582D"/>
    <w:rsid w:val="00DA5AE0"/>
    <w:rsid w:val="00DA5C97"/>
    <w:rsid w:val="00DA5DDB"/>
    <w:rsid w:val="00DA6077"/>
    <w:rsid w:val="00DA6894"/>
    <w:rsid w:val="00DA7510"/>
    <w:rsid w:val="00DA7B96"/>
    <w:rsid w:val="00DA7D08"/>
    <w:rsid w:val="00DB0242"/>
    <w:rsid w:val="00DB02C6"/>
    <w:rsid w:val="00DB130E"/>
    <w:rsid w:val="00DB1648"/>
    <w:rsid w:val="00DB192E"/>
    <w:rsid w:val="00DB199E"/>
    <w:rsid w:val="00DB275D"/>
    <w:rsid w:val="00DB2AF8"/>
    <w:rsid w:val="00DB2D83"/>
    <w:rsid w:val="00DB3521"/>
    <w:rsid w:val="00DB35C7"/>
    <w:rsid w:val="00DB3E86"/>
    <w:rsid w:val="00DB3F10"/>
    <w:rsid w:val="00DB43DE"/>
    <w:rsid w:val="00DB46DD"/>
    <w:rsid w:val="00DB4891"/>
    <w:rsid w:val="00DB4BCC"/>
    <w:rsid w:val="00DB5D54"/>
    <w:rsid w:val="00DB5E98"/>
    <w:rsid w:val="00DB6670"/>
    <w:rsid w:val="00DB698F"/>
    <w:rsid w:val="00DB749F"/>
    <w:rsid w:val="00DB787D"/>
    <w:rsid w:val="00DC01C7"/>
    <w:rsid w:val="00DC093A"/>
    <w:rsid w:val="00DC096B"/>
    <w:rsid w:val="00DC0F05"/>
    <w:rsid w:val="00DC0FD5"/>
    <w:rsid w:val="00DC184C"/>
    <w:rsid w:val="00DC18E0"/>
    <w:rsid w:val="00DC1915"/>
    <w:rsid w:val="00DC1DE1"/>
    <w:rsid w:val="00DC20F7"/>
    <w:rsid w:val="00DC21EF"/>
    <w:rsid w:val="00DC22CD"/>
    <w:rsid w:val="00DC28F4"/>
    <w:rsid w:val="00DC2A3E"/>
    <w:rsid w:val="00DC32E3"/>
    <w:rsid w:val="00DC36F3"/>
    <w:rsid w:val="00DC3858"/>
    <w:rsid w:val="00DC399F"/>
    <w:rsid w:val="00DC3CE5"/>
    <w:rsid w:val="00DC3E93"/>
    <w:rsid w:val="00DC4729"/>
    <w:rsid w:val="00DC4A98"/>
    <w:rsid w:val="00DC4B1F"/>
    <w:rsid w:val="00DC5553"/>
    <w:rsid w:val="00DC577E"/>
    <w:rsid w:val="00DC580A"/>
    <w:rsid w:val="00DC5D83"/>
    <w:rsid w:val="00DC611A"/>
    <w:rsid w:val="00DC63F3"/>
    <w:rsid w:val="00DC6956"/>
    <w:rsid w:val="00DC6C5A"/>
    <w:rsid w:val="00DC6D2B"/>
    <w:rsid w:val="00DC6F8B"/>
    <w:rsid w:val="00DC7505"/>
    <w:rsid w:val="00DC7538"/>
    <w:rsid w:val="00DC7B97"/>
    <w:rsid w:val="00DD04C9"/>
    <w:rsid w:val="00DD06C3"/>
    <w:rsid w:val="00DD06E3"/>
    <w:rsid w:val="00DD0757"/>
    <w:rsid w:val="00DD0858"/>
    <w:rsid w:val="00DD0EFD"/>
    <w:rsid w:val="00DD10BB"/>
    <w:rsid w:val="00DD1438"/>
    <w:rsid w:val="00DD1715"/>
    <w:rsid w:val="00DD1A94"/>
    <w:rsid w:val="00DD2296"/>
    <w:rsid w:val="00DD25C1"/>
    <w:rsid w:val="00DD26E1"/>
    <w:rsid w:val="00DD2FB8"/>
    <w:rsid w:val="00DD307B"/>
    <w:rsid w:val="00DD3412"/>
    <w:rsid w:val="00DD3FAC"/>
    <w:rsid w:val="00DD4374"/>
    <w:rsid w:val="00DD437A"/>
    <w:rsid w:val="00DD4AB5"/>
    <w:rsid w:val="00DD5113"/>
    <w:rsid w:val="00DD5714"/>
    <w:rsid w:val="00DD57DA"/>
    <w:rsid w:val="00DD6126"/>
    <w:rsid w:val="00DD6E47"/>
    <w:rsid w:val="00DD6E9B"/>
    <w:rsid w:val="00DD74AE"/>
    <w:rsid w:val="00DD7A09"/>
    <w:rsid w:val="00DE0123"/>
    <w:rsid w:val="00DE0216"/>
    <w:rsid w:val="00DE072C"/>
    <w:rsid w:val="00DE0B4E"/>
    <w:rsid w:val="00DE100A"/>
    <w:rsid w:val="00DE1674"/>
    <w:rsid w:val="00DE1ED9"/>
    <w:rsid w:val="00DE2058"/>
    <w:rsid w:val="00DE221F"/>
    <w:rsid w:val="00DE225E"/>
    <w:rsid w:val="00DE285D"/>
    <w:rsid w:val="00DE2C12"/>
    <w:rsid w:val="00DE2EAC"/>
    <w:rsid w:val="00DE3424"/>
    <w:rsid w:val="00DE3702"/>
    <w:rsid w:val="00DE43B7"/>
    <w:rsid w:val="00DE454A"/>
    <w:rsid w:val="00DE4B87"/>
    <w:rsid w:val="00DE4FBD"/>
    <w:rsid w:val="00DE51AA"/>
    <w:rsid w:val="00DE52CA"/>
    <w:rsid w:val="00DE58B3"/>
    <w:rsid w:val="00DE6079"/>
    <w:rsid w:val="00DE7126"/>
    <w:rsid w:val="00DE7A57"/>
    <w:rsid w:val="00DE7C11"/>
    <w:rsid w:val="00DE7CF1"/>
    <w:rsid w:val="00DE7E7E"/>
    <w:rsid w:val="00DF09F5"/>
    <w:rsid w:val="00DF0A67"/>
    <w:rsid w:val="00DF0BBA"/>
    <w:rsid w:val="00DF0FD2"/>
    <w:rsid w:val="00DF11A9"/>
    <w:rsid w:val="00DF1204"/>
    <w:rsid w:val="00DF15A2"/>
    <w:rsid w:val="00DF19E3"/>
    <w:rsid w:val="00DF1E9E"/>
    <w:rsid w:val="00DF2021"/>
    <w:rsid w:val="00DF23F6"/>
    <w:rsid w:val="00DF2B6A"/>
    <w:rsid w:val="00DF2D9F"/>
    <w:rsid w:val="00DF2FF5"/>
    <w:rsid w:val="00DF30FD"/>
    <w:rsid w:val="00DF3278"/>
    <w:rsid w:val="00DF4D96"/>
    <w:rsid w:val="00DF53A0"/>
    <w:rsid w:val="00DF53C4"/>
    <w:rsid w:val="00DF651A"/>
    <w:rsid w:val="00DF651E"/>
    <w:rsid w:val="00DF6A5E"/>
    <w:rsid w:val="00DF6A63"/>
    <w:rsid w:val="00DF6A96"/>
    <w:rsid w:val="00DF6E93"/>
    <w:rsid w:val="00DF6EC5"/>
    <w:rsid w:val="00DF740B"/>
    <w:rsid w:val="00DF7513"/>
    <w:rsid w:val="00DF7B50"/>
    <w:rsid w:val="00E0002A"/>
    <w:rsid w:val="00E003B2"/>
    <w:rsid w:val="00E00593"/>
    <w:rsid w:val="00E00825"/>
    <w:rsid w:val="00E00D4A"/>
    <w:rsid w:val="00E00E74"/>
    <w:rsid w:val="00E00F97"/>
    <w:rsid w:val="00E010A6"/>
    <w:rsid w:val="00E02150"/>
    <w:rsid w:val="00E02274"/>
    <w:rsid w:val="00E030A4"/>
    <w:rsid w:val="00E03663"/>
    <w:rsid w:val="00E03762"/>
    <w:rsid w:val="00E037AA"/>
    <w:rsid w:val="00E037FF"/>
    <w:rsid w:val="00E03A02"/>
    <w:rsid w:val="00E03C9E"/>
    <w:rsid w:val="00E03DDB"/>
    <w:rsid w:val="00E040CD"/>
    <w:rsid w:val="00E042E1"/>
    <w:rsid w:val="00E04660"/>
    <w:rsid w:val="00E04668"/>
    <w:rsid w:val="00E049FD"/>
    <w:rsid w:val="00E04B3A"/>
    <w:rsid w:val="00E04BF5"/>
    <w:rsid w:val="00E04C4A"/>
    <w:rsid w:val="00E04D02"/>
    <w:rsid w:val="00E054A5"/>
    <w:rsid w:val="00E059EA"/>
    <w:rsid w:val="00E05A88"/>
    <w:rsid w:val="00E05B55"/>
    <w:rsid w:val="00E05C9B"/>
    <w:rsid w:val="00E05DED"/>
    <w:rsid w:val="00E06327"/>
    <w:rsid w:val="00E06448"/>
    <w:rsid w:val="00E069C4"/>
    <w:rsid w:val="00E07347"/>
    <w:rsid w:val="00E07778"/>
    <w:rsid w:val="00E07F55"/>
    <w:rsid w:val="00E07F7D"/>
    <w:rsid w:val="00E10172"/>
    <w:rsid w:val="00E10A4C"/>
    <w:rsid w:val="00E10C84"/>
    <w:rsid w:val="00E10E68"/>
    <w:rsid w:val="00E10E72"/>
    <w:rsid w:val="00E11663"/>
    <w:rsid w:val="00E11D97"/>
    <w:rsid w:val="00E12266"/>
    <w:rsid w:val="00E12629"/>
    <w:rsid w:val="00E129A8"/>
    <w:rsid w:val="00E13508"/>
    <w:rsid w:val="00E13C61"/>
    <w:rsid w:val="00E1456F"/>
    <w:rsid w:val="00E145A7"/>
    <w:rsid w:val="00E14C97"/>
    <w:rsid w:val="00E15507"/>
    <w:rsid w:val="00E15708"/>
    <w:rsid w:val="00E15C8D"/>
    <w:rsid w:val="00E16B7F"/>
    <w:rsid w:val="00E16C8A"/>
    <w:rsid w:val="00E16E92"/>
    <w:rsid w:val="00E16F21"/>
    <w:rsid w:val="00E16F9E"/>
    <w:rsid w:val="00E17855"/>
    <w:rsid w:val="00E17C75"/>
    <w:rsid w:val="00E17DB7"/>
    <w:rsid w:val="00E20251"/>
    <w:rsid w:val="00E20289"/>
    <w:rsid w:val="00E20909"/>
    <w:rsid w:val="00E20AB9"/>
    <w:rsid w:val="00E20B4F"/>
    <w:rsid w:val="00E20B67"/>
    <w:rsid w:val="00E20BD1"/>
    <w:rsid w:val="00E20C61"/>
    <w:rsid w:val="00E20D23"/>
    <w:rsid w:val="00E2165B"/>
    <w:rsid w:val="00E227FD"/>
    <w:rsid w:val="00E22BA0"/>
    <w:rsid w:val="00E22EC6"/>
    <w:rsid w:val="00E2329D"/>
    <w:rsid w:val="00E232AA"/>
    <w:rsid w:val="00E235FF"/>
    <w:rsid w:val="00E2384D"/>
    <w:rsid w:val="00E23B71"/>
    <w:rsid w:val="00E24012"/>
    <w:rsid w:val="00E2456F"/>
    <w:rsid w:val="00E24712"/>
    <w:rsid w:val="00E24E62"/>
    <w:rsid w:val="00E2577B"/>
    <w:rsid w:val="00E2582D"/>
    <w:rsid w:val="00E25A72"/>
    <w:rsid w:val="00E25E0A"/>
    <w:rsid w:val="00E267EC"/>
    <w:rsid w:val="00E26D77"/>
    <w:rsid w:val="00E27019"/>
    <w:rsid w:val="00E2747E"/>
    <w:rsid w:val="00E276F9"/>
    <w:rsid w:val="00E27C39"/>
    <w:rsid w:val="00E304D4"/>
    <w:rsid w:val="00E30BD5"/>
    <w:rsid w:val="00E313D1"/>
    <w:rsid w:val="00E322C1"/>
    <w:rsid w:val="00E323C9"/>
    <w:rsid w:val="00E323D7"/>
    <w:rsid w:val="00E326DD"/>
    <w:rsid w:val="00E337AB"/>
    <w:rsid w:val="00E33D7B"/>
    <w:rsid w:val="00E343D3"/>
    <w:rsid w:val="00E34459"/>
    <w:rsid w:val="00E34D31"/>
    <w:rsid w:val="00E3510C"/>
    <w:rsid w:val="00E359E9"/>
    <w:rsid w:val="00E35DB3"/>
    <w:rsid w:val="00E35F83"/>
    <w:rsid w:val="00E365C7"/>
    <w:rsid w:val="00E36EEC"/>
    <w:rsid w:val="00E37082"/>
    <w:rsid w:val="00E3718D"/>
    <w:rsid w:val="00E37382"/>
    <w:rsid w:val="00E377CA"/>
    <w:rsid w:val="00E378DD"/>
    <w:rsid w:val="00E37A85"/>
    <w:rsid w:val="00E40E99"/>
    <w:rsid w:val="00E40FC1"/>
    <w:rsid w:val="00E413DC"/>
    <w:rsid w:val="00E4246F"/>
    <w:rsid w:val="00E42593"/>
    <w:rsid w:val="00E42761"/>
    <w:rsid w:val="00E42872"/>
    <w:rsid w:val="00E42AD8"/>
    <w:rsid w:val="00E42D08"/>
    <w:rsid w:val="00E42DEB"/>
    <w:rsid w:val="00E42FC5"/>
    <w:rsid w:val="00E4380A"/>
    <w:rsid w:val="00E43916"/>
    <w:rsid w:val="00E43A19"/>
    <w:rsid w:val="00E43C06"/>
    <w:rsid w:val="00E44123"/>
    <w:rsid w:val="00E44370"/>
    <w:rsid w:val="00E44DA5"/>
    <w:rsid w:val="00E44F8B"/>
    <w:rsid w:val="00E45B92"/>
    <w:rsid w:val="00E45C04"/>
    <w:rsid w:val="00E4604F"/>
    <w:rsid w:val="00E46535"/>
    <w:rsid w:val="00E46C10"/>
    <w:rsid w:val="00E4727E"/>
    <w:rsid w:val="00E474C6"/>
    <w:rsid w:val="00E47761"/>
    <w:rsid w:val="00E47B91"/>
    <w:rsid w:val="00E50BBD"/>
    <w:rsid w:val="00E51398"/>
    <w:rsid w:val="00E5157F"/>
    <w:rsid w:val="00E515CC"/>
    <w:rsid w:val="00E517EC"/>
    <w:rsid w:val="00E52078"/>
    <w:rsid w:val="00E522F1"/>
    <w:rsid w:val="00E52E35"/>
    <w:rsid w:val="00E537C9"/>
    <w:rsid w:val="00E537E3"/>
    <w:rsid w:val="00E53816"/>
    <w:rsid w:val="00E5386B"/>
    <w:rsid w:val="00E53BF9"/>
    <w:rsid w:val="00E541F4"/>
    <w:rsid w:val="00E54583"/>
    <w:rsid w:val="00E5466A"/>
    <w:rsid w:val="00E54927"/>
    <w:rsid w:val="00E54AB5"/>
    <w:rsid w:val="00E54B6A"/>
    <w:rsid w:val="00E54DEB"/>
    <w:rsid w:val="00E54E3E"/>
    <w:rsid w:val="00E54E69"/>
    <w:rsid w:val="00E54F09"/>
    <w:rsid w:val="00E55132"/>
    <w:rsid w:val="00E56CD7"/>
    <w:rsid w:val="00E57057"/>
    <w:rsid w:val="00E57727"/>
    <w:rsid w:val="00E60318"/>
    <w:rsid w:val="00E60377"/>
    <w:rsid w:val="00E604F7"/>
    <w:rsid w:val="00E60850"/>
    <w:rsid w:val="00E60D0B"/>
    <w:rsid w:val="00E60E05"/>
    <w:rsid w:val="00E61424"/>
    <w:rsid w:val="00E61981"/>
    <w:rsid w:val="00E619CC"/>
    <w:rsid w:val="00E61B38"/>
    <w:rsid w:val="00E622C8"/>
    <w:rsid w:val="00E62C63"/>
    <w:rsid w:val="00E6315C"/>
    <w:rsid w:val="00E635FF"/>
    <w:rsid w:val="00E63C32"/>
    <w:rsid w:val="00E63E4E"/>
    <w:rsid w:val="00E63E5C"/>
    <w:rsid w:val="00E641CC"/>
    <w:rsid w:val="00E64240"/>
    <w:rsid w:val="00E64247"/>
    <w:rsid w:val="00E642FD"/>
    <w:rsid w:val="00E6461F"/>
    <w:rsid w:val="00E64C6A"/>
    <w:rsid w:val="00E6505B"/>
    <w:rsid w:val="00E65204"/>
    <w:rsid w:val="00E65FF2"/>
    <w:rsid w:val="00E6613B"/>
    <w:rsid w:val="00E66307"/>
    <w:rsid w:val="00E6631C"/>
    <w:rsid w:val="00E665C1"/>
    <w:rsid w:val="00E66CBE"/>
    <w:rsid w:val="00E66CF9"/>
    <w:rsid w:val="00E66D71"/>
    <w:rsid w:val="00E66EDB"/>
    <w:rsid w:val="00E678DA"/>
    <w:rsid w:val="00E67DBE"/>
    <w:rsid w:val="00E67EE6"/>
    <w:rsid w:val="00E701D7"/>
    <w:rsid w:val="00E7052F"/>
    <w:rsid w:val="00E70677"/>
    <w:rsid w:val="00E706E9"/>
    <w:rsid w:val="00E70849"/>
    <w:rsid w:val="00E70996"/>
    <w:rsid w:val="00E70BCE"/>
    <w:rsid w:val="00E70D1D"/>
    <w:rsid w:val="00E722EB"/>
    <w:rsid w:val="00E72F8C"/>
    <w:rsid w:val="00E73F11"/>
    <w:rsid w:val="00E744B4"/>
    <w:rsid w:val="00E74A75"/>
    <w:rsid w:val="00E74B90"/>
    <w:rsid w:val="00E74F9A"/>
    <w:rsid w:val="00E75761"/>
    <w:rsid w:val="00E75DB6"/>
    <w:rsid w:val="00E77785"/>
    <w:rsid w:val="00E779B2"/>
    <w:rsid w:val="00E77BB0"/>
    <w:rsid w:val="00E77E16"/>
    <w:rsid w:val="00E77E6E"/>
    <w:rsid w:val="00E80461"/>
    <w:rsid w:val="00E8046F"/>
    <w:rsid w:val="00E806DD"/>
    <w:rsid w:val="00E813FA"/>
    <w:rsid w:val="00E8163B"/>
    <w:rsid w:val="00E81F87"/>
    <w:rsid w:val="00E81FC9"/>
    <w:rsid w:val="00E82492"/>
    <w:rsid w:val="00E82D07"/>
    <w:rsid w:val="00E83134"/>
    <w:rsid w:val="00E832D0"/>
    <w:rsid w:val="00E833D7"/>
    <w:rsid w:val="00E834C6"/>
    <w:rsid w:val="00E83553"/>
    <w:rsid w:val="00E83949"/>
    <w:rsid w:val="00E83B2F"/>
    <w:rsid w:val="00E8475E"/>
    <w:rsid w:val="00E84CB4"/>
    <w:rsid w:val="00E851E5"/>
    <w:rsid w:val="00E852DF"/>
    <w:rsid w:val="00E85535"/>
    <w:rsid w:val="00E85A5D"/>
    <w:rsid w:val="00E85A96"/>
    <w:rsid w:val="00E860E3"/>
    <w:rsid w:val="00E8625A"/>
    <w:rsid w:val="00E86274"/>
    <w:rsid w:val="00E869A5"/>
    <w:rsid w:val="00E86A6F"/>
    <w:rsid w:val="00E86C21"/>
    <w:rsid w:val="00E86CB3"/>
    <w:rsid w:val="00E86FED"/>
    <w:rsid w:val="00E87B15"/>
    <w:rsid w:val="00E908B3"/>
    <w:rsid w:val="00E90C7B"/>
    <w:rsid w:val="00E90CD2"/>
    <w:rsid w:val="00E90DAB"/>
    <w:rsid w:val="00E90F27"/>
    <w:rsid w:val="00E9102A"/>
    <w:rsid w:val="00E911BA"/>
    <w:rsid w:val="00E91639"/>
    <w:rsid w:val="00E91983"/>
    <w:rsid w:val="00E91999"/>
    <w:rsid w:val="00E919A9"/>
    <w:rsid w:val="00E921D4"/>
    <w:rsid w:val="00E92736"/>
    <w:rsid w:val="00E93013"/>
    <w:rsid w:val="00E930E8"/>
    <w:rsid w:val="00E9411F"/>
    <w:rsid w:val="00E9420A"/>
    <w:rsid w:val="00E94C19"/>
    <w:rsid w:val="00E95488"/>
    <w:rsid w:val="00E96340"/>
    <w:rsid w:val="00E974D1"/>
    <w:rsid w:val="00E97B61"/>
    <w:rsid w:val="00E97D78"/>
    <w:rsid w:val="00EA0174"/>
    <w:rsid w:val="00EA0714"/>
    <w:rsid w:val="00EA0829"/>
    <w:rsid w:val="00EA0A23"/>
    <w:rsid w:val="00EA0A7B"/>
    <w:rsid w:val="00EA0C0A"/>
    <w:rsid w:val="00EA1491"/>
    <w:rsid w:val="00EA262A"/>
    <w:rsid w:val="00EA269A"/>
    <w:rsid w:val="00EA2755"/>
    <w:rsid w:val="00EA2836"/>
    <w:rsid w:val="00EA2AF4"/>
    <w:rsid w:val="00EA321A"/>
    <w:rsid w:val="00EA3EFF"/>
    <w:rsid w:val="00EA433F"/>
    <w:rsid w:val="00EA48DB"/>
    <w:rsid w:val="00EA4D43"/>
    <w:rsid w:val="00EA4E07"/>
    <w:rsid w:val="00EA51FC"/>
    <w:rsid w:val="00EA523A"/>
    <w:rsid w:val="00EA5730"/>
    <w:rsid w:val="00EA5877"/>
    <w:rsid w:val="00EA5C6D"/>
    <w:rsid w:val="00EA62DC"/>
    <w:rsid w:val="00EA676A"/>
    <w:rsid w:val="00EA683A"/>
    <w:rsid w:val="00EA692C"/>
    <w:rsid w:val="00EA6E34"/>
    <w:rsid w:val="00EA7A08"/>
    <w:rsid w:val="00EA7DC5"/>
    <w:rsid w:val="00EA7FD2"/>
    <w:rsid w:val="00EB0395"/>
    <w:rsid w:val="00EB05B1"/>
    <w:rsid w:val="00EB0846"/>
    <w:rsid w:val="00EB0BF6"/>
    <w:rsid w:val="00EB1B78"/>
    <w:rsid w:val="00EB1BDA"/>
    <w:rsid w:val="00EB1D66"/>
    <w:rsid w:val="00EB1E09"/>
    <w:rsid w:val="00EB1EC6"/>
    <w:rsid w:val="00EB2149"/>
    <w:rsid w:val="00EB23DE"/>
    <w:rsid w:val="00EB2420"/>
    <w:rsid w:val="00EB2D31"/>
    <w:rsid w:val="00EB2D5E"/>
    <w:rsid w:val="00EB2EA3"/>
    <w:rsid w:val="00EB33E1"/>
    <w:rsid w:val="00EB3521"/>
    <w:rsid w:val="00EB35EA"/>
    <w:rsid w:val="00EB3D69"/>
    <w:rsid w:val="00EB3E7D"/>
    <w:rsid w:val="00EB3F72"/>
    <w:rsid w:val="00EB49BA"/>
    <w:rsid w:val="00EB4BE7"/>
    <w:rsid w:val="00EB4CAF"/>
    <w:rsid w:val="00EB56BD"/>
    <w:rsid w:val="00EB56D2"/>
    <w:rsid w:val="00EB5731"/>
    <w:rsid w:val="00EB5930"/>
    <w:rsid w:val="00EB59C6"/>
    <w:rsid w:val="00EB5DF4"/>
    <w:rsid w:val="00EB6906"/>
    <w:rsid w:val="00EB6AD2"/>
    <w:rsid w:val="00EB6EC7"/>
    <w:rsid w:val="00EB7754"/>
    <w:rsid w:val="00EB7819"/>
    <w:rsid w:val="00EB7901"/>
    <w:rsid w:val="00EC001A"/>
    <w:rsid w:val="00EC0045"/>
    <w:rsid w:val="00EC0288"/>
    <w:rsid w:val="00EC034B"/>
    <w:rsid w:val="00EC107B"/>
    <w:rsid w:val="00EC19AD"/>
    <w:rsid w:val="00EC1AC3"/>
    <w:rsid w:val="00EC1CDC"/>
    <w:rsid w:val="00EC1D35"/>
    <w:rsid w:val="00EC1FCD"/>
    <w:rsid w:val="00EC2685"/>
    <w:rsid w:val="00EC2D59"/>
    <w:rsid w:val="00EC38A7"/>
    <w:rsid w:val="00EC391B"/>
    <w:rsid w:val="00EC43D1"/>
    <w:rsid w:val="00EC44CC"/>
    <w:rsid w:val="00EC4A30"/>
    <w:rsid w:val="00EC4BFE"/>
    <w:rsid w:val="00EC4C52"/>
    <w:rsid w:val="00EC4D72"/>
    <w:rsid w:val="00EC4E0C"/>
    <w:rsid w:val="00EC50B3"/>
    <w:rsid w:val="00EC51C6"/>
    <w:rsid w:val="00EC526D"/>
    <w:rsid w:val="00EC5290"/>
    <w:rsid w:val="00EC557A"/>
    <w:rsid w:val="00EC591D"/>
    <w:rsid w:val="00EC6736"/>
    <w:rsid w:val="00EC6965"/>
    <w:rsid w:val="00EC6A67"/>
    <w:rsid w:val="00EC6AFD"/>
    <w:rsid w:val="00EC76CF"/>
    <w:rsid w:val="00EC7EAB"/>
    <w:rsid w:val="00ED0233"/>
    <w:rsid w:val="00ED0871"/>
    <w:rsid w:val="00ED14D9"/>
    <w:rsid w:val="00ED152A"/>
    <w:rsid w:val="00ED1868"/>
    <w:rsid w:val="00ED2563"/>
    <w:rsid w:val="00ED2664"/>
    <w:rsid w:val="00ED29AD"/>
    <w:rsid w:val="00ED29FD"/>
    <w:rsid w:val="00ED2BB9"/>
    <w:rsid w:val="00ED2DF0"/>
    <w:rsid w:val="00ED327C"/>
    <w:rsid w:val="00ED33F9"/>
    <w:rsid w:val="00ED346F"/>
    <w:rsid w:val="00ED372B"/>
    <w:rsid w:val="00ED38B2"/>
    <w:rsid w:val="00ED3A00"/>
    <w:rsid w:val="00ED3D32"/>
    <w:rsid w:val="00ED4122"/>
    <w:rsid w:val="00ED45C9"/>
    <w:rsid w:val="00ED45EF"/>
    <w:rsid w:val="00ED4D04"/>
    <w:rsid w:val="00ED55CD"/>
    <w:rsid w:val="00ED55F8"/>
    <w:rsid w:val="00ED5B72"/>
    <w:rsid w:val="00ED5CAD"/>
    <w:rsid w:val="00ED660E"/>
    <w:rsid w:val="00ED6C20"/>
    <w:rsid w:val="00ED7163"/>
    <w:rsid w:val="00ED79E8"/>
    <w:rsid w:val="00ED7D42"/>
    <w:rsid w:val="00EE0793"/>
    <w:rsid w:val="00EE0BEA"/>
    <w:rsid w:val="00EE0C69"/>
    <w:rsid w:val="00EE0E16"/>
    <w:rsid w:val="00EE124F"/>
    <w:rsid w:val="00EE153C"/>
    <w:rsid w:val="00EE1A42"/>
    <w:rsid w:val="00EE1AC6"/>
    <w:rsid w:val="00EE1EA5"/>
    <w:rsid w:val="00EE2092"/>
    <w:rsid w:val="00EE225E"/>
    <w:rsid w:val="00EE22F1"/>
    <w:rsid w:val="00EE2A38"/>
    <w:rsid w:val="00EE2ADA"/>
    <w:rsid w:val="00EE373A"/>
    <w:rsid w:val="00EE379F"/>
    <w:rsid w:val="00EE37E7"/>
    <w:rsid w:val="00EE3ECD"/>
    <w:rsid w:val="00EE437E"/>
    <w:rsid w:val="00EE44B3"/>
    <w:rsid w:val="00EE464A"/>
    <w:rsid w:val="00EE4AA7"/>
    <w:rsid w:val="00EE4E66"/>
    <w:rsid w:val="00EE4E7A"/>
    <w:rsid w:val="00EE5410"/>
    <w:rsid w:val="00EE6275"/>
    <w:rsid w:val="00EE6EB2"/>
    <w:rsid w:val="00EE74C3"/>
    <w:rsid w:val="00EE7625"/>
    <w:rsid w:val="00EE784A"/>
    <w:rsid w:val="00EE78B3"/>
    <w:rsid w:val="00EE7A62"/>
    <w:rsid w:val="00EF00CA"/>
    <w:rsid w:val="00EF01DD"/>
    <w:rsid w:val="00EF0773"/>
    <w:rsid w:val="00EF0824"/>
    <w:rsid w:val="00EF0A10"/>
    <w:rsid w:val="00EF0FD2"/>
    <w:rsid w:val="00EF105A"/>
    <w:rsid w:val="00EF12D2"/>
    <w:rsid w:val="00EF190B"/>
    <w:rsid w:val="00EF1EFE"/>
    <w:rsid w:val="00EF2371"/>
    <w:rsid w:val="00EF25F6"/>
    <w:rsid w:val="00EF28E1"/>
    <w:rsid w:val="00EF2B41"/>
    <w:rsid w:val="00EF2E56"/>
    <w:rsid w:val="00EF3026"/>
    <w:rsid w:val="00EF359C"/>
    <w:rsid w:val="00EF3764"/>
    <w:rsid w:val="00EF3CCA"/>
    <w:rsid w:val="00EF3DA7"/>
    <w:rsid w:val="00EF4170"/>
    <w:rsid w:val="00EF41BD"/>
    <w:rsid w:val="00EF444F"/>
    <w:rsid w:val="00EF4792"/>
    <w:rsid w:val="00EF4A89"/>
    <w:rsid w:val="00EF4AD4"/>
    <w:rsid w:val="00EF4E23"/>
    <w:rsid w:val="00EF5A57"/>
    <w:rsid w:val="00EF60A3"/>
    <w:rsid w:val="00EF60C0"/>
    <w:rsid w:val="00EF62A8"/>
    <w:rsid w:val="00EF6ABB"/>
    <w:rsid w:val="00EF6DA1"/>
    <w:rsid w:val="00EF6F4F"/>
    <w:rsid w:val="00EF72AE"/>
    <w:rsid w:val="00EF7D04"/>
    <w:rsid w:val="00F00182"/>
    <w:rsid w:val="00F00431"/>
    <w:rsid w:val="00F005A8"/>
    <w:rsid w:val="00F00FE6"/>
    <w:rsid w:val="00F01362"/>
    <w:rsid w:val="00F01B46"/>
    <w:rsid w:val="00F02AC7"/>
    <w:rsid w:val="00F02C76"/>
    <w:rsid w:val="00F02D0D"/>
    <w:rsid w:val="00F030A9"/>
    <w:rsid w:val="00F03222"/>
    <w:rsid w:val="00F036C5"/>
    <w:rsid w:val="00F0391D"/>
    <w:rsid w:val="00F03A45"/>
    <w:rsid w:val="00F03BD5"/>
    <w:rsid w:val="00F0503F"/>
    <w:rsid w:val="00F052F7"/>
    <w:rsid w:val="00F05497"/>
    <w:rsid w:val="00F05603"/>
    <w:rsid w:val="00F05A5B"/>
    <w:rsid w:val="00F05BDF"/>
    <w:rsid w:val="00F065BB"/>
    <w:rsid w:val="00F06954"/>
    <w:rsid w:val="00F069DA"/>
    <w:rsid w:val="00F06BCA"/>
    <w:rsid w:val="00F07468"/>
    <w:rsid w:val="00F104DC"/>
    <w:rsid w:val="00F1087F"/>
    <w:rsid w:val="00F10929"/>
    <w:rsid w:val="00F10D72"/>
    <w:rsid w:val="00F10FE5"/>
    <w:rsid w:val="00F113B7"/>
    <w:rsid w:val="00F11770"/>
    <w:rsid w:val="00F11FE6"/>
    <w:rsid w:val="00F12580"/>
    <w:rsid w:val="00F12668"/>
    <w:rsid w:val="00F12BE3"/>
    <w:rsid w:val="00F1312B"/>
    <w:rsid w:val="00F1344A"/>
    <w:rsid w:val="00F138DE"/>
    <w:rsid w:val="00F13A7D"/>
    <w:rsid w:val="00F13ABA"/>
    <w:rsid w:val="00F13CB9"/>
    <w:rsid w:val="00F14592"/>
    <w:rsid w:val="00F146C3"/>
    <w:rsid w:val="00F14C86"/>
    <w:rsid w:val="00F14C8C"/>
    <w:rsid w:val="00F14ECB"/>
    <w:rsid w:val="00F15AB1"/>
    <w:rsid w:val="00F160A5"/>
    <w:rsid w:val="00F16280"/>
    <w:rsid w:val="00F167D1"/>
    <w:rsid w:val="00F16A03"/>
    <w:rsid w:val="00F16AAF"/>
    <w:rsid w:val="00F16E68"/>
    <w:rsid w:val="00F172E0"/>
    <w:rsid w:val="00F173D2"/>
    <w:rsid w:val="00F17515"/>
    <w:rsid w:val="00F1763C"/>
    <w:rsid w:val="00F178EC"/>
    <w:rsid w:val="00F17C32"/>
    <w:rsid w:val="00F17E7C"/>
    <w:rsid w:val="00F20285"/>
    <w:rsid w:val="00F202DD"/>
    <w:rsid w:val="00F20AFA"/>
    <w:rsid w:val="00F20C27"/>
    <w:rsid w:val="00F212BA"/>
    <w:rsid w:val="00F21485"/>
    <w:rsid w:val="00F21639"/>
    <w:rsid w:val="00F2178F"/>
    <w:rsid w:val="00F22B31"/>
    <w:rsid w:val="00F22B98"/>
    <w:rsid w:val="00F234F0"/>
    <w:rsid w:val="00F23836"/>
    <w:rsid w:val="00F23FA9"/>
    <w:rsid w:val="00F24005"/>
    <w:rsid w:val="00F24529"/>
    <w:rsid w:val="00F24565"/>
    <w:rsid w:val="00F24854"/>
    <w:rsid w:val="00F249E3"/>
    <w:rsid w:val="00F24D09"/>
    <w:rsid w:val="00F24D87"/>
    <w:rsid w:val="00F24E5F"/>
    <w:rsid w:val="00F25151"/>
    <w:rsid w:val="00F25A2B"/>
    <w:rsid w:val="00F262DC"/>
    <w:rsid w:val="00F264A2"/>
    <w:rsid w:val="00F264E4"/>
    <w:rsid w:val="00F26E50"/>
    <w:rsid w:val="00F26F06"/>
    <w:rsid w:val="00F27444"/>
    <w:rsid w:val="00F274E3"/>
    <w:rsid w:val="00F2765F"/>
    <w:rsid w:val="00F27A5E"/>
    <w:rsid w:val="00F27E4F"/>
    <w:rsid w:val="00F3012A"/>
    <w:rsid w:val="00F301A4"/>
    <w:rsid w:val="00F301AE"/>
    <w:rsid w:val="00F306E4"/>
    <w:rsid w:val="00F324DD"/>
    <w:rsid w:val="00F324F8"/>
    <w:rsid w:val="00F327C3"/>
    <w:rsid w:val="00F32C01"/>
    <w:rsid w:val="00F32EB6"/>
    <w:rsid w:val="00F33905"/>
    <w:rsid w:val="00F33945"/>
    <w:rsid w:val="00F33F2A"/>
    <w:rsid w:val="00F3440A"/>
    <w:rsid w:val="00F345A0"/>
    <w:rsid w:val="00F34675"/>
    <w:rsid w:val="00F3514B"/>
    <w:rsid w:val="00F3516D"/>
    <w:rsid w:val="00F3526A"/>
    <w:rsid w:val="00F35347"/>
    <w:rsid w:val="00F35794"/>
    <w:rsid w:val="00F35D54"/>
    <w:rsid w:val="00F35F3A"/>
    <w:rsid w:val="00F36977"/>
    <w:rsid w:val="00F36E7D"/>
    <w:rsid w:val="00F370D4"/>
    <w:rsid w:val="00F37783"/>
    <w:rsid w:val="00F377E7"/>
    <w:rsid w:val="00F37A8E"/>
    <w:rsid w:val="00F37DF6"/>
    <w:rsid w:val="00F4032C"/>
    <w:rsid w:val="00F40333"/>
    <w:rsid w:val="00F40526"/>
    <w:rsid w:val="00F40BC3"/>
    <w:rsid w:val="00F40E8C"/>
    <w:rsid w:val="00F41016"/>
    <w:rsid w:val="00F4152A"/>
    <w:rsid w:val="00F41654"/>
    <w:rsid w:val="00F417C5"/>
    <w:rsid w:val="00F41CE5"/>
    <w:rsid w:val="00F425DA"/>
    <w:rsid w:val="00F42768"/>
    <w:rsid w:val="00F42FCE"/>
    <w:rsid w:val="00F43B83"/>
    <w:rsid w:val="00F43E30"/>
    <w:rsid w:val="00F441BA"/>
    <w:rsid w:val="00F441E7"/>
    <w:rsid w:val="00F446AF"/>
    <w:rsid w:val="00F447EB"/>
    <w:rsid w:val="00F4556C"/>
    <w:rsid w:val="00F45690"/>
    <w:rsid w:val="00F45E6C"/>
    <w:rsid w:val="00F463A2"/>
    <w:rsid w:val="00F47EE2"/>
    <w:rsid w:val="00F502D8"/>
    <w:rsid w:val="00F508AC"/>
    <w:rsid w:val="00F50C64"/>
    <w:rsid w:val="00F50EB7"/>
    <w:rsid w:val="00F51DA2"/>
    <w:rsid w:val="00F5220B"/>
    <w:rsid w:val="00F52330"/>
    <w:rsid w:val="00F52A14"/>
    <w:rsid w:val="00F52A52"/>
    <w:rsid w:val="00F52B3E"/>
    <w:rsid w:val="00F52BC0"/>
    <w:rsid w:val="00F52C77"/>
    <w:rsid w:val="00F52E9B"/>
    <w:rsid w:val="00F538D3"/>
    <w:rsid w:val="00F5392C"/>
    <w:rsid w:val="00F539C2"/>
    <w:rsid w:val="00F53C27"/>
    <w:rsid w:val="00F53C47"/>
    <w:rsid w:val="00F53E7D"/>
    <w:rsid w:val="00F54111"/>
    <w:rsid w:val="00F549FE"/>
    <w:rsid w:val="00F54A08"/>
    <w:rsid w:val="00F55072"/>
    <w:rsid w:val="00F553BC"/>
    <w:rsid w:val="00F55583"/>
    <w:rsid w:val="00F55689"/>
    <w:rsid w:val="00F558E5"/>
    <w:rsid w:val="00F56007"/>
    <w:rsid w:val="00F56B10"/>
    <w:rsid w:val="00F5716D"/>
    <w:rsid w:val="00F577BD"/>
    <w:rsid w:val="00F57972"/>
    <w:rsid w:val="00F57B80"/>
    <w:rsid w:val="00F57C48"/>
    <w:rsid w:val="00F60120"/>
    <w:rsid w:val="00F61A60"/>
    <w:rsid w:val="00F61B47"/>
    <w:rsid w:val="00F61D0F"/>
    <w:rsid w:val="00F62405"/>
    <w:rsid w:val="00F62587"/>
    <w:rsid w:val="00F62AD1"/>
    <w:rsid w:val="00F62C23"/>
    <w:rsid w:val="00F62DDF"/>
    <w:rsid w:val="00F62FAA"/>
    <w:rsid w:val="00F631A1"/>
    <w:rsid w:val="00F63F66"/>
    <w:rsid w:val="00F63F8C"/>
    <w:rsid w:val="00F64214"/>
    <w:rsid w:val="00F643C9"/>
    <w:rsid w:val="00F64BC2"/>
    <w:rsid w:val="00F64EA4"/>
    <w:rsid w:val="00F6511A"/>
    <w:rsid w:val="00F6525E"/>
    <w:rsid w:val="00F65425"/>
    <w:rsid w:val="00F659B2"/>
    <w:rsid w:val="00F65BB5"/>
    <w:rsid w:val="00F65DF7"/>
    <w:rsid w:val="00F6652C"/>
    <w:rsid w:val="00F67192"/>
    <w:rsid w:val="00F67366"/>
    <w:rsid w:val="00F677EB"/>
    <w:rsid w:val="00F67E82"/>
    <w:rsid w:val="00F7029C"/>
    <w:rsid w:val="00F704F0"/>
    <w:rsid w:val="00F708FB"/>
    <w:rsid w:val="00F70930"/>
    <w:rsid w:val="00F70ABF"/>
    <w:rsid w:val="00F70B1C"/>
    <w:rsid w:val="00F7172C"/>
    <w:rsid w:val="00F71E74"/>
    <w:rsid w:val="00F72225"/>
    <w:rsid w:val="00F7230C"/>
    <w:rsid w:val="00F72634"/>
    <w:rsid w:val="00F72ABC"/>
    <w:rsid w:val="00F72F37"/>
    <w:rsid w:val="00F72FB6"/>
    <w:rsid w:val="00F73ABF"/>
    <w:rsid w:val="00F73B6F"/>
    <w:rsid w:val="00F73DB6"/>
    <w:rsid w:val="00F7422C"/>
    <w:rsid w:val="00F742F7"/>
    <w:rsid w:val="00F744B4"/>
    <w:rsid w:val="00F749CE"/>
    <w:rsid w:val="00F74AB6"/>
    <w:rsid w:val="00F75135"/>
    <w:rsid w:val="00F75324"/>
    <w:rsid w:val="00F75380"/>
    <w:rsid w:val="00F7564A"/>
    <w:rsid w:val="00F75B4C"/>
    <w:rsid w:val="00F75EB1"/>
    <w:rsid w:val="00F761F7"/>
    <w:rsid w:val="00F76436"/>
    <w:rsid w:val="00F765E4"/>
    <w:rsid w:val="00F7675A"/>
    <w:rsid w:val="00F76900"/>
    <w:rsid w:val="00F76EAC"/>
    <w:rsid w:val="00F773B0"/>
    <w:rsid w:val="00F77839"/>
    <w:rsid w:val="00F77F05"/>
    <w:rsid w:val="00F8062B"/>
    <w:rsid w:val="00F809DF"/>
    <w:rsid w:val="00F80DB0"/>
    <w:rsid w:val="00F81089"/>
    <w:rsid w:val="00F8117D"/>
    <w:rsid w:val="00F81374"/>
    <w:rsid w:val="00F81534"/>
    <w:rsid w:val="00F8193E"/>
    <w:rsid w:val="00F81A22"/>
    <w:rsid w:val="00F81B94"/>
    <w:rsid w:val="00F81BE1"/>
    <w:rsid w:val="00F82C56"/>
    <w:rsid w:val="00F82CE5"/>
    <w:rsid w:val="00F82CE6"/>
    <w:rsid w:val="00F82F55"/>
    <w:rsid w:val="00F82FB5"/>
    <w:rsid w:val="00F83200"/>
    <w:rsid w:val="00F8354A"/>
    <w:rsid w:val="00F837F6"/>
    <w:rsid w:val="00F83AC9"/>
    <w:rsid w:val="00F84180"/>
    <w:rsid w:val="00F85E85"/>
    <w:rsid w:val="00F8684B"/>
    <w:rsid w:val="00F86A71"/>
    <w:rsid w:val="00F86CFE"/>
    <w:rsid w:val="00F873DB"/>
    <w:rsid w:val="00F87716"/>
    <w:rsid w:val="00F87B7F"/>
    <w:rsid w:val="00F87EA0"/>
    <w:rsid w:val="00F87F26"/>
    <w:rsid w:val="00F90A73"/>
    <w:rsid w:val="00F90BCF"/>
    <w:rsid w:val="00F90F9B"/>
    <w:rsid w:val="00F92490"/>
    <w:rsid w:val="00F92F1A"/>
    <w:rsid w:val="00F9300B"/>
    <w:rsid w:val="00F9368F"/>
    <w:rsid w:val="00F9398E"/>
    <w:rsid w:val="00F94121"/>
    <w:rsid w:val="00F94923"/>
    <w:rsid w:val="00F94B2C"/>
    <w:rsid w:val="00F94DC6"/>
    <w:rsid w:val="00F94DE1"/>
    <w:rsid w:val="00F94E4C"/>
    <w:rsid w:val="00F94F60"/>
    <w:rsid w:val="00F955D5"/>
    <w:rsid w:val="00F95800"/>
    <w:rsid w:val="00F96191"/>
    <w:rsid w:val="00F96415"/>
    <w:rsid w:val="00F964C8"/>
    <w:rsid w:val="00F969A1"/>
    <w:rsid w:val="00F9705F"/>
    <w:rsid w:val="00F971E9"/>
    <w:rsid w:val="00F974E3"/>
    <w:rsid w:val="00FA0408"/>
    <w:rsid w:val="00FA04D5"/>
    <w:rsid w:val="00FA0BE8"/>
    <w:rsid w:val="00FA0F5B"/>
    <w:rsid w:val="00FA112F"/>
    <w:rsid w:val="00FA155F"/>
    <w:rsid w:val="00FA1863"/>
    <w:rsid w:val="00FA1F88"/>
    <w:rsid w:val="00FA20EB"/>
    <w:rsid w:val="00FA2754"/>
    <w:rsid w:val="00FA30AD"/>
    <w:rsid w:val="00FA379E"/>
    <w:rsid w:val="00FA3927"/>
    <w:rsid w:val="00FA3F23"/>
    <w:rsid w:val="00FA4383"/>
    <w:rsid w:val="00FA4747"/>
    <w:rsid w:val="00FA499C"/>
    <w:rsid w:val="00FA49BB"/>
    <w:rsid w:val="00FA4F99"/>
    <w:rsid w:val="00FA519E"/>
    <w:rsid w:val="00FA54DA"/>
    <w:rsid w:val="00FA56BC"/>
    <w:rsid w:val="00FA5F37"/>
    <w:rsid w:val="00FA5F67"/>
    <w:rsid w:val="00FA5F71"/>
    <w:rsid w:val="00FA6B25"/>
    <w:rsid w:val="00FA6E53"/>
    <w:rsid w:val="00FA7469"/>
    <w:rsid w:val="00FA7684"/>
    <w:rsid w:val="00FA7C0C"/>
    <w:rsid w:val="00FA7C31"/>
    <w:rsid w:val="00FB024A"/>
    <w:rsid w:val="00FB0E96"/>
    <w:rsid w:val="00FB0EAE"/>
    <w:rsid w:val="00FB0EE2"/>
    <w:rsid w:val="00FB158B"/>
    <w:rsid w:val="00FB19EF"/>
    <w:rsid w:val="00FB1A87"/>
    <w:rsid w:val="00FB2018"/>
    <w:rsid w:val="00FB2389"/>
    <w:rsid w:val="00FB2479"/>
    <w:rsid w:val="00FB250C"/>
    <w:rsid w:val="00FB25C3"/>
    <w:rsid w:val="00FB2CAA"/>
    <w:rsid w:val="00FB353B"/>
    <w:rsid w:val="00FB35FF"/>
    <w:rsid w:val="00FB3A75"/>
    <w:rsid w:val="00FB3E60"/>
    <w:rsid w:val="00FB3F26"/>
    <w:rsid w:val="00FB424E"/>
    <w:rsid w:val="00FB466D"/>
    <w:rsid w:val="00FB47A0"/>
    <w:rsid w:val="00FB4B31"/>
    <w:rsid w:val="00FB4D75"/>
    <w:rsid w:val="00FB4D77"/>
    <w:rsid w:val="00FB54DD"/>
    <w:rsid w:val="00FB5739"/>
    <w:rsid w:val="00FB5958"/>
    <w:rsid w:val="00FB5E35"/>
    <w:rsid w:val="00FB5E57"/>
    <w:rsid w:val="00FB6123"/>
    <w:rsid w:val="00FB62E7"/>
    <w:rsid w:val="00FB7949"/>
    <w:rsid w:val="00FB7FBA"/>
    <w:rsid w:val="00FC0152"/>
    <w:rsid w:val="00FC021E"/>
    <w:rsid w:val="00FC076C"/>
    <w:rsid w:val="00FC08B8"/>
    <w:rsid w:val="00FC1D7D"/>
    <w:rsid w:val="00FC28FB"/>
    <w:rsid w:val="00FC2995"/>
    <w:rsid w:val="00FC29A2"/>
    <w:rsid w:val="00FC319E"/>
    <w:rsid w:val="00FC3545"/>
    <w:rsid w:val="00FC450B"/>
    <w:rsid w:val="00FC46F7"/>
    <w:rsid w:val="00FC471C"/>
    <w:rsid w:val="00FC4913"/>
    <w:rsid w:val="00FC4C32"/>
    <w:rsid w:val="00FC54D5"/>
    <w:rsid w:val="00FC6472"/>
    <w:rsid w:val="00FC6556"/>
    <w:rsid w:val="00FC6DC7"/>
    <w:rsid w:val="00FC6E13"/>
    <w:rsid w:val="00FC7205"/>
    <w:rsid w:val="00FC7894"/>
    <w:rsid w:val="00FC7B51"/>
    <w:rsid w:val="00FD08A4"/>
    <w:rsid w:val="00FD0A84"/>
    <w:rsid w:val="00FD0B0D"/>
    <w:rsid w:val="00FD0BB6"/>
    <w:rsid w:val="00FD1501"/>
    <w:rsid w:val="00FD156E"/>
    <w:rsid w:val="00FD249E"/>
    <w:rsid w:val="00FD27DB"/>
    <w:rsid w:val="00FD2AB7"/>
    <w:rsid w:val="00FD317E"/>
    <w:rsid w:val="00FD3877"/>
    <w:rsid w:val="00FD3F07"/>
    <w:rsid w:val="00FD455A"/>
    <w:rsid w:val="00FD4B41"/>
    <w:rsid w:val="00FD517F"/>
    <w:rsid w:val="00FD5183"/>
    <w:rsid w:val="00FD5350"/>
    <w:rsid w:val="00FD5668"/>
    <w:rsid w:val="00FD5886"/>
    <w:rsid w:val="00FD59DE"/>
    <w:rsid w:val="00FD5B86"/>
    <w:rsid w:val="00FD5C88"/>
    <w:rsid w:val="00FD65CA"/>
    <w:rsid w:val="00FD70E5"/>
    <w:rsid w:val="00FD71A2"/>
    <w:rsid w:val="00FD71A9"/>
    <w:rsid w:val="00FD789A"/>
    <w:rsid w:val="00FE0841"/>
    <w:rsid w:val="00FE0A37"/>
    <w:rsid w:val="00FE0EEA"/>
    <w:rsid w:val="00FE1116"/>
    <w:rsid w:val="00FE12B1"/>
    <w:rsid w:val="00FE13F6"/>
    <w:rsid w:val="00FE1C84"/>
    <w:rsid w:val="00FE25A1"/>
    <w:rsid w:val="00FE270A"/>
    <w:rsid w:val="00FE2B80"/>
    <w:rsid w:val="00FE3293"/>
    <w:rsid w:val="00FE32CB"/>
    <w:rsid w:val="00FE37AD"/>
    <w:rsid w:val="00FE3FE3"/>
    <w:rsid w:val="00FE4976"/>
    <w:rsid w:val="00FE4D3C"/>
    <w:rsid w:val="00FE52A4"/>
    <w:rsid w:val="00FE5C1E"/>
    <w:rsid w:val="00FE6243"/>
    <w:rsid w:val="00FE67CB"/>
    <w:rsid w:val="00FE6C4C"/>
    <w:rsid w:val="00FE70D1"/>
    <w:rsid w:val="00FE7425"/>
    <w:rsid w:val="00FE7C17"/>
    <w:rsid w:val="00FE7C26"/>
    <w:rsid w:val="00FE7C37"/>
    <w:rsid w:val="00FF005D"/>
    <w:rsid w:val="00FF08AF"/>
    <w:rsid w:val="00FF0A53"/>
    <w:rsid w:val="00FF0F94"/>
    <w:rsid w:val="00FF1602"/>
    <w:rsid w:val="00FF19FF"/>
    <w:rsid w:val="00FF20BD"/>
    <w:rsid w:val="00FF27C3"/>
    <w:rsid w:val="00FF284A"/>
    <w:rsid w:val="00FF32A1"/>
    <w:rsid w:val="00FF3933"/>
    <w:rsid w:val="00FF3AC6"/>
    <w:rsid w:val="00FF3DB2"/>
    <w:rsid w:val="00FF3EB6"/>
    <w:rsid w:val="00FF40D8"/>
    <w:rsid w:val="00FF41D6"/>
    <w:rsid w:val="00FF4957"/>
    <w:rsid w:val="00FF518D"/>
    <w:rsid w:val="00FF65FD"/>
    <w:rsid w:val="00FF66B7"/>
    <w:rsid w:val="00FF66E0"/>
    <w:rsid w:val="00FF6CBC"/>
    <w:rsid w:val="00FF6E87"/>
    <w:rsid w:val="00FF70F7"/>
    <w:rsid w:val="00FF71E3"/>
    <w:rsid w:val="00FF734E"/>
    <w:rsid w:val="00FF7455"/>
    <w:rsid w:val="00FF7841"/>
    <w:rsid w:val="00FF7B3F"/>
    <w:rsid w:val="00FF7F7D"/>
    <w:rsid w:val="012264E2"/>
    <w:rsid w:val="01410C19"/>
    <w:rsid w:val="01525122"/>
    <w:rsid w:val="01550F8F"/>
    <w:rsid w:val="015869F5"/>
    <w:rsid w:val="016C32E7"/>
    <w:rsid w:val="017421F3"/>
    <w:rsid w:val="0180170E"/>
    <w:rsid w:val="018A0F14"/>
    <w:rsid w:val="019F47E3"/>
    <w:rsid w:val="01C0753F"/>
    <w:rsid w:val="01C72239"/>
    <w:rsid w:val="01C75F60"/>
    <w:rsid w:val="01CB3CD2"/>
    <w:rsid w:val="01D3397A"/>
    <w:rsid w:val="01D71C5D"/>
    <w:rsid w:val="01E15823"/>
    <w:rsid w:val="01E22DBD"/>
    <w:rsid w:val="01F504C2"/>
    <w:rsid w:val="01FE0077"/>
    <w:rsid w:val="02011332"/>
    <w:rsid w:val="020A423C"/>
    <w:rsid w:val="020C4615"/>
    <w:rsid w:val="021C7114"/>
    <w:rsid w:val="022331BD"/>
    <w:rsid w:val="024531FA"/>
    <w:rsid w:val="02780991"/>
    <w:rsid w:val="02886B37"/>
    <w:rsid w:val="02916854"/>
    <w:rsid w:val="02A62151"/>
    <w:rsid w:val="02B11E31"/>
    <w:rsid w:val="02D441E5"/>
    <w:rsid w:val="02D752BC"/>
    <w:rsid w:val="02E06D9F"/>
    <w:rsid w:val="02F86FB9"/>
    <w:rsid w:val="031C3FC7"/>
    <w:rsid w:val="0320166B"/>
    <w:rsid w:val="032C4136"/>
    <w:rsid w:val="03316AEE"/>
    <w:rsid w:val="033421BF"/>
    <w:rsid w:val="034A2B03"/>
    <w:rsid w:val="035802E3"/>
    <w:rsid w:val="036E6EA6"/>
    <w:rsid w:val="037A0965"/>
    <w:rsid w:val="037A3B41"/>
    <w:rsid w:val="03830F7C"/>
    <w:rsid w:val="038D4818"/>
    <w:rsid w:val="0392598F"/>
    <w:rsid w:val="039A7D5E"/>
    <w:rsid w:val="03A74512"/>
    <w:rsid w:val="03C11D1C"/>
    <w:rsid w:val="03EC6FE4"/>
    <w:rsid w:val="03FB0139"/>
    <w:rsid w:val="04103511"/>
    <w:rsid w:val="042704CF"/>
    <w:rsid w:val="042E26EB"/>
    <w:rsid w:val="042F0E01"/>
    <w:rsid w:val="04697D24"/>
    <w:rsid w:val="04811550"/>
    <w:rsid w:val="04947410"/>
    <w:rsid w:val="049C16E2"/>
    <w:rsid w:val="04AE16E8"/>
    <w:rsid w:val="04B513E4"/>
    <w:rsid w:val="04B619C1"/>
    <w:rsid w:val="04BC5E67"/>
    <w:rsid w:val="04FA0AF7"/>
    <w:rsid w:val="04FB2139"/>
    <w:rsid w:val="050067C9"/>
    <w:rsid w:val="05014D54"/>
    <w:rsid w:val="050158A0"/>
    <w:rsid w:val="05135C2A"/>
    <w:rsid w:val="052F477A"/>
    <w:rsid w:val="05310443"/>
    <w:rsid w:val="055F2A5D"/>
    <w:rsid w:val="05640C89"/>
    <w:rsid w:val="05663966"/>
    <w:rsid w:val="056D35FF"/>
    <w:rsid w:val="05847FC5"/>
    <w:rsid w:val="058D2342"/>
    <w:rsid w:val="059E1945"/>
    <w:rsid w:val="05A465B3"/>
    <w:rsid w:val="05A50190"/>
    <w:rsid w:val="05B73A9D"/>
    <w:rsid w:val="05CB48EB"/>
    <w:rsid w:val="05CF4A1A"/>
    <w:rsid w:val="05EB7319"/>
    <w:rsid w:val="060F70DA"/>
    <w:rsid w:val="062144D6"/>
    <w:rsid w:val="062F78B2"/>
    <w:rsid w:val="0667411E"/>
    <w:rsid w:val="067A68B1"/>
    <w:rsid w:val="067D4B1A"/>
    <w:rsid w:val="068428E9"/>
    <w:rsid w:val="0694017D"/>
    <w:rsid w:val="06943A7E"/>
    <w:rsid w:val="06AE4BFF"/>
    <w:rsid w:val="06CB554D"/>
    <w:rsid w:val="06D4604D"/>
    <w:rsid w:val="06E72C7C"/>
    <w:rsid w:val="06FB3E02"/>
    <w:rsid w:val="07172081"/>
    <w:rsid w:val="0745745F"/>
    <w:rsid w:val="07573DC6"/>
    <w:rsid w:val="07762ADF"/>
    <w:rsid w:val="079B7E09"/>
    <w:rsid w:val="07A14AC1"/>
    <w:rsid w:val="07A92F92"/>
    <w:rsid w:val="07B0238C"/>
    <w:rsid w:val="07D32A5B"/>
    <w:rsid w:val="07EC3C61"/>
    <w:rsid w:val="07EE57F7"/>
    <w:rsid w:val="07FA3376"/>
    <w:rsid w:val="07FF38DB"/>
    <w:rsid w:val="08103916"/>
    <w:rsid w:val="085F15D7"/>
    <w:rsid w:val="08644AB0"/>
    <w:rsid w:val="08653E0A"/>
    <w:rsid w:val="086B5F49"/>
    <w:rsid w:val="087C2834"/>
    <w:rsid w:val="088607CE"/>
    <w:rsid w:val="088E6208"/>
    <w:rsid w:val="08916C1D"/>
    <w:rsid w:val="0894259F"/>
    <w:rsid w:val="08AC7EA7"/>
    <w:rsid w:val="08C3177D"/>
    <w:rsid w:val="08DC6217"/>
    <w:rsid w:val="08E1313F"/>
    <w:rsid w:val="08E36614"/>
    <w:rsid w:val="08FF1C4F"/>
    <w:rsid w:val="09024CF1"/>
    <w:rsid w:val="090304FB"/>
    <w:rsid w:val="0905320B"/>
    <w:rsid w:val="09120DB1"/>
    <w:rsid w:val="09152A39"/>
    <w:rsid w:val="09196280"/>
    <w:rsid w:val="09364E0A"/>
    <w:rsid w:val="09375053"/>
    <w:rsid w:val="0940382B"/>
    <w:rsid w:val="0940393E"/>
    <w:rsid w:val="0942101F"/>
    <w:rsid w:val="09457797"/>
    <w:rsid w:val="097C4A9B"/>
    <w:rsid w:val="097E11E4"/>
    <w:rsid w:val="098708AE"/>
    <w:rsid w:val="098E656E"/>
    <w:rsid w:val="09956ED1"/>
    <w:rsid w:val="09A137B2"/>
    <w:rsid w:val="09A353F2"/>
    <w:rsid w:val="09B071B0"/>
    <w:rsid w:val="09BD3EAC"/>
    <w:rsid w:val="09C34F80"/>
    <w:rsid w:val="09D43F10"/>
    <w:rsid w:val="09E61F4C"/>
    <w:rsid w:val="09F4274E"/>
    <w:rsid w:val="09FA6AD5"/>
    <w:rsid w:val="0A124696"/>
    <w:rsid w:val="0A1E5BFE"/>
    <w:rsid w:val="0A25327B"/>
    <w:rsid w:val="0A2A6D4F"/>
    <w:rsid w:val="0A2F105E"/>
    <w:rsid w:val="0A336EAB"/>
    <w:rsid w:val="0A3F41CF"/>
    <w:rsid w:val="0A9A2ABA"/>
    <w:rsid w:val="0AA214C5"/>
    <w:rsid w:val="0AA42C23"/>
    <w:rsid w:val="0AAF7414"/>
    <w:rsid w:val="0AB1322C"/>
    <w:rsid w:val="0AB4368F"/>
    <w:rsid w:val="0AC74ABE"/>
    <w:rsid w:val="0AD44EDE"/>
    <w:rsid w:val="0AE155E5"/>
    <w:rsid w:val="0AEA4B98"/>
    <w:rsid w:val="0AF21E70"/>
    <w:rsid w:val="0B06333A"/>
    <w:rsid w:val="0B2C5F01"/>
    <w:rsid w:val="0B35434A"/>
    <w:rsid w:val="0B370A42"/>
    <w:rsid w:val="0B3B2C7B"/>
    <w:rsid w:val="0B3D461F"/>
    <w:rsid w:val="0B426F27"/>
    <w:rsid w:val="0B582372"/>
    <w:rsid w:val="0B5A3875"/>
    <w:rsid w:val="0B5A6E15"/>
    <w:rsid w:val="0B790D5B"/>
    <w:rsid w:val="0B7A088D"/>
    <w:rsid w:val="0B8119DD"/>
    <w:rsid w:val="0B87398A"/>
    <w:rsid w:val="0BAE0696"/>
    <w:rsid w:val="0BB31EED"/>
    <w:rsid w:val="0BC05DF0"/>
    <w:rsid w:val="0BCB2A5E"/>
    <w:rsid w:val="0BE11C39"/>
    <w:rsid w:val="0BE1653B"/>
    <w:rsid w:val="0BE177BF"/>
    <w:rsid w:val="0BEF0F6B"/>
    <w:rsid w:val="0BEF38EF"/>
    <w:rsid w:val="0BF5463E"/>
    <w:rsid w:val="0BF746DC"/>
    <w:rsid w:val="0C101989"/>
    <w:rsid w:val="0C115D59"/>
    <w:rsid w:val="0C1D53EF"/>
    <w:rsid w:val="0C3B6A9C"/>
    <w:rsid w:val="0C4C3EA9"/>
    <w:rsid w:val="0C6D31F5"/>
    <w:rsid w:val="0C721E81"/>
    <w:rsid w:val="0C8057A0"/>
    <w:rsid w:val="0C8929C0"/>
    <w:rsid w:val="0C8B4287"/>
    <w:rsid w:val="0C9E7C01"/>
    <w:rsid w:val="0CA10DF1"/>
    <w:rsid w:val="0CA404C7"/>
    <w:rsid w:val="0CA559CC"/>
    <w:rsid w:val="0CAC3A02"/>
    <w:rsid w:val="0CC540F7"/>
    <w:rsid w:val="0CD30126"/>
    <w:rsid w:val="0CDD2F16"/>
    <w:rsid w:val="0CE475FA"/>
    <w:rsid w:val="0CE75980"/>
    <w:rsid w:val="0CFB1B8B"/>
    <w:rsid w:val="0D183B9A"/>
    <w:rsid w:val="0D2736F7"/>
    <w:rsid w:val="0D28745D"/>
    <w:rsid w:val="0D2B314A"/>
    <w:rsid w:val="0D325489"/>
    <w:rsid w:val="0D3B0769"/>
    <w:rsid w:val="0D423917"/>
    <w:rsid w:val="0D5112B5"/>
    <w:rsid w:val="0D530F50"/>
    <w:rsid w:val="0D553231"/>
    <w:rsid w:val="0D6071C4"/>
    <w:rsid w:val="0D620736"/>
    <w:rsid w:val="0D62395C"/>
    <w:rsid w:val="0D9D36E6"/>
    <w:rsid w:val="0DA246AE"/>
    <w:rsid w:val="0DA30313"/>
    <w:rsid w:val="0DBB571C"/>
    <w:rsid w:val="0DC24331"/>
    <w:rsid w:val="0DF82B4E"/>
    <w:rsid w:val="0E0E3207"/>
    <w:rsid w:val="0E172C2B"/>
    <w:rsid w:val="0E3D6601"/>
    <w:rsid w:val="0E3D7558"/>
    <w:rsid w:val="0E455CF9"/>
    <w:rsid w:val="0E4D2835"/>
    <w:rsid w:val="0E651252"/>
    <w:rsid w:val="0E7209CD"/>
    <w:rsid w:val="0E745C52"/>
    <w:rsid w:val="0E7A2CD0"/>
    <w:rsid w:val="0E7E5257"/>
    <w:rsid w:val="0E836873"/>
    <w:rsid w:val="0E9534FA"/>
    <w:rsid w:val="0EA15ABF"/>
    <w:rsid w:val="0EA53794"/>
    <w:rsid w:val="0EAD0BA0"/>
    <w:rsid w:val="0EB41B5C"/>
    <w:rsid w:val="0EE51C51"/>
    <w:rsid w:val="0EEF729C"/>
    <w:rsid w:val="0EF25A94"/>
    <w:rsid w:val="0EF76B7D"/>
    <w:rsid w:val="0F020A53"/>
    <w:rsid w:val="0F0247C9"/>
    <w:rsid w:val="0F0A3BA7"/>
    <w:rsid w:val="0F334B7F"/>
    <w:rsid w:val="0F625029"/>
    <w:rsid w:val="0F7F207E"/>
    <w:rsid w:val="0FA15EC4"/>
    <w:rsid w:val="0FA96C89"/>
    <w:rsid w:val="0FBC3F05"/>
    <w:rsid w:val="0FBC4049"/>
    <w:rsid w:val="0FD336A6"/>
    <w:rsid w:val="0FE800BF"/>
    <w:rsid w:val="0FE8625E"/>
    <w:rsid w:val="0FF75514"/>
    <w:rsid w:val="0FFE2CE9"/>
    <w:rsid w:val="10056475"/>
    <w:rsid w:val="100E3ADB"/>
    <w:rsid w:val="1045726F"/>
    <w:rsid w:val="10531882"/>
    <w:rsid w:val="106D2E1E"/>
    <w:rsid w:val="109F2886"/>
    <w:rsid w:val="10A0320A"/>
    <w:rsid w:val="10D625E5"/>
    <w:rsid w:val="10F4725D"/>
    <w:rsid w:val="11030DE9"/>
    <w:rsid w:val="11034D52"/>
    <w:rsid w:val="112F4FBE"/>
    <w:rsid w:val="113F1600"/>
    <w:rsid w:val="114E150D"/>
    <w:rsid w:val="116C0075"/>
    <w:rsid w:val="116C0EB2"/>
    <w:rsid w:val="117851FF"/>
    <w:rsid w:val="118210C8"/>
    <w:rsid w:val="118505EF"/>
    <w:rsid w:val="11855A5D"/>
    <w:rsid w:val="11933D7F"/>
    <w:rsid w:val="119A56B6"/>
    <w:rsid w:val="11A616E5"/>
    <w:rsid w:val="11AF3645"/>
    <w:rsid w:val="11CD31F3"/>
    <w:rsid w:val="11D129A2"/>
    <w:rsid w:val="11E12626"/>
    <w:rsid w:val="121340C1"/>
    <w:rsid w:val="12194ED5"/>
    <w:rsid w:val="122137F0"/>
    <w:rsid w:val="122C32B8"/>
    <w:rsid w:val="12325AFD"/>
    <w:rsid w:val="1291055D"/>
    <w:rsid w:val="12C0739F"/>
    <w:rsid w:val="12C527A5"/>
    <w:rsid w:val="12C629BB"/>
    <w:rsid w:val="12D242BD"/>
    <w:rsid w:val="12D547F3"/>
    <w:rsid w:val="12D746E8"/>
    <w:rsid w:val="12E65D92"/>
    <w:rsid w:val="12F45846"/>
    <w:rsid w:val="12FE0CF8"/>
    <w:rsid w:val="130C7AC5"/>
    <w:rsid w:val="13101102"/>
    <w:rsid w:val="131234CF"/>
    <w:rsid w:val="131E5AB2"/>
    <w:rsid w:val="13222206"/>
    <w:rsid w:val="13337B71"/>
    <w:rsid w:val="133B78A9"/>
    <w:rsid w:val="13407B0A"/>
    <w:rsid w:val="13487AA5"/>
    <w:rsid w:val="135D7F8A"/>
    <w:rsid w:val="136F3CA5"/>
    <w:rsid w:val="13717203"/>
    <w:rsid w:val="137333F8"/>
    <w:rsid w:val="139E6A17"/>
    <w:rsid w:val="13B93B6C"/>
    <w:rsid w:val="13C63D69"/>
    <w:rsid w:val="13CB0C73"/>
    <w:rsid w:val="13CB6C11"/>
    <w:rsid w:val="13CD5EDB"/>
    <w:rsid w:val="13D21A26"/>
    <w:rsid w:val="13D46EF2"/>
    <w:rsid w:val="13D63DC5"/>
    <w:rsid w:val="13D9327D"/>
    <w:rsid w:val="13EB69F3"/>
    <w:rsid w:val="13FF0D0D"/>
    <w:rsid w:val="14064462"/>
    <w:rsid w:val="140A66F6"/>
    <w:rsid w:val="140C5D56"/>
    <w:rsid w:val="141F1494"/>
    <w:rsid w:val="1474449F"/>
    <w:rsid w:val="14841DE9"/>
    <w:rsid w:val="149C40D3"/>
    <w:rsid w:val="14B604B4"/>
    <w:rsid w:val="14B97D5A"/>
    <w:rsid w:val="14CA4E8B"/>
    <w:rsid w:val="14DD147D"/>
    <w:rsid w:val="150D07F6"/>
    <w:rsid w:val="151456BC"/>
    <w:rsid w:val="152205D2"/>
    <w:rsid w:val="152B5287"/>
    <w:rsid w:val="152E3BF0"/>
    <w:rsid w:val="15313BE6"/>
    <w:rsid w:val="15460D8A"/>
    <w:rsid w:val="15464279"/>
    <w:rsid w:val="154801ED"/>
    <w:rsid w:val="154E2C17"/>
    <w:rsid w:val="15673F79"/>
    <w:rsid w:val="1598302A"/>
    <w:rsid w:val="15A27832"/>
    <w:rsid w:val="15B25EA5"/>
    <w:rsid w:val="15B46190"/>
    <w:rsid w:val="15C868E6"/>
    <w:rsid w:val="15CB0FF7"/>
    <w:rsid w:val="15CE592F"/>
    <w:rsid w:val="15E30015"/>
    <w:rsid w:val="15EB6D0C"/>
    <w:rsid w:val="15F11056"/>
    <w:rsid w:val="16322FE5"/>
    <w:rsid w:val="16444B76"/>
    <w:rsid w:val="165D205F"/>
    <w:rsid w:val="16621746"/>
    <w:rsid w:val="1664501F"/>
    <w:rsid w:val="167539E5"/>
    <w:rsid w:val="16775651"/>
    <w:rsid w:val="167F1DB1"/>
    <w:rsid w:val="16851CD0"/>
    <w:rsid w:val="168D3302"/>
    <w:rsid w:val="16A0364E"/>
    <w:rsid w:val="16A323BF"/>
    <w:rsid w:val="16AB60BD"/>
    <w:rsid w:val="16AF5AF5"/>
    <w:rsid w:val="16B66C4D"/>
    <w:rsid w:val="16C91D23"/>
    <w:rsid w:val="16D97ECC"/>
    <w:rsid w:val="16DC2146"/>
    <w:rsid w:val="16F12252"/>
    <w:rsid w:val="17101800"/>
    <w:rsid w:val="17127A32"/>
    <w:rsid w:val="17163093"/>
    <w:rsid w:val="172A6436"/>
    <w:rsid w:val="175D6D72"/>
    <w:rsid w:val="176310AB"/>
    <w:rsid w:val="177C6998"/>
    <w:rsid w:val="178F693D"/>
    <w:rsid w:val="179B5267"/>
    <w:rsid w:val="17A50911"/>
    <w:rsid w:val="17C64EEB"/>
    <w:rsid w:val="17C72F8D"/>
    <w:rsid w:val="17D60E0D"/>
    <w:rsid w:val="17E06067"/>
    <w:rsid w:val="17FD6205"/>
    <w:rsid w:val="180C0903"/>
    <w:rsid w:val="181E1FDD"/>
    <w:rsid w:val="18282258"/>
    <w:rsid w:val="18340AE2"/>
    <w:rsid w:val="1844573F"/>
    <w:rsid w:val="184B3514"/>
    <w:rsid w:val="185E24AD"/>
    <w:rsid w:val="186A061D"/>
    <w:rsid w:val="1878315C"/>
    <w:rsid w:val="18804D3F"/>
    <w:rsid w:val="1881324A"/>
    <w:rsid w:val="18930D42"/>
    <w:rsid w:val="18A248CD"/>
    <w:rsid w:val="18D15A99"/>
    <w:rsid w:val="18D330DF"/>
    <w:rsid w:val="18D85593"/>
    <w:rsid w:val="18E018E0"/>
    <w:rsid w:val="18E2631F"/>
    <w:rsid w:val="19064F11"/>
    <w:rsid w:val="19076486"/>
    <w:rsid w:val="190C7E73"/>
    <w:rsid w:val="19260584"/>
    <w:rsid w:val="192B3F6F"/>
    <w:rsid w:val="194E4E6E"/>
    <w:rsid w:val="195F4DBD"/>
    <w:rsid w:val="197911C3"/>
    <w:rsid w:val="197B3CDD"/>
    <w:rsid w:val="19873DE4"/>
    <w:rsid w:val="198C2545"/>
    <w:rsid w:val="199945D1"/>
    <w:rsid w:val="19BD10D5"/>
    <w:rsid w:val="19BF1143"/>
    <w:rsid w:val="19E05915"/>
    <w:rsid w:val="19F93BEC"/>
    <w:rsid w:val="1A036939"/>
    <w:rsid w:val="1A083E08"/>
    <w:rsid w:val="1A142BA8"/>
    <w:rsid w:val="1A1D5A65"/>
    <w:rsid w:val="1A2331F1"/>
    <w:rsid w:val="1A2608F3"/>
    <w:rsid w:val="1A291CDF"/>
    <w:rsid w:val="1A3C7591"/>
    <w:rsid w:val="1A4B502F"/>
    <w:rsid w:val="1A4C243E"/>
    <w:rsid w:val="1A804033"/>
    <w:rsid w:val="1AB9702F"/>
    <w:rsid w:val="1ABA3364"/>
    <w:rsid w:val="1ADF2C17"/>
    <w:rsid w:val="1AE3443B"/>
    <w:rsid w:val="1AF248D3"/>
    <w:rsid w:val="1B1D6273"/>
    <w:rsid w:val="1B1E38EF"/>
    <w:rsid w:val="1B2C3130"/>
    <w:rsid w:val="1B2E4E2D"/>
    <w:rsid w:val="1B46204F"/>
    <w:rsid w:val="1B625198"/>
    <w:rsid w:val="1B6D2444"/>
    <w:rsid w:val="1B857028"/>
    <w:rsid w:val="1B8E6E53"/>
    <w:rsid w:val="1B946D25"/>
    <w:rsid w:val="1BA35EA2"/>
    <w:rsid w:val="1BB65B86"/>
    <w:rsid w:val="1BCA1533"/>
    <w:rsid w:val="1BDB2FE6"/>
    <w:rsid w:val="1BF967A0"/>
    <w:rsid w:val="1C022402"/>
    <w:rsid w:val="1C0775CB"/>
    <w:rsid w:val="1C08210D"/>
    <w:rsid w:val="1C0A7FD4"/>
    <w:rsid w:val="1C0F6CA1"/>
    <w:rsid w:val="1C302F40"/>
    <w:rsid w:val="1C310FB0"/>
    <w:rsid w:val="1C3271DD"/>
    <w:rsid w:val="1C330880"/>
    <w:rsid w:val="1C3B2027"/>
    <w:rsid w:val="1C4A3979"/>
    <w:rsid w:val="1C5D65E3"/>
    <w:rsid w:val="1C5D68E3"/>
    <w:rsid w:val="1C6046EE"/>
    <w:rsid w:val="1C784A0B"/>
    <w:rsid w:val="1C803866"/>
    <w:rsid w:val="1C87316D"/>
    <w:rsid w:val="1C971F0A"/>
    <w:rsid w:val="1C9F72F0"/>
    <w:rsid w:val="1CA668CE"/>
    <w:rsid w:val="1CAA3296"/>
    <w:rsid w:val="1CB37C4A"/>
    <w:rsid w:val="1CD91179"/>
    <w:rsid w:val="1CDA3379"/>
    <w:rsid w:val="1CDD286F"/>
    <w:rsid w:val="1CF02EDC"/>
    <w:rsid w:val="1D0F4228"/>
    <w:rsid w:val="1D2015CF"/>
    <w:rsid w:val="1D367558"/>
    <w:rsid w:val="1D4347BC"/>
    <w:rsid w:val="1D566883"/>
    <w:rsid w:val="1DA32CAB"/>
    <w:rsid w:val="1DAE683B"/>
    <w:rsid w:val="1DC26D62"/>
    <w:rsid w:val="1DC4580F"/>
    <w:rsid w:val="1DDD72AD"/>
    <w:rsid w:val="1DE02B1C"/>
    <w:rsid w:val="1DE7602A"/>
    <w:rsid w:val="1DE85F89"/>
    <w:rsid w:val="1DF42BB2"/>
    <w:rsid w:val="1E020280"/>
    <w:rsid w:val="1E0B605A"/>
    <w:rsid w:val="1E0D6B6D"/>
    <w:rsid w:val="1E157EF4"/>
    <w:rsid w:val="1E1F4CFB"/>
    <w:rsid w:val="1E38227E"/>
    <w:rsid w:val="1E3D4FA8"/>
    <w:rsid w:val="1E4D6B20"/>
    <w:rsid w:val="1E544E3F"/>
    <w:rsid w:val="1E5E4235"/>
    <w:rsid w:val="1E617F69"/>
    <w:rsid w:val="1E815597"/>
    <w:rsid w:val="1E867F30"/>
    <w:rsid w:val="1E8E4A6E"/>
    <w:rsid w:val="1EA34408"/>
    <w:rsid w:val="1EB0755F"/>
    <w:rsid w:val="1EB83BF5"/>
    <w:rsid w:val="1EBF2DEB"/>
    <w:rsid w:val="1EC57878"/>
    <w:rsid w:val="1ED33625"/>
    <w:rsid w:val="1EE90983"/>
    <w:rsid w:val="1F0239B9"/>
    <w:rsid w:val="1F0375F5"/>
    <w:rsid w:val="1F0C4212"/>
    <w:rsid w:val="1F2D4479"/>
    <w:rsid w:val="1F3B41CE"/>
    <w:rsid w:val="1F497EB5"/>
    <w:rsid w:val="1F741B11"/>
    <w:rsid w:val="1F7E3B1B"/>
    <w:rsid w:val="1F8B15FB"/>
    <w:rsid w:val="1F982D6A"/>
    <w:rsid w:val="1FA121BA"/>
    <w:rsid w:val="1FB909FC"/>
    <w:rsid w:val="1FC23A5D"/>
    <w:rsid w:val="1FC343A9"/>
    <w:rsid w:val="1FCA14B3"/>
    <w:rsid w:val="1FCD2030"/>
    <w:rsid w:val="1FD4560E"/>
    <w:rsid w:val="20166C23"/>
    <w:rsid w:val="203541B0"/>
    <w:rsid w:val="2044690C"/>
    <w:rsid w:val="20875058"/>
    <w:rsid w:val="208922D9"/>
    <w:rsid w:val="2089606E"/>
    <w:rsid w:val="20B327BB"/>
    <w:rsid w:val="20C60249"/>
    <w:rsid w:val="20C66A1E"/>
    <w:rsid w:val="20C77771"/>
    <w:rsid w:val="20C813D6"/>
    <w:rsid w:val="20DD2C44"/>
    <w:rsid w:val="20FB092C"/>
    <w:rsid w:val="210522FB"/>
    <w:rsid w:val="210A4252"/>
    <w:rsid w:val="210E0AD9"/>
    <w:rsid w:val="212377A7"/>
    <w:rsid w:val="212B3AD6"/>
    <w:rsid w:val="21320C4E"/>
    <w:rsid w:val="21492B3D"/>
    <w:rsid w:val="21510AF4"/>
    <w:rsid w:val="218354E6"/>
    <w:rsid w:val="21843233"/>
    <w:rsid w:val="218F3747"/>
    <w:rsid w:val="21AE0DDF"/>
    <w:rsid w:val="21B61AE9"/>
    <w:rsid w:val="21C57800"/>
    <w:rsid w:val="21C76D7B"/>
    <w:rsid w:val="21DC7C19"/>
    <w:rsid w:val="21E024CA"/>
    <w:rsid w:val="21E06620"/>
    <w:rsid w:val="21E464DA"/>
    <w:rsid w:val="21E74672"/>
    <w:rsid w:val="21FF3E3A"/>
    <w:rsid w:val="22272896"/>
    <w:rsid w:val="2228517A"/>
    <w:rsid w:val="222E681A"/>
    <w:rsid w:val="22365098"/>
    <w:rsid w:val="22380333"/>
    <w:rsid w:val="22581287"/>
    <w:rsid w:val="229B77B9"/>
    <w:rsid w:val="22A94886"/>
    <w:rsid w:val="22AF7A93"/>
    <w:rsid w:val="22C306DB"/>
    <w:rsid w:val="22CD0263"/>
    <w:rsid w:val="22D778E1"/>
    <w:rsid w:val="22EF00B5"/>
    <w:rsid w:val="22F06E95"/>
    <w:rsid w:val="22FD2B63"/>
    <w:rsid w:val="2302327F"/>
    <w:rsid w:val="230D309D"/>
    <w:rsid w:val="232C7088"/>
    <w:rsid w:val="232E071D"/>
    <w:rsid w:val="233D1CF0"/>
    <w:rsid w:val="233E0230"/>
    <w:rsid w:val="23624F8B"/>
    <w:rsid w:val="23781445"/>
    <w:rsid w:val="238B212F"/>
    <w:rsid w:val="238F32F1"/>
    <w:rsid w:val="23B5074C"/>
    <w:rsid w:val="23C542E7"/>
    <w:rsid w:val="23D42253"/>
    <w:rsid w:val="23E045EC"/>
    <w:rsid w:val="23E616DA"/>
    <w:rsid w:val="23EE53EE"/>
    <w:rsid w:val="24005690"/>
    <w:rsid w:val="240128BB"/>
    <w:rsid w:val="240B265C"/>
    <w:rsid w:val="240E4ACE"/>
    <w:rsid w:val="2431266C"/>
    <w:rsid w:val="24621831"/>
    <w:rsid w:val="247212A2"/>
    <w:rsid w:val="248D61E8"/>
    <w:rsid w:val="24921208"/>
    <w:rsid w:val="24991C07"/>
    <w:rsid w:val="24A02785"/>
    <w:rsid w:val="24A5429E"/>
    <w:rsid w:val="24A579F9"/>
    <w:rsid w:val="24B0423F"/>
    <w:rsid w:val="24B23D9E"/>
    <w:rsid w:val="24C0198C"/>
    <w:rsid w:val="24C663E3"/>
    <w:rsid w:val="24F84776"/>
    <w:rsid w:val="24FD4C60"/>
    <w:rsid w:val="25101CDA"/>
    <w:rsid w:val="251167AC"/>
    <w:rsid w:val="252B1B61"/>
    <w:rsid w:val="25367636"/>
    <w:rsid w:val="254002AB"/>
    <w:rsid w:val="256A510D"/>
    <w:rsid w:val="25832BA2"/>
    <w:rsid w:val="25837821"/>
    <w:rsid w:val="2591020C"/>
    <w:rsid w:val="2594750F"/>
    <w:rsid w:val="25992162"/>
    <w:rsid w:val="25A21768"/>
    <w:rsid w:val="25AA2D3F"/>
    <w:rsid w:val="25DA6708"/>
    <w:rsid w:val="25DC4098"/>
    <w:rsid w:val="25F408CA"/>
    <w:rsid w:val="25FC3DF2"/>
    <w:rsid w:val="260758A7"/>
    <w:rsid w:val="260F3C4D"/>
    <w:rsid w:val="26144B9F"/>
    <w:rsid w:val="26390125"/>
    <w:rsid w:val="263F6A6F"/>
    <w:rsid w:val="26477938"/>
    <w:rsid w:val="264B3CCB"/>
    <w:rsid w:val="265C07A9"/>
    <w:rsid w:val="2666173F"/>
    <w:rsid w:val="26735EC6"/>
    <w:rsid w:val="26812F7C"/>
    <w:rsid w:val="26915420"/>
    <w:rsid w:val="26930E31"/>
    <w:rsid w:val="26AC49B0"/>
    <w:rsid w:val="26AF0F09"/>
    <w:rsid w:val="26AF4EEF"/>
    <w:rsid w:val="26B17A61"/>
    <w:rsid w:val="26E74BBA"/>
    <w:rsid w:val="270019E9"/>
    <w:rsid w:val="270A4C78"/>
    <w:rsid w:val="270D2705"/>
    <w:rsid w:val="270D5B0F"/>
    <w:rsid w:val="270D7BC2"/>
    <w:rsid w:val="27174C5C"/>
    <w:rsid w:val="27222ACB"/>
    <w:rsid w:val="27233CC4"/>
    <w:rsid w:val="273A0C7B"/>
    <w:rsid w:val="27843072"/>
    <w:rsid w:val="279C7C60"/>
    <w:rsid w:val="27BA5F7E"/>
    <w:rsid w:val="27BB2F64"/>
    <w:rsid w:val="27C56C6F"/>
    <w:rsid w:val="27C8371D"/>
    <w:rsid w:val="27CE0E3B"/>
    <w:rsid w:val="27D6634B"/>
    <w:rsid w:val="28083A46"/>
    <w:rsid w:val="28134D2B"/>
    <w:rsid w:val="281366D7"/>
    <w:rsid w:val="281F4E60"/>
    <w:rsid w:val="28215A2E"/>
    <w:rsid w:val="282B5683"/>
    <w:rsid w:val="282F318F"/>
    <w:rsid w:val="286D469F"/>
    <w:rsid w:val="287734D7"/>
    <w:rsid w:val="287A6AEF"/>
    <w:rsid w:val="287E64FF"/>
    <w:rsid w:val="288A24E7"/>
    <w:rsid w:val="28933514"/>
    <w:rsid w:val="28DB4541"/>
    <w:rsid w:val="28F05539"/>
    <w:rsid w:val="28F63F8F"/>
    <w:rsid w:val="290373D4"/>
    <w:rsid w:val="2920299E"/>
    <w:rsid w:val="292A26C9"/>
    <w:rsid w:val="29573986"/>
    <w:rsid w:val="296038C3"/>
    <w:rsid w:val="29696FF8"/>
    <w:rsid w:val="297D2A6A"/>
    <w:rsid w:val="299155DB"/>
    <w:rsid w:val="29947EA9"/>
    <w:rsid w:val="299B6F4C"/>
    <w:rsid w:val="29B328DF"/>
    <w:rsid w:val="29B42E5E"/>
    <w:rsid w:val="29C8667D"/>
    <w:rsid w:val="29DF4F81"/>
    <w:rsid w:val="29E76246"/>
    <w:rsid w:val="29E80AD1"/>
    <w:rsid w:val="29E92FD2"/>
    <w:rsid w:val="29ED27BF"/>
    <w:rsid w:val="29F77D6C"/>
    <w:rsid w:val="29FD026A"/>
    <w:rsid w:val="29FD5912"/>
    <w:rsid w:val="2A021627"/>
    <w:rsid w:val="2A276959"/>
    <w:rsid w:val="2A3E17FD"/>
    <w:rsid w:val="2A3F7F63"/>
    <w:rsid w:val="2A783D3B"/>
    <w:rsid w:val="2A843AD4"/>
    <w:rsid w:val="2AA82511"/>
    <w:rsid w:val="2AAF6413"/>
    <w:rsid w:val="2AB92F9E"/>
    <w:rsid w:val="2ABB1AC7"/>
    <w:rsid w:val="2ACD18CE"/>
    <w:rsid w:val="2AD4394F"/>
    <w:rsid w:val="2AE82CFC"/>
    <w:rsid w:val="2AFC6824"/>
    <w:rsid w:val="2B06569D"/>
    <w:rsid w:val="2B145A79"/>
    <w:rsid w:val="2B1949CF"/>
    <w:rsid w:val="2B195066"/>
    <w:rsid w:val="2B1D6AAA"/>
    <w:rsid w:val="2B281088"/>
    <w:rsid w:val="2B38212E"/>
    <w:rsid w:val="2B481A97"/>
    <w:rsid w:val="2B4A6612"/>
    <w:rsid w:val="2B4D2E1A"/>
    <w:rsid w:val="2B5B1141"/>
    <w:rsid w:val="2B6B3322"/>
    <w:rsid w:val="2B6D742E"/>
    <w:rsid w:val="2B770983"/>
    <w:rsid w:val="2B7959D8"/>
    <w:rsid w:val="2B8443C9"/>
    <w:rsid w:val="2B880B2C"/>
    <w:rsid w:val="2B9E76FA"/>
    <w:rsid w:val="2BA1569E"/>
    <w:rsid w:val="2BB01465"/>
    <w:rsid w:val="2BB01839"/>
    <w:rsid w:val="2BBA7AFF"/>
    <w:rsid w:val="2BC63923"/>
    <w:rsid w:val="2BDE26B6"/>
    <w:rsid w:val="2BDF2CC6"/>
    <w:rsid w:val="2BE32379"/>
    <w:rsid w:val="2BE85216"/>
    <w:rsid w:val="2C27048A"/>
    <w:rsid w:val="2C3D4C9A"/>
    <w:rsid w:val="2C49624C"/>
    <w:rsid w:val="2C4A4D79"/>
    <w:rsid w:val="2C4E7372"/>
    <w:rsid w:val="2C551F75"/>
    <w:rsid w:val="2C5801F0"/>
    <w:rsid w:val="2C6334D3"/>
    <w:rsid w:val="2CAA2D56"/>
    <w:rsid w:val="2CBC0B2D"/>
    <w:rsid w:val="2CC666D8"/>
    <w:rsid w:val="2CCE5882"/>
    <w:rsid w:val="2CD12356"/>
    <w:rsid w:val="2CEB15C1"/>
    <w:rsid w:val="2CF4606F"/>
    <w:rsid w:val="2CF4667B"/>
    <w:rsid w:val="2CFA1D78"/>
    <w:rsid w:val="2CFA3DDA"/>
    <w:rsid w:val="2CFB5C61"/>
    <w:rsid w:val="2D077653"/>
    <w:rsid w:val="2D0D351F"/>
    <w:rsid w:val="2D1C349F"/>
    <w:rsid w:val="2D1D7812"/>
    <w:rsid w:val="2D304196"/>
    <w:rsid w:val="2D32498C"/>
    <w:rsid w:val="2D347BC2"/>
    <w:rsid w:val="2D353ADE"/>
    <w:rsid w:val="2D404F0C"/>
    <w:rsid w:val="2D540D08"/>
    <w:rsid w:val="2D5A5248"/>
    <w:rsid w:val="2D5E5392"/>
    <w:rsid w:val="2D673411"/>
    <w:rsid w:val="2D6E5891"/>
    <w:rsid w:val="2D7A224F"/>
    <w:rsid w:val="2D7B562D"/>
    <w:rsid w:val="2D871A78"/>
    <w:rsid w:val="2D973395"/>
    <w:rsid w:val="2D9B701C"/>
    <w:rsid w:val="2DD071E5"/>
    <w:rsid w:val="2DD611BE"/>
    <w:rsid w:val="2DD63787"/>
    <w:rsid w:val="2DDC545D"/>
    <w:rsid w:val="2DF82DDF"/>
    <w:rsid w:val="2E036785"/>
    <w:rsid w:val="2E23297E"/>
    <w:rsid w:val="2E4A49E3"/>
    <w:rsid w:val="2E4A74B8"/>
    <w:rsid w:val="2E661D9C"/>
    <w:rsid w:val="2E6A3B96"/>
    <w:rsid w:val="2E7052DE"/>
    <w:rsid w:val="2E720B7E"/>
    <w:rsid w:val="2E725A06"/>
    <w:rsid w:val="2E741C21"/>
    <w:rsid w:val="2E7745CB"/>
    <w:rsid w:val="2E8F2375"/>
    <w:rsid w:val="2E9118F2"/>
    <w:rsid w:val="2E9853BF"/>
    <w:rsid w:val="2E9C2D3B"/>
    <w:rsid w:val="2EA16147"/>
    <w:rsid w:val="2EA45DF7"/>
    <w:rsid w:val="2EA715CA"/>
    <w:rsid w:val="2ECD3E74"/>
    <w:rsid w:val="2ED0588A"/>
    <w:rsid w:val="2EE94038"/>
    <w:rsid w:val="2F183CF4"/>
    <w:rsid w:val="2F210473"/>
    <w:rsid w:val="2F240C4D"/>
    <w:rsid w:val="2F412A38"/>
    <w:rsid w:val="2F421808"/>
    <w:rsid w:val="2F437197"/>
    <w:rsid w:val="2F4B5641"/>
    <w:rsid w:val="2F52101B"/>
    <w:rsid w:val="2F53341C"/>
    <w:rsid w:val="2F554B07"/>
    <w:rsid w:val="2F5C7C45"/>
    <w:rsid w:val="2F6E2960"/>
    <w:rsid w:val="2F7660CD"/>
    <w:rsid w:val="2F7F537C"/>
    <w:rsid w:val="2F82622C"/>
    <w:rsid w:val="2F9B4F8D"/>
    <w:rsid w:val="2F9D1768"/>
    <w:rsid w:val="2FB94A89"/>
    <w:rsid w:val="2FBE2364"/>
    <w:rsid w:val="2FCE2CA3"/>
    <w:rsid w:val="2FD57CBA"/>
    <w:rsid w:val="2FDE2397"/>
    <w:rsid w:val="2FFE3990"/>
    <w:rsid w:val="3002514C"/>
    <w:rsid w:val="300E3AD6"/>
    <w:rsid w:val="30142D5E"/>
    <w:rsid w:val="30215E97"/>
    <w:rsid w:val="30325059"/>
    <w:rsid w:val="30356D91"/>
    <w:rsid w:val="303F6CF4"/>
    <w:rsid w:val="306A78D3"/>
    <w:rsid w:val="307256AC"/>
    <w:rsid w:val="308C0433"/>
    <w:rsid w:val="3090431A"/>
    <w:rsid w:val="309101D2"/>
    <w:rsid w:val="30961D4B"/>
    <w:rsid w:val="309D3F50"/>
    <w:rsid w:val="309F19AB"/>
    <w:rsid w:val="30A43B44"/>
    <w:rsid w:val="30B7590E"/>
    <w:rsid w:val="30C866DE"/>
    <w:rsid w:val="30E21BEF"/>
    <w:rsid w:val="30E30E41"/>
    <w:rsid w:val="30E72C9A"/>
    <w:rsid w:val="310B600F"/>
    <w:rsid w:val="310D461E"/>
    <w:rsid w:val="311D5F54"/>
    <w:rsid w:val="312520C9"/>
    <w:rsid w:val="3129631B"/>
    <w:rsid w:val="312F44A7"/>
    <w:rsid w:val="313931B5"/>
    <w:rsid w:val="316B62D0"/>
    <w:rsid w:val="3177218F"/>
    <w:rsid w:val="318555E4"/>
    <w:rsid w:val="319E0A23"/>
    <w:rsid w:val="31A74402"/>
    <w:rsid w:val="31B20B4C"/>
    <w:rsid w:val="31B66C1B"/>
    <w:rsid w:val="31BD04D5"/>
    <w:rsid w:val="31C537E6"/>
    <w:rsid w:val="31C861C2"/>
    <w:rsid w:val="31D6242D"/>
    <w:rsid w:val="31D75DBE"/>
    <w:rsid w:val="31D826F1"/>
    <w:rsid w:val="31FA2408"/>
    <w:rsid w:val="320B79AA"/>
    <w:rsid w:val="32186CC0"/>
    <w:rsid w:val="321F0724"/>
    <w:rsid w:val="322841C1"/>
    <w:rsid w:val="322B624D"/>
    <w:rsid w:val="32314367"/>
    <w:rsid w:val="324740B3"/>
    <w:rsid w:val="3247650A"/>
    <w:rsid w:val="32493841"/>
    <w:rsid w:val="326D1108"/>
    <w:rsid w:val="32850B18"/>
    <w:rsid w:val="329763F9"/>
    <w:rsid w:val="32A26AD1"/>
    <w:rsid w:val="32A54EAE"/>
    <w:rsid w:val="32AF6461"/>
    <w:rsid w:val="32C338D5"/>
    <w:rsid w:val="32D96640"/>
    <w:rsid w:val="32E72369"/>
    <w:rsid w:val="330071F6"/>
    <w:rsid w:val="330A40A5"/>
    <w:rsid w:val="331F10B7"/>
    <w:rsid w:val="332E2F85"/>
    <w:rsid w:val="333D2B93"/>
    <w:rsid w:val="33512240"/>
    <w:rsid w:val="335C1BD3"/>
    <w:rsid w:val="336D2BDE"/>
    <w:rsid w:val="339F1070"/>
    <w:rsid w:val="33A5774B"/>
    <w:rsid w:val="33B47974"/>
    <w:rsid w:val="33CF2B0E"/>
    <w:rsid w:val="33F15289"/>
    <w:rsid w:val="33F23D4D"/>
    <w:rsid w:val="33F77325"/>
    <w:rsid w:val="34065C77"/>
    <w:rsid w:val="340976B3"/>
    <w:rsid w:val="340C71BC"/>
    <w:rsid w:val="34117602"/>
    <w:rsid w:val="341647B1"/>
    <w:rsid w:val="34200563"/>
    <w:rsid w:val="34334D70"/>
    <w:rsid w:val="343F158D"/>
    <w:rsid w:val="34646AC8"/>
    <w:rsid w:val="34680C9E"/>
    <w:rsid w:val="34824787"/>
    <w:rsid w:val="34942531"/>
    <w:rsid w:val="34994F68"/>
    <w:rsid w:val="34A51253"/>
    <w:rsid w:val="34A94EA5"/>
    <w:rsid w:val="34B85CD0"/>
    <w:rsid w:val="34C02F55"/>
    <w:rsid w:val="34C31055"/>
    <w:rsid w:val="34C852F4"/>
    <w:rsid w:val="34EF24A7"/>
    <w:rsid w:val="351205D5"/>
    <w:rsid w:val="354B2BD6"/>
    <w:rsid w:val="354C4F6B"/>
    <w:rsid w:val="355353AC"/>
    <w:rsid w:val="355F1FA0"/>
    <w:rsid w:val="356A0255"/>
    <w:rsid w:val="3584056A"/>
    <w:rsid w:val="35952A5F"/>
    <w:rsid w:val="35A95897"/>
    <w:rsid w:val="35AD5F86"/>
    <w:rsid w:val="35D57C7F"/>
    <w:rsid w:val="35DD13B1"/>
    <w:rsid w:val="35DF7554"/>
    <w:rsid w:val="35E845C4"/>
    <w:rsid w:val="35F11324"/>
    <w:rsid w:val="36121A43"/>
    <w:rsid w:val="3626447C"/>
    <w:rsid w:val="362B2534"/>
    <w:rsid w:val="3635083D"/>
    <w:rsid w:val="36372A1E"/>
    <w:rsid w:val="3638029F"/>
    <w:rsid w:val="36386400"/>
    <w:rsid w:val="363B50F9"/>
    <w:rsid w:val="3648608F"/>
    <w:rsid w:val="364C2051"/>
    <w:rsid w:val="36762BE3"/>
    <w:rsid w:val="367F776B"/>
    <w:rsid w:val="36806379"/>
    <w:rsid w:val="36844301"/>
    <w:rsid w:val="36987B67"/>
    <w:rsid w:val="36A64404"/>
    <w:rsid w:val="36AC6876"/>
    <w:rsid w:val="36AF0D6F"/>
    <w:rsid w:val="36B9154D"/>
    <w:rsid w:val="36D56964"/>
    <w:rsid w:val="36DD72A7"/>
    <w:rsid w:val="36E2057E"/>
    <w:rsid w:val="36E74027"/>
    <w:rsid w:val="36E814E3"/>
    <w:rsid w:val="36EE78E9"/>
    <w:rsid w:val="36F11E44"/>
    <w:rsid w:val="37182531"/>
    <w:rsid w:val="372245AC"/>
    <w:rsid w:val="372A7453"/>
    <w:rsid w:val="3730722B"/>
    <w:rsid w:val="37414CB3"/>
    <w:rsid w:val="374D7927"/>
    <w:rsid w:val="37515448"/>
    <w:rsid w:val="3755438B"/>
    <w:rsid w:val="3776612A"/>
    <w:rsid w:val="37843EA3"/>
    <w:rsid w:val="379D1B50"/>
    <w:rsid w:val="379D2195"/>
    <w:rsid w:val="37AA369C"/>
    <w:rsid w:val="37AE760D"/>
    <w:rsid w:val="37BD6B9A"/>
    <w:rsid w:val="37D913AF"/>
    <w:rsid w:val="37E379FE"/>
    <w:rsid w:val="37F51CBD"/>
    <w:rsid w:val="37F67F58"/>
    <w:rsid w:val="37F95DBD"/>
    <w:rsid w:val="381E081F"/>
    <w:rsid w:val="38243F32"/>
    <w:rsid w:val="38293C6C"/>
    <w:rsid w:val="38301E65"/>
    <w:rsid w:val="3834332E"/>
    <w:rsid w:val="38371749"/>
    <w:rsid w:val="38373947"/>
    <w:rsid w:val="383B22F1"/>
    <w:rsid w:val="385F4270"/>
    <w:rsid w:val="386802E5"/>
    <w:rsid w:val="386D610B"/>
    <w:rsid w:val="387C2C5B"/>
    <w:rsid w:val="388D68D4"/>
    <w:rsid w:val="389D7754"/>
    <w:rsid w:val="38B84419"/>
    <w:rsid w:val="38E4120E"/>
    <w:rsid w:val="38EC79BC"/>
    <w:rsid w:val="38F4304F"/>
    <w:rsid w:val="38F47D33"/>
    <w:rsid w:val="38FC3ADC"/>
    <w:rsid w:val="39042F4F"/>
    <w:rsid w:val="39106EAD"/>
    <w:rsid w:val="39247EB9"/>
    <w:rsid w:val="392A6CFB"/>
    <w:rsid w:val="393A339E"/>
    <w:rsid w:val="39470730"/>
    <w:rsid w:val="394822B3"/>
    <w:rsid w:val="394E4794"/>
    <w:rsid w:val="397B6F53"/>
    <w:rsid w:val="397C5018"/>
    <w:rsid w:val="397D1A60"/>
    <w:rsid w:val="398225F9"/>
    <w:rsid w:val="39886B4F"/>
    <w:rsid w:val="39AB1AA6"/>
    <w:rsid w:val="39C812C5"/>
    <w:rsid w:val="39D145F3"/>
    <w:rsid w:val="39DD1B60"/>
    <w:rsid w:val="39E55D1D"/>
    <w:rsid w:val="39EA18D5"/>
    <w:rsid w:val="39ED2BEA"/>
    <w:rsid w:val="39F230D0"/>
    <w:rsid w:val="3A0719C4"/>
    <w:rsid w:val="3A113039"/>
    <w:rsid w:val="3A5B4759"/>
    <w:rsid w:val="3A5C7AB5"/>
    <w:rsid w:val="3A6205EE"/>
    <w:rsid w:val="3A6640AF"/>
    <w:rsid w:val="3A670302"/>
    <w:rsid w:val="3A6C7B03"/>
    <w:rsid w:val="3A721926"/>
    <w:rsid w:val="3A8C7394"/>
    <w:rsid w:val="3A8E5120"/>
    <w:rsid w:val="3AA26FE6"/>
    <w:rsid w:val="3AAB1E64"/>
    <w:rsid w:val="3ABB478C"/>
    <w:rsid w:val="3ABC496A"/>
    <w:rsid w:val="3ACE74C1"/>
    <w:rsid w:val="3AD5074D"/>
    <w:rsid w:val="3ADE7B13"/>
    <w:rsid w:val="3AED56A1"/>
    <w:rsid w:val="3B012014"/>
    <w:rsid w:val="3B046379"/>
    <w:rsid w:val="3B182744"/>
    <w:rsid w:val="3B386494"/>
    <w:rsid w:val="3B417881"/>
    <w:rsid w:val="3B797397"/>
    <w:rsid w:val="3B8468D8"/>
    <w:rsid w:val="3B953293"/>
    <w:rsid w:val="3B95501D"/>
    <w:rsid w:val="3BA01560"/>
    <w:rsid w:val="3BA66ACF"/>
    <w:rsid w:val="3BA97ED4"/>
    <w:rsid w:val="3BAE0E8E"/>
    <w:rsid w:val="3BAE39F1"/>
    <w:rsid w:val="3BB01761"/>
    <w:rsid w:val="3BB708C3"/>
    <w:rsid w:val="3BD07ADF"/>
    <w:rsid w:val="3BD75FE2"/>
    <w:rsid w:val="3BE14A86"/>
    <w:rsid w:val="3BE739B9"/>
    <w:rsid w:val="3BF014E4"/>
    <w:rsid w:val="3BFF1AFF"/>
    <w:rsid w:val="3C073099"/>
    <w:rsid w:val="3C2225E4"/>
    <w:rsid w:val="3C2A218D"/>
    <w:rsid w:val="3C342B96"/>
    <w:rsid w:val="3C343418"/>
    <w:rsid w:val="3C366132"/>
    <w:rsid w:val="3C417360"/>
    <w:rsid w:val="3C654555"/>
    <w:rsid w:val="3C785AC6"/>
    <w:rsid w:val="3C7D49ED"/>
    <w:rsid w:val="3C8A28B2"/>
    <w:rsid w:val="3C8A67D3"/>
    <w:rsid w:val="3C943345"/>
    <w:rsid w:val="3C9D43C7"/>
    <w:rsid w:val="3CA2685D"/>
    <w:rsid w:val="3CB67FA8"/>
    <w:rsid w:val="3CBD16CD"/>
    <w:rsid w:val="3CC75CC4"/>
    <w:rsid w:val="3CCB46CA"/>
    <w:rsid w:val="3CF05503"/>
    <w:rsid w:val="3CF670BB"/>
    <w:rsid w:val="3CF965B7"/>
    <w:rsid w:val="3CFF5EA2"/>
    <w:rsid w:val="3D0B5AA3"/>
    <w:rsid w:val="3D215A9A"/>
    <w:rsid w:val="3D2265F4"/>
    <w:rsid w:val="3D263ADF"/>
    <w:rsid w:val="3D3C7668"/>
    <w:rsid w:val="3D4C3459"/>
    <w:rsid w:val="3D5A0120"/>
    <w:rsid w:val="3D6861D8"/>
    <w:rsid w:val="3D6C02C2"/>
    <w:rsid w:val="3D926A8C"/>
    <w:rsid w:val="3DA259E4"/>
    <w:rsid w:val="3DB36F05"/>
    <w:rsid w:val="3DDA4888"/>
    <w:rsid w:val="3DE40CAE"/>
    <w:rsid w:val="3DFF671E"/>
    <w:rsid w:val="3E03571D"/>
    <w:rsid w:val="3E0569D1"/>
    <w:rsid w:val="3E0D5A8C"/>
    <w:rsid w:val="3E202E48"/>
    <w:rsid w:val="3E2F68DF"/>
    <w:rsid w:val="3E4E4DE8"/>
    <w:rsid w:val="3E510DC8"/>
    <w:rsid w:val="3E540CA9"/>
    <w:rsid w:val="3E60678E"/>
    <w:rsid w:val="3E636CAD"/>
    <w:rsid w:val="3E661C24"/>
    <w:rsid w:val="3E71008B"/>
    <w:rsid w:val="3E965352"/>
    <w:rsid w:val="3ED404BD"/>
    <w:rsid w:val="3ED52608"/>
    <w:rsid w:val="3EE81882"/>
    <w:rsid w:val="3F1F6D98"/>
    <w:rsid w:val="3F225EA4"/>
    <w:rsid w:val="3F260557"/>
    <w:rsid w:val="3F5C20A5"/>
    <w:rsid w:val="3F610636"/>
    <w:rsid w:val="3F672D10"/>
    <w:rsid w:val="3F6C231A"/>
    <w:rsid w:val="3F7C1A35"/>
    <w:rsid w:val="3F994B35"/>
    <w:rsid w:val="3FA66AA1"/>
    <w:rsid w:val="3FAD097E"/>
    <w:rsid w:val="3FB04983"/>
    <w:rsid w:val="3FCD413A"/>
    <w:rsid w:val="3FE60F9E"/>
    <w:rsid w:val="3FE754D1"/>
    <w:rsid w:val="3FE92D5F"/>
    <w:rsid w:val="3FEB116A"/>
    <w:rsid w:val="3FEB6CDC"/>
    <w:rsid w:val="3FF15271"/>
    <w:rsid w:val="3FFB630C"/>
    <w:rsid w:val="3FFD6D03"/>
    <w:rsid w:val="40035492"/>
    <w:rsid w:val="40061208"/>
    <w:rsid w:val="40086316"/>
    <w:rsid w:val="400D1324"/>
    <w:rsid w:val="40324ED6"/>
    <w:rsid w:val="40350BB2"/>
    <w:rsid w:val="403512F8"/>
    <w:rsid w:val="4054478C"/>
    <w:rsid w:val="40565EF1"/>
    <w:rsid w:val="405A1423"/>
    <w:rsid w:val="406066EC"/>
    <w:rsid w:val="406861BB"/>
    <w:rsid w:val="407B3B56"/>
    <w:rsid w:val="40933375"/>
    <w:rsid w:val="409B5C04"/>
    <w:rsid w:val="409F0893"/>
    <w:rsid w:val="40A32102"/>
    <w:rsid w:val="40A35104"/>
    <w:rsid w:val="40D532EA"/>
    <w:rsid w:val="40DA659B"/>
    <w:rsid w:val="40FE77DF"/>
    <w:rsid w:val="41027152"/>
    <w:rsid w:val="41052F7A"/>
    <w:rsid w:val="4118651B"/>
    <w:rsid w:val="41245D61"/>
    <w:rsid w:val="41357350"/>
    <w:rsid w:val="41421CB1"/>
    <w:rsid w:val="41461304"/>
    <w:rsid w:val="4154073C"/>
    <w:rsid w:val="415502D7"/>
    <w:rsid w:val="415677C9"/>
    <w:rsid w:val="416A7A06"/>
    <w:rsid w:val="416B796D"/>
    <w:rsid w:val="41765073"/>
    <w:rsid w:val="417F0366"/>
    <w:rsid w:val="418D1844"/>
    <w:rsid w:val="418D4C98"/>
    <w:rsid w:val="418E763C"/>
    <w:rsid w:val="4193787A"/>
    <w:rsid w:val="41AF06D0"/>
    <w:rsid w:val="41E20419"/>
    <w:rsid w:val="41F20D43"/>
    <w:rsid w:val="4200697F"/>
    <w:rsid w:val="42040390"/>
    <w:rsid w:val="42170B4E"/>
    <w:rsid w:val="42360188"/>
    <w:rsid w:val="4248554C"/>
    <w:rsid w:val="424B1E39"/>
    <w:rsid w:val="424D678B"/>
    <w:rsid w:val="4259696B"/>
    <w:rsid w:val="4267362B"/>
    <w:rsid w:val="429559EB"/>
    <w:rsid w:val="42C012B0"/>
    <w:rsid w:val="42C3715E"/>
    <w:rsid w:val="42D63AF8"/>
    <w:rsid w:val="42D774E3"/>
    <w:rsid w:val="42EB4580"/>
    <w:rsid w:val="42EC00D8"/>
    <w:rsid w:val="43165753"/>
    <w:rsid w:val="43190161"/>
    <w:rsid w:val="4329352A"/>
    <w:rsid w:val="433B0C99"/>
    <w:rsid w:val="433B3681"/>
    <w:rsid w:val="435117C9"/>
    <w:rsid w:val="43580A8C"/>
    <w:rsid w:val="435E35FE"/>
    <w:rsid w:val="43670FED"/>
    <w:rsid w:val="437F6084"/>
    <w:rsid w:val="438210C4"/>
    <w:rsid w:val="43832427"/>
    <w:rsid w:val="438815DB"/>
    <w:rsid w:val="43951F98"/>
    <w:rsid w:val="43A57692"/>
    <w:rsid w:val="43B65668"/>
    <w:rsid w:val="43CD5510"/>
    <w:rsid w:val="43E63287"/>
    <w:rsid w:val="43F14D5A"/>
    <w:rsid w:val="43FC5D17"/>
    <w:rsid w:val="44050419"/>
    <w:rsid w:val="442964F3"/>
    <w:rsid w:val="442A5C87"/>
    <w:rsid w:val="44546C86"/>
    <w:rsid w:val="44596CA6"/>
    <w:rsid w:val="446B6C25"/>
    <w:rsid w:val="4472392B"/>
    <w:rsid w:val="4475215D"/>
    <w:rsid w:val="44890564"/>
    <w:rsid w:val="44A45929"/>
    <w:rsid w:val="44AF069D"/>
    <w:rsid w:val="44BF688E"/>
    <w:rsid w:val="44D60E83"/>
    <w:rsid w:val="44EC2521"/>
    <w:rsid w:val="44FA7690"/>
    <w:rsid w:val="451627E1"/>
    <w:rsid w:val="45174069"/>
    <w:rsid w:val="453B771B"/>
    <w:rsid w:val="454D7C42"/>
    <w:rsid w:val="455C4456"/>
    <w:rsid w:val="455E3740"/>
    <w:rsid w:val="456811A7"/>
    <w:rsid w:val="458D6F55"/>
    <w:rsid w:val="459650EC"/>
    <w:rsid w:val="45A9335E"/>
    <w:rsid w:val="45AD5756"/>
    <w:rsid w:val="45C41323"/>
    <w:rsid w:val="45CD3BFD"/>
    <w:rsid w:val="45CF1FCE"/>
    <w:rsid w:val="45D908D7"/>
    <w:rsid w:val="461C6F7D"/>
    <w:rsid w:val="46287894"/>
    <w:rsid w:val="46310DA9"/>
    <w:rsid w:val="46324F05"/>
    <w:rsid w:val="464C5781"/>
    <w:rsid w:val="4653520A"/>
    <w:rsid w:val="4656288B"/>
    <w:rsid w:val="46662E7A"/>
    <w:rsid w:val="466902CC"/>
    <w:rsid w:val="467F0BB7"/>
    <w:rsid w:val="4690064F"/>
    <w:rsid w:val="46937EE4"/>
    <w:rsid w:val="469C503D"/>
    <w:rsid w:val="469E6F98"/>
    <w:rsid w:val="46AB022E"/>
    <w:rsid w:val="46B478CC"/>
    <w:rsid w:val="46D108CD"/>
    <w:rsid w:val="46E14C12"/>
    <w:rsid w:val="470457CF"/>
    <w:rsid w:val="4707151E"/>
    <w:rsid w:val="470953FC"/>
    <w:rsid w:val="470F7557"/>
    <w:rsid w:val="4713233F"/>
    <w:rsid w:val="47153338"/>
    <w:rsid w:val="472E3DA5"/>
    <w:rsid w:val="4732093D"/>
    <w:rsid w:val="473625A7"/>
    <w:rsid w:val="473F605F"/>
    <w:rsid w:val="47560017"/>
    <w:rsid w:val="47635D39"/>
    <w:rsid w:val="476C2FAD"/>
    <w:rsid w:val="477950B0"/>
    <w:rsid w:val="478B6A24"/>
    <w:rsid w:val="479644CB"/>
    <w:rsid w:val="47975C19"/>
    <w:rsid w:val="47B54039"/>
    <w:rsid w:val="47BE7E5F"/>
    <w:rsid w:val="47CA4074"/>
    <w:rsid w:val="47D96F76"/>
    <w:rsid w:val="47E06406"/>
    <w:rsid w:val="47EA57FE"/>
    <w:rsid w:val="47FA6D48"/>
    <w:rsid w:val="47FB7887"/>
    <w:rsid w:val="48002134"/>
    <w:rsid w:val="480C1527"/>
    <w:rsid w:val="481457B8"/>
    <w:rsid w:val="48253156"/>
    <w:rsid w:val="483F7F95"/>
    <w:rsid w:val="48437411"/>
    <w:rsid w:val="485A2B23"/>
    <w:rsid w:val="48627FD5"/>
    <w:rsid w:val="487B7106"/>
    <w:rsid w:val="487E5FE8"/>
    <w:rsid w:val="488316E5"/>
    <w:rsid w:val="489467A0"/>
    <w:rsid w:val="48966F80"/>
    <w:rsid w:val="489A0002"/>
    <w:rsid w:val="48AC1250"/>
    <w:rsid w:val="48D74496"/>
    <w:rsid w:val="48E20D4C"/>
    <w:rsid w:val="48E24C72"/>
    <w:rsid w:val="48F5656B"/>
    <w:rsid w:val="48FA41B6"/>
    <w:rsid w:val="48FC5DC9"/>
    <w:rsid w:val="490D18E7"/>
    <w:rsid w:val="49414A42"/>
    <w:rsid w:val="494C62C6"/>
    <w:rsid w:val="49587451"/>
    <w:rsid w:val="49587582"/>
    <w:rsid w:val="495D1E55"/>
    <w:rsid w:val="496A64EE"/>
    <w:rsid w:val="49750424"/>
    <w:rsid w:val="49756D78"/>
    <w:rsid w:val="497B184B"/>
    <w:rsid w:val="49971C81"/>
    <w:rsid w:val="49996F4C"/>
    <w:rsid w:val="499F0E93"/>
    <w:rsid w:val="49A85FC0"/>
    <w:rsid w:val="49A923DB"/>
    <w:rsid w:val="49B5766F"/>
    <w:rsid w:val="49BB0084"/>
    <w:rsid w:val="49CE1052"/>
    <w:rsid w:val="49D76D8B"/>
    <w:rsid w:val="49DD0220"/>
    <w:rsid w:val="4A055C12"/>
    <w:rsid w:val="4A1E4B50"/>
    <w:rsid w:val="4A3D7A5A"/>
    <w:rsid w:val="4A3F10F8"/>
    <w:rsid w:val="4A4B6167"/>
    <w:rsid w:val="4A60253C"/>
    <w:rsid w:val="4A626E61"/>
    <w:rsid w:val="4A680026"/>
    <w:rsid w:val="4A687AC4"/>
    <w:rsid w:val="4A714E15"/>
    <w:rsid w:val="4A963023"/>
    <w:rsid w:val="4AB171F9"/>
    <w:rsid w:val="4AB966D6"/>
    <w:rsid w:val="4AC10B6C"/>
    <w:rsid w:val="4ACF2374"/>
    <w:rsid w:val="4ADF094D"/>
    <w:rsid w:val="4B0816A7"/>
    <w:rsid w:val="4B1E0E37"/>
    <w:rsid w:val="4B1E53BD"/>
    <w:rsid w:val="4B260CFE"/>
    <w:rsid w:val="4B275459"/>
    <w:rsid w:val="4B4D0B3A"/>
    <w:rsid w:val="4B4F34FF"/>
    <w:rsid w:val="4B5003CB"/>
    <w:rsid w:val="4B50613A"/>
    <w:rsid w:val="4B574613"/>
    <w:rsid w:val="4B6478C3"/>
    <w:rsid w:val="4B6E1673"/>
    <w:rsid w:val="4B743A78"/>
    <w:rsid w:val="4B747DBA"/>
    <w:rsid w:val="4B895661"/>
    <w:rsid w:val="4B8E38A5"/>
    <w:rsid w:val="4B8F2E9D"/>
    <w:rsid w:val="4B8F5033"/>
    <w:rsid w:val="4B9E3D72"/>
    <w:rsid w:val="4BB10044"/>
    <w:rsid w:val="4BBA050C"/>
    <w:rsid w:val="4BCF69E9"/>
    <w:rsid w:val="4BE62810"/>
    <w:rsid w:val="4C0A0B5F"/>
    <w:rsid w:val="4C1869D1"/>
    <w:rsid w:val="4C231835"/>
    <w:rsid w:val="4C285091"/>
    <w:rsid w:val="4C394527"/>
    <w:rsid w:val="4C3B58D7"/>
    <w:rsid w:val="4C4203BF"/>
    <w:rsid w:val="4C4730A0"/>
    <w:rsid w:val="4C4D4AF8"/>
    <w:rsid w:val="4C6927E1"/>
    <w:rsid w:val="4C791D26"/>
    <w:rsid w:val="4C7E3521"/>
    <w:rsid w:val="4C7F2E1A"/>
    <w:rsid w:val="4C8B2F36"/>
    <w:rsid w:val="4C8B79ED"/>
    <w:rsid w:val="4CA25E78"/>
    <w:rsid w:val="4CB571EA"/>
    <w:rsid w:val="4CC25BCC"/>
    <w:rsid w:val="4CC35CC3"/>
    <w:rsid w:val="4CDB4572"/>
    <w:rsid w:val="4D1A1415"/>
    <w:rsid w:val="4D4371AF"/>
    <w:rsid w:val="4D4579D2"/>
    <w:rsid w:val="4D7277B9"/>
    <w:rsid w:val="4D822C07"/>
    <w:rsid w:val="4D9B420F"/>
    <w:rsid w:val="4DB22585"/>
    <w:rsid w:val="4DBA2108"/>
    <w:rsid w:val="4DE230CE"/>
    <w:rsid w:val="4DE23E12"/>
    <w:rsid w:val="4DEE1097"/>
    <w:rsid w:val="4DEE5E67"/>
    <w:rsid w:val="4DFB1CA6"/>
    <w:rsid w:val="4E0754ED"/>
    <w:rsid w:val="4E202BB9"/>
    <w:rsid w:val="4E216048"/>
    <w:rsid w:val="4E2A44DC"/>
    <w:rsid w:val="4E383D2A"/>
    <w:rsid w:val="4E4C388B"/>
    <w:rsid w:val="4E530619"/>
    <w:rsid w:val="4E680665"/>
    <w:rsid w:val="4E9F4194"/>
    <w:rsid w:val="4EA240D6"/>
    <w:rsid w:val="4EA625AE"/>
    <w:rsid w:val="4EB50EAE"/>
    <w:rsid w:val="4ED553CE"/>
    <w:rsid w:val="4ED74178"/>
    <w:rsid w:val="4ED75672"/>
    <w:rsid w:val="4EE11473"/>
    <w:rsid w:val="4EE120F7"/>
    <w:rsid w:val="4EEA4880"/>
    <w:rsid w:val="4EEB60AA"/>
    <w:rsid w:val="4EED0043"/>
    <w:rsid w:val="4EF43951"/>
    <w:rsid w:val="4F12775B"/>
    <w:rsid w:val="4F2F26B0"/>
    <w:rsid w:val="4F441036"/>
    <w:rsid w:val="4F567B38"/>
    <w:rsid w:val="4F5B2C02"/>
    <w:rsid w:val="4F621835"/>
    <w:rsid w:val="4F7A7BAA"/>
    <w:rsid w:val="4F7D0EFA"/>
    <w:rsid w:val="4F815B88"/>
    <w:rsid w:val="4FA533CA"/>
    <w:rsid w:val="4FAB574B"/>
    <w:rsid w:val="4FB61B34"/>
    <w:rsid w:val="4FBE1347"/>
    <w:rsid w:val="4FD66DA9"/>
    <w:rsid w:val="4FDD391F"/>
    <w:rsid w:val="50020B50"/>
    <w:rsid w:val="501355B9"/>
    <w:rsid w:val="5016701D"/>
    <w:rsid w:val="505B4620"/>
    <w:rsid w:val="505E0A64"/>
    <w:rsid w:val="50690B44"/>
    <w:rsid w:val="50A44950"/>
    <w:rsid w:val="50AE3394"/>
    <w:rsid w:val="50AE5076"/>
    <w:rsid w:val="50AF4CC3"/>
    <w:rsid w:val="50BB0614"/>
    <w:rsid w:val="50BD247F"/>
    <w:rsid w:val="50EB14CB"/>
    <w:rsid w:val="50F2548B"/>
    <w:rsid w:val="50FC7452"/>
    <w:rsid w:val="510333FD"/>
    <w:rsid w:val="510653DB"/>
    <w:rsid w:val="510F030F"/>
    <w:rsid w:val="512C2BBC"/>
    <w:rsid w:val="514651B4"/>
    <w:rsid w:val="51491D32"/>
    <w:rsid w:val="515D40AF"/>
    <w:rsid w:val="517B58C5"/>
    <w:rsid w:val="51925DE3"/>
    <w:rsid w:val="5199434D"/>
    <w:rsid w:val="51C12BF6"/>
    <w:rsid w:val="51E12BAE"/>
    <w:rsid w:val="51E40DDA"/>
    <w:rsid w:val="51F52518"/>
    <w:rsid w:val="51FF1598"/>
    <w:rsid w:val="52186E87"/>
    <w:rsid w:val="521B368B"/>
    <w:rsid w:val="522E4BA1"/>
    <w:rsid w:val="522F0841"/>
    <w:rsid w:val="525156A2"/>
    <w:rsid w:val="52587C9F"/>
    <w:rsid w:val="527111BC"/>
    <w:rsid w:val="527B5D61"/>
    <w:rsid w:val="52B17859"/>
    <w:rsid w:val="52BC369B"/>
    <w:rsid w:val="52E668BC"/>
    <w:rsid w:val="52E92045"/>
    <w:rsid w:val="52F07F1E"/>
    <w:rsid w:val="52F50EEC"/>
    <w:rsid w:val="53114AD1"/>
    <w:rsid w:val="532C5B84"/>
    <w:rsid w:val="534139FE"/>
    <w:rsid w:val="534A18B1"/>
    <w:rsid w:val="5352620D"/>
    <w:rsid w:val="535769C9"/>
    <w:rsid w:val="535C5111"/>
    <w:rsid w:val="53606A52"/>
    <w:rsid w:val="537554D5"/>
    <w:rsid w:val="53760BFF"/>
    <w:rsid w:val="538D6EA3"/>
    <w:rsid w:val="53A71C4B"/>
    <w:rsid w:val="53B813F1"/>
    <w:rsid w:val="53B81508"/>
    <w:rsid w:val="53B84D49"/>
    <w:rsid w:val="53C07CF3"/>
    <w:rsid w:val="53D2155F"/>
    <w:rsid w:val="53D50784"/>
    <w:rsid w:val="53D57297"/>
    <w:rsid w:val="53E64820"/>
    <w:rsid w:val="53EB17B2"/>
    <w:rsid w:val="53ED444D"/>
    <w:rsid w:val="540B7771"/>
    <w:rsid w:val="540C7632"/>
    <w:rsid w:val="541B7A0B"/>
    <w:rsid w:val="542E1CDF"/>
    <w:rsid w:val="544C72C1"/>
    <w:rsid w:val="544F62BD"/>
    <w:rsid w:val="545659E9"/>
    <w:rsid w:val="545777C4"/>
    <w:rsid w:val="545C4E02"/>
    <w:rsid w:val="546437B3"/>
    <w:rsid w:val="5474627B"/>
    <w:rsid w:val="54791FA3"/>
    <w:rsid w:val="54886B58"/>
    <w:rsid w:val="54921A8E"/>
    <w:rsid w:val="54967355"/>
    <w:rsid w:val="54AF027F"/>
    <w:rsid w:val="54AF53A9"/>
    <w:rsid w:val="54BD0612"/>
    <w:rsid w:val="54C125DA"/>
    <w:rsid w:val="54C262A8"/>
    <w:rsid w:val="54C74DBE"/>
    <w:rsid w:val="55047989"/>
    <w:rsid w:val="55152173"/>
    <w:rsid w:val="552A5444"/>
    <w:rsid w:val="555A2E40"/>
    <w:rsid w:val="556565D1"/>
    <w:rsid w:val="55865306"/>
    <w:rsid w:val="55894DF3"/>
    <w:rsid w:val="55902B7B"/>
    <w:rsid w:val="559E1A28"/>
    <w:rsid w:val="55C20305"/>
    <w:rsid w:val="55CA3FD0"/>
    <w:rsid w:val="55DA3C47"/>
    <w:rsid w:val="55DF70CF"/>
    <w:rsid w:val="55E2653A"/>
    <w:rsid w:val="55E759FD"/>
    <w:rsid w:val="55EA20EF"/>
    <w:rsid w:val="55FD1DF3"/>
    <w:rsid w:val="560A4FFD"/>
    <w:rsid w:val="561373ED"/>
    <w:rsid w:val="561679F5"/>
    <w:rsid w:val="562804EA"/>
    <w:rsid w:val="5634103D"/>
    <w:rsid w:val="5641795D"/>
    <w:rsid w:val="565A4E93"/>
    <w:rsid w:val="567E2CCA"/>
    <w:rsid w:val="56840AC9"/>
    <w:rsid w:val="568D7FAC"/>
    <w:rsid w:val="56995821"/>
    <w:rsid w:val="56A86F64"/>
    <w:rsid w:val="56B17E63"/>
    <w:rsid w:val="56BB586F"/>
    <w:rsid w:val="56C36374"/>
    <w:rsid w:val="56C8194B"/>
    <w:rsid w:val="56D05A93"/>
    <w:rsid w:val="56DA7782"/>
    <w:rsid w:val="56FC7AC4"/>
    <w:rsid w:val="57063F64"/>
    <w:rsid w:val="570654B7"/>
    <w:rsid w:val="570E0BFC"/>
    <w:rsid w:val="570E6F81"/>
    <w:rsid w:val="573A6C2B"/>
    <w:rsid w:val="573F1338"/>
    <w:rsid w:val="57676604"/>
    <w:rsid w:val="57692BB9"/>
    <w:rsid w:val="57742212"/>
    <w:rsid w:val="57853105"/>
    <w:rsid w:val="578E380B"/>
    <w:rsid w:val="57950492"/>
    <w:rsid w:val="57CD4D3F"/>
    <w:rsid w:val="57D14E0A"/>
    <w:rsid w:val="57E56B2B"/>
    <w:rsid w:val="57EE5CDD"/>
    <w:rsid w:val="57F419B9"/>
    <w:rsid w:val="580A1E66"/>
    <w:rsid w:val="580B53A0"/>
    <w:rsid w:val="58160B23"/>
    <w:rsid w:val="581E3586"/>
    <w:rsid w:val="583633B0"/>
    <w:rsid w:val="583714CF"/>
    <w:rsid w:val="583A3859"/>
    <w:rsid w:val="58475E4C"/>
    <w:rsid w:val="585722FF"/>
    <w:rsid w:val="58641614"/>
    <w:rsid w:val="586E5BAD"/>
    <w:rsid w:val="58745CB8"/>
    <w:rsid w:val="58776FB0"/>
    <w:rsid w:val="58777E71"/>
    <w:rsid w:val="58927433"/>
    <w:rsid w:val="589629D1"/>
    <w:rsid w:val="58AF1910"/>
    <w:rsid w:val="58B25788"/>
    <w:rsid w:val="58E830BE"/>
    <w:rsid w:val="58EC1E1F"/>
    <w:rsid w:val="58FC3A7B"/>
    <w:rsid w:val="58FF5BEC"/>
    <w:rsid w:val="59032417"/>
    <w:rsid w:val="59063007"/>
    <w:rsid w:val="59160683"/>
    <w:rsid w:val="5916256A"/>
    <w:rsid w:val="59397CF5"/>
    <w:rsid w:val="593A655C"/>
    <w:rsid w:val="593F1CF6"/>
    <w:rsid w:val="594B312D"/>
    <w:rsid w:val="5964503E"/>
    <w:rsid w:val="596C0ED6"/>
    <w:rsid w:val="5971756C"/>
    <w:rsid w:val="59804C11"/>
    <w:rsid w:val="59854F1B"/>
    <w:rsid w:val="59856DFB"/>
    <w:rsid w:val="598B128A"/>
    <w:rsid w:val="599C0826"/>
    <w:rsid w:val="59A16743"/>
    <w:rsid w:val="59A52538"/>
    <w:rsid w:val="59AF0332"/>
    <w:rsid w:val="59C14F6C"/>
    <w:rsid w:val="59D03F97"/>
    <w:rsid w:val="59E42BA1"/>
    <w:rsid w:val="59EC032B"/>
    <w:rsid w:val="59F75AAD"/>
    <w:rsid w:val="59FB6DA1"/>
    <w:rsid w:val="5A0A6856"/>
    <w:rsid w:val="5A1A20D8"/>
    <w:rsid w:val="5A1F151A"/>
    <w:rsid w:val="5A214FDA"/>
    <w:rsid w:val="5A227298"/>
    <w:rsid w:val="5A2B1424"/>
    <w:rsid w:val="5A340C01"/>
    <w:rsid w:val="5A3D43FE"/>
    <w:rsid w:val="5A570213"/>
    <w:rsid w:val="5A6969B5"/>
    <w:rsid w:val="5A750FF4"/>
    <w:rsid w:val="5A753DA6"/>
    <w:rsid w:val="5A762BBE"/>
    <w:rsid w:val="5A806DFD"/>
    <w:rsid w:val="5A836B22"/>
    <w:rsid w:val="5A87369F"/>
    <w:rsid w:val="5A932D94"/>
    <w:rsid w:val="5A950E4E"/>
    <w:rsid w:val="5A957839"/>
    <w:rsid w:val="5A9D7ED0"/>
    <w:rsid w:val="5AB16321"/>
    <w:rsid w:val="5AC44E9F"/>
    <w:rsid w:val="5AC90823"/>
    <w:rsid w:val="5ACF0B14"/>
    <w:rsid w:val="5ACF15D8"/>
    <w:rsid w:val="5ADA39FB"/>
    <w:rsid w:val="5AF30F60"/>
    <w:rsid w:val="5B106122"/>
    <w:rsid w:val="5B1A43A0"/>
    <w:rsid w:val="5B1B7244"/>
    <w:rsid w:val="5B1F646F"/>
    <w:rsid w:val="5B2A197E"/>
    <w:rsid w:val="5B3B345A"/>
    <w:rsid w:val="5B4A5CDD"/>
    <w:rsid w:val="5B5A74F8"/>
    <w:rsid w:val="5B7A6290"/>
    <w:rsid w:val="5BB87915"/>
    <w:rsid w:val="5BD11CDE"/>
    <w:rsid w:val="5BF96BF2"/>
    <w:rsid w:val="5BFC053F"/>
    <w:rsid w:val="5BFF43C7"/>
    <w:rsid w:val="5C0E1115"/>
    <w:rsid w:val="5C1949F7"/>
    <w:rsid w:val="5C2F4FDA"/>
    <w:rsid w:val="5C353113"/>
    <w:rsid w:val="5C46782C"/>
    <w:rsid w:val="5C4902CE"/>
    <w:rsid w:val="5C54112F"/>
    <w:rsid w:val="5C572F11"/>
    <w:rsid w:val="5C59733C"/>
    <w:rsid w:val="5C6D277A"/>
    <w:rsid w:val="5C7E320D"/>
    <w:rsid w:val="5C9078D5"/>
    <w:rsid w:val="5CBD35D4"/>
    <w:rsid w:val="5CBF5805"/>
    <w:rsid w:val="5CCB27CD"/>
    <w:rsid w:val="5CD51CCF"/>
    <w:rsid w:val="5D1660F2"/>
    <w:rsid w:val="5D1B5F16"/>
    <w:rsid w:val="5D1E3F6B"/>
    <w:rsid w:val="5D35082C"/>
    <w:rsid w:val="5D5B6818"/>
    <w:rsid w:val="5D6A53BF"/>
    <w:rsid w:val="5D7A2375"/>
    <w:rsid w:val="5D964551"/>
    <w:rsid w:val="5DB238F1"/>
    <w:rsid w:val="5DB3065C"/>
    <w:rsid w:val="5DC374E2"/>
    <w:rsid w:val="5DC913EB"/>
    <w:rsid w:val="5DEB4811"/>
    <w:rsid w:val="5DEB66EA"/>
    <w:rsid w:val="5DFD1595"/>
    <w:rsid w:val="5E136F5A"/>
    <w:rsid w:val="5E24038C"/>
    <w:rsid w:val="5E2A734B"/>
    <w:rsid w:val="5E3E78B2"/>
    <w:rsid w:val="5E444933"/>
    <w:rsid w:val="5E4A6A97"/>
    <w:rsid w:val="5E533817"/>
    <w:rsid w:val="5E585902"/>
    <w:rsid w:val="5E5A0E50"/>
    <w:rsid w:val="5E690B7F"/>
    <w:rsid w:val="5E701A0A"/>
    <w:rsid w:val="5E744F27"/>
    <w:rsid w:val="5EA07C1D"/>
    <w:rsid w:val="5EAD16B3"/>
    <w:rsid w:val="5F1138EB"/>
    <w:rsid w:val="5F123AC8"/>
    <w:rsid w:val="5F1E1395"/>
    <w:rsid w:val="5F3D7456"/>
    <w:rsid w:val="5F4478BF"/>
    <w:rsid w:val="5F52422E"/>
    <w:rsid w:val="5F5775F0"/>
    <w:rsid w:val="5F5B7982"/>
    <w:rsid w:val="5F5E62DD"/>
    <w:rsid w:val="5FCB3C0B"/>
    <w:rsid w:val="5FD925DC"/>
    <w:rsid w:val="5FDB7985"/>
    <w:rsid w:val="5FE007B6"/>
    <w:rsid w:val="5FF11F12"/>
    <w:rsid w:val="5FFE6A14"/>
    <w:rsid w:val="600237F9"/>
    <w:rsid w:val="600D4628"/>
    <w:rsid w:val="600F70A7"/>
    <w:rsid w:val="6022478C"/>
    <w:rsid w:val="602C156D"/>
    <w:rsid w:val="60461240"/>
    <w:rsid w:val="604C28D0"/>
    <w:rsid w:val="605A7135"/>
    <w:rsid w:val="60607DAB"/>
    <w:rsid w:val="6091637B"/>
    <w:rsid w:val="6098124F"/>
    <w:rsid w:val="609F5A1A"/>
    <w:rsid w:val="60B55EFE"/>
    <w:rsid w:val="60BB7F8B"/>
    <w:rsid w:val="60CD30A6"/>
    <w:rsid w:val="60D263F8"/>
    <w:rsid w:val="60F64194"/>
    <w:rsid w:val="60FF54E4"/>
    <w:rsid w:val="61586D48"/>
    <w:rsid w:val="615B061E"/>
    <w:rsid w:val="615C6D49"/>
    <w:rsid w:val="616F1555"/>
    <w:rsid w:val="61721D8C"/>
    <w:rsid w:val="6178637A"/>
    <w:rsid w:val="61850129"/>
    <w:rsid w:val="61890761"/>
    <w:rsid w:val="618C1500"/>
    <w:rsid w:val="619D21FB"/>
    <w:rsid w:val="61BB02E7"/>
    <w:rsid w:val="61C2125D"/>
    <w:rsid w:val="61CC7F42"/>
    <w:rsid w:val="61D64F7D"/>
    <w:rsid w:val="61EA78B2"/>
    <w:rsid w:val="621161CD"/>
    <w:rsid w:val="622579C0"/>
    <w:rsid w:val="62361519"/>
    <w:rsid w:val="6245462F"/>
    <w:rsid w:val="624F5C10"/>
    <w:rsid w:val="62555B49"/>
    <w:rsid w:val="62736092"/>
    <w:rsid w:val="627F0327"/>
    <w:rsid w:val="629536F8"/>
    <w:rsid w:val="629544FC"/>
    <w:rsid w:val="62996202"/>
    <w:rsid w:val="629D0F2B"/>
    <w:rsid w:val="62A3371B"/>
    <w:rsid w:val="62A96F93"/>
    <w:rsid w:val="62B1767B"/>
    <w:rsid w:val="62B75810"/>
    <w:rsid w:val="62C130E8"/>
    <w:rsid w:val="62E7490A"/>
    <w:rsid w:val="62F13181"/>
    <w:rsid w:val="62FB4116"/>
    <w:rsid w:val="63026A4E"/>
    <w:rsid w:val="63105496"/>
    <w:rsid w:val="63176ADD"/>
    <w:rsid w:val="632C1D05"/>
    <w:rsid w:val="635E2034"/>
    <w:rsid w:val="635F7849"/>
    <w:rsid w:val="6390199C"/>
    <w:rsid w:val="639733BD"/>
    <w:rsid w:val="63AC6360"/>
    <w:rsid w:val="63CF2240"/>
    <w:rsid w:val="63D37520"/>
    <w:rsid w:val="63D82AB5"/>
    <w:rsid w:val="641204A9"/>
    <w:rsid w:val="64135FBD"/>
    <w:rsid w:val="64173D89"/>
    <w:rsid w:val="64174F20"/>
    <w:rsid w:val="6418186F"/>
    <w:rsid w:val="642D5F69"/>
    <w:rsid w:val="643106B4"/>
    <w:rsid w:val="64461DB8"/>
    <w:rsid w:val="64515AA2"/>
    <w:rsid w:val="645916BF"/>
    <w:rsid w:val="6468239B"/>
    <w:rsid w:val="648D688A"/>
    <w:rsid w:val="64AD441D"/>
    <w:rsid w:val="64D01115"/>
    <w:rsid w:val="64D51FBF"/>
    <w:rsid w:val="64DA74E5"/>
    <w:rsid w:val="64DC3612"/>
    <w:rsid w:val="64E508C2"/>
    <w:rsid w:val="64EB12EE"/>
    <w:rsid w:val="651718EB"/>
    <w:rsid w:val="651F7AC3"/>
    <w:rsid w:val="652325BF"/>
    <w:rsid w:val="652B3EDE"/>
    <w:rsid w:val="653728DD"/>
    <w:rsid w:val="653A37C9"/>
    <w:rsid w:val="655C459F"/>
    <w:rsid w:val="65736636"/>
    <w:rsid w:val="657F0712"/>
    <w:rsid w:val="658B2E1E"/>
    <w:rsid w:val="65D41EA9"/>
    <w:rsid w:val="65D6569A"/>
    <w:rsid w:val="65E37DF7"/>
    <w:rsid w:val="65F261E1"/>
    <w:rsid w:val="65FB3804"/>
    <w:rsid w:val="66106E6A"/>
    <w:rsid w:val="661111DF"/>
    <w:rsid w:val="66113828"/>
    <w:rsid w:val="66130F86"/>
    <w:rsid w:val="6629534E"/>
    <w:rsid w:val="662D1B30"/>
    <w:rsid w:val="665C24D9"/>
    <w:rsid w:val="66A91A80"/>
    <w:rsid w:val="66AF599B"/>
    <w:rsid w:val="66B1601B"/>
    <w:rsid w:val="66B90F09"/>
    <w:rsid w:val="66BF109E"/>
    <w:rsid w:val="66C60A29"/>
    <w:rsid w:val="66D15E81"/>
    <w:rsid w:val="66D6290D"/>
    <w:rsid w:val="66DA3DEC"/>
    <w:rsid w:val="66F13661"/>
    <w:rsid w:val="67015A66"/>
    <w:rsid w:val="67102467"/>
    <w:rsid w:val="671F10F7"/>
    <w:rsid w:val="67234EDB"/>
    <w:rsid w:val="672B692F"/>
    <w:rsid w:val="674533E6"/>
    <w:rsid w:val="67460E47"/>
    <w:rsid w:val="675342D4"/>
    <w:rsid w:val="6767788A"/>
    <w:rsid w:val="676C09F6"/>
    <w:rsid w:val="676C6558"/>
    <w:rsid w:val="676D408C"/>
    <w:rsid w:val="6771083C"/>
    <w:rsid w:val="677F537B"/>
    <w:rsid w:val="678B7EE1"/>
    <w:rsid w:val="679171F9"/>
    <w:rsid w:val="679C380C"/>
    <w:rsid w:val="67AF7750"/>
    <w:rsid w:val="67B7743F"/>
    <w:rsid w:val="67B97321"/>
    <w:rsid w:val="67C74F3B"/>
    <w:rsid w:val="67F21688"/>
    <w:rsid w:val="680848B9"/>
    <w:rsid w:val="682A58C0"/>
    <w:rsid w:val="68642099"/>
    <w:rsid w:val="68660AC2"/>
    <w:rsid w:val="68693D23"/>
    <w:rsid w:val="6873467D"/>
    <w:rsid w:val="687761F1"/>
    <w:rsid w:val="68786331"/>
    <w:rsid w:val="687B29E1"/>
    <w:rsid w:val="688E4084"/>
    <w:rsid w:val="689C49E5"/>
    <w:rsid w:val="68A614A4"/>
    <w:rsid w:val="68AD3E95"/>
    <w:rsid w:val="68BD0624"/>
    <w:rsid w:val="68C27CA3"/>
    <w:rsid w:val="68CC5ABA"/>
    <w:rsid w:val="68CE26A1"/>
    <w:rsid w:val="68CF1594"/>
    <w:rsid w:val="68D46099"/>
    <w:rsid w:val="68E91DEB"/>
    <w:rsid w:val="68F46B51"/>
    <w:rsid w:val="690B3CB8"/>
    <w:rsid w:val="690E39EF"/>
    <w:rsid w:val="6911416C"/>
    <w:rsid w:val="69243D8C"/>
    <w:rsid w:val="692C3199"/>
    <w:rsid w:val="69350C23"/>
    <w:rsid w:val="694C6C60"/>
    <w:rsid w:val="697E4E4A"/>
    <w:rsid w:val="69912CD6"/>
    <w:rsid w:val="69994895"/>
    <w:rsid w:val="69AC0738"/>
    <w:rsid w:val="69C93F51"/>
    <w:rsid w:val="69D72A6C"/>
    <w:rsid w:val="69F31FBB"/>
    <w:rsid w:val="69F338F2"/>
    <w:rsid w:val="69FA1C41"/>
    <w:rsid w:val="6A062E69"/>
    <w:rsid w:val="6A090B86"/>
    <w:rsid w:val="6A277B25"/>
    <w:rsid w:val="6A2B2E52"/>
    <w:rsid w:val="6A3702B4"/>
    <w:rsid w:val="6A4844E3"/>
    <w:rsid w:val="6A64450E"/>
    <w:rsid w:val="6A6A47AD"/>
    <w:rsid w:val="6A8219B9"/>
    <w:rsid w:val="6A8E7F7F"/>
    <w:rsid w:val="6A906F5C"/>
    <w:rsid w:val="6AAA0C53"/>
    <w:rsid w:val="6AB4135E"/>
    <w:rsid w:val="6AB62E2B"/>
    <w:rsid w:val="6AC70AAD"/>
    <w:rsid w:val="6ACC5C8E"/>
    <w:rsid w:val="6AD172CA"/>
    <w:rsid w:val="6AE5159B"/>
    <w:rsid w:val="6AF669C7"/>
    <w:rsid w:val="6B037EEF"/>
    <w:rsid w:val="6B06522B"/>
    <w:rsid w:val="6B066C24"/>
    <w:rsid w:val="6B0A1008"/>
    <w:rsid w:val="6B1A53D6"/>
    <w:rsid w:val="6B254C60"/>
    <w:rsid w:val="6B29003E"/>
    <w:rsid w:val="6B2D05BD"/>
    <w:rsid w:val="6B314157"/>
    <w:rsid w:val="6B42249D"/>
    <w:rsid w:val="6B4A1499"/>
    <w:rsid w:val="6B4E7148"/>
    <w:rsid w:val="6B5E1B28"/>
    <w:rsid w:val="6B616E1E"/>
    <w:rsid w:val="6B8B757B"/>
    <w:rsid w:val="6B8E0659"/>
    <w:rsid w:val="6B9026C7"/>
    <w:rsid w:val="6B961612"/>
    <w:rsid w:val="6B9A256C"/>
    <w:rsid w:val="6B9F4C97"/>
    <w:rsid w:val="6BAE6CB9"/>
    <w:rsid w:val="6BB13CF0"/>
    <w:rsid w:val="6BB32434"/>
    <w:rsid w:val="6BB96F25"/>
    <w:rsid w:val="6BC01263"/>
    <w:rsid w:val="6BC80160"/>
    <w:rsid w:val="6BD76D56"/>
    <w:rsid w:val="6BE16F41"/>
    <w:rsid w:val="6BE23453"/>
    <w:rsid w:val="6BE76483"/>
    <w:rsid w:val="6BF60560"/>
    <w:rsid w:val="6C030369"/>
    <w:rsid w:val="6C050183"/>
    <w:rsid w:val="6C084D89"/>
    <w:rsid w:val="6C203421"/>
    <w:rsid w:val="6C2A5CC5"/>
    <w:rsid w:val="6C30616B"/>
    <w:rsid w:val="6C4129E5"/>
    <w:rsid w:val="6C5F5381"/>
    <w:rsid w:val="6C6D497E"/>
    <w:rsid w:val="6C775CB1"/>
    <w:rsid w:val="6C783DD4"/>
    <w:rsid w:val="6C7C026D"/>
    <w:rsid w:val="6C7C7EE6"/>
    <w:rsid w:val="6CCD03D4"/>
    <w:rsid w:val="6CCF5389"/>
    <w:rsid w:val="6CDF401E"/>
    <w:rsid w:val="6CE31225"/>
    <w:rsid w:val="6CEA6447"/>
    <w:rsid w:val="6D035E4E"/>
    <w:rsid w:val="6D596D35"/>
    <w:rsid w:val="6D5A7947"/>
    <w:rsid w:val="6D5D0BE7"/>
    <w:rsid w:val="6D665A9F"/>
    <w:rsid w:val="6D6C6F84"/>
    <w:rsid w:val="6D702EDD"/>
    <w:rsid w:val="6D7D4E43"/>
    <w:rsid w:val="6D7F5F12"/>
    <w:rsid w:val="6D8056DF"/>
    <w:rsid w:val="6D8E306D"/>
    <w:rsid w:val="6D8E4386"/>
    <w:rsid w:val="6D917293"/>
    <w:rsid w:val="6DA45CB7"/>
    <w:rsid w:val="6DAB1F52"/>
    <w:rsid w:val="6DCB3849"/>
    <w:rsid w:val="6DD46D48"/>
    <w:rsid w:val="6DE5198B"/>
    <w:rsid w:val="6E186502"/>
    <w:rsid w:val="6E2B481B"/>
    <w:rsid w:val="6E34785D"/>
    <w:rsid w:val="6E3878E8"/>
    <w:rsid w:val="6E3D6E6F"/>
    <w:rsid w:val="6E4D3B08"/>
    <w:rsid w:val="6E696ACD"/>
    <w:rsid w:val="6E7E381A"/>
    <w:rsid w:val="6E7E5088"/>
    <w:rsid w:val="6E813D5E"/>
    <w:rsid w:val="6E88080E"/>
    <w:rsid w:val="6E913DAE"/>
    <w:rsid w:val="6E98729E"/>
    <w:rsid w:val="6E9B4FDE"/>
    <w:rsid w:val="6EBF22ED"/>
    <w:rsid w:val="6EBF4F8A"/>
    <w:rsid w:val="6ED10B6C"/>
    <w:rsid w:val="6EDA5997"/>
    <w:rsid w:val="6EEA329F"/>
    <w:rsid w:val="6EF53DA7"/>
    <w:rsid w:val="6EF67DEA"/>
    <w:rsid w:val="6F0144AD"/>
    <w:rsid w:val="6F431928"/>
    <w:rsid w:val="6F496656"/>
    <w:rsid w:val="6F4B43F1"/>
    <w:rsid w:val="6F4D3C0F"/>
    <w:rsid w:val="6F53520A"/>
    <w:rsid w:val="6F570D38"/>
    <w:rsid w:val="6F5D6E4D"/>
    <w:rsid w:val="6F625B1F"/>
    <w:rsid w:val="6F652037"/>
    <w:rsid w:val="6F652D15"/>
    <w:rsid w:val="6F6A4C47"/>
    <w:rsid w:val="6F6A5D07"/>
    <w:rsid w:val="6F755FDC"/>
    <w:rsid w:val="6F7B0939"/>
    <w:rsid w:val="6F8E0247"/>
    <w:rsid w:val="6F913C1B"/>
    <w:rsid w:val="6F917422"/>
    <w:rsid w:val="6F9731F1"/>
    <w:rsid w:val="6F9B5FA9"/>
    <w:rsid w:val="6F9F1BEE"/>
    <w:rsid w:val="6FA40C91"/>
    <w:rsid w:val="6FC34F30"/>
    <w:rsid w:val="6FD63F19"/>
    <w:rsid w:val="6FEE5F5A"/>
    <w:rsid w:val="6FFA2950"/>
    <w:rsid w:val="700C1EDD"/>
    <w:rsid w:val="70176FD3"/>
    <w:rsid w:val="70264883"/>
    <w:rsid w:val="702F3B30"/>
    <w:rsid w:val="702F7722"/>
    <w:rsid w:val="70562E59"/>
    <w:rsid w:val="705D4A5A"/>
    <w:rsid w:val="707465EF"/>
    <w:rsid w:val="707C3099"/>
    <w:rsid w:val="70951E3B"/>
    <w:rsid w:val="709D3FC9"/>
    <w:rsid w:val="709E7B9F"/>
    <w:rsid w:val="70BE7B47"/>
    <w:rsid w:val="70C77C95"/>
    <w:rsid w:val="70DD65B6"/>
    <w:rsid w:val="70F65CB4"/>
    <w:rsid w:val="7102298D"/>
    <w:rsid w:val="7118679B"/>
    <w:rsid w:val="711E25BE"/>
    <w:rsid w:val="71470DBE"/>
    <w:rsid w:val="7155379F"/>
    <w:rsid w:val="71CA3764"/>
    <w:rsid w:val="71D33FBB"/>
    <w:rsid w:val="71D701D5"/>
    <w:rsid w:val="71E91956"/>
    <w:rsid w:val="71ED5598"/>
    <w:rsid w:val="71EF3697"/>
    <w:rsid w:val="71F14371"/>
    <w:rsid w:val="7201349B"/>
    <w:rsid w:val="72186629"/>
    <w:rsid w:val="72236D72"/>
    <w:rsid w:val="722A6248"/>
    <w:rsid w:val="7232276A"/>
    <w:rsid w:val="72504213"/>
    <w:rsid w:val="7263128D"/>
    <w:rsid w:val="726612A2"/>
    <w:rsid w:val="72964253"/>
    <w:rsid w:val="72A07CDB"/>
    <w:rsid w:val="72AA51AB"/>
    <w:rsid w:val="72AD22EC"/>
    <w:rsid w:val="72B335BB"/>
    <w:rsid w:val="72FB0DB6"/>
    <w:rsid w:val="72FC68CF"/>
    <w:rsid w:val="73014BE1"/>
    <w:rsid w:val="73113FFD"/>
    <w:rsid w:val="731E7EB0"/>
    <w:rsid w:val="732970EB"/>
    <w:rsid w:val="73301976"/>
    <w:rsid w:val="733142EE"/>
    <w:rsid w:val="73333AB6"/>
    <w:rsid w:val="733B5FCF"/>
    <w:rsid w:val="73563271"/>
    <w:rsid w:val="736C7EFF"/>
    <w:rsid w:val="73791D2E"/>
    <w:rsid w:val="73D00F12"/>
    <w:rsid w:val="73E560A9"/>
    <w:rsid w:val="741B13E1"/>
    <w:rsid w:val="7439257D"/>
    <w:rsid w:val="746934DB"/>
    <w:rsid w:val="747C49F5"/>
    <w:rsid w:val="748D7009"/>
    <w:rsid w:val="74963FA2"/>
    <w:rsid w:val="749C78D0"/>
    <w:rsid w:val="74AD53F7"/>
    <w:rsid w:val="74D74769"/>
    <w:rsid w:val="74E958DC"/>
    <w:rsid w:val="74F46767"/>
    <w:rsid w:val="74F76AEC"/>
    <w:rsid w:val="74FA2416"/>
    <w:rsid w:val="74FA3492"/>
    <w:rsid w:val="75004D6E"/>
    <w:rsid w:val="75070BC9"/>
    <w:rsid w:val="75204471"/>
    <w:rsid w:val="7521699E"/>
    <w:rsid w:val="75216BC6"/>
    <w:rsid w:val="7526695F"/>
    <w:rsid w:val="753C319C"/>
    <w:rsid w:val="756E4CE6"/>
    <w:rsid w:val="75713774"/>
    <w:rsid w:val="757A7E5C"/>
    <w:rsid w:val="75804936"/>
    <w:rsid w:val="75820F64"/>
    <w:rsid w:val="758C0F30"/>
    <w:rsid w:val="75BD3291"/>
    <w:rsid w:val="75CC462B"/>
    <w:rsid w:val="75CD3422"/>
    <w:rsid w:val="75DB5DAC"/>
    <w:rsid w:val="75E40795"/>
    <w:rsid w:val="76004C5C"/>
    <w:rsid w:val="76061B41"/>
    <w:rsid w:val="761E5C2E"/>
    <w:rsid w:val="76242B22"/>
    <w:rsid w:val="76291645"/>
    <w:rsid w:val="762F71CB"/>
    <w:rsid w:val="76383D49"/>
    <w:rsid w:val="763C15B6"/>
    <w:rsid w:val="76436EC0"/>
    <w:rsid w:val="76514DF6"/>
    <w:rsid w:val="76592ABF"/>
    <w:rsid w:val="76622145"/>
    <w:rsid w:val="766A27AE"/>
    <w:rsid w:val="766D0035"/>
    <w:rsid w:val="767D6FCA"/>
    <w:rsid w:val="76A33DD6"/>
    <w:rsid w:val="76A55952"/>
    <w:rsid w:val="76AB70C1"/>
    <w:rsid w:val="76B121F6"/>
    <w:rsid w:val="76B42D80"/>
    <w:rsid w:val="76C208D6"/>
    <w:rsid w:val="76CC7942"/>
    <w:rsid w:val="76F8794E"/>
    <w:rsid w:val="76FD4A71"/>
    <w:rsid w:val="77074524"/>
    <w:rsid w:val="77166770"/>
    <w:rsid w:val="77176613"/>
    <w:rsid w:val="771B0F4B"/>
    <w:rsid w:val="77326F9A"/>
    <w:rsid w:val="77386FDA"/>
    <w:rsid w:val="778D6CC3"/>
    <w:rsid w:val="778E4B3B"/>
    <w:rsid w:val="77B77146"/>
    <w:rsid w:val="77B91110"/>
    <w:rsid w:val="77BD0DC8"/>
    <w:rsid w:val="77DF1004"/>
    <w:rsid w:val="77E15B68"/>
    <w:rsid w:val="77E2713E"/>
    <w:rsid w:val="78312877"/>
    <w:rsid w:val="783F307C"/>
    <w:rsid w:val="784A1258"/>
    <w:rsid w:val="78504F4D"/>
    <w:rsid w:val="78523707"/>
    <w:rsid w:val="78532CFA"/>
    <w:rsid w:val="78555DF8"/>
    <w:rsid w:val="786B0450"/>
    <w:rsid w:val="78775EFA"/>
    <w:rsid w:val="78871C23"/>
    <w:rsid w:val="78876E54"/>
    <w:rsid w:val="78946820"/>
    <w:rsid w:val="789558E9"/>
    <w:rsid w:val="78997CE1"/>
    <w:rsid w:val="78A26300"/>
    <w:rsid w:val="78D75587"/>
    <w:rsid w:val="78DA27FD"/>
    <w:rsid w:val="78E43EF3"/>
    <w:rsid w:val="78E64C00"/>
    <w:rsid w:val="78EC081E"/>
    <w:rsid w:val="78FA78F4"/>
    <w:rsid w:val="79305CBB"/>
    <w:rsid w:val="79354753"/>
    <w:rsid w:val="795D1E66"/>
    <w:rsid w:val="79601AF2"/>
    <w:rsid w:val="79745D61"/>
    <w:rsid w:val="797933A6"/>
    <w:rsid w:val="797F1BED"/>
    <w:rsid w:val="798D2372"/>
    <w:rsid w:val="79A56375"/>
    <w:rsid w:val="79AE54D0"/>
    <w:rsid w:val="79B76542"/>
    <w:rsid w:val="79BE0C76"/>
    <w:rsid w:val="79BF0B9C"/>
    <w:rsid w:val="79D07EC2"/>
    <w:rsid w:val="79D219D9"/>
    <w:rsid w:val="79D716B5"/>
    <w:rsid w:val="79DD23FB"/>
    <w:rsid w:val="79DE379F"/>
    <w:rsid w:val="79E02E90"/>
    <w:rsid w:val="79E06C03"/>
    <w:rsid w:val="7A023D70"/>
    <w:rsid w:val="7A564644"/>
    <w:rsid w:val="7A58663D"/>
    <w:rsid w:val="7A7206F1"/>
    <w:rsid w:val="7A724C27"/>
    <w:rsid w:val="7A805488"/>
    <w:rsid w:val="7A943DE6"/>
    <w:rsid w:val="7A974E58"/>
    <w:rsid w:val="7ABD5AA5"/>
    <w:rsid w:val="7AC77DFB"/>
    <w:rsid w:val="7ADA0272"/>
    <w:rsid w:val="7ADD3DF9"/>
    <w:rsid w:val="7AE451AC"/>
    <w:rsid w:val="7AFE46FE"/>
    <w:rsid w:val="7B00605B"/>
    <w:rsid w:val="7B01255E"/>
    <w:rsid w:val="7B0132AD"/>
    <w:rsid w:val="7B0A05C0"/>
    <w:rsid w:val="7B1459D6"/>
    <w:rsid w:val="7B1C69D0"/>
    <w:rsid w:val="7B3F2BE8"/>
    <w:rsid w:val="7B480809"/>
    <w:rsid w:val="7B502BC6"/>
    <w:rsid w:val="7B5A1991"/>
    <w:rsid w:val="7B6A2996"/>
    <w:rsid w:val="7B6D4826"/>
    <w:rsid w:val="7B815345"/>
    <w:rsid w:val="7B914152"/>
    <w:rsid w:val="7B980C8B"/>
    <w:rsid w:val="7B9F5615"/>
    <w:rsid w:val="7BA13191"/>
    <w:rsid w:val="7BA5789F"/>
    <w:rsid w:val="7BAF44AC"/>
    <w:rsid w:val="7BB53DD0"/>
    <w:rsid w:val="7BDB7CC3"/>
    <w:rsid w:val="7BE422BE"/>
    <w:rsid w:val="7BE43654"/>
    <w:rsid w:val="7BF54FE9"/>
    <w:rsid w:val="7C016BE2"/>
    <w:rsid w:val="7C06797A"/>
    <w:rsid w:val="7C160EA1"/>
    <w:rsid w:val="7C2104E2"/>
    <w:rsid w:val="7C3F4DA8"/>
    <w:rsid w:val="7C4151DB"/>
    <w:rsid w:val="7C421434"/>
    <w:rsid w:val="7C6277A2"/>
    <w:rsid w:val="7C7714FD"/>
    <w:rsid w:val="7C9501F0"/>
    <w:rsid w:val="7C9C644A"/>
    <w:rsid w:val="7CB050C9"/>
    <w:rsid w:val="7CB31151"/>
    <w:rsid w:val="7CB87A7B"/>
    <w:rsid w:val="7CEA452C"/>
    <w:rsid w:val="7CFD6C53"/>
    <w:rsid w:val="7D1C7A9E"/>
    <w:rsid w:val="7D202558"/>
    <w:rsid w:val="7D2B3480"/>
    <w:rsid w:val="7D302EF6"/>
    <w:rsid w:val="7D3C7824"/>
    <w:rsid w:val="7D403E13"/>
    <w:rsid w:val="7D404BDB"/>
    <w:rsid w:val="7D4637E3"/>
    <w:rsid w:val="7D486A6C"/>
    <w:rsid w:val="7D4C3C56"/>
    <w:rsid w:val="7D637428"/>
    <w:rsid w:val="7D6845B9"/>
    <w:rsid w:val="7D690EE2"/>
    <w:rsid w:val="7D944847"/>
    <w:rsid w:val="7DA117F3"/>
    <w:rsid w:val="7DA737B9"/>
    <w:rsid w:val="7DB5684B"/>
    <w:rsid w:val="7DC861E9"/>
    <w:rsid w:val="7DCC0C79"/>
    <w:rsid w:val="7DCF0805"/>
    <w:rsid w:val="7DF929ED"/>
    <w:rsid w:val="7E070756"/>
    <w:rsid w:val="7E102906"/>
    <w:rsid w:val="7E124360"/>
    <w:rsid w:val="7E4A11D2"/>
    <w:rsid w:val="7E5A2A09"/>
    <w:rsid w:val="7E84101B"/>
    <w:rsid w:val="7E924469"/>
    <w:rsid w:val="7E9B156F"/>
    <w:rsid w:val="7EB76914"/>
    <w:rsid w:val="7EC177F4"/>
    <w:rsid w:val="7EC859FA"/>
    <w:rsid w:val="7ED71A05"/>
    <w:rsid w:val="7EE66ACE"/>
    <w:rsid w:val="7EE81972"/>
    <w:rsid w:val="7EEC378B"/>
    <w:rsid w:val="7F054C3B"/>
    <w:rsid w:val="7F2F22B8"/>
    <w:rsid w:val="7F577506"/>
    <w:rsid w:val="7F625F38"/>
    <w:rsid w:val="7F6E7CB0"/>
    <w:rsid w:val="7F7468AF"/>
    <w:rsid w:val="7F7A3AFC"/>
    <w:rsid w:val="7F826921"/>
    <w:rsid w:val="7F8647CB"/>
    <w:rsid w:val="7F8B4FC2"/>
    <w:rsid w:val="7F93675A"/>
    <w:rsid w:val="7FA07952"/>
    <w:rsid w:val="7FAA21AD"/>
    <w:rsid w:val="7FB11D26"/>
    <w:rsid w:val="7FC56891"/>
    <w:rsid w:val="7FDE7681"/>
    <w:rsid w:val="7FE83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qFormat="1" w:uiPriority="99" w:semiHidden="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uiPriority="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qFormat="1" w:unhideWhenUsed="0" w:uiPriority="0" w:semiHidden="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29" w:name="Quote"/>
    <w:lsdException w:qFormat="1"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116"/>
    <w:qFormat/>
    <w:uiPriority w:val="9"/>
    <w:pPr>
      <w:keepNext/>
      <w:keepLines/>
      <w:tabs>
        <w:tab w:val="left" w:pos="360"/>
      </w:tabs>
      <w:adjustRightInd w:val="0"/>
      <w:spacing w:before="120" w:line="360" w:lineRule="auto"/>
      <w:jc w:val="center"/>
      <w:textAlignment w:val="baseline"/>
      <w:outlineLvl w:val="0"/>
    </w:pPr>
    <w:rPr>
      <w:b/>
      <w:kern w:val="44"/>
      <w:sz w:val="36"/>
      <w:szCs w:val="20"/>
    </w:rPr>
  </w:style>
  <w:style w:type="paragraph" w:styleId="3">
    <w:name w:val="heading 2"/>
    <w:basedOn w:val="1"/>
    <w:next w:val="1"/>
    <w:link w:val="129"/>
    <w:qFormat/>
    <w:uiPriority w:val="9"/>
    <w:pPr>
      <w:keepNext/>
      <w:tabs>
        <w:tab w:val="left" w:pos="360"/>
        <w:tab w:val="left" w:pos="3999"/>
      </w:tabs>
      <w:adjustRightInd w:val="0"/>
      <w:spacing w:afterLines="50" w:line="560" w:lineRule="exact"/>
      <w:jc w:val="center"/>
      <w:textAlignment w:val="baseline"/>
      <w:outlineLvl w:val="1"/>
    </w:pPr>
    <w:rPr>
      <w:b/>
      <w:sz w:val="30"/>
    </w:rPr>
  </w:style>
  <w:style w:type="paragraph" w:styleId="4">
    <w:name w:val="heading 3"/>
    <w:basedOn w:val="1"/>
    <w:next w:val="1"/>
    <w:link w:val="121"/>
    <w:qFormat/>
    <w:uiPriority w:val="9"/>
    <w:pPr>
      <w:tabs>
        <w:tab w:val="left" w:pos="360"/>
        <w:tab w:val="left" w:pos="900"/>
      </w:tabs>
      <w:adjustRightInd w:val="0"/>
      <w:spacing w:line="360" w:lineRule="auto"/>
      <w:ind w:firstLine="200" w:firstLineChars="200"/>
      <w:jc w:val="left"/>
      <w:textAlignment w:val="baseline"/>
      <w:outlineLvl w:val="2"/>
    </w:pPr>
    <w:rPr>
      <w:rFonts w:eastAsia="黑体"/>
      <w:b/>
      <w:sz w:val="28"/>
    </w:rPr>
  </w:style>
  <w:style w:type="paragraph" w:styleId="5">
    <w:name w:val="heading 4"/>
    <w:basedOn w:val="1"/>
    <w:next w:val="1"/>
    <w:link w:val="130"/>
    <w:qFormat/>
    <w:uiPriority w:val="0"/>
    <w:pPr>
      <w:tabs>
        <w:tab w:val="left" w:pos="360"/>
        <w:tab w:val="left" w:pos="2518"/>
      </w:tabs>
      <w:adjustRightInd w:val="0"/>
      <w:spacing w:line="500" w:lineRule="exact"/>
      <w:jc w:val="center"/>
      <w:textAlignment w:val="baseline"/>
      <w:outlineLvl w:val="3"/>
    </w:pPr>
    <w:rPr>
      <w:rFonts w:ascii="Arial" w:hAnsi="Arial" w:eastAsia="黑体"/>
      <w:b/>
      <w:kern w:val="0"/>
      <w:sz w:val="32"/>
      <w:szCs w:val="20"/>
    </w:rPr>
  </w:style>
  <w:style w:type="paragraph" w:styleId="6">
    <w:name w:val="heading 5"/>
    <w:basedOn w:val="1"/>
    <w:next w:val="1"/>
    <w:link w:val="150"/>
    <w:qFormat/>
    <w:uiPriority w:val="0"/>
    <w:pPr>
      <w:keepNext/>
      <w:keepLines/>
      <w:spacing w:line="460" w:lineRule="exact"/>
      <w:jc w:val="center"/>
      <w:outlineLvl w:val="4"/>
    </w:pPr>
    <w:rPr>
      <w:rFonts w:eastAsia="黑体"/>
      <w:b/>
      <w:bCs/>
      <w:sz w:val="30"/>
      <w:szCs w:val="28"/>
    </w:rPr>
  </w:style>
  <w:style w:type="paragraph" w:styleId="7">
    <w:name w:val="heading 6"/>
    <w:basedOn w:val="1"/>
    <w:next w:val="1"/>
    <w:link w:val="181"/>
    <w:qFormat/>
    <w:uiPriority w:val="0"/>
    <w:pPr>
      <w:keepNext/>
      <w:keepLines/>
      <w:spacing w:line="360" w:lineRule="auto"/>
      <w:ind w:firstLine="200" w:firstLineChars="200"/>
      <w:jc w:val="left"/>
      <w:outlineLvl w:val="5"/>
    </w:pPr>
    <w:rPr>
      <w:rFonts w:ascii="Arial" w:hAnsi="Arial" w:eastAsia="黑体"/>
      <w:b/>
      <w:bCs/>
    </w:rPr>
  </w:style>
  <w:style w:type="paragraph" w:styleId="8">
    <w:name w:val="heading 7"/>
    <w:basedOn w:val="1"/>
    <w:next w:val="1"/>
    <w:link w:val="127"/>
    <w:qFormat/>
    <w:uiPriority w:val="0"/>
    <w:pPr>
      <w:keepNext/>
      <w:keepLines/>
      <w:spacing w:before="240" w:after="64" w:line="320" w:lineRule="auto"/>
      <w:outlineLvl w:val="6"/>
    </w:pPr>
    <w:rPr>
      <w:b/>
      <w:bCs/>
    </w:rPr>
  </w:style>
  <w:style w:type="paragraph" w:styleId="9">
    <w:name w:val="heading 8"/>
    <w:basedOn w:val="1"/>
    <w:next w:val="1"/>
    <w:link w:val="182"/>
    <w:qFormat/>
    <w:uiPriority w:val="9"/>
    <w:pPr>
      <w:keepNext/>
      <w:keepLines/>
      <w:spacing w:before="240" w:after="64" w:line="320" w:lineRule="auto"/>
      <w:outlineLvl w:val="7"/>
    </w:pPr>
    <w:rPr>
      <w:rFonts w:ascii="Arial" w:hAnsi="Arial" w:eastAsia="黑体"/>
    </w:rPr>
  </w:style>
  <w:style w:type="paragraph" w:styleId="10">
    <w:name w:val="heading 9"/>
    <w:basedOn w:val="1"/>
    <w:next w:val="1"/>
    <w:link w:val="183"/>
    <w:qFormat/>
    <w:uiPriority w:val="9"/>
    <w:pPr>
      <w:keepNext/>
      <w:keepLines/>
      <w:spacing w:before="240" w:after="64" w:line="320" w:lineRule="auto"/>
      <w:outlineLvl w:val="8"/>
    </w:pPr>
    <w:rPr>
      <w:rFonts w:ascii="Arial" w:hAnsi="Arial" w:eastAsia="黑体"/>
      <w:szCs w:val="21"/>
    </w:rPr>
  </w:style>
  <w:style w:type="character" w:default="1" w:styleId="52">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Normal Indent"/>
    <w:basedOn w:val="1"/>
    <w:link w:val="194"/>
    <w:qFormat/>
    <w:uiPriority w:val="0"/>
    <w:pPr>
      <w:spacing w:after="120" w:line="360" w:lineRule="auto"/>
      <w:ind w:firstLine="420" w:firstLineChars="200"/>
    </w:pPr>
    <w:rPr>
      <w:szCs w:val="20"/>
    </w:rPr>
  </w:style>
  <w:style w:type="paragraph" w:styleId="13">
    <w:name w:val="caption"/>
    <w:basedOn w:val="1"/>
    <w:next w:val="1"/>
    <w:link w:val="419"/>
    <w:qFormat/>
    <w:uiPriority w:val="0"/>
    <w:pPr>
      <w:spacing w:line="360" w:lineRule="auto"/>
      <w:ind w:firstLine="200" w:firstLineChars="200"/>
    </w:pPr>
    <w:rPr>
      <w:rFonts w:ascii="Arial" w:hAnsi="Arial" w:eastAsia="黑体" w:cs="Arial"/>
      <w:sz w:val="20"/>
      <w:szCs w:val="20"/>
    </w:rPr>
  </w:style>
  <w:style w:type="paragraph" w:styleId="14">
    <w:name w:val="Document Map"/>
    <w:basedOn w:val="1"/>
    <w:link w:val="186"/>
    <w:qFormat/>
    <w:uiPriority w:val="99"/>
    <w:pPr>
      <w:shd w:val="clear" w:color="auto" w:fill="000080"/>
    </w:pPr>
  </w:style>
  <w:style w:type="paragraph" w:styleId="15">
    <w:name w:val="toa heading"/>
    <w:basedOn w:val="1"/>
    <w:next w:val="1"/>
    <w:qFormat/>
    <w:uiPriority w:val="0"/>
    <w:pPr>
      <w:autoSpaceDE w:val="0"/>
      <w:autoSpaceDN w:val="0"/>
      <w:spacing w:before="120"/>
      <w:jc w:val="left"/>
    </w:pPr>
    <w:rPr>
      <w:rFonts w:ascii="Arial" w:hAnsi="Arial" w:cs="宋体"/>
      <w:kern w:val="0"/>
      <w:szCs w:val="20"/>
      <w:lang w:eastAsia="en-US"/>
    </w:rPr>
  </w:style>
  <w:style w:type="paragraph" w:styleId="16">
    <w:name w:val="annotation text"/>
    <w:basedOn w:val="1"/>
    <w:link w:val="131"/>
    <w:qFormat/>
    <w:uiPriority w:val="0"/>
    <w:pPr>
      <w:spacing w:line="360" w:lineRule="auto"/>
      <w:ind w:firstLine="200" w:firstLineChars="200"/>
      <w:jc w:val="left"/>
    </w:pPr>
  </w:style>
  <w:style w:type="paragraph" w:styleId="17">
    <w:name w:val="Body Text 3"/>
    <w:basedOn w:val="1"/>
    <w:link w:val="187"/>
    <w:qFormat/>
    <w:uiPriority w:val="0"/>
  </w:style>
  <w:style w:type="paragraph" w:styleId="18">
    <w:name w:val="List Bullet 3"/>
    <w:basedOn w:val="1"/>
    <w:qFormat/>
    <w:uiPriority w:val="0"/>
    <w:pPr>
      <w:numPr>
        <w:ilvl w:val="0"/>
        <w:numId w:val="1"/>
      </w:numPr>
      <w:ind w:left="107" w:leftChars="0" w:hanging="107" w:firstLineChars="0"/>
    </w:pPr>
    <w:rPr>
      <w:rFonts w:ascii="等线" w:hAnsi="等线" w:eastAsia="等线"/>
      <w:sz w:val="21"/>
      <w:szCs w:val="21"/>
    </w:rPr>
  </w:style>
  <w:style w:type="paragraph" w:styleId="19">
    <w:name w:val="Body Text"/>
    <w:basedOn w:val="1"/>
    <w:next w:val="20"/>
    <w:link w:val="184"/>
    <w:qFormat/>
    <w:uiPriority w:val="0"/>
    <w:rPr>
      <w:rFonts w:ascii="金山简黑体" w:hAnsi="金山简黑体" w:eastAsia="金山简黑体"/>
      <w:b/>
      <w:spacing w:val="-8"/>
      <w:sz w:val="44"/>
      <w:szCs w:val="20"/>
    </w:rPr>
  </w:style>
  <w:style w:type="paragraph" w:styleId="20">
    <w:name w:val="Body Text First Indent"/>
    <w:basedOn w:val="19"/>
    <w:next w:val="21"/>
    <w:link w:val="185"/>
    <w:qFormat/>
    <w:uiPriority w:val="99"/>
    <w:pPr>
      <w:spacing w:after="120"/>
      <w:ind w:firstLine="420" w:firstLineChars="100"/>
    </w:pPr>
    <w:rPr>
      <w:rFonts w:ascii="Times New Roman" w:hAnsi="Times New Roman" w:eastAsia="宋体"/>
      <w:bCs/>
      <w:spacing w:val="0"/>
      <w:kern w:val="44"/>
      <w:sz w:val="52"/>
      <w:szCs w:val="44"/>
    </w:rPr>
  </w:style>
  <w:style w:type="paragraph" w:styleId="21">
    <w:name w:val="table of figures"/>
    <w:basedOn w:val="1"/>
    <w:next w:val="1"/>
    <w:unhideWhenUsed/>
    <w:qFormat/>
    <w:uiPriority w:val="99"/>
  </w:style>
  <w:style w:type="paragraph" w:styleId="22">
    <w:name w:val="Body Text Indent"/>
    <w:basedOn w:val="1"/>
    <w:link w:val="169"/>
    <w:qFormat/>
    <w:uiPriority w:val="0"/>
    <w:pPr>
      <w:spacing w:line="200" w:lineRule="exact"/>
      <w:ind w:firstLine="301"/>
    </w:pPr>
    <w:rPr>
      <w:rFonts w:ascii="宋体"/>
      <w:spacing w:val="-4"/>
      <w:sz w:val="18"/>
      <w:szCs w:val="20"/>
    </w:rPr>
  </w:style>
  <w:style w:type="paragraph" w:styleId="23">
    <w:name w:val="Block Text"/>
    <w:basedOn w:val="1"/>
    <w:next w:val="1"/>
    <w:qFormat/>
    <w:uiPriority w:val="0"/>
    <w:pPr>
      <w:spacing w:after="120" w:line="360" w:lineRule="auto"/>
      <w:ind w:left="1440" w:leftChars="700" w:right="1440" w:rightChars="700" w:firstLine="1124" w:firstLineChars="200"/>
    </w:pPr>
  </w:style>
  <w:style w:type="paragraph" w:styleId="24">
    <w:name w:val="toc 5"/>
    <w:basedOn w:val="1"/>
    <w:next w:val="1"/>
    <w:qFormat/>
    <w:uiPriority w:val="0"/>
    <w:pPr>
      <w:ind w:left="840"/>
      <w:jc w:val="left"/>
    </w:pPr>
    <w:rPr>
      <w:sz w:val="18"/>
      <w:szCs w:val="18"/>
    </w:rPr>
  </w:style>
  <w:style w:type="paragraph" w:styleId="25">
    <w:name w:val="toc 3"/>
    <w:basedOn w:val="1"/>
    <w:next w:val="1"/>
    <w:qFormat/>
    <w:uiPriority w:val="0"/>
    <w:pPr>
      <w:ind w:left="420"/>
      <w:jc w:val="left"/>
    </w:pPr>
    <w:rPr>
      <w:i/>
      <w:iCs/>
      <w:sz w:val="20"/>
      <w:szCs w:val="20"/>
    </w:rPr>
  </w:style>
  <w:style w:type="paragraph" w:styleId="26">
    <w:name w:val="Plain Text"/>
    <w:basedOn w:val="1"/>
    <w:next w:val="1"/>
    <w:link w:val="147"/>
    <w:qFormat/>
    <w:uiPriority w:val="0"/>
    <w:rPr>
      <w:rFonts w:ascii="宋体"/>
      <w:sz w:val="21"/>
      <w:szCs w:val="20"/>
    </w:rPr>
  </w:style>
  <w:style w:type="paragraph" w:styleId="27">
    <w:name w:val="toc 8"/>
    <w:basedOn w:val="1"/>
    <w:next w:val="1"/>
    <w:qFormat/>
    <w:uiPriority w:val="0"/>
    <w:pPr>
      <w:ind w:left="1470"/>
      <w:jc w:val="left"/>
    </w:pPr>
    <w:rPr>
      <w:sz w:val="18"/>
      <w:szCs w:val="18"/>
    </w:rPr>
  </w:style>
  <w:style w:type="paragraph" w:styleId="28">
    <w:name w:val="Date"/>
    <w:basedOn w:val="1"/>
    <w:next w:val="1"/>
    <w:link w:val="188"/>
    <w:qFormat/>
    <w:uiPriority w:val="99"/>
    <w:pPr>
      <w:ind w:left="100" w:leftChars="2500"/>
    </w:pPr>
    <w:rPr>
      <w:rFonts w:ascii="华文中宋" w:hAnsi="华文中宋" w:eastAsia="华文中宋" w:cs="Arial"/>
      <w:iCs/>
      <w:color w:val="000000"/>
      <w:kern w:val="44"/>
      <w:sz w:val="36"/>
      <w:szCs w:val="21"/>
    </w:rPr>
  </w:style>
  <w:style w:type="paragraph" w:styleId="29">
    <w:name w:val="Body Text Indent 2"/>
    <w:basedOn w:val="1"/>
    <w:link w:val="126"/>
    <w:qFormat/>
    <w:uiPriority w:val="0"/>
    <w:pPr>
      <w:spacing w:after="120" w:line="480" w:lineRule="auto"/>
      <w:ind w:left="200" w:leftChars="200"/>
    </w:pPr>
  </w:style>
  <w:style w:type="paragraph" w:styleId="30">
    <w:name w:val="Balloon Text"/>
    <w:basedOn w:val="1"/>
    <w:link w:val="142"/>
    <w:qFormat/>
    <w:uiPriority w:val="99"/>
    <w:rPr>
      <w:sz w:val="18"/>
      <w:szCs w:val="18"/>
    </w:rPr>
  </w:style>
  <w:style w:type="paragraph" w:styleId="31">
    <w:name w:val="footer"/>
    <w:basedOn w:val="1"/>
    <w:link w:val="137"/>
    <w:qFormat/>
    <w:uiPriority w:val="99"/>
    <w:pPr>
      <w:tabs>
        <w:tab w:val="center" w:pos="4153"/>
        <w:tab w:val="right" w:pos="8306"/>
      </w:tabs>
      <w:snapToGrid w:val="0"/>
      <w:jc w:val="left"/>
    </w:pPr>
    <w:rPr>
      <w:rFonts w:ascii="宋体"/>
      <w:sz w:val="18"/>
      <w:szCs w:val="20"/>
    </w:rPr>
  </w:style>
  <w:style w:type="paragraph" w:styleId="32">
    <w:name w:val="envelope return"/>
    <w:basedOn w:val="1"/>
    <w:qFormat/>
    <w:uiPriority w:val="0"/>
    <w:pPr>
      <w:snapToGrid w:val="0"/>
      <w:spacing w:line="360" w:lineRule="auto"/>
      <w:ind w:firstLine="1124" w:firstLineChars="200"/>
    </w:pPr>
    <w:rPr>
      <w:rFonts w:ascii="Arial" w:hAnsi="Arial"/>
    </w:rPr>
  </w:style>
  <w:style w:type="paragraph" w:styleId="33">
    <w:name w:val="header"/>
    <w:basedOn w:val="1"/>
    <w:link w:val="120"/>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0"/>
    <w:pPr>
      <w:tabs>
        <w:tab w:val="right" w:leader="dot" w:pos="9628"/>
      </w:tabs>
      <w:spacing w:before="120" w:after="120"/>
      <w:ind w:firstLine="74" w:firstLineChars="74"/>
      <w:jc w:val="left"/>
    </w:pPr>
    <w:rPr>
      <w:b/>
      <w:bCs/>
      <w:caps/>
      <w:sz w:val="20"/>
      <w:szCs w:val="20"/>
    </w:rPr>
  </w:style>
  <w:style w:type="paragraph" w:styleId="35">
    <w:name w:val="toc 4"/>
    <w:basedOn w:val="1"/>
    <w:next w:val="1"/>
    <w:qFormat/>
    <w:uiPriority w:val="0"/>
    <w:pPr>
      <w:ind w:left="630"/>
      <w:jc w:val="left"/>
    </w:pPr>
    <w:rPr>
      <w:sz w:val="18"/>
      <w:szCs w:val="18"/>
    </w:rPr>
  </w:style>
  <w:style w:type="paragraph" w:styleId="36">
    <w:name w:val="Subtitle"/>
    <w:basedOn w:val="1"/>
    <w:next w:val="1"/>
    <w:link w:val="216"/>
    <w:qFormat/>
    <w:uiPriority w:val="11"/>
    <w:pPr>
      <w:tabs>
        <w:tab w:val="left" w:pos="360"/>
      </w:tabs>
      <w:ind w:left="284" w:hanging="284"/>
      <w:jc w:val="left"/>
      <w:outlineLvl w:val="1"/>
    </w:pPr>
    <w:rPr>
      <w:rFonts w:ascii="Century Gothic" w:hAnsi="Century Gothic" w:cs="Century Gothic"/>
      <w:kern w:val="28"/>
      <w:sz w:val="20"/>
      <w:szCs w:val="21"/>
    </w:rPr>
  </w:style>
  <w:style w:type="paragraph" w:styleId="37">
    <w:name w:val="List"/>
    <w:basedOn w:val="1"/>
    <w:qFormat/>
    <w:uiPriority w:val="0"/>
    <w:pPr>
      <w:spacing w:line="0" w:lineRule="atLeast"/>
    </w:pPr>
    <w:rPr>
      <w:sz w:val="18"/>
      <w:szCs w:val="20"/>
    </w:rPr>
  </w:style>
  <w:style w:type="paragraph" w:styleId="38">
    <w:name w:val="toc 6"/>
    <w:basedOn w:val="1"/>
    <w:next w:val="1"/>
    <w:qFormat/>
    <w:uiPriority w:val="0"/>
    <w:pPr>
      <w:ind w:left="1050"/>
      <w:jc w:val="left"/>
    </w:pPr>
    <w:rPr>
      <w:sz w:val="18"/>
      <w:szCs w:val="18"/>
    </w:rPr>
  </w:style>
  <w:style w:type="paragraph" w:styleId="39">
    <w:name w:val="Body Text Indent 3"/>
    <w:basedOn w:val="1"/>
    <w:link w:val="190"/>
    <w:qFormat/>
    <w:uiPriority w:val="0"/>
    <w:pPr>
      <w:spacing w:line="400" w:lineRule="exact"/>
      <w:ind w:left="360"/>
    </w:pPr>
  </w:style>
  <w:style w:type="paragraph" w:styleId="40">
    <w:name w:val="toc 2"/>
    <w:basedOn w:val="1"/>
    <w:next w:val="1"/>
    <w:qFormat/>
    <w:uiPriority w:val="0"/>
    <w:pPr>
      <w:tabs>
        <w:tab w:val="right" w:leader="dot" w:pos="9637"/>
      </w:tabs>
      <w:spacing w:line="240" w:lineRule="exact"/>
      <w:jc w:val="left"/>
    </w:pPr>
    <w:rPr>
      <w:smallCaps/>
      <w:sz w:val="20"/>
      <w:szCs w:val="20"/>
    </w:rPr>
  </w:style>
  <w:style w:type="paragraph" w:styleId="41">
    <w:name w:val="toc 9"/>
    <w:basedOn w:val="1"/>
    <w:next w:val="1"/>
    <w:qFormat/>
    <w:uiPriority w:val="0"/>
    <w:pPr>
      <w:ind w:left="1680"/>
      <w:jc w:val="left"/>
    </w:pPr>
    <w:rPr>
      <w:sz w:val="18"/>
      <w:szCs w:val="18"/>
    </w:rPr>
  </w:style>
  <w:style w:type="paragraph" w:styleId="42">
    <w:name w:val="Body Text 2"/>
    <w:basedOn w:val="1"/>
    <w:link w:val="156"/>
    <w:qFormat/>
    <w:uiPriority w:val="0"/>
    <w:rPr>
      <w:rFonts w:ascii="宋体"/>
      <w:sz w:val="13"/>
      <w:szCs w:val="20"/>
    </w:rPr>
  </w:style>
  <w:style w:type="paragraph" w:styleId="43">
    <w:name w:val="HTML Preformatted"/>
    <w:basedOn w:val="1"/>
    <w:link w:val="15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rPr>
  </w:style>
  <w:style w:type="paragraph" w:styleId="44">
    <w:name w:val="Normal (Web)"/>
    <w:basedOn w:val="1"/>
    <w:link w:val="441"/>
    <w:qFormat/>
    <w:uiPriority w:val="99"/>
    <w:pPr>
      <w:widowControl/>
      <w:spacing w:before="100" w:beforeAutospacing="1" w:after="100" w:afterAutospacing="1"/>
      <w:jc w:val="left"/>
    </w:pPr>
    <w:rPr>
      <w:rFonts w:ascii="宋体" w:hAnsi="宋体"/>
      <w:kern w:val="0"/>
    </w:rPr>
  </w:style>
  <w:style w:type="paragraph" w:styleId="45">
    <w:name w:val="index 1"/>
    <w:basedOn w:val="1"/>
    <w:next w:val="1"/>
    <w:qFormat/>
    <w:uiPriority w:val="0"/>
    <w:pPr>
      <w:spacing w:line="360" w:lineRule="auto"/>
      <w:ind w:firstLine="200" w:firstLineChars="200"/>
    </w:pPr>
  </w:style>
  <w:style w:type="paragraph" w:styleId="46">
    <w:name w:val="Title"/>
    <w:basedOn w:val="1"/>
    <w:link w:val="180"/>
    <w:qFormat/>
    <w:uiPriority w:val="10"/>
    <w:pPr>
      <w:spacing w:before="240" w:after="60"/>
      <w:jc w:val="center"/>
      <w:outlineLvl w:val="0"/>
    </w:pPr>
    <w:rPr>
      <w:rFonts w:ascii="Arial" w:hAnsi="Arial" w:cs="Arial"/>
      <w:b/>
      <w:bCs/>
      <w:sz w:val="32"/>
      <w:szCs w:val="32"/>
    </w:rPr>
  </w:style>
  <w:style w:type="paragraph" w:styleId="47">
    <w:name w:val="annotation subject"/>
    <w:basedOn w:val="16"/>
    <w:next w:val="16"/>
    <w:link w:val="122"/>
    <w:qFormat/>
    <w:uiPriority w:val="0"/>
    <w:rPr>
      <w:b/>
      <w:bCs/>
    </w:rPr>
  </w:style>
  <w:style w:type="paragraph" w:styleId="48">
    <w:name w:val="Body Text First Indent 2"/>
    <w:basedOn w:val="22"/>
    <w:link w:val="189"/>
    <w:qFormat/>
    <w:uiPriority w:val="0"/>
    <w:pPr>
      <w:spacing w:line="360" w:lineRule="auto"/>
      <w:ind w:firstLine="420" w:firstLineChars="200"/>
    </w:pPr>
    <w:rPr>
      <w:rFonts w:hAnsi="宋体"/>
      <w:spacing w:val="0"/>
      <w:sz w:val="21"/>
    </w:rPr>
  </w:style>
  <w:style w:type="table" w:styleId="50">
    <w:name w:val="Table Grid"/>
    <w:basedOn w:val="4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1">
    <w:name w:val="Table Grid 1"/>
    <w:basedOn w:val="49"/>
    <w:unhideWhenUsed/>
    <w:qFormat/>
    <w:uiPriority w:val="99"/>
    <w:pPr>
      <w:widowControl w:val="0"/>
      <w:spacing w:line="360" w:lineRule="auto"/>
      <w:ind w:firstLine="200" w:firstLineChars="20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character" w:styleId="53">
    <w:name w:val="Strong"/>
    <w:autoRedefine/>
    <w:qFormat/>
    <w:uiPriority w:val="0"/>
    <w:rPr>
      <w:b/>
      <w:bCs/>
      <w:kern w:val="0"/>
      <w:sz w:val="24"/>
    </w:rPr>
  </w:style>
  <w:style w:type="character" w:styleId="54">
    <w:name w:val="page number"/>
    <w:basedOn w:val="52"/>
    <w:qFormat/>
    <w:uiPriority w:val="0"/>
  </w:style>
  <w:style w:type="character" w:styleId="55">
    <w:name w:val="FollowedHyperlink"/>
    <w:qFormat/>
    <w:uiPriority w:val="99"/>
    <w:rPr>
      <w:rFonts w:hint="eastAsia" w:ascii="宋体" w:hAnsi="宋体" w:eastAsia="宋体" w:cs="宋体"/>
      <w:color w:val="0033CC"/>
      <w:sz w:val="18"/>
      <w:szCs w:val="18"/>
      <w:u w:val="none"/>
    </w:rPr>
  </w:style>
  <w:style w:type="character" w:styleId="56">
    <w:name w:val="Emphasis"/>
    <w:qFormat/>
    <w:uiPriority w:val="0"/>
    <w:rPr>
      <w:color w:val="CC0033"/>
    </w:rPr>
  </w:style>
  <w:style w:type="character" w:styleId="57">
    <w:name w:val="Hyperlink"/>
    <w:qFormat/>
    <w:uiPriority w:val="99"/>
    <w:rPr>
      <w:rFonts w:hint="eastAsia" w:ascii="宋体" w:hAnsi="宋体" w:eastAsia="宋体" w:cs="宋体"/>
      <w:color w:val="0033CC"/>
      <w:sz w:val="18"/>
      <w:szCs w:val="18"/>
      <w:u w:val="none"/>
    </w:rPr>
  </w:style>
  <w:style w:type="character" w:styleId="58">
    <w:name w:val="annotation reference"/>
    <w:qFormat/>
    <w:uiPriority w:val="0"/>
    <w:rPr>
      <w:kern w:val="0"/>
      <w:sz w:val="21"/>
      <w:szCs w:val="21"/>
    </w:rPr>
  </w:style>
  <w:style w:type="paragraph" w:customStyle="1" w:styleId="59">
    <w:name w:val="表文字"/>
    <w:qFormat/>
    <w:uiPriority w:val="0"/>
    <w:rPr>
      <w:rFonts w:ascii="宋体" w:hAnsi="Times New Roman" w:eastAsia="宋体" w:cs="Times New Roman"/>
      <w:kern w:val="2"/>
      <w:lang w:val="en-US" w:eastAsia="zh-CN" w:bidi="ar-SA"/>
    </w:rPr>
  </w:style>
  <w:style w:type="paragraph" w:customStyle="1" w:styleId="60">
    <w:name w:val="p0"/>
    <w:basedOn w:val="1"/>
    <w:qFormat/>
    <w:uiPriority w:val="0"/>
    <w:pPr>
      <w:widowControl/>
    </w:pPr>
    <w:rPr>
      <w:kern w:val="0"/>
      <w:szCs w:val="21"/>
    </w:rPr>
  </w:style>
  <w:style w:type="paragraph" w:customStyle="1" w:styleId="61">
    <w:name w:val="Char"/>
    <w:basedOn w:val="1"/>
    <w:autoRedefine/>
    <w:qFormat/>
    <w:uiPriority w:val="0"/>
  </w:style>
  <w:style w:type="paragraph" w:customStyle="1" w:styleId="62">
    <w:name w:val="font7"/>
    <w:basedOn w:val="1"/>
    <w:qFormat/>
    <w:uiPriority w:val="0"/>
    <w:pPr>
      <w:widowControl/>
      <w:spacing w:before="100" w:beforeAutospacing="1" w:after="100" w:afterAutospacing="1"/>
      <w:jc w:val="left"/>
    </w:pPr>
    <w:rPr>
      <w:rFonts w:hint="eastAsia" w:ascii="楷体_GB2312" w:hAnsi="宋体" w:eastAsia="楷体_GB2312"/>
      <w:b/>
      <w:bCs/>
      <w:kern w:val="0"/>
      <w:sz w:val="22"/>
      <w:szCs w:val="22"/>
    </w:rPr>
  </w:style>
  <w:style w:type="paragraph" w:customStyle="1" w:styleId="63">
    <w:name w:val="抬头"/>
    <w:basedOn w:val="1"/>
    <w:qFormat/>
    <w:uiPriority w:val="0"/>
    <w:pPr>
      <w:spacing w:beforeLines="50" w:line="360" w:lineRule="auto"/>
    </w:pPr>
    <w:rPr>
      <w:rFonts w:ascii="宋体"/>
    </w:rPr>
  </w:style>
  <w:style w:type="paragraph" w:customStyle="1" w:styleId="64">
    <w:name w:val="xl23"/>
    <w:next w:val="41"/>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65">
    <w:name w:val="样式 Arial 行距: 多倍行距 1.2 字行 首行缩进:  2 字符"/>
    <w:basedOn w:val="1"/>
    <w:autoRedefine/>
    <w:qFormat/>
    <w:uiPriority w:val="0"/>
    <w:pPr>
      <w:spacing w:line="288" w:lineRule="auto"/>
      <w:ind w:firstLine="420" w:firstLineChars="200"/>
    </w:pPr>
    <w:rPr>
      <w:rFonts w:ascii="Arial" w:hAnsi="Arial" w:cs="宋体"/>
      <w:sz w:val="20"/>
      <w:szCs w:val="20"/>
    </w:rPr>
  </w:style>
  <w:style w:type="paragraph" w:customStyle="1" w:styleId="66">
    <w:name w:val="样式 居中"/>
    <w:basedOn w:val="1"/>
    <w:qFormat/>
    <w:uiPriority w:val="0"/>
    <w:pPr>
      <w:spacing w:line="360" w:lineRule="auto"/>
      <w:ind w:firstLine="200" w:firstLineChars="200"/>
      <w:jc w:val="center"/>
    </w:pPr>
    <w:rPr>
      <w:rFonts w:cs="宋体"/>
      <w:szCs w:val="20"/>
    </w:rPr>
  </w:style>
  <w:style w:type="paragraph" w:customStyle="1" w:styleId="67">
    <w:name w:val="缺省文本"/>
    <w:basedOn w:val="1"/>
    <w:qFormat/>
    <w:uiPriority w:val="0"/>
    <w:pPr>
      <w:autoSpaceDE w:val="0"/>
      <w:autoSpaceDN w:val="0"/>
      <w:adjustRightInd w:val="0"/>
      <w:spacing w:line="360" w:lineRule="auto"/>
      <w:jc w:val="left"/>
    </w:pPr>
    <w:rPr>
      <w:kern w:val="0"/>
      <w:szCs w:val="20"/>
    </w:rPr>
  </w:style>
  <w:style w:type="paragraph" w:customStyle="1" w:styleId="68">
    <w:name w:val="表格"/>
    <w:basedOn w:val="1"/>
    <w:qFormat/>
    <w:uiPriority w:val="0"/>
    <w:pPr>
      <w:tabs>
        <w:tab w:val="left" w:pos="1200"/>
      </w:tabs>
      <w:spacing w:line="500" w:lineRule="exact"/>
      <w:jc w:val="center"/>
    </w:pPr>
    <w:rPr>
      <w:rFonts w:ascii="宋体"/>
      <w:szCs w:val="18"/>
    </w:rPr>
  </w:style>
  <w:style w:type="paragraph" w:customStyle="1" w:styleId="69">
    <w:name w:val="正文五号"/>
    <w:basedOn w:val="1"/>
    <w:qFormat/>
    <w:uiPriority w:val="0"/>
    <w:rPr>
      <w:rFonts w:hint="eastAsia" w:ascii="宋体" w:eastAsia="仿宋_GB2312"/>
      <w:szCs w:val="20"/>
    </w:rPr>
  </w:style>
  <w:style w:type="paragraph" w:customStyle="1" w:styleId="70">
    <w:name w:val="正文文本缩进 21"/>
    <w:basedOn w:val="1"/>
    <w:qFormat/>
    <w:uiPriority w:val="0"/>
    <w:pPr>
      <w:adjustRightInd w:val="0"/>
      <w:spacing w:before="120"/>
      <w:ind w:firstLine="420"/>
      <w:textAlignment w:val="baseline"/>
    </w:pPr>
    <w:rPr>
      <w:szCs w:val="20"/>
    </w:rPr>
  </w:style>
  <w:style w:type="paragraph" w:customStyle="1" w:styleId="71">
    <w:name w:val="Body Text Indent Char Char Char"/>
    <w:basedOn w:val="1"/>
    <w:qFormat/>
    <w:uiPriority w:val="0"/>
    <w:pPr>
      <w:widowControl/>
      <w:spacing w:line="400" w:lineRule="atLeast"/>
      <w:ind w:left="571" w:leftChars="272"/>
      <w:jc w:val="left"/>
    </w:pPr>
    <w:rPr>
      <w:rFonts w:hint="eastAsia" w:ascii="宋体"/>
      <w:szCs w:val="20"/>
    </w:rPr>
  </w:style>
  <w:style w:type="paragraph" w:customStyle="1" w:styleId="72">
    <w:name w:val="Default"/>
    <w:link w:val="540"/>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3">
    <w:name w:val="正文 A"/>
    <w:autoRedefine/>
    <w:qFormat/>
    <w:uiPriority w:val="99"/>
    <w:pPr>
      <w:widowControl w:val="0"/>
      <w:jc w:val="both"/>
    </w:pPr>
    <w:rPr>
      <w:rFonts w:ascii="Times New Roman" w:hAnsi="Times New Roman" w:eastAsia="ヒラギノ角ゴ Pro W3" w:cs="Times New Roman"/>
      <w:color w:val="000000"/>
      <w:kern w:val="2"/>
      <w:sz w:val="21"/>
      <w:szCs w:val="22"/>
      <w:lang w:val="en-US" w:eastAsia="zh-CN" w:bidi="ar-SA"/>
    </w:rPr>
  </w:style>
  <w:style w:type="paragraph" w:styleId="74">
    <w:name w:val="List Paragraph"/>
    <w:basedOn w:val="1"/>
    <w:link w:val="125"/>
    <w:qFormat/>
    <w:uiPriority w:val="34"/>
    <w:pPr>
      <w:ind w:firstLine="420" w:firstLineChars="200"/>
    </w:pPr>
    <w:rPr>
      <w:rFonts w:ascii="Calibri" w:hAnsi="Calibri"/>
      <w:szCs w:val="22"/>
    </w:rPr>
  </w:style>
  <w:style w:type="paragraph" w:customStyle="1" w:styleId="75">
    <w:name w:val="Tabellentext"/>
    <w:basedOn w:val="1"/>
    <w:autoRedefine/>
    <w:qFormat/>
    <w:uiPriority w:val="0"/>
    <w:pPr>
      <w:widowControl/>
    </w:pPr>
    <w:rPr>
      <w:rFonts w:ascii="Arial" w:hAnsi="Arial" w:eastAsia="Times New Roman"/>
      <w:kern w:val="0"/>
      <w:sz w:val="20"/>
      <w:szCs w:val="20"/>
      <w:lang w:eastAsia="en-US"/>
    </w:rPr>
  </w:style>
  <w:style w:type="paragraph" w:customStyle="1" w:styleId="76">
    <w:name w:val="Char4"/>
    <w:basedOn w:val="1"/>
    <w:qFormat/>
    <w:uiPriority w:val="0"/>
    <w:pPr>
      <w:spacing w:line="360" w:lineRule="auto"/>
      <w:ind w:firstLine="200" w:firstLineChars="200"/>
    </w:pPr>
    <w:rPr>
      <w:rFonts w:ascii="宋体" w:hAnsi="宋体" w:cs="宋体"/>
    </w:rPr>
  </w:style>
  <w:style w:type="paragraph" w:customStyle="1" w:styleId="77">
    <w:name w:val="Char Char1 Char Char"/>
    <w:basedOn w:val="1"/>
    <w:qFormat/>
    <w:uiPriority w:val="0"/>
    <w:pPr>
      <w:tabs>
        <w:tab w:val="left" w:pos="360"/>
      </w:tabs>
    </w:pPr>
  </w:style>
  <w:style w:type="paragraph" w:customStyle="1" w:styleId="78">
    <w:name w:val="表格文字"/>
    <w:basedOn w:val="1"/>
    <w:qFormat/>
    <w:uiPriority w:val="0"/>
    <w:pPr>
      <w:wordWrap w:val="0"/>
    </w:pPr>
    <w:rPr>
      <w:sz w:val="18"/>
      <w:szCs w:val="20"/>
    </w:rPr>
  </w:style>
  <w:style w:type="paragraph" w:customStyle="1" w:styleId="79">
    <w:name w:val="方案正文"/>
    <w:qFormat/>
    <w:uiPriority w:val="0"/>
    <w:pPr>
      <w:spacing w:before="100" w:beforeAutospacing="1" w:after="100" w:afterAutospacing="1" w:line="330" w:lineRule="atLeast"/>
      <w:ind w:firstLine="200" w:firstLineChars="200"/>
    </w:pPr>
    <w:rPr>
      <w:rFonts w:ascii="ˎ̥" w:hAnsi="ˎ̥" w:eastAsia="宋体" w:cs="宋体"/>
      <w:color w:val="51585D"/>
      <w:sz w:val="28"/>
      <w:szCs w:val="18"/>
      <w:lang w:val="en-US" w:eastAsia="zh-CN" w:bidi="ar-SA"/>
    </w:rPr>
  </w:style>
  <w:style w:type="paragraph" w:customStyle="1" w:styleId="80">
    <w:name w:val="Char Char Char Char Char Char Char Char Char Char"/>
    <w:basedOn w:val="1"/>
    <w:autoRedefine/>
    <w:qFormat/>
    <w:uiPriority w:val="0"/>
    <w:rPr>
      <w:rFonts w:ascii="Tahoma" w:hAnsi="Tahoma"/>
      <w:szCs w:val="20"/>
    </w:rPr>
  </w:style>
  <w:style w:type="paragraph" w:customStyle="1" w:styleId="81">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
    <w:name w:val="默认段落字体 Para Char"/>
    <w:basedOn w:val="1"/>
    <w:autoRedefine/>
    <w:qFormat/>
    <w:uiPriority w:val="0"/>
    <w:pPr>
      <w:tabs>
        <w:tab w:val="left" w:pos="360"/>
      </w:tabs>
      <w:ind w:left="420" w:hanging="420"/>
    </w:pPr>
    <w:rPr>
      <w:szCs w:val="20"/>
    </w:rPr>
  </w:style>
  <w:style w:type="paragraph" w:customStyle="1" w:styleId="83">
    <w:name w:val="Char Char Char Char"/>
    <w:basedOn w:val="1"/>
    <w:autoRedefine/>
    <w:qFormat/>
    <w:uiPriority w:val="0"/>
    <w:pPr>
      <w:widowControl/>
      <w:spacing w:after="160" w:line="240" w:lineRule="exact"/>
      <w:jc w:val="left"/>
    </w:pPr>
    <w:rPr>
      <w:rFonts w:ascii="Verdana" w:hAnsi="Verdana" w:eastAsia="仿宋_GB2312"/>
      <w:kern w:val="0"/>
      <w:szCs w:val="20"/>
      <w:lang w:eastAsia="en-US"/>
    </w:rPr>
  </w:style>
  <w:style w:type="paragraph" w:customStyle="1" w:styleId="84">
    <w:name w:val="Char Char Char Char Char Char"/>
    <w:basedOn w:val="1"/>
    <w:qFormat/>
    <w:uiPriority w:val="0"/>
    <w:pPr>
      <w:adjustRightInd w:val="0"/>
      <w:spacing w:line="360" w:lineRule="auto"/>
    </w:pPr>
    <w:rPr>
      <w:kern w:val="0"/>
      <w:szCs w:val="20"/>
    </w:rPr>
  </w:style>
  <w:style w:type="paragraph" w:customStyle="1" w:styleId="85">
    <w:name w:val="无间隔1"/>
    <w:autoRedefine/>
    <w:qFormat/>
    <w:uiPriority w:val="1"/>
    <w:rPr>
      <w:rFonts w:ascii="Calibri" w:hAnsi="Calibri" w:eastAsia="宋体" w:cs="Times New Roman"/>
      <w:sz w:val="22"/>
      <w:szCs w:val="22"/>
      <w:lang w:val="en-US" w:eastAsia="zh-CN" w:bidi="ar-SA"/>
    </w:rPr>
  </w:style>
  <w:style w:type="paragraph" w:customStyle="1" w:styleId="86">
    <w:name w:val="Char Char1 Char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87">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rPr>
  </w:style>
  <w:style w:type="paragraph" w:customStyle="1" w:styleId="88">
    <w:name w:val="文档正文"/>
    <w:basedOn w:val="1"/>
    <w:qFormat/>
    <w:uiPriority w:val="0"/>
    <w:pPr>
      <w:spacing w:line="440" w:lineRule="exact"/>
      <w:ind w:firstLine="567"/>
      <w:textAlignment w:val="baseline"/>
    </w:pPr>
    <w:rPr>
      <w:rFonts w:ascii="Arial Narrow" w:hAnsi="Arial Narrow"/>
      <w:kern w:val="0"/>
      <w:szCs w:val="20"/>
    </w:rPr>
  </w:style>
  <w:style w:type="paragraph" w:customStyle="1" w:styleId="89">
    <w:name w:val="样式1"/>
    <w:basedOn w:val="3"/>
    <w:qFormat/>
    <w:uiPriority w:val="0"/>
    <w:pPr>
      <w:tabs>
        <w:tab w:val="left" w:pos="1021"/>
        <w:tab w:val="clear" w:pos="3999"/>
      </w:tabs>
    </w:pPr>
  </w:style>
  <w:style w:type="paragraph" w:customStyle="1" w:styleId="90">
    <w:name w:val="Char Char Char Char1"/>
    <w:basedOn w:val="1"/>
    <w:next w:val="1"/>
    <w:qFormat/>
    <w:uiPriority w:val="0"/>
    <w:pPr>
      <w:tabs>
        <w:tab w:val="left" w:pos="845"/>
      </w:tabs>
      <w:spacing w:beforeLines="50" w:afterLines="100" w:line="360" w:lineRule="auto"/>
      <w:ind w:left="1105" w:hanging="748"/>
      <w:jc w:val="center"/>
    </w:pPr>
    <w:rPr>
      <w:kern w:val="0"/>
    </w:rPr>
  </w:style>
  <w:style w:type="paragraph" w:customStyle="1" w:styleId="91">
    <w:name w:val="Char Char Char Char Char Char Char Char Char Char Char Char"/>
    <w:basedOn w:val="1"/>
    <w:autoRedefine/>
    <w:qFormat/>
    <w:uiPriority w:val="0"/>
    <w:pPr>
      <w:tabs>
        <w:tab w:val="right" w:pos="-2120"/>
      </w:tabs>
      <w:snapToGrid w:val="0"/>
    </w:pPr>
    <w:rPr>
      <w:rFonts w:ascii="Tahoma" w:hAnsi="Tahoma"/>
      <w:spacing w:val="6"/>
      <w:szCs w:val="20"/>
    </w:rPr>
  </w:style>
  <w:style w:type="paragraph" w:customStyle="1" w:styleId="92">
    <w:name w:val="普通正文"/>
    <w:basedOn w:val="1"/>
    <w:autoRedefine/>
    <w:qFormat/>
    <w:uiPriority w:val="0"/>
    <w:pPr>
      <w:snapToGrid w:val="0"/>
      <w:spacing w:before="120" w:after="120" w:line="360" w:lineRule="atLeast"/>
      <w:ind w:firstLine="425"/>
    </w:pPr>
    <w:rPr>
      <w:kern w:val="21"/>
      <w:szCs w:val="20"/>
    </w:rPr>
  </w:style>
  <w:style w:type="paragraph" w:customStyle="1" w:styleId="93">
    <w:name w:val="样式2"/>
    <w:basedOn w:val="3"/>
    <w:qFormat/>
    <w:uiPriority w:val="0"/>
    <w:pPr>
      <w:tabs>
        <w:tab w:val="left" w:pos="1021"/>
        <w:tab w:val="clear" w:pos="3999"/>
      </w:tabs>
      <w:spacing w:line="440" w:lineRule="exact"/>
    </w:pPr>
    <w:rPr>
      <w:rFonts w:ascii="宋体" w:hAnsi="宋体"/>
      <w:b w:val="0"/>
      <w:sz w:val="32"/>
    </w:rPr>
  </w:style>
  <w:style w:type="paragraph" w:customStyle="1" w:styleId="94">
    <w:name w:val="Char Char Char"/>
    <w:basedOn w:val="1"/>
    <w:autoRedefine/>
    <w:qFormat/>
    <w:uiPriority w:val="0"/>
    <w:pPr>
      <w:ind w:firstLine="200" w:firstLineChars="200"/>
    </w:pPr>
  </w:style>
  <w:style w:type="paragraph" w:customStyle="1" w:styleId="95">
    <w:name w:val="样式 首行缩进:  0 字符"/>
    <w:basedOn w:val="1"/>
    <w:link w:val="444"/>
    <w:qFormat/>
    <w:uiPriority w:val="0"/>
    <w:pPr>
      <w:spacing w:line="360" w:lineRule="auto"/>
    </w:pPr>
    <w:rPr>
      <w:rFonts w:cs="宋体"/>
      <w:szCs w:val="20"/>
    </w:rPr>
  </w:style>
  <w:style w:type="paragraph" w:customStyle="1" w:styleId="96">
    <w:name w:val="样式 正文缩进 + 首行缩进:  2 字符"/>
    <w:basedOn w:val="12"/>
    <w:autoRedefine/>
    <w:qFormat/>
    <w:uiPriority w:val="0"/>
    <w:pPr>
      <w:spacing w:after="0"/>
      <w:ind w:firstLine="480"/>
    </w:pPr>
    <w:rPr>
      <w:rFonts w:cs="宋体"/>
    </w:rPr>
  </w:style>
  <w:style w:type="paragraph" w:customStyle="1" w:styleId="97">
    <w:name w:val="正文文本 21"/>
    <w:basedOn w:val="1"/>
    <w:qFormat/>
    <w:uiPriority w:val="0"/>
    <w:pPr>
      <w:adjustRightInd w:val="0"/>
      <w:spacing w:before="120"/>
      <w:ind w:firstLine="480"/>
      <w:textAlignment w:val="baseline"/>
    </w:pPr>
    <w:rPr>
      <w:szCs w:val="20"/>
    </w:rPr>
  </w:style>
  <w:style w:type="paragraph" w:customStyle="1" w:styleId="98">
    <w:name w:val="para"/>
    <w:basedOn w:val="1"/>
    <w:autoRedefine/>
    <w:qFormat/>
    <w:uiPriority w:val="0"/>
    <w:pPr>
      <w:widowControl/>
      <w:adjustRightInd w:val="0"/>
      <w:spacing w:before="160" w:line="360" w:lineRule="auto"/>
      <w:ind w:firstLine="425"/>
      <w:textAlignment w:val="baseline"/>
    </w:pPr>
    <w:rPr>
      <w:kern w:val="0"/>
      <w:szCs w:val="20"/>
      <w:lang w:eastAsia="en-US"/>
    </w:rPr>
  </w:style>
  <w:style w:type="paragraph" w:customStyle="1" w:styleId="99">
    <w:name w:val="Char1"/>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100">
    <w:name w:val="xl26"/>
    <w:basedOn w:val="1"/>
    <w:qFormat/>
    <w:uiPriority w:val="0"/>
    <w:pPr>
      <w:widowControl/>
      <w:spacing w:before="100" w:beforeAutospacing="1" w:after="100" w:afterAutospacing="1"/>
      <w:jc w:val="left"/>
    </w:pPr>
    <w:rPr>
      <w:rFonts w:hint="eastAsia" w:ascii="楷体_GB2312" w:hAnsi="宋体" w:eastAsia="楷体_GB2312"/>
      <w:b/>
      <w:bCs/>
      <w:kern w:val="0"/>
    </w:rPr>
  </w:style>
  <w:style w:type="paragraph" w:customStyle="1" w:styleId="101">
    <w:name w:val="列出段落1"/>
    <w:basedOn w:val="1"/>
    <w:qFormat/>
    <w:uiPriority w:val="99"/>
    <w:pPr>
      <w:ind w:firstLine="420" w:firstLineChars="200"/>
    </w:pPr>
    <w:rPr>
      <w:szCs w:val="20"/>
    </w:rPr>
  </w:style>
  <w:style w:type="paragraph" w:customStyle="1" w:styleId="102">
    <w:name w:val="列出段落2"/>
    <w:basedOn w:val="1"/>
    <w:qFormat/>
    <w:uiPriority w:val="0"/>
    <w:pPr>
      <w:ind w:firstLine="420" w:firstLineChars="200"/>
    </w:pPr>
    <w:rPr>
      <w:rFonts w:ascii="Calibri" w:hAnsi="Calibri"/>
      <w:szCs w:val="22"/>
    </w:rPr>
  </w:style>
  <w:style w:type="paragraph" w:customStyle="1" w:styleId="103">
    <w:name w:val="表正文"/>
    <w:basedOn w:val="1"/>
    <w:next w:val="17"/>
    <w:autoRedefine/>
    <w:qFormat/>
    <w:uiPriority w:val="0"/>
    <w:rPr>
      <w:sz w:val="28"/>
      <w:lang w:val="en-GB"/>
    </w:rPr>
  </w:style>
  <w:style w:type="paragraph" w:customStyle="1" w:styleId="104">
    <w:name w:val="样式 标题 3 + (中文) 黑体 小四 非加粗 段前: 7.8 磅 段后: 0 磅 行距: 固定值 20 磅"/>
    <w:basedOn w:val="4"/>
    <w:qFormat/>
    <w:uiPriority w:val="0"/>
    <w:pPr>
      <w:tabs>
        <w:tab w:val="left" w:pos="2177"/>
        <w:tab w:val="clear" w:pos="900"/>
      </w:tabs>
      <w:spacing w:line="400" w:lineRule="exact"/>
    </w:pPr>
    <w:rPr>
      <w:rFonts w:cs="宋体"/>
      <w:b w:val="0"/>
      <w:sz w:val="24"/>
      <w:szCs w:val="20"/>
    </w:rPr>
  </w:style>
  <w:style w:type="paragraph" w:customStyle="1" w:styleId="105">
    <w:name w:val="msolistparagraph"/>
    <w:basedOn w:val="1"/>
    <w:autoRedefine/>
    <w:qFormat/>
    <w:uiPriority w:val="0"/>
    <w:pPr>
      <w:ind w:firstLine="420" w:firstLineChars="200"/>
    </w:pPr>
    <w:rPr>
      <w:sz w:val="21"/>
    </w:rPr>
  </w:style>
  <w:style w:type="paragraph" w:customStyle="1" w:styleId="106">
    <w:name w:val="表头"/>
    <w:basedOn w:val="1"/>
    <w:next w:val="1"/>
    <w:autoRedefine/>
    <w:qFormat/>
    <w:uiPriority w:val="0"/>
    <w:pPr>
      <w:widowControl/>
      <w:numPr>
        <w:ilvl w:val="0"/>
        <w:numId w:val="2"/>
      </w:numPr>
      <w:spacing w:line="440" w:lineRule="exact"/>
      <w:ind w:firstLine="200" w:firstLineChars="200"/>
      <w:jc w:val="center"/>
    </w:pPr>
    <w:rPr>
      <w:kern w:val="0"/>
    </w:rPr>
  </w:style>
  <w:style w:type="paragraph" w:customStyle="1" w:styleId="107">
    <w:name w:val="g3"/>
    <w:basedOn w:val="1"/>
    <w:autoRedefine/>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08">
    <w:name w:val="首行缩进 1"/>
    <w:basedOn w:val="1"/>
    <w:autoRedefine/>
    <w:qFormat/>
    <w:uiPriority w:val="0"/>
    <w:pPr>
      <w:spacing w:after="120"/>
      <w:ind w:firstLine="200" w:firstLineChars="200"/>
    </w:pPr>
    <w:rPr>
      <w:szCs w:val="20"/>
    </w:rPr>
  </w:style>
  <w:style w:type="paragraph" w:customStyle="1" w:styleId="109">
    <w:name w:val="样式 标题 2 + 宋体 五号 非加粗 黑色"/>
    <w:basedOn w:val="3"/>
    <w:autoRedefine/>
    <w:qFormat/>
    <w:uiPriority w:val="0"/>
    <w:rPr>
      <w:rFonts w:ascii="宋体" w:hAnsi="宋体"/>
      <w:b w:val="0"/>
      <w:bCs/>
      <w:color w:val="000000"/>
      <w:sz w:val="21"/>
    </w:rPr>
  </w:style>
  <w:style w:type="paragraph" w:customStyle="1" w:styleId="110">
    <w:name w:val="Char1 Char Char Char Char Char Char"/>
    <w:basedOn w:val="1"/>
    <w:autoRedefine/>
    <w:qFormat/>
    <w:uiPriority w:val="0"/>
    <w:rPr>
      <w:rFonts w:ascii="Tahoma" w:hAnsi="Tahoma"/>
      <w:szCs w:val="20"/>
    </w:rPr>
  </w:style>
  <w:style w:type="paragraph" w:customStyle="1" w:styleId="111">
    <w:name w:val="Char Char Char Char Char Char Char Char Char Char Char Char Char"/>
    <w:basedOn w:val="1"/>
    <w:autoRedefine/>
    <w:qFormat/>
    <w:uiPriority w:val="0"/>
    <w:pPr>
      <w:widowControl/>
      <w:numPr>
        <w:ilvl w:val="0"/>
        <w:numId w:val="3"/>
      </w:numPr>
      <w:adjustRightInd w:val="0"/>
      <w:spacing w:after="160" w:line="240" w:lineRule="exact"/>
      <w:ind w:firstLine="200" w:firstLineChars="200"/>
    </w:pPr>
    <w:rPr>
      <w:rFonts w:ascii="Arial" w:hAnsi="Arial" w:eastAsia="Times New Roman"/>
      <w:kern w:val="0"/>
      <w:sz w:val="20"/>
      <w:szCs w:val="20"/>
      <w:lang w:eastAsia="en-US"/>
    </w:rPr>
  </w:style>
  <w:style w:type="paragraph" w:customStyle="1" w:styleId="112">
    <w:name w:val="Char1 Char Char Char Char Char Char1"/>
    <w:basedOn w:val="1"/>
    <w:autoRedefine/>
    <w:qFormat/>
    <w:uiPriority w:val="0"/>
  </w:style>
  <w:style w:type="paragraph" w:customStyle="1" w:styleId="113">
    <w:name w:val="列出段落21"/>
    <w:basedOn w:val="1"/>
    <w:autoRedefine/>
    <w:qFormat/>
    <w:uiPriority w:val="34"/>
    <w:pPr>
      <w:ind w:firstLine="420" w:firstLineChars="200"/>
    </w:pPr>
  </w:style>
  <w:style w:type="paragraph" w:customStyle="1" w:styleId="114">
    <w:name w:val="xl25"/>
    <w:basedOn w:val="1"/>
    <w:autoRedefine/>
    <w:qFormat/>
    <w:uiPriority w:val="0"/>
    <w:pPr>
      <w:widowControl/>
      <w:spacing w:before="100" w:beforeAutospacing="1" w:after="100" w:afterAutospacing="1"/>
      <w:jc w:val="center"/>
    </w:pPr>
    <w:rPr>
      <w:rFonts w:hint="eastAsia" w:ascii="楷体_GB2312" w:hAnsi="宋体" w:eastAsia="楷体_GB2312"/>
      <w:kern w:val="0"/>
    </w:rPr>
  </w:style>
  <w:style w:type="paragraph" w:customStyle="1" w:styleId="115">
    <w:name w:val="默认段落字体 Para Char Char Char Char Char Char"/>
    <w:basedOn w:val="1"/>
    <w:autoRedefine/>
    <w:qFormat/>
    <w:uiPriority w:val="0"/>
    <w:rPr>
      <w:rFonts w:ascii="Tahoma" w:hAnsi="Tahoma"/>
      <w:szCs w:val="20"/>
    </w:rPr>
  </w:style>
  <w:style w:type="character" w:customStyle="1" w:styleId="116">
    <w:name w:val="标题 1 字符"/>
    <w:link w:val="2"/>
    <w:autoRedefine/>
    <w:qFormat/>
    <w:uiPriority w:val="0"/>
    <w:rPr>
      <w:rFonts w:ascii="Times New Roman" w:hAnsi="Times New Roman"/>
      <w:b/>
      <w:kern w:val="44"/>
      <w:sz w:val="36"/>
    </w:rPr>
  </w:style>
  <w:style w:type="character" w:customStyle="1" w:styleId="117">
    <w:name w:val="font01"/>
    <w:autoRedefine/>
    <w:qFormat/>
    <w:uiPriority w:val="0"/>
    <w:rPr>
      <w:rFonts w:hint="default" w:ascii="Times New Roman" w:hAnsi="Times New Roman" w:cs="Times New Roman"/>
      <w:color w:val="000000"/>
      <w:kern w:val="0"/>
      <w:sz w:val="24"/>
      <w:szCs w:val="24"/>
      <w:u w:val="none"/>
    </w:rPr>
  </w:style>
  <w:style w:type="character" w:customStyle="1" w:styleId="118">
    <w:name w:val="grame"/>
    <w:autoRedefine/>
    <w:qFormat/>
    <w:uiPriority w:val="0"/>
  </w:style>
  <w:style w:type="character" w:customStyle="1" w:styleId="119">
    <w:name w:val="ca-1"/>
    <w:basedOn w:val="52"/>
    <w:autoRedefine/>
    <w:qFormat/>
    <w:uiPriority w:val="0"/>
  </w:style>
  <w:style w:type="character" w:customStyle="1" w:styleId="120">
    <w:name w:val="页眉 字符"/>
    <w:link w:val="33"/>
    <w:qFormat/>
    <w:uiPriority w:val="0"/>
    <w:rPr>
      <w:kern w:val="2"/>
      <w:sz w:val="18"/>
      <w:szCs w:val="18"/>
    </w:rPr>
  </w:style>
  <w:style w:type="character" w:customStyle="1" w:styleId="121">
    <w:name w:val="标题 3 字符"/>
    <w:link w:val="4"/>
    <w:autoRedefine/>
    <w:qFormat/>
    <w:uiPriority w:val="0"/>
    <w:rPr>
      <w:rFonts w:ascii="Times New Roman" w:hAnsi="Times New Roman" w:eastAsia="黑体" w:cs="Times New Roman"/>
      <w:b/>
      <w:kern w:val="2"/>
      <w:sz w:val="28"/>
      <w:szCs w:val="24"/>
    </w:rPr>
  </w:style>
  <w:style w:type="character" w:customStyle="1" w:styleId="122">
    <w:name w:val="批注主题 字符"/>
    <w:link w:val="47"/>
    <w:autoRedefine/>
    <w:qFormat/>
    <w:uiPriority w:val="0"/>
    <w:rPr>
      <w:b/>
      <w:bCs/>
      <w:kern w:val="2"/>
      <w:sz w:val="24"/>
      <w:szCs w:val="24"/>
    </w:rPr>
  </w:style>
  <w:style w:type="character" w:customStyle="1" w:styleId="123">
    <w:name w:val="rili11"/>
    <w:qFormat/>
    <w:uiPriority w:val="0"/>
    <w:rPr>
      <w:kern w:val="0"/>
      <w:sz w:val="21"/>
      <w:szCs w:val="21"/>
    </w:rPr>
  </w:style>
  <w:style w:type="character" w:customStyle="1" w:styleId="124">
    <w:name w:val="dy_biao_content1"/>
    <w:autoRedefine/>
    <w:qFormat/>
    <w:uiPriority w:val="0"/>
    <w:rPr>
      <w:rFonts w:hint="eastAsia" w:ascii="宋体" w:hAnsi="宋体" w:eastAsia="宋体"/>
      <w:sz w:val="24"/>
      <w:szCs w:val="24"/>
    </w:rPr>
  </w:style>
  <w:style w:type="character" w:customStyle="1" w:styleId="125">
    <w:name w:val="列表段落 字符1"/>
    <w:link w:val="74"/>
    <w:autoRedefine/>
    <w:qFormat/>
    <w:uiPriority w:val="34"/>
    <w:rPr>
      <w:kern w:val="2"/>
      <w:sz w:val="21"/>
      <w:szCs w:val="24"/>
    </w:rPr>
  </w:style>
  <w:style w:type="character" w:customStyle="1" w:styleId="126">
    <w:name w:val="正文文本缩进 2 字符"/>
    <w:link w:val="29"/>
    <w:autoRedefine/>
    <w:qFormat/>
    <w:uiPriority w:val="0"/>
    <w:rPr>
      <w:rFonts w:hint="eastAsia" w:ascii="宋体" w:hAnsi="宋体" w:eastAsia="宋体" w:cs="宋体"/>
      <w:color w:val="0000FF"/>
      <w:kern w:val="2"/>
      <w:sz w:val="24"/>
    </w:rPr>
  </w:style>
  <w:style w:type="character" w:customStyle="1" w:styleId="127">
    <w:name w:val="标题 7 字符"/>
    <w:link w:val="8"/>
    <w:autoRedefine/>
    <w:qFormat/>
    <w:uiPriority w:val="0"/>
    <w:rPr>
      <w:rFonts w:eastAsia="宋体"/>
      <w:b/>
      <w:bCs/>
      <w:kern w:val="2"/>
      <w:sz w:val="24"/>
      <w:szCs w:val="24"/>
      <w:lang w:val="en-US" w:eastAsia="zh-CN" w:bidi="ar-SA"/>
    </w:rPr>
  </w:style>
  <w:style w:type="character" w:customStyle="1" w:styleId="128">
    <w:name w:val="font41"/>
    <w:basedOn w:val="52"/>
    <w:autoRedefine/>
    <w:qFormat/>
    <w:uiPriority w:val="0"/>
    <w:rPr>
      <w:rFonts w:hint="default" w:ascii="Times New Roman" w:hAnsi="Times New Roman" w:cs="Times New Roman"/>
      <w:b/>
      <w:color w:val="000000"/>
      <w:kern w:val="0"/>
      <w:sz w:val="28"/>
      <w:szCs w:val="28"/>
      <w:u w:val="none"/>
    </w:rPr>
  </w:style>
  <w:style w:type="character" w:customStyle="1" w:styleId="129">
    <w:name w:val="标题 2 字符1"/>
    <w:link w:val="3"/>
    <w:autoRedefine/>
    <w:qFormat/>
    <w:uiPriority w:val="9"/>
    <w:rPr>
      <w:rFonts w:ascii="Times New Roman" w:hAnsi="Times New Roman"/>
      <w:b/>
      <w:kern w:val="2"/>
      <w:sz w:val="30"/>
      <w:szCs w:val="24"/>
    </w:rPr>
  </w:style>
  <w:style w:type="character" w:customStyle="1" w:styleId="130">
    <w:name w:val="标题 4 字符"/>
    <w:link w:val="5"/>
    <w:autoRedefine/>
    <w:qFormat/>
    <w:uiPriority w:val="0"/>
    <w:rPr>
      <w:rFonts w:ascii="Arial" w:hAnsi="Arial" w:eastAsia="黑体" w:cs="Times New Roman"/>
      <w:b/>
      <w:sz w:val="32"/>
    </w:rPr>
  </w:style>
  <w:style w:type="character" w:customStyle="1" w:styleId="131">
    <w:name w:val="批注文字 字符"/>
    <w:link w:val="16"/>
    <w:autoRedefine/>
    <w:qFormat/>
    <w:uiPriority w:val="0"/>
    <w:rPr>
      <w:kern w:val="2"/>
      <w:sz w:val="24"/>
      <w:szCs w:val="24"/>
    </w:rPr>
  </w:style>
  <w:style w:type="character" w:customStyle="1" w:styleId="132">
    <w:name w:val="font11"/>
    <w:autoRedefine/>
    <w:qFormat/>
    <w:uiPriority w:val="0"/>
    <w:rPr>
      <w:rFonts w:hint="eastAsia" w:ascii="宋体" w:hAnsi="宋体" w:eastAsia="宋体" w:cs="宋体"/>
      <w:b/>
      <w:color w:val="000000"/>
      <w:kern w:val="0"/>
      <w:sz w:val="24"/>
      <w:szCs w:val="24"/>
      <w:u w:val="none"/>
    </w:rPr>
  </w:style>
  <w:style w:type="character" w:customStyle="1" w:styleId="133">
    <w:name w:val="纯文本 字符"/>
    <w:autoRedefine/>
    <w:qFormat/>
    <w:uiPriority w:val="0"/>
    <w:rPr>
      <w:rFonts w:ascii="宋体" w:eastAsia="宋体"/>
      <w:kern w:val="2"/>
      <w:sz w:val="21"/>
      <w:lang w:val="en-US" w:eastAsia="zh-CN" w:bidi="ar-SA"/>
    </w:rPr>
  </w:style>
  <w:style w:type="character" w:customStyle="1" w:styleId="134">
    <w:name w:val="1"/>
    <w:autoRedefine/>
    <w:unhideWhenUsed/>
    <w:qFormat/>
    <w:uiPriority w:val="99"/>
    <w:rPr>
      <w:color w:val="808080"/>
      <w:shd w:val="clear" w:color="auto" w:fill="E6E6E6"/>
    </w:rPr>
  </w:style>
  <w:style w:type="character" w:customStyle="1" w:styleId="135">
    <w:name w:val="font51"/>
    <w:basedOn w:val="52"/>
    <w:autoRedefine/>
    <w:qFormat/>
    <w:uiPriority w:val="0"/>
    <w:rPr>
      <w:rFonts w:hint="eastAsia" w:ascii="宋体" w:hAnsi="宋体" w:eastAsia="宋体" w:cs="宋体"/>
      <w:b/>
      <w:color w:val="000000"/>
      <w:kern w:val="0"/>
      <w:sz w:val="24"/>
      <w:szCs w:val="24"/>
      <w:u w:val="none"/>
    </w:rPr>
  </w:style>
  <w:style w:type="character" w:customStyle="1" w:styleId="136">
    <w:name w:val="javascript"/>
    <w:autoRedefine/>
    <w:qFormat/>
    <w:uiPriority w:val="0"/>
  </w:style>
  <w:style w:type="character" w:customStyle="1" w:styleId="137">
    <w:name w:val="页脚 字符"/>
    <w:link w:val="31"/>
    <w:autoRedefine/>
    <w:qFormat/>
    <w:uiPriority w:val="99"/>
    <w:rPr>
      <w:rFonts w:ascii="宋体"/>
      <w:kern w:val="2"/>
      <w:sz w:val="18"/>
    </w:rPr>
  </w:style>
  <w:style w:type="character" w:customStyle="1" w:styleId="138">
    <w:name w:val="标题 2 字符"/>
    <w:autoRedefine/>
    <w:qFormat/>
    <w:uiPriority w:val="9"/>
    <w:rPr>
      <w:b/>
      <w:kern w:val="2"/>
      <w:sz w:val="30"/>
      <w:szCs w:val="24"/>
    </w:rPr>
  </w:style>
  <w:style w:type="character" w:customStyle="1" w:styleId="139">
    <w:name w:val="Char Char1"/>
    <w:autoRedefine/>
    <w:qFormat/>
    <w:uiPriority w:val="0"/>
    <w:rPr>
      <w:rFonts w:eastAsia="宋体"/>
      <w:b/>
      <w:bCs/>
      <w:kern w:val="44"/>
      <w:sz w:val="52"/>
      <w:szCs w:val="44"/>
      <w:lang w:val="en-US" w:eastAsia="zh-CN" w:bidi="ar-SA"/>
    </w:rPr>
  </w:style>
  <w:style w:type="character" w:customStyle="1" w:styleId="140">
    <w:name w:val="apple-converted-space"/>
    <w:basedOn w:val="52"/>
    <w:qFormat/>
    <w:uiPriority w:val="0"/>
  </w:style>
  <w:style w:type="character" w:customStyle="1" w:styleId="141">
    <w:name w:val="font101"/>
    <w:qFormat/>
    <w:uiPriority w:val="0"/>
    <w:rPr>
      <w:rFonts w:hint="eastAsia" w:ascii="宋体" w:hAnsi="宋体" w:eastAsia="宋体" w:cs="宋体"/>
      <w:color w:val="000000"/>
      <w:sz w:val="22"/>
      <w:szCs w:val="22"/>
      <w:u w:val="none"/>
      <w:vertAlign w:val="superscript"/>
    </w:rPr>
  </w:style>
  <w:style w:type="character" w:customStyle="1" w:styleId="142">
    <w:name w:val="批注框文本 字符"/>
    <w:link w:val="30"/>
    <w:qFormat/>
    <w:uiPriority w:val="99"/>
    <w:rPr>
      <w:kern w:val="2"/>
      <w:sz w:val="18"/>
      <w:szCs w:val="18"/>
    </w:rPr>
  </w:style>
  <w:style w:type="character" w:customStyle="1" w:styleId="143">
    <w:name w:val="font81"/>
    <w:qFormat/>
    <w:uiPriority w:val="0"/>
    <w:rPr>
      <w:rFonts w:hint="eastAsia" w:ascii="宋体" w:hAnsi="宋体" w:eastAsia="宋体" w:cs="宋体"/>
      <w:color w:val="000000"/>
      <w:kern w:val="0"/>
      <w:sz w:val="21"/>
      <w:szCs w:val="21"/>
      <w:u w:val="none"/>
    </w:rPr>
  </w:style>
  <w:style w:type="character" w:customStyle="1" w:styleId="144">
    <w:name w:val="font31"/>
    <w:basedOn w:val="52"/>
    <w:autoRedefine/>
    <w:qFormat/>
    <w:uiPriority w:val="0"/>
    <w:rPr>
      <w:rFonts w:hint="eastAsia" w:ascii="宋体" w:hAnsi="宋体" w:eastAsia="宋体" w:cs="宋体"/>
      <w:color w:val="000000"/>
      <w:kern w:val="0"/>
      <w:sz w:val="24"/>
      <w:szCs w:val="24"/>
      <w:u w:val="none"/>
    </w:rPr>
  </w:style>
  <w:style w:type="character" w:customStyle="1" w:styleId="145">
    <w:name w:val="孙普文字 Char2"/>
    <w:autoRedefine/>
    <w:qFormat/>
    <w:uiPriority w:val="0"/>
    <w:rPr>
      <w:rFonts w:ascii="宋体" w:eastAsia="宋体"/>
      <w:kern w:val="2"/>
      <w:sz w:val="21"/>
      <w:lang w:val="en-US" w:eastAsia="zh-CN" w:bidi="ar-SA"/>
    </w:rPr>
  </w:style>
  <w:style w:type="character" w:customStyle="1" w:styleId="146">
    <w:name w:val="纯文本 Char Char"/>
    <w:autoRedefine/>
    <w:qFormat/>
    <w:uiPriority w:val="0"/>
    <w:rPr>
      <w:rFonts w:ascii="宋体" w:eastAsia="宋体"/>
      <w:kern w:val="2"/>
      <w:sz w:val="21"/>
      <w:lang w:val="en-US" w:eastAsia="zh-CN" w:bidi="ar-SA"/>
    </w:rPr>
  </w:style>
  <w:style w:type="character" w:customStyle="1" w:styleId="147">
    <w:name w:val="纯文本 字符2"/>
    <w:link w:val="26"/>
    <w:autoRedefine/>
    <w:qFormat/>
    <w:uiPriority w:val="0"/>
    <w:rPr>
      <w:rFonts w:hint="eastAsia" w:ascii="宋体" w:hAnsi="宋体" w:eastAsia="宋体" w:cs="宋体"/>
      <w:kern w:val="2"/>
      <w:sz w:val="21"/>
    </w:rPr>
  </w:style>
  <w:style w:type="character" w:customStyle="1" w:styleId="148">
    <w:name w:val="font21"/>
    <w:basedOn w:val="52"/>
    <w:qFormat/>
    <w:uiPriority w:val="0"/>
    <w:rPr>
      <w:rFonts w:hint="eastAsia" w:ascii="宋体" w:hAnsi="宋体" w:eastAsia="宋体" w:cs="宋体"/>
      <w:b/>
      <w:color w:val="000000"/>
      <w:kern w:val="0"/>
      <w:sz w:val="28"/>
      <w:szCs w:val="28"/>
      <w:u w:val="none"/>
    </w:rPr>
  </w:style>
  <w:style w:type="character" w:customStyle="1" w:styleId="149">
    <w:name w:val="普通文字 Char Char1"/>
    <w:autoRedefine/>
    <w:qFormat/>
    <w:uiPriority w:val="0"/>
    <w:rPr>
      <w:rFonts w:ascii="宋体" w:eastAsia="宋体"/>
      <w:kern w:val="0"/>
      <w:sz w:val="24"/>
    </w:rPr>
  </w:style>
  <w:style w:type="character" w:customStyle="1" w:styleId="150">
    <w:name w:val="标题 5 字符"/>
    <w:link w:val="6"/>
    <w:autoRedefine/>
    <w:qFormat/>
    <w:uiPriority w:val="0"/>
    <w:rPr>
      <w:rFonts w:ascii="Times New Roman" w:hAnsi="Times New Roman" w:eastAsia="黑体" w:cs="Times New Roman"/>
      <w:b/>
      <w:bCs/>
      <w:kern w:val="2"/>
      <w:sz w:val="30"/>
      <w:szCs w:val="28"/>
    </w:rPr>
  </w:style>
  <w:style w:type="character" w:customStyle="1" w:styleId="151">
    <w:name w:val="纯文本 Char"/>
    <w:autoRedefine/>
    <w:qFormat/>
    <w:uiPriority w:val="0"/>
    <w:rPr>
      <w:rFonts w:ascii="宋体" w:eastAsia="宋体"/>
      <w:kern w:val="2"/>
      <w:sz w:val="21"/>
      <w:lang w:val="en-US" w:eastAsia="zh-CN" w:bidi="ar-SA"/>
    </w:rPr>
  </w:style>
  <w:style w:type="character" w:customStyle="1" w:styleId="152">
    <w:name w:val="纯文本 字符1"/>
    <w:autoRedefine/>
    <w:qFormat/>
    <w:uiPriority w:val="0"/>
    <w:rPr>
      <w:rFonts w:ascii="等线" w:hAnsi="Courier New" w:eastAsia="等线" w:cs="Courier New"/>
      <w:kern w:val="2"/>
      <w:sz w:val="24"/>
      <w:szCs w:val="24"/>
    </w:rPr>
  </w:style>
  <w:style w:type="character" w:customStyle="1" w:styleId="153">
    <w:name w:val="H2 Char"/>
    <w:autoRedefine/>
    <w:qFormat/>
    <w:uiPriority w:val="0"/>
    <w:rPr>
      <w:rFonts w:ascii="Arial" w:hAnsi="Arial" w:eastAsia="黑体"/>
      <w:b/>
      <w:sz w:val="32"/>
    </w:rPr>
  </w:style>
  <w:style w:type="character" w:customStyle="1" w:styleId="154">
    <w:name w:val="Heading 3 - old Char"/>
    <w:autoRedefine/>
    <w:qFormat/>
    <w:uiPriority w:val="0"/>
    <w:rPr>
      <w:rFonts w:eastAsia="黑体"/>
      <w:b/>
      <w:kern w:val="2"/>
      <w:sz w:val="28"/>
      <w:szCs w:val="24"/>
      <w:lang w:val="en-US" w:eastAsia="zh-CN" w:bidi="ar-SA"/>
    </w:rPr>
  </w:style>
  <w:style w:type="character" w:customStyle="1" w:styleId="155">
    <w:name w:val="15"/>
    <w:basedOn w:val="52"/>
    <w:qFormat/>
    <w:uiPriority w:val="0"/>
    <w:rPr>
      <w:rFonts w:hint="default" w:ascii="Times New Roman" w:hAnsi="Times New Roman" w:cs="Times New Roman"/>
      <w:color w:val="338DE6"/>
    </w:rPr>
  </w:style>
  <w:style w:type="character" w:customStyle="1" w:styleId="156">
    <w:name w:val="正文文本 2 字符"/>
    <w:link w:val="42"/>
    <w:qFormat/>
    <w:uiPriority w:val="0"/>
    <w:rPr>
      <w:rFonts w:ascii="宋体"/>
      <w:kern w:val="2"/>
      <w:sz w:val="13"/>
    </w:rPr>
  </w:style>
  <w:style w:type="character" w:customStyle="1" w:styleId="157">
    <w:name w:val="HTML 预设格式 字符"/>
    <w:basedOn w:val="52"/>
    <w:link w:val="43"/>
    <w:qFormat/>
    <w:uiPriority w:val="99"/>
    <w:rPr>
      <w:rFonts w:ascii="宋体" w:hAnsi="宋体" w:cs="宋体"/>
      <w:sz w:val="24"/>
      <w:szCs w:val="24"/>
    </w:rPr>
  </w:style>
  <w:style w:type="character" w:customStyle="1" w:styleId="158">
    <w:name w:val="_Style 3"/>
    <w:autoRedefine/>
    <w:qFormat/>
    <w:uiPriority w:val="99"/>
    <w:rPr>
      <w:rFonts w:ascii="Times New Roman" w:hAnsi="Times New Roman" w:cs="Times New Roman"/>
      <w:b/>
      <w:bCs/>
      <w:smallCaps/>
      <w:spacing w:val="5"/>
    </w:rPr>
  </w:style>
  <w:style w:type="paragraph" w:customStyle="1" w:styleId="159">
    <w:name w:val="List Paragraph1"/>
    <w:basedOn w:val="1"/>
    <w:qFormat/>
    <w:uiPriority w:val="0"/>
    <w:pPr>
      <w:ind w:firstLine="420" w:firstLineChars="200"/>
    </w:pPr>
    <w:rPr>
      <w:sz w:val="21"/>
      <w:szCs w:val="21"/>
    </w:rPr>
  </w:style>
  <w:style w:type="character" w:customStyle="1" w:styleId="160">
    <w:name w:val="apple-style-span"/>
    <w:basedOn w:val="52"/>
    <w:autoRedefine/>
    <w:qFormat/>
    <w:uiPriority w:val="0"/>
  </w:style>
  <w:style w:type="paragraph" w:customStyle="1" w:styleId="161">
    <w:name w:val="Pa7"/>
    <w:basedOn w:val="72"/>
    <w:next w:val="72"/>
    <w:autoRedefine/>
    <w:qFormat/>
    <w:uiPriority w:val="99"/>
    <w:pPr>
      <w:spacing w:line="201" w:lineRule="atLeast"/>
    </w:pPr>
    <w:rPr>
      <w:rFonts w:ascii="汉仪大黑简K艵." w:eastAsia="汉仪大黑简K艵." w:cs="Times New Roman"/>
      <w:color w:val="auto"/>
    </w:rPr>
  </w:style>
  <w:style w:type="character" w:customStyle="1" w:styleId="162">
    <w:name w:val="A10"/>
    <w:qFormat/>
    <w:uiPriority w:val="99"/>
    <w:rPr>
      <w:rFonts w:ascii="Times New Roman" w:hAnsi="Times New Roman" w:cs="Times New Roman"/>
      <w:color w:val="000000"/>
      <w:sz w:val="11"/>
      <w:szCs w:val="11"/>
    </w:rPr>
  </w:style>
  <w:style w:type="paragraph" w:customStyle="1" w:styleId="163">
    <w:name w:val="Pa144"/>
    <w:basedOn w:val="72"/>
    <w:next w:val="72"/>
    <w:qFormat/>
    <w:uiPriority w:val="99"/>
    <w:pPr>
      <w:spacing w:line="201" w:lineRule="atLeast"/>
    </w:pPr>
    <w:rPr>
      <w:rFonts w:ascii="汉仪大黑简K艵." w:eastAsia="汉仪大黑简K艵." w:cs="Times New Roman"/>
      <w:color w:val="auto"/>
    </w:rPr>
  </w:style>
  <w:style w:type="character" w:customStyle="1" w:styleId="164">
    <w:name w:val="A11"/>
    <w:qFormat/>
    <w:uiPriority w:val="99"/>
    <w:rPr>
      <w:rFonts w:ascii="宋体" w:eastAsia="宋体" w:cs="宋体"/>
      <w:color w:val="000000"/>
      <w:sz w:val="20"/>
      <w:szCs w:val="20"/>
      <w:u w:val="single"/>
    </w:rPr>
  </w:style>
  <w:style w:type="paragraph" w:customStyle="1" w:styleId="165">
    <w:name w:val="Normal_27"/>
    <w:autoRedefine/>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166">
    <w:name w:val="Normal_28"/>
    <w:autoRedefine/>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167">
    <w:name w:val="Normal_29"/>
    <w:autoRedefine/>
    <w:qFormat/>
    <w:uiPriority w:val="0"/>
    <w:pPr>
      <w:spacing w:before="120" w:after="240"/>
      <w:jc w:val="both"/>
    </w:pPr>
    <w:rPr>
      <w:rFonts w:ascii="Times New Roman" w:hAnsi="Times New Roman" w:eastAsia="Times New Roman" w:cs="Times New Roman"/>
      <w:sz w:val="22"/>
      <w:szCs w:val="22"/>
      <w:lang w:val="en-US" w:eastAsia="en-US" w:bidi="ar-SA"/>
    </w:rPr>
  </w:style>
  <w:style w:type="character" w:customStyle="1" w:styleId="168">
    <w:name w:val="纯文本 字符3"/>
    <w:autoRedefine/>
    <w:qFormat/>
    <w:uiPriority w:val="99"/>
    <w:rPr>
      <w:rFonts w:ascii="宋体"/>
      <w:kern w:val="2"/>
      <w:sz w:val="21"/>
    </w:rPr>
  </w:style>
  <w:style w:type="character" w:customStyle="1" w:styleId="169">
    <w:name w:val="正文文本缩进 字符"/>
    <w:link w:val="22"/>
    <w:autoRedefine/>
    <w:qFormat/>
    <w:uiPriority w:val="0"/>
    <w:rPr>
      <w:rFonts w:ascii="宋体"/>
      <w:spacing w:val="-4"/>
      <w:kern w:val="2"/>
      <w:sz w:val="18"/>
    </w:rPr>
  </w:style>
  <w:style w:type="paragraph" w:customStyle="1" w:styleId="170">
    <w:name w:val="段"/>
    <w:autoRedefine/>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character" w:customStyle="1" w:styleId="171">
    <w:name w:val="at_1"/>
    <w:basedOn w:val="52"/>
    <w:qFormat/>
    <w:uiPriority w:val="0"/>
    <w:rPr>
      <w:rFonts w:ascii="Verdana" w:hAnsi="Verdana" w:eastAsia="仿宋_GB2312"/>
      <w:kern w:val="0"/>
      <w:sz w:val="24"/>
      <w:szCs w:val="20"/>
      <w:lang w:eastAsia="en-US"/>
    </w:rPr>
  </w:style>
  <w:style w:type="paragraph" w:customStyle="1" w:styleId="172">
    <w:name w:val="列出段落3"/>
    <w:basedOn w:val="1"/>
    <w:autoRedefine/>
    <w:qFormat/>
    <w:uiPriority w:val="34"/>
    <w:pPr>
      <w:ind w:firstLine="420" w:firstLineChars="200"/>
    </w:pPr>
    <w:rPr>
      <w:sz w:val="21"/>
    </w:rPr>
  </w:style>
  <w:style w:type="paragraph" w:customStyle="1" w:styleId="173">
    <w:name w:val="Char Char2"/>
    <w:basedOn w:val="1"/>
    <w:autoRedefine/>
    <w:qFormat/>
    <w:uiPriority w:val="0"/>
    <w:rPr>
      <w:sz w:val="21"/>
      <w:szCs w:val="20"/>
    </w:rPr>
  </w:style>
  <w:style w:type="paragraph" w:customStyle="1" w:styleId="174">
    <w:name w:val="Char Char Char Char2"/>
    <w:basedOn w:val="1"/>
    <w:autoRedefine/>
    <w:qFormat/>
    <w:uiPriority w:val="0"/>
    <w:pPr>
      <w:tabs>
        <w:tab w:val="left" w:pos="360"/>
      </w:tabs>
    </w:pPr>
  </w:style>
  <w:style w:type="paragraph" w:customStyle="1" w:styleId="175">
    <w:name w:val="_Style 2"/>
    <w:basedOn w:val="1"/>
    <w:autoRedefine/>
    <w:qFormat/>
    <w:uiPriority w:val="0"/>
    <w:pPr>
      <w:ind w:firstLine="420" w:firstLineChars="200"/>
    </w:pPr>
    <w:rPr>
      <w:rFonts w:ascii="Calibri" w:hAnsi="Calibri" w:cs="Arial"/>
      <w:sz w:val="21"/>
    </w:rPr>
  </w:style>
  <w:style w:type="paragraph" w:customStyle="1" w:styleId="176">
    <w:name w:val="一级条标题"/>
    <w:next w:val="170"/>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77">
    <w:name w:val="中等深浅网格 2 - 着色 11"/>
    <w:qFormat/>
    <w:uiPriority w:val="1"/>
    <w:rPr>
      <w:rFonts w:ascii="Calibri" w:hAnsi="Calibri" w:eastAsia="宋体" w:cs="Times New Roman"/>
      <w:sz w:val="22"/>
      <w:szCs w:val="22"/>
      <w:lang w:val="en-US" w:eastAsia="zh-CN" w:bidi="ar-SA"/>
    </w:rPr>
  </w:style>
  <w:style w:type="paragraph" w:customStyle="1" w:styleId="178">
    <w:name w:val="列出段落4"/>
    <w:basedOn w:val="1"/>
    <w:autoRedefine/>
    <w:qFormat/>
    <w:uiPriority w:val="34"/>
    <w:pPr>
      <w:ind w:firstLine="420" w:firstLineChars="200"/>
    </w:pPr>
    <w:rPr>
      <w:rFonts w:ascii="Calibri" w:hAnsi="Calibri"/>
      <w:sz w:val="21"/>
    </w:rPr>
  </w:style>
  <w:style w:type="character" w:customStyle="1" w:styleId="179">
    <w:name w:val="mark"/>
    <w:basedOn w:val="52"/>
    <w:autoRedefine/>
    <w:qFormat/>
    <w:uiPriority w:val="0"/>
  </w:style>
  <w:style w:type="character" w:customStyle="1" w:styleId="180">
    <w:name w:val="标题 字符"/>
    <w:link w:val="46"/>
    <w:autoRedefine/>
    <w:qFormat/>
    <w:uiPriority w:val="10"/>
    <w:rPr>
      <w:rFonts w:ascii="Arial" w:hAnsi="Arial" w:cs="Arial"/>
      <w:b/>
      <w:bCs/>
      <w:kern w:val="2"/>
      <w:sz w:val="32"/>
      <w:szCs w:val="32"/>
    </w:rPr>
  </w:style>
  <w:style w:type="character" w:customStyle="1" w:styleId="181">
    <w:name w:val="标题 6 字符"/>
    <w:basedOn w:val="52"/>
    <w:link w:val="7"/>
    <w:autoRedefine/>
    <w:qFormat/>
    <w:uiPriority w:val="0"/>
    <w:rPr>
      <w:rFonts w:ascii="Arial" w:hAnsi="Arial" w:eastAsia="黑体" w:cs="Times New Roman"/>
      <w:b/>
      <w:bCs/>
      <w:kern w:val="2"/>
      <w:sz w:val="24"/>
      <w:szCs w:val="24"/>
    </w:rPr>
  </w:style>
  <w:style w:type="character" w:customStyle="1" w:styleId="182">
    <w:name w:val="标题 8 字符"/>
    <w:basedOn w:val="52"/>
    <w:link w:val="9"/>
    <w:autoRedefine/>
    <w:qFormat/>
    <w:uiPriority w:val="9"/>
    <w:rPr>
      <w:rFonts w:ascii="Arial" w:hAnsi="Arial" w:eastAsia="黑体"/>
      <w:kern w:val="2"/>
      <w:sz w:val="24"/>
      <w:szCs w:val="24"/>
    </w:rPr>
  </w:style>
  <w:style w:type="character" w:customStyle="1" w:styleId="183">
    <w:name w:val="标题 9 字符"/>
    <w:basedOn w:val="52"/>
    <w:link w:val="10"/>
    <w:autoRedefine/>
    <w:qFormat/>
    <w:uiPriority w:val="9"/>
    <w:rPr>
      <w:rFonts w:ascii="Arial" w:hAnsi="Arial" w:eastAsia="黑体"/>
      <w:kern w:val="2"/>
      <w:sz w:val="24"/>
      <w:szCs w:val="21"/>
    </w:rPr>
  </w:style>
  <w:style w:type="character" w:customStyle="1" w:styleId="184">
    <w:name w:val="正文文本 字符"/>
    <w:basedOn w:val="52"/>
    <w:link w:val="19"/>
    <w:autoRedefine/>
    <w:qFormat/>
    <w:uiPriority w:val="0"/>
    <w:rPr>
      <w:rFonts w:ascii="金山简黑体" w:hAnsi="金山简黑体" w:eastAsia="金山简黑体"/>
      <w:b/>
      <w:spacing w:val="-8"/>
      <w:kern w:val="2"/>
      <w:sz w:val="44"/>
    </w:rPr>
  </w:style>
  <w:style w:type="character" w:customStyle="1" w:styleId="185">
    <w:name w:val="正文文本首行缩进 字符1"/>
    <w:basedOn w:val="184"/>
    <w:link w:val="20"/>
    <w:autoRedefine/>
    <w:qFormat/>
    <w:uiPriority w:val="99"/>
    <w:rPr>
      <w:rFonts w:ascii="金山简黑体" w:hAnsi="金山简黑体" w:eastAsia="金山简黑体"/>
      <w:bCs/>
      <w:spacing w:val="-8"/>
      <w:kern w:val="44"/>
      <w:sz w:val="52"/>
      <w:szCs w:val="44"/>
    </w:rPr>
  </w:style>
  <w:style w:type="character" w:customStyle="1" w:styleId="186">
    <w:name w:val="文档结构图 字符"/>
    <w:basedOn w:val="52"/>
    <w:link w:val="14"/>
    <w:autoRedefine/>
    <w:qFormat/>
    <w:uiPriority w:val="99"/>
    <w:rPr>
      <w:kern w:val="2"/>
      <w:sz w:val="24"/>
      <w:szCs w:val="24"/>
      <w:shd w:val="clear" w:color="auto" w:fill="000080"/>
    </w:rPr>
  </w:style>
  <w:style w:type="character" w:customStyle="1" w:styleId="187">
    <w:name w:val="正文文本 3 字符"/>
    <w:basedOn w:val="52"/>
    <w:link w:val="17"/>
    <w:qFormat/>
    <w:uiPriority w:val="0"/>
    <w:rPr>
      <w:kern w:val="2"/>
      <w:sz w:val="24"/>
      <w:szCs w:val="24"/>
    </w:rPr>
  </w:style>
  <w:style w:type="character" w:customStyle="1" w:styleId="188">
    <w:name w:val="日期 字符"/>
    <w:basedOn w:val="52"/>
    <w:link w:val="28"/>
    <w:autoRedefine/>
    <w:qFormat/>
    <w:uiPriority w:val="99"/>
    <w:rPr>
      <w:rFonts w:ascii="华文中宋" w:hAnsi="华文中宋" w:eastAsia="华文中宋" w:cs="Arial"/>
      <w:iCs/>
      <w:color w:val="000000"/>
      <w:kern w:val="44"/>
      <w:sz w:val="36"/>
      <w:szCs w:val="21"/>
    </w:rPr>
  </w:style>
  <w:style w:type="character" w:customStyle="1" w:styleId="189">
    <w:name w:val="正文文本首行缩进 2 字符"/>
    <w:basedOn w:val="169"/>
    <w:link w:val="48"/>
    <w:qFormat/>
    <w:uiPriority w:val="99"/>
    <w:rPr>
      <w:rFonts w:ascii="宋体" w:hAnsi="宋体"/>
      <w:spacing w:val="-4"/>
      <w:kern w:val="2"/>
      <w:sz w:val="21"/>
    </w:rPr>
  </w:style>
  <w:style w:type="character" w:customStyle="1" w:styleId="190">
    <w:name w:val="正文文本缩进 3 字符"/>
    <w:basedOn w:val="52"/>
    <w:link w:val="39"/>
    <w:autoRedefine/>
    <w:qFormat/>
    <w:uiPriority w:val="0"/>
    <w:rPr>
      <w:kern w:val="2"/>
      <w:sz w:val="24"/>
      <w:szCs w:val="24"/>
    </w:rPr>
  </w:style>
  <w:style w:type="character" w:customStyle="1" w:styleId="191">
    <w:name w:val="NormalCharacter"/>
    <w:autoRedefine/>
    <w:qFormat/>
    <w:uiPriority w:val="0"/>
  </w:style>
  <w:style w:type="paragraph" w:customStyle="1" w:styleId="192">
    <w:name w:val="PlainText"/>
    <w:basedOn w:val="1"/>
    <w:autoRedefine/>
    <w:qFormat/>
    <w:uiPriority w:val="0"/>
    <w:pPr>
      <w:widowControl/>
      <w:textAlignment w:val="baseline"/>
    </w:pPr>
    <w:rPr>
      <w:rFonts w:ascii="宋体" w:hAnsi="Courier New"/>
      <w:sz w:val="21"/>
      <w:szCs w:val="21"/>
    </w:rPr>
  </w:style>
  <w:style w:type="paragraph" w:customStyle="1" w:styleId="193">
    <w:name w:val="184"/>
    <w:qFormat/>
    <w:uiPriority w:val="0"/>
    <w:pPr>
      <w:textAlignment w:val="baseline"/>
    </w:pPr>
    <w:rPr>
      <w:rFonts w:ascii="Calibri" w:hAnsi="Calibri" w:eastAsia="宋体" w:cs="Times New Roman"/>
      <w:sz w:val="22"/>
      <w:szCs w:val="22"/>
      <w:lang w:val="en-US" w:eastAsia="zh-CN" w:bidi="ar-SA"/>
    </w:rPr>
  </w:style>
  <w:style w:type="character" w:customStyle="1" w:styleId="194">
    <w:name w:val="正文缩进 字符"/>
    <w:link w:val="12"/>
    <w:qFormat/>
    <w:uiPriority w:val="0"/>
    <w:rPr>
      <w:kern w:val="2"/>
      <w:sz w:val="24"/>
    </w:rPr>
  </w:style>
  <w:style w:type="character" w:customStyle="1" w:styleId="195">
    <w:name w:val="样式5 Char"/>
    <w:link w:val="196"/>
    <w:qFormat/>
    <w:uiPriority w:val="0"/>
    <w:rPr>
      <w:rFonts w:ascii="宋体"/>
      <w:u w:val="single"/>
    </w:rPr>
  </w:style>
  <w:style w:type="paragraph" w:customStyle="1" w:styleId="196">
    <w:name w:val="样式5"/>
    <w:basedOn w:val="26"/>
    <w:link w:val="195"/>
    <w:autoRedefine/>
    <w:qFormat/>
    <w:uiPriority w:val="0"/>
    <w:pPr>
      <w:pBdr>
        <w:bottom w:val="thickThinSmallGap" w:color="auto" w:sz="12" w:space="1"/>
      </w:pBdr>
      <w:tabs>
        <w:tab w:val="center" w:pos="4535"/>
      </w:tabs>
      <w:jc w:val="center"/>
    </w:pPr>
    <w:rPr>
      <w:kern w:val="0"/>
      <w:sz w:val="20"/>
      <w:u w:val="single"/>
    </w:rPr>
  </w:style>
  <w:style w:type="character" w:customStyle="1" w:styleId="197">
    <w:name w:val="样式7 Char"/>
    <w:link w:val="198"/>
    <w:qFormat/>
    <w:uiPriority w:val="0"/>
    <w:rPr>
      <w:sz w:val="18"/>
      <w:szCs w:val="18"/>
    </w:rPr>
  </w:style>
  <w:style w:type="paragraph" w:customStyle="1" w:styleId="198">
    <w:name w:val="样式7"/>
    <w:basedOn w:val="33"/>
    <w:link w:val="197"/>
    <w:autoRedefine/>
    <w:qFormat/>
    <w:uiPriority w:val="0"/>
    <w:pPr>
      <w:pBdr>
        <w:top w:val="single" w:color="auto" w:sz="6" w:space="1"/>
        <w:left w:val="single" w:color="auto" w:sz="6" w:space="4"/>
        <w:bottom w:val="thickThinSmallGap" w:color="auto" w:sz="12" w:space="1"/>
        <w:right w:val="single" w:color="auto" w:sz="6" w:space="4"/>
      </w:pBdr>
    </w:pPr>
    <w:rPr>
      <w:kern w:val="0"/>
    </w:rPr>
  </w:style>
  <w:style w:type="character" w:customStyle="1" w:styleId="199">
    <w:name w:val="标题 Char1"/>
    <w:autoRedefine/>
    <w:qFormat/>
    <w:uiPriority w:val="0"/>
    <w:rPr>
      <w:rFonts w:ascii="Calibri Light" w:hAnsi="Calibri Light" w:cs="Times New Roman"/>
      <w:b/>
      <w:bCs/>
      <w:kern w:val="2"/>
      <w:sz w:val="32"/>
      <w:szCs w:val="32"/>
    </w:rPr>
  </w:style>
  <w:style w:type="character" w:customStyle="1" w:styleId="200">
    <w:name w:val="样式8 Char"/>
    <w:link w:val="201"/>
    <w:qFormat/>
    <w:uiPriority w:val="0"/>
    <w:rPr>
      <w:sz w:val="18"/>
      <w:szCs w:val="18"/>
    </w:rPr>
  </w:style>
  <w:style w:type="paragraph" w:customStyle="1" w:styleId="201">
    <w:name w:val="样式8"/>
    <w:basedOn w:val="198"/>
    <w:link w:val="200"/>
    <w:autoRedefine/>
    <w:qFormat/>
    <w:uiPriority w:val="0"/>
    <w:pPr>
      <w:pBdr>
        <w:top w:val="none" w:color="auto" w:sz="0" w:space="0"/>
        <w:left w:val="none" w:color="auto" w:sz="0" w:space="0"/>
        <w:right w:val="none" w:color="auto" w:sz="0" w:space="0"/>
      </w:pBdr>
      <w:tabs>
        <w:tab w:val="clear" w:pos="4153"/>
        <w:tab w:val="clear" w:pos="8306"/>
      </w:tabs>
    </w:pPr>
  </w:style>
  <w:style w:type="character" w:customStyle="1" w:styleId="202">
    <w:name w:val="Char Char"/>
    <w:qFormat/>
    <w:uiPriority w:val="0"/>
    <w:rPr>
      <w:rFonts w:ascii="Century Gothic" w:hAnsi="Century Gothic"/>
      <w:bCs/>
      <w:kern w:val="28"/>
      <w:sz w:val="21"/>
      <w:szCs w:val="32"/>
    </w:rPr>
  </w:style>
  <w:style w:type="character" w:customStyle="1" w:styleId="203">
    <w:name w:val="样式3 Char"/>
    <w:link w:val="204"/>
    <w:qFormat/>
    <w:uiPriority w:val="0"/>
    <w:rPr>
      <w:rFonts w:ascii="黑体" w:hAnsi="黑体" w:eastAsia="黑体"/>
      <w:bCs/>
      <w:sz w:val="18"/>
      <w:szCs w:val="18"/>
    </w:rPr>
  </w:style>
  <w:style w:type="paragraph" w:customStyle="1" w:styleId="204">
    <w:name w:val="样式3"/>
    <w:basedOn w:val="33"/>
    <w:link w:val="203"/>
    <w:qFormat/>
    <w:uiPriority w:val="0"/>
    <w:pPr>
      <w:pBdr>
        <w:bottom w:val="thickThinSmallGap" w:color="auto" w:sz="12" w:space="1"/>
      </w:pBdr>
      <w:jc w:val="left"/>
    </w:pPr>
    <w:rPr>
      <w:rFonts w:ascii="黑体" w:hAnsi="黑体" w:eastAsia="黑体"/>
      <w:bCs/>
      <w:kern w:val="0"/>
    </w:rPr>
  </w:style>
  <w:style w:type="character" w:customStyle="1" w:styleId="205">
    <w:name w:val="样式3 Char Char"/>
    <w:qFormat/>
    <w:uiPriority w:val="0"/>
    <w:rPr>
      <w:rFonts w:ascii="Century Gothic" w:hAnsi="Century Gothic" w:eastAsia="宋体"/>
      <w:kern w:val="2"/>
      <w:sz w:val="21"/>
      <w:szCs w:val="21"/>
      <w:lang w:val="en-US" w:eastAsia="zh-CN" w:bidi="ar-SA"/>
    </w:rPr>
  </w:style>
  <w:style w:type="character" w:customStyle="1" w:styleId="206">
    <w:name w:val="font61"/>
    <w:qFormat/>
    <w:uiPriority w:val="0"/>
    <w:rPr>
      <w:rFonts w:hint="default" w:ascii="宋体" w:hAnsi="宋体"/>
      <w:color w:val="000000"/>
      <w:sz w:val="18"/>
      <w:szCs w:val="18"/>
      <w:u w:val="none"/>
    </w:rPr>
  </w:style>
  <w:style w:type="character" w:customStyle="1" w:styleId="207">
    <w:name w:val="font91"/>
    <w:qFormat/>
    <w:uiPriority w:val="0"/>
    <w:rPr>
      <w:rFonts w:hint="eastAsia" w:ascii="华文楷体" w:eastAsia="华文楷体"/>
      <w:color w:val="000000"/>
      <w:sz w:val="20"/>
      <w:szCs w:val="20"/>
      <w:u w:val="none"/>
    </w:rPr>
  </w:style>
  <w:style w:type="character" w:customStyle="1" w:styleId="208">
    <w:name w:val="样式6 Char"/>
    <w:link w:val="209"/>
    <w:qFormat/>
    <w:uiPriority w:val="0"/>
    <w:rPr>
      <w:sz w:val="18"/>
      <w:szCs w:val="18"/>
    </w:rPr>
  </w:style>
  <w:style w:type="paragraph" w:customStyle="1" w:styleId="209">
    <w:name w:val="样式6"/>
    <w:basedOn w:val="33"/>
    <w:link w:val="208"/>
    <w:qFormat/>
    <w:uiPriority w:val="0"/>
    <w:pPr>
      <w:pBdr>
        <w:bottom w:val="thickThinSmallGap" w:color="auto" w:sz="12" w:space="1"/>
      </w:pBdr>
      <w:jc w:val="both"/>
    </w:pPr>
    <w:rPr>
      <w:kern w:val="0"/>
    </w:rPr>
  </w:style>
  <w:style w:type="character" w:customStyle="1" w:styleId="210">
    <w:name w:val="px12h161"/>
    <w:qFormat/>
    <w:uiPriority w:val="0"/>
    <w:rPr>
      <w:sz w:val="14"/>
      <w:szCs w:val="14"/>
    </w:rPr>
  </w:style>
  <w:style w:type="character" w:customStyle="1" w:styleId="211">
    <w:name w:val="样式4 Char"/>
    <w:link w:val="212"/>
    <w:qFormat/>
    <w:uiPriority w:val="0"/>
    <w:rPr>
      <w:bCs/>
      <w:sz w:val="18"/>
      <w:szCs w:val="18"/>
    </w:rPr>
  </w:style>
  <w:style w:type="paragraph" w:customStyle="1" w:styleId="212">
    <w:name w:val="样式4"/>
    <w:basedOn w:val="33"/>
    <w:link w:val="211"/>
    <w:qFormat/>
    <w:uiPriority w:val="0"/>
    <w:pPr>
      <w:pBdr>
        <w:bottom w:val="thickThinSmallGap" w:color="auto" w:sz="12" w:space="1"/>
      </w:pBdr>
      <w:jc w:val="both"/>
    </w:pPr>
    <w:rPr>
      <w:bCs/>
      <w:kern w:val="0"/>
    </w:rPr>
  </w:style>
  <w:style w:type="character" w:customStyle="1" w:styleId="213">
    <w:name w:val="不明显强调1"/>
    <w:qFormat/>
    <w:uiPriority w:val="19"/>
    <w:rPr>
      <w:rFonts w:eastAsia="仿宋_GB2312"/>
      <w:iCs/>
      <w:color w:val="auto"/>
      <w:sz w:val="24"/>
    </w:rPr>
  </w:style>
  <w:style w:type="character" w:customStyle="1" w:styleId="214">
    <w:name w:val="副标题 Char1"/>
    <w:qFormat/>
    <w:uiPriority w:val="0"/>
    <w:rPr>
      <w:rFonts w:ascii="Cambria" w:hAnsi="Cambria" w:cs="Times New Roman"/>
      <w:b/>
      <w:bCs/>
      <w:kern w:val="28"/>
      <w:sz w:val="32"/>
      <w:szCs w:val="32"/>
    </w:rPr>
  </w:style>
  <w:style w:type="character" w:customStyle="1" w:styleId="215">
    <w:name w:val="font71"/>
    <w:autoRedefine/>
    <w:qFormat/>
    <w:uiPriority w:val="0"/>
    <w:rPr>
      <w:rFonts w:hint="eastAsia" w:ascii="宋体" w:hAnsi="宋体" w:eastAsia="宋体"/>
      <w:b/>
      <w:bCs/>
      <w:color w:val="000000"/>
      <w:sz w:val="24"/>
      <w:szCs w:val="24"/>
      <w:u w:val="none"/>
    </w:rPr>
  </w:style>
  <w:style w:type="character" w:customStyle="1" w:styleId="216">
    <w:name w:val="副标题 字符"/>
    <w:link w:val="36"/>
    <w:qFormat/>
    <w:uiPriority w:val="11"/>
    <w:rPr>
      <w:rFonts w:ascii="Century Gothic" w:hAnsi="Century Gothic" w:cs="Century Gothic"/>
      <w:kern w:val="28"/>
      <w:szCs w:val="21"/>
    </w:rPr>
  </w:style>
  <w:style w:type="character" w:customStyle="1" w:styleId="217">
    <w:name w:val="普通文字1 Char1"/>
    <w:qFormat/>
    <w:uiPriority w:val="0"/>
    <w:rPr>
      <w:rFonts w:ascii="宋体" w:eastAsia="宋体"/>
      <w:kern w:val="2"/>
      <w:sz w:val="21"/>
      <w:lang w:val="en-US" w:eastAsia="zh-CN" w:bidi="ar-SA"/>
    </w:rPr>
  </w:style>
  <w:style w:type="character" w:customStyle="1" w:styleId="218">
    <w:name w:val="页脚 字符1"/>
    <w:qFormat/>
    <w:uiPriority w:val="99"/>
    <w:rPr>
      <w:rFonts w:ascii="宋体"/>
      <w:sz w:val="18"/>
    </w:rPr>
  </w:style>
  <w:style w:type="character" w:customStyle="1" w:styleId="219">
    <w:name w:val="副标题 字符1"/>
    <w:basedOn w:val="52"/>
    <w:qFormat/>
    <w:uiPriority w:val="11"/>
    <w:rPr>
      <w:rFonts w:asciiTheme="minorHAnsi" w:hAnsiTheme="minorHAnsi" w:eastAsiaTheme="minorEastAsia" w:cstheme="minorBidi"/>
      <w:b/>
      <w:bCs/>
      <w:kern w:val="28"/>
      <w:sz w:val="32"/>
      <w:szCs w:val="32"/>
    </w:rPr>
  </w:style>
  <w:style w:type="paragraph" w:customStyle="1" w:styleId="220">
    <w:name w:val="列出段落12"/>
    <w:basedOn w:val="19"/>
    <w:next w:val="20"/>
    <w:link w:val="432"/>
    <w:qFormat/>
    <w:uiPriority w:val="0"/>
    <w:pPr>
      <w:spacing w:after="120"/>
      <w:ind w:firstLine="420" w:firstLineChars="100"/>
    </w:pPr>
    <w:rPr>
      <w:rFonts w:ascii="仿宋_GB2312" w:cstheme="minorBidi"/>
      <w:b w:val="0"/>
      <w:sz w:val="21"/>
      <w:szCs w:val="22"/>
    </w:rPr>
  </w:style>
  <w:style w:type="character" w:customStyle="1" w:styleId="221">
    <w:name w:val="页眉 字符1"/>
    <w:basedOn w:val="52"/>
    <w:qFormat/>
    <w:uiPriority w:val="99"/>
    <w:rPr>
      <w:rFonts w:ascii="Times New Roman" w:hAnsi="Times New Roman" w:eastAsia="宋体" w:cs="Times New Roman"/>
      <w:sz w:val="18"/>
      <w:szCs w:val="18"/>
    </w:rPr>
  </w:style>
  <w:style w:type="character" w:customStyle="1" w:styleId="222">
    <w:name w:val="批注框文本 字符1"/>
    <w:basedOn w:val="52"/>
    <w:qFormat/>
    <w:uiPriority w:val="99"/>
    <w:rPr>
      <w:rFonts w:ascii="Times New Roman" w:hAnsi="Times New Roman" w:eastAsia="宋体" w:cs="Times New Roman"/>
      <w:sz w:val="18"/>
      <w:szCs w:val="18"/>
    </w:rPr>
  </w:style>
  <w:style w:type="character" w:customStyle="1" w:styleId="223">
    <w:name w:val="批注文字 字符1"/>
    <w:basedOn w:val="52"/>
    <w:qFormat/>
    <w:uiPriority w:val="0"/>
    <w:rPr>
      <w:rFonts w:ascii="Times New Roman" w:hAnsi="Times New Roman" w:eastAsia="宋体" w:cs="Times New Roman"/>
      <w:szCs w:val="24"/>
    </w:rPr>
  </w:style>
  <w:style w:type="character" w:customStyle="1" w:styleId="224">
    <w:name w:val="标题 字符1"/>
    <w:basedOn w:val="52"/>
    <w:qFormat/>
    <w:uiPriority w:val="10"/>
    <w:rPr>
      <w:rFonts w:asciiTheme="majorHAnsi" w:hAnsiTheme="majorHAnsi" w:eastAsiaTheme="majorEastAsia" w:cstheme="majorBidi"/>
      <w:b/>
      <w:bCs/>
      <w:sz w:val="32"/>
      <w:szCs w:val="32"/>
    </w:rPr>
  </w:style>
  <w:style w:type="character" w:customStyle="1" w:styleId="225">
    <w:name w:val="批注主题 字符1"/>
    <w:basedOn w:val="223"/>
    <w:qFormat/>
    <w:uiPriority w:val="99"/>
    <w:rPr>
      <w:rFonts w:ascii="Times New Roman" w:hAnsi="Times New Roman" w:eastAsia="宋体" w:cs="Times New Roman"/>
      <w:b/>
      <w:bCs/>
      <w:szCs w:val="24"/>
    </w:rPr>
  </w:style>
  <w:style w:type="character" w:customStyle="1" w:styleId="226">
    <w:name w:val="正文文本缩进 字符1"/>
    <w:basedOn w:val="52"/>
    <w:qFormat/>
    <w:uiPriority w:val="99"/>
    <w:rPr>
      <w:rFonts w:ascii="Times New Roman" w:hAnsi="Times New Roman" w:eastAsia="宋体" w:cs="Times New Roman"/>
      <w:szCs w:val="24"/>
    </w:rPr>
  </w:style>
  <w:style w:type="character" w:customStyle="1" w:styleId="227">
    <w:name w:val="日期 字符1"/>
    <w:basedOn w:val="52"/>
    <w:qFormat/>
    <w:uiPriority w:val="99"/>
    <w:rPr>
      <w:rFonts w:ascii="Times New Roman" w:hAnsi="Times New Roman" w:eastAsia="宋体" w:cs="Times New Roman"/>
      <w:szCs w:val="24"/>
    </w:rPr>
  </w:style>
  <w:style w:type="character" w:customStyle="1" w:styleId="228">
    <w:name w:val="文档结构图 字符1"/>
    <w:basedOn w:val="52"/>
    <w:qFormat/>
    <w:uiPriority w:val="0"/>
    <w:rPr>
      <w:rFonts w:ascii="Microsoft YaHei UI" w:hAnsi="Times New Roman" w:eastAsia="Microsoft YaHei UI" w:cs="Times New Roman"/>
      <w:sz w:val="18"/>
      <w:szCs w:val="18"/>
    </w:rPr>
  </w:style>
  <w:style w:type="paragraph" w:customStyle="1" w:styleId="229">
    <w:name w:val="正文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0">
    <w:name w:val="xl14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231">
    <w:name w:val="正文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2">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233">
    <w:name w:val="副标题 New"/>
    <w:basedOn w:val="1"/>
    <w:next w:val="1"/>
    <w:autoRedefine/>
    <w:qFormat/>
    <w:uiPriority w:val="0"/>
    <w:pPr>
      <w:numPr>
        <w:ilvl w:val="0"/>
        <w:numId w:val="5"/>
      </w:numPr>
      <w:jc w:val="left"/>
      <w:outlineLvl w:val="1"/>
    </w:pPr>
    <w:rPr>
      <w:rFonts w:ascii="Century Gothic" w:hAnsi="Century Gothic" w:cs="Century Gothic"/>
      <w:kern w:val="28"/>
      <w:sz w:val="21"/>
      <w:szCs w:val="21"/>
    </w:rPr>
  </w:style>
  <w:style w:type="paragraph" w:customStyle="1" w:styleId="234">
    <w:name w:val="纯文本 New"/>
    <w:basedOn w:val="235"/>
    <w:autoRedefine/>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6">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7">
    <w:name w:val="普通(网站) New"/>
    <w:basedOn w:val="231"/>
    <w:qFormat/>
    <w:uiPriority w:val="0"/>
    <w:pPr>
      <w:widowControl/>
      <w:spacing w:before="100" w:beforeAutospacing="1" w:after="100" w:afterAutospacing="1"/>
      <w:jc w:val="left"/>
    </w:pPr>
    <w:rPr>
      <w:rFonts w:ascii="宋体" w:hAnsi="宋体"/>
      <w:kern w:val="0"/>
      <w:sz w:val="24"/>
      <w:szCs w:val="24"/>
    </w:rPr>
  </w:style>
  <w:style w:type="paragraph" w:customStyle="1" w:styleId="238">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39">
    <w:name w:val="xl141"/>
    <w:basedOn w:val="1"/>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240">
    <w:name w:val="正文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1">
    <w:name w:val="xl138"/>
    <w:basedOn w:val="1"/>
    <w:autoRedefine/>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242">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243">
    <w:name w:val="正文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xl1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rPr>
  </w:style>
  <w:style w:type="paragraph" w:customStyle="1" w:styleId="245">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46">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7">
    <w:name w:val="xl143"/>
    <w:basedOn w:val="1"/>
    <w:autoRedefine/>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248">
    <w:name w:val="正文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9">
    <w:name w:val="样式 黑体 居中 首行缩进:  0.35 厘米 行距: 1.5 倍行距"/>
    <w:basedOn w:val="1"/>
    <w:autoRedefine/>
    <w:qFormat/>
    <w:uiPriority w:val="0"/>
    <w:pPr>
      <w:widowControl/>
      <w:jc w:val="center"/>
    </w:pPr>
    <w:rPr>
      <w:rFonts w:ascii="黑体" w:hAnsi="黑体" w:eastAsia="黑体"/>
      <w:kern w:val="0"/>
      <w:szCs w:val="20"/>
    </w:rPr>
  </w:style>
  <w:style w:type="paragraph" w:customStyle="1" w:styleId="250">
    <w:name w:val="xl1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51">
    <w:name w:val="附件正文"/>
    <w:autoRedefine/>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paragraph" w:customStyle="1" w:styleId="252">
    <w:name w:val="xl1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53">
    <w:name w:val="Absatz2AL"/>
    <w:basedOn w:val="19"/>
    <w:next w:val="1"/>
    <w:autoRedefine/>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254">
    <w:name w:val="正文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5">
    <w:name w:val="Char Char3 Char Char Char Char"/>
    <w:basedOn w:val="1"/>
    <w:autoRedefine/>
    <w:qFormat/>
    <w:uiPriority w:val="0"/>
    <w:pPr>
      <w:widowControl/>
      <w:spacing w:after="160" w:line="240" w:lineRule="exact"/>
      <w:jc w:val="left"/>
    </w:pPr>
    <w:rPr>
      <w:rFonts w:ascii="Arial" w:hAnsi="Arial" w:eastAsia="Times New Roman" w:cs="Verdana"/>
      <w:b/>
      <w:kern w:val="0"/>
      <w:lang w:eastAsia="en-US"/>
    </w:rPr>
  </w:style>
  <w:style w:type="paragraph" w:customStyle="1" w:styleId="256">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257">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58">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rPr>
  </w:style>
  <w:style w:type="paragraph" w:customStyle="1" w:styleId="259">
    <w:name w:val="xl1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260">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1">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2">
    <w:name w:val="注"/>
    <w:basedOn w:val="1"/>
    <w:autoRedefine/>
    <w:qFormat/>
    <w:uiPriority w:val="0"/>
    <w:pPr>
      <w:spacing w:line="360" w:lineRule="auto"/>
      <w:ind w:left="200" w:hanging="200" w:hangingChars="200"/>
    </w:pPr>
    <w:rPr>
      <w:rFonts w:ascii="宋体"/>
      <w:b/>
      <w:sz w:val="21"/>
    </w:rPr>
  </w:style>
  <w:style w:type="paragraph" w:customStyle="1" w:styleId="263">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4">
    <w:name w:val="xl139"/>
    <w:basedOn w:val="1"/>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265">
    <w:name w:val="xl145"/>
    <w:basedOn w:val="1"/>
    <w:qFormat/>
    <w:uiPriority w:val="0"/>
    <w:pPr>
      <w:widowControl/>
      <w:spacing w:before="100" w:beforeAutospacing="1" w:after="100" w:afterAutospacing="1"/>
      <w:jc w:val="left"/>
    </w:pPr>
    <w:rPr>
      <w:rFonts w:ascii="宋体" w:hAnsi="宋体" w:cs="宋体"/>
      <w:kern w:val="0"/>
    </w:rPr>
  </w:style>
  <w:style w:type="paragraph" w:customStyle="1" w:styleId="266">
    <w:name w:val="正文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7">
    <w:name w:val="题目"/>
    <w:basedOn w:val="1"/>
    <w:qFormat/>
    <w:uiPriority w:val="0"/>
    <w:pPr>
      <w:snapToGrid w:val="0"/>
      <w:spacing w:line="480" w:lineRule="auto"/>
      <w:jc w:val="center"/>
    </w:pPr>
    <w:rPr>
      <w:rFonts w:ascii="方正小标宋_GBK" w:hAnsi="宋体" w:eastAsia="方正小标宋_GBK"/>
      <w:sz w:val="44"/>
      <w:szCs w:val="44"/>
    </w:rPr>
  </w:style>
  <w:style w:type="paragraph" w:customStyle="1" w:styleId="268">
    <w:name w:val="正文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9">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0">
    <w:name w:val="xl146"/>
    <w:basedOn w:val="1"/>
    <w:qFormat/>
    <w:uiPriority w:val="0"/>
    <w:pPr>
      <w:widowControl/>
      <w:spacing w:before="100" w:beforeAutospacing="1" w:after="100" w:afterAutospacing="1"/>
      <w:jc w:val="center"/>
    </w:pPr>
    <w:rPr>
      <w:rFonts w:ascii="宋体" w:hAnsi="宋体" w:cs="宋体"/>
      <w:kern w:val="0"/>
    </w:rPr>
  </w:style>
  <w:style w:type="paragraph" w:customStyle="1" w:styleId="271">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274">
    <w:name w:val="正文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5">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76">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7">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rPr>
  </w:style>
  <w:style w:type="paragraph" w:customStyle="1" w:styleId="278">
    <w:name w:val="正文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9">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80">
    <w:name w:val="正文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282">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283">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284">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85">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286">
    <w:name w:val="font5"/>
    <w:basedOn w:val="1"/>
    <w:qFormat/>
    <w:uiPriority w:val="0"/>
    <w:pPr>
      <w:widowControl/>
      <w:spacing w:before="100" w:beforeAutospacing="1" w:after="100" w:afterAutospacing="1"/>
      <w:jc w:val="left"/>
    </w:pPr>
    <w:rPr>
      <w:rFonts w:ascii="宋体" w:hAnsi="宋体" w:cs="宋体"/>
      <w:color w:val="000000"/>
      <w:kern w:val="0"/>
    </w:rPr>
  </w:style>
  <w:style w:type="paragraph" w:customStyle="1" w:styleId="287">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rPr>
  </w:style>
  <w:style w:type="paragraph" w:customStyle="1" w:styleId="288">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9">
    <w:name w:val="正文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0">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rPr>
  </w:style>
  <w:style w:type="paragraph" w:customStyle="1" w:styleId="291">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292">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4">
    <w:name w:val="正文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xl142"/>
    <w:basedOn w:val="1"/>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296">
    <w:name w:val="xl144"/>
    <w:basedOn w:val="1"/>
    <w:qFormat/>
    <w:uiPriority w:val="0"/>
    <w:pPr>
      <w:widowControl/>
      <w:spacing w:before="100" w:beforeAutospacing="1" w:after="100" w:afterAutospacing="1"/>
      <w:jc w:val="left"/>
      <w:textAlignment w:val="top"/>
    </w:pPr>
    <w:rPr>
      <w:rFonts w:ascii="宋体" w:hAnsi="宋体" w:cs="宋体"/>
      <w:kern w:val="0"/>
    </w:rPr>
  </w:style>
  <w:style w:type="paragraph" w:customStyle="1" w:styleId="297">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8">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9">
    <w:name w:val="说明"/>
    <w:basedOn w:val="1"/>
    <w:qFormat/>
    <w:uiPriority w:val="0"/>
    <w:pPr>
      <w:ind w:left="1" w:leftChars="-52" w:hanging="110" w:hangingChars="61"/>
      <w:jc w:val="center"/>
    </w:pPr>
    <w:rPr>
      <w:rFonts w:ascii="宋体"/>
      <w:sz w:val="21"/>
      <w:szCs w:val="20"/>
    </w:rPr>
  </w:style>
  <w:style w:type="paragraph" w:customStyle="1" w:styleId="300">
    <w:name w:val="副标题 New New"/>
    <w:basedOn w:val="1"/>
    <w:next w:val="1"/>
    <w:qFormat/>
    <w:uiPriority w:val="0"/>
    <w:pPr>
      <w:tabs>
        <w:tab w:val="left" w:pos="840"/>
      </w:tabs>
      <w:ind w:left="840" w:hanging="420"/>
      <w:jc w:val="left"/>
      <w:outlineLvl w:val="1"/>
    </w:pPr>
    <w:rPr>
      <w:rFonts w:ascii="Century Gothic" w:hAnsi="Century Gothic" w:cs="Century Gothic"/>
      <w:kern w:val="28"/>
      <w:sz w:val="21"/>
      <w:szCs w:val="21"/>
    </w:rPr>
  </w:style>
  <w:style w:type="paragraph" w:customStyle="1" w:styleId="301">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2">
    <w:name w:val="副标题 New New New"/>
    <w:basedOn w:val="303"/>
    <w:next w:val="303"/>
    <w:qFormat/>
    <w:uiPriority w:val="0"/>
    <w:pPr>
      <w:numPr>
        <w:ilvl w:val="0"/>
        <w:numId w:val="6"/>
      </w:numPr>
      <w:jc w:val="left"/>
      <w:outlineLvl w:val="1"/>
    </w:pPr>
    <w:rPr>
      <w:rFonts w:ascii="Century Gothic" w:hAnsi="Century Gothic"/>
      <w:bCs/>
      <w:kern w:val="28"/>
      <w:szCs w:val="32"/>
    </w:rPr>
  </w:style>
  <w:style w:type="paragraph" w:customStyle="1" w:styleId="303">
    <w:name w:val="正文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4">
    <w:name w:val="xl14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5">
    <w:name w:val="正文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rPr>
  </w:style>
  <w:style w:type="paragraph" w:customStyle="1" w:styleId="307">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rPr>
  </w:style>
  <w:style w:type="paragraph" w:customStyle="1" w:styleId="3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10">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311">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12">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13">
    <w:name w:val="纯文本 New New New"/>
    <w:basedOn w:val="280"/>
    <w:qFormat/>
    <w:uiPriority w:val="0"/>
  </w:style>
  <w:style w:type="paragraph" w:customStyle="1" w:styleId="314">
    <w:name w:val="纯文本 New New"/>
    <w:basedOn w:val="315"/>
    <w:qFormat/>
    <w:uiPriority w:val="0"/>
    <w:pPr>
      <w:widowControl/>
      <w:spacing w:before="100" w:beforeAutospacing="1" w:after="100" w:afterAutospacing="1"/>
      <w:jc w:val="left"/>
    </w:pPr>
    <w:rPr>
      <w:rFonts w:ascii="宋体" w:hAnsi="宋体" w:cs="宋体"/>
      <w:sz w:val="24"/>
      <w:szCs w:val="24"/>
    </w:rPr>
  </w:style>
  <w:style w:type="paragraph" w:customStyle="1" w:styleId="315">
    <w:name w:val="正文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6">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7">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318">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319">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320">
    <w:name w:val="正文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1">
    <w:name w:val="default"/>
    <w:basedOn w:val="1"/>
    <w:qFormat/>
    <w:uiPriority w:val="0"/>
    <w:pPr>
      <w:widowControl/>
      <w:spacing w:before="100" w:beforeAutospacing="1" w:after="100" w:afterAutospacing="1"/>
      <w:jc w:val="left"/>
    </w:pPr>
    <w:rPr>
      <w:rFonts w:ascii="宋体" w:hAnsi="宋体" w:cs="宋体"/>
      <w:kern w:val="0"/>
    </w:rPr>
  </w:style>
  <w:style w:type="paragraph" w:customStyle="1" w:styleId="322">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3">
    <w:name w:val="正文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4">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5">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26">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7">
    <w:name w:val="xl65"/>
    <w:basedOn w:val="1"/>
    <w:qFormat/>
    <w:uiPriority w:val="0"/>
    <w:pPr>
      <w:widowControl/>
      <w:spacing w:before="100" w:beforeAutospacing="1" w:after="100" w:afterAutospacing="1"/>
      <w:jc w:val="left"/>
      <w:textAlignment w:val="center"/>
    </w:pPr>
    <w:rPr>
      <w:rFonts w:ascii="宋体" w:hAnsi="宋体" w:cs="宋体"/>
      <w:kern w:val="0"/>
    </w:rPr>
  </w:style>
  <w:style w:type="paragraph" w:customStyle="1" w:styleId="32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3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33">
    <w:name w:val="xl71"/>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33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3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3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34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2">
    <w:name w:val="xl80"/>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4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4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350">
    <w:name w:val="xl8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35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5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35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5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5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56">
    <w:name w:val="xl94"/>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35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5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35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60">
    <w:name w:val="xl9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36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rPr>
  </w:style>
  <w:style w:type="paragraph" w:customStyle="1" w:styleId="36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36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rPr>
  </w:style>
  <w:style w:type="paragraph" w:customStyle="1" w:styleId="36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rPr>
  </w:style>
  <w:style w:type="paragraph" w:customStyle="1" w:styleId="36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36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36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36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36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37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371">
    <w:name w:val="xl109"/>
    <w:basedOn w:val="1"/>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character" w:customStyle="1" w:styleId="372">
    <w:name w:val="明显参考1"/>
    <w:qFormat/>
    <w:uiPriority w:val="32"/>
    <w:rPr>
      <w:b/>
      <w:bCs/>
      <w:smallCaps/>
      <w:color w:val="C0504D"/>
      <w:spacing w:val="5"/>
      <w:u w:val="single"/>
    </w:rPr>
  </w:style>
  <w:style w:type="character" w:customStyle="1" w:styleId="373">
    <w:name w:val="纯文本 Char2"/>
    <w:qFormat/>
    <w:uiPriority w:val="0"/>
    <w:rPr>
      <w:rFonts w:ascii="宋体" w:hAnsi="Times New Roman" w:eastAsia="宋体" w:cs="Times New Roman"/>
      <w:kern w:val="2"/>
      <w:sz w:val="21"/>
      <w:lang w:val="en-US" w:eastAsia="zh-CN" w:bidi="ar-SA"/>
    </w:rPr>
  </w:style>
  <w:style w:type="paragraph" w:customStyle="1" w:styleId="374">
    <w:name w:val="Char13"/>
    <w:basedOn w:val="1"/>
    <w:qFormat/>
    <w:uiPriority w:val="0"/>
    <w:rPr>
      <w:sz w:val="21"/>
    </w:rPr>
  </w:style>
  <w:style w:type="character" w:customStyle="1" w:styleId="375">
    <w:name w:val="标题 5 字符1"/>
    <w:qFormat/>
    <w:uiPriority w:val="9"/>
    <w:rPr>
      <w:rFonts w:ascii="Times New Roman" w:hAnsi="Times New Roman" w:eastAsia="宋体" w:cs="Times New Roman"/>
      <w:b/>
      <w:kern w:val="0"/>
      <w:sz w:val="28"/>
      <w:szCs w:val="24"/>
      <w:lang w:val="zh-CN" w:eastAsia="zh-CN"/>
    </w:rPr>
  </w:style>
  <w:style w:type="character" w:customStyle="1" w:styleId="376">
    <w:name w:val="标题 3 Char1"/>
    <w:qFormat/>
    <w:uiPriority w:val="0"/>
    <w:rPr>
      <w:rFonts w:eastAsia="宋体"/>
      <w:b/>
      <w:bCs/>
      <w:kern w:val="2"/>
      <w:sz w:val="32"/>
      <w:szCs w:val="32"/>
      <w:lang w:val="en-US" w:eastAsia="zh-CN" w:bidi="ar-SA"/>
    </w:rPr>
  </w:style>
  <w:style w:type="paragraph" w:customStyle="1" w:styleId="377">
    <w:name w:val="5"/>
    <w:basedOn w:val="1"/>
    <w:qFormat/>
    <w:uiPriority w:val="0"/>
    <w:pPr>
      <w:tabs>
        <w:tab w:val="right" w:pos="-2120"/>
      </w:tabs>
      <w:snapToGrid w:val="0"/>
    </w:pPr>
    <w:rPr>
      <w:rFonts w:ascii="Tahoma" w:hAnsi="Tahoma"/>
      <w:spacing w:val="6"/>
      <w:szCs w:val="20"/>
    </w:rPr>
  </w:style>
  <w:style w:type="character" w:customStyle="1" w:styleId="378">
    <w:name w:val="列表段落 字符"/>
    <w:qFormat/>
    <w:uiPriority w:val="99"/>
    <w:rPr>
      <w:rFonts w:ascii="Calibri" w:hAnsi="Calibri" w:eastAsia="宋体" w:cs="Times New Roman"/>
    </w:rPr>
  </w:style>
  <w:style w:type="paragraph" w:customStyle="1" w:styleId="379">
    <w:name w:val="Char2 Char Char Char Char Char Char"/>
    <w:basedOn w:val="14"/>
    <w:qFormat/>
    <w:uiPriority w:val="0"/>
    <w:rPr>
      <w:rFonts w:ascii="Tahoma" w:hAnsi="Tahoma" w:eastAsiaTheme="minorEastAsia" w:cstheme="minorBidi"/>
    </w:rPr>
  </w:style>
  <w:style w:type="character" w:customStyle="1" w:styleId="380">
    <w:name w:val="Date Char Char"/>
    <w:link w:val="381"/>
    <w:qFormat/>
    <w:uiPriority w:val="0"/>
  </w:style>
  <w:style w:type="paragraph" w:customStyle="1" w:styleId="381">
    <w:name w:val="日期1"/>
    <w:basedOn w:val="1"/>
    <w:next w:val="1"/>
    <w:link w:val="380"/>
    <w:qFormat/>
    <w:uiPriority w:val="0"/>
    <w:rPr>
      <w:kern w:val="0"/>
      <w:sz w:val="20"/>
      <w:szCs w:val="20"/>
    </w:rPr>
  </w:style>
  <w:style w:type="character" w:customStyle="1" w:styleId="382">
    <w:name w:val="正文文本 2 字符1"/>
    <w:qFormat/>
    <w:uiPriority w:val="99"/>
    <w:rPr>
      <w:rFonts w:ascii="宋体" w:hAnsi="Times New Roman" w:eastAsia="宋体" w:cs="Times New Roman"/>
      <w:sz w:val="13"/>
      <w:szCs w:val="20"/>
      <w:lang w:val="zh-CN" w:eastAsia="zh-CN"/>
    </w:rPr>
  </w:style>
  <w:style w:type="character" w:customStyle="1" w:styleId="383">
    <w:name w:val="正文文本 3 字符1"/>
    <w:qFormat/>
    <w:uiPriority w:val="0"/>
    <w:rPr>
      <w:rFonts w:ascii="Times New Roman" w:hAnsi="Times New Roman" w:eastAsia="宋体" w:cs="Times New Roman"/>
      <w:sz w:val="24"/>
      <w:szCs w:val="24"/>
      <w:lang w:val="zh-CN" w:eastAsia="zh-CN"/>
    </w:rPr>
  </w:style>
  <w:style w:type="paragraph" w:styleId="384">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385">
    <w:name w:val="承康医疗"/>
    <w:basedOn w:val="1"/>
    <w:link w:val="386"/>
    <w:qFormat/>
    <w:uiPriority w:val="0"/>
    <w:pPr>
      <w:widowControl/>
      <w:jc w:val="left"/>
    </w:pPr>
    <w:rPr>
      <w:rFonts w:ascii="微软雅黑" w:hAnsi="微软雅黑" w:eastAsia="微软雅黑"/>
      <w:kern w:val="0"/>
      <w:sz w:val="21"/>
      <w:szCs w:val="21"/>
      <w:lang w:val="zh-CN"/>
    </w:rPr>
  </w:style>
  <w:style w:type="character" w:customStyle="1" w:styleId="386">
    <w:name w:val="承康医疗 Char"/>
    <w:link w:val="385"/>
    <w:qFormat/>
    <w:uiPriority w:val="0"/>
    <w:rPr>
      <w:rFonts w:ascii="微软雅黑" w:hAnsi="微软雅黑" w:eastAsia="微软雅黑"/>
      <w:sz w:val="21"/>
      <w:szCs w:val="21"/>
      <w:lang w:val="zh-CN" w:eastAsia="zh-CN"/>
    </w:rPr>
  </w:style>
  <w:style w:type="paragraph" w:customStyle="1" w:styleId="387">
    <w:name w:val="彩色列表 - 强调文字颜色 11"/>
    <w:basedOn w:val="1"/>
    <w:qFormat/>
    <w:uiPriority w:val="0"/>
    <w:pPr>
      <w:ind w:firstLine="420" w:firstLineChars="200"/>
    </w:pPr>
    <w:rPr>
      <w:rFonts w:ascii="Cambria" w:hAnsi="Cambria"/>
    </w:rPr>
  </w:style>
  <w:style w:type="paragraph" w:customStyle="1" w:styleId="388">
    <w:name w:val="清單段落"/>
    <w:basedOn w:val="1"/>
    <w:qFormat/>
    <w:uiPriority w:val="99"/>
    <w:pPr>
      <w:ind w:left="480" w:leftChars="200"/>
    </w:pPr>
    <w:rPr>
      <w:sz w:val="21"/>
    </w:rPr>
  </w:style>
  <w:style w:type="paragraph" w:customStyle="1" w:styleId="389">
    <w:name w:val="清單段落1"/>
    <w:basedOn w:val="1"/>
    <w:qFormat/>
    <w:uiPriority w:val="34"/>
    <w:pPr>
      <w:ind w:left="720"/>
      <w:contextualSpacing/>
    </w:pPr>
    <w:rPr>
      <w:sz w:val="21"/>
    </w:rPr>
  </w:style>
  <w:style w:type="paragraph" w:customStyle="1" w:styleId="390">
    <w:name w:val="列表段落1"/>
    <w:basedOn w:val="1"/>
    <w:qFormat/>
    <w:uiPriority w:val="99"/>
    <w:pPr>
      <w:ind w:firstLine="420" w:firstLineChars="200"/>
    </w:pPr>
    <w:rPr>
      <w:sz w:val="21"/>
    </w:rPr>
  </w:style>
  <w:style w:type="paragraph" w:customStyle="1" w:styleId="391">
    <w:name w:val="列表段落2"/>
    <w:basedOn w:val="1"/>
    <w:qFormat/>
    <w:uiPriority w:val="99"/>
    <w:pPr>
      <w:ind w:firstLine="420" w:firstLineChars="200"/>
    </w:pPr>
    <w:rPr>
      <w:rFonts w:ascii="Calibri" w:hAnsi="Calibri"/>
      <w:sz w:val="21"/>
      <w:szCs w:val="22"/>
    </w:rPr>
  </w:style>
  <w:style w:type="character" w:customStyle="1" w:styleId="392">
    <w:name w:val="标题 3 字符1"/>
    <w:qFormat/>
    <w:uiPriority w:val="9"/>
    <w:rPr>
      <w:rFonts w:ascii="宋体" w:hAnsi="Times New Roman" w:eastAsia="宋体" w:cs="Times New Roman"/>
      <w:b/>
      <w:kern w:val="0"/>
      <w:sz w:val="24"/>
      <w:szCs w:val="20"/>
    </w:rPr>
  </w:style>
  <w:style w:type="character" w:customStyle="1" w:styleId="393">
    <w:name w:val="标题 1 字符1"/>
    <w:qFormat/>
    <w:uiPriority w:val="0"/>
    <w:rPr>
      <w:rFonts w:ascii="Times New Roman" w:hAnsi="Times New Roman" w:eastAsia="宋体" w:cs="Times New Roman"/>
      <w:b/>
      <w:spacing w:val="20"/>
      <w:kern w:val="44"/>
      <w:sz w:val="32"/>
      <w:szCs w:val="20"/>
    </w:rPr>
  </w:style>
  <w:style w:type="paragraph" w:customStyle="1" w:styleId="394">
    <w:name w:val="ZJGIS列表项1"/>
    <w:basedOn w:val="1"/>
    <w:next w:val="101"/>
    <w:qFormat/>
    <w:uiPriority w:val="34"/>
    <w:pPr>
      <w:ind w:firstLine="420" w:firstLineChars="200"/>
    </w:pPr>
    <w:rPr>
      <w:rFonts w:ascii="Calibri" w:hAnsi="Calibri"/>
      <w:sz w:val="21"/>
      <w:szCs w:val="22"/>
    </w:rPr>
  </w:style>
  <w:style w:type="table" w:customStyle="1" w:styleId="395">
    <w:name w:val="网格型1"/>
    <w:basedOn w:val="49"/>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
    <w:name w:val="Table Normal_0"/>
    <w:semiHidden/>
    <w:unhideWhenUsed/>
    <w:qFormat/>
    <w:uiPriority w:val="2"/>
    <w:tblPr>
      <w:tblCellMar>
        <w:top w:w="0" w:type="dxa"/>
        <w:left w:w="0" w:type="dxa"/>
        <w:bottom w:w="0" w:type="dxa"/>
        <w:right w:w="0" w:type="dxa"/>
      </w:tblCellMar>
    </w:tblPr>
  </w:style>
  <w:style w:type="paragraph" w:customStyle="1" w:styleId="397">
    <w:name w:val="Table Paragraph"/>
    <w:basedOn w:val="1"/>
    <w:qFormat/>
    <w:uiPriority w:val="0"/>
    <w:pPr>
      <w:autoSpaceDE w:val="0"/>
      <w:autoSpaceDN w:val="0"/>
      <w:jc w:val="left"/>
    </w:pPr>
    <w:rPr>
      <w:rFonts w:ascii="宋体" w:hAnsi="宋体" w:cs="宋体"/>
      <w:kern w:val="0"/>
      <w:sz w:val="22"/>
      <w:szCs w:val="22"/>
      <w:lang w:eastAsia="en-US"/>
    </w:rPr>
  </w:style>
  <w:style w:type="table" w:customStyle="1" w:styleId="398">
    <w:name w:val="清单表 7 彩色 - 着色 51"/>
    <w:basedOn w:val="49"/>
    <w:qFormat/>
    <w:uiPriority w:val="52"/>
    <w:rPr>
      <w:color w:val="2F5496"/>
    </w:rPr>
    <w:tblStylePr w:type="firstRow">
      <w:rPr>
        <w:rFonts w:ascii="等线 Light" w:hAnsi="等线 Light" w:eastAsia="宋体" w:cs="Times New Roman"/>
        <w:i/>
        <w:iCs/>
        <w:sz w:val="26"/>
      </w:rPr>
      <w:tcPr>
        <w:tcBorders>
          <w:bottom w:val="single" w:color="4472C4" w:sz="4" w:space="0"/>
        </w:tcBorders>
        <w:shd w:val="clear" w:color="auto" w:fill="CCE8CF"/>
      </w:tcPr>
    </w:tblStylePr>
    <w:tblStylePr w:type="lastRow">
      <w:rPr>
        <w:rFonts w:ascii="等线 Light" w:hAnsi="等线 Light" w:eastAsia="宋体" w:cs="Times New Roman"/>
        <w:i/>
        <w:iCs/>
        <w:sz w:val="26"/>
      </w:rPr>
      <w:tcPr>
        <w:tcBorders>
          <w:top w:val="single" w:color="4472C4" w:sz="4" w:space="0"/>
        </w:tcBorders>
        <w:shd w:val="clear" w:color="auto" w:fill="CCE8CF"/>
      </w:tcPr>
    </w:tblStylePr>
    <w:tblStylePr w:type="firstCol">
      <w:pPr>
        <w:jc w:val="right"/>
      </w:pPr>
      <w:rPr>
        <w:rFonts w:ascii="等线 Light" w:hAnsi="等线 Light" w:eastAsia="宋体" w:cs="Times New Roman"/>
        <w:i/>
        <w:iCs/>
        <w:sz w:val="26"/>
      </w:rPr>
      <w:tcPr>
        <w:tcBorders>
          <w:right w:val="single" w:color="4472C4" w:sz="4" w:space="0"/>
        </w:tcBorders>
        <w:shd w:val="clear" w:color="auto" w:fill="CCE8CF"/>
      </w:tcPr>
    </w:tblStylePr>
    <w:tblStylePr w:type="lastCol">
      <w:rPr>
        <w:rFonts w:ascii="等线 Light" w:hAnsi="等线 Light" w:eastAsia="宋体" w:cs="Times New Roman"/>
        <w:i/>
        <w:iCs/>
        <w:sz w:val="26"/>
      </w:rPr>
      <w:tcPr>
        <w:tcBorders>
          <w:left w:val="single" w:color="4472C4" w:sz="4" w:space="0"/>
        </w:tcBorders>
        <w:shd w:val="clear" w:color="auto" w:fill="CCE8CF"/>
      </w:tcPr>
    </w:tblStylePr>
    <w:tblStylePr w:type="band1Vert">
      <w:tcPr>
        <w:shd w:val="clear" w:color="auto" w:fill="D9E2F3"/>
      </w:tcPr>
    </w:tblStylePr>
    <w:tblStylePr w:type="band1Horz">
      <w:tcPr>
        <w:shd w:val="clear" w:color="auto" w:fill="D9E2F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399">
    <w:name w:val="无格式表格 31"/>
    <w:basedOn w:val="49"/>
    <w:qFormat/>
    <w:uiPriority w:val="43"/>
    <w:tblStylePr w:type="firstRow">
      <w:rPr>
        <w:b/>
        <w:bCs/>
        <w:caps/>
      </w:rPr>
      <w:tcPr>
        <w:tcBorders>
          <w:bottom w:val="single" w:color="7F7F7F" w:sz="4" w:space="0"/>
        </w:tcBorders>
      </w:tcPr>
    </w:tblStylePr>
    <w:tblStylePr w:type="lastRow">
      <w:rPr>
        <w:b/>
        <w:bCs/>
        <w:caps/>
      </w:rPr>
      <w:tcPr>
        <w:tcBorders>
          <w:top w:val="nil"/>
        </w:tcBorders>
      </w:tcPr>
    </w:tblStylePr>
    <w:tblStylePr w:type="firstCol">
      <w:rPr>
        <w:b/>
        <w:bCs/>
        <w:caps/>
      </w:rPr>
      <w:tcPr>
        <w:tcBorders>
          <w:right w:val="single" w:color="7F7F7F" w:sz="4" w:space="0"/>
        </w:tcBorders>
      </w:tcPr>
    </w:tblStylePr>
    <w:tblStylePr w:type="lastCol">
      <w:rPr>
        <w:b/>
        <w:bCs/>
        <w:caps/>
      </w:rPr>
      <w:tcPr>
        <w:tcBorders>
          <w:left w:val="nil"/>
        </w:tcBorders>
      </w:tcPr>
    </w:tblStylePr>
    <w:tblStylePr w:type="band1Vert">
      <w:tcPr>
        <w:shd w:val="clear" w:color="auto" w:fill="BCE1C0"/>
      </w:tcPr>
    </w:tblStylePr>
    <w:tblStylePr w:type="band1Horz">
      <w:tcPr>
        <w:shd w:val="clear" w:color="auto" w:fill="BCE1C0"/>
      </w:tcPr>
    </w:tblStylePr>
    <w:tblStylePr w:type="neCell">
      <w:tcPr>
        <w:tcBorders>
          <w:left w:val="nil"/>
        </w:tcBorders>
      </w:tcPr>
    </w:tblStylePr>
    <w:tblStylePr w:type="nwCell">
      <w:tcPr>
        <w:tcBorders>
          <w:right w:val="nil"/>
        </w:tcBorders>
      </w:tcPr>
    </w:tblStylePr>
  </w:style>
  <w:style w:type="table" w:customStyle="1" w:styleId="400">
    <w:name w:val="网格型浅色1"/>
    <w:basedOn w:val="49"/>
    <w:qFormat/>
    <w:uiPriority w:val="40"/>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Pr>
  </w:style>
  <w:style w:type="table" w:customStyle="1" w:styleId="401">
    <w:name w:val="清单表 1 浅色1"/>
    <w:basedOn w:val="49"/>
    <w:qFormat/>
    <w:uiPriority w:val="46"/>
    <w:tblStylePr w:type="firstRow">
      <w:rPr>
        <w:b/>
        <w:bCs/>
      </w:rPr>
      <w:tcPr>
        <w:tcBorders>
          <w:bottom w:val="single" w:color="666666" w:sz="4" w:space="0"/>
        </w:tcBorders>
      </w:tcPr>
    </w:tblStylePr>
    <w:tblStylePr w:type="lastRow">
      <w:rPr>
        <w:b/>
        <w:bCs/>
      </w:rPr>
      <w:tcPr>
        <w:tcBorders>
          <w:top w:val="single" w:color="666666" w:sz="4" w:space="0"/>
        </w:tcBorders>
      </w:tcPr>
    </w:tblStylePr>
    <w:tblStylePr w:type="firstCol">
      <w:rPr>
        <w:b/>
        <w:bCs/>
      </w:rPr>
    </w:tblStylePr>
    <w:tblStylePr w:type="lastCol">
      <w:rPr>
        <w:b/>
        <w:bCs/>
      </w:rPr>
    </w:tblStylePr>
    <w:tblStylePr w:type="band1Vert">
      <w:tcPr>
        <w:shd w:val="clear" w:color="auto" w:fill="CCCCCC"/>
      </w:tcPr>
    </w:tblStylePr>
    <w:tblStylePr w:type="band1Horz">
      <w:tcPr>
        <w:shd w:val="clear" w:color="auto" w:fill="CCCCCC"/>
      </w:tcPr>
    </w:tblStylePr>
  </w:style>
  <w:style w:type="paragraph" w:customStyle="1" w:styleId="402">
    <w:name w:val="表格-内容"/>
    <w:basedOn w:val="1"/>
    <w:next w:val="1"/>
    <w:qFormat/>
    <w:uiPriority w:val="0"/>
    <w:rPr>
      <w:rFonts w:eastAsia="仿宋"/>
      <w:sz w:val="28"/>
      <w:szCs w:val="22"/>
    </w:rPr>
  </w:style>
  <w:style w:type="character" w:customStyle="1" w:styleId="403">
    <w:name w:val="未处理的提及1"/>
    <w:unhideWhenUsed/>
    <w:qFormat/>
    <w:uiPriority w:val="99"/>
    <w:rPr>
      <w:color w:val="605E5C"/>
      <w:shd w:val="clear" w:color="auto" w:fill="E1DFDD"/>
    </w:rPr>
  </w:style>
  <w:style w:type="paragraph" w:customStyle="1" w:styleId="404">
    <w:name w:val="手册第二级"/>
    <w:basedOn w:val="101"/>
    <w:qFormat/>
    <w:uiPriority w:val="0"/>
    <w:pPr>
      <w:widowControl/>
      <w:tabs>
        <w:tab w:val="left" w:pos="780"/>
        <w:tab w:val="left" w:pos="1021"/>
      </w:tabs>
      <w:ind w:left="1021" w:firstLine="0" w:firstLineChars="0"/>
      <w:jc w:val="left"/>
    </w:pPr>
    <w:rPr>
      <w:rFonts w:ascii="Calibri" w:hAnsi="Calibri" w:eastAsia="仿宋_GB2312"/>
      <w:b/>
      <w:sz w:val="30"/>
      <w:szCs w:val="22"/>
    </w:rPr>
  </w:style>
  <w:style w:type="paragraph" w:customStyle="1" w:styleId="405">
    <w:name w:val="封面落款"/>
    <w:basedOn w:val="1"/>
    <w:qFormat/>
    <w:uiPriority w:val="0"/>
    <w:pPr>
      <w:adjustRightInd w:val="0"/>
      <w:spacing w:line="360" w:lineRule="auto"/>
      <w:jc w:val="center"/>
      <w:textAlignment w:val="baseline"/>
    </w:pPr>
    <w:rPr>
      <w:rFonts w:ascii="仿宋_GB2312"/>
      <w:spacing w:val="10"/>
      <w:kern w:val="0"/>
      <w:sz w:val="30"/>
      <w:szCs w:val="20"/>
    </w:rPr>
  </w:style>
  <w:style w:type="paragraph" w:customStyle="1" w:styleId="406">
    <w:name w:val="表格(五号)"/>
    <w:basedOn w:val="1"/>
    <w:link w:val="413"/>
    <w:qFormat/>
    <w:uiPriority w:val="0"/>
    <w:pPr>
      <w:adjustRightInd w:val="0"/>
      <w:spacing w:before="60" w:after="60"/>
      <w:ind w:left="11" w:firstLine="200" w:firstLineChars="200"/>
      <w:jc w:val="center"/>
    </w:pPr>
    <w:rPr>
      <w:rFonts w:ascii="仿宋_GB2312"/>
      <w:kern w:val="0"/>
      <w:sz w:val="21"/>
      <w:szCs w:val="20"/>
      <w:lang w:val="zh-CN"/>
    </w:rPr>
  </w:style>
  <w:style w:type="paragraph" w:customStyle="1" w:styleId="407">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408">
    <w:name w:val="表格正文"/>
    <w:basedOn w:val="1"/>
    <w:qFormat/>
    <w:uiPriority w:val="0"/>
    <w:pPr>
      <w:adjustRightInd w:val="0"/>
      <w:snapToGrid w:val="0"/>
      <w:spacing w:before="60" w:after="60"/>
      <w:jc w:val="center"/>
      <w:textAlignment w:val="baseline"/>
    </w:pPr>
    <w:rPr>
      <w:rFonts w:ascii="仿宋_GB2312"/>
      <w:kern w:val="0"/>
      <w:szCs w:val="20"/>
    </w:rPr>
  </w:style>
  <w:style w:type="paragraph" w:customStyle="1" w:styleId="409">
    <w:name w:val="表格标题"/>
    <w:basedOn w:val="4"/>
    <w:qFormat/>
    <w:uiPriority w:val="0"/>
    <w:pPr>
      <w:keepNext/>
      <w:keepLines/>
      <w:tabs>
        <w:tab w:val="left" w:pos="6946"/>
        <w:tab w:val="clear" w:pos="900"/>
      </w:tabs>
      <w:spacing w:after="120"/>
      <w:ind w:firstLine="454"/>
      <w:outlineLvl w:val="3"/>
    </w:pPr>
    <w:rPr>
      <w:rFonts w:ascii="仿宋_GB2312"/>
      <w:bCs/>
      <w:color w:val="000000"/>
      <w:kern w:val="0"/>
      <w:sz w:val="30"/>
      <w:szCs w:val="20"/>
    </w:rPr>
  </w:style>
  <w:style w:type="paragraph" w:customStyle="1" w:styleId="410">
    <w:name w:val="目录0"/>
    <w:basedOn w:val="34"/>
    <w:qFormat/>
    <w:uiPriority w:val="0"/>
    <w:pPr>
      <w:widowControl/>
      <w:tabs>
        <w:tab w:val="right" w:leader="middleDot" w:pos="8931"/>
        <w:tab w:val="clear" w:pos="9628"/>
      </w:tabs>
      <w:spacing w:after="0" w:line="360" w:lineRule="auto"/>
      <w:ind w:firstLine="0" w:firstLineChars="0"/>
      <w:jc w:val="center"/>
    </w:pPr>
    <w:rPr>
      <w:b w:val="0"/>
      <w:bCs w:val="0"/>
      <w:kern w:val="0"/>
      <w:sz w:val="32"/>
      <w:szCs w:val="28"/>
    </w:rPr>
  </w:style>
  <w:style w:type="paragraph" w:customStyle="1" w:styleId="411">
    <w:name w:val="表格标题(居中)"/>
    <w:basedOn w:val="1"/>
    <w:qFormat/>
    <w:uiPriority w:val="0"/>
    <w:pPr>
      <w:spacing w:line="264" w:lineRule="auto"/>
      <w:ind w:firstLine="200" w:firstLineChars="200"/>
      <w:jc w:val="center"/>
    </w:pPr>
    <w:rPr>
      <w:rFonts w:ascii="仿宋_GB2312" w:eastAsia="黑体"/>
      <w:szCs w:val="20"/>
    </w:rPr>
  </w:style>
  <w:style w:type="paragraph" w:customStyle="1" w:styleId="412">
    <w:name w:val="插图说明"/>
    <w:basedOn w:val="1"/>
    <w:qFormat/>
    <w:uiPriority w:val="0"/>
    <w:pPr>
      <w:adjustRightInd w:val="0"/>
      <w:spacing w:after="240"/>
      <w:ind w:firstLine="200" w:firstLineChars="200"/>
      <w:jc w:val="center"/>
      <w:textAlignment w:val="baseline"/>
    </w:pPr>
    <w:rPr>
      <w:rFonts w:ascii="仿宋_GB2312" w:eastAsia="黑体"/>
      <w:kern w:val="0"/>
      <w:szCs w:val="20"/>
    </w:rPr>
  </w:style>
  <w:style w:type="character" w:customStyle="1" w:styleId="413">
    <w:name w:val="表格(五号) Char1"/>
    <w:link w:val="406"/>
    <w:qFormat/>
    <w:uiPriority w:val="0"/>
    <w:rPr>
      <w:rFonts w:ascii="仿宋_GB2312"/>
      <w:sz w:val="21"/>
      <w:lang w:val="zh-CN" w:eastAsia="zh-CN"/>
    </w:rPr>
  </w:style>
  <w:style w:type="paragraph" w:customStyle="1" w:styleId="414">
    <w:name w:val="TOC 标题1"/>
    <w:basedOn w:val="2"/>
    <w:next w:val="1"/>
    <w:unhideWhenUsed/>
    <w:qFormat/>
    <w:uiPriority w:val="39"/>
    <w:pPr>
      <w:widowControl/>
      <w:tabs>
        <w:tab w:val="clear" w:pos="360"/>
      </w:tabs>
      <w:adjustRightInd/>
      <w:spacing w:before="240"/>
      <w:jc w:val="left"/>
      <w:textAlignment w:val="auto"/>
      <w:outlineLvl w:val="9"/>
    </w:pPr>
    <w:rPr>
      <w:rFonts w:ascii="Calibri Light" w:hAnsi="Calibri Light" w:eastAsia="仿宋_GB2312"/>
      <w:b w:val="0"/>
      <w:kern w:val="0"/>
      <w:sz w:val="32"/>
      <w:szCs w:val="32"/>
    </w:rPr>
  </w:style>
  <w:style w:type="character" w:customStyle="1" w:styleId="415">
    <w:name w:val="标题 6 字符1"/>
    <w:qFormat/>
    <w:uiPriority w:val="9"/>
    <w:rPr>
      <w:rFonts w:ascii="仿宋_GB2312" w:hAnsi="Times New Roman" w:eastAsia="黑体" w:cs="Times New Roman"/>
      <w:bCs/>
      <w:kern w:val="0"/>
      <w:szCs w:val="24"/>
    </w:rPr>
  </w:style>
  <w:style w:type="paragraph" w:customStyle="1" w:styleId="416">
    <w:name w:val="*正文"/>
    <w:basedOn w:val="1"/>
    <w:link w:val="417"/>
    <w:qFormat/>
    <w:uiPriority w:val="0"/>
    <w:pPr>
      <w:adjustRightInd w:val="0"/>
      <w:snapToGrid w:val="0"/>
      <w:spacing w:line="360" w:lineRule="auto"/>
      <w:ind w:firstLine="482"/>
    </w:pPr>
    <w:rPr>
      <w:rFonts w:ascii="仿宋_GB2312"/>
      <w:kern w:val="0"/>
      <w:szCs w:val="20"/>
      <w:shd w:val="clear" w:color="auto" w:fill="FFFFFF"/>
      <w:lang w:val="zh-CN"/>
    </w:rPr>
  </w:style>
  <w:style w:type="character" w:customStyle="1" w:styleId="417">
    <w:name w:val="*正文 Char"/>
    <w:link w:val="416"/>
    <w:qFormat/>
    <w:uiPriority w:val="0"/>
    <w:rPr>
      <w:rFonts w:ascii="仿宋_GB2312"/>
      <w:sz w:val="24"/>
      <w:lang w:val="zh-CN" w:eastAsia="zh-CN"/>
    </w:rPr>
  </w:style>
  <w:style w:type="character" w:customStyle="1" w:styleId="418">
    <w:name w:val="页脚 Char"/>
    <w:qFormat/>
    <w:uiPriority w:val="99"/>
    <w:rPr>
      <w:rFonts w:ascii="Arial Narrow" w:hAnsi="Arial Narrow" w:cs="Arial"/>
      <w:sz w:val="21"/>
    </w:rPr>
  </w:style>
  <w:style w:type="character" w:customStyle="1" w:styleId="419">
    <w:name w:val="题注 字符1"/>
    <w:link w:val="13"/>
    <w:qFormat/>
    <w:uiPriority w:val="35"/>
    <w:rPr>
      <w:rFonts w:ascii="Arial" w:hAnsi="Arial" w:eastAsia="黑体" w:cs="Arial"/>
      <w:kern w:val="2"/>
    </w:rPr>
  </w:style>
  <w:style w:type="paragraph" w:customStyle="1" w:styleId="420">
    <w:name w:val="插图题注"/>
    <w:basedOn w:val="1"/>
    <w:next w:val="1"/>
    <w:link w:val="421"/>
    <w:qFormat/>
    <w:uiPriority w:val="0"/>
    <w:pPr>
      <w:keepNext/>
      <w:ind w:left="840" w:leftChars="400"/>
      <w:jc w:val="center"/>
    </w:pPr>
    <w:rPr>
      <w:rFonts w:ascii="仿宋_GB2312" w:eastAsia="黑体"/>
      <w:sz w:val="21"/>
      <w:szCs w:val="22"/>
      <w:lang w:val="zh-CN"/>
    </w:rPr>
  </w:style>
  <w:style w:type="character" w:customStyle="1" w:styleId="421">
    <w:name w:val="插图题注 Char"/>
    <w:link w:val="420"/>
    <w:qFormat/>
    <w:uiPriority w:val="0"/>
    <w:rPr>
      <w:rFonts w:ascii="仿宋_GB2312" w:eastAsia="黑体"/>
      <w:kern w:val="2"/>
      <w:sz w:val="21"/>
      <w:szCs w:val="22"/>
      <w:lang w:val="zh-CN" w:eastAsia="zh-CN"/>
    </w:rPr>
  </w:style>
  <w:style w:type="character" w:customStyle="1" w:styleId="422">
    <w:name w:val="正文对齐 Char"/>
    <w:qFormat/>
    <w:uiPriority w:val="0"/>
    <w:rPr>
      <w:rFonts w:ascii="Times New Roman" w:hAnsi="Times New Roman" w:cs="Times New Roman"/>
    </w:rPr>
  </w:style>
  <w:style w:type="paragraph" w:customStyle="1" w:styleId="423">
    <w:name w:val="并列圆点"/>
    <w:basedOn w:val="1"/>
    <w:link w:val="424"/>
    <w:qFormat/>
    <w:uiPriority w:val="0"/>
    <w:pPr>
      <w:numPr>
        <w:ilvl w:val="0"/>
        <w:numId w:val="7"/>
      </w:numPr>
      <w:ind w:firstLine="0"/>
    </w:pPr>
    <w:rPr>
      <w:rFonts w:ascii="仿宋_GB2312"/>
      <w:sz w:val="21"/>
      <w:szCs w:val="22"/>
      <w:lang w:val="zh-CN"/>
    </w:rPr>
  </w:style>
  <w:style w:type="character" w:customStyle="1" w:styleId="424">
    <w:name w:val="并列圆点 Char"/>
    <w:link w:val="423"/>
    <w:qFormat/>
    <w:uiPriority w:val="0"/>
    <w:rPr>
      <w:rFonts w:ascii="仿宋_GB2312" w:hAnsi="Times New Roman"/>
      <w:kern w:val="2"/>
      <w:sz w:val="21"/>
      <w:szCs w:val="22"/>
      <w:lang w:val="zh-CN"/>
    </w:rPr>
  </w:style>
  <w:style w:type="paragraph" w:customStyle="1" w:styleId="425">
    <w:name w:val="插图对齐"/>
    <w:basedOn w:val="1"/>
    <w:next w:val="1"/>
    <w:link w:val="426"/>
    <w:qFormat/>
    <w:uiPriority w:val="0"/>
    <w:pPr>
      <w:ind w:left="840" w:leftChars="400"/>
      <w:jc w:val="center"/>
    </w:pPr>
    <w:rPr>
      <w:rFonts w:ascii="仿宋_GB2312"/>
      <w:sz w:val="21"/>
      <w:szCs w:val="22"/>
      <w:lang w:val="zh-CN"/>
    </w:rPr>
  </w:style>
  <w:style w:type="character" w:customStyle="1" w:styleId="426">
    <w:name w:val="插图对齐 Char"/>
    <w:link w:val="425"/>
    <w:qFormat/>
    <w:uiPriority w:val="0"/>
    <w:rPr>
      <w:rFonts w:ascii="仿宋_GB2312"/>
      <w:kern w:val="2"/>
      <w:sz w:val="21"/>
      <w:szCs w:val="22"/>
      <w:lang w:val="zh-CN" w:eastAsia="zh-CN"/>
    </w:rPr>
  </w:style>
  <w:style w:type="paragraph" w:customStyle="1" w:styleId="427">
    <w:name w:val="Step1"/>
    <w:basedOn w:val="1"/>
    <w:next w:val="1"/>
    <w:link w:val="428"/>
    <w:qFormat/>
    <w:uiPriority w:val="0"/>
    <w:pPr>
      <w:numPr>
        <w:ilvl w:val="0"/>
        <w:numId w:val="8"/>
      </w:numPr>
      <w:ind w:firstLine="0"/>
    </w:pPr>
    <w:rPr>
      <w:rFonts w:ascii="仿宋_GB2312"/>
      <w:sz w:val="21"/>
      <w:szCs w:val="22"/>
      <w:lang w:val="zh-CN"/>
    </w:rPr>
  </w:style>
  <w:style w:type="character" w:customStyle="1" w:styleId="428">
    <w:name w:val="Step1 Char"/>
    <w:link w:val="427"/>
    <w:qFormat/>
    <w:uiPriority w:val="0"/>
    <w:rPr>
      <w:rFonts w:ascii="仿宋_GB2312" w:hAnsi="Times New Roman"/>
      <w:kern w:val="2"/>
      <w:sz w:val="21"/>
      <w:szCs w:val="22"/>
      <w:lang w:val="zh-CN"/>
    </w:rPr>
  </w:style>
  <w:style w:type="paragraph" w:customStyle="1" w:styleId="429">
    <w:name w:val="段落"/>
    <w:basedOn w:val="1"/>
    <w:link w:val="430"/>
    <w:qFormat/>
    <w:uiPriority w:val="0"/>
    <w:pPr>
      <w:adjustRightInd w:val="0"/>
      <w:snapToGrid w:val="0"/>
      <w:spacing w:line="360" w:lineRule="auto"/>
      <w:ind w:firstLine="440" w:firstLineChars="200"/>
    </w:pPr>
    <w:rPr>
      <w:rFonts w:ascii="仿宋_GB2312" w:eastAsia="微软雅黑"/>
      <w:sz w:val="22"/>
      <w:szCs w:val="21"/>
      <w:lang w:val="zh-CN"/>
    </w:rPr>
  </w:style>
  <w:style w:type="character" w:customStyle="1" w:styleId="430">
    <w:name w:val="段落 Char"/>
    <w:link w:val="429"/>
    <w:qFormat/>
    <w:uiPriority w:val="0"/>
    <w:rPr>
      <w:rFonts w:ascii="仿宋_GB2312" w:eastAsia="微软雅黑"/>
      <w:kern w:val="2"/>
      <w:sz w:val="22"/>
      <w:szCs w:val="21"/>
      <w:lang w:val="zh-CN" w:eastAsia="zh-CN"/>
    </w:rPr>
  </w:style>
  <w:style w:type="character" w:customStyle="1" w:styleId="431">
    <w:name w:val="正文文本 字符1"/>
    <w:qFormat/>
    <w:uiPriority w:val="99"/>
    <w:rPr>
      <w:rFonts w:ascii="Times New Roman" w:hAnsi="Times New Roman" w:cs="Times New Roman"/>
      <w:kern w:val="0"/>
      <w:szCs w:val="20"/>
    </w:rPr>
  </w:style>
  <w:style w:type="character" w:customStyle="1" w:styleId="432">
    <w:name w:val="正文文本首行缩进 字符"/>
    <w:link w:val="220"/>
    <w:qFormat/>
    <w:uiPriority w:val="99"/>
    <w:rPr>
      <w:rFonts w:ascii="仿宋_GB2312" w:hAnsi="金山简黑体" w:eastAsia="金山简黑体"/>
      <w:spacing w:val="-8"/>
    </w:rPr>
  </w:style>
  <w:style w:type="paragraph" w:customStyle="1" w:styleId="433">
    <w:name w:val="FC正文"/>
    <w:basedOn w:val="1"/>
    <w:link w:val="434"/>
    <w:qFormat/>
    <w:uiPriority w:val="0"/>
    <w:pPr>
      <w:autoSpaceDE w:val="0"/>
      <w:autoSpaceDN w:val="0"/>
      <w:adjustRightInd w:val="0"/>
      <w:spacing w:line="360" w:lineRule="auto"/>
      <w:ind w:firstLine="560" w:firstLineChars="200"/>
    </w:pPr>
    <w:rPr>
      <w:rFonts w:ascii="Calibri" w:hAnsi="Calibri"/>
      <w:kern w:val="0"/>
      <w:szCs w:val="28"/>
      <w:lang w:val="zh-CN"/>
    </w:rPr>
  </w:style>
  <w:style w:type="character" w:customStyle="1" w:styleId="434">
    <w:name w:val="FC正文 Char"/>
    <w:link w:val="433"/>
    <w:qFormat/>
    <w:uiPriority w:val="0"/>
    <w:rPr>
      <w:rFonts w:ascii="Calibri" w:hAnsi="Calibri"/>
      <w:sz w:val="24"/>
      <w:szCs w:val="28"/>
      <w:lang w:val="zh-CN" w:eastAsia="zh-CN"/>
    </w:rPr>
  </w:style>
  <w:style w:type="character" w:customStyle="1" w:styleId="435">
    <w:name w:val="bjh-p"/>
    <w:qFormat/>
    <w:uiPriority w:val="0"/>
  </w:style>
  <w:style w:type="character" w:customStyle="1" w:styleId="436">
    <w:name w:val="bjh-strong2"/>
    <w:qFormat/>
    <w:uiPriority w:val="0"/>
    <w:rPr>
      <w:b/>
      <w:bCs/>
      <w:color w:val="333333"/>
      <w:sz w:val="27"/>
      <w:szCs w:val="27"/>
    </w:rPr>
  </w:style>
  <w:style w:type="paragraph" w:customStyle="1" w:styleId="437">
    <w:name w:val="GW-正文"/>
    <w:link w:val="438"/>
    <w:qFormat/>
    <w:uiPriority w:val="0"/>
    <w:pPr>
      <w:spacing w:line="300" w:lineRule="auto"/>
      <w:ind w:firstLine="200" w:firstLineChars="200"/>
    </w:pPr>
    <w:rPr>
      <w:rFonts w:ascii="Times New Roman" w:hAnsi="Times New Roman" w:eastAsia="仿宋_GB2312" w:cs="Times New Roman"/>
      <w:kern w:val="2"/>
      <w:sz w:val="24"/>
      <w:szCs w:val="24"/>
      <w:lang w:val="en-US" w:eastAsia="zh-CN" w:bidi="ar-SA"/>
    </w:rPr>
  </w:style>
  <w:style w:type="character" w:customStyle="1" w:styleId="438">
    <w:name w:val="GW-正文 Char"/>
    <w:link w:val="437"/>
    <w:qFormat/>
    <w:uiPriority w:val="0"/>
    <w:rPr>
      <w:rFonts w:eastAsia="仿宋_GB2312"/>
      <w:kern w:val="2"/>
      <w:sz w:val="24"/>
      <w:szCs w:val="24"/>
    </w:rPr>
  </w:style>
  <w:style w:type="paragraph" w:customStyle="1" w:styleId="439">
    <w:name w:val="正文-1"/>
    <w:basedOn w:val="1"/>
    <w:link w:val="440"/>
    <w:qFormat/>
    <w:uiPriority w:val="0"/>
    <w:pPr>
      <w:autoSpaceDE w:val="0"/>
      <w:autoSpaceDN w:val="0"/>
      <w:adjustRightInd w:val="0"/>
      <w:spacing w:before="156" w:after="156" w:line="360" w:lineRule="auto"/>
      <w:ind w:firstLine="420" w:firstLineChars="200"/>
      <w:jc w:val="left"/>
    </w:pPr>
    <w:rPr>
      <w:rFonts w:ascii="宋体" w:hAnsi="宋体"/>
      <w:kern w:val="0"/>
      <w:sz w:val="21"/>
      <w:szCs w:val="21"/>
      <w:lang w:val="zh-CN"/>
    </w:rPr>
  </w:style>
  <w:style w:type="character" w:customStyle="1" w:styleId="440">
    <w:name w:val="正文-1 Char"/>
    <w:link w:val="439"/>
    <w:qFormat/>
    <w:uiPriority w:val="0"/>
    <w:rPr>
      <w:rFonts w:ascii="宋体" w:hAnsi="宋体"/>
      <w:sz w:val="21"/>
      <w:szCs w:val="21"/>
      <w:lang w:val="zh-CN" w:eastAsia="zh-CN"/>
    </w:rPr>
  </w:style>
  <w:style w:type="character" w:customStyle="1" w:styleId="441">
    <w:name w:val="普通(网站) 字符"/>
    <w:link w:val="44"/>
    <w:qFormat/>
    <w:locked/>
    <w:uiPriority w:val="99"/>
    <w:rPr>
      <w:rFonts w:ascii="宋体" w:hAnsi="宋体"/>
      <w:sz w:val="24"/>
      <w:szCs w:val="24"/>
    </w:rPr>
  </w:style>
  <w:style w:type="paragraph" w:customStyle="1" w:styleId="442">
    <w:name w:val="标准正文"/>
    <w:basedOn w:val="1"/>
    <w:link w:val="445"/>
    <w:qFormat/>
    <w:uiPriority w:val="0"/>
    <w:pPr>
      <w:spacing w:line="360" w:lineRule="auto"/>
      <w:ind w:firstLine="560" w:firstLineChars="200"/>
      <w:jc w:val="left"/>
    </w:pPr>
    <w:rPr>
      <w:rFonts w:ascii="仿宋_GB2312"/>
      <w:szCs w:val="20"/>
      <w:lang w:val="zh-CN"/>
    </w:rPr>
  </w:style>
  <w:style w:type="paragraph" w:customStyle="1" w:styleId="443">
    <w:name w:val="GP正文(首行缩进)"/>
    <w:basedOn w:val="1"/>
    <w:qFormat/>
    <w:uiPriority w:val="0"/>
    <w:pPr>
      <w:spacing w:line="360" w:lineRule="auto"/>
      <w:ind w:firstLine="560" w:firstLineChars="200"/>
      <w:jc w:val="left"/>
    </w:pPr>
    <w:rPr>
      <w:rFonts w:ascii="仿宋_GB2312"/>
      <w:szCs w:val="21"/>
    </w:rPr>
  </w:style>
  <w:style w:type="character" w:customStyle="1" w:styleId="444">
    <w:name w:val="样式 首行缩进:  0 字符 Char"/>
    <w:link w:val="95"/>
    <w:qFormat/>
    <w:uiPriority w:val="0"/>
    <w:rPr>
      <w:rFonts w:cs="宋体"/>
      <w:kern w:val="2"/>
      <w:sz w:val="24"/>
    </w:rPr>
  </w:style>
  <w:style w:type="character" w:customStyle="1" w:styleId="445">
    <w:name w:val="标准正文 Char"/>
    <w:link w:val="442"/>
    <w:qFormat/>
    <w:uiPriority w:val="0"/>
    <w:rPr>
      <w:rFonts w:ascii="仿宋_GB2312"/>
      <w:kern w:val="2"/>
      <w:sz w:val="24"/>
      <w:lang w:val="zh-CN" w:eastAsia="zh-CN"/>
    </w:rPr>
  </w:style>
  <w:style w:type="paragraph" w:customStyle="1" w:styleId="446">
    <w:name w:val="列出段落10"/>
    <w:basedOn w:val="1"/>
    <w:qFormat/>
    <w:uiPriority w:val="0"/>
    <w:pPr>
      <w:spacing w:line="360" w:lineRule="auto"/>
      <w:ind w:firstLine="420" w:firstLineChars="200"/>
    </w:pPr>
    <w:rPr>
      <w:rFonts w:ascii="宋体"/>
      <w:szCs w:val="20"/>
    </w:rPr>
  </w:style>
  <w:style w:type="paragraph" w:customStyle="1" w:styleId="447">
    <w:name w:val="列出段落15"/>
    <w:basedOn w:val="1"/>
    <w:qFormat/>
    <w:uiPriority w:val="0"/>
    <w:pPr>
      <w:spacing w:line="360" w:lineRule="auto"/>
      <w:ind w:firstLine="420" w:firstLineChars="200"/>
    </w:pPr>
    <w:rPr>
      <w:rFonts w:ascii="宋体"/>
      <w:szCs w:val="20"/>
    </w:rPr>
  </w:style>
  <w:style w:type="paragraph" w:customStyle="1" w:styleId="448">
    <w:name w:val="表格题注"/>
    <w:basedOn w:val="1"/>
    <w:next w:val="1"/>
    <w:link w:val="451"/>
    <w:qFormat/>
    <w:uiPriority w:val="0"/>
    <w:pPr>
      <w:keepNext/>
      <w:spacing w:line="360" w:lineRule="auto"/>
      <w:ind w:left="1440"/>
      <w:jc w:val="center"/>
    </w:pPr>
    <w:rPr>
      <w:rFonts w:ascii="仿宋_GB2312" w:eastAsia="黑体"/>
      <w:sz w:val="21"/>
      <w:szCs w:val="22"/>
      <w:lang w:val="zh-CN"/>
    </w:rPr>
  </w:style>
  <w:style w:type="paragraph" w:customStyle="1" w:styleId="449">
    <w:name w:val="并列大标题"/>
    <w:basedOn w:val="1"/>
    <w:next w:val="1"/>
    <w:link w:val="450"/>
    <w:qFormat/>
    <w:uiPriority w:val="0"/>
    <w:pPr>
      <w:spacing w:beforeLines="50" w:afterLines="50"/>
    </w:pPr>
    <w:rPr>
      <w:rFonts w:ascii="仿宋_GB2312" w:eastAsia="黑体"/>
      <w:sz w:val="28"/>
      <w:szCs w:val="28"/>
      <w:lang w:val="zh-CN"/>
    </w:rPr>
  </w:style>
  <w:style w:type="character" w:customStyle="1" w:styleId="450">
    <w:name w:val="并列大标题 Char"/>
    <w:link w:val="449"/>
    <w:qFormat/>
    <w:uiPriority w:val="0"/>
    <w:rPr>
      <w:rFonts w:ascii="仿宋_GB2312" w:eastAsia="黑体"/>
      <w:kern w:val="2"/>
      <w:sz w:val="28"/>
      <w:szCs w:val="28"/>
      <w:lang w:val="zh-CN" w:eastAsia="zh-CN"/>
    </w:rPr>
  </w:style>
  <w:style w:type="character" w:customStyle="1" w:styleId="451">
    <w:name w:val="表格题注 Char"/>
    <w:link w:val="448"/>
    <w:qFormat/>
    <w:uiPriority w:val="0"/>
    <w:rPr>
      <w:rFonts w:ascii="仿宋_GB2312" w:eastAsia="黑体"/>
      <w:kern w:val="2"/>
      <w:sz w:val="21"/>
      <w:szCs w:val="22"/>
      <w:lang w:val="zh-CN" w:eastAsia="zh-CN"/>
    </w:rPr>
  </w:style>
  <w:style w:type="paragraph" w:customStyle="1" w:styleId="452">
    <w:name w:val="并列小标题"/>
    <w:basedOn w:val="1"/>
    <w:next w:val="1"/>
    <w:link w:val="453"/>
    <w:qFormat/>
    <w:uiPriority w:val="0"/>
    <w:pPr>
      <w:spacing w:beforeLines="50"/>
    </w:pPr>
    <w:rPr>
      <w:rFonts w:ascii="仿宋_GB2312" w:eastAsia="黑体"/>
      <w:b/>
      <w:sz w:val="21"/>
      <w:szCs w:val="22"/>
      <w:lang w:val="zh-CN"/>
    </w:rPr>
  </w:style>
  <w:style w:type="character" w:customStyle="1" w:styleId="453">
    <w:name w:val="并列小标题 Char"/>
    <w:link w:val="452"/>
    <w:qFormat/>
    <w:uiPriority w:val="0"/>
    <w:rPr>
      <w:rFonts w:ascii="仿宋_GB2312" w:eastAsia="黑体"/>
      <w:b/>
      <w:kern w:val="2"/>
      <w:sz w:val="21"/>
      <w:szCs w:val="22"/>
      <w:lang w:val="zh-CN" w:eastAsia="zh-CN"/>
    </w:rPr>
  </w:style>
  <w:style w:type="paragraph" w:customStyle="1" w:styleId="454">
    <w:name w:val="表头格式"/>
    <w:basedOn w:val="1"/>
    <w:qFormat/>
    <w:uiPriority w:val="0"/>
    <w:rPr>
      <w:rFonts w:ascii="仿宋_GB2312" w:eastAsia="黑体"/>
      <w:sz w:val="21"/>
      <w:szCs w:val="22"/>
    </w:rPr>
  </w:style>
  <w:style w:type="paragraph" w:customStyle="1" w:styleId="455">
    <w:name w:val="修订1"/>
    <w:hidden/>
    <w:semiHidden/>
    <w:qFormat/>
    <w:uiPriority w:val="99"/>
    <w:rPr>
      <w:rFonts w:ascii="Times New Roman" w:hAnsi="Times New Roman" w:eastAsia="宋体" w:cs="Times New Roman"/>
      <w:sz w:val="24"/>
      <w:lang w:val="en-US" w:eastAsia="zh-CN" w:bidi="ar-SA"/>
    </w:rPr>
  </w:style>
  <w:style w:type="paragraph" w:customStyle="1" w:styleId="456">
    <w:name w:val="标题一"/>
    <w:basedOn w:val="2"/>
    <w:link w:val="457"/>
    <w:qFormat/>
    <w:uiPriority w:val="0"/>
    <w:pPr>
      <w:tabs>
        <w:tab w:val="clear" w:pos="360"/>
      </w:tabs>
      <w:spacing w:before="160" w:after="160"/>
      <w:ind w:left="425" w:hanging="425"/>
      <w:jc w:val="left"/>
    </w:pPr>
    <w:rPr>
      <w:rFonts w:ascii="仿宋_GB2312" w:eastAsia="黑体"/>
      <w:b w:val="0"/>
      <w:lang w:val="zh-CN"/>
    </w:rPr>
  </w:style>
  <w:style w:type="character" w:customStyle="1" w:styleId="457">
    <w:name w:val="标题一 字符"/>
    <w:link w:val="456"/>
    <w:qFormat/>
    <w:uiPriority w:val="0"/>
    <w:rPr>
      <w:rFonts w:ascii="仿宋_GB2312" w:eastAsia="黑体"/>
      <w:kern w:val="44"/>
      <w:sz w:val="36"/>
      <w:lang w:val="zh-CN" w:eastAsia="zh-CN"/>
    </w:rPr>
  </w:style>
  <w:style w:type="paragraph" w:customStyle="1" w:styleId="458">
    <w:name w:val="H7"/>
    <w:basedOn w:val="3"/>
    <w:link w:val="460"/>
    <w:qFormat/>
    <w:uiPriority w:val="0"/>
    <w:pPr>
      <w:keepLines/>
      <w:tabs>
        <w:tab w:val="clear" w:pos="3999"/>
      </w:tabs>
      <w:snapToGrid w:val="0"/>
      <w:spacing w:before="160" w:afterLines="0" w:line="360" w:lineRule="auto"/>
      <w:ind w:left="1276" w:hanging="1276"/>
      <w:jc w:val="left"/>
    </w:pPr>
    <w:rPr>
      <w:rFonts w:ascii="仿宋_GB2312" w:eastAsia="黑体"/>
      <w:color w:val="000000"/>
      <w:kern w:val="0"/>
      <w:sz w:val="32"/>
      <w:szCs w:val="20"/>
      <w:lang w:val="zh-CN"/>
    </w:rPr>
  </w:style>
  <w:style w:type="character" w:customStyle="1" w:styleId="459">
    <w:name w:val="题注 字符"/>
    <w:qFormat/>
    <w:uiPriority w:val="0"/>
    <w:rPr>
      <w:rFonts w:ascii="Cambria" w:hAnsi="Cambria" w:eastAsia="华文细黑" w:cs="Times New Roman"/>
      <w:szCs w:val="20"/>
    </w:rPr>
  </w:style>
  <w:style w:type="character" w:customStyle="1" w:styleId="460">
    <w:name w:val="H7 字符"/>
    <w:link w:val="458"/>
    <w:qFormat/>
    <w:uiPriority w:val="0"/>
    <w:rPr>
      <w:rFonts w:ascii="仿宋_GB2312" w:eastAsia="黑体"/>
      <w:b/>
      <w:color w:val="000000"/>
      <w:sz w:val="32"/>
      <w:lang w:val="zh-CN" w:eastAsia="zh-CN"/>
    </w:rPr>
  </w:style>
  <w:style w:type="character" w:customStyle="1" w:styleId="461">
    <w:name w:val="1正文缩进 Char"/>
    <w:link w:val="462"/>
    <w:qFormat/>
    <w:uiPriority w:val="0"/>
    <w:rPr>
      <w:rFonts w:ascii="Arial" w:hAnsi="Arial"/>
      <w:color w:val="0000FF"/>
      <w:szCs w:val="24"/>
    </w:rPr>
  </w:style>
  <w:style w:type="paragraph" w:customStyle="1" w:styleId="462">
    <w:name w:val="1正文缩进"/>
    <w:basedOn w:val="1"/>
    <w:link w:val="461"/>
    <w:qFormat/>
    <w:uiPriority w:val="0"/>
    <w:pPr>
      <w:spacing w:line="360" w:lineRule="auto"/>
      <w:ind w:left="420" w:leftChars="200" w:firstLine="560" w:firstLineChars="200"/>
    </w:pPr>
    <w:rPr>
      <w:rFonts w:ascii="Arial" w:hAnsi="Arial"/>
      <w:color w:val="0000FF"/>
      <w:kern w:val="0"/>
      <w:sz w:val="20"/>
    </w:rPr>
  </w:style>
  <w:style w:type="paragraph" w:customStyle="1" w:styleId="463">
    <w:name w:val="(1)数字列表"/>
    <w:basedOn w:val="1"/>
    <w:qFormat/>
    <w:uiPriority w:val="0"/>
    <w:rPr>
      <w:rFonts w:ascii="仿宋_GB2312" w:eastAsia="仿宋_GB2312"/>
      <w:sz w:val="28"/>
      <w:szCs w:val="20"/>
    </w:rPr>
  </w:style>
  <w:style w:type="paragraph" w:customStyle="1" w:styleId="464">
    <w:name w:val="1)数字列表"/>
    <w:basedOn w:val="1"/>
    <w:qFormat/>
    <w:uiPriority w:val="0"/>
    <w:pPr>
      <w:spacing w:line="360" w:lineRule="auto"/>
    </w:pPr>
    <w:rPr>
      <w:rFonts w:ascii="仿宋_GB2312" w:eastAsia="仿宋_GB2312"/>
      <w:sz w:val="28"/>
      <w:szCs w:val="20"/>
    </w:rPr>
  </w:style>
  <w:style w:type="paragraph" w:customStyle="1" w:styleId="465">
    <w:name w:val="前言、引言标题"/>
    <w:next w:val="1"/>
    <w:qFormat/>
    <w:uiPriority w:val="0"/>
    <w:pPr>
      <w:shd w:val="clear" w:color="FFFFFF" w:fill="FFFFFF"/>
      <w:tabs>
        <w:tab w:val="left" w:pos="1155"/>
      </w:tabs>
      <w:spacing w:before="640" w:after="560"/>
      <w:ind w:left="1155" w:hanging="735"/>
      <w:jc w:val="center"/>
      <w:outlineLvl w:val="0"/>
    </w:pPr>
    <w:rPr>
      <w:rFonts w:ascii="黑体" w:hAnsi="Times New Roman" w:eastAsia="黑体" w:cs="Times New Roman"/>
      <w:sz w:val="32"/>
      <w:lang w:val="en-US" w:eastAsia="zh-CN" w:bidi="ar-SA"/>
    </w:rPr>
  </w:style>
  <w:style w:type="paragraph" w:customStyle="1" w:styleId="466">
    <w:name w:val="章标题"/>
    <w:next w:val="1"/>
    <w:qFormat/>
    <w:uiPriority w:val="0"/>
    <w:pPr>
      <w:tabs>
        <w:tab w:val="left" w:pos="1260"/>
      </w:tabs>
      <w:spacing w:beforeLines="50" w:afterLines="50"/>
      <w:ind w:left="1260" w:hanging="420"/>
      <w:jc w:val="both"/>
      <w:outlineLvl w:val="1"/>
    </w:pPr>
    <w:rPr>
      <w:rFonts w:ascii="黑体" w:hAnsi="Times New Roman" w:eastAsia="黑体" w:cs="Times New Roman"/>
      <w:sz w:val="21"/>
      <w:lang w:val="en-US" w:eastAsia="zh-CN" w:bidi="ar-SA"/>
    </w:rPr>
  </w:style>
  <w:style w:type="paragraph" w:customStyle="1" w:styleId="467">
    <w:name w:val="二级条标题"/>
    <w:basedOn w:val="176"/>
    <w:next w:val="1"/>
    <w:qFormat/>
    <w:uiPriority w:val="0"/>
    <w:pPr>
      <w:numPr>
        <w:ilvl w:val="0"/>
        <w:numId w:val="0"/>
      </w:numPr>
      <w:tabs>
        <w:tab w:val="left" w:pos="2100"/>
      </w:tabs>
      <w:spacing w:beforeLines="0" w:afterLines="0"/>
      <w:ind w:left="2100" w:hanging="420"/>
      <w:outlineLvl w:val="3"/>
    </w:pPr>
    <w:rPr>
      <w:rFonts w:ascii="Times New Roman"/>
      <w:szCs w:val="20"/>
    </w:rPr>
  </w:style>
  <w:style w:type="paragraph" w:customStyle="1" w:styleId="468">
    <w:name w:val="实施日期"/>
    <w:basedOn w:val="1"/>
    <w:qFormat/>
    <w:uiPriority w:val="0"/>
    <w:pPr>
      <w:framePr w:w="4000" w:h="473" w:hRule="exact" w:vSpace="180" w:wrap="around" w:vAnchor="margin" w:hAnchor="margin" w:xAlign="right" w:y="13511" w:anchorLock="1"/>
      <w:widowControl/>
      <w:tabs>
        <w:tab w:val="left" w:pos="2520"/>
      </w:tabs>
      <w:ind w:left="2520"/>
      <w:jc w:val="right"/>
    </w:pPr>
    <w:rPr>
      <w:rFonts w:ascii="仿宋_GB2312" w:eastAsia="黑体"/>
      <w:kern w:val="0"/>
      <w:sz w:val="28"/>
      <w:szCs w:val="20"/>
    </w:rPr>
  </w:style>
  <w:style w:type="paragraph" w:customStyle="1" w:styleId="469">
    <w:name w:val="图表脚注"/>
    <w:next w:val="1"/>
    <w:qFormat/>
    <w:uiPriority w:val="0"/>
    <w:pPr>
      <w:tabs>
        <w:tab w:val="left" w:pos="2940"/>
      </w:tabs>
      <w:ind w:left="300" w:leftChars="200" w:hanging="100" w:hangingChars="100"/>
      <w:jc w:val="both"/>
    </w:pPr>
    <w:rPr>
      <w:rFonts w:ascii="宋体" w:hAnsi="Times New Roman" w:eastAsia="宋体" w:cs="Times New Roman"/>
      <w:sz w:val="18"/>
      <w:lang w:val="en-US" w:eastAsia="zh-CN" w:bidi="ar-SA"/>
    </w:rPr>
  </w:style>
  <w:style w:type="character" w:customStyle="1" w:styleId="470">
    <w:name w:val="编号，小四 Char"/>
    <w:link w:val="471"/>
    <w:qFormat/>
    <w:locked/>
    <w:uiPriority w:val="0"/>
    <w:rPr>
      <w:rFonts w:ascii="Arial" w:hAnsi="Arial"/>
      <w:lang w:val="zh-CN"/>
    </w:rPr>
  </w:style>
  <w:style w:type="paragraph" w:customStyle="1" w:styleId="471">
    <w:name w:val="编号，小四"/>
    <w:basedOn w:val="1"/>
    <w:link w:val="470"/>
    <w:qFormat/>
    <w:uiPriority w:val="0"/>
    <w:pPr>
      <w:numPr>
        <w:ilvl w:val="0"/>
        <w:numId w:val="9"/>
      </w:numPr>
      <w:spacing w:line="360" w:lineRule="auto"/>
    </w:pPr>
    <w:rPr>
      <w:rFonts w:ascii="Arial" w:hAnsi="Arial"/>
      <w:kern w:val="0"/>
      <w:sz w:val="20"/>
      <w:szCs w:val="20"/>
      <w:lang w:val="zh-CN"/>
    </w:rPr>
  </w:style>
  <w:style w:type="paragraph" w:customStyle="1" w:styleId="472">
    <w:name w:val="三级"/>
    <w:basedOn w:val="4"/>
    <w:qFormat/>
    <w:uiPriority w:val="0"/>
    <w:pPr>
      <w:keepNext/>
      <w:keepLines/>
      <w:tabs>
        <w:tab w:val="left" w:pos="851"/>
        <w:tab w:val="left" w:pos="1740"/>
        <w:tab w:val="clear" w:pos="900"/>
      </w:tabs>
      <w:adjustRightInd/>
      <w:spacing w:before="240" w:after="240"/>
      <w:ind w:left="1740" w:firstLine="480"/>
      <w:textAlignment w:val="auto"/>
    </w:pPr>
    <w:rPr>
      <w:rFonts w:ascii="仿宋" w:hAnsi="仿宋" w:eastAsia="仿宋"/>
      <w:b w:val="0"/>
      <w:bCs/>
      <w:color w:val="000000"/>
      <w:sz w:val="32"/>
      <w:szCs w:val="32"/>
    </w:rPr>
  </w:style>
  <w:style w:type="paragraph" w:customStyle="1" w:styleId="473">
    <w:name w:val="图注"/>
    <w:basedOn w:val="13"/>
    <w:link w:val="474"/>
    <w:qFormat/>
    <w:uiPriority w:val="0"/>
    <w:pPr>
      <w:ind w:firstLine="0" w:firstLineChars="0"/>
      <w:jc w:val="center"/>
    </w:pPr>
    <w:rPr>
      <w:rFonts w:ascii="Cambria" w:hAnsi="Cambria" w:cs="Times New Roman"/>
      <w:b/>
      <w:sz w:val="21"/>
      <w:lang w:val="zh-CN"/>
    </w:rPr>
  </w:style>
  <w:style w:type="character" w:customStyle="1" w:styleId="474">
    <w:name w:val="图注 字符"/>
    <w:link w:val="473"/>
    <w:qFormat/>
    <w:uiPriority w:val="0"/>
    <w:rPr>
      <w:rFonts w:ascii="Cambria" w:hAnsi="Cambria" w:eastAsia="黑体"/>
      <w:b/>
      <w:kern w:val="2"/>
      <w:sz w:val="21"/>
      <w:lang w:val="zh-CN" w:eastAsia="zh-CN"/>
    </w:rPr>
  </w:style>
  <w:style w:type="character" w:customStyle="1" w:styleId="475">
    <w:name w:val="未处理的提及11"/>
    <w:semiHidden/>
    <w:unhideWhenUsed/>
    <w:qFormat/>
    <w:uiPriority w:val="99"/>
    <w:rPr>
      <w:color w:val="605E5C"/>
      <w:shd w:val="clear" w:color="auto" w:fill="E1DFDD"/>
    </w:rPr>
  </w:style>
  <w:style w:type="paragraph" w:customStyle="1" w:styleId="476">
    <w:name w:val="a 正文"/>
    <w:basedOn w:val="1"/>
    <w:link w:val="477"/>
    <w:qFormat/>
    <w:uiPriority w:val="0"/>
    <w:pPr>
      <w:spacing w:line="360" w:lineRule="auto"/>
      <w:ind w:firstLine="200" w:firstLineChars="200"/>
    </w:pPr>
    <w:rPr>
      <w:rFonts w:ascii="宋体" w:hAnsi="宋体"/>
      <w:lang w:val="zh-CN"/>
    </w:rPr>
  </w:style>
  <w:style w:type="character" w:customStyle="1" w:styleId="477">
    <w:name w:val="a 正文 Char"/>
    <w:link w:val="476"/>
    <w:qFormat/>
    <w:uiPriority w:val="0"/>
    <w:rPr>
      <w:rFonts w:ascii="宋体" w:hAnsi="宋体"/>
      <w:kern w:val="2"/>
      <w:sz w:val="24"/>
      <w:szCs w:val="24"/>
      <w:lang w:val="zh-CN" w:eastAsia="zh-CN"/>
    </w:rPr>
  </w:style>
  <w:style w:type="character" w:customStyle="1" w:styleId="478">
    <w:name w:val="标题 4 字符1"/>
    <w:qFormat/>
    <w:locked/>
    <w:uiPriority w:val="9"/>
    <w:rPr>
      <w:rFonts w:ascii="Arial" w:hAnsi="Arial" w:eastAsia="黑体"/>
      <w:sz w:val="28"/>
      <w:lang w:val="zh-CN" w:eastAsia="zh-CN"/>
    </w:rPr>
  </w:style>
  <w:style w:type="paragraph" w:customStyle="1" w:styleId="479">
    <w:name w:val="msonormal"/>
    <w:basedOn w:val="1"/>
    <w:qFormat/>
    <w:uiPriority w:val="0"/>
    <w:pPr>
      <w:widowControl/>
      <w:spacing w:before="100" w:beforeAutospacing="1" w:after="100" w:afterAutospacing="1"/>
      <w:jc w:val="left"/>
    </w:pPr>
    <w:rPr>
      <w:rFonts w:ascii="宋体" w:hAnsi="宋体" w:cs="宋体"/>
      <w:kern w:val="0"/>
    </w:rPr>
  </w:style>
  <w:style w:type="paragraph" w:customStyle="1" w:styleId="480">
    <w:name w:val="样式 样式 标题 31.1.1.标题 3H3Bold Headbhh3Heading 3 - oldLevel 3 He... ..."/>
    <w:basedOn w:val="1"/>
    <w:next w:val="1"/>
    <w:qFormat/>
    <w:uiPriority w:val="0"/>
    <w:pPr>
      <w:widowControl/>
      <w:tabs>
        <w:tab w:val="left" w:pos="0"/>
      </w:tabs>
      <w:snapToGrid w:val="0"/>
      <w:spacing w:before="120" w:line="360" w:lineRule="auto"/>
      <w:jc w:val="left"/>
      <w:outlineLvl w:val="2"/>
    </w:pPr>
    <w:rPr>
      <w:rFonts w:ascii="宋体" w:eastAsia="黑体"/>
      <w:kern w:val="0"/>
    </w:rPr>
  </w:style>
  <w:style w:type="character" w:customStyle="1" w:styleId="481">
    <w:name w:val="正文缩进(ALT+Z) Char"/>
    <w:link w:val="482"/>
    <w:qFormat/>
    <w:uiPriority w:val="0"/>
    <w:rPr>
      <w:sz w:val="24"/>
      <w:szCs w:val="24"/>
    </w:rPr>
  </w:style>
  <w:style w:type="paragraph" w:customStyle="1" w:styleId="482">
    <w:name w:val="正文缩进(ALT+Z)"/>
    <w:basedOn w:val="1"/>
    <w:link w:val="481"/>
    <w:qFormat/>
    <w:uiPriority w:val="0"/>
    <w:pPr>
      <w:spacing w:line="360" w:lineRule="auto"/>
      <w:ind w:firstLine="200" w:firstLineChars="200"/>
    </w:pPr>
    <w:rPr>
      <w:kern w:val="0"/>
    </w:rPr>
  </w:style>
  <w:style w:type="character" w:customStyle="1" w:styleId="483">
    <w:name w:val="正文缩进 Char"/>
    <w:qFormat/>
    <w:uiPriority w:val="0"/>
    <w:rPr>
      <w:rFonts w:ascii="Calibri" w:hAnsi="Calibri"/>
      <w:sz w:val="24"/>
      <w:szCs w:val="21"/>
    </w:rPr>
  </w:style>
  <w:style w:type="character" w:customStyle="1" w:styleId="484">
    <w:name w:val="正文首行缩进 字符1"/>
    <w:basedOn w:val="184"/>
    <w:qFormat/>
    <w:uiPriority w:val="0"/>
    <w:rPr>
      <w:rFonts w:ascii="金山简黑体" w:hAnsi="金山简黑体" w:eastAsia="金山简黑体" w:cs="Times New Roman"/>
      <w:spacing w:val="-8"/>
      <w:kern w:val="2"/>
      <w:sz w:val="44"/>
      <w:szCs w:val="20"/>
      <w:lang w:val="zh-CN" w:eastAsia="zh-CN"/>
    </w:rPr>
  </w:style>
  <w:style w:type="paragraph" w:customStyle="1" w:styleId="485">
    <w:name w:val="Body text|1"/>
    <w:basedOn w:val="1"/>
    <w:qFormat/>
    <w:uiPriority w:val="99"/>
    <w:pPr>
      <w:spacing w:line="480" w:lineRule="auto"/>
    </w:pPr>
    <w:rPr>
      <w:rFonts w:ascii="宋体" w:hAnsi="宋体" w:cs="宋体"/>
      <w:sz w:val="22"/>
      <w:szCs w:val="22"/>
      <w:lang w:val="zh-TW" w:eastAsia="zh-TW"/>
    </w:rPr>
  </w:style>
  <w:style w:type="paragraph" w:customStyle="1" w:styleId="486">
    <w:name w:val="UserStyle_3"/>
    <w:basedOn w:val="1"/>
    <w:qFormat/>
    <w:uiPriority w:val="0"/>
    <w:pPr>
      <w:widowControl/>
      <w:spacing w:line="393" w:lineRule="auto"/>
      <w:ind w:firstLine="400"/>
    </w:pPr>
    <w:rPr>
      <w:rFonts w:ascii="宋体" w:hAnsi="宋体"/>
      <w:color w:val="000000"/>
      <w:sz w:val="30"/>
      <w:szCs w:val="30"/>
      <w:lang w:val="zh-TW" w:eastAsia="zh-TW" w:bidi="zh-TW"/>
    </w:rPr>
  </w:style>
  <w:style w:type="character" w:customStyle="1" w:styleId="487">
    <w:name w:val="未处理的提及2"/>
    <w:basedOn w:val="52"/>
    <w:unhideWhenUsed/>
    <w:qFormat/>
    <w:uiPriority w:val="99"/>
    <w:rPr>
      <w:color w:val="605E5C"/>
      <w:shd w:val="clear" w:color="auto" w:fill="E1DFDD"/>
    </w:rPr>
  </w:style>
  <w:style w:type="paragraph" w:customStyle="1" w:styleId="488">
    <w:name w:val="章节标题"/>
    <w:basedOn w:val="466"/>
    <w:next w:val="466"/>
    <w:qFormat/>
    <w:uiPriority w:val="0"/>
    <w:pPr>
      <w:autoSpaceDE w:val="0"/>
      <w:autoSpaceDN w:val="0"/>
      <w:spacing w:beforeLines="0" w:afterLines="0" w:line="360" w:lineRule="auto"/>
      <w:ind w:left="0" w:firstLine="0"/>
      <w:jc w:val="center"/>
      <w:outlineLvl w:val="0"/>
    </w:pPr>
    <w:rPr>
      <w:rFonts w:asciiTheme="minorEastAsia" w:hAnsiTheme="minorEastAsia"/>
      <w:b/>
      <w:bCs/>
      <w:sz w:val="36"/>
    </w:rPr>
  </w:style>
  <w:style w:type="character" w:customStyle="1" w:styleId="489">
    <w:name w:val="未处理的提及3"/>
    <w:basedOn w:val="52"/>
    <w:semiHidden/>
    <w:unhideWhenUsed/>
    <w:qFormat/>
    <w:uiPriority w:val="99"/>
    <w:rPr>
      <w:color w:val="605E5C"/>
      <w:shd w:val="clear" w:color="auto" w:fill="E1DFDD"/>
    </w:rPr>
  </w:style>
  <w:style w:type="character" w:customStyle="1" w:styleId="490">
    <w:name w:val="未处理的提及4"/>
    <w:basedOn w:val="52"/>
    <w:semiHidden/>
    <w:unhideWhenUsed/>
    <w:qFormat/>
    <w:uiPriority w:val="99"/>
    <w:rPr>
      <w:color w:val="605E5C"/>
      <w:shd w:val="clear" w:color="auto" w:fill="E1DFDD"/>
    </w:rPr>
  </w:style>
  <w:style w:type="paragraph" w:customStyle="1" w:styleId="491">
    <w:name w:val="列表段落3"/>
    <w:basedOn w:val="1"/>
    <w:qFormat/>
    <w:uiPriority w:val="0"/>
    <w:pPr>
      <w:ind w:firstLine="420" w:firstLineChars="200"/>
    </w:pPr>
    <w:rPr>
      <w:rFonts w:ascii="Calibri" w:hAnsi="Calibri"/>
    </w:rPr>
  </w:style>
  <w:style w:type="character" w:customStyle="1" w:styleId="492">
    <w:name w:val="未处理的提及5"/>
    <w:basedOn w:val="52"/>
    <w:semiHidden/>
    <w:unhideWhenUsed/>
    <w:qFormat/>
    <w:uiPriority w:val="99"/>
    <w:rPr>
      <w:color w:val="605E5C"/>
      <w:shd w:val="clear" w:color="auto" w:fill="E1DFDD"/>
    </w:rPr>
  </w:style>
  <w:style w:type="paragraph" w:customStyle="1" w:styleId="49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94">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495">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496">
    <w:name w:val="格式1"/>
    <w:basedOn w:val="1"/>
    <w:autoRedefine/>
    <w:qFormat/>
    <w:uiPriority w:val="0"/>
    <w:pPr>
      <w:widowControl/>
      <w:numPr>
        <w:ilvl w:val="0"/>
        <w:numId w:val="10"/>
      </w:numPr>
      <w:jc w:val="left"/>
      <w:outlineLvl w:val="0"/>
    </w:pPr>
    <w:rPr>
      <w:rFonts w:ascii="仿宋" w:hAnsi="仿宋" w:eastAsia="方正小标宋简体" w:cs="Calibri"/>
      <w:b/>
      <w:kern w:val="0"/>
      <w:sz w:val="32"/>
      <w:szCs w:val="21"/>
    </w:rPr>
  </w:style>
  <w:style w:type="table" w:customStyle="1" w:styleId="497">
    <w:name w:val="网格型2"/>
    <w:basedOn w:val="49"/>
    <w:qFormat/>
    <w:uiPriority w:val="99"/>
    <w:pPr>
      <w:widowControl w:val="0"/>
      <w:jc w:val="both"/>
    </w:pPr>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8">
    <w:name w:val="网格型3"/>
    <w:basedOn w:val="49"/>
    <w:qFormat/>
    <w:uiPriority w:val="99"/>
    <w:pPr>
      <w:widowControl w:val="0"/>
      <w:jc w:val="both"/>
    </w:pPr>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9">
    <w:name w:val="Table Normal"/>
    <w:unhideWhenUsed/>
    <w:qFormat/>
    <w:uiPriority w:val="0"/>
    <w:tblPr>
      <w:tblCellMar>
        <w:top w:w="0" w:type="dxa"/>
        <w:left w:w="0" w:type="dxa"/>
        <w:bottom w:w="0" w:type="dxa"/>
        <w:right w:w="0" w:type="dxa"/>
      </w:tblCellMar>
    </w:tblPr>
  </w:style>
  <w:style w:type="paragraph" w:customStyle="1" w:styleId="500">
    <w:name w:val="Table Text"/>
    <w:basedOn w:val="1"/>
    <w:semiHidden/>
    <w:qFormat/>
    <w:uiPriority w:val="0"/>
    <w:rPr>
      <w:rFonts w:ascii="仿宋" w:hAnsi="仿宋" w:eastAsia="仿宋" w:cs="仿宋"/>
      <w:lang w:eastAsia="en-US"/>
    </w:rPr>
  </w:style>
  <w:style w:type="character" w:customStyle="1" w:styleId="501">
    <w:name w:val="未处理的提及6"/>
    <w:basedOn w:val="52"/>
    <w:semiHidden/>
    <w:unhideWhenUsed/>
    <w:qFormat/>
    <w:uiPriority w:val="99"/>
    <w:rPr>
      <w:color w:val="605E5C"/>
      <w:shd w:val="clear" w:color="auto" w:fill="E1DFDD"/>
    </w:rPr>
  </w:style>
  <w:style w:type="character" w:customStyle="1" w:styleId="502">
    <w:name w:val="未处理的提及7"/>
    <w:basedOn w:val="52"/>
    <w:semiHidden/>
    <w:unhideWhenUsed/>
    <w:qFormat/>
    <w:uiPriority w:val="99"/>
    <w:rPr>
      <w:color w:val="605E5C"/>
      <w:shd w:val="clear" w:color="auto" w:fill="E1DFDD"/>
    </w:rPr>
  </w:style>
  <w:style w:type="table" w:customStyle="1" w:styleId="503">
    <w:name w:val="网格表 4 - 着色 51"/>
    <w:basedOn w:val="49"/>
    <w:qFormat/>
    <w:uiPriority w:val="49"/>
    <w:tblPr>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color w:val="FFFFFF" w:themeColor="background1"/>
        <w14:textFill>
          <w14:solidFill>
            <w14:schemeClr w14:val="bg1"/>
          </w14:solidFill>
        </w14:textFill>
      </w:rPr>
      <w:tcPr>
        <w:tcBorders>
          <w:top w:val="single" w:color="4BACC6" w:themeColor="accent5" w:sz="4" w:space="0"/>
          <w:left w:val="single" w:color="4BACC6" w:themeColor="accent5" w:sz="4" w:space="0"/>
          <w:bottom w:val="single" w:color="4BACC6" w:themeColor="accent5" w:sz="4" w:space="0"/>
          <w:right w:val="single" w:color="4BACC6" w:themeColor="accent5" w:sz="4" w:space="0"/>
          <w:insideH w:val="nil"/>
          <w:insideV w:val="nil"/>
        </w:tcBorders>
        <w:shd w:val="clear" w:color="auto" w:fill="4BACC6" w:themeFill="accent5"/>
      </w:tcPr>
    </w:tblStylePr>
    <w:tblStylePr w:type="lastRow">
      <w:rPr>
        <w:b/>
        <w:bCs/>
      </w:rPr>
      <w:tcPr>
        <w:tcBorders>
          <w:top w:val="double" w:color="4BACC6" w:themeColor="accent5" w:sz="4" w:space="0"/>
        </w:tcBorders>
      </w:tc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character" w:customStyle="1" w:styleId="504">
    <w:name w:val="未处理的提及8"/>
    <w:basedOn w:val="52"/>
    <w:semiHidden/>
    <w:unhideWhenUsed/>
    <w:qFormat/>
    <w:uiPriority w:val="99"/>
    <w:rPr>
      <w:color w:val="605E5C"/>
      <w:shd w:val="clear" w:color="auto" w:fill="E1DFDD"/>
    </w:rPr>
  </w:style>
  <w:style w:type="character" w:customStyle="1" w:styleId="505">
    <w:name w:val="未处理的提及9"/>
    <w:basedOn w:val="52"/>
    <w:semiHidden/>
    <w:unhideWhenUsed/>
    <w:qFormat/>
    <w:uiPriority w:val="99"/>
    <w:rPr>
      <w:color w:val="605E5C"/>
      <w:shd w:val="clear" w:color="auto" w:fill="E1DFDD"/>
    </w:rPr>
  </w:style>
  <w:style w:type="character" w:customStyle="1" w:styleId="506">
    <w:name w:val="未处理的提及10"/>
    <w:basedOn w:val="52"/>
    <w:semiHidden/>
    <w:unhideWhenUsed/>
    <w:qFormat/>
    <w:uiPriority w:val="99"/>
    <w:rPr>
      <w:color w:val="605E5C"/>
      <w:shd w:val="clear" w:color="auto" w:fill="E1DFDD"/>
    </w:rPr>
  </w:style>
  <w:style w:type="table" w:customStyle="1" w:styleId="507">
    <w:name w:val="网格型4"/>
    <w:basedOn w:val="49"/>
    <w:qFormat/>
    <w:uiPriority w:val="0"/>
    <w:pPr>
      <w:widowControl w:val="0"/>
      <w:jc w:val="both"/>
    </w:pPr>
    <w:rPr>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8">
    <w:name w:val="正文首行缩进1"/>
    <w:basedOn w:val="19"/>
    <w:qFormat/>
    <w:uiPriority w:val="0"/>
    <w:pPr>
      <w:spacing w:before="100" w:beforeAutospacing="1" w:after="120"/>
      <w:ind w:firstLine="420" w:firstLineChars="100"/>
    </w:pPr>
    <w:rPr>
      <w:rFonts w:ascii="Times New Roman" w:hAnsi="Times New Roman" w:eastAsia="宋体"/>
      <w:bCs/>
      <w:spacing w:val="0"/>
      <w:kern w:val="44"/>
      <w:sz w:val="52"/>
      <w:szCs w:val="52"/>
    </w:rPr>
  </w:style>
  <w:style w:type="character" w:customStyle="1" w:styleId="509">
    <w:name w:val="未处理的提及12"/>
    <w:basedOn w:val="52"/>
    <w:semiHidden/>
    <w:unhideWhenUsed/>
    <w:qFormat/>
    <w:uiPriority w:val="99"/>
    <w:rPr>
      <w:color w:val="605E5C"/>
      <w:shd w:val="clear" w:color="auto" w:fill="E1DFDD"/>
    </w:rPr>
  </w:style>
  <w:style w:type="character" w:customStyle="1" w:styleId="510">
    <w:name w:val="未处理的提及13"/>
    <w:basedOn w:val="52"/>
    <w:semiHidden/>
    <w:unhideWhenUsed/>
    <w:qFormat/>
    <w:uiPriority w:val="99"/>
    <w:rPr>
      <w:color w:val="605E5C"/>
      <w:shd w:val="clear" w:color="auto" w:fill="E1DFDD"/>
    </w:rPr>
  </w:style>
  <w:style w:type="character" w:customStyle="1" w:styleId="511">
    <w:name w:val="op-map-singlepoint-info-right"/>
    <w:qFormat/>
    <w:uiPriority w:val="0"/>
  </w:style>
  <w:style w:type="character" w:customStyle="1" w:styleId="512">
    <w:name w:val="正文文本缩进 Char"/>
    <w:qFormat/>
    <w:uiPriority w:val="0"/>
    <w:rPr>
      <w:rFonts w:hint="eastAsia" w:ascii="宋体" w:hAnsi="宋体" w:eastAsia="宋体" w:cs="宋体"/>
      <w:spacing w:val="-4"/>
      <w:kern w:val="2"/>
      <w:sz w:val="18"/>
    </w:rPr>
  </w:style>
  <w:style w:type="character" w:customStyle="1" w:styleId="513">
    <w:name w:val="标题 2 字符2"/>
    <w:qFormat/>
    <w:uiPriority w:val="0"/>
    <w:rPr>
      <w:rFonts w:ascii="Calibri" w:hAnsi="Calibri"/>
      <w:b/>
      <w:kern w:val="2"/>
      <w:sz w:val="30"/>
      <w:szCs w:val="24"/>
    </w:rPr>
  </w:style>
  <w:style w:type="character" w:customStyle="1" w:styleId="514">
    <w:name w:val="标题 7 字符1"/>
    <w:qFormat/>
    <w:uiPriority w:val="0"/>
    <w:rPr>
      <w:rFonts w:ascii="Calibri" w:hAnsi="Calibri" w:cs="Calibri"/>
      <w:b/>
      <w:bCs/>
      <w:kern w:val="2"/>
      <w:sz w:val="24"/>
      <w:szCs w:val="24"/>
    </w:rPr>
  </w:style>
  <w:style w:type="character" w:customStyle="1" w:styleId="515">
    <w:name w:val="纯文本 字符4"/>
    <w:qFormat/>
    <w:uiPriority w:val="0"/>
    <w:rPr>
      <w:rFonts w:ascii="宋体" w:eastAsia="宋体"/>
    </w:rPr>
  </w:style>
  <w:style w:type="character" w:customStyle="1" w:styleId="516">
    <w:name w:val="页脚 字符2"/>
    <w:qFormat/>
    <w:uiPriority w:val="99"/>
    <w:rPr>
      <w:rFonts w:ascii="宋体"/>
      <w:sz w:val="18"/>
    </w:rPr>
  </w:style>
  <w:style w:type="character" w:customStyle="1" w:styleId="517">
    <w:name w:val="正文文本缩进 2 字符1"/>
    <w:basedOn w:val="52"/>
    <w:qFormat/>
    <w:uiPriority w:val="99"/>
    <w:rPr>
      <w:rFonts w:ascii="Calibri" w:hAnsi="Calibri" w:eastAsia="宋体" w:cs="Times New Roman"/>
      <w:kern w:val="2"/>
      <w:sz w:val="21"/>
      <w:szCs w:val="24"/>
    </w:rPr>
  </w:style>
  <w:style w:type="character" w:customStyle="1" w:styleId="518">
    <w:name w:val="批注文字 字符2"/>
    <w:basedOn w:val="52"/>
    <w:qFormat/>
    <w:uiPriority w:val="0"/>
    <w:rPr>
      <w:rFonts w:ascii="Calibri" w:hAnsi="Calibri" w:eastAsia="宋体" w:cs="Times New Roman"/>
      <w:kern w:val="2"/>
      <w:sz w:val="21"/>
      <w:szCs w:val="24"/>
    </w:rPr>
  </w:style>
  <w:style w:type="character" w:customStyle="1" w:styleId="519">
    <w:name w:val="正文首行缩进 2 字符1"/>
    <w:basedOn w:val="226"/>
    <w:qFormat/>
    <w:uiPriority w:val="0"/>
    <w:rPr>
      <w:rFonts w:ascii="Calibri" w:hAnsi="Calibri" w:eastAsia="宋体" w:cs="Times New Roman"/>
      <w:kern w:val="2"/>
      <w:sz w:val="21"/>
      <w:szCs w:val="24"/>
    </w:rPr>
  </w:style>
  <w:style w:type="character" w:customStyle="1" w:styleId="520">
    <w:name w:val="正文文本缩进 3 字符1"/>
    <w:basedOn w:val="52"/>
    <w:qFormat/>
    <w:uiPriority w:val="0"/>
    <w:rPr>
      <w:rFonts w:ascii="Calibri" w:hAnsi="Calibri" w:eastAsia="宋体" w:cs="Times New Roman"/>
      <w:kern w:val="2"/>
      <w:sz w:val="16"/>
      <w:szCs w:val="16"/>
    </w:rPr>
  </w:style>
  <w:style w:type="character" w:customStyle="1" w:styleId="521">
    <w:name w:val="批注主题 字符2"/>
    <w:basedOn w:val="518"/>
    <w:semiHidden/>
    <w:qFormat/>
    <w:uiPriority w:val="0"/>
    <w:rPr>
      <w:rFonts w:ascii="Calibri" w:hAnsi="Calibri" w:eastAsia="宋体" w:cs="Times New Roman"/>
      <w:b/>
      <w:bCs/>
      <w:kern w:val="2"/>
      <w:sz w:val="21"/>
      <w:szCs w:val="24"/>
    </w:rPr>
  </w:style>
  <w:style w:type="paragraph" w:customStyle="1" w:styleId="522">
    <w:name w:val="Char1 Char Char Char Char Char Char11"/>
    <w:basedOn w:val="1"/>
    <w:qFormat/>
    <w:uiPriority w:val="0"/>
    <w:rPr>
      <w:rFonts w:ascii="Calibri" w:hAnsi="Calibri" w:cs="Calibri"/>
    </w:rPr>
  </w:style>
  <w:style w:type="paragraph" w:customStyle="1" w:styleId="523">
    <w:name w:val="Char Char Char Char Char Char1"/>
    <w:basedOn w:val="1"/>
    <w:qFormat/>
    <w:uiPriority w:val="0"/>
    <w:pPr>
      <w:adjustRightInd w:val="0"/>
      <w:spacing w:line="360" w:lineRule="auto"/>
    </w:pPr>
    <w:rPr>
      <w:kern w:val="0"/>
      <w:szCs w:val="20"/>
    </w:rPr>
  </w:style>
  <w:style w:type="paragraph" w:customStyle="1" w:styleId="524">
    <w:name w:val="_Style 10"/>
    <w:next w:val="1"/>
    <w:qFormat/>
    <w:uiPriority w:val="0"/>
    <w:pPr>
      <w:widowControl w:val="0"/>
      <w:jc w:val="both"/>
    </w:pPr>
    <w:rPr>
      <w:rFonts w:ascii="Calibri" w:hAnsi="Calibri" w:eastAsia="宋体" w:cs="Calibri"/>
      <w:kern w:val="2"/>
      <w:sz w:val="24"/>
      <w:szCs w:val="24"/>
      <w:lang w:val="en-US" w:eastAsia="zh-CN" w:bidi="ar-SA"/>
    </w:rPr>
  </w:style>
  <w:style w:type="paragraph" w:customStyle="1" w:styleId="525">
    <w:name w:val="无间隔11"/>
    <w:qFormat/>
    <w:uiPriority w:val="99"/>
    <w:rPr>
      <w:rFonts w:ascii="Calibri" w:hAnsi="Calibri" w:eastAsia="宋体" w:cs="Calibri"/>
      <w:sz w:val="22"/>
      <w:szCs w:val="22"/>
      <w:lang w:val="en-US" w:eastAsia="zh-CN" w:bidi="ar-SA"/>
    </w:rPr>
  </w:style>
  <w:style w:type="paragraph" w:customStyle="1" w:styleId="526">
    <w:name w:val="_Style 29"/>
    <w:basedOn w:val="1"/>
    <w:qFormat/>
    <w:uiPriority w:val="0"/>
  </w:style>
  <w:style w:type="paragraph" w:customStyle="1" w:styleId="527">
    <w:name w:val="目录 11"/>
    <w:basedOn w:val="1"/>
    <w:next w:val="1"/>
    <w:qFormat/>
    <w:uiPriority w:val="0"/>
    <w:pPr>
      <w:ind w:firstLine="74" w:firstLineChars="74"/>
      <w:jc w:val="left"/>
    </w:pPr>
    <w:rPr>
      <w:b/>
      <w:bCs/>
      <w:caps/>
      <w:sz w:val="20"/>
      <w:szCs w:val="20"/>
    </w:rPr>
  </w:style>
  <w:style w:type="character" w:customStyle="1" w:styleId="528">
    <w:name w:val="正文文本 2 Char"/>
    <w:qFormat/>
    <w:uiPriority w:val="0"/>
    <w:rPr>
      <w:rFonts w:ascii="宋体"/>
      <w:kern w:val="2"/>
      <w:sz w:val="13"/>
    </w:rPr>
  </w:style>
  <w:style w:type="character" w:customStyle="1" w:styleId="529">
    <w:name w:val="纯文本 Char1"/>
    <w:qFormat/>
    <w:uiPriority w:val="0"/>
    <w:rPr>
      <w:rFonts w:ascii="宋体"/>
      <w:kern w:val="2"/>
      <w:sz w:val="21"/>
    </w:rPr>
  </w:style>
  <w:style w:type="character" w:customStyle="1" w:styleId="530">
    <w:name w:val="标题 2 Char"/>
    <w:qFormat/>
    <w:uiPriority w:val="9"/>
    <w:rPr>
      <w:rFonts w:ascii="Arial" w:hAnsi="Arial"/>
      <w:b/>
      <w:sz w:val="32"/>
    </w:rPr>
  </w:style>
  <w:style w:type="paragraph" w:customStyle="1" w:styleId="531">
    <w:name w:val="引用1"/>
    <w:basedOn w:val="1"/>
    <w:next w:val="1"/>
    <w:qFormat/>
    <w:uiPriority w:val="29"/>
    <w:pPr>
      <w:spacing w:before="160" w:after="160" w:line="278" w:lineRule="auto"/>
      <w:jc w:val="center"/>
    </w:pPr>
    <w:rPr>
      <w:rFonts w:ascii="Calibri" w:hAnsi="Calibri"/>
      <w:i/>
      <w:iCs/>
      <w:color w:val="404040"/>
      <w:sz w:val="22"/>
    </w:rPr>
  </w:style>
  <w:style w:type="character" w:customStyle="1" w:styleId="532">
    <w:name w:val="引用 字符"/>
    <w:basedOn w:val="52"/>
    <w:link w:val="533"/>
    <w:qFormat/>
    <w:uiPriority w:val="29"/>
    <w:rPr>
      <w:rFonts w:ascii="Calibri" w:hAnsi="Calibri" w:eastAsia="宋体" w:cs="Times New Roman"/>
      <w:i/>
      <w:iCs/>
      <w:color w:val="404040"/>
      <w:kern w:val="2"/>
      <w:sz w:val="22"/>
      <w:szCs w:val="24"/>
    </w:rPr>
  </w:style>
  <w:style w:type="paragraph" w:styleId="533">
    <w:name w:val="Quote"/>
    <w:basedOn w:val="1"/>
    <w:next w:val="1"/>
    <w:link w:val="532"/>
    <w:semiHidden/>
    <w:unhideWhenUsed/>
    <w:qFormat/>
    <w:uiPriority w:val="29"/>
    <w:pPr>
      <w:spacing w:before="200" w:after="160"/>
      <w:ind w:left="864" w:right="864"/>
      <w:jc w:val="center"/>
    </w:pPr>
    <w:rPr>
      <w:rFonts w:ascii="Calibri" w:hAnsi="Calibri"/>
      <w:i/>
      <w:iCs/>
      <w:color w:val="404040"/>
      <w:sz w:val="22"/>
    </w:rPr>
  </w:style>
  <w:style w:type="character" w:customStyle="1" w:styleId="534">
    <w:name w:val="明显强调1"/>
    <w:basedOn w:val="52"/>
    <w:qFormat/>
    <w:uiPriority w:val="21"/>
    <w:rPr>
      <w:i/>
      <w:iCs/>
      <w:color w:val="2E74B5"/>
    </w:rPr>
  </w:style>
  <w:style w:type="paragraph" w:customStyle="1" w:styleId="535">
    <w:name w:val="明显引用1"/>
    <w:basedOn w:val="1"/>
    <w:next w:val="1"/>
    <w:qFormat/>
    <w:uiPriority w:val="30"/>
    <w:pPr>
      <w:pBdr>
        <w:top w:val="single" w:color="2E74B5" w:sz="4" w:space="10"/>
        <w:bottom w:val="single" w:color="2E74B5" w:sz="4" w:space="10"/>
      </w:pBdr>
      <w:spacing w:before="360" w:after="360" w:line="278" w:lineRule="auto"/>
      <w:ind w:left="864" w:right="864"/>
      <w:jc w:val="center"/>
    </w:pPr>
    <w:rPr>
      <w:rFonts w:ascii="Calibri" w:hAnsi="Calibri"/>
      <w:i/>
      <w:iCs/>
      <w:color w:val="2E74B5"/>
      <w:sz w:val="22"/>
    </w:rPr>
  </w:style>
  <w:style w:type="character" w:customStyle="1" w:styleId="536">
    <w:name w:val="明显引用 字符"/>
    <w:basedOn w:val="52"/>
    <w:link w:val="537"/>
    <w:qFormat/>
    <w:uiPriority w:val="30"/>
    <w:rPr>
      <w:rFonts w:ascii="Calibri" w:hAnsi="Calibri" w:eastAsia="宋体" w:cs="Times New Roman"/>
      <w:i/>
      <w:iCs/>
      <w:color w:val="2E74B5"/>
      <w:kern w:val="2"/>
      <w:sz w:val="22"/>
      <w:szCs w:val="24"/>
    </w:rPr>
  </w:style>
  <w:style w:type="paragraph" w:styleId="537">
    <w:name w:val="Intense Quote"/>
    <w:basedOn w:val="1"/>
    <w:next w:val="1"/>
    <w:link w:val="536"/>
    <w:semiHidden/>
    <w:unhideWhenUsed/>
    <w:qFormat/>
    <w:uiPriority w:val="30"/>
    <w:pPr>
      <w:pBdr>
        <w:top w:val="single" w:color="4F81BD" w:themeColor="accent1" w:sz="4" w:space="10"/>
        <w:bottom w:val="single" w:color="4F81BD" w:themeColor="accent1" w:sz="4" w:space="10"/>
      </w:pBdr>
      <w:spacing w:before="360" w:after="360"/>
      <w:ind w:left="864" w:right="864"/>
      <w:jc w:val="center"/>
    </w:pPr>
    <w:rPr>
      <w:rFonts w:ascii="Calibri" w:hAnsi="Calibri"/>
      <w:i/>
      <w:iCs/>
      <w:color w:val="2E74B5"/>
      <w:sz w:val="22"/>
    </w:rPr>
  </w:style>
  <w:style w:type="paragraph" w:customStyle="1" w:styleId="538">
    <w:name w:val="模板正文"/>
    <w:basedOn w:val="1"/>
    <w:qFormat/>
    <w:uiPriority w:val="0"/>
    <w:pPr>
      <w:wordWrap w:val="0"/>
      <w:spacing w:line="360" w:lineRule="auto"/>
      <w:ind w:firstLine="200" w:firstLineChars="200"/>
    </w:pPr>
    <w:rPr>
      <w:rFonts w:eastAsia="仿宋_GB2312"/>
      <w:sz w:val="28"/>
      <w:szCs w:val="21"/>
    </w:rPr>
  </w:style>
  <w:style w:type="character" w:customStyle="1" w:styleId="539">
    <w:name w:val="页眉 字符2"/>
    <w:semiHidden/>
    <w:qFormat/>
    <w:uiPriority w:val="99"/>
    <w:rPr>
      <w:kern w:val="2"/>
      <w:sz w:val="18"/>
      <w:szCs w:val="18"/>
    </w:rPr>
  </w:style>
  <w:style w:type="character" w:customStyle="1" w:styleId="540">
    <w:name w:val="Default Char"/>
    <w:link w:val="72"/>
    <w:qFormat/>
    <w:uiPriority w:val="99"/>
    <w:rPr>
      <w:rFonts w:ascii="宋体" w:hAnsi="Calibri" w:cs="宋体"/>
      <w:color w:val="000000"/>
      <w:sz w:val="24"/>
      <w:szCs w:val="24"/>
    </w:rPr>
  </w:style>
  <w:style w:type="character" w:customStyle="1" w:styleId="541">
    <w:name w:val="纯文本 字符5"/>
    <w:qFormat/>
    <w:uiPriority w:val="0"/>
    <w:rPr>
      <w:rFonts w:ascii="宋体" w:hAnsi="Times New Roman" w:eastAsia="宋体" w:cs="Times New Roman"/>
      <w:szCs w:val="20"/>
    </w:rPr>
  </w:style>
  <w:style w:type="character" w:customStyle="1" w:styleId="542">
    <w:name w:val="标准正文 S字符"/>
    <w:link w:val="543"/>
    <w:qFormat/>
    <w:uiPriority w:val="0"/>
    <w:rPr>
      <w:rFonts w:ascii="Calibri" w:hAnsi="Calibri"/>
      <w:sz w:val="24"/>
    </w:rPr>
  </w:style>
  <w:style w:type="paragraph" w:customStyle="1" w:styleId="543">
    <w:name w:val="标准正文 S"/>
    <w:basedOn w:val="1"/>
    <w:link w:val="542"/>
    <w:qFormat/>
    <w:uiPriority w:val="0"/>
    <w:pPr>
      <w:spacing w:beforeLines="50" w:afterLines="50" w:line="360" w:lineRule="auto"/>
      <w:ind w:firstLine="480"/>
      <w:jc w:val="left"/>
    </w:pPr>
    <w:rPr>
      <w:rFonts w:ascii="Calibri" w:hAnsi="Calibri"/>
      <w:kern w:val="0"/>
      <w:szCs w:val="20"/>
    </w:rPr>
  </w:style>
  <w:style w:type="character" w:customStyle="1" w:styleId="544">
    <w:name w:val="列出段落 Char"/>
    <w:qFormat/>
    <w:uiPriority w:val="34"/>
    <w:rPr>
      <w:rFonts w:ascii="Calibri" w:hAnsi="Calibri" w:eastAsia="宋体" w:cs="Times New Roman"/>
    </w:rPr>
  </w:style>
  <w:style w:type="character" w:customStyle="1" w:styleId="545">
    <w:name w:val="cfv9413"/>
    <w:qFormat/>
    <w:uiPriority w:val="0"/>
  </w:style>
  <w:style w:type="character" w:customStyle="1" w:styleId="546">
    <w:name w:val="HTML 预设格式 字符2"/>
    <w:semiHidden/>
    <w:qFormat/>
    <w:uiPriority w:val="99"/>
    <w:rPr>
      <w:rFonts w:ascii="Courier New" w:hAnsi="Courier New" w:cs="Courier New"/>
      <w:kern w:val="2"/>
    </w:rPr>
  </w:style>
  <w:style w:type="character" w:customStyle="1" w:styleId="547">
    <w:name w:val="标题 字符2"/>
    <w:qFormat/>
    <w:uiPriority w:val="10"/>
    <w:rPr>
      <w:rFonts w:ascii="等线 Light" w:hAnsi="等线 Light" w:eastAsia="等线 Light" w:cs="Times New Roman"/>
      <w:b/>
      <w:bCs/>
      <w:kern w:val="2"/>
      <w:sz w:val="32"/>
      <w:szCs w:val="32"/>
    </w:rPr>
  </w:style>
  <w:style w:type="character" w:customStyle="1" w:styleId="548">
    <w:name w:val="q92wrlco21l"/>
    <w:qFormat/>
    <w:uiPriority w:val="0"/>
  </w:style>
  <w:style w:type="character" w:customStyle="1" w:styleId="549">
    <w:name w:val="批注框文本 字符2"/>
    <w:semiHidden/>
    <w:qFormat/>
    <w:uiPriority w:val="99"/>
    <w:rPr>
      <w:kern w:val="2"/>
      <w:sz w:val="18"/>
      <w:szCs w:val="18"/>
    </w:rPr>
  </w:style>
  <w:style w:type="character" w:customStyle="1" w:styleId="550">
    <w:name w:val="dv59294j"/>
    <w:qFormat/>
    <w:uiPriority w:val="0"/>
  </w:style>
  <w:style w:type="character" w:customStyle="1" w:styleId="551">
    <w:name w:val="hn43crzh"/>
    <w:qFormat/>
    <w:uiPriority w:val="0"/>
  </w:style>
  <w:style w:type="character" w:customStyle="1" w:styleId="552">
    <w:name w:val="HTML 预设格式 字符1"/>
    <w:semiHidden/>
    <w:qFormat/>
    <w:uiPriority w:val="99"/>
    <w:rPr>
      <w:rFonts w:ascii="Courier New" w:hAnsi="Courier New" w:eastAsia="宋体" w:cs="Courier New"/>
      <w:sz w:val="20"/>
      <w:szCs w:val="20"/>
    </w:rPr>
  </w:style>
  <w:style w:type="paragraph" w:customStyle="1" w:styleId="553">
    <w:name w:val="列出段落11"/>
    <w:basedOn w:val="1"/>
    <w:qFormat/>
    <w:uiPriority w:val="0"/>
    <w:pPr>
      <w:ind w:firstLine="420" w:firstLineChars="200"/>
    </w:pPr>
    <w:rPr>
      <w:szCs w:val="20"/>
    </w:rPr>
  </w:style>
  <w:style w:type="paragraph" w:customStyle="1" w:styleId="55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555">
    <w:name w:val="TOC 标题2"/>
    <w:basedOn w:val="2"/>
    <w:next w:val="1"/>
    <w:unhideWhenUsed/>
    <w:qFormat/>
    <w:uiPriority w:val="39"/>
    <w:pPr>
      <w:widowControl/>
      <w:tabs>
        <w:tab w:val="clear" w:pos="360"/>
      </w:tabs>
      <w:adjustRightInd/>
      <w:spacing w:before="240" w:line="259" w:lineRule="auto"/>
      <w:jc w:val="left"/>
      <w:textAlignment w:val="auto"/>
      <w:outlineLvl w:val="9"/>
    </w:pPr>
    <w:rPr>
      <w:rFonts w:ascii="等线 Light" w:hAnsi="等线 Light" w:eastAsia="等线 Light"/>
      <w:b w:val="0"/>
      <w:color w:val="2F5496"/>
      <w:kern w:val="0"/>
      <w:sz w:val="32"/>
      <w:szCs w:val="32"/>
    </w:rPr>
  </w:style>
  <w:style w:type="paragraph" w:customStyle="1" w:styleId="556">
    <w:name w:val="（标题二）"/>
    <w:basedOn w:val="3"/>
    <w:next w:val="1"/>
    <w:qFormat/>
    <w:uiPriority w:val="0"/>
    <w:pPr>
      <w:tabs>
        <w:tab w:val="left" w:pos="1680"/>
        <w:tab w:val="clear" w:pos="360"/>
        <w:tab w:val="clear" w:pos="3999"/>
      </w:tabs>
      <w:spacing w:before="260" w:after="260" w:afterLines="0" w:line="413" w:lineRule="auto"/>
      <w:ind w:left="1680" w:hanging="420"/>
      <w:jc w:val="both"/>
    </w:pPr>
    <w:rPr>
      <w:rFonts w:eastAsia="黑体"/>
      <w:b w:val="0"/>
      <w:bCs/>
      <w:sz w:val="36"/>
      <w:szCs w:val="32"/>
    </w:rPr>
  </w:style>
  <w:style w:type="paragraph" w:customStyle="1" w:styleId="557">
    <w:name w:val="Bullet_Title"/>
    <w:basedOn w:val="1"/>
    <w:qFormat/>
    <w:uiPriority w:val="0"/>
    <w:pPr>
      <w:numPr>
        <w:ilvl w:val="0"/>
        <w:numId w:val="11"/>
      </w:numPr>
      <w:tabs>
        <w:tab w:val="left" w:pos="814"/>
      </w:tabs>
      <w:spacing w:after="78" w:line="300" w:lineRule="auto"/>
    </w:pPr>
    <w:rPr>
      <w:rFonts w:ascii="Arial Narrow" w:hAnsi="Arial Narrow"/>
      <w:szCs w:val="20"/>
    </w:rPr>
  </w:style>
  <w:style w:type="paragraph" w:customStyle="1" w:styleId="558">
    <w:name w:val="p15"/>
    <w:basedOn w:val="1"/>
    <w:qFormat/>
    <w:uiPriority w:val="0"/>
    <w:pPr>
      <w:widowControl/>
      <w:snapToGrid w:val="0"/>
      <w:jc w:val="left"/>
    </w:pPr>
    <w:rPr>
      <w:rFonts w:ascii="Tahoma" w:hAnsi="Tahoma" w:cs="Tahoma"/>
      <w:kern w:val="0"/>
      <w:sz w:val="22"/>
      <w:szCs w:val="22"/>
    </w:rPr>
  </w:style>
  <w:style w:type="paragraph" w:customStyle="1" w:styleId="559">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rPr>
  </w:style>
  <w:style w:type="paragraph" w:customStyle="1" w:styleId="560">
    <w:name w:val="Char Char Char Char Char Char Char"/>
    <w:basedOn w:val="1"/>
    <w:qFormat/>
    <w:uiPriority w:val="0"/>
    <w:pPr>
      <w:tabs>
        <w:tab w:val="left" w:pos="432"/>
      </w:tabs>
      <w:ind w:left="432" w:hanging="432"/>
    </w:pPr>
    <w:rPr>
      <w:rFonts w:ascii="Tahoma" w:hAnsi="Tahoma"/>
      <w:szCs w:val="20"/>
    </w:rPr>
  </w:style>
  <w:style w:type="paragraph" w:customStyle="1" w:styleId="561">
    <w:name w:val="TOC 标题3"/>
    <w:basedOn w:val="2"/>
    <w:next w:val="1"/>
    <w:qFormat/>
    <w:uiPriority w:val="39"/>
    <w:pPr>
      <w:widowControl/>
      <w:tabs>
        <w:tab w:val="clear" w:pos="360"/>
      </w:tabs>
      <w:adjustRightInd/>
      <w:spacing w:before="240" w:line="259" w:lineRule="auto"/>
      <w:jc w:val="left"/>
      <w:textAlignment w:val="auto"/>
      <w:outlineLvl w:val="9"/>
    </w:pPr>
    <w:rPr>
      <w:rFonts w:ascii="等线 Light" w:hAnsi="等线 Light" w:eastAsia="等线 Light"/>
      <w:b w:val="0"/>
      <w:color w:val="2F5496"/>
      <w:kern w:val="0"/>
      <w:sz w:val="32"/>
      <w:szCs w:val="32"/>
    </w:rPr>
  </w:style>
  <w:style w:type="paragraph" w:customStyle="1" w:styleId="562">
    <w:name w:val="_Style 1"/>
    <w:basedOn w:val="1"/>
    <w:qFormat/>
    <w:uiPriority w:val="0"/>
    <w:pPr>
      <w:ind w:firstLine="420" w:firstLineChars="200"/>
    </w:pPr>
    <w:rPr>
      <w:rFonts w:ascii="Calibri" w:hAnsi="Calibri"/>
      <w:sz w:val="21"/>
      <w:szCs w:val="20"/>
    </w:rPr>
  </w:style>
  <w:style w:type="paragraph" w:customStyle="1" w:styleId="563">
    <w:name w:val="2章节"/>
    <w:qFormat/>
    <w:uiPriority w:val="0"/>
    <w:pPr>
      <w:spacing w:after="200" w:line="276" w:lineRule="auto"/>
      <w:ind w:left="420" w:right="100" w:rightChars="100" w:hanging="420"/>
      <w:outlineLvl w:val="0"/>
    </w:pPr>
    <w:rPr>
      <w:rFonts w:ascii="Times New Roman" w:hAnsi="Times New Roman" w:eastAsia="仿宋_GB2312" w:cs="Times New Roman"/>
      <w:b/>
      <w:kern w:val="2"/>
      <w:sz w:val="28"/>
      <w:szCs w:val="22"/>
      <w:lang w:val="en-US" w:eastAsia="zh-CN" w:bidi="ar-SA"/>
    </w:rPr>
  </w:style>
  <w:style w:type="paragraph" w:customStyle="1" w:styleId="564">
    <w:name w:val="Body Text First Indent 21"/>
    <w:basedOn w:val="565"/>
    <w:qFormat/>
    <w:uiPriority w:val="99"/>
    <w:pPr>
      <w:ind w:firstLine="420"/>
    </w:pPr>
  </w:style>
  <w:style w:type="paragraph" w:customStyle="1" w:styleId="565">
    <w:name w:val="Body Text Indent1"/>
    <w:basedOn w:val="1"/>
    <w:qFormat/>
    <w:uiPriority w:val="99"/>
    <w:pPr>
      <w:spacing w:line="360" w:lineRule="auto"/>
      <w:ind w:left="420" w:firstLine="1124" w:firstLineChars="200"/>
    </w:pPr>
  </w:style>
  <w:style w:type="paragraph" w:customStyle="1" w:styleId="566">
    <w:name w:val="正文首行缩进样式"/>
    <w:basedOn w:val="1"/>
    <w:qFormat/>
    <w:uiPriority w:val="0"/>
    <w:pPr>
      <w:widowControl/>
      <w:spacing w:after="50" w:afterLines="50" w:line="360" w:lineRule="auto"/>
      <w:ind w:firstLine="200" w:firstLineChars="200"/>
      <w:jc w:val="left"/>
    </w:pPr>
    <w:rPr>
      <w:rFonts w:ascii="Calibri" w:hAnsi="Calibri"/>
      <w:kern w:val="0"/>
      <w:lang w:bidi="en-US"/>
    </w:rPr>
  </w:style>
  <w:style w:type="paragraph" w:customStyle="1" w:styleId="567">
    <w:name w:val="表头文字样式"/>
    <w:basedOn w:val="1"/>
    <w:qFormat/>
    <w:uiPriority w:val="0"/>
    <w:pPr>
      <w:ind w:firstLine="1124" w:firstLineChars="200"/>
      <w:jc w:val="center"/>
    </w:pPr>
    <w:rPr>
      <w:b/>
      <w:sz w:val="21"/>
    </w:rPr>
  </w:style>
  <w:style w:type="paragraph" w:customStyle="1" w:styleId="568">
    <w:name w:val="正文样式"/>
    <w:basedOn w:val="1"/>
    <w:qFormat/>
    <w:uiPriority w:val="0"/>
    <w:pPr>
      <w:spacing w:line="360" w:lineRule="auto"/>
      <w:ind w:firstLine="480" w:firstLineChars="200"/>
    </w:pPr>
  </w:style>
  <w:style w:type="paragraph" w:customStyle="1" w:styleId="569">
    <w:name w:val="样式-表格标题"/>
    <w:basedOn w:val="1"/>
    <w:qFormat/>
    <w:uiPriority w:val="0"/>
    <w:pPr>
      <w:widowControl/>
      <w:spacing w:line="360" w:lineRule="auto"/>
      <w:ind w:firstLine="1124" w:firstLineChars="200"/>
      <w:jc w:val="center"/>
    </w:pPr>
    <w:rPr>
      <w:b/>
      <w:bCs/>
      <w:sz w:val="21"/>
      <w:szCs w:val="21"/>
    </w:rPr>
  </w:style>
  <w:style w:type="paragraph" w:customStyle="1" w:styleId="570">
    <w:name w:val="样式-表格正文"/>
    <w:basedOn w:val="1"/>
    <w:qFormat/>
    <w:uiPriority w:val="0"/>
    <w:pPr>
      <w:widowControl/>
      <w:ind w:firstLine="1124" w:firstLineChars="200"/>
      <w:jc w:val="left"/>
    </w:pPr>
    <w:rPr>
      <w:sz w:val="21"/>
      <w:szCs w:val="21"/>
    </w:rPr>
  </w:style>
  <w:style w:type="paragraph" w:customStyle="1" w:styleId="571">
    <w:name w:val="样式 首行缩进:  2 字符"/>
    <w:basedOn w:val="1"/>
    <w:qFormat/>
    <w:uiPriority w:val="99"/>
    <w:pPr>
      <w:spacing w:line="360" w:lineRule="auto"/>
      <w:ind w:firstLine="420" w:firstLineChars="200"/>
    </w:pPr>
    <w:rPr>
      <w:rFonts w:cs="宋体"/>
      <w:szCs w:val="20"/>
    </w:rPr>
  </w:style>
  <w:style w:type="paragraph" w:customStyle="1" w:styleId="572">
    <w:name w:val="样式 首行缩进:  0.74 厘米"/>
    <w:basedOn w:val="1"/>
    <w:qFormat/>
    <w:uiPriority w:val="0"/>
    <w:pPr>
      <w:spacing w:line="360" w:lineRule="auto"/>
      <w:ind w:firstLine="200" w:firstLineChars="200"/>
    </w:pPr>
    <w:rPr>
      <w:rFonts w:eastAsia="仿宋" w:cs="宋体"/>
      <w:szCs w:val="20"/>
    </w:rPr>
  </w:style>
  <w:style w:type="paragraph" w:customStyle="1" w:styleId="573">
    <w:name w:val="本文正文"/>
    <w:basedOn w:val="1"/>
    <w:qFormat/>
    <w:uiPriority w:val="0"/>
    <w:pPr>
      <w:tabs>
        <w:tab w:val="left" w:pos="630"/>
      </w:tabs>
      <w:topLinePunct/>
      <w:adjustRightInd w:val="0"/>
      <w:spacing w:line="360" w:lineRule="exact"/>
      <w:ind w:firstLine="1124" w:firstLineChars="200"/>
    </w:pPr>
    <w:rPr>
      <w:color w:val="000000"/>
    </w:rPr>
  </w:style>
  <w:style w:type="paragraph" w:customStyle="1" w:styleId="574">
    <w:name w:val="标题5"/>
    <w:basedOn w:val="6"/>
    <w:qFormat/>
    <w:uiPriority w:val="0"/>
    <w:pPr>
      <w:spacing w:before="280" w:after="290" w:line="372" w:lineRule="auto"/>
      <w:ind w:firstLine="1124" w:firstLineChars="200"/>
      <w:jc w:val="left"/>
    </w:pPr>
    <w:rPr>
      <w:rFonts w:ascii="Calibri" w:hAnsi="Calibri" w:eastAsia="宋体"/>
      <w:b w:val="0"/>
      <w:bCs w:val="0"/>
      <w:sz w:val="21"/>
      <w:szCs w:val="22"/>
    </w:rPr>
  </w:style>
  <w:style w:type="paragraph" w:customStyle="1" w:styleId="575">
    <w:name w:val="7 报告正文"/>
    <w:qFormat/>
    <w:uiPriority w:val="0"/>
    <w:pPr>
      <w:widowControl w:val="0"/>
      <w:spacing w:line="360" w:lineRule="auto"/>
      <w:ind w:firstLine="200" w:firstLineChars="200"/>
      <w:jc w:val="both"/>
    </w:pPr>
    <w:rPr>
      <w:rFonts w:ascii="Times New Roman" w:hAnsi="Times New Roman" w:eastAsia="宋体" w:cs="Times New Roman"/>
      <w:kern w:val="2"/>
      <w:sz w:val="24"/>
      <w:szCs w:val="28"/>
      <w:lang w:val="en-US" w:eastAsia="zh-CN" w:bidi="ar-SA"/>
    </w:rPr>
  </w:style>
  <w:style w:type="paragraph" w:customStyle="1" w:styleId="576">
    <w:name w:val="标准标书正文"/>
    <w:qFormat/>
    <w:uiPriority w:val="0"/>
    <w:pPr>
      <w:spacing w:line="360" w:lineRule="auto"/>
      <w:ind w:firstLine="200" w:firstLineChars="200"/>
    </w:pPr>
    <w:rPr>
      <w:rFonts w:ascii="Times New Roman" w:hAnsi="Times New Roman" w:eastAsia="仿宋_GB2312" w:cs="Times New Roman"/>
      <w:color w:val="000000"/>
      <w:kern w:val="2"/>
      <w:sz w:val="28"/>
      <w:szCs w:val="28"/>
      <w:lang w:val="en-US" w:eastAsia="zh-CN" w:bidi="ar-SA"/>
    </w:rPr>
  </w:style>
  <w:style w:type="paragraph" w:customStyle="1" w:styleId="577">
    <w:name w:val="WPSOffice手动目录 1"/>
    <w:qFormat/>
    <w:uiPriority w:val="0"/>
    <w:rPr>
      <w:rFonts w:ascii="Times New Roman" w:hAnsi="Times New Roman" w:eastAsia="宋体" w:cs="Times New Roman"/>
      <w:lang w:val="en-US" w:eastAsia="zh-CN" w:bidi="ar-SA"/>
    </w:rPr>
  </w:style>
  <w:style w:type="paragraph" w:customStyle="1" w:styleId="57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79">
    <w:name w:val="正文（首行缩进2字符）"/>
    <w:basedOn w:val="1"/>
    <w:qFormat/>
    <w:uiPriority w:val="0"/>
    <w:pPr>
      <w:spacing w:line="360" w:lineRule="auto"/>
      <w:ind w:firstLine="200" w:firstLineChars="200"/>
    </w:pPr>
  </w:style>
  <w:style w:type="character" w:customStyle="1" w:styleId="580">
    <w:name w:val="引用 字符1"/>
    <w:basedOn w:val="52"/>
    <w:semiHidden/>
    <w:qFormat/>
    <w:uiPriority w:val="99"/>
    <w:rPr>
      <w:i/>
      <w:iCs/>
      <w:color w:val="404040" w:themeColor="text1" w:themeTint="BF"/>
      <w:kern w:val="2"/>
      <w:sz w:val="24"/>
      <w:szCs w:val="24"/>
      <w14:textFill>
        <w14:solidFill>
          <w14:schemeClr w14:val="tx1">
            <w14:lumMod w14:val="75000"/>
            <w14:lumOff w14:val="25000"/>
          </w14:schemeClr>
        </w14:solidFill>
      </w14:textFill>
    </w:rPr>
  </w:style>
  <w:style w:type="character" w:customStyle="1" w:styleId="581">
    <w:name w:val="明显引用 字符1"/>
    <w:basedOn w:val="52"/>
    <w:semiHidden/>
    <w:qFormat/>
    <w:uiPriority w:val="99"/>
    <w:rPr>
      <w:i/>
      <w:iCs/>
      <w:color w:val="4F81BD" w:themeColor="accent1"/>
      <w:kern w:val="2"/>
      <w:sz w:val="24"/>
      <w:szCs w:val="24"/>
      <w14:textFill>
        <w14:solidFill>
          <w14:schemeClr w14:val="accent1"/>
        </w14:solidFill>
      </w14:textFill>
    </w:rPr>
  </w:style>
  <w:style w:type="character" w:customStyle="1" w:styleId="582">
    <w:name w:val="未处理的提及14"/>
    <w:basedOn w:val="52"/>
    <w:semiHidden/>
    <w:unhideWhenUsed/>
    <w:qFormat/>
    <w:uiPriority w:val="99"/>
    <w:rPr>
      <w:color w:val="605E5C"/>
      <w:shd w:val="clear" w:color="auto" w:fill="E1DFDD"/>
    </w:rPr>
  </w:style>
  <w:style w:type="character" w:customStyle="1" w:styleId="583">
    <w:name w:val="未处理的提及15"/>
    <w:basedOn w:val="52"/>
    <w:semiHidden/>
    <w:unhideWhenUsed/>
    <w:qFormat/>
    <w:uiPriority w:val="99"/>
    <w:rPr>
      <w:color w:val="605E5C"/>
      <w:shd w:val="clear" w:color="auto" w:fill="E1DFDD"/>
    </w:rPr>
  </w:style>
  <w:style w:type="character" w:customStyle="1" w:styleId="584">
    <w:name w:val="font141"/>
    <w:basedOn w:val="52"/>
    <w:qFormat/>
    <w:uiPriority w:val="0"/>
    <w:rPr>
      <w:rFonts w:ascii="Arial" w:hAnsi="Arial" w:cs="Arial"/>
      <w:color w:val="000000"/>
      <w:sz w:val="20"/>
      <w:szCs w:val="20"/>
      <w:u w:val="none"/>
    </w:rPr>
  </w:style>
  <w:style w:type="paragraph" w:customStyle="1" w:styleId="585">
    <w:name w:val="修订2"/>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586">
    <w:name w:val="16"/>
    <w:basedOn w:val="52"/>
    <w:qFormat/>
    <w:uiPriority w:val="0"/>
    <w:rPr>
      <w:rFonts w:hint="default" w:ascii="Times New Roman" w:hAnsi="Times New Roman" w:cs="Times New Roman"/>
      <w:b/>
      <w:bCs/>
      <w:sz w:val="24"/>
      <w:szCs w:val="24"/>
    </w:rPr>
  </w:style>
  <w:style w:type="character" w:customStyle="1" w:styleId="587">
    <w:name w:val="未处理的提及16"/>
    <w:basedOn w:val="5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4F82B-7365-4BB9-ADA8-543FFEF135CE}">
  <ds:schemaRefs/>
</ds:datastoreItem>
</file>

<file path=docProps/app.xml><?xml version="1.0" encoding="utf-8"?>
<Properties xmlns="http://schemas.openxmlformats.org/officeDocument/2006/extended-properties" xmlns:vt="http://schemas.openxmlformats.org/officeDocument/2006/docPropsVTypes">
  <Template>Normal</Template>
  <Company>ZYQ</Company>
  <Pages>78</Pages>
  <Words>608</Words>
  <Characters>787</Characters>
  <Lines>706</Lines>
  <Paragraphs>199</Paragraphs>
  <TotalTime>17</TotalTime>
  <ScaleCrop>false</ScaleCrop>
  <LinksUpToDate>false</LinksUpToDate>
  <CharactersWithSpaces>810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2024-02-01T03:49:00Z</dcterms:created>
  <dc:creator>ZZZ</dc:creator>
  <cp:lastModifiedBy>虞…埘</cp:lastModifiedBy>
  <cp:lastPrinted>2025-12-02T08:31:00Z</cp:lastPrinted>
  <dcterms:modified xsi:type="dcterms:W3CDTF">2026-04-09T01:40:56Z</dcterms:modified>
  <dc:title>附件1</dc:title>
  <cp:revision>2627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FCEF679D0C9D47D8BD8AA90FF27E9562_13</vt:lpwstr>
  </property>
  <property fmtid="{D5CDD505-2E9C-101B-9397-08002B2CF9AE}" pid="4" name="KSOTemplateDocerSaveRecord">
    <vt:lpwstr>eyJoZGlkIjoiN2NjNjQ4YTEyNmZhOTk4M2UzNzdjZGYxNjY3NjA2NGIiLCJ1c2VySWQiOiIyNDA2MzMyNzIifQ==</vt:lpwstr>
  </property>
</Properties>
</file>