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440001-2026-01095</w:t>
      </w:r>
    </w:p>
    <w:p>
      <w:pPr>
        <w:pStyle w:val="null3"/>
        <w:jc w:val="center"/>
        <w:outlineLvl w:val="3"/>
      </w:pPr>
      <w:r>
        <w:rPr>
          <w:sz w:val="24"/>
          <w:b/>
        </w:rPr>
        <w:t>采购项目编号：</w:t>
      </w:r>
      <w:r>
        <w:rPr>
          <w:sz w:val="24"/>
          <w:b/>
        </w:rPr>
        <w:t>GPCGD261156GC013J</w:t>
      </w:r>
    </w:p>
    <w:p>
      <w:pPr>
        <w:pStyle w:val="null3"/>
        <w:jc w:val="center"/>
        <w:outlineLvl w:val="3"/>
      </w:pPr>
      <w:r>
        <w:rPr>
          <w:sz w:val="24"/>
          <w:b/>
        </w:rPr>
        <w:t>项目名称：</w:t>
      </w:r>
      <w:r>
        <w:rPr>
          <w:sz w:val="24"/>
          <w:b/>
        </w:rPr>
        <w:t>华南农业大学兽医学院新楼8、9楼北侧部分实验室装修工程</w:t>
      </w:r>
    </w:p>
    <w:p>
      <w:pPr>
        <w:pStyle w:val="null3"/>
        <w:jc w:val="center"/>
        <w:outlineLvl w:val="3"/>
      </w:pPr>
      <w:r>
        <w:rPr>
          <w:sz w:val="24"/>
          <w:b/>
        </w:rPr>
        <w:t>采购人：</w:t>
      </w:r>
      <w:r>
        <w:rPr>
          <w:sz w:val="24"/>
          <w:b/>
        </w:rPr>
        <w:t>华南农业大学</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华南农业大学</w:t>
      </w:r>
      <w:r>
        <w:rPr/>
        <w:t>的委托，采用</w:t>
      </w:r>
      <w:r>
        <w:rPr/>
        <w:t>竞争性磋商</w:t>
      </w:r>
      <w:r>
        <w:rPr/>
        <w:t>方式组织采购</w:t>
      </w:r>
      <w:r>
        <w:rPr/>
        <w:t>华南农业大学兽医学院新楼8、9楼北侧部分实验室装修工程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华南农业大学兽医学院新楼8、9楼北侧部分实验室装修工程</w:t>
      </w:r>
    </w:p>
    <w:p>
      <w:pPr>
        <w:pStyle w:val="null3"/>
        <w:ind w:firstLine="480"/>
      </w:pPr>
      <w:r>
        <w:rPr/>
        <w:t>采购计划编号：</w:t>
      </w:r>
      <w:r>
        <w:rPr/>
        <w:t>440001-2026-01095</w:t>
      </w:r>
    </w:p>
    <w:p>
      <w:pPr>
        <w:pStyle w:val="null3"/>
        <w:ind w:firstLine="480"/>
      </w:pPr>
      <w:r>
        <w:rPr/>
        <w:t>采购项目编号：</w:t>
      </w:r>
      <w:r>
        <w:rPr/>
        <w:t>GPCGD261156GC013J</w:t>
      </w:r>
    </w:p>
    <w:p>
      <w:pPr>
        <w:pStyle w:val="null3"/>
        <w:ind w:firstLine="480"/>
      </w:pPr>
      <w:r>
        <w:rPr/>
        <w:t>采购方式：</w:t>
      </w:r>
      <w:r>
        <w:rPr/>
        <w:t>竞争性磋商</w:t>
      </w:r>
    </w:p>
    <w:p>
      <w:pPr>
        <w:pStyle w:val="null3"/>
        <w:ind w:firstLine="480"/>
      </w:pPr>
      <w:r>
        <w:rPr/>
        <w:t>预算金额：</w:t>
      </w:r>
      <w:r>
        <w:rPr/>
        <w:t>989,836.16</w:t>
      </w:r>
      <w:r>
        <w:rPr/>
        <w:t>元</w:t>
      </w:r>
    </w:p>
    <w:p>
      <w:pPr>
        <w:pStyle w:val="null3"/>
        <w:outlineLvl w:val="3"/>
      </w:pPr>
      <w:r>
        <w:rPr>
          <w:sz w:val="24"/>
          <w:b/>
        </w:rPr>
        <w:t>2.项目内容及需求情况（采购项目技术规格、参数及要求）</w:t>
      </w:r>
    </w:p>
    <w:p>
      <w:pPr>
        <w:pStyle w:val="null3"/>
      </w:pPr>
      <w:r>
        <w:rPr/>
        <w:t>采购包1(华南农业大学兽医学院新楼8、9楼北侧部分实验室装修工程):</w:t>
      </w:r>
    </w:p>
    <w:p>
      <w:pPr>
        <w:pStyle w:val="null3"/>
      </w:pPr>
      <w:r>
        <w:rPr/>
        <w:t>采购包预算金额：989,836.16元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装修工程</w:t>
            </w:r>
          </w:p>
        </w:tc>
        <w:tc>
          <w:tcPr>
            <w:tcW w:type="dxa" w:w="2136"/>
          </w:tcPr>
          <w:p>
            <w:pPr>
              <w:pStyle w:val="null3"/>
            </w:pPr>
            <w:r>
              <w:rPr/>
              <w:t>华南农业大学兽医学院新楼8、9楼北侧部分实验室装修工程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合同履行期限：详见用户需求书</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2）有依法缴纳税收和社会保障资金的良好记录：提供首次报价截止日前6个月内任意1个月依法缴纳税收和社会保障资金的相关材料。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2024或2025年度经会计师事务所审计的财务状况报告；2.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采购包1（华南农业大学兽医学院新楼8、9楼北侧部分实验室装修工程）：</w:t>
      </w:r>
      <w:r>
        <w:rPr/>
        <w:t>本项目属于整体专门面向中小企业采购。供应商须是符合本项目采购标的对应行业（本项目行业为：建筑业）的政策划分标准的中小企业。监狱企业、残疾人福利单位视同小型、微型企业。 （注1：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录https://czt.gd.gov.cn/zfcg/content/post_4497011.html查阅。） （注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3"/>
        <w:outlineLvl w:val="3"/>
      </w:pPr>
      <w:r>
        <w:rPr>
          <w:sz w:val="24"/>
          <w:b/>
        </w:rPr>
        <w:t>3.本项目特定的资格要求：</w:t>
      </w:r>
    </w:p>
    <w:p>
      <w:pPr>
        <w:pStyle w:val="null3"/>
      </w:pPr>
      <w:r>
        <w:rPr/>
        <w:t>采购包1（华南农业大学兽医学院新楼8、9楼北侧部分实验室装修工程）：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3)报价供应商必须具备有效期内的建筑装修装饰工程专业承包和建筑机电安装工程专业承包（或建筑机电工程专业承包）资质证书。首次报价时响应文件提供证书复印件。</w:t>
      </w:r>
    </w:p>
    <w:p>
      <w:pPr>
        <w:pStyle w:val="null3"/>
      </w:pPr>
      <w:r>
        <w:rPr/>
        <w:t>4)报价供应商必须具有建设行政主管部门颁发的有效期内的《安全生产许可证》。首次响应时响应文件提供证书复印件。</w:t>
      </w:r>
    </w:p>
    <w:p>
      <w:pPr>
        <w:pStyle w:val="null3"/>
      </w:pPr>
      <w:r>
        <w:rPr/>
        <w:t>5)报价供应商拟担任本工程项目负责人的人员, 首次报价响应文件提供以下证书复印件: （1）须具备建筑工程专业二级（或以上）注册建造师执业资格证书，（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p>
      <w:pPr>
        <w:pStyle w:val="null3"/>
      </w:pPr>
      <w:r>
        <w:rPr/>
        <w:t>6)专职安全员须具有在有效期内的安全生产考核合格证(C类)或建筑施工企业专职安全生产管理人员安全生产考核合格证(综合类C3)，提供证书复印件。 注：项目负责人在任职期间不得担任专职安全员，项目专职安全员在任职期间也不得担任项目负责人，项目负责人和安全员不为同一人。首次报价响应文件提供承诺函。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华南农业大学</w:t>
      </w:r>
    </w:p>
    <w:p>
      <w:pPr>
        <w:pStyle w:val="null3"/>
        <w:ind w:firstLine="480"/>
      </w:pPr>
      <w:r>
        <w:rPr/>
        <w:t>地址：</w:t>
      </w:r>
      <w:r>
        <w:rPr/>
        <w:t>五山路483号</w:t>
      </w:r>
    </w:p>
    <w:p>
      <w:pPr>
        <w:pStyle w:val="null3"/>
        <w:ind w:firstLine="480"/>
      </w:pPr>
      <w:r>
        <w:rPr/>
        <w:t>联系方式：</w:t>
      </w:r>
      <w:r>
        <w:rPr/>
        <w:t>15013106935</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020-83186821（邮箱：gpcgd_zhaol@gd.gov.cn）</w:t>
      </w:r>
    </w:p>
    <w:p>
      <w:pPr>
        <w:pStyle w:val="null3"/>
        <w:outlineLvl w:val="3"/>
      </w:pPr>
      <w:r>
        <w:rPr>
          <w:sz w:val="24"/>
          <w:b/>
        </w:rPr>
        <w:t xml:space="preserve"> 3.项目联系方式</w:t>
      </w:r>
    </w:p>
    <w:p>
      <w:pPr>
        <w:pStyle w:val="null3"/>
        <w:ind w:firstLine="480"/>
      </w:pPr>
      <w:r>
        <w:rPr/>
        <w:t xml:space="preserve"> 项目联系人：</w:t>
      </w:r>
      <w:r>
        <w:rPr/>
        <w:t>赵工</w:t>
      </w:r>
    </w:p>
    <w:p>
      <w:pPr>
        <w:pStyle w:val="null3"/>
        <w:ind w:firstLine="480"/>
      </w:pPr>
      <w:r>
        <w:rPr/>
        <w:t xml:space="preserve"> 电话：</w:t>
      </w:r>
      <w:r>
        <w:rPr/>
        <w:t>020-83186821（邮箱：gpcgd_zhaol@gd.gov.cn）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项目内容及需求：(采购项目技术要求，需要落实的政府采购政策)</w:t>
      </w:r>
    </w:p>
    <w:p>
      <w:pPr>
        <w:pStyle w:val="null3"/>
        <w:ind w:firstLine="420"/>
        <w:jc w:val="both"/>
      </w:pPr>
      <w:r>
        <w:rPr>
          <w:sz w:val="21"/>
        </w:rPr>
        <w:t>采购内容：具体详见用户需求书。</w:t>
      </w:r>
    </w:p>
    <w:p>
      <w:pPr>
        <w:pStyle w:val="null3"/>
        <w:ind w:firstLine="420"/>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w:t>
      </w:r>
      <w:r>
        <w:rPr>
          <w:sz w:val="21"/>
        </w:rPr>
        <w:t>2019</w:t>
      </w:r>
      <w:r>
        <w:rPr>
          <w:sz w:val="21"/>
        </w:rPr>
        <w:t>〕9号）等。</w:t>
      </w:r>
    </w:p>
    <w:p>
      <w:pPr>
        <w:pStyle w:val="null3"/>
        <w:ind w:firstLine="420"/>
        <w:jc w:val="both"/>
      </w:pPr>
      <w:r>
        <w:rPr>
          <w:sz w:val="21"/>
        </w:rPr>
        <w:t>本项目属于工程标</w:t>
      </w:r>
      <w:r>
        <w:rPr>
          <w:sz w:val="21"/>
        </w:rPr>
        <w:t>，其中小企业划分标准所属行业为：</w:t>
      </w:r>
      <w:r>
        <w:rPr>
          <w:sz w:val="21"/>
        </w:rPr>
        <w:t>建筑业。本项目不接受联合体投标。</w:t>
      </w:r>
    </w:p>
    <w:p>
      <w:pPr>
        <w:pStyle w:val="null3"/>
        <w:ind w:firstLine="420"/>
        <w:jc w:val="both"/>
      </w:pPr>
      <w:r>
        <w:rPr/>
        <w:t xml:space="preserve"> </w:t>
      </w:r>
    </w:p>
    <w:p>
      <w:pPr>
        <w:pStyle w:val="null3"/>
        <w:jc w:val="center"/>
      </w:pPr>
      <w:r>
        <w:rPr>
          <w:sz w:val="28"/>
          <w:b/>
        </w:rPr>
        <w:t>用户需求书</w:t>
      </w:r>
    </w:p>
    <w:p>
      <w:pPr>
        <w:pStyle w:val="null3"/>
        <w:ind w:firstLine="422"/>
        <w:jc w:val="both"/>
      </w:pPr>
      <w:r>
        <w:rPr>
          <w:sz w:val="21"/>
          <w:b/>
        </w:rPr>
        <w:t>项目须知</w:t>
      </w:r>
    </w:p>
    <w:p>
      <w:pPr>
        <w:pStyle w:val="null3"/>
        <w:ind w:firstLine="420"/>
        <w:jc w:val="both"/>
      </w:pPr>
      <w:r>
        <w:rPr>
          <w:sz w:val="21"/>
        </w:rPr>
        <w:t>1</w:t>
      </w:r>
      <w:r>
        <w:rPr>
          <w:sz w:val="21"/>
        </w:rPr>
        <w:t>、采购文件中带“★”的条款为本次采购的重要要求，供应商必须全部满足或响应，只要不满足任一带“★”的条款，将被认定为无效投标（响应）。采购文件中带“▲”(如有)的条款为本次采购较为重要的要求，供应商无法满足或响应时，将影响其评审分值。</w:t>
      </w:r>
    </w:p>
    <w:p>
      <w:pPr>
        <w:pStyle w:val="null3"/>
        <w:ind w:firstLine="420"/>
        <w:jc w:val="both"/>
      </w:pPr>
      <w:r>
        <w:rPr>
          <w:sz w:val="21"/>
        </w:rPr>
        <w:t>2</w:t>
      </w:r>
      <w:r>
        <w:rPr>
          <w:sz w:val="21"/>
        </w:rPr>
        <w:t>、因投标（响应）格式中《政策适用性说明》无法满足项目填写需要，如涉及符合政策要求的节能产品、环境标志产品，请供应商按需求附件《节能环保政策适用性说明》的格式进行填写。</w:t>
      </w:r>
    </w:p>
    <w:p>
      <w:pPr>
        <w:pStyle w:val="null3"/>
        <w:ind w:firstLine="420"/>
        <w:jc w:val="left"/>
      </w:pPr>
      <w:r>
        <w:rPr>
          <w:sz w:val="21"/>
        </w:rPr>
        <w:t>★3、本项目不允许分包，如供应商在响应文件中未出现《分包意向协议书》，则视为未采取分包。</w:t>
      </w:r>
    </w:p>
    <w:p>
      <w:pPr>
        <w:pStyle w:val="null3"/>
        <w:ind w:firstLine="420"/>
        <w:jc w:val="left"/>
      </w:pPr>
      <w:r>
        <w:rPr>
          <w:sz w:val="21"/>
        </w:rPr>
        <w:t>★4、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格式见用户需求书后附）</w:t>
      </w:r>
    </w:p>
    <w:p>
      <w:pPr>
        <w:pStyle w:val="null3"/>
        <w:ind w:firstLine="420"/>
        <w:jc w:val="left"/>
      </w:pPr>
      <w:r>
        <w:rPr>
          <w:sz w:val="21"/>
        </w:rPr>
        <w:t>5</w:t>
      </w:r>
      <w:r>
        <w:rPr>
          <w:sz w:val="21"/>
        </w:rPr>
        <w:t>、采购文件所要求的证书、资质等材料，如有有效期限制的，供应商所提供的资质、证书等材料均应处于有效期内，否则按无效材料处理。</w:t>
      </w:r>
    </w:p>
    <w:p>
      <w:pPr>
        <w:pStyle w:val="null3"/>
        <w:ind w:firstLine="420"/>
        <w:jc w:val="left"/>
      </w:pPr>
      <w:r>
        <w:rPr>
          <w:sz w:val="21"/>
        </w:rPr>
        <w:t>★6、首次响应截止时间之日起项目负责人未担任其他在建工程项目的项目负责人（首次响应时提交承诺，承诺可参照“投标文件格式”中《承诺函》格式）。</w:t>
      </w:r>
    </w:p>
    <w:p>
      <w:pPr>
        <w:pStyle w:val="null3"/>
        <w:ind w:firstLine="420"/>
        <w:jc w:val="left"/>
      </w:pPr>
      <w:r>
        <w:rPr>
          <w:sz w:val="21"/>
        </w:rPr>
        <w:t>7</w:t>
      </w:r>
      <w:r>
        <w:rPr>
          <w:sz w:val="21"/>
        </w:rPr>
        <w:t>、因同一项目负责人不得同时兼管多项建设工程施工，请供应商不要同时指派同一人作为多个工程的项目负责人参加建设工程项目（包组）参与项目（包组）竞争，以免同时成交而违反相关规定。一经发现成交供应商拟派本项目（包组）的项目负责人同时担任两个或以上在建工程项目，采购人有权取消其成交资格。</w:t>
      </w:r>
    </w:p>
    <w:p>
      <w:pPr>
        <w:pStyle w:val="null3"/>
        <w:ind w:firstLine="420"/>
        <w:jc w:val="left"/>
      </w:pPr>
      <w:r>
        <w:rPr>
          <w:sz w:val="21"/>
        </w:rPr>
        <w:t>8</w:t>
      </w:r>
      <w:r>
        <w:rPr>
          <w:sz w:val="21"/>
        </w:rPr>
        <w:t>、本项目属于政府采购支持绿色建材促进建筑品质提升政策实施项目。本项目采购需求如与《绿色建筑和绿色建材政府采购需求标准（2025年版）》（下简称：《需求标准》，见公告附件）相矛盾或不一致的，以《需求标准》为准。</w:t>
      </w:r>
    </w:p>
    <w:p>
      <w:pPr>
        <w:pStyle w:val="null3"/>
        <w:ind w:firstLine="420"/>
        <w:jc w:val="left"/>
      </w:pPr>
      <w:r>
        <w:rPr>
          <w:sz w:val="21"/>
        </w:rPr>
        <w:t>★供应商须提供以下承诺（首次响应时提供承诺函，</w:t>
      </w:r>
      <w:r>
        <w:rPr>
          <w:sz w:val="21"/>
        </w:rPr>
        <w:t>格式见用户需求书后附</w:t>
      </w:r>
      <w:r>
        <w:rPr>
          <w:sz w:val="21"/>
        </w:rPr>
        <w:t>）：</w:t>
      </w:r>
    </w:p>
    <w:p>
      <w:pPr>
        <w:pStyle w:val="null3"/>
        <w:ind w:firstLine="420"/>
        <w:jc w:val="left"/>
      </w:pPr>
      <w:r>
        <w:rPr>
          <w:sz w:val="21"/>
        </w:rPr>
        <w:t>①供应商须满足《需求标准》的要求。</w:t>
      </w:r>
    </w:p>
    <w:p>
      <w:pPr>
        <w:pStyle w:val="null3"/>
        <w:ind w:firstLine="420"/>
        <w:jc w:val="left"/>
      </w:pPr>
      <w:r>
        <w:rPr>
          <w:sz w:val="21"/>
        </w:rPr>
        <w:t>②本项目（包组）中所涉及建材如属于《需求标准》中必选类产品的，供应商所提供的产品品质属性要求应满足《需求标准》对应产品的品质属性要求。本项目（包组）中所涉及建材如属于《需求标准》中可选类产品时，供应商所提供的绿色建材选用量应不低于建筑项目所涉及的建材小类的40%。具体比例的计算见《需求标准》。</w:t>
      </w:r>
    </w:p>
    <w:p>
      <w:pPr>
        <w:pStyle w:val="null3"/>
        <w:ind w:firstLine="420"/>
        <w:jc w:val="left"/>
      </w:pPr>
      <w:r>
        <w:rPr>
          <w:sz w:val="21"/>
        </w:rPr>
        <w:t>③供应商提供产品、材料及设备除应符合《需求标准》技术指标外，还应符合现行国家法律法规、强制性标准及使用地的地方标准要求。</w:t>
      </w:r>
    </w:p>
    <w:p>
      <w:pPr>
        <w:pStyle w:val="null3"/>
        <w:ind w:firstLine="420"/>
        <w:jc w:val="left"/>
      </w:pPr>
      <w:r>
        <w:rPr>
          <w:sz w:val="21"/>
        </w:rPr>
        <w:t>④供应商不得使用《需求标准》附录A中规定的禁止使用的产品。</w:t>
      </w:r>
    </w:p>
    <w:p>
      <w:pPr>
        <w:pStyle w:val="null3"/>
        <w:ind w:firstLine="420"/>
        <w:jc w:val="both"/>
      </w:pPr>
      <w:r>
        <w:rPr>
          <w:sz w:val="21"/>
        </w:rPr>
        <w:t>9</w:t>
      </w:r>
      <w:r>
        <w:rPr>
          <w:sz w:val="21"/>
        </w:rPr>
        <w:t>、根据《国务院办公厅关于在政府采购中实施本国产品标准及相关政策的通知》（国办发〔2025〕34号）中“本国产品标准的适用范围”，本项目（包组）属性为工程，不适用本国产品标准及相关政策。</w:t>
      </w:r>
    </w:p>
    <w:p>
      <w:pPr>
        <w:pStyle w:val="null3"/>
        <w:ind w:left="420"/>
        <w:jc w:val="both"/>
      </w:pPr>
      <w:r>
        <w:rPr>
          <w:sz w:val="21"/>
          <w:b/>
        </w:rPr>
        <w:t>一、项目概况与采购内容</w:t>
      </w:r>
    </w:p>
    <w:p>
      <w:pPr>
        <w:pStyle w:val="null3"/>
        <w:ind w:firstLine="372"/>
        <w:jc w:val="both"/>
      </w:pPr>
      <w:r>
        <w:rPr>
          <w:sz w:val="21"/>
        </w:rPr>
        <w:t>1.1</w:t>
      </w:r>
      <w:r>
        <w:rPr>
          <w:sz w:val="21"/>
        </w:rPr>
        <w:t>采购项目名称：华南农业大学兽医学院新楼</w:t>
      </w:r>
      <w:r>
        <w:rPr>
          <w:sz w:val="21"/>
        </w:rPr>
        <w:t>8</w:t>
      </w:r>
      <w:r>
        <w:rPr>
          <w:sz w:val="21"/>
        </w:rPr>
        <w:t>、</w:t>
      </w:r>
      <w:r>
        <w:rPr>
          <w:sz w:val="21"/>
        </w:rPr>
        <w:t>9</w:t>
      </w:r>
      <w:r>
        <w:rPr>
          <w:sz w:val="21"/>
        </w:rPr>
        <w:t>楼北侧部分实验室装修工程</w:t>
      </w:r>
    </w:p>
    <w:p>
      <w:pPr>
        <w:pStyle w:val="null3"/>
        <w:ind w:firstLine="372"/>
        <w:jc w:val="both"/>
      </w:pPr>
      <w:r>
        <w:rPr>
          <w:sz w:val="21"/>
        </w:rPr>
        <w:t>1.2</w:t>
      </w:r>
      <w:r>
        <w:rPr>
          <w:sz w:val="21"/>
        </w:rPr>
        <w:t>工程建设地点：广东省广州市天河区五山路</w:t>
      </w:r>
      <w:r>
        <w:rPr>
          <w:sz w:val="21"/>
        </w:rPr>
        <w:t>483</w:t>
      </w:r>
      <w:r>
        <w:rPr>
          <w:sz w:val="21"/>
        </w:rPr>
        <w:t>号（华南农业大学兽医学院）</w:t>
      </w:r>
    </w:p>
    <w:p>
      <w:pPr>
        <w:pStyle w:val="null3"/>
        <w:ind w:firstLine="372"/>
        <w:jc w:val="both"/>
      </w:pPr>
      <w:r>
        <w:rPr>
          <w:sz w:val="21"/>
        </w:rPr>
        <w:t>1.3</w:t>
      </w:r>
      <w:r>
        <w:rPr>
          <w:sz w:val="21"/>
          <w:shd w:fill="FFFFFF" w:val="clear"/>
        </w:rPr>
        <w:t>工程预算</w:t>
      </w:r>
      <w:r>
        <w:rPr>
          <w:sz w:val="21"/>
        </w:rPr>
        <w:t>989836.16</w:t>
      </w:r>
      <w:r>
        <w:rPr>
          <w:sz w:val="21"/>
          <w:shd w:fill="FFFFFF" w:val="clear"/>
        </w:rPr>
        <w:t>元，其中包括：安全生产措施费</w:t>
      </w:r>
      <w:r>
        <w:rPr>
          <w:sz w:val="21"/>
        </w:rPr>
        <w:t>16122.15</w:t>
      </w:r>
      <w:r>
        <w:rPr>
          <w:sz w:val="21"/>
          <w:shd w:fill="FFFFFF" w:val="clear"/>
        </w:rPr>
        <w:t>元（建筑装饰部分</w:t>
      </w:r>
      <w:r>
        <w:rPr>
          <w:sz w:val="21"/>
          <w:shd w:fill="FFFFFF" w:val="clear"/>
        </w:rPr>
        <w:t>3722.46</w:t>
      </w:r>
      <w:r>
        <w:rPr>
          <w:sz w:val="21"/>
          <w:shd w:fill="FFFFFF" w:val="clear"/>
        </w:rPr>
        <w:t>元，安装部分</w:t>
      </w:r>
      <w:r>
        <w:rPr>
          <w:sz w:val="21"/>
          <w:shd w:fill="FFFFFF" w:val="clear"/>
        </w:rPr>
        <w:t>12399.69</w:t>
      </w:r>
      <w:r>
        <w:rPr>
          <w:sz w:val="21"/>
          <w:shd w:fill="FFFFFF" w:val="clear"/>
        </w:rPr>
        <w:t>元），暂列金额</w:t>
      </w:r>
      <w:r>
        <w:rPr>
          <w:sz w:val="21"/>
          <w:shd w:fill="FFFFFF" w:val="clear"/>
        </w:rPr>
        <w:t>0.00</w:t>
      </w:r>
      <w:r>
        <w:rPr>
          <w:sz w:val="21"/>
          <w:shd w:fill="FFFFFF" w:val="clear"/>
        </w:rPr>
        <w:t>元</w:t>
      </w:r>
      <w:r>
        <w:rPr>
          <w:sz w:val="21"/>
          <w:shd w:fill="FFFFFF" w:val="clear"/>
        </w:rPr>
        <w:t>。</w:t>
      </w:r>
    </w:p>
    <w:p>
      <w:pPr>
        <w:pStyle w:val="null3"/>
        <w:ind w:firstLine="372"/>
        <w:jc w:val="both"/>
      </w:pPr>
      <w:r>
        <w:rPr>
          <w:sz w:val="21"/>
        </w:rPr>
        <w:t>★</w:t>
      </w:r>
      <w:r>
        <w:rPr>
          <w:sz w:val="21"/>
          <w:shd w:fill="FFFFFF" w:val="clear"/>
        </w:rPr>
        <w:t>说明：安全生产措施费</w:t>
      </w:r>
      <w:r>
        <w:rPr>
          <w:sz w:val="21"/>
        </w:rPr>
        <w:t>16122.15</w:t>
      </w:r>
      <w:r>
        <w:rPr>
          <w:sz w:val="21"/>
          <w:shd w:fill="FFFFFF" w:val="clear"/>
        </w:rPr>
        <w:t>元，其中建筑装饰部分3722.46元，安装部分12399.69元，暂列金额0.00元，均不作为竞争性费用，供应商须按需求固定价报价。</w:t>
      </w:r>
      <w:r>
        <w:rPr>
          <w:sz w:val="21"/>
          <w:shd w:fill="FFFFFF" w:val="clear"/>
        </w:rPr>
        <w:t>不按此固定价报价的为无效报价。</w:t>
      </w:r>
      <w:r>
        <w:rPr>
          <w:sz w:val="21"/>
        </w:rPr>
        <w:t>（</w:t>
      </w:r>
      <w:r>
        <w:rPr>
          <w:sz w:val="21"/>
          <w:b/>
        </w:rPr>
        <w:t>首次响应时提供“首次报价表”，格式见用户需求书后附。）</w:t>
      </w:r>
    </w:p>
    <w:p>
      <w:pPr>
        <w:pStyle w:val="null3"/>
        <w:ind w:firstLine="372"/>
        <w:jc w:val="both"/>
      </w:pPr>
      <w:r>
        <w:rPr>
          <w:sz w:val="21"/>
        </w:rPr>
        <w:t>1.4</w:t>
      </w:r>
      <w:r>
        <w:rPr>
          <w:sz w:val="21"/>
        </w:rPr>
        <w:t>采购内容：</w:t>
      </w:r>
      <w:r>
        <w:rPr>
          <w:sz w:val="21"/>
          <w:shd w:fill="FFFFFF" w:val="clear"/>
        </w:rPr>
        <w:t>完成</w:t>
      </w:r>
      <w:r>
        <w:rPr>
          <w:sz w:val="21"/>
          <w:shd w:fill="FFFFFF" w:val="clear"/>
        </w:rPr>
        <w:t>451</w:t>
      </w:r>
      <w:r>
        <w:rPr>
          <w:sz w:val="21"/>
          <w:shd w:fill="FFFFFF" w:val="clear"/>
        </w:rPr>
        <w:t>方米的科研实验室室内装修建设，包括实验台安装、地面铺设</w:t>
      </w:r>
      <w:r>
        <w:rPr>
          <w:sz w:val="21"/>
          <w:shd w:fill="FFFFFF" w:val="clear"/>
        </w:rPr>
        <w:t>PVC</w:t>
      </w:r>
      <w:r>
        <w:rPr>
          <w:sz w:val="21"/>
          <w:shd w:fill="FFFFFF" w:val="clear"/>
        </w:rPr>
        <w:t>、水电安装等，具体以施工图设计文件及招标工程量清单为准。</w:t>
      </w:r>
    </w:p>
    <w:p>
      <w:pPr>
        <w:pStyle w:val="null3"/>
        <w:ind w:firstLine="420"/>
        <w:jc w:val="both"/>
      </w:pPr>
      <w:r>
        <w:rPr>
          <w:sz w:val="21"/>
          <w:b/>
        </w:rPr>
        <w:t>二、采购要求</w:t>
      </w:r>
    </w:p>
    <w:p>
      <w:pPr>
        <w:pStyle w:val="null3"/>
        <w:ind w:firstLine="372"/>
        <w:jc w:val="both"/>
      </w:pPr>
      <w:r>
        <w:rPr>
          <w:sz w:val="21"/>
          <w:shd w:fill="FFFFFF" w:val="clear"/>
        </w:rPr>
        <w:t>1.</w:t>
      </w:r>
      <w:r>
        <w:rPr>
          <w:sz w:val="21"/>
          <w:shd w:fill="FFFFFF" w:val="clear"/>
        </w:rPr>
        <w:t>采购内容：完成</w:t>
      </w:r>
      <w:r>
        <w:rPr>
          <w:sz w:val="21"/>
          <w:shd w:fill="FFFFFF" w:val="clear"/>
        </w:rPr>
        <w:t>451</w:t>
      </w:r>
      <w:r>
        <w:rPr>
          <w:sz w:val="21"/>
          <w:shd w:fill="FFFFFF" w:val="clear"/>
        </w:rPr>
        <w:t>平方米的科研实验室室内装修建设，提升科研工作环境等需求，具体以施工图设计文件及招标工程量清单为准。</w:t>
      </w:r>
    </w:p>
    <w:p>
      <w:pPr>
        <w:pStyle w:val="null3"/>
        <w:ind w:firstLine="372"/>
        <w:jc w:val="both"/>
      </w:pPr>
      <w:r>
        <w:rPr>
          <w:sz w:val="21"/>
        </w:rPr>
        <w:t>2.</w:t>
      </w:r>
      <w:r>
        <w:rPr>
          <w:sz w:val="21"/>
        </w:rPr>
        <w:t>建设工期：</w:t>
      </w:r>
      <w:r>
        <w:rPr>
          <w:sz w:val="21"/>
        </w:rPr>
        <w:t>70</w:t>
      </w:r>
      <w:r>
        <w:rPr>
          <w:sz w:val="21"/>
        </w:rPr>
        <w:t>天</w:t>
      </w:r>
    </w:p>
    <w:p>
      <w:pPr>
        <w:pStyle w:val="null3"/>
        <w:ind w:firstLine="372"/>
        <w:jc w:val="both"/>
      </w:pPr>
      <w:r>
        <w:rPr>
          <w:sz w:val="21"/>
        </w:rPr>
        <w:t>3.</w:t>
      </w:r>
      <w:r>
        <w:rPr>
          <w:sz w:val="21"/>
        </w:rPr>
        <w:t>工程付款方式：</w:t>
      </w:r>
    </w:p>
    <w:p>
      <w:pPr>
        <w:pStyle w:val="null3"/>
        <w:ind w:firstLine="372"/>
        <w:jc w:val="both"/>
      </w:pPr>
      <w:r>
        <w:rPr>
          <w:sz w:val="21"/>
        </w:rPr>
        <w:t>（</w:t>
      </w:r>
      <w:r>
        <w:rPr>
          <w:sz w:val="21"/>
        </w:rPr>
        <w:t>1</w:t>
      </w:r>
      <w:r>
        <w:rPr>
          <w:sz w:val="21"/>
        </w:rPr>
        <w:t>）在供应商无任何违约行为的情况下，合同签订后，采购人自收到发票后</w:t>
      </w:r>
      <w:r>
        <w:rPr>
          <w:sz w:val="21"/>
        </w:rPr>
        <w:t>10</w:t>
      </w:r>
      <w:r>
        <w:rPr>
          <w:sz w:val="21"/>
        </w:rPr>
        <w:t>个工作日内支付合同价（需扣除暂列金额后）的</w:t>
      </w:r>
      <w:r>
        <w:rPr>
          <w:sz w:val="21"/>
        </w:rPr>
        <w:t>30</w:t>
      </w:r>
      <w:r>
        <w:rPr>
          <w:sz w:val="21"/>
        </w:rPr>
        <w:t>%</w:t>
      </w:r>
      <w:r>
        <w:rPr>
          <w:sz w:val="21"/>
        </w:rPr>
        <w:t>作为预付款拨给供应商；</w:t>
      </w:r>
    </w:p>
    <w:p>
      <w:pPr>
        <w:pStyle w:val="null3"/>
        <w:ind w:firstLine="372"/>
        <w:jc w:val="both"/>
      </w:pPr>
      <w:r>
        <w:rPr>
          <w:sz w:val="21"/>
        </w:rPr>
        <w:t>（</w:t>
      </w:r>
      <w:r>
        <w:rPr>
          <w:sz w:val="21"/>
        </w:rPr>
        <w:t>2</w:t>
      </w:r>
      <w:r>
        <w:rPr>
          <w:sz w:val="21"/>
        </w:rPr>
        <w:t>）工程全部完工并经采购人验收合格后，采购人向供应商再支付合同价（扣除暂列金额）的</w:t>
      </w:r>
      <w:r>
        <w:rPr>
          <w:sz w:val="21"/>
        </w:rPr>
        <w:t>50</w:t>
      </w:r>
      <w:r>
        <w:rPr>
          <w:sz w:val="21"/>
        </w:rPr>
        <w:t>%</w:t>
      </w:r>
      <w:r>
        <w:rPr>
          <w:sz w:val="21"/>
        </w:rPr>
        <w:t>（即支付至扣除暂列金的合同价的</w:t>
      </w:r>
      <w:r>
        <w:rPr>
          <w:sz w:val="21"/>
        </w:rPr>
        <w:t>80%</w:t>
      </w:r>
      <w:r>
        <w:rPr>
          <w:sz w:val="21"/>
        </w:rPr>
        <w:t>）；</w:t>
      </w:r>
    </w:p>
    <w:p>
      <w:pPr>
        <w:pStyle w:val="null3"/>
        <w:ind w:firstLine="372"/>
        <w:jc w:val="both"/>
      </w:pPr>
      <w:r>
        <w:rPr>
          <w:sz w:val="21"/>
        </w:rPr>
        <w:t>（</w:t>
      </w:r>
      <w:r>
        <w:rPr>
          <w:sz w:val="21"/>
        </w:rPr>
        <w:t>3</w:t>
      </w:r>
      <w:r>
        <w:rPr>
          <w:sz w:val="21"/>
        </w:rPr>
        <w:t>）工程结算经采购人书面审定办理完结算手续后</w:t>
      </w:r>
      <w:r>
        <w:rPr>
          <w:sz w:val="21"/>
        </w:rPr>
        <w:t>10</w:t>
      </w:r>
      <w:r>
        <w:rPr>
          <w:sz w:val="21"/>
        </w:rPr>
        <w:t>个工作日内，成交人提交结算价的</w:t>
      </w:r>
      <w:r>
        <w:rPr>
          <w:sz w:val="21"/>
        </w:rPr>
        <w:t>3%</w:t>
      </w:r>
      <w:r>
        <w:rPr>
          <w:sz w:val="21"/>
        </w:rPr>
        <w:t>为质量保证金</w:t>
      </w:r>
      <w:r>
        <w:rPr>
          <w:sz w:val="21"/>
        </w:rPr>
        <w:t>(</w:t>
      </w:r>
      <w:r>
        <w:rPr>
          <w:sz w:val="21"/>
        </w:rPr>
        <w:t>或保函</w:t>
      </w:r>
      <w:r>
        <w:rPr>
          <w:sz w:val="21"/>
        </w:rPr>
        <w:t>)</w:t>
      </w:r>
      <w:r>
        <w:rPr>
          <w:sz w:val="21"/>
        </w:rPr>
        <w:t>，采购人支付工程款至结算价的</w:t>
      </w:r>
      <w:r>
        <w:rPr>
          <w:sz w:val="21"/>
        </w:rPr>
        <w:t>100%</w:t>
      </w:r>
      <w:r>
        <w:rPr>
          <w:sz w:val="21"/>
        </w:rPr>
        <w:t>。工程质量保修金</w:t>
      </w:r>
      <w:r>
        <w:rPr>
          <w:sz w:val="21"/>
        </w:rPr>
        <w:t>(</w:t>
      </w:r>
      <w:r>
        <w:rPr>
          <w:sz w:val="21"/>
        </w:rPr>
        <w:t>或保函</w:t>
      </w:r>
      <w:r>
        <w:rPr>
          <w:sz w:val="21"/>
        </w:rPr>
        <w:t>)</w:t>
      </w:r>
      <w:r>
        <w:rPr>
          <w:sz w:val="21"/>
        </w:rPr>
        <w:t>在工程质量验收合格之日起满贰年后</w:t>
      </w:r>
      <w:r>
        <w:rPr>
          <w:sz w:val="21"/>
        </w:rPr>
        <w:t>7</w:t>
      </w:r>
      <w:r>
        <w:rPr>
          <w:sz w:val="21"/>
        </w:rPr>
        <w:t>天内一次性退还给成交人。</w:t>
      </w:r>
    </w:p>
    <w:p>
      <w:pPr>
        <w:pStyle w:val="null3"/>
        <w:ind w:firstLine="368"/>
        <w:jc w:val="both"/>
      </w:pPr>
      <w:r>
        <w:rPr>
          <w:sz w:val="21"/>
        </w:rPr>
        <w:t>在采购人付款前，供应商应当向采购人提供等额合法发票，采购人自收到发票后</w:t>
      </w:r>
      <w:r>
        <w:rPr>
          <w:sz w:val="21"/>
        </w:rPr>
        <w:t>1</w:t>
      </w:r>
      <w:r>
        <w:rPr>
          <w:sz w:val="21"/>
        </w:rPr>
        <w:t>0</w:t>
      </w:r>
      <w:r>
        <w:rPr>
          <w:sz w:val="21"/>
        </w:rPr>
        <w:t>个工作日内将资金支付。</w:t>
      </w:r>
      <w:r>
        <w:rPr>
          <w:sz w:val="21"/>
        </w:rPr>
        <w:t>如因供应商未能及时提供前述发票而造成付款延误，不属采购人违约。</w:t>
      </w:r>
    </w:p>
    <w:p>
      <w:pPr>
        <w:pStyle w:val="null3"/>
        <w:ind w:firstLine="372"/>
        <w:jc w:val="both"/>
      </w:pPr>
      <w:r>
        <w:rPr>
          <w:sz w:val="21"/>
        </w:rPr>
        <w:t xml:space="preserve"> 4.</w:t>
      </w:r>
      <w:r>
        <w:rPr>
          <w:sz w:val="21"/>
        </w:rPr>
        <w:t>报价要求：</w:t>
      </w:r>
    </w:p>
    <w:p>
      <w:pPr>
        <w:pStyle w:val="null3"/>
        <w:ind w:firstLine="372"/>
        <w:jc w:val="both"/>
      </w:pPr>
      <w:r>
        <w:rPr>
          <w:sz w:val="21"/>
        </w:rPr>
        <w:t>本工程实行工程量清单计价，固定综合单价、措施项目费总价包干，工程量按实际完成的工程量结算。按照施工图和招标工程量清单内容，要求包工、包料、包机械、包工期、包质量、包安全生产、包文明施工、包劳保、包验收、包保修等。包配合主体建筑的施工单位组织项目整体竣工验收（含资料汇总、整理、政府申报）等，并取得相关部门认可的验收合格证明文件。本工程执行《建设工程工程量清单计价标准》</w:t>
      </w:r>
      <w:r>
        <w:rPr>
          <w:sz w:val="21"/>
        </w:rPr>
        <w:t>GB/T50500-2024</w:t>
      </w:r>
      <w:r>
        <w:rPr>
          <w:sz w:val="21"/>
        </w:rPr>
        <w:t>、</w:t>
      </w:r>
      <w:r>
        <w:rPr>
          <w:sz w:val="21"/>
        </w:rPr>
        <w:t>《关于调整</w:t>
      </w:r>
      <w:r>
        <w:rPr>
          <w:sz w:val="21"/>
        </w:rPr>
        <w:t>&lt;</w:t>
      </w:r>
      <w:r>
        <w:rPr>
          <w:sz w:val="21"/>
        </w:rPr>
        <w:t>广东省建设工程计价依据</w:t>
      </w:r>
      <w:r>
        <w:rPr>
          <w:sz w:val="21"/>
        </w:rPr>
        <w:t xml:space="preserve">2018 </w:t>
      </w:r>
      <w:r>
        <w:rPr>
          <w:sz w:val="21"/>
        </w:rPr>
        <w:t>计价规则</w:t>
      </w:r>
      <w:r>
        <w:rPr>
          <w:sz w:val="21"/>
        </w:rPr>
        <w:t>&gt;</w:t>
      </w:r>
      <w:r>
        <w:rPr>
          <w:sz w:val="21"/>
        </w:rPr>
        <w:t>的通知》</w:t>
      </w:r>
      <w:r>
        <w:rPr>
          <w:sz w:val="21"/>
        </w:rPr>
        <w:t>(</w:t>
      </w:r>
      <w:r>
        <w:rPr>
          <w:sz w:val="21"/>
        </w:rPr>
        <w:t>粤标定函〔</w:t>
      </w:r>
      <w:r>
        <w:rPr>
          <w:sz w:val="21"/>
        </w:rPr>
        <w:t>2025</w:t>
      </w:r>
      <w:r>
        <w:rPr>
          <w:sz w:val="21"/>
        </w:rPr>
        <w:t>〕</w:t>
      </w:r>
      <w:r>
        <w:rPr>
          <w:sz w:val="21"/>
        </w:rPr>
        <w:t>22</w:t>
      </w:r>
      <w:r>
        <w:rPr>
          <w:sz w:val="21"/>
        </w:rPr>
        <w:t>号</w:t>
      </w:r>
      <w:r>
        <w:rPr>
          <w:sz w:val="21"/>
        </w:rPr>
        <w:t>)</w:t>
      </w:r>
      <w:r>
        <w:rPr>
          <w:sz w:val="21"/>
        </w:rPr>
        <w:t>、《关于贯彻执行建设工程工程量清单计价标准及九项专业工程工程量计算标准的实施意见》（粤标定函〔</w:t>
      </w:r>
      <w:r>
        <w:rPr>
          <w:sz w:val="21"/>
        </w:rPr>
        <w:t>2025</w:t>
      </w:r>
      <w:r>
        <w:rPr>
          <w:sz w:val="21"/>
        </w:rPr>
        <w:t>〕</w:t>
      </w:r>
      <w:r>
        <w:rPr>
          <w:sz w:val="21"/>
        </w:rPr>
        <w:t>24</w:t>
      </w:r>
      <w:r>
        <w:rPr>
          <w:sz w:val="21"/>
        </w:rPr>
        <w:t>号），《广东省房屋建筑与装饰工程综合定额》</w:t>
      </w:r>
      <w:r>
        <w:rPr>
          <w:sz w:val="21"/>
        </w:rPr>
        <w:t>(2018)</w:t>
      </w:r>
      <w:r>
        <w:rPr>
          <w:sz w:val="21"/>
        </w:rPr>
        <w:t>，《广东省市政工程综合定额》（</w:t>
      </w:r>
      <w:r>
        <w:rPr>
          <w:sz w:val="21"/>
        </w:rPr>
        <w:t>2018</w:t>
      </w:r>
      <w:r>
        <w:rPr>
          <w:sz w:val="21"/>
        </w:rPr>
        <w:t>），《广东省通用安装工程综合定额》（</w:t>
      </w:r>
      <w:r>
        <w:rPr>
          <w:sz w:val="21"/>
        </w:rPr>
        <w:t>2018</w:t>
      </w:r>
      <w:r>
        <w:rPr>
          <w:sz w:val="21"/>
        </w:rPr>
        <w:t>）。</w:t>
      </w:r>
    </w:p>
    <w:p>
      <w:pPr>
        <w:pStyle w:val="null3"/>
        <w:ind w:firstLine="420"/>
        <w:jc w:val="both"/>
      </w:pPr>
      <w:r>
        <w:rPr>
          <w:sz w:val="21"/>
        </w:rPr>
        <w:t>工程量清单的成交综合单价</w:t>
      </w:r>
      <w:r>
        <w:rPr>
          <w:sz w:val="21"/>
        </w:rPr>
        <w:t>=</w:t>
      </w:r>
      <w:r>
        <w:rPr>
          <w:sz w:val="21"/>
        </w:rPr>
        <w:t>第一轮报价的单价×（竞争性磋商最终报价</w:t>
      </w:r>
      <w:r>
        <w:rPr>
          <w:sz w:val="21"/>
        </w:rPr>
        <w:t>-</w:t>
      </w:r>
      <w:r>
        <w:rPr>
          <w:sz w:val="21"/>
        </w:rPr>
        <w:t>不参与调价项目合计）</w:t>
      </w:r>
      <w:r>
        <w:rPr>
          <w:sz w:val="21"/>
        </w:rPr>
        <w:t>/</w:t>
      </w:r>
      <w:r>
        <w:rPr>
          <w:sz w:val="21"/>
        </w:rPr>
        <w:t>（第一轮报价</w:t>
      </w:r>
      <w:r>
        <w:rPr>
          <w:sz w:val="21"/>
        </w:rPr>
        <w:t>-</w:t>
      </w:r>
      <w:r>
        <w:rPr>
          <w:sz w:val="21"/>
        </w:rPr>
        <w:t>不参与调价项目合计）×</w:t>
      </w:r>
      <w:r>
        <w:rPr>
          <w:sz w:val="21"/>
        </w:rPr>
        <w:t>100%</w:t>
      </w:r>
      <w:r>
        <w:rPr>
          <w:sz w:val="21"/>
        </w:rPr>
        <w:t>；不参与调价项目包括：暂列金额、按系数计算的绿色施工安全防护措施费，项目范围和计费按国家、省市相关文件和采购文件的约定执行。</w:t>
      </w:r>
    </w:p>
    <w:p>
      <w:pPr>
        <w:pStyle w:val="null3"/>
        <w:ind w:firstLine="420"/>
        <w:jc w:val="both"/>
      </w:pPr>
      <w:r>
        <w:rPr>
          <w:sz w:val="21"/>
        </w:rPr>
        <w:t>5.</w:t>
      </w:r>
      <w:r>
        <w:rPr>
          <w:sz w:val="21"/>
        </w:rPr>
        <w:t>进度保障要求：</w:t>
      </w:r>
    </w:p>
    <w:p>
      <w:pPr>
        <w:pStyle w:val="null3"/>
        <w:ind w:firstLine="420"/>
        <w:jc w:val="both"/>
      </w:pPr>
      <w:r>
        <w:rPr>
          <w:sz w:val="21"/>
        </w:rPr>
        <w:t>项目进度控制需制定并执行详细计划，合理安排工序，调配人力物力，强化监督与协调，及时纠偏，确保项目按时按质完成。</w:t>
      </w:r>
    </w:p>
    <w:p>
      <w:pPr>
        <w:pStyle w:val="null3"/>
        <w:ind w:firstLine="420"/>
        <w:jc w:val="both"/>
      </w:pPr>
      <w:r>
        <w:rPr>
          <w:sz w:val="21"/>
        </w:rPr>
        <w:t>6.</w:t>
      </w:r>
      <w:r>
        <w:rPr>
          <w:sz w:val="21"/>
        </w:rPr>
        <w:t>质量保障要求：</w:t>
      </w:r>
    </w:p>
    <w:p>
      <w:pPr>
        <w:pStyle w:val="null3"/>
        <w:ind w:firstLine="420"/>
        <w:jc w:val="both"/>
      </w:pPr>
      <w:r>
        <w:rPr>
          <w:sz w:val="21"/>
        </w:rPr>
        <w:t>★（</w:t>
      </w:r>
      <w:r>
        <w:rPr>
          <w:sz w:val="21"/>
        </w:rPr>
        <w:t>1</w:t>
      </w:r>
      <w:r>
        <w:rPr>
          <w:sz w:val="21"/>
        </w:rPr>
        <w:t>）质量要求：合格，符合设计图纸要求和国家、省、市相关法律法规规定要求及行业颁发的工程质量验收标准。成交供应商应确保项目满足相关要求，如不满足应配合采购人进行整改直至达标。（响应时提供承诺函，格式见后附）</w:t>
      </w:r>
    </w:p>
    <w:p>
      <w:pPr>
        <w:pStyle w:val="null3"/>
        <w:ind w:firstLine="420"/>
        <w:jc w:val="both"/>
      </w:pPr>
      <w:r>
        <w:rPr>
          <w:sz w:val="21"/>
        </w:rPr>
        <w:t>（2）</w:t>
      </w:r>
      <w:r>
        <w:rPr>
          <w:sz w:val="21"/>
        </w:rPr>
        <w:t>质保要求：</w:t>
      </w:r>
    </w:p>
    <w:p>
      <w:pPr>
        <w:pStyle w:val="null3"/>
        <w:ind w:firstLine="420"/>
        <w:jc w:val="both"/>
      </w:pPr>
      <w:r>
        <w:rPr>
          <w:sz w:val="21"/>
        </w:rPr>
        <w:t>6.1</w:t>
      </w:r>
      <w:r>
        <w:rPr>
          <w:sz w:val="21"/>
        </w:rPr>
        <w:t>工程质量标准按国家现行施工及验收规范、工程质量标准为合格。</w:t>
      </w:r>
    </w:p>
    <w:p>
      <w:pPr>
        <w:pStyle w:val="null3"/>
        <w:ind w:firstLine="420"/>
        <w:jc w:val="both"/>
      </w:pPr>
      <w:r>
        <w:rPr>
          <w:sz w:val="21"/>
        </w:rPr>
        <w:t>6.2</w:t>
      </w:r>
      <w:r>
        <w:rPr>
          <w:sz w:val="21"/>
        </w:rPr>
        <w:t>施工中如采购人发现工程上存在问题时，应及时通知供应商，供应商在收到通知二天内采取有效措施纠正。否则，采购人有权采取措施，直至终止合同，由此造成的损失由供应商承担。</w:t>
      </w:r>
    </w:p>
    <w:p>
      <w:pPr>
        <w:pStyle w:val="null3"/>
        <w:ind w:firstLine="420"/>
        <w:jc w:val="both"/>
      </w:pPr>
      <w:r>
        <w:rPr>
          <w:sz w:val="21"/>
        </w:rPr>
        <w:t>6.3</w:t>
      </w:r>
      <w:r>
        <w:rPr>
          <w:sz w:val="21"/>
        </w:rPr>
        <w:t>保修期按中华人民共和国国务院令第</w:t>
      </w:r>
      <w:r>
        <w:rPr>
          <w:sz w:val="21"/>
        </w:rPr>
        <w:t>279</w:t>
      </w:r>
      <w:r>
        <w:rPr>
          <w:sz w:val="21"/>
        </w:rPr>
        <w:t>号《建设工程质量管理条例》第四十条规定，在正常使用条件下，建设工程的最低保修期限自竣工验收合格双方签字确认之日起计算。</w:t>
      </w:r>
    </w:p>
    <w:p>
      <w:pPr>
        <w:pStyle w:val="null3"/>
        <w:ind w:firstLine="420"/>
        <w:jc w:val="both"/>
      </w:pPr>
      <w:r>
        <w:rPr>
          <w:sz w:val="21"/>
        </w:rPr>
        <w:t>（</w:t>
      </w:r>
      <w:r>
        <w:rPr>
          <w:sz w:val="21"/>
        </w:rPr>
        <w:t>1</w:t>
      </w:r>
      <w:r>
        <w:rPr>
          <w:sz w:val="21"/>
        </w:rPr>
        <w:t>）屋面防水工程、有防水要求的卫生间、房间和外墙面的防渗漏，为</w:t>
      </w:r>
      <w:r>
        <w:rPr>
          <w:sz w:val="21"/>
        </w:rPr>
        <w:t xml:space="preserve"> 5 </w:t>
      </w:r>
      <w:r>
        <w:rPr>
          <w:sz w:val="21"/>
        </w:rPr>
        <w:t>年。</w:t>
      </w:r>
    </w:p>
    <w:p>
      <w:pPr>
        <w:pStyle w:val="null3"/>
        <w:ind w:firstLine="420"/>
        <w:jc w:val="both"/>
      </w:pPr>
      <w:r>
        <w:rPr>
          <w:sz w:val="21"/>
        </w:rPr>
        <w:t>（</w:t>
      </w:r>
      <w:r>
        <w:rPr>
          <w:sz w:val="21"/>
        </w:rPr>
        <w:t>2</w:t>
      </w:r>
      <w:r>
        <w:rPr>
          <w:sz w:val="21"/>
        </w:rPr>
        <w:t>）供热与供冷系统，为</w:t>
      </w:r>
      <w:r>
        <w:rPr>
          <w:sz w:val="21"/>
        </w:rPr>
        <w:t xml:space="preserve"> 2 </w:t>
      </w:r>
      <w:r>
        <w:rPr>
          <w:sz w:val="21"/>
        </w:rPr>
        <w:t>个采暖期、供冷期。</w:t>
      </w:r>
    </w:p>
    <w:p>
      <w:pPr>
        <w:pStyle w:val="null3"/>
        <w:ind w:firstLine="420"/>
        <w:jc w:val="both"/>
      </w:pPr>
      <w:r>
        <w:rPr>
          <w:sz w:val="21"/>
        </w:rPr>
        <w:t>（</w:t>
      </w:r>
      <w:r>
        <w:rPr>
          <w:sz w:val="21"/>
        </w:rPr>
        <w:t>3</w:t>
      </w:r>
      <w:r>
        <w:rPr>
          <w:sz w:val="21"/>
        </w:rPr>
        <w:t>）电气管线、给排水管道、设备安装和装修工程，为</w:t>
      </w:r>
      <w:r>
        <w:rPr>
          <w:sz w:val="21"/>
        </w:rPr>
        <w:t xml:space="preserve"> 2 </w:t>
      </w:r>
      <w:r>
        <w:rPr>
          <w:sz w:val="21"/>
        </w:rPr>
        <w:t>年。</w:t>
      </w:r>
    </w:p>
    <w:p>
      <w:pPr>
        <w:pStyle w:val="null3"/>
        <w:ind w:firstLine="420"/>
        <w:jc w:val="both"/>
      </w:pPr>
      <w:r>
        <w:rPr>
          <w:sz w:val="21"/>
        </w:rPr>
        <w:t>（</w:t>
      </w:r>
      <w:r>
        <w:rPr>
          <w:sz w:val="21"/>
        </w:rPr>
        <w:t>4</w:t>
      </w:r>
      <w:r>
        <w:rPr>
          <w:sz w:val="21"/>
        </w:rPr>
        <w:t>）基础设施工程、房屋建筑的地基基础工程和主体结构工程，为设计文件规定的该工程的合理使用年限。</w:t>
      </w:r>
    </w:p>
    <w:p>
      <w:pPr>
        <w:pStyle w:val="null3"/>
        <w:ind w:firstLine="420"/>
        <w:jc w:val="both"/>
      </w:pPr>
      <w:r>
        <w:rPr>
          <w:sz w:val="21"/>
        </w:rPr>
        <w:t>（</w:t>
      </w:r>
      <w:r>
        <w:rPr>
          <w:sz w:val="21"/>
        </w:rPr>
        <w:t>5</w:t>
      </w:r>
      <w:r>
        <w:rPr>
          <w:sz w:val="21"/>
        </w:rPr>
        <w:t>）其他项目的保修期限由发包方与承包方约定。</w:t>
      </w:r>
    </w:p>
    <w:p>
      <w:pPr>
        <w:pStyle w:val="null3"/>
        <w:ind w:firstLine="420"/>
        <w:jc w:val="both"/>
      </w:pPr>
      <w:r>
        <w:rPr>
          <w:sz w:val="21"/>
        </w:rPr>
        <w:t>保修期限内出现的质量问题，供应商在接到采购人通知后两天内进行检查，经双方鉴定，属供应商施工或材料质量问题，由供应商进行修复，修复费由供应商负责；属采购人使用不当造成的，修复费用由采购人负责。如对质量问题有争议，由相关质监部门裁定。</w:t>
      </w:r>
    </w:p>
    <w:p>
      <w:pPr>
        <w:pStyle w:val="null3"/>
        <w:ind w:firstLine="420"/>
        <w:jc w:val="both"/>
      </w:pPr>
      <w:r>
        <w:rPr>
          <w:sz w:val="21"/>
        </w:rPr>
        <w:t>7.</w:t>
      </w:r>
      <w:r>
        <w:rPr>
          <w:sz w:val="21"/>
        </w:rPr>
        <w:t>安全保障要求：</w:t>
      </w:r>
    </w:p>
    <w:p>
      <w:pPr>
        <w:pStyle w:val="null3"/>
        <w:ind w:firstLine="420"/>
        <w:jc w:val="both"/>
      </w:pPr>
      <w:r>
        <w:rPr>
          <w:sz w:val="21"/>
        </w:rPr>
        <w:t>项目安全控制需建立完善的安全保障体系，加强人员安全培训和现场安全监督，严格施工设备和材料的安全管理，做好风险评估与应急处理，确保项目施工安全无事故。</w:t>
      </w:r>
    </w:p>
    <w:p>
      <w:pPr>
        <w:pStyle w:val="null3"/>
        <w:ind w:firstLine="420"/>
        <w:jc w:val="both"/>
      </w:pPr>
      <w:r>
        <w:rPr>
          <w:sz w:val="21"/>
        </w:rPr>
        <w:t xml:space="preserve">8. </w:t>
      </w:r>
      <w:r>
        <w:rPr>
          <w:sz w:val="21"/>
        </w:rPr>
        <w:t>施工实施要求：</w:t>
      </w:r>
    </w:p>
    <w:p>
      <w:pPr>
        <w:pStyle w:val="null3"/>
        <w:ind w:firstLine="316"/>
        <w:jc w:val="both"/>
      </w:pPr>
      <w:r>
        <w:rPr>
          <w:sz w:val="21"/>
        </w:rPr>
        <w:t xml:space="preserve"> (1)</w:t>
      </w:r>
      <w:r>
        <w:rPr>
          <w:sz w:val="21"/>
        </w:rPr>
        <w:t>供应商应当遵守建设单位施工现场驻场人员管理的规定，安全生产，文明施工。自觉接受检查，无证人员一律不得进入施工现场，施工人员不得在施工现场留宿。施工人员未经批准不得进入其他区域。</w:t>
      </w:r>
    </w:p>
    <w:p>
      <w:pPr>
        <w:pStyle w:val="null3"/>
        <w:ind w:firstLine="316"/>
        <w:jc w:val="both"/>
      </w:pPr>
      <w:r>
        <w:rPr>
          <w:sz w:val="21"/>
        </w:rPr>
        <w:t>(2)</w:t>
      </w:r>
      <w:r>
        <w:rPr>
          <w:sz w:val="21"/>
        </w:rPr>
        <w:t>施工期间，所有材料转运费、保管费用由供应商自行负责。在工程进行中</w:t>
      </w:r>
      <w:r>
        <w:rPr>
          <w:sz w:val="21"/>
        </w:rPr>
        <w:t>,</w:t>
      </w:r>
      <w:r>
        <w:rPr>
          <w:sz w:val="21"/>
        </w:rPr>
        <w:t>供应商要注意保护场内的各种管线和设施。若有任何损坏，须立即通知有关部门，并由损坏责任单位承担损失和修复费用。</w:t>
      </w:r>
    </w:p>
    <w:p>
      <w:pPr>
        <w:pStyle w:val="null3"/>
        <w:ind w:firstLine="316"/>
        <w:jc w:val="both"/>
      </w:pPr>
      <w:r>
        <w:rPr>
          <w:sz w:val="21"/>
        </w:rPr>
        <w:t>(3)</w:t>
      </w:r>
      <w:r>
        <w:rPr>
          <w:sz w:val="21"/>
        </w:rPr>
        <w:t>供应商应当严格按照已经确认的施工方案组织施工，并接受采购人或其委托的监理单位对工程质量、工期、安全、文明施工、环保及工地纪律的监督和管理。</w:t>
      </w:r>
    </w:p>
    <w:p>
      <w:pPr>
        <w:pStyle w:val="null3"/>
        <w:ind w:firstLine="316"/>
        <w:jc w:val="both"/>
      </w:pPr>
      <w:r>
        <w:rPr>
          <w:sz w:val="21"/>
        </w:rPr>
        <w:t>(4)</w:t>
      </w:r>
      <w:r>
        <w:rPr>
          <w:sz w:val="21"/>
        </w:rPr>
        <w:t>供应商在施工期间应严格遵守国家、省、市有关防火、防爆和施工安全以及文明施工，深夜施工、环卫、治安与城管等规定，应建立规章制度和防护、防范措施，并承担由于自身措施不力造成事故责任和发生的费用。施工期间，应当建立施工安全用电制度，确保施工用电设备的完好无损，并设置漏电保护装置。施工用水、用电由采购人指定驳接点，由供应商自行布线管、加表计量，并向采购人交付水、电费。</w:t>
      </w:r>
    </w:p>
    <w:p>
      <w:pPr>
        <w:pStyle w:val="null3"/>
        <w:ind w:firstLine="316"/>
        <w:jc w:val="both"/>
      </w:pPr>
      <w:r>
        <w:rPr>
          <w:sz w:val="21"/>
        </w:rPr>
        <w:t>(5)</w:t>
      </w:r>
      <w:r>
        <w:rPr>
          <w:sz w:val="21"/>
        </w:rPr>
        <w:t>供应商须自行解决工人宿舍、食堂与生活设施等问题。</w:t>
      </w:r>
    </w:p>
    <w:p>
      <w:pPr>
        <w:pStyle w:val="null3"/>
        <w:ind w:firstLine="316"/>
        <w:jc w:val="both"/>
      </w:pPr>
      <w:r>
        <w:rPr>
          <w:sz w:val="21"/>
        </w:rPr>
        <w:t>(6)</w:t>
      </w:r>
      <w:r>
        <w:rPr>
          <w:sz w:val="21"/>
        </w:rPr>
        <w:t>施工所用的机械工具由施工队伍自备及自费运到施工工地，进场后进行必要的性能安全检查，完工后从工地自费搬出运走，施工所用的材料及机械工具由采购人提供适当的场所存放并由施工队伍自行保管，不得随便存放，以免造成不必要的丢失、损坏。</w:t>
      </w:r>
    </w:p>
    <w:p>
      <w:pPr>
        <w:pStyle w:val="null3"/>
        <w:ind w:firstLine="316"/>
        <w:jc w:val="both"/>
      </w:pPr>
      <w:r>
        <w:rPr>
          <w:sz w:val="21"/>
        </w:rPr>
        <w:t>(7)</w:t>
      </w:r>
      <w:r>
        <w:rPr>
          <w:sz w:val="21"/>
        </w:rPr>
        <w:t>供应商应当注意施工安全，做好安全文明施工工作，如因措施不当造成人身安全或工伤死亡事故，一切责任由供应商负责。</w:t>
      </w:r>
    </w:p>
    <w:p>
      <w:pPr>
        <w:pStyle w:val="null3"/>
        <w:ind w:firstLine="316"/>
        <w:jc w:val="both"/>
      </w:pPr>
      <w:r>
        <w:rPr>
          <w:sz w:val="21"/>
        </w:rPr>
        <w:t>(8)</w:t>
      </w:r>
      <w:r>
        <w:rPr>
          <w:sz w:val="21"/>
        </w:rPr>
        <w:t>供应商在工程施工期间，须严格遵守政府职能部门的各项规章制度，由于管理不善，导致政府职能部门的罚款和停工整改，由其发生的费用与损失由供应商自行承担，且采购人保留暂缓支付工程款的权利，以确保文明施工有效实行。</w:t>
      </w:r>
    </w:p>
    <w:p>
      <w:pPr>
        <w:pStyle w:val="null3"/>
        <w:jc w:val="both"/>
      </w:pPr>
      <w:r>
        <w:rPr>
          <w:sz w:val="21"/>
        </w:rPr>
        <w:t xml:space="preserve">  (9)</w:t>
      </w:r>
      <w:r>
        <w:rPr>
          <w:sz w:val="21"/>
        </w:rPr>
        <w:t>建筑垃圾应当及时清运干净，施工过程中应采取必要的有效措施减少对施工区域内进出人员的生活、工作造成的影响，并确保各方人员的安全，施工区域内由于供应商的责任造成的一切人员的伤亡，均由供应商承担由此产生的一切赔偿等后果。</w:t>
      </w:r>
    </w:p>
    <w:p>
      <w:pPr>
        <w:pStyle w:val="null3"/>
        <w:ind w:firstLine="420"/>
        <w:jc w:val="both"/>
      </w:pPr>
      <w:r>
        <w:rPr>
          <w:sz w:val="21"/>
        </w:rPr>
        <w:t>9</w:t>
      </w:r>
      <w:r>
        <w:rPr>
          <w:sz w:val="21"/>
        </w:rPr>
        <w:t>、验收要求</w:t>
      </w:r>
    </w:p>
    <w:p>
      <w:pPr>
        <w:pStyle w:val="null3"/>
        <w:ind w:firstLine="420"/>
        <w:jc w:val="both"/>
      </w:pPr>
      <w:r>
        <w:rPr>
          <w:sz w:val="21"/>
        </w:rPr>
        <w:t>（</w:t>
      </w:r>
      <w:r>
        <w:rPr>
          <w:sz w:val="21"/>
        </w:rPr>
        <w:t>1</w:t>
      </w:r>
      <w:r>
        <w:rPr>
          <w:sz w:val="21"/>
        </w:rPr>
        <w:t>）工程验收以施工图及说明书、图纸会审记录、有关变更的书面文件，按国家颁布的施工及验收规范和质量检验标准为依据。</w:t>
      </w:r>
    </w:p>
    <w:p>
      <w:pPr>
        <w:pStyle w:val="null3"/>
        <w:ind w:firstLine="420"/>
        <w:jc w:val="both"/>
      </w:pPr>
      <w:r>
        <w:rPr>
          <w:sz w:val="21"/>
        </w:rPr>
        <w:t>（</w:t>
      </w:r>
      <w:r>
        <w:rPr>
          <w:sz w:val="21"/>
        </w:rPr>
        <w:t>2</w:t>
      </w:r>
      <w:r>
        <w:rPr>
          <w:sz w:val="21"/>
        </w:rPr>
        <w:t>）隐蔽工程在供应商自检后填制记录表（范围、数量、质量等），持表通知采购人进行检查。采购人接到通知后</w:t>
      </w:r>
      <w:r>
        <w:rPr>
          <w:sz w:val="21"/>
        </w:rPr>
        <w:t>2</w:t>
      </w:r>
      <w:r>
        <w:rPr>
          <w:sz w:val="21"/>
        </w:rPr>
        <w:t>天内到场验收，验收合格并符合设计要求时，经双方签字后进行下一工序的施工。隐蔽工程隐蔽前，采购人没有及时检查的，供应商可以要求办理顺延工期，无权自检。</w:t>
      </w:r>
    </w:p>
    <w:p>
      <w:pPr>
        <w:pStyle w:val="null3"/>
        <w:ind w:firstLine="420"/>
        <w:jc w:val="both"/>
      </w:pPr>
      <w:r>
        <w:rPr>
          <w:sz w:val="21"/>
        </w:rPr>
        <w:t>（</w:t>
      </w:r>
      <w:r>
        <w:rPr>
          <w:sz w:val="21"/>
        </w:rPr>
        <w:t>3</w:t>
      </w:r>
      <w:r>
        <w:rPr>
          <w:sz w:val="21"/>
        </w:rPr>
        <w:t>）工程（包括单项工程）竣工前三天，由供应商通知采购人验收，采购人在供应商书面通知竣工后三天内验收完毕。工程内容及质量符合要求的，双方签字并盖章，同时供应商将全部真实有效图纸资料（包括分包工程的竣工验收资料）向采购人移交。如工程内容尚未完成或质量不合格的，由供应商在甲乙双方商定的期限内补建或返修后再进行验收，直到符合要求为止。并按最后验收合格的日期为实际竣工日期，由此发生的费用由供应商承担。工程（含单项工程）未验收，采购人提前使用或擅自动用，视为合格，由此而发生的质量或其他问题，由采购人负责。因供应商的原因致使工程在合理使用期内造成人身伤害（不管是否致命）和财产损失或损坏的，供应商应承担损失赔偿责任。</w:t>
      </w:r>
    </w:p>
    <w:p>
      <w:pPr>
        <w:pStyle w:val="null3"/>
        <w:ind w:firstLine="420"/>
        <w:jc w:val="both"/>
      </w:pPr>
      <w:r>
        <w:rPr>
          <w:sz w:val="21"/>
        </w:rPr>
        <w:t xml:space="preserve">10. </w:t>
      </w:r>
      <w:r>
        <w:rPr>
          <w:sz w:val="21"/>
        </w:rPr>
        <w:t>主要材料参考（或相当于）的品牌</w:t>
      </w:r>
    </w:p>
    <w:tbl>
      <w:tblPr>
        <w:tblW w:w="0" w:type="auto"/>
        <w:tblBorders>
          <w:top w:val="single"/>
          <w:left w:val="single"/>
          <w:bottom w:val="single"/>
          <w:right w:val="single"/>
          <w:insideH w:val="single"/>
          <w:insideV w:val="single"/>
        </w:tblBorders>
      </w:tblPr>
      <w:tblGrid>
        <w:gridCol w:w="1149"/>
        <w:gridCol w:w="2036"/>
        <w:gridCol w:w="843"/>
        <w:gridCol w:w="1411"/>
        <w:gridCol w:w="1411"/>
        <w:gridCol w:w="1440"/>
      </w:tblGrid>
      <w:tr>
        <w:tc>
          <w:tcPr>
            <w:tcW w:type="dxa" w:w="829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主要材料品牌参考表</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材料名称</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品牌（一）</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品牌（二）</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品牌（三）</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伟业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杰森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石膏板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伟业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杰森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泰山</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伟业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杰森</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乳胶漆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多乐士</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三颗树</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铝扣板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鸿匠</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迅域</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欧斯龙</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彩钢板</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华翱</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同达美</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天花</w:t>
            </w:r>
            <w:r>
              <w:rPr>
                <w:sz w:val="21"/>
              </w:rPr>
              <w:t>T</w:t>
            </w:r>
            <w:r>
              <w:rPr>
                <w:sz w:val="21"/>
              </w:rPr>
              <w:t>型铝</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易众</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永龙</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昌隆</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地面防水</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东方雨虹</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雨虹</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德高</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w:t>
            </w:r>
            <w:r>
              <w:rPr>
                <w:sz w:val="21"/>
              </w:rPr>
              <w:t>地板胶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丽杰</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LG</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KCC</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防滑地砖</w:t>
            </w:r>
            <w:r>
              <w:rPr>
                <w:sz w:val="21"/>
              </w:rPr>
              <w:t>/</w:t>
            </w:r>
            <w:r>
              <w:rPr>
                <w:sz w:val="21"/>
              </w:rPr>
              <w:t>抛光砖</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冠珠</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宏宇</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马可波罗</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水泥</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海螺</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台泥</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华润</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涂料</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多乐士</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三颗树</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钢化玻璃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信义</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信辉煌</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驰通</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门窗</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林森</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易众</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华翱</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电箱元器件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德力西</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正泰</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变频器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ABB</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德力西</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桥架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南粤</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宏际</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侨鑫</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电力电缆</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珠江花城</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万瑞通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广州电缆</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配管</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南粤</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宏际</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侨鑫</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面板灯</w:t>
            </w:r>
            <w:r>
              <w:rPr>
                <w:sz w:val="21"/>
              </w:rPr>
              <w:t>、扣板</w:t>
            </w:r>
            <w:r>
              <w:rPr>
                <w:sz w:val="21"/>
              </w:rPr>
              <w:t>灯</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亿朗</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君硕</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亮美聚</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开关插座</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TCL</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西门子</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海康威视</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大华</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H3C</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实验台柜台面</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富美家</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千思板</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菲尼克斯</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实验台</w:t>
            </w:r>
            <w:r>
              <w:rPr>
                <w:sz w:val="21"/>
              </w:rPr>
              <w:t>三联</w:t>
            </w:r>
            <w:r>
              <w:rPr>
                <w:sz w:val="21"/>
              </w:rPr>
              <w:t>水龙</w:t>
            </w:r>
            <w:r>
              <w:rPr>
                <w:sz w:val="21"/>
              </w:rPr>
              <w:t>头</w:t>
            </w:r>
            <w:r>
              <w:rPr>
                <w:sz w:val="21"/>
              </w:rPr>
              <w:t>，</w:t>
            </w:r>
            <w:r>
              <w:rPr>
                <w:sz w:val="21"/>
              </w:rPr>
              <w:t>PP</w:t>
            </w:r>
            <w:r>
              <w:rPr>
                <w:sz w:val="21"/>
              </w:rPr>
              <w:t>水盆，</w:t>
            </w:r>
            <w:r>
              <w:rPr>
                <w:sz w:val="21"/>
              </w:rPr>
              <w:t>PP</w:t>
            </w:r>
            <w:r>
              <w:rPr>
                <w:sz w:val="21"/>
              </w:rPr>
              <w:t>洗眼器</w:t>
            </w:r>
            <w:r>
              <w:rPr>
                <w:sz w:val="21"/>
              </w:rPr>
              <w:t>，pp水盆，PP滴水架</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浙江</w:t>
            </w:r>
            <w:r>
              <w:rPr>
                <w:sz w:val="21"/>
              </w:rPr>
              <w:t>科恩</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北京智创</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w:t>
            </w:r>
            <w:r>
              <w:rPr>
                <w:sz w:val="21"/>
              </w:rPr>
              <w:t>台雄</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实验台</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华博精科</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华诚</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煜鸿</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高效送风口</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林森</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中境</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坤灵</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w:t>
            </w:r>
            <w:r>
              <w:rPr>
                <w:sz w:val="21"/>
              </w:rPr>
              <w:t>级保温材料</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华美</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神舟</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中嘉福乐斯</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碳钢通风管道</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鞍钢</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武钢</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首钢</w:t>
            </w:r>
          </w:p>
        </w:tc>
      </w:tr>
      <w:tr>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气体管道</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KASN</w:t>
            </w:r>
          </w:p>
        </w:tc>
        <w:tc>
          <w:tcPr>
            <w:tcW w:type="dxa" w:w="1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FI-LOK</w:t>
            </w:r>
          </w:p>
        </w:tc>
        <w:tc>
          <w:tcPr>
            <w:tcW w:type="dxa" w:w="1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FEY-LOK</w:t>
            </w:r>
          </w:p>
        </w:tc>
      </w:tr>
    </w:tbl>
    <w:p>
      <w:pPr>
        <w:pStyle w:val="null3"/>
        <w:ind w:firstLine="420"/>
        <w:jc w:val="both"/>
      </w:pPr>
      <w:r>
        <w:rPr>
          <w:sz w:val="21"/>
        </w:rPr>
        <w:t>注：主要材料参考的品牌，供应商可以选择上述列表以外的其他品牌，但应不低于以上对应参考的品牌档次进行填报，质量须符合国标。施工前主要材料样板，经采购单位确认符合工程要求后方可使用。</w:t>
      </w:r>
    </w:p>
    <w:p>
      <w:pPr>
        <w:pStyle w:val="null3"/>
        <w:ind w:firstLine="420"/>
        <w:jc w:val="both"/>
      </w:pPr>
      <w:r>
        <w:rPr>
          <w:sz w:val="21"/>
        </w:rPr>
        <w:t xml:space="preserve">11. </w:t>
      </w:r>
      <w:r>
        <w:rPr>
          <w:sz w:val="21"/>
        </w:rPr>
        <w:t>实验家具材质等相关要求：</w:t>
      </w:r>
    </w:p>
    <w:p>
      <w:pPr>
        <w:pStyle w:val="null3"/>
        <w:ind w:firstLine="422"/>
        <w:jc w:val="both"/>
      </w:pPr>
      <w:r>
        <w:rPr>
          <w:sz w:val="21"/>
          <w:b/>
        </w:rPr>
        <w:t xml:space="preserve">1) </w:t>
      </w:r>
      <w:r>
        <w:rPr>
          <w:sz w:val="21"/>
          <w:b/>
        </w:rPr>
        <w:t>实验操作台台面：</w:t>
      </w:r>
    </w:p>
    <w:p>
      <w:pPr>
        <w:pStyle w:val="null3"/>
        <w:ind w:firstLine="420"/>
        <w:jc w:val="both"/>
      </w:pPr>
      <w:r>
        <w:rPr>
          <w:sz w:val="21"/>
        </w:rPr>
        <w:t>中央台、边台、转角柜、仪器台等实验操作台面选用</w:t>
      </w:r>
      <w:r>
        <w:rPr>
          <w:sz w:val="21"/>
        </w:rPr>
        <w:t>12.7mm</w:t>
      </w:r>
      <w:r>
        <w:rPr>
          <w:sz w:val="21"/>
        </w:rPr>
        <w:t>厚实</w:t>
      </w:r>
      <w:r>
        <w:rPr>
          <w:sz w:val="21"/>
        </w:rPr>
        <w:t>芯</w:t>
      </w:r>
      <w:r>
        <w:rPr>
          <w:sz w:val="21"/>
        </w:rPr>
        <w:t>理化板。</w:t>
      </w:r>
    </w:p>
    <w:p>
      <w:pPr>
        <w:pStyle w:val="null3"/>
        <w:ind w:firstLine="420"/>
        <w:jc w:val="both"/>
      </w:pPr>
      <w:r>
        <w:rPr>
          <w:sz w:val="21"/>
        </w:rPr>
        <w:t>为保证台面材料质量以及从环保角度保障实验室人员健康，台面板须满足以下技术参数及要求：</w:t>
      </w:r>
    </w:p>
    <w:p>
      <w:pPr>
        <w:pStyle w:val="null3"/>
        <w:ind w:firstLine="420"/>
      </w:pPr>
      <w:r>
        <w:rPr>
          <w:sz w:val="21"/>
        </w:rPr>
        <w:t>▲1、理化板台面表面耐腐蚀层理化膜采用“电子束固化技术”生产，化学性能测试依据“GB/T 17657-2022”实验方法进行检验，测试试剂至少包含且满足以下要求：1、硝酸(≥65%)；2、氢氧化钠(≥40%)；3、氢氟酸（≥40%）；4、硫酸（≥98%）；5、氯苯；6、高氯酸（90%）；7、王水；8、硝酸银饱和液；9、氯化镁（≥10%）；10、无水甲醇，以上实验室常用化学试剂，覆盖玻璃板、不覆盖检验结果均为“无明显变化”，分级结果均为5级。提供第三方检测机构或实验室出具的具有CMA或CNAS标识的检测报告复印件。</w:t>
      </w:r>
    </w:p>
    <w:p>
      <w:pPr>
        <w:pStyle w:val="null3"/>
        <w:ind w:firstLine="420"/>
        <w:jc w:val="both"/>
      </w:pPr>
      <w:r>
        <w:rPr>
          <w:sz w:val="21"/>
        </w:rPr>
        <w:t>▲2</w:t>
      </w:r>
      <w:r>
        <w:rPr>
          <w:sz w:val="21"/>
        </w:rPr>
        <w:t>、理化板甲醛释放量检测结果≤0.005mg/m³，根据检测结果，依据GB/T39600-2021判定为ENF 级。提供第三方检测机构或实验室出具的具有CMA或CNAS标识的检测报告复印件。</w:t>
      </w:r>
    </w:p>
    <w:p>
      <w:pPr>
        <w:pStyle w:val="null3"/>
        <w:ind w:firstLine="420"/>
        <w:jc w:val="both"/>
      </w:pPr>
      <w:r>
        <w:rPr>
          <w:sz w:val="21"/>
        </w:rPr>
        <w:t>3</w:t>
      </w:r>
      <w:r>
        <w:rPr>
          <w:sz w:val="21"/>
        </w:rPr>
        <w:t>、理化板物理性能优越,按照“GB/T 7911-2024”标准进行检验,检验项目的检验结果至少包含且满足以下要求：1、“耐划痕(金刚石划痕法)”≥4N试件表面无大于90%的连续划痕；2、“尺寸稳定性（高温）横向”检验结果≤0.65%；3、“耐辐射热”≥260s；4、“抗拉强度(纵向)”≥145MPa；5、“耐龟裂性能”≥5级用6倍放大镜观察表面无裂纹。</w:t>
      </w:r>
    </w:p>
    <w:p>
      <w:pPr>
        <w:pStyle w:val="null3"/>
        <w:ind w:firstLine="420"/>
        <w:jc w:val="both"/>
      </w:pPr>
      <w:r>
        <w:rPr>
          <w:sz w:val="21"/>
        </w:rPr>
        <w:t>4</w:t>
      </w:r>
      <w:r>
        <w:rPr>
          <w:sz w:val="21"/>
        </w:rPr>
        <w:t>、</w:t>
      </w:r>
      <w:r>
        <w:rPr>
          <w:sz w:val="21"/>
        </w:rPr>
        <w:t>理化板</w:t>
      </w:r>
      <w:r>
        <w:rPr>
          <w:sz w:val="21"/>
        </w:rPr>
        <w:t>“色差”检测结果达到△</w:t>
      </w:r>
      <w:r>
        <w:rPr>
          <w:sz w:val="21"/>
        </w:rPr>
        <w:t>E</w:t>
      </w:r>
      <w:r>
        <w:rPr>
          <w:sz w:val="21"/>
        </w:rPr>
        <w:t>≤</w:t>
      </w:r>
      <w:r>
        <w:rPr>
          <w:sz w:val="21"/>
        </w:rPr>
        <w:t>0.09</w:t>
      </w:r>
      <w:r>
        <w:rPr>
          <w:sz w:val="21"/>
        </w:rPr>
        <w:t>（检测方法为</w:t>
      </w:r>
      <w:r>
        <w:rPr>
          <w:sz w:val="21"/>
        </w:rPr>
        <w:t>GB/T 17657-2022</w:t>
      </w:r>
      <w:r>
        <w:rPr>
          <w:sz w:val="21"/>
        </w:rPr>
        <w:t>）。</w:t>
      </w:r>
    </w:p>
    <w:p>
      <w:pPr>
        <w:pStyle w:val="null3"/>
        <w:ind w:firstLine="420"/>
        <w:jc w:val="both"/>
      </w:pPr>
      <w:r>
        <w:rPr>
          <w:sz w:val="21"/>
        </w:rPr>
        <w:t>5</w:t>
      </w:r>
      <w:r>
        <w:rPr>
          <w:sz w:val="21"/>
        </w:rPr>
        <w:t>、</w:t>
      </w:r>
      <w:r>
        <w:rPr>
          <w:sz w:val="21"/>
        </w:rPr>
        <w:t>理化板</w:t>
      </w:r>
      <w:r>
        <w:rPr>
          <w:sz w:val="21"/>
        </w:rPr>
        <w:t>“静曲强度—浸渍</w:t>
      </w:r>
      <w:r>
        <w:rPr>
          <w:sz w:val="21"/>
        </w:rPr>
        <w:t>-</w:t>
      </w:r>
      <w:r>
        <w:rPr>
          <w:sz w:val="21"/>
        </w:rPr>
        <w:t>冰冻</w:t>
      </w:r>
      <w:r>
        <w:rPr>
          <w:sz w:val="21"/>
        </w:rPr>
        <w:t>-</w:t>
      </w:r>
      <w:r>
        <w:rPr>
          <w:sz w:val="21"/>
        </w:rPr>
        <w:t>干燥处理法”检测结果≥</w:t>
      </w:r>
      <w:r>
        <w:rPr>
          <w:sz w:val="21"/>
        </w:rPr>
        <w:t>82MPa</w:t>
      </w:r>
      <w:r>
        <w:rPr>
          <w:sz w:val="21"/>
        </w:rPr>
        <w:t>（检测方法为</w:t>
      </w:r>
      <w:r>
        <w:rPr>
          <w:sz w:val="21"/>
        </w:rPr>
        <w:t>GB/T 17657-2022</w:t>
      </w:r>
      <w:r>
        <w:rPr>
          <w:sz w:val="21"/>
        </w:rPr>
        <w:t>）。</w:t>
      </w:r>
    </w:p>
    <w:p>
      <w:pPr>
        <w:pStyle w:val="null3"/>
        <w:ind w:firstLine="420"/>
        <w:jc w:val="both"/>
      </w:pPr>
      <w:r>
        <w:rPr>
          <w:sz w:val="21"/>
        </w:rPr>
        <w:t>6</w:t>
      </w:r>
      <w:r>
        <w:rPr>
          <w:sz w:val="21"/>
        </w:rPr>
        <w:t>、</w:t>
      </w:r>
      <w:r>
        <w:rPr>
          <w:sz w:val="21"/>
        </w:rPr>
        <w:t>理化板</w:t>
      </w:r>
      <w:r>
        <w:rPr>
          <w:sz w:val="21"/>
        </w:rPr>
        <w:t>“比活度”测试依据检测标准</w:t>
      </w:r>
      <w:r>
        <w:rPr>
          <w:sz w:val="21"/>
        </w:rPr>
        <w:t>:</w:t>
      </w:r>
      <w:r>
        <w:rPr>
          <w:sz w:val="21"/>
        </w:rPr>
        <w:t>“钾</w:t>
      </w:r>
      <w:r>
        <w:rPr>
          <w:sz w:val="21"/>
        </w:rPr>
        <w:t>-40</w:t>
      </w:r>
      <w:r>
        <w:rPr>
          <w:sz w:val="21"/>
        </w:rPr>
        <w:t>”比活度测试检测结果＜</w:t>
      </w:r>
      <w:r>
        <w:rPr>
          <w:sz w:val="21"/>
        </w:rPr>
        <w:t>26Bq/kg</w:t>
      </w:r>
      <w:r>
        <w:rPr>
          <w:sz w:val="21"/>
        </w:rPr>
        <w:t>、“钍</w:t>
      </w:r>
      <w:r>
        <w:rPr>
          <w:sz w:val="21"/>
        </w:rPr>
        <w:t>-232</w:t>
      </w:r>
      <w:r>
        <w:rPr>
          <w:sz w:val="21"/>
        </w:rPr>
        <w:t>”比活度测试检测结果＜</w:t>
      </w:r>
      <w:r>
        <w:rPr>
          <w:sz w:val="21"/>
        </w:rPr>
        <w:t>3.5Bq/kg</w:t>
      </w:r>
      <w:r>
        <w:rPr>
          <w:sz w:val="21"/>
        </w:rPr>
        <w:t>。</w:t>
      </w:r>
    </w:p>
    <w:p>
      <w:pPr>
        <w:pStyle w:val="null3"/>
        <w:ind w:firstLine="420"/>
        <w:jc w:val="both"/>
      </w:pPr>
      <w:r>
        <w:rPr>
          <w:sz w:val="21"/>
        </w:rPr>
        <w:t>7</w:t>
      </w:r>
      <w:r>
        <w:rPr>
          <w:sz w:val="21"/>
        </w:rPr>
        <w:t>、</w:t>
      </w:r>
      <w:r>
        <w:rPr>
          <w:sz w:val="21"/>
        </w:rPr>
        <w:t>理化板台面</w:t>
      </w:r>
      <w:r>
        <w:rPr>
          <w:sz w:val="21"/>
        </w:rPr>
        <w:t>耐化学性参照</w:t>
      </w:r>
      <w:r>
        <w:rPr>
          <w:sz w:val="21"/>
        </w:rPr>
        <w:t>SEFA3-2010</w:t>
      </w:r>
      <w:r>
        <w:rPr>
          <w:sz w:val="21"/>
        </w:rPr>
        <w:t>测试方法，测试化学试剂至少包含且满足以下要求：</w:t>
      </w:r>
      <w:r>
        <w:rPr>
          <w:sz w:val="21"/>
        </w:rPr>
        <w:t>1</w:t>
      </w:r>
      <w:r>
        <w:rPr>
          <w:sz w:val="21"/>
        </w:rPr>
        <w:t>、乙酸戊酯；</w:t>
      </w:r>
      <w:r>
        <w:rPr>
          <w:sz w:val="21"/>
        </w:rPr>
        <w:t>2</w:t>
      </w:r>
      <w:r>
        <w:rPr>
          <w:sz w:val="21"/>
        </w:rPr>
        <w:t>、</w:t>
      </w:r>
      <w:r>
        <w:rPr>
          <w:sz w:val="21"/>
        </w:rPr>
        <w:t>48%</w:t>
      </w:r>
      <w:r>
        <w:rPr>
          <w:sz w:val="21"/>
        </w:rPr>
        <w:t>氢氟酸；</w:t>
      </w:r>
      <w:r>
        <w:rPr>
          <w:sz w:val="21"/>
        </w:rPr>
        <w:t>3</w:t>
      </w:r>
      <w:r>
        <w:rPr>
          <w:sz w:val="21"/>
        </w:rPr>
        <w:t>、硼酸；</w:t>
      </w:r>
      <w:r>
        <w:rPr>
          <w:sz w:val="21"/>
        </w:rPr>
        <w:t>4</w:t>
      </w:r>
      <w:r>
        <w:rPr>
          <w:sz w:val="21"/>
        </w:rPr>
        <w:t>、硅酸；</w:t>
      </w:r>
      <w:r>
        <w:rPr>
          <w:sz w:val="21"/>
        </w:rPr>
        <w:t>5</w:t>
      </w:r>
      <w:r>
        <w:rPr>
          <w:sz w:val="21"/>
        </w:rPr>
        <w:t>、氢氧化铁，以上化学试剂，测试结果等级须全部达到</w:t>
      </w:r>
      <w:r>
        <w:rPr>
          <w:sz w:val="21"/>
        </w:rPr>
        <w:t>0</w:t>
      </w:r>
      <w:r>
        <w:rPr>
          <w:sz w:val="21"/>
        </w:rPr>
        <w:t>级（无影响</w:t>
      </w:r>
      <w:r>
        <w:rPr>
          <w:sz w:val="21"/>
        </w:rPr>
        <w:t>-</w:t>
      </w:r>
      <w:r>
        <w:rPr>
          <w:sz w:val="21"/>
        </w:rPr>
        <w:t>无可见变化）。</w:t>
      </w:r>
    </w:p>
    <w:p>
      <w:pPr>
        <w:pStyle w:val="null3"/>
        <w:ind w:firstLine="420"/>
        <w:jc w:val="both"/>
      </w:pPr>
      <w:r>
        <w:rPr>
          <w:sz w:val="21"/>
        </w:rPr>
        <w:t>8</w:t>
      </w:r>
      <w:r>
        <w:rPr>
          <w:sz w:val="21"/>
        </w:rPr>
        <w:t>、</w:t>
      </w:r>
      <w:r>
        <w:rPr>
          <w:sz w:val="21"/>
        </w:rPr>
        <w:t>理化板</w:t>
      </w:r>
      <w:r>
        <w:rPr>
          <w:sz w:val="21"/>
        </w:rPr>
        <w:t>氟、氯、溴、碘卤素含量，以及六价铬、铅、汞重金属含量，测试结果均要求为“未检测到”。</w:t>
      </w:r>
    </w:p>
    <w:p>
      <w:pPr>
        <w:pStyle w:val="null3"/>
        <w:ind w:firstLine="422"/>
      </w:pPr>
      <w:r>
        <w:rPr>
          <w:sz w:val="21"/>
          <w:b/>
        </w:rPr>
        <w:t xml:space="preserve">2) </w:t>
      </w:r>
      <w:r>
        <w:rPr>
          <w:sz w:val="21"/>
          <w:b/>
        </w:rPr>
        <w:t>柜体：</w:t>
      </w:r>
    </w:p>
    <w:p>
      <w:pPr>
        <w:pStyle w:val="null3"/>
        <w:ind w:firstLine="420"/>
      </w:pPr>
      <w:r>
        <w:rPr>
          <w:sz w:val="21"/>
        </w:rPr>
        <w:t>采用≥1.0mm高品质一级钢板，经激光切割，数控折弯，高频自动焊接，表面经除油、清洗、去锈、清洗、 中和、表调、磷化、清洗等十一道工序，高温烘干防锈处理。</w:t>
      </w:r>
    </w:p>
    <w:p>
      <w:pPr>
        <w:pStyle w:val="null3"/>
        <w:ind w:firstLine="420"/>
      </w:pPr>
      <w:r>
        <w:rPr>
          <w:sz w:val="21"/>
        </w:rPr>
        <w:t xml:space="preserve">(1) </w:t>
      </w:r>
      <w:r>
        <w:rPr>
          <w:sz w:val="21"/>
        </w:rPr>
        <w:t>门板和抽屉面板：采用≥1.0mm高品质一级钢板，门面板双层结构制作，中间填充隔音材料，起到静音作用。</w:t>
      </w:r>
    </w:p>
    <w:p>
      <w:pPr>
        <w:pStyle w:val="null3"/>
        <w:ind w:firstLine="420"/>
      </w:pPr>
      <w:r>
        <w:rPr>
          <w:sz w:val="21"/>
        </w:rPr>
        <w:t xml:space="preserve">(2) </w:t>
      </w:r>
      <w:r>
        <w:rPr>
          <w:sz w:val="21"/>
        </w:rPr>
        <w:t>金属喷漆涂层：采用环氧树脂粉末喷涂，涂层厚度≥75μm，表面光滑均匀、色泽一致、无流挂、皱皮、鼓泡、 凹陷、压痕、漏喷、锈蚀。</w:t>
      </w:r>
    </w:p>
    <w:p>
      <w:pPr>
        <w:pStyle w:val="null3"/>
        <w:ind w:firstLine="422"/>
      </w:pPr>
      <w:r>
        <w:rPr>
          <w:sz w:val="21"/>
          <w:b/>
        </w:rPr>
        <w:t xml:space="preserve">3) </w:t>
      </w:r>
      <w:r>
        <w:rPr>
          <w:sz w:val="21"/>
          <w:b/>
        </w:rPr>
        <w:t>三联水龙头：</w:t>
      </w:r>
    </w:p>
    <w:p>
      <w:pPr>
        <w:pStyle w:val="null3"/>
        <w:ind w:firstLine="420"/>
      </w:pPr>
      <w:r>
        <w:rPr>
          <w:sz w:val="21"/>
        </w:rPr>
        <w:t>1</w:t>
      </w:r>
      <w:r>
        <w:rPr>
          <w:sz w:val="21"/>
        </w:rPr>
        <w:t>、阀体采用PP材质；</w:t>
      </w:r>
    </w:p>
    <w:p>
      <w:pPr>
        <w:pStyle w:val="null3"/>
        <w:ind w:firstLine="420"/>
      </w:pPr>
      <w:r>
        <w:rPr>
          <w:sz w:val="21"/>
        </w:rPr>
        <w:t>2</w:t>
      </w:r>
      <w:r>
        <w:rPr>
          <w:sz w:val="21"/>
        </w:rPr>
        <w:t>、出水嘴采用PP注塑，一体成型；</w:t>
      </w:r>
    </w:p>
    <w:p>
      <w:pPr>
        <w:pStyle w:val="null3"/>
        <w:ind w:firstLine="420"/>
      </w:pPr>
      <w:r>
        <w:rPr>
          <w:sz w:val="21"/>
        </w:rPr>
        <w:t>3</w:t>
      </w:r>
      <w:r>
        <w:rPr>
          <w:sz w:val="21"/>
        </w:rPr>
        <w:t>、直管采用PP注塑，一体成型；</w:t>
      </w:r>
    </w:p>
    <w:p>
      <w:pPr>
        <w:pStyle w:val="null3"/>
        <w:ind w:firstLine="420"/>
      </w:pPr>
      <w:r>
        <w:rPr>
          <w:sz w:val="21"/>
        </w:rPr>
        <w:t>4</w:t>
      </w:r>
      <w:r>
        <w:rPr>
          <w:sz w:val="21"/>
        </w:rPr>
        <w:t>、鹅颈管采用PP注塑，一体成型，可360度旋转。</w:t>
      </w:r>
    </w:p>
    <w:p>
      <w:pPr>
        <w:pStyle w:val="null3"/>
        <w:ind w:firstLine="420"/>
      </w:pPr>
      <w:r>
        <w:rPr>
          <w:sz w:val="21"/>
        </w:rPr>
        <w:t>检测报告：</w:t>
      </w:r>
    </w:p>
    <w:p>
      <w:pPr>
        <w:pStyle w:val="null3"/>
        <w:ind w:firstLine="420"/>
      </w:pPr>
      <w:r>
        <w:rPr>
          <w:sz w:val="21"/>
        </w:rPr>
        <w:t>▲（1）耐污染性能：依据GB/T 17657-2022标准，同一份检测报告需包含甲酸（AR，85%）、抗坏血酸（AR）、单宁酸（AR）、三氯乙酸（AR，98%）、氨水（氢氧化铵）（AR）、氢氧化钙（AR）、氢氧化钾（AR，≥85.0%）、磷酸氢二钠（无水）（AR，≥99.0%）、硫代硫酸钠（≥99.5%）、硫氰酸钾（GR，99%）、硫酸铁铵（&gt;98%）、已烷（AR，≥97.0%）、邻二甲苯（CP，≥98.0%）、四氯化碳、2-苯乙醇（&gt;99. 0%）、2-甲氧基乙醇（特纯99%）、糠醛（呋喃甲叉）（AR，99%）、桃醛（0.98）、二恶烷（1,4-二氧六环、二氧杂环已烷）（AR，99%）、丁酮（甲基乙基酮、甲乙酮）（AR，≥99.0%）、二正丁胺（1601）（AR）、N-甲基吡咯烷酮（&gt;99.5%）、二硫化碳（≥99.9%）、二氯甲烷（AR，≥99.5%），以上有机、无机试剂，耐污染接触时间≥48h，覆盖/未覆盖玻璃盖板，检验结果均为5级（无明显变化）。提供第三方检测机构或实验室出具的具有CMA或CNAS标识的检测报告复印件。</w:t>
      </w:r>
    </w:p>
    <w:p>
      <w:pPr>
        <w:pStyle w:val="null3"/>
        <w:ind w:firstLine="420"/>
      </w:pPr>
      <w:r>
        <w:rPr>
          <w:sz w:val="21"/>
        </w:rPr>
        <w:t>▲（2）抗菌性：依据JC/T 897-2014标准，要求≥14种细菌的检测，检测值≥99.99%（菌种包括粘质沙雷氏菌、鼠伤寒沙门氏菌、恶臭假单胞菌、鲍曼不动杆菌）。①提供第三方检测机构或实验室出具的具有CMA或CNAS标识的检测报告复印件；②提供产品制造商官网相应功能截图或产品制造商官网产品技术白皮书该功能证明截图，同时提供官网链接地址。</w:t>
      </w:r>
    </w:p>
    <w:p>
      <w:pPr>
        <w:pStyle w:val="null3"/>
        <w:ind w:firstLine="420"/>
      </w:pPr>
      <w:r>
        <w:rPr>
          <w:sz w:val="21"/>
        </w:rPr>
        <w:t>（3）连接软管耐压性：依据GB/T 23448-2019标准，经过耐压性能检测，软管无破裂、渗漏和其他缺陷。</w:t>
      </w:r>
    </w:p>
    <w:p>
      <w:pPr>
        <w:pStyle w:val="null3"/>
        <w:ind w:firstLine="420"/>
      </w:pPr>
      <w:r>
        <w:rPr>
          <w:sz w:val="21"/>
        </w:rPr>
        <w:t>（4）中性盐雾试验：依据GB/T 10125-2021标准，进行≥1500h中性盐雾试验后，试件平整表面无起泡、无开裂、无脱落、无明显锈蚀。</w:t>
      </w:r>
    </w:p>
    <w:p>
      <w:pPr>
        <w:pStyle w:val="null3"/>
        <w:ind w:firstLine="422"/>
      </w:pPr>
      <w:r>
        <w:rPr>
          <w:sz w:val="21"/>
          <w:b/>
        </w:rPr>
        <w:t>4) PP</w:t>
      </w:r>
      <w:r>
        <w:rPr>
          <w:sz w:val="21"/>
          <w:b/>
        </w:rPr>
        <w:t>水槽：</w:t>
      </w:r>
    </w:p>
    <w:p>
      <w:pPr>
        <w:pStyle w:val="null3"/>
        <w:ind w:firstLine="420"/>
      </w:pPr>
      <w:r>
        <w:rPr>
          <w:sz w:val="21"/>
        </w:rPr>
        <w:t>水槽采用全新PP料及母料，无碳酸钙成分；下水口与水槽一体注塑成型，水槽内壁无缩印，四边平整，表面光滑顺畅，不有划伤、裂纹、气泡、爆边等明显缺陷。水槽壁厚＞5mm；为防止水槽中间或四周有积液，槽体底部有导流线。</w:t>
      </w:r>
    </w:p>
    <w:p>
      <w:pPr>
        <w:pStyle w:val="null3"/>
        <w:ind w:firstLine="420"/>
      </w:pPr>
      <w:r>
        <w:rPr>
          <w:sz w:val="21"/>
        </w:rPr>
        <w:t>▲（1）耐污染性能：依据GB/T 17657-2022标准，同一份检测报告需包含甲酸（AR，85%）、抗坏血酸（AR）、单宁酸（AR）、三氯乙酸（AR，98%）、氨水（氢氧化铵）（AR）、氢氧化钙（AR）、氢氧化钾（AR，≥85.0%）、磷酸氢二钠（无水）（AR，≥99.0%）、硫代硫酸钠（≥99.5%）、硫氰酸钾（GR，99%）、硫酸铁铵（&gt;98%）、已烷（AR，≥97.0%）、邻二甲苯（CP，≥98.0%）、四氯化碳、2-苯乙醇（&gt;99. 0%）、2-甲氧基乙醇（特纯99%）、糠醛（呋喃甲叉）（AR，99%）、桃醛（0.98）、二恶烷（1,4-二氧六环、二氧杂环已烷）（AR，99%）、丁酮（甲基乙基酮、甲乙酮）（AR，≥99.0%）、二正丁胺（1601）（AR）、N-甲基吡咯烷酮（&gt;99.5%）、二硫化碳（≥99.9%）、二氯甲烷（AR，≥99.5%），以上有机、无机试剂，耐污染接触时间≥48h，覆盖/未覆盖玻璃盖板，检验结果均为5级（无明显变化）。提供第三方检测机构或实验室出具的具有CMA或CNAS标识的检测报告复印件。</w:t>
      </w:r>
    </w:p>
    <w:p>
      <w:pPr>
        <w:pStyle w:val="null3"/>
        <w:ind w:firstLine="420"/>
      </w:pPr>
      <w:r>
        <w:rPr>
          <w:sz w:val="21"/>
        </w:rPr>
        <w:t>▲（2）抗菌性：依据标准，要求≥14种细菌的检测，检测值≥99.99%（菌种包括粘质沙雷氏菌、鼠伤寒沙门氏菌、恶臭假单胞菌、鲍曼不动杆菌）。提供以下2种证明材料之一：①提供第三方检测机构或实验室出具的具有CMA或CNAS标识的检测报告复印件；②提供产品制造商官网相应功能截图或产品制造商官网产品技术白皮书该功能证明截图，同时提供官网链接地址。</w:t>
      </w:r>
    </w:p>
    <w:p>
      <w:pPr>
        <w:pStyle w:val="null3"/>
        <w:ind w:firstLine="420"/>
      </w:pPr>
      <w:r>
        <w:rPr>
          <w:sz w:val="21"/>
        </w:rPr>
        <w:t>（3）邵氏硬度：依据GB/T2411-2008标准，检测结果≥66D。</w:t>
      </w:r>
    </w:p>
    <w:p>
      <w:pPr>
        <w:pStyle w:val="null3"/>
        <w:ind w:firstLine="420"/>
      </w:pPr>
      <w:r>
        <w:rPr>
          <w:sz w:val="21"/>
        </w:rPr>
        <w:t>（4）水平燃烧：依据GB/T 2408-2021标准，检测结果为HB级。</w:t>
      </w:r>
    </w:p>
    <w:p>
      <w:pPr>
        <w:pStyle w:val="null3"/>
        <w:ind w:firstLine="422"/>
        <w:jc w:val="both"/>
      </w:pPr>
      <w:r>
        <w:rPr>
          <w:sz w:val="21"/>
          <w:b/>
          <w:shd w:fill="FFFFFF" w:val="clear"/>
        </w:rPr>
        <w:t>5</w:t>
      </w:r>
      <w:r>
        <w:rPr>
          <w:sz w:val="21"/>
          <w:b/>
          <w:shd w:fill="FFFFFF" w:val="clear"/>
        </w:rPr>
        <w:t>）洗眼器</w:t>
      </w:r>
    </w:p>
    <w:p>
      <w:pPr>
        <w:pStyle w:val="null3"/>
        <w:ind w:firstLine="420"/>
      </w:pPr>
      <w:r>
        <w:rPr>
          <w:sz w:val="21"/>
        </w:rPr>
        <w:t>1.</w:t>
      </w:r>
      <w:r>
        <w:rPr>
          <w:sz w:val="21"/>
        </w:rPr>
        <w:t>主体：加厚铜质H59-1；</w:t>
      </w:r>
    </w:p>
    <w:p>
      <w:pPr>
        <w:pStyle w:val="null3"/>
        <w:ind w:firstLine="420"/>
      </w:pPr>
      <w:r>
        <w:rPr>
          <w:sz w:val="21"/>
        </w:rPr>
        <w:t>2.</w:t>
      </w:r>
      <w:r>
        <w:rPr>
          <w:sz w:val="21"/>
        </w:rPr>
        <w:t>洗眼喷头：加厚铜质环氧树脂涂层外加软性橡胶，出水经缓压处理呈泡沫状水柱，防止冲伤眼睛；</w:t>
      </w:r>
    </w:p>
    <w:p>
      <w:pPr>
        <w:pStyle w:val="null3"/>
        <w:ind w:firstLine="420"/>
      </w:pPr>
      <w:r>
        <w:rPr>
          <w:sz w:val="21"/>
        </w:rPr>
        <w:t>3.</w:t>
      </w:r>
      <w:r>
        <w:rPr>
          <w:sz w:val="21"/>
        </w:rPr>
        <w:t>莲蓬头护罩：Φ70橡胶质护杯，以避免紧急使用时瞬间接触眼部造成碰撞二次伤害；</w:t>
      </w:r>
    </w:p>
    <w:p>
      <w:pPr>
        <w:pStyle w:val="null3"/>
        <w:ind w:firstLine="420"/>
      </w:pPr>
      <w:r>
        <w:rPr>
          <w:sz w:val="21"/>
        </w:rPr>
        <w:t>4.</w:t>
      </w:r>
      <w:r>
        <w:rPr>
          <w:sz w:val="21"/>
        </w:rPr>
        <w:t>防尘盖：PP材质，平常可防尘，使用时可随时被水冲开，并降低突然时短暂的高水压，防止冲伤眼睛，防尘盖有连接于护罩可防尘脱落。使用时自动被水冲开；</w:t>
      </w:r>
    </w:p>
    <w:p>
      <w:pPr>
        <w:pStyle w:val="null3"/>
        <w:ind w:firstLine="420"/>
      </w:pPr>
      <w:r>
        <w:rPr>
          <w:sz w:val="21"/>
        </w:rPr>
        <w:t>5.</w:t>
      </w:r>
      <w:r>
        <w:rPr>
          <w:sz w:val="21"/>
        </w:rPr>
        <w:t>水流锁定开关：水流开启，水流锁定功能一次完成，方便使用；</w:t>
      </w:r>
    </w:p>
    <w:p>
      <w:pPr>
        <w:pStyle w:val="null3"/>
        <w:ind w:firstLine="420"/>
      </w:pPr>
      <w:r>
        <w:rPr>
          <w:sz w:val="21"/>
        </w:rPr>
        <w:t>6.</w:t>
      </w:r>
      <w:r>
        <w:rPr>
          <w:sz w:val="21"/>
        </w:rPr>
        <w:t>前置过滤器：配有小型前置过滤器主要的去除管道所产生的沉淀杂质和细菌、微生物残骸、铁锈、沙泥等大于5微米以上的颗粒杂质，避免眼睛及人体肌肤受到伤害；</w:t>
      </w:r>
    </w:p>
    <w:p>
      <w:pPr>
        <w:pStyle w:val="null3"/>
        <w:ind w:firstLine="420"/>
      </w:pPr>
      <w:r>
        <w:rPr>
          <w:sz w:val="21"/>
        </w:rPr>
        <w:t>7.</w:t>
      </w:r>
      <w:r>
        <w:rPr>
          <w:sz w:val="21"/>
        </w:rPr>
        <w:t>供水软管：长度1.5米，软性PVC管外覆不锈钢网，外层包裹PE管，有效防止生锈、渗漏。</w:t>
      </w:r>
    </w:p>
    <w:p>
      <w:pPr>
        <w:pStyle w:val="null3"/>
        <w:ind w:firstLine="420"/>
      </w:pPr>
      <w:r>
        <w:rPr>
          <w:sz w:val="21"/>
        </w:rPr>
        <w:t>8.</w:t>
      </w:r>
      <w:r>
        <w:rPr>
          <w:sz w:val="21"/>
        </w:rPr>
        <w:t>洗眼量：＞6L/min。</w:t>
      </w:r>
    </w:p>
    <w:p>
      <w:pPr>
        <w:pStyle w:val="null3"/>
        <w:ind w:firstLine="420"/>
      </w:pPr>
      <w:r>
        <w:rPr>
          <w:sz w:val="21"/>
        </w:rPr>
        <w:t>9.</w:t>
      </w:r>
      <w:r>
        <w:rPr>
          <w:sz w:val="21"/>
        </w:rPr>
        <w:t>产品需符合以下要求：（1）测试压力0.20MPa，测试时间3min/次，样品提供冲洗液流量：≥10.3L/min，能保持洗眼时间：15min；（2）阀门在0.64s的时间内能完全打开。阀门一经打开，除使用者有意关闭的情况之外，能始终保持开启状态；（3）喷头位于距离使用者站立的水平面的高度距离可调（838mm～1143mm），距离墙壁或最近的障碍物距离可调（≥153mm）。</w:t>
      </w:r>
    </w:p>
    <w:p>
      <w:pPr>
        <w:pStyle w:val="null3"/>
        <w:ind w:firstLine="420"/>
      </w:pPr>
      <w:r>
        <w:rPr>
          <w:sz w:val="21"/>
        </w:rPr>
        <w:t>11.</w:t>
      </w:r>
      <w:r>
        <w:rPr>
          <w:sz w:val="21"/>
        </w:rPr>
        <w:t>检测报告：</w:t>
      </w:r>
    </w:p>
    <w:p>
      <w:pPr>
        <w:pStyle w:val="null3"/>
        <w:ind w:firstLine="420"/>
      </w:pPr>
      <w:r>
        <w:rPr>
          <w:sz w:val="21"/>
        </w:rPr>
        <w:t>▲（1）耐污染性能：依据GB/T 17657-2022标准，同一份检测报告需包含甲酸（AR，85%）、抗坏血酸（AR）、单宁酸（AR）、三氯乙酸（AR，98%）、氨水（氢氧化铵）（AR）、氢氧化钙（AR）、氢氧化钾（AR，≥85.0%）、磷酸氢二钠（无水）（AR，≥99.0%）、硫代硫酸钠（≥99.5%）、硫氰酸钾（GR，99%）、硫酸铁铵（&gt;98%）、已烷（AR，≥97.0%）、邻二甲苯（CP，≥98.0%）、四氯化碳、2-苯乙醇（&gt;99. 0%）、2-甲氧基乙醇（特纯99%）、糠醛（呋喃甲叉）（AR，99%）、桃醛（0.98）、二恶烷（1,4-二氧六环、二氧杂环已烷）（AR，99%）、丁酮（甲基乙基酮、甲乙酮）（AR，≥99.0%）、二正丁胺（1601）（AR）、N-甲基吡咯烷酮（&gt;99.5%）、二硫化碳（≥99.9%）、二氯甲烷（AR，≥99.5%），以上有机、无机试剂，耐污染接触时间≥48h，覆盖/未覆盖玻璃盖板，检验结果均为5级（无明显变化）。提供第三方检测机构或实验室出具的具有CMA或CNAS标识的检测报告复印件。</w:t>
      </w:r>
    </w:p>
    <w:p>
      <w:pPr>
        <w:pStyle w:val="null3"/>
        <w:ind w:firstLine="420"/>
      </w:pPr>
      <w:r>
        <w:rPr>
          <w:sz w:val="21"/>
        </w:rPr>
        <w:t>▲（2）氙弧灯老化测试：依据GB/T 16422.2-2022、GB/T 250-2008标准，通过氙弧灯老化测试（黑标温度计：65℃，循环：102min干燥、18min 喷淋，辐照度：0.51W/（m²·nm），试验时长：≥3500h），色牢度等级≥4级，符合相关技术要求。提供第三方检测机构或实验室出具的具有CMA或CNAS标识的检测报告复印件。</w:t>
      </w:r>
    </w:p>
    <w:p>
      <w:pPr>
        <w:pStyle w:val="null3"/>
        <w:ind w:firstLine="420"/>
      </w:pPr>
      <w:r>
        <w:rPr>
          <w:sz w:val="21"/>
        </w:rPr>
        <w:t>12.</w:t>
      </w:r>
      <w:r>
        <w:rPr>
          <w:sz w:val="21"/>
        </w:rPr>
        <w:t>中性盐雾试验：依据GB/T 10125-2021标准进行≥600h中性盐雾试验后，保护等级（Rp）不低于8级，外观评级（Ra）不低于8级。</w:t>
      </w:r>
    </w:p>
    <w:p>
      <w:pPr>
        <w:pStyle w:val="null3"/>
        <w:ind w:firstLine="422"/>
        <w:jc w:val="both"/>
      </w:pPr>
      <w:r>
        <w:rPr>
          <w:sz w:val="21"/>
          <w:b/>
          <w:shd w:fill="FFFFFF" w:val="clear"/>
        </w:rPr>
        <w:t>6</w:t>
      </w:r>
      <w:r>
        <w:rPr>
          <w:sz w:val="21"/>
          <w:b/>
          <w:shd w:fill="FFFFFF" w:val="clear"/>
        </w:rPr>
        <w:t>）</w:t>
      </w:r>
      <w:r>
        <w:rPr>
          <w:sz w:val="21"/>
          <w:b/>
          <w:shd w:fill="FFFFFF" w:val="clear"/>
        </w:rPr>
        <w:t>紧急淋浴器</w:t>
      </w:r>
    </w:p>
    <w:p>
      <w:pPr>
        <w:pStyle w:val="null3"/>
        <w:ind w:firstLine="420"/>
      </w:pPr>
      <w:r>
        <w:rPr>
          <w:sz w:val="21"/>
        </w:rPr>
        <w:t>1</w:t>
      </w:r>
      <w:r>
        <w:rPr>
          <w:sz w:val="21"/>
        </w:rPr>
        <w:t>、规格：立式</w:t>
      </w:r>
    </w:p>
    <w:p>
      <w:pPr>
        <w:pStyle w:val="null3"/>
        <w:ind w:firstLine="420"/>
      </w:pPr>
      <w:r>
        <w:rPr>
          <w:sz w:val="21"/>
        </w:rPr>
        <w:t>2</w:t>
      </w:r>
      <w:r>
        <w:rPr>
          <w:sz w:val="21"/>
        </w:rPr>
        <w:t>、材质：304不锈钢</w:t>
      </w:r>
    </w:p>
    <w:p>
      <w:pPr>
        <w:pStyle w:val="null3"/>
        <w:ind w:firstLine="420"/>
      </w:pPr>
      <w:r>
        <w:rPr>
          <w:sz w:val="21"/>
        </w:rPr>
        <w:t>3</w:t>
      </w:r>
      <w:r>
        <w:rPr>
          <w:sz w:val="21"/>
        </w:rPr>
        <w:t>、技术参数：</w:t>
      </w:r>
    </w:p>
    <w:p>
      <w:pPr>
        <w:pStyle w:val="null3"/>
        <w:ind w:firstLine="420"/>
      </w:pPr>
      <w:r>
        <w:rPr>
          <w:sz w:val="21"/>
        </w:rPr>
        <w:t>3.1</w:t>
      </w:r>
      <w:r>
        <w:rPr>
          <w:sz w:val="21"/>
        </w:rPr>
        <w:t>需提供第三方检测机构出具的紧急喷淋铬（Cr）含量大于18%、镍（Ni）含量大于8%的检测报告；</w:t>
      </w:r>
    </w:p>
    <w:p>
      <w:pPr>
        <w:pStyle w:val="null3"/>
        <w:ind w:firstLine="420"/>
      </w:pPr>
      <w:r>
        <w:rPr>
          <w:sz w:val="21"/>
        </w:rPr>
        <w:t>3.2</w:t>
      </w:r>
      <w:r>
        <w:rPr>
          <w:sz w:val="21"/>
        </w:rPr>
        <w:t>喷淋性能</w:t>
      </w:r>
    </w:p>
    <w:p>
      <w:pPr>
        <w:pStyle w:val="null3"/>
        <w:ind w:firstLine="420"/>
      </w:pPr>
      <w:r>
        <w:rPr>
          <w:sz w:val="21"/>
        </w:rPr>
        <w:t>（1）喷淋流量：达到至少76L/min，确保快速有效地覆盖受影响区域</w:t>
      </w:r>
    </w:p>
    <w:p>
      <w:pPr>
        <w:pStyle w:val="null3"/>
        <w:ind w:firstLine="420"/>
      </w:pPr>
      <w:r>
        <w:rPr>
          <w:sz w:val="21"/>
        </w:rPr>
        <w:t>（2）喷淋持续时间：连续供水时间至少为15分钟，以满足紧急情况下的清洗需求。</w:t>
      </w:r>
    </w:p>
    <w:p>
      <w:pPr>
        <w:pStyle w:val="null3"/>
        <w:ind w:firstLine="420"/>
      </w:pPr>
      <w:r>
        <w:rPr>
          <w:sz w:val="21"/>
        </w:rPr>
        <w:t>（3）喷淋角度与范围：确保360度全方位喷淋，覆盖范围广</w:t>
      </w:r>
    </w:p>
    <w:p>
      <w:pPr>
        <w:pStyle w:val="null3"/>
        <w:ind w:firstLine="420"/>
      </w:pPr>
      <w:r>
        <w:rPr>
          <w:sz w:val="21"/>
        </w:rPr>
        <w:t>3.3</w:t>
      </w:r>
      <w:r>
        <w:rPr>
          <w:sz w:val="21"/>
        </w:rPr>
        <w:t>系统设计与安装</w:t>
      </w:r>
    </w:p>
    <w:p>
      <w:pPr>
        <w:pStyle w:val="null3"/>
        <w:ind w:firstLine="420"/>
      </w:pPr>
      <w:r>
        <w:rPr>
          <w:sz w:val="21"/>
        </w:rPr>
        <w:t>（1）安装位置：靠近危险区域，确保人员在紧急情况下能够迅速到达。</w:t>
      </w:r>
    </w:p>
    <w:p>
      <w:pPr>
        <w:pStyle w:val="null3"/>
        <w:ind w:firstLine="420"/>
      </w:pPr>
      <w:r>
        <w:rPr>
          <w:sz w:val="21"/>
        </w:rPr>
        <w:t>（2）材料选择：采用不锈钢材质，确保系统的稳定性和耐用性。</w:t>
      </w:r>
    </w:p>
    <w:p>
      <w:pPr>
        <w:pStyle w:val="null3"/>
        <w:ind w:firstLine="420"/>
      </w:pPr>
      <w:r>
        <w:rPr>
          <w:sz w:val="21"/>
        </w:rPr>
        <w:t>（3）操作方式：需具有手拉式、脚踏式，便于快速启动。</w:t>
      </w:r>
    </w:p>
    <w:p>
      <w:pPr>
        <w:pStyle w:val="null3"/>
        <w:ind w:firstLine="420"/>
      </w:pPr>
      <w:r>
        <w:rPr>
          <w:sz w:val="21"/>
        </w:rPr>
        <w:t>3.4</w:t>
      </w:r>
      <w:r>
        <w:rPr>
          <w:sz w:val="21"/>
        </w:rPr>
        <w:t>出水要求</w:t>
      </w:r>
    </w:p>
    <w:p>
      <w:pPr>
        <w:pStyle w:val="null3"/>
        <w:ind w:firstLine="420"/>
      </w:pPr>
      <w:r>
        <w:rPr>
          <w:sz w:val="21"/>
        </w:rPr>
        <w:t>（1）出水温度：使用常温水，避免对皮肤造成刺激。</w:t>
      </w:r>
    </w:p>
    <w:p>
      <w:pPr>
        <w:pStyle w:val="null3"/>
        <w:ind w:firstLine="420"/>
      </w:pPr>
      <w:r>
        <w:rPr>
          <w:sz w:val="21"/>
        </w:rPr>
        <w:t>（2）水质要求：使用清洁的自来水或去离子水，确保清洗效果。</w:t>
      </w:r>
    </w:p>
    <w:p>
      <w:pPr>
        <w:pStyle w:val="null3"/>
        <w:ind w:firstLine="420"/>
      </w:pPr>
      <w:r>
        <w:rPr>
          <w:sz w:val="21"/>
        </w:rPr>
        <w:t>3.5</w:t>
      </w:r>
      <w:r>
        <w:rPr>
          <w:sz w:val="21"/>
        </w:rPr>
        <w:t>安全标识：设备周围设置明显的安全标识和操作流程，确保人员的正确使用。</w:t>
      </w:r>
    </w:p>
    <w:p>
      <w:pPr>
        <w:pStyle w:val="null3"/>
        <w:ind w:firstLine="420"/>
      </w:pPr>
      <w:r>
        <w:rPr>
          <w:sz w:val="21"/>
        </w:rPr>
        <w:t>3.6</w:t>
      </w:r>
      <w:r>
        <w:rPr>
          <w:sz w:val="21"/>
        </w:rPr>
        <w:t>检测报告：</w:t>
      </w:r>
    </w:p>
    <w:p>
      <w:pPr>
        <w:pStyle w:val="null3"/>
        <w:ind w:firstLine="420"/>
      </w:pPr>
      <w:r>
        <w:rPr>
          <w:sz w:val="21"/>
        </w:rPr>
        <w:t>▲（1）抗菌性：依据JC/T 897-2014标准，要求≥14种细菌的检测，检测值≥99.99%（菌种包括粘质沙雷氏菌、鼠伤寒沙门氏菌、恶臭假单胞菌、鲍曼不动杆菌）。</w:t>
      </w:r>
      <w:r>
        <w:rPr>
          <w:sz w:val="21"/>
        </w:rPr>
        <w:t>提供以下</w:t>
      </w:r>
      <w:r>
        <w:rPr>
          <w:sz w:val="21"/>
        </w:rPr>
        <w:t>2</w:t>
      </w:r>
      <w:r>
        <w:rPr>
          <w:sz w:val="21"/>
        </w:rPr>
        <w:t>种证明材料之一：①提供第三方检测机构或实验室出具的具有</w:t>
      </w:r>
      <w:r>
        <w:rPr>
          <w:sz w:val="21"/>
        </w:rPr>
        <w:t>CMA</w:t>
      </w:r>
      <w:r>
        <w:rPr>
          <w:sz w:val="21"/>
        </w:rPr>
        <w:t>或</w:t>
      </w:r>
      <w:r>
        <w:rPr>
          <w:sz w:val="21"/>
        </w:rPr>
        <w:t>CNAS</w:t>
      </w:r>
      <w:r>
        <w:rPr>
          <w:sz w:val="21"/>
        </w:rPr>
        <w:t>标识的检测报告复印件；②提供产品制造商官网相应功能截图或产品制造商官网产品技术白皮书该功能证明截图，同时提供官网链接地址。</w:t>
      </w:r>
    </w:p>
    <w:p>
      <w:pPr>
        <w:pStyle w:val="null3"/>
        <w:ind w:firstLine="420"/>
      </w:pPr>
      <w:r>
        <w:rPr>
          <w:sz w:val="21"/>
        </w:rPr>
        <w:t>▲（2）耐人工气候老化性：依据GB/T 1865-2009标准，通过人工气候老化测试（黑标温度计：65℃；循环：喷淋时间18min、干燥时间102min；辐照度（在300-400nm处）：60W/m2，试验时长：≥500h），外观无变化，光泽保持率≥90%，色差≤1。</w:t>
      </w:r>
      <w:r>
        <w:rPr>
          <w:sz w:val="21"/>
        </w:rPr>
        <w:t>提供第三方检测机构或实验室出具的具有</w:t>
      </w:r>
      <w:r>
        <w:rPr>
          <w:sz w:val="21"/>
        </w:rPr>
        <w:t>CMA</w:t>
      </w:r>
      <w:r>
        <w:rPr>
          <w:sz w:val="21"/>
        </w:rPr>
        <w:t>或</w:t>
      </w:r>
      <w:r>
        <w:rPr>
          <w:sz w:val="21"/>
        </w:rPr>
        <w:t>CNAS</w:t>
      </w:r>
      <w:r>
        <w:rPr>
          <w:sz w:val="21"/>
        </w:rPr>
        <w:t>标识的检测报告复印件。</w:t>
      </w:r>
    </w:p>
    <w:p>
      <w:pPr>
        <w:pStyle w:val="null3"/>
        <w:ind w:firstLine="420"/>
      </w:pPr>
      <w:r>
        <w:rPr>
          <w:sz w:val="21"/>
        </w:rPr>
        <w:t>3.7</w:t>
      </w:r>
      <w:r>
        <w:rPr>
          <w:sz w:val="21"/>
        </w:rPr>
        <w:t>中性盐雾试验：依据GB/T 10125-2021标准进行≥600h中性盐雾试验后，保护等级（Rp）不低于8级，外观评级（Ra）不低于8级。</w:t>
      </w:r>
    </w:p>
    <w:p>
      <w:pPr>
        <w:pStyle w:val="null3"/>
        <w:ind w:firstLine="420"/>
      </w:pPr>
      <w:r>
        <w:rPr>
          <w:sz w:val="21"/>
        </w:rPr>
        <w:t>3.8</w:t>
      </w:r>
      <w:r>
        <w:rPr>
          <w:sz w:val="21"/>
        </w:rPr>
        <w:t>不锈钢元素含量：依据GB/T 11170-2008标准，检测不锈钢元素含量，检测结果为：碳（C）含量≤0.06%，硅（Si）含量≤0.60%，锰（Mn）含量≤1.20%，磷（P）含量≤0.04%，硫（S）含量≤0.01%，铬（Cr）含量18~20%，镍（Ni）含量8~11%。</w:t>
      </w:r>
    </w:p>
    <w:p>
      <w:pPr>
        <w:pStyle w:val="null3"/>
        <w:ind w:firstLine="422"/>
        <w:jc w:val="both"/>
      </w:pPr>
      <w:r>
        <w:rPr>
          <w:sz w:val="21"/>
          <w:b/>
          <w:shd w:fill="FFFFFF" w:val="clear"/>
        </w:rPr>
        <w:t>7</w:t>
      </w:r>
      <w:r>
        <w:rPr>
          <w:sz w:val="21"/>
          <w:b/>
          <w:shd w:fill="FFFFFF" w:val="clear"/>
        </w:rPr>
        <w:t>）</w:t>
      </w:r>
      <w:r>
        <w:rPr>
          <w:sz w:val="21"/>
          <w:b/>
          <w:shd w:fill="FFFFFF" w:val="clear"/>
        </w:rPr>
        <w:t>PP</w:t>
      </w:r>
      <w:r>
        <w:rPr>
          <w:sz w:val="21"/>
          <w:b/>
          <w:shd w:fill="FFFFFF" w:val="clear"/>
        </w:rPr>
        <w:t>滴水架</w:t>
      </w:r>
    </w:p>
    <w:p>
      <w:pPr>
        <w:pStyle w:val="null3"/>
        <w:ind w:firstLine="420"/>
      </w:pPr>
      <w:r>
        <w:rPr>
          <w:sz w:val="21"/>
        </w:rPr>
        <w:t>1</w:t>
      </w:r>
      <w:r>
        <w:rPr>
          <w:sz w:val="21"/>
        </w:rPr>
        <w:t>、材料：采用高密度PP，一体成型，无异味；表面光洁，无缩印，无划痕，无飞边；内部无气泡、无气纹；</w:t>
      </w:r>
    </w:p>
    <w:p>
      <w:pPr>
        <w:pStyle w:val="null3"/>
        <w:ind w:firstLine="420"/>
      </w:pPr>
      <w:r>
        <w:rPr>
          <w:sz w:val="21"/>
        </w:rPr>
        <w:t>款式：滴水棒卡扣设计为嵌入式，可拆卸，安装简便，插好后不易脱落，左右摇晃&lt;1mm；</w:t>
      </w:r>
    </w:p>
    <w:p>
      <w:pPr>
        <w:pStyle w:val="null3"/>
        <w:ind w:firstLine="420"/>
      </w:pPr>
      <w:r>
        <w:rPr>
          <w:sz w:val="21"/>
        </w:rPr>
        <w:t>接水底部：中间设有排水孔；</w:t>
      </w:r>
    </w:p>
    <w:p>
      <w:pPr>
        <w:pStyle w:val="null3"/>
        <w:ind w:firstLine="420"/>
      </w:pPr>
      <w:r>
        <w:rPr>
          <w:sz w:val="21"/>
        </w:rPr>
        <w:t>可拆卸式滴水棒，滴水棒27/61根；</w:t>
      </w:r>
    </w:p>
    <w:p>
      <w:pPr>
        <w:pStyle w:val="null3"/>
        <w:ind w:firstLine="420"/>
      </w:pPr>
      <w:r>
        <w:rPr>
          <w:sz w:val="21"/>
        </w:rPr>
        <w:t>安装方式：壁挂式/台式。</w:t>
      </w:r>
    </w:p>
    <w:p>
      <w:pPr>
        <w:pStyle w:val="null3"/>
        <w:ind w:firstLine="420"/>
      </w:pPr>
      <w:r>
        <w:rPr>
          <w:sz w:val="21"/>
        </w:rPr>
        <w:t>▲2、耐污染性能：依据GB/T 17657-2022标准，同一份检测报告需包含甲酸（AR，85%）、抗坏血酸（AR）、单宁酸（AR）、三氯乙酸（AR，98%）、氨水（氢氧化铵）（AR）、氢氧化钙（AR）、氢氧化钾（AR，≥85.0%）、磷酸氢二钠（无水）（AR，≥99.0%）、硫代硫酸钠（≥99.5%）、硫氰酸钾（GR，99%）、硫酸铁铵（&gt;98%）、已烷（AR，≥97.0%）、邻二甲苯（CP，≥98.0%）、四氯化碳、2-苯乙醇（&gt;99. 0%）、2-甲氧基乙醇（特纯99%）、糠醛（呋喃甲叉）（AR，99%）、桃醛（0.98）、二恶烷（1,4-二氧六环、二氧杂环已烷）（AR，99%）、丁酮（甲基乙基酮、甲乙酮）（AR，≥99.0%）、二正丁胺（1601）（AR）、N-甲基吡咯烷酮（&gt;99.5%）、二硫化碳（≥99.9%）、二氯甲烷（AR，≥99.5%），以上有机、无机试剂，耐污染接触时间≥48h，覆盖/未覆盖玻璃盖板，检验结果均为5级（无明显变化）。</w:t>
      </w:r>
      <w:r>
        <w:rPr>
          <w:sz w:val="21"/>
        </w:rPr>
        <w:t>提供第三方检测机构或实验室出具的具有</w:t>
      </w:r>
      <w:r>
        <w:rPr>
          <w:sz w:val="21"/>
        </w:rPr>
        <w:t>CMA</w:t>
      </w:r>
      <w:r>
        <w:rPr>
          <w:sz w:val="21"/>
        </w:rPr>
        <w:t>或</w:t>
      </w:r>
      <w:r>
        <w:rPr>
          <w:sz w:val="21"/>
        </w:rPr>
        <w:t>CNAS</w:t>
      </w:r>
      <w:r>
        <w:rPr>
          <w:sz w:val="21"/>
        </w:rPr>
        <w:t>标识的检测报告复印件。</w:t>
      </w:r>
    </w:p>
    <w:p>
      <w:pPr>
        <w:pStyle w:val="null3"/>
        <w:ind w:firstLine="420"/>
      </w:pPr>
      <w:r>
        <w:rPr>
          <w:sz w:val="21"/>
        </w:rPr>
        <w:t>▲3、紫外老化测试：依据GB/T 16422.3-2022、GB/T 1766-2008标准，通过紫外老化测试（灯型：UVA-340，辐照度：0.76W·m-2·nm-1，暴露方式：60℃辐照8h、50℃无辐照冷凝4h，试验时长：≥700h），无可视变化， 色差≤1.5，无变色，变色等级0级。</w:t>
      </w:r>
      <w:r>
        <w:rPr>
          <w:sz w:val="21"/>
        </w:rPr>
        <w:t>提供第三方检测机构或实验室出具的具有</w:t>
      </w:r>
      <w:r>
        <w:rPr>
          <w:sz w:val="21"/>
        </w:rPr>
        <w:t>CMA</w:t>
      </w:r>
      <w:r>
        <w:rPr>
          <w:sz w:val="21"/>
        </w:rPr>
        <w:t>或</w:t>
      </w:r>
      <w:r>
        <w:rPr>
          <w:sz w:val="21"/>
        </w:rPr>
        <w:t>CNAS</w:t>
      </w:r>
      <w:r>
        <w:rPr>
          <w:sz w:val="21"/>
        </w:rPr>
        <w:t>标识的检测报告复印件。</w:t>
      </w:r>
    </w:p>
    <w:p>
      <w:pPr>
        <w:pStyle w:val="null3"/>
        <w:ind w:firstLine="420"/>
      </w:pPr>
      <w:r>
        <w:rPr>
          <w:sz w:val="21"/>
        </w:rPr>
        <w:t>4</w:t>
      </w:r>
      <w:r>
        <w:rPr>
          <w:sz w:val="21"/>
        </w:rPr>
        <w:t>、弯曲强度：依据GB/T 9341-2008标准，检测结果≥65MPa。</w:t>
      </w:r>
    </w:p>
    <w:p>
      <w:pPr>
        <w:pStyle w:val="null3"/>
        <w:ind w:firstLine="420"/>
      </w:pPr>
      <w:r>
        <w:rPr>
          <w:sz w:val="21"/>
        </w:rPr>
        <w:t>5</w:t>
      </w:r>
      <w:r>
        <w:rPr>
          <w:sz w:val="21"/>
        </w:rPr>
        <w:t>、抗压强度：依据GB/T 1041-2008标准，检测结果≥55MPa。</w:t>
      </w:r>
    </w:p>
    <w:p>
      <w:pPr>
        <w:pStyle w:val="null3"/>
        <w:ind w:firstLine="422"/>
        <w:jc w:val="both"/>
      </w:pPr>
      <w:r>
        <w:rPr>
          <w:sz w:val="21"/>
          <w:b/>
          <w:shd w:fill="FFFFFF" w:val="clear"/>
        </w:rPr>
        <w:t>8</w:t>
      </w:r>
      <w:r>
        <w:rPr>
          <w:sz w:val="21"/>
          <w:b/>
          <w:shd w:fill="FFFFFF" w:val="clear"/>
        </w:rPr>
        <w:t>）</w:t>
      </w:r>
      <w:r>
        <w:rPr>
          <w:sz w:val="21"/>
          <w:b/>
          <w:shd w:fill="FFFFFF" w:val="clear"/>
        </w:rPr>
        <w:t>通风柜台面</w:t>
      </w:r>
    </w:p>
    <w:p>
      <w:pPr>
        <w:pStyle w:val="null3"/>
        <w:ind w:firstLine="420"/>
        <w:jc w:val="both"/>
      </w:pPr>
      <w:r>
        <w:rPr>
          <w:sz w:val="21"/>
        </w:rPr>
        <w:t>通风柜操作台</w:t>
      </w:r>
      <w:r>
        <w:rPr>
          <w:sz w:val="21"/>
        </w:rPr>
        <w:t>台面选用</w:t>
      </w:r>
      <w:r>
        <w:rPr>
          <w:sz w:val="21"/>
        </w:rPr>
        <w:t>12.7mm</w:t>
      </w:r>
      <w:r>
        <w:rPr>
          <w:sz w:val="21"/>
        </w:rPr>
        <w:t>厚实</w:t>
      </w:r>
      <w:r>
        <w:rPr>
          <w:sz w:val="21"/>
        </w:rPr>
        <w:t>芯</w:t>
      </w:r>
      <w:r>
        <w:rPr>
          <w:sz w:val="21"/>
        </w:rPr>
        <w:t>理化板。</w:t>
      </w:r>
    </w:p>
    <w:p>
      <w:pPr>
        <w:pStyle w:val="null3"/>
        <w:ind w:firstLine="420"/>
        <w:jc w:val="both"/>
      </w:pPr>
      <w:r>
        <w:rPr>
          <w:sz w:val="21"/>
        </w:rPr>
        <w:t>为保证台面材料质量以及从环保角度保障实验室人员健康，台面板须满足以下技术参数及要求：</w:t>
      </w:r>
    </w:p>
    <w:p>
      <w:pPr>
        <w:pStyle w:val="null3"/>
        <w:ind w:firstLine="420"/>
      </w:pPr>
      <w:r>
        <w:rPr>
          <w:sz w:val="21"/>
        </w:rPr>
        <w:t>1、理化板台面表面耐腐蚀层理化膜采用“电子束固化技术”生产，化学性能测试依据“GB/T 17657-2022”实验方法进行检验，测试试剂至少包含且满足以下要求：1、硝酸(≥65%)；2、氢氧化钠(≥40%)；3、氢氟酸（≥40%）；4、硫酸（≥98%）；5、氯苯；6、高氯酸（90%）；7、王水；8、硝酸银饱和液；9、氯化镁（≥10%）；10、无水甲醇，以上实验室常用化学试剂，覆盖玻璃板、不覆盖检验结果均为“无明显变化”，分级结果均为5级。</w:t>
      </w:r>
    </w:p>
    <w:p>
      <w:pPr>
        <w:pStyle w:val="null3"/>
        <w:ind w:firstLine="420"/>
        <w:jc w:val="both"/>
      </w:pPr>
      <w:r>
        <w:rPr>
          <w:sz w:val="21"/>
        </w:rPr>
        <w:t>2</w:t>
      </w:r>
      <w:r>
        <w:rPr>
          <w:sz w:val="21"/>
        </w:rPr>
        <w:t>、理化板甲醛释放量检测结果≤0.005mg/m³，根据检测结果，依据GB/T39600-2021判定为ENF 级。</w:t>
      </w:r>
    </w:p>
    <w:p>
      <w:pPr>
        <w:pStyle w:val="null3"/>
        <w:ind w:firstLine="420"/>
        <w:jc w:val="both"/>
      </w:pPr>
      <w:r>
        <w:rPr>
          <w:sz w:val="21"/>
        </w:rPr>
        <w:t>▲3</w:t>
      </w:r>
      <w:r>
        <w:rPr>
          <w:sz w:val="21"/>
        </w:rPr>
        <w:t>、理化板物理性能优越,按照“GB/T 7911-2024”标准进行检验,检验项目的检验结果至少包含且满足以下要求：1、“耐划痕(金刚石划痕法)”≥4N试件表面无大于90%的连续划痕；2、“尺寸稳定性（高温）横向”检验结果≤0.65%；3、“耐辐射热”≥260s；4、“抗拉强度(纵向)”≥145MPa；5、“耐龟裂性能”≥5级用6倍放大镜观察表面无裂纹。提供第三方检测机构或实验室出具的具有CMA或CNAS标识的检测报告复印件。</w:t>
      </w:r>
    </w:p>
    <w:p>
      <w:pPr>
        <w:pStyle w:val="null3"/>
        <w:ind w:firstLine="420"/>
        <w:jc w:val="both"/>
      </w:pPr>
      <w:r>
        <w:rPr>
          <w:sz w:val="21"/>
        </w:rPr>
        <w:t>▲</w:t>
      </w:r>
      <w:r>
        <w:rPr>
          <w:sz w:val="21"/>
        </w:rPr>
        <w:t>4</w:t>
      </w:r>
      <w:r>
        <w:rPr>
          <w:sz w:val="21"/>
        </w:rPr>
        <w:t>、</w:t>
      </w:r>
      <w:r>
        <w:rPr>
          <w:sz w:val="21"/>
        </w:rPr>
        <w:t>理化板</w:t>
      </w:r>
      <w:r>
        <w:rPr>
          <w:sz w:val="21"/>
        </w:rPr>
        <w:t>“色差”检测结果达到△</w:t>
      </w:r>
      <w:r>
        <w:rPr>
          <w:sz w:val="21"/>
        </w:rPr>
        <w:t>E</w:t>
      </w:r>
      <w:r>
        <w:rPr>
          <w:sz w:val="21"/>
        </w:rPr>
        <w:t>≤</w:t>
      </w:r>
      <w:r>
        <w:rPr>
          <w:sz w:val="21"/>
        </w:rPr>
        <w:t>0.09</w:t>
      </w:r>
      <w:r>
        <w:rPr>
          <w:sz w:val="21"/>
        </w:rPr>
        <w:t>（检测方法为</w:t>
      </w:r>
      <w:r>
        <w:rPr>
          <w:sz w:val="21"/>
        </w:rPr>
        <w:t>GB/T 17657-2022</w:t>
      </w:r>
      <w:r>
        <w:rPr>
          <w:sz w:val="21"/>
        </w:rPr>
        <w:t>）。提供第三方检测机构或实验室出具的具有</w:t>
      </w:r>
      <w:r>
        <w:rPr>
          <w:sz w:val="21"/>
        </w:rPr>
        <w:t>CMA</w:t>
      </w:r>
      <w:r>
        <w:rPr>
          <w:sz w:val="21"/>
        </w:rPr>
        <w:t>或</w:t>
      </w:r>
      <w:r>
        <w:rPr>
          <w:sz w:val="21"/>
        </w:rPr>
        <w:t>CNAS</w:t>
      </w:r>
      <w:r>
        <w:rPr>
          <w:sz w:val="21"/>
        </w:rPr>
        <w:t>标识的检测报告复印件。</w:t>
      </w:r>
    </w:p>
    <w:p>
      <w:pPr>
        <w:pStyle w:val="null3"/>
        <w:ind w:firstLine="420"/>
        <w:jc w:val="both"/>
      </w:pPr>
      <w:r>
        <w:rPr>
          <w:sz w:val="21"/>
        </w:rPr>
        <w:t>5</w:t>
      </w:r>
      <w:r>
        <w:rPr>
          <w:sz w:val="21"/>
        </w:rPr>
        <w:t>、</w:t>
      </w:r>
      <w:r>
        <w:rPr>
          <w:sz w:val="21"/>
        </w:rPr>
        <w:t>理化板</w:t>
      </w:r>
      <w:r>
        <w:rPr>
          <w:sz w:val="21"/>
        </w:rPr>
        <w:t>“静曲强度—浸渍</w:t>
      </w:r>
      <w:r>
        <w:rPr>
          <w:sz w:val="21"/>
        </w:rPr>
        <w:t>-</w:t>
      </w:r>
      <w:r>
        <w:rPr>
          <w:sz w:val="21"/>
        </w:rPr>
        <w:t>冰冻</w:t>
      </w:r>
      <w:r>
        <w:rPr>
          <w:sz w:val="21"/>
        </w:rPr>
        <w:t>-</w:t>
      </w:r>
      <w:r>
        <w:rPr>
          <w:sz w:val="21"/>
        </w:rPr>
        <w:t>干燥处理法”检测结果≥</w:t>
      </w:r>
      <w:r>
        <w:rPr>
          <w:sz w:val="21"/>
        </w:rPr>
        <w:t>82MPa</w:t>
      </w:r>
      <w:r>
        <w:rPr>
          <w:sz w:val="21"/>
        </w:rPr>
        <w:t>（检测方法为</w:t>
      </w:r>
      <w:r>
        <w:rPr>
          <w:sz w:val="21"/>
        </w:rPr>
        <w:t>GB/T 17657-2022</w:t>
      </w:r>
      <w:r>
        <w:rPr>
          <w:sz w:val="21"/>
        </w:rPr>
        <w:t>）。</w:t>
      </w:r>
    </w:p>
    <w:p>
      <w:pPr>
        <w:pStyle w:val="null3"/>
        <w:ind w:firstLine="420"/>
        <w:jc w:val="both"/>
      </w:pPr>
      <w:r>
        <w:rPr>
          <w:sz w:val="21"/>
        </w:rPr>
        <w:t>6</w:t>
      </w:r>
      <w:r>
        <w:rPr>
          <w:sz w:val="21"/>
        </w:rPr>
        <w:t>、</w:t>
      </w:r>
      <w:r>
        <w:rPr>
          <w:sz w:val="21"/>
        </w:rPr>
        <w:t>理化板</w:t>
      </w:r>
      <w:r>
        <w:rPr>
          <w:sz w:val="21"/>
        </w:rPr>
        <w:t>“比活度”测试依据检测标准</w:t>
      </w:r>
      <w:r>
        <w:rPr>
          <w:sz w:val="21"/>
        </w:rPr>
        <w:t>:</w:t>
      </w:r>
      <w:r>
        <w:rPr>
          <w:sz w:val="21"/>
        </w:rPr>
        <w:t>“钾</w:t>
      </w:r>
      <w:r>
        <w:rPr>
          <w:sz w:val="21"/>
        </w:rPr>
        <w:t>-40</w:t>
      </w:r>
      <w:r>
        <w:rPr>
          <w:sz w:val="21"/>
        </w:rPr>
        <w:t>”比活度测试检测结果＜</w:t>
      </w:r>
      <w:r>
        <w:rPr>
          <w:sz w:val="21"/>
        </w:rPr>
        <w:t>26Bq/kg</w:t>
      </w:r>
      <w:r>
        <w:rPr>
          <w:sz w:val="21"/>
        </w:rPr>
        <w:t>、“钍</w:t>
      </w:r>
      <w:r>
        <w:rPr>
          <w:sz w:val="21"/>
        </w:rPr>
        <w:t>-232</w:t>
      </w:r>
      <w:r>
        <w:rPr>
          <w:sz w:val="21"/>
        </w:rPr>
        <w:t>”比活度测试检测结果＜</w:t>
      </w:r>
      <w:r>
        <w:rPr>
          <w:sz w:val="21"/>
        </w:rPr>
        <w:t>3.5Bq/kg</w:t>
      </w:r>
      <w:r>
        <w:rPr>
          <w:sz w:val="21"/>
        </w:rPr>
        <w:t>。</w:t>
      </w:r>
    </w:p>
    <w:p>
      <w:pPr>
        <w:pStyle w:val="null3"/>
        <w:ind w:firstLine="420"/>
        <w:jc w:val="both"/>
      </w:pPr>
      <w:r>
        <w:rPr>
          <w:sz w:val="21"/>
        </w:rPr>
        <w:t>7</w:t>
      </w:r>
      <w:r>
        <w:rPr>
          <w:sz w:val="21"/>
        </w:rPr>
        <w:t>、</w:t>
      </w:r>
      <w:r>
        <w:rPr>
          <w:sz w:val="21"/>
        </w:rPr>
        <w:t>理化板台面</w:t>
      </w:r>
      <w:r>
        <w:rPr>
          <w:sz w:val="21"/>
        </w:rPr>
        <w:t>耐化学性参照</w:t>
      </w:r>
      <w:r>
        <w:rPr>
          <w:sz w:val="21"/>
        </w:rPr>
        <w:t>SEFA3-2010</w:t>
      </w:r>
      <w:r>
        <w:rPr>
          <w:sz w:val="21"/>
        </w:rPr>
        <w:t>测试方法，测试化学试剂至少包含且满足以下要求：</w:t>
      </w:r>
      <w:r>
        <w:rPr>
          <w:sz w:val="21"/>
        </w:rPr>
        <w:t>1</w:t>
      </w:r>
      <w:r>
        <w:rPr>
          <w:sz w:val="21"/>
        </w:rPr>
        <w:t>、乙酸戊酯；</w:t>
      </w:r>
      <w:r>
        <w:rPr>
          <w:sz w:val="21"/>
        </w:rPr>
        <w:t>2</w:t>
      </w:r>
      <w:r>
        <w:rPr>
          <w:sz w:val="21"/>
        </w:rPr>
        <w:t>、</w:t>
      </w:r>
      <w:r>
        <w:rPr>
          <w:sz w:val="21"/>
        </w:rPr>
        <w:t>48%</w:t>
      </w:r>
      <w:r>
        <w:rPr>
          <w:sz w:val="21"/>
        </w:rPr>
        <w:t>氢氟酸；</w:t>
      </w:r>
      <w:r>
        <w:rPr>
          <w:sz w:val="21"/>
        </w:rPr>
        <w:t>3</w:t>
      </w:r>
      <w:r>
        <w:rPr>
          <w:sz w:val="21"/>
        </w:rPr>
        <w:t>、硼酸；</w:t>
      </w:r>
      <w:r>
        <w:rPr>
          <w:sz w:val="21"/>
        </w:rPr>
        <w:t>4</w:t>
      </w:r>
      <w:r>
        <w:rPr>
          <w:sz w:val="21"/>
        </w:rPr>
        <w:t>、硅酸；</w:t>
      </w:r>
      <w:r>
        <w:rPr>
          <w:sz w:val="21"/>
        </w:rPr>
        <w:t>5</w:t>
      </w:r>
      <w:r>
        <w:rPr>
          <w:sz w:val="21"/>
        </w:rPr>
        <w:t>、氢氧化铁，以上化学试剂，测试结果等级须全部达到</w:t>
      </w:r>
      <w:r>
        <w:rPr>
          <w:sz w:val="21"/>
        </w:rPr>
        <w:t>0</w:t>
      </w:r>
      <w:r>
        <w:rPr>
          <w:sz w:val="21"/>
        </w:rPr>
        <w:t>级（无影响</w:t>
      </w:r>
      <w:r>
        <w:rPr>
          <w:sz w:val="21"/>
        </w:rPr>
        <w:t>-</w:t>
      </w:r>
      <w:r>
        <w:rPr>
          <w:sz w:val="21"/>
        </w:rPr>
        <w:t>无可见变化）。</w:t>
      </w:r>
    </w:p>
    <w:p>
      <w:pPr>
        <w:pStyle w:val="null3"/>
        <w:ind w:firstLine="420"/>
        <w:jc w:val="both"/>
      </w:pPr>
      <w:r>
        <w:rPr>
          <w:sz w:val="21"/>
        </w:rPr>
        <w:t>8</w:t>
      </w:r>
      <w:r>
        <w:rPr>
          <w:sz w:val="21"/>
        </w:rPr>
        <w:t>、</w:t>
      </w:r>
      <w:r>
        <w:rPr>
          <w:sz w:val="21"/>
        </w:rPr>
        <w:t>理化板</w:t>
      </w:r>
      <w:r>
        <w:rPr>
          <w:sz w:val="21"/>
        </w:rPr>
        <w:t>氟、氯、溴、碘卤素含量，以及六价铬、铅、汞重金属含量，测试结果均要求为“未检测到”。</w:t>
      </w:r>
    </w:p>
    <w:p>
      <w:pPr>
        <w:pStyle w:val="null3"/>
        <w:ind w:firstLine="422"/>
        <w:jc w:val="both"/>
      </w:pPr>
      <w:r>
        <w:rPr>
          <w:sz w:val="21"/>
          <w:b/>
          <w:shd w:fill="FFFFFF" w:val="clear"/>
        </w:rPr>
        <w:t>9</w:t>
      </w:r>
      <w:r>
        <w:rPr>
          <w:sz w:val="21"/>
          <w:b/>
          <w:shd w:fill="FFFFFF" w:val="clear"/>
        </w:rPr>
        <w:t>）不锈钢台</w:t>
      </w:r>
    </w:p>
    <w:p>
      <w:pPr>
        <w:pStyle w:val="null3"/>
        <w:ind w:firstLine="420"/>
        <w:jc w:val="both"/>
      </w:pPr>
      <w:r>
        <w:rPr>
          <w:sz w:val="21"/>
        </w:rPr>
        <w:t>（1）</w:t>
      </w:r>
      <w:r>
        <w:rPr>
          <w:sz w:val="21"/>
        </w:rPr>
        <w:t>1.00mm</w:t>
      </w:r>
      <w:r>
        <w:rPr>
          <w:sz w:val="21"/>
        </w:rPr>
        <w:t>厚</w:t>
      </w:r>
      <w:r>
        <w:rPr>
          <w:sz w:val="21"/>
        </w:rPr>
        <w:t>304#</w:t>
      </w:r>
      <w:r>
        <w:rPr>
          <w:sz w:val="21"/>
        </w:rPr>
        <w:t>不锈钢结构</w:t>
      </w:r>
      <w:r>
        <w:rPr>
          <w:sz w:val="21"/>
        </w:rPr>
        <w:t>，</w:t>
      </w:r>
      <w:r>
        <w:rPr>
          <w:sz w:val="21"/>
        </w:rPr>
        <w:t>带柜体及抽屉</w:t>
      </w:r>
      <w:r>
        <w:rPr>
          <w:sz w:val="21"/>
        </w:rPr>
        <w:t>，</w:t>
      </w:r>
      <w:r>
        <w:rPr>
          <w:sz w:val="21"/>
        </w:rPr>
        <w:t>304</w:t>
      </w:r>
      <w:r>
        <w:rPr>
          <w:sz w:val="21"/>
        </w:rPr>
        <w:t>不锈钢</w:t>
      </w:r>
      <w:r>
        <w:rPr>
          <w:sz w:val="21"/>
        </w:rPr>
        <w:t>五金配件。</w:t>
      </w:r>
    </w:p>
    <w:p>
      <w:pPr>
        <w:pStyle w:val="null3"/>
        <w:ind w:firstLine="422"/>
        <w:jc w:val="both"/>
      </w:pPr>
      <w:r>
        <w:rPr>
          <w:sz w:val="21"/>
          <w:b/>
          <w:shd w:fill="FFFFFF" w:val="clear"/>
        </w:rPr>
        <w:t>10</w:t>
      </w:r>
      <w:r>
        <w:rPr>
          <w:sz w:val="21"/>
          <w:b/>
          <w:shd w:fill="FFFFFF" w:val="clear"/>
        </w:rPr>
        <w:t>）PVC胶地面</w:t>
      </w:r>
    </w:p>
    <w:p>
      <w:pPr>
        <w:pStyle w:val="null3"/>
        <w:ind w:firstLine="420"/>
        <w:jc w:val="both"/>
      </w:pPr>
      <w:r>
        <w:rPr>
          <w:sz w:val="21"/>
        </w:rPr>
        <w:t>（1）地面采用同质透芯PVC地板地面；使用总厚度≥2.0mm同质透心碎花纹PVC地板。具有良好的抗污抗氧，耐磨抗老化性能，具有优秀的环保性能，施工前需要铺设自流平水泥，2m内高低差不得大于2-3mm，自流平水泥含水率小于7%才能继续施工，PVC地板使用胶水进行粘贴，接缝处用焊线焊接密封，焊缝水平高低差2m内小于3mm。</w:t>
      </w:r>
    </w:p>
    <w:p>
      <w:pPr>
        <w:pStyle w:val="null3"/>
        <w:ind w:firstLine="420"/>
        <w:jc w:val="both"/>
      </w:pPr>
      <w:r>
        <w:rPr>
          <w:sz w:val="21"/>
        </w:rPr>
        <w:t>（2）施工工艺：</w:t>
      </w:r>
    </w:p>
    <w:p>
      <w:pPr>
        <w:pStyle w:val="null3"/>
        <w:ind w:firstLine="420"/>
        <w:jc w:val="both"/>
      </w:pPr>
      <w:r>
        <w:rPr>
          <w:sz w:val="21"/>
        </w:rPr>
        <w:t>1）PVC地板之间的拼接采用无缝连接。要求拼接处平滑均匀、整齐，表面应平整、洁净，粘贴牢固，无空鼓，周边顺直。</w:t>
      </w:r>
    </w:p>
    <w:p>
      <w:pPr>
        <w:pStyle w:val="null3"/>
        <w:ind w:firstLine="420"/>
        <w:jc w:val="both"/>
      </w:pPr>
      <w:r>
        <w:rPr>
          <w:sz w:val="21"/>
        </w:rPr>
        <w:t>2）PVC地板与墙面连接拐角处设置内部支撑，圆角半径为50mm，连接要求平滑顺直，完成面与彩钢板隔墙面齐平。</w:t>
      </w:r>
    </w:p>
    <w:p>
      <w:pPr>
        <w:pStyle w:val="null3"/>
        <w:ind w:firstLine="420"/>
        <w:jc w:val="both"/>
      </w:pPr>
      <w:r>
        <w:rPr>
          <w:sz w:val="21"/>
        </w:rPr>
        <w:t>3）PVC地板要求地面平整度高，在水泥砂浆找平的基础上，再用自流平水泥平整地面，厚度不宜低于3mm，待地面表层彻底干透后，才可粘贴地板胶。</w:t>
      </w:r>
    </w:p>
    <w:p>
      <w:pPr>
        <w:pStyle w:val="null3"/>
        <w:ind w:firstLine="420"/>
        <w:jc w:val="both"/>
      </w:pPr>
      <w:r>
        <w:rPr>
          <w:sz w:val="21"/>
        </w:rPr>
        <w:t>4）抗静止压力高，为0.15mm，弹性好无惧重压。</w:t>
      </w:r>
    </w:p>
    <w:p>
      <w:pPr>
        <w:pStyle w:val="null3"/>
        <w:ind w:firstLine="420"/>
        <w:jc w:val="both"/>
      </w:pPr>
      <w:r>
        <w:rPr>
          <w:sz w:val="21"/>
        </w:rPr>
        <w:t>5）防火性能等级B1，能够耐高温，具有阻燃性，受热卷曲度≦8mm，燃烧时不能释放氯化氢等对人体有害的气体。</w:t>
      </w:r>
    </w:p>
    <w:p>
      <w:pPr>
        <w:pStyle w:val="null3"/>
        <w:ind w:firstLine="420"/>
        <w:jc w:val="both"/>
      </w:pPr>
      <w:r>
        <w:rPr>
          <w:sz w:val="21"/>
        </w:rPr>
        <w:t>6）清洁保养费用低，保养方式方便快捷，一般无需打蜡。</w:t>
      </w:r>
    </w:p>
    <w:p>
      <w:pPr>
        <w:pStyle w:val="null3"/>
        <w:ind w:firstLine="420"/>
        <w:jc w:val="both"/>
      </w:pPr>
      <w:r>
        <w:rPr>
          <w:sz w:val="21"/>
          <w:b/>
          <w:shd w:fill="FFFFFF" w:val="clear"/>
        </w:rPr>
        <w:t>11)</w:t>
      </w:r>
      <w:r>
        <w:rPr>
          <w:sz w:val="21"/>
          <w:b/>
          <w:shd w:fill="FFFFFF" w:val="clear"/>
        </w:rPr>
        <w:t>彩钢板隔墙、天花</w:t>
      </w:r>
    </w:p>
    <w:p>
      <w:pPr>
        <w:pStyle w:val="null3"/>
        <w:ind w:firstLine="420"/>
        <w:jc w:val="both"/>
      </w:pPr>
      <w:r>
        <w:rPr>
          <w:sz w:val="21"/>
          <w:shd w:fill="FFFFFF" w:val="clear"/>
        </w:rPr>
        <w:t>(1)</w:t>
      </w:r>
      <w:r>
        <w:rPr>
          <w:sz w:val="21"/>
          <w:shd w:fill="FFFFFF" w:val="clear"/>
        </w:rPr>
        <w:t>中</w:t>
      </w:r>
      <w:r>
        <w:rPr>
          <w:sz w:val="21"/>
          <w:shd w:fill="FFFFFF" w:val="clear"/>
        </w:rPr>
        <w:t>空玻镁机制</w:t>
      </w:r>
      <w:r>
        <w:rPr>
          <w:sz w:val="21"/>
          <w:shd w:fill="FFFFFF" w:val="clear"/>
        </w:rPr>
        <w:t>彩钢板总厚度≧50mm；所有缝隙用密封胶密封；彩钢板表面钢板厚度≧0.426mm；壁板四周采用镀锌板钢骨架；壁板之间连接采用铝型材插接方式；板与板之间的缝隙小于3mm；</w:t>
      </w:r>
    </w:p>
    <w:p>
      <w:pPr>
        <w:pStyle w:val="null3"/>
        <w:ind w:firstLine="420"/>
        <w:jc w:val="both"/>
      </w:pPr>
      <w:r>
        <w:rPr>
          <w:sz w:val="21"/>
          <w:shd w:fill="FFFFFF" w:val="clear"/>
        </w:rPr>
        <w:t>(2)</w:t>
      </w:r>
      <w:r>
        <w:rPr>
          <w:sz w:val="21"/>
          <w:shd w:fill="FFFFFF" w:val="clear"/>
        </w:rPr>
        <w:t>1.7</w:t>
      </w:r>
      <w:r>
        <w:rPr>
          <w:sz w:val="21"/>
          <w:shd w:fill="FFFFFF" w:val="clear"/>
        </w:rPr>
        <w:t>彩钢板间隔优质铝架驳接式，玻镁彩钢板局部安装采用M型铝合金主立柱，</w:t>
      </w:r>
      <w:r>
        <w:rPr>
          <w:sz w:val="21"/>
          <w:shd w:fill="FFFFFF" w:val="clear"/>
        </w:rPr>
        <w:t>基于国标GB/T 3325-2024检测，“M”型立柱加强；厚度均为≥1.5mm；表面均有防滑凹槽经环氧树脂静电喷涂，耐腐蚀、耐酸碱</w:t>
      </w:r>
      <w:r>
        <w:rPr>
          <w:sz w:val="21"/>
          <w:shd w:fill="FFFFFF" w:val="clear"/>
        </w:rPr>
        <w:t>1.8</w:t>
      </w:r>
      <w:r>
        <w:rPr>
          <w:sz w:val="21"/>
          <w:shd w:fill="FFFFFF" w:val="clear"/>
        </w:rPr>
        <w:t>壁板底部连接方式为铝方通与铝制U型插接件配合连接，便于调整不平整地面的高度调节；墙面与地面平滑连接无凸起；墙体顶部交叉处采用三维空间球连接；</w:t>
      </w:r>
    </w:p>
    <w:p>
      <w:pPr>
        <w:pStyle w:val="null3"/>
        <w:ind w:firstLine="420"/>
        <w:jc w:val="both"/>
      </w:pPr>
      <w:r>
        <w:rPr>
          <w:sz w:val="21"/>
          <w:shd w:fill="FFFFFF" w:val="clear"/>
        </w:rPr>
        <w:t>(3)</w:t>
      </w:r>
      <w:r>
        <w:rPr>
          <w:sz w:val="21"/>
          <w:shd w:fill="FFFFFF" w:val="clear"/>
        </w:rPr>
        <w:t>板安装壁板应垂直，立缝要靠紧、均匀，转角板转角处的连接应整齐一致。水平、垂直方向均应成直线，无明显错位。连接处不得出现明显凹陷，室内包角边连接后不得出现波浪形翘曲，组立壁板的同时配合好电气暗敷管线及箱盒安装；</w:t>
      </w:r>
    </w:p>
    <w:p>
      <w:pPr>
        <w:pStyle w:val="null3"/>
        <w:ind w:firstLine="420"/>
        <w:jc w:val="left"/>
      </w:pPr>
      <w:r>
        <w:rPr>
          <w:sz w:val="21"/>
          <w:shd w:fill="FFFFFF" w:val="clear"/>
        </w:rPr>
        <w:t>(4)</w:t>
      </w:r>
      <w:r>
        <w:rPr>
          <w:sz w:val="21"/>
          <w:shd w:fill="FFFFFF" w:val="clear"/>
        </w:rPr>
        <w:t>中空玻镁机制彩钢板尺寸</w:t>
      </w:r>
      <w:r>
        <w:rPr>
          <w:sz w:val="21"/>
          <w:shd w:fill="FFFFFF" w:val="clear"/>
        </w:rPr>
        <w:t>≥</w:t>
      </w:r>
      <w:r>
        <w:rPr>
          <w:sz w:val="21"/>
          <w:shd w:fill="FFFFFF" w:val="clear"/>
        </w:rPr>
        <w:t>1150mm</w:t>
      </w:r>
      <w:r>
        <w:rPr>
          <w:sz w:val="21"/>
          <w:shd w:fill="FFFFFF" w:val="clear"/>
        </w:rPr>
        <w:t>；防火级别高，不易燃，材质坚硬，不容易变形。所有墙体与吊顶、墙体与墙体的拐角均为圆弧连接，1.1mm 厚的铝合金连接，圆弧R≥50mm。</w:t>
      </w:r>
    </w:p>
    <w:p>
      <w:pPr>
        <w:pStyle w:val="null3"/>
        <w:ind w:firstLine="420"/>
        <w:jc w:val="both"/>
      </w:pPr>
      <w:r>
        <w:rPr>
          <w:sz w:val="21"/>
          <w:shd w:fill="FFFFFF" w:val="clear"/>
        </w:rPr>
        <w:t>(5)</w:t>
      </w:r>
      <w:r>
        <w:rPr>
          <w:sz w:val="21"/>
          <w:shd w:fill="FFFFFF" w:val="clear"/>
        </w:rPr>
        <w:t>玻镁彩钢板属于A1级防火材料。</w:t>
      </w:r>
    </w:p>
    <w:p>
      <w:pPr>
        <w:pStyle w:val="null3"/>
        <w:ind w:firstLine="422"/>
        <w:jc w:val="both"/>
      </w:pPr>
      <w:r>
        <w:rPr>
          <w:sz w:val="21"/>
          <w:b/>
          <w:shd w:fill="FFFFFF" w:val="clear"/>
        </w:rPr>
        <w:t>12</w:t>
      </w:r>
      <w:r>
        <w:rPr>
          <w:sz w:val="21"/>
          <w:b/>
          <w:shd w:fill="FFFFFF" w:val="clear"/>
        </w:rPr>
        <w:t>）门窗</w:t>
      </w:r>
    </w:p>
    <w:p>
      <w:pPr>
        <w:pStyle w:val="null3"/>
        <w:ind w:firstLine="420"/>
        <w:jc w:val="both"/>
      </w:pPr>
      <w:r>
        <w:rPr>
          <w:sz w:val="21"/>
          <w:shd w:fill="FFFFFF" w:val="clear"/>
        </w:rPr>
        <w:t>（1）实验室专用门，钢制成品门（单开门/双开门）；材质为环保无花镀锌烤漆，配执手锁，开锁孔，含不锈钢五金材料，玻璃门（单开门/双开门）规格：12mm钢化玻璃；50mm304#不锈钢包框；含不锈钢五金材料；</w:t>
      </w:r>
    </w:p>
    <w:p>
      <w:pPr>
        <w:pStyle w:val="null3"/>
        <w:ind w:firstLine="422"/>
        <w:jc w:val="both"/>
      </w:pPr>
      <w:r>
        <w:rPr>
          <w:sz w:val="21"/>
          <w:b/>
          <w:shd w:fill="FFFFFF" w:val="clear"/>
        </w:rPr>
        <w:t>13</w:t>
      </w:r>
      <w:r>
        <w:rPr>
          <w:sz w:val="21"/>
          <w:b/>
          <w:shd w:fill="FFFFFF" w:val="clear"/>
        </w:rPr>
        <w:t>）电气系统</w:t>
      </w:r>
    </w:p>
    <w:p>
      <w:pPr>
        <w:pStyle w:val="null3"/>
        <w:ind w:firstLine="420"/>
        <w:jc w:val="both"/>
      </w:pPr>
      <w:r>
        <w:rPr>
          <w:sz w:val="21"/>
          <w:shd w:fill="FFFFFF" w:val="clear"/>
        </w:rPr>
        <w:t>1</w:t>
      </w:r>
      <w:r>
        <w:rPr>
          <w:sz w:val="21"/>
          <w:shd w:fill="FFFFFF" w:val="clear"/>
        </w:rPr>
        <w:t>）强电</w:t>
      </w:r>
    </w:p>
    <w:p>
      <w:pPr>
        <w:pStyle w:val="null3"/>
        <w:ind w:firstLine="420"/>
        <w:jc w:val="both"/>
      </w:pPr>
      <w:r>
        <w:rPr>
          <w:sz w:val="21"/>
          <w:shd w:fill="FFFFFF" w:val="clear"/>
        </w:rPr>
        <w:t>符合国家标准及</w:t>
      </w:r>
      <w:r>
        <w:rPr>
          <w:sz w:val="21"/>
          <w:shd w:fill="FFFFFF" w:val="clear"/>
        </w:rPr>
        <w:t>行业</w:t>
      </w:r>
      <w:r>
        <w:rPr>
          <w:sz w:val="21"/>
          <w:shd w:fill="FFFFFF" w:val="clear"/>
        </w:rPr>
        <w:t>标准；结合实验室仪器及大楼供电设计电路</w:t>
      </w:r>
      <w:r>
        <w:rPr>
          <w:sz w:val="21"/>
          <w:shd w:fill="FFFFFF" w:val="clear"/>
        </w:rPr>
        <w:t>，</w:t>
      </w:r>
      <w:r>
        <w:rPr>
          <w:sz w:val="21"/>
          <w:shd w:fill="FFFFFF" w:val="clear"/>
        </w:rPr>
        <w:t>满足仪器的用电、接地电阻及实验室照度要求。</w:t>
      </w:r>
    </w:p>
    <w:p>
      <w:pPr>
        <w:pStyle w:val="null3"/>
        <w:ind w:firstLine="420"/>
        <w:jc w:val="both"/>
      </w:pPr>
      <w:r>
        <w:rPr>
          <w:sz w:val="21"/>
          <w:shd w:fill="FFFFFF" w:val="clear"/>
        </w:rPr>
        <w:t>2</w:t>
      </w:r>
      <w:r>
        <w:rPr>
          <w:sz w:val="21"/>
          <w:shd w:fill="FFFFFF" w:val="clear"/>
        </w:rPr>
        <w:t>）动力箱</w:t>
      </w:r>
    </w:p>
    <w:p>
      <w:pPr>
        <w:pStyle w:val="null3"/>
        <w:ind w:firstLine="420"/>
        <w:jc w:val="both"/>
      </w:pPr>
      <w:r>
        <w:rPr>
          <w:sz w:val="21"/>
          <w:shd w:fill="FFFFFF" w:val="clear"/>
        </w:rPr>
        <w:t>（</w:t>
      </w:r>
      <w:r>
        <w:rPr>
          <w:sz w:val="21"/>
          <w:shd w:fill="FFFFFF" w:val="clear"/>
        </w:rPr>
        <w:t>1</w:t>
      </w:r>
      <w:r>
        <w:rPr>
          <w:sz w:val="21"/>
          <w:shd w:fill="FFFFFF" w:val="clear"/>
        </w:rPr>
        <w:t>）元器件（断路器、接触器、热继电器、）所有一次元件的品牌</w:t>
      </w:r>
      <w:r>
        <w:rPr>
          <w:sz w:val="21"/>
          <w:shd w:fill="FFFFFF" w:val="clear"/>
        </w:rPr>
        <w:t>可以兼容互换</w:t>
      </w:r>
      <w:r>
        <w:rPr>
          <w:sz w:val="21"/>
          <w:shd w:fill="FFFFFF" w:val="clear"/>
        </w:rPr>
        <w:t>。</w:t>
      </w:r>
    </w:p>
    <w:p>
      <w:pPr>
        <w:pStyle w:val="null3"/>
        <w:ind w:firstLine="420"/>
        <w:jc w:val="both"/>
      </w:pPr>
      <w:r>
        <w:rPr>
          <w:sz w:val="21"/>
          <w:shd w:fill="FFFFFF" w:val="clear"/>
        </w:rPr>
        <w:t>（</w:t>
      </w:r>
      <w:r>
        <w:rPr>
          <w:sz w:val="21"/>
          <w:shd w:fill="FFFFFF" w:val="clear"/>
        </w:rPr>
        <w:t>2</w:t>
      </w:r>
      <w:r>
        <w:rPr>
          <w:sz w:val="21"/>
          <w:shd w:fill="FFFFFF" w:val="clear"/>
        </w:rPr>
        <w:t>）箱体材料采用优质冷轧钢板，箱体板材厚度不小于</w:t>
      </w:r>
      <w:r>
        <w:rPr>
          <w:sz w:val="21"/>
          <w:shd w:fill="FFFFFF" w:val="clear"/>
        </w:rPr>
        <w:t>1.0mm</w:t>
      </w:r>
      <w:r>
        <w:rPr>
          <w:sz w:val="21"/>
          <w:shd w:fill="FFFFFF" w:val="clear"/>
        </w:rPr>
        <w:t>，落地柜板材厚度不小于</w:t>
      </w:r>
      <w:r>
        <w:rPr>
          <w:sz w:val="21"/>
          <w:shd w:fill="FFFFFF" w:val="clear"/>
        </w:rPr>
        <w:t>1.0mm</w:t>
      </w:r>
      <w:r>
        <w:rPr>
          <w:sz w:val="21"/>
          <w:shd w:fill="FFFFFF" w:val="clear"/>
        </w:rPr>
        <w:t>，箱体表面经过除油、除锈、磷化处理、喷粉烘烤或喷塑处理。</w:t>
      </w:r>
    </w:p>
    <w:p>
      <w:pPr>
        <w:pStyle w:val="null3"/>
        <w:ind w:firstLine="420"/>
        <w:jc w:val="both"/>
      </w:pPr>
      <w:r>
        <w:rPr>
          <w:sz w:val="21"/>
          <w:shd w:fill="FFFFFF" w:val="clear"/>
        </w:rPr>
        <w:t>（</w:t>
      </w:r>
      <w:r>
        <w:rPr>
          <w:sz w:val="21"/>
          <w:shd w:fill="FFFFFF" w:val="clear"/>
        </w:rPr>
        <w:t>3</w:t>
      </w:r>
      <w:r>
        <w:rPr>
          <w:sz w:val="21"/>
          <w:shd w:fill="FFFFFF" w:val="clear"/>
        </w:rPr>
        <w:t>）箱体须为全封闭型，箱门上须装防尘垫，装以锁扣或其他相同经批准的锁。整个箱体的防护等级不低于</w:t>
      </w:r>
      <w:r>
        <w:rPr>
          <w:sz w:val="21"/>
          <w:shd w:fill="FFFFFF" w:val="clear"/>
        </w:rPr>
        <w:t>IP</w:t>
      </w:r>
      <w:r>
        <w:rPr>
          <w:sz w:val="21"/>
          <w:shd w:fill="FFFFFF" w:val="clear"/>
        </w:rPr>
        <w:t>2</w:t>
      </w:r>
      <w:r>
        <w:rPr>
          <w:sz w:val="21"/>
          <w:shd w:fill="FFFFFF" w:val="clear"/>
        </w:rPr>
        <w:t>1</w:t>
      </w:r>
      <w:r>
        <w:rPr>
          <w:sz w:val="21"/>
          <w:shd w:fill="FFFFFF" w:val="clear"/>
        </w:rPr>
        <w:t>。</w:t>
      </w:r>
    </w:p>
    <w:p>
      <w:pPr>
        <w:pStyle w:val="null3"/>
        <w:ind w:firstLine="420"/>
        <w:jc w:val="both"/>
      </w:pPr>
      <w:r>
        <w:rPr>
          <w:sz w:val="21"/>
          <w:shd w:fill="FFFFFF" w:val="clear"/>
        </w:rPr>
        <w:t>（</w:t>
      </w:r>
      <w:r>
        <w:rPr>
          <w:sz w:val="21"/>
          <w:shd w:fill="FFFFFF" w:val="clear"/>
        </w:rPr>
        <w:t>4</w:t>
      </w:r>
      <w:r>
        <w:rPr>
          <w:sz w:val="21"/>
          <w:shd w:fill="FFFFFF" w:val="clear"/>
        </w:rPr>
        <w:t>）箱内设备须包括所规定额定电流的镀锡铜母线，以及足够截面的多接线端子的中性线和地线母线。</w:t>
      </w:r>
    </w:p>
    <w:p>
      <w:pPr>
        <w:pStyle w:val="null3"/>
        <w:ind w:firstLine="420"/>
        <w:jc w:val="both"/>
      </w:pPr>
      <w:r>
        <w:rPr>
          <w:sz w:val="21"/>
          <w:shd w:fill="FFFFFF" w:val="clear"/>
        </w:rPr>
        <w:t>（</w:t>
      </w:r>
      <w:r>
        <w:rPr>
          <w:sz w:val="21"/>
          <w:shd w:fill="FFFFFF" w:val="clear"/>
        </w:rPr>
        <w:t>5</w:t>
      </w:r>
      <w:r>
        <w:rPr>
          <w:sz w:val="21"/>
          <w:shd w:fill="FFFFFF" w:val="clear"/>
        </w:rPr>
        <w:t>）为了使带电部分和电线在打开前门板时能够完全屏蔽，所有在箱内的电线、母线等都应加以遮护，并应提供一块</w:t>
      </w:r>
      <w:r>
        <w:rPr>
          <w:sz w:val="21"/>
          <w:shd w:fill="FFFFFF" w:val="clear"/>
        </w:rPr>
        <w:t>1.5mm</w:t>
      </w:r>
      <w:r>
        <w:rPr>
          <w:sz w:val="21"/>
          <w:shd w:fill="FFFFFF" w:val="clear"/>
        </w:rPr>
        <w:t>厚的阻燃前护板（控制箱可以例外）。只有断路器的操作手把和其周围的绝缘部分可以突出在阻燃前护板上。</w:t>
      </w:r>
    </w:p>
    <w:p>
      <w:pPr>
        <w:pStyle w:val="null3"/>
        <w:ind w:firstLine="420"/>
        <w:jc w:val="both"/>
      </w:pPr>
      <w:r>
        <w:rPr>
          <w:sz w:val="21"/>
          <w:shd w:fill="FFFFFF" w:val="clear"/>
        </w:rPr>
        <w:t>（</w:t>
      </w:r>
      <w:r>
        <w:rPr>
          <w:sz w:val="21"/>
          <w:shd w:fill="FFFFFF" w:val="clear"/>
        </w:rPr>
        <w:t>6</w:t>
      </w:r>
      <w:r>
        <w:rPr>
          <w:sz w:val="21"/>
          <w:shd w:fill="FFFFFF" w:val="clear"/>
        </w:rPr>
        <w:t>）须配置一个接地端子，使箱体可以接地。装有二次元件的箱门应通过软编制铜带与接地端子相连。</w:t>
      </w:r>
    </w:p>
    <w:p>
      <w:pPr>
        <w:pStyle w:val="null3"/>
        <w:ind w:firstLine="420"/>
        <w:jc w:val="both"/>
      </w:pPr>
      <w:r>
        <w:rPr>
          <w:sz w:val="21"/>
          <w:shd w:fill="FFFFFF" w:val="clear"/>
        </w:rPr>
        <w:t>3</w:t>
      </w:r>
      <w:r>
        <w:rPr>
          <w:sz w:val="21"/>
          <w:shd w:fill="FFFFFF" w:val="clear"/>
        </w:rPr>
        <w:t>）电线电缆</w:t>
      </w:r>
    </w:p>
    <w:p>
      <w:pPr>
        <w:pStyle w:val="null3"/>
        <w:ind w:firstLine="420"/>
        <w:jc w:val="both"/>
      </w:pPr>
      <w:r>
        <w:rPr>
          <w:sz w:val="21"/>
          <w:shd w:fill="FFFFFF" w:val="clear"/>
        </w:rPr>
        <w:t>（</w:t>
      </w:r>
      <w:r>
        <w:rPr>
          <w:sz w:val="21"/>
          <w:shd w:fill="FFFFFF" w:val="clear"/>
        </w:rPr>
        <w:t>1</w:t>
      </w:r>
      <w:r>
        <w:rPr>
          <w:sz w:val="21"/>
          <w:shd w:fill="FFFFFF" w:val="clear"/>
        </w:rPr>
        <w:t>）</w:t>
      </w:r>
      <w:r>
        <w:rPr>
          <w:sz w:val="21"/>
          <w:shd w:fill="FFFFFF" w:val="clear"/>
        </w:rPr>
        <w:t>阻燃、耐火电缆应</w:t>
      </w:r>
      <w:r>
        <w:rPr>
          <w:sz w:val="21"/>
          <w:shd w:fill="FFFFFF" w:val="clear"/>
        </w:rPr>
        <w:t>符合</w:t>
      </w:r>
      <w:r>
        <w:rPr>
          <w:sz w:val="21"/>
          <w:shd w:fill="FFFFFF" w:val="clear"/>
        </w:rPr>
        <w:t>GB/T19666—2019</w:t>
      </w:r>
      <w:r>
        <w:rPr>
          <w:sz w:val="21"/>
          <w:shd w:fill="FFFFFF" w:val="clear"/>
        </w:rPr>
        <w:t>国家标</w:t>
      </w:r>
      <w:r>
        <w:rPr>
          <w:sz w:val="21"/>
          <w:shd w:fill="FFFFFF" w:val="clear"/>
        </w:rPr>
        <w:t>准</w:t>
      </w:r>
      <w:r>
        <w:rPr>
          <w:sz w:val="21"/>
          <w:shd w:fill="FFFFFF" w:val="clear"/>
        </w:rPr>
        <w:t>。</w:t>
      </w:r>
    </w:p>
    <w:p>
      <w:pPr>
        <w:pStyle w:val="null3"/>
        <w:ind w:firstLine="420"/>
        <w:jc w:val="both"/>
      </w:pPr>
      <w:r>
        <w:rPr>
          <w:sz w:val="21"/>
          <w:shd w:fill="FFFFFF" w:val="clear"/>
        </w:rPr>
        <w:t>（2）</w:t>
      </w:r>
      <w:r>
        <w:rPr>
          <w:sz w:val="21"/>
          <w:shd w:fill="FFFFFF" w:val="clear"/>
        </w:rPr>
        <w:t>电缆盘上应表明电缆型号、规格、电压等级、长度及出厂日期。并与产品合格证相符。电缆盘应完好无损。</w:t>
      </w:r>
    </w:p>
    <w:p>
      <w:pPr>
        <w:pStyle w:val="null3"/>
        <w:ind w:firstLine="420"/>
        <w:jc w:val="both"/>
      </w:pPr>
      <w:r>
        <w:rPr>
          <w:sz w:val="21"/>
          <w:shd w:fill="FFFFFF" w:val="clear"/>
        </w:rPr>
        <w:t>（3）</w:t>
      </w:r>
      <w:r>
        <w:rPr>
          <w:sz w:val="21"/>
          <w:shd w:fill="FFFFFF" w:val="clear"/>
        </w:rPr>
        <w:t>用优质铜材，含铜量不低于</w:t>
      </w:r>
      <w:r>
        <w:rPr>
          <w:sz w:val="21"/>
          <w:shd w:fill="FFFFFF" w:val="clear"/>
        </w:rPr>
        <w:t>99.99%</w:t>
      </w:r>
      <w:r>
        <w:rPr>
          <w:sz w:val="21"/>
          <w:shd w:fill="FFFFFF" w:val="clear"/>
        </w:rPr>
        <w:t>。</w:t>
      </w:r>
    </w:p>
    <w:p>
      <w:pPr>
        <w:pStyle w:val="null3"/>
        <w:ind w:firstLine="420"/>
        <w:jc w:val="both"/>
      </w:pPr>
      <w:r>
        <w:rPr>
          <w:sz w:val="21"/>
          <w:shd w:fill="FFFFFF" w:val="clear"/>
        </w:rPr>
        <w:t>（</w:t>
      </w:r>
      <w:r>
        <w:rPr>
          <w:sz w:val="21"/>
          <w:shd w:fill="FFFFFF" w:val="clear"/>
        </w:rPr>
        <w:t>4</w:t>
      </w:r>
      <w:r>
        <w:rPr>
          <w:sz w:val="21"/>
          <w:shd w:fill="FFFFFF" w:val="clear"/>
        </w:rPr>
        <w:t>）</w:t>
      </w:r>
      <w:r>
        <w:rPr>
          <w:sz w:val="21"/>
          <w:shd w:fill="FFFFFF" w:val="clear"/>
        </w:rPr>
        <w:t>线、电缆的绝缘材链须符合电压等级和设计要求。</w:t>
      </w:r>
    </w:p>
    <w:p>
      <w:pPr>
        <w:pStyle w:val="null3"/>
        <w:ind w:firstLine="420"/>
        <w:jc w:val="both"/>
      </w:pPr>
      <w:r>
        <w:rPr>
          <w:sz w:val="21"/>
          <w:shd w:fill="FFFFFF" w:val="clear"/>
        </w:rPr>
        <w:t>（5）</w:t>
      </w:r>
      <w:r>
        <w:rPr>
          <w:sz w:val="21"/>
          <w:shd w:fill="FFFFFF" w:val="clear"/>
        </w:rPr>
        <w:t>电缆未受到机械外力的损伤，铠装无锈蚀，缆线顺直无皱折和扭曲现象。塑料电缆外皮绝缘层无老化和龟裂现象。</w:t>
      </w:r>
    </w:p>
    <w:p>
      <w:pPr>
        <w:pStyle w:val="null3"/>
        <w:ind w:firstLine="420"/>
        <w:jc w:val="both"/>
      </w:pPr>
      <w:r>
        <w:rPr>
          <w:sz w:val="21"/>
          <w:shd w:fill="FFFFFF" w:val="clear"/>
        </w:rPr>
        <w:t>（</w:t>
      </w:r>
      <w:r>
        <w:rPr>
          <w:sz w:val="21"/>
          <w:shd w:fill="FFFFFF" w:val="clear"/>
        </w:rPr>
        <w:t>6</w:t>
      </w:r>
      <w:r>
        <w:rPr>
          <w:sz w:val="21"/>
          <w:shd w:fill="FFFFFF" w:val="clear"/>
        </w:rPr>
        <w:t>）</w:t>
      </w:r>
      <w:r>
        <w:rPr>
          <w:sz w:val="21"/>
          <w:shd w:fill="FFFFFF" w:val="clear"/>
        </w:rPr>
        <w:t>电缆终端头应是定型产品，与电缆采用同一产品，附件齐全，封套须与电缆规格尺寸匹配，应紧裹电缆及其各条导线。套管应完好无损，不得有裂纹和损伤，并应有合格证和实验数据纪录。</w:t>
      </w:r>
    </w:p>
    <w:p>
      <w:pPr>
        <w:pStyle w:val="null3"/>
        <w:ind w:firstLine="420"/>
        <w:jc w:val="both"/>
      </w:pPr>
      <w:r>
        <w:rPr>
          <w:sz w:val="21"/>
          <w:shd w:fill="FFFFFF" w:val="clear"/>
        </w:rPr>
        <w:t>（7）</w:t>
      </w:r>
      <w:r>
        <w:rPr>
          <w:sz w:val="21"/>
          <w:shd w:fill="FFFFFF" w:val="clear"/>
        </w:rPr>
        <w:t>电缆芯线和电线绝缘层的颜色须满足以下要求：</w:t>
      </w:r>
    </w:p>
    <w:p>
      <w:pPr>
        <w:pStyle w:val="null3"/>
        <w:ind w:firstLine="420"/>
        <w:jc w:val="both"/>
      </w:pPr>
      <w:r>
        <w:rPr>
          <w:sz w:val="21"/>
          <w:shd w:fill="FFFFFF" w:val="clear"/>
        </w:rPr>
        <w:t>相线：黄、绿、红；零线：淡蓝；地线：黄</w:t>
      </w:r>
      <w:r>
        <w:rPr>
          <w:sz w:val="21"/>
          <w:shd w:fill="FFFFFF" w:val="clear"/>
        </w:rPr>
        <w:t>/</w:t>
      </w:r>
      <w:r>
        <w:rPr>
          <w:sz w:val="21"/>
          <w:shd w:fill="FFFFFF" w:val="clear"/>
        </w:rPr>
        <w:t>绿；控制线：白</w:t>
      </w:r>
    </w:p>
    <w:p>
      <w:pPr>
        <w:pStyle w:val="null3"/>
        <w:ind w:firstLine="420"/>
        <w:jc w:val="both"/>
      </w:pPr>
      <w:r>
        <w:rPr>
          <w:sz w:val="21"/>
          <w:shd w:fill="FFFFFF" w:val="clear"/>
        </w:rPr>
        <w:t>（</w:t>
      </w:r>
      <w:r>
        <w:rPr>
          <w:sz w:val="21"/>
          <w:shd w:fill="FFFFFF" w:val="clear"/>
        </w:rPr>
        <w:t>8</w:t>
      </w:r>
      <w:r>
        <w:rPr>
          <w:sz w:val="21"/>
          <w:shd w:fill="FFFFFF" w:val="clear"/>
        </w:rPr>
        <w:t>）</w:t>
      </w:r>
      <w:r>
        <w:rPr>
          <w:sz w:val="21"/>
          <w:shd w:fill="FFFFFF" w:val="clear"/>
        </w:rPr>
        <w:t>与低压柜相连电缆的电缆头制作须用户内热缩式。</w:t>
      </w:r>
    </w:p>
    <w:p>
      <w:pPr>
        <w:pStyle w:val="null3"/>
        <w:ind w:firstLine="420"/>
        <w:jc w:val="both"/>
      </w:pPr>
      <w:r>
        <w:rPr>
          <w:sz w:val="21"/>
          <w:shd w:fill="FFFFFF" w:val="clear"/>
        </w:rPr>
        <w:t>（</w:t>
      </w:r>
      <w:r>
        <w:rPr>
          <w:sz w:val="21"/>
          <w:shd w:fill="FFFFFF" w:val="clear"/>
        </w:rPr>
        <w:t>9</w:t>
      </w:r>
      <w:r>
        <w:rPr>
          <w:sz w:val="21"/>
          <w:shd w:fill="FFFFFF" w:val="clear"/>
        </w:rPr>
        <w:t>）</w:t>
      </w:r>
      <w:r>
        <w:rPr>
          <w:sz w:val="21"/>
          <w:shd w:fill="FFFFFF" w:val="clear"/>
        </w:rPr>
        <w:t>工频额定电压：</w:t>
      </w:r>
      <w:r>
        <w:rPr>
          <w:sz w:val="21"/>
          <w:shd w:fill="FFFFFF" w:val="clear"/>
        </w:rPr>
        <w:t>U0/U</w:t>
      </w:r>
      <w:r>
        <w:rPr>
          <w:sz w:val="21"/>
          <w:shd w:fill="FFFFFF" w:val="clear"/>
        </w:rPr>
        <w:t>：</w:t>
      </w:r>
      <w:r>
        <w:rPr>
          <w:sz w:val="21"/>
          <w:shd w:fill="FFFFFF" w:val="clear"/>
        </w:rPr>
        <w:t>0.6/1kV</w:t>
      </w:r>
      <w:r>
        <w:rPr>
          <w:sz w:val="21"/>
          <w:shd w:fill="FFFFFF" w:val="clear"/>
        </w:rPr>
        <w:t>。工作温度：电缆导体的最高额定温度</w:t>
      </w:r>
      <w:r>
        <w:rPr>
          <w:sz w:val="21"/>
          <w:shd w:fill="FFFFFF" w:val="clear"/>
        </w:rPr>
        <w:t>90</w:t>
      </w:r>
      <w:r>
        <w:rPr>
          <w:sz w:val="21"/>
          <w:shd w:fill="FFFFFF" w:val="clear"/>
        </w:rPr>
        <w:t>℃。线芯短路温度：短路时最长持续时间不超过</w:t>
      </w:r>
      <w:r>
        <w:rPr>
          <w:sz w:val="21"/>
          <w:shd w:fill="FFFFFF" w:val="clear"/>
        </w:rPr>
        <w:t>5s</w:t>
      </w:r>
      <w:r>
        <w:rPr>
          <w:sz w:val="21"/>
          <w:shd w:fill="FFFFFF" w:val="clear"/>
        </w:rPr>
        <w:t>，电缆导体最高温度不超过</w:t>
      </w:r>
      <w:r>
        <w:rPr>
          <w:sz w:val="21"/>
          <w:shd w:fill="FFFFFF" w:val="clear"/>
        </w:rPr>
        <w:t>250</w:t>
      </w:r>
      <w:r>
        <w:rPr>
          <w:sz w:val="21"/>
          <w:shd w:fill="FFFFFF" w:val="clear"/>
        </w:rPr>
        <w:t>℃。电缆应具有无卤、低烟、耐火等特性。</w:t>
      </w:r>
    </w:p>
    <w:p>
      <w:pPr>
        <w:pStyle w:val="null3"/>
        <w:ind w:firstLine="420"/>
        <w:jc w:val="both"/>
      </w:pPr>
      <w:r>
        <w:rPr>
          <w:sz w:val="21"/>
          <w:shd w:fill="FFFFFF" w:val="clear"/>
        </w:rPr>
        <w:t>（</w:t>
      </w:r>
      <w:r>
        <w:rPr>
          <w:sz w:val="21"/>
          <w:shd w:fill="FFFFFF" w:val="clear"/>
        </w:rPr>
        <w:t>1</w:t>
      </w:r>
      <w:r>
        <w:rPr>
          <w:sz w:val="21"/>
          <w:shd w:fill="FFFFFF" w:val="clear"/>
        </w:rPr>
        <w:t>0</w:t>
      </w:r>
      <w:r>
        <w:rPr>
          <w:sz w:val="21"/>
          <w:shd w:fill="FFFFFF" w:val="clear"/>
        </w:rPr>
        <w:t>）</w:t>
      </w:r>
      <w:r>
        <w:rPr>
          <w:sz w:val="21"/>
          <w:shd w:fill="FFFFFF" w:val="clear"/>
        </w:rPr>
        <w:t>电缆燃烧时的阻燃性能应能满足</w:t>
      </w:r>
      <w:r>
        <w:rPr>
          <w:sz w:val="21"/>
          <w:shd w:fill="FFFFFF" w:val="clear"/>
        </w:rPr>
        <w:t>GB18380-2001</w:t>
      </w:r>
      <w:r>
        <w:rPr>
          <w:sz w:val="21"/>
          <w:shd w:fill="FFFFFF" w:val="clear"/>
        </w:rPr>
        <w:t>规定的</w:t>
      </w:r>
      <w:r>
        <w:rPr>
          <w:sz w:val="21"/>
          <w:shd w:fill="FFFFFF" w:val="clear"/>
        </w:rPr>
        <w:t>A</w:t>
      </w:r>
      <w:r>
        <w:rPr>
          <w:sz w:val="21"/>
          <w:shd w:fill="FFFFFF" w:val="clear"/>
        </w:rPr>
        <w:t>类成束电缆垂直燃烧试验。（首次响应时提供承诺函）</w:t>
      </w:r>
    </w:p>
    <w:p>
      <w:pPr>
        <w:pStyle w:val="null3"/>
        <w:ind w:firstLine="420"/>
        <w:jc w:val="both"/>
      </w:pPr>
      <w:r>
        <w:rPr>
          <w:sz w:val="21"/>
          <w:shd w:fill="FFFFFF" w:val="clear"/>
        </w:rPr>
        <w:t>（</w:t>
      </w:r>
      <w:r>
        <w:rPr>
          <w:sz w:val="21"/>
          <w:shd w:fill="FFFFFF" w:val="clear"/>
        </w:rPr>
        <w:t>1</w:t>
      </w:r>
      <w:r>
        <w:rPr>
          <w:sz w:val="21"/>
          <w:shd w:fill="FFFFFF" w:val="clear"/>
        </w:rPr>
        <w:t>1</w:t>
      </w:r>
      <w:r>
        <w:rPr>
          <w:sz w:val="21"/>
          <w:shd w:fill="FFFFFF" w:val="clear"/>
        </w:rPr>
        <w:t>）</w:t>
      </w:r>
      <w:r>
        <w:rPr>
          <w:sz w:val="21"/>
          <w:shd w:fill="FFFFFF" w:val="clear"/>
        </w:rPr>
        <w:t>电缆燃烧时需满足低烟性能，燃烧时产生的烟浓度其最小透光率不小于</w:t>
      </w:r>
      <w:r>
        <w:rPr>
          <w:sz w:val="21"/>
          <w:shd w:fill="FFFFFF" w:val="clear"/>
        </w:rPr>
        <w:t>70%</w:t>
      </w:r>
      <w:r>
        <w:rPr>
          <w:sz w:val="21"/>
          <w:shd w:fill="FFFFFF" w:val="clear"/>
        </w:rPr>
        <w:t>。</w:t>
      </w:r>
    </w:p>
    <w:p>
      <w:pPr>
        <w:pStyle w:val="null3"/>
        <w:ind w:firstLine="420"/>
        <w:jc w:val="both"/>
      </w:pPr>
      <w:r>
        <w:rPr>
          <w:sz w:val="21"/>
          <w:shd w:fill="FFFFFF" w:val="clear"/>
        </w:rPr>
        <w:t>（</w:t>
      </w:r>
      <w:r>
        <w:rPr>
          <w:sz w:val="21"/>
          <w:shd w:fill="FFFFFF" w:val="clear"/>
        </w:rPr>
        <w:t>1</w:t>
      </w:r>
      <w:r>
        <w:rPr>
          <w:sz w:val="21"/>
          <w:shd w:fill="FFFFFF" w:val="clear"/>
        </w:rPr>
        <w:t>2</w:t>
      </w:r>
      <w:r>
        <w:rPr>
          <w:sz w:val="21"/>
          <w:shd w:fill="FFFFFF" w:val="clear"/>
        </w:rPr>
        <w:t>）</w:t>
      </w:r>
      <w:r>
        <w:rPr>
          <w:sz w:val="21"/>
          <w:shd w:fill="FFFFFF" w:val="clear"/>
        </w:rPr>
        <w:t>电缆燃烧时逸出的气体的</w:t>
      </w:r>
      <w:r>
        <w:rPr>
          <w:sz w:val="21"/>
          <w:shd w:fill="FFFFFF" w:val="clear"/>
        </w:rPr>
        <w:t>PH</w:t>
      </w:r>
      <w:r>
        <w:rPr>
          <w:sz w:val="21"/>
          <w:shd w:fill="FFFFFF" w:val="clear"/>
        </w:rPr>
        <w:t>值和导电率测试，</w:t>
      </w:r>
      <w:r>
        <w:rPr>
          <w:sz w:val="21"/>
          <w:shd w:fill="FFFFFF" w:val="clear"/>
        </w:rPr>
        <w:t>PH</w:t>
      </w:r>
      <w:r>
        <w:rPr>
          <w:sz w:val="21"/>
          <w:shd w:fill="FFFFFF" w:val="clear"/>
        </w:rPr>
        <w:t>值不小于</w:t>
      </w:r>
      <w:r>
        <w:rPr>
          <w:sz w:val="21"/>
          <w:shd w:fill="FFFFFF" w:val="clear"/>
        </w:rPr>
        <w:t>4.6</w:t>
      </w:r>
      <w:r>
        <w:rPr>
          <w:sz w:val="21"/>
          <w:shd w:fill="FFFFFF" w:val="clear"/>
        </w:rPr>
        <w:t>，导电率不大于</w:t>
      </w:r>
      <w:r>
        <w:rPr>
          <w:sz w:val="21"/>
          <w:shd w:fill="FFFFFF" w:val="clear"/>
        </w:rPr>
        <w:t>10</w:t>
      </w:r>
      <w:r>
        <w:rPr>
          <w:sz w:val="21"/>
          <w:shd w:fill="FFFFFF" w:val="clear"/>
        </w:rPr>
        <w:t>μ</w:t>
      </w:r>
      <w:r>
        <w:rPr>
          <w:sz w:val="21"/>
          <w:shd w:fill="FFFFFF" w:val="clear"/>
        </w:rPr>
        <w:t>s/mm</w:t>
      </w:r>
      <w:r>
        <w:rPr>
          <w:sz w:val="21"/>
          <w:shd w:fill="FFFFFF" w:val="clear"/>
        </w:rPr>
        <w:t>。</w:t>
      </w:r>
    </w:p>
    <w:p>
      <w:pPr>
        <w:pStyle w:val="null3"/>
        <w:ind w:firstLine="420"/>
        <w:jc w:val="both"/>
      </w:pPr>
      <w:r>
        <w:rPr>
          <w:sz w:val="21"/>
          <w:shd w:fill="FFFFFF" w:val="clear"/>
        </w:rPr>
        <w:t>（</w:t>
      </w:r>
      <w:r>
        <w:rPr>
          <w:sz w:val="21"/>
          <w:shd w:fill="FFFFFF" w:val="clear"/>
        </w:rPr>
        <w:t>1</w:t>
      </w:r>
      <w:r>
        <w:rPr>
          <w:sz w:val="21"/>
          <w:shd w:fill="FFFFFF" w:val="clear"/>
        </w:rPr>
        <w:t>3</w:t>
      </w:r>
      <w:r>
        <w:rPr>
          <w:sz w:val="21"/>
          <w:shd w:fill="FFFFFF" w:val="clear"/>
        </w:rPr>
        <w:t>）</w:t>
      </w:r>
      <w:r>
        <w:rPr>
          <w:sz w:val="21"/>
          <w:shd w:fill="FFFFFF" w:val="clear"/>
        </w:rPr>
        <w:t>在火焰燃烧条件下电缆的线路完整性试验，供火温度</w:t>
      </w:r>
      <w:r>
        <w:rPr>
          <w:sz w:val="21"/>
          <w:shd w:fill="FFFFFF" w:val="clear"/>
        </w:rPr>
        <w:t>750</w:t>
      </w:r>
      <w:r>
        <w:rPr>
          <w:sz w:val="21"/>
          <w:shd w:fill="FFFFFF" w:val="clear"/>
        </w:rPr>
        <w:t>℃、供火时间</w:t>
      </w:r>
      <w:r>
        <w:rPr>
          <w:sz w:val="21"/>
          <w:shd w:fill="FFFFFF" w:val="clear"/>
        </w:rPr>
        <w:t>90</w:t>
      </w:r>
      <w:r>
        <w:rPr>
          <w:sz w:val="21"/>
          <w:shd w:fill="FFFFFF" w:val="clear"/>
        </w:rPr>
        <w:t>分钟，</w:t>
      </w:r>
      <w:r>
        <w:rPr>
          <w:sz w:val="21"/>
          <w:shd w:fill="FFFFFF" w:val="clear"/>
        </w:rPr>
        <w:t>2A</w:t>
      </w:r>
      <w:r>
        <w:rPr>
          <w:sz w:val="21"/>
          <w:shd w:fill="FFFFFF" w:val="clear"/>
        </w:rPr>
        <w:t>熔断器不断；指示灯不熄。</w:t>
      </w:r>
    </w:p>
    <w:p>
      <w:pPr>
        <w:pStyle w:val="null3"/>
        <w:ind w:firstLine="420"/>
        <w:jc w:val="both"/>
      </w:pPr>
      <w:r>
        <w:rPr>
          <w:sz w:val="21"/>
          <w:shd w:fill="FFFFFF" w:val="clear"/>
        </w:rPr>
        <w:t>（</w:t>
      </w:r>
      <w:r>
        <w:rPr>
          <w:sz w:val="21"/>
          <w:shd w:fill="FFFFFF" w:val="clear"/>
        </w:rPr>
        <w:t>1</w:t>
      </w:r>
      <w:r>
        <w:rPr>
          <w:sz w:val="21"/>
          <w:shd w:fill="FFFFFF" w:val="clear"/>
        </w:rPr>
        <w:t>4</w:t>
      </w:r>
      <w:r>
        <w:rPr>
          <w:sz w:val="21"/>
          <w:shd w:fill="FFFFFF" w:val="clear"/>
        </w:rPr>
        <w:t>）</w:t>
      </w:r>
      <w:r>
        <w:rPr>
          <w:sz w:val="21"/>
          <w:shd w:fill="FFFFFF" w:val="clear"/>
        </w:rPr>
        <w:t>电缆导体符合国家标准，多股同现应紧压成导体，其组成、性能和外观应符合</w:t>
      </w:r>
      <w:r>
        <w:rPr>
          <w:sz w:val="21"/>
          <w:shd w:fill="FFFFFF" w:val="clear"/>
        </w:rPr>
        <w:t>GB/T3956-1997</w:t>
      </w:r>
      <w:r>
        <w:rPr>
          <w:sz w:val="21"/>
          <w:shd w:fill="FFFFFF" w:val="clear"/>
        </w:rPr>
        <w:t>标准的规定，紧压系数不小于</w:t>
      </w:r>
      <w:r>
        <w:rPr>
          <w:sz w:val="21"/>
          <w:shd w:fill="FFFFFF" w:val="clear"/>
        </w:rPr>
        <w:t>0.90</w:t>
      </w:r>
      <w:r>
        <w:rPr>
          <w:sz w:val="21"/>
          <w:shd w:fill="FFFFFF" w:val="clear"/>
        </w:rPr>
        <w:t>。</w:t>
      </w:r>
    </w:p>
    <w:p>
      <w:pPr>
        <w:pStyle w:val="null3"/>
        <w:ind w:firstLine="420"/>
        <w:jc w:val="both"/>
      </w:pPr>
      <w:r>
        <w:rPr>
          <w:sz w:val="21"/>
          <w:shd w:fill="FFFFFF" w:val="clear"/>
        </w:rPr>
        <w:t>（</w:t>
      </w:r>
      <w:r>
        <w:rPr>
          <w:sz w:val="21"/>
          <w:shd w:fill="FFFFFF" w:val="clear"/>
        </w:rPr>
        <w:t>1</w:t>
      </w:r>
      <w:r>
        <w:rPr>
          <w:sz w:val="21"/>
          <w:shd w:fill="FFFFFF" w:val="clear"/>
        </w:rPr>
        <w:t>5</w:t>
      </w:r>
      <w:r>
        <w:rPr>
          <w:sz w:val="21"/>
          <w:shd w:fill="FFFFFF" w:val="clear"/>
        </w:rPr>
        <w:t>）</w:t>
      </w:r>
      <w:r>
        <w:rPr>
          <w:sz w:val="21"/>
          <w:shd w:fill="FFFFFF" w:val="clear"/>
        </w:rPr>
        <w:t>多芯电缆成缆线芯应有非吸湿性阻燃填充，填充材料应无卤、低烟、阻燃，并与电缆的工作温度相适应，对绝缘材料有无害影响。</w:t>
      </w:r>
    </w:p>
    <w:p>
      <w:pPr>
        <w:pStyle w:val="null3"/>
        <w:ind w:firstLine="420"/>
        <w:jc w:val="both"/>
      </w:pPr>
      <w:r>
        <w:rPr>
          <w:sz w:val="21"/>
          <w:shd w:fill="FFFFFF" w:val="clear"/>
        </w:rPr>
        <w:t>（</w:t>
      </w:r>
      <w:r>
        <w:rPr>
          <w:sz w:val="21"/>
          <w:shd w:fill="FFFFFF" w:val="clear"/>
        </w:rPr>
        <w:t>1</w:t>
      </w:r>
      <w:r>
        <w:rPr>
          <w:sz w:val="21"/>
          <w:shd w:fill="FFFFFF" w:val="clear"/>
        </w:rPr>
        <w:t>6</w:t>
      </w:r>
      <w:r>
        <w:rPr>
          <w:sz w:val="21"/>
          <w:shd w:fill="FFFFFF" w:val="clear"/>
        </w:rPr>
        <w:t>）</w:t>
      </w:r>
      <w:r>
        <w:rPr>
          <w:sz w:val="21"/>
          <w:shd w:fill="FFFFFF" w:val="clear"/>
        </w:rPr>
        <w:t>护套采用无卤阻燃护套材料，标称厚度按</w:t>
      </w:r>
      <w:r>
        <w:rPr>
          <w:sz w:val="21"/>
          <w:shd w:fill="FFFFFF" w:val="clear"/>
        </w:rPr>
        <w:t>GB2952-89</w:t>
      </w:r>
      <w:r>
        <w:rPr>
          <w:sz w:val="21"/>
          <w:shd w:fill="FFFFFF" w:val="clear"/>
        </w:rPr>
        <w:t>的规定，最薄点的厚度不小于标称值的</w:t>
      </w:r>
      <w:r>
        <w:rPr>
          <w:sz w:val="21"/>
          <w:shd w:fill="FFFFFF" w:val="clear"/>
        </w:rPr>
        <w:t>80%-0.2mm</w:t>
      </w:r>
      <w:r>
        <w:rPr>
          <w:sz w:val="21"/>
          <w:shd w:fill="FFFFFF" w:val="clear"/>
        </w:rPr>
        <w:t>；护套材料应具有良好的抗日照、紫外线老化性能。（首次响应时提供承诺函）</w:t>
      </w:r>
    </w:p>
    <w:p>
      <w:pPr>
        <w:pStyle w:val="null3"/>
        <w:ind w:firstLine="420"/>
        <w:jc w:val="both"/>
      </w:pPr>
      <w:r>
        <w:rPr>
          <w:sz w:val="21"/>
          <w:shd w:fill="FFFFFF" w:val="clear"/>
        </w:rPr>
        <w:t>（17）</w:t>
      </w:r>
      <w:r>
        <w:rPr>
          <w:sz w:val="21"/>
          <w:shd w:fill="FFFFFF" w:val="clear"/>
        </w:rPr>
        <w:t>电缆的护套表面应有生产</w:t>
      </w:r>
      <w:r>
        <w:rPr>
          <w:sz w:val="21"/>
          <w:shd w:fill="FFFFFF" w:val="clear"/>
        </w:rPr>
        <w:t>供应商</w:t>
      </w:r>
      <w:r>
        <w:rPr>
          <w:sz w:val="21"/>
          <w:shd w:fill="FFFFFF" w:val="clear"/>
        </w:rPr>
        <w:t>、电缆型号、额定电压和生产年份的连续标记，标志应字迹清楚、容易辨认、耐擦。</w:t>
      </w:r>
    </w:p>
    <w:p>
      <w:pPr>
        <w:pStyle w:val="null3"/>
        <w:ind w:firstLine="420"/>
        <w:jc w:val="both"/>
      </w:pPr>
      <w:r>
        <w:rPr>
          <w:sz w:val="21"/>
          <w:shd w:fill="FFFFFF" w:val="clear"/>
        </w:rPr>
        <w:t>4</w:t>
      </w:r>
      <w:r>
        <w:rPr>
          <w:sz w:val="21"/>
          <w:shd w:fill="FFFFFF" w:val="clear"/>
        </w:rPr>
        <w:t>）电缆桥架</w:t>
      </w:r>
    </w:p>
    <w:p>
      <w:pPr>
        <w:pStyle w:val="null3"/>
        <w:ind w:firstLine="420"/>
        <w:jc w:val="both"/>
      </w:pPr>
      <w:r>
        <w:rPr>
          <w:sz w:val="21"/>
          <w:shd w:fill="FFFFFF" w:val="clear"/>
        </w:rPr>
        <w:t>（1）电缆</w:t>
      </w:r>
      <w:r>
        <w:rPr>
          <w:sz w:val="21"/>
          <w:shd w:fill="FFFFFF" w:val="clear"/>
        </w:rPr>
        <w:t>桥架含本工程所需的电缆梯架、电缆托盘、金属线槽等电缆承载体。</w:t>
      </w:r>
    </w:p>
    <w:p>
      <w:pPr>
        <w:pStyle w:val="null3"/>
        <w:ind w:firstLine="420"/>
        <w:jc w:val="both"/>
      </w:pPr>
      <w:r>
        <w:rPr>
          <w:sz w:val="21"/>
          <w:shd w:fill="FFFFFF" w:val="clear"/>
        </w:rPr>
        <w:t>（</w:t>
      </w:r>
      <w:r>
        <w:rPr>
          <w:sz w:val="21"/>
          <w:shd w:fill="FFFFFF" w:val="clear"/>
        </w:rPr>
        <w:t>2</w:t>
      </w:r>
      <w:r>
        <w:rPr>
          <w:sz w:val="21"/>
          <w:shd w:fill="FFFFFF" w:val="clear"/>
        </w:rPr>
        <w:t>）符合</w:t>
      </w:r>
      <w:r>
        <w:rPr>
          <w:sz w:val="21"/>
          <w:shd w:fill="FFFFFF" w:val="clear"/>
        </w:rPr>
        <w:t>JB/T10216</w:t>
      </w:r>
      <w:r>
        <w:rPr>
          <w:sz w:val="21"/>
          <w:shd w:fill="FFFFFF" w:val="clear"/>
        </w:rPr>
        <w:t>、</w:t>
      </w:r>
      <w:r>
        <w:rPr>
          <w:sz w:val="21"/>
          <w:shd w:fill="FFFFFF" w:val="clear"/>
        </w:rPr>
        <w:t>CECS 31</w:t>
      </w:r>
      <w:r>
        <w:rPr>
          <w:sz w:val="21"/>
          <w:shd w:fill="FFFFFF" w:val="clear"/>
        </w:rPr>
        <w:t>等标准要求。</w:t>
      </w:r>
    </w:p>
    <w:p>
      <w:pPr>
        <w:pStyle w:val="null3"/>
        <w:ind w:firstLine="420"/>
        <w:jc w:val="both"/>
      </w:pPr>
      <w:r>
        <w:rPr>
          <w:sz w:val="21"/>
          <w:shd w:fill="FFFFFF" w:val="clear"/>
        </w:rPr>
        <w:t>（</w:t>
      </w:r>
      <w:r>
        <w:rPr>
          <w:sz w:val="21"/>
          <w:shd w:fill="FFFFFF" w:val="clear"/>
        </w:rPr>
        <w:t>3</w:t>
      </w:r>
      <w:r>
        <w:rPr>
          <w:sz w:val="21"/>
          <w:shd w:fill="FFFFFF" w:val="clear"/>
        </w:rPr>
        <w:t>）电缆桥架应在工厂加工完成后在运抵施工现场，尽可能减少在工地切割桥架，严禁在工地加工、制作水平弯、垂直弯以及分支接头等桥架的连接段。</w:t>
      </w:r>
    </w:p>
    <w:p>
      <w:pPr>
        <w:pStyle w:val="null3"/>
        <w:ind w:firstLine="420"/>
        <w:jc w:val="both"/>
      </w:pPr>
      <w:r>
        <w:rPr>
          <w:sz w:val="21"/>
          <w:shd w:fill="FFFFFF" w:val="clear"/>
        </w:rPr>
        <w:t>（</w:t>
      </w:r>
      <w:r>
        <w:rPr>
          <w:sz w:val="21"/>
          <w:shd w:fill="FFFFFF" w:val="clear"/>
        </w:rPr>
        <w:t>4</w:t>
      </w:r>
      <w:r>
        <w:rPr>
          <w:sz w:val="21"/>
          <w:shd w:fill="FFFFFF" w:val="clear"/>
        </w:rPr>
        <w:t>）电缆桥架的膨胀节须使用制造厂生产的标准伸缩接合板。</w:t>
      </w:r>
    </w:p>
    <w:p>
      <w:pPr>
        <w:pStyle w:val="null3"/>
        <w:ind w:firstLine="420"/>
        <w:jc w:val="both"/>
      </w:pPr>
      <w:r>
        <w:rPr>
          <w:sz w:val="21"/>
          <w:shd w:fill="FFFFFF" w:val="clear"/>
        </w:rPr>
        <w:t>（</w:t>
      </w:r>
      <w:r>
        <w:rPr>
          <w:sz w:val="21"/>
          <w:shd w:fill="FFFFFF" w:val="clear"/>
        </w:rPr>
        <w:t>5</w:t>
      </w:r>
      <w:r>
        <w:rPr>
          <w:sz w:val="21"/>
          <w:shd w:fill="FFFFFF" w:val="clear"/>
        </w:rPr>
        <w:t>）电缆梯架须由热浸镀锌低碳钢制作。梯级的中心间隔约为</w:t>
      </w:r>
      <w:r>
        <w:rPr>
          <w:sz w:val="21"/>
          <w:shd w:fill="FFFFFF" w:val="clear"/>
        </w:rPr>
        <w:t>300mm</w:t>
      </w:r>
      <w:r>
        <w:rPr>
          <w:sz w:val="21"/>
          <w:shd w:fill="FFFFFF" w:val="clear"/>
        </w:rPr>
        <w:t>，并具一定的宽度以用不同的方法固定电缆，包括尼龙带扣、鞍行夹、冲孔带、电缆夹等。梯架盖板板材厚度不小于</w:t>
      </w:r>
      <w:r>
        <w:rPr>
          <w:sz w:val="21"/>
          <w:shd w:fill="FFFFFF" w:val="clear"/>
        </w:rPr>
        <w:t>1.2mm</w:t>
      </w:r>
      <w:r>
        <w:rPr>
          <w:sz w:val="21"/>
          <w:shd w:fill="FFFFFF" w:val="clear"/>
        </w:rPr>
        <w:t>。</w:t>
      </w:r>
    </w:p>
    <w:p>
      <w:pPr>
        <w:pStyle w:val="null3"/>
        <w:ind w:firstLine="420"/>
        <w:jc w:val="both"/>
      </w:pPr>
      <w:r>
        <w:rPr>
          <w:sz w:val="21"/>
          <w:shd w:fill="FFFFFF" w:val="clear"/>
        </w:rPr>
        <w:t>（</w:t>
      </w:r>
      <w:r>
        <w:rPr>
          <w:sz w:val="21"/>
          <w:shd w:fill="FFFFFF" w:val="clear"/>
        </w:rPr>
        <w:t>6</w:t>
      </w:r>
      <w:r>
        <w:rPr>
          <w:sz w:val="21"/>
          <w:shd w:fill="FFFFFF" w:val="clear"/>
        </w:rPr>
        <w:t>）电缆桥架表面进行热浸镀锌或喷粉烘烤处理。</w:t>
      </w:r>
    </w:p>
    <w:p>
      <w:pPr>
        <w:pStyle w:val="null3"/>
        <w:ind w:firstLine="420"/>
        <w:jc w:val="both"/>
      </w:pPr>
      <w:r>
        <w:rPr>
          <w:sz w:val="21"/>
          <w:shd w:fill="FFFFFF" w:val="clear"/>
        </w:rPr>
        <w:t>（</w:t>
      </w:r>
      <w:r>
        <w:rPr>
          <w:sz w:val="21"/>
          <w:shd w:fill="FFFFFF" w:val="clear"/>
        </w:rPr>
        <w:t>7</w:t>
      </w:r>
      <w:r>
        <w:rPr>
          <w:sz w:val="21"/>
          <w:shd w:fill="FFFFFF" w:val="clear"/>
        </w:rPr>
        <w:t>）电缆托盘须由低碳钢制作，电缆托盘尺寸与板材厚度要求符合规范规定，若规范不一致之处，选用较高标准。</w:t>
      </w:r>
    </w:p>
    <w:p>
      <w:pPr>
        <w:pStyle w:val="null3"/>
        <w:ind w:firstLine="420"/>
        <w:jc w:val="both"/>
      </w:pPr>
      <w:r>
        <w:rPr>
          <w:sz w:val="21"/>
          <w:shd w:fill="FFFFFF" w:val="clear"/>
        </w:rPr>
        <w:t>（</w:t>
      </w:r>
      <w:r>
        <w:rPr>
          <w:sz w:val="21"/>
          <w:shd w:fill="FFFFFF" w:val="clear"/>
        </w:rPr>
        <w:t>8</w:t>
      </w:r>
      <w:r>
        <w:rPr>
          <w:sz w:val="21"/>
          <w:shd w:fill="FFFFFF" w:val="clear"/>
        </w:rPr>
        <w:t>）金属线槽须用镀锌钢板制作，其最小长度为</w:t>
      </w:r>
      <w:r>
        <w:rPr>
          <w:sz w:val="21"/>
          <w:shd w:fill="FFFFFF" w:val="clear"/>
        </w:rPr>
        <w:t>2</w:t>
      </w:r>
      <w:r>
        <w:rPr>
          <w:sz w:val="21"/>
          <w:shd w:fill="FFFFFF" w:val="clear"/>
        </w:rPr>
        <w:t>米。金属线槽内外应无毛刺，配件应齐全。金属线槽镀锌钢板的厚度要求符合规范规定，若规范不一致之处，选用较高标准。</w:t>
      </w:r>
    </w:p>
    <w:p>
      <w:pPr>
        <w:pStyle w:val="null3"/>
        <w:ind w:firstLine="420"/>
        <w:jc w:val="both"/>
      </w:pPr>
      <w:r>
        <w:rPr>
          <w:sz w:val="21"/>
          <w:shd w:fill="FFFFFF" w:val="clear"/>
        </w:rPr>
        <w:t>（</w:t>
      </w:r>
      <w:r>
        <w:rPr>
          <w:sz w:val="21"/>
          <w:shd w:fill="FFFFFF" w:val="clear"/>
        </w:rPr>
        <w:t>9</w:t>
      </w:r>
      <w:r>
        <w:rPr>
          <w:sz w:val="21"/>
          <w:shd w:fill="FFFFFF" w:val="clear"/>
        </w:rPr>
        <w:t>）所有电缆桥架、梯架和金属线槽都须加装盖板，并配置锁扣。</w:t>
      </w:r>
    </w:p>
    <w:p>
      <w:pPr>
        <w:pStyle w:val="null3"/>
        <w:ind w:firstLine="420"/>
        <w:jc w:val="both"/>
      </w:pPr>
      <w:r>
        <w:rPr>
          <w:sz w:val="21"/>
          <w:shd w:fill="FFFFFF" w:val="clear"/>
        </w:rPr>
        <w:t>（</w:t>
      </w:r>
      <w:r>
        <w:rPr>
          <w:sz w:val="21"/>
          <w:shd w:fill="FFFFFF" w:val="clear"/>
        </w:rPr>
        <w:t>10</w:t>
      </w:r>
      <w:r>
        <w:rPr>
          <w:sz w:val="21"/>
          <w:shd w:fill="FFFFFF" w:val="clear"/>
        </w:rPr>
        <w:t>）敷设消防电缆的封闭式线槽应外刷防火涂料，要求在线槽生产厂内完成防火涂料喷涂工作，不允许在现场手工涂刷，耐火时间级别应满足设计要求。</w:t>
      </w:r>
    </w:p>
    <w:p>
      <w:pPr>
        <w:pStyle w:val="null3"/>
        <w:ind w:firstLine="420"/>
        <w:jc w:val="both"/>
      </w:pPr>
      <w:r>
        <w:rPr>
          <w:sz w:val="21"/>
          <w:shd w:fill="FFFFFF" w:val="clear"/>
        </w:rPr>
        <w:t>（</w:t>
      </w:r>
      <w:r>
        <w:rPr>
          <w:sz w:val="21"/>
          <w:shd w:fill="FFFFFF" w:val="clear"/>
        </w:rPr>
        <w:t>11</w:t>
      </w:r>
      <w:r>
        <w:rPr>
          <w:sz w:val="21"/>
          <w:shd w:fill="FFFFFF" w:val="clear"/>
        </w:rPr>
        <w:t>）桥架和金属线槽要求采用无折弯式。</w:t>
      </w:r>
    </w:p>
    <w:p>
      <w:pPr>
        <w:pStyle w:val="null3"/>
        <w:ind w:firstLine="420"/>
        <w:jc w:val="both"/>
      </w:pPr>
      <w:r>
        <w:rPr>
          <w:sz w:val="21"/>
          <w:shd w:fill="FFFFFF" w:val="clear"/>
        </w:rPr>
        <w:t>5</w:t>
      </w:r>
      <w:r>
        <w:rPr>
          <w:sz w:val="21"/>
          <w:shd w:fill="FFFFFF" w:val="clear"/>
        </w:rPr>
        <w:t>）洁净照明灯具</w:t>
      </w:r>
    </w:p>
    <w:p>
      <w:pPr>
        <w:pStyle w:val="null3"/>
        <w:ind w:firstLine="420"/>
        <w:jc w:val="both"/>
      </w:pPr>
      <w:r>
        <w:rPr>
          <w:sz w:val="21"/>
          <w:shd w:fill="FFFFFF" w:val="clear"/>
        </w:rPr>
        <w:t>（1）带透光板</w:t>
      </w:r>
      <w:r>
        <w:rPr>
          <w:sz w:val="21"/>
          <w:shd w:fill="FFFFFF" w:val="clear"/>
        </w:rPr>
        <w:t>的灯具，透光板的透光率在</w:t>
      </w:r>
      <w:r>
        <w:rPr>
          <w:sz w:val="21"/>
          <w:shd w:fill="FFFFFF" w:val="clear"/>
        </w:rPr>
        <w:t>85%</w:t>
      </w:r>
      <w:r>
        <w:rPr>
          <w:sz w:val="21"/>
          <w:shd w:fill="FFFFFF" w:val="clear"/>
        </w:rPr>
        <w:t>以上。</w:t>
      </w:r>
    </w:p>
    <w:p>
      <w:pPr>
        <w:pStyle w:val="null3"/>
        <w:ind w:firstLine="420"/>
        <w:jc w:val="both"/>
      </w:pPr>
      <w:r>
        <w:rPr>
          <w:sz w:val="21"/>
          <w:shd w:fill="FFFFFF" w:val="clear"/>
        </w:rPr>
        <w:t>（2）</w:t>
      </w:r>
      <w:r>
        <w:rPr>
          <w:sz w:val="21"/>
          <w:shd w:fill="FFFFFF" w:val="clear"/>
        </w:rPr>
        <w:t>照明灯具的防护等级不低于</w:t>
      </w:r>
      <w:r>
        <w:rPr>
          <w:sz w:val="21"/>
          <w:shd w:fill="FFFFFF" w:val="clear"/>
        </w:rPr>
        <w:t>IP54</w:t>
      </w:r>
      <w:r>
        <w:rPr>
          <w:sz w:val="21"/>
          <w:shd w:fill="FFFFFF" w:val="clear"/>
        </w:rPr>
        <w:t>；</w:t>
      </w:r>
    </w:p>
    <w:p>
      <w:pPr>
        <w:pStyle w:val="null3"/>
        <w:ind w:firstLine="420"/>
        <w:jc w:val="both"/>
      </w:pPr>
      <w:r>
        <w:rPr>
          <w:sz w:val="21"/>
          <w:shd w:fill="FFFFFF" w:val="clear"/>
        </w:rPr>
        <w:t>（</w:t>
      </w:r>
      <w:r>
        <w:rPr>
          <w:sz w:val="21"/>
          <w:shd w:fill="FFFFFF" w:val="clear"/>
        </w:rPr>
        <w:t>3</w:t>
      </w:r>
      <w:r>
        <w:rPr>
          <w:sz w:val="21"/>
          <w:shd w:fill="FFFFFF" w:val="clear"/>
        </w:rPr>
        <w:t>）</w:t>
      </w:r>
      <w:r>
        <w:rPr>
          <w:sz w:val="21"/>
          <w:shd w:fill="FFFFFF" w:val="clear"/>
        </w:rPr>
        <w:t>灯具外壳有单独的接地端子，且接地牢固。</w:t>
      </w:r>
    </w:p>
    <w:p>
      <w:pPr>
        <w:pStyle w:val="null3"/>
        <w:ind w:firstLine="420"/>
        <w:jc w:val="both"/>
      </w:pPr>
      <w:r>
        <w:rPr>
          <w:sz w:val="21"/>
          <w:shd w:fill="FFFFFF" w:val="clear"/>
        </w:rPr>
        <w:t>（4）</w:t>
      </w:r>
      <w:r>
        <w:rPr>
          <w:sz w:val="21"/>
          <w:shd w:fill="FFFFFF" w:val="clear"/>
        </w:rPr>
        <w:t>灯具、镇流器的保用时间应不少于</w:t>
      </w:r>
      <w:r>
        <w:rPr>
          <w:sz w:val="21"/>
          <w:shd w:fill="FFFFFF" w:val="clear"/>
        </w:rPr>
        <w:t>5</w:t>
      </w:r>
      <w:r>
        <w:rPr>
          <w:sz w:val="21"/>
          <w:shd w:fill="FFFFFF" w:val="clear"/>
        </w:rPr>
        <w:t>年，光源的保用时间应不少于</w:t>
      </w:r>
      <w:r>
        <w:rPr>
          <w:sz w:val="21"/>
          <w:shd w:fill="FFFFFF" w:val="clear"/>
        </w:rPr>
        <w:t>8000</w:t>
      </w:r>
      <w:r>
        <w:rPr>
          <w:sz w:val="21"/>
          <w:shd w:fill="FFFFFF" w:val="clear"/>
        </w:rPr>
        <w:t>小时；</w:t>
      </w:r>
    </w:p>
    <w:p>
      <w:pPr>
        <w:pStyle w:val="null3"/>
        <w:ind w:firstLine="420"/>
        <w:jc w:val="both"/>
      </w:pPr>
      <w:r>
        <w:rPr>
          <w:sz w:val="21"/>
          <w:shd w:fill="FFFFFF" w:val="clear"/>
        </w:rPr>
        <w:t>（</w:t>
      </w:r>
      <w:r>
        <w:rPr>
          <w:sz w:val="21"/>
          <w:shd w:fill="FFFFFF" w:val="clear"/>
        </w:rPr>
        <w:t>5</w:t>
      </w:r>
      <w:r>
        <w:rPr>
          <w:sz w:val="21"/>
          <w:shd w:fill="FFFFFF" w:val="clear"/>
        </w:rPr>
        <w:t>）</w:t>
      </w:r>
      <w:r>
        <w:rPr>
          <w:sz w:val="21"/>
          <w:shd w:fill="FFFFFF" w:val="clear"/>
        </w:rPr>
        <w:t>选用高效节能灯具。</w:t>
      </w:r>
    </w:p>
    <w:p>
      <w:pPr>
        <w:pStyle w:val="null3"/>
        <w:ind w:firstLine="420"/>
        <w:jc w:val="both"/>
      </w:pPr>
      <w:r>
        <w:rPr>
          <w:sz w:val="21"/>
          <w:shd w:fill="FFFFFF" w:val="clear"/>
        </w:rPr>
        <w:t>6</w:t>
      </w:r>
      <w:r>
        <w:rPr>
          <w:sz w:val="21"/>
          <w:shd w:fill="FFFFFF" w:val="clear"/>
        </w:rPr>
        <w:t>）插座</w:t>
      </w:r>
    </w:p>
    <w:p>
      <w:pPr>
        <w:pStyle w:val="null3"/>
        <w:ind w:firstLine="420"/>
        <w:jc w:val="both"/>
      </w:pPr>
      <w:r>
        <w:rPr>
          <w:sz w:val="21"/>
          <w:shd w:fill="FFFFFF" w:val="clear"/>
        </w:rPr>
        <w:t>（</w:t>
      </w:r>
      <w:r>
        <w:rPr>
          <w:sz w:val="21"/>
          <w:shd w:fill="FFFFFF" w:val="clear"/>
        </w:rPr>
        <w:t>1</w:t>
      </w:r>
      <w:r>
        <w:rPr>
          <w:sz w:val="21"/>
          <w:shd w:fill="FFFFFF" w:val="clear"/>
        </w:rPr>
        <w:t>）插座采用磷青铜簧片，银或银合金触点。</w:t>
      </w:r>
    </w:p>
    <w:p>
      <w:pPr>
        <w:pStyle w:val="null3"/>
        <w:ind w:firstLine="420"/>
        <w:jc w:val="both"/>
      </w:pPr>
      <w:r>
        <w:rPr>
          <w:sz w:val="21"/>
          <w:shd w:fill="FFFFFF" w:val="clear"/>
        </w:rPr>
        <w:t>（</w:t>
      </w:r>
      <w:r>
        <w:rPr>
          <w:sz w:val="21"/>
          <w:shd w:fill="FFFFFF" w:val="clear"/>
        </w:rPr>
        <w:t>2</w:t>
      </w:r>
      <w:r>
        <w:rPr>
          <w:sz w:val="21"/>
          <w:shd w:fill="FFFFFF" w:val="clear"/>
        </w:rPr>
        <w:t>）插座的壳体须采用阻燃材料制造。</w:t>
      </w:r>
    </w:p>
    <w:p>
      <w:pPr>
        <w:pStyle w:val="null3"/>
        <w:ind w:firstLine="420"/>
        <w:jc w:val="both"/>
      </w:pPr>
      <w:r>
        <w:rPr>
          <w:sz w:val="21"/>
          <w:shd w:fill="FFFFFF" w:val="clear"/>
        </w:rPr>
        <w:t>（</w:t>
      </w:r>
      <w:r>
        <w:rPr>
          <w:sz w:val="21"/>
          <w:shd w:fill="FFFFFF" w:val="clear"/>
        </w:rPr>
        <w:t>3</w:t>
      </w:r>
      <w:r>
        <w:rPr>
          <w:sz w:val="21"/>
          <w:shd w:fill="FFFFFF" w:val="clear"/>
        </w:rPr>
        <w:t>）工业插座应具有优良的防水、防尘和防爆性能；</w:t>
      </w:r>
    </w:p>
    <w:p>
      <w:pPr>
        <w:pStyle w:val="null3"/>
        <w:ind w:firstLine="420"/>
        <w:jc w:val="both"/>
      </w:pPr>
      <w:r>
        <w:rPr>
          <w:sz w:val="21"/>
          <w:shd w:fill="FFFFFF" w:val="clear"/>
        </w:rPr>
        <w:t>7</w:t>
      </w:r>
      <w:r>
        <w:rPr>
          <w:sz w:val="21"/>
          <w:shd w:fill="FFFFFF" w:val="clear"/>
        </w:rPr>
        <w:t>）照明：9楼洁净室彩钢板吊顶区域使用超薄LED洁净灯≥1200x300mm，8楼铝扣板吊顶区域使</w:t>
      </w:r>
      <w:r>
        <w:rPr>
          <w:sz w:val="21"/>
          <w:shd w:fill="FFFFFF" w:val="clear"/>
        </w:rPr>
        <w:t>用</w:t>
      </w:r>
      <w:r>
        <w:rPr>
          <w:sz w:val="21"/>
          <w:shd w:fill="FFFFFF" w:val="clear"/>
        </w:rPr>
        <w:t>≥</w:t>
      </w:r>
      <w:r>
        <w:rPr>
          <w:sz w:val="21"/>
          <w:shd w:fill="FFFFFF" w:val="clear"/>
        </w:rPr>
        <w:t>600x600mmLED</w:t>
      </w:r>
      <w:r>
        <w:rPr>
          <w:sz w:val="21"/>
          <w:shd w:fill="FFFFFF" w:val="clear"/>
        </w:rPr>
        <w:t>平板灯</w:t>
      </w:r>
      <w:r>
        <w:rPr>
          <w:sz w:val="21"/>
          <w:shd w:fill="FFFFFF" w:val="clear"/>
        </w:rPr>
        <w:t>，</w:t>
      </w:r>
      <w:r>
        <w:rPr>
          <w:sz w:val="21"/>
          <w:shd w:fill="FFFFFF" w:val="clear"/>
        </w:rPr>
        <w:t>采用与</w:t>
      </w:r>
      <w:r>
        <w:rPr>
          <w:sz w:val="21"/>
          <w:shd w:fill="FFFFFF" w:val="clear"/>
        </w:rPr>
        <w:t>LED</w:t>
      </w:r>
      <w:r>
        <w:rPr>
          <w:sz w:val="21"/>
          <w:shd w:fill="FFFFFF" w:val="clear"/>
        </w:rPr>
        <w:t>光源配套的性能稳定的适配器（适配器需做防护装置）</w:t>
      </w:r>
      <w:r>
        <w:rPr>
          <w:sz w:val="21"/>
          <w:shd w:fill="FFFFFF" w:val="clear"/>
        </w:rPr>
        <w:t>实验室照度≥</w:t>
      </w:r>
      <w:r>
        <w:rPr>
          <w:sz w:val="21"/>
          <w:shd w:fill="FFFFFF" w:val="clear"/>
        </w:rPr>
        <w:t>300lux</w:t>
      </w:r>
      <w:r>
        <w:rPr>
          <w:sz w:val="21"/>
          <w:shd w:fill="FFFFFF" w:val="clear"/>
        </w:rPr>
        <w:t>；</w:t>
      </w:r>
    </w:p>
    <w:p>
      <w:pPr>
        <w:pStyle w:val="null3"/>
        <w:ind w:firstLine="420"/>
        <w:jc w:val="both"/>
      </w:pPr>
      <w:r>
        <w:rPr>
          <w:sz w:val="21"/>
          <w:shd w:fill="FFFFFF" w:val="clear"/>
        </w:rPr>
        <w:t>8</w:t>
      </w:r>
      <w:r>
        <w:rPr>
          <w:sz w:val="21"/>
          <w:shd w:fill="FFFFFF" w:val="clear"/>
        </w:rPr>
        <w:t>）彩板墙上开关为嵌入式开关，插座表面易于清洁、与壁板连接处良好密封。</w:t>
      </w:r>
    </w:p>
    <w:p>
      <w:pPr>
        <w:pStyle w:val="null3"/>
        <w:ind w:firstLine="422"/>
        <w:jc w:val="both"/>
      </w:pPr>
      <w:r>
        <w:rPr>
          <w:sz w:val="21"/>
          <w:b/>
          <w:shd w:fill="FFFFFF" w:val="clear"/>
        </w:rPr>
        <w:t>14</w:t>
      </w:r>
      <w:r>
        <w:rPr>
          <w:sz w:val="21"/>
          <w:b/>
          <w:shd w:fill="FFFFFF" w:val="clear"/>
        </w:rPr>
        <w:t>）弱电</w:t>
      </w:r>
    </w:p>
    <w:p>
      <w:pPr>
        <w:pStyle w:val="null3"/>
        <w:ind w:firstLine="420"/>
        <w:jc w:val="both"/>
      </w:pPr>
      <w:r>
        <w:rPr>
          <w:sz w:val="21"/>
          <w:shd w:fill="FFFFFF" w:val="clear"/>
        </w:rPr>
        <w:t>1</w:t>
      </w:r>
      <w:r>
        <w:rPr>
          <w:sz w:val="21"/>
          <w:shd w:fill="FFFFFF" w:val="clear"/>
        </w:rPr>
        <w:t>）</w:t>
      </w:r>
      <w:r>
        <w:rPr>
          <w:sz w:val="21"/>
          <w:shd w:fill="FFFFFF" w:val="clear"/>
        </w:rPr>
        <w:t>指纹门禁机安装于实验室进出通道处，出门按钮触控。</w:t>
      </w:r>
    </w:p>
    <w:p>
      <w:pPr>
        <w:pStyle w:val="null3"/>
        <w:ind w:firstLine="420"/>
        <w:jc w:val="both"/>
      </w:pPr>
      <w:r>
        <w:rPr>
          <w:sz w:val="21"/>
          <w:shd w:fill="FFFFFF" w:val="clear"/>
        </w:rPr>
        <w:t>2</w:t>
      </w:r>
      <w:r>
        <w:rPr>
          <w:sz w:val="21"/>
          <w:shd w:fill="FFFFFF" w:val="clear"/>
        </w:rPr>
        <w:t>）</w:t>
      </w:r>
      <w:r>
        <w:rPr>
          <w:sz w:val="21"/>
          <w:shd w:fill="FFFFFF" w:val="clear"/>
        </w:rPr>
        <w:t>网络、电话插座面板和超五类模块。</w:t>
      </w:r>
    </w:p>
    <w:p>
      <w:pPr>
        <w:pStyle w:val="null3"/>
        <w:ind w:firstLine="420"/>
        <w:jc w:val="both"/>
      </w:pPr>
      <w:r>
        <w:rPr>
          <w:sz w:val="21"/>
          <w:shd w:fill="FFFFFF" w:val="clear"/>
        </w:rPr>
        <w:t>3</w:t>
      </w:r>
      <w:r>
        <w:rPr>
          <w:sz w:val="21"/>
          <w:shd w:fill="FFFFFF" w:val="clear"/>
        </w:rPr>
        <w:t>）</w:t>
      </w:r>
      <w:r>
        <w:rPr>
          <w:sz w:val="21"/>
          <w:shd w:fill="FFFFFF" w:val="clear"/>
        </w:rPr>
        <w:t>超六类非屏蔽网线：网络、电话、监控、门禁。</w:t>
      </w:r>
    </w:p>
    <w:p>
      <w:pPr>
        <w:pStyle w:val="null3"/>
        <w:ind w:firstLine="420"/>
        <w:jc w:val="both"/>
      </w:pPr>
      <w:r>
        <w:rPr>
          <w:sz w:val="21"/>
          <w:shd w:fill="FFFFFF" w:val="clear"/>
        </w:rPr>
        <w:t>4</w:t>
      </w:r>
      <w:r>
        <w:rPr>
          <w:sz w:val="21"/>
          <w:shd w:fill="FFFFFF" w:val="clear"/>
        </w:rPr>
        <w:t>）网络端口安装离地高</w:t>
      </w:r>
      <w:r>
        <w:rPr>
          <w:sz w:val="21"/>
          <w:shd w:fill="FFFFFF" w:val="clear"/>
        </w:rPr>
        <w:t>1.0</w:t>
      </w:r>
      <w:r>
        <w:rPr>
          <w:sz w:val="21"/>
          <w:shd w:fill="FFFFFF" w:val="clear"/>
        </w:rPr>
        <w:t>米，单网口插座、超五类。</w:t>
      </w:r>
    </w:p>
    <w:p>
      <w:pPr>
        <w:pStyle w:val="null3"/>
        <w:ind w:firstLine="422"/>
        <w:jc w:val="both"/>
      </w:pPr>
      <w:r>
        <w:rPr>
          <w:sz w:val="21"/>
          <w:b/>
          <w:shd w:fill="FFFFFF" w:val="clear"/>
        </w:rPr>
        <w:t>15</w:t>
      </w:r>
      <w:r>
        <w:rPr>
          <w:sz w:val="21"/>
          <w:b/>
          <w:shd w:fill="FFFFFF" w:val="clear"/>
        </w:rPr>
        <w:t>）通风系统</w:t>
      </w:r>
    </w:p>
    <w:p>
      <w:pPr>
        <w:pStyle w:val="null3"/>
        <w:ind w:firstLine="420"/>
        <w:jc w:val="both"/>
      </w:pPr>
      <w:r>
        <w:rPr>
          <w:sz w:val="21"/>
          <w:shd w:fill="FFFFFF" w:val="clear"/>
        </w:rPr>
        <w:t>1</w:t>
      </w:r>
      <w:r>
        <w:rPr>
          <w:sz w:val="21"/>
          <w:shd w:fill="FFFFFF" w:val="clear"/>
        </w:rPr>
        <w:t>、</w:t>
      </w:r>
      <w:r>
        <w:rPr>
          <w:sz w:val="21"/>
          <w:shd w:fill="FFFFFF" w:val="clear"/>
        </w:rPr>
        <w:t>全新风机组</w:t>
      </w:r>
    </w:p>
    <w:p>
      <w:pPr>
        <w:pStyle w:val="null3"/>
        <w:ind w:firstLine="420"/>
        <w:jc w:val="both"/>
      </w:pPr>
      <w:r>
        <w:rPr>
          <w:sz w:val="21"/>
        </w:rPr>
        <w:t xml:space="preserve">1) </w:t>
      </w:r>
      <w:r>
        <w:rPr>
          <w:sz w:val="21"/>
        </w:rPr>
        <w:t>功能段要求：新风段+初效（G4）+F8中效、表冷段、风机段。</w:t>
      </w:r>
    </w:p>
    <w:p>
      <w:pPr>
        <w:pStyle w:val="null3"/>
        <w:ind w:firstLine="420"/>
        <w:jc w:val="both"/>
      </w:pPr>
      <w:r>
        <w:rPr>
          <w:sz w:val="21"/>
        </w:rPr>
        <w:t xml:space="preserve">2) </w:t>
      </w:r>
      <w:r>
        <w:rPr>
          <w:sz w:val="21"/>
        </w:rPr>
        <w:t>自取新风机组配置“G4初效+F8中效”两重过滤器； G4初效：过滤35% （5um）；F8中效：过滤85% （5um）</w:t>
      </w:r>
    </w:p>
    <w:p>
      <w:pPr>
        <w:pStyle w:val="null3"/>
        <w:ind w:firstLine="420"/>
        <w:jc w:val="both"/>
      </w:pPr>
      <w:r>
        <w:rPr>
          <w:sz w:val="21"/>
        </w:rPr>
        <w:t xml:space="preserve">3) </w:t>
      </w:r>
      <w:r>
        <w:rPr>
          <w:sz w:val="21"/>
        </w:rPr>
        <w:t>应具有外观美观、耐气候变化、抗腐蚀功能强、保温性能佳，隔声隔振性能好，无毒无异味的特点，其材料外露部分具有不燃或难燃特性。</w:t>
      </w:r>
    </w:p>
    <w:p>
      <w:pPr>
        <w:pStyle w:val="null3"/>
        <w:ind w:firstLine="420"/>
        <w:jc w:val="both"/>
      </w:pPr>
      <w:r>
        <w:rPr>
          <w:sz w:val="21"/>
        </w:rPr>
        <w:t xml:space="preserve">4) </w:t>
      </w:r>
      <w:r>
        <w:rPr>
          <w:sz w:val="21"/>
        </w:rPr>
        <w:t>过滤器框架应采用防止空气未经处理从框架之间的缝隙泄漏。</w:t>
      </w:r>
    </w:p>
    <w:p>
      <w:pPr>
        <w:pStyle w:val="null3"/>
        <w:ind w:firstLine="420"/>
        <w:jc w:val="both"/>
      </w:pPr>
      <w:r>
        <w:rPr>
          <w:sz w:val="21"/>
        </w:rPr>
        <w:t xml:space="preserve">5) </w:t>
      </w:r>
      <w:r>
        <w:rPr>
          <w:sz w:val="21"/>
        </w:rPr>
        <w:t>应在箱体的适当位置设置检查门，检修门采用整体金属断冷桥结构，检查门保证严密、灵活、方便维修。检修门门把手设计为开关设备，新风口、送风口等与风管连接的接口均设置法兰，其方向应符合设计图纸的要求，法兰面应超过箱体外60mm以上以便安装及维修。</w:t>
      </w:r>
    </w:p>
    <w:p>
      <w:pPr>
        <w:pStyle w:val="null3"/>
        <w:ind w:firstLine="420"/>
        <w:jc w:val="both"/>
      </w:pPr>
      <w:r>
        <w:rPr>
          <w:sz w:val="21"/>
        </w:rPr>
        <w:t xml:space="preserve">6) </w:t>
      </w:r>
      <w:r>
        <w:rPr>
          <w:sz w:val="21"/>
        </w:rPr>
        <w:t>过滤器单元优化设计排布，内部气流平顺无凹凸阻挡。</w:t>
      </w:r>
    </w:p>
    <w:p>
      <w:pPr>
        <w:pStyle w:val="null3"/>
        <w:ind w:firstLine="420"/>
        <w:jc w:val="both"/>
      </w:pPr>
      <w:r>
        <w:rPr>
          <w:sz w:val="21"/>
        </w:rPr>
        <w:t xml:space="preserve">7) </w:t>
      </w:r>
      <w:r>
        <w:rPr>
          <w:sz w:val="21"/>
        </w:rPr>
        <w:t>电机本身需自带电热保护装置。绝缘等级不低于F级，防护等级不低于IP54；电机调节导轨采用调节导轨，有防腐措施。</w:t>
      </w:r>
    </w:p>
    <w:p>
      <w:pPr>
        <w:pStyle w:val="null3"/>
        <w:ind w:firstLine="420"/>
        <w:jc w:val="both"/>
      </w:pPr>
      <w:r>
        <w:rPr>
          <w:sz w:val="21"/>
        </w:rPr>
        <w:t>8</w:t>
      </w:r>
      <w:r>
        <w:rPr>
          <w:sz w:val="21"/>
        </w:rPr>
        <w:t>）材质与结构：净化组合式空调箱体结构，采用高强度，无冷桥、不漏风、无卫生死角，强制密封空调箱体结构。确保机组使用时间。箱板采用双层面板中间高压聚氨脂发泡保温，铝型材与面板通过高压聚氨酯发泡形成一个整体，铝型材带凹凸槽，安装后形成榫头连接，通过螺栓螺母的连接方式，漏风率极低，现场拼装简单方便，质量有保障。箱板厚度不少于25mm；内部圆弧形设计，保证机组内部光滑无卫生死角，不积灰，不易产生霉菌，机组底座有调整水平装置，保证机组在现场对接时不要有缝隙，可以微调地基的不平整。</w:t>
      </w:r>
    </w:p>
    <w:p>
      <w:pPr>
        <w:pStyle w:val="null3"/>
        <w:ind w:firstLine="420"/>
        <w:jc w:val="both"/>
      </w:pPr>
      <w:r>
        <w:rPr>
          <w:sz w:val="21"/>
          <w:shd w:fill="FFFFFF" w:val="clear"/>
        </w:rPr>
        <w:t>2</w:t>
      </w:r>
      <w:r>
        <w:rPr>
          <w:sz w:val="21"/>
          <w:shd w:fill="FFFFFF" w:val="clear"/>
        </w:rPr>
        <w:t>、保温材料</w:t>
      </w:r>
    </w:p>
    <w:p>
      <w:pPr>
        <w:pStyle w:val="null3"/>
        <w:ind w:firstLine="420"/>
        <w:jc w:val="both"/>
      </w:pPr>
      <w:r>
        <w:rPr>
          <w:sz w:val="21"/>
        </w:rPr>
        <w:t>保温材料选用闭泡橡塑保温材料，难燃B1级25mm厚。同时，选用与保温材料与之专用配套的胶水（接口粘接后形成一体）。湿阻因子≥4500；真空吸水率≤10%。40℃下导热系数≤0.04W/(m.k)；0℃下导热系数≤0.035W/(m.k)。</w:t>
      </w:r>
    </w:p>
    <w:p>
      <w:pPr>
        <w:pStyle w:val="null3"/>
        <w:ind w:firstLine="420"/>
        <w:jc w:val="both"/>
      </w:pPr>
      <w:r>
        <w:rPr>
          <w:sz w:val="21"/>
        </w:rPr>
        <w:t>3</w:t>
      </w:r>
      <w:r>
        <w:rPr>
          <w:sz w:val="21"/>
        </w:rPr>
        <w:t>、镀锌风管</w:t>
      </w:r>
    </w:p>
    <w:p>
      <w:pPr>
        <w:pStyle w:val="null3"/>
        <w:ind w:firstLine="420"/>
        <w:jc w:val="both"/>
      </w:pPr>
      <w:r>
        <w:rPr>
          <w:sz w:val="21"/>
        </w:rPr>
        <w:t>风管的弯管曲率半径一般为1倍边长，最小不应少于200mm,弯曲尺寸或等于500mm的应设导流片（内外弧的弯头可不装设导流片）。周长≤2m，采用δ≤0.6mm钢板；周长≤4m，采用δ≤0.75mm钢板。</w:t>
      </w:r>
    </w:p>
    <w:p>
      <w:pPr>
        <w:pStyle w:val="null3"/>
        <w:ind w:firstLine="420"/>
        <w:jc w:val="both"/>
      </w:pPr>
      <w:r>
        <w:rPr>
          <w:sz w:val="21"/>
        </w:rPr>
        <w:t>排风管应做好防凝水和风管内水凝结水回流装置。安装水平管保持一定的坡度，坡向室外立管。室外立管应具备排凝结水装置。</w:t>
      </w:r>
    </w:p>
    <w:p>
      <w:pPr>
        <w:pStyle w:val="null3"/>
        <w:ind w:firstLine="420"/>
        <w:jc w:val="both"/>
      </w:pPr>
      <w:r>
        <w:rPr>
          <w:sz w:val="21"/>
        </w:rPr>
        <w:t>风管安装固定支架选用国标30×30×3 ㎜角钢及φ8镙杆，其支、吊架间距不大于2.5m；风管安装调节风阀时，应标明启闭方位。</w:t>
      </w:r>
    </w:p>
    <w:p>
      <w:pPr>
        <w:pStyle w:val="null3"/>
        <w:ind w:firstLine="420"/>
        <w:jc w:val="both"/>
      </w:pPr>
      <w:r>
        <w:rPr>
          <w:sz w:val="21"/>
        </w:rPr>
        <w:t>本项目送、回、新风风管材料选用镀锌钢板制作，管内温度与外界存在温差的风管采用20mm厚B1级橡塑保温板进行保温。暴露于室外的新风、回风、送风风管外敷0.4mm厚铝板。</w:t>
      </w:r>
    </w:p>
    <w:tbl>
      <w:tblPr>
        <w:tblW w:w="0" w:type="auto"/>
        <w:tblBorders>
          <w:top w:val="none" w:color="000000" w:sz="4"/>
          <w:left w:val="none" w:color="000000" w:sz="4"/>
          <w:bottom w:val="none" w:color="000000" w:sz="4"/>
          <w:right w:val="none" w:color="000000" w:sz="4"/>
          <w:insideH w:val="none"/>
          <w:insideV w:val="none"/>
        </w:tblBorders>
      </w:tblPr>
      <w:tblGrid>
        <w:gridCol w:w="1389"/>
        <w:gridCol w:w="2895"/>
        <w:gridCol w:w="1360"/>
        <w:gridCol w:w="1477"/>
        <w:gridCol w:w="1184"/>
      </w:tblGrid>
      <w:tr>
        <w:tc>
          <w:tcPr>
            <w:tcW w:type="dxa" w:w="13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类 别</w:t>
            </w:r>
          </w:p>
        </w:tc>
        <w:tc>
          <w:tcPr>
            <w:tcW w:type="dxa" w:w="28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风管直径D或长边尺寸b</w:t>
            </w:r>
          </w:p>
        </w:tc>
        <w:tc>
          <w:tcPr>
            <w:tcW w:type="dxa" w:w="13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圆形风管</w:t>
            </w:r>
          </w:p>
        </w:tc>
        <w:tc>
          <w:tcPr>
            <w:tcW w:type="dxa" w:w="2661"/>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矩形风管</w:t>
            </w:r>
          </w:p>
        </w:tc>
      </w:tr>
      <w:tr>
        <w:tc>
          <w:tcPr>
            <w:tcW w:type="dxa" w:w="1389"/>
            <w:vMerge/>
            <w:tcBorders>
              <w:top w:val="single" w:color="000000" w:sz="4"/>
              <w:left w:val="single" w:color="000000" w:sz="4"/>
              <w:bottom w:val="single" w:color="000000" w:sz="4"/>
              <w:right w:val="single" w:color="000000" w:sz="4"/>
            </w:tcBorders>
          </w:tcPr>
          <w:p/>
        </w:tc>
        <w:tc>
          <w:tcPr>
            <w:tcW w:type="dxa" w:w="2895"/>
            <w:vMerge/>
            <w:tcBorders>
              <w:top w:val="single" w:color="000000" w:sz="4"/>
              <w:left w:val="none" w:color="000000" w:sz="4"/>
              <w:bottom w:val="single" w:color="000000" w:sz="4"/>
              <w:right w:val="single" w:color="000000" w:sz="4"/>
            </w:tcBorders>
          </w:tcPr>
          <w:p/>
        </w:tc>
        <w:tc>
          <w:tcPr>
            <w:tcW w:type="dxa" w:w="1360"/>
            <w:vMerge/>
            <w:tcBorders>
              <w:top w:val="single" w:color="000000" w:sz="4"/>
              <w:left w:val="none" w:color="000000" w:sz="4"/>
              <w:bottom w:val="singl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中低压系统</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高压系统</w:t>
            </w:r>
          </w:p>
        </w:tc>
      </w:tr>
      <w:tr>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镀</w:t>
            </w:r>
          </w:p>
          <w:p>
            <w:pPr>
              <w:pStyle w:val="null3"/>
              <w:jc w:val="center"/>
            </w:pPr>
            <w:r>
              <w:rPr>
                <w:sz w:val="21"/>
              </w:rPr>
              <w:t>锌</w:t>
            </w:r>
          </w:p>
          <w:p>
            <w:pPr>
              <w:pStyle w:val="null3"/>
              <w:jc w:val="center"/>
            </w:pPr>
            <w:r>
              <w:rPr>
                <w:sz w:val="21"/>
              </w:rPr>
              <w:t>钢</w:t>
            </w:r>
          </w:p>
          <w:p>
            <w:pPr>
              <w:pStyle w:val="null3"/>
              <w:jc w:val="center"/>
            </w:pPr>
            <w:r>
              <w:rPr>
                <w:sz w:val="21"/>
              </w:rPr>
              <w:t>板</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D</w:t>
            </w:r>
            <w:r>
              <w:rPr>
                <w:sz w:val="21"/>
              </w:rPr>
              <w:t>（b）≤320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0.5</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0.75</w:t>
            </w:r>
          </w:p>
        </w:tc>
      </w:tr>
      <w:tr>
        <w:tc>
          <w:tcPr>
            <w:tcW w:type="dxa" w:w="1389"/>
            <w:vMerge/>
            <w:tcBorders>
              <w:top w:val="none" w:color="000000" w:sz="4"/>
              <w:left w:val="singl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320</w:t>
            </w:r>
            <w:r>
              <w:rPr>
                <w:sz w:val="21"/>
              </w:rPr>
              <w:t>＜D（b）≤450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0.6</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0.6</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0.75</w:t>
            </w:r>
          </w:p>
        </w:tc>
      </w:tr>
      <w:tr>
        <w:tc>
          <w:tcPr>
            <w:tcW w:type="dxa" w:w="1389"/>
            <w:vMerge/>
            <w:tcBorders>
              <w:top w:val="none" w:color="000000" w:sz="4"/>
              <w:left w:val="singl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450</w:t>
            </w:r>
            <w:r>
              <w:rPr>
                <w:sz w:val="21"/>
              </w:rPr>
              <w:t>＜D（b）≤630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0.75</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0.75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r>
      <w:tr>
        <w:tc>
          <w:tcPr>
            <w:tcW w:type="dxa" w:w="1389"/>
            <w:vMerge/>
            <w:tcBorders>
              <w:top w:val="none" w:color="000000" w:sz="4"/>
              <w:left w:val="singl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630</w:t>
            </w:r>
            <w:r>
              <w:rPr>
                <w:sz w:val="21"/>
              </w:rPr>
              <w:t>＜D（b）≤1000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r>
      <w:tr>
        <w:tc>
          <w:tcPr>
            <w:tcW w:type="dxa" w:w="1389"/>
            <w:vMerge/>
            <w:tcBorders>
              <w:top w:val="none" w:color="000000" w:sz="4"/>
              <w:left w:val="singl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r>
              <w:rPr>
                <w:sz w:val="21"/>
              </w:rPr>
              <w:t>＜D（b）≤1500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r>
      <w:tr>
        <w:tc>
          <w:tcPr>
            <w:tcW w:type="dxa" w:w="1389"/>
            <w:vMerge/>
            <w:tcBorders>
              <w:top w:val="none" w:color="000000" w:sz="4"/>
              <w:left w:val="singl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1500</w:t>
            </w:r>
            <w:r>
              <w:rPr>
                <w:sz w:val="21"/>
              </w:rPr>
              <w:t>＜D（b）≤2000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r>
      <w:tr>
        <w:tc>
          <w:tcPr>
            <w:tcW w:type="dxa" w:w="1389"/>
            <w:vMerge/>
            <w:tcBorders>
              <w:top w:val="none" w:color="000000" w:sz="4"/>
              <w:left w:val="single" w:color="000000" w:sz="4"/>
              <w:bottom w:val="single" w:color="000000" w:sz="4"/>
              <w:right w:val="single" w:color="000000" w:sz="4"/>
            </w:tcBorders>
          </w:tcP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r>
              <w:rPr>
                <w:sz w:val="21"/>
              </w:rPr>
              <w:t>＜D（b）≤4000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r>
    </w:tbl>
    <w:p>
      <w:pPr>
        <w:pStyle w:val="null3"/>
        <w:jc w:val="both"/>
      </w:pPr>
      <w:r>
        <w:rPr>
          <w:sz w:val="21"/>
        </w:rPr>
        <w:t>12</w:t>
      </w:r>
      <w:r>
        <w:rPr>
          <w:sz w:val="21"/>
        </w:rPr>
        <w:t>、异常低价审查</w:t>
      </w:r>
    </w:p>
    <w:p>
      <w:pPr>
        <w:pStyle w:val="null3"/>
        <w:ind w:firstLine="435"/>
        <w:jc w:val="both"/>
      </w:pPr>
      <w:r>
        <w:rPr>
          <w:sz w:val="21"/>
        </w:rPr>
        <w:t>（1）如供应商异常低价报价，评标委员会（评审小组）将启动异常低价投标（响应）审查，要求相关供应商在评审现场合理的时间内提供书面说明及必要的证明材料，对投标（响应）价格作出解释。供应商应在评标（审）现场合理的时间内</w:t>
      </w:r>
      <w:r>
        <w:rPr>
          <w:sz w:val="21"/>
        </w:rPr>
        <w:t>对完成该项目(包组）发生的全部报价进行分析，包括但不限于</w:t>
      </w:r>
      <w:r>
        <w:rPr>
          <w:sz w:val="21"/>
        </w:rPr>
        <w:t>：①报价清单中每个项目子项及措施项目的单价分析（漏项视为理由不充分）；②主要用工方式和各工种人工日工资分析；③主要材料选购方式及其主要材料的价格分析，本项目（包组）使用的主要材料要有出厂合格证明、试验报告，及具有法律效力的检测部门出具的检验报告等资料，并提供至少一份副本给用户作为存档；④主要机械的成本分析；⑤</w:t>
      </w:r>
      <w:r>
        <w:rPr>
          <w:sz w:val="21"/>
        </w:rPr>
        <w:t>代理服务费等</w:t>
      </w:r>
      <w:r>
        <w:rPr>
          <w:sz w:val="21"/>
        </w:rPr>
        <w:t>。分析说明须逐一提供佐证材料，包括但不限于：①供货商负责在建或近一年内完工的类似工程项目中相应各工种工人工资结算表（有工人签名以及业主（或监理）单位的确认，同时提供中标（成交）通知书、验收报告）；②主要材料报价清单；③拟投入本工程的机械台班租赁合同，自有机械提供相应的设备登记证和分析机械台班使用费用等。如单价分析涉及综合定额消耗量的变动，须作进一步的分析说明并提供佐证材料。</w:t>
      </w:r>
    </w:p>
    <w:p>
      <w:pPr>
        <w:pStyle w:val="null3"/>
        <w:ind w:firstLine="480"/>
        <w:jc w:val="left"/>
      </w:pPr>
      <w:r>
        <w:rPr>
          <w:sz w:val="21"/>
        </w:rPr>
        <w:t>注：</w:t>
      </w:r>
      <w:r>
        <w:rPr>
          <w:sz w:val="21"/>
        </w:rPr>
        <w:t>上述罗列的费用，如实际并未发生，则无须提供对应的成本分析及证明材料，但供应商应提供说明。</w:t>
      </w:r>
    </w:p>
    <w:p>
      <w:pPr>
        <w:pStyle w:val="null3"/>
        <w:ind w:firstLine="480"/>
        <w:jc w:val="left"/>
      </w:pPr>
      <w:r>
        <w:rPr>
          <w:sz w:val="21"/>
        </w:rPr>
        <w:t>（2）评审中出现下列情形之一的，评标委员会（评审小组）应当启动异常低价投标（响应）审查程序：　</w:t>
      </w:r>
    </w:p>
    <w:p>
      <w:pPr>
        <w:pStyle w:val="null3"/>
        <w:ind w:firstLine="480"/>
        <w:jc w:val="left"/>
      </w:pPr>
      <w:r>
        <w:rPr>
          <w:sz w:val="21"/>
        </w:rPr>
        <w:t xml:space="preserve">①投标（响应）报价低于全部通过符合性审查供应商投标（响应）报价平均值50%的，即投标（响应）报价&lt;全部通过符合性审查供应商投标（响应）报价平均值×50%； </w:t>
      </w:r>
    </w:p>
    <w:p>
      <w:pPr>
        <w:pStyle w:val="null3"/>
        <w:ind w:firstLine="480"/>
        <w:jc w:val="left"/>
      </w:pPr>
      <w:r>
        <w:rPr>
          <w:sz w:val="21"/>
        </w:rPr>
        <w:t xml:space="preserve">②投标（响应）报价低于通过符合性审查的次低报价供应商投标（响应）报价50%的，即投标（响应）报价&lt;通过符合性审查的次低报价供应商投标（响应）报价×50%； </w:t>
      </w:r>
    </w:p>
    <w:p>
      <w:pPr>
        <w:pStyle w:val="null3"/>
        <w:ind w:firstLine="480"/>
        <w:jc w:val="left"/>
      </w:pPr>
      <w:r>
        <w:rPr>
          <w:sz w:val="21"/>
        </w:rPr>
        <w:t xml:space="preserve">③投标（响应）报价低于采购项目最高限价45%的，即投标（响应）报价&lt;采购项目最高限价×45%； </w:t>
      </w:r>
    </w:p>
    <w:p>
      <w:pPr>
        <w:pStyle w:val="null3"/>
        <w:ind w:firstLine="480"/>
        <w:jc w:val="left"/>
      </w:pPr>
      <w:r>
        <w:rPr>
          <w:sz w:val="21"/>
        </w:rPr>
        <w:t>④评审委员会基于专业判断，认为供应商报价过低，有可能影响产品质量或者不能诚信履约的其他情形。</w:t>
      </w:r>
    </w:p>
    <w:p>
      <w:pPr>
        <w:pStyle w:val="null3"/>
        <w:ind w:firstLine="420"/>
        <w:jc w:val="both"/>
      </w:pPr>
      <w:r>
        <w:rPr>
          <w:sz w:val="21"/>
        </w:rPr>
        <w:t>被启动异常低价审查的供应商，如果不提供书面说明、证明材料，或者提供的书面说明、证明材料不能证明其报价合理性的，应当将其作为无效投标（响应）处理。通过异常低价审查的不足3家，不得进入详细评审。</w:t>
      </w:r>
    </w:p>
    <w:p>
      <w:pPr>
        <w:pStyle w:val="null3"/>
        <w:ind w:firstLine="420"/>
        <w:jc w:val="both"/>
      </w:pPr>
      <w:r>
        <w:rPr/>
        <w:t xml:space="preserve"> </w:t>
      </w:r>
    </w:p>
    <w:p>
      <w:pPr>
        <w:pStyle w:val="null3"/>
        <w:ind w:firstLine="420"/>
        <w:jc w:val="both"/>
      </w:pPr>
      <w:r>
        <w:rPr>
          <w:sz w:val="21"/>
        </w:rPr>
        <w:t>工程量清单（详见公告附件）</w:t>
      </w:r>
    </w:p>
    <w:p>
      <w:pPr>
        <w:pStyle w:val="null3"/>
        <w:ind w:firstLine="420"/>
        <w:jc w:val="both"/>
      </w:pPr>
      <w:r>
        <w:rPr>
          <w:sz w:val="21"/>
        </w:rPr>
        <w:t>图纸（详见公告附件）</w:t>
      </w:r>
    </w:p>
    <w:p>
      <w:pPr>
        <w:pStyle w:val="null3"/>
        <w:outlineLvl w:val="1"/>
      </w:pPr>
      <w:r>
        <w:rPr>
          <w:sz w:val="36"/>
          <w:b/>
        </w:rPr>
        <w:t xml:space="preserve"> </w:t>
      </w:r>
    </w:p>
    <w:p>
      <w:pPr>
        <w:pStyle w:val="null3"/>
        <w:jc w:val="both"/>
        <w:outlineLvl w:val="1"/>
      </w:pPr>
      <w:r>
        <w:rPr>
          <w:sz w:val="36"/>
          <w:b/>
        </w:rPr>
        <w:t xml:space="preserve"> </w:t>
      </w:r>
    </w:p>
    <w:p>
      <w:pPr>
        <w:pStyle w:val="null3"/>
        <w:jc w:val="both"/>
        <w:outlineLvl w:val="1"/>
      </w:pPr>
      <w:r>
        <w:rPr>
          <w:sz w:val="21"/>
          <w:b/>
        </w:rPr>
        <w:t>附件1：首次报价表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36"/>
        <w:gridCol w:w="1684"/>
      </w:tblGrid>
      <w:tr>
        <w:tc>
          <w:tcPr>
            <w:tcW w:type="dxa" w:w="6636"/>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b/>
              </w:rPr>
              <w:t>总报价（元）</w:t>
            </w:r>
          </w:p>
        </w:tc>
        <w:tc>
          <w:tcPr>
            <w:tcW w:type="dxa" w:w="1684"/>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备注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大写：人民币</w:t>
            </w:r>
          </w:p>
        </w:tc>
        <w:tc>
          <w:tcPr>
            <w:tcW w:type="dxa" w:w="1684"/>
            <w:vMerge w:val="restart"/>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b/>
              </w:rPr>
              <w:t>本报价已包规费、税费等工程量清单中的所有费用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小写：￥</w:t>
            </w:r>
          </w:p>
        </w:tc>
        <w:tc>
          <w:tcPr>
            <w:tcW w:type="dxa" w:w="1684"/>
            <w:vMerge/>
            <w:tcBorders>
              <w:top w:val="none" w:color="000000" w:sz="4"/>
              <w:left w:val="none" w:color="000000" w:sz="4"/>
              <w:bottom w:val="single" w:color="000000" w:sz="4"/>
              <w:right w:val="single" w:color="000000" w:sz="4"/>
            </w:tcBorders>
          </w:tcPr>
          <w:p/>
        </w:tc>
      </w:tr>
      <w:tr>
        <w:tc>
          <w:tcPr>
            <w:tcW w:type="dxa" w:w="8320"/>
            <w:gridSpan w:val="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其中：固定报价部分如下</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rPr>
              <w:t>安全生产措施费：</w:t>
            </w:r>
            <w:r>
              <w:rPr>
                <w:sz w:val="21"/>
                <w:u w:val="single"/>
              </w:rPr>
              <w:t xml:space="preserve"> 16122.15元，其中建筑装饰部分3722.46元，安装部分12399.69元</w:t>
            </w:r>
            <w:r>
              <w:rPr>
                <w:sz w:val="21"/>
              </w:rPr>
              <w:t>；</w:t>
            </w:r>
          </w:p>
          <w:p>
            <w:pPr>
              <w:pStyle w:val="null3"/>
              <w:ind w:firstLine="420"/>
              <w:jc w:val="both"/>
            </w:pPr>
            <w:r>
              <w:rPr>
                <w:sz w:val="21"/>
              </w:rPr>
              <w:t>暂列金：</w:t>
            </w:r>
            <w:r>
              <w:rPr>
                <w:sz w:val="21"/>
                <w:u w:val="single"/>
                <w:shd w:fill="FFFFFF" w:val="clear"/>
              </w:rPr>
              <w:t>0</w:t>
            </w:r>
            <w:r>
              <w:rPr>
                <w:sz w:val="21"/>
              </w:rPr>
              <w:t>元。</w:t>
            </w:r>
          </w:p>
        </w:tc>
        <w:tc>
          <w:tcPr>
            <w:tcW w:type="dxa" w:w="1684"/>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此处与工程量清单内容一致，最终报价不作变化</w:t>
            </w:r>
          </w:p>
        </w:tc>
      </w:tr>
    </w:tbl>
    <w:p>
      <w:pPr>
        <w:pStyle w:val="null3"/>
        <w:ind w:left="705"/>
        <w:jc w:val="both"/>
      </w:pPr>
      <w:r>
        <w:rPr>
          <w:sz w:val="21"/>
        </w:rPr>
        <w:t>注：1.此表总报价是所有需采购人支付的金额总数，包括《用户需求书》要求的全部内容及采购代理费用。所有价格均应予人民币报价，金额单位为元。</w:t>
      </w:r>
    </w:p>
    <w:p>
      <w:pPr>
        <w:pStyle w:val="null3"/>
        <w:ind w:left="630"/>
        <w:jc w:val="both"/>
      </w:pPr>
      <w:r>
        <w:rPr>
          <w:sz w:val="21"/>
        </w:rPr>
        <w:t>2.</w:t>
      </w:r>
      <w:r>
        <w:rPr>
          <w:sz w:val="21"/>
        </w:rPr>
        <w:t>温馨提示：中文大写金额用汉字，如壹、贰、叁、肆、伍、陆、柒、捌、玖、拾、佰、仟、万、亿、元、角、分、零、整（正）等。</w:t>
      </w:r>
    </w:p>
    <w:p>
      <w:pPr>
        <w:pStyle w:val="null3"/>
        <w:jc w:val="both"/>
      </w:pPr>
      <w:r>
        <w:rPr>
          <w:sz w:val="21"/>
        </w:rPr>
        <w:t>报价供应商名称（盖章）：</w:t>
      </w:r>
    </w:p>
    <w:p>
      <w:pPr>
        <w:pStyle w:val="null3"/>
        <w:ind w:left="705"/>
        <w:jc w:val="both"/>
      </w:pPr>
      <w:r>
        <w:rPr>
          <w:sz w:val="21"/>
        </w:rPr>
        <w:t>日期：   年   月   日</w:t>
      </w:r>
    </w:p>
    <w:p>
      <w:pPr>
        <w:pStyle w:val="null3"/>
      </w:pPr>
      <w:r>
        <w:rPr/>
        <w:t xml:space="preserve"> </w:t>
      </w:r>
    </w:p>
    <w:p>
      <w:pPr>
        <w:pStyle w:val="null3"/>
        <w:jc w:val="left"/>
      </w:pPr>
      <w:r>
        <w:rPr>
          <w:sz w:val="21"/>
        </w:rPr>
        <w:t>附件2：节能环保政策适用性说明</w:t>
      </w:r>
    </w:p>
    <w:p>
      <w:pPr>
        <w:pStyle w:val="null3"/>
        <w:jc w:val="left"/>
      </w:pPr>
      <w:r>
        <w:rPr>
          <w:sz w:val="21"/>
        </w:rPr>
        <w:t>《节能环保政策适用性说明》</w:t>
      </w:r>
    </w:p>
    <w:p>
      <w:pPr>
        <w:pStyle w:val="null3"/>
        <w:ind w:firstLine="420"/>
        <w:jc w:val="both"/>
      </w:pPr>
      <w:r>
        <w:rPr>
          <w:sz w:val="21"/>
        </w:rPr>
        <w:t>填写注意事项：</w:t>
      </w:r>
    </w:p>
    <w:p>
      <w:pPr>
        <w:pStyle w:val="null3"/>
        <w:ind w:firstLine="420"/>
        <w:jc w:val="left"/>
      </w:pPr>
      <w:r>
        <w:rPr>
          <w:sz w:val="21"/>
        </w:rPr>
        <w:t>1</w:t>
      </w:r>
      <w:r>
        <w:rPr>
          <w:sz w:val="21"/>
        </w:rPr>
        <w:t>、供应商所投的产品，符合节能产品、环境标志产品政策要求的，按以下格式填写。</w:t>
      </w:r>
    </w:p>
    <w:p>
      <w:pPr>
        <w:pStyle w:val="null3"/>
        <w:ind w:firstLine="420"/>
        <w:jc w:val="left"/>
      </w:pPr>
      <w:r>
        <w:rPr>
          <w:sz w:val="21"/>
        </w:rPr>
        <w:t>2</w:t>
      </w:r>
      <w:r>
        <w:rPr>
          <w:sz w:val="21"/>
        </w:rPr>
        <w:t>、供应商所响应的产品须是《节能产品政府采购品目清单》、《环境标志产品政府采购品目清单》内的产品，该产品由国家确定的认证机构颁发处于有效期内的认证证书（认证标准须符合《清单》中对应产品所依据的标准，认证型号须与所投产品型号一致），才视为符合节能产品、环境标志产品政策要求。</w:t>
      </w:r>
    </w:p>
    <w:p>
      <w:pPr>
        <w:pStyle w:val="null3"/>
        <w:ind w:firstLine="420"/>
        <w:jc w:val="both"/>
      </w:pPr>
      <w:r>
        <w:rPr>
          <w:sz w:val="21"/>
        </w:rPr>
        <w:t>3</w:t>
      </w:r>
      <w:r>
        <w:rPr>
          <w:sz w:val="21"/>
        </w:rPr>
        <w:t>、节能产品包括节水产品。</w:t>
      </w:r>
    </w:p>
    <w:p>
      <w:pPr>
        <w:pStyle w:val="null3"/>
        <w:ind w:firstLine="420"/>
        <w:jc w:val="left"/>
      </w:pPr>
      <w:r>
        <w:rPr>
          <w:sz w:val="21"/>
        </w:rPr>
        <w:t>4</w:t>
      </w:r>
      <w:r>
        <w:rPr>
          <w:sz w:val="21"/>
        </w:rPr>
        <w:t>、在《财政部 发展改革委 生态环境部 市场监管总局关于调整优化节能产品、环境标志产品政府采购执行机制的通知》（财库〔2019〕9号）中可查询节能产品、环境标志产品政府采购政策。</w:t>
      </w:r>
    </w:p>
    <w:p>
      <w:pPr>
        <w:pStyle w:val="null3"/>
        <w:ind w:firstLine="420"/>
        <w:jc w:val="left"/>
      </w:pPr>
      <w:r>
        <w:rPr>
          <w:sz w:val="21"/>
        </w:rPr>
        <w:t>查询网址：http://www.ccgp.gov.cn/zcfg/mof/201902/t20190213_11628855.htm。</w:t>
      </w:r>
    </w:p>
    <w:p>
      <w:pPr>
        <w:pStyle w:val="null3"/>
        <w:ind w:firstLine="420"/>
        <w:jc w:val="both"/>
      </w:pPr>
      <w:r>
        <w:rPr>
          <w:sz w:val="21"/>
        </w:rPr>
        <w:t>5</w:t>
      </w:r>
      <w:r>
        <w:rPr>
          <w:sz w:val="21"/>
        </w:rPr>
        <w:t>、在《关于印发环境标志产品政府采购品目清单的通知》（财库〔2019〕18号）、《关于印发节能产品政府采购品目清单的通知》（财库〔2019〕19号）中可以查到对应的清单目录。国家确定的认证机构可在《市场监管总局关于发布参与实施政府采购节能产品、环境标志产品认证机构名录的公告》（2019年第16号）中查询。</w:t>
      </w:r>
    </w:p>
    <w:p>
      <w:pPr>
        <w:pStyle w:val="null3"/>
        <w:ind w:firstLine="479"/>
        <w:jc w:val="both"/>
      </w:pPr>
      <w:r>
        <w:rPr>
          <w:sz w:val="21"/>
          <w:shd w:fill="FFFFFF" w:val="clear"/>
        </w:rPr>
        <w:t>查询网址：http://www.ccgp.gov.cn/zcfg/mof/201903/t20190330_11833800.htm</w:t>
      </w:r>
    </w:p>
    <w:p>
      <w:pPr>
        <w:pStyle w:val="null3"/>
        <w:ind w:firstLine="479"/>
        <w:jc w:val="both"/>
      </w:pPr>
      <w:r>
        <w:rPr>
          <w:sz w:val="21"/>
          <w:shd w:fill="FFFFFF" w:val="clear"/>
        </w:rPr>
        <w:t>http://www.ccgp.gov.cn/zcfg/mof/201904/t20190403_11849836.htm</w:t>
      </w:r>
    </w:p>
    <w:p>
      <w:pPr>
        <w:pStyle w:val="null3"/>
        <w:ind w:firstLine="479"/>
        <w:jc w:val="both"/>
      </w:pPr>
      <w:r>
        <w:rPr>
          <w:sz w:val="21"/>
          <w:shd w:fill="FFFFFF" w:val="clear"/>
        </w:rPr>
        <w:t>http://www.ccgp.gov.cn/zcfg/bwfile/201904/t20190403_11853998.htm</w:t>
      </w:r>
    </w:p>
    <w:p>
      <w:pPr>
        <w:pStyle w:val="null3"/>
        <w:ind w:firstLine="479"/>
        <w:jc w:val="both"/>
      </w:pPr>
      <w:r>
        <w:rPr>
          <w:sz w:val="21"/>
          <w:shd w:fill="FFFFFF" w:val="clear"/>
        </w:rPr>
        <w:t>6</w:t>
      </w:r>
      <w:r>
        <w:rPr>
          <w:sz w:val="21"/>
          <w:shd w:fill="FFFFFF" w:val="clear"/>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0"/>
        <w:jc w:val="left"/>
      </w:pPr>
      <w:r>
        <w:rPr>
          <w:sz w:val="21"/>
          <w:shd w:fill="FFFFFF" w:val="clear"/>
        </w:rPr>
        <w:t>7</w:t>
      </w:r>
      <w:r>
        <w:rPr>
          <w:sz w:val="21"/>
          <w:shd w:fill="FFFFFF" w:val="clear"/>
        </w:rPr>
        <w:t>、《政策适用性说明》的货物名称、型号与《分项报价表》（如工程项目，则为《工程量清单》）的货物名称、型号不一致的，以《分项报价表》或《工程量清单》的货物名称、型号为准。</w:t>
      </w:r>
    </w:p>
    <w:p>
      <w:pPr>
        <w:pStyle w:val="null3"/>
        <w:ind w:firstLine="420"/>
        <w:jc w:val="left"/>
      </w:pPr>
      <w:r>
        <w:rPr>
          <w:sz w:val="21"/>
          <w:shd w:fill="FFFFFF" w:val="clear"/>
        </w:rPr>
        <w:t xml:space="preserve">8. </w:t>
      </w:r>
      <w:r>
        <w:rPr>
          <w:sz w:val="21"/>
          <w:shd w:fill="FFFFFF" w:val="clear"/>
        </w:rPr>
        <w:t>请供应商提供所投产品的节能（水）产品认证证书或环境标志产品认证证书。</w:t>
      </w:r>
    </w:p>
    <w:p>
      <w:pPr>
        <w:pStyle w:val="null3"/>
        <w:ind w:left="360"/>
        <w:jc w:val="both"/>
      </w:pPr>
      <w:r>
        <w:rPr>
          <w:sz w:val="21"/>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3"/>
        <w:gridCol w:w="606"/>
        <w:gridCol w:w="606"/>
        <w:gridCol w:w="1125"/>
        <w:gridCol w:w="692"/>
        <w:gridCol w:w="606"/>
        <w:gridCol w:w="692"/>
        <w:gridCol w:w="519"/>
        <w:gridCol w:w="779"/>
        <w:gridCol w:w="952"/>
        <w:gridCol w:w="1212"/>
      </w:tblGrid>
      <w:tr>
        <w:tc>
          <w:tcPr>
            <w:tcW w:type="dxa" w:w="43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序号</w:t>
            </w: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产品名称</w:t>
            </w:r>
          </w:p>
          <w:p>
            <w:pPr>
              <w:pStyle w:val="null3"/>
              <w:spacing w:after="165"/>
              <w:jc w:val="center"/>
            </w:pP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对应《节能产品政府采购品目清单》的品目序号</w:t>
            </w:r>
          </w:p>
        </w:tc>
        <w:tc>
          <w:tcPr>
            <w:tcW w:type="dxa" w:w="112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对应《分项报价表》序号</w:t>
            </w:r>
          </w:p>
          <w:p>
            <w:pPr>
              <w:pStyle w:val="null3"/>
              <w:spacing w:after="165"/>
              <w:jc w:val="center"/>
            </w:pPr>
            <w:r>
              <w:rPr>
                <w:sz w:val="15"/>
              </w:rPr>
              <w:t>（如为工程项目，则填写工程量清单表格名称及对应的序号）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产品品牌</w:t>
            </w:r>
          </w:p>
          <w:p>
            <w:pPr>
              <w:pStyle w:val="null3"/>
              <w:spacing w:after="165"/>
              <w:jc w:val="center"/>
            </w:pPr>
            <w:r>
              <w:rPr>
                <w:sz w:val="15"/>
              </w:rPr>
              <w:t>（如有）</w:t>
            </w: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认证证书上的认证型号</w:t>
            </w:r>
          </w:p>
          <w:p>
            <w:pPr>
              <w:pStyle w:val="null3"/>
              <w:spacing w:after="165"/>
              <w:jc w:val="center"/>
            </w:pPr>
          </w:p>
        </w:tc>
        <w:tc>
          <w:tcPr>
            <w:tcW w:type="dxa" w:w="51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认证证书所在页码</w:t>
            </w:r>
          </w:p>
        </w:tc>
        <w:tc>
          <w:tcPr>
            <w:tcW w:type="dxa" w:w="77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《节能产品政府采购品目清单》所依据的标准</w:t>
            </w:r>
          </w:p>
        </w:tc>
        <w:tc>
          <w:tcPr>
            <w:tcW w:type="dxa" w:w="95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认证证书上的认证标准</w:t>
            </w:r>
          </w:p>
        </w:tc>
        <w:tc>
          <w:tcPr>
            <w:tcW w:type="dxa" w:w="12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产品报价（元）</w:t>
            </w:r>
          </w:p>
          <w:p>
            <w:pPr>
              <w:pStyle w:val="null3"/>
              <w:spacing w:after="165"/>
              <w:jc w:val="center"/>
            </w:pPr>
          </w:p>
        </w:tc>
      </w:tr>
      <w:tr>
        <w:tc>
          <w:tcPr>
            <w:tcW w:type="dxa" w:w="8222"/>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（一）强制节能产品（即</w:t>
            </w:r>
            <w:r>
              <w:rPr>
                <w:sz w:val="21"/>
              </w:rPr>
              <w:t>《节能产品政府采购品目清单》中标注“★”的产品</w:t>
            </w:r>
            <w:r>
              <w:rPr>
                <w:sz w:val="21"/>
              </w:rPr>
              <w:t>）</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8"/>
              </w:rPr>
              <w:t>强制节能产品，不享受价格扣除或技术加分，故此处无须填报价格</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2</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tcBorders>
              <w:top w:val="none" w:color="000000" w:sz="4"/>
              <w:left w:val="none" w:color="000000" w:sz="4"/>
              <w:bottom w:val="single" w:color="000000" w:sz="4"/>
              <w:right w:val="single" w:color="000000" w:sz="4"/>
            </w:tcBorders>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tcBorders>
              <w:top w:val="none" w:color="000000" w:sz="4"/>
              <w:left w:val="none" w:color="000000" w:sz="4"/>
              <w:bottom w:val="single" w:color="000000" w:sz="4"/>
              <w:right w:val="single" w:color="000000" w:sz="4"/>
            </w:tcBorders>
          </w:tcPr>
          <w:p/>
        </w:tc>
      </w:tr>
      <w:tr>
        <w:tc>
          <w:tcPr>
            <w:tcW w:type="dxa" w:w="8222"/>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（二）优先采购节能产品（即</w:t>
            </w:r>
            <w:r>
              <w:rPr>
                <w:sz w:val="21"/>
              </w:rPr>
              <w:t>《节能产品政府采购品目清单》中未标注“★”的产品</w:t>
            </w:r>
            <w:r>
              <w:rPr>
                <w:sz w:val="21"/>
              </w:rPr>
              <w:t>）</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760"/>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优先节能产品价格合计</w:t>
            </w:r>
          </w:p>
        </w:tc>
        <w:tc>
          <w:tcPr>
            <w:tcW w:type="dxa" w:w="3462"/>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r>
    </w:tbl>
    <w:p>
      <w:pPr>
        <w:pStyle w:val="null3"/>
        <w:jc w:val="right"/>
      </w:pPr>
      <w:r>
        <w:rPr>
          <w:sz w:val="21"/>
          <w:shd w:fill="FFFFFF" w:val="clear"/>
        </w:rPr>
        <w:t>供应商名称（盖章）：__________________</w:t>
      </w:r>
    </w:p>
    <w:p>
      <w:pPr>
        <w:pStyle w:val="null3"/>
        <w:spacing w:after="165"/>
        <w:ind w:firstLine="480"/>
        <w:jc w:val="right"/>
      </w:pPr>
      <w:r>
        <w:rPr>
          <w:sz w:val="21"/>
          <w:shd w:fill="FFFFFF" w:val="clear"/>
        </w:rPr>
        <w:t>日期：年月日</w:t>
      </w:r>
    </w:p>
    <w:p>
      <w:pPr>
        <w:pStyle w:val="null3"/>
        <w:ind w:left="360"/>
        <w:jc w:val="both"/>
      </w:pP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7"/>
        <w:gridCol w:w="306"/>
        <w:gridCol w:w="306"/>
        <w:gridCol w:w="787"/>
        <w:gridCol w:w="962"/>
        <w:gridCol w:w="700"/>
        <w:gridCol w:w="437"/>
        <w:gridCol w:w="612"/>
        <w:gridCol w:w="700"/>
        <w:gridCol w:w="962"/>
        <w:gridCol w:w="1050"/>
        <w:gridCol w:w="962"/>
      </w:tblGrid>
      <w:tr>
        <w:tc>
          <w:tcPr>
            <w:tcW w:type="dxa" w:w="4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序号</w:t>
            </w:r>
          </w:p>
        </w:tc>
        <w:tc>
          <w:tcPr>
            <w:tcW w:type="dxa" w:w="612"/>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产品名称</w:t>
            </w:r>
          </w:p>
        </w:tc>
        <w:tc>
          <w:tcPr>
            <w:tcW w:type="dxa" w:w="7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75"/>
              <w:jc w:val="left"/>
            </w:pPr>
            <w:r>
              <w:rPr>
                <w:sz w:val="15"/>
              </w:rPr>
              <w:t>对应《环境标志产品政府采购品目清单》的品目序号</w:t>
            </w:r>
          </w:p>
          <w:p>
            <w:pPr>
              <w:pStyle w:val="null3"/>
              <w:spacing w:after="165"/>
              <w:jc w:val="left"/>
            </w:pP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对应《分项报价表》序号</w:t>
            </w:r>
          </w:p>
          <w:p>
            <w:pPr>
              <w:pStyle w:val="null3"/>
              <w:spacing w:after="165"/>
              <w:jc w:val="left"/>
            </w:pPr>
            <w:r>
              <w:rPr>
                <w:sz w:val="15"/>
              </w:rPr>
              <w:t>（如为工程项目，则填写工程量清单表格名称及对应的序号）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认证证书所在页码</w:t>
            </w:r>
          </w:p>
        </w:tc>
        <w:tc>
          <w:tcPr>
            <w:tcW w:type="dxa" w:w="43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产品品牌（如有）</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所投产品</w:t>
            </w:r>
          </w:p>
          <w:p>
            <w:pPr>
              <w:pStyle w:val="null3"/>
              <w:spacing w:after="165"/>
              <w:jc w:val="left"/>
            </w:pPr>
            <w:r>
              <w:rPr>
                <w:sz w:val="15"/>
              </w:rPr>
              <w:t>型号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认证证书上的认证型号</w:t>
            </w: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《环境标志产品政府采购品目清单》所依据的标准</w:t>
            </w:r>
          </w:p>
        </w:tc>
        <w:tc>
          <w:tcPr>
            <w:tcW w:type="dxa" w:w="105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认证证书上的认证标准</w:t>
            </w: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ind w:firstLine="225"/>
              <w:jc w:val="left"/>
            </w:pPr>
            <w:r>
              <w:rPr>
                <w:sz w:val="15"/>
              </w:rPr>
              <w:t>产品报价（元）</w:t>
            </w:r>
          </w:p>
          <w:p>
            <w:pPr>
              <w:pStyle w:val="null3"/>
              <w:spacing w:after="165"/>
              <w:jc w:val="left"/>
            </w:p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43"/>
            <w:gridSpan w:val="2"/>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tc>
        <w:tc>
          <w:tcPr>
            <w:tcW w:type="dxa" w:w="2755"/>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环境标志产品价格合计</w:t>
            </w: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787"/>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61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105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r>
    </w:tbl>
    <w:p>
      <w:pPr>
        <w:pStyle w:val="null3"/>
        <w:spacing w:after="165"/>
        <w:ind w:firstLine="480"/>
        <w:jc w:val="right"/>
      </w:pPr>
      <w:r>
        <w:rPr>
          <w:sz w:val="21"/>
          <w:shd w:fill="FFFFFF" w:val="clear"/>
        </w:rPr>
        <w:t>供应商名称（盖章）：__________</w:t>
      </w:r>
    </w:p>
    <w:p>
      <w:pPr>
        <w:pStyle w:val="null3"/>
        <w:spacing w:after="165"/>
        <w:ind w:firstLine="480"/>
        <w:jc w:val="center"/>
      </w:pPr>
      <w:r>
        <w:rPr>
          <w:sz w:val="21"/>
          <w:shd w:fill="FFFFFF" w:val="clear"/>
        </w:rPr>
        <w:t xml:space="preserve">                                                   </w:t>
      </w:r>
      <w:r>
        <w:rPr>
          <w:sz w:val="21"/>
          <w:shd w:fill="FFFFFF" w:val="clear"/>
        </w:rPr>
        <w:t>日期：年月日</w:t>
      </w:r>
    </w:p>
    <w:p>
      <w:pPr>
        <w:pStyle w:val="null3"/>
        <w:jc w:val="both"/>
      </w:pPr>
      <w:r>
        <w:rPr/>
        <w:t xml:space="preserve"> </w:t>
      </w:r>
    </w:p>
    <w:p>
      <w:pPr>
        <w:pStyle w:val="null3"/>
      </w:pPr>
      <w:r>
        <w:rPr>
          <w:sz w:val="21"/>
        </w:rPr>
        <w:t>附件3：本项目拟投入人员情况表</w:t>
      </w:r>
    </w:p>
    <w:tbl>
      <w:tblPr>
        <w:tblW w:w="0" w:type="auto"/>
        <w:tblInd w:type="dxa" w:w="105"/>
        <w:tblBorders>
          <w:top w:val="single"/>
          <w:left w:val="single"/>
          <w:bottom w:val="single"/>
          <w:right w:val="single"/>
          <w:insideH w:val="single"/>
          <w:insideV w:val="single"/>
        </w:tblBorders>
      </w:tblPr>
      <w:tblGrid>
        <w:gridCol w:w="820"/>
        <w:gridCol w:w="1439"/>
        <w:gridCol w:w="820"/>
        <w:gridCol w:w="820"/>
        <w:gridCol w:w="820"/>
        <w:gridCol w:w="1439"/>
        <w:gridCol w:w="820"/>
        <w:gridCol w:w="1324"/>
      </w:tblGrid>
      <w:tr>
        <w:tc>
          <w:tcPr>
            <w:tcW w:type="dxa" w:w="8302"/>
            <w:gridSpan w:val="8"/>
            <w:tcMar>
              <w:top w:type="dxa" w:w="0"/>
              <w:left w:type="dxa" w:w="105"/>
              <w:bottom w:type="dxa" w:w="0"/>
              <w:right w:type="dxa" w:w="105"/>
            </w:tcMar>
          </w:tcPr>
          <w:p>
            <w:pPr>
              <w:pStyle w:val="null3"/>
              <w:jc w:val="center"/>
            </w:pPr>
            <w:r>
              <w:rPr>
                <w:sz w:val="21"/>
              </w:rPr>
              <w:t>本项目拟投入人员情况表</w:t>
            </w:r>
          </w:p>
        </w:tc>
      </w:tr>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人员姓名</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岗位</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学历</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职称</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其它证书</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社保</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上述材料所在页码</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2"/>
            <w:gridSpan w:val="8"/>
            <w:tcMar>
              <w:top w:type="dxa" w:w="0"/>
              <w:left w:type="dxa" w:w="105"/>
              <w:bottom w:type="dxa" w:w="0"/>
              <w:right w:type="dxa" w:w="105"/>
            </w:tcMar>
          </w:tcPr>
          <w:p>
            <w:pPr>
              <w:pStyle w:val="null3"/>
              <w:jc w:val="left"/>
            </w:pPr>
            <w:r>
              <w:rPr>
                <w:sz w:val="21"/>
              </w:rPr>
              <w:t>注：上述内容如评审项无要求的，可不作填写。如评审项有要求的内容，表格无体现，可自行增加。</w:t>
            </w:r>
            <w:r>
              <w:br/>
            </w:r>
            <w:r>
              <w:rPr>
                <w:sz w:val="21"/>
              </w:rPr>
              <w:t xml:space="preserve"> 为便于评委会评审，请同一人的多份证明材料连续叠放，即放完A人员的所有证明材料后再叠放B人员的证明材料 。</w:t>
            </w:r>
          </w:p>
        </w:tc>
      </w:tr>
    </w:tbl>
    <w:p>
      <w:pPr>
        <w:pStyle w:val="null3"/>
      </w:pPr>
      <w:r>
        <w:rPr/>
        <w:t xml:space="preserve"> </w:t>
      </w:r>
    </w:p>
    <w:p>
      <w:pPr>
        <w:pStyle w:val="null3"/>
      </w:pPr>
      <w:r>
        <w:rPr>
          <w:sz w:val="21"/>
        </w:rPr>
        <w:t>附件4: (对于采购需求写明“提供承诺” 的条款，供应商可参照以下格式提供承诺)</w:t>
      </w:r>
    </w:p>
    <w:p>
      <w:pPr>
        <w:pStyle w:val="null3"/>
        <w:ind w:firstLine="420"/>
        <w:jc w:val="center"/>
      </w:pPr>
      <w:r>
        <w:rPr>
          <w:sz w:val="21"/>
        </w:rPr>
        <w:t>承诺函</w:t>
      </w:r>
    </w:p>
    <w:p>
      <w:pPr>
        <w:pStyle w:val="null3"/>
        <w:ind w:firstLine="420"/>
        <w:jc w:val="center"/>
      </w:pPr>
      <w:r>
        <w:rPr>
          <w:sz w:val="21"/>
        </w:rPr>
        <w:t xml:space="preserve">致： </w:t>
      </w:r>
      <w:r>
        <w:rPr>
          <w:sz w:val="21"/>
          <w:b/>
          <w:u w:val="single"/>
        </w:rPr>
        <w:t>采购人名称</w:t>
      </w:r>
    </w:p>
    <w:p>
      <w:pPr>
        <w:pStyle w:val="null3"/>
        <w:ind w:firstLine="420"/>
        <w:jc w:val="both"/>
      </w:pPr>
      <w:r>
        <w:rPr>
          <w:sz w:val="21"/>
        </w:rPr>
        <w:t>对于</w:t>
      </w:r>
      <w:r>
        <w:rPr>
          <w:sz w:val="21"/>
        </w:rPr>
        <w:t>项目（项目编号：         ）</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   年   月   日</w:t>
      </w:r>
    </w:p>
    <w:p>
      <w:pPr>
        <w:pStyle w:val="null3"/>
        <w:jc w:val="both"/>
      </w:pPr>
      <w:r>
        <w:rPr>
          <w:sz w:val="21"/>
        </w:rPr>
        <w:t xml:space="preserve"> </w:t>
      </w:r>
    </w:p>
    <w:p>
      <w:pPr>
        <w:pStyle w:val="null3"/>
        <w:ind w:firstLine="420"/>
        <w:jc w:val="both"/>
      </w:pPr>
      <w:r>
        <w:rPr/>
        <w:t xml:space="preserve"> </w:t>
      </w:r>
    </w:p>
    <w:p>
      <w:pPr>
        <w:pStyle w:val="null3"/>
      </w:pPr>
      <w:r>
        <w:rPr/>
        <w:t xml:space="preserve"> </w:t>
      </w:r>
    </w:p>
    <w:p>
      <w:pPr>
        <w:pStyle w:val="null3"/>
      </w:pPr>
      <w:r>
        <w:rPr/>
        <w:t>采购包1（华南农业大学兽医学院新楼8、9楼北侧部分实验室装修工程）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建设工期：70天</w:t>
            </w:r>
          </w:p>
        </w:tc>
      </w:tr>
      <w:tr>
        <w:tc>
          <w:tcPr>
            <w:tcW w:type="dxa" w:w="4153"/>
          </w:tcPr>
          <w:p>
            <w:pPr>
              <w:pStyle w:val="null3"/>
            </w:pPr>
            <w:r>
              <w:rPr/>
              <w:t>标的提供的地点</w:t>
            </w:r>
          </w:p>
        </w:tc>
        <w:tc>
          <w:tcPr>
            <w:tcW w:type="dxa" w:w="4153"/>
          </w:tcPr>
          <w:p>
            <w:pPr>
              <w:pStyle w:val="null3"/>
            </w:pPr>
            <w:r>
              <w:rPr/>
              <w:t>广东省广州市天河区五山路483号（华南农业大学兽医学院）</w:t>
            </w:r>
          </w:p>
        </w:tc>
      </w:tr>
      <w:tr>
        <w:tc>
          <w:tcPr>
            <w:tcW w:type="dxa" w:w="4153"/>
          </w:tcPr>
          <w:p>
            <w:pPr>
              <w:pStyle w:val="null3"/>
            </w:pPr>
            <w:r>
              <w:rPr/>
              <w:t>付款方式</w:t>
            </w:r>
          </w:p>
        </w:tc>
        <w:tc>
          <w:tcPr>
            <w:tcW w:type="dxa" w:w="4153"/>
          </w:tcPr>
          <w:p>
            <w:pPr>
              <w:pStyle w:val="null3"/>
            </w:pPr>
            <w:r>
              <w:rPr/>
              <w:t>1期：支付比例30%,详见用户需求书</w:t>
            </w:r>
          </w:p>
          <w:p>
            <w:pPr>
              <w:pStyle w:val="null3"/>
            </w:pPr>
            <w:r>
              <w:rPr/>
              <w:t>2期：支付比例50%,详见用户需求书</w:t>
            </w:r>
          </w:p>
          <w:p>
            <w:pPr>
              <w:pStyle w:val="null3"/>
            </w:pPr>
            <w:r>
              <w:rPr/>
              <w:t>3期：支付比例20%,详见用户需求书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华南农业大学兽医学院新楼8、9楼北侧部分实验室装修工程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989,836.16</w:t>
            </w:r>
          </w:p>
        </w:tc>
        <w:tc>
          <w:tcPr>
            <w:tcW w:type="dxa" w:w="933"/>
          </w:tcPr>
          <w:p>
            <w:pPr>
              <w:pStyle w:val="null3"/>
              <w:jc w:val="right"/>
            </w:pPr>
            <w:r>
              <w:rPr/>
              <w:t>989,836.16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华南农业大学兽医学院新楼8、9楼北侧部分实验室装修工程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（以下★号条款摘自需求内容，具体内容以完整需求部分为准）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★3、本项目不允许分包，如供应商在响应文件中未出现《分包意向协议书》，则视为未采取分包。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4、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格式见用户需求书后附）</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★6、首次响应截止时间之日起项目负责人未担任其他在建工程项目的项目负责人（首次响应时提交承诺，承诺可参照“投标文件格式”中《承诺函》格式）。</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★供应商须提供以下承诺（首次响应时提供承诺函，格式见用户需求书后附）： ①供应商须满足《需求标准》的要求。 ②本项目（包组）中所涉及建材如属于《需求标准》中必选类产品的，供应商所提供的产品品质属性要求应满足《需求标准》对应产品的品质属性要求。本项目（包组）中所涉及建材如属于《需求标准》中可选类产品时，供应商所提供的绿色建材选用量应不低于建筑项目所涉及的建材小类的40%。具体比例的计算见《需求标准》。 ③供应商提供产品、材料及设备除应符合《需求标准》技术指标外，还应符合现行国家法律法规、强制性标准及使用地的地方标准要求。 ④供应商不得使用《需求标准》附录A中规定的禁止使用的产品。</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说明：安全生产措施费16122.15元，其中建筑装饰部分3722.46元，安装部分12399.69元，暂列金额0.00元，均不作为竞争性费用，供应商须按需求固定价报价。不按此固定价报价的为无效报价。（首次响应时提供“首次报价表”，格式见用户需求书后附。）</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质量要求：合格，符合设计图纸要求和国家、省、市相关法律法规规定要求及行业颁发的工程质量验收标准。成交供应商应确保项目满足相关要求，如不满足应配合采购人进行整改直至达标。（响应时提供承诺函，格式见后附）</w:t>
            </w:r>
          </w:p>
        </w:tc>
      </w:tr>
      <w:tr>
        <w:tc>
          <w:tcPr>
            <w:tcW w:type="dxa" w:w="2076"/>
          </w:tcPr>
          <w:p/>
        </w:tc>
        <w:tc>
          <w:tcPr>
            <w:tcW w:type="dxa" w:w="415"/>
          </w:tcPr>
          <w:p>
            <w:pPr>
              <w:pStyle w:val="null3"/>
            </w:pPr>
            <w:r>
              <w:rPr/>
              <w:t>8</w:t>
            </w:r>
          </w:p>
        </w:tc>
        <w:tc>
          <w:tcPr>
            <w:tcW w:type="dxa" w:w="5814"/>
          </w:tcPr>
          <w:p>
            <w:pPr>
              <w:pStyle w:val="null3"/>
            </w:pPr>
            <w:r>
              <w:rPr/>
              <w:t>其他要求详见用户需求书。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华南农业大学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由采购人委托中标（成交）供应商支付采购代理费，中标（成交）价须包含采购代理费。采购代理费按照中标（成交）总金额以差额定率累进法（详见委托代理协议或广东省政府采购中心网http://gpcgd.gd.gov.cn/公告）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华南农业大学兽医学院新楼8、9楼北侧部分实验室装修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采购包1（华南农业大学兽医学院新楼8、9楼北侧部分实验室装修工程）：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采购包1（华南农业大学兽医学院新楼8、9楼北侧部分实验室装修工程）：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提供首次报价截止日前6个月内任意1个月依法缴纳税收和社会保障资金的相关材料。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2024或2025年度经会计师事务所审计的财务状况报告；2.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报价供应商必须具备有效期内的建筑装修装饰工程专业承包和建筑机电安装工程专业承包（或建筑机电工程专业承包）资质证书。首次报价时响应文件提供证书复印件。</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报价供应商必须具有建设行政主管部门颁发的有效期内的《安全生产许可证》。首次响应时响应文件提供证书复印件。</w:t>
            </w:r>
          </w:p>
        </w:tc>
      </w:tr>
      <w:tr>
        <w:tc>
          <w:tcPr>
            <w:tcW w:type="dxa" w:w="890"/>
          </w:tcPr>
          <w:p>
            <w:pPr>
              <w:pStyle w:val="null3"/>
            </w:pPr>
            <w:r>
              <w:rPr/>
              <w:t>10</w:t>
            </w:r>
          </w:p>
        </w:tc>
        <w:tc>
          <w:tcPr>
            <w:tcW w:type="dxa" w:w="3178"/>
          </w:tcPr>
          <w:p>
            <w:pPr>
              <w:pStyle w:val="null3"/>
            </w:pPr>
            <w:r>
              <w:rPr/>
              <w:t>项目负责人</w:t>
            </w:r>
          </w:p>
        </w:tc>
        <w:tc>
          <w:tcPr>
            <w:tcW w:type="dxa" w:w="4238"/>
          </w:tcPr>
          <w:p>
            <w:pPr>
              <w:pStyle w:val="null3"/>
            </w:pPr>
            <w:r>
              <w:rPr/>
              <w:t>报价供应商拟担任本工程项目负责人的人员, 首次报价响应文件提供以下证书复印件: （1）须具备建筑工程专业二级（或以上）注册建造师执业资格证书，（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tc>
      </w:tr>
      <w:tr>
        <w:tc>
          <w:tcPr>
            <w:tcW w:type="dxa" w:w="890"/>
          </w:tcPr>
          <w:p>
            <w:pPr>
              <w:pStyle w:val="null3"/>
            </w:pPr>
            <w:r>
              <w:rPr/>
              <w:t>11</w:t>
            </w:r>
          </w:p>
        </w:tc>
        <w:tc>
          <w:tcPr>
            <w:tcW w:type="dxa" w:w="3178"/>
          </w:tcPr>
          <w:p>
            <w:pPr>
              <w:pStyle w:val="null3"/>
            </w:pPr>
            <w:r>
              <w:rPr/>
              <w:t>专职安全员</w:t>
            </w:r>
          </w:p>
        </w:tc>
        <w:tc>
          <w:tcPr>
            <w:tcW w:type="dxa" w:w="4238"/>
          </w:tcPr>
          <w:p>
            <w:pPr>
              <w:pStyle w:val="null3"/>
            </w:pPr>
            <w:r>
              <w:rPr/>
              <w:t>专职安全员须具有在有效期内的安全生产考核合格证(C类)或建筑施工企业专职安全生产管理人员安全生产考核合格证(综合类C3)，提供证书复印件。 注：项目负责人在任职期间不得担任专职安全员，项目专职安全员在任职期间也不得担任项目负责人，项目负责人和安全员不为同一人。首次报价响应文件提供承诺函。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本项目属于整体专门面向中小企业采购。供应商须是符合本项目采购标的对应行业（本项目行业为：建筑业）的政策划分标准的中小企业。监狱企业、残疾人福利单位视同小型、微型企业。 （注1：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录https://czt.gd.gov.cn/zfcg/content/post_4497011.html查阅。） （注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bl>
    <w:p>
      <w:pPr>
        <w:pStyle w:val="null3"/>
        <w:ind w:firstLine="480"/>
      </w:pPr>
      <w:r>
        <w:rPr/>
        <w:t>表二符合性审查表：</w:t>
      </w:r>
    </w:p>
    <w:p>
      <w:pPr>
        <w:pStyle w:val="null3"/>
      </w:pPr>
      <w:r>
        <w:rPr/>
        <w:t>采购包1（华南农业大学兽医学院新楼8、9楼北侧部分实验室装修工程）：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报价修正</w:t>
            </w:r>
          </w:p>
        </w:tc>
        <w:tc>
          <w:tcPr>
            <w:tcW w:type="dxa" w:w="4238"/>
          </w:tcPr>
          <w:p>
            <w:pPr>
              <w:pStyle w:val="null3"/>
            </w:pPr>
            <w:r>
              <w:rPr/>
              <w:t>如出现报价错误的处理原则修正后的报价，报价人按规定书面确认。</w:t>
            </w:r>
          </w:p>
        </w:tc>
      </w:tr>
      <w:tr>
        <w:tc>
          <w:tcPr>
            <w:tcW w:type="dxa" w:w="890"/>
          </w:tcPr>
          <w:p>
            <w:pPr>
              <w:pStyle w:val="null3"/>
            </w:pPr>
            <w:r>
              <w:rPr/>
              <w:t>2</w:t>
            </w:r>
          </w:p>
        </w:tc>
        <w:tc>
          <w:tcPr>
            <w:tcW w:type="dxa" w:w="3178"/>
          </w:tcPr>
          <w:p>
            <w:pPr>
              <w:pStyle w:val="null3"/>
            </w:pPr>
            <w:r>
              <w:rPr/>
              <w:t>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提交响应承诺函、法定代表人/负责人资格证明书及授权委托书</w:t>
            </w:r>
          </w:p>
        </w:tc>
        <w:tc>
          <w:tcPr>
            <w:tcW w:type="dxa" w:w="4238"/>
          </w:tcPr>
          <w:p>
            <w:pPr>
              <w:pStyle w:val="null3"/>
            </w:pPr>
            <w:r>
              <w:rPr/>
              <w:t>提交响应（协商）承诺函。响应（协商）承诺函按规定格式填写，内容完整。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“★”号条款满足采购文件要求。</w:t>
            </w:r>
          </w:p>
        </w:tc>
      </w:tr>
      <w:tr>
        <w:tc>
          <w:tcPr>
            <w:tcW w:type="dxa" w:w="890"/>
          </w:tcPr>
          <w:p>
            <w:pPr>
              <w:pStyle w:val="null3"/>
            </w:pPr>
            <w:r>
              <w:rPr/>
              <w:t>5</w:t>
            </w:r>
          </w:p>
        </w:tc>
        <w:tc>
          <w:tcPr>
            <w:tcW w:type="dxa" w:w="3178"/>
          </w:tcPr>
          <w:p>
            <w:pPr>
              <w:pStyle w:val="null3"/>
            </w:pPr>
            <w:r>
              <w:rPr/>
              <w:t>报价有效期</w:t>
            </w:r>
          </w:p>
        </w:tc>
        <w:tc>
          <w:tcPr>
            <w:tcW w:type="dxa" w:w="4238"/>
          </w:tcPr>
          <w:p>
            <w:pPr>
              <w:pStyle w:val="null3"/>
            </w:pPr>
            <w:r>
              <w:rPr/>
              <w:t>报价有效期为首次报价截止日起至少90天。</w:t>
            </w:r>
          </w:p>
        </w:tc>
      </w:tr>
      <w:tr>
        <w:tc>
          <w:tcPr>
            <w:tcW w:type="dxa" w:w="890"/>
          </w:tcPr>
          <w:p>
            <w:pPr>
              <w:pStyle w:val="null3"/>
            </w:pPr>
            <w:r>
              <w:rPr/>
              <w:t>6</w:t>
            </w:r>
          </w:p>
        </w:tc>
        <w:tc>
          <w:tcPr>
            <w:tcW w:type="dxa" w:w="3178"/>
          </w:tcPr>
          <w:p>
            <w:pPr>
              <w:pStyle w:val="null3"/>
            </w:pPr>
            <w:r>
              <w:rPr/>
              <w:t>联合体</w:t>
            </w:r>
          </w:p>
        </w:tc>
        <w:tc>
          <w:tcPr>
            <w:tcW w:type="dxa" w:w="4238"/>
          </w:tcPr>
          <w:p>
            <w:pPr>
              <w:pStyle w:val="null3"/>
            </w:pPr>
            <w:r>
              <w:rPr/>
              <w:t>未以联合体形式参与磋商</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未出现视为报价供应商串标所列的情形。</w:t>
            </w:r>
          </w:p>
        </w:tc>
      </w:tr>
      <w:tr>
        <w:tc>
          <w:tcPr>
            <w:tcW w:type="dxa" w:w="890"/>
          </w:tcPr>
          <w:p>
            <w:pPr>
              <w:pStyle w:val="null3"/>
            </w:pPr>
            <w:r>
              <w:rPr/>
              <w:t>8</w:t>
            </w:r>
          </w:p>
        </w:tc>
        <w:tc>
          <w:tcPr>
            <w:tcW w:type="dxa" w:w="3178"/>
          </w:tcPr>
          <w:p>
            <w:pPr>
              <w:pStyle w:val="null3"/>
            </w:pPr>
            <w:r>
              <w:rPr/>
              <w:t>报价是固定价且是唯一的、报价合理性</w:t>
            </w:r>
          </w:p>
        </w:tc>
        <w:tc>
          <w:tcPr>
            <w:tcW w:type="dxa" w:w="4238"/>
          </w:tcPr>
          <w:p>
            <w:pPr>
              <w:pStyle w:val="null3"/>
            </w:pPr>
            <w:r>
              <w:rPr/>
              <w:t>报价是固定价且是唯一的，最终报价未超过采购预算，安全生产措施费按固定金额报价。 注：本项审查在最终报价后进行</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采购包1(华南农业大学兽医学院新楼8、9楼北侧部分实验室装修工程):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关键技术参数的响应程度 (28.0分)</w:t>
            </w:r>
          </w:p>
        </w:tc>
        <w:tc>
          <w:tcPr>
            <w:tcW w:type="dxa" w:w="5076"/>
          </w:tcPr>
          <w:p>
            <w:pPr>
              <w:pStyle w:val="null3"/>
              <w:jc w:val="left"/>
            </w:pPr>
            <w:r>
              <w:rPr/>
              <w:t>根据磋商文件的技术参数要求进行评审: /1、采购需求“实验家具材质等相关要求”中，“▲”关键参数响应情况：带“▲”号共14项，每完全满足一条得2分，最高得28分。 /注：1.技术参数按《技术和服务要求响应表》进行填写。 /2.采购需求书对于技术参数有要求提供证明材料的，还须按要求提供证明材料，否则对应项不得分。为方便评审，建议在证明材料能体现技术参数处进行标识（如增加红色方框并写明对应的参数名称或参数序号）。</w:t>
            </w:r>
          </w:p>
        </w:tc>
      </w:tr>
      <w:tr>
        <w:tc>
          <w:tcPr>
            <w:tcW w:type="dxa" w:w="922"/>
            <w:gridSpan w:val="2"/>
            <w:vMerge/>
          </w:tcPr>
          <w:p/>
        </w:tc>
        <w:tc>
          <w:tcPr>
            <w:tcW w:type="dxa" w:w="2307"/>
          </w:tcPr>
          <w:p>
            <w:pPr>
              <w:pStyle w:val="null3"/>
              <w:jc w:val="left"/>
            </w:pPr>
            <w:r>
              <w:rPr/>
              <w:t>进度控制方案 (5.0分)</w:t>
            </w:r>
            <w:r>
              <w:rPr/>
              <w:t>）</w:t>
            </w:r>
          </w:p>
        </w:tc>
        <w:tc>
          <w:tcPr>
            <w:tcW w:type="dxa" w:w="5076"/>
          </w:tcPr>
          <w:p>
            <w:pPr>
              <w:pStyle w:val="null3"/>
              <w:jc w:val="left"/>
            </w:pPr>
            <w:r>
              <w:rPr/>
              <w:t>根据用户需求“进度保障要求”，对供应商提供的进度保障方案进行评价： /1、方案完全满足且优于项目需求，得5分； /2、方案完全满足项目需求，得3分； /3、方案不完全满足项目需求，得1分； /4、不提供方案，不得分。</w:t>
            </w:r>
          </w:p>
        </w:tc>
      </w:tr>
      <w:tr>
        <w:tc>
          <w:tcPr>
            <w:tcW w:type="dxa" w:w="922"/>
            <w:gridSpan w:val="2"/>
            <w:vMerge/>
          </w:tcPr>
          <w:p/>
        </w:tc>
        <w:tc>
          <w:tcPr>
            <w:tcW w:type="dxa" w:w="2307"/>
          </w:tcPr>
          <w:p>
            <w:pPr>
              <w:pStyle w:val="null3"/>
              <w:jc w:val="left"/>
            </w:pPr>
            <w:r>
              <w:rPr/>
              <w:t>质量保证及保修方案 (4.0分)</w:t>
            </w:r>
            <w:r>
              <w:rPr/>
              <w:t>）</w:t>
            </w:r>
          </w:p>
        </w:tc>
        <w:tc>
          <w:tcPr>
            <w:tcW w:type="dxa" w:w="5076"/>
          </w:tcPr>
          <w:p>
            <w:pPr>
              <w:pStyle w:val="null3"/>
              <w:jc w:val="left"/>
            </w:pPr>
            <w:r>
              <w:rPr/>
              <w:t>根据用户需求“质量保障要求”，对供应商提供的质量保障及保修方案进行评价： /1、方案完全满足且优于项目需求，得4分； /2、方案完全满足项目需求，得2分； /3、方案不完全满足项目需求，得1分； /4、不提供方案，不得分。</w:t>
            </w:r>
          </w:p>
        </w:tc>
      </w:tr>
      <w:tr>
        <w:tc>
          <w:tcPr>
            <w:tcW w:type="dxa" w:w="922"/>
            <w:gridSpan w:val="2"/>
            <w:vMerge/>
          </w:tcPr>
          <w:p/>
        </w:tc>
        <w:tc>
          <w:tcPr>
            <w:tcW w:type="dxa" w:w="2307"/>
          </w:tcPr>
          <w:p>
            <w:pPr>
              <w:pStyle w:val="null3"/>
              <w:jc w:val="left"/>
            </w:pPr>
            <w:r>
              <w:rPr/>
              <w:t>安全保障方案 (5.0分)</w:t>
            </w:r>
            <w:r>
              <w:rPr/>
              <w:t>）</w:t>
            </w:r>
          </w:p>
        </w:tc>
        <w:tc>
          <w:tcPr>
            <w:tcW w:type="dxa" w:w="5076"/>
          </w:tcPr>
          <w:p>
            <w:pPr>
              <w:pStyle w:val="null3"/>
              <w:jc w:val="left"/>
            </w:pPr>
            <w:r>
              <w:rPr/>
              <w:t>根据用户需求“安全保障要求”，对供应商提供的安全施工保障方案进行评价： /1、方案完全满足且优于项目需求，得5分； /2、方案完全满足项目需求，得3分； /3、方案不完全满足项目需求，得1分； /4、不提供方案，不得分。</w:t>
            </w:r>
          </w:p>
        </w:tc>
      </w:tr>
      <w:tr>
        <w:tc>
          <w:tcPr>
            <w:tcW w:type="dxa" w:w="922"/>
            <w:gridSpan w:val="2"/>
            <w:vMerge/>
          </w:tcPr>
          <w:p/>
        </w:tc>
        <w:tc>
          <w:tcPr>
            <w:tcW w:type="dxa" w:w="2307"/>
          </w:tcPr>
          <w:p>
            <w:pPr>
              <w:pStyle w:val="null3"/>
              <w:jc w:val="left"/>
            </w:pPr>
            <w:r>
              <w:rPr/>
              <w:t>施工实施方案 (7.0分)</w:t>
            </w:r>
            <w:r>
              <w:rPr/>
              <w:t>）</w:t>
            </w:r>
          </w:p>
        </w:tc>
        <w:tc>
          <w:tcPr>
            <w:tcW w:type="dxa" w:w="5076"/>
          </w:tcPr>
          <w:p>
            <w:pPr>
              <w:pStyle w:val="null3"/>
              <w:jc w:val="left"/>
            </w:pPr>
            <w:r>
              <w:rPr/>
              <w:t>根据用户需求“施工实施要求”，对供应商提供的实施方案进行评价： /1、方案完全满足且优于项目需求，得7分； /2、方案完全满足项目需求，得5分； /3、方案不完全满足项目需求，得3分； /4、不提供方案，不得分。</w:t>
            </w:r>
          </w:p>
        </w:tc>
      </w:tr>
      <w:tr>
        <w:tc>
          <w:tcPr>
            <w:tcW w:type="dxa" w:w="922"/>
            <w:gridSpan w:val="2"/>
            <w:vMerge/>
          </w:tcPr>
          <w:p/>
        </w:tc>
        <w:tc>
          <w:tcPr>
            <w:tcW w:type="dxa" w:w="2307"/>
          </w:tcPr>
          <w:p>
            <w:pPr>
              <w:pStyle w:val="null3"/>
              <w:jc w:val="left"/>
            </w:pPr>
            <w:r>
              <w:rPr/>
              <w:t>节能环保产品 (1.0分)</w:t>
            </w:r>
          </w:p>
        </w:tc>
        <w:tc>
          <w:tcPr>
            <w:tcW w:type="dxa" w:w="5076"/>
          </w:tcPr>
          <w:p>
            <w:pPr>
              <w:pStyle w:val="null3"/>
              <w:jc w:val="left"/>
            </w:pPr>
            <w:r>
              <w:rPr/>
              <w:t>供应商所响应产品属于《节能产品政府采购品目清单》（下简称《清单》）优先采购范围(即清单中非标注星号的产品)或《环境标志产品政府采购品目清单》（下简称《清单》）范围的，且获得国家确定的认证机构颁发的处于有效期内的节能（节水）产品认证证书或环境标志产品认证证书的（认证标准须符合《清单》中对应产品所依据的标准，认证型号须与所投产品型号一致）。每有一个产品符合上述条件得1分，本项最高得1分。 /注：为避免漏评，请供应商按需求附件《节能环保政策适用性说明》规定的格式进行填写及提交认证证书，并留意其中的“填写注意事项”。</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(8.0分)</w:t>
            </w:r>
          </w:p>
        </w:tc>
        <w:tc>
          <w:tcPr>
            <w:tcW w:type="dxa" w:w="5076"/>
          </w:tcPr>
          <w:p>
            <w:pPr>
              <w:pStyle w:val="null3"/>
              <w:jc w:val="left"/>
            </w:pPr>
            <w:r>
              <w:rPr/>
              <w:t>项目负责人（8分）： /1、2023年1月1日至报价截止时间，担任项目负责人职务完成过通过验收的装修或修缮或建筑施工工程业绩的，每提供一项，得2分，本小项最多得8分。 /备注：（1）项目负责人业绩：供应商须同时提供施工合同、通过验收的（或验收合格等相当表述）竣工验收报告（或竣工验收证明）扫描件并加盖供应商公章；完成时间以竣工验收文件为准。如上述材料未能体现该人员职务的，供应商应提供书面说明，并加盖供应商公章。 /（2）拟投入本项目人员须同时提供在供应商本单位（含分公司，不含子公司、母公司）2025年1月至今任意一个月的社保证明（代缴个税税单，或参加社会保险（须至少体现养老保险）的《投保单》等证明均可）扫描件，并加盖供应商电子印章；未按要求提供相关资料的人员，该项不得分。 /（3）为便于评审，建议供应商参考附表格式及要求（具体见用户需求书附件）进行人员填写及资料编排。</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技术负责人（6分）： /1、从业能力：具有建筑工程类中级或以上职称的，得2分；不符合上述条件的不得分。 /2、2023年1月1日至报价截止时间，担任技术负责人职务完成过通过验收的建筑施工工程业绩的，每提供一项，得2分，本小项最多得4分。 / /1-2项合计最高得6分。 /1-2项备注：1、职称证书按以下要求提供： /（1）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如部分职称证书超出网站查验范围无法提供截图的，则供应商则提供书面情况说明函，未提供不得分。 /（2）如果职业资格证书按人社部门规定可对应上述专业职称的，供应商则提供以下三项材料：a.人社部门关于职业资格证书对应上述专业职称的规定，并对相关规定作标识（如用红色方框标识）；b.提供符合人社部门规定对应职称条件的证明材料；c. 职业资格证书扫描件（或电子证书）。 /（3）同一人具备同一专业多个级别的职称，按最高级别计取一次分值。 /2、技术负责人业绩：供应商须同时提供施工合同、竣工验收报告（竣工验收证明）扫描件并加盖供应商公章；完成时间以竣工验收文件为准。如上述材料未能体现该人员职务的，供应商应提供书面说明，并加盖供应商公章。 /3、拟投入本项目人员须同时提供在供应商本单位（含分公司，不含子公司、母公司）2025年1月至今任意一个月的社保证明（代缴个税税单，或参加社会保险（须至少体现养老保险）的《投保单》等证明均可）扫描件，并加盖供应商电子印章；未按要求提供相关资料的人员，该项不得分。 /4、为便于评审，建议供应商参考附表格式及要求（具体见用户需求书附件）进行人员填写及资料编排。</w:t>
            </w:r>
          </w:p>
        </w:tc>
      </w:tr>
      <w:tr>
        <w:tc>
          <w:tcPr>
            <w:tcW w:type="dxa" w:w="922"/>
            <w:gridSpan w:val="2"/>
            <w:vMerge/>
          </w:tcPr>
          <w:p/>
        </w:tc>
        <w:tc>
          <w:tcPr>
            <w:tcW w:type="dxa" w:w="2307"/>
          </w:tcPr>
          <w:p>
            <w:pPr>
              <w:pStyle w:val="null3"/>
              <w:jc w:val="left"/>
            </w:pPr>
            <w:r>
              <w:rPr/>
              <w:t>项目管理机构能力 (6.0分)</w:t>
            </w:r>
          </w:p>
        </w:tc>
        <w:tc>
          <w:tcPr>
            <w:tcW w:type="dxa" w:w="5076"/>
          </w:tcPr>
          <w:p>
            <w:pPr>
              <w:pStyle w:val="null3"/>
              <w:jc w:val="left"/>
            </w:pPr>
            <w:r>
              <w:rPr/>
              <w:t>其他人员（6分）： /拟投入本项目的其他专业人员（除项目负责人、技术负责人外）：配备建筑装饰设计类中级（或以上）工程师1名、给水排水类中级（或以上）工程师1名、暖通空调施工类中级（或以上）工程师1名，每名得2分，最高得6分。一人多证或多人同证不能重复得分。 / /备注：1、职称证书按以下要求提供： /（1）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如部分职称证书超出网站查验范围无法提供截图的，则供应商则提供书面情况说明函，未提供不得分。 /（2）如果职业资格证书按人社部门规定可对应上述专业职称的，供应商则提供以下两项材料：a.人社部门关于职业资格证书对应上述专业职称的规定，并对相关规定作标识（如用红色方框标识）；b.提供符合人社部门规定对应职称条件的证明材料。c.职业资格证书扫描件（或电子证书）。 /（3）同一人具备同一专业多个级别的职称，按最高级别计取一次分值。 /2、拟投入本项目人员须同时提供在供应商本单位（含分公司，不含子公司、母公司）2025年1月至今任意一个月的社保证明（代缴个税税单，或参加社会保险（须至少体现养老保险）的《投保单》等证明均可）扫描件，并加盖供应商电子印章；未按要求提供相关资料的人员，该项不得分。 /3、为便于评审，建议供应商参考附表格式及要求（具体见用户需求书附件）进行人员填写及资料编排。 /4、项目管理机构其他人员一人一岗，如兼任只计一人得分。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如供应商异常低价报价，评标委员会（评审小组）将启动异常低价投标（响应）审查，要求相关供应商在评审现场合理的时间内提供书面说明及必要的证明材料，对投标（响应）价格作出解释。供应商应在评标（审）现场合理的时间内对完成该项目(包组）发生的全部报价进行分析，包括但不限于：①报价清单中每个项目子项及措施项目的单价分析（漏项视为理由不充分）；②主要用工方式和各工种人工日工资分析；③主要材料选购方式及其主要材料的价格分析，本项目（包组）使用的主要材料要有出厂合格证明、试验报告，及具有法律效力的检测部门出具的检验报告等资料，并提供至少一份副本给用户作为存档；④主要机械的成本分析；⑤代理服务费等。分析说明须逐一提供佐证材料，包括但不限于：①供货商负责在建或近一年内完工的类似工程项目中相应各工种工人工资结算表（有工人签名以及业主（或监理）单位的确认，同时提供中标（成交）通知书、验收报告）；②主要材料报价清单；③拟投入本工程的机械台班租赁合同，自有机械提供相应的设备登记证和分析机械台班使用费用等。如单价分析涉及综合定额消耗量的变动，须作进一步的分析说明并提供佐证材料。 //注1：上述罗列的费用，如实际并未发生，则无须提供对应的成本分析及证明材料，但供应商应提供说明。 //注2：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工程施工合同</w:t>
      </w:r>
    </w:p>
    <w:p>
      <w:pPr>
        <w:pStyle w:val="null3"/>
        <w:jc w:val="right"/>
      </w:pPr>
      <w:r>
        <w:rPr>
          <w:sz w:val="21"/>
          <w:b/>
        </w:rPr>
        <w:t>合同编号：</w:t>
      </w:r>
    </w:p>
    <w:p>
      <w:pPr>
        <w:pStyle w:val="null3"/>
      </w:pPr>
      <w:r>
        <w:rPr>
          <w:sz w:val="21"/>
          <w:b/>
        </w:rPr>
        <w:t>发包方：华南农业大学</w:t>
      </w:r>
    </w:p>
    <w:p>
      <w:pPr>
        <w:pStyle w:val="null3"/>
        <w:jc w:val="both"/>
      </w:pPr>
      <w:r>
        <w:rPr>
          <w:sz w:val="21"/>
          <w:b/>
        </w:rPr>
        <w:t>承包方：</w:t>
      </w:r>
    </w:p>
    <w:p>
      <w:pPr>
        <w:pStyle w:val="null3"/>
        <w:jc w:val="both"/>
      </w:pPr>
      <w:r>
        <w:rPr>
          <w:sz w:val="21"/>
          <w:b/>
        </w:rPr>
        <w:t>工程名称：华南农业大学兽医学院新楼</w:t>
      </w:r>
      <w:r>
        <w:rPr>
          <w:sz w:val="21"/>
          <w:b/>
        </w:rPr>
        <w:t>8</w:t>
      </w:r>
      <w:r>
        <w:rPr>
          <w:sz w:val="21"/>
          <w:b/>
        </w:rPr>
        <w:t>、</w:t>
      </w:r>
      <w:r>
        <w:rPr>
          <w:sz w:val="21"/>
          <w:b/>
        </w:rPr>
        <w:t>9</w:t>
      </w:r>
      <w:r>
        <w:rPr>
          <w:sz w:val="21"/>
          <w:b/>
        </w:rPr>
        <w:t>楼北侧部分实验室装修工程</w:t>
      </w:r>
    </w:p>
    <w:p>
      <w:pPr>
        <w:pStyle w:val="null3"/>
        <w:jc w:val="both"/>
      </w:pPr>
      <w:r>
        <w:rPr>
          <w:sz w:val="21"/>
          <w:b/>
        </w:rPr>
        <w:t>工程地点：广东省广州市天河区五山路</w:t>
      </w:r>
      <w:r>
        <w:rPr>
          <w:sz w:val="21"/>
          <w:b/>
        </w:rPr>
        <w:t>483</w:t>
      </w:r>
      <w:r>
        <w:rPr>
          <w:sz w:val="21"/>
          <w:b/>
        </w:rPr>
        <w:t>号（华南农业大学</w:t>
      </w:r>
      <w:r>
        <w:rPr>
          <w:sz w:val="21"/>
          <w:b/>
        </w:rPr>
        <w:t>兽医学院</w:t>
      </w:r>
      <w:r>
        <w:rPr>
          <w:sz w:val="21"/>
          <w:b/>
        </w:rPr>
        <w:t>）</w:t>
      </w:r>
    </w:p>
    <w:p>
      <w:pPr>
        <w:pStyle w:val="null3"/>
        <w:jc w:val="both"/>
      </w:pPr>
      <w:r>
        <w:rPr>
          <w:sz w:val="21"/>
          <w:b/>
        </w:rPr>
        <w:t>发包方（甲方）：</w:t>
      </w:r>
      <w:r>
        <w:rPr>
          <w:sz w:val="21"/>
        </w:rPr>
        <w:t>华南农业大学</w:t>
      </w:r>
    </w:p>
    <w:p>
      <w:pPr>
        <w:pStyle w:val="null3"/>
        <w:ind w:firstLine="480"/>
        <w:jc w:val="both"/>
      </w:pPr>
      <w:r>
        <w:rPr>
          <w:sz w:val="21"/>
        </w:rPr>
        <w:t>通讯地址：广东省广州市天河区五山路</w:t>
      </w:r>
      <w:r>
        <w:rPr>
          <w:sz w:val="21"/>
        </w:rPr>
        <w:t>483</w:t>
      </w:r>
      <w:r>
        <w:rPr>
          <w:sz w:val="21"/>
        </w:rPr>
        <w:t>号</w:t>
      </w:r>
    </w:p>
    <w:p>
      <w:pPr>
        <w:pStyle w:val="null3"/>
        <w:ind w:firstLine="480"/>
        <w:jc w:val="both"/>
      </w:pPr>
      <w:r>
        <w:rPr>
          <w:sz w:val="21"/>
        </w:rPr>
        <w:t>联络人：</w:t>
      </w:r>
      <w:r>
        <w:rPr>
          <w:sz w:val="21"/>
        </w:rPr>
        <w:t>唐志玲</w:t>
      </w:r>
    </w:p>
    <w:p>
      <w:pPr>
        <w:pStyle w:val="null3"/>
        <w:ind w:firstLine="480"/>
        <w:jc w:val="both"/>
      </w:pPr>
      <w:r>
        <w:rPr>
          <w:sz w:val="21"/>
        </w:rPr>
        <w:t>联系电话：</w:t>
      </w:r>
      <w:r>
        <w:rPr>
          <w:sz w:val="21"/>
        </w:rPr>
        <w:t>15013106935</w:t>
      </w:r>
    </w:p>
    <w:p>
      <w:pPr>
        <w:pStyle w:val="null3"/>
        <w:ind w:firstLine="480"/>
        <w:jc w:val="both"/>
      </w:pPr>
      <w:r>
        <w:rPr>
          <w:sz w:val="21"/>
        </w:rPr>
        <w:t>电子邮箱：</w:t>
      </w:r>
      <w:r>
        <w:rPr>
          <w:sz w:val="21"/>
        </w:rPr>
        <w:t>597836356@qq.com</w:t>
      </w:r>
    </w:p>
    <w:p>
      <w:pPr>
        <w:pStyle w:val="null3"/>
        <w:ind w:firstLine="472"/>
        <w:jc w:val="both"/>
      </w:pPr>
      <w:r>
        <w:rPr>
          <w:sz w:val="21"/>
          <w:b/>
        </w:rPr>
        <w:t>承包方（乙方）：</w:t>
      </w:r>
    </w:p>
    <w:p>
      <w:pPr>
        <w:pStyle w:val="null3"/>
        <w:ind w:firstLine="470"/>
        <w:jc w:val="both"/>
      </w:pPr>
      <w:r>
        <w:rPr>
          <w:sz w:val="21"/>
        </w:rPr>
        <w:t>通讯地址：</w:t>
      </w:r>
    </w:p>
    <w:p>
      <w:pPr>
        <w:pStyle w:val="null3"/>
        <w:ind w:firstLine="470"/>
        <w:jc w:val="both"/>
      </w:pPr>
      <w:r>
        <w:rPr>
          <w:sz w:val="21"/>
        </w:rPr>
        <w:t>联络人：</w:t>
      </w:r>
    </w:p>
    <w:p>
      <w:pPr>
        <w:pStyle w:val="null3"/>
        <w:ind w:firstLine="470"/>
        <w:jc w:val="both"/>
      </w:pPr>
      <w:r>
        <w:rPr>
          <w:sz w:val="21"/>
        </w:rPr>
        <w:t>联系电话：</w:t>
      </w:r>
    </w:p>
    <w:p>
      <w:pPr>
        <w:pStyle w:val="null3"/>
        <w:ind w:firstLine="470"/>
        <w:jc w:val="both"/>
      </w:pPr>
      <w:r>
        <w:rPr>
          <w:sz w:val="21"/>
        </w:rPr>
        <w:t>电子邮箱：</w:t>
      </w:r>
    </w:p>
    <w:p>
      <w:pPr>
        <w:pStyle w:val="null3"/>
        <w:spacing w:before="120"/>
        <w:ind w:firstLine="480"/>
        <w:jc w:val="both"/>
      </w:pPr>
      <w:r>
        <w:rPr>
          <w:sz w:val="21"/>
        </w:rPr>
        <w:t>根据《中华人民共和国民法典》和《中华人民共和国建筑法》及有关规定，结合工程的具体情况，签订本合同。</w:t>
      </w:r>
    </w:p>
    <w:p>
      <w:pPr>
        <w:pStyle w:val="null3"/>
        <w:jc w:val="both"/>
      </w:pPr>
      <w:r>
        <w:rPr>
          <w:sz w:val="21"/>
          <w:b/>
        </w:rPr>
        <w:t>第一条工程项目</w:t>
      </w:r>
    </w:p>
    <w:p>
      <w:pPr>
        <w:pStyle w:val="null3"/>
        <w:jc w:val="both"/>
      </w:pPr>
      <w:r>
        <w:rPr>
          <w:sz w:val="21"/>
        </w:rPr>
        <w:t>（一）工程名称：华南农业大学兽医学院新楼</w:t>
      </w:r>
      <w:r>
        <w:rPr>
          <w:sz w:val="21"/>
        </w:rPr>
        <w:t>8</w:t>
      </w:r>
      <w:r>
        <w:rPr>
          <w:sz w:val="21"/>
        </w:rPr>
        <w:t>、</w:t>
      </w:r>
      <w:r>
        <w:rPr>
          <w:sz w:val="21"/>
        </w:rPr>
        <w:t>9</w:t>
      </w:r>
      <w:r>
        <w:rPr>
          <w:sz w:val="21"/>
        </w:rPr>
        <w:t>楼北侧部分实验室装修工程</w:t>
      </w:r>
    </w:p>
    <w:p>
      <w:pPr>
        <w:pStyle w:val="null3"/>
        <w:ind w:firstLine="480"/>
        <w:jc w:val="both"/>
      </w:pPr>
      <w:r>
        <w:rPr>
          <w:sz w:val="21"/>
        </w:rPr>
        <w:t>（二）工程地点：广东省广州市天河区五山路</w:t>
      </w:r>
      <w:r>
        <w:rPr>
          <w:sz w:val="21"/>
        </w:rPr>
        <w:t>483</w:t>
      </w:r>
      <w:r>
        <w:rPr>
          <w:sz w:val="21"/>
        </w:rPr>
        <w:t>号（华南农业大学</w:t>
      </w:r>
      <w:r>
        <w:rPr>
          <w:sz w:val="21"/>
        </w:rPr>
        <w:t>兽医学院</w:t>
      </w:r>
      <w:r>
        <w:rPr>
          <w:sz w:val="21"/>
        </w:rPr>
        <w:t>）</w:t>
      </w:r>
    </w:p>
    <w:p>
      <w:pPr>
        <w:pStyle w:val="null3"/>
        <w:ind w:firstLine="492"/>
        <w:jc w:val="both"/>
      </w:pPr>
      <w:r>
        <w:rPr>
          <w:sz w:val="21"/>
        </w:rPr>
        <w:t>（三）工程内容：完成</w:t>
      </w:r>
      <w:r>
        <w:rPr>
          <w:sz w:val="21"/>
        </w:rPr>
        <w:t>451</w:t>
      </w:r>
      <w:r>
        <w:rPr>
          <w:sz w:val="21"/>
        </w:rPr>
        <w:t>平方米的科研实验室室内装修建设，包括</w:t>
      </w:r>
      <w:r>
        <w:rPr>
          <w:sz w:val="21"/>
        </w:rPr>
        <w:t>门窗安装</w:t>
      </w:r>
      <w:r>
        <w:rPr>
          <w:sz w:val="21"/>
        </w:rPr>
        <w:t>、</w:t>
      </w:r>
      <w:r>
        <w:rPr>
          <w:sz w:val="21"/>
        </w:rPr>
        <w:t>实验台柜安装、</w:t>
      </w:r>
      <w:r>
        <w:rPr>
          <w:sz w:val="21"/>
        </w:rPr>
        <w:t>地面铺设</w:t>
      </w:r>
      <w:r>
        <w:rPr>
          <w:sz w:val="21"/>
        </w:rPr>
        <w:t>PVC</w:t>
      </w:r>
      <w:r>
        <w:rPr>
          <w:sz w:val="21"/>
        </w:rPr>
        <w:t>、水电安装等，具体以施工图设计文件及招标工程量清单为准。</w:t>
      </w:r>
    </w:p>
    <w:p>
      <w:pPr>
        <w:pStyle w:val="null3"/>
        <w:ind w:firstLine="492"/>
        <w:jc w:val="both"/>
      </w:pPr>
      <w:r>
        <w:rPr>
          <w:sz w:val="21"/>
        </w:rPr>
        <w:t>（四）承包方式：由乙方包工、包料、包水电、包质量、包工期、包安全、包文明施工，达到验收规范标准，不准转包。</w:t>
      </w:r>
    </w:p>
    <w:p>
      <w:pPr>
        <w:pStyle w:val="null3"/>
        <w:ind w:firstLine="480"/>
        <w:jc w:val="both"/>
      </w:pPr>
      <w:r>
        <w:rPr>
          <w:sz w:val="21"/>
        </w:rPr>
        <w:t>（五）经费来源：高水平大学建设计划</w:t>
      </w:r>
      <w:r>
        <w:rPr>
          <w:sz w:val="21"/>
        </w:rPr>
        <w:t>-</w:t>
      </w:r>
      <w:r>
        <w:rPr>
          <w:sz w:val="21"/>
        </w:rPr>
        <w:t>人才引进及师资队伍建设项目</w:t>
      </w:r>
      <w:r>
        <w:rPr>
          <w:sz w:val="21"/>
        </w:rPr>
        <w:t>以及横向项目</w:t>
      </w:r>
    </w:p>
    <w:p>
      <w:pPr>
        <w:pStyle w:val="null3"/>
        <w:jc w:val="both"/>
      </w:pPr>
      <w:r>
        <w:rPr>
          <w:sz w:val="21"/>
          <w:b/>
        </w:rPr>
        <w:t>第二条工期</w:t>
      </w:r>
    </w:p>
    <w:p>
      <w:pPr>
        <w:pStyle w:val="null3"/>
        <w:ind w:firstLine="435"/>
        <w:jc w:val="both"/>
      </w:pPr>
      <w:r>
        <w:rPr>
          <w:sz w:val="21"/>
        </w:rPr>
        <w:t>（一）本工程总工期为</w:t>
      </w:r>
      <w:r>
        <w:rPr>
          <w:sz w:val="21"/>
          <w:u w:val="single"/>
        </w:rPr>
        <w:t>7</w:t>
      </w:r>
      <w:r>
        <w:rPr>
          <w:sz w:val="21"/>
          <w:u w:val="single"/>
        </w:rPr>
        <w:t>0</w:t>
      </w:r>
      <w:r>
        <w:rPr>
          <w:sz w:val="21"/>
        </w:rPr>
        <w:t>日历天，实际开工日期以甲方代表在开工申请（或报告或通知）上书面签字为准，从签字的第二天开始起算。</w:t>
      </w:r>
    </w:p>
    <w:p>
      <w:pPr>
        <w:pStyle w:val="null3"/>
        <w:ind w:firstLine="435"/>
        <w:jc w:val="both"/>
      </w:pPr>
      <w:r>
        <w:rPr>
          <w:sz w:val="21"/>
        </w:rPr>
        <w:t>（二）在具备工程施工条件下，乙方向甲方提交书面的开工报告。</w:t>
      </w:r>
    </w:p>
    <w:p>
      <w:pPr>
        <w:pStyle w:val="null3"/>
        <w:ind w:firstLine="435"/>
        <w:jc w:val="both"/>
      </w:pPr>
      <w:r>
        <w:rPr>
          <w:sz w:val="21"/>
        </w:rPr>
        <w:t>（三）在履约过程中，若因甲方原因发生设计变更所影响的工期或因甲方责任、不可抗力等因素所延误的工期，经甲乙双方书面签证认可后调整，以此确定工期以及竣工日期。</w:t>
      </w:r>
    </w:p>
    <w:p>
      <w:pPr>
        <w:pStyle w:val="null3"/>
        <w:jc w:val="both"/>
      </w:pPr>
      <w:r>
        <w:rPr>
          <w:sz w:val="21"/>
          <w:b/>
        </w:rPr>
        <w:t>第三条工程造价、结算原则和付款方式</w:t>
      </w:r>
    </w:p>
    <w:p>
      <w:pPr>
        <w:pStyle w:val="null3"/>
        <w:ind w:firstLine="480"/>
        <w:jc w:val="both"/>
      </w:pPr>
      <w:r>
        <w:rPr>
          <w:sz w:val="21"/>
        </w:rPr>
        <w:t>（一）本工程合同造价为人民币（￥元），最终造价以工程竣工验收后审定的结算为准。</w:t>
      </w:r>
    </w:p>
    <w:p>
      <w:pPr>
        <w:pStyle w:val="null3"/>
        <w:ind w:firstLine="480"/>
        <w:jc w:val="both"/>
      </w:pPr>
      <w:r>
        <w:rPr>
          <w:sz w:val="21"/>
        </w:rPr>
        <w:t>该工程款项包括但不限于完成本项工作所需的人工、材料、水电、管理、维护、保险、利润、税金、政策性文件规定及合同包含的所有风险、责任等各项税费。除本合同明确约定的费用外，甲方无需支付任何额外费用和承担任何额外义务。</w:t>
      </w:r>
    </w:p>
    <w:p>
      <w:pPr>
        <w:pStyle w:val="null3"/>
        <w:ind w:firstLine="480"/>
        <w:jc w:val="both"/>
      </w:pPr>
      <w:r>
        <w:rPr>
          <w:sz w:val="21"/>
        </w:rPr>
        <w:t>（二）工程造价结算原则</w:t>
      </w:r>
      <w:r>
        <w:rPr>
          <w:sz w:val="21"/>
        </w:rPr>
        <w:t>{R</w:t>
      </w:r>
      <w:r>
        <w:rPr>
          <w:sz w:val="21"/>
        </w:rPr>
        <w:t>单价合同</w:t>
      </w:r>
    </w:p>
    <w:p>
      <w:pPr>
        <w:pStyle w:val="null3"/>
        <w:ind w:firstLine="200"/>
        <w:jc w:val="both"/>
      </w:pPr>
      <w:r>
        <w:rPr>
          <w:sz w:val="21"/>
          <w:b/>
        </w:rPr>
        <w:t>{</w:t>
      </w:r>
      <w:r>
        <w:rPr>
          <w:sz w:val="21"/>
          <w:b/>
        </w:rPr>
        <w:t>备注</w:t>
      </w:r>
      <w:r>
        <w:rPr>
          <w:sz w:val="21"/>
          <w:b/>
        </w:rPr>
        <w:t>2</w:t>
      </w:r>
      <w:r>
        <w:rPr>
          <w:sz w:val="21"/>
          <w:b/>
        </w:rPr>
        <w:t>：单价合同选</w:t>
      </w:r>
      <w:r>
        <w:rPr>
          <w:sz w:val="21"/>
          <w:b/>
        </w:rPr>
        <w:t>}</w:t>
      </w:r>
    </w:p>
    <w:p>
      <w:pPr>
        <w:pStyle w:val="null3"/>
        <w:ind w:firstLine="198"/>
        <w:jc w:val="both"/>
      </w:pPr>
      <w:r>
        <w:rPr>
          <w:sz w:val="21"/>
        </w:rPr>
        <w:t>1</w:t>
      </w:r>
      <w:r>
        <w:rPr>
          <w:sz w:val="21"/>
        </w:rPr>
        <w:t>、本合同价款采用</w:t>
      </w:r>
      <w:r>
        <w:rPr>
          <w:sz w:val="21"/>
          <w:b/>
        </w:rPr>
        <w:t>单价合同</w:t>
      </w:r>
      <w:r>
        <w:rPr>
          <w:sz w:val="21"/>
        </w:rPr>
        <w:t>方式确定。以已标价工程量清单及其综合单价进行合同价格计算、调整和确认，固定综合单价，措施项目费包干。</w:t>
      </w:r>
    </w:p>
    <w:p>
      <w:pPr>
        <w:pStyle w:val="null3"/>
        <w:ind w:firstLine="482"/>
        <w:jc w:val="both"/>
      </w:pPr>
      <w:r>
        <w:rPr>
          <w:sz w:val="21"/>
          <w:b/>
        </w:rPr>
        <w:t>备注</w:t>
      </w:r>
      <w:r>
        <w:rPr>
          <w:sz w:val="21"/>
          <w:b/>
        </w:rPr>
        <w:t>3</w:t>
      </w:r>
      <w:r>
        <w:rPr>
          <w:sz w:val="21"/>
          <w:b/>
        </w:rPr>
        <w:t>：政府采购</w:t>
      </w:r>
      <w:r>
        <w:rPr>
          <w:sz w:val="21"/>
          <w:b/>
        </w:rPr>
        <w:t>-</w:t>
      </w:r>
      <w:r>
        <w:rPr>
          <w:sz w:val="21"/>
          <w:b/>
        </w:rPr>
        <w:t>竞争性磋商采购方式的，增加以下内容：</w:t>
      </w:r>
      <w:r>
        <w:rPr>
          <w:sz w:val="21"/>
          <w:b/>
        </w:rPr>
        <w:t>{</w:t>
      </w:r>
      <w:r>
        <w:rPr>
          <w:sz w:val="21"/>
        </w:rPr>
        <w:t>根据竞争性磋商的成交供应商的最终报价（总价），调整工程量清单的成交综合单价</w:t>
      </w:r>
      <w:r>
        <w:rPr>
          <w:sz w:val="21"/>
        </w:rPr>
        <w:t>=</w:t>
      </w:r>
      <w:r>
        <w:rPr>
          <w:sz w:val="21"/>
        </w:rPr>
        <w:t>第一轮报价的单价×（竞争性磋商最终报价</w:t>
      </w:r>
      <w:r>
        <w:rPr>
          <w:sz w:val="21"/>
        </w:rPr>
        <w:t>-</w:t>
      </w:r>
      <w:r>
        <w:rPr>
          <w:sz w:val="21"/>
        </w:rPr>
        <w:t>不参与调价项目合计）</w:t>
      </w:r>
      <w:r>
        <w:rPr>
          <w:sz w:val="21"/>
        </w:rPr>
        <w:t>/</w:t>
      </w:r>
      <w:r>
        <w:rPr>
          <w:sz w:val="21"/>
        </w:rPr>
        <w:t>（第一轮报价</w:t>
      </w:r>
      <w:r>
        <w:rPr>
          <w:sz w:val="21"/>
        </w:rPr>
        <w:t>-</w:t>
      </w:r>
      <w:r>
        <w:rPr>
          <w:sz w:val="21"/>
        </w:rPr>
        <w:t>不参与调价项目合计）×</w:t>
      </w:r>
      <w:r>
        <w:rPr>
          <w:sz w:val="21"/>
        </w:rPr>
        <w:t>100%</w:t>
      </w:r>
      <w:r>
        <w:rPr>
          <w:sz w:val="21"/>
        </w:rPr>
        <w:t>＝第一轮报价的单价×；不参与调价项目包括：暂列金额、按系数计算的绿色施工安全防护措施费，项目范围和计费按国家、省市相关文件和采购文件的约定执行。</w:t>
      </w:r>
      <w:r>
        <w:rPr>
          <w:sz w:val="21"/>
        </w:rPr>
        <w:t>}</w:t>
      </w:r>
    </w:p>
    <w:p>
      <w:pPr>
        <w:pStyle w:val="null3"/>
        <w:ind w:firstLine="482"/>
        <w:jc w:val="both"/>
      </w:pPr>
      <w:r>
        <w:rPr>
          <w:sz w:val="21"/>
        </w:rPr>
        <w:t>2</w:t>
      </w:r>
      <w:r>
        <w:rPr>
          <w:sz w:val="21"/>
        </w:rPr>
        <w:t>、双方约定合同价款的其他调整因素：</w:t>
      </w:r>
    </w:p>
    <w:p>
      <w:pPr>
        <w:pStyle w:val="null3"/>
        <w:ind w:firstLine="482"/>
        <w:jc w:val="both"/>
      </w:pPr>
      <w:r>
        <w:rPr>
          <w:sz w:val="21"/>
        </w:rPr>
        <w:t>A</w:t>
      </w:r>
      <w:r>
        <w:rPr>
          <w:sz w:val="21"/>
        </w:rPr>
        <w:t>工程量清单内的项目，按投标报价单价、规费及税金等费用调整工程造价，工程量按实</w:t>
      </w:r>
      <w:r>
        <w:rPr>
          <w:sz w:val="21"/>
        </w:rPr>
        <w:t>(</w:t>
      </w:r>
      <w:r>
        <w:rPr>
          <w:sz w:val="21"/>
        </w:rPr>
        <w:t>监理单位和发包人签认的合格工程量</w:t>
      </w:r>
      <w:r>
        <w:rPr>
          <w:sz w:val="21"/>
        </w:rPr>
        <w:t>)</w:t>
      </w:r>
      <w:r>
        <w:rPr>
          <w:sz w:val="21"/>
        </w:rPr>
        <w:t>结算。</w:t>
      </w:r>
    </w:p>
    <w:p>
      <w:pPr>
        <w:pStyle w:val="null3"/>
        <w:ind w:firstLine="482"/>
        <w:jc w:val="both"/>
      </w:pPr>
      <w:r>
        <w:rPr>
          <w:sz w:val="21"/>
        </w:rPr>
        <w:t>B</w:t>
      </w:r>
      <w:r>
        <w:rPr>
          <w:sz w:val="21"/>
        </w:rPr>
        <w:t>工程量清单外的工程项目（含暂时定价项目、漏项或因图纸修改和设计变更等情况出现的工程变更），按以下方法处理：</w:t>
      </w:r>
    </w:p>
    <w:p>
      <w:pPr>
        <w:pStyle w:val="null3"/>
        <w:ind w:firstLine="482"/>
        <w:jc w:val="both"/>
      </w:pPr>
      <w:r>
        <w:rPr>
          <w:sz w:val="21"/>
        </w:rPr>
        <w:t>（</w:t>
      </w:r>
      <w:r>
        <w:rPr>
          <w:sz w:val="21"/>
        </w:rPr>
        <w:t>1</w:t>
      </w:r>
      <w:r>
        <w:rPr>
          <w:sz w:val="21"/>
        </w:rPr>
        <w:t>）已标价工程量清单中有工作内容相同项目的综合单价，按投标报价单价、规费及税金等费用调整工程造价，工程量按实</w:t>
      </w:r>
      <w:r>
        <w:rPr>
          <w:sz w:val="21"/>
        </w:rPr>
        <w:t>(</w:t>
      </w:r>
      <w:r>
        <w:rPr>
          <w:sz w:val="21"/>
        </w:rPr>
        <w:t>监理单位和发包人签认的合格工程量</w:t>
      </w:r>
      <w:r>
        <w:rPr>
          <w:sz w:val="21"/>
        </w:rPr>
        <w:t>)</w:t>
      </w:r>
      <w:r>
        <w:rPr>
          <w:sz w:val="21"/>
        </w:rPr>
        <w:t>结算。</w:t>
      </w:r>
    </w:p>
    <w:p>
      <w:pPr>
        <w:pStyle w:val="null3"/>
        <w:ind w:firstLine="482"/>
        <w:jc w:val="both"/>
      </w:pPr>
      <w:r>
        <w:rPr>
          <w:sz w:val="21"/>
        </w:rPr>
        <w:t>（</w:t>
      </w:r>
      <w:r>
        <w:rPr>
          <w:sz w:val="21"/>
        </w:rPr>
        <w:t>2</w:t>
      </w:r>
      <w:r>
        <w:rPr>
          <w:sz w:val="21"/>
        </w:rPr>
        <w:t>）已标价工程量清单中有工作内容类似项目的综合单价，仅涉及按相关计价依据并且发包人确认确需调整主材价格的，主材价格以发包人审定的价格为准，与相应投标材料价格的差额调整材料价差。投标报价中已有的材料按投标报价中材料价作为结算材料价；投标报价中没有的材料价按照施工同期广州市造价站公布的《广州地区建设工程常用材料综合价格》作为结算材料价；《广州地区建设工程常用材料综合价格》没有的材料，材料按照施工同期《广州市建设工程材料（设备）厂商价格信息》对应品牌、规格、型号的材料价作为结算材料价；《广州市建设工程材料（设备）厂商价格信息》没有对应品牌、规格、型号的，按发包人审核的材料单价计算”。</w:t>
      </w:r>
    </w:p>
    <w:p>
      <w:pPr>
        <w:pStyle w:val="null3"/>
        <w:ind w:firstLine="482"/>
        <w:jc w:val="both"/>
      </w:pPr>
      <w:r>
        <w:rPr>
          <w:sz w:val="21"/>
        </w:rPr>
        <w:t>（</w:t>
      </w:r>
      <w:r>
        <w:rPr>
          <w:sz w:val="21"/>
        </w:rPr>
        <w:t>3</w:t>
      </w:r>
      <w:r>
        <w:rPr>
          <w:sz w:val="21"/>
        </w:rPr>
        <w:t>）已标价工程量清单中没有相同项目或类似项目的，即除已标价工程量清单项目中有相同或类似项目之外的新增综合单价计价原则：以相关定额为基数，按粤建市</w:t>
      </w:r>
      <w:r>
        <w:rPr>
          <w:sz w:val="21"/>
        </w:rPr>
        <w:t>[2019]6</w:t>
      </w:r>
      <w:r>
        <w:rPr>
          <w:sz w:val="21"/>
        </w:rPr>
        <w:t>号文及省市有关工程计价办法中的定额计价程序计价，《关于贯彻执行建设工程工程量清单计价标准及九项专业工程工程量计算标准的实施意见》（粤标定函〔</w:t>
      </w:r>
      <w:r>
        <w:rPr>
          <w:sz w:val="21"/>
        </w:rPr>
        <w:t>2025</w:t>
      </w:r>
      <w:r>
        <w:rPr>
          <w:sz w:val="21"/>
        </w:rPr>
        <w:t>〕</w:t>
      </w:r>
      <w:r>
        <w:rPr>
          <w:sz w:val="21"/>
        </w:rPr>
        <w:t>24</w:t>
      </w:r>
      <w:r>
        <w:rPr>
          <w:sz w:val="21"/>
        </w:rPr>
        <w:t>号），其中措施项目费不再计取；下浮率为中标价相对于招标控制价的下浮率（中标下浮率</w:t>
      </w:r>
      <w:r>
        <w:rPr>
          <w:sz w:val="21"/>
        </w:rPr>
        <w:t>=</w:t>
      </w:r>
      <w:r>
        <w:rPr>
          <w:sz w:val="21"/>
        </w:rPr>
        <w:t>【</w:t>
      </w:r>
      <w:r>
        <w:rPr>
          <w:sz w:val="21"/>
        </w:rPr>
        <w:t>1-</w:t>
      </w:r>
      <w:r>
        <w:rPr>
          <w:sz w:val="21"/>
        </w:rPr>
        <w:t>中标价</w:t>
      </w:r>
      <w:r>
        <w:rPr>
          <w:sz w:val="21"/>
        </w:rPr>
        <w:t>/</w:t>
      </w:r>
      <w:r>
        <w:rPr>
          <w:sz w:val="21"/>
        </w:rPr>
        <w:t>招标控制价】×</w:t>
      </w:r>
      <w:r>
        <w:rPr>
          <w:sz w:val="21"/>
        </w:rPr>
        <w:t>100%</w:t>
      </w:r>
      <w:r>
        <w:rPr>
          <w:sz w:val="21"/>
        </w:rPr>
        <w:t>），下浮率若小于</w:t>
      </w:r>
      <w:r>
        <w:rPr>
          <w:sz w:val="21"/>
        </w:rPr>
        <w:t>10%</w:t>
      </w:r>
      <w:r>
        <w:rPr>
          <w:sz w:val="21"/>
        </w:rPr>
        <w:t>的，按</w:t>
      </w:r>
      <w:r>
        <w:rPr>
          <w:sz w:val="21"/>
        </w:rPr>
        <w:t>10%</w:t>
      </w:r>
      <w:r>
        <w:rPr>
          <w:sz w:val="21"/>
        </w:rPr>
        <w:t>执行。人工、材料和机械单价按照投标文件中相关专业综合单价分析表中的单价套用；投标报价中已有的材料按投标报价中材料价作为结算材料价；投标报价中没有的材料价按照施工同期广州市造价站公布的《广州地区建设工程常用材料综合价格》作为结算材料价；《广州地区建设工程常用材料综合价格》没有的材料，材料按照施工同期《广州市建设工程材料（设备）厂商价格信息》对应品牌、规格、型号的材料价作为结算材料价；《广州市建设工程材料（设备）厂商价格信息》没有对应品牌、规格、型号的，按发包人审核的材料单价计算。</w:t>
      </w:r>
    </w:p>
    <w:p>
      <w:pPr>
        <w:pStyle w:val="null3"/>
        <w:ind w:firstLine="482"/>
        <w:jc w:val="both"/>
      </w:pPr>
      <w:r>
        <w:rPr>
          <w:sz w:val="21"/>
        </w:rPr>
        <w:t>增加及变更项目，承包人应按以上计价方法编制预算，报现场监理工程师和发包人作为增加或变更的审批依据。</w:t>
      </w:r>
    </w:p>
    <w:p>
      <w:pPr>
        <w:pStyle w:val="null3"/>
        <w:ind w:firstLine="482"/>
        <w:jc w:val="both"/>
      </w:pPr>
      <w:r>
        <w:rPr>
          <w:sz w:val="21"/>
        </w:rPr>
        <w:t>C</w:t>
      </w:r>
      <w:r>
        <w:rPr>
          <w:sz w:val="21"/>
        </w:rPr>
        <w:t>工程排污费、施工噪音排污费如实际发生时，暂按工程所在地规定的标准计算，结算时按实际发生费用计算；质监费用由发包人向有关部门交纳。</w:t>
      </w:r>
    </w:p>
    <w:p>
      <w:pPr>
        <w:pStyle w:val="null3"/>
        <w:ind w:firstLine="482"/>
        <w:jc w:val="both"/>
      </w:pPr>
      <w:r>
        <w:rPr>
          <w:sz w:val="21"/>
        </w:rPr>
        <w:t>D</w:t>
      </w:r>
      <w:r>
        <w:rPr>
          <w:sz w:val="21"/>
        </w:rPr>
        <w:t>设计变更、增减工程应于该变更工程完成一个月内办理签证，工程完工后工程量按实计算。</w:t>
      </w:r>
    </w:p>
    <w:p>
      <w:pPr>
        <w:pStyle w:val="null3"/>
        <w:ind w:firstLine="482"/>
        <w:jc w:val="both"/>
      </w:pPr>
      <w:r>
        <w:rPr>
          <w:sz w:val="21"/>
        </w:rPr>
        <w:t>最终书面确认工程结算价不得超过合同价的</w:t>
      </w:r>
      <w:r>
        <w:rPr>
          <w:sz w:val="21"/>
        </w:rPr>
        <w:t>110%</w:t>
      </w:r>
      <w:r>
        <w:rPr>
          <w:sz w:val="21"/>
        </w:rPr>
        <w:t>且不得超过招标控制价。</w:t>
      </w:r>
    </w:p>
    <w:p>
      <w:pPr>
        <w:pStyle w:val="null3"/>
        <w:ind w:firstLine="372"/>
        <w:jc w:val="both"/>
      </w:pPr>
      <w:r>
        <w:rPr>
          <w:sz w:val="21"/>
        </w:rPr>
        <w:t>（三）工程付款方式：</w:t>
      </w:r>
      <w:r>
        <w:rPr>
          <w:sz w:val="21"/>
        </w:rPr>
        <w:t>在供应商无任何违约行为的情况下，合同签订后</w:t>
      </w:r>
      <w:r>
        <w:rPr>
          <w:sz w:val="21"/>
        </w:rPr>
        <w:t>10</w:t>
      </w:r>
      <w:r>
        <w:rPr>
          <w:sz w:val="21"/>
        </w:rPr>
        <w:t>个工作日内，采购人按合同价（需扣除暂列金额后）的</w:t>
      </w:r>
      <w:r>
        <w:rPr>
          <w:sz w:val="21"/>
        </w:rPr>
        <w:t>3</w:t>
      </w:r>
      <w:r>
        <w:rPr>
          <w:sz w:val="21"/>
        </w:rPr>
        <w:t>0%</w:t>
      </w:r>
      <w:r>
        <w:rPr>
          <w:sz w:val="21"/>
        </w:rPr>
        <w:t>作为预付款拨给供应商</w:t>
      </w:r>
      <w:r>
        <w:rPr>
          <w:sz w:val="21"/>
        </w:rPr>
        <w:t>。</w:t>
      </w:r>
      <w:r>
        <w:rPr>
          <w:sz w:val="21"/>
        </w:rPr>
        <w:t>工程全部完工并经采购人验收合格后，采购人向供应商再支付合同价（扣除暂列金额）的</w:t>
      </w:r>
      <w:r>
        <w:rPr>
          <w:sz w:val="21"/>
        </w:rPr>
        <w:t>5</w:t>
      </w:r>
      <w:r>
        <w:rPr>
          <w:sz w:val="21"/>
        </w:rPr>
        <w:t>0%</w:t>
      </w:r>
      <w:r>
        <w:rPr>
          <w:sz w:val="21"/>
        </w:rPr>
        <w:t>（即支付至扣除暂列金的合同价的</w:t>
      </w:r>
      <w:r>
        <w:rPr>
          <w:sz w:val="21"/>
        </w:rPr>
        <w:t>80%</w:t>
      </w:r>
      <w:r>
        <w:rPr>
          <w:sz w:val="21"/>
        </w:rPr>
        <w:t>）</w:t>
      </w:r>
      <w:r>
        <w:rPr>
          <w:sz w:val="21"/>
        </w:rPr>
        <w:t>。</w:t>
      </w:r>
      <w:r>
        <w:rPr>
          <w:sz w:val="21"/>
        </w:rPr>
        <w:t>工程结算经甲方书面审定办理完结算手续后七个工作日内，乙方提交结算价的</w:t>
      </w:r>
      <w:r>
        <w:rPr>
          <w:sz w:val="21"/>
        </w:rPr>
        <w:t>3%</w:t>
      </w:r>
      <w:r>
        <w:rPr>
          <w:sz w:val="21"/>
        </w:rPr>
        <w:t>为质量保证金</w:t>
      </w:r>
      <w:r>
        <w:rPr>
          <w:sz w:val="21"/>
        </w:rPr>
        <w:t>(</w:t>
      </w:r>
      <w:r>
        <w:rPr>
          <w:sz w:val="21"/>
        </w:rPr>
        <w:t>或保函</w:t>
      </w:r>
      <w:r>
        <w:rPr>
          <w:sz w:val="21"/>
        </w:rPr>
        <w:t>)</w:t>
      </w:r>
      <w:r>
        <w:rPr>
          <w:sz w:val="21"/>
        </w:rPr>
        <w:t>，甲方支付工程款至结算价的</w:t>
      </w:r>
      <w:r>
        <w:rPr>
          <w:sz w:val="21"/>
        </w:rPr>
        <w:t>100%</w:t>
      </w:r>
      <w:r>
        <w:rPr>
          <w:sz w:val="21"/>
        </w:rPr>
        <w:t>。工程质量保修金</w:t>
      </w:r>
      <w:r>
        <w:rPr>
          <w:sz w:val="21"/>
        </w:rPr>
        <w:t>(</w:t>
      </w:r>
      <w:r>
        <w:rPr>
          <w:sz w:val="21"/>
        </w:rPr>
        <w:t>或保函</w:t>
      </w:r>
      <w:r>
        <w:rPr>
          <w:sz w:val="21"/>
        </w:rPr>
        <w:t>)</w:t>
      </w:r>
      <w:r>
        <w:rPr>
          <w:sz w:val="21"/>
        </w:rPr>
        <w:t>在工程质量验收合格之日起满贰年后</w:t>
      </w:r>
      <w:r>
        <w:rPr>
          <w:sz w:val="21"/>
        </w:rPr>
        <w:t>7</w:t>
      </w:r>
      <w:r>
        <w:rPr>
          <w:sz w:val="21"/>
        </w:rPr>
        <w:t>天内一次性退还给乙方。在甲方付款前，乙方应当向甲方提供等额合法发票，如因乙方未能及时提供前述发票而造成付款延误，不属甲方违约。</w:t>
      </w:r>
    </w:p>
    <w:p>
      <w:pPr>
        <w:pStyle w:val="null3"/>
        <w:ind w:firstLine="435"/>
        <w:jc w:val="both"/>
      </w:pPr>
      <w:r>
        <w:rPr>
          <w:sz w:val="21"/>
        </w:rPr>
        <w:t>乙方指定以下账户为唯一收款账户：</w:t>
      </w:r>
    </w:p>
    <w:p>
      <w:pPr>
        <w:pStyle w:val="null3"/>
        <w:ind w:firstLine="435"/>
        <w:jc w:val="both"/>
      </w:pPr>
      <w:r>
        <w:rPr>
          <w:sz w:val="21"/>
        </w:rPr>
        <w:t>账户名称：</w:t>
      </w:r>
    </w:p>
    <w:p>
      <w:pPr>
        <w:pStyle w:val="null3"/>
        <w:ind w:firstLine="435"/>
        <w:jc w:val="both"/>
      </w:pPr>
      <w:r>
        <w:rPr>
          <w:sz w:val="21"/>
        </w:rPr>
        <w:t>开户银行：</w:t>
      </w:r>
    </w:p>
    <w:p>
      <w:pPr>
        <w:pStyle w:val="null3"/>
        <w:ind w:firstLine="435"/>
        <w:jc w:val="both"/>
      </w:pPr>
      <w:r>
        <w:rPr>
          <w:sz w:val="21"/>
        </w:rPr>
        <w:t>银行账号：</w:t>
      </w:r>
    </w:p>
    <w:p>
      <w:pPr>
        <w:pStyle w:val="null3"/>
        <w:ind w:firstLine="435"/>
        <w:jc w:val="both"/>
      </w:pPr>
      <w:r>
        <w:rPr>
          <w:sz w:val="21"/>
        </w:rPr>
        <w:t>甲方向上述账户汇出款项后，即视为已履行付款义务，在汇款过程中，因乙方账户的原因（包括但不限于账号被注销、被冻结等）导致其无法收取款项的，由乙方承担相应后果。甲方有权直接在应付款项中扣除乙方应承担违约金或赔偿金等。</w:t>
      </w:r>
    </w:p>
    <w:p>
      <w:pPr>
        <w:pStyle w:val="null3"/>
        <w:jc w:val="both"/>
      </w:pPr>
      <w:r>
        <w:rPr>
          <w:sz w:val="21"/>
          <w:b/>
        </w:rPr>
        <w:t>第四条材料设备供应</w:t>
      </w:r>
    </w:p>
    <w:p>
      <w:pPr>
        <w:pStyle w:val="null3"/>
        <w:jc w:val="both"/>
      </w:pPr>
      <w:r>
        <w:rPr>
          <w:sz w:val="21"/>
        </w:rPr>
        <w:t>（一）工程所需材料设备必须经甲方确认后由乙方自行采购并运至施工现场。</w:t>
      </w:r>
    </w:p>
    <w:p>
      <w:pPr>
        <w:pStyle w:val="null3"/>
        <w:ind w:firstLine="480"/>
        <w:jc w:val="both"/>
      </w:pPr>
      <w:r>
        <w:rPr>
          <w:sz w:val="21"/>
        </w:rPr>
        <w:t>（二）材料设备应附有符合国家标准的出厂合格证明。如一方对材料设备有异议，应提交甲方指定鉴定机构进行检验。如检验合格，检验费由提出异议一方负责；如检验不合格，检验费由乙方负责。</w:t>
      </w:r>
    </w:p>
    <w:p>
      <w:pPr>
        <w:pStyle w:val="null3"/>
        <w:ind w:firstLine="480"/>
        <w:jc w:val="both"/>
      </w:pPr>
      <w:r>
        <w:rPr>
          <w:sz w:val="21"/>
        </w:rPr>
        <w:t>（三）在施工中，由于甲方原因工程设计变更造成乙方采购的材料、设备不适用，甲方需按先前已确认的材料设备的实际采购价格，回收全部不适用的材料设备。或经乙方同意，由甲方给予乙方适当的补偿后，不适用的材料设备由乙方自行处理。</w:t>
      </w:r>
    </w:p>
    <w:p>
      <w:pPr>
        <w:pStyle w:val="null3"/>
        <w:jc w:val="both"/>
      </w:pPr>
      <w:r>
        <w:rPr>
          <w:sz w:val="21"/>
          <w:b/>
        </w:rPr>
        <w:t>第五条工程质量标准和保修期</w:t>
      </w:r>
    </w:p>
    <w:p>
      <w:pPr>
        <w:pStyle w:val="null3"/>
        <w:jc w:val="both"/>
      </w:pPr>
      <w:r>
        <w:rPr>
          <w:sz w:val="21"/>
        </w:rPr>
        <w:t>（一）工程质量标准按国家现行施工及验收规范、工程质量标准为合格。</w:t>
      </w:r>
    </w:p>
    <w:p>
      <w:pPr>
        <w:pStyle w:val="null3"/>
        <w:ind w:firstLine="480"/>
        <w:jc w:val="both"/>
      </w:pPr>
      <w:r>
        <w:rPr>
          <w:sz w:val="21"/>
        </w:rPr>
        <w:t>（二）施工中如甲方发现工程上存在问题时，应及时通知乙方，乙方在收到通知二天内采取有效措施纠正。否则，甲方有权采取措施，直至终止合同，由此造成的损失由乙方承担。</w:t>
      </w:r>
    </w:p>
    <w:p>
      <w:pPr>
        <w:pStyle w:val="null3"/>
        <w:ind w:firstLine="480"/>
        <w:jc w:val="both"/>
      </w:pPr>
      <w:r>
        <w:rPr>
          <w:sz w:val="21"/>
        </w:rPr>
        <w:t>（三）保修期按中华人民共和国国务院令第</w:t>
      </w:r>
      <w:r>
        <w:rPr>
          <w:sz w:val="21"/>
        </w:rPr>
        <w:t>279</w:t>
      </w:r>
      <w:r>
        <w:rPr>
          <w:sz w:val="21"/>
        </w:rPr>
        <w:t>号《建设工程质量管理条例》执行，在正常使用条件下，建设工程的最低保修期自竣工验收合格双方签字确认之日起：</w:t>
      </w:r>
      <w:r>
        <w:br/>
      </w:r>
      <w:r>
        <w:rPr>
          <w:sz w:val="21"/>
        </w:rPr>
        <w:t>（</w:t>
      </w:r>
      <w:r>
        <w:rPr>
          <w:sz w:val="21"/>
        </w:rPr>
        <w:t>1</w:t>
      </w:r>
      <w:r>
        <w:rPr>
          <w:sz w:val="21"/>
        </w:rPr>
        <w:t>）基础设施工程、房屋建筑的地基基础工程和主体结构工程，为设计文件规定的该工程的合理使用年限；如无规定，则保修期为</w:t>
      </w:r>
      <w:r>
        <w:rPr>
          <w:sz w:val="21"/>
        </w:rPr>
        <w:t>2</w:t>
      </w:r>
      <w:r>
        <w:rPr>
          <w:sz w:val="21"/>
        </w:rPr>
        <w:t>年。</w:t>
      </w:r>
      <w:r>
        <w:br/>
      </w:r>
      <w:r>
        <w:rPr>
          <w:sz w:val="21"/>
        </w:rPr>
        <w:t>（</w:t>
      </w:r>
      <w:r>
        <w:rPr>
          <w:sz w:val="21"/>
        </w:rPr>
        <w:t>2</w:t>
      </w:r>
      <w:r>
        <w:rPr>
          <w:sz w:val="21"/>
        </w:rPr>
        <w:t>）屋面防水工程、有防水要求的卫生间、房间和外墙面的防渗漏，为</w:t>
      </w:r>
      <w:r>
        <w:rPr>
          <w:sz w:val="21"/>
        </w:rPr>
        <w:t>5</w:t>
      </w:r>
      <w:r>
        <w:rPr>
          <w:sz w:val="21"/>
        </w:rPr>
        <w:t>年；</w:t>
      </w:r>
      <w:r>
        <w:br/>
      </w:r>
      <w:r>
        <w:rPr>
          <w:sz w:val="21"/>
        </w:rPr>
        <w:t>（</w:t>
      </w:r>
      <w:r>
        <w:rPr>
          <w:sz w:val="21"/>
        </w:rPr>
        <w:t>3</w:t>
      </w:r>
      <w:r>
        <w:rPr>
          <w:sz w:val="21"/>
        </w:rPr>
        <w:t>）供热与供冷系统，为</w:t>
      </w:r>
      <w:r>
        <w:rPr>
          <w:sz w:val="21"/>
        </w:rPr>
        <w:t>2</w:t>
      </w:r>
      <w:r>
        <w:rPr>
          <w:sz w:val="21"/>
        </w:rPr>
        <w:t>个采暖期、供冷期；</w:t>
      </w:r>
      <w:r>
        <w:br/>
      </w:r>
      <w:r>
        <w:rPr>
          <w:sz w:val="21"/>
        </w:rPr>
        <w:t>（</w:t>
      </w:r>
      <w:r>
        <w:rPr>
          <w:sz w:val="21"/>
        </w:rPr>
        <w:t>4</w:t>
      </w:r>
      <w:r>
        <w:rPr>
          <w:sz w:val="21"/>
        </w:rPr>
        <w:t>）电气管线、给排水管道、设备安装和装修工程，为</w:t>
      </w:r>
      <w:r>
        <w:rPr>
          <w:sz w:val="21"/>
        </w:rPr>
        <w:t>2</w:t>
      </w:r>
      <w:r>
        <w:rPr>
          <w:sz w:val="21"/>
        </w:rPr>
        <w:t>年。</w:t>
      </w:r>
    </w:p>
    <w:p>
      <w:pPr>
        <w:pStyle w:val="null3"/>
        <w:ind w:firstLine="480"/>
        <w:jc w:val="both"/>
      </w:pPr>
      <w:r>
        <w:rPr>
          <w:sz w:val="21"/>
        </w:rPr>
        <w:t>保修期限内出现的质量问题，乙方在接到甲方通知后两天内进行检查，经甲方鉴定，属乙方施工或材料质量问题，由乙方即时进行修复，修复费和成本由乙方负责；属甲方使用不当造成的，修复费用由甲方负责。如对质量问题有争议，由相关质监部门裁定。</w:t>
      </w:r>
    </w:p>
    <w:p>
      <w:pPr>
        <w:pStyle w:val="null3"/>
        <w:jc w:val="both"/>
      </w:pPr>
      <w:r>
        <w:rPr>
          <w:sz w:val="21"/>
          <w:b/>
        </w:rPr>
        <w:t>第六条工程验收</w:t>
      </w:r>
    </w:p>
    <w:p>
      <w:pPr>
        <w:pStyle w:val="null3"/>
        <w:jc w:val="both"/>
      </w:pPr>
      <w:r>
        <w:rPr>
          <w:sz w:val="21"/>
        </w:rPr>
        <w:t>（一）工程验收以施工图及说明书、图纸会审记录、有关变更的书面文件，按国家颁布的施工及验收规范和质量检验标准为依据。</w:t>
      </w:r>
    </w:p>
    <w:p>
      <w:pPr>
        <w:pStyle w:val="null3"/>
        <w:ind w:firstLine="480"/>
        <w:jc w:val="both"/>
      </w:pPr>
      <w:r>
        <w:rPr>
          <w:sz w:val="21"/>
        </w:rPr>
        <w:t>（二）隐蔽工程在乙方自检后填制记录表（范围、数量、质量等），持表通知甲方进行检查。甲方接到通知后</w:t>
      </w:r>
      <w:r>
        <w:rPr>
          <w:sz w:val="21"/>
        </w:rPr>
        <w:t>2</w:t>
      </w:r>
      <w:r>
        <w:rPr>
          <w:sz w:val="21"/>
        </w:rPr>
        <w:t>天内到场验收，验收合格并符合设计要求时，经双方签字后进行下一工序的施工。隐蔽工程隐蔽前，甲方没有及时检查的，乙方可以要求办理顺延工期，无权自检。</w:t>
      </w:r>
    </w:p>
    <w:p>
      <w:pPr>
        <w:pStyle w:val="null3"/>
        <w:ind w:firstLine="480"/>
        <w:jc w:val="both"/>
      </w:pPr>
      <w:r>
        <w:rPr>
          <w:sz w:val="21"/>
        </w:rPr>
        <w:t>（三）工程（包括单项工程）竣工前三天，由乙方通知甲方验收，甲方在乙方书面通知竣工后三天内验收完毕。工程内容及质量符合要求的，双方在验收报告（或证明）上面签字并盖章，同时乙方将全部真实有效图纸资料（包括分包工程的竣工验收资料）向甲方移交。如工程内容尚未完成或质量不合格的，由乙方在甲乙双方商定的期限内补建或返修后再进行验收，直到符合要求为止。并按最后验收合格的日期为实际竣工日期，由此发生的费用由乙方承担，且工期不予顺延。。工程（含单项工程）未验收，甲方提前使用或擅自动用，视为合格。因乙方的原因致使工程在合理使用期内造成人身伤害（不管是否致命）和财产损失或损坏的，乙方应承担损失赔偿责任。</w:t>
      </w:r>
    </w:p>
    <w:p>
      <w:pPr>
        <w:pStyle w:val="null3"/>
        <w:jc w:val="both"/>
      </w:pPr>
      <w:r>
        <w:rPr>
          <w:sz w:val="21"/>
          <w:b/>
        </w:rPr>
        <w:t>第七条奖与罚</w:t>
      </w:r>
    </w:p>
    <w:p>
      <w:pPr>
        <w:pStyle w:val="null3"/>
        <w:jc w:val="both"/>
      </w:pPr>
      <w:r>
        <w:rPr>
          <w:sz w:val="21"/>
        </w:rPr>
        <w:t>（一）按合同期竣工不奖不罚。延期竣工（工期延误）的，每逾期</w:t>
      </w:r>
      <w:r>
        <w:rPr>
          <w:sz w:val="21"/>
        </w:rPr>
        <w:t>1</w:t>
      </w:r>
      <w:r>
        <w:rPr>
          <w:sz w:val="21"/>
        </w:rPr>
        <w:t>天，由乙方按工程结算总造价的万分之四向甲方支付违约金。延期竣工超过</w:t>
      </w:r>
      <w:r>
        <w:rPr>
          <w:sz w:val="21"/>
        </w:rPr>
        <w:t>30</w:t>
      </w:r>
      <w:r>
        <w:rPr>
          <w:sz w:val="21"/>
        </w:rPr>
        <w:t>天的，甲方有权解除合同，因此造成的一切损失由乙方承担。</w:t>
      </w:r>
    </w:p>
    <w:p>
      <w:pPr>
        <w:pStyle w:val="null3"/>
        <w:ind w:firstLine="480"/>
        <w:jc w:val="both"/>
      </w:pPr>
      <w:r>
        <w:rPr>
          <w:sz w:val="21"/>
        </w:rPr>
        <w:t>（二）奖罚应在竣工结算时办理。</w:t>
      </w:r>
    </w:p>
    <w:p>
      <w:pPr>
        <w:pStyle w:val="null3"/>
        <w:jc w:val="both"/>
      </w:pPr>
      <w:r>
        <w:rPr>
          <w:sz w:val="21"/>
          <w:b/>
        </w:rPr>
        <w:t>第八条</w:t>
      </w:r>
      <w:r>
        <w:rPr>
          <w:sz w:val="21"/>
        </w:rPr>
        <w:t>本合同自甲乙双方法定代表人或授权代表签字并盖双方公章或合同专用章后生效，正本</w:t>
      </w:r>
      <w:r>
        <w:rPr>
          <w:sz w:val="21"/>
          <w:u w:val="single"/>
        </w:rPr>
        <w:t>两</w:t>
      </w:r>
      <w:r>
        <w:rPr>
          <w:sz w:val="21"/>
        </w:rPr>
        <w:t>份，双方各执</w:t>
      </w:r>
      <w:r>
        <w:rPr>
          <w:sz w:val="21"/>
          <w:u w:val="single"/>
        </w:rPr>
        <w:t>一</w:t>
      </w:r>
      <w:r>
        <w:rPr>
          <w:sz w:val="21"/>
        </w:rPr>
        <w:t>份，副本</w:t>
      </w:r>
      <w:r>
        <w:rPr>
          <w:sz w:val="21"/>
          <w:u w:val="single"/>
        </w:rPr>
        <w:t>八</w:t>
      </w:r>
      <w:r>
        <w:rPr>
          <w:sz w:val="21"/>
        </w:rPr>
        <w:t>份，双方各执</w:t>
      </w:r>
      <w:r>
        <w:rPr>
          <w:sz w:val="21"/>
          <w:u w:val="single"/>
        </w:rPr>
        <w:t>四</w:t>
      </w:r>
      <w:r>
        <w:rPr>
          <w:sz w:val="21"/>
        </w:rPr>
        <w:t>份。</w:t>
      </w:r>
    </w:p>
    <w:p>
      <w:pPr>
        <w:pStyle w:val="null3"/>
        <w:jc w:val="both"/>
      </w:pPr>
      <w:r>
        <w:rPr>
          <w:sz w:val="21"/>
          <w:b/>
        </w:rPr>
        <w:t>第九条其它约定条款</w:t>
      </w:r>
    </w:p>
    <w:p>
      <w:pPr>
        <w:pStyle w:val="null3"/>
        <w:ind w:firstLine="480"/>
        <w:jc w:val="both"/>
      </w:pPr>
      <w:r>
        <w:rPr>
          <w:sz w:val="21"/>
        </w:rPr>
        <w:t>（一）乙方承诺具备履行本合同所必须的资质和条件，该资质和条件指的是工程所在地所要求的资质和条件。若因乙方的资质和条件问题导致本合同不能完全履行，甲方所受到的一切损失由乙方承担。</w:t>
      </w:r>
    </w:p>
    <w:p>
      <w:pPr>
        <w:pStyle w:val="null3"/>
        <w:ind w:firstLine="480"/>
        <w:jc w:val="both"/>
      </w:pPr>
      <w:r>
        <w:rPr>
          <w:sz w:val="21"/>
        </w:rPr>
        <w:t>（二）</w:t>
      </w:r>
      <w:r>
        <w:rPr>
          <w:sz w:val="21"/>
          <w:b/>
        </w:rPr>
        <w:t>现场施工用水用电按华南农业大学水电管理办法执行。</w:t>
      </w:r>
    </w:p>
    <w:p>
      <w:pPr>
        <w:pStyle w:val="null3"/>
        <w:ind w:firstLine="480"/>
        <w:jc w:val="both"/>
      </w:pPr>
      <w:r>
        <w:rPr>
          <w:sz w:val="21"/>
        </w:rPr>
        <w:t>（三）乙方必须在工程竣工后两天内撤离现场。</w:t>
      </w:r>
    </w:p>
    <w:p>
      <w:pPr>
        <w:pStyle w:val="null3"/>
        <w:ind w:firstLine="480"/>
        <w:jc w:val="both"/>
      </w:pPr>
      <w:r>
        <w:rPr>
          <w:sz w:val="21"/>
        </w:rPr>
        <w:t>（四）乙方逾期未提交结算文件，经甲方催促后</w:t>
      </w:r>
      <w:r>
        <w:rPr>
          <w:sz w:val="21"/>
        </w:rPr>
        <w:t>14</w:t>
      </w:r>
      <w:r>
        <w:rPr>
          <w:sz w:val="21"/>
        </w:rPr>
        <w:t>日内仍未提交的，将逾期每天按工程结算价的万分之一计取乙方的违约金。</w:t>
      </w:r>
    </w:p>
    <w:p>
      <w:pPr>
        <w:pStyle w:val="null3"/>
        <w:ind w:firstLine="480"/>
        <w:jc w:val="both"/>
      </w:pPr>
      <w:r>
        <w:rPr>
          <w:sz w:val="21"/>
        </w:rPr>
        <w:t>（五）所有乙方应当承担的违约金、赔偿金等责任，甲方均有权在应支付给乙方的款项中直接扣除，不足以扣除的，甲方有权继续要求乙方支付或赔偿。</w:t>
      </w:r>
    </w:p>
    <w:p>
      <w:pPr>
        <w:pStyle w:val="null3"/>
        <w:ind w:firstLine="482"/>
        <w:jc w:val="both"/>
      </w:pPr>
      <w:r>
        <w:rPr>
          <w:sz w:val="21"/>
        </w:rPr>
        <w:t>当乙方发生违约责任而甲方却无法从应付工程款项中抵扣时，甲方可从乙方履约保证金中扣回。</w:t>
      </w:r>
    </w:p>
    <w:p>
      <w:pPr>
        <w:pStyle w:val="null3"/>
        <w:ind w:firstLine="482"/>
        <w:jc w:val="both"/>
      </w:pPr>
      <w:r>
        <w:rPr>
          <w:sz w:val="21"/>
        </w:rPr>
        <w:t>工程全部完工并验收合格后，在无重大质量问题情况下，乙方办理相关履约担保退还手续后，履约担保十个工作日内无息退回乙方。否则，甲方有权不予退回履约担保。</w:t>
      </w:r>
    </w:p>
    <w:p>
      <w:pPr>
        <w:pStyle w:val="null3"/>
        <w:ind w:firstLine="482"/>
        <w:jc w:val="both"/>
      </w:pPr>
      <w:r>
        <w:rPr>
          <w:sz w:val="21"/>
        </w:rPr>
        <w:t>履约担保的形式：可银行电汇、转账，以及国家法律法规政策允许的其他方式交纳。（以保函方式交到甲方，担保期限至合同工程竣工验收合格后</w:t>
      </w:r>
      <w:r>
        <w:rPr>
          <w:sz w:val="21"/>
        </w:rPr>
        <w:t>30</w:t>
      </w:r>
      <w:r>
        <w:rPr>
          <w:sz w:val="21"/>
        </w:rPr>
        <w:t>天。）</w:t>
      </w:r>
    </w:p>
    <w:p>
      <w:pPr>
        <w:pStyle w:val="null3"/>
        <w:ind w:firstLine="482"/>
        <w:jc w:val="both"/>
      </w:pPr>
      <w:r>
        <w:rPr>
          <w:sz w:val="21"/>
        </w:rPr>
        <w:t>不予退还履约担保的情形：如在合同期内，乙方自行停止合约或违反合同有关规定被甲方终止合约的，则履约保证金全部归甲方所有。若乙方不履行或不适当履行其合同义务导致甲方蒙受损失的，甲方有权直接从履约保证金中获取相应违约金或损失赔偿款项；违约金或给甲方造成的损失超过履约保证金数额的，乙方应对超出部分给予赔偿。其他违约责任按照合同约定。甲方未按照合同约定及时向乙方退回履约保证金的，应按照全国银行间同业拆借中心公布的贷款市场报价利率标准支付利息（但因合同的履行产生争议乙方自身原因导致无法及时退还的除外）。</w:t>
      </w:r>
    </w:p>
    <w:p>
      <w:pPr>
        <w:pStyle w:val="null3"/>
        <w:ind w:firstLine="480"/>
        <w:jc w:val="both"/>
      </w:pPr>
      <w:r>
        <w:rPr>
          <w:sz w:val="21"/>
        </w:rPr>
        <w:t>（六）除本合同另有约定外，一方在本合同履行过程中向另一方发出或者提供的所有通知、文件、文书、资料等，均可以本合同所列明的地址送达；一方如果迁址或者变更电话，应当及时书面通知另一方，未履行通知义务的，另一方按原地址邮寄相关材料即视为已履行送达义务；当面交付上述材料的，在交付之时视为送达。</w:t>
      </w:r>
    </w:p>
    <w:p>
      <w:pPr>
        <w:pStyle w:val="null3"/>
        <w:ind w:firstLine="480"/>
        <w:jc w:val="both"/>
      </w:pPr>
      <w:r>
        <w:rPr>
          <w:sz w:val="21"/>
        </w:rPr>
        <w:t>（七）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1"/>
        </w:rPr>
        <w:t>15</w:t>
      </w:r>
      <w:r>
        <w:rPr>
          <w:sz w:val="21"/>
        </w:rPr>
        <w:t>日内将有关机构出具的不可抗力事件的证明寄交对方。未提供以上证明的，不能免除违约责任。</w:t>
      </w:r>
    </w:p>
    <w:p>
      <w:pPr>
        <w:pStyle w:val="null3"/>
        <w:ind w:firstLine="480"/>
        <w:jc w:val="both"/>
      </w:pPr>
      <w:r>
        <w:rPr>
          <w:sz w:val="21"/>
        </w:rPr>
        <w:t>（八）本合同甲方损失包括但不限于甲方及相关方的实际损失、可得利益损失、甲方为处理违约事件所发生的包括调查费、评估费、公证费、仲裁费、诉讼费、律师费、交通费、差旅费等费用在内的费用和开支等；若乙方违约行为导致甲方遭受第三方的指控时，损失亦包括甲方为应诉等行为和承担其他不利义务而支付的一切费用。</w:t>
      </w:r>
    </w:p>
    <w:p>
      <w:pPr>
        <w:pStyle w:val="null3"/>
        <w:ind w:firstLine="480"/>
        <w:jc w:val="both"/>
      </w:pPr>
      <w:r>
        <w:rPr>
          <w:sz w:val="21"/>
        </w:rPr>
        <w:t>（九）本合同未尽或者争议事宜，双方友好协商解决。协商不成的，任意一方均可向甲方所在地人民法院提起诉讼。</w:t>
      </w:r>
    </w:p>
    <w:p>
      <w:pPr>
        <w:pStyle w:val="null3"/>
        <w:ind w:firstLine="480"/>
        <w:jc w:val="both"/>
      </w:pPr>
      <w:r>
        <w:rPr>
          <w:sz w:val="21"/>
        </w:rPr>
        <w:t>（以下无正文）</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sz w:val="21"/>
                <w:b/>
              </w:rPr>
              <w:t>甲方（盖章）：华南农业大学</w:t>
            </w:r>
          </w:p>
        </w:tc>
        <w:tc>
          <w:tcPr>
            <w:tcW w:type="dxa" w:w="4153"/>
            <w:tcMar>
              <w:top w:type="dxa" w:w="0"/>
              <w:left w:type="dxa" w:w="105"/>
              <w:bottom w:type="dxa" w:w="0"/>
              <w:right w:type="dxa" w:w="105"/>
            </w:tcMar>
            <w:vAlign w:val="top"/>
          </w:tcPr>
          <w:p>
            <w:pPr>
              <w:pStyle w:val="null3"/>
              <w:jc w:val="both"/>
            </w:pPr>
            <w:r>
              <w:rPr>
                <w:sz w:val="21"/>
                <w:b/>
              </w:rPr>
              <w:t>乙方（盖章）：</w:t>
            </w:r>
          </w:p>
          <w:p>
            <w:pPr>
              <w:pStyle w:val="null3"/>
              <w:jc w:val="both"/>
            </w:pPr>
          </w:p>
        </w:tc>
      </w:tr>
      <w:tr>
        <w:tc>
          <w:tcPr>
            <w:tcW w:type="dxa" w:w="4153"/>
            <w:tcMar>
              <w:top w:type="dxa" w:w="0"/>
              <w:left w:type="dxa" w:w="105"/>
              <w:bottom w:type="dxa" w:w="0"/>
              <w:right w:type="dxa" w:w="105"/>
            </w:tcMar>
            <w:vAlign w:val="top"/>
          </w:tcPr>
          <w:p>
            <w:pPr>
              <w:pStyle w:val="null3"/>
              <w:jc w:val="both"/>
            </w:pPr>
            <w:r>
              <w:rPr>
                <w:sz w:val="21"/>
                <w:b/>
              </w:rPr>
              <w:t>法定代表（签字）：</w:t>
            </w:r>
          </w:p>
        </w:tc>
        <w:tc>
          <w:tcPr>
            <w:tcW w:type="dxa" w:w="4153"/>
            <w:tcMar>
              <w:top w:type="dxa" w:w="0"/>
              <w:left w:type="dxa" w:w="105"/>
              <w:bottom w:type="dxa" w:w="0"/>
              <w:right w:type="dxa" w:w="105"/>
            </w:tcMar>
            <w:vAlign w:val="top"/>
          </w:tcPr>
          <w:p>
            <w:pPr>
              <w:pStyle w:val="null3"/>
              <w:jc w:val="both"/>
            </w:pPr>
            <w:r>
              <w:rPr>
                <w:sz w:val="21"/>
                <w:b/>
              </w:rPr>
              <w:t>法定代表（签字）：</w:t>
            </w:r>
          </w:p>
        </w:tc>
      </w:tr>
      <w:tr>
        <w:tc>
          <w:tcPr>
            <w:tcW w:type="dxa" w:w="4153"/>
            <w:tcMar>
              <w:top w:type="dxa" w:w="0"/>
              <w:left w:type="dxa" w:w="105"/>
              <w:bottom w:type="dxa" w:w="0"/>
              <w:right w:type="dxa" w:w="105"/>
            </w:tcMar>
            <w:vAlign w:val="top"/>
          </w:tcPr>
          <w:p>
            <w:pPr>
              <w:pStyle w:val="null3"/>
              <w:jc w:val="both"/>
            </w:pPr>
            <w:r>
              <w:rPr>
                <w:sz w:val="21"/>
                <w:b/>
              </w:rPr>
              <w:t>签约代表（签字）：</w:t>
            </w:r>
          </w:p>
        </w:tc>
        <w:tc>
          <w:tcPr>
            <w:tcW w:type="dxa" w:w="4153"/>
            <w:tcMar>
              <w:top w:type="dxa" w:w="0"/>
              <w:left w:type="dxa" w:w="105"/>
              <w:bottom w:type="dxa" w:w="0"/>
              <w:right w:type="dxa" w:w="105"/>
            </w:tcMar>
            <w:vAlign w:val="top"/>
          </w:tcPr>
          <w:p>
            <w:pPr>
              <w:pStyle w:val="null3"/>
              <w:jc w:val="both"/>
            </w:pPr>
            <w:r>
              <w:rPr>
                <w:sz w:val="21"/>
                <w:b/>
              </w:rPr>
              <w:t>签约代表（签字）：</w:t>
            </w:r>
          </w:p>
        </w:tc>
      </w:tr>
      <w:tr>
        <w:tc>
          <w:tcPr>
            <w:tcW w:type="dxa" w:w="4153"/>
            <w:tcMar>
              <w:top w:type="dxa" w:w="0"/>
              <w:left w:type="dxa" w:w="105"/>
              <w:bottom w:type="dxa" w:w="0"/>
              <w:right w:type="dxa" w:w="105"/>
            </w:tcMar>
            <w:vAlign w:val="top"/>
          </w:tcPr>
          <w:p>
            <w:pPr>
              <w:pStyle w:val="null3"/>
              <w:jc w:val="both"/>
            </w:pPr>
            <w:r>
              <w:rPr>
                <w:sz w:val="21"/>
                <w:b/>
              </w:rPr>
              <w:t>签约日期：</w:t>
            </w:r>
          </w:p>
        </w:tc>
        <w:tc>
          <w:tcPr>
            <w:tcW w:type="dxa" w:w="4153"/>
            <w:tcMar>
              <w:top w:type="dxa" w:w="0"/>
              <w:left w:type="dxa" w:w="105"/>
              <w:bottom w:type="dxa" w:w="0"/>
              <w:right w:type="dxa" w:w="105"/>
            </w:tcMar>
            <w:vAlign w:val="top"/>
          </w:tcPr>
          <w:p>
            <w:pPr>
              <w:pStyle w:val="null3"/>
              <w:jc w:val="both"/>
            </w:pPr>
            <w:r>
              <w:rPr>
                <w:sz w:val="21"/>
                <w:b/>
              </w:rPr>
              <w:t>签约日期：</w:t>
            </w:r>
          </w:p>
        </w:tc>
      </w:tr>
    </w:tbl>
    <w:p>
      <w:pPr>
        <w:pStyle w:val="null3"/>
        <w:jc w:val="both"/>
      </w:pPr>
      <w:r>
        <w:rPr>
          <w:sz w:val="25"/>
          <w:b/>
        </w:rPr>
        <w:t>附件</w:t>
      </w:r>
      <w:r>
        <w:rPr>
          <w:sz w:val="21"/>
          <w:b/>
        </w:rPr>
        <w:t xml:space="preserve">  </w:t>
      </w:r>
      <w:r>
        <w:rPr>
          <w:sz w:val="25"/>
          <w:b/>
        </w:rPr>
        <w:t>政府采购专项统计表—绿色建材</w:t>
      </w:r>
    </w:p>
    <w:p>
      <w:pPr>
        <w:pStyle w:val="null3"/>
        <w:spacing w:before="60"/>
        <w:ind w:left="13590"/>
        <w:jc w:val="both"/>
      </w:pPr>
      <w:r>
        <w:rPr>
          <w:sz w:val="20"/>
        </w:rPr>
        <w:t>采购</w:t>
      </w:r>
      <w:r>
        <w:rPr>
          <w:sz w:val="20"/>
        </w:rPr>
        <w:t>13</w:t>
      </w:r>
      <w:r>
        <w:rPr>
          <w:sz w:val="20"/>
        </w:rPr>
        <w:t>表</w:t>
      </w:r>
    </w:p>
    <w:p>
      <w:pPr>
        <w:pStyle w:val="null3"/>
        <w:spacing w:before="60"/>
        <w:ind w:left="13590"/>
        <w:jc w:val="both"/>
      </w:pPr>
      <w:r>
        <w:rPr>
          <w:sz w:val="19"/>
        </w:rPr>
        <w:t>单位：万元</w:t>
      </w:r>
    </w:p>
    <w:tbl>
      <w:tblPr>
        <w:tblW w:w="0" w:type="auto"/>
        <w:tblBorders>
          <w:top w:val="none" w:color="000000" w:sz="4"/>
          <w:left w:val="none" w:color="000000" w:sz="4"/>
          <w:bottom w:val="none" w:color="000000" w:sz="4"/>
          <w:right w:val="none" w:color="000000" w:sz="4"/>
          <w:insideH w:val="none"/>
          <w:insideV w:val="none"/>
        </w:tblBorders>
      </w:tblPr>
      <w:tblGrid>
        <w:gridCol w:w="480"/>
        <w:gridCol w:w="471"/>
        <w:gridCol w:w="1208"/>
        <w:gridCol w:w="471"/>
        <w:gridCol w:w="934"/>
        <w:gridCol w:w="951"/>
        <w:gridCol w:w="951"/>
        <w:gridCol w:w="942"/>
        <w:gridCol w:w="951"/>
        <w:gridCol w:w="942"/>
      </w:tblGrid>
      <w:tr>
        <w:tc>
          <w:tcPr>
            <w:tcW w:type="dxa" w:w="2159"/>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680"/>
              <w:jc w:val="both"/>
            </w:pPr>
            <w:r>
              <w:rPr>
                <w:sz w:val="20"/>
              </w:rPr>
              <w:t>项 目</w:t>
            </w:r>
          </w:p>
        </w:tc>
        <w:tc>
          <w:tcPr>
            <w:tcW w:type="dxa" w:w="471"/>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85"/>
              <w:ind w:left="300"/>
              <w:jc w:val="both"/>
            </w:pPr>
            <w:r>
              <w:rPr>
                <w:sz w:val="20"/>
              </w:rPr>
              <w:t>行</w:t>
            </w:r>
          </w:p>
        </w:tc>
        <w:tc>
          <w:tcPr>
            <w:tcW w:type="dxa" w:w="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510" w:right="405"/>
              <w:jc w:val="both"/>
            </w:pPr>
            <w:r>
              <w:rPr>
                <w:sz w:val="20"/>
              </w:rPr>
              <w:t>建材采购总数量</w:t>
            </w:r>
          </w:p>
        </w:tc>
        <w:tc>
          <w:tcPr>
            <w:tcW w:type="dxa" w:w="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30" w:right="345" w:firstLine="100"/>
              <w:jc w:val="both"/>
            </w:pPr>
            <w:r>
              <w:rPr>
                <w:sz w:val="20"/>
              </w:rPr>
              <w:t>绿色建材</w:t>
            </w:r>
            <w:r>
              <w:rPr>
                <w:sz w:val="20"/>
              </w:rPr>
              <w:t>采购总数量</w:t>
            </w:r>
          </w:p>
        </w:tc>
        <w:tc>
          <w:tcPr>
            <w:tcW w:type="dxa" w:w="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20"/>
              <w:jc w:val="both"/>
            </w:pPr>
            <w:r>
              <w:rPr>
                <w:sz w:val="20"/>
              </w:rPr>
              <w:t>绿色建材</w:t>
            </w:r>
          </w:p>
          <w:p>
            <w:pPr>
              <w:pStyle w:val="null3"/>
              <w:ind w:left="75"/>
              <w:jc w:val="both"/>
            </w:pPr>
            <w:r>
              <w:rPr>
                <w:sz w:val="20"/>
              </w:rPr>
              <w:t>采购数量比重(%)</w:t>
            </w:r>
          </w:p>
        </w:tc>
        <w:tc>
          <w:tcPr>
            <w:tcW w:type="dxa" w:w="9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510" w:right="405"/>
              <w:jc w:val="both"/>
            </w:pPr>
            <w:r>
              <w:rPr>
                <w:sz w:val="20"/>
              </w:rPr>
              <w:t>建材采购总金额</w:t>
            </w:r>
          </w:p>
        </w:tc>
        <w:tc>
          <w:tcPr>
            <w:tcW w:type="dxa" w:w="9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330" w:right="330" w:firstLine="99"/>
              <w:jc w:val="both"/>
            </w:pPr>
            <w:r>
              <w:rPr>
                <w:sz w:val="20"/>
              </w:rPr>
              <w:t>绿色建材</w:t>
            </w:r>
            <w:r>
              <w:rPr>
                <w:sz w:val="20"/>
              </w:rPr>
              <w:t>采购总金额</w:t>
            </w:r>
          </w:p>
        </w:tc>
        <w:tc>
          <w:tcPr>
            <w:tcW w:type="dxa" w:w="9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20"/>
              <w:jc w:val="both"/>
            </w:pPr>
            <w:r>
              <w:rPr>
                <w:sz w:val="20"/>
              </w:rPr>
              <w:t>绿色建材</w:t>
            </w:r>
          </w:p>
          <w:p>
            <w:pPr>
              <w:pStyle w:val="null3"/>
              <w:spacing w:before="15"/>
              <w:ind w:left="75"/>
              <w:jc w:val="both"/>
            </w:pPr>
            <w:r>
              <w:rPr>
                <w:sz w:val="20"/>
              </w:rPr>
              <w:t>采购金额比重(%)</w:t>
            </w:r>
          </w:p>
        </w:tc>
      </w:tr>
      <w:tr>
        <w:tc>
          <w:tcPr>
            <w:tcW w:type="dxa" w:w="2159"/>
            <w:gridSpan w:val="3"/>
            <w:vMerge/>
            <w:tcBorders>
              <w:top w:val="single" w:color="000000" w:sz="4"/>
              <w:left w:val="single" w:color="000000" w:sz="4"/>
              <w:bottom w:val="single" w:color="000000" w:sz="4"/>
              <w:right w:val="single" w:color="000000" w:sz="4"/>
            </w:tcBorders>
          </w:tcPr>
          <w:p/>
        </w:tc>
        <w:tc>
          <w:tcPr>
            <w:tcW w:type="dxa" w:w="471"/>
            <w:vMerge/>
            <w:tcBorders>
              <w:top w:val="single" w:color="000000" w:sz="4"/>
              <w:left w:val="none" w:color="000000" w:sz="4"/>
              <w:bottom w:val="singl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1</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2</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3</w:t>
            </w: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4</w:t>
            </w: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5</w:t>
            </w: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6</w:t>
            </w:r>
          </w:p>
        </w:tc>
      </w:tr>
      <w:tr>
        <w:tc>
          <w:tcPr>
            <w:tcW w:type="dxa" w:w="215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80"/>
              <w:jc w:val="both"/>
            </w:pPr>
            <w:r>
              <w:rPr>
                <w:sz w:val="20"/>
              </w:rPr>
              <w:t>合计</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1</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必选类绿色建材</w:t>
            </w: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主体和地</w:t>
            </w:r>
          </w:p>
          <w:p>
            <w:pPr>
              <w:pStyle w:val="null3"/>
              <w:ind w:left="15"/>
              <w:jc w:val="both"/>
            </w:pPr>
            <w:r>
              <w:rPr>
                <w:sz w:val="20"/>
              </w:rPr>
              <w:t>基基础材</w:t>
            </w:r>
          </w:p>
          <w:p>
            <w:pPr>
              <w:pStyle w:val="null3"/>
              <w:ind w:left="300"/>
              <w:jc w:val="both"/>
            </w:pPr>
            <w:r>
              <w:rPr>
                <w:sz w:val="20"/>
              </w:rPr>
              <w:t>料</w:t>
            </w: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sz w:val="20"/>
              </w:rPr>
              <w:t>钢结构构件</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2</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混凝土结构构件</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3</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预拌混凝土</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4</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预拌砂浆</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60"/>
              <w:jc w:val="both"/>
            </w:pPr>
            <w:r>
              <w:rPr>
                <w:sz w:val="20"/>
              </w:rPr>
              <w:t>5</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钢筋</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6</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围护结构</w:t>
            </w:r>
            <w:r>
              <w:rPr>
                <w:sz w:val="20"/>
              </w:rPr>
              <w:t>材料</w:t>
            </w: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sz w:val="20"/>
              </w:rPr>
              <w:t>门窗</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60"/>
              <w:jc w:val="both"/>
            </w:pPr>
            <w:r>
              <w:rPr>
                <w:sz w:val="20"/>
              </w:rPr>
              <w:t>7</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保温隔热材料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60"/>
              <w:jc w:val="both"/>
            </w:pPr>
            <w:r>
              <w:rPr>
                <w:sz w:val="20"/>
              </w:rPr>
              <w:t>8</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建筑装饰</w:t>
            </w:r>
          </w:p>
          <w:p>
            <w:pPr>
              <w:pStyle w:val="null3"/>
              <w:ind w:left="15"/>
              <w:jc w:val="both"/>
            </w:pPr>
            <w:r>
              <w:rPr>
                <w:sz w:val="20"/>
              </w:rPr>
              <w:t>装修材料</w:t>
            </w: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sz w:val="20"/>
              </w:rPr>
              <w:t>隔墙材料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60"/>
              <w:jc w:val="both"/>
            </w:pPr>
            <w:r>
              <w:rPr>
                <w:sz w:val="20"/>
              </w:rPr>
              <w:t>9</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涂料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10</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砌体材料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11</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外墙板</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20"/>
              </w:rPr>
              <w:t>12</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防水卷材</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13</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防水涂料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14</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防火涂料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20"/>
              </w:rPr>
              <w:t>15</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80"/>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12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刚性防水材料</w:t>
            </w:r>
          </w:p>
        </w:tc>
        <w:tc>
          <w:tcPr>
            <w:tcW w:type="dxa" w:w="4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20"/>
              </w:rPr>
              <w:t>16</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465"/>
        <w:gridCol w:w="473"/>
        <w:gridCol w:w="1197"/>
        <w:gridCol w:w="491"/>
        <w:gridCol w:w="956"/>
        <w:gridCol w:w="939"/>
        <w:gridCol w:w="939"/>
        <w:gridCol w:w="947"/>
        <w:gridCol w:w="956"/>
        <w:gridCol w:w="956"/>
      </w:tblGrid>
      <w:tr>
        <w:tc>
          <w:tcPr>
            <w:tcW w:type="dxa" w:w="2135"/>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20"/>
              <w:jc w:val="both"/>
            </w:pPr>
            <w:r>
              <w:rPr>
                <w:sz w:val="20"/>
              </w:rPr>
              <w:t>项 目</w:t>
            </w:r>
          </w:p>
        </w:tc>
        <w:tc>
          <w:tcPr>
            <w:tcW w:type="dxa" w:w="491"/>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315"/>
              <w:jc w:val="both"/>
            </w:pPr>
            <w:r>
              <w:rPr>
                <w:sz w:val="20"/>
              </w:rPr>
              <w:t>行</w:t>
            </w:r>
          </w:p>
        </w:tc>
        <w:tc>
          <w:tcPr>
            <w:tcW w:type="dxa" w:w="9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40" w:right="420"/>
              <w:jc w:val="both"/>
            </w:pPr>
            <w:r>
              <w:rPr>
                <w:sz w:val="20"/>
              </w:rPr>
              <w:t>建材采购总数量</w:t>
            </w:r>
          </w:p>
        </w:tc>
        <w:tc>
          <w:tcPr>
            <w:tcW w:type="dxa" w:w="9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300" w:right="315" w:firstLine="99"/>
              <w:jc w:val="both"/>
            </w:pPr>
            <w:r>
              <w:rPr>
                <w:sz w:val="20"/>
              </w:rPr>
              <w:t>绿色建材</w:t>
            </w:r>
            <w:r>
              <w:rPr>
                <w:sz w:val="20"/>
              </w:rPr>
              <w:t>采购总数量</w:t>
            </w:r>
          </w:p>
        </w:tc>
        <w:tc>
          <w:tcPr>
            <w:tcW w:type="dxa" w:w="9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20"/>
              <w:jc w:val="both"/>
            </w:pPr>
            <w:r>
              <w:rPr>
                <w:sz w:val="20"/>
              </w:rPr>
              <w:t>绿色建材</w:t>
            </w:r>
          </w:p>
          <w:p>
            <w:pPr>
              <w:pStyle w:val="null3"/>
              <w:ind w:left="60"/>
              <w:jc w:val="both"/>
            </w:pPr>
            <w:r>
              <w:rPr>
                <w:sz w:val="20"/>
              </w:rPr>
              <w:t>采购数量比重(%)</w:t>
            </w:r>
          </w:p>
        </w:tc>
        <w:tc>
          <w:tcPr>
            <w:tcW w:type="dxa" w:w="94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510" w:right="405"/>
              <w:jc w:val="both"/>
            </w:pPr>
            <w:r>
              <w:rPr>
                <w:sz w:val="20"/>
              </w:rPr>
              <w:t>建材采购总金额</w:t>
            </w:r>
          </w:p>
        </w:tc>
        <w:tc>
          <w:tcPr>
            <w:tcW w:type="dxa" w:w="9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330" w:right="330" w:firstLine="100"/>
              <w:jc w:val="both"/>
            </w:pPr>
            <w:r>
              <w:rPr>
                <w:sz w:val="20"/>
              </w:rPr>
              <w:t>绿色建材</w:t>
            </w:r>
            <w:r>
              <w:rPr>
                <w:sz w:val="20"/>
              </w:rPr>
              <w:t>采购总金额</w:t>
            </w:r>
          </w:p>
        </w:tc>
        <w:tc>
          <w:tcPr>
            <w:tcW w:type="dxa" w:w="9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35"/>
              <w:jc w:val="both"/>
            </w:pPr>
            <w:r>
              <w:rPr>
                <w:sz w:val="20"/>
              </w:rPr>
              <w:t>绿色建材</w:t>
            </w:r>
          </w:p>
          <w:p>
            <w:pPr>
              <w:pStyle w:val="null3"/>
              <w:ind w:left="75"/>
              <w:jc w:val="both"/>
            </w:pPr>
            <w:r>
              <w:rPr>
                <w:sz w:val="20"/>
              </w:rPr>
              <w:t>采购金额比重(%)</w:t>
            </w:r>
          </w:p>
        </w:tc>
      </w:tr>
      <w:tr>
        <w:tc>
          <w:tcPr>
            <w:tcW w:type="dxa" w:w="2135"/>
            <w:gridSpan w:val="3"/>
            <w:vMerge/>
            <w:tcBorders>
              <w:top w:val="single" w:color="000000" w:sz="4"/>
              <w:left w:val="single" w:color="000000" w:sz="4"/>
              <w:bottom w:val="single" w:color="000000" w:sz="4"/>
              <w:right w:val="single" w:color="000000" w:sz="4"/>
            </w:tcBorders>
          </w:tcPr>
          <w:p/>
        </w:tc>
        <w:tc>
          <w:tcPr>
            <w:tcW w:type="dxa" w:w="491"/>
            <w:vMerge/>
            <w:tcBorders>
              <w:top w:val="single" w:color="000000" w:sz="4"/>
              <w:left w:val="none" w:color="000000" w:sz="4"/>
              <w:bottom w:val="single" w:color="000000" w:sz="4"/>
              <w:right w:val="single" w:color="000000" w:sz="4"/>
            </w:tcBorders>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1</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2</w:t>
            </w: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3</w:t>
            </w: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4</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5</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6</w:t>
            </w:r>
          </w:p>
        </w:tc>
      </w:tr>
      <w:tr>
        <w:tc>
          <w:tcPr>
            <w:tcW w:type="dxa" w:w="46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围护结构</w:t>
            </w:r>
            <w:r>
              <w:rPr>
                <w:sz w:val="20"/>
              </w:rPr>
              <w:t>材料</w:t>
            </w: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sz w:val="20"/>
              </w:rPr>
              <w:t>防腐材料</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17</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硅酮密封胶</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18</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其它密封胶</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19</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遮阳产品</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20</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混凝土结构外防护材料</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21</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建筑结构加固胶</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22</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工程修复材料</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23</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纸面石膏板</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24</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吊顶材料</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25</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泡沫铝板</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26</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其他隔墙隔断材料</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27</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墙面陶瓷砖(板)</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28</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空气净化材料</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29</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73"/>
            <w:vMerge/>
            <w:tcBorders>
              <w:top w:val="none" w:color="000000" w:sz="4"/>
              <w:left w:val="none" w:color="000000" w:sz="4"/>
              <w:bottom w:val="single" w:color="000000" w:sz="4"/>
              <w:right w:val="single" w:color="000000" w:sz="4"/>
            </w:tcBorders>
          </w:tcPr>
          <w:p/>
        </w:tc>
        <w:tc>
          <w:tcPr>
            <w:tcW w:type="dxa" w:w="119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反射隔热涂料</w:t>
            </w:r>
          </w:p>
        </w:tc>
        <w:tc>
          <w:tcPr>
            <w:tcW w:type="dxa" w:w="4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30</w:t>
            </w: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472"/>
        <w:gridCol w:w="472"/>
        <w:gridCol w:w="1212"/>
        <w:gridCol w:w="472"/>
        <w:gridCol w:w="937"/>
        <w:gridCol w:w="954"/>
        <w:gridCol w:w="937"/>
        <w:gridCol w:w="954"/>
        <w:gridCol w:w="954"/>
        <w:gridCol w:w="945"/>
      </w:tblGrid>
      <w:tr>
        <w:tc>
          <w:tcPr>
            <w:tcW w:type="dxa" w:w="2156"/>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50"/>
              <w:jc w:val="both"/>
            </w:pPr>
            <w:r>
              <w:rPr>
                <w:sz w:val="19"/>
              </w:rPr>
              <w:t>项 目</w:t>
            </w:r>
          </w:p>
        </w:tc>
        <w:tc>
          <w:tcPr>
            <w:tcW w:type="dxa" w:w="47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300"/>
              <w:jc w:val="both"/>
            </w:pPr>
            <w:r>
              <w:rPr>
                <w:sz w:val="19"/>
              </w:rPr>
              <w:t>行</w:t>
            </w:r>
          </w:p>
        </w:tc>
        <w:tc>
          <w:tcPr>
            <w:tcW w:type="dxa" w:w="9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25" w:right="450"/>
              <w:jc w:val="both"/>
            </w:pPr>
            <w:r>
              <w:rPr>
                <w:sz w:val="19"/>
              </w:rPr>
              <w:t>建材采购</w:t>
            </w:r>
            <w:r>
              <w:rPr>
                <w:sz w:val="19"/>
              </w:rPr>
              <w:t>总数量</w:t>
            </w:r>
          </w:p>
        </w:tc>
        <w:tc>
          <w:tcPr>
            <w:tcW w:type="dxa" w:w="9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45" w:right="360" w:firstLine="100"/>
              <w:jc w:val="both"/>
            </w:pPr>
            <w:r>
              <w:rPr>
                <w:sz w:val="19"/>
              </w:rPr>
              <w:t>绿色建材</w:t>
            </w:r>
            <w:r>
              <w:rPr>
                <w:sz w:val="19"/>
              </w:rPr>
              <w:t>采购总数量</w:t>
            </w:r>
          </w:p>
        </w:tc>
        <w:tc>
          <w:tcPr>
            <w:tcW w:type="dxa" w:w="93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435"/>
              <w:jc w:val="both"/>
            </w:pPr>
            <w:r>
              <w:rPr>
                <w:sz w:val="19"/>
              </w:rPr>
              <w:t>绿色建材</w:t>
            </w:r>
          </w:p>
          <w:p>
            <w:pPr>
              <w:pStyle w:val="null3"/>
              <w:spacing w:before="30"/>
              <w:ind w:left="90"/>
              <w:jc w:val="both"/>
            </w:pPr>
            <w:r>
              <w:rPr>
                <w:sz w:val="19"/>
              </w:rPr>
              <w:t>采购数量比重(%)</w:t>
            </w:r>
          </w:p>
        </w:tc>
        <w:tc>
          <w:tcPr>
            <w:tcW w:type="dxa" w:w="9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55" w:right="450"/>
              <w:jc w:val="both"/>
            </w:pPr>
            <w:r>
              <w:rPr>
                <w:sz w:val="19"/>
              </w:rPr>
              <w:t>建材采购</w:t>
            </w:r>
            <w:r>
              <w:rPr>
                <w:sz w:val="19"/>
              </w:rPr>
              <w:t>总金额</w:t>
            </w:r>
          </w:p>
        </w:tc>
        <w:tc>
          <w:tcPr>
            <w:tcW w:type="dxa" w:w="9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45" w:right="360" w:firstLine="100"/>
              <w:jc w:val="both"/>
            </w:pPr>
            <w:r>
              <w:rPr>
                <w:sz w:val="19"/>
              </w:rPr>
              <w:t>绿色建材</w:t>
            </w:r>
            <w:r>
              <w:rPr>
                <w:sz w:val="19"/>
              </w:rPr>
              <w:t>采购总金额</w:t>
            </w:r>
          </w:p>
        </w:tc>
        <w:tc>
          <w:tcPr>
            <w:tcW w:type="dxa" w:w="9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435"/>
              <w:jc w:val="both"/>
            </w:pPr>
            <w:r>
              <w:rPr>
                <w:sz w:val="19"/>
              </w:rPr>
              <w:t>绿色建材</w:t>
            </w:r>
          </w:p>
          <w:p>
            <w:pPr>
              <w:pStyle w:val="null3"/>
              <w:ind w:left="105"/>
              <w:jc w:val="both"/>
            </w:pPr>
            <w:r>
              <w:rPr>
                <w:sz w:val="19"/>
              </w:rPr>
              <w:t>采购金额比重(%)</w:t>
            </w:r>
          </w:p>
        </w:tc>
      </w:tr>
      <w:tr>
        <w:tc>
          <w:tcPr>
            <w:tcW w:type="dxa" w:w="2156"/>
            <w:gridSpan w:val="3"/>
            <w:vMerge/>
            <w:tcBorders>
              <w:top w:val="single" w:color="000000" w:sz="4"/>
              <w:left w:val="single" w:color="000000" w:sz="4"/>
              <w:bottom w:val="single" w:color="000000" w:sz="4"/>
              <w:right w:val="single" w:color="000000" w:sz="4"/>
            </w:tcBorders>
          </w:tcPr>
          <w:p/>
        </w:tc>
        <w:tc>
          <w:tcPr>
            <w:tcW w:type="dxa" w:w="472"/>
            <w:vMerge/>
            <w:tcBorders>
              <w:top w:val="singl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19"/>
              </w:rPr>
              <w:t>1</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19"/>
              </w:rPr>
              <w:t>2</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19"/>
              </w:rPr>
              <w:t>3</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19"/>
              </w:rPr>
              <w:t>4</w:t>
            </w: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19"/>
              </w:rPr>
              <w:t>5</w:t>
            </w: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19"/>
              </w:rPr>
              <w:t>6</w:t>
            </w:r>
          </w:p>
        </w:tc>
      </w:tr>
      <w:tr>
        <w:tc>
          <w:tcPr>
            <w:tcW w:type="dxa" w:w="47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765"/>
              <w:jc w:val="both"/>
            </w:pPr>
            <w:r>
              <w:rPr>
                <w:sz w:val="19"/>
              </w:rPr>
              <w:t>可选类绿色建材</w:t>
            </w:r>
          </w:p>
        </w:tc>
        <w:tc>
          <w:tcPr>
            <w:tcW w:type="dxa" w:w="472"/>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19"/>
              </w:rPr>
              <w:t>建筑装饰</w:t>
            </w:r>
          </w:p>
          <w:p>
            <w:pPr>
              <w:pStyle w:val="null3"/>
              <w:spacing w:before="15"/>
              <w:ind w:left="15"/>
              <w:jc w:val="both"/>
            </w:pPr>
            <w:r>
              <w:rPr>
                <w:sz w:val="19"/>
              </w:rPr>
              <w:t>装修材料</w:t>
            </w: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sz w:val="19"/>
              </w:rPr>
              <w:t>壁纸壁布</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31</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石材</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32</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镁质装饰材料</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33</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镀锌轻钢龙骨</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34</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重组材</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35</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地面陶瓷砖(板)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36</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木地板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37</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竹集成材地板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00"/>
              <w:jc w:val="both"/>
            </w:pPr>
            <w:r>
              <w:rPr>
                <w:sz w:val="19"/>
              </w:rPr>
              <w:t>38</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竹材饰面木质地板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39</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弹性地板</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40</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透水铺装材料</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41</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卫生洁具</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42</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五金配件</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43</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12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合成材料面层运动场地</w:t>
            </w:r>
          </w:p>
        </w:tc>
        <w:tc>
          <w:tcPr>
            <w:tcW w:type="dxa" w:w="4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00"/>
              <w:jc w:val="both"/>
            </w:pPr>
            <w:r>
              <w:rPr>
                <w:sz w:val="19"/>
              </w:rPr>
              <w:t>44</w:t>
            </w: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3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466"/>
        <w:gridCol w:w="474"/>
        <w:gridCol w:w="1200"/>
        <w:gridCol w:w="492"/>
        <w:gridCol w:w="941"/>
        <w:gridCol w:w="958"/>
        <w:gridCol w:w="941"/>
        <w:gridCol w:w="941"/>
        <w:gridCol w:w="958"/>
        <w:gridCol w:w="949"/>
      </w:tblGrid>
      <w:tr>
        <w:tc>
          <w:tcPr>
            <w:tcW w:type="dxa" w:w="2140"/>
            <w:gridSpan w:val="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620"/>
              <w:jc w:val="both"/>
            </w:pPr>
            <w:r>
              <w:rPr>
                <w:sz w:val="20"/>
              </w:rPr>
              <w:t>项 目</w:t>
            </w:r>
          </w:p>
        </w:tc>
        <w:tc>
          <w:tcPr>
            <w:tcW w:type="dxa" w:w="49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70"/>
              <w:ind w:left="315"/>
              <w:jc w:val="both"/>
            </w:pPr>
            <w:r>
              <w:rPr>
                <w:sz w:val="20"/>
              </w:rPr>
              <w:t>行</w:t>
            </w:r>
          </w:p>
        </w:tc>
        <w:tc>
          <w:tcPr>
            <w:tcW w:type="dxa" w:w="9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540" w:right="405"/>
              <w:jc w:val="both"/>
            </w:pPr>
            <w:r>
              <w:rPr>
                <w:sz w:val="20"/>
              </w:rPr>
              <w:t>建材采购总数量</w:t>
            </w:r>
          </w:p>
        </w:tc>
        <w:tc>
          <w:tcPr>
            <w:tcW w:type="dxa" w:w="9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330" w:right="330" w:firstLine="100"/>
              <w:jc w:val="both"/>
            </w:pPr>
            <w:r>
              <w:rPr>
                <w:sz w:val="20"/>
              </w:rPr>
              <w:t>绿色建材</w:t>
            </w:r>
            <w:r>
              <w:rPr>
                <w:sz w:val="20"/>
              </w:rPr>
              <w:t>采购总数量</w:t>
            </w:r>
          </w:p>
        </w:tc>
        <w:tc>
          <w:tcPr>
            <w:tcW w:type="dxa" w:w="9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20"/>
              <w:jc w:val="both"/>
            </w:pPr>
            <w:r>
              <w:rPr>
                <w:sz w:val="20"/>
              </w:rPr>
              <w:t>绿色建材</w:t>
            </w:r>
          </w:p>
          <w:p>
            <w:pPr>
              <w:pStyle w:val="null3"/>
              <w:ind w:left="60"/>
              <w:jc w:val="both"/>
            </w:pPr>
            <w:r>
              <w:rPr>
                <w:sz w:val="20"/>
              </w:rPr>
              <w:t>采购数量比重(%)</w:t>
            </w:r>
          </w:p>
        </w:tc>
        <w:tc>
          <w:tcPr>
            <w:tcW w:type="dxa" w:w="9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510" w:right="405"/>
              <w:jc w:val="both"/>
            </w:pPr>
            <w:r>
              <w:rPr>
                <w:sz w:val="20"/>
              </w:rPr>
              <w:t>建材采购总金额</w:t>
            </w:r>
          </w:p>
        </w:tc>
        <w:tc>
          <w:tcPr>
            <w:tcW w:type="dxa" w:w="9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
              <w:ind w:left="330" w:right="330" w:firstLine="100"/>
              <w:jc w:val="both"/>
            </w:pPr>
            <w:r>
              <w:rPr>
                <w:sz w:val="20"/>
              </w:rPr>
              <w:t>绿色建材</w:t>
            </w:r>
            <w:r>
              <w:rPr>
                <w:sz w:val="20"/>
              </w:rPr>
              <w:t>采购总金额</w:t>
            </w:r>
          </w:p>
        </w:tc>
        <w:tc>
          <w:tcPr>
            <w:tcW w:type="dxa" w:w="94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20"/>
              <w:jc w:val="both"/>
            </w:pPr>
            <w:r>
              <w:rPr>
                <w:sz w:val="20"/>
              </w:rPr>
              <w:t>绿色建材</w:t>
            </w:r>
          </w:p>
          <w:p>
            <w:pPr>
              <w:pStyle w:val="null3"/>
              <w:spacing w:before="15"/>
              <w:ind w:left="75"/>
              <w:jc w:val="both"/>
            </w:pPr>
            <w:r>
              <w:rPr>
                <w:sz w:val="20"/>
              </w:rPr>
              <w:t>采购金额比重(%)</w:t>
            </w:r>
          </w:p>
        </w:tc>
      </w:tr>
      <w:tr>
        <w:tc>
          <w:tcPr>
            <w:tcW w:type="dxa" w:w="2140"/>
            <w:gridSpan w:val="3"/>
            <w:vMerge/>
            <w:tcBorders>
              <w:top w:val="single" w:color="000000" w:sz="4"/>
              <w:left w:val="single" w:color="000000" w:sz="4"/>
              <w:bottom w:val="single" w:color="000000" w:sz="4"/>
              <w:right w:val="single" w:color="000000" w:sz="4"/>
            </w:tcBorders>
          </w:tcPr>
          <w:p/>
        </w:tc>
        <w:tc>
          <w:tcPr>
            <w:tcW w:type="dxa" w:w="492"/>
            <w:vMerge/>
            <w:tcBorders>
              <w:top w:val="single" w:color="000000" w:sz="4"/>
              <w:left w:val="none" w:color="000000" w:sz="4"/>
              <w:bottom w:val="single" w:color="000000" w:sz="4"/>
              <w:right w:val="single" w:color="000000" w:sz="4"/>
            </w:tcBorders>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1</w:t>
            </w: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2</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3</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50"/>
              <w:jc w:val="both"/>
            </w:pPr>
            <w:r>
              <w:rPr>
                <w:sz w:val="20"/>
              </w:rPr>
              <w:t>4</w:t>
            </w: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80"/>
              <w:jc w:val="both"/>
            </w:pPr>
            <w:r>
              <w:rPr>
                <w:sz w:val="20"/>
              </w:rPr>
              <w:t>5</w:t>
            </w: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765"/>
              <w:jc w:val="both"/>
            </w:pPr>
            <w:r>
              <w:rPr>
                <w:sz w:val="20"/>
              </w:rPr>
              <w:t>6</w:t>
            </w:r>
          </w:p>
        </w:tc>
      </w:tr>
      <w:tr>
        <w:tc>
          <w:tcPr>
            <w:tcW w:type="dxa" w:w="46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7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right"/>
            </w:pPr>
            <w:r>
              <w:rPr>
                <w:sz w:val="20"/>
              </w:rPr>
              <w:t>设施设备</w:t>
            </w: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sz w:val="20"/>
              </w:rPr>
              <w:t>管材管件</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45</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阀门</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46</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中水处理设备</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47</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净水设备</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48</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软化设备</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49</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雨水回收系统</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50</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二次供水设备</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51</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冷热源设备</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52</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通风系统设备</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53</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太阳能光伏发电系统</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54</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电气照明</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55</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高低压配电柜</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315"/>
              <w:jc w:val="both"/>
            </w:pPr>
            <w:r>
              <w:rPr>
                <w:sz w:val="20"/>
              </w:rPr>
              <w:t>56</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466"/>
            <w:vMerge/>
            <w:tcBorders>
              <w:top w:val="none" w:color="000000" w:sz="4"/>
              <w:left w:val="single" w:color="000000" w:sz="4"/>
              <w:bottom w:val="single" w:color="000000" w:sz="4"/>
              <w:right w:val="single" w:color="000000" w:sz="4"/>
            </w:tcBorders>
          </w:tcPr>
          <w:p/>
        </w:tc>
        <w:tc>
          <w:tcPr>
            <w:tcW w:type="dxa" w:w="474"/>
            <w:vMerge/>
            <w:tcBorders>
              <w:top w:val="none" w:color="000000" w:sz="4"/>
              <w:left w:val="none" w:color="000000" w:sz="4"/>
              <w:bottom w:val="single" w:color="000000" w:sz="4"/>
              <w:right w:val="single" w:color="000000" w:sz="4"/>
            </w:tcBorders>
          </w:tcPr>
          <w:p/>
        </w:tc>
        <w:tc>
          <w:tcPr>
            <w:tcW w:type="dxa" w:w="12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母线槽</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57</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14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其他</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315"/>
              <w:jc w:val="both"/>
            </w:pPr>
            <w:r>
              <w:rPr>
                <w:sz w:val="20"/>
              </w:rPr>
              <w:t>58</w:t>
            </w: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440001-2026-01095</w:t>
      </w:r>
    </w:p>
    <w:p>
      <w:pPr>
        <w:pStyle w:val="null3"/>
        <w:jc w:val="center"/>
        <w:outlineLvl w:val="3"/>
      </w:pPr>
      <w:r>
        <w:rPr>
          <w:sz w:val="24"/>
          <w:b/>
        </w:rPr>
        <w:t>采购项目编号：</w:t>
      </w:r>
      <w:r>
        <w:rPr>
          <w:sz w:val="24"/>
          <w:b/>
        </w:rPr>
        <w:t>GPCGD261156GC013J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华南农业大学兽医学院新楼8、9楼北侧部分实验室装修工程</w:t>
      </w:r>
      <w:r>
        <w:rPr>
          <w:u w:val="single"/>
        </w:rPr>
        <w:t>”</w:t>
      </w:r>
      <w:r>
        <w:rPr/>
        <w:t>项目的竞争性磋商[采购项目编号为：</w:t>
      </w:r>
      <w:r>
        <w:rPr>
          <w:u w:val="single"/>
        </w:rPr>
        <w:t>GPCGD261156GC013J</w:t>
      </w:r>
      <w:r>
        <w:rPr/>
        <w:t>]，我方愿参与响应。</w:t>
      </w:r>
    </w:p>
    <w:p>
      <w:pPr>
        <w:pStyle w:val="null3"/>
        <w:ind w:firstLine="480"/>
      </w:pPr>
      <w:r>
        <w:rPr/>
        <w:t>我方确认收到贵方提供的</w:t>
      </w:r>
      <w:r>
        <w:rPr>
          <w:u w:val="single"/>
        </w:rPr>
        <w:t>“</w:t>
      </w:r>
      <w:r>
        <w:rPr>
          <w:u w:val="single"/>
        </w:rPr>
        <w:t>华南农业大学兽医学院新楼8、9楼北侧部分实验室装修工程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华南农业大学兽医学院新楼8、9楼北侧部分实验室装修工程</w:t>
      </w:r>
      <w:r>
        <w:rPr/>
        <w:t>”项目采购[采购项目编号为</w:t>
      </w:r>
      <w:r>
        <w:rPr/>
        <w:t>GPCGD261156GC013J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华南农业大学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华南农业大学兽医学院新楼8、9楼北侧部分实验室装修工程</w:t>
      </w:r>
      <w:r>
        <w:rPr/>
        <w:t>（采购项目编号：</w:t>
      </w:r>
      <w:r>
        <w:rPr/>
        <w:t>GPCGD261156GC013J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华南农业大学兽医学院新楼8、9楼北侧部分实验室装修工程</w:t>
      </w:r>
      <w:r>
        <w:rPr/>
        <w:t>”项目（采购项目编号：</w:t>
      </w:r>
      <w:r>
        <w:rPr/>
        <w:t>GPCGD261156GC013J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