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rPr>
          <w:rFonts w:hint="eastAsia"/>
        </w:rPr>
      </w:pPr>
      <w:r>
        <w:rPr>
          <w:rFonts w:hint="eastAsia"/>
          <w:highlight w:val="white"/>
        </w:rPr>
        <w:t>采购内容与</w:t>
      </w:r>
      <w:r>
        <w:rPr>
          <w:highlight w:val="white"/>
        </w:rPr>
        <w:t>要求</w:t>
      </w:r>
    </w:p>
    <w:p>
      <w:pPr>
        <w:rPr>
          <w:rFonts w:hint="eastAsia"/>
          <w:highlight w:val="red"/>
        </w:rPr>
      </w:pPr>
      <w:bookmarkStart w:id="0" w:name="EB469f22d861c64ce29b6fd03a79836fb8"/>
    </w:p>
    <w:p>
      <w:pPr>
        <w:pStyle w:val="5"/>
        <w:keepNext w:val="0"/>
        <w:keepLines w:val="0"/>
        <w:pageBreakBefore w:val="0"/>
        <w:widowControl w:val="0"/>
        <w:kinsoku/>
        <w:wordWrap/>
        <w:overflowPunct/>
        <w:topLinePunct w:val="0"/>
        <w:autoSpaceDE/>
        <w:autoSpaceDN/>
        <w:bidi w:val="0"/>
        <w:adjustRightInd/>
        <w:snapToGrid/>
        <w:spacing w:line="460" w:lineRule="exact"/>
        <w:jc w:val="center"/>
        <w:textAlignment w:val="auto"/>
        <w:rPr>
          <w:rStyle w:val="4"/>
          <w:rFonts w:hint="eastAsia" w:ascii="宋体" w:hAnsi="宋体" w:eastAsia="宋体" w:cs="宋体"/>
          <w:b/>
          <w:bCs/>
          <w:color w:val="auto"/>
          <w:sz w:val="32"/>
          <w:szCs w:val="32"/>
          <w:highlight w:val="none"/>
          <w:lang w:val="en-US" w:eastAsia="zh-CN"/>
        </w:rPr>
      </w:pPr>
      <w:r>
        <w:rPr>
          <w:rStyle w:val="4"/>
          <w:rFonts w:hint="eastAsia" w:ascii="宋体" w:hAnsi="宋体" w:eastAsia="宋体" w:cs="宋体"/>
          <w:b/>
          <w:bCs/>
          <w:color w:val="auto"/>
          <w:sz w:val="32"/>
          <w:szCs w:val="32"/>
          <w:highlight w:val="none"/>
          <w:lang w:val="en-US" w:eastAsia="zh-CN"/>
        </w:rPr>
        <w:t>包1：DNA检验耗材</w:t>
      </w:r>
    </w:p>
    <w:p>
      <w:pPr>
        <w:pStyle w:val="5"/>
        <w:keepNext w:val="0"/>
        <w:keepLines w:val="0"/>
        <w:pageBreakBefore w:val="0"/>
        <w:widowControl w:val="0"/>
        <w:kinsoku/>
        <w:wordWrap/>
        <w:overflowPunct/>
        <w:topLinePunct w:val="0"/>
        <w:autoSpaceDE/>
        <w:autoSpaceDN/>
        <w:bidi w:val="0"/>
        <w:adjustRightInd/>
        <w:snapToGrid/>
        <w:spacing w:line="460" w:lineRule="exact"/>
        <w:jc w:val="center"/>
        <w:textAlignment w:val="auto"/>
        <w:rPr>
          <w:rStyle w:val="4"/>
          <w:rFonts w:hint="eastAsia" w:ascii="宋体" w:hAnsi="宋体" w:eastAsia="宋体" w:cs="宋体"/>
          <w:color w:val="auto"/>
          <w:sz w:val="28"/>
          <w:szCs w:val="28"/>
          <w:highlight w:val="none"/>
          <w:lang w:val="en-US" w:eastAsia="zh-CN"/>
        </w:rPr>
      </w:pPr>
      <w:r>
        <w:rPr>
          <w:rStyle w:val="4"/>
          <w:rFonts w:hint="eastAsia" w:ascii="宋体" w:hAnsi="宋体" w:eastAsia="宋体" w:cs="宋体"/>
          <w:color w:val="auto"/>
          <w:sz w:val="28"/>
          <w:szCs w:val="28"/>
          <w:highlight w:val="none"/>
          <w:lang w:val="en-US" w:eastAsia="zh-CN"/>
        </w:rPr>
        <w:t>第一节 技术要求</w:t>
      </w:r>
    </w:p>
    <w:p>
      <w:pPr>
        <w:pStyle w:val="5"/>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Style w:val="4"/>
          <w:rFonts w:hint="eastAsia" w:ascii="宋体" w:hAnsi="宋体" w:eastAsia="宋体" w:cs="宋体"/>
          <w:color w:val="auto"/>
          <w:sz w:val="24"/>
          <w:szCs w:val="24"/>
          <w:highlight w:val="none"/>
          <w:lang w:val="en-US" w:eastAsia="zh-CN"/>
        </w:rPr>
      </w:pPr>
      <w:r>
        <w:rPr>
          <w:rStyle w:val="4"/>
          <w:rFonts w:hint="eastAsia" w:ascii="宋体" w:hAnsi="宋体" w:eastAsia="宋体" w:cs="宋体"/>
          <w:color w:val="auto"/>
          <w:sz w:val="24"/>
          <w:szCs w:val="24"/>
          <w:highlight w:val="none"/>
          <w:lang w:val="en-US" w:eastAsia="zh-CN"/>
        </w:rPr>
        <w:t>以下技术参数中带“★”号条款为实质性要求条款（即重要条款）对其中任何一条的偏离，在评标时将其视为无效投标。标“▲”号条款为关键性条款（非“★”号条款），其他为一般条款（非“★”号条款），均参与计分。</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460" w:lineRule="exact"/>
        <w:jc w:val="left"/>
        <w:textAlignment w:val="auto"/>
        <w:rPr>
          <w:rStyle w:val="4"/>
          <w:rFonts w:hint="eastAsia" w:ascii="宋体" w:hAnsi="宋体" w:eastAsia="宋体" w:cs="宋体"/>
          <w:b/>
          <w:bCs/>
          <w:color w:val="auto"/>
          <w:sz w:val="24"/>
          <w:szCs w:val="24"/>
          <w:highlight w:val="none"/>
          <w:lang w:val="en-US" w:eastAsia="zh-CN"/>
        </w:rPr>
      </w:pPr>
      <w:r>
        <w:rPr>
          <w:rStyle w:val="4"/>
          <w:rFonts w:hint="eastAsia" w:ascii="宋体" w:hAnsi="宋体" w:eastAsia="宋体" w:cs="宋体"/>
          <w:b/>
          <w:bCs/>
          <w:color w:val="auto"/>
          <w:kern w:val="2"/>
          <w:sz w:val="24"/>
          <w:szCs w:val="24"/>
          <w:highlight w:val="none"/>
          <w:lang w:val="en-US" w:eastAsia="zh-CN" w:bidi="ar-SA"/>
        </w:rPr>
        <w:t>一、</w:t>
      </w:r>
      <w:r>
        <w:rPr>
          <w:rStyle w:val="4"/>
          <w:rFonts w:hint="eastAsia" w:ascii="宋体" w:hAnsi="宋体" w:eastAsia="宋体" w:cs="宋体"/>
          <w:b/>
          <w:bCs/>
          <w:color w:val="auto"/>
          <w:sz w:val="24"/>
          <w:szCs w:val="24"/>
          <w:highlight w:val="none"/>
          <w:lang w:val="en-US" w:eastAsia="zh-CN"/>
        </w:rPr>
        <w:t>采购内容、数量及技术要求</w:t>
      </w:r>
    </w:p>
    <w:tbl>
      <w:tblPr>
        <w:tblStyle w:val="3"/>
        <w:tblpPr w:leftFromText="180" w:rightFromText="180" w:vertAnchor="page" w:horzAnchor="page" w:tblpX="961" w:tblpY="5783"/>
        <w:tblW w:w="104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108"/>
        <w:gridCol w:w="778"/>
        <w:gridCol w:w="6183"/>
        <w:gridCol w:w="870"/>
        <w:gridCol w:w="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blHeader/>
          <w:jc w:val="center"/>
        </w:trPr>
        <w:tc>
          <w:tcPr>
            <w:tcW w:w="707" w:type="dxa"/>
            <w:noWrap w:val="0"/>
            <w:vAlign w:val="center"/>
          </w:tcPr>
          <w:p>
            <w:pPr>
              <w:pStyle w:val="5"/>
              <w:spacing w:after="0" w:line="240" w:lineRule="auto"/>
              <w:jc w:val="center"/>
              <w:rPr>
                <w:rStyle w:val="4"/>
                <w:rFonts w:hint="eastAsia" w:ascii="宋体" w:hAnsi="宋体" w:eastAsia="宋体" w:cs="宋体"/>
                <w:b/>
                <w:bCs/>
                <w:strike w:val="0"/>
                <w:dstrike w:val="0"/>
                <w:color w:val="auto"/>
                <w:sz w:val="24"/>
                <w:szCs w:val="24"/>
                <w:highlight w:val="none"/>
              </w:rPr>
            </w:pPr>
            <w:r>
              <w:rPr>
                <w:rStyle w:val="4"/>
                <w:rFonts w:hint="eastAsia" w:ascii="宋体" w:hAnsi="宋体" w:eastAsia="宋体" w:cs="宋体"/>
                <w:b/>
                <w:bCs/>
                <w:strike w:val="0"/>
                <w:dstrike w:val="0"/>
                <w:color w:val="auto"/>
                <w:sz w:val="24"/>
                <w:szCs w:val="24"/>
                <w:highlight w:val="none"/>
              </w:rPr>
              <w:t>序号</w:t>
            </w:r>
          </w:p>
        </w:tc>
        <w:tc>
          <w:tcPr>
            <w:tcW w:w="1108" w:type="dxa"/>
            <w:noWrap w:val="0"/>
            <w:vAlign w:val="center"/>
          </w:tcPr>
          <w:p>
            <w:pPr>
              <w:pStyle w:val="5"/>
              <w:spacing w:after="0" w:line="240" w:lineRule="auto"/>
              <w:jc w:val="center"/>
              <w:rPr>
                <w:rStyle w:val="4"/>
                <w:rFonts w:hint="eastAsia" w:ascii="宋体" w:hAnsi="宋体" w:eastAsia="宋体" w:cs="宋体"/>
                <w:b/>
                <w:bCs/>
                <w:strike w:val="0"/>
                <w:dstrike w:val="0"/>
                <w:color w:val="auto"/>
                <w:sz w:val="24"/>
                <w:szCs w:val="24"/>
                <w:highlight w:val="none"/>
              </w:rPr>
            </w:pPr>
            <w:r>
              <w:rPr>
                <w:rStyle w:val="4"/>
                <w:rFonts w:hint="eastAsia" w:ascii="宋体" w:hAnsi="宋体" w:eastAsia="宋体" w:cs="宋体"/>
                <w:b/>
                <w:bCs/>
                <w:strike w:val="0"/>
                <w:dstrike w:val="0"/>
                <w:color w:val="auto"/>
                <w:sz w:val="24"/>
                <w:szCs w:val="24"/>
                <w:highlight w:val="none"/>
              </w:rPr>
              <w:t>名称</w:t>
            </w:r>
          </w:p>
        </w:tc>
        <w:tc>
          <w:tcPr>
            <w:tcW w:w="778" w:type="dxa"/>
            <w:noWrap w:val="0"/>
            <w:vAlign w:val="center"/>
          </w:tcPr>
          <w:p>
            <w:pPr>
              <w:pStyle w:val="5"/>
              <w:spacing w:after="0" w:line="240" w:lineRule="auto"/>
              <w:jc w:val="center"/>
              <w:rPr>
                <w:rStyle w:val="4"/>
                <w:rFonts w:hint="eastAsia" w:ascii="宋体" w:hAnsi="宋体" w:eastAsia="宋体" w:cs="宋体"/>
                <w:b/>
                <w:bCs/>
                <w:strike w:val="0"/>
                <w:dstrike w:val="0"/>
                <w:color w:val="auto"/>
                <w:sz w:val="24"/>
                <w:szCs w:val="24"/>
                <w:highlight w:val="none"/>
              </w:rPr>
            </w:pPr>
            <w:r>
              <w:rPr>
                <w:rStyle w:val="4"/>
                <w:rFonts w:hint="eastAsia" w:ascii="宋体" w:hAnsi="宋体" w:eastAsia="宋体" w:cs="宋体"/>
                <w:b/>
                <w:bCs/>
                <w:strike w:val="0"/>
                <w:dstrike w:val="0"/>
                <w:color w:val="auto"/>
                <w:sz w:val="24"/>
                <w:szCs w:val="24"/>
                <w:highlight w:val="none"/>
              </w:rPr>
              <w:t>规格</w:t>
            </w:r>
          </w:p>
        </w:tc>
        <w:tc>
          <w:tcPr>
            <w:tcW w:w="6183" w:type="dxa"/>
            <w:noWrap w:val="0"/>
            <w:vAlign w:val="center"/>
          </w:tcPr>
          <w:p>
            <w:pPr>
              <w:pStyle w:val="5"/>
              <w:spacing w:after="0" w:line="240" w:lineRule="auto"/>
              <w:jc w:val="center"/>
              <w:rPr>
                <w:rStyle w:val="4"/>
                <w:rFonts w:hint="eastAsia" w:ascii="宋体" w:hAnsi="宋体" w:eastAsia="宋体" w:cs="宋体"/>
                <w:b/>
                <w:bCs/>
                <w:strike w:val="0"/>
                <w:dstrike w:val="0"/>
                <w:color w:val="auto"/>
                <w:sz w:val="24"/>
                <w:szCs w:val="24"/>
                <w:highlight w:val="none"/>
              </w:rPr>
            </w:pPr>
            <w:r>
              <w:rPr>
                <w:rStyle w:val="4"/>
                <w:rFonts w:hint="eastAsia" w:ascii="宋体" w:hAnsi="宋体" w:eastAsia="宋体" w:cs="宋体"/>
                <w:b/>
                <w:bCs/>
                <w:strike w:val="0"/>
                <w:dstrike w:val="0"/>
                <w:color w:val="auto"/>
                <w:sz w:val="24"/>
                <w:szCs w:val="24"/>
                <w:highlight w:val="none"/>
                <w:lang w:eastAsia="zh-CN"/>
              </w:rPr>
              <w:t>技术</w:t>
            </w:r>
            <w:r>
              <w:rPr>
                <w:rStyle w:val="4"/>
                <w:rFonts w:hint="eastAsia" w:ascii="宋体" w:hAnsi="宋体" w:eastAsia="宋体" w:cs="宋体"/>
                <w:b/>
                <w:bCs/>
                <w:strike w:val="0"/>
                <w:dstrike w:val="0"/>
                <w:color w:val="auto"/>
                <w:sz w:val="24"/>
                <w:szCs w:val="24"/>
                <w:highlight w:val="none"/>
              </w:rPr>
              <w:t>参数</w:t>
            </w:r>
            <w:r>
              <w:rPr>
                <w:rStyle w:val="4"/>
                <w:rFonts w:hint="eastAsia" w:ascii="宋体" w:hAnsi="宋体" w:eastAsia="宋体" w:cs="宋体"/>
                <w:b/>
                <w:bCs/>
                <w:strike w:val="0"/>
                <w:dstrike w:val="0"/>
                <w:color w:val="auto"/>
                <w:sz w:val="24"/>
                <w:szCs w:val="24"/>
                <w:highlight w:val="none"/>
                <w:lang w:val="en-US" w:eastAsia="zh-CN"/>
              </w:rPr>
              <w:t>要求</w:t>
            </w:r>
          </w:p>
        </w:tc>
        <w:tc>
          <w:tcPr>
            <w:tcW w:w="870" w:type="dxa"/>
            <w:noWrap w:val="0"/>
            <w:vAlign w:val="center"/>
          </w:tcPr>
          <w:p>
            <w:pPr>
              <w:pStyle w:val="5"/>
              <w:spacing w:after="0" w:line="240" w:lineRule="auto"/>
              <w:jc w:val="center"/>
              <w:rPr>
                <w:rStyle w:val="4"/>
                <w:rFonts w:hint="eastAsia" w:ascii="宋体" w:hAnsi="宋体" w:eastAsia="宋体" w:cs="宋体"/>
                <w:b/>
                <w:bCs/>
                <w:strike w:val="0"/>
                <w:dstrike w:val="0"/>
                <w:color w:val="auto"/>
                <w:sz w:val="24"/>
                <w:szCs w:val="24"/>
                <w:highlight w:val="none"/>
                <w:lang w:eastAsia="zh-CN"/>
              </w:rPr>
            </w:pPr>
            <w:r>
              <w:rPr>
                <w:rStyle w:val="4"/>
                <w:rFonts w:hint="eastAsia" w:ascii="宋体" w:hAnsi="宋体" w:eastAsia="宋体" w:cs="宋体"/>
                <w:b/>
                <w:bCs/>
                <w:strike w:val="0"/>
                <w:dstrike w:val="0"/>
                <w:color w:val="auto"/>
                <w:sz w:val="24"/>
                <w:szCs w:val="24"/>
                <w:highlight w:val="none"/>
              </w:rPr>
              <w:t>数量</w:t>
            </w:r>
          </w:p>
        </w:tc>
        <w:tc>
          <w:tcPr>
            <w:tcW w:w="830" w:type="dxa"/>
            <w:noWrap w:val="0"/>
            <w:vAlign w:val="center"/>
          </w:tcPr>
          <w:p>
            <w:pPr>
              <w:pStyle w:val="5"/>
              <w:spacing w:after="0" w:line="240" w:lineRule="auto"/>
              <w:jc w:val="center"/>
              <w:rPr>
                <w:rStyle w:val="4"/>
                <w:rFonts w:hint="eastAsia" w:ascii="宋体" w:hAnsi="宋体" w:eastAsia="宋体" w:cs="宋体"/>
                <w:b/>
                <w:bCs/>
                <w:strike w:val="0"/>
                <w:dstrike w:val="0"/>
                <w:color w:val="auto"/>
                <w:sz w:val="24"/>
                <w:szCs w:val="24"/>
                <w:highlight w:val="none"/>
                <w:lang w:eastAsia="zh-CN"/>
              </w:rPr>
            </w:pPr>
            <w:r>
              <w:rPr>
                <w:rStyle w:val="4"/>
                <w:rFonts w:hint="eastAsia" w:ascii="宋体" w:hAnsi="宋体" w:eastAsia="宋体" w:cs="宋体"/>
                <w:b/>
                <w:bCs/>
                <w:strike w:val="0"/>
                <w:dstrike w:val="0"/>
                <w:color w:val="auto"/>
                <w:sz w:val="24"/>
                <w:szCs w:val="24"/>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1</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rPr>
              <w:t>常染色体</w:t>
            </w:r>
            <w:r>
              <w:rPr>
                <w:rStyle w:val="4"/>
                <w:rFonts w:hint="eastAsia" w:ascii="宋体" w:hAnsi="宋体" w:eastAsia="宋体" w:cs="宋体"/>
                <w:strike w:val="0"/>
                <w:dstrike w:val="0"/>
                <w:color w:val="auto"/>
                <w:sz w:val="24"/>
                <w:szCs w:val="24"/>
                <w:highlight w:val="none"/>
              </w:rPr>
              <w:t>扩增试剂盒1</w:t>
            </w:r>
          </w:p>
          <w:p>
            <w:pPr>
              <w:pStyle w:val="5"/>
              <w:spacing w:after="0" w:line="240" w:lineRule="auto"/>
              <w:jc w:val="center"/>
              <w:rPr>
                <w:rStyle w:val="4"/>
                <w:rFonts w:hint="eastAsia" w:ascii="宋体" w:hAnsi="宋体" w:eastAsia="宋体" w:cs="宋体"/>
                <w:strike w:val="0"/>
                <w:dstrike w:val="0"/>
                <w:color w:val="auto"/>
                <w:sz w:val="24"/>
                <w:szCs w:val="24"/>
                <w:highlight w:val="none"/>
                <w:lang w:eastAsia="zh-CN"/>
              </w:rPr>
            </w:pPr>
            <w:r>
              <w:rPr>
                <w:rStyle w:val="4"/>
                <w:rFonts w:hint="eastAsia" w:ascii="宋体" w:hAnsi="宋体" w:eastAsia="宋体" w:cs="宋体"/>
                <w:b/>
                <w:bCs/>
                <w:strike w:val="0"/>
                <w:dstrike w:val="0"/>
                <w:color w:val="auto"/>
                <w:sz w:val="24"/>
                <w:szCs w:val="24"/>
                <w:highlight w:val="none"/>
                <w:lang w:eastAsia="zh-CN"/>
              </w:rPr>
              <w:t>（</w:t>
            </w:r>
            <w:r>
              <w:rPr>
                <w:rStyle w:val="4"/>
                <w:rFonts w:hint="eastAsia" w:ascii="宋体" w:hAnsi="宋体" w:eastAsia="宋体" w:cs="宋体"/>
                <w:b/>
                <w:bCs/>
                <w:strike w:val="0"/>
                <w:dstrike w:val="0"/>
                <w:color w:val="auto"/>
                <w:sz w:val="24"/>
                <w:szCs w:val="24"/>
                <w:highlight w:val="none"/>
                <w:lang w:val="en-US" w:eastAsia="zh-CN"/>
              </w:rPr>
              <w:t>核心产品</w:t>
            </w:r>
            <w:r>
              <w:rPr>
                <w:rStyle w:val="4"/>
                <w:rFonts w:hint="eastAsia" w:ascii="宋体" w:hAnsi="宋体" w:eastAsia="宋体" w:cs="宋体"/>
                <w:b/>
                <w:bCs/>
                <w:strike w:val="0"/>
                <w:dstrike w:val="0"/>
                <w:color w:val="auto"/>
                <w:sz w:val="24"/>
                <w:szCs w:val="24"/>
                <w:highlight w:val="none"/>
                <w:lang w:eastAsia="zh-CN"/>
              </w:rPr>
              <w:t>）</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200人份</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eastAsia="zh-CN" w:bidi="ar"/>
              </w:rPr>
            </w:pPr>
            <w:r>
              <w:rPr>
                <w:rStyle w:val="4"/>
                <w:rFonts w:hint="eastAsia" w:ascii="宋体" w:hAnsi="宋体" w:eastAsia="宋体" w:cs="宋体"/>
                <w:strike w:val="0"/>
                <w:dstrike w:val="0"/>
                <w:color w:val="auto"/>
                <w:sz w:val="24"/>
                <w:szCs w:val="24"/>
                <w:highlight w:val="none"/>
                <w:lang w:bidi="ar"/>
              </w:rPr>
              <w:t xml:space="preserve">1、标准反应体系25微升，200人份/盒。 </w:t>
            </w:r>
            <w:r>
              <w:rPr>
                <w:rStyle w:val="4"/>
                <w:rFonts w:hint="eastAsia" w:ascii="宋体" w:hAnsi="宋体" w:eastAsia="宋体" w:cs="宋体"/>
                <w:strike w:val="0"/>
                <w:dstrike w:val="0"/>
                <w:color w:val="auto"/>
                <w:sz w:val="24"/>
                <w:szCs w:val="24"/>
                <w:highlight w:val="none"/>
                <w:lang w:bidi="ar"/>
              </w:rPr>
              <w:br w:type="textWrapping"/>
            </w:r>
            <w:r>
              <w:rPr>
                <w:rStyle w:val="4"/>
                <w:rFonts w:hint="eastAsia" w:ascii="宋体" w:hAnsi="宋体" w:eastAsia="宋体" w:cs="宋体"/>
                <w:strike w:val="0"/>
                <w:dstrike w:val="0"/>
                <w:color w:val="auto"/>
                <w:sz w:val="24"/>
                <w:szCs w:val="24"/>
                <w:highlight w:val="none"/>
                <w:lang w:bidi="ar"/>
              </w:rPr>
              <w:t>2、在25μl扩增体系中，模板加样量最大可加样17.5μl。</w:t>
            </w:r>
            <w:r>
              <w:rPr>
                <w:rStyle w:val="4"/>
                <w:rFonts w:hint="eastAsia" w:ascii="宋体" w:hAnsi="宋体" w:eastAsia="宋体" w:cs="宋体"/>
                <w:strike w:val="0"/>
                <w:dstrike w:val="0"/>
                <w:color w:val="auto"/>
                <w:sz w:val="24"/>
                <w:szCs w:val="24"/>
                <w:highlight w:val="none"/>
                <w:lang w:bidi="ar"/>
              </w:rPr>
              <w:br w:type="textWrapping"/>
            </w:r>
            <w:r>
              <w:rPr>
                <w:rStyle w:val="4"/>
                <w:rFonts w:hint="eastAsia" w:ascii="宋体" w:hAnsi="宋体" w:eastAsia="宋体" w:cs="宋体"/>
                <w:strike w:val="0"/>
                <w:dstrike w:val="0"/>
                <w:color w:val="auto"/>
                <w:sz w:val="24"/>
                <w:szCs w:val="24"/>
                <w:highlight w:val="none"/>
                <w:lang w:bidi="ar"/>
              </w:rPr>
              <w:t>3、单管同时扩增25个位点：D18S51. FGA. D21S11. D8S1179. VWA. D13S317. D16S539. D7S820. TH01. D3S1358. D5S818. CSF1PO. D2S1338. D19S433. D1S1656. D12S391. D2S441. D10S1248. TPOX. D22S1045. D6S1043. Penta E. Penta D. Amelogen</w:t>
            </w:r>
            <w:r>
              <w:rPr>
                <w:rStyle w:val="4"/>
                <w:rFonts w:hint="eastAsia" w:ascii="宋体" w:hAnsi="宋体" w:eastAsia="宋体" w:cs="宋体"/>
                <w:strike w:val="0"/>
                <w:dstrike w:val="0"/>
                <w:color w:val="auto"/>
                <w:sz w:val="24"/>
                <w:szCs w:val="24"/>
                <w:highlight w:val="none"/>
                <w:lang w:val="en-US" w:eastAsia="zh-CN" w:bidi="ar"/>
              </w:rPr>
              <w:t>in</w:t>
            </w:r>
            <w:r>
              <w:rPr>
                <w:rStyle w:val="4"/>
                <w:rFonts w:hint="eastAsia" w:ascii="宋体" w:hAnsi="宋体" w:eastAsia="宋体" w:cs="宋体"/>
                <w:strike w:val="0"/>
                <w:dstrike w:val="0"/>
                <w:color w:val="auto"/>
                <w:sz w:val="24"/>
                <w:szCs w:val="24"/>
                <w:highlight w:val="none"/>
                <w:lang w:bidi="ar"/>
              </w:rPr>
              <w:t>以及Y-indel。</w:t>
            </w:r>
            <w:r>
              <w:rPr>
                <w:rStyle w:val="4"/>
                <w:rFonts w:hint="eastAsia" w:ascii="宋体" w:hAnsi="宋体" w:eastAsia="宋体" w:cs="宋体"/>
                <w:strike w:val="0"/>
                <w:dstrike w:val="0"/>
                <w:color w:val="auto"/>
                <w:sz w:val="24"/>
                <w:szCs w:val="24"/>
                <w:highlight w:val="none"/>
                <w:lang w:bidi="ar"/>
              </w:rPr>
              <w:br w:type="textWrapping"/>
            </w:r>
            <w:r>
              <w:rPr>
                <w:rStyle w:val="4"/>
                <w:rFonts w:hint="eastAsia" w:ascii="宋体" w:hAnsi="宋体" w:eastAsia="宋体" w:cs="宋体"/>
                <w:strike w:val="0"/>
                <w:dstrike w:val="0"/>
                <w:color w:val="auto"/>
                <w:sz w:val="24"/>
                <w:szCs w:val="24"/>
                <w:highlight w:val="none"/>
              </w:rPr>
              <w:t>▲</w:t>
            </w:r>
            <w:r>
              <w:rPr>
                <w:rStyle w:val="4"/>
                <w:rFonts w:hint="eastAsia" w:ascii="宋体" w:hAnsi="宋体" w:eastAsia="宋体" w:cs="宋体"/>
                <w:strike w:val="0"/>
                <w:dstrike w:val="0"/>
                <w:color w:val="auto"/>
                <w:sz w:val="24"/>
                <w:szCs w:val="24"/>
                <w:highlight w:val="none"/>
                <w:lang w:bidi="ar"/>
              </w:rPr>
              <w:t>4、试剂盒所有扩增片段长度小于440 bp</w:t>
            </w:r>
            <w:r>
              <w:rPr>
                <w:rStyle w:val="4"/>
                <w:rFonts w:hint="eastAsia" w:ascii="宋体" w:hAnsi="宋体" w:eastAsia="宋体" w:cs="宋体"/>
                <w:strike w:val="0"/>
                <w:dstrike w:val="0"/>
                <w:color w:val="auto"/>
                <w:sz w:val="24"/>
                <w:szCs w:val="24"/>
                <w:highlight w:val="none"/>
                <w:lang w:eastAsia="zh-CN" w:bidi="ar"/>
              </w:rPr>
              <w:t>。</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w:t>
            </w:r>
            <w:r>
              <w:rPr>
                <w:rStyle w:val="4"/>
                <w:rFonts w:hint="eastAsia" w:ascii="宋体" w:hAnsi="宋体" w:eastAsia="宋体" w:cs="宋体"/>
                <w:strike w:val="0"/>
                <w:dstrike w:val="0"/>
                <w:color w:val="auto"/>
                <w:sz w:val="24"/>
                <w:szCs w:val="24"/>
                <w:highlight w:val="none"/>
                <w:lang w:bidi="ar"/>
              </w:rPr>
              <w:t>5、试剂盒包含</w:t>
            </w:r>
            <w:r>
              <w:rPr>
                <w:rStyle w:val="4"/>
                <w:rFonts w:hint="eastAsia" w:ascii="宋体" w:hAnsi="宋体" w:eastAsia="宋体" w:cs="宋体"/>
                <w:strike w:val="0"/>
                <w:dstrike w:val="0"/>
                <w:color w:val="auto"/>
                <w:sz w:val="24"/>
                <w:szCs w:val="24"/>
                <w:highlight w:val="none"/>
                <w:lang w:val="en-US" w:eastAsia="zh-CN" w:bidi="ar"/>
              </w:rPr>
              <w:t>不少于</w:t>
            </w:r>
            <w:r>
              <w:rPr>
                <w:rStyle w:val="4"/>
                <w:rFonts w:hint="eastAsia" w:ascii="宋体" w:hAnsi="宋体" w:eastAsia="宋体" w:cs="宋体"/>
                <w:strike w:val="0"/>
                <w:dstrike w:val="0"/>
                <w:color w:val="auto"/>
                <w:sz w:val="24"/>
                <w:szCs w:val="24"/>
                <w:highlight w:val="none"/>
                <w:lang w:bidi="ar"/>
              </w:rPr>
              <w:t>11个扩增长度小于250bp的位点</w:t>
            </w:r>
            <w:r>
              <w:rPr>
                <w:rStyle w:val="4"/>
                <w:rFonts w:hint="eastAsia" w:ascii="宋体" w:hAnsi="宋体" w:eastAsia="宋体" w:cs="宋体"/>
                <w:strike w:val="0"/>
                <w:dstrike w:val="0"/>
                <w:color w:val="auto"/>
                <w:sz w:val="24"/>
                <w:szCs w:val="24"/>
                <w:highlight w:val="none"/>
                <w:lang w:eastAsia="zh-CN" w:bidi="ar"/>
              </w:rPr>
              <w:t>。</w:t>
            </w:r>
          </w:p>
          <w:p>
            <w:pPr>
              <w:pStyle w:val="5"/>
              <w:spacing w:after="0" w:line="240" w:lineRule="auto"/>
              <w:jc w:val="left"/>
              <w:rPr>
                <w:rStyle w:val="4"/>
                <w:rFonts w:hint="eastAsia" w:ascii="宋体" w:hAnsi="宋体" w:eastAsia="宋体" w:cs="宋体"/>
                <w:strike w:val="0"/>
                <w:dstrike w:val="0"/>
                <w:color w:val="auto"/>
                <w:sz w:val="24"/>
                <w:szCs w:val="24"/>
                <w:highlight w:val="none"/>
                <w:lang w:bidi="ar"/>
              </w:rPr>
            </w:pPr>
            <w:r>
              <w:rPr>
                <w:rStyle w:val="4"/>
                <w:rFonts w:hint="eastAsia" w:ascii="宋体" w:hAnsi="宋体" w:eastAsia="宋体" w:cs="宋体"/>
                <w:strike w:val="0"/>
                <w:dstrike w:val="0"/>
                <w:color w:val="auto"/>
                <w:sz w:val="24"/>
                <w:szCs w:val="24"/>
                <w:highlight w:val="none"/>
                <w:lang w:bidi="ar"/>
              </w:rPr>
              <w:t>6、扩增产物中须包含内控质量参考标记物，用于样品质量（如抑制物、降解）的快速评估。</w:t>
            </w:r>
            <w:r>
              <w:rPr>
                <w:rStyle w:val="4"/>
                <w:rFonts w:hint="eastAsia" w:ascii="宋体" w:hAnsi="宋体" w:eastAsia="宋体" w:cs="宋体"/>
                <w:strike w:val="0"/>
                <w:dstrike w:val="0"/>
                <w:color w:val="auto"/>
                <w:sz w:val="24"/>
                <w:szCs w:val="24"/>
                <w:highlight w:val="none"/>
                <w:lang w:bidi="ar"/>
              </w:rPr>
              <w:br w:type="textWrapping"/>
            </w:r>
            <w:r>
              <w:rPr>
                <w:rStyle w:val="4"/>
                <w:rFonts w:hint="eastAsia" w:ascii="宋体" w:hAnsi="宋体" w:eastAsia="宋体" w:cs="宋体"/>
                <w:strike w:val="0"/>
                <w:dstrike w:val="0"/>
                <w:color w:val="auto"/>
                <w:sz w:val="24"/>
                <w:szCs w:val="24"/>
                <w:highlight w:val="none"/>
                <w:lang w:bidi="ar"/>
              </w:rPr>
              <w:t xml:space="preserve">7、采用六色荧光技术，便于更清晰的分辨基因座标记。 </w:t>
            </w:r>
            <w:r>
              <w:rPr>
                <w:rStyle w:val="4"/>
                <w:rFonts w:hint="eastAsia" w:ascii="宋体" w:hAnsi="宋体" w:eastAsia="宋体" w:cs="宋体"/>
                <w:strike w:val="0"/>
                <w:dstrike w:val="0"/>
                <w:color w:val="auto"/>
                <w:sz w:val="24"/>
                <w:szCs w:val="24"/>
                <w:highlight w:val="none"/>
                <w:lang w:bidi="ar"/>
              </w:rPr>
              <w:br w:type="textWrapping"/>
            </w:r>
            <w:r>
              <w:rPr>
                <w:rStyle w:val="4"/>
                <w:rFonts w:hint="eastAsia" w:ascii="宋体" w:hAnsi="宋体" w:eastAsia="宋体" w:cs="宋体"/>
                <w:strike w:val="0"/>
                <w:dstrike w:val="0"/>
                <w:color w:val="auto"/>
                <w:sz w:val="24"/>
                <w:szCs w:val="24"/>
                <w:highlight w:val="none"/>
              </w:rPr>
              <w:t>▲</w:t>
            </w:r>
            <w:r>
              <w:rPr>
                <w:rStyle w:val="4"/>
                <w:rFonts w:hint="eastAsia" w:ascii="宋体" w:hAnsi="宋体" w:eastAsia="宋体" w:cs="宋体"/>
                <w:strike w:val="0"/>
                <w:dstrike w:val="0"/>
                <w:color w:val="auto"/>
                <w:sz w:val="24"/>
                <w:szCs w:val="24"/>
                <w:highlight w:val="none"/>
                <w:lang w:bidi="ar"/>
              </w:rPr>
              <w:t>8、试剂盒真实b</w:t>
            </w:r>
            <w:r>
              <w:rPr>
                <w:rStyle w:val="4"/>
                <w:rFonts w:hint="eastAsia" w:ascii="宋体" w:hAnsi="宋体" w:eastAsia="宋体" w:cs="宋体"/>
                <w:strike w:val="0"/>
                <w:dstrike w:val="0"/>
                <w:color w:val="auto"/>
                <w:sz w:val="24"/>
                <w:szCs w:val="24"/>
                <w:highlight w:val="none"/>
                <w:lang w:eastAsia="zh-CN" w:bidi="ar"/>
              </w:rPr>
              <w:t>in</w:t>
            </w:r>
            <w:r>
              <w:rPr>
                <w:rStyle w:val="4"/>
                <w:rFonts w:hint="eastAsia" w:ascii="宋体" w:hAnsi="宋体" w:eastAsia="宋体" w:cs="宋体"/>
                <w:strike w:val="0"/>
                <w:dstrike w:val="0"/>
                <w:color w:val="auto"/>
                <w:sz w:val="24"/>
                <w:szCs w:val="24"/>
                <w:highlight w:val="none"/>
                <w:lang w:bidi="ar"/>
              </w:rPr>
              <w:t>和虚拟b</w:t>
            </w:r>
            <w:r>
              <w:rPr>
                <w:rStyle w:val="4"/>
                <w:rFonts w:hint="eastAsia" w:ascii="宋体" w:hAnsi="宋体" w:eastAsia="宋体" w:cs="宋体"/>
                <w:strike w:val="0"/>
                <w:dstrike w:val="0"/>
                <w:color w:val="auto"/>
                <w:sz w:val="24"/>
                <w:szCs w:val="24"/>
                <w:highlight w:val="none"/>
                <w:lang w:eastAsia="zh-CN" w:bidi="ar"/>
              </w:rPr>
              <w:t>in</w:t>
            </w:r>
            <w:r>
              <w:rPr>
                <w:rStyle w:val="4"/>
                <w:rFonts w:hint="eastAsia" w:ascii="宋体" w:hAnsi="宋体" w:eastAsia="宋体" w:cs="宋体"/>
                <w:strike w:val="0"/>
                <w:dstrike w:val="0"/>
                <w:color w:val="auto"/>
                <w:sz w:val="24"/>
                <w:szCs w:val="24"/>
                <w:highlight w:val="none"/>
                <w:lang w:bidi="ar"/>
              </w:rPr>
              <w:t>的个数合计大于610个，有效降低OL的产生。</w:t>
            </w:r>
            <w:r>
              <w:rPr>
                <w:rStyle w:val="4"/>
                <w:rFonts w:hint="eastAsia" w:ascii="宋体" w:hAnsi="宋体" w:eastAsia="宋体" w:cs="宋体"/>
                <w:strike w:val="0"/>
                <w:dstrike w:val="0"/>
                <w:color w:val="auto"/>
                <w:sz w:val="24"/>
                <w:szCs w:val="24"/>
                <w:highlight w:val="none"/>
                <w:lang w:bidi="ar"/>
              </w:rPr>
              <w:br w:type="textWrapping"/>
            </w:r>
            <w:r>
              <w:rPr>
                <w:rStyle w:val="4"/>
                <w:rFonts w:hint="eastAsia" w:ascii="宋体" w:hAnsi="宋体" w:eastAsia="宋体" w:cs="宋体"/>
                <w:strike w:val="0"/>
                <w:dstrike w:val="0"/>
                <w:color w:val="auto"/>
                <w:sz w:val="24"/>
                <w:szCs w:val="24"/>
                <w:highlight w:val="none"/>
                <w:lang w:val="en-US" w:eastAsia="zh-CN" w:bidi="ar"/>
              </w:rPr>
              <w:t>9</w:t>
            </w:r>
            <w:r>
              <w:rPr>
                <w:rStyle w:val="4"/>
                <w:rFonts w:hint="eastAsia" w:ascii="宋体" w:hAnsi="宋体" w:eastAsia="宋体" w:cs="宋体"/>
                <w:strike w:val="0"/>
                <w:dstrike w:val="0"/>
                <w:color w:val="auto"/>
                <w:sz w:val="24"/>
                <w:szCs w:val="24"/>
                <w:highlight w:val="none"/>
                <w:lang w:bidi="ar"/>
              </w:rPr>
              <w:t>、采用快速扩增酶和高效缓冲体系，能够缩短PCR扩增时间至90分钟以内。</w:t>
            </w:r>
            <w:r>
              <w:rPr>
                <w:rStyle w:val="4"/>
                <w:rFonts w:hint="eastAsia" w:ascii="宋体" w:hAnsi="宋体" w:eastAsia="宋体" w:cs="宋体"/>
                <w:strike w:val="0"/>
                <w:dstrike w:val="0"/>
                <w:color w:val="auto"/>
                <w:sz w:val="24"/>
                <w:szCs w:val="24"/>
                <w:highlight w:val="none"/>
                <w:lang w:bidi="ar"/>
              </w:rPr>
              <w:br w:type="textWrapping"/>
            </w:r>
            <w:r>
              <w:rPr>
                <w:rStyle w:val="4"/>
                <w:rFonts w:hint="eastAsia" w:ascii="宋体" w:hAnsi="宋体" w:eastAsia="宋体" w:cs="宋体"/>
                <w:strike w:val="0"/>
                <w:dstrike w:val="0"/>
                <w:color w:val="auto"/>
                <w:sz w:val="24"/>
                <w:szCs w:val="24"/>
                <w:highlight w:val="none"/>
                <w:lang w:bidi="ar"/>
              </w:rPr>
              <w:t>1</w:t>
            </w:r>
            <w:r>
              <w:rPr>
                <w:rStyle w:val="4"/>
                <w:rFonts w:hint="eastAsia" w:ascii="宋体" w:hAnsi="宋体" w:eastAsia="宋体" w:cs="宋体"/>
                <w:strike w:val="0"/>
                <w:dstrike w:val="0"/>
                <w:color w:val="auto"/>
                <w:sz w:val="24"/>
                <w:szCs w:val="24"/>
                <w:highlight w:val="none"/>
                <w:lang w:val="en-US" w:eastAsia="zh-CN" w:bidi="ar"/>
              </w:rPr>
              <w:t>0</w:t>
            </w:r>
            <w:r>
              <w:rPr>
                <w:rStyle w:val="4"/>
                <w:rFonts w:hint="eastAsia" w:ascii="宋体" w:hAnsi="宋体" w:eastAsia="宋体" w:cs="宋体"/>
                <w:strike w:val="0"/>
                <w:dstrike w:val="0"/>
                <w:color w:val="auto"/>
                <w:sz w:val="24"/>
                <w:szCs w:val="24"/>
                <w:highlight w:val="none"/>
                <w:lang w:bidi="ar"/>
              </w:rPr>
              <w:t>、每个基因座有自己的滑移峰比例。</w:t>
            </w:r>
            <w:r>
              <w:rPr>
                <w:rStyle w:val="4"/>
                <w:rFonts w:hint="eastAsia" w:ascii="宋体" w:hAnsi="宋体" w:eastAsia="宋体" w:cs="宋体"/>
                <w:strike w:val="0"/>
                <w:dstrike w:val="0"/>
                <w:color w:val="auto"/>
                <w:sz w:val="24"/>
                <w:szCs w:val="24"/>
                <w:highlight w:val="none"/>
                <w:lang w:bidi="ar"/>
              </w:rPr>
              <w:br w:type="textWrapping"/>
            </w:r>
            <w:r>
              <w:rPr>
                <w:rStyle w:val="4"/>
                <w:rFonts w:hint="eastAsia" w:ascii="宋体" w:hAnsi="宋体" w:eastAsia="宋体" w:cs="宋体"/>
                <w:strike w:val="0"/>
                <w:dstrike w:val="0"/>
                <w:color w:val="auto"/>
                <w:sz w:val="24"/>
                <w:szCs w:val="24"/>
                <w:highlight w:val="none"/>
                <w:lang w:bidi="ar"/>
              </w:rPr>
              <w:t>1</w:t>
            </w:r>
            <w:r>
              <w:rPr>
                <w:rStyle w:val="4"/>
                <w:rFonts w:hint="eastAsia" w:ascii="宋体" w:hAnsi="宋体" w:eastAsia="宋体" w:cs="宋体"/>
                <w:strike w:val="0"/>
                <w:dstrike w:val="0"/>
                <w:color w:val="auto"/>
                <w:sz w:val="24"/>
                <w:szCs w:val="24"/>
                <w:highlight w:val="none"/>
                <w:lang w:val="en-US" w:eastAsia="zh-CN" w:bidi="ar"/>
              </w:rPr>
              <w:t>1</w:t>
            </w:r>
            <w:r>
              <w:rPr>
                <w:rStyle w:val="4"/>
                <w:rFonts w:hint="eastAsia" w:ascii="宋体" w:hAnsi="宋体" w:eastAsia="宋体" w:cs="宋体"/>
                <w:strike w:val="0"/>
                <w:dstrike w:val="0"/>
                <w:color w:val="auto"/>
                <w:sz w:val="24"/>
                <w:szCs w:val="24"/>
                <w:highlight w:val="none"/>
                <w:lang w:bidi="ar"/>
              </w:rPr>
              <w:t>、在25ul扩增体系中，试剂盒的检测灵敏度为125 pg DNA模板量。</w:t>
            </w:r>
            <w:r>
              <w:rPr>
                <w:rStyle w:val="4"/>
                <w:rFonts w:hint="eastAsia" w:ascii="宋体" w:hAnsi="宋体" w:eastAsia="宋体" w:cs="宋体"/>
                <w:strike w:val="0"/>
                <w:dstrike w:val="0"/>
                <w:color w:val="auto"/>
                <w:sz w:val="24"/>
                <w:szCs w:val="24"/>
                <w:highlight w:val="none"/>
                <w:lang w:bidi="ar"/>
              </w:rPr>
              <w:br w:type="textWrapping"/>
            </w:r>
            <w:r>
              <w:rPr>
                <w:rStyle w:val="4"/>
                <w:rFonts w:hint="eastAsia" w:ascii="宋体" w:hAnsi="宋体" w:eastAsia="宋体" w:cs="宋体"/>
                <w:strike w:val="0"/>
                <w:dstrike w:val="0"/>
                <w:color w:val="auto"/>
                <w:sz w:val="24"/>
                <w:szCs w:val="24"/>
                <w:highlight w:val="none"/>
              </w:rPr>
              <w:t>▲</w:t>
            </w:r>
            <w:r>
              <w:rPr>
                <w:rStyle w:val="4"/>
                <w:rFonts w:hint="eastAsia" w:ascii="宋体" w:hAnsi="宋体" w:eastAsia="宋体" w:cs="宋体"/>
                <w:strike w:val="0"/>
                <w:dstrike w:val="0"/>
                <w:color w:val="auto"/>
                <w:sz w:val="24"/>
                <w:szCs w:val="24"/>
                <w:highlight w:val="none"/>
                <w:lang w:bidi="ar"/>
              </w:rPr>
              <w:t>1</w:t>
            </w:r>
            <w:r>
              <w:rPr>
                <w:rStyle w:val="4"/>
                <w:rFonts w:hint="eastAsia" w:ascii="宋体" w:hAnsi="宋体" w:eastAsia="宋体" w:cs="宋体"/>
                <w:strike w:val="0"/>
                <w:dstrike w:val="0"/>
                <w:color w:val="auto"/>
                <w:sz w:val="24"/>
                <w:szCs w:val="24"/>
                <w:highlight w:val="none"/>
                <w:lang w:val="en-US" w:eastAsia="zh-CN" w:bidi="ar"/>
              </w:rPr>
              <w:t>2</w:t>
            </w:r>
            <w:r>
              <w:rPr>
                <w:rStyle w:val="4"/>
                <w:rFonts w:hint="eastAsia" w:ascii="宋体" w:hAnsi="宋体" w:eastAsia="宋体" w:cs="宋体"/>
                <w:strike w:val="0"/>
                <w:dstrike w:val="0"/>
                <w:color w:val="auto"/>
                <w:sz w:val="24"/>
                <w:szCs w:val="24"/>
                <w:highlight w:val="none"/>
                <w:lang w:bidi="ar"/>
              </w:rPr>
              <w:t>、所投试剂盒通过SWGDAM测试认证。</w:t>
            </w:r>
            <w:r>
              <w:rPr>
                <w:rStyle w:val="4"/>
                <w:rFonts w:hint="eastAsia" w:ascii="宋体" w:hAnsi="宋体" w:eastAsia="宋体" w:cs="宋体"/>
                <w:strike w:val="0"/>
                <w:dstrike w:val="0"/>
                <w:color w:val="auto"/>
                <w:sz w:val="24"/>
                <w:szCs w:val="24"/>
                <w:highlight w:val="none"/>
                <w:lang w:bidi="ar"/>
              </w:rPr>
              <w:br w:type="textWrapping"/>
            </w:r>
            <w:r>
              <w:rPr>
                <w:rStyle w:val="4"/>
                <w:rFonts w:hint="eastAsia" w:ascii="宋体" w:hAnsi="宋体" w:eastAsia="宋体" w:cs="宋体"/>
                <w:strike w:val="0"/>
                <w:dstrike w:val="0"/>
                <w:color w:val="auto"/>
                <w:sz w:val="24"/>
                <w:szCs w:val="24"/>
                <w:highlight w:val="none"/>
                <w:lang w:bidi="ar"/>
              </w:rPr>
              <w:t>1</w:t>
            </w:r>
            <w:r>
              <w:rPr>
                <w:rStyle w:val="4"/>
                <w:rFonts w:hint="eastAsia" w:ascii="宋体" w:hAnsi="宋体" w:eastAsia="宋体" w:cs="宋体"/>
                <w:strike w:val="0"/>
                <w:dstrike w:val="0"/>
                <w:color w:val="auto"/>
                <w:sz w:val="24"/>
                <w:szCs w:val="24"/>
                <w:highlight w:val="none"/>
                <w:lang w:val="en-US" w:eastAsia="zh-CN" w:bidi="ar"/>
              </w:rPr>
              <w:t>3</w:t>
            </w:r>
            <w:r>
              <w:rPr>
                <w:rStyle w:val="4"/>
                <w:rFonts w:hint="eastAsia" w:ascii="宋体" w:hAnsi="宋体" w:eastAsia="宋体" w:cs="宋体"/>
                <w:strike w:val="0"/>
                <w:dstrike w:val="0"/>
                <w:color w:val="auto"/>
                <w:sz w:val="24"/>
                <w:szCs w:val="24"/>
                <w:highlight w:val="none"/>
                <w:lang w:bidi="ar"/>
              </w:rPr>
              <w:t>、试剂盒经过严格质量监控，保证试剂盒内</w:t>
            </w:r>
            <w:r>
              <w:rPr>
                <w:rStyle w:val="4"/>
                <w:rFonts w:hint="eastAsia" w:ascii="宋体" w:hAnsi="宋体" w:eastAsia="宋体" w:cs="宋体"/>
                <w:strike w:val="0"/>
                <w:dstrike w:val="0"/>
                <w:color w:val="auto"/>
                <w:sz w:val="24"/>
                <w:szCs w:val="24"/>
                <w:highlight w:val="none"/>
                <w:lang w:eastAsia="zh-CN" w:bidi="ar"/>
              </w:rPr>
              <w:t>组份</w:t>
            </w:r>
            <w:r>
              <w:rPr>
                <w:rStyle w:val="4"/>
                <w:rFonts w:hint="eastAsia" w:ascii="宋体" w:hAnsi="宋体" w:eastAsia="宋体" w:cs="宋体"/>
                <w:strike w:val="0"/>
                <w:dstrike w:val="0"/>
                <w:color w:val="auto"/>
                <w:sz w:val="24"/>
                <w:szCs w:val="24"/>
                <w:highlight w:val="none"/>
                <w:lang w:bidi="ar"/>
              </w:rPr>
              <w:t>的生产批号全部可追溯，确保试剂的质保期。</w:t>
            </w:r>
          </w:p>
          <w:p>
            <w:pPr>
              <w:pStyle w:val="5"/>
              <w:spacing w:after="0" w:line="240" w:lineRule="auto"/>
              <w:jc w:val="left"/>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bidi="ar"/>
              </w:rPr>
              <w:t>1</w:t>
            </w:r>
            <w:r>
              <w:rPr>
                <w:rStyle w:val="4"/>
                <w:rFonts w:hint="eastAsia" w:ascii="宋体" w:hAnsi="宋体" w:eastAsia="宋体" w:cs="宋体"/>
                <w:strike w:val="0"/>
                <w:dstrike w:val="0"/>
                <w:color w:val="auto"/>
                <w:sz w:val="24"/>
                <w:szCs w:val="24"/>
                <w:highlight w:val="none"/>
                <w:lang w:val="en-US" w:eastAsia="zh-CN" w:bidi="ar"/>
              </w:rPr>
              <w:t>4</w:t>
            </w:r>
            <w:r>
              <w:rPr>
                <w:rStyle w:val="4"/>
                <w:rFonts w:hint="eastAsia" w:ascii="宋体" w:hAnsi="宋体" w:eastAsia="宋体" w:cs="宋体"/>
                <w:strike w:val="0"/>
                <w:dstrike w:val="0"/>
                <w:color w:val="auto"/>
                <w:sz w:val="24"/>
                <w:szCs w:val="24"/>
                <w:highlight w:val="none"/>
                <w:lang w:bidi="ar"/>
              </w:rPr>
              <w:t>、</w:t>
            </w:r>
            <w:r>
              <w:rPr>
                <w:rStyle w:val="4"/>
                <w:rFonts w:hint="eastAsia" w:ascii="宋体" w:hAnsi="宋体" w:eastAsia="宋体" w:cs="宋体"/>
                <w:strike w:val="0"/>
                <w:dstrike w:val="0"/>
                <w:color w:val="auto"/>
                <w:sz w:val="24"/>
                <w:szCs w:val="24"/>
                <w:highlight w:val="none"/>
              </w:rPr>
              <w:t>试剂盒各</w:t>
            </w:r>
            <w:r>
              <w:rPr>
                <w:rStyle w:val="4"/>
                <w:rFonts w:hint="eastAsia" w:ascii="宋体" w:hAnsi="宋体" w:eastAsia="宋体" w:cs="宋体"/>
                <w:strike w:val="0"/>
                <w:dstrike w:val="0"/>
                <w:color w:val="auto"/>
                <w:sz w:val="24"/>
                <w:szCs w:val="24"/>
                <w:highlight w:val="none"/>
                <w:lang w:eastAsia="zh-CN"/>
              </w:rPr>
              <w:t>组份</w:t>
            </w:r>
            <w:r>
              <w:rPr>
                <w:rStyle w:val="4"/>
                <w:rFonts w:hint="eastAsia" w:ascii="宋体" w:hAnsi="宋体" w:eastAsia="宋体" w:cs="宋体"/>
                <w:strike w:val="0"/>
                <w:dstrike w:val="0"/>
                <w:color w:val="auto"/>
                <w:sz w:val="24"/>
                <w:szCs w:val="24"/>
                <w:highlight w:val="none"/>
              </w:rPr>
              <w:t>初次使用后2-8度可长期保存，无需冷冻，截至试剂盒有效期。</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bidi="ar"/>
              </w:rPr>
            </w:pPr>
            <w:r>
              <w:rPr>
                <w:rStyle w:val="4"/>
                <w:rFonts w:hint="eastAsia" w:ascii="宋体" w:hAnsi="宋体" w:eastAsia="宋体" w:cs="宋体"/>
                <w:strike w:val="0"/>
                <w:dstrike w:val="0"/>
                <w:color w:val="auto"/>
                <w:sz w:val="24"/>
                <w:szCs w:val="24"/>
                <w:highlight w:val="none"/>
              </w:rPr>
              <w:t>1</w:t>
            </w:r>
            <w:r>
              <w:rPr>
                <w:rStyle w:val="4"/>
                <w:rFonts w:hint="eastAsia" w:ascii="宋体" w:hAnsi="宋体" w:eastAsia="宋体" w:cs="宋体"/>
                <w:strike w:val="0"/>
                <w:dstrike w:val="0"/>
                <w:color w:val="auto"/>
                <w:sz w:val="24"/>
                <w:szCs w:val="24"/>
                <w:highlight w:val="none"/>
                <w:lang w:val="en-US" w:eastAsia="zh-CN"/>
              </w:rPr>
              <w:t>0</w:t>
            </w:r>
            <w:r>
              <w:rPr>
                <w:rStyle w:val="4"/>
                <w:rFonts w:hint="eastAsia" w:ascii="宋体" w:hAnsi="宋体" w:eastAsia="宋体" w:cs="宋体"/>
                <w:strike w:val="0"/>
                <w:dstrike w:val="0"/>
                <w:color w:val="auto"/>
                <w:sz w:val="24"/>
                <w:szCs w:val="24"/>
                <w:highlight w:val="none"/>
              </w:rPr>
              <w:t>盒</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9"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2</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rPr>
              <w:t>常染色体</w:t>
            </w:r>
            <w:r>
              <w:rPr>
                <w:rStyle w:val="4"/>
                <w:rFonts w:hint="eastAsia" w:ascii="宋体" w:hAnsi="宋体" w:eastAsia="宋体" w:cs="宋体"/>
                <w:strike w:val="0"/>
                <w:dstrike w:val="0"/>
                <w:color w:val="auto"/>
                <w:sz w:val="24"/>
                <w:szCs w:val="24"/>
                <w:highlight w:val="none"/>
              </w:rPr>
              <w:t>扩增试剂盒2</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200人份</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eastAsia="zh-CN" w:bidi="ar"/>
              </w:rPr>
            </w:pPr>
            <w:r>
              <w:rPr>
                <w:rStyle w:val="4"/>
                <w:rFonts w:hint="eastAsia" w:ascii="宋体" w:hAnsi="宋体" w:eastAsia="宋体" w:cs="宋体"/>
                <w:strike w:val="0"/>
                <w:dstrike w:val="0"/>
                <w:color w:val="auto"/>
                <w:sz w:val="24"/>
                <w:szCs w:val="24"/>
                <w:highlight w:val="none"/>
                <w:lang w:bidi="ar"/>
              </w:rPr>
              <w:t>1、所投试剂盒可单管同时检测不少于29个(包含29个)常染色体基因座，包含公安部要求的19个常染色体核心基因座和打拐要求的29个常染色体基因座。基因座包含：D18S51、D21S11、D3S1358、FGA、D8S1179、vWA、CSF1PO、D16S539、D7S820、D13S317、D5S818、D2S1338、D19S433、TH01、TPOX、D6S1043、Penta D、Penta E</w:t>
            </w:r>
            <w:r>
              <w:rPr>
                <w:rStyle w:val="4"/>
                <w:rFonts w:hint="eastAsia" w:ascii="宋体" w:hAnsi="宋体" w:eastAsia="宋体" w:cs="宋体"/>
                <w:strike w:val="0"/>
                <w:dstrike w:val="0"/>
                <w:color w:val="auto"/>
                <w:sz w:val="24"/>
                <w:szCs w:val="24"/>
                <w:highlight w:val="none"/>
                <w:lang w:eastAsia="zh-CN" w:bidi="ar"/>
              </w:rPr>
              <w:t>、</w:t>
            </w:r>
            <w:r>
              <w:rPr>
                <w:rStyle w:val="4"/>
                <w:rFonts w:hint="eastAsia" w:ascii="宋体" w:hAnsi="宋体" w:eastAsia="宋体" w:cs="宋体"/>
                <w:strike w:val="0"/>
                <w:dstrike w:val="0"/>
                <w:color w:val="auto"/>
                <w:sz w:val="24"/>
                <w:szCs w:val="24"/>
                <w:highlight w:val="none"/>
                <w:lang w:val="en-US" w:eastAsia="zh-CN" w:bidi="ar"/>
              </w:rPr>
              <w:t>Amelogenin</w:t>
            </w:r>
            <w:r>
              <w:rPr>
                <w:rStyle w:val="4"/>
                <w:rFonts w:hint="eastAsia" w:ascii="宋体" w:hAnsi="宋体" w:eastAsia="宋体" w:cs="宋体"/>
                <w:strike w:val="0"/>
                <w:dstrike w:val="0"/>
                <w:color w:val="auto"/>
                <w:sz w:val="24"/>
                <w:szCs w:val="24"/>
                <w:highlight w:val="none"/>
                <w:lang w:eastAsia="zh-CN" w:bidi="ar"/>
              </w:rPr>
              <w:t>。</w:t>
            </w:r>
          </w:p>
          <w:p>
            <w:pPr>
              <w:pStyle w:val="5"/>
              <w:spacing w:after="0" w:line="240" w:lineRule="auto"/>
              <w:jc w:val="left"/>
              <w:rPr>
                <w:rStyle w:val="4"/>
                <w:rFonts w:hint="eastAsia" w:ascii="宋体" w:hAnsi="宋体" w:eastAsia="宋体" w:cs="宋体"/>
                <w:strike w:val="0"/>
                <w:dstrike w:val="0"/>
                <w:color w:val="auto"/>
                <w:sz w:val="24"/>
                <w:szCs w:val="24"/>
                <w:highlight w:val="none"/>
                <w:lang w:eastAsia="zh-CN" w:bidi="ar"/>
              </w:rPr>
            </w:pPr>
            <w:r>
              <w:rPr>
                <w:rStyle w:val="4"/>
                <w:rFonts w:hint="eastAsia" w:ascii="宋体" w:hAnsi="宋体" w:eastAsia="宋体" w:cs="宋体"/>
                <w:strike w:val="0"/>
                <w:dstrike w:val="0"/>
                <w:color w:val="auto"/>
                <w:sz w:val="24"/>
                <w:szCs w:val="24"/>
                <w:highlight w:val="none"/>
                <w:lang w:bidi="ar"/>
              </w:rPr>
              <w:t>2、所投试剂盒采用免提取直接扩增技术，针对血滤纸、FTA卡、口腔卡免提直扩，扩增时间两小时以内。检测灵敏度不低于125pgDNA模板量</w:t>
            </w:r>
            <w:r>
              <w:rPr>
                <w:rStyle w:val="4"/>
                <w:rFonts w:hint="eastAsia" w:ascii="宋体" w:hAnsi="宋体" w:eastAsia="宋体" w:cs="宋体"/>
                <w:strike w:val="0"/>
                <w:dstrike w:val="0"/>
                <w:color w:val="auto"/>
                <w:sz w:val="24"/>
                <w:szCs w:val="24"/>
                <w:highlight w:val="none"/>
                <w:lang w:eastAsia="zh-CN" w:bidi="ar"/>
              </w:rPr>
              <w:t>。</w:t>
            </w:r>
          </w:p>
          <w:p>
            <w:pPr>
              <w:pStyle w:val="5"/>
              <w:spacing w:after="0" w:line="240" w:lineRule="auto"/>
              <w:jc w:val="left"/>
              <w:rPr>
                <w:rStyle w:val="4"/>
                <w:rFonts w:hint="eastAsia" w:ascii="宋体" w:hAnsi="宋体" w:eastAsia="宋体" w:cs="宋体"/>
                <w:strike w:val="0"/>
                <w:dstrike w:val="0"/>
                <w:color w:val="auto"/>
                <w:sz w:val="24"/>
                <w:szCs w:val="24"/>
                <w:highlight w:val="none"/>
                <w:lang w:eastAsia="zh-CN" w:bidi="ar"/>
              </w:rPr>
            </w:pPr>
            <w:r>
              <w:rPr>
                <w:rStyle w:val="4"/>
                <w:rFonts w:hint="eastAsia" w:ascii="宋体" w:hAnsi="宋体" w:eastAsia="宋体" w:cs="宋体"/>
                <w:strike w:val="0"/>
                <w:dstrike w:val="0"/>
                <w:color w:val="auto"/>
                <w:sz w:val="24"/>
                <w:szCs w:val="24"/>
                <w:highlight w:val="none"/>
                <w:lang w:bidi="ar"/>
              </w:rPr>
              <w:t>3、所投试剂盒一次检测成功率95%以上</w:t>
            </w:r>
            <w:r>
              <w:rPr>
                <w:rStyle w:val="4"/>
                <w:rFonts w:hint="eastAsia" w:ascii="宋体" w:hAnsi="宋体" w:eastAsia="宋体" w:cs="宋体"/>
                <w:strike w:val="0"/>
                <w:dstrike w:val="0"/>
                <w:color w:val="auto"/>
                <w:sz w:val="24"/>
                <w:szCs w:val="24"/>
                <w:highlight w:val="none"/>
                <w:lang w:eastAsia="zh-CN" w:bidi="ar"/>
              </w:rPr>
              <w:t>。</w:t>
            </w:r>
          </w:p>
          <w:p>
            <w:pPr>
              <w:pStyle w:val="5"/>
              <w:spacing w:after="0" w:line="240" w:lineRule="auto"/>
              <w:jc w:val="left"/>
              <w:rPr>
                <w:rStyle w:val="4"/>
                <w:rFonts w:hint="eastAsia" w:ascii="宋体" w:hAnsi="宋体" w:eastAsia="宋体" w:cs="宋体"/>
                <w:strike w:val="0"/>
                <w:dstrike w:val="0"/>
                <w:color w:val="auto"/>
                <w:sz w:val="24"/>
                <w:szCs w:val="24"/>
                <w:highlight w:val="none"/>
                <w:lang w:bidi="ar"/>
              </w:rPr>
            </w:pPr>
            <w:r>
              <w:rPr>
                <w:rStyle w:val="4"/>
                <w:rFonts w:hint="eastAsia" w:ascii="宋体" w:hAnsi="宋体" w:eastAsia="宋体" w:cs="宋体"/>
                <w:strike w:val="0"/>
                <w:dstrike w:val="0"/>
                <w:color w:val="auto"/>
                <w:sz w:val="24"/>
                <w:szCs w:val="24"/>
                <w:highlight w:val="none"/>
                <w:lang w:bidi="ar"/>
              </w:rPr>
              <w:t>4、规格：200人份/盒，每人份25ul标准体系，包含扩增及扩增后所需全部试剂。</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bidi="ar"/>
              </w:rPr>
            </w:pPr>
            <w:r>
              <w:rPr>
                <w:rStyle w:val="4"/>
                <w:rFonts w:hint="eastAsia" w:ascii="宋体" w:hAnsi="宋体" w:eastAsia="宋体" w:cs="宋体"/>
                <w:strike w:val="0"/>
                <w:dstrike w:val="0"/>
                <w:color w:val="auto"/>
                <w:sz w:val="24"/>
                <w:szCs w:val="24"/>
                <w:highlight w:val="none"/>
                <w:lang w:val="en-US" w:eastAsia="zh-CN"/>
              </w:rPr>
              <w:t>3</w:t>
            </w:r>
            <w:r>
              <w:rPr>
                <w:rStyle w:val="4"/>
                <w:rFonts w:hint="eastAsia" w:ascii="宋体" w:hAnsi="宋体" w:eastAsia="宋体" w:cs="宋体"/>
                <w:strike w:val="0"/>
                <w:dstrike w:val="0"/>
                <w:color w:val="auto"/>
                <w:sz w:val="24"/>
                <w:szCs w:val="24"/>
                <w:highlight w:val="none"/>
              </w:rPr>
              <w:t>盒</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8"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3</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扩增试剂盒3</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200人份</w:t>
            </w:r>
          </w:p>
        </w:tc>
        <w:tc>
          <w:tcPr>
            <w:tcW w:w="6183" w:type="dxa"/>
            <w:shd w:val="clear" w:color="auto" w:fill="auto"/>
            <w:noWrap w:val="0"/>
            <w:vAlign w:val="center"/>
          </w:tcPr>
          <w:p>
            <w:pPr>
              <w:pStyle w:val="5"/>
              <w:numPr>
                <w:ilvl w:val="0"/>
                <w:numId w:val="0"/>
              </w:numPr>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1、采用六色荧光技术，单管同时扩增不少于25个基因座 ,包括24个STR位点和一个插入缺失位点Y-indel，两个内控质量参考（QTS，QTL）。D18S51、FGA、D21S11、D8S1179、VWA、D13S317、D16S539、D7S820、TH01、D3S1358、D5S818、CSF1PO、D2S1338、D19S433、D1S1656、D12S391、D2S441、D10S1248、TPOX、D22S1045、D6S1043、Penta E、Penta D、Amelogenin。</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2、200人份包装规格，包含PCR扩增反应所有组份包括阳性对照、分子量内标、PCR Mix、Primer Mix、Allelic Ladder等。</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3、为提高疑难、陈旧样本检出率，公安部要求的20个核心位点最大片段不超过425bp。</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▲4、扩增产物中包含内控质量参考标记物，可用于样品质量（如抑制物、降解）的快速评估。</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5、包含不少于11个扩增长度小于220bp的Mini位点，便于降解样品信息的获取，对于降解DNA和疑难样品更容易得到完整 DNA 分型信息，数据更精确更可靠。</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6、为提高检出灵敏度，对低浓度模板尽可能获得有效分型，扩增体系中模板占比不低于60%。</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7、为保证分型准确，试剂盒采用分子量内标覆盖范围62-462bp，包含特殊识别片段62、162、262、362、462bp。</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8、用试剂盒说明书所推荐的扩增仪进行扩增，运行时间不超过80分钟。</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9、生产厂家需通过ISO9001质量管理体系认证，并通过ISO18385认证。</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3盒</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2"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4</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扩增试剂盒4</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400人份</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1、采用六色荧光技术，单管同时扩增不少于25个基因座 ,包括24个STR位点和一个插入缺失位点Y-indel，两个内控质量参考（QTS，QTL）。D18S51、FGA、D21S11、D8S1179、VWA、D13S317、D16S539、D7S820、TH01、D3S1358、D5S818、CSF1PO、D2S1338、D19S433、D1S1656、D12S391、D2S441、D10S1248、TPOX、D22S1045、D6S1043、Penta E、Penta D、Amelogenin。</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2、96人份/盒包装规格，包含PCR扩增反应所有组份包括阳性对照、分子量内标、PCR Mix、Primer Mix、Allelic Ladder等。</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▲3、可冻干储存。预分装试剂，即拆即用。无试剂配比及使用损耗。</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4、为提高疑难、陈旧样本检出率，公安部要求的20个核心位点最大片段不超过425bp。</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5、扩增产物中须包含内控质量参考2（IQC）标记物，可用于样品质量（如抑制物、降解）的快速评估。</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6、包含不少于11个扩增长度小于220bp的Mini 位点，便于降解样品信息的获取，对于降解DNA和疑难样品更容易得到完整DNA分型信息，数据更精确更可靠。</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7、为提高检出灵敏度，对低浓度模板尽可能获得有效分型，扩增体系中模板占比不低于60%。</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8、为保证分型准确，试剂盒采用分子量内标覆盖范围62-462bp，包含特殊识别片段62、162、262、362、462bp。</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9、用试剂盒说明书所推荐的扩增仪进行扩增，运行时间不超过80分钟。</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11、生产厂家需通过ISO9001质量管理体系认证，并通过ISO18385认证。</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rPr>
              <w:t>1</w:t>
            </w:r>
            <w:r>
              <w:rPr>
                <w:rStyle w:val="4"/>
                <w:rFonts w:hint="eastAsia" w:ascii="宋体" w:hAnsi="宋体" w:eastAsia="宋体" w:cs="宋体"/>
                <w:strike w:val="0"/>
                <w:dstrike w:val="0"/>
                <w:color w:val="auto"/>
                <w:sz w:val="24"/>
                <w:szCs w:val="24"/>
                <w:highlight w:val="none"/>
              </w:rPr>
              <w:t>盒</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8"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5</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扩增试剂盒5</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200人份</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1、采用六色荧光技术，符合公安部常规数据库和DNA打拐数据库要求，可同时检测不少于以下30个常染色体基因座：D3S1358，TH01，D21S11，D18S51，Penta E，D19S253，D12S391，D6S1043，D2S1338，D15S659，D6S477，D5S818，D13S317，D7S820，D19S433，CSF1PO，Penta D，D2S441，VWA，D8S1179，TPOX，FGA，D4S2366,D3S3045，D16S539，D22S1045，D8S1132，D1S1656，D10S1248，D10S1435。</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2、所采用试剂盒包含1个性别标记基因座以及1个Y染色体插入缺失片段。</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3、所采用试剂盒最大扩增片段不超过500bp。</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4、所采用试剂盒适用于纯化后的DNA，也可对直扩类样本直接检测。</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5、试剂盒单次检测不得低于10微升反应体系。</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6、保证建库服务的准确性，所采用试剂盒实体bin数量不低于440个，实体bin和虚拟bin总数不低于550个。</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7、所采用试剂盒名称和基因座位点信息已经收录国家数据库，扩增产物的电泳结果，可通过IDX软件进行分型，导出的CODIS数据基因座分型可直接批量导入国家数据库。</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8、所采用试剂盒须为符合国家质量标准的全新产品，须具有中国安全技术防范认证中心颁发的《中国公共安全产品认证证书》。</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rPr>
              <w:t>3</w:t>
            </w:r>
            <w:r>
              <w:rPr>
                <w:rStyle w:val="4"/>
                <w:rFonts w:hint="eastAsia" w:ascii="宋体" w:hAnsi="宋体" w:eastAsia="宋体" w:cs="宋体"/>
                <w:strike w:val="0"/>
                <w:dstrike w:val="0"/>
                <w:color w:val="auto"/>
                <w:sz w:val="24"/>
                <w:szCs w:val="24"/>
                <w:highlight w:val="none"/>
              </w:rPr>
              <w:t>盒</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6</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rPr>
            </w:pPr>
            <w:r>
              <w:rPr>
                <w:rStyle w:val="4"/>
                <w:rFonts w:hint="eastAsia" w:ascii="宋体" w:hAnsi="宋体" w:eastAsia="宋体" w:cs="宋体"/>
                <w:strike w:val="0"/>
                <w:dstrike w:val="0"/>
                <w:color w:val="auto"/>
                <w:sz w:val="24"/>
                <w:szCs w:val="24"/>
                <w:highlight w:val="none"/>
                <w:lang w:val="en-US" w:eastAsia="zh-CN"/>
              </w:rPr>
              <w:t>Y扩增试剂盒1</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100人份</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1、采用六色荧光技术，在维持扩增产物大小不变的条件下，有效提高单个泳道分辨的片段数。多色荧光标记，便于更清晰的分辨基因座标记。</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2、单管同时扩增不少于如下38个Y染色体基因座：DYS19，DYS385 a，DYS385b， DYF387S1 a，DYF387S1b， DYS389 I，DYS389II， DYS390， DYS391， DYS392， DYS393， DYS437， DYS438， DYS439， DYS444， DYS447， DYS448， DYS449， DYS456， DYS458， DYS460， DYS481， DYS518， DYS522，DYS527a，DYS527b, DYS533， DYS549， DYS557， DYS570， DYS576， DYS593， DYS596， DYS627， DYS635， DYS643， DYS645， GATA H4。</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3、扩增产物中含3个Y-indel遗传标记，Y-indel遗传标记的突变率接近于0，Y-indel位点具有稳定性好，多态性高及分型简单等特点，可以进行家系的初步排查。</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4、扩增产物中含有2个内部质量参考，用于判定PCR扩增效能。</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5、应用快速扩增酶和高效缓冲体系，扩增时间不超过62分钟。</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6、在25ul扩增体系中，试剂盒的检测灵敏度为125 pg DNA模板量。</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7、所投试剂盒真实 Bin 和虚拟 Bin 合计不少于 650个，其中真实 Bin 超过 450个。</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8、Y染色体特异性高，在高达1:4000的高女性DNA背景条件仍能够完全检出男性DNA的分型。</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9、试剂盒各组份初次使用后2-8度可长期保存，无需冷冻，截至试剂盒有效期。</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10、</w:t>
            </w:r>
            <w:r>
              <w:rPr>
                <w:rStyle w:val="4"/>
                <w:rFonts w:hint="eastAsia" w:ascii="宋体" w:hAnsi="宋体" w:eastAsia="宋体" w:cs="宋体"/>
                <w:strike w:val="0"/>
                <w:dstrike w:val="0"/>
                <w:color w:val="auto"/>
                <w:sz w:val="24"/>
                <w:szCs w:val="24"/>
                <w:highlight w:val="none"/>
                <w:lang w:bidi="ar"/>
              </w:rPr>
              <w:t>中标后供货时，</w:t>
            </w:r>
            <w:r>
              <w:rPr>
                <w:rStyle w:val="4"/>
                <w:rFonts w:hint="eastAsia" w:ascii="宋体" w:hAnsi="宋体" w:eastAsia="宋体" w:cs="宋体"/>
                <w:strike w:val="0"/>
                <w:dstrike w:val="0"/>
                <w:color w:val="auto"/>
                <w:sz w:val="24"/>
                <w:szCs w:val="24"/>
                <w:highlight w:val="none"/>
                <w:lang w:val="en-US" w:eastAsia="zh-CN" w:bidi="ar"/>
              </w:rPr>
              <w:t>中标人</w:t>
            </w:r>
            <w:r>
              <w:rPr>
                <w:rStyle w:val="4"/>
                <w:rFonts w:hint="eastAsia" w:ascii="宋体" w:hAnsi="宋体" w:eastAsia="宋体" w:cs="宋体"/>
                <w:strike w:val="0"/>
                <w:dstrike w:val="0"/>
                <w:color w:val="auto"/>
                <w:sz w:val="24"/>
                <w:szCs w:val="24"/>
                <w:highlight w:val="none"/>
                <w:lang w:bidi="ar"/>
              </w:rPr>
              <w:t>须派专职技术人员就其投标文件中所有响应的技术条款逐一实验或者操作予以验证，如有虚假响应视为验收不合格</w:t>
            </w:r>
            <w:r>
              <w:rPr>
                <w:rStyle w:val="4"/>
                <w:rFonts w:hint="eastAsia" w:ascii="宋体" w:hAnsi="宋体" w:eastAsia="宋体" w:cs="宋体"/>
                <w:strike w:val="0"/>
                <w:dstrike w:val="0"/>
                <w:color w:val="auto"/>
                <w:sz w:val="24"/>
                <w:szCs w:val="24"/>
                <w:highlight w:val="none"/>
                <w:lang w:val="en-US" w:eastAsia="zh-CN" w:bidi="ar"/>
              </w:rPr>
              <w:t>。</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6盒</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eastAsia="zh-CN"/>
              </w:rPr>
            </w:pPr>
            <w:r>
              <w:rPr>
                <w:rStyle w:val="4"/>
                <w:rFonts w:hint="eastAsia" w:ascii="宋体" w:hAnsi="宋体" w:eastAsia="宋体" w:cs="宋体"/>
                <w:strike w:val="0"/>
                <w:dstrike w:val="0"/>
                <w:color w:val="auto"/>
                <w:sz w:val="24"/>
                <w:szCs w:val="24"/>
                <w:highlight w:val="none"/>
                <w:lang w:eastAsia="zh-CN"/>
              </w:rPr>
              <w:t>接受进口产品投标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8"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7</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rPr>
            </w:pPr>
            <w:r>
              <w:rPr>
                <w:rStyle w:val="4"/>
                <w:rFonts w:hint="eastAsia" w:ascii="宋体" w:hAnsi="宋体" w:eastAsia="宋体" w:cs="宋体"/>
                <w:strike w:val="0"/>
                <w:dstrike w:val="0"/>
                <w:color w:val="auto"/>
                <w:sz w:val="24"/>
                <w:szCs w:val="24"/>
                <w:highlight w:val="none"/>
                <w:lang w:val="en-US" w:eastAsia="zh-CN"/>
              </w:rPr>
              <w:t>Y扩增试剂盒2</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100人份</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1、所采用试剂盒为六色荧光技术，包含40个Y-STR 基因座，必须包含公安部要求的20个核心基因座和15个优选基因座，多出的基因座必须涵盖在公安部备选基因座中。核心基因座20个：DYS19、DYS385、DYS389I、DYS389II、DYS390、DYS391、DYS392、DYS393、DYS437、DYS438、DYS439、DYS456、DYS458、DYS448、DYS635、GATA-H4、DYS481、DYS533、DYS576。优选基因座 15 个：DYS643、DYS460、DYS549、DYS449、DYS518、DYF387S1、DYS627、DYS570、DYS527、DYS447、DYS444、DYS557、 DYS596。备案基因座不少于5个:DYS522、DYS593、DYS645、DYS404S1a/b。</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2、所采用试剂盒包含3个 Y-indel。</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3、所采用试剂盒最大片段长度不超过550bp。</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4、所采用试剂盒符合《法庭科学人类荧光标记 Y-STR 复合扩增检测试剂检测作业指导书》的要求，且相邻常见等位基因间隔大于 8bp。</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5、为了减少 OL 峰的产生，本次项目所采用试剂盒的每个基因座应含有充足的等位基因数量，真实 Bin 和虚拟 Bin 合计总数大于700个，其中真实的 bin 不少于485个。</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6、试剂盒名称和基因座参数信息已经收录国家数据库，能成功导入。</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rPr>
              <w:t>5</w:t>
            </w:r>
            <w:r>
              <w:rPr>
                <w:rStyle w:val="4"/>
                <w:rFonts w:hint="eastAsia" w:ascii="宋体" w:hAnsi="宋体" w:eastAsia="宋体" w:cs="宋体"/>
                <w:strike w:val="0"/>
                <w:dstrike w:val="0"/>
                <w:color w:val="auto"/>
                <w:sz w:val="24"/>
                <w:szCs w:val="24"/>
                <w:highlight w:val="none"/>
              </w:rPr>
              <w:t>盒</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8</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rPr>
            </w:pPr>
            <w:r>
              <w:rPr>
                <w:rStyle w:val="4"/>
                <w:rFonts w:hint="eastAsia" w:ascii="宋体" w:hAnsi="宋体" w:eastAsia="宋体" w:cs="宋体"/>
                <w:strike w:val="0"/>
                <w:dstrike w:val="0"/>
                <w:color w:val="auto"/>
                <w:sz w:val="24"/>
                <w:szCs w:val="24"/>
                <w:highlight w:val="none"/>
                <w:lang w:val="en-US" w:eastAsia="zh-CN"/>
              </w:rPr>
              <w:t>Y扩增试剂盒3</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100人份</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1、100人份/盒，试剂盒为六色荧光技术，单管复合扩增不少于30个Y 染色体基因座以上，包含公安部要求的8个优选基因座，22个备选基因座：DYS522、DYS388、DYF387S1、DYS510、DYS587、DYS645、DYS531、DYS593、DYS617、GATA_A10、DYS622等。</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2、试剂盒最大片段长度不超过400bp。</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3、试剂盒适用于各类纯化后的 DNA样本，也可对直扩类样本直接检测，扩增时间小于90分钟。</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4、试剂盒中包含扩增及扩增后所需全部试剂：Master Mix、Primer Mix、热启动酶、标准阳性对照物、超纯去离子水、Allelic Ladder、内标。</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1盒</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8"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9</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染料大小标准品</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800人份</w:t>
            </w:r>
          </w:p>
        </w:tc>
        <w:tc>
          <w:tcPr>
            <w:tcW w:w="6183" w:type="dxa"/>
            <w:shd w:val="clear" w:color="auto" w:fill="auto"/>
            <w:noWrap w:val="0"/>
            <w:vAlign w:val="center"/>
          </w:tcPr>
          <w:p>
            <w:pPr>
              <w:pStyle w:val="6"/>
              <w:numPr>
                <w:ilvl w:val="0"/>
                <w:numId w:val="0"/>
              </w:numPr>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1、每个包装最少可以用于800个样品的电泳实验。</w:t>
            </w:r>
          </w:p>
          <w:p>
            <w:pPr>
              <w:pStyle w:val="6"/>
              <w:numPr>
                <w:ilvl w:val="0"/>
                <w:numId w:val="0"/>
              </w:numPr>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2、专用于法庭科学的片段分析实验。</w:t>
            </w:r>
          </w:p>
          <w:p>
            <w:pPr>
              <w:pStyle w:val="6"/>
              <w:numPr>
                <w:ilvl w:val="0"/>
                <w:numId w:val="0"/>
              </w:numPr>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3、可测定 20-600 个核苷酸范围内的片段大小。</w:t>
            </w:r>
          </w:p>
          <w:p>
            <w:pPr>
              <w:pStyle w:val="6"/>
              <w:numPr>
                <w:ilvl w:val="0"/>
                <w:numId w:val="0"/>
              </w:numPr>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4、标记的每个 DNA 片段，在变性条件下运行时会产生单峰。</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6盒</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5"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10</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POP-4分析用胶</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384次</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1、适用于applied biosystems品牌3500系列基因分析仪。</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2、每个包装最少可以用于384个样品的电泳实验。</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3、具有“即装即用”的消耗品设计理念，即使用即用型容器包装，易于安装，排除引入外源污染的可能性。</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4、具备无线射频识别技术，可跟踪并记录该产品的有效期，使用次数，剩余使用次数等数据。</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2</w:t>
            </w:r>
            <w:r>
              <w:rPr>
                <w:rStyle w:val="4"/>
                <w:rFonts w:hint="eastAsia" w:ascii="宋体" w:hAnsi="宋体" w:eastAsia="宋体" w:cs="宋体"/>
                <w:strike w:val="0"/>
                <w:dstrike w:val="0"/>
                <w:color w:val="auto"/>
                <w:sz w:val="24"/>
                <w:szCs w:val="24"/>
                <w:highlight w:val="none"/>
                <w:lang w:val="en-US" w:eastAsia="zh-CN"/>
              </w:rPr>
              <w:t>2</w:t>
            </w:r>
            <w:r>
              <w:rPr>
                <w:rStyle w:val="4"/>
                <w:rFonts w:hint="eastAsia" w:ascii="宋体" w:hAnsi="宋体" w:eastAsia="宋体" w:cs="宋体"/>
                <w:strike w:val="0"/>
                <w:dstrike w:val="0"/>
                <w:color w:val="auto"/>
                <w:sz w:val="24"/>
                <w:szCs w:val="24"/>
                <w:highlight w:val="none"/>
              </w:rPr>
              <w:t>瓶</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eastAsia="zh-CN"/>
              </w:rPr>
              <w:t>接受进口产品投标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8"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11</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阴极测序缓冲液ABC</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4个/盒</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1、适用于applied biosystems品牌3500系列基因分析仪的阴极缓冲液。</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2、每个包装最少可以使用超过14天。</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3、具有“即装即用”的消耗品设计理念，即使用即用型容器包装，易于安装，排除引入外源污染的可能性。</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rPr>
              <w:t>6</w:t>
            </w:r>
            <w:r>
              <w:rPr>
                <w:rStyle w:val="4"/>
                <w:rFonts w:hint="eastAsia" w:ascii="宋体" w:hAnsi="宋体" w:eastAsia="宋体" w:cs="宋体"/>
                <w:strike w:val="0"/>
                <w:dstrike w:val="0"/>
                <w:color w:val="auto"/>
                <w:sz w:val="24"/>
                <w:szCs w:val="24"/>
                <w:highlight w:val="none"/>
              </w:rPr>
              <w:t>盒</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r>
              <w:rPr>
                <w:rStyle w:val="4"/>
                <w:rFonts w:hint="eastAsia" w:ascii="宋体" w:hAnsi="宋体" w:eastAsia="宋体" w:cs="宋体"/>
                <w:strike w:val="0"/>
                <w:dstrike w:val="0"/>
                <w:color w:val="auto"/>
                <w:sz w:val="24"/>
                <w:szCs w:val="24"/>
                <w:highlight w:val="none"/>
                <w:lang w:eastAsia="zh-CN"/>
              </w:rPr>
              <w:t>接受进口产品投标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12</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阳极测序缓冲液CBC</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4个/盒</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1、适用于applied biosystems品牌3500系列基因分析仪的阳极缓冲液。</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2、每个包装最少可以使用超过14天。</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3、具有“即装即用”的消耗品设计理念，即使用即用型容器包装，易于安装，排除引入外源污染的可能性。</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rPr>
              <w:t>6</w:t>
            </w:r>
            <w:r>
              <w:rPr>
                <w:rStyle w:val="4"/>
                <w:rFonts w:hint="eastAsia" w:ascii="宋体" w:hAnsi="宋体" w:eastAsia="宋体" w:cs="宋体"/>
                <w:strike w:val="0"/>
                <w:dstrike w:val="0"/>
                <w:color w:val="auto"/>
                <w:sz w:val="24"/>
                <w:szCs w:val="24"/>
                <w:highlight w:val="none"/>
              </w:rPr>
              <w:t>盒</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r>
              <w:rPr>
                <w:rStyle w:val="4"/>
                <w:rFonts w:hint="eastAsia" w:ascii="宋体" w:hAnsi="宋体" w:eastAsia="宋体" w:cs="宋体"/>
                <w:strike w:val="0"/>
                <w:dstrike w:val="0"/>
                <w:color w:val="auto"/>
                <w:sz w:val="24"/>
                <w:szCs w:val="24"/>
                <w:highlight w:val="none"/>
                <w:lang w:eastAsia="zh-CN"/>
              </w:rPr>
              <w:t>接受进口产品投标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13</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Hi-Di Formamide</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25</w:t>
            </w:r>
            <w:r>
              <w:rPr>
                <w:rStyle w:val="4"/>
                <w:rFonts w:hint="eastAsia" w:ascii="宋体" w:hAnsi="宋体" w:eastAsia="宋体" w:cs="宋体"/>
                <w:strike w:val="0"/>
                <w:dstrike w:val="0"/>
                <w:color w:val="auto"/>
                <w:sz w:val="24"/>
                <w:szCs w:val="24"/>
                <w:highlight w:val="none"/>
                <w:lang w:eastAsia="zh-CN"/>
              </w:rPr>
              <w:t>ml</w:t>
            </w:r>
            <w:r>
              <w:rPr>
                <w:rStyle w:val="4"/>
                <w:rFonts w:hint="eastAsia" w:ascii="宋体" w:hAnsi="宋体" w:eastAsia="宋体" w:cs="宋体"/>
                <w:strike w:val="0"/>
                <w:dstrike w:val="0"/>
                <w:color w:val="auto"/>
                <w:sz w:val="24"/>
                <w:szCs w:val="24"/>
                <w:highlight w:val="none"/>
              </w:rPr>
              <w:t>/瓶</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1、适用于applied biosystems品牌基因分析仪。</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2、高度去离子甲酰胺，用于在毛细管电泳系统的电动进样之前对样本进行重悬。</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3、25ml每个包装。</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15瓶</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14</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Prote</w:t>
            </w:r>
            <w:r>
              <w:rPr>
                <w:rStyle w:val="4"/>
                <w:rFonts w:hint="eastAsia" w:ascii="宋体" w:hAnsi="宋体" w:eastAsia="宋体" w:cs="宋体"/>
                <w:strike w:val="0"/>
                <w:dstrike w:val="0"/>
                <w:color w:val="auto"/>
                <w:sz w:val="24"/>
                <w:szCs w:val="24"/>
                <w:highlight w:val="none"/>
                <w:lang w:eastAsia="zh-CN"/>
              </w:rPr>
              <w:t>in</w:t>
            </w:r>
            <w:r>
              <w:rPr>
                <w:rStyle w:val="4"/>
                <w:rFonts w:hint="eastAsia" w:ascii="宋体" w:hAnsi="宋体" w:eastAsia="宋体" w:cs="宋体"/>
                <w:strike w:val="0"/>
                <w:dstrike w:val="0"/>
                <w:color w:val="auto"/>
                <w:sz w:val="24"/>
                <w:szCs w:val="24"/>
                <w:highlight w:val="none"/>
              </w:rPr>
              <w:t>ase K</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25</w:t>
            </w:r>
            <w:r>
              <w:rPr>
                <w:rStyle w:val="4"/>
                <w:rFonts w:hint="eastAsia" w:ascii="宋体" w:hAnsi="宋体" w:eastAsia="宋体" w:cs="宋体"/>
                <w:strike w:val="0"/>
                <w:dstrike w:val="0"/>
                <w:color w:val="auto"/>
                <w:sz w:val="24"/>
                <w:szCs w:val="24"/>
                <w:highlight w:val="none"/>
                <w:lang w:eastAsia="zh-CN"/>
              </w:rPr>
              <w:t>ml</w:t>
            </w:r>
            <w:r>
              <w:rPr>
                <w:rStyle w:val="4"/>
                <w:rFonts w:hint="eastAsia" w:ascii="宋体" w:hAnsi="宋体" w:eastAsia="宋体" w:cs="宋体"/>
                <w:strike w:val="0"/>
                <w:dstrike w:val="0"/>
                <w:color w:val="auto"/>
                <w:sz w:val="24"/>
                <w:szCs w:val="24"/>
                <w:highlight w:val="none"/>
              </w:rPr>
              <w:t>/瓶</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溶液已配置好，做实验可直接使用，易保存。</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2瓶</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8"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15</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毛细管3500xl 24 道</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eastAsia="zh-CN"/>
              </w:rPr>
            </w:pPr>
            <w:r>
              <w:rPr>
                <w:rStyle w:val="4"/>
                <w:rFonts w:hint="eastAsia" w:ascii="宋体" w:hAnsi="宋体" w:eastAsia="宋体" w:cs="宋体"/>
                <w:strike w:val="0"/>
                <w:dstrike w:val="0"/>
                <w:color w:val="auto"/>
                <w:sz w:val="24"/>
                <w:szCs w:val="24"/>
                <w:highlight w:val="none"/>
              </w:rPr>
              <w:t>36</w:t>
            </w:r>
            <w:r>
              <w:rPr>
                <w:rStyle w:val="4"/>
                <w:rFonts w:hint="eastAsia" w:ascii="宋体" w:hAnsi="宋体" w:eastAsia="宋体" w:cs="宋体"/>
                <w:strike w:val="0"/>
                <w:dstrike w:val="0"/>
                <w:color w:val="auto"/>
                <w:sz w:val="24"/>
                <w:szCs w:val="24"/>
                <w:highlight w:val="none"/>
                <w:lang w:eastAsia="zh-CN"/>
              </w:rPr>
              <w:t>cm</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1、适用于applied biosystems品牌3500系列基因分析仪。</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2、24通道,36cm。</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3、仪器生产厂家针对专门的应用设计生产，专用于法庭科学的片段分析实验。</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rPr>
              <w:t>3</w:t>
            </w:r>
            <w:r>
              <w:rPr>
                <w:rStyle w:val="4"/>
                <w:rFonts w:hint="eastAsia" w:ascii="宋体" w:hAnsi="宋体" w:eastAsia="宋体" w:cs="宋体"/>
                <w:strike w:val="0"/>
                <w:dstrike w:val="0"/>
                <w:color w:val="auto"/>
                <w:sz w:val="24"/>
                <w:szCs w:val="24"/>
                <w:highlight w:val="none"/>
              </w:rPr>
              <w:t>套</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r>
              <w:rPr>
                <w:rStyle w:val="4"/>
                <w:rFonts w:hint="eastAsia" w:ascii="宋体" w:hAnsi="宋体" w:eastAsia="宋体" w:cs="宋体"/>
                <w:strike w:val="0"/>
                <w:dstrike w:val="0"/>
                <w:color w:val="auto"/>
                <w:sz w:val="24"/>
                <w:szCs w:val="24"/>
                <w:highlight w:val="none"/>
                <w:lang w:eastAsia="zh-CN"/>
              </w:rPr>
              <w:t>接受进口产品投标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16</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rPr>
              <w:t>FW-超微量磁珠法DNA提取试剂盒</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48人份</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1、案件专用磁珠法DNA提取试剂盒为一体式封装试剂,用于DNA提取的磁珠和各种试剂通过塑料膜密封在可与DNA纯化仪配套使用的塑料条内，撕开密封条置于纯化仪中可直接用于DNA的提取。</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2、规格：48人份/盒。</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3、配有在DNA纯化仪上使用的浓缩、纯化及提取程序，可用于血液斑、唾液斑、精液斑、毛发、组织等常规检材及脱落细胞、陈旧、污染、降解和微量检材等疑难检材的DNA 提取纯化。</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4、该试剂盒能够与实验室Kingfisher duo核酸纯化仪配套使用。</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4盒</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5"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17</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rPr>
              <w:t>骨骼专用磁珠法DNA提取试剂盒</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48人份</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1、骨骼专用磁珠法DNA提取试剂盒为一体式封装试剂,用于DNA提取的磁珠和各种试剂通过塑料膜密封在可与DNA纯化仪配套使用的塑料条内，撕开密封条置于纯化仪中可直接用于DNA的提取。</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2、规格：48人份/盒，该试剂盒能够与实验室Kingfisher duo核酸纯化仪配套使用，配有在DNA纯化仪上使用的浓缩、纯化及提取程序，可用于陈旧骨骼等检材的提取。</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3盒</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9"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18</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r>
              <w:rPr>
                <w:rStyle w:val="4"/>
                <w:rFonts w:hint="eastAsia" w:ascii="宋体" w:hAnsi="宋体" w:eastAsia="宋体" w:cs="宋体"/>
                <w:strike w:val="0"/>
                <w:dstrike w:val="0"/>
                <w:color w:val="auto"/>
                <w:sz w:val="24"/>
                <w:szCs w:val="24"/>
                <w:highlight w:val="none"/>
              </w:rPr>
              <w:t>纯化试剂盒</w:t>
            </w:r>
            <w:r>
              <w:rPr>
                <w:rStyle w:val="4"/>
                <w:rFonts w:hint="eastAsia" w:ascii="宋体" w:hAnsi="宋体" w:eastAsia="宋体" w:cs="宋体"/>
                <w:strike w:val="0"/>
                <w:dstrike w:val="0"/>
                <w:color w:val="auto"/>
                <w:sz w:val="24"/>
                <w:szCs w:val="24"/>
                <w:highlight w:val="none"/>
                <w:lang w:val="en-US" w:eastAsia="zh-CN"/>
              </w:rPr>
              <w:t>1</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52人份</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1、适用于applied biosystems品牌Automate Express系列疑难检材提取仪。</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2、提高法医疑难样本（骨骼，牙齿，接触性检材等）DNA提取的总量、纯度和浓度。</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3、获取不含PCR抑制物的高质量DNA，适合于一系列下游操作，如实时定量PCR和STR分析。</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4、特殊的“微球”型磁珠及试剂能优化DNA附着和小体积洗脱DNA。</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5、配合机器使用，从骨骼牙齿等法医类生物检材中提取DNA，无需经过脱钙等实验流程，只需要孵育120分钟，提取30分钟，整个DNA提取纯化过程在150分钟内完成。</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rPr>
              <w:t>3</w:t>
            </w:r>
            <w:r>
              <w:rPr>
                <w:rStyle w:val="4"/>
                <w:rFonts w:hint="eastAsia" w:ascii="宋体" w:hAnsi="宋体" w:eastAsia="宋体" w:cs="宋体"/>
                <w:strike w:val="0"/>
                <w:dstrike w:val="0"/>
                <w:color w:val="auto"/>
                <w:sz w:val="24"/>
                <w:szCs w:val="24"/>
                <w:highlight w:val="none"/>
              </w:rPr>
              <w:t>盒</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r>
              <w:rPr>
                <w:rStyle w:val="4"/>
                <w:rFonts w:hint="eastAsia" w:ascii="宋体" w:hAnsi="宋体" w:eastAsia="宋体" w:cs="宋体"/>
                <w:strike w:val="0"/>
                <w:dstrike w:val="0"/>
                <w:color w:val="auto"/>
                <w:sz w:val="24"/>
                <w:szCs w:val="24"/>
                <w:highlight w:val="none"/>
                <w:lang w:eastAsia="zh-CN"/>
              </w:rPr>
              <w:t>接受进口产品投标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19</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r>
              <w:rPr>
                <w:rStyle w:val="4"/>
                <w:rFonts w:hint="eastAsia" w:ascii="宋体" w:hAnsi="宋体" w:eastAsia="宋体" w:cs="宋体"/>
                <w:strike w:val="0"/>
                <w:dstrike w:val="0"/>
                <w:color w:val="auto"/>
                <w:sz w:val="24"/>
                <w:szCs w:val="24"/>
                <w:highlight w:val="none"/>
              </w:rPr>
              <w:t xml:space="preserve">纯化试剂盒 </w:t>
            </w:r>
            <w:r>
              <w:rPr>
                <w:rStyle w:val="4"/>
                <w:rFonts w:hint="eastAsia" w:ascii="宋体" w:hAnsi="宋体" w:eastAsia="宋体" w:cs="宋体"/>
                <w:strike w:val="0"/>
                <w:dstrike w:val="0"/>
                <w:color w:val="auto"/>
                <w:sz w:val="24"/>
                <w:szCs w:val="24"/>
                <w:highlight w:val="none"/>
                <w:lang w:val="en-US" w:eastAsia="zh-CN"/>
              </w:rPr>
              <w:t>2</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人份</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该试剂盒（全自动专用）为一体式封装试剂，用于DNA提取的磁珠和各种试剂通过塑料膜密封在可与全自动96道微量DNA提取工作站配套使用的塑料反应板内，使用时撕开密封膜置于全自动96道微量DNA提取工作站中即可直接用于全自动DNA的自动化提取。</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2、一个完整试剂盒包装含有封装试剂的反应板，并配有试剂相应数量的盒装吸头（吸头为封装好的盒装吸头，撕开外包装即可整盒放在工作站上使用），封装好的消化液（一次性使用，无需二次整体转移消化液，撕开封膜即可放在工作站上使用）。</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3、产品四种规格：24/48/72/96人份/盒，完整试剂盒外另配和试剂盒规格相应数量离心套板，该离心套板为嵌套反应板，上下部分可分离，另配相应数量封装好的洗脱液，试剂适配于实验室现有的工作站。</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4、样本适用性：配有在全自动96道微量DNA提取工作站上使用的浓缩、纯化及提取程序，可用于血液(斑)、唾液(斑)、精液(斑)、毛发、组织等常规检材及陈旧、污染、降解和微量检材等疑难检材的DNA提取纯化。</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rPr>
              <w:t>2400</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9"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20</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r>
              <w:rPr>
                <w:rStyle w:val="4"/>
                <w:rFonts w:hint="eastAsia" w:ascii="宋体" w:hAnsi="宋体" w:eastAsia="宋体" w:cs="宋体"/>
                <w:strike w:val="0"/>
                <w:dstrike w:val="0"/>
                <w:color w:val="auto"/>
                <w:sz w:val="24"/>
                <w:szCs w:val="24"/>
                <w:highlight w:val="none"/>
              </w:rPr>
              <w:t xml:space="preserve">混合斑提取试剂盒 </w:t>
            </w:r>
            <w:r>
              <w:rPr>
                <w:rStyle w:val="4"/>
                <w:rFonts w:hint="eastAsia" w:ascii="宋体" w:hAnsi="宋体" w:eastAsia="宋体" w:cs="宋体"/>
                <w:strike w:val="0"/>
                <w:dstrike w:val="0"/>
                <w:color w:val="auto"/>
                <w:sz w:val="24"/>
                <w:szCs w:val="24"/>
                <w:highlight w:val="none"/>
                <w:lang w:val="en-US" w:eastAsia="zh-CN"/>
              </w:rPr>
              <w:t>3</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人份</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混合斑DNA提取试剂盒（全自动专用）为一体式封装试剂，用于DNA提取的磁珠和各种试剂通过塑料膜密封在可与全自动微量DNA提取工作站配套使用的塑料反应板内，使用时撕开密封膜置于全自动微量DNA提取工作站中即可直接用于混合斑检材全自动DNA的自动化提取。</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2、一个完整试剂盒包装含有封装试剂的反应板，并配有试剂相应数量的盒装吸头（吸头为封装好的盒装吸头，撕开外包装即可整盒放在工作站上使用），封装好的消化液（一次性使用，无需二次整体转移消化液，撕开封膜即可放在工作站上使用）。</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3、完整试剂盒外另配和试剂盒规格相应数量的24孔离心套板，该24孔离心套板为嵌套反应板，上下部分可分离，另配相应数量封装好的洗脱液。</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4、产品规格：8次/盒，24次/盒；适配于实验室现有的工作站。</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5、配有在全自动微量DNA提取工作站上使用的消化、浓缩、纯化及提取程序，专用于混合斑检材DNA提取纯化。</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1280</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21</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蓝星潜血试剂</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5份/套</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适用于阴暗环境下对潜血进行显现且肉眼可见，无DNA无污染。</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3套</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22</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PSA 金标试剂条</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独立包装，该试剂条可快速定性检测人精斑，在标本中选择性地鉴别人的前列腺抗原(PSA)，能检测出样本中高于5ng/ml浓度的前列腺抗原。</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600条</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23</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10</w:t>
            </w:r>
            <w:r>
              <w:rPr>
                <w:rStyle w:val="4"/>
                <w:rFonts w:hint="eastAsia" w:ascii="宋体" w:hAnsi="宋体" w:eastAsia="宋体" w:cs="宋体"/>
                <w:strike w:val="0"/>
                <w:dstrike w:val="0"/>
                <w:color w:val="auto"/>
                <w:sz w:val="24"/>
                <w:szCs w:val="24"/>
                <w:highlight w:val="none"/>
                <w:lang w:eastAsia="zh-CN"/>
              </w:rPr>
              <w:t>cm</w:t>
            </w:r>
            <w:r>
              <w:rPr>
                <w:rStyle w:val="4"/>
                <w:rFonts w:hint="eastAsia" w:ascii="宋体" w:hAnsi="宋体" w:eastAsia="宋体" w:cs="宋体"/>
                <w:strike w:val="0"/>
                <w:dstrike w:val="0"/>
                <w:color w:val="auto"/>
                <w:sz w:val="24"/>
                <w:szCs w:val="24"/>
                <w:highlight w:val="none"/>
              </w:rPr>
              <w:t>直有齿眼科镊</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eastAsia="zh-CN"/>
              </w:rPr>
            </w:pPr>
            <w:r>
              <w:rPr>
                <w:rStyle w:val="4"/>
                <w:rFonts w:hint="eastAsia" w:ascii="宋体" w:hAnsi="宋体" w:eastAsia="宋体" w:cs="宋体"/>
                <w:strike w:val="0"/>
                <w:dstrike w:val="0"/>
                <w:color w:val="auto"/>
                <w:sz w:val="24"/>
                <w:szCs w:val="24"/>
                <w:highlight w:val="none"/>
              </w:rPr>
              <w:t>10</w:t>
            </w:r>
            <w:r>
              <w:rPr>
                <w:rStyle w:val="4"/>
                <w:rFonts w:hint="eastAsia" w:ascii="宋体" w:hAnsi="宋体" w:eastAsia="宋体" w:cs="宋体"/>
                <w:strike w:val="0"/>
                <w:dstrike w:val="0"/>
                <w:color w:val="auto"/>
                <w:sz w:val="24"/>
                <w:szCs w:val="24"/>
                <w:highlight w:val="none"/>
                <w:lang w:eastAsia="zh-CN"/>
              </w:rPr>
              <w:t>cm</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实验室设备常规耗材。</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rPr>
              <w:t>1</w:t>
            </w:r>
            <w:r>
              <w:rPr>
                <w:rStyle w:val="4"/>
                <w:rFonts w:hint="eastAsia" w:ascii="宋体" w:hAnsi="宋体" w:eastAsia="宋体" w:cs="宋体"/>
                <w:strike w:val="0"/>
                <w:dstrike w:val="0"/>
                <w:color w:val="auto"/>
                <w:sz w:val="24"/>
                <w:szCs w:val="24"/>
                <w:highlight w:val="none"/>
              </w:rPr>
              <w:t>00把</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24</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10</w:t>
            </w:r>
            <w:r>
              <w:rPr>
                <w:rStyle w:val="4"/>
                <w:rFonts w:hint="eastAsia" w:ascii="宋体" w:hAnsi="宋体" w:eastAsia="宋体" w:cs="宋体"/>
                <w:strike w:val="0"/>
                <w:dstrike w:val="0"/>
                <w:color w:val="auto"/>
                <w:sz w:val="24"/>
                <w:szCs w:val="24"/>
                <w:highlight w:val="none"/>
                <w:lang w:eastAsia="zh-CN"/>
              </w:rPr>
              <w:t>cm</w:t>
            </w:r>
            <w:r>
              <w:rPr>
                <w:rStyle w:val="4"/>
                <w:rFonts w:hint="eastAsia" w:ascii="宋体" w:hAnsi="宋体" w:eastAsia="宋体" w:cs="宋体"/>
                <w:strike w:val="0"/>
                <w:dstrike w:val="0"/>
                <w:color w:val="auto"/>
                <w:sz w:val="24"/>
                <w:szCs w:val="24"/>
                <w:highlight w:val="none"/>
              </w:rPr>
              <w:t>直尖头眼用剪</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eastAsia="zh-CN"/>
              </w:rPr>
            </w:pPr>
            <w:r>
              <w:rPr>
                <w:rStyle w:val="4"/>
                <w:rFonts w:hint="eastAsia" w:ascii="宋体" w:hAnsi="宋体" w:eastAsia="宋体" w:cs="宋体"/>
                <w:strike w:val="0"/>
                <w:dstrike w:val="0"/>
                <w:color w:val="auto"/>
                <w:sz w:val="24"/>
                <w:szCs w:val="24"/>
                <w:highlight w:val="none"/>
              </w:rPr>
              <w:t>10</w:t>
            </w:r>
            <w:r>
              <w:rPr>
                <w:rStyle w:val="4"/>
                <w:rFonts w:hint="eastAsia" w:ascii="宋体" w:hAnsi="宋体" w:eastAsia="宋体" w:cs="宋体"/>
                <w:strike w:val="0"/>
                <w:dstrike w:val="0"/>
                <w:color w:val="auto"/>
                <w:sz w:val="24"/>
                <w:szCs w:val="24"/>
                <w:highlight w:val="none"/>
                <w:lang w:eastAsia="zh-CN"/>
              </w:rPr>
              <w:t>cm</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实验室设备常规耗材。</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rPr>
              <w:t>1</w:t>
            </w:r>
            <w:r>
              <w:rPr>
                <w:rStyle w:val="4"/>
                <w:rFonts w:hint="eastAsia" w:ascii="宋体" w:hAnsi="宋体" w:eastAsia="宋体" w:cs="宋体"/>
                <w:strike w:val="0"/>
                <w:dstrike w:val="0"/>
                <w:color w:val="auto"/>
                <w:sz w:val="24"/>
                <w:szCs w:val="24"/>
                <w:highlight w:val="none"/>
              </w:rPr>
              <w:t>00把</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25</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96 孔封板膜</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100张/盒</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实验室常规耗材。</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3盒</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26</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阴极杯电泳胶垫</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适用于3500XL</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1、适用于applied biosystems品牌基因分析仪。</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2、用于阴极缓冲液杯适配。</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3、每个包装10个样本。</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1盒</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27</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96孔板电泳胶垫</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适用于3501XL</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1、适用于applied biosystems品牌基因分析仪。</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2、用于96孔板测序时适配。</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3、每个包装10个样本。</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1包</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8"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28</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中型多酶生态型消洗剂 23 酶洗剂</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实验室清洗消毒机的配套耗材。</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rPr>
              <w:t>1</w:t>
            </w:r>
            <w:r>
              <w:rPr>
                <w:rStyle w:val="4"/>
                <w:rFonts w:hint="eastAsia" w:ascii="宋体" w:hAnsi="宋体" w:eastAsia="宋体" w:cs="宋体"/>
                <w:strike w:val="0"/>
                <w:dstrike w:val="0"/>
                <w:color w:val="auto"/>
                <w:sz w:val="24"/>
                <w:szCs w:val="24"/>
                <w:highlight w:val="none"/>
              </w:rPr>
              <w:t>瓶</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29</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桶装洗衣粉（1.8</w:t>
            </w:r>
            <w:r>
              <w:rPr>
                <w:rStyle w:val="4"/>
                <w:rFonts w:hint="eastAsia" w:ascii="宋体" w:hAnsi="宋体" w:eastAsia="宋体" w:cs="宋体"/>
                <w:strike w:val="0"/>
                <w:dstrike w:val="0"/>
                <w:color w:val="auto"/>
                <w:sz w:val="24"/>
                <w:szCs w:val="24"/>
                <w:highlight w:val="none"/>
                <w:lang w:eastAsia="zh-CN"/>
              </w:rPr>
              <w:t>kg</w:t>
            </w:r>
            <w:r>
              <w:rPr>
                <w:rStyle w:val="4"/>
                <w:rFonts w:hint="eastAsia" w:ascii="宋体" w:hAnsi="宋体" w:eastAsia="宋体" w:cs="宋体"/>
                <w:strike w:val="0"/>
                <w:dstrike w:val="0"/>
                <w:color w:val="auto"/>
                <w:sz w:val="24"/>
                <w:szCs w:val="24"/>
                <w:highlight w:val="none"/>
              </w:rPr>
              <w:t>）</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eastAsia="zh-CN"/>
              </w:rPr>
            </w:pPr>
            <w:r>
              <w:rPr>
                <w:rStyle w:val="4"/>
                <w:rFonts w:hint="eastAsia" w:ascii="宋体" w:hAnsi="宋体" w:eastAsia="宋体" w:cs="宋体"/>
                <w:strike w:val="0"/>
                <w:dstrike w:val="0"/>
                <w:color w:val="auto"/>
                <w:sz w:val="24"/>
                <w:szCs w:val="24"/>
                <w:highlight w:val="none"/>
              </w:rPr>
              <w:t>1.8</w:t>
            </w:r>
            <w:r>
              <w:rPr>
                <w:rStyle w:val="4"/>
                <w:rFonts w:hint="eastAsia" w:ascii="宋体" w:hAnsi="宋体" w:eastAsia="宋体" w:cs="宋体"/>
                <w:strike w:val="0"/>
                <w:dstrike w:val="0"/>
                <w:color w:val="auto"/>
                <w:sz w:val="24"/>
                <w:szCs w:val="24"/>
                <w:highlight w:val="none"/>
                <w:lang w:eastAsia="zh-CN"/>
              </w:rPr>
              <w:t>kg</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容器清洗用</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2桶</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30</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84 消毒液</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eastAsia="zh-CN"/>
              </w:rPr>
            </w:pPr>
            <w:r>
              <w:rPr>
                <w:rStyle w:val="4"/>
                <w:rFonts w:hint="eastAsia" w:ascii="宋体" w:hAnsi="宋体" w:eastAsia="宋体" w:cs="宋体"/>
                <w:strike w:val="0"/>
                <w:dstrike w:val="0"/>
                <w:color w:val="auto"/>
                <w:sz w:val="24"/>
                <w:szCs w:val="24"/>
                <w:highlight w:val="none"/>
              </w:rPr>
              <w:t>500</w:t>
            </w:r>
            <w:r>
              <w:rPr>
                <w:rStyle w:val="4"/>
                <w:rFonts w:hint="eastAsia" w:ascii="宋体" w:hAnsi="宋体" w:eastAsia="宋体" w:cs="宋体"/>
                <w:strike w:val="0"/>
                <w:dstrike w:val="0"/>
                <w:color w:val="auto"/>
                <w:sz w:val="24"/>
                <w:szCs w:val="24"/>
                <w:highlight w:val="none"/>
                <w:lang w:eastAsia="zh-CN"/>
              </w:rPr>
              <w:t>ml</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容器清洗用</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rPr>
              <w:t>10</w:t>
            </w:r>
            <w:r>
              <w:rPr>
                <w:rStyle w:val="4"/>
                <w:rFonts w:hint="eastAsia" w:ascii="宋体" w:hAnsi="宋体" w:eastAsia="宋体" w:cs="宋体"/>
                <w:strike w:val="0"/>
                <w:dstrike w:val="0"/>
                <w:color w:val="auto"/>
                <w:sz w:val="24"/>
                <w:szCs w:val="24"/>
                <w:highlight w:val="none"/>
              </w:rPr>
              <w:t>瓶</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31</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75%酒精</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eastAsia="zh-CN"/>
              </w:rPr>
            </w:pPr>
            <w:r>
              <w:rPr>
                <w:rStyle w:val="4"/>
                <w:rFonts w:hint="eastAsia" w:ascii="宋体" w:hAnsi="宋体" w:eastAsia="宋体" w:cs="宋体"/>
                <w:strike w:val="0"/>
                <w:dstrike w:val="0"/>
                <w:color w:val="auto"/>
                <w:sz w:val="24"/>
                <w:szCs w:val="24"/>
                <w:highlight w:val="none"/>
              </w:rPr>
              <w:t>500</w:t>
            </w:r>
            <w:r>
              <w:rPr>
                <w:rStyle w:val="4"/>
                <w:rFonts w:hint="eastAsia" w:ascii="宋体" w:hAnsi="宋体" w:eastAsia="宋体" w:cs="宋体"/>
                <w:strike w:val="0"/>
                <w:dstrike w:val="0"/>
                <w:color w:val="auto"/>
                <w:sz w:val="24"/>
                <w:szCs w:val="24"/>
                <w:highlight w:val="none"/>
                <w:lang w:eastAsia="zh-CN"/>
              </w:rPr>
              <w:t>ml</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容器清洗用</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rPr>
              <w:t>1</w:t>
            </w:r>
            <w:r>
              <w:rPr>
                <w:rStyle w:val="4"/>
                <w:rFonts w:hint="eastAsia" w:ascii="宋体" w:hAnsi="宋体" w:eastAsia="宋体" w:cs="宋体"/>
                <w:strike w:val="0"/>
                <w:dstrike w:val="0"/>
                <w:color w:val="auto"/>
                <w:sz w:val="24"/>
                <w:szCs w:val="24"/>
                <w:highlight w:val="none"/>
              </w:rPr>
              <w:t>0瓶</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32</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档案盒（塑料加厚）</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档案储存用</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40个</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33</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DNA废弃物收集袋</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eastAsia="zh-CN"/>
              </w:rPr>
            </w:pPr>
            <w:r>
              <w:rPr>
                <w:rStyle w:val="4"/>
                <w:rFonts w:hint="eastAsia" w:ascii="宋体" w:hAnsi="宋体" w:eastAsia="宋体" w:cs="宋体"/>
                <w:strike w:val="0"/>
                <w:dstrike w:val="0"/>
                <w:color w:val="auto"/>
                <w:sz w:val="24"/>
                <w:szCs w:val="24"/>
                <w:highlight w:val="none"/>
              </w:rPr>
              <w:t>加厚，120</w:t>
            </w:r>
            <w:r>
              <w:rPr>
                <w:rStyle w:val="4"/>
                <w:rFonts w:hint="eastAsia" w:ascii="宋体" w:hAnsi="宋体" w:eastAsia="宋体" w:cs="宋体"/>
                <w:strike w:val="0"/>
                <w:dstrike w:val="0"/>
                <w:color w:val="auto"/>
                <w:sz w:val="24"/>
                <w:szCs w:val="24"/>
                <w:highlight w:val="none"/>
                <w:lang w:eastAsia="zh-CN"/>
              </w:rPr>
              <w:t>cm</w:t>
            </w:r>
            <w:r>
              <w:rPr>
                <w:rStyle w:val="4"/>
                <w:rFonts w:hint="eastAsia" w:ascii="宋体" w:hAnsi="宋体" w:eastAsia="宋体" w:cs="宋体"/>
                <w:strike w:val="0"/>
                <w:dstrike w:val="0"/>
                <w:color w:val="auto"/>
                <w:sz w:val="24"/>
                <w:szCs w:val="24"/>
                <w:highlight w:val="none"/>
              </w:rPr>
              <w:t>×140</w:t>
            </w:r>
            <w:r>
              <w:rPr>
                <w:rStyle w:val="4"/>
                <w:rFonts w:hint="eastAsia" w:ascii="宋体" w:hAnsi="宋体" w:eastAsia="宋体" w:cs="宋体"/>
                <w:strike w:val="0"/>
                <w:dstrike w:val="0"/>
                <w:color w:val="auto"/>
                <w:sz w:val="24"/>
                <w:szCs w:val="24"/>
                <w:highlight w:val="none"/>
                <w:lang w:eastAsia="zh-CN"/>
              </w:rPr>
              <w:t>cm</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垃圾分类收集用。</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400个</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34</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一次性PVC手套（丁晴）</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50双/盒</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实验室设备常规耗材。</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rPr>
              <w:t>6</w:t>
            </w:r>
            <w:r>
              <w:rPr>
                <w:rStyle w:val="4"/>
                <w:rFonts w:hint="eastAsia" w:ascii="宋体" w:hAnsi="宋体" w:eastAsia="宋体" w:cs="宋体"/>
                <w:strike w:val="0"/>
                <w:dstrike w:val="0"/>
                <w:color w:val="auto"/>
                <w:sz w:val="24"/>
                <w:szCs w:val="24"/>
                <w:highlight w:val="none"/>
              </w:rPr>
              <w:t>0盒</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35</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0.5-10ul盒装灭菌透明吸头（盒装）</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50盒/箱</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96支/盒，10*5盒/箱，实验室常规耗材。</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rPr>
              <w:t>20</w:t>
            </w:r>
            <w:r>
              <w:rPr>
                <w:rStyle w:val="4"/>
                <w:rFonts w:hint="eastAsia" w:ascii="宋体" w:hAnsi="宋体" w:eastAsia="宋体" w:cs="宋体"/>
                <w:strike w:val="0"/>
                <w:dstrike w:val="0"/>
                <w:color w:val="auto"/>
                <w:sz w:val="24"/>
                <w:szCs w:val="24"/>
                <w:highlight w:val="none"/>
              </w:rPr>
              <w:t>箱</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8"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36</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0.5-10ul袋装灭菌透明吸头（袋装）</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1000个/袋</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实验室常规耗材。</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rPr>
              <w:t>100</w:t>
            </w:r>
            <w:r>
              <w:rPr>
                <w:rStyle w:val="4"/>
                <w:rFonts w:hint="eastAsia" w:ascii="宋体" w:hAnsi="宋体" w:eastAsia="宋体" w:cs="宋体"/>
                <w:strike w:val="0"/>
                <w:dstrike w:val="0"/>
                <w:color w:val="auto"/>
                <w:sz w:val="24"/>
                <w:szCs w:val="24"/>
                <w:highlight w:val="none"/>
              </w:rPr>
              <w:t>袋</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37</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USB外置光驱（读取/刻录一体）</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读取/刻录一体</w:t>
            </w:r>
            <w:r>
              <w:rPr>
                <w:rStyle w:val="4"/>
                <w:rFonts w:hint="eastAsia" w:ascii="宋体" w:hAnsi="宋体" w:eastAsia="宋体" w:cs="宋体"/>
                <w:strike w:val="0"/>
                <w:dstrike w:val="0"/>
                <w:color w:val="auto"/>
                <w:sz w:val="24"/>
                <w:szCs w:val="24"/>
                <w:highlight w:val="none"/>
                <w:lang w:eastAsia="zh-CN"/>
              </w:rPr>
              <w:t>。</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5个</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38</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DVD刻录盘</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w:t>
            </w:r>
            <w:r>
              <w:rPr>
                <w:rStyle w:val="4"/>
                <w:rFonts w:hint="eastAsia" w:ascii="宋体" w:hAnsi="宋体" w:eastAsia="宋体" w:cs="宋体"/>
                <w:strike w:val="0"/>
                <w:dstrike w:val="0"/>
                <w:color w:val="auto"/>
                <w:sz w:val="24"/>
                <w:szCs w:val="24"/>
                <w:highlight w:val="none"/>
              </w:rPr>
              <w:t>4.7G,可反复读写，50片/盒</w:t>
            </w:r>
            <w:r>
              <w:rPr>
                <w:rStyle w:val="4"/>
                <w:rFonts w:hint="eastAsia" w:ascii="宋体" w:hAnsi="宋体" w:eastAsia="宋体" w:cs="宋体"/>
                <w:strike w:val="0"/>
                <w:dstrike w:val="0"/>
                <w:color w:val="auto"/>
                <w:sz w:val="24"/>
                <w:szCs w:val="24"/>
                <w:highlight w:val="none"/>
                <w:lang w:eastAsia="zh-CN"/>
              </w:rPr>
              <w:t>。</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5盒</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39</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现场勘查包</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功能包括：提取脱落细胞、提取DNA、提取相关人员血液样本、现场测量、笔录。</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4个</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40</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实验室无尘拖鞋</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夏</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实验室常规耗材，码数以采购人要求为准。</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20双</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41</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实验室无尘拖鞋</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冬</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实验室常规耗材，码数以采购人要求为准。</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20双</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42</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纸质收纳箱</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35*30*21</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实验室常规耗材。</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30个</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43</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纸质收纳箱</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53*38*31</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实验室常规耗材。</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20个</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44</w:t>
            </w:r>
          </w:p>
        </w:tc>
        <w:tc>
          <w:tcPr>
            <w:tcW w:w="1108"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条码</w:t>
            </w:r>
          </w:p>
        </w:tc>
        <w:tc>
          <w:tcPr>
            <w:tcW w:w="778"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c>
          <w:tcPr>
            <w:tcW w:w="6183" w:type="dxa"/>
            <w:shd w:val="clear" w:color="000000" w:fill="FFFFFF"/>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血卡编码用。</w:t>
            </w:r>
          </w:p>
        </w:tc>
        <w:tc>
          <w:tcPr>
            <w:tcW w:w="870"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10000个</w:t>
            </w:r>
          </w:p>
        </w:tc>
        <w:tc>
          <w:tcPr>
            <w:tcW w:w="830"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45</w:t>
            </w:r>
          </w:p>
        </w:tc>
        <w:tc>
          <w:tcPr>
            <w:tcW w:w="1108"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洁净抽纸</w:t>
            </w:r>
          </w:p>
        </w:tc>
        <w:tc>
          <w:tcPr>
            <w:tcW w:w="778"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c>
          <w:tcPr>
            <w:tcW w:w="6183" w:type="dxa"/>
            <w:shd w:val="clear" w:color="000000" w:fill="FFFFFF"/>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实验室常规耗材。</w:t>
            </w:r>
          </w:p>
        </w:tc>
        <w:tc>
          <w:tcPr>
            <w:tcW w:w="870"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100包</w:t>
            </w:r>
          </w:p>
        </w:tc>
        <w:tc>
          <w:tcPr>
            <w:tcW w:w="830"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46</w:t>
            </w:r>
          </w:p>
        </w:tc>
        <w:tc>
          <w:tcPr>
            <w:tcW w:w="1108"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超纯水</w:t>
            </w:r>
          </w:p>
        </w:tc>
        <w:tc>
          <w:tcPr>
            <w:tcW w:w="778"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c>
          <w:tcPr>
            <w:tcW w:w="6183" w:type="dxa"/>
            <w:shd w:val="clear" w:color="000000" w:fill="FFFFFF"/>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去核酸水，DNA实验使用。</w:t>
            </w:r>
          </w:p>
        </w:tc>
        <w:tc>
          <w:tcPr>
            <w:tcW w:w="870"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100桶</w:t>
            </w:r>
          </w:p>
        </w:tc>
        <w:tc>
          <w:tcPr>
            <w:tcW w:w="830"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47</w:t>
            </w:r>
          </w:p>
        </w:tc>
        <w:tc>
          <w:tcPr>
            <w:tcW w:w="1108"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记号笔</w:t>
            </w:r>
          </w:p>
        </w:tc>
        <w:tc>
          <w:tcPr>
            <w:tcW w:w="778"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c>
          <w:tcPr>
            <w:tcW w:w="6183" w:type="dxa"/>
            <w:shd w:val="clear" w:color="000000" w:fill="FFFFFF"/>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实验室常规耗材。</w:t>
            </w:r>
          </w:p>
        </w:tc>
        <w:tc>
          <w:tcPr>
            <w:tcW w:w="870"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30个</w:t>
            </w:r>
          </w:p>
        </w:tc>
        <w:tc>
          <w:tcPr>
            <w:tcW w:w="830"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48</w:t>
            </w:r>
          </w:p>
        </w:tc>
        <w:tc>
          <w:tcPr>
            <w:tcW w:w="1108"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纸质物证包装袋</w:t>
            </w:r>
          </w:p>
        </w:tc>
        <w:tc>
          <w:tcPr>
            <w:tcW w:w="778"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c>
          <w:tcPr>
            <w:tcW w:w="6183" w:type="dxa"/>
            <w:shd w:val="clear" w:color="000000" w:fill="FFFFFF"/>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实验室常规耗材，规格以采购人要求为准。</w:t>
            </w:r>
          </w:p>
        </w:tc>
        <w:tc>
          <w:tcPr>
            <w:tcW w:w="870"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40个</w:t>
            </w:r>
          </w:p>
        </w:tc>
        <w:tc>
          <w:tcPr>
            <w:tcW w:w="830"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lang w:val="en-US" w:eastAsia="zh-CN" w:bidi="ar-SA"/>
              </w:rPr>
              <w:t>49</w:t>
            </w:r>
          </w:p>
        </w:tc>
        <w:tc>
          <w:tcPr>
            <w:tcW w:w="1108"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生物物证提取棉签</w:t>
            </w:r>
          </w:p>
        </w:tc>
        <w:tc>
          <w:tcPr>
            <w:tcW w:w="778"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30根/盒</w:t>
            </w:r>
          </w:p>
        </w:tc>
        <w:tc>
          <w:tcPr>
            <w:tcW w:w="6183" w:type="dxa"/>
            <w:shd w:val="clear" w:color="000000" w:fill="FFFFFF"/>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实验室常规耗材。</w:t>
            </w:r>
          </w:p>
        </w:tc>
        <w:tc>
          <w:tcPr>
            <w:tcW w:w="870"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20盒</w:t>
            </w:r>
          </w:p>
        </w:tc>
        <w:tc>
          <w:tcPr>
            <w:tcW w:w="830" w:type="dxa"/>
            <w:shd w:val="clear" w:color="000000" w:fill="FFFFFF"/>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6"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lang w:val="en-US" w:eastAsia="zh-CN"/>
              </w:rPr>
            </w:pPr>
            <w:r>
              <w:rPr>
                <w:rStyle w:val="4"/>
                <w:rFonts w:hint="eastAsia" w:ascii="宋体" w:hAnsi="宋体" w:eastAsia="宋体" w:cs="宋体"/>
                <w:strike w:val="0"/>
                <w:dstrike w:val="0"/>
                <w:color w:val="auto"/>
                <w:sz w:val="24"/>
                <w:szCs w:val="24"/>
                <w:highlight w:val="none"/>
                <w:lang w:val="en-US" w:eastAsia="zh-CN"/>
              </w:rPr>
              <w:t>50</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二代技术案件用STR试剂盒</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r>
              <w:rPr>
                <w:rStyle w:val="4"/>
                <w:rFonts w:hint="eastAsia" w:ascii="宋体" w:hAnsi="宋体" w:eastAsia="宋体" w:cs="宋体"/>
                <w:strike w:val="0"/>
                <w:dstrike w:val="0"/>
                <w:color w:val="auto"/>
                <w:sz w:val="24"/>
                <w:szCs w:val="24"/>
                <w:highlight w:val="none"/>
              </w:rPr>
              <w:t>1000人份</w:t>
            </w: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1、采用多重PCR技术单次扩增多个STR位点技术，可一管PCR同时扩增检测人类DNA中不少于45个常染色体STR基因座和75个Y染色体STR基因座；，可检测包含人类DNA中公安部打拐要求的29个常染色体基因座和35个Y染色体基因座。</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2、试剂盒须同时一管扩增检测包含遗传标记位点信息如下：</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不低于如下45个常染色体STR：</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vWA、D12S391、D6S477、D1S1677、D1S1656、D6S474、FGA、TPOX、D10S1435、D6S1043、D17S1301、D19S433、D6S1017、D8S1179、TH01、D10S1248、D5S818、D14S1434、D19S253、D5S2500、D8S1132、Penta-E、CSF1PO、D3S3045、D11S4463、D18S51、D3S4529、D7S820、Penta-D、D9S1122、D3S1358、Amelogenin、D16S539、D20S470、D9S925、D7S1517、D2S441、D13S325、D17S1290、D20S482、D21S11、D12ATA63、D4S2408、D2S1338、D4S2366、D22S1045、D13S317、D18S535、D7S3048、D15S659、D11S2368。</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不低于如下75个Y染色体STR：</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DYF387S1a/b、DYS454、DYS460、DYS556、DYS450、DYS638、DYS439、DYS19、DYS455、DYS481、DYS565、DYS453、DYS640、DYS444、DYS385a/b、DYS472、DYS518、DYS568、DYS722、DYS641、DYS447、DYS388、DYS541、DYS434、DYS435、Y-GATA-A10、DYS645、DYS448、DYS389I、DYS476、DYS527a/b、DYS571、Y-indel、DYS630、DYS449、DYS389II、DYS485、DYS533、DYS572、DYS612、DYS437、DYS456、DYS390、DYS502、DYS549、DYS573、DYS613、DYS438、DYS458、DYS391、DYS505、DYS557、DYS578、DYS616、DYS512、DYS627、DYS392、DYS508、DYS570、DYS585、DYS617、DYS511、DYS596、DYS393、DYS510、DYS576、DYS587、DYS530、Y-GATA-H4、DYS538、DYS513、DYS635、DYS522、DYS643、DYS552。</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3、试剂盒所检验的相关STR位点信息能够输出为CODIS表格模式，相关位点基因座信息可直接导入国家DNA数据库。</w:t>
            </w:r>
          </w:p>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4、试剂盒所检验每个样本输出的常-STR和Y-STR基因座位点数据不仅能展示基因座数值信息，还能展示每个基因座的碱基序列信息，以方便对双等位基因座的突变进行进一步的分析验证。</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rPr>
              <w:t>1盒</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707" w:type="dxa"/>
            <w:shd w:val="clear" w:color="000000" w:fill="FFFFFF"/>
            <w:noWrap w:val="0"/>
            <w:vAlign w:val="center"/>
          </w:tcPr>
          <w:p>
            <w:pPr>
              <w:pStyle w:val="6"/>
              <w:numPr>
                <w:ilvl w:val="0"/>
                <w:numId w:val="0"/>
              </w:numPr>
              <w:spacing w:after="0" w:line="240" w:lineRule="auto"/>
              <w:jc w:val="center"/>
              <w:rPr>
                <w:rStyle w:val="4"/>
                <w:rFonts w:hint="eastAsia" w:ascii="宋体" w:hAnsi="宋体" w:eastAsia="宋体" w:cs="宋体"/>
                <w:strike w:val="0"/>
                <w:dstrike w:val="0"/>
                <w:color w:val="auto"/>
                <w:sz w:val="24"/>
                <w:szCs w:val="24"/>
                <w:highlight w:val="none"/>
                <w:lang w:val="en-US" w:eastAsia="zh-CN"/>
              </w:rPr>
            </w:pPr>
            <w:r>
              <w:rPr>
                <w:rStyle w:val="4"/>
                <w:rFonts w:hint="eastAsia" w:ascii="宋体" w:hAnsi="宋体" w:eastAsia="宋体" w:cs="宋体"/>
                <w:strike w:val="0"/>
                <w:dstrike w:val="0"/>
                <w:color w:val="auto"/>
                <w:sz w:val="24"/>
                <w:szCs w:val="24"/>
                <w:highlight w:val="none"/>
                <w:lang w:val="en-US" w:eastAsia="zh-CN"/>
              </w:rPr>
              <w:t>51</w:t>
            </w:r>
          </w:p>
        </w:tc>
        <w:tc>
          <w:tcPr>
            <w:tcW w:w="110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r>
              <w:rPr>
                <w:rStyle w:val="4"/>
                <w:rFonts w:hint="eastAsia" w:ascii="宋体" w:hAnsi="宋体" w:eastAsia="宋体" w:cs="宋体"/>
                <w:strike w:val="0"/>
                <w:dstrike w:val="0"/>
                <w:color w:val="auto"/>
                <w:sz w:val="24"/>
                <w:szCs w:val="24"/>
                <w:highlight w:val="none"/>
                <w:lang w:val="en-US" w:eastAsia="zh-CN"/>
              </w:rPr>
              <w:t>Chelex-100</w:t>
            </w:r>
          </w:p>
        </w:tc>
        <w:tc>
          <w:tcPr>
            <w:tcW w:w="778"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rPr>
            </w:pPr>
          </w:p>
        </w:tc>
        <w:tc>
          <w:tcPr>
            <w:tcW w:w="6183" w:type="dxa"/>
            <w:shd w:val="clear" w:color="auto" w:fill="auto"/>
            <w:noWrap w:val="0"/>
            <w:vAlign w:val="center"/>
          </w:tcPr>
          <w:p>
            <w:pPr>
              <w:pStyle w:val="5"/>
              <w:spacing w:after="0" w:line="240" w:lineRule="auto"/>
              <w:jc w:val="left"/>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bidi="ar"/>
              </w:rPr>
              <w:t>实验室常规耗材。</w:t>
            </w:r>
          </w:p>
        </w:tc>
        <w:tc>
          <w:tcPr>
            <w:tcW w:w="87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bidi="ar"/>
              </w:rPr>
            </w:pPr>
            <w:r>
              <w:rPr>
                <w:rStyle w:val="4"/>
                <w:rFonts w:hint="eastAsia" w:ascii="宋体" w:hAnsi="宋体" w:eastAsia="宋体" w:cs="宋体"/>
                <w:strike w:val="0"/>
                <w:dstrike w:val="0"/>
                <w:color w:val="auto"/>
                <w:sz w:val="24"/>
                <w:szCs w:val="24"/>
                <w:highlight w:val="none"/>
                <w:lang w:val="en-US" w:eastAsia="zh-CN"/>
              </w:rPr>
              <w:t>1瓶</w:t>
            </w:r>
          </w:p>
        </w:tc>
        <w:tc>
          <w:tcPr>
            <w:tcW w:w="830" w:type="dxa"/>
            <w:shd w:val="clear" w:color="auto" w:fill="auto"/>
            <w:noWrap w:val="0"/>
            <w:vAlign w:val="center"/>
          </w:tcPr>
          <w:p>
            <w:pPr>
              <w:pStyle w:val="5"/>
              <w:spacing w:after="0" w:line="240" w:lineRule="auto"/>
              <w:jc w:val="center"/>
              <w:rPr>
                <w:rStyle w:val="4"/>
                <w:rFonts w:hint="eastAsia" w:ascii="宋体" w:hAnsi="宋体" w:eastAsia="宋体" w:cs="宋体"/>
                <w:strike w:val="0"/>
                <w:dstrike w:val="0"/>
                <w:color w:val="auto"/>
                <w:sz w:val="24"/>
                <w:szCs w:val="24"/>
                <w:highlight w:val="none"/>
                <w:lang w:val="en-US" w:eastAsia="zh-CN"/>
              </w:rPr>
            </w:pPr>
          </w:p>
        </w:tc>
      </w:tr>
    </w:tbl>
    <w:p>
      <w:pPr>
        <w:pStyle w:val="5"/>
        <w:widowControl w:val="0"/>
        <w:numPr>
          <w:ilvl w:val="0"/>
          <w:numId w:val="0"/>
        </w:numPr>
        <w:jc w:val="left"/>
        <w:rPr>
          <w:rStyle w:val="4"/>
          <w:rFonts w:hint="eastAsia" w:ascii="宋体" w:hAnsi="宋体" w:eastAsia="宋体" w:cs="宋体"/>
          <w:color w:val="auto"/>
          <w:sz w:val="32"/>
          <w:szCs w:val="36"/>
          <w:highlight w:val="none"/>
          <w:lang w:val="en-US" w:eastAsia="zh-CN"/>
        </w:rPr>
      </w:pPr>
    </w:p>
    <w:p>
      <w:pPr>
        <w:pStyle w:val="7"/>
        <w:widowControl/>
        <w:jc w:val="center"/>
        <w:rPr>
          <w:rStyle w:val="4"/>
          <w:rFonts w:hint="eastAsia" w:ascii="宋体" w:hAnsi="宋体" w:eastAsia="宋体" w:cs="宋体"/>
          <w:b/>
          <w:bCs/>
          <w:color w:val="auto"/>
          <w:spacing w:val="30"/>
          <w:kern w:val="0"/>
          <w:sz w:val="30"/>
          <w:szCs w:val="30"/>
          <w:highlight w:val="none"/>
        </w:rPr>
      </w:pPr>
      <w:r>
        <w:rPr>
          <w:rStyle w:val="4"/>
          <w:rFonts w:hint="eastAsia" w:ascii="宋体" w:hAnsi="宋体" w:eastAsia="宋体" w:cs="宋体"/>
          <w:b/>
          <w:bCs/>
          <w:color w:val="auto"/>
          <w:spacing w:val="30"/>
          <w:kern w:val="0"/>
          <w:sz w:val="30"/>
          <w:szCs w:val="30"/>
          <w:highlight w:val="none"/>
        </w:rPr>
        <w:t>第二节 商务要求</w:t>
      </w:r>
    </w:p>
    <w:p>
      <w:pPr>
        <w:pStyle w:val="7"/>
        <w:widowControl/>
        <w:jc w:val="left"/>
        <w:rPr>
          <w:rStyle w:val="4"/>
          <w:rFonts w:hint="eastAsia" w:ascii="宋体" w:hAnsi="宋体" w:eastAsia="宋体" w:cs="宋体"/>
          <w:color w:val="auto"/>
          <w:kern w:val="0"/>
          <w:sz w:val="24"/>
          <w:szCs w:val="24"/>
          <w:highlight w:val="none"/>
        </w:rPr>
      </w:pPr>
    </w:p>
    <w:p>
      <w:pPr>
        <w:pStyle w:val="7"/>
        <w:widowControl/>
        <w:spacing w:line="360" w:lineRule="auto"/>
        <w:rPr>
          <w:rStyle w:val="4"/>
          <w:rFonts w:hint="eastAsia" w:ascii="宋体" w:hAnsi="宋体" w:eastAsia="宋体" w:cs="宋体"/>
          <w:b/>
          <w:bCs/>
          <w:color w:val="auto"/>
          <w:kern w:val="0"/>
          <w:sz w:val="24"/>
          <w:szCs w:val="24"/>
          <w:highlight w:val="none"/>
        </w:rPr>
      </w:pPr>
      <w:r>
        <w:rPr>
          <w:rStyle w:val="4"/>
          <w:rFonts w:hint="eastAsia" w:ascii="宋体" w:hAnsi="宋体" w:eastAsia="宋体" w:cs="宋体"/>
          <w:b/>
          <w:bCs/>
          <w:color w:val="auto"/>
          <w:spacing w:val="30"/>
          <w:kern w:val="0"/>
          <w:sz w:val="24"/>
          <w:szCs w:val="24"/>
          <w:highlight w:val="none"/>
        </w:rPr>
        <w:t>一、主要商务要求</w:t>
      </w:r>
    </w:p>
    <w:tbl>
      <w:tblPr>
        <w:tblStyle w:val="3"/>
        <w:tblW w:w="8502" w:type="dxa"/>
        <w:tblInd w:w="1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4256"/>
        <w:gridCol w:w="424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680" w:hRule="atLeast"/>
        </w:trPr>
        <w:tc>
          <w:tcPr>
            <w:tcW w:w="4497" w:type="dxa"/>
            <w:noWrap w:val="0"/>
            <w:tcMar>
              <w:top w:w="0" w:type="dxa"/>
              <w:left w:w="108" w:type="dxa"/>
              <w:bottom w:w="0" w:type="dxa"/>
              <w:right w:w="108" w:type="dxa"/>
            </w:tcMar>
            <w:vAlign w:val="center"/>
          </w:tcPr>
          <w:p>
            <w:pPr>
              <w:pStyle w:val="7"/>
              <w:widowControl/>
              <w:jc w:val="center"/>
              <w:rPr>
                <w:rStyle w:val="4"/>
                <w:rFonts w:hint="eastAsia" w:ascii="宋体" w:hAnsi="宋体" w:eastAsia="宋体" w:cs="宋体"/>
                <w:color w:val="auto"/>
                <w:kern w:val="0"/>
                <w:sz w:val="24"/>
                <w:szCs w:val="24"/>
                <w:highlight w:val="none"/>
              </w:rPr>
            </w:pPr>
            <w:r>
              <w:rPr>
                <w:rStyle w:val="4"/>
                <w:rFonts w:hint="eastAsia" w:ascii="宋体" w:hAnsi="宋体" w:eastAsia="宋体" w:cs="宋体"/>
                <w:color w:val="auto"/>
                <w:kern w:val="0"/>
                <w:sz w:val="24"/>
                <w:szCs w:val="24"/>
                <w:highlight w:val="none"/>
              </w:rPr>
              <w:t>履行合同的时间、地点及方式</w:t>
            </w:r>
          </w:p>
        </w:tc>
        <w:tc>
          <w:tcPr>
            <w:tcW w:w="4487" w:type="dxa"/>
            <w:noWrap w:val="0"/>
            <w:tcMar>
              <w:top w:w="0" w:type="dxa"/>
              <w:left w:w="108" w:type="dxa"/>
              <w:bottom w:w="0" w:type="dxa"/>
              <w:right w:w="108" w:type="dxa"/>
            </w:tcMar>
            <w:vAlign w:val="center"/>
          </w:tcPr>
          <w:p>
            <w:pPr>
              <w:pStyle w:val="8"/>
              <w:widowControl/>
              <w:adjustRightInd w:val="0"/>
              <w:snapToGrid w:val="0"/>
              <w:spacing w:line="336" w:lineRule="auto"/>
              <w:jc w:val="left"/>
              <w:rPr>
                <w:rStyle w:val="4"/>
                <w:rFonts w:hint="eastAsia" w:ascii="宋体" w:hAnsi="宋体" w:eastAsia="宋体" w:cs="宋体"/>
                <w:color w:val="auto"/>
                <w:kern w:val="2"/>
                <w:sz w:val="24"/>
                <w:szCs w:val="24"/>
                <w:highlight w:val="none"/>
                <w:lang w:val="en-US" w:eastAsia="zh-CN" w:bidi="ar-SA"/>
              </w:rPr>
            </w:pPr>
            <w:r>
              <w:rPr>
                <w:rStyle w:val="9"/>
                <w:rFonts w:hint="eastAsia" w:ascii="宋体" w:hAnsi="宋体" w:eastAsia="宋体" w:cs="宋体"/>
                <w:color w:val="auto"/>
                <w:kern w:val="0"/>
                <w:sz w:val="24"/>
                <w:szCs w:val="24"/>
                <w:highlight w:val="none"/>
              </w:rPr>
              <w:t>交货时间：</w:t>
            </w:r>
            <w:r>
              <w:rPr>
                <w:rStyle w:val="4"/>
                <w:rFonts w:hint="eastAsia" w:ascii="宋体" w:hAnsi="宋体" w:eastAsia="宋体" w:cs="宋体"/>
                <w:color w:val="auto"/>
                <w:kern w:val="2"/>
                <w:sz w:val="24"/>
                <w:szCs w:val="24"/>
                <w:highlight w:val="none"/>
                <w:lang w:val="en-US" w:eastAsia="zh-CN" w:bidi="ar-SA"/>
              </w:rPr>
              <w:t>按采购人要求分批供货，供货通知送达之日起10个工作日内到货；采购人将在必要时要求中标人紧急供货，中标人应保证在接到供货需求后3天内送到采购人指定交货地点。进口试剂还应提供进口报关单及检验检疫证明。</w:t>
            </w:r>
          </w:p>
          <w:p>
            <w:pPr>
              <w:pStyle w:val="8"/>
              <w:widowControl/>
              <w:adjustRightInd w:val="0"/>
              <w:snapToGrid w:val="0"/>
              <w:spacing w:line="336" w:lineRule="auto"/>
              <w:jc w:val="left"/>
              <w:rPr>
                <w:rStyle w:val="9"/>
                <w:rFonts w:hint="eastAsia" w:ascii="宋体" w:hAnsi="宋体" w:eastAsia="宋体" w:cs="宋体"/>
                <w:color w:val="auto"/>
                <w:kern w:val="0"/>
                <w:sz w:val="24"/>
                <w:szCs w:val="24"/>
                <w:highlight w:val="none"/>
              </w:rPr>
            </w:pPr>
            <w:r>
              <w:rPr>
                <w:rStyle w:val="9"/>
                <w:rFonts w:hint="eastAsia" w:ascii="宋体" w:hAnsi="宋体" w:eastAsia="宋体" w:cs="宋体"/>
                <w:color w:val="auto"/>
                <w:kern w:val="0"/>
                <w:sz w:val="24"/>
                <w:szCs w:val="24"/>
                <w:highlight w:val="none"/>
              </w:rPr>
              <w:t>项目现场：</w:t>
            </w:r>
            <w:r>
              <w:rPr>
                <w:rStyle w:val="9"/>
                <w:rFonts w:hint="eastAsia" w:ascii="宋体" w:hAnsi="宋体" w:eastAsia="宋体" w:cs="宋体"/>
                <w:color w:val="auto"/>
                <w:kern w:val="0"/>
                <w:sz w:val="24"/>
                <w:szCs w:val="24"/>
                <w:highlight w:val="none"/>
                <w:lang w:eastAsia="zh-CN"/>
              </w:rPr>
              <w:t>衡阳市公安局</w:t>
            </w:r>
            <w:r>
              <w:rPr>
                <w:rStyle w:val="9"/>
                <w:rFonts w:hint="eastAsia" w:ascii="宋体" w:hAnsi="宋体" w:eastAsia="宋体" w:cs="宋体"/>
                <w:color w:val="auto"/>
                <w:kern w:val="0"/>
                <w:sz w:val="24"/>
                <w:szCs w:val="24"/>
                <w:highlight w:val="none"/>
              </w:rPr>
              <w:t>指定地址</w:t>
            </w:r>
          </w:p>
          <w:p>
            <w:pPr>
              <w:pStyle w:val="7"/>
              <w:widowControl/>
              <w:jc w:val="left"/>
              <w:rPr>
                <w:rStyle w:val="4"/>
                <w:rFonts w:hint="eastAsia" w:ascii="宋体" w:hAnsi="宋体" w:eastAsia="宋体" w:cs="宋体"/>
                <w:color w:val="auto"/>
                <w:kern w:val="0"/>
                <w:sz w:val="24"/>
                <w:szCs w:val="24"/>
                <w:highlight w:val="none"/>
              </w:rPr>
            </w:pPr>
            <w:r>
              <w:rPr>
                <w:rStyle w:val="9"/>
                <w:rFonts w:hint="eastAsia" w:ascii="宋体" w:hAnsi="宋体" w:eastAsia="宋体" w:cs="宋体"/>
                <w:color w:val="auto"/>
                <w:kern w:val="0"/>
                <w:sz w:val="24"/>
                <w:szCs w:val="24"/>
                <w:highlight w:val="none"/>
              </w:rPr>
              <w:t>交货方式：送货上门至指定地址</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2120" w:hRule="atLeast"/>
        </w:trPr>
        <w:tc>
          <w:tcPr>
            <w:tcW w:w="4497" w:type="dxa"/>
            <w:noWrap w:val="0"/>
            <w:tcMar>
              <w:top w:w="0" w:type="dxa"/>
              <w:left w:w="108" w:type="dxa"/>
              <w:bottom w:w="0" w:type="dxa"/>
              <w:right w:w="108" w:type="dxa"/>
            </w:tcMar>
            <w:vAlign w:val="center"/>
          </w:tcPr>
          <w:p>
            <w:pPr>
              <w:pStyle w:val="7"/>
              <w:widowControl/>
              <w:jc w:val="center"/>
              <w:rPr>
                <w:rStyle w:val="4"/>
                <w:rFonts w:hint="eastAsia" w:ascii="宋体" w:hAnsi="宋体" w:eastAsia="宋体" w:cs="宋体"/>
                <w:color w:val="auto"/>
                <w:kern w:val="0"/>
                <w:sz w:val="24"/>
                <w:szCs w:val="24"/>
                <w:highlight w:val="none"/>
              </w:rPr>
            </w:pPr>
            <w:r>
              <w:rPr>
                <w:rStyle w:val="4"/>
                <w:rFonts w:hint="eastAsia" w:ascii="宋体" w:hAnsi="宋体" w:eastAsia="宋体" w:cs="宋体"/>
                <w:color w:val="auto"/>
                <w:kern w:val="0"/>
                <w:sz w:val="24"/>
                <w:szCs w:val="24"/>
                <w:highlight w:val="none"/>
              </w:rPr>
              <w:t>质量保证期</w:t>
            </w:r>
          </w:p>
        </w:tc>
        <w:tc>
          <w:tcPr>
            <w:tcW w:w="4487" w:type="dxa"/>
            <w:noWrap w:val="0"/>
            <w:tcMar>
              <w:top w:w="0" w:type="dxa"/>
              <w:left w:w="108" w:type="dxa"/>
              <w:bottom w:w="0" w:type="dxa"/>
              <w:right w:w="108" w:type="dxa"/>
            </w:tcMar>
            <w:vAlign w:val="center"/>
          </w:tcPr>
          <w:p>
            <w:pPr>
              <w:pStyle w:val="7"/>
              <w:widowControl/>
              <w:jc w:val="left"/>
              <w:rPr>
                <w:rStyle w:val="9"/>
                <w:rFonts w:hint="eastAsia" w:ascii="宋体" w:hAnsi="宋体" w:eastAsia="宋体" w:cs="宋体"/>
                <w:color w:val="auto"/>
                <w:kern w:val="0"/>
                <w:sz w:val="24"/>
                <w:szCs w:val="24"/>
                <w:highlight w:val="none"/>
                <w:lang w:val="en-US" w:eastAsia="zh-CN"/>
              </w:rPr>
            </w:pPr>
            <w:r>
              <w:rPr>
                <w:rStyle w:val="9"/>
                <w:rFonts w:hint="eastAsia" w:ascii="宋体" w:hAnsi="宋体" w:eastAsia="宋体" w:cs="宋体"/>
                <w:color w:val="auto"/>
                <w:kern w:val="0"/>
                <w:sz w:val="24"/>
                <w:szCs w:val="24"/>
                <w:highlight w:val="none"/>
                <w:lang w:val="en-US" w:eastAsia="zh-CN"/>
              </w:rPr>
              <w:t>1、整体项目质保期要求一年,从验收合格之日起开始计算，货物清单及技术参数中另有规定的，按其规定。</w:t>
            </w:r>
          </w:p>
          <w:p>
            <w:pPr>
              <w:pStyle w:val="7"/>
              <w:widowControl/>
              <w:jc w:val="left"/>
              <w:rPr>
                <w:rStyle w:val="4"/>
                <w:rFonts w:hint="eastAsia" w:ascii="宋体" w:hAnsi="宋体" w:eastAsia="宋体" w:cs="宋体"/>
                <w:color w:val="auto"/>
                <w:kern w:val="0"/>
                <w:sz w:val="24"/>
                <w:szCs w:val="24"/>
                <w:highlight w:val="none"/>
              </w:rPr>
            </w:pPr>
            <w:r>
              <w:rPr>
                <w:rStyle w:val="9"/>
                <w:rFonts w:hint="eastAsia" w:ascii="宋体" w:hAnsi="宋体" w:eastAsia="宋体" w:cs="宋体"/>
                <w:color w:val="auto"/>
                <w:kern w:val="0"/>
                <w:sz w:val="24"/>
                <w:szCs w:val="24"/>
                <w:highlight w:val="none"/>
                <w:lang w:val="en-US" w:eastAsia="zh-CN"/>
              </w:rPr>
              <w:t>2、采购的试剂送达采购人要求地点后有效期≥10个月，全程冷链运输，温度符合试剂保存要求，有冷链运输记录。试剂中标人需免费提供实验所需的配套耗材。</w:t>
            </w:r>
            <w:r>
              <w:rPr>
                <w:rStyle w:val="9"/>
                <w:rFonts w:hint="eastAsia" w:ascii="宋体" w:hAnsi="宋体" w:eastAsia="宋体" w:cs="宋体"/>
                <w:color w:val="auto"/>
                <w:kern w:val="0"/>
                <w:sz w:val="24"/>
                <w:szCs w:val="24"/>
                <w:highlight w:val="none"/>
              </w:rPr>
              <w:t>如出现质量</w:t>
            </w:r>
            <w:r>
              <w:rPr>
                <w:rStyle w:val="9"/>
                <w:rFonts w:hint="eastAsia" w:ascii="宋体" w:hAnsi="宋体" w:eastAsia="宋体" w:cs="宋体"/>
                <w:color w:val="auto"/>
                <w:kern w:val="0"/>
                <w:sz w:val="24"/>
                <w:szCs w:val="24"/>
                <w:highlight w:val="none"/>
                <w:lang w:eastAsia="zh-CN"/>
              </w:rPr>
              <w:t>问题</w:t>
            </w:r>
            <w:r>
              <w:rPr>
                <w:rStyle w:val="9"/>
                <w:rFonts w:hint="eastAsia" w:ascii="宋体" w:hAnsi="宋体" w:eastAsia="宋体" w:cs="宋体"/>
                <w:color w:val="auto"/>
                <w:kern w:val="0"/>
                <w:sz w:val="24"/>
                <w:szCs w:val="24"/>
                <w:highlight w:val="none"/>
              </w:rPr>
              <w:t>由中标人包换或包退，引发的一切费用全部由中标人承担。</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489" w:hRule="atLeast"/>
        </w:trPr>
        <w:tc>
          <w:tcPr>
            <w:tcW w:w="4497" w:type="dxa"/>
            <w:noWrap w:val="0"/>
            <w:tcMar>
              <w:top w:w="0" w:type="dxa"/>
              <w:left w:w="108" w:type="dxa"/>
              <w:bottom w:w="0" w:type="dxa"/>
              <w:right w:w="108" w:type="dxa"/>
            </w:tcMar>
            <w:vAlign w:val="center"/>
          </w:tcPr>
          <w:p>
            <w:pPr>
              <w:pStyle w:val="7"/>
              <w:widowControl/>
              <w:jc w:val="center"/>
              <w:rPr>
                <w:rStyle w:val="4"/>
                <w:rFonts w:hint="eastAsia" w:ascii="宋体" w:hAnsi="宋体" w:eastAsia="宋体" w:cs="宋体"/>
                <w:color w:val="auto"/>
                <w:kern w:val="0"/>
                <w:sz w:val="24"/>
                <w:szCs w:val="24"/>
                <w:highlight w:val="none"/>
              </w:rPr>
            </w:pPr>
            <w:r>
              <w:rPr>
                <w:rStyle w:val="4"/>
                <w:rFonts w:hint="eastAsia" w:ascii="宋体" w:hAnsi="宋体" w:eastAsia="宋体" w:cs="宋体"/>
                <w:color w:val="auto"/>
                <w:kern w:val="0"/>
                <w:sz w:val="24"/>
                <w:szCs w:val="24"/>
                <w:highlight w:val="none"/>
              </w:rPr>
              <w:t>响应时间</w:t>
            </w:r>
          </w:p>
        </w:tc>
        <w:tc>
          <w:tcPr>
            <w:tcW w:w="4487" w:type="dxa"/>
            <w:noWrap w:val="0"/>
            <w:tcMar>
              <w:top w:w="0" w:type="dxa"/>
              <w:left w:w="108" w:type="dxa"/>
              <w:bottom w:w="0" w:type="dxa"/>
              <w:right w:w="108" w:type="dxa"/>
            </w:tcMar>
            <w:vAlign w:val="center"/>
          </w:tcPr>
          <w:p>
            <w:pPr>
              <w:pStyle w:val="7"/>
              <w:widowControl/>
              <w:jc w:val="left"/>
              <w:rPr>
                <w:rStyle w:val="4"/>
                <w:rFonts w:hint="eastAsia" w:ascii="宋体" w:hAnsi="宋体" w:eastAsia="宋体" w:cs="宋体"/>
                <w:color w:val="auto"/>
                <w:kern w:val="0"/>
                <w:sz w:val="24"/>
                <w:szCs w:val="24"/>
                <w:highlight w:val="none"/>
              </w:rPr>
            </w:pPr>
            <w:r>
              <w:rPr>
                <w:rStyle w:val="4"/>
                <w:rFonts w:hint="eastAsia" w:ascii="宋体" w:hAnsi="宋体" w:eastAsia="宋体" w:cs="宋体"/>
                <w:color w:val="auto"/>
                <w:kern w:val="0"/>
                <w:sz w:val="24"/>
                <w:szCs w:val="24"/>
                <w:highlight w:val="none"/>
                <w:lang w:val="en-US" w:eastAsia="zh-CN" w:bidi="ar"/>
              </w:rPr>
              <w:t>实时响应</w:t>
            </w:r>
            <w:r>
              <w:rPr>
                <w:rStyle w:val="9"/>
                <w:rFonts w:hint="eastAsia" w:ascii="宋体" w:hAnsi="宋体" w:eastAsia="宋体" w:cs="宋体"/>
                <w:color w:val="auto"/>
                <w:kern w:val="0"/>
                <w:sz w:val="24"/>
                <w:szCs w:val="24"/>
                <w:highlight w:val="none"/>
                <w:lang w:val="en-US" w:eastAsia="zh-CN" w:bidi="ar-SA"/>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165" w:hRule="atLeast"/>
        </w:trPr>
        <w:tc>
          <w:tcPr>
            <w:tcW w:w="4497" w:type="dxa"/>
            <w:noWrap w:val="0"/>
            <w:tcMar>
              <w:top w:w="0" w:type="dxa"/>
              <w:left w:w="108" w:type="dxa"/>
              <w:bottom w:w="0" w:type="dxa"/>
              <w:right w:w="108" w:type="dxa"/>
            </w:tcMar>
            <w:vAlign w:val="center"/>
          </w:tcPr>
          <w:p>
            <w:pPr>
              <w:pStyle w:val="7"/>
              <w:widowControl/>
              <w:jc w:val="center"/>
              <w:rPr>
                <w:rStyle w:val="4"/>
                <w:rFonts w:hint="eastAsia" w:ascii="宋体" w:hAnsi="宋体" w:eastAsia="宋体" w:cs="宋体"/>
                <w:color w:val="auto"/>
                <w:kern w:val="0"/>
                <w:sz w:val="24"/>
                <w:szCs w:val="24"/>
                <w:highlight w:val="none"/>
              </w:rPr>
            </w:pPr>
            <w:r>
              <w:rPr>
                <w:rStyle w:val="4"/>
                <w:rFonts w:hint="eastAsia" w:ascii="宋体" w:hAnsi="宋体" w:eastAsia="宋体" w:cs="宋体"/>
                <w:color w:val="auto"/>
                <w:kern w:val="0"/>
                <w:sz w:val="24"/>
                <w:szCs w:val="24"/>
                <w:highlight w:val="none"/>
              </w:rPr>
              <w:t>合同价款支付方式和条件</w:t>
            </w:r>
          </w:p>
        </w:tc>
        <w:tc>
          <w:tcPr>
            <w:tcW w:w="4487" w:type="dxa"/>
            <w:noWrap w:val="0"/>
            <w:tcMar>
              <w:top w:w="0" w:type="dxa"/>
              <w:left w:w="108" w:type="dxa"/>
              <w:bottom w:w="0" w:type="dxa"/>
              <w:right w:w="108" w:type="dxa"/>
            </w:tcMar>
            <w:vAlign w:val="center"/>
          </w:tcPr>
          <w:p>
            <w:pPr>
              <w:pStyle w:val="10"/>
              <w:keepNext w:val="0"/>
              <w:keepLines w:val="0"/>
              <w:widowControl/>
              <w:suppressLineNumbers w:val="0"/>
              <w:jc w:val="both"/>
              <w:rPr>
                <w:rStyle w:val="4"/>
                <w:rFonts w:hint="eastAsia" w:ascii="宋体" w:hAnsi="宋体" w:eastAsia="宋体" w:cs="宋体"/>
                <w:color w:val="auto"/>
                <w:kern w:val="0"/>
                <w:sz w:val="24"/>
                <w:szCs w:val="24"/>
                <w:highlight w:val="none"/>
                <w:lang w:val="en-US" w:eastAsia="zh-CN" w:bidi="ar"/>
              </w:rPr>
            </w:pPr>
            <w:r>
              <w:rPr>
                <w:rStyle w:val="4"/>
                <w:rFonts w:hint="eastAsia" w:ascii="宋体" w:hAnsi="宋体" w:eastAsia="宋体" w:cs="宋体"/>
                <w:color w:val="auto"/>
                <w:kern w:val="0"/>
                <w:sz w:val="24"/>
                <w:szCs w:val="24"/>
                <w:highlight w:val="none"/>
                <w:lang w:val="en-US" w:eastAsia="zh-CN" w:bidi="ar"/>
              </w:rPr>
              <w:t>支付方式：由衡阳市公安局支付。</w:t>
            </w:r>
          </w:p>
          <w:p>
            <w:pPr>
              <w:pStyle w:val="10"/>
              <w:keepNext w:val="0"/>
              <w:keepLines w:val="0"/>
              <w:widowControl/>
              <w:suppressLineNumbers w:val="0"/>
              <w:jc w:val="both"/>
              <w:rPr>
                <w:rStyle w:val="4"/>
                <w:rFonts w:hint="eastAsia" w:ascii="宋体" w:hAnsi="宋体" w:eastAsia="宋体" w:cs="宋体"/>
                <w:color w:val="auto"/>
                <w:kern w:val="0"/>
                <w:sz w:val="24"/>
                <w:szCs w:val="24"/>
                <w:highlight w:val="none"/>
                <w:lang w:val="en-US" w:eastAsia="zh-CN" w:bidi="ar"/>
              </w:rPr>
            </w:pPr>
            <w:r>
              <w:rPr>
                <w:rStyle w:val="4"/>
                <w:rFonts w:hint="eastAsia" w:ascii="宋体" w:hAnsi="宋体" w:eastAsia="宋体" w:cs="宋体"/>
                <w:color w:val="auto"/>
                <w:kern w:val="0"/>
                <w:sz w:val="24"/>
                <w:szCs w:val="24"/>
                <w:highlight w:val="none"/>
                <w:lang w:val="en-US" w:eastAsia="zh-CN" w:bidi="ar"/>
              </w:rPr>
              <w:t>支付条件：经采购人验收合格后，按实际交货数量支付货款，具体支付方式双方合同约定。</w:t>
            </w:r>
          </w:p>
          <w:p>
            <w:pPr>
              <w:pStyle w:val="7"/>
              <w:widowControl/>
              <w:jc w:val="left"/>
              <w:rPr>
                <w:rStyle w:val="4"/>
                <w:rFonts w:hint="eastAsia" w:ascii="宋体" w:hAnsi="宋体" w:eastAsia="宋体" w:cs="宋体"/>
                <w:color w:val="auto"/>
                <w:kern w:val="0"/>
                <w:sz w:val="24"/>
                <w:szCs w:val="24"/>
                <w:highlight w:val="none"/>
              </w:rPr>
            </w:pPr>
            <w:r>
              <w:rPr>
                <w:rStyle w:val="4"/>
                <w:rFonts w:hint="eastAsia" w:ascii="宋体" w:hAnsi="宋体" w:eastAsia="宋体" w:cs="宋体"/>
                <w:color w:val="auto"/>
                <w:kern w:val="0"/>
                <w:sz w:val="24"/>
                <w:szCs w:val="24"/>
                <w:highlight w:val="none"/>
                <w:lang w:val="en-US" w:eastAsia="zh-CN" w:bidi="ar"/>
              </w:rPr>
              <w:t>本项目采用费用包干方式服务，投标人应根据项目要求和现场情况，详细列明项目所需的人力、物力、财力等，以及所有人工、管理、财务等所有费用，如一旦中标，在服务过程中出现任何遗漏，均由中标人免费提供，采购人不再支付任何费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680" w:hRule="atLeast"/>
        </w:trPr>
        <w:tc>
          <w:tcPr>
            <w:tcW w:w="4497" w:type="dxa"/>
            <w:noWrap w:val="0"/>
            <w:tcMar>
              <w:top w:w="0" w:type="dxa"/>
              <w:left w:w="108" w:type="dxa"/>
              <w:bottom w:w="0" w:type="dxa"/>
              <w:right w:w="108" w:type="dxa"/>
            </w:tcMar>
            <w:vAlign w:val="center"/>
          </w:tcPr>
          <w:p>
            <w:pPr>
              <w:pStyle w:val="7"/>
              <w:widowControl/>
              <w:spacing w:before="210" w:after="210" w:line="360" w:lineRule="auto"/>
              <w:jc w:val="center"/>
              <w:rPr>
                <w:rStyle w:val="4"/>
                <w:rFonts w:hint="eastAsia" w:ascii="宋体" w:hAnsi="宋体" w:eastAsia="宋体" w:cs="宋体"/>
                <w:color w:val="auto"/>
                <w:kern w:val="0"/>
                <w:sz w:val="24"/>
                <w:szCs w:val="24"/>
                <w:highlight w:val="none"/>
              </w:rPr>
            </w:pPr>
            <w:r>
              <w:rPr>
                <w:rStyle w:val="4"/>
                <w:rFonts w:hint="eastAsia" w:ascii="宋体" w:hAnsi="宋体" w:eastAsia="宋体" w:cs="宋体"/>
                <w:color w:val="auto"/>
                <w:spacing w:val="30"/>
                <w:kern w:val="0"/>
                <w:sz w:val="24"/>
                <w:szCs w:val="24"/>
                <w:highlight w:val="none"/>
              </w:rPr>
              <w:t>解决争议的方式</w:t>
            </w:r>
          </w:p>
        </w:tc>
        <w:tc>
          <w:tcPr>
            <w:tcW w:w="4487" w:type="dxa"/>
            <w:noWrap w:val="0"/>
            <w:tcMar>
              <w:top w:w="0" w:type="dxa"/>
              <w:left w:w="108" w:type="dxa"/>
              <w:bottom w:w="0" w:type="dxa"/>
              <w:right w:w="108" w:type="dxa"/>
            </w:tcMar>
            <w:vAlign w:val="center"/>
          </w:tcPr>
          <w:p>
            <w:pPr>
              <w:pStyle w:val="7"/>
              <w:widowControl/>
              <w:spacing w:before="210" w:after="210" w:line="360" w:lineRule="auto"/>
              <w:jc w:val="left"/>
              <w:rPr>
                <w:rStyle w:val="4"/>
                <w:rFonts w:hint="eastAsia" w:ascii="宋体" w:hAnsi="宋体" w:eastAsia="宋体" w:cs="宋体"/>
                <w:color w:val="auto"/>
                <w:kern w:val="0"/>
                <w:sz w:val="24"/>
                <w:szCs w:val="24"/>
                <w:highlight w:val="none"/>
              </w:rPr>
            </w:pPr>
            <w:r>
              <w:rPr>
                <w:rStyle w:val="4"/>
                <w:rFonts w:hint="eastAsia" w:ascii="宋体" w:hAnsi="宋体" w:eastAsia="宋体" w:cs="宋体"/>
                <w:bCs/>
                <w:color w:val="auto"/>
                <w:kern w:val="0"/>
                <w:sz w:val="24"/>
                <w:szCs w:val="24"/>
                <w:highlight w:val="none"/>
              </w:rPr>
              <w:t>□</w:t>
            </w:r>
            <w:r>
              <w:rPr>
                <w:rStyle w:val="4"/>
                <w:rFonts w:hint="eastAsia" w:ascii="宋体" w:hAnsi="宋体" w:eastAsia="宋体" w:cs="宋体"/>
                <w:color w:val="auto"/>
                <w:sz w:val="24"/>
                <w:szCs w:val="24"/>
                <w:highlight w:val="none"/>
              </w:rPr>
              <w:t xml:space="preserve">仲裁  </w:t>
            </w:r>
            <w:r>
              <w:rPr>
                <w:rStyle w:val="4"/>
                <w:rFonts w:hint="eastAsia" w:ascii="宋体" w:hAnsi="宋体" w:eastAsia="宋体" w:cs="宋体"/>
                <w:bCs/>
                <w:color w:val="auto"/>
                <w:kern w:val="0"/>
                <w:sz w:val="24"/>
                <w:szCs w:val="24"/>
                <w:highlight w:val="none"/>
                <w:lang w:eastAsia="zh-CN"/>
              </w:rPr>
              <w:t>☑</w:t>
            </w:r>
            <w:r>
              <w:rPr>
                <w:rStyle w:val="4"/>
                <w:rFonts w:hint="eastAsia" w:ascii="宋体" w:hAnsi="宋体" w:eastAsia="宋体" w:cs="宋体"/>
                <w:color w:val="auto"/>
                <w:sz w:val="24"/>
                <w:szCs w:val="24"/>
                <w:highlight w:val="none"/>
              </w:rPr>
              <w:t>诉讼</w:t>
            </w:r>
          </w:p>
        </w:tc>
      </w:tr>
    </w:tbl>
    <w:p>
      <w:pPr>
        <w:pStyle w:val="7"/>
        <w:widowControl/>
        <w:spacing w:line="360" w:lineRule="auto"/>
        <w:ind w:firstLine="600" w:firstLineChars="200"/>
        <w:jc w:val="left"/>
        <w:rPr>
          <w:rStyle w:val="4"/>
          <w:rFonts w:hint="eastAsia" w:ascii="宋体" w:hAnsi="宋体" w:eastAsia="宋体" w:cs="宋体"/>
          <w:color w:val="auto"/>
          <w:spacing w:val="30"/>
          <w:kern w:val="0"/>
          <w:sz w:val="24"/>
          <w:szCs w:val="24"/>
          <w:highlight w:val="none"/>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firstLine="482" w:firstLineChars="200"/>
        <w:textAlignment w:val="auto"/>
        <w:rPr>
          <w:rStyle w:val="4"/>
          <w:rFonts w:hint="eastAsia" w:ascii="宋体" w:hAnsi="宋体" w:eastAsia="宋体" w:cs="宋体"/>
          <w:b w:val="0"/>
          <w:bCs/>
          <w:color w:val="auto"/>
          <w:sz w:val="24"/>
          <w:highlight w:val="none"/>
          <w:lang w:val="en-US" w:eastAsia="zh-CN"/>
        </w:rPr>
      </w:pPr>
      <w:r>
        <w:rPr>
          <w:rStyle w:val="4"/>
          <w:rFonts w:hint="eastAsia" w:ascii="宋体" w:hAnsi="宋体" w:eastAsia="宋体" w:cs="宋体"/>
          <w:b/>
          <w:bCs w:val="0"/>
          <w:color w:val="auto"/>
          <w:sz w:val="24"/>
          <w:highlight w:val="none"/>
          <w:lang w:val="en-US" w:eastAsia="zh-CN"/>
        </w:rPr>
        <w:t>二、配送基本要求</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eastAsia="zh-CN"/>
        </w:rPr>
        <w:t>1、配送由供应商负责。每次配送的时间和数量以采购人的采购计划为准。</w:t>
      </w:r>
      <w:r>
        <w:rPr>
          <w:rStyle w:val="4"/>
          <w:rFonts w:hint="eastAsia" w:ascii="宋体" w:hAnsi="宋体" w:eastAsia="宋体" w:cs="宋体"/>
          <w:color w:val="auto"/>
          <w:sz w:val="24"/>
          <w:szCs w:val="24"/>
          <w:highlight w:val="none"/>
          <w:lang w:eastAsia="zh-CN"/>
        </w:rPr>
        <w:t>所有耗材</w:t>
      </w:r>
      <w:r>
        <w:rPr>
          <w:rStyle w:val="4"/>
          <w:rFonts w:hint="eastAsia" w:ascii="宋体" w:hAnsi="宋体" w:eastAsia="宋体" w:cs="宋体"/>
          <w:b w:val="0"/>
          <w:bCs/>
          <w:color w:val="auto"/>
          <w:sz w:val="24"/>
          <w:highlight w:val="none"/>
          <w:lang w:eastAsia="zh-CN"/>
        </w:rPr>
        <w:t>的配送地点，以采购人要求的送货地点为准，节假日照常配送。</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eastAsia="zh-CN"/>
        </w:rPr>
        <w:t>2、供应商负责安排运输，并承担产品在运输过程中毁损等风险，运输费由供应商负担。</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eastAsia="zh-CN"/>
        </w:rPr>
        <w:t>3、如果上述情况没有按照采购人要求及时送达的，所产生的一切后果将由供应商负责，</w:t>
      </w:r>
      <w:r>
        <w:rPr>
          <w:rStyle w:val="4"/>
          <w:rFonts w:hint="eastAsia" w:ascii="宋体" w:hAnsi="宋体" w:eastAsia="宋体" w:cs="宋体"/>
          <w:b w:val="0"/>
          <w:bCs/>
          <w:color w:val="auto"/>
          <w:sz w:val="24"/>
          <w:highlight w:val="none"/>
          <w:lang w:val="en-US" w:eastAsia="zh-CN"/>
        </w:rPr>
        <w:t>如造成不良后果，采购人可以终止合同，供应商对此不持异议</w:t>
      </w:r>
      <w:r>
        <w:rPr>
          <w:rStyle w:val="4"/>
          <w:rFonts w:hint="eastAsia" w:ascii="宋体" w:hAnsi="宋体" w:eastAsia="宋体" w:cs="宋体"/>
          <w:b w:val="0"/>
          <w:bCs/>
          <w:color w:val="auto"/>
          <w:sz w:val="24"/>
          <w:highlight w:val="none"/>
          <w:lang w:eastAsia="zh-CN"/>
        </w:rPr>
        <w:t>。</w:t>
      </w:r>
    </w:p>
    <w:p>
      <w:pPr>
        <w:pStyle w:val="7"/>
        <w:keepNext w:val="0"/>
        <w:keepLines w:val="0"/>
        <w:pageBreakBefore w:val="0"/>
        <w:widowControl w:val="0"/>
        <w:kinsoku/>
        <w:wordWrap/>
        <w:overflowPunct/>
        <w:topLinePunct w:val="0"/>
        <w:autoSpaceDE/>
        <w:autoSpaceDN/>
        <w:bidi w:val="0"/>
        <w:spacing w:line="480" w:lineRule="exact"/>
        <w:ind w:left="0" w:firstLine="482"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bCs w:val="0"/>
          <w:color w:val="auto"/>
          <w:sz w:val="24"/>
          <w:highlight w:val="none"/>
          <w:lang w:val="en-US" w:eastAsia="zh-CN"/>
        </w:rPr>
        <w:t>三</w:t>
      </w:r>
      <w:r>
        <w:rPr>
          <w:rStyle w:val="4"/>
          <w:rFonts w:hint="eastAsia" w:ascii="宋体" w:hAnsi="宋体" w:eastAsia="宋体" w:cs="宋体"/>
          <w:b/>
          <w:bCs w:val="0"/>
          <w:color w:val="auto"/>
          <w:sz w:val="24"/>
          <w:highlight w:val="none"/>
          <w:lang w:eastAsia="zh-CN"/>
        </w:rPr>
        <w:t>、产品质量保证及检验</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eastAsia="zh-CN"/>
        </w:rPr>
        <w:t>货物送达采购人指定地点后：</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eastAsia="zh-CN"/>
        </w:rPr>
        <w:t>1、按合同交付的产品质量应符合国家承认的相应标准，并与投标时承诺的质量相一致，以确保临床使用安全有效。</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eastAsia="zh-CN"/>
        </w:rPr>
        <w:t>2、供应商所提供的必须是其合法生产或代理的合格产品，并能够按照合同规定的商标、产地、质量、价格、有效期及时供货。如果采购人确认需要进行产品质量检验，供应商须同意进行产品质量检验，或者通过检验证明产品存在质量问题，则进行产品质量检验的费用由供应商承担。检验在供应商交货的最终目的地进行。</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eastAsia="zh-CN"/>
        </w:rPr>
        <w:t>3、产品包装上（包括大包装、小包装等），必须按照国家相关规定附有名称、批号、</w:t>
      </w:r>
      <w:r>
        <w:rPr>
          <w:rStyle w:val="4"/>
          <w:rFonts w:hint="eastAsia" w:ascii="宋体" w:hAnsi="宋体" w:eastAsia="宋体" w:cs="宋体"/>
          <w:b w:val="0"/>
          <w:bCs/>
          <w:color w:val="auto"/>
          <w:sz w:val="24"/>
          <w:highlight w:val="none"/>
          <w:lang w:val="en-US" w:eastAsia="zh-CN"/>
        </w:rPr>
        <w:t>生产厂家</w:t>
      </w:r>
      <w:r>
        <w:rPr>
          <w:rStyle w:val="4"/>
          <w:rFonts w:hint="eastAsia" w:ascii="宋体" w:hAnsi="宋体" w:eastAsia="宋体" w:cs="宋体"/>
          <w:b w:val="0"/>
          <w:bCs/>
          <w:color w:val="auto"/>
          <w:sz w:val="24"/>
          <w:highlight w:val="none"/>
          <w:lang w:eastAsia="zh-CN"/>
        </w:rPr>
        <w:t>、规格型号、</w:t>
      </w:r>
      <w:r>
        <w:rPr>
          <w:rStyle w:val="4"/>
          <w:rFonts w:hint="eastAsia" w:ascii="宋体" w:hAnsi="宋体" w:eastAsia="宋体" w:cs="宋体"/>
          <w:b w:val="0"/>
          <w:bCs/>
          <w:color w:val="auto"/>
          <w:sz w:val="24"/>
          <w:highlight w:val="none"/>
          <w:lang w:val="en-US" w:eastAsia="zh-CN"/>
        </w:rPr>
        <w:t>使用期限</w:t>
      </w:r>
      <w:r>
        <w:rPr>
          <w:rStyle w:val="4"/>
          <w:rFonts w:hint="eastAsia" w:ascii="宋体" w:hAnsi="宋体" w:eastAsia="宋体" w:cs="宋体"/>
          <w:b w:val="0"/>
          <w:bCs/>
          <w:color w:val="auto"/>
          <w:sz w:val="24"/>
          <w:highlight w:val="none"/>
          <w:lang w:eastAsia="zh-CN"/>
        </w:rPr>
        <w:t>等中文标识。采购人在接收产品时，应对产品进行验货确认，对不符合合同质量、运输条件、数量、包装、标识等要求的，采购人有权拒绝接受。供应商应及时提供合格的产品，不得影响采购人的临床使用。</w:t>
      </w:r>
      <w:r>
        <w:rPr>
          <w:rStyle w:val="4"/>
          <w:rFonts w:hint="eastAsia" w:ascii="宋体" w:hAnsi="宋体" w:eastAsia="宋体" w:cs="宋体"/>
          <w:b w:val="0"/>
          <w:bCs/>
          <w:color w:val="auto"/>
          <w:sz w:val="24"/>
          <w:highlight w:val="none"/>
          <w:lang w:val="en-US" w:eastAsia="zh-CN"/>
        </w:rPr>
        <w:t>如果因上述原因</w:t>
      </w:r>
      <w:r>
        <w:rPr>
          <w:rStyle w:val="4"/>
          <w:rFonts w:hint="eastAsia" w:ascii="宋体" w:hAnsi="宋体" w:eastAsia="宋体" w:cs="宋体"/>
          <w:b w:val="0"/>
          <w:bCs/>
          <w:color w:val="auto"/>
          <w:sz w:val="24"/>
          <w:highlight w:val="none"/>
          <w:lang w:eastAsia="zh-CN"/>
        </w:rPr>
        <w:t>给</w:t>
      </w:r>
      <w:r>
        <w:rPr>
          <w:rStyle w:val="4"/>
          <w:rFonts w:hint="eastAsia" w:ascii="宋体" w:hAnsi="宋体" w:eastAsia="宋体" w:cs="宋体"/>
          <w:b w:val="0"/>
          <w:bCs/>
          <w:color w:val="auto"/>
          <w:sz w:val="24"/>
          <w:highlight w:val="none"/>
          <w:lang w:val="en-US" w:eastAsia="zh-CN"/>
        </w:rPr>
        <w:t>采购人</w:t>
      </w:r>
      <w:r>
        <w:rPr>
          <w:rStyle w:val="4"/>
          <w:rFonts w:hint="eastAsia" w:ascii="宋体" w:hAnsi="宋体" w:eastAsia="宋体" w:cs="宋体"/>
          <w:b w:val="0"/>
          <w:bCs/>
          <w:color w:val="auto"/>
          <w:sz w:val="24"/>
          <w:highlight w:val="none"/>
          <w:lang w:eastAsia="zh-CN"/>
        </w:rPr>
        <w:t>造成的损失，供应商应承担损害赔偿责任。</w:t>
      </w:r>
    </w:p>
    <w:p>
      <w:pPr>
        <w:pStyle w:val="5"/>
        <w:spacing w:after="0" w:line="240" w:lineRule="auto"/>
        <w:ind w:firstLine="480" w:firstLineChars="200"/>
        <w:jc w:val="left"/>
        <w:rPr>
          <w:rStyle w:val="4"/>
          <w:rFonts w:hint="eastAsia" w:ascii="宋体" w:hAnsi="宋体" w:eastAsia="宋体" w:cs="宋体"/>
          <w:strike w:val="0"/>
          <w:dstrike w:val="0"/>
          <w:color w:val="auto"/>
          <w:sz w:val="24"/>
          <w:szCs w:val="24"/>
          <w:highlight w:val="none"/>
          <w:lang w:bidi="ar"/>
        </w:rPr>
      </w:pPr>
      <w:r>
        <w:rPr>
          <w:rStyle w:val="4"/>
          <w:rFonts w:hint="eastAsia" w:ascii="宋体" w:hAnsi="宋体" w:eastAsia="宋体" w:cs="宋体"/>
          <w:strike w:val="0"/>
          <w:dstrike w:val="0"/>
          <w:color w:val="auto"/>
          <w:sz w:val="24"/>
          <w:szCs w:val="24"/>
          <w:highlight w:val="none"/>
          <w:lang w:val="en-US" w:eastAsia="zh-CN" w:bidi="ar"/>
        </w:rPr>
        <w:t>4</w:t>
      </w:r>
      <w:r>
        <w:rPr>
          <w:rStyle w:val="4"/>
          <w:rFonts w:hint="eastAsia" w:ascii="宋体" w:hAnsi="宋体" w:eastAsia="宋体" w:cs="宋体"/>
          <w:strike w:val="0"/>
          <w:dstrike w:val="0"/>
          <w:color w:val="auto"/>
          <w:sz w:val="24"/>
          <w:szCs w:val="24"/>
          <w:highlight w:val="none"/>
          <w:lang w:bidi="ar"/>
        </w:rPr>
        <w:t>、中标后签订合同前</w:t>
      </w:r>
      <w:r>
        <w:rPr>
          <w:rStyle w:val="4"/>
          <w:rFonts w:hint="eastAsia" w:ascii="宋体" w:hAnsi="宋体" w:eastAsia="宋体" w:cs="宋体"/>
          <w:strike w:val="0"/>
          <w:dstrike w:val="0"/>
          <w:color w:val="auto"/>
          <w:sz w:val="24"/>
          <w:szCs w:val="24"/>
          <w:highlight w:val="none"/>
          <w:lang w:val="en-US" w:eastAsia="zh-CN" w:bidi="ar"/>
        </w:rPr>
        <w:t>中标人</w:t>
      </w:r>
      <w:r>
        <w:rPr>
          <w:rStyle w:val="4"/>
          <w:rFonts w:hint="eastAsia" w:ascii="宋体" w:hAnsi="宋体" w:eastAsia="宋体" w:cs="宋体"/>
          <w:strike w:val="0"/>
          <w:dstrike w:val="0"/>
          <w:color w:val="auto"/>
          <w:sz w:val="24"/>
          <w:szCs w:val="24"/>
          <w:highlight w:val="none"/>
          <w:lang w:bidi="ar"/>
        </w:rPr>
        <w:t>须提供生产厂家售后服务文件原件。</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strike w:val="0"/>
          <w:dstrike w:val="0"/>
          <w:color w:val="auto"/>
          <w:sz w:val="24"/>
          <w:szCs w:val="24"/>
          <w:highlight w:val="none"/>
          <w:lang w:val="en-US" w:eastAsia="zh-CN" w:bidi="ar"/>
        </w:rPr>
        <w:t>5</w:t>
      </w:r>
      <w:r>
        <w:rPr>
          <w:rStyle w:val="4"/>
          <w:rFonts w:hint="eastAsia" w:ascii="宋体" w:hAnsi="宋体" w:eastAsia="宋体" w:cs="宋体"/>
          <w:strike w:val="0"/>
          <w:dstrike w:val="0"/>
          <w:color w:val="auto"/>
          <w:sz w:val="24"/>
          <w:szCs w:val="24"/>
          <w:highlight w:val="none"/>
          <w:lang w:bidi="ar"/>
        </w:rPr>
        <w:t>、中标后供货时，</w:t>
      </w:r>
      <w:r>
        <w:rPr>
          <w:rStyle w:val="4"/>
          <w:rFonts w:hint="eastAsia" w:ascii="宋体" w:hAnsi="宋体" w:eastAsia="宋体" w:cs="宋体"/>
          <w:strike w:val="0"/>
          <w:dstrike w:val="0"/>
          <w:color w:val="auto"/>
          <w:sz w:val="24"/>
          <w:szCs w:val="24"/>
          <w:highlight w:val="none"/>
          <w:lang w:val="en-US" w:eastAsia="zh-CN" w:bidi="ar"/>
        </w:rPr>
        <w:t>中标人</w:t>
      </w:r>
      <w:r>
        <w:rPr>
          <w:rStyle w:val="4"/>
          <w:rFonts w:hint="eastAsia" w:ascii="宋体" w:hAnsi="宋体" w:eastAsia="宋体" w:cs="宋体"/>
          <w:strike w:val="0"/>
          <w:dstrike w:val="0"/>
          <w:color w:val="auto"/>
          <w:sz w:val="24"/>
          <w:szCs w:val="24"/>
          <w:highlight w:val="none"/>
          <w:lang w:bidi="ar"/>
        </w:rPr>
        <w:t>须派专职技术人员就其投标文件中所有响应的技术条款逐一实验或者操作予以验证，如有虚假响应视为验收不合格。</w:t>
      </w:r>
    </w:p>
    <w:p>
      <w:pPr>
        <w:pStyle w:val="7"/>
        <w:keepNext w:val="0"/>
        <w:keepLines w:val="0"/>
        <w:pageBreakBefore w:val="0"/>
        <w:widowControl w:val="0"/>
        <w:kinsoku/>
        <w:wordWrap/>
        <w:overflowPunct/>
        <w:topLinePunct w:val="0"/>
        <w:autoSpaceDE/>
        <w:autoSpaceDN/>
        <w:bidi w:val="0"/>
        <w:spacing w:line="480" w:lineRule="exact"/>
        <w:ind w:left="0" w:firstLine="482"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bCs w:val="0"/>
          <w:color w:val="auto"/>
          <w:sz w:val="24"/>
          <w:highlight w:val="none"/>
          <w:lang w:val="en-US" w:eastAsia="zh-CN"/>
        </w:rPr>
        <w:t>四</w:t>
      </w:r>
      <w:r>
        <w:rPr>
          <w:rStyle w:val="4"/>
          <w:rFonts w:hint="eastAsia" w:ascii="宋体" w:hAnsi="宋体" w:eastAsia="宋体" w:cs="宋体"/>
          <w:b/>
          <w:bCs w:val="0"/>
          <w:color w:val="auto"/>
          <w:sz w:val="24"/>
          <w:highlight w:val="none"/>
          <w:lang w:eastAsia="zh-CN"/>
        </w:rPr>
        <w:t>、交货及培训</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eastAsia="zh-CN"/>
        </w:rPr>
        <w:t>1、交货方式一般采用现场交货方式，其它交货方式在合同特殊条款中规定。现场交货的方式由供应商负责办理运输和保险，将货物运抵采购人现场。有关运输和保险的一切费用由供应商承担。</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eastAsia="zh-CN"/>
        </w:rPr>
        <w:t>2、供应商负责产品的现场搬运或入库，有关一切费用由供应商承担。</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val="en-US" w:eastAsia="zh-CN"/>
        </w:rPr>
        <w:t>3</w:t>
      </w:r>
      <w:r>
        <w:rPr>
          <w:rStyle w:val="4"/>
          <w:rFonts w:hint="eastAsia" w:ascii="宋体" w:hAnsi="宋体" w:eastAsia="宋体" w:cs="宋体"/>
          <w:b w:val="0"/>
          <w:bCs/>
          <w:color w:val="auto"/>
          <w:sz w:val="24"/>
          <w:highlight w:val="none"/>
          <w:lang w:eastAsia="zh-CN"/>
        </w:rPr>
        <w:t>、</w:t>
      </w:r>
      <w:r>
        <w:rPr>
          <w:rStyle w:val="4"/>
          <w:rFonts w:hint="eastAsia" w:ascii="宋体" w:hAnsi="宋体" w:eastAsia="宋体" w:cs="宋体"/>
          <w:b w:val="0"/>
          <w:bCs w:val="0"/>
          <w:color w:val="auto"/>
          <w:kern w:val="2"/>
          <w:sz w:val="24"/>
          <w:szCs w:val="24"/>
          <w:highlight w:val="none"/>
          <w:lang w:val="en-US" w:eastAsia="zh-CN" w:bidi="ar-SA"/>
        </w:rPr>
        <w:t>对开箱时发现的破损、有效期小于10个月的产品或其它不合格产品供应商应无条件及时更换。</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val="en-US" w:eastAsia="zh-CN"/>
        </w:rPr>
        <w:t>4</w:t>
      </w:r>
      <w:r>
        <w:rPr>
          <w:rStyle w:val="4"/>
          <w:rFonts w:hint="eastAsia" w:ascii="宋体" w:hAnsi="宋体" w:eastAsia="宋体" w:cs="宋体"/>
          <w:b w:val="0"/>
          <w:bCs/>
          <w:color w:val="auto"/>
          <w:sz w:val="24"/>
          <w:highlight w:val="none"/>
          <w:lang w:eastAsia="zh-CN"/>
        </w:rPr>
        <w:t>、在采购人指定地点为所供产品的应用进行现场讲解或培训。</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val="en-US" w:eastAsia="zh-CN"/>
        </w:rPr>
        <w:t>5</w:t>
      </w:r>
      <w:r>
        <w:rPr>
          <w:rStyle w:val="4"/>
          <w:rFonts w:hint="eastAsia" w:ascii="宋体" w:hAnsi="宋体" w:eastAsia="宋体" w:cs="宋体"/>
          <w:b w:val="0"/>
          <w:bCs/>
          <w:color w:val="auto"/>
          <w:sz w:val="24"/>
          <w:highlight w:val="none"/>
          <w:lang w:eastAsia="zh-CN"/>
        </w:rPr>
        <w:t>、供应商应具备解决紧急问题的能力，如采购人在使用货物的过程中发现问题，供应商应及时到采购人现场解决。</w:t>
      </w:r>
    </w:p>
    <w:p>
      <w:pPr>
        <w:pStyle w:val="7"/>
        <w:keepNext w:val="0"/>
        <w:keepLines w:val="0"/>
        <w:pageBreakBefore w:val="0"/>
        <w:widowControl w:val="0"/>
        <w:kinsoku/>
        <w:wordWrap/>
        <w:overflowPunct/>
        <w:topLinePunct w:val="0"/>
        <w:autoSpaceDE/>
        <w:autoSpaceDN/>
        <w:bidi w:val="0"/>
        <w:spacing w:line="480" w:lineRule="exact"/>
        <w:ind w:left="0" w:firstLine="482" w:firstLineChars="200"/>
        <w:textAlignment w:val="auto"/>
        <w:rPr>
          <w:rStyle w:val="4"/>
          <w:rFonts w:hint="eastAsia" w:ascii="宋体" w:hAnsi="宋体" w:eastAsia="宋体" w:cs="宋体"/>
          <w:b/>
          <w:bCs w:val="0"/>
          <w:color w:val="auto"/>
          <w:sz w:val="24"/>
          <w:highlight w:val="none"/>
          <w:lang w:val="en-US" w:eastAsia="zh-CN"/>
        </w:rPr>
      </w:pPr>
      <w:r>
        <w:rPr>
          <w:rStyle w:val="4"/>
          <w:rFonts w:hint="eastAsia" w:ascii="宋体" w:hAnsi="宋体" w:eastAsia="宋体" w:cs="宋体"/>
          <w:b/>
          <w:bCs w:val="0"/>
          <w:color w:val="auto"/>
          <w:sz w:val="24"/>
          <w:highlight w:val="none"/>
          <w:lang w:val="en-US" w:eastAsia="zh-CN"/>
        </w:rPr>
        <w:t>五、其他事项说明</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Style w:val="4"/>
          <w:rFonts w:hint="eastAsia" w:ascii="宋体" w:hAnsi="宋体" w:eastAsia="宋体" w:cs="宋体"/>
          <w:b w:val="0"/>
          <w:bCs/>
          <w:color w:val="auto"/>
          <w:kern w:val="2"/>
          <w:sz w:val="24"/>
          <w:szCs w:val="24"/>
          <w:highlight w:val="none"/>
          <w:lang w:val="en-US" w:eastAsia="zh-CN" w:bidi="ar-SA"/>
        </w:rPr>
      </w:pPr>
      <w:r>
        <w:rPr>
          <w:rStyle w:val="4"/>
          <w:rFonts w:hint="eastAsia" w:ascii="宋体" w:hAnsi="宋体" w:eastAsia="宋体" w:cs="宋体"/>
          <w:b w:val="0"/>
          <w:bCs/>
          <w:color w:val="auto"/>
          <w:kern w:val="2"/>
          <w:sz w:val="24"/>
          <w:szCs w:val="24"/>
          <w:highlight w:val="none"/>
          <w:lang w:val="en-US" w:eastAsia="zh-CN" w:bidi="ar-SA"/>
        </w:rPr>
        <w:t>1、储备一定</w:t>
      </w:r>
      <w:r>
        <w:rPr>
          <w:rStyle w:val="4"/>
          <w:rFonts w:hint="eastAsia" w:ascii="宋体" w:hAnsi="宋体" w:eastAsia="宋体" w:cs="宋体"/>
          <w:color w:val="auto"/>
          <w:sz w:val="24"/>
          <w:szCs w:val="24"/>
          <w:highlight w:val="none"/>
          <w:lang w:eastAsia="zh-CN"/>
        </w:rPr>
        <w:t>试剂或耗材</w:t>
      </w:r>
      <w:r>
        <w:rPr>
          <w:rStyle w:val="4"/>
          <w:rFonts w:hint="eastAsia" w:ascii="宋体" w:hAnsi="宋体" w:eastAsia="宋体" w:cs="宋体"/>
          <w:b w:val="0"/>
          <w:bCs/>
          <w:color w:val="auto"/>
          <w:kern w:val="2"/>
          <w:sz w:val="24"/>
          <w:szCs w:val="24"/>
          <w:highlight w:val="none"/>
          <w:lang w:val="en-US" w:eastAsia="zh-CN" w:bidi="ar-SA"/>
        </w:rPr>
        <w:t>，确保应急供应。</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Style w:val="4"/>
          <w:rFonts w:hint="eastAsia" w:ascii="宋体" w:hAnsi="宋体" w:eastAsia="宋体" w:cs="宋体"/>
          <w:b w:val="0"/>
          <w:bCs/>
          <w:color w:val="auto"/>
          <w:kern w:val="2"/>
          <w:sz w:val="24"/>
          <w:szCs w:val="24"/>
          <w:highlight w:val="none"/>
          <w:lang w:val="en-US" w:eastAsia="zh-CN" w:bidi="ar-SA"/>
        </w:rPr>
      </w:pPr>
      <w:r>
        <w:rPr>
          <w:rStyle w:val="4"/>
          <w:rFonts w:hint="eastAsia" w:ascii="宋体" w:hAnsi="宋体" w:eastAsia="宋体" w:cs="宋体"/>
          <w:b w:val="0"/>
          <w:bCs/>
          <w:color w:val="auto"/>
          <w:sz w:val="24"/>
          <w:highlight w:val="none"/>
          <w:lang w:val="en-US" w:eastAsia="zh-CN"/>
        </w:rPr>
        <w:t>2、本项目在履约过程中如与行政主管（或政府职能相关部门）出具的法规政策相违背的，以最新法规政策执行为准。</w:t>
      </w:r>
    </w:p>
    <w:p>
      <w:pPr>
        <w:pStyle w:val="11"/>
        <w:keepNext w:val="0"/>
        <w:keepLines w:val="0"/>
        <w:pageBreakBefore w:val="0"/>
        <w:widowControl w:val="0"/>
        <w:kinsoku/>
        <w:wordWrap/>
        <w:overflowPunct/>
        <w:topLinePunct w:val="0"/>
        <w:autoSpaceDE/>
        <w:autoSpaceDN/>
        <w:bidi w:val="0"/>
        <w:spacing w:line="480" w:lineRule="exact"/>
        <w:ind w:left="0" w:firstLine="482" w:firstLineChars="200"/>
        <w:jc w:val="left"/>
        <w:textAlignment w:val="auto"/>
        <w:rPr>
          <w:rStyle w:val="4"/>
          <w:rFonts w:hint="eastAsia" w:ascii="宋体" w:hAnsi="宋体" w:eastAsia="宋体" w:cs="宋体"/>
          <w:b w:val="0"/>
          <w:bCs/>
          <w:color w:val="auto"/>
          <w:kern w:val="0"/>
          <w:sz w:val="24"/>
          <w:szCs w:val="24"/>
          <w:highlight w:val="none"/>
        </w:rPr>
      </w:pPr>
      <w:r>
        <w:rPr>
          <w:rStyle w:val="4"/>
          <w:rFonts w:hint="eastAsia" w:ascii="宋体" w:hAnsi="宋体" w:eastAsia="宋体" w:cs="宋体"/>
          <w:b/>
          <w:bCs w:val="0"/>
          <w:color w:val="auto"/>
          <w:kern w:val="2"/>
          <w:sz w:val="24"/>
          <w:szCs w:val="24"/>
          <w:highlight w:val="none"/>
          <w:lang w:val="en-US" w:eastAsia="zh-CN" w:bidi="ar-SA"/>
        </w:rPr>
        <w:t>3</w:t>
      </w:r>
      <w:r>
        <w:rPr>
          <w:rStyle w:val="4"/>
          <w:rFonts w:hint="eastAsia" w:ascii="宋体" w:hAnsi="宋体" w:eastAsia="宋体" w:cs="宋体"/>
          <w:b w:val="0"/>
          <w:bCs/>
          <w:color w:val="auto"/>
          <w:kern w:val="0"/>
          <w:sz w:val="24"/>
          <w:szCs w:val="24"/>
          <w:highlight w:val="none"/>
          <w:lang w:val="en-US" w:eastAsia="zh-CN"/>
        </w:rPr>
        <w:t>、</w:t>
      </w:r>
      <w:r>
        <w:rPr>
          <w:rStyle w:val="4"/>
          <w:rFonts w:hint="eastAsia" w:ascii="宋体" w:hAnsi="宋体" w:eastAsia="宋体" w:cs="宋体"/>
          <w:b w:val="0"/>
          <w:bCs/>
          <w:color w:val="auto"/>
          <w:kern w:val="0"/>
          <w:sz w:val="24"/>
          <w:szCs w:val="24"/>
          <w:highlight w:val="none"/>
        </w:rPr>
        <w:t>投标报价包含设计、生产、包装、运输、保险、检测等环节所发生的，以及投标人认为完成本项目及合同实施过程中应预见和不可预见的一切含税费用。合同期内，无论市场物价是否有上升因素波动。投标人应充分考虑在采购周期内由于市场波动而引致的风险。</w:t>
      </w:r>
    </w:p>
    <w:p>
      <w:pPr>
        <w:pStyle w:val="7"/>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Style w:val="4"/>
          <w:rFonts w:hint="eastAsia" w:ascii="宋体" w:hAnsi="宋体" w:eastAsia="宋体" w:cs="宋体"/>
          <w:b w:val="0"/>
          <w:bCs/>
          <w:color w:val="auto"/>
          <w:sz w:val="24"/>
          <w:highlight w:val="none"/>
          <w:lang w:val="en-US" w:eastAsia="zh-CN"/>
        </w:rPr>
      </w:pPr>
      <w:r>
        <w:rPr>
          <w:rStyle w:val="4"/>
          <w:rFonts w:hint="eastAsia" w:ascii="宋体" w:hAnsi="宋体" w:eastAsia="宋体" w:cs="宋体"/>
          <w:b w:val="0"/>
          <w:bCs/>
          <w:color w:val="auto"/>
          <w:kern w:val="0"/>
          <w:sz w:val="24"/>
          <w:szCs w:val="24"/>
          <w:highlight w:val="none"/>
          <w:lang w:val="en-US" w:eastAsia="zh-CN"/>
        </w:rPr>
        <w:t>4</w:t>
      </w:r>
      <w:r>
        <w:rPr>
          <w:rStyle w:val="4"/>
          <w:rFonts w:hint="eastAsia" w:ascii="宋体" w:hAnsi="宋体" w:eastAsia="宋体" w:cs="宋体"/>
          <w:b w:val="0"/>
          <w:bCs/>
          <w:color w:val="auto"/>
          <w:sz w:val="24"/>
          <w:highlight w:val="none"/>
          <w:lang w:val="en-US" w:eastAsia="zh-CN"/>
        </w:rPr>
        <w:t>、其他未明确的内容签定合同时协商。</w:t>
      </w:r>
    </w:p>
    <w:p>
      <w:pPr>
        <w:pStyle w:val="18"/>
        <w:spacing w:line="460" w:lineRule="exact"/>
        <w:ind w:firstLine="482" w:firstLineChars="200"/>
        <w:rPr>
          <w:rStyle w:val="4"/>
          <w:rFonts w:hint="eastAsia" w:ascii="宋体" w:hAnsi="宋体" w:eastAsia="宋体" w:cs="宋体"/>
          <w:b/>
          <w:bCs/>
          <w:color w:val="auto"/>
          <w:sz w:val="24"/>
          <w:szCs w:val="24"/>
          <w:highlight w:val="none"/>
        </w:rPr>
      </w:pPr>
      <w:r>
        <w:rPr>
          <w:rStyle w:val="4"/>
          <w:rFonts w:hint="eastAsia" w:ascii="宋体" w:hAnsi="宋体" w:eastAsia="宋体" w:cs="宋体"/>
          <w:b/>
          <w:bCs/>
          <w:color w:val="auto"/>
          <w:sz w:val="24"/>
          <w:szCs w:val="24"/>
          <w:highlight w:val="none"/>
          <w:lang w:val="en-US" w:eastAsia="zh-CN"/>
        </w:rPr>
        <w:t>六</w:t>
      </w:r>
      <w:r>
        <w:rPr>
          <w:rStyle w:val="4"/>
          <w:rFonts w:hint="eastAsia" w:ascii="宋体" w:hAnsi="宋体" w:eastAsia="宋体" w:cs="宋体"/>
          <w:b/>
          <w:bCs/>
          <w:color w:val="auto"/>
          <w:sz w:val="24"/>
          <w:szCs w:val="24"/>
          <w:highlight w:val="none"/>
        </w:rPr>
        <w:t>、踏勘</w:t>
      </w:r>
    </w:p>
    <w:p>
      <w:pPr>
        <w:pStyle w:val="11"/>
        <w:keepNext w:val="0"/>
        <w:keepLines w:val="0"/>
        <w:pageBreakBefore w:val="0"/>
        <w:widowControl w:val="0"/>
        <w:kinsoku/>
        <w:wordWrap/>
        <w:overflowPunct/>
        <w:topLinePunct w:val="0"/>
        <w:autoSpaceDE/>
        <w:autoSpaceDN/>
        <w:bidi w:val="0"/>
        <w:spacing w:line="480" w:lineRule="exact"/>
        <w:ind w:left="0" w:firstLine="480" w:firstLineChars="200"/>
        <w:jc w:val="left"/>
        <w:textAlignment w:val="auto"/>
        <w:rPr>
          <w:rStyle w:val="4"/>
          <w:rFonts w:hint="eastAsia" w:ascii="宋体" w:hAnsi="宋体" w:eastAsia="宋体" w:cs="宋体"/>
          <w:b/>
          <w:bCs/>
          <w:color w:val="auto"/>
          <w:sz w:val="36"/>
          <w:szCs w:val="40"/>
          <w:highlight w:val="none"/>
          <w:lang w:val="en-US" w:eastAsia="zh-CN"/>
        </w:rPr>
      </w:pPr>
      <w:r>
        <w:rPr>
          <w:rStyle w:val="4"/>
          <w:rFonts w:hint="eastAsia" w:ascii="宋体" w:hAnsi="宋体" w:eastAsia="宋体" w:cs="宋体"/>
          <w:b w:val="0"/>
          <w:bCs/>
          <w:color w:val="auto"/>
          <w:kern w:val="2"/>
          <w:sz w:val="24"/>
          <w:szCs w:val="24"/>
          <w:highlight w:val="none"/>
          <w:lang w:val="en-US" w:eastAsia="zh-CN" w:bidi="ar-SA"/>
        </w:rPr>
        <w:t>本项目不组织集中踏勘。如投标人需要可自行与采购人联系确定踏勘时间，由踏勘产生的所有费用及相关安全问题均由投标人自行承担。</w:t>
      </w:r>
    </w:p>
    <w:p>
      <w:pPr>
        <w:pStyle w:val="5"/>
        <w:jc w:val="center"/>
        <w:rPr>
          <w:rStyle w:val="4"/>
          <w:rFonts w:hint="eastAsia" w:ascii="宋体" w:hAnsi="宋体" w:eastAsia="宋体" w:cs="宋体"/>
          <w:b/>
          <w:bCs/>
          <w:color w:val="auto"/>
          <w:sz w:val="36"/>
          <w:szCs w:val="40"/>
          <w:highlight w:val="none"/>
          <w:lang w:val="en-US" w:eastAsia="zh-CN"/>
        </w:rPr>
      </w:pPr>
      <w:r>
        <w:rPr>
          <w:rStyle w:val="4"/>
          <w:rFonts w:hint="eastAsia" w:ascii="宋体" w:hAnsi="宋体" w:eastAsia="宋体" w:cs="宋体"/>
          <w:b/>
          <w:bCs/>
          <w:color w:val="auto"/>
          <w:sz w:val="36"/>
          <w:szCs w:val="40"/>
          <w:highlight w:val="none"/>
          <w:lang w:val="en-US" w:eastAsia="zh-CN"/>
        </w:rPr>
        <w:t>包2：DNA建库</w:t>
      </w:r>
    </w:p>
    <w:p>
      <w:pPr>
        <w:pStyle w:val="7"/>
        <w:widowControl/>
        <w:jc w:val="center"/>
        <w:rPr>
          <w:rStyle w:val="4"/>
          <w:rFonts w:hint="eastAsia" w:ascii="宋体" w:hAnsi="宋体" w:eastAsia="宋体" w:cs="宋体"/>
          <w:b w:val="0"/>
          <w:bCs w:val="0"/>
          <w:color w:val="auto"/>
          <w:spacing w:val="30"/>
          <w:kern w:val="0"/>
          <w:sz w:val="30"/>
          <w:szCs w:val="30"/>
          <w:highlight w:val="none"/>
          <w:lang w:val="en-US" w:eastAsia="zh-CN"/>
        </w:rPr>
      </w:pPr>
      <w:r>
        <w:rPr>
          <w:rStyle w:val="4"/>
          <w:rFonts w:hint="eastAsia" w:ascii="宋体" w:hAnsi="宋体" w:eastAsia="宋体" w:cs="宋体"/>
          <w:b w:val="0"/>
          <w:bCs w:val="0"/>
          <w:color w:val="auto"/>
          <w:spacing w:val="30"/>
          <w:kern w:val="0"/>
          <w:sz w:val="30"/>
          <w:szCs w:val="30"/>
          <w:highlight w:val="none"/>
          <w:lang w:val="en-US" w:eastAsia="zh-CN"/>
        </w:rPr>
        <w:t>第一节 技术要求</w:t>
      </w:r>
    </w:p>
    <w:p>
      <w:pPr>
        <w:pStyle w:val="5"/>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Style w:val="4"/>
          <w:rFonts w:hint="eastAsia" w:ascii="宋体" w:hAnsi="宋体" w:eastAsia="宋体" w:cs="宋体"/>
          <w:color w:val="auto"/>
          <w:sz w:val="24"/>
          <w:szCs w:val="24"/>
          <w:highlight w:val="none"/>
          <w:lang w:val="en-US" w:eastAsia="zh-CN"/>
        </w:rPr>
      </w:pPr>
      <w:r>
        <w:rPr>
          <w:rStyle w:val="4"/>
          <w:rFonts w:hint="eastAsia" w:ascii="宋体" w:hAnsi="宋体" w:eastAsia="宋体" w:cs="宋体"/>
          <w:color w:val="auto"/>
          <w:sz w:val="24"/>
          <w:szCs w:val="24"/>
          <w:highlight w:val="none"/>
          <w:lang w:val="en-US" w:eastAsia="zh-CN"/>
        </w:rPr>
        <w:t>以下技术参数中带“★”号条款为实质性要求条款（即重要条款）对其中任何一条的偏离，在评标时将其视为无效投标，其他为一般条款（非“★”号条款），均参与计分。</w:t>
      </w:r>
    </w:p>
    <w:p>
      <w:pPr>
        <w:pStyle w:val="5"/>
        <w:keepNext w:val="0"/>
        <w:keepLines w:val="0"/>
        <w:pageBreakBefore w:val="0"/>
        <w:widowControl w:val="0"/>
        <w:kinsoku/>
        <w:wordWrap/>
        <w:overflowPunct/>
        <w:topLinePunct w:val="0"/>
        <w:autoSpaceDE/>
        <w:autoSpaceDN/>
        <w:bidi w:val="0"/>
        <w:adjustRightInd/>
        <w:snapToGrid/>
        <w:spacing w:line="500" w:lineRule="exact"/>
        <w:jc w:val="left"/>
        <w:textAlignment w:val="auto"/>
        <w:rPr>
          <w:rStyle w:val="4"/>
          <w:rFonts w:hint="eastAsia" w:ascii="宋体" w:hAnsi="宋体" w:eastAsia="宋体" w:cs="宋体"/>
          <w:b/>
          <w:bCs/>
          <w:color w:val="auto"/>
          <w:sz w:val="24"/>
          <w:szCs w:val="24"/>
          <w:highlight w:val="none"/>
          <w:lang w:val="en-US" w:eastAsia="zh-CN"/>
        </w:rPr>
      </w:pPr>
      <w:r>
        <w:rPr>
          <w:rStyle w:val="4"/>
          <w:rFonts w:hint="eastAsia" w:ascii="宋体" w:hAnsi="宋体" w:eastAsia="宋体" w:cs="宋体"/>
          <w:b/>
          <w:bCs/>
          <w:color w:val="auto"/>
          <w:sz w:val="24"/>
          <w:szCs w:val="24"/>
          <w:highlight w:val="none"/>
          <w:lang w:val="en-US" w:eastAsia="zh-CN"/>
        </w:rPr>
        <w:t>一、采购内容、数量及技术要求</w:t>
      </w:r>
    </w:p>
    <w:tbl>
      <w:tblPr>
        <w:tblStyle w:val="3"/>
        <w:tblW w:w="101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3"/>
        <w:gridCol w:w="1342"/>
        <w:gridCol w:w="5616"/>
        <w:gridCol w:w="1396"/>
        <w:gridCol w:w="1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0" w:hRule="atLeast"/>
          <w:jc w:val="center"/>
        </w:trPr>
        <w:tc>
          <w:tcPr>
            <w:tcW w:w="723" w:type="dxa"/>
            <w:noWrap w:val="0"/>
            <w:tcMar>
              <w:top w:w="15" w:type="dxa"/>
              <w:left w:w="15" w:type="dxa"/>
              <w:right w:w="15" w:type="dxa"/>
            </w:tcMar>
            <w:vAlign w:val="center"/>
          </w:tcPr>
          <w:p>
            <w:pPr>
              <w:pStyle w:val="10"/>
              <w:keepNext w:val="0"/>
              <w:keepLines w:val="0"/>
              <w:pageBreakBefore w:val="0"/>
              <w:widowControl/>
              <w:kinsoku/>
              <w:wordWrap/>
              <w:overflowPunct/>
              <w:topLinePunct w:val="0"/>
              <w:autoSpaceDE/>
              <w:autoSpaceDN/>
              <w:bidi w:val="0"/>
              <w:jc w:val="center"/>
              <w:textAlignment w:val="center"/>
              <w:rPr>
                <w:rStyle w:val="4"/>
                <w:rFonts w:hint="eastAsia" w:ascii="宋体" w:hAnsi="宋体" w:eastAsia="宋体" w:cs="宋体"/>
                <w:b/>
                <w:bCs/>
                <w:color w:val="auto"/>
                <w:kern w:val="0"/>
                <w:sz w:val="24"/>
                <w:szCs w:val="24"/>
                <w:highlight w:val="none"/>
              </w:rPr>
            </w:pPr>
            <w:r>
              <w:rPr>
                <w:rStyle w:val="4"/>
                <w:rFonts w:hint="eastAsia" w:ascii="宋体" w:hAnsi="宋体" w:eastAsia="宋体" w:cs="宋体"/>
                <w:b/>
                <w:bCs/>
                <w:color w:val="auto"/>
                <w:kern w:val="0"/>
                <w:sz w:val="24"/>
                <w:szCs w:val="24"/>
                <w:highlight w:val="none"/>
              </w:rPr>
              <w:t>序号</w:t>
            </w:r>
          </w:p>
        </w:tc>
        <w:tc>
          <w:tcPr>
            <w:tcW w:w="1342" w:type="dxa"/>
            <w:noWrap w:val="0"/>
            <w:tcMar>
              <w:top w:w="15" w:type="dxa"/>
              <w:left w:w="15" w:type="dxa"/>
              <w:right w:w="15" w:type="dxa"/>
            </w:tcMar>
            <w:vAlign w:val="center"/>
          </w:tcPr>
          <w:p>
            <w:pPr>
              <w:pStyle w:val="10"/>
              <w:keepNext w:val="0"/>
              <w:keepLines w:val="0"/>
              <w:pageBreakBefore w:val="0"/>
              <w:widowControl/>
              <w:kinsoku/>
              <w:wordWrap/>
              <w:overflowPunct/>
              <w:topLinePunct w:val="0"/>
              <w:autoSpaceDE/>
              <w:autoSpaceDN/>
              <w:bidi w:val="0"/>
              <w:jc w:val="center"/>
              <w:textAlignment w:val="center"/>
              <w:rPr>
                <w:rStyle w:val="4"/>
                <w:rFonts w:hint="eastAsia" w:ascii="宋体" w:hAnsi="宋体" w:eastAsia="宋体" w:cs="宋体"/>
                <w:b/>
                <w:bCs/>
                <w:color w:val="auto"/>
                <w:sz w:val="24"/>
                <w:szCs w:val="24"/>
                <w:highlight w:val="none"/>
              </w:rPr>
            </w:pPr>
            <w:r>
              <w:rPr>
                <w:rStyle w:val="4"/>
                <w:rFonts w:hint="eastAsia" w:ascii="宋体" w:hAnsi="宋体" w:eastAsia="宋体" w:cs="宋体"/>
                <w:b/>
                <w:bCs/>
                <w:color w:val="auto"/>
                <w:kern w:val="0"/>
                <w:sz w:val="24"/>
                <w:szCs w:val="24"/>
                <w:highlight w:val="none"/>
              </w:rPr>
              <w:t>名称</w:t>
            </w:r>
          </w:p>
        </w:tc>
        <w:tc>
          <w:tcPr>
            <w:tcW w:w="5616" w:type="dxa"/>
            <w:noWrap w:val="0"/>
            <w:tcMar>
              <w:top w:w="15" w:type="dxa"/>
              <w:left w:w="15" w:type="dxa"/>
              <w:right w:w="15" w:type="dxa"/>
            </w:tcMar>
            <w:vAlign w:val="center"/>
          </w:tcPr>
          <w:p>
            <w:pPr>
              <w:pStyle w:val="10"/>
              <w:keepNext w:val="0"/>
              <w:keepLines w:val="0"/>
              <w:pageBreakBefore w:val="0"/>
              <w:kinsoku/>
              <w:wordWrap/>
              <w:overflowPunct/>
              <w:topLinePunct w:val="0"/>
              <w:autoSpaceDE/>
              <w:autoSpaceDN/>
              <w:bidi w:val="0"/>
              <w:jc w:val="center"/>
              <w:rPr>
                <w:rStyle w:val="4"/>
                <w:rFonts w:hint="eastAsia" w:ascii="宋体" w:hAnsi="宋体" w:eastAsia="宋体" w:cs="宋体"/>
                <w:b/>
                <w:bCs/>
                <w:color w:val="auto"/>
                <w:sz w:val="24"/>
                <w:szCs w:val="24"/>
                <w:highlight w:val="none"/>
              </w:rPr>
            </w:pPr>
            <w:r>
              <w:rPr>
                <w:rStyle w:val="4"/>
                <w:rFonts w:hint="eastAsia" w:ascii="宋体" w:hAnsi="宋体" w:eastAsia="宋体" w:cs="宋体"/>
                <w:b/>
                <w:bCs/>
                <w:color w:val="auto"/>
                <w:sz w:val="24"/>
                <w:szCs w:val="24"/>
                <w:highlight w:val="none"/>
                <w:lang w:eastAsia="zh-CN"/>
              </w:rPr>
              <w:t>技术</w:t>
            </w:r>
            <w:r>
              <w:rPr>
                <w:rStyle w:val="4"/>
                <w:rFonts w:hint="eastAsia" w:ascii="宋体" w:hAnsi="宋体" w:eastAsia="宋体" w:cs="宋体"/>
                <w:b/>
                <w:bCs/>
                <w:color w:val="auto"/>
                <w:sz w:val="24"/>
                <w:szCs w:val="24"/>
                <w:highlight w:val="none"/>
              </w:rPr>
              <w:t>参数</w:t>
            </w:r>
            <w:r>
              <w:rPr>
                <w:rStyle w:val="4"/>
                <w:rFonts w:hint="eastAsia" w:ascii="宋体" w:hAnsi="宋体" w:eastAsia="宋体" w:cs="宋体"/>
                <w:b/>
                <w:bCs/>
                <w:color w:val="auto"/>
                <w:sz w:val="24"/>
                <w:szCs w:val="24"/>
                <w:highlight w:val="none"/>
                <w:lang w:val="en-US" w:eastAsia="zh-CN"/>
              </w:rPr>
              <w:t>要求</w:t>
            </w:r>
          </w:p>
        </w:tc>
        <w:tc>
          <w:tcPr>
            <w:tcW w:w="1396" w:type="dxa"/>
            <w:noWrap w:val="0"/>
            <w:tcMar>
              <w:top w:w="15" w:type="dxa"/>
              <w:left w:w="15" w:type="dxa"/>
              <w:right w:w="15" w:type="dxa"/>
            </w:tcMar>
            <w:vAlign w:val="center"/>
          </w:tcPr>
          <w:p>
            <w:pPr>
              <w:pStyle w:val="10"/>
              <w:keepNext w:val="0"/>
              <w:keepLines w:val="0"/>
              <w:pageBreakBefore w:val="0"/>
              <w:widowControl/>
              <w:kinsoku/>
              <w:wordWrap/>
              <w:overflowPunct/>
              <w:topLinePunct w:val="0"/>
              <w:autoSpaceDE/>
              <w:autoSpaceDN/>
              <w:bidi w:val="0"/>
              <w:jc w:val="center"/>
              <w:textAlignment w:val="center"/>
              <w:rPr>
                <w:rStyle w:val="4"/>
                <w:rFonts w:hint="eastAsia" w:ascii="宋体" w:hAnsi="宋体" w:eastAsia="宋体" w:cs="宋体"/>
                <w:b/>
                <w:bCs/>
                <w:color w:val="auto"/>
                <w:sz w:val="24"/>
                <w:szCs w:val="24"/>
                <w:highlight w:val="none"/>
              </w:rPr>
            </w:pPr>
            <w:r>
              <w:rPr>
                <w:rStyle w:val="4"/>
                <w:rFonts w:hint="eastAsia" w:ascii="宋体" w:hAnsi="宋体" w:eastAsia="宋体" w:cs="宋体"/>
                <w:b/>
                <w:bCs/>
                <w:color w:val="auto"/>
                <w:kern w:val="0"/>
                <w:sz w:val="24"/>
                <w:szCs w:val="24"/>
                <w:highlight w:val="none"/>
              </w:rPr>
              <w:t>数量</w:t>
            </w:r>
          </w:p>
        </w:tc>
        <w:tc>
          <w:tcPr>
            <w:tcW w:w="1096" w:type="dxa"/>
            <w:noWrap w:val="0"/>
            <w:tcMar>
              <w:top w:w="15" w:type="dxa"/>
              <w:left w:w="15" w:type="dxa"/>
              <w:right w:w="15" w:type="dxa"/>
            </w:tcMar>
            <w:vAlign w:val="center"/>
          </w:tcPr>
          <w:p>
            <w:pPr>
              <w:pStyle w:val="10"/>
              <w:keepNext w:val="0"/>
              <w:keepLines w:val="0"/>
              <w:pageBreakBefore w:val="0"/>
              <w:widowControl/>
              <w:kinsoku/>
              <w:wordWrap/>
              <w:overflowPunct/>
              <w:topLinePunct w:val="0"/>
              <w:autoSpaceDE/>
              <w:autoSpaceDN/>
              <w:bidi w:val="0"/>
              <w:jc w:val="center"/>
              <w:textAlignment w:val="center"/>
              <w:rPr>
                <w:rStyle w:val="4"/>
                <w:rFonts w:hint="eastAsia" w:ascii="宋体" w:hAnsi="宋体" w:eastAsia="宋体" w:cs="宋体"/>
                <w:b/>
                <w:bCs/>
                <w:color w:val="auto"/>
                <w:kern w:val="0"/>
                <w:sz w:val="24"/>
                <w:szCs w:val="24"/>
                <w:highlight w:val="none"/>
              </w:rPr>
            </w:pPr>
            <w:r>
              <w:rPr>
                <w:rStyle w:val="4"/>
                <w:rFonts w:hint="eastAsia" w:ascii="宋体" w:hAnsi="宋体" w:eastAsia="宋体" w:cs="宋体"/>
                <w:b/>
                <w:bCs/>
                <w:color w:val="auto"/>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0" w:hRule="atLeast"/>
          <w:jc w:val="center"/>
        </w:trPr>
        <w:tc>
          <w:tcPr>
            <w:tcW w:w="723" w:type="dxa"/>
            <w:noWrap w:val="0"/>
            <w:tcMar>
              <w:top w:w="15" w:type="dxa"/>
              <w:left w:w="15" w:type="dxa"/>
              <w:right w:w="15" w:type="dxa"/>
            </w:tcMar>
            <w:vAlign w:val="center"/>
          </w:tcPr>
          <w:p>
            <w:pPr>
              <w:pStyle w:val="10"/>
              <w:keepNext w:val="0"/>
              <w:keepLines w:val="0"/>
              <w:pageBreakBefore w:val="0"/>
              <w:widowControl/>
              <w:kinsoku/>
              <w:wordWrap/>
              <w:overflowPunct/>
              <w:topLinePunct w:val="0"/>
              <w:autoSpaceDE/>
              <w:autoSpaceDN/>
              <w:bidi w:val="0"/>
              <w:jc w:val="center"/>
              <w:textAlignment w:val="center"/>
              <w:rPr>
                <w:rStyle w:val="4"/>
                <w:rFonts w:hint="eastAsia" w:ascii="宋体" w:hAnsi="宋体" w:eastAsia="宋体" w:cs="宋体"/>
                <w:b/>
                <w:bCs/>
                <w:color w:val="auto"/>
                <w:kern w:val="0"/>
                <w:sz w:val="24"/>
                <w:szCs w:val="24"/>
                <w:highlight w:val="none"/>
              </w:rPr>
            </w:pPr>
            <w:r>
              <w:rPr>
                <w:rStyle w:val="4"/>
                <w:rFonts w:hint="eastAsia" w:ascii="宋体" w:hAnsi="宋体" w:eastAsia="宋体" w:cs="宋体"/>
                <w:b/>
                <w:bCs/>
                <w:color w:val="auto"/>
                <w:kern w:val="0"/>
                <w:sz w:val="24"/>
                <w:szCs w:val="24"/>
                <w:highlight w:val="none"/>
              </w:rPr>
              <w:t>1</w:t>
            </w:r>
          </w:p>
        </w:tc>
        <w:tc>
          <w:tcPr>
            <w:tcW w:w="1342" w:type="dxa"/>
            <w:noWrap w:val="0"/>
            <w:tcMar>
              <w:top w:w="15" w:type="dxa"/>
              <w:left w:w="15" w:type="dxa"/>
              <w:right w:w="15" w:type="dxa"/>
            </w:tcMar>
            <w:vAlign w:val="center"/>
          </w:tcPr>
          <w:p>
            <w:pPr>
              <w:pStyle w:val="10"/>
              <w:keepNext w:val="0"/>
              <w:keepLines w:val="0"/>
              <w:pageBreakBefore w:val="0"/>
              <w:widowControl/>
              <w:kinsoku/>
              <w:wordWrap/>
              <w:overflowPunct/>
              <w:topLinePunct w:val="0"/>
              <w:autoSpaceDE/>
              <w:autoSpaceDN/>
              <w:bidi w:val="0"/>
              <w:ind w:left="105" w:leftChars="50" w:right="105" w:rightChars="50"/>
              <w:jc w:val="center"/>
              <w:textAlignment w:val="center"/>
              <w:rPr>
                <w:rStyle w:val="4"/>
                <w:rFonts w:hint="eastAsia" w:ascii="宋体" w:hAnsi="宋体" w:eastAsia="宋体" w:cs="宋体"/>
                <w:b w:val="0"/>
                <w:bCs w:val="0"/>
                <w:color w:val="auto"/>
                <w:sz w:val="24"/>
                <w:szCs w:val="24"/>
                <w:highlight w:val="none"/>
              </w:rPr>
            </w:pPr>
            <w:r>
              <w:rPr>
                <w:rStyle w:val="4"/>
                <w:rFonts w:hint="eastAsia" w:ascii="宋体" w:hAnsi="宋体" w:eastAsia="宋体" w:cs="宋体"/>
                <w:b w:val="0"/>
                <w:bCs w:val="0"/>
                <w:color w:val="auto"/>
                <w:kern w:val="0"/>
                <w:sz w:val="24"/>
                <w:szCs w:val="24"/>
                <w:highlight w:val="none"/>
                <w:lang w:bidi="ar"/>
              </w:rPr>
              <w:t>常染色体数据库</w:t>
            </w:r>
          </w:p>
        </w:tc>
        <w:tc>
          <w:tcPr>
            <w:tcW w:w="5616" w:type="dxa"/>
            <w:noWrap w:val="0"/>
            <w:tcMar>
              <w:top w:w="15" w:type="dxa"/>
              <w:left w:w="15" w:type="dxa"/>
              <w:right w:w="15" w:type="dxa"/>
            </w:tcMar>
            <w:vAlign w:val="center"/>
          </w:tcPr>
          <w:p>
            <w:pPr>
              <w:pStyle w:val="10"/>
              <w:keepNext w:val="0"/>
              <w:keepLines w:val="0"/>
              <w:pageBreakBefore w:val="0"/>
              <w:kinsoku/>
              <w:wordWrap/>
              <w:overflowPunct/>
              <w:topLinePunct w:val="0"/>
              <w:autoSpaceDE/>
              <w:autoSpaceDN/>
              <w:bidi w:val="0"/>
              <w:adjustRightInd w:val="0"/>
              <w:snapToGrid w:val="0"/>
              <w:spacing w:line="360" w:lineRule="auto"/>
              <w:ind w:left="105" w:leftChars="50" w:right="105" w:rightChars="50"/>
              <w:jc w:val="left"/>
              <w:rPr>
                <w:rStyle w:val="4"/>
                <w:rFonts w:hint="eastAsia" w:ascii="宋体" w:hAnsi="宋体" w:eastAsia="宋体" w:cs="宋体"/>
                <w:b w:val="0"/>
                <w:bCs w:val="0"/>
                <w:color w:val="auto"/>
                <w:sz w:val="24"/>
                <w:szCs w:val="24"/>
                <w:highlight w:val="none"/>
              </w:rPr>
            </w:pPr>
            <w:r>
              <w:rPr>
                <w:rStyle w:val="4"/>
                <w:rFonts w:hint="eastAsia" w:ascii="宋体" w:hAnsi="宋体" w:eastAsia="宋体" w:cs="宋体"/>
                <w:b w:val="0"/>
                <w:bCs w:val="0"/>
                <w:color w:val="auto"/>
                <w:sz w:val="24"/>
                <w:szCs w:val="24"/>
                <w:highlight w:val="none"/>
                <w:lang w:val="en-US" w:eastAsia="zh-CN"/>
              </w:rPr>
              <w:t>★</w:t>
            </w:r>
            <w:r>
              <w:rPr>
                <w:rStyle w:val="4"/>
                <w:rFonts w:hint="eastAsia" w:ascii="宋体" w:hAnsi="宋体" w:eastAsia="宋体" w:cs="宋体"/>
                <w:b w:val="0"/>
                <w:bCs w:val="0"/>
                <w:color w:val="auto"/>
                <w:sz w:val="24"/>
                <w:szCs w:val="24"/>
                <w:highlight w:val="none"/>
              </w:rPr>
              <w:t>1</w:t>
            </w:r>
            <w:r>
              <w:rPr>
                <w:rStyle w:val="4"/>
                <w:rFonts w:hint="eastAsia" w:ascii="宋体" w:hAnsi="宋体" w:eastAsia="宋体" w:cs="宋体"/>
                <w:b w:val="0"/>
                <w:bCs w:val="0"/>
                <w:color w:val="auto"/>
                <w:sz w:val="24"/>
                <w:szCs w:val="24"/>
                <w:highlight w:val="none"/>
                <w:lang w:val="en-US" w:eastAsia="zh-CN"/>
              </w:rPr>
              <w:t>、</w:t>
            </w:r>
            <w:r>
              <w:rPr>
                <w:rStyle w:val="4"/>
                <w:rFonts w:hint="eastAsia" w:ascii="宋体" w:hAnsi="宋体" w:eastAsia="宋体" w:cs="宋体"/>
                <w:b w:val="0"/>
                <w:bCs w:val="0"/>
                <w:color w:val="auto"/>
                <w:sz w:val="24"/>
                <w:szCs w:val="24"/>
                <w:highlight w:val="none"/>
              </w:rPr>
              <w:t>检测试剂盒可单管同时扩增至少</w:t>
            </w:r>
            <w:r>
              <w:rPr>
                <w:rStyle w:val="4"/>
                <w:rFonts w:hint="eastAsia" w:ascii="宋体" w:hAnsi="宋体" w:eastAsia="宋体" w:cs="宋体"/>
                <w:b w:val="0"/>
                <w:bCs w:val="0"/>
                <w:color w:val="auto"/>
                <w:sz w:val="24"/>
                <w:szCs w:val="24"/>
                <w:highlight w:val="none"/>
                <w:lang w:val="en-US" w:eastAsia="zh-CN"/>
              </w:rPr>
              <w:t>32</w:t>
            </w:r>
            <w:r>
              <w:rPr>
                <w:rStyle w:val="4"/>
                <w:rFonts w:hint="eastAsia" w:ascii="宋体" w:hAnsi="宋体" w:eastAsia="宋体" w:cs="宋体"/>
                <w:b w:val="0"/>
                <w:bCs w:val="0"/>
                <w:color w:val="auto"/>
                <w:sz w:val="24"/>
                <w:szCs w:val="24"/>
                <w:highlight w:val="none"/>
              </w:rPr>
              <w:t>个基因座，必须包含公安部要求的20个CODIS核心基因座和</w:t>
            </w:r>
            <w:r>
              <w:rPr>
                <w:rStyle w:val="4"/>
                <w:rFonts w:hint="eastAsia" w:ascii="宋体" w:hAnsi="宋体" w:eastAsia="宋体" w:cs="宋体"/>
                <w:b w:val="0"/>
                <w:bCs w:val="0"/>
                <w:color w:val="auto"/>
                <w:sz w:val="24"/>
                <w:szCs w:val="24"/>
                <w:highlight w:val="none"/>
                <w:lang w:val="en-US" w:eastAsia="zh-CN"/>
              </w:rPr>
              <w:t>一个</w:t>
            </w:r>
            <w:r>
              <w:rPr>
                <w:rStyle w:val="4"/>
                <w:rFonts w:hint="eastAsia" w:ascii="宋体" w:hAnsi="宋体" w:eastAsia="宋体" w:cs="宋体"/>
                <w:b w:val="0"/>
                <w:bCs w:val="0"/>
                <w:color w:val="auto"/>
                <w:sz w:val="24"/>
                <w:szCs w:val="24"/>
                <w:highlight w:val="none"/>
              </w:rPr>
              <w:t>性别标记：Amel</w:t>
            </w:r>
            <w:r>
              <w:rPr>
                <w:rStyle w:val="4"/>
                <w:rFonts w:hint="eastAsia" w:ascii="宋体" w:hAnsi="宋体" w:eastAsia="宋体" w:cs="宋体"/>
                <w:b w:val="0"/>
                <w:bCs w:val="0"/>
                <w:color w:val="auto"/>
                <w:sz w:val="24"/>
                <w:szCs w:val="24"/>
                <w:highlight w:val="none"/>
                <w:lang w:eastAsia="zh-CN"/>
              </w:rPr>
              <w:t>、</w:t>
            </w:r>
            <w:r>
              <w:rPr>
                <w:rStyle w:val="4"/>
                <w:rFonts w:hint="eastAsia" w:ascii="宋体" w:hAnsi="宋体" w:eastAsia="宋体" w:cs="宋体"/>
                <w:b w:val="0"/>
                <w:bCs w:val="0"/>
                <w:color w:val="auto"/>
                <w:sz w:val="24"/>
                <w:szCs w:val="24"/>
                <w:highlight w:val="none"/>
              </w:rPr>
              <w:t>D18S51、D21S11、D3S1358、FGA、D8S1179、vWA、CSF1PO、D16S539、D7S820、D13S317、D5S818、D2S1338、D19S433、TH01、TPOX、D12S391、D1S1656、D2S441、D22S1045、D10S1248</w:t>
            </w:r>
            <w:r>
              <w:rPr>
                <w:rStyle w:val="4"/>
                <w:rFonts w:hint="eastAsia" w:ascii="宋体" w:hAnsi="宋体" w:eastAsia="宋体" w:cs="宋体"/>
                <w:b w:val="0"/>
                <w:bCs w:val="0"/>
                <w:color w:val="auto"/>
                <w:sz w:val="24"/>
                <w:szCs w:val="24"/>
                <w:highlight w:val="none"/>
                <w:lang w:eastAsia="zh-CN"/>
              </w:rPr>
              <w:t>（</w:t>
            </w:r>
            <w:r>
              <w:rPr>
                <w:rStyle w:val="4"/>
                <w:rFonts w:hint="eastAsia" w:ascii="宋体" w:hAnsi="宋体" w:eastAsia="宋体" w:cs="宋体"/>
                <w:b w:val="0"/>
                <w:bCs w:val="0"/>
                <w:color w:val="auto"/>
                <w:sz w:val="24"/>
                <w:szCs w:val="24"/>
                <w:highlight w:val="none"/>
                <w:lang w:val="en-US" w:eastAsia="zh-CN"/>
              </w:rPr>
              <w:t>提供经由Genemapper或ID-X分析出的原始分型图谱作为证明材料</w:t>
            </w:r>
            <w:r>
              <w:rPr>
                <w:rStyle w:val="4"/>
                <w:rFonts w:hint="eastAsia" w:ascii="宋体" w:hAnsi="宋体" w:eastAsia="宋体" w:cs="宋体"/>
                <w:b w:val="0"/>
                <w:bCs w:val="0"/>
                <w:color w:val="auto"/>
                <w:sz w:val="24"/>
                <w:szCs w:val="24"/>
                <w:highlight w:val="none"/>
                <w:lang w:eastAsia="zh-CN"/>
              </w:rPr>
              <w:t>）</w:t>
            </w:r>
            <w:r>
              <w:rPr>
                <w:rStyle w:val="4"/>
                <w:rFonts w:hint="eastAsia" w:ascii="宋体" w:hAnsi="宋体" w:eastAsia="宋体" w:cs="宋体"/>
                <w:b w:val="0"/>
                <w:bCs w:val="0"/>
                <w:color w:val="auto"/>
                <w:sz w:val="24"/>
                <w:szCs w:val="24"/>
                <w:highlight w:val="none"/>
              </w:rPr>
              <w:t>。</w:t>
            </w:r>
          </w:p>
          <w:p>
            <w:pPr>
              <w:pStyle w:val="10"/>
              <w:keepNext w:val="0"/>
              <w:keepLines w:val="0"/>
              <w:pageBreakBefore w:val="0"/>
              <w:kinsoku/>
              <w:wordWrap/>
              <w:overflowPunct/>
              <w:topLinePunct w:val="0"/>
              <w:autoSpaceDE/>
              <w:autoSpaceDN/>
              <w:bidi w:val="0"/>
              <w:adjustRightInd w:val="0"/>
              <w:snapToGrid w:val="0"/>
              <w:spacing w:line="360" w:lineRule="auto"/>
              <w:ind w:left="105" w:leftChars="50" w:right="105" w:rightChars="50"/>
              <w:jc w:val="left"/>
              <w:rPr>
                <w:rStyle w:val="4"/>
                <w:rFonts w:hint="eastAsia" w:ascii="宋体" w:hAnsi="宋体" w:eastAsia="宋体" w:cs="宋体"/>
                <w:b w:val="0"/>
                <w:bCs w:val="0"/>
                <w:color w:val="auto"/>
                <w:sz w:val="24"/>
                <w:szCs w:val="24"/>
                <w:highlight w:val="none"/>
              </w:rPr>
            </w:pPr>
            <w:r>
              <w:rPr>
                <w:rStyle w:val="4"/>
                <w:rFonts w:hint="eastAsia" w:ascii="宋体" w:hAnsi="宋体" w:eastAsia="宋体" w:cs="宋体"/>
                <w:b w:val="0"/>
                <w:bCs w:val="0"/>
                <w:color w:val="auto"/>
                <w:sz w:val="24"/>
                <w:szCs w:val="24"/>
                <w:highlight w:val="none"/>
                <w:lang w:val="en-US" w:eastAsia="zh-CN"/>
              </w:rPr>
              <w:t>2、</w:t>
            </w:r>
            <w:r>
              <w:rPr>
                <w:rStyle w:val="4"/>
                <w:rFonts w:hint="eastAsia" w:ascii="宋体" w:hAnsi="宋体" w:eastAsia="宋体" w:cs="宋体"/>
                <w:b w:val="0"/>
                <w:bCs w:val="0"/>
                <w:color w:val="auto"/>
                <w:sz w:val="24"/>
                <w:szCs w:val="24"/>
                <w:highlight w:val="none"/>
              </w:rPr>
              <w:t>检测试剂盒一次性扩增成功率高，无需提取或纯化，采用至</w:t>
            </w:r>
            <w:r>
              <w:rPr>
                <w:rStyle w:val="4"/>
                <w:rFonts w:hint="eastAsia" w:ascii="宋体" w:hAnsi="宋体" w:eastAsia="宋体" w:cs="宋体"/>
                <w:b w:val="0"/>
                <w:bCs w:val="0"/>
                <w:color w:val="auto"/>
                <w:sz w:val="24"/>
                <w:szCs w:val="24"/>
                <w:highlight w:val="none"/>
                <w:lang w:val="en-US" w:eastAsia="zh-CN"/>
              </w:rPr>
              <w:t>少6</w:t>
            </w:r>
            <w:r>
              <w:rPr>
                <w:rStyle w:val="4"/>
                <w:rFonts w:hint="eastAsia" w:ascii="宋体" w:hAnsi="宋体" w:eastAsia="宋体" w:cs="宋体"/>
                <w:b w:val="0"/>
                <w:bCs w:val="0"/>
                <w:color w:val="auto"/>
                <w:sz w:val="24"/>
                <w:szCs w:val="24"/>
                <w:highlight w:val="none"/>
              </w:rPr>
              <w:t>色荧光标记复合扩增技术，扩增体系高效稳定，扩增时间不超过90分钟。</w:t>
            </w:r>
          </w:p>
          <w:p>
            <w:pPr>
              <w:pStyle w:val="10"/>
              <w:keepNext w:val="0"/>
              <w:keepLines w:val="0"/>
              <w:pageBreakBefore w:val="0"/>
              <w:kinsoku/>
              <w:wordWrap/>
              <w:overflowPunct/>
              <w:topLinePunct w:val="0"/>
              <w:autoSpaceDE/>
              <w:autoSpaceDN/>
              <w:bidi w:val="0"/>
              <w:adjustRightInd w:val="0"/>
              <w:snapToGrid w:val="0"/>
              <w:spacing w:line="360" w:lineRule="auto"/>
              <w:ind w:left="105" w:leftChars="50" w:right="105" w:rightChars="50"/>
              <w:jc w:val="left"/>
              <w:rPr>
                <w:rStyle w:val="4"/>
                <w:rFonts w:hint="eastAsia" w:ascii="宋体" w:hAnsi="宋体" w:eastAsia="宋体" w:cs="宋体"/>
                <w:b w:val="0"/>
                <w:bCs w:val="0"/>
                <w:color w:val="auto"/>
                <w:sz w:val="24"/>
                <w:szCs w:val="24"/>
                <w:highlight w:val="none"/>
              </w:rPr>
            </w:pPr>
            <w:r>
              <w:rPr>
                <w:rStyle w:val="4"/>
                <w:rFonts w:hint="eastAsia" w:ascii="宋体" w:hAnsi="宋体" w:eastAsia="宋体" w:cs="宋体"/>
                <w:b w:val="0"/>
                <w:bCs w:val="0"/>
                <w:color w:val="auto"/>
                <w:sz w:val="24"/>
                <w:szCs w:val="24"/>
                <w:highlight w:val="none"/>
                <w:lang w:val="en-US" w:eastAsia="zh-CN"/>
              </w:rPr>
              <w:t>3、</w:t>
            </w:r>
            <w:r>
              <w:rPr>
                <w:rStyle w:val="4"/>
                <w:rFonts w:hint="eastAsia" w:ascii="宋体" w:hAnsi="宋体" w:eastAsia="宋体" w:cs="宋体"/>
                <w:b w:val="0"/>
                <w:bCs w:val="0"/>
                <w:color w:val="auto"/>
                <w:sz w:val="24"/>
                <w:szCs w:val="24"/>
                <w:highlight w:val="none"/>
              </w:rPr>
              <w:t>检测试剂盒最大扩增片段小于</w:t>
            </w:r>
            <w:r>
              <w:rPr>
                <w:rStyle w:val="4"/>
                <w:rFonts w:hint="eastAsia" w:ascii="宋体" w:hAnsi="宋体" w:eastAsia="宋体" w:cs="宋体"/>
                <w:b w:val="0"/>
                <w:bCs w:val="0"/>
                <w:color w:val="auto"/>
                <w:sz w:val="24"/>
                <w:szCs w:val="24"/>
                <w:highlight w:val="none"/>
                <w:lang w:val="en-US" w:eastAsia="zh-CN"/>
              </w:rPr>
              <w:t>60</w:t>
            </w:r>
            <w:r>
              <w:rPr>
                <w:rStyle w:val="4"/>
                <w:rFonts w:hint="eastAsia" w:ascii="宋体" w:hAnsi="宋体" w:eastAsia="宋体" w:cs="宋体"/>
                <w:b w:val="0"/>
                <w:bCs w:val="0"/>
                <w:color w:val="auto"/>
                <w:sz w:val="24"/>
                <w:szCs w:val="24"/>
                <w:highlight w:val="none"/>
              </w:rPr>
              <w:t>0bp，且至少包含1</w:t>
            </w:r>
            <w:r>
              <w:rPr>
                <w:rStyle w:val="4"/>
                <w:rFonts w:hint="eastAsia" w:ascii="宋体" w:hAnsi="宋体" w:eastAsia="宋体" w:cs="宋体"/>
                <w:b w:val="0"/>
                <w:bCs w:val="0"/>
                <w:color w:val="auto"/>
                <w:sz w:val="24"/>
                <w:szCs w:val="24"/>
                <w:highlight w:val="none"/>
                <w:lang w:val="en-US" w:eastAsia="zh-CN"/>
              </w:rPr>
              <w:t>0</w:t>
            </w:r>
            <w:r>
              <w:rPr>
                <w:rStyle w:val="4"/>
                <w:rFonts w:hint="eastAsia" w:ascii="宋体" w:hAnsi="宋体" w:eastAsia="宋体" w:cs="宋体"/>
                <w:b w:val="0"/>
                <w:bCs w:val="0"/>
                <w:color w:val="auto"/>
                <w:sz w:val="24"/>
                <w:szCs w:val="24"/>
                <w:highlight w:val="none"/>
              </w:rPr>
              <w:t>个m</w:t>
            </w:r>
            <w:r>
              <w:rPr>
                <w:rStyle w:val="4"/>
                <w:rFonts w:hint="eastAsia" w:ascii="宋体" w:hAnsi="宋体" w:eastAsia="宋体" w:cs="宋体"/>
                <w:b w:val="0"/>
                <w:bCs w:val="0"/>
                <w:color w:val="auto"/>
                <w:sz w:val="24"/>
                <w:szCs w:val="24"/>
                <w:highlight w:val="none"/>
                <w:lang w:eastAsia="zh-CN"/>
              </w:rPr>
              <w:t>in</w:t>
            </w:r>
            <w:r>
              <w:rPr>
                <w:rStyle w:val="4"/>
                <w:rFonts w:hint="eastAsia" w:ascii="宋体" w:hAnsi="宋体" w:eastAsia="宋体" w:cs="宋体"/>
                <w:b w:val="0"/>
                <w:bCs w:val="0"/>
                <w:color w:val="auto"/>
                <w:sz w:val="24"/>
                <w:szCs w:val="24"/>
                <w:highlight w:val="none"/>
              </w:rPr>
              <w:t>i-STR(片段大小≤220bp）</w:t>
            </w:r>
            <w:r>
              <w:rPr>
                <w:rStyle w:val="4"/>
                <w:rFonts w:hint="eastAsia" w:ascii="宋体" w:hAnsi="宋体" w:eastAsia="宋体" w:cs="宋体"/>
                <w:b w:val="0"/>
                <w:bCs w:val="0"/>
                <w:color w:val="auto"/>
                <w:sz w:val="24"/>
                <w:szCs w:val="24"/>
                <w:highlight w:val="none"/>
                <w:lang w:eastAsia="zh-CN"/>
              </w:rPr>
              <w:t>，</w:t>
            </w:r>
            <w:r>
              <w:rPr>
                <w:rStyle w:val="4"/>
                <w:rFonts w:hint="eastAsia" w:ascii="宋体" w:hAnsi="宋体" w:eastAsia="宋体" w:cs="宋体"/>
                <w:b w:val="0"/>
                <w:bCs w:val="0"/>
                <w:color w:val="auto"/>
                <w:kern w:val="0"/>
                <w:sz w:val="24"/>
                <w:szCs w:val="24"/>
                <w:highlight w:val="none"/>
              </w:rPr>
              <w:t>包含</w:t>
            </w:r>
            <w:r>
              <w:rPr>
                <w:rStyle w:val="4"/>
                <w:rFonts w:hint="eastAsia" w:ascii="宋体" w:hAnsi="宋体" w:eastAsia="宋体" w:cs="宋体"/>
                <w:b w:val="0"/>
                <w:bCs w:val="0"/>
                <w:color w:val="auto"/>
                <w:sz w:val="24"/>
                <w:szCs w:val="24"/>
                <w:highlight w:val="none"/>
              </w:rPr>
              <w:t>至少</w:t>
            </w:r>
            <w:r>
              <w:rPr>
                <w:rStyle w:val="4"/>
                <w:rFonts w:hint="eastAsia" w:ascii="宋体" w:hAnsi="宋体" w:eastAsia="宋体" w:cs="宋体"/>
                <w:b w:val="0"/>
                <w:bCs w:val="0"/>
                <w:color w:val="auto"/>
                <w:sz w:val="24"/>
                <w:szCs w:val="24"/>
                <w:highlight w:val="none"/>
                <w:lang w:val="en-US" w:eastAsia="zh-CN"/>
              </w:rPr>
              <w:t>1个</w:t>
            </w:r>
            <w:r>
              <w:rPr>
                <w:rStyle w:val="4"/>
                <w:rFonts w:hint="eastAsia" w:ascii="宋体" w:hAnsi="宋体" w:eastAsia="宋体" w:cs="宋体"/>
                <w:b w:val="0"/>
                <w:bCs w:val="0"/>
                <w:color w:val="auto"/>
                <w:kern w:val="0"/>
                <w:sz w:val="24"/>
                <w:szCs w:val="24"/>
                <w:highlight w:val="none"/>
              </w:rPr>
              <w:t>Y-STR</w:t>
            </w:r>
            <w:r>
              <w:rPr>
                <w:rStyle w:val="4"/>
                <w:rFonts w:hint="eastAsia" w:ascii="宋体" w:hAnsi="宋体" w:eastAsia="宋体" w:cs="宋体"/>
                <w:b w:val="0"/>
                <w:bCs w:val="0"/>
                <w:color w:val="auto"/>
                <w:sz w:val="24"/>
                <w:szCs w:val="24"/>
                <w:highlight w:val="none"/>
              </w:rPr>
              <w:t>。（提供分型图谱及panel文件统计清单）。</w:t>
            </w:r>
          </w:p>
          <w:p>
            <w:pPr>
              <w:pStyle w:val="10"/>
              <w:keepNext w:val="0"/>
              <w:keepLines w:val="0"/>
              <w:pageBreakBefore w:val="0"/>
              <w:kinsoku/>
              <w:wordWrap/>
              <w:overflowPunct/>
              <w:topLinePunct w:val="0"/>
              <w:autoSpaceDE/>
              <w:autoSpaceDN/>
              <w:bidi w:val="0"/>
              <w:adjustRightInd w:val="0"/>
              <w:snapToGrid w:val="0"/>
              <w:spacing w:line="360" w:lineRule="auto"/>
              <w:ind w:left="105" w:leftChars="50" w:right="105" w:rightChars="50"/>
              <w:jc w:val="left"/>
              <w:rPr>
                <w:rStyle w:val="4"/>
                <w:rFonts w:hint="eastAsia" w:ascii="宋体" w:hAnsi="宋体" w:eastAsia="宋体" w:cs="宋体"/>
                <w:b w:val="0"/>
                <w:bCs w:val="0"/>
                <w:color w:val="auto"/>
                <w:sz w:val="24"/>
                <w:szCs w:val="24"/>
                <w:highlight w:val="none"/>
              </w:rPr>
            </w:pPr>
            <w:r>
              <w:rPr>
                <w:rStyle w:val="4"/>
                <w:rFonts w:hint="eastAsia" w:ascii="宋体" w:hAnsi="宋体" w:eastAsia="宋体" w:cs="宋体"/>
                <w:b w:val="0"/>
                <w:bCs w:val="0"/>
                <w:color w:val="auto"/>
                <w:sz w:val="24"/>
                <w:szCs w:val="24"/>
                <w:highlight w:val="none"/>
                <w:lang w:val="en-US" w:eastAsia="zh-CN"/>
              </w:rPr>
              <w:t>4、</w:t>
            </w:r>
            <w:r>
              <w:rPr>
                <w:rStyle w:val="4"/>
                <w:rFonts w:hint="eastAsia" w:ascii="宋体" w:hAnsi="宋体" w:eastAsia="宋体" w:cs="宋体"/>
                <w:b w:val="0"/>
                <w:bCs w:val="0"/>
                <w:color w:val="auto"/>
                <w:sz w:val="24"/>
                <w:szCs w:val="24"/>
                <w:highlight w:val="none"/>
              </w:rPr>
              <w:t>试剂盒规格200人份/盒，25ul/人份，内部配置</w:t>
            </w:r>
            <w:r>
              <w:rPr>
                <w:rStyle w:val="4"/>
                <w:rFonts w:hint="eastAsia" w:ascii="宋体" w:hAnsi="宋体" w:eastAsia="宋体" w:cs="宋体"/>
                <w:b w:val="0"/>
                <w:bCs w:val="0"/>
                <w:color w:val="auto"/>
                <w:sz w:val="24"/>
                <w:szCs w:val="24"/>
                <w:highlight w:val="none"/>
                <w:lang w:eastAsia="zh-CN"/>
              </w:rPr>
              <w:t>组份</w:t>
            </w:r>
            <w:r>
              <w:rPr>
                <w:rStyle w:val="4"/>
                <w:rFonts w:hint="eastAsia" w:ascii="宋体" w:hAnsi="宋体" w:eastAsia="宋体" w:cs="宋体"/>
                <w:b w:val="0"/>
                <w:bCs w:val="0"/>
                <w:color w:val="auto"/>
                <w:sz w:val="24"/>
                <w:szCs w:val="24"/>
                <w:highlight w:val="none"/>
              </w:rPr>
              <w:t>完整齐全，包括扩增检测所需全部试剂（</w:t>
            </w:r>
            <w:r>
              <w:rPr>
                <w:rStyle w:val="4"/>
                <w:rFonts w:hint="eastAsia" w:ascii="宋体" w:hAnsi="宋体" w:eastAsia="宋体" w:cs="宋体"/>
                <w:b w:val="0"/>
                <w:bCs w:val="0"/>
                <w:color w:val="auto"/>
                <w:sz w:val="24"/>
                <w:szCs w:val="24"/>
                <w:highlight w:val="none"/>
                <w:lang w:val="en-US" w:eastAsia="zh-CN"/>
              </w:rPr>
              <w:t>扩增前试剂</w:t>
            </w:r>
            <w:r>
              <w:rPr>
                <w:rStyle w:val="4"/>
                <w:rFonts w:hint="eastAsia" w:ascii="宋体" w:hAnsi="宋体" w:eastAsia="宋体" w:cs="宋体"/>
                <w:b w:val="0"/>
                <w:bCs w:val="0"/>
                <w:color w:val="auto"/>
                <w:sz w:val="24"/>
                <w:szCs w:val="24"/>
                <w:highlight w:val="none"/>
              </w:rPr>
              <w:t>、内标、ladder等）。</w:t>
            </w:r>
          </w:p>
          <w:p>
            <w:pPr>
              <w:pStyle w:val="5"/>
              <w:keepNext w:val="0"/>
              <w:keepLines w:val="0"/>
              <w:pageBreakBefore w:val="0"/>
              <w:widowControl/>
              <w:suppressLineNumbers w:val="0"/>
              <w:kinsoku/>
              <w:wordWrap/>
              <w:overflowPunct/>
              <w:topLinePunct w:val="0"/>
              <w:autoSpaceDE/>
              <w:autoSpaceDN/>
              <w:bidi w:val="0"/>
              <w:ind w:left="105" w:leftChars="50" w:right="105" w:rightChars="50"/>
              <w:jc w:val="left"/>
              <w:rPr>
                <w:rStyle w:val="4"/>
                <w:rFonts w:hint="eastAsia" w:ascii="宋体" w:hAnsi="宋体" w:eastAsia="宋体" w:cs="宋体"/>
                <w:b w:val="0"/>
                <w:bCs w:val="0"/>
                <w:color w:val="auto"/>
                <w:sz w:val="24"/>
                <w:szCs w:val="24"/>
                <w:highlight w:val="none"/>
              </w:rPr>
            </w:pPr>
            <w:r>
              <w:rPr>
                <w:rStyle w:val="4"/>
                <w:rFonts w:hint="eastAsia" w:ascii="宋体" w:hAnsi="宋体" w:eastAsia="宋体" w:cs="宋体"/>
                <w:b w:val="0"/>
                <w:bCs w:val="0"/>
                <w:color w:val="auto"/>
                <w:sz w:val="24"/>
                <w:szCs w:val="24"/>
                <w:highlight w:val="none"/>
                <w:lang w:val="en-US" w:eastAsia="zh-CN"/>
              </w:rPr>
              <w:t>5、</w:t>
            </w:r>
            <w:r>
              <w:rPr>
                <w:rStyle w:val="4"/>
                <w:rFonts w:hint="eastAsia" w:ascii="宋体" w:hAnsi="宋体" w:eastAsia="宋体" w:cs="宋体"/>
                <w:b w:val="0"/>
                <w:bCs w:val="0"/>
                <w:color w:val="auto"/>
                <w:sz w:val="24"/>
                <w:szCs w:val="24"/>
                <w:highlight w:val="none"/>
              </w:rPr>
              <w:t>试剂盒附带的分子量内标能用于荧光标记毛细管凝胶电泳中 DNA 片段大小的准确标定，</w:t>
            </w:r>
            <w:r>
              <w:rPr>
                <w:rStyle w:val="4"/>
                <w:rFonts w:hint="eastAsia" w:ascii="宋体" w:hAnsi="宋体" w:eastAsia="宋体" w:cs="宋体"/>
                <w:b w:val="0"/>
                <w:bCs w:val="0"/>
                <w:color w:val="auto"/>
                <w:sz w:val="24"/>
                <w:szCs w:val="24"/>
                <w:highlight w:val="none"/>
                <w:lang w:val="en-US" w:eastAsia="zh-CN"/>
              </w:rPr>
              <w:t>大小在60-650个核苷酸范围</w:t>
            </w:r>
            <w:r>
              <w:rPr>
                <w:rStyle w:val="4"/>
                <w:rFonts w:hint="eastAsia" w:ascii="宋体" w:hAnsi="宋体" w:eastAsia="宋体" w:cs="宋体"/>
                <w:b w:val="0"/>
                <w:bCs w:val="0"/>
                <w:color w:val="auto"/>
                <w:sz w:val="24"/>
                <w:szCs w:val="24"/>
                <w:highlight w:val="none"/>
              </w:rPr>
              <w:t>（提供分型图谱）。</w:t>
            </w:r>
          </w:p>
          <w:p>
            <w:pPr>
              <w:pStyle w:val="10"/>
              <w:keepNext w:val="0"/>
              <w:keepLines w:val="0"/>
              <w:pageBreakBefore w:val="0"/>
              <w:kinsoku/>
              <w:wordWrap/>
              <w:overflowPunct/>
              <w:topLinePunct w:val="0"/>
              <w:autoSpaceDE/>
              <w:autoSpaceDN/>
              <w:bidi w:val="0"/>
              <w:adjustRightInd w:val="0"/>
              <w:snapToGrid w:val="0"/>
              <w:spacing w:line="360" w:lineRule="auto"/>
              <w:ind w:left="105" w:leftChars="50" w:right="105" w:rightChars="50"/>
              <w:jc w:val="left"/>
              <w:rPr>
                <w:rStyle w:val="4"/>
                <w:rFonts w:hint="eastAsia" w:ascii="宋体" w:hAnsi="宋体" w:eastAsia="宋体" w:cs="宋体"/>
                <w:b w:val="0"/>
                <w:bCs w:val="0"/>
                <w:color w:val="auto"/>
                <w:sz w:val="24"/>
                <w:szCs w:val="24"/>
                <w:highlight w:val="none"/>
              </w:rPr>
            </w:pPr>
            <w:r>
              <w:rPr>
                <w:rStyle w:val="4"/>
                <w:rFonts w:hint="eastAsia" w:ascii="宋体" w:hAnsi="宋体" w:eastAsia="宋体" w:cs="宋体"/>
                <w:b w:val="0"/>
                <w:bCs w:val="0"/>
                <w:color w:val="auto"/>
                <w:sz w:val="24"/>
                <w:szCs w:val="24"/>
                <w:highlight w:val="none"/>
                <w:lang w:val="en-US" w:eastAsia="zh-CN"/>
              </w:rPr>
              <w:t>6、</w:t>
            </w:r>
            <w:r>
              <w:rPr>
                <w:rStyle w:val="4"/>
                <w:rFonts w:hint="eastAsia" w:ascii="宋体" w:hAnsi="宋体" w:eastAsia="宋体" w:cs="宋体"/>
                <w:b w:val="0"/>
                <w:bCs w:val="0"/>
                <w:color w:val="auto"/>
                <w:sz w:val="24"/>
                <w:szCs w:val="24"/>
                <w:highlight w:val="none"/>
              </w:rPr>
              <w:t>所投扩增试剂灵敏度至少达到125pg，便于极少量的疑难样品一次性得到完整 DNA 分型信息。</w:t>
            </w:r>
          </w:p>
          <w:p>
            <w:pPr>
              <w:pStyle w:val="10"/>
              <w:keepNext w:val="0"/>
              <w:keepLines w:val="0"/>
              <w:pageBreakBefore w:val="0"/>
              <w:kinsoku/>
              <w:wordWrap/>
              <w:overflowPunct/>
              <w:topLinePunct w:val="0"/>
              <w:autoSpaceDE/>
              <w:autoSpaceDN/>
              <w:bidi w:val="0"/>
              <w:adjustRightInd w:val="0"/>
              <w:snapToGrid w:val="0"/>
              <w:spacing w:line="360" w:lineRule="auto"/>
              <w:ind w:left="105" w:leftChars="50" w:right="105" w:rightChars="50"/>
              <w:jc w:val="left"/>
              <w:rPr>
                <w:rStyle w:val="4"/>
                <w:rFonts w:hint="eastAsia" w:ascii="宋体" w:hAnsi="宋体" w:eastAsia="宋体" w:cs="宋体"/>
                <w:b w:val="0"/>
                <w:bCs w:val="0"/>
                <w:color w:val="auto"/>
                <w:sz w:val="24"/>
                <w:szCs w:val="24"/>
                <w:highlight w:val="none"/>
              </w:rPr>
            </w:pPr>
            <w:r>
              <w:rPr>
                <w:rStyle w:val="4"/>
                <w:rFonts w:hint="eastAsia" w:ascii="宋体" w:hAnsi="宋体" w:eastAsia="宋体" w:cs="宋体"/>
                <w:b w:val="0"/>
                <w:bCs w:val="0"/>
                <w:color w:val="auto"/>
                <w:sz w:val="24"/>
                <w:szCs w:val="24"/>
                <w:highlight w:val="none"/>
                <w:lang w:val="en-US" w:eastAsia="zh-CN"/>
              </w:rPr>
              <w:t>7、</w:t>
            </w:r>
            <w:r>
              <w:rPr>
                <w:rStyle w:val="4"/>
                <w:rFonts w:hint="eastAsia" w:ascii="宋体" w:hAnsi="宋体" w:eastAsia="宋体" w:cs="宋体"/>
                <w:b w:val="0"/>
                <w:bCs w:val="0"/>
                <w:color w:val="auto"/>
                <w:sz w:val="24"/>
                <w:szCs w:val="24"/>
                <w:highlight w:val="none"/>
              </w:rPr>
              <w:t>便于一次性得到样本完整数据，需包括打拐试剂要求的9个优选基因座(D6S1043、Penta D、Penta E、D8S1132、D15S659、D3S3045、D19S253、D6S477、D10S1435)。</w:t>
            </w:r>
          </w:p>
          <w:p>
            <w:pPr>
              <w:pStyle w:val="10"/>
              <w:keepNext w:val="0"/>
              <w:keepLines w:val="0"/>
              <w:pageBreakBefore w:val="0"/>
              <w:numPr>
                <w:ilvl w:val="0"/>
                <w:numId w:val="0"/>
              </w:numPr>
              <w:kinsoku/>
              <w:wordWrap/>
              <w:overflowPunct/>
              <w:topLinePunct w:val="0"/>
              <w:autoSpaceDE/>
              <w:autoSpaceDN/>
              <w:bidi w:val="0"/>
              <w:adjustRightInd w:val="0"/>
              <w:snapToGrid w:val="0"/>
              <w:spacing w:line="360" w:lineRule="auto"/>
              <w:ind w:left="105" w:leftChars="50" w:right="105" w:rightChars="50"/>
              <w:jc w:val="left"/>
              <w:rPr>
                <w:rStyle w:val="4"/>
                <w:rFonts w:hint="eastAsia" w:ascii="宋体" w:hAnsi="宋体" w:eastAsia="宋体" w:cs="宋体"/>
                <w:b w:val="0"/>
                <w:bCs w:val="0"/>
                <w:color w:val="auto"/>
                <w:sz w:val="24"/>
                <w:szCs w:val="24"/>
                <w:highlight w:val="none"/>
              </w:rPr>
            </w:pPr>
            <w:r>
              <w:rPr>
                <w:rStyle w:val="4"/>
                <w:rFonts w:hint="eastAsia" w:ascii="宋体" w:hAnsi="宋体" w:eastAsia="宋体" w:cs="宋体"/>
                <w:b w:val="0"/>
                <w:bCs w:val="0"/>
                <w:color w:val="auto"/>
                <w:sz w:val="24"/>
                <w:szCs w:val="24"/>
                <w:highlight w:val="none"/>
                <w:lang w:val="en-US" w:eastAsia="zh-CN"/>
              </w:rPr>
              <w:t>8、</w:t>
            </w:r>
            <w:r>
              <w:rPr>
                <w:rStyle w:val="4"/>
                <w:rFonts w:hint="eastAsia" w:ascii="宋体" w:hAnsi="宋体" w:eastAsia="宋体" w:cs="宋体"/>
                <w:b w:val="0"/>
                <w:bCs w:val="0"/>
                <w:color w:val="auto"/>
                <w:sz w:val="24"/>
                <w:szCs w:val="24"/>
                <w:highlight w:val="none"/>
              </w:rPr>
              <w:t>具备对性别基因进行特异性检测功能，对因牙釉质蛋白基因（Amelogen</w:t>
            </w:r>
            <w:r>
              <w:rPr>
                <w:rStyle w:val="4"/>
                <w:rFonts w:hint="eastAsia" w:ascii="宋体" w:hAnsi="宋体" w:eastAsia="宋体" w:cs="宋体"/>
                <w:b w:val="0"/>
                <w:bCs w:val="0"/>
                <w:color w:val="auto"/>
                <w:sz w:val="24"/>
                <w:szCs w:val="24"/>
                <w:highlight w:val="none"/>
                <w:lang w:eastAsia="zh-CN"/>
              </w:rPr>
              <w:t>in</w:t>
            </w:r>
            <w:r>
              <w:rPr>
                <w:rStyle w:val="4"/>
                <w:rFonts w:hint="eastAsia" w:ascii="宋体" w:hAnsi="宋体" w:eastAsia="宋体" w:cs="宋体"/>
                <w:b w:val="0"/>
                <w:bCs w:val="0"/>
                <w:color w:val="auto"/>
                <w:sz w:val="24"/>
                <w:szCs w:val="24"/>
                <w:highlight w:val="none"/>
              </w:rPr>
              <w:t>）Y微缺失的男性，能够避免性别错判，增加Y</w:t>
            </w:r>
            <w:r>
              <w:rPr>
                <w:rStyle w:val="4"/>
                <w:rFonts w:hint="eastAsia" w:ascii="宋体" w:hAnsi="宋体" w:eastAsia="宋体" w:cs="宋体"/>
                <w:b w:val="0"/>
                <w:bCs w:val="0"/>
                <w:color w:val="auto"/>
                <w:sz w:val="24"/>
                <w:szCs w:val="24"/>
                <w:highlight w:val="none"/>
                <w:lang w:eastAsia="zh-CN"/>
              </w:rPr>
              <w:t>in</w:t>
            </w:r>
            <w:r>
              <w:rPr>
                <w:rStyle w:val="4"/>
                <w:rFonts w:hint="eastAsia" w:ascii="宋体" w:hAnsi="宋体" w:eastAsia="宋体" w:cs="宋体"/>
                <w:b w:val="0"/>
                <w:bCs w:val="0"/>
                <w:color w:val="auto"/>
                <w:sz w:val="24"/>
                <w:szCs w:val="24"/>
                <w:highlight w:val="none"/>
              </w:rPr>
              <w:t>del，用于疑难案件当中辅助性别鉴定。</w:t>
            </w:r>
          </w:p>
          <w:p>
            <w:pPr>
              <w:pStyle w:val="10"/>
              <w:keepNext w:val="0"/>
              <w:keepLines w:val="0"/>
              <w:pageBreakBefore w:val="0"/>
              <w:kinsoku/>
              <w:wordWrap/>
              <w:overflowPunct/>
              <w:topLinePunct w:val="0"/>
              <w:autoSpaceDE/>
              <w:autoSpaceDN/>
              <w:bidi w:val="0"/>
              <w:adjustRightInd w:val="0"/>
              <w:snapToGrid w:val="0"/>
              <w:spacing w:line="360" w:lineRule="auto"/>
              <w:ind w:left="105" w:leftChars="50" w:right="105" w:rightChars="50"/>
              <w:jc w:val="left"/>
              <w:rPr>
                <w:rStyle w:val="4"/>
                <w:rFonts w:hint="eastAsia" w:ascii="宋体" w:hAnsi="宋体" w:eastAsia="宋体" w:cs="宋体"/>
                <w:b w:val="0"/>
                <w:bCs w:val="0"/>
                <w:color w:val="auto"/>
                <w:sz w:val="24"/>
                <w:szCs w:val="24"/>
                <w:highlight w:val="none"/>
                <w:lang w:val="en-US" w:eastAsia="zh-CN"/>
              </w:rPr>
            </w:pPr>
            <w:r>
              <w:rPr>
                <w:rStyle w:val="4"/>
                <w:rFonts w:hint="eastAsia" w:ascii="宋体" w:hAnsi="宋体" w:eastAsia="宋体" w:cs="宋体"/>
                <w:b w:val="0"/>
                <w:bCs w:val="0"/>
                <w:color w:val="auto"/>
                <w:sz w:val="24"/>
                <w:szCs w:val="24"/>
                <w:highlight w:val="none"/>
                <w:lang w:val="en-US" w:eastAsia="zh-CN"/>
              </w:rPr>
              <w:t>9、需提供</w:t>
            </w:r>
            <w:r>
              <w:rPr>
                <w:rStyle w:val="4"/>
                <w:rFonts w:hint="eastAsia" w:ascii="宋体" w:hAnsi="宋体" w:eastAsia="宋体" w:cs="宋体"/>
                <w:b w:val="0"/>
                <w:bCs w:val="0"/>
                <w:color w:val="auto"/>
                <w:sz w:val="24"/>
                <w:szCs w:val="24"/>
                <w:highlight w:val="none"/>
              </w:rPr>
              <w:t>其他厂商试剂盒</w:t>
            </w:r>
            <w:r>
              <w:rPr>
                <w:rStyle w:val="4"/>
                <w:rFonts w:hint="eastAsia" w:ascii="宋体" w:hAnsi="宋体" w:eastAsia="宋体" w:cs="宋体"/>
                <w:b w:val="0"/>
                <w:bCs w:val="0"/>
                <w:color w:val="auto"/>
                <w:sz w:val="24"/>
                <w:szCs w:val="24"/>
                <w:highlight w:val="none"/>
                <w:lang w:val="en-US" w:eastAsia="zh-CN"/>
              </w:rPr>
              <w:t>对已检验样本</w:t>
            </w:r>
            <w:r>
              <w:rPr>
                <w:rStyle w:val="4"/>
                <w:rFonts w:hint="eastAsia" w:ascii="宋体" w:hAnsi="宋体" w:eastAsia="宋体" w:cs="宋体"/>
                <w:b w:val="0"/>
                <w:bCs w:val="0"/>
                <w:color w:val="auto"/>
                <w:sz w:val="24"/>
                <w:szCs w:val="24"/>
                <w:highlight w:val="none"/>
              </w:rPr>
              <w:t>进行核查校对，抽查校对率不低于2%。</w:t>
            </w:r>
            <w:r>
              <w:rPr>
                <w:rStyle w:val="4"/>
                <w:rFonts w:hint="eastAsia" w:ascii="宋体" w:hAnsi="宋体" w:eastAsia="宋体" w:cs="宋体"/>
                <w:b w:val="0"/>
                <w:bCs w:val="0"/>
                <w:color w:val="auto"/>
                <w:sz w:val="24"/>
                <w:szCs w:val="24"/>
                <w:highlight w:val="none"/>
                <w:lang w:val="en-US" w:eastAsia="zh-CN"/>
              </w:rPr>
              <w:t>所提供试剂盒需满足上述1、7性能参数，并与核心试剂盒同时提供。</w:t>
            </w:r>
          </w:p>
          <w:p>
            <w:pPr>
              <w:pStyle w:val="10"/>
              <w:keepNext w:val="0"/>
              <w:keepLines w:val="0"/>
              <w:pageBreakBefore w:val="0"/>
              <w:kinsoku/>
              <w:wordWrap/>
              <w:overflowPunct/>
              <w:topLinePunct w:val="0"/>
              <w:autoSpaceDE/>
              <w:autoSpaceDN/>
              <w:bidi w:val="0"/>
              <w:adjustRightInd w:val="0"/>
              <w:snapToGrid w:val="0"/>
              <w:spacing w:line="360" w:lineRule="auto"/>
              <w:ind w:left="105" w:leftChars="50" w:right="105" w:rightChars="50"/>
              <w:jc w:val="left"/>
              <w:rPr>
                <w:rStyle w:val="4"/>
                <w:rFonts w:hint="eastAsia" w:ascii="宋体" w:hAnsi="宋体" w:eastAsia="宋体" w:cs="宋体"/>
                <w:b w:val="0"/>
                <w:bCs w:val="0"/>
                <w:color w:val="auto"/>
                <w:sz w:val="24"/>
                <w:szCs w:val="24"/>
                <w:highlight w:val="none"/>
                <w:lang w:val="en-US" w:eastAsia="zh-CN"/>
              </w:rPr>
            </w:pPr>
            <w:r>
              <w:rPr>
                <w:rStyle w:val="4"/>
                <w:rFonts w:hint="eastAsia" w:ascii="宋体" w:hAnsi="宋体" w:eastAsia="宋体" w:cs="宋体"/>
                <w:b w:val="0"/>
                <w:bCs w:val="0"/>
                <w:color w:val="auto"/>
                <w:sz w:val="24"/>
                <w:szCs w:val="24"/>
                <w:highlight w:val="none"/>
                <w:lang w:val="en-US" w:eastAsia="zh-CN"/>
              </w:rPr>
              <w:t>10、试剂盒在公安部刑侦局下发的《全国公安机关DNA鉴定关键试剂耗材质检合格产品及制造商名录通知》中，并提供相关证明材料扫描件且加盖投标人公章。</w:t>
            </w:r>
          </w:p>
        </w:tc>
        <w:tc>
          <w:tcPr>
            <w:tcW w:w="1396" w:type="dxa"/>
            <w:noWrap w:val="0"/>
            <w:tcMar>
              <w:top w:w="15" w:type="dxa"/>
              <w:left w:w="15" w:type="dxa"/>
              <w:right w:w="15" w:type="dxa"/>
            </w:tcMar>
            <w:vAlign w:val="center"/>
          </w:tcPr>
          <w:p>
            <w:pPr>
              <w:pStyle w:val="10"/>
              <w:keepNext w:val="0"/>
              <w:keepLines w:val="0"/>
              <w:pageBreakBefore w:val="0"/>
              <w:widowControl/>
              <w:kinsoku/>
              <w:wordWrap/>
              <w:overflowPunct/>
              <w:topLinePunct w:val="0"/>
              <w:autoSpaceDE/>
              <w:autoSpaceDN/>
              <w:bidi w:val="0"/>
              <w:jc w:val="center"/>
              <w:textAlignment w:val="center"/>
              <w:rPr>
                <w:rStyle w:val="4"/>
                <w:rFonts w:hint="eastAsia" w:ascii="宋体" w:hAnsi="宋体" w:eastAsia="宋体" w:cs="宋体"/>
                <w:color w:val="auto"/>
                <w:sz w:val="24"/>
                <w:szCs w:val="24"/>
                <w:highlight w:val="none"/>
              </w:rPr>
            </w:pPr>
            <w:r>
              <w:rPr>
                <w:rStyle w:val="4"/>
                <w:rFonts w:hint="eastAsia" w:ascii="宋体" w:hAnsi="宋体" w:eastAsia="宋体" w:cs="宋体"/>
                <w:color w:val="auto"/>
                <w:kern w:val="0"/>
                <w:sz w:val="24"/>
                <w:szCs w:val="24"/>
                <w:highlight w:val="none"/>
                <w:lang w:bidi="ar"/>
              </w:rPr>
              <w:t>2</w:t>
            </w:r>
            <w:r>
              <w:rPr>
                <w:rStyle w:val="4"/>
                <w:rFonts w:hint="eastAsia" w:ascii="宋体" w:hAnsi="宋体" w:eastAsia="宋体" w:cs="宋体"/>
                <w:color w:val="auto"/>
                <w:kern w:val="0"/>
                <w:sz w:val="24"/>
                <w:szCs w:val="24"/>
                <w:highlight w:val="none"/>
                <w:lang w:val="en-US" w:eastAsia="zh-CN" w:bidi="ar"/>
              </w:rPr>
              <w:t>1</w:t>
            </w:r>
            <w:r>
              <w:rPr>
                <w:rStyle w:val="4"/>
                <w:rFonts w:hint="eastAsia" w:ascii="宋体" w:hAnsi="宋体" w:eastAsia="宋体" w:cs="宋体"/>
                <w:color w:val="auto"/>
                <w:kern w:val="0"/>
                <w:sz w:val="24"/>
                <w:szCs w:val="24"/>
                <w:highlight w:val="none"/>
                <w:lang w:bidi="ar"/>
              </w:rPr>
              <w:t>000份</w:t>
            </w:r>
          </w:p>
        </w:tc>
        <w:tc>
          <w:tcPr>
            <w:tcW w:w="1096" w:type="dxa"/>
            <w:noWrap w:val="0"/>
            <w:tcMar>
              <w:top w:w="15" w:type="dxa"/>
              <w:left w:w="15" w:type="dxa"/>
              <w:right w:w="15" w:type="dxa"/>
            </w:tcMar>
            <w:vAlign w:val="center"/>
          </w:tcPr>
          <w:p>
            <w:pPr>
              <w:pStyle w:val="10"/>
              <w:keepNext w:val="0"/>
              <w:keepLines w:val="0"/>
              <w:pageBreakBefore w:val="0"/>
              <w:widowControl/>
              <w:kinsoku/>
              <w:wordWrap/>
              <w:overflowPunct/>
              <w:topLinePunct w:val="0"/>
              <w:autoSpaceDE/>
              <w:autoSpaceDN/>
              <w:bidi w:val="0"/>
              <w:jc w:val="center"/>
              <w:textAlignment w:val="center"/>
              <w:rPr>
                <w:rStyle w:val="4"/>
                <w:rFonts w:hint="eastAsia" w:ascii="宋体" w:hAnsi="宋体" w:eastAsia="宋体" w:cs="宋体"/>
                <w:color w:val="auto"/>
                <w:sz w:val="24"/>
                <w:szCs w:val="24"/>
                <w:highlight w:val="none"/>
              </w:rPr>
            </w:pPr>
            <w:r>
              <w:rPr>
                <w:rStyle w:val="4"/>
                <w:rFonts w:hint="eastAsia" w:ascii="宋体" w:hAnsi="宋体" w:eastAsia="宋体" w:cs="宋体"/>
                <w:color w:val="auto"/>
                <w:kern w:val="0"/>
                <w:sz w:val="24"/>
                <w:szCs w:val="24"/>
                <w:highlight w:val="none"/>
                <w:lang w:bidi="ar"/>
              </w:rPr>
              <w:t>DNA建库</w:t>
            </w:r>
          </w:p>
        </w:tc>
      </w:tr>
    </w:tbl>
    <w:p>
      <w:pPr>
        <w:pStyle w:val="5"/>
        <w:jc w:val="left"/>
        <w:rPr>
          <w:rStyle w:val="4"/>
          <w:rFonts w:hint="eastAsia" w:ascii="宋体" w:hAnsi="宋体" w:eastAsia="宋体" w:cs="宋体"/>
          <w:color w:val="auto"/>
          <w:sz w:val="28"/>
          <w:szCs w:val="32"/>
          <w:highlight w:val="none"/>
          <w:lang w:val="en-US" w:eastAsia="zh-CN"/>
        </w:rPr>
      </w:pPr>
      <w:r>
        <w:rPr>
          <w:rStyle w:val="4"/>
          <w:rFonts w:hint="eastAsia" w:ascii="宋体" w:hAnsi="宋体" w:eastAsia="宋体" w:cs="宋体"/>
          <w:color w:val="auto"/>
          <w:sz w:val="28"/>
          <w:szCs w:val="32"/>
          <w:highlight w:val="none"/>
          <w:lang w:val="en-US" w:eastAsia="zh-CN"/>
        </w:rPr>
        <w:t>二、技术服务要求</w:t>
      </w:r>
    </w:p>
    <w:p>
      <w:pPr>
        <w:pStyle w:val="10"/>
        <w:keepNext w:val="0"/>
        <w:keepLines w:val="0"/>
        <w:pageBreakBefore w:val="0"/>
        <w:widowControl w:val="0"/>
        <w:kinsoku/>
        <w:wordWrap/>
        <w:overflowPunct/>
        <w:topLinePunct w:val="0"/>
        <w:autoSpaceDE/>
        <w:autoSpaceDN/>
        <w:bidi w:val="0"/>
        <w:adjustRightInd w:val="0"/>
        <w:snapToGrid w:val="0"/>
        <w:spacing w:line="500" w:lineRule="exact"/>
        <w:ind w:left="105" w:leftChars="50" w:right="105" w:rightChars="50" w:firstLine="480" w:firstLineChars="200"/>
        <w:jc w:val="left"/>
        <w:textAlignment w:val="auto"/>
        <w:rPr>
          <w:rStyle w:val="4"/>
          <w:rFonts w:hint="eastAsia" w:ascii="宋体" w:hAnsi="宋体" w:eastAsia="宋体" w:cs="宋体"/>
          <w:b w:val="0"/>
          <w:bCs w:val="0"/>
          <w:color w:val="auto"/>
          <w:sz w:val="24"/>
          <w:szCs w:val="24"/>
          <w:highlight w:val="none"/>
          <w:lang w:val="en-US" w:eastAsia="zh-CN"/>
        </w:rPr>
      </w:pPr>
      <w:r>
        <w:rPr>
          <w:rStyle w:val="4"/>
          <w:rFonts w:hint="eastAsia" w:ascii="宋体" w:hAnsi="宋体" w:eastAsia="宋体" w:cs="宋体"/>
          <w:b w:val="0"/>
          <w:bCs w:val="0"/>
          <w:color w:val="auto"/>
          <w:sz w:val="24"/>
          <w:szCs w:val="24"/>
          <w:highlight w:val="none"/>
          <w:lang w:val="en-US" w:eastAsia="zh-CN"/>
        </w:rPr>
        <w:t>1、本项目在衡阳市公安局刑事侦查支队DNA实验室进行。未经采购方许可，人员样本和检验的原始数据、分析图谱、CODIS文件等不得以任何方式带出衡阳市公安局刑侦支队DNA实验室。</w:t>
      </w:r>
    </w:p>
    <w:p>
      <w:pPr>
        <w:pStyle w:val="10"/>
        <w:keepNext w:val="0"/>
        <w:keepLines w:val="0"/>
        <w:pageBreakBefore w:val="0"/>
        <w:widowControl w:val="0"/>
        <w:kinsoku/>
        <w:wordWrap/>
        <w:overflowPunct/>
        <w:topLinePunct w:val="0"/>
        <w:autoSpaceDE/>
        <w:autoSpaceDN/>
        <w:bidi w:val="0"/>
        <w:adjustRightInd w:val="0"/>
        <w:snapToGrid w:val="0"/>
        <w:spacing w:line="500" w:lineRule="exact"/>
        <w:ind w:left="105" w:leftChars="50" w:right="105" w:rightChars="50" w:firstLine="480" w:firstLineChars="200"/>
        <w:jc w:val="left"/>
        <w:textAlignment w:val="auto"/>
        <w:rPr>
          <w:rStyle w:val="4"/>
          <w:rFonts w:hint="eastAsia" w:ascii="宋体" w:hAnsi="宋体" w:eastAsia="宋体" w:cs="宋体"/>
          <w:b w:val="0"/>
          <w:bCs w:val="0"/>
          <w:color w:val="auto"/>
          <w:sz w:val="24"/>
          <w:szCs w:val="24"/>
          <w:highlight w:val="none"/>
          <w:lang w:val="en-US" w:eastAsia="zh-CN"/>
        </w:rPr>
      </w:pPr>
      <w:bookmarkStart w:id="1" w:name="_Toc256000016"/>
      <w:r>
        <w:rPr>
          <w:rStyle w:val="4"/>
          <w:rFonts w:hint="eastAsia" w:ascii="宋体" w:hAnsi="宋体" w:eastAsia="宋体" w:cs="宋体"/>
          <w:b w:val="0"/>
          <w:bCs w:val="0"/>
          <w:color w:val="auto"/>
          <w:sz w:val="24"/>
          <w:szCs w:val="24"/>
          <w:highlight w:val="none"/>
          <w:lang w:val="en-US" w:eastAsia="zh-CN"/>
        </w:rPr>
        <w:t>2、 衡阳市公安局刑侦支队提供建库场地及待检验样本，供应商应当配套提供所有样本 (2.1万人份)检验所需的其他配套仪器和试剂耗材：电泳设备、扩增仪、扩增检测试剂盒（不低于47盒/200人份每盒）、缓冲液、内标、甲酰胺、PCR板、移液器吸头、手套等。项目每阶段验收以成功检验并入库的数据为准，以合格的入库数据数量作为支付依据。</w:t>
      </w:r>
      <w:bookmarkEnd w:id="1"/>
    </w:p>
    <w:p>
      <w:pPr>
        <w:pStyle w:val="10"/>
        <w:keepNext w:val="0"/>
        <w:keepLines w:val="0"/>
        <w:pageBreakBefore w:val="0"/>
        <w:widowControl w:val="0"/>
        <w:kinsoku/>
        <w:wordWrap/>
        <w:overflowPunct/>
        <w:topLinePunct w:val="0"/>
        <w:autoSpaceDE/>
        <w:autoSpaceDN/>
        <w:bidi w:val="0"/>
        <w:adjustRightInd w:val="0"/>
        <w:snapToGrid w:val="0"/>
        <w:spacing w:line="500" w:lineRule="exact"/>
        <w:ind w:left="105" w:leftChars="50" w:right="105" w:rightChars="50" w:firstLine="480" w:firstLineChars="200"/>
        <w:jc w:val="left"/>
        <w:textAlignment w:val="auto"/>
        <w:rPr>
          <w:rStyle w:val="4"/>
          <w:rFonts w:hint="eastAsia" w:ascii="宋体" w:hAnsi="宋体" w:eastAsia="宋体" w:cs="宋体"/>
          <w:b w:val="0"/>
          <w:bCs w:val="0"/>
          <w:color w:val="auto"/>
          <w:sz w:val="24"/>
          <w:szCs w:val="24"/>
          <w:highlight w:val="none"/>
          <w:lang w:val="en-US" w:eastAsia="zh-CN"/>
        </w:rPr>
      </w:pPr>
      <w:r>
        <w:rPr>
          <w:rStyle w:val="4"/>
          <w:rFonts w:hint="eastAsia" w:ascii="宋体" w:hAnsi="宋体" w:eastAsia="宋体" w:cs="宋体"/>
          <w:b w:val="0"/>
          <w:bCs w:val="0"/>
          <w:color w:val="auto"/>
          <w:sz w:val="24"/>
          <w:szCs w:val="24"/>
          <w:highlight w:val="none"/>
          <w:lang w:val="en-US" w:eastAsia="zh-CN"/>
        </w:rPr>
        <w:t>3、供应商在项目实施后应派驻1名辅助技术人员常驻衡阳市公安局DNA实验室，协助开展建库检验工作。该技术人员的工资、奖金、加班费、五险一金、 食宿、交通等全部费用由成交供应商承担，该技术人员工作期间因自身疾病、意外事故、自然灾害、工伤，或其他不可抗外力导致的人身伤害、伤亡由成交供应商全权负责，采购单位一概不负责任。</w:t>
      </w:r>
    </w:p>
    <w:p>
      <w:pPr>
        <w:pStyle w:val="10"/>
        <w:keepNext w:val="0"/>
        <w:keepLines w:val="0"/>
        <w:pageBreakBefore w:val="0"/>
        <w:widowControl w:val="0"/>
        <w:kinsoku/>
        <w:wordWrap/>
        <w:overflowPunct/>
        <w:topLinePunct w:val="0"/>
        <w:autoSpaceDE/>
        <w:autoSpaceDN/>
        <w:bidi w:val="0"/>
        <w:adjustRightInd w:val="0"/>
        <w:snapToGrid w:val="0"/>
        <w:spacing w:line="500" w:lineRule="exact"/>
        <w:ind w:left="105" w:leftChars="50" w:right="105" w:rightChars="50" w:firstLine="480" w:firstLineChars="200"/>
        <w:jc w:val="left"/>
        <w:textAlignment w:val="auto"/>
        <w:rPr>
          <w:rStyle w:val="4"/>
          <w:rFonts w:hint="eastAsia" w:ascii="宋体" w:hAnsi="宋体" w:eastAsia="宋体" w:cs="宋体"/>
          <w:b w:val="0"/>
          <w:bCs w:val="0"/>
          <w:color w:val="auto"/>
          <w:sz w:val="24"/>
          <w:szCs w:val="24"/>
          <w:highlight w:val="none"/>
          <w:lang w:val="en-US" w:eastAsia="zh-CN"/>
        </w:rPr>
      </w:pPr>
      <w:r>
        <w:rPr>
          <w:rStyle w:val="4"/>
          <w:rFonts w:hint="eastAsia" w:ascii="宋体" w:hAnsi="宋体" w:eastAsia="宋体" w:cs="宋体"/>
          <w:b w:val="0"/>
          <w:bCs w:val="0"/>
          <w:color w:val="auto"/>
          <w:sz w:val="24"/>
          <w:szCs w:val="24"/>
          <w:highlight w:val="none"/>
          <w:lang w:val="en-US" w:eastAsia="zh-CN"/>
        </w:rPr>
        <w:t>4、建库过程中供应商及派驻人员必须遵守衡阳市公安局刑侦支队DNA实验室的管理要求及保密规定，不得窃取公安机关保密信息。否则，将视情节追究其法律责任。</w:t>
      </w:r>
    </w:p>
    <w:p>
      <w:pPr>
        <w:pStyle w:val="10"/>
        <w:keepNext w:val="0"/>
        <w:keepLines w:val="0"/>
        <w:pageBreakBefore w:val="0"/>
        <w:widowControl w:val="0"/>
        <w:kinsoku/>
        <w:wordWrap/>
        <w:overflowPunct/>
        <w:topLinePunct w:val="0"/>
        <w:autoSpaceDE/>
        <w:autoSpaceDN/>
        <w:bidi w:val="0"/>
        <w:adjustRightInd w:val="0"/>
        <w:snapToGrid w:val="0"/>
        <w:spacing w:line="500" w:lineRule="exact"/>
        <w:ind w:left="105" w:leftChars="50" w:right="105" w:rightChars="50" w:firstLine="480" w:firstLineChars="200"/>
        <w:jc w:val="left"/>
        <w:textAlignment w:val="auto"/>
        <w:rPr>
          <w:rStyle w:val="4"/>
          <w:rFonts w:hint="eastAsia" w:ascii="宋体" w:hAnsi="宋体" w:eastAsia="宋体" w:cs="宋体"/>
          <w:b w:val="0"/>
          <w:bCs w:val="0"/>
          <w:color w:val="auto"/>
          <w:sz w:val="24"/>
          <w:szCs w:val="24"/>
          <w:highlight w:val="none"/>
          <w:lang w:val="en-US" w:eastAsia="zh-CN"/>
        </w:rPr>
      </w:pPr>
      <w:r>
        <w:rPr>
          <w:rStyle w:val="4"/>
          <w:rFonts w:hint="eastAsia" w:ascii="宋体" w:hAnsi="宋体" w:eastAsia="宋体" w:cs="宋体"/>
          <w:b w:val="0"/>
          <w:bCs w:val="0"/>
          <w:color w:val="auto"/>
          <w:sz w:val="24"/>
          <w:szCs w:val="24"/>
          <w:highlight w:val="none"/>
          <w:lang w:val="en-US" w:eastAsia="zh-CN"/>
        </w:rPr>
        <w:t>5、供应商应确保建库PCR扩增时应不低于10ul反应体系，样本检测所得分型需准确且峰型均衡，在检测范围内无非特异性扩增产物，除因采购方提供的样本本身质量存在问题以外，所有样本基因座检出率需达到100%。</w:t>
      </w:r>
    </w:p>
    <w:p>
      <w:pPr>
        <w:pStyle w:val="10"/>
        <w:keepNext w:val="0"/>
        <w:keepLines w:val="0"/>
        <w:pageBreakBefore w:val="0"/>
        <w:widowControl w:val="0"/>
        <w:kinsoku/>
        <w:wordWrap/>
        <w:overflowPunct/>
        <w:topLinePunct w:val="0"/>
        <w:autoSpaceDE/>
        <w:autoSpaceDN/>
        <w:bidi w:val="0"/>
        <w:adjustRightInd w:val="0"/>
        <w:snapToGrid w:val="0"/>
        <w:spacing w:line="500" w:lineRule="exact"/>
        <w:ind w:left="105" w:leftChars="50" w:right="105" w:rightChars="50" w:firstLine="480" w:firstLineChars="200"/>
        <w:jc w:val="left"/>
        <w:textAlignment w:val="auto"/>
        <w:rPr>
          <w:rStyle w:val="4"/>
          <w:rFonts w:hint="eastAsia" w:ascii="宋体" w:hAnsi="宋体" w:eastAsia="宋体" w:cs="宋体"/>
          <w:b w:val="0"/>
          <w:bCs w:val="0"/>
          <w:color w:val="auto"/>
          <w:sz w:val="24"/>
          <w:szCs w:val="24"/>
          <w:highlight w:val="none"/>
          <w:lang w:val="en-US" w:eastAsia="zh-CN"/>
        </w:rPr>
      </w:pPr>
      <w:r>
        <w:rPr>
          <w:rStyle w:val="4"/>
          <w:rFonts w:hint="eastAsia" w:ascii="宋体" w:hAnsi="宋体" w:eastAsia="宋体" w:cs="宋体"/>
          <w:b w:val="0"/>
          <w:bCs w:val="0"/>
          <w:color w:val="auto"/>
          <w:sz w:val="24"/>
          <w:szCs w:val="24"/>
          <w:highlight w:val="none"/>
          <w:lang w:val="en-US" w:eastAsia="zh-CN"/>
        </w:rPr>
        <w:t>6、中标供应商必须承诺提供的分型结果与原检材相对应，否则应查明出错原因，对相关批次的样本重新检验，相关试剂耗材和人力由成交供应商承担。若错误DNA数据造成严重后果，采购方可终止合同，中标供应商应承担相应的法律责任和相关赔偿义务。</w:t>
      </w:r>
    </w:p>
    <w:p>
      <w:pPr>
        <w:pStyle w:val="10"/>
        <w:keepNext w:val="0"/>
        <w:keepLines w:val="0"/>
        <w:pageBreakBefore w:val="0"/>
        <w:widowControl w:val="0"/>
        <w:kinsoku/>
        <w:wordWrap/>
        <w:overflowPunct/>
        <w:topLinePunct w:val="0"/>
        <w:autoSpaceDE/>
        <w:autoSpaceDN/>
        <w:bidi w:val="0"/>
        <w:adjustRightInd w:val="0"/>
        <w:snapToGrid w:val="0"/>
        <w:spacing w:line="500" w:lineRule="exact"/>
        <w:ind w:left="105" w:leftChars="50" w:right="105" w:rightChars="50" w:firstLine="480" w:firstLineChars="200"/>
        <w:jc w:val="left"/>
        <w:textAlignment w:val="auto"/>
        <w:rPr>
          <w:rStyle w:val="4"/>
          <w:rFonts w:hint="eastAsia" w:ascii="宋体" w:hAnsi="宋体" w:eastAsia="宋体" w:cs="宋体"/>
          <w:b w:val="0"/>
          <w:bCs w:val="0"/>
          <w:color w:val="auto"/>
          <w:sz w:val="24"/>
          <w:szCs w:val="24"/>
          <w:highlight w:val="none"/>
          <w:lang w:val="en-US" w:eastAsia="zh-CN"/>
        </w:rPr>
      </w:pPr>
      <w:r>
        <w:rPr>
          <w:rStyle w:val="4"/>
          <w:rFonts w:hint="eastAsia" w:ascii="宋体" w:hAnsi="宋体" w:eastAsia="宋体" w:cs="宋体"/>
          <w:b w:val="0"/>
          <w:bCs w:val="0"/>
          <w:color w:val="auto"/>
          <w:sz w:val="24"/>
          <w:szCs w:val="24"/>
          <w:highlight w:val="none"/>
          <w:lang w:val="en-US" w:eastAsia="zh-CN"/>
        </w:rPr>
        <w:t>7、供应商在交付检验数据结果的同时，须提供检验原始检验记录和原始检验数据，确保所有数据均能有效溯源。</w:t>
      </w:r>
    </w:p>
    <w:p>
      <w:pPr>
        <w:pStyle w:val="10"/>
        <w:keepNext w:val="0"/>
        <w:keepLines w:val="0"/>
        <w:pageBreakBefore w:val="0"/>
        <w:widowControl w:val="0"/>
        <w:kinsoku/>
        <w:wordWrap/>
        <w:overflowPunct/>
        <w:topLinePunct w:val="0"/>
        <w:autoSpaceDE/>
        <w:autoSpaceDN/>
        <w:bidi w:val="0"/>
        <w:adjustRightInd w:val="0"/>
        <w:snapToGrid w:val="0"/>
        <w:spacing w:line="500" w:lineRule="exact"/>
        <w:ind w:left="105" w:leftChars="50" w:right="105" w:rightChars="50" w:firstLine="480" w:firstLineChars="200"/>
        <w:jc w:val="left"/>
        <w:textAlignment w:val="auto"/>
        <w:rPr>
          <w:rStyle w:val="4"/>
          <w:rFonts w:hint="eastAsia" w:ascii="宋体" w:hAnsi="宋体" w:eastAsia="宋体" w:cs="宋体"/>
          <w:b w:val="0"/>
          <w:bCs w:val="0"/>
          <w:color w:val="auto"/>
          <w:sz w:val="24"/>
          <w:szCs w:val="24"/>
          <w:highlight w:val="none"/>
          <w:lang w:val="en-US" w:eastAsia="zh-CN"/>
        </w:rPr>
      </w:pPr>
      <w:r>
        <w:rPr>
          <w:rStyle w:val="4"/>
          <w:rFonts w:hint="eastAsia" w:ascii="宋体" w:hAnsi="宋体" w:eastAsia="宋体" w:cs="宋体"/>
          <w:b w:val="0"/>
          <w:bCs w:val="0"/>
          <w:color w:val="auto"/>
          <w:sz w:val="24"/>
          <w:szCs w:val="24"/>
          <w:highlight w:val="none"/>
          <w:lang w:val="en-US" w:eastAsia="zh-CN"/>
        </w:rPr>
        <w:t>8、供应商应承诺有相应的样本复核机制。日常检验中应保证有不低于2%的抽检复核率。每检验5000个样本应开展一次期间核查，对已检样本进行随机抽样并更换能全部包含中标试剂盒基因位点的其他厂商试剂盒进行核查校对，抽查校对率不低于2%。</w:t>
      </w:r>
    </w:p>
    <w:p>
      <w:pPr>
        <w:pStyle w:val="10"/>
        <w:keepNext w:val="0"/>
        <w:keepLines w:val="0"/>
        <w:pageBreakBefore w:val="0"/>
        <w:widowControl w:val="0"/>
        <w:kinsoku/>
        <w:wordWrap/>
        <w:overflowPunct/>
        <w:topLinePunct w:val="0"/>
        <w:autoSpaceDE/>
        <w:autoSpaceDN/>
        <w:bidi w:val="0"/>
        <w:adjustRightInd w:val="0"/>
        <w:snapToGrid w:val="0"/>
        <w:spacing w:line="500" w:lineRule="exact"/>
        <w:ind w:left="105" w:leftChars="50" w:right="105" w:rightChars="50" w:firstLine="480" w:firstLineChars="200"/>
        <w:jc w:val="left"/>
        <w:textAlignment w:val="auto"/>
        <w:rPr>
          <w:rStyle w:val="4"/>
          <w:rFonts w:hint="eastAsia" w:ascii="宋体" w:hAnsi="宋体" w:eastAsia="宋体" w:cs="宋体"/>
          <w:b w:val="0"/>
          <w:bCs w:val="0"/>
          <w:color w:val="auto"/>
          <w:sz w:val="24"/>
          <w:szCs w:val="24"/>
          <w:highlight w:val="none"/>
          <w:lang w:val="en-US" w:eastAsia="zh-CN"/>
        </w:rPr>
      </w:pPr>
      <w:r>
        <w:rPr>
          <w:rStyle w:val="4"/>
          <w:rFonts w:hint="eastAsia" w:ascii="宋体" w:hAnsi="宋体" w:eastAsia="宋体" w:cs="宋体"/>
          <w:b w:val="0"/>
          <w:bCs w:val="0"/>
          <w:color w:val="auto"/>
          <w:sz w:val="24"/>
          <w:szCs w:val="24"/>
          <w:highlight w:val="none"/>
          <w:lang w:val="en-US" w:eastAsia="zh-CN"/>
        </w:rPr>
        <w:t>9、供应商应根据采购方采样进度，将建库所需试剂耗材按采购方要求的时间、数量分批发货，并保证产品在质保期内使用。</w:t>
      </w:r>
    </w:p>
    <w:p>
      <w:pPr>
        <w:pStyle w:val="10"/>
        <w:keepNext w:val="0"/>
        <w:keepLines w:val="0"/>
        <w:pageBreakBefore w:val="0"/>
        <w:widowControl w:val="0"/>
        <w:kinsoku/>
        <w:wordWrap/>
        <w:overflowPunct/>
        <w:topLinePunct w:val="0"/>
        <w:autoSpaceDE/>
        <w:autoSpaceDN/>
        <w:bidi w:val="0"/>
        <w:adjustRightInd w:val="0"/>
        <w:snapToGrid w:val="0"/>
        <w:spacing w:line="500" w:lineRule="exact"/>
        <w:ind w:left="105" w:leftChars="50" w:right="105" w:rightChars="50" w:firstLine="480" w:firstLineChars="200"/>
        <w:jc w:val="left"/>
        <w:textAlignment w:val="auto"/>
        <w:rPr>
          <w:rStyle w:val="4"/>
          <w:rFonts w:hint="eastAsia" w:ascii="宋体" w:hAnsi="宋体" w:eastAsia="宋体" w:cs="宋体"/>
          <w:b w:val="0"/>
          <w:bCs w:val="0"/>
          <w:color w:val="auto"/>
          <w:sz w:val="24"/>
          <w:szCs w:val="24"/>
          <w:highlight w:val="none"/>
          <w:lang w:val="en-US" w:eastAsia="zh-CN"/>
        </w:rPr>
      </w:pPr>
      <w:r>
        <w:rPr>
          <w:rStyle w:val="4"/>
          <w:rFonts w:hint="eastAsia" w:ascii="宋体" w:hAnsi="宋体" w:eastAsia="宋体" w:cs="宋体"/>
          <w:b w:val="0"/>
          <w:bCs w:val="0"/>
          <w:color w:val="auto"/>
          <w:sz w:val="24"/>
          <w:szCs w:val="24"/>
          <w:highlight w:val="none"/>
          <w:lang w:val="en-US" w:eastAsia="zh-CN"/>
        </w:rPr>
        <w:t>10、供应商需要对采购方实验室因DNA检测实验产生的有害耗材垃圾进行无害化处理，并承担相应费用，周期内不少于2次。</w:t>
      </w:r>
    </w:p>
    <w:p>
      <w:pPr>
        <w:pStyle w:val="10"/>
        <w:keepNext w:val="0"/>
        <w:keepLines w:val="0"/>
        <w:pageBreakBefore w:val="0"/>
        <w:widowControl w:val="0"/>
        <w:kinsoku/>
        <w:wordWrap/>
        <w:overflowPunct/>
        <w:topLinePunct w:val="0"/>
        <w:autoSpaceDE/>
        <w:autoSpaceDN/>
        <w:bidi w:val="0"/>
        <w:adjustRightInd w:val="0"/>
        <w:snapToGrid w:val="0"/>
        <w:spacing w:line="500" w:lineRule="exact"/>
        <w:ind w:left="105" w:leftChars="50" w:right="105" w:rightChars="50" w:firstLine="480" w:firstLineChars="200"/>
        <w:jc w:val="left"/>
        <w:textAlignment w:val="auto"/>
        <w:rPr>
          <w:rStyle w:val="4"/>
          <w:rFonts w:hint="eastAsia" w:ascii="宋体" w:hAnsi="宋体" w:eastAsia="宋体" w:cs="宋体"/>
          <w:b w:val="0"/>
          <w:bCs w:val="0"/>
          <w:color w:val="auto"/>
          <w:sz w:val="24"/>
          <w:szCs w:val="24"/>
          <w:highlight w:val="none"/>
          <w:lang w:val="en-US" w:eastAsia="zh-CN"/>
        </w:rPr>
      </w:pPr>
      <w:r>
        <w:rPr>
          <w:rStyle w:val="4"/>
          <w:rFonts w:hint="eastAsia" w:ascii="宋体" w:hAnsi="宋体" w:eastAsia="宋体" w:cs="宋体"/>
          <w:b w:val="0"/>
          <w:bCs/>
          <w:color w:val="auto"/>
          <w:kern w:val="2"/>
          <w:sz w:val="24"/>
          <w:szCs w:val="24"/>
          <w:highlight w:val="none"/>
        </w:rPr>
        <w:t>★</w:t>
      </w:r>
      <w:r>
        <w:rPr>
          <w:rStyle w:val="4"/>
          <w:rFonts w:hint="eastAsia" w:ascii="宋体" w:hAnsi="宋体" w:eastAsia="宋体" w:cs="宋体"/>
          <w:b w:val="0"/>
          <w:bCs w:val="0"/>
          <w:color w:val="auto"/>
          <w:sz w:val="24"/>
          <w:szCs w:val="24"/>
          <w:highlight w:val="none"/>
          <w:lang w:val="en-US" w:eastAsia="zh-CN"/>
        </w:rPr>
        <w:t>11、针对前科人员的陈年霉变血卡、血斑等检材二次检验复核时投标人需提供配套的纯化试剂盒（非核心产品）以提高检出率。所投试剂盒能在本实验室现有成熟的DNA提取纯化系统KingFisher、Automate或博坤全自动工作站上配套使用。（提供投标人加盖公章的承诺函）</w:t>
      </w:r>
    </w:p>
    <w:p>
      <w:pPr>
        <w:pStyle w:val="10"/>
        <w:keepNext w:val="0"/>
        <w:keepLines w:val="0"/>
        <w:pageBreakBefore w:val="0"/>
        <w:widowControl w:val="0"/>
        <w:kinsoku/>
        <w:wordWrap/>
        <w:overflowPunct/>
        <w:topLinePunct w:val="0"/>
        <w:autoSpaceDE/>
        <w:autoSpaceDN/>
        <w:bidi w:val="0"/>
        <w:adjustRightInd w:val="0"/>
        <w:snapToGrid w:val="0"/>
        <w:spacing w:line="500" w:lineRule="exact"/>
        <w:ind w:left="105" w:leftChars="50" w:right="105" w:rightChars="50" w:firstLine="480" w:firstLineChars="200"/>
        <w:jc w:val="left"/>
        <w:textAlignment w:val="auto"/>
        <w:rPr>
          <w:rStyle w:val="4"/>
          <w:rFonts w:hint="eastAsia" w:ascii="宋体" w:hAnsi="宋体" w:eastAsia="宋体" w:cs="宋体"/>
          <w:b w:val="0"/>
          <w:bCs w:val="0"/>
          <w:color w:val="auto"/>
          <w:sz w:val="24"/>
          <w:szCs w:val="24"/>
          <w:highlight w:val="none"/>
          <w:lang w:val="en-US" w:eastAsia="zh-CN"/>
        </w:rPr>
      </w:pPr>
      <w:r>
        <w:rPr>
          <w:rStyle w:val="4"/>
          <w:rFonts w:hint="eastAsia" w:ascii="宋体" w:hAnsi="宋体" w:eastAsia="宋体" w:cs="宋体"/>
          <w:b w:val="0"/>
          <w:bCs w:val="0"/>
          <w:color w:val="auto"/>
          <w:sz w:val="24"/>
          <w:szCs w:val="24"/>
          <w:highlight w:val="none"/>
          <w:lang w:val="en-US" w:eastAsia="zh-CN"/>
        </w:rPr>
        <w:t>12、中标人及派驻技术员须严格遵守公安机关保密规定，不得获取公安机关机密信息，或将公安内网信息转发到其他社会新闻媒体或互联网络。否则，将视情节追究其法律责任。</w:t>
      </w:r>
    </w:p>
    <w:p>
      <w:pPr>
        <w:pStyle w:val="10"/>
        <w:keepNext w:val="0"/>
        <w:keepLines w:val="0"/>
        <w:pageBreakBefore w:val="0"/>
        <w:widowControl w:val="0"/>
        <w:kinsoku/>
        <w:wordWrap/>
        <w:overflowPunct/>
        <w:topLinePunct w:val="0"/>
        <w:autoSpaceDE/>
        <w:autoSpaceDN/>
        <w:bidi w:val="0"/>
        <w:adjustRightInd w:val="0"/>
        <w:snapToGrid w:val="0"/>
        <w:spacing w:line="500" w:lineRule="exact"/>
        <w:ind w:left="105" w:leftChars="50" w:right="105" w:rightChars="50" w:firstLine="480" w:firstLineChars="200"/>
        <w:jc w:val="left"/>
        <w:textAlignment w:val="auto"/>
        <w:rPr>
          <w:rStyle w:val="4"/>
          <w:rFonts w:hint="eastAsia" w:ascii="宋体" w:hAnsi="宋体" w:eastAsia="宋体" w:cs="宋体"/>
          <w:b w:val="0"/>
          <w:bCs w:val="0"/>
          <w:color w:val="auto"/>
          <w:sz w:val="24"/>
          <w:szCs w:val="24"/>
          <w:highlight w:val="none"/>
          <w:lang w:val="en-US" w:eastAsia="zh-CN"/>
        </w:rPr>
      </w:pPr>
      <w:r>
        <w:rPr>
          <w:rStyle w:val="4"/>
          <w:rFonts w:hint="eastAsia" w:ascii="宋体" w:hAnsi="宋体" w:eastAsia="宋体" w:cs="宋体"/>
          <w:b w:val="0"/>
          <w:bCs w:val="0"/>
          <w:color w:val="auto"/>
          <w:sz w:val="24"/>
          <w:szCs w:val="24"/>
          <w:highlight w:val="none"/>
          <w:lang w:val="en-US" w:eastAsia="zh-CN"/>
        </w:rPr>
        <w:t>13、本次项目必须在公安系统内完成检验工作，投标人不得将上述样本带出采购方指定的实验室区域。技术员不得将DNA样本及相关信息外泄，所有检验记录和检验结果均不能以任何形式带离实验室。否则，将视情节追究其法律责任。</w:t>
      </w:r>
    </w:p>
    <w:p>
      <w:pPr>
        <w:pStyle w:val="7"/>
        <w:widowControl/>
        <w:jc w:val="center"/>
        <w:rPr>
          <w:rStyle w:val="4"/>
          <w:rFonts w:hint="eastAsia" w:ascii="宋体" w:hAnsi="宋体" w:eastAsia="宋体" w:cs="宋体"/>
          <w:b/>
          <w:bCs/>
          <w:color w:val="auto"/>
          <w:spacing w:val="30"/>
          <w:kern w:val="0"/>
          <w:sz w:val="30"/>
          <w:szCs w:val="30"/>
          <w:highlight w:val="none"/>
        </w:rPr>
      </w:pPr>
      <w:r>
        <w:rPr>
          <w:rStyle w:val="4"/>
          <w:rFonts w:hint="eastAsia" w:ascii="宋体" w:hAnsi="宋体" w:eastAsia="宋体" w:cs="宋体"/>
          <w:b/>
          <w:bCs/>
          <w:color w:val="auto"/>
          <w:spacing w:val="30"/>
          <w:kern w:val="0"/>
          <w:sz w:val="30"/>
          <w:szCs w:val="30"/>
          <w:highlight w:val="none"/>
        </w:rPr>
        <w:t>第二节 商务要求</w:t>
      </w:r>
    </w:p>
    <w:p>
      <w:pPr>
        <w:pStyle w:val="7"/>
        <w:widowControl/>
        <w:jc w:val="left"/>
        <w:rPr>
          <w:rStyle w:val="4"/>
          <w:rFonts w:hint="eastAsia" w:ascii="宋体" w:hAnsi="宋体" w:eastAsia="宋体" w:cs="宋体"/>
          <w:color w:val="auto"/>
          <w:kern w:val="0"/>
          <w:sz w:val="24"/>
          <w:szCs w:val="24"/>
          <w:highlight w:val="none"/>
        </w:rPr>
      </w:pPr>
    </w:p>
    <w:p>
      <w:pPr>
        <w:pStyle w:val="7"/>
        <w:widowControl/>
        <w:spacing w:line="360" w:lineRule="auto"/>
        <w:rPr>
          <w:rStyle w:val="4"/>
          <w:rFonts w:hint="eastAsia" w:ascii="宋体" w:hAnsi="宋体" w:eastAsia="宋体" w:cs="宋体"/>
          <w:b/>
          <w:bCs/>
          <w:color w:val="auto"/>
          <w:kern w:val="0"/>
          <w:sz w:val="24"/>
          <w:szCs w:val="24"/>
          <w:highlight w:val="none"/>
        </w:rPr>
      </w:pPr>
      <w:r>
        <w:rPr>
          <w:rStyle w:val="4"/>
          <w:rFonts w:hint="eastAsia" w:ascii="宋体" w:hAnsi="宋体" w:eastAsia="宋体" w:cs="宋体"/>
          <w:b/>
          <w:bCs/>
          <w:color w:val="auto"/>
          <w:spacing w:val="30"/>
          <w:kern w:val="0"/>
          <w:sz w:val="24"/>
          <w:szCs w:val="24"/>
          <w:highlight w:val="none"/>
        </w:rPr>
        <w:t>一、主要商务要求</w:t>
      </w:r>
    </w:p>
    <w:tbl>
      <w:tblPr>
        <w:tblStyle w:val="3"/>
        <w:tblW w:w="8502" w:type="dxa"/>
        <w:tblInd w:w="1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4256"/>
        <w:gridCol w:w="424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680" w:hRule="atLeast"/>
        </w:trPr>
        <w:tc>
          <w:tcPr>
            <w:tcW w:w="4497" w:type="dxa"/>
            <w:noWrap w:val="0"/>
            <w:tcMar>
              <w:top w:w="0" w:type="dxa"/>
              <w:left w:w="108" w:type="dxa"/>
              <w:bottom w:w="0" w:type="dxa"/>
              <w:right w:w="108" w:type="dxa"/>
            </w:tcMar>
            <w:vAlign w:val="center"/>
          </w:tcPr>
          <w:p>
            <w:pPr>
              <w:pStyle w:val="7"/>
              <w:widowControl/>
              <w:jc w:val="center"/>
              <w:rPr>
                <w:rStyle w:val="4"/>
                <w:rFonts w:hint="eastAsia" w:ascii="宋体" w:hAnsi="宋体" w:eastAsia="宋体" w:cs="宋体"/>
                <w:color w:val="auto"/>
                <w:kern w:val="0"/>
                <w:sz w:val="24"/>
                <w:szCs w:val="24"/>
                <w:highlight w:val="none"/>
              </w:rPr>
            </w:pPr>
            <w:r>
              <w:rPr>
                <w:rStyle w:val="4"/>
                <w:rFonts w:hint="eastAsia" w:ascii="宋体" w:hAnsi="宋体" w:eastAsia="宋体" w:cs="宋体"/>
                <w:color w:val="auto"/>
                <w:kern w:val="0"/>
                <w:sz w:val="24"/>
                <w:szCs w:val="24"/>
                <w:highlight w:val="none"/>
              </w:rPr>
              <w:t>履行合同的时间、地点及方式</w:t>
            </w:r>
          </w:p>
        </w:tc>
        <w:tc>
          <w:tcPr>
            <w:tcW w:w="4487" w:type="dxa"/>
            <w:noWrap w:val="0"/>
            <w:tcMar>
              <w:top w:w="0" w:type="dxa"/>
              <w:left w:w="108" w:type="dxa"/>
              <w:bottom w:w="0" w:type="dxa"/>
              <w:right w:w="108" w:type="dxa"/>
            </w:tcMar>
            <w:vAlign w:val="center"/>
          </w:tcPr>
          <w:p>
            <w:pPr>
              <w:pStyle w:val="8"/>
              <w:widowControl/>
              <w:adjustRightInd w:val="0"/>
              <w:snapToGrid w:val="0"/>
              <w:spacing w:line="336" w:lineRule="auto"/>
              <w:jc w:val="left"/>
              <w:rPr>
                <w:rStyle w:val="4"/>
                <w:rFonts w:hint="eastAsia" w:ascii="宋体" w:hAnsi="宋体" w:eastAsia="宋体" w:cs="宋体"/>
                <w:color w:val="auto"/>
                <w:kern w:val="2"/>
                <w:sz w:val="24"/>
                <w:szCs w:val="24"/>
                <w:highlight w:val="none"/>
                <w:lang w:val="en-US" w:eastAsia="zh-CN" w:bidi="ar-SA"/>
              </w:rPr>
            </w:pPr>
            <w:r>
              <w:rPr>
                <w:rStyle w:val="9"/>
                <w:rFonts w:hint="eastAsia" w:ascii="宋体" w:hAnsi="宋体" w:eastAsia="宋体" w:cs="宋体"/>
                <w:color w:val="auto"/>
                <w:kern w:val="0"/>
                <w:sz w:val="24"/>
                <w:szCs w:val="24"/>
                <w:highlight w:val="none"/>
              </w:rPr>
              <w:t>交货时间：</w:t>
            </w:r>
            <w:r>
              <w:rPr>
                <w:rStyle w:val="4"/>
                <w:rFonts w:hint="eastAsia" w:ascii="宋体" w:hAnsi="宋体" w:eastAsia="宋体" w:cs="宋体"/>
                <w:color w:val="auto"/>
                <w:kern w:val="2"/>
                <w:sz w:val="24"/>
                <w:szCs w:val="24"/>
                <w:highlight w:val="none"/>
                <w:lang w:val="en-US" w:eastAsia="zh-CN" w:bidi="ar-SA"/>
              </w:rPr>
              <w:t>按采购人要求分批供货，供货通知送达之日起10个工作日内到货；采购人将在必要时要求中标人紧急供货，中标人应保证在接到供货需求后3天内送到采购人指定交货地点。进口试剂还应提供进口报关单及检验检疫证明。</w:t>
            </w:r>
          </w:p>
          <w:p>
            <w:pPr>
              <w:pStyle w:val="8"/>
              <w:widowControl/>
              <w:adjustRightInd w:val="0"/>
              <w:snapToGrid w:val="0"/>
              <w:spacing w:line="336" w:lineRule="auto"/>
              <w:jc w:val="left"/>
              <w:rPr>
                <w:rStyle w:val="9"/>
                <w:rFonts w:hint="eastAsia" w:ascii="宋体" w:hAnsi="宋体" w:eastAsia="宋体" w:cs="宋体"/>
                <w:color w:val="auto"/>
                <w:kern w:val="0"/>
                <w:sz w:val="24"/>
                <w:szCs w:val="24"/>
                <w:highlight w:val="none"/>
              </w:rPr>
            </w:pPr>
            <w:r>
              <w:rPr>
                <w:rStyle w:val="9"/>
                <w:rFonts w:hint="eastAsia" w:ascii="宋体" w:hAnsi="宋体" w:eastAsia="宋体" w:cs="宋体"/>
                <w:color w:val="auto"/>
                <w:kern w:val="0"/>
                <w:sz w:val="24"/>
                <w:szCs w:val="24"/>
                <w:highlight w:val="none"/>
              </w:rPr>
              <w:t>项目现场：</w:t>
            </w:r>
            <w:r>
              <w:rPr>
                <w:rStyle w:val="9"/>
                <w:rFonts w:hint="eastAsia" w:ascii="宋体" w:hAnsi="宋体" w:eastAsia="宋体" w:cs="宋体"/>
                <w:color w:val="auto"/>
                <w:kern w:val="0"/>
                <w:sz w:val="24"/>
                <w:szCs w:val="24"/>
                <w:highlight w:val="none"/>
                <w:lang w:eastAsia="zh-CN"/>
              </w:rPr>
              <w:t>衡阳市公安局</w:t>
            </w:r>
            <w:r>
              <w:rPr>
                <w:rStyle w:val="9"/>
                <w:rFonts w:hint="eastAsia" w:ascii="宋体" w:hAnsi="宋体" w:eastAsia="宋体" w:cs="宋体"/>
                <w:color w:val="auto"/>
                <w:kern w:val="0"/>
                <w:sz w:val="24"/>
                <w:szCs w:val="24"/>
                <w:highlight w:val="none"/>
              </w:rPr>
              <w:t>指定地址</w:t>
            </w:r>
          </w:p>
          <w:p>
            <w:pPr>
              <w:pStyle w:val="7"/>
              <w:widowControl/>
              <w:jc w:val="left"/>
              <w:rPr>
                <w:rStyle w:val="4"/>
                <w:rFonts w:hint="eastAsia" w:ascii="宋体" w:hAnsi="宋体" w:eastAsia="宋体" w:cs="宋体"/>
                <w:color w:val="auto"/>
                <w:kern w:val="0"/>
                <w:sz w:val="24"/>
                <w:szCs w:val="24"/>
                <w:highlight w:val="none"/>
              </w:rPr>
            </w:pPr>
            <w:r>
              <w:rPr>
                <w:rStyle w:val="9"/>
                <w:rFonts w:hint="eastAsia" w:ascii="宋体" w:hAnsi="宋体" w:eastAsia="宋体" w:cs="宋体"/>
                <w:color w:val="auto"/>
                <w:kern w:val="0"/>
                <w:sz w:val="24"/>
                <w:szCs w:val="24"/>
                <w:highlight w:val="none"/>
              </w:rPr>
              <w:t>交货方式：送货上门至指定地址</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2120" w:hRule="atLeast"/>
        </w:trPr>
        <w:tc>
          <w:tcPr>
            <w:tcW w:w="4497" w:type="dxa"/>
            <w:noWrap w:val="0"/>
            <w:tcMar>
              <w:top w:w="0" w:type="dxa"/>
              <w:left w:w="108" w:type="dxa"/>
              <w:bottom w:w="0" w:type="dxa"/>
              <w:right w:w="108" w:type="dxa"/>
            </w:tcMar>
            <w:vAlign w:val="center"/>
          </w:tcPr>
          <w:p>
            <w:pPr>
              <w:pStyle w:val="7"/>
              <w:widowControl/>
              <w:jc w:val="center"/>
              <w:rPr>
                <w:rStyle w:val="4"/>
                <w:rFonts w:hint="eastAsia" w:ascii="宋体" w:hAnsi="宋体" w:eastAsia="宋体" w:cs="宋体"/>
                <w:color w:val="auto"/>
                <w:kern w:val="0"/>
                <w:sz w:val="24"/>
                <w:szCs w:val="24"/>
                <w:highlight w:val="none"/>
              </w:rPr>
            </w:pPr>
            <w:r>
              <w:rPr>
                <w:rStyle w:val="4"/>
                <w:rFonts w:hint="eastAsia" w:ascii="宋体" w:hAnsi="宋体" w:eastAsia="宋体" w:cs="宋体"/>
                <w:color w:val="auto"/>
                <w:kern w:val="0"/>
                <w:sz w:val="24"/>
                <w:szCs w:val="24"/>
                <w:highlight w:val="none"/>
              </w:rPr>
              <w:t>质量保证期</w:t>
            </w:r>
          </w:p>
        </w:tc>
        <w:tc>
          <w:tcPr>
            <w:tcW w:w="4487" w:type="dxa"/>
            <w:noWrap w:val="0"/>
            <w:tcMar>
              <w:top w:w="0" w:type="dxa"/>
              <w:left w:w="108" w:type="dxa"/>
              <w:bottom w:w="0" w:type="dxa"/>
              <w:right w:w="108" w:type="dxa"/>
            </w:tcMar>
            <w:vAlign w:val="center"/>
          </w:tcPr>
          <w:p>
            <w:pPr>
              <w:pStyle w:val="7"/>
              <w:widowControl/>
              <w:jc w:val="left"/>
              <w:rPr>
                <w:rStyle w:val="9"/>
                <w:rFonts w:hint="eastAsia" w:ascii="宋体" w:hAnsi="宋体" w:eastAsia="宋体" w:cs="宋体"/>
                <w:color w:val="auto"/>
                <w:kern w:val="0"/>
                <w:sz w:val="24"/>
                <w:szCs w:val="24"/>
                <w:highlight w:val="none"/>
                <w:lang w:val="en-US" w:eastAsia="zh-CN"/>
              </w:rPr>
            </w:pPr>
            <w:r>
              <w:rPr>
                <w:rStyle w:val="9"/>
                <w:rFonts w:hint="eastAsia" w:ascii="宋体" w:hAnsi="宋体" w:eastAsia="宋体" w:cs="宋体"/>
                <w:color w:val="auto"/>
                <w:kern w:val="0"/>
                <w:sz w:val="24"/>
                <w:szCs w:val="24"/>
                <w:highlight w:val="none"/>
                <w:lang w:val="en-US" w:eastAsia="zh-CN"/>
              </w:rPr>
              <w:t>1、整体项目质保期要求一年,从验收合格之日起开始计算，货物清单及技术参数中另有规定的，按其规定。</w:t>
            </w:r>
          </w:p>
          <w:p>
            <w:pPr>
              <w:pStyle w:val="7"/>
              <w:widowControl/>
              <w:jc w:val="left"/>
              <w:rPr>
                <w:rStyle w:val="4"/>
                <w:rFonts w:hint="eastAsia" w:ascii="宋体" w:hAnsi="宋体" w:eastAsia="宋体" w:cs="宋体"/>
                <w:color w:val="auto"/>
                <w:kern w:val="0"/>
                <w:sz w:val="24"/>
                <w:szCs w:val="24"/>
                <w:highlight w:val="none"/>
              </w:rPr>
            </w:pPr>
            <w:r>
              <w:rPr>
                <w:rStyle w:val="9"/>
                <w:rFonts w:hint="eastAsia" w:ascii="宋体" w:hAnsi="宋体" w:eastAsia="宋体" w:cs="宋体"/>
                <w:color w:val="auto"/>
                <w:kern w:val="0"/>
                <w:sz w:val="24"/>
                <w:szCs w:val="24"/>
                <w:highlight w:val="none"/>
                <w:lang w:val="en-US" w:eastAsia="zh-CN"/>
              </w:rPr>
              <w:t>2、采购的试剂送达采购人要求地点后有效期≥10个月，全程冷链运输，温度符合试剂保存要求，有冷链运输记录。试剂中标人需免费提供实验所需的配套耗材。</w:t>
            </w:r>
            <w:r>
              <w:rPr>
                <w:rStyle w:val="9"/>
                <w:rFonts w:hint="eastAsia" w:ascii="宋体" w:hAnsi="宋体" w:eastAsia="宋体" w:cs="宋体"/>
                <w:color w:val="auto"/>
                <w:kern w:val="0"/>
                <w:sz w:val="24"/>
                <w:szCs w:val="24"/>
                <w:highlight w:val="none"/>
              </w:rPr>
              <w:t>如出现质量</w:t>
            </w:r>
            <w:r>
              <w:rPr>
                <w:rStyle w:val="9"/>
                <w:rFonts w:hint="eastAsia" w:ascii="宋体" w:hAnsi="宋体" w:eastAsia="宋体" w:cs="宋体"/>
                <w:color w:val="auto"/>
                <w:kern w:val="0"/>
                <w:sz w:val="24"/>
                <w:szCs w:val="24"/>
                <w:highlight w:val="none"/>
                <w:lang w:eastAsia="zh-CN"/>
              </w:rPr>
              <w:t>问题</w:t>
            </w:r>
            <w:r>
              <w:rPr>
                <w:rStyle w:val="9"/>
                <w:rFonts w:hint="eastAsia" w:ascii="宋体" w:hAnsi="宋体" w:eastAsia="宋体" w:cs="宋体"/>
                <w:color w:val="auto"/>
                <w:kern w:val="0"/>
                <w:sz w:val="24"/>
                <w:szCs w:val="24"/>
                <w:highlight w:val="none"/>
              </w:rPr>
              <w:t>由中标人包换或包退，引发的一切费用全部由中标人承担。</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489" w:hRule="atLeast"/>
        </w:trPr>
        <w:tc>
          <w:tcPr>
            <w:tcW w:w="4497" w:type="dxa"/>
            <w:noWrap w:val="0"/>
            <w:tcMar>
              <w:top w:w="0" w:type="dxa"/>
              <w:left w:w="108" w:type="dxa"/>
              <w:bottom w:w="0" w:type="dxa"/>
              <w:right w:w="108" w:type="dxa"/>
            </w:tcMar>
            <w:vAlign w:val="center"/>
          </w:tcPr>
          <w:p>
            <w:pPr>
              <w:pStyle w:val="7"/>
              <w:widowControl/>
              <w:jc w:val="center"/>
              <w:rPr>
                <w:rStyle w:val="4"/>
                <w:rFonts w:hint="eastAsia" w:ascii="宋体" w:hAnsi="宋体" w:eastAsia="宋体" w:cs="宋体"/>
                <w:color w:val="auto"/>
                <w:kern w:val="0"/>
                <w:sz w:val="24"/>
                <w:szCs w:val="24"/>
                <w:highlight w:val="none"/>
              </w:rPr>
            </w:pPr>
            <w:r>
              <w:rPr>
                <w:rStyle w:val="4"/>
                <w:rFonts w:hint="eastAsia" w:ascii="宋体" w:hAnsi="宋体" w:eastAsia="宋体" w:cs="宋体"/>
                <w:color w:val="auto"/>
                <w:kern w:val="0"/>
                <w:sz w:val="24"/>
                <w:szCs w:val="24"/>
                <w:highlight w:val="none"/>
              </w:rPr>
              <w:t>响应时间</w:t>
            </w:r>
          </w:p>
        </w:tc>
        <w:tc>
          <w:tcPr>
            <w:tcW w:w="4487" w:type="dxa"/>
            <w:noWrap w:val="0"/>
            <w:tcMar>
              <w:top w:w="0" w:type="dxa"/>
              <w:left w:w="108" w:type="dxa"/>
              <w:bottom w:w="0" w:type="dxa"/>
              <w:right w:w="108" w:type="dxa"/>
            </w:tcMar>
            <w:vAlign w:val="center"/>
          </w:tcPr>
          <w:p>
            <w:pPr>
              <w:pStyle w:val="7"/>
              <w:widowControl/>
              <w:jc w:val="left"/>
              <w:rPr>
                <w:rStyle w:val="4"/>
                <w:rFonts w:hint="eastAsia" w:ascii="宋体" w:hAnsi="宋体" w:eastAsia="宋体" w:cs="宋体"/>
                <w:color w:val="auto"/>
                <w:kern w:val="0"/>
                <w:sz w:val="24"/>
                <w:szCs w:val="24"/>
                <w:highlight w:val="none"/>
              </w:rPr>
            </w:pPr>
            <w:r>
              <w:rPr>
                <w:rStyle w:val="4"/>
                <w:rFonts w:hint="eastAsia" w:ascii="宋体" w:hAnsi="宋体" w:eastAsia="宋体" w:cs="宋体"/>
                <w:color w:val="auto"/>
                <w:kern w:val="0"/>
                <w:sz w:val="24"/>
                <w:szCs w:val="24"/>
                <w:highlight w:val="none"/>
                <w:lang w:val="en-US" w:eastAsia="zh-CN" w:bidi="ar"/>
              </w:rPr>
              <w:t>实时响应</w:t>
            </w:r>
            <w:r>
              <w:rPr>
                <w:rStyle w:val="9"/>
                <w:rFonts w:hint="eastAsia" w:ascii="宋体" w:hAnsi="宋体" w:eastAsia="宋体" w:cs="宋体"/>
                <w:color w:val="auto"/>
                <w:kern w:val="0"/>
                <w:sz w:val="24"/>
                <w:szCs w:val="24"/>
                <w:highlight w:val="none"/>
                <w:lang w:val="en-US" w:eastAsia="zh-CN" w:bidi="ar-SA"/>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165" w:hRule="atLeast"/>
        </w:trPr>
        <w:tc>
          <w:tcPr>
            <w:tcW w:w="4497" w:type="dxa"/>
            <w:noWrap w:val="0"/>
            <w:tcMar>
              <w:top w:w="0" w:type="dxa"/>
              <w:left w:w="108" w:type="dxa"/>
              <w:bottom w:w="0" w:type="dxa"/>
              <w:right w:w="108" w:type="dxa"/>
            </w:tcMar>
            <w:vAlign w:val="center"/>
          </w:tcPr>
          <w:p>
            <w:pPr>
              <w:pStyle w:val="7"/>
              <w:widowControl/>
              <w:jc w:val="center"/>
              <w:rPr>
                <w:rStyle w:val="4"/>
                <w:rFonts w:hint="eastAsia" w:ascii="宋体" w:hAnsi="宋体" w:eastAsia="宋体" w:cs="宋体"/>
                <w:color w:val="auto"/>
                <w:kern w:val="0"/>
                <w:sz w:val="24"/>
                <w:szCs w:val="24"/>
                <w:highlight w:val="none"/>
              </w:rPr>
            </w:pPr>
            <w:r>
              <w:rPr>
                <w:rStyle w:val="4"/>
                <w:rFonts w:hint="eastAsia" w:ascii="宋体" w:hAnsi="宋体" w:eastAsia="宋体" w:cs="宋体"/>
                <w:color w:val="auto"/>
                <w:kern w:val="0"/>
                <w:sz w:val="24"/>
                <w:szCs w:val="24"/>
                <w:highlight w:val="none"/>
              </w:rPr>
              <w:t>合同价款支付方式和条件</w:t>
            </w:r>
          </w:p>
        </w:tc>
        <w:tc>
          <w:tcPr>
            <w:tcW w:w="4487" w:type="dxa"/>
            <w:noWrap w:val="0"/>
            <w:tcMar>
              <w:top w:w="0" w:type="dxa"/>
              <w:left w:w="108" w:type="dxa"/>
              <w:bottom w:w="0" w:type="dxa"/>
              <w:right w:w="108" w:type="dxa"/>
            </w:tcMar>
            <w:vAlign w:val="center"/>
          </w:tcPr>
          <w:p>
            <w:pPr>
              <w:pStyle w:val="10"/>
              <w:keepNext w:val="0"/>
              <w:keepLines w:val="0"/>
              <w:widowControl/>
              <w:suppressLineNumbers w:val="0"/>
              <w:jc w:val="both"/>
              <w:rPr>
                <w:rStyle w:val="4"/>
                <w:rFonts w:hint="eastAsia" w:ascii="宋体" w:hAnsi="宋体" w:eastAsia="宋体" w:cs="宋体"/>
                <w:color w:val="auto"/>
                <w:kern w:val="0"/>
                <w:sz w:val="24"/>
                <w:szCs w:val="24"/>
                <w:highlight w:val="none"/>
                <w:lang w:val="en-US" w:eastAsia="zh-CN" w:bidi="ar"/>
              </w:rPr>
            </w:pPr>
            <w:r>
              <w:rPr>
                <w:rStyle w:val="4"/>
                <w:rFonts w:hint="eastAsia" w:ascii="宋体" w:hAnsi="宋体" w:eastAsia="宋体" w:cs="宋体"/>
                <w:color w:val="auto"/>
                <w:kern w:val="0"/>
                <w:sz w:val="24"/>
                <w:szCs w:val="24"/>
                <w:highlight w:val="none"/>
                <w:lang w:val="en-US" w:eastAsia="zh-CN" w:bidi="ar"/>
              </w:rPr>
              <w:t>支付方式：由衡阳市公安局支付。</w:t>
            </w:r>
          </w:p>
          <w:p>
            <w:pPr>
              <w:pStyle w:val="10"/>
              <w:keepNext w:val="0"/>
              <w:keepLines w:val="0"/>
              <w:widowControl/>
              <w:suppressLineNumbers w:val="0"/>
              <w:jc w:val="both"/>
              <w:rPr>
                <w:rStyle w:val="4"/>
                <w:rFonts w:hint="eastAsia" w:ascii="宋体" w:hAnsi="宋体" w:eastAsia="宋体" w:cs="宋体"/>
                <w:color w:val="auto"/>
                <w:kern w:val="0"/>
                <w:sz w:val="24"/>
                <w:szCs w:val="24"/>
                <w:highlight w:val="none"/>
                <w:lang w:val="en-US" w:eastAsia="zh-CN" w:bidi="ar"/>
              </w:rPr>
            </w:pPr>
            <w:r>
              <w:rPr>
                <w:rStyle w:val="4"/>
                <w:rFonts w:hint="eastAsia" w:ascii="宋体" w:hAnsi="宋体" w:eastAsia="宋体" w:cs="宋体"/>
                <w:color w:val="auto"/>
                <w:kern w:val="0"/>
                <w:sz w:val="24"/>
                <w:szCs w:val="24"/>
                <w:highlight w:val="none"/>
                <w:lang w:val="en-US" w:eastAsia="zh-CN" w:bidi="ar"/>
              </w:rPr>
              <w:t>支付条件：经采购人验收合格后，按实际交货数量支付货款，具体支付方式双方合同约定。</w:t>
            </w:r>
          </w:p>
          <w:p>
            <w:pPr>
              <w:pStyle w:val="7"/>
              <w:widowControl/>
              <w:jc w:val="left"/>
              <w:rPr>
                <w:rStyle w:val="4"/>
                <w:rFonts w:hint="eastAsia" w:ascii="宋体" w:hAnsi="宋体" w:eastAsia="宋体" w:cs="宋体"/>
                <w:color w:val="auto"/>
                <w:kern w:val="0"/>
                <w:sz w:val="24"/>
                <w:szCs w:val="24"/>
                <w:highlight w:val="none"/>
              </w:rPr>
            </w:pPr>
            <w:r>
              <w:rPr>
                <w:rStyle w:val="4"/>
                <w:rFonts w:hint="eastAsia" w:ascii="宋体" w:hAnsi="宋体" w:eastAsia="宋体" w:cs="宋体"/>
                <w:color w:val="auto"/>
                <w:kern w:val="0"/>
                <w:sz w:val="24"/>
                <w:szCs w:val="24"/>
                <w:highlight w:val="none"/>
                <w:lang w:val="en-US" w:eastAsia="zh-CN" w:bidi="ar"/>
              </w:rPr>
              <w:t>本项目采用费用包干方式服务，投标人应根据项目要求和现场情况，详细列明项目所需的人力、物力、财力等，以及所有人工、管理、财务等所有费用，如一旦中标，在服务过程中出现任何遗漏，均由中标人免费提供，采购人不再支付任何费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680" w:hRule="atLeast"/>
        </w:trPr>
        <w:tc>
          <w:tcPr>
            <w:tcW w:w="4497" w:type="dxa"/>
            <w:noWrap w:val="0"/>
            <w:tcMar>
              <w:top w:w="0" w:type="dxa"/>
              <w:left w:w="108" w:type="dxa"/>
              <w:bottom w:w="0" w:type="dxa"/>
              <w:right w:w="108" w:type="dxa"/>
            </w:tcMar>
            <w:vAlign w:val="center"/>
          </w:tcPr>
          <w:p>
            <w:pPr>
              <w:pStyle w:val="7"/>
              <w:widowControl/>
              <w:spacing w:before="210" w:after="210" w:line="360" w:lineRule="auto"/>
              <w:jc w:val="center"/>
              <w:rPr>
                <w:rStyle w:val="4"/>
                <w:rFonts w:hint="eastAsia" w:ascii="宋体" w:hAnsi="宋体" w:eastAsia="宋体" w:cs="宋体"/>
                <w:color w:val="auto"/>
                <w:kern w:val="0"/>
                <w:sz w:val="24"/>
                <w:szCs w:val="24"/>
                <w:highlight w:val="none"/>
              </w:rPr>
            </w:pPr>
            <w:r>
              <w:rPr>
                <w:rStyle w:val="4"/>
                <w:rFonts w:hint="eastAsia" w:ascii="宋体" w:hAnsi="宋体" w:eastAsia="宋体" w:cs="宋体"/>
                <w:color w:val="auto"/>
                <w:spacing w:val="30"/>
                <w:kern w:val="0"/>
                <w:sz w:val="24"/>
                <w:szCs w:val="24"/>
                <w:highlight w:val="none"/>
              </w:rPr>
              <w:t>解决争议的方式</w:t>
            </w:r>
          </w:p>
        </w:tc>
        <w:tc>
          <w:tcPr>
            <w:tcW w:w="4487" w:type="dxa"/>
            <w:noWrap w:val="0"/>
            <w:tcMar>
              <w:top w:w="0" w:type="dxa"/>
              <w:left w:w="108" w:type="dxa"/>
              <w:bottom w:w="0" w:type="dxa"/>
              <w:right w:w="108" w:type="dxa"/>
            </w:tcMar>
            <w:vAlign w:val="center"/>
          </w:tcPr>
          <w:p>
            <w:pPr>
              <w:pStyle w:val="7"/>
              <w:widowControl/>
              <w:spacing w:before="210" w:after="210" w:line="360" w:lineRule="auto"/>
              <w:jc w:val="left"/>
              <w:rPr>
                <w:rStyle w:val="4"/>
                <w:rFonts w:hint="eastAsia" w:ascii="宋体" w:hAnsi="宋体" w:eastAsia="宋体" w:cs="宋体"/>
                <w:color w:val="auto"/>
                <w:kern w:val="0"/>
                <w:sz w:val="24"/>
                <w:szCs w:val="24"/>
                <w:highlight w:val="none"/>
              </w:rPr>
            </w:pPr>
            <w:r>
              <w:rPr>
                <w:rStyle w:val="4"/>
                <w:rFonts w:hint="eastAsia" w:ascii="宋体" w:hAnsi="宋体" w:eastAsia="宋体" w:cs="宋体"/>
                <w:bCs/>
                <w:color w:val="auto"/>
                <w:kern w:val="0"/>
                <w:sz w:val="24"/>
                <w:szCs w:val="24"/>
                <w:highlight w:val="none"/>
              </w:rPr>
              <w:t>□</w:t>
            </w:r>
            <w:r>
              <w:rPr>
                <w:rStyle w:val="4"/>
                <w:rFonts w:hint="eastAsia" w:ascii="宋体" w:hAnsi="宋体" w:eastAsia="宋体" w:cs="宋体"/>
                <w:color w:val="auto"/>
                <w:sz w:val="24"/>
                <w:szCs w:val="24"/>
                <w:highlight w:val="none"/>
              </w:rPr>
              <w:t xml:space="preserve">仲裁  </w:t>
            </w:r>
            <w:r>
              <w:rPr>
                <w:rStyle w:val="4"/>
                <w:rFonts w:hint="eastAsia" w:ascii="宋体" w:hAnsi="宋体" w:eastAsia="宋体" w:cs="宋体"/>
                <w:bCs/>
                <w:color w:val="auto"/>
                <w:kern w:val="0"/>
                <w:sz w:val="24"/>
                <w:szCs w:val="24"/>
                <w:highlight w:val="none"/>
                <w:lang w:eastAsia="zh-CN"/>
              </w:rPr>
              <w:t>☑</w:t>
            </w:r>
            <w:r>
              <w:rPr>
                <w:rStyle w:val="4"/>
                <w:rFonts w:hint="eastAsia" w:ascii="宋体" w:hAnsi="宋体" w:eastAsia="宋体" w:cs="宋体"/>
                <w:color w:val="auto"/>
                <w:sz w:val="24"/>
                <w:szCs w:val="24"/>
                <w:highlight w:val="none"/>
              </w:rPr>
              <w:t>诉讼</w:t>
            </w:r>
          </w:p>
        </w:tc>
      </w:tr>
    </w:tbl>
    <w:p>
      <w:pPr>
        <w:pStyle w:val="7"/>
        <w:widowControl/>
        <w:spacing w:line="360" w:lineRule="auto"/>
        <w:ind w:firstLine="600" w:firstLineChars="200"/>
        <w:jc w:val="left"/>
        <w:rPr>
          <w:rStyle w:val="4"/>
          <w:rFonts w:hint="eastAsia" w:ascii="宋体" w:hAnsi="宋体" w:eastAsia="宋体" w:cs="宋体"/>
          <w:color w:val="auto"/>
          <w:spacing w:val="30"/>
          <w:kern w:val="0"/>
          <w:sz w:val="24"/>
          <w:szCs w:val="24"/>
          <w:highlight w:val="none"/>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firstLine="482" w:firstLineChars="200"/>
        <w:textAlignment w:val="auto"/>
        <w:rPr>
          <w:rStyle w:val="4"/>
          <w:rFonts w:hint="eastAsia" w:ascii="宋体" w:hAnsi="宋体" w:eastAsia="宋体" w:cs="宋体"/>
          <w:b w:val="0"/>
          <w:bCs/>
          <w:color w:val="auto"/>
          <w:sz w:val="24"/>
          <w:highlight w:val="none"/>
          <w:lang w:val="en-US" w:eastAsia="zh-CN"/>
        </w:rPr>
      </w:pPr>
      <w:r>
        <w:rPr>
          <w:rStyle w:val="4"/>
          <w:rFonts w:hint="eastAsia" w:ascii="宋体" w:hAnsi="宋体" w:eastAsia="宋体" w:cs="宋体"/>
          <w:b/>
          <w:bCs w:val="0"/>
          <w:color w:val="auto"/>
          <w:sz w:val="24"/>
          <w:highlight w:val="none"/>
          <w:lang w:val="en-US" w:eastAsia="zh-CN"/>
        </w:rPr>
        <w:t>二、配送基本要求</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eastAsia="zh-CN"/>
        </w:rPr>
        <w:t>1、配送由供应商负责。每次配送的时间和数量以采购人的采购计划为准。</w:t>
      </w:r>
      <w:r>
        <w:rPr>
          <w:rStyle w:val="4"/>
          <w:rFonts w:hint="eastAsia" w:ascii="宋体" w:hAnsi="宋体" w:eastAsia="宋体" w:cs="宋体"/>
          <w:color w:val="auto"/>
          <w:sz w:val="24"/>
          <w:szCs w:val="24"/>
          <w:highlight w:val="none"/>
          <w:lang w:eastAsia="zh-CN"/>
        </w:rPr>
        <w:t>所有耗材</w:t>
      </w:r>
      <w:r>
        <w:rPr>
          <w:rStyle w:val="4"/>
          <w:rFonts w:hint="eastAsia" w:ascii="宋体" w:hAnsi="宋体" w:eastAsia="宋体" w:cs="宋体"/>
          <w:b w:val="0"/>
          <w:bCs/>
          <w:color w:val="auto"/>
          <w:sz w:val="24"/>
          <w:highlight w:val="none"/>
          <w:lang w:eastAsia="zh-CN"/>
        </w:rPr>
        <w:t>的配送地点，以采购人要求的送货地点为准，节假日照常配送。</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eastAsia="zh-CN"/>
        </w:rPr>
        <w:t>2、供应商负责安排运输，并承担产品在运输过程中毁损等风险，运输费由供应商负担。</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eastAsia="zh-CN"/>
        </w:rPr>
        <w:t>3、如果上述情况没有按照采购人要求及时送达的，所产生的一切后果将由供应商负责，</w:t>
      </w:r>
      <w:r>
        <w:rPr>
          <w:rStyle w:val="4"/>
          <w:rFonts w:hint="eastAsia" w:ascii="宋体" w:hAnsi="宋体" w:eastAsia="宋体" w:cs="宋体"/>
          <w:b w:val="0"/>
          <w:bCs/>
          <w:color w:val="auto"/>
          <w:sz w:val="24"/>
          <w:highlight w:val="none"/>
          <w:lang w:val="en-US" w:eastAsia="zh-CN"/>
        </w:rPr>
        <w:t>如造成不良后果，采购人可以终止合同，供应商对此不持异议</w:t>
      </w:r>
      <w:r>
        <w:rPr>
          <w:rStyle w:val="4"/>
          <w:rFonts w:hint="eastAsia" w:ascii="宋体" w:hAnsi="宋体" w:eastAsia="宋体" w:cs="宋体"/>
          <w:b w:val="0"/>
          <w:bCs/>
          <w:color w:val="auto"/>
          <w:sz w:val="24"/>
          <w:highlight w:val="none"/>
          <w:lang w:eastAsia="zh-CN"/>
        </w:rPr>
        <w:t>。</w:t>
      </w:r>
    </w:p>
    <w:p>
      <w:pPr>
        <w:pStyle w:val="7"/>
        <w:keepNext w:val="0"/>
        <w:keepLines w:val="0"/>
        <w:pageBreakBefore w:val="0"/>
        <w:widowControl w:val="0"/>
        <w:kinsoku/>
        <w:wordWrap/>
        <w:overflowPunct/>
        <w:topLinePunct w:val="0"/>
        <w:autoSpaceDE/>
        <w:autoSpaceDN/>
        <w:bidi w:val="0"/>
        <w:spacing w:line="480" w:lineRule="exact"/>
        <w:ind w:left="0" w:firstLine="482"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bCs w:val="0"/>
          <w:color w:val="auto"/>
          <w:sz w:val="24"/>
          <w:highlight w:val="none"/>
          <w:lang w:val="en-US" w:eastAsia="zh-CN"/>
        </w:rPr>
        <w:t>三</w:t>
      </w:r>
      <w:r>
        <w:rPr>
          <w:rStyle w:val="4"/>
          <w:rFonts w:hint="eastAsia" w:ascii="宋体" w:hAnsi="宋体" w:eastAsia="宋体" w:cs="宋体"/>
          <w:b/>
          <w:bCs w:val="0"/>
          <w:color w:val="auto"/>
          <w:sz w:val="24"/>
          <w:highlight w:val="none"/>
          <w:lang w:eastAsia="zh-CN"/>
        </w:rPr>
        <w:t>、产品质量保证及检验</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eastAsia="zh-CN"/>
        </w:rPr>
        <w:t>货物送达采购人指定地点后：</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eastAsia="zh-CN"/>
        </w:rPr>
        <w:t>1、按合同交付的产品质量应符合国家承认的相应标准，并与投标时承诺的质量相一致，以确保临床使用安全有效。</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eastAsia="zh-CN"/>
        </w:rPr>
        <w:t>2、供应商所提供的必须是其合法生产或代理的合格产品，并能够按照合同规定的商标、产地、质量、价格、有效期及时供货。如果采购人确认需要进行产品质量检验，供应商须同意进行产品质量检验，或者通过检验证明产品存在质量问题，则进行产品质量检验的费用由供应商承担。检验在供应商交货的最终目的地进行。</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eastAsia="zh-CN"/>
        </w:rPr>
        <w:t>3、产品包装上（包括大包装、小包装等），必须按照国家相关规定附有名称、批号、</w:t>
      </w:r>
      <w:r>
        <w:rPr>
          <w:rStyle w:val="4"/>
          <w:rFonts w:hint="eastAsia" w:ascii="宋体" w:hAnsi="宋体" w:eastAsia="宋体" w:cs="宋体"/>
          <w:b w:val="0"/>
          <w:bCs/>
          <w:color w:val="auto"/>
          <w:sz w:val="24"/>
          <w:highlight w:val="none"/>
          <w:lang w:val="en-US" w:eastAsia="zh-CN"/>
        </w:rPr>
        <w:t>生产厂家</w:t>
      </w:r>
      <w:r>
        <w:rPr>
          <w:rStyle w:val="4"/>
          <w:rFonts w:hint="eastAsia" w:ascii="宋体" w:hAnsi="宋体" w:eastAsia="宋体" w:cs="宋体"/>
          <w:b w:val="0"/>
          <w:bCs/>
          <w:color w:val="auto"/>
          <w:sz w:val="24"/>
          <w:highlight w:val="none"/>
          <w:lang w:eastAsia="zh-CN"/>
        </w:rPr>
        <w:t>、规格型号、</w:t>
      </w:r>
      <w:r>
        <w:rPr>
          <w:rStyle w:val="4"/>
          <w:rFonts w:hint="eastAsia" w:ascii="宋体" w:hAnsi="宋体" w:eastAsia="宋体" w:cs="宋体"/>
          <w:b w:val="0"/>
          <w:bCs/>
          <w:color w:val="auto"/>
          <w:sz w:val="24"/>
          <w:highlight w:val="none"/>
          <w:lang w:val="en-US" w:eastAsia="zh-CN"/>
        </w:rPr>
        <w:t>使用期限</w:t>
      </w:r>
      <w:r>
        <w:rPr>
          <w:rStyle w:val="4"/>
          <w:rFonts w:hint="eastAsia" w:ascii="宋体" w:hAnsi="宋体" w:eastAsia="宋体" w:cs="宋体"/>
          <w:b w:val="0"/>
          <w:bCs/>
          <w:color w:val="auto"/>
          <w:sz w:val="24"/>
          <w:highlight w:val="none"/>
          <w:lang w:eastAsia="zh-CN"/>
        </w:rPr>
        <w:t>等中文标识。采购人在接收产品时，应对产品进行验货确认，对不符合合同质量、数量、包装、标识、运输条件等要求的，采购人有权拒绝接受。供应商应及时提供合格的产品，不得影响采购人的临床使用。</w:t>
      </w:r>
      <w:r>
        <w:rPr>
          <w:rStyle w:val="4"/>
          <w:rFonts w:hint="eastAsia" w:ascii="宋体" w:hAnsi="宋体" w:eastAsia="宋体" w:cs="宋体"/>
          <w:b w:val="0"/>
          <w:bCs/>
          <w:color w:val="auto"/>
          <w:sz w:val="24"/>
          <w:highlight w:val="none"/>
          <w:lang w:val="en-US" w:eastAsia="zh-CN"/>
        </w:rPr>
        <w:t>如果因上述原因</w:t>
      </w:r>
      <w:r>
        <w:rPr>
          <w:rStyle w:val="4"/>
          <w:rFonts w:hint="eastAsia" w:ascii="宋体" w:hAnsi="宋体" w:eastAsia="宋体" w:cs="宋体"/>
          <w:b w:val="0"/>
          <w:bCs/>
          <w:color w:val="auto"/>
          <w:sz w:val="24"/>
          <w:highlight w:val="none"/>
          <w:lang w:eastAsia="zh-CN"/>
        </w:rPr>
        <w:t>给</w:t>
      </w:r>
      <w:r>
        <w:rPr>
          <w:rStyle w:val="4"/>
          <w:rFonts w:hint="eastAsia" w:ascii="宋体" w:hAnsi="宋体" w:eastAsia="宋体" w:cs="宋体"/>
          <w:b w:val="0"/>
          <w:bCs/>
          <w:color w:val="auto"/>
          <w:sz w:val="24"/>
          <w:highlight w:val="none"/>
          <w:lang w:val="en-US" w:eastAsia="zh-CN"/>
        </w:rPr>
        <w:t>采购人</w:t>
      </w:r>
      <w:r>
        <w:rPr>
          <w:rStyle w:val="4"/>
          <w:rFonts w:hint="eastAsia" w:ascii="宋体" w:hAnsi="宋体" w:eastAsia="宋体" w:cs="宋体"/>
          <w:b w:val="0"/>
          <w:bCs/>
          <w:color w:val="auto"/>
          <w:sz w:val="24"/>
          <w:highlight w:val="none"/>
          <w:lang w:eastAsia="zh-CN"/>
        </w:rPr>
        <w:t>造成的损失，供应商应承担损害赔偿责任。</w:t>
      </w:r>
    </w:p>
    <w:p>
      <w:pPr>
        <w:pStyle w:val="7"/>
        <w:keepNext w:val="0"/>
        <w:keepLines w:val="0"/>
        <w:pageBreakBefore w:val="0"/>
        <w:widowControl w:val="0"/>
        <w:kinsoku/>
        <w:wordWrap/>
        <w:overflowPunct/>
        <w:topLinePunct w:val="0"/>
        <w:autoSpaceDE/>
        <w:autoSpaceDN/>
        <w:bidi w:val="0"/>
        <w:spacing w:line="480" w:lineRule="exact"/>
        <w:ind w:left="0" w:firstLine="482"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bCs w:val="0"/>
          <w:color w:val="auto"/>
          <w:sz w:val="24"/>
          <w:highlight w:val="none"/>
          <w:lang w:val="en-US" w:eastAsia="zh-CN"/>
        </w:rPr>
        <w:t>四</w:t>
      </w:r>
      <w:r>
        <w:rPr>
          <w:rStyle w:val="4"/>
          <w:rFonts w:hint="eastAsia" w:ascii="宋体" w:hAnsi="宋体" w:eastAsia="宋体" w:cs="宋体"/>
          <w:b/>
          <w:bCs w:val="0"/>
          <w:color w:val="auto"/>
          <w:sz w:val="24"/>
          <w:highlight w:val="none"/>
          <w:lang w:eastAsia="zh-CN"/>
        </w:rPr>
        <w:t>、交货及培训</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eastAsia="zh-CN"/>
        </w:rPr>
        <w:t>1、交货方式一般采用现场交货方式，其它交货方式在合同特殊条款中规定。现场交货的方式由供应商负责办理运输和保险，将货物运抵采购人现场。有关运输和保险的一切费用由供应商承担。</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eastAsia="zh-CN"/>
        </w:rPr>
        <w:t>2、供应商负责产品的现场搬运或入库，有关一切费用由供应商承担。</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val="en-US" w:eastAsia="zh-CN"/>
        </w:rPr>
        <w:t>3</w:t>
      </w:r>
      <w:r>
        <w:rPr>
          <w:rStyle w:val="4"/>
          <w:rFonts w:hint="eastAsia" w:ascii="宋体" w:hAnsi="宋体" w:eastAsia="宋体" w:cs="宋体"/>
          <w:b w:val="0"/>
          <w:bCs/>
          <w:color w:val="auto"/>
          <w:sz w:val="24"/>
          <w:highlight w:val="none"/>
          <w:lang w:eastAsia="zh-CN"/>
        </w:rPr>
        <w:t>、</w:t>
      </w:r>
      <w:r>
        <w:rPr>
          <w:rStyle w:val="4"/>
          <w:rFonts w:hint="eastAsia" w:ascii="宋体" w:hAnsi="宋体" w:eastAsia="宋体" w:cs="宋体"/>
          <w:b w:val="0"/>
          <w:bCs w:val="0"/>
          <w:color w:val="auto"/>
          <w:kern w:val="2"/>
          <w:sz w:val="24"/>
          <w:szCs w:val="24"/>
          <w:highlight w:val="none"/>
          <w:lang w:val="en-US" w:eastAsia="zh-CN" w:bidi="ar-SA"/>
        </w:rPr>
        <w:t>对开箱时发现的破损、有效期小于10个月的产品或其它不合格产品供应商应无条件及时更换。</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val="en-US" w:eastAsia="zh-CN"/>
        </w:rPr>
        <w:t>4</w:t>
      </w:r>
      <w:r>
        <w:rPr>
          <w:rStyle w:val="4"/>
          <w:rFonts w:hint="eastAsia" w:ascii="宋体" w:hAnsi="宋体" w:eastAsia="宋体" w:cs="宋体"/>
          <w:b w:val="0"/>
          <w:bCs/>
          <w:color w:val="auto"/>
          <w:sz w:val="24"/>
          <w:highlight w:val="none"/>
          <w:lang w:eastAsia="zh-CN"/>
        </w:rPr>
        <w:t>、在采购人指定地点为所供产品的应用进行现场讲解或培训。</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val="en-US" w:eastAsia="zh-CN"/>
        </w:rPr>
        <w:t>5</w:t>
      </w:r>
      <w:r>
        <w:rPr>
          <w:rStyle w:val="4"/>
          <w:rFonts w:hint="eastAsia" w:ascii="宋体" w:hAnsi="宋体" w:eastAsia="宋体" w:cs="宋体"/>
          <w:b w:val="0"/>
          <w:bCs/>
          <w:color w:val="auto"/>
          <w:sz w:val="24"/>
          <w:highlight w:val="none"/>
          <w:lang w:eastAsia="zh-CN"/>
        </w:rPr>
        <w:t>、供应商应具备解决紧急问题的能力，如采购人在使用货物的过程中发现问题，供应商应及时到采购人现场解决。</w:t>
      </w:r>
    </w:p>
    <w:p>
      <w:pPr>
        <w:pStyle w:val="7"/>
        <w:keepNext w:val="0"/>
        <w:keepLines w:val="0"/>
        <w:pageBreakBefore w:val="0"/>
        <w:widowControl w:val="0"/>
        <w:kinsoku/>
        <w:wordWrap/>
        <w:overflowPunct/>
        <w:topLinePunct w:val="0"/>
        <w:autoSpaceDE/>
        <w:autoSpaceDN/>
        <w:bidi w:val="0"/>
        <w:spacing w:line="480" w:lineRule="exact"/>
        <w:ind w:left="0" w:firstLine="482" w:firstLineChars="200"/>
        <w:textAlignment w:val="auto"/>
        <w:rPr>
          <w:rStyle w:val="4"/>
          <w:rFonts w:hint="eastAsia" w:ascii="宋体" w:hAnsi="宋体" w:eastAsia="宋体" w:cs="宋体"/>
          <w:b/>
          <w:bCs w:val="0"/>
          <w:color w:val="auto"/>
          <w:sz w:val="24"/>
          <w:highlight w:val="none"/>
          <w:lang w:val="en-US" w:eastAsia="zh-CN"/>
        </w:rPr>
      </w:pPr>
      <w:r>
        <w:rPr>
          <w:rStyle w:val="4"/>
          <w:rFonts w:hint="eastAsia" w:ascii="宋体" w:hAnsi="宋体" w:eastAsia="宋体" w:cs="宋体"/>
          <w:b/>
          <w:bCs w:val="0"/>
          <w:color w:val="auto"/>
          <w:sz w:val="24"/>
          <w:highlight w:val="none"/>
          <w:lang w:val="en-US" w:eastAsia="zh-CN"/>
        </w:rPr>
        <w:t>五、其他事项说明</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Style w:val="4"/>
          <w:rFonts w:hint="eastAsia" w:ascii="宋体" w:hAnsi="宋体" w:eastAsia="宋体" w:cs="宋体"/>
          <w:b w:val="0"/>
          <w:bCs/>
          <w:color w:val="auto"/>
          <w:kern w:val="2"/>
          <w:sz w:val="24"/>
          <w:szCs w:val="24"/>
          <w:highlight w:val="none"/>
          <w:lang w:val="en-US" w:eastAsia="zh-CN" w:bidi="ar-SA"/>
        </w:rPr>
      </w:pPr>
      <w:r>
        <w:rPr>
          <w:rStyle w:val="4"/>
          <w:rFonts w:hint="eastAsia" w:ascii="宋体" w:hAnsi="宋体" w:eastAsia="宋体" w:cs="宋体"/>
          <w:b w:val="0"/>
          <w:bCs/>
          <w:color w:val="auto"/>
          <w:kern w:val="2"/>
          <w:sz w:val="24"/>
          <w:szCs w:val="24"/>
          <w:highlight w:val="none"/>
          <w:lang w:val="en-US" w:eastAsia="zh-CN" w:bidi="ar-SA"/>
        </w:rPr>
        <w:t>1、储备一定</w:t>
      </w:r>
      <w:r>
        <w:rPr>
          <w:rStyle w:val="4"/>
          <w:rFonts w:hint="eastAsia" w:ascii="宋体" w:hAnsi="宋体" w:eastAsia="宋体" w:cs="宋体"/>
          <w:color w:val="auto"/>
          <w:sz w:val="24"/>
          <w:szCs w:val="24"/>
          <w:highlight w:val="none"/>
          <w:lang w:eastAsia="zh-CN"/>
        </w:rPr>
        <w:t>试剂或耗材</w:t>
      </w:r>
      <w:r>
        <w:rPr>
          <w:rStyle w:val="4"/>
          <w:rFonts w:hint="eastAsia" w:ascii="宋体" w:hAnsi="宋体" w:eastAsia="宋体" w:cs="宋体"/>
          <w:b w:val="0"/>
          <w:bCs/>
          <w:color w:val="auto"/>
          <w:kern w:val="2"/>
          <w:sz w:val="24"/>
          <w:szCs w:val="24"/>
          <w:highlight w:val="none"/>
          <w:lang w:val="en-US" w:eastAsia="zh-CN" w:bidi="ar-SA"/>
        </w:rPr>
        <w:t>，确保应急供应。</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Style w:val="4"/>
          <w:rFonts w:hint="eastAsia" w:ascii="宋体" w:hAnsi="宋体" w:eastAsia="宋体" w:cs="宋体"/>
          <w:b w:val="0"/>
          <w:bCs/>
          <w:color w:val="auto"/>
          <w:kern w:val="2"/>
          <w:sz w:val="24"/>
          <w:szCs w:val="24"/>
          <w:highlight w:val="none"/>
          <w:lang w:val="en-US" w:eastAsia="zh-CN" w:bidi="ar-SA"/>
        </w:rPr>
      </w:pPr>
      <w:r>
        <w:rPr>
          <w:rStyle w:val="4"/>
          <w:rFonts w:hint="eastAsia" w:ascii="宋体" w:hAnsi="宋体" w:eastAsia="宋体" w:cs="宋体"/>
          <w:b w:val="0"/>
          <w:bCs/>
          <w:color w:val="auto"/>
          <w:sz w:val="24"/>
          <w:highlight w:val="none"/>
          <w:lang w:val="en-US" w:eastAsia="zh-CN"/>
        </w:rPr>
        <w:t>2、本项目在履约过程中如与行政主管（或政府职能相关部门）出具的法规政策相违背的，以最新法规政策执行为准。</w:t>
      </w:r>
    </w:p>
    <w:p>
      <w:pPr>
        <w:pStyle w:val="11"/>
        <w:keepNext w:val="0"/>
        <w:keepLines w:val="0"/>
        <w:pageBreakBefore w:val="0"/>
        <w:widowControl w:val="0"/>
        <w:kinsoku/>
        <w:wordWrap/>
        <w:overflowPunct/>
        <w:topLinePunct w:val="0"/>
        <w:autoSpaceDE/>
        <w:autoSpaceDN/>
        <w:bidi w:val="0"/>
        <w:spacing w:line="480" w:lineRule="exact"/>
        <w:ind w:left="0" w:firstLine="482" w:firstLineChars="200"/>
        <w:jc w:val="left"/>
        <w:textAlignment w:val="auto"/>
        <w:rPr>
          <w:rStyle w:val="4"/>
          <w:rFonts w:hint="eastAsia" w:ascii="宋体" w:hAnsi="宋体" w:eastAsia="宋体" w:cs="宋体"/>
          <w:b w:val="0"/>
          <w:bCs/>
          <w:color w:val="auto"/>
          <w:kern w:val="0"/>
          <w:sz w:val="24"/>
          <w:szCs w:val="24"/>
          <w:highlight w:val="none"/>
        </w:rPr>
      </w:pPr>
      <w:r>
        <w:rPr>
          <w:rStyle w:val="4"/>
          <w:rFonts w:hint="eastAsia" w:ascii="宋体" w:hAnsi="宋体" w:eastAsia="宋体" w:cs="宋体"/>
          <w:b/>
          <w:bCs w:val="0"/>
          <w:color w:val="auto"/>
          <w:kern w:val="2"/>
          <w:sz w:val="24"/>
          <w:szCs w:val="24"/>
          <w:highlight w:val="none"/>
          <w:lang w:val="en-US" w:eastAsia="zh-CN" w:bidi="ar-SA"/>
        </w:rPr>
        <w:t>3</w:t>
      </w:r>
      <w:r>
        <w:rPr>
          <w:rStyle w:val="4"/>
          <w:rFonts w:hint="eastAsia" w:ascii="宋体" w:hAnsi="宋体" w:eastAsia="宋体" w:cs="宋体"/>
          <w:b w:val="0"/>
          <w:bCs/>
          <w:color w:val="auto"/>
          <w:kern w:val="0"/>
          <w:sz w:val="24"/>
          <w:szCs w:val="24"/>
          <w:highlight w:val="none"/>
          <w:lang w:val="en-US" w:eastAsia="zh-CN"/>
        </w:rPr>
        <w:t>、</w:t>
      </w:r>
      <w:r>
        <w:rPr>
          <w:rStyle w:val="4"/>
          <w:rFonts w:hint="eastAsia" w:ascii="宋体" w:hAnsi="宋体" w:eastAsia="宋体" w:cs="宋体"/>
          <w:b w:val="0"/>
          <w:bCs/>
          <w:color w:val="auto"/>
          <w:kern w:val="0"/>
          <w:sz w:val="24"/>
          <w:szCs w:val="24"/>
          <w:highlight w:val="none"/>
        </w:rPr>
        <w:t>投标报价包含设计、生产、包装、运输、保险、检测等环节所发生的，以及投标人认为完成本项目及合同实施过程中应预见和不可预见的一切含税费用。合同期内，无论市场物价是否有上升因素波动。投标人应充分考虑在采购周期内由于市场波动而引致的风险。</w:t>
      </w:r>
    </w:p>
    <w:p>
      <w:pPr>
        <w:pStyle w:val="7"/>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Style w:val="4"/>
          <w:rFonts w:hint="eastAsia" w:ascii="宋体" w:hAnsi="宋体" w:eastAsia="宋体" w:cs="宋体"/>
          <w:b w:val="0"/>
          <w:bCs/>
          <w:color w:val="auto"/>
          <w:sz w:val="24"/>
          <w:highlight w:val="none"/>
          <w:lang w:val="en-US" w:eastAsia="zh-CN"/>
        </w:rPr>
      </w:pPr>
      <w:r>
        <w:rPr>
          <w:rStyle w:val="4"/>
          <w:rFonts w:hint="eastAsia" w:ascii="宋体" w:hAnsi="宋体" w:eastAsia="宋体" w:cs="宋体"/>
          <w:b w:val="0"/>
          <w:bCs/>
          <w:color w:val="auto"/>
          <w:kern w:val="0"/>
          <w:sz w:val="24"/>
          <w:szCs w:val="24"/>
          <w:highlight w:val="none"/>
          <w:lang w:val="en-US" w:eastAsia="zh-CN"/>
        </w:rPr>
        <w:t>4</w:t>
      </w:r>
      <w:r>
        <w:rPr>
          <w:rStyle w:val="4"/>
          <w:rFonts w:hint="eastAsia" w:ascii="宋体" w:hAnsi="宋体" w:eastAsia="宋体" w:cs="宋体"/>
          <w:b w:val="0"/>
          <w:bCs/>
          <w:color w:val="auto"/>
          <w:sz w:val="24"/>
          <w:highlight w:val="none"/>
          <w:lang w:val="en-US" w:eastAsia="zh-CN"/>
        </w:rPr>
        <w:t>、其他未明确的内容签定合同时协商。</w:t>
      </w:r>
    </w:p>
    <w:p>
      <w:pPr>
        <w:pStyle w:val="18"/>
        <w:spacing w:line="460" w:lineRule="exact"/>
        <w:ind w:firstLine="482" w:firstLineChars="200"/>
        <w:rPr>
          <w:rStyle w:val="4"/>
          <w:rFonts w:hint="eastAsia" w:ascii="宋体" w:hAnsi="宋体" w:eastAsia="宋体" w:cs="宋体"/>
          <w:b/>
          <w:bCs/>
          <w:color w:val="auto"/>
          <w:sz w:val="24"/>
          <w:szCs w:val="24"/>
          <w:highlight w:val="none"/>
        </w:rPr>
      </w:pPr>
      <w:r>
        <w:rPr>
          <w:rStyle w:val="4"/>
          <w:rFonts w:hint="eastAsia" w:ascii="宋体" w:hAnsi="宋体" w:eastAsia="宋体" w:cs="宋体"/>
          <w:b/>
          <w:bCs/>
          <w:color w:val="auto"/>
          <w:sz w:val="24"/>
          <w:szCs w:val="24"/>
          <w:highlight w:val="none"/>
          <w:lang w:val="en-US" w:eastAsia="zh-CN"/>
        </w:rPr>
        <w:t>六</w:t>
      </w:r>
      <w:r>
        <w:rPr>
          <w:rStyle w:val="4"/>
          <w:rFonts w:hint="eastAsia" w:ascii="宋体" w:hAnsi="宋体" w:eastAsia="宋体" w:cs="宋体"/>
          <w:b/>
          <w:bCs/>
          <w:color w:val="auto"/>
          <w:sz w:val="24"/>
          <w:szCs w:val="24"/>
          <w:highlight w:val="none"/>
        </w:rPr>
        <w:t>、踏勘</w:t>
      </w:r>
    </w:p>
    <w:p>
      <w:pPr>
        <w:pStyle w:val="11"/>
        <w:keepNext w:val="0"/>
        <w:keepLines w:val="0"/>
        <w:pageBreakBefore w:val="0"/>
        <w:widowControl w:val="0"/>
        <w:kinsoku/>
        <w:wordWrap/>
        <w:overflowPunct/>
        <w:topLinePunct w:val="0"/>
        <w:autoSpaceDE/>
        <w:autoSpaceDN/>
        <w:bidi w:val="0"/>
        <w:spacing w:line="480" w:lineRule="exact"/>
        <w:ind w:left="0" w:firstLine="480" w:firstLineChars="200"/>
        <w:jc w:val="left"/>
        <w:textAlignment w:val="auto"/>
        <w:rPr>
          <w:rStyle w:val="4"/>
          <w:rFonts w:hint="eastAsia" w:ascii="宋体" w:hAnsi="宋体" w:eastAsia="宋体" w:cs="宋体"/>
          <w:b/>
          <w:bCs/>
          <w:sz w:val="32"/>
          <w:szCs w:val="32"/>
          <w:lang w:val="en-US" w:eastAsia="zh-CN"/>
        </w:rPr>
      </w:pPr>
      <w:r>
        <w:rPr>
          <w:rStyle w:val="4"/>
          <w:rFonts w:hint="eastAsia" w:ascii="宋体" w:hAnsi="宋体" w:eastAsia="宋体" w:cs="宋体"/>
          <w:b w:val="0"/>
          <w:bCs/>
          <w:color w:val="auto"/>
          <w:kern w:val="2"/>
          <w:sz w:val="24"/>
          <w:szCs w:val="24"/>
          <w:highlight w:val="none"/>
          <w:lang w:val="en-US" w:eastAsia="zh-CN" w:bidi="ar-SA"/>
        </w:rPr>
        <w:t>本项目不组织集中踏勘。如投标人需要可自行与采购人联系确定踏勘时间，由踏勘产生的所有费用及相关安全问题均由投标人自行承担。</w:t>
      </w:r>
    </w:p>
    <w:p>
      <w:pPr>
        <w:pStyle w:val="5"/>
        <w:jc w:val="center"/>
        <w:rPr>
          <w:rStyle w:val="4"/>
          <w:rFonts w:hint="eastAsia" w:ascii="宋体" w:hAnsi="宋体" w:eastAsia="宋体" w:cs="宋体"/>
          <w:b/>
          <w:bCs/>
          <w:sz w:val="32"/>
          <w:szCs w:val="32"/>
          <w:lang w:val="en-US" w:eastAsia="zh-CN"/>
        </w:rPr>
      </w:pPr>
      <w:r>
        <w:rPr>
          <w:rStyle w:val="4"/>
          <w:rFonts w:hint="eastAsia" w:ascii="宋体" w:hAnsi="宋体" w:eastAsia="宋体" w:cs="宋体"/>
          <w:b/>
          <w:bCs/>
          <w:sz w:val="32"/>
          <w:szCs w:val="32"/>
          <w:lang w:val="en-US" w:eastAsia="zh-CN"/>
        </w:rPr>
        <w:t>包3：常规消耗耗材</w:t>
      </w:r>
    </w:p>
    <w:p>
      <w:pPr>
        <w:pStyle w:val="7"/>
        <w:widowControl/>
        <w:jc w:val="center"/>
        <w:rPr>
          <w:rStyle w:val="4"/>
          <w:rFonts w:hint="eastAsia" w:ascii="宋体" w:hAnsi="宋体" w:eastAsia="宋体" w:cs="宋体"/>
          <w:b w:val="0"/>
          <w:bCs w:val="0"/>
          <w:spacing w:val="30"/>
          <w:kern w:val="0"/>
          <w:sz w:val="30"/>
          <w:szCs w:val="30"/>
          <w:lang w:val="en-US" w:eastAsia="zh-CN"/>
        </w:rPr>
      </w:pPr>
      <w:r>
        <w:rPr>
          <w:rStyle w:val="4"/>
          <w:rFonts w:hint="eastAsia" w:ascii="宋体" w:hAnsi="宋体" w:eastAsia="宋体" w:cs="宋体"/>
          <w:b w:val="0"/>
          <w:bCs w:val="0"/>
          <w:spacing w:val="30"/>
          <w:kern w:val="0"/>
          <w:sz w:val="30"/>
          <w:szCs w:val="30"/>
          <w:lang w:val="en-US" w:eastAsia="zh-CN"/>
        </w:rPr>
        <w:t>第一节 技术要求</w:t>
      </w:r>
    </w:p>
    <w:p>
      <w:pPr>
        <w:pStyle w:val="5"/>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Style w:val="4"/>
          <w:rFonts w:hint="eastAsia" w:ascii="宋体" w:hAnsi="宋体" w:eastAsia="宋体" w:cs="宋体"/>
          <w:color w:val="auto"/>
          <w:sz w:val="24"/>
          <w:szCs w:val="24"/>
          <w:highlight w:val="none"/>
          <w:lang w:val="en-US" w:eastAsia="zh-CN"/>
        </w:rPr>
      </w:pPr>
      <w:r>
        <w:rPr>
          <w:rStyle w:val="4"/>
          <w:rFonts w:hint="eastAsia" w:ascii="宋体" w:hAnsi="宋体" w:eastAsia="宋体" w:cs="宋体"/>
          <w:color w:val="auto"/>
          <w:sz w:val="24"/>
          <w:szCs w:val="24"/>
          <w:highlight w:val="none"/>
          <w:lang w:val="en-US" w:eastAsia="zh-CN"/>
        </w:rPr>
        <w:t>以下技术参数中带“★”号条款为实质性要求条款（即重要条款）对其中任何一条的偏离，在评标时将其视为无效投标。标“▲”号条款为关键性条款（非“★”号条款），其他为一般条款（非“★”号条款），均参与计分。</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500" w:lineRule="exact"/>
        <w:jc w:val="left"/>
        <w:textAlignment w:val="auto"/>
        <w:rPr>
          <w:rStyle w:val="4"/>
          <w:rFonts w:hint="eastAsia" w:ascii="宋体" w:hAnsi="宋体" w:eastAsia="宋体" w:cs="宋体"/>
          <w:color w:val="auto"/>
          <w:sz w:val="24"/>
          <w:szCs w:val="24"/>
          <w:highlight w:val="none"/>
          <w:lang w:val="en-US" w:eastAsia="zh-CN"/>
        </w:rPr>
      </w:pPr>
      <w:r>
        <w:rPr>
          <w:rStyle w:val="4"/>
          <w:rFonts w:hint="eastAsia" w:ascii="宋体" w:hAnsi="宋体" w:eastAsia="宋体" w:cs="宋体"/>
          <w:color w:val="auto"/>
          <w:kern w:val="2"/>
          <w:sz w:val="24"/>
          <w:szCs w:val="24"/>
          <w:highlight w:val="none"/>
          <w:lang w:val="en-US" w:eastAsia="zh-CN" w:bidi="ar-SA"/>
        </w:rPr>
        <w:t>一、</w:t>
      </w:r>
      <w:r>
        <w:rPr>
          <w:rStyle w:val="4"/>
          <w:rFonts w:hint="eastAsia" w:ascii="宋体" w:hAnsi="宋体" w:eastAsia="宋体" w:cs="宋体"/>
          <w:color w:val="auto"/>
          <w:sz w:val="24"/>
          <w:szCs w:val="24"/>
          <w:highlight w:val="none"/>
          <w:lang w:val="en-US" w:eastAsia="zh-CN"/>
        </w:rPr>
        <w:t>采购内容、数量及技术要求</w:t>
      </w:r>
    </w:p>
    <w:tbl>
      <w:tblPr>
        <w:tblStyle w:val="20"/>
        <w:tblW w:w="10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747"/>
        <w:gridCol w:w="1560"/>
        <w:gridCol w:w="3933"/>
        <w:gridCol w:w="787"/>
        <w:gridCol w:w="12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blHeader/>
          <w:jc w:val="center"/>
        </w:trPr>
        <w:tc>
          <w:tcPr>
            <w:tcW w:w="70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55" w:leftChars="-26" w:right="-48" w:rightChars="-23"/>
              <w:jc w:val="center"/>
              <w:textAlignment w:val="auto"/>
              <w:rPr>
                <w:rStyle w:val="4"/>
                <w:rFonts w:hint="eastAsia" w:ascii="宋体" w:hAnsi="宋体" w:eastAsia="宋体" w:cs="宋体"/>
                <w:b/>
                <w:bCs/>
                <w:color w:val="auto"/>
                <w:sz w:val="24"/>
                <w:szCs w:val="24"/>
                <w:highlight w:val="none"/>
              </w:rPr>
            </w:pPr>
            <w:r>
              <w:rPr>
                <w:rStyle w:val="4"/>
                <w:rFonts w:hint="eastAsia" w:ascii="宋体" w:hAnsi="宋体" w:eastAsia="宋体" w:cs="宋体"/>
                <w:b/>
                <w:bCs/>
                <w:color w:val="auto"/>
                <w:sz w:val="24"/>
                <w:szCs w:val="24"/>
                <w:highlight w:val="none"/>
              </w:rPr>
              <w:t>序号</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b/>
                <w:bCs/>
                <w:color w:val="auto"/>
                <w:sz w:val="24"/>
                <w:szCs w:val="24"/>
                <w:highlight w:val="none"/>
              </w:rPr>
            </w:pPr>
            <w:r>
              <w:rPr>
                <w:rStyle w:val="4"/>
                <w:rFonts w:hint="eastAsia" w:ascii="宋体" w:hAnsi="宋体" w:eastAsia="宋体" w:cs="宋体"/>
                <w:b/>
                <w:bCs/>
                <w:color w:val="auto"/>
                <w:sz w:val="24"/>
                <w:szCs w:val="24"/>
                <w:highlight w:val="none"/>
              </w:rPr>
              <w:t>名称</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b/>
                <w:bCs/>
                <w:color w:val="auto"/>
                <w:sz w:val="24"/>
                <w:szCs w:val="24"/>
                <w:highlight w:val="none"/>
              </w:rPr>
            </w:pPr>
            <w:r>
              <w:rPr>
                <w:rStyle w:val="4"/>
                <w:rFonts w:hint="eastAsia" w:ascii="宋体" w:hAnsi="宋体" w:eastAsia="宋体" w:cs="宋体"/>
                <w:b/>
                <w:bCs/>
                <w:color w:val="auto"/>
                <w:sz w:val="24"/>
                <w:szCs w:val="24"/>
                <w:highlight w:val="none"/>
              </w:rPr>
              <w:t>规格</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b/>
                <w:bCs/>
                <w:color w:val="auto"/>
                <w:sz w:val="24"/>
                <w:szCs w:val="24"/>
                <w:highlight w:val="none"/>
                <w:lang w:val="en-US" w:eastAsia="zh-CN"/>
              </w:rPr>
            </w:pPr>
            <w:r>
              <w:rPr>
                <w:rStyle w:val="4"/>
                <w:rFonts w:hint="eastAsia" w:ascii="宋体" w:hAnsi="宋体" w:eastAsia="宋体" w:cs="宋体"/>
                <w:b/>
                <w:bCs/>
                <w:color w:val="auto"/>
                <w:sz w:val="24"/>
                <w:szCs w:val="24"/>
                <w:highlight w:val="none"/>
                <w:lang w:eastAsia="zh-CN"/>
              </w:rPr>
              <w:t>技术</w:t>
            </w:r>
            <w:r>
              <w:rPr>
                <w:rStyle w:val="4"/>
                <w:rFonts w:hint="eastAsia" w:ascii="宋体" w:hAnsi="宋体" w:eastAsia="宋体" w:cs="宋体"/>
                <w:b/>
                <w:bCs/>
                <w:color w:val="auto"/>
                <w:sz w:val="24"/>
                <w:szCs w:val="24"/>
                <w:highlight w:val="none"/>
              </w:rPr>
              <w:t>参数</w:t>
            </w:r>
            <w:r>
              <w:rPr>
                <w:rStyle w:val="4"/>
                <w:rFonts w:hint="eastAsia" w:ascii="宋体" w:hAnsi="宋体" w:eastAsia="宋体" w:cs="宋体"/>
                <w:b/>
                <w:bCs/>
                <w:color w:val="auto"/>
                <w:sz w:val="24"/>
                <w:szCs w:val="24"/>
                <w:highlight w:val="none"/>
                <w:lang w:val="en-US" w:eastAsia="zh-CN"/>
              </w:rPr>
              <w:t>要求</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b/>
                <w:bCs/>
                <w:color w:val="auto"/>
                <w:sz w:val="24"/>
                <w:szCs w:val="24"/>
                <w:highlight w:val="none"/>
              </w:rPr>
            </w:pPr>
            <w:r>
              <w:rPr>
                <w:rStyle w:val="4"/>
                <w:rFonts w:hint="eastAsia" w:ascii="宋体" w:hAnsi="宋体" w:eastAsia="宋体" w:cs="宋体"/>
                <w:b/>
                <w:bCs/>
                <w:color w:val="auto"/>
                <w:sz w:val="24"/>
                <w:szCs w:val="24"/>
                <w:highlight w:val="none"/>
              </w:rPr>
              <w:t>数量</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b/>
                <w:bCs/>
                <w:color w:val="auto"/>
                <w:sz w:val="24"/>
                <w:szCs w:val="24"/>
                <w:highlight w:val="none"/>
              </w:rPr>
            </w:pPr>
            <w:r>
              <w:rPr>
                <w:rStyle w:val="4"/>
                <w:rFonts w:hint="eastAsia" w:ascii="宋体" w:hAnsi="宋体" w:eastAsia="宋体" w:cs="宋体"/>
                <w:b/>
                <w:bCs/>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高纯氦气</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≥99.999%</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1、纯度：≥99.999%。</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2、压强：≤13.5Mpa。</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高纯氮气</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≥99.999%</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1、纯度：≥99.999%。</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2、压强：≤13.5Mpa。</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高纯氢气</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≥99.999%</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1、纯度：≥99.999%。</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2、压强：≤13.5Mpa。</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气质联用仪色谱柱1</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30*0.25*0.25超高惰性色谱柱</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1、规格：30*0.25*0.25。</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2、适用气相色谱柱类型GC/MS。</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3、温度范围-60</w:t>
            </w:r>
            <w:r>
              <w:rPr>
                <w:rStyle w:val="4"/>
                <w:rFonts w:hint="eastAsia" w:ascii="宋体" w:hAnsi="宋体" w:eastAsia="宋体" w:cs="宋体"/>
                <w:color w:val="auto"/>
                <w:sz w:val="24"/>
                <w:szCs w:val="24"/>
                <w:highlight w:val="none"/>
                <w:lang w:eastAsia="zh-CN"/>
              </w:rPr>
              <w:t>℃</w:t>
            </w:r>
            <w:r>
              <w:rPr>
                <w:rStyle w:val="4"/>
                <w:rFonts w:hint="eastAsia" w:ascii="宋体" w:hAnsi="宋体" w:eastAsia="宋体" w:cs="宋体"/>
                <w:color w:val="auto"/>
                <w:sz w:val="24"/>
                <w:szCs w:val="24"/>
                <w:highlight w:val="none"/>
              </w:rPr>
              <w:t>-325/350</w:t>
            </w:r>
            <w:r>
              <w:rPr>
                <w:rStyle w:val="4"/>
                <w:rFonts w:hint="eastAsia" w:ascii="宋体" w:hAnsi="宋体" w:eastAsia="宋体" w:cs="宋体"/>
                <w:color w:val="auto"/>
                <w:sz w:val="24"/>
                <w:szCs w:val="24"/>
                <w:highlight w:val="none"/>
                <w:lang w:eastAsia="zh-CN"/>
              </w:rPr>
              <w:t>℃</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气质联用仪色谱柱2</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色谱柱30*0.32*20</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1、规格：30*0.32*20。</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2、适用：气相色谱柱类型PLOT。</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3、温度范围-60</w:t>
            </w:r>
            <w:r>
              <w:rPr>
                <w:rStyle w:val="4"/>
                <w:rFonts w:hint="eastAsia" w:ascii="宋体" w:hAnsi="宋体" w:eastAsia="宋体" w:cs="宋体"/>
                <w:color w:val="auto"/>
                <w:sz w:val="24"/>
                <w:szCs w:val="24"/>
                <w:highlight w:val="none"/>
                <w:lang w:eastAsia="zh-CN"/>
              </w:rPr>
              <w:t>℃</w:t>
            </w:r>
            <w:r>
              <w:rPr>
                <w:rStyle w:val="4"/>
                <w:rFonts w:hint="eastAsia" w:ascii="宋体" w:hAnsi="宋体" w:eastAsia="宋体" w:cs="宋体"/>
                <w:color w:val="auto"/>
                <w:sz w:val="24"/>
                <w:szCs w:val="24"/>
                <w:highlight w:val="none"/>
              </w:rPr>
              <w:t>-270/290</w:t>
            </w:r>
            <w:r>
              <w:rPr>
                <w:rStyle w:val="4"/>
                <w:rFonts w:hint="eastAsia" w:ascii="宋体" w:hAnsi="宋体" w:eastAsia="宋体" w:cs="宋体"/>
                <w:color w:val="auto"/>
                <w:sz w:val="24"/>
                <w:szCs w:val="24"/>
                <w:highlight w:val="none"/>
                <w:lang w:val="en-US" w:eastAsia="zh-CN"/>
              </w:rPr>
              <w:t>℃</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液质色谱柱</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2.1*100*1.7</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1、规格：2.1*100*1.7。</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2、能够增强极性分析物的保留并带来不同的选择性，采用耐用的亚乙基桥杂化颗粒，pH在 2-10。</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液质色谱柱</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2.1*100*5</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1、规格：2.1*100*5。</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2、扩大峰形完整性，保持关键分析物分离度，无需衍生化即可进行保留 可靠的低水平检测。</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液质色谱柱</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2.1*100*1.8</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1、规格：2.1*100*1.8。</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2、非封端硅胶基质色谱柱，可扩展并可转移至HPLC 分离。</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液质色谱柱</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2.1*100*1.7</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1、规格：2.1*100*1.7。</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2、色谱柱可保留极性极强的化合物，包括碳水化合物和糖类。</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气质联用仪衬管</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个</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1、气质联用仪专用衬管，不含石英棉。</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2、无惰性化处理的玻璃衬管。</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气质联用仪O型圈</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1、规格：5/盒</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12</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气质联用仪石墨压环(0.25用)</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1、规格：10/盒。</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13</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气质联用仪石墨压环(0.32用)</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1、规格：10/盒。</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14</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气质联用仪进样口隔垫</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25/PK/盒</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1、规格：25/盒。</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15</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气质联用仪泵油</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一批</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1、规格：气质联用仪专用泵油</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16</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气质联用仪氦气过滤器单独滤芯</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1、规格氦气过滤器专用</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17</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气质联用仪超高惰性衬管</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1、进样口衬管，超高惰性。</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2、分流，低压降，带玻璃毛。</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18</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气质联用仪进样针</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1、规格：10 µL，固定式针头，23-26s/42/锥形针尖。</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19</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气质联用仪分流平板</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1、分流进样口密封垫。</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气质联用仪质谱端螺母</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1、配备气质联用仪使用的柱螺帽</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21</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气质联用仪泵油</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1、容量：1夸脱。</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2、可与真空泵配套使用。</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22</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气质联用仪隔垫</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1、最高温度压强≥400</w:t>
            </w:r>
            <w:r>
              <w:rPr>
                <w:rStyle w:val="4"/>
                <w:rFonts w:hint="eastAsia" w:ascii="宋体" w:hAnsi="宋体" w:eastAsia="宋体" w:cs="宋体"/>
                <w:color w:val="auto"/>
                <w:sz w:val="24"/>
                <w:szCs w:val="24"/>
                <w:highlight w:val="none"/>
                <w:lang w:eastAsia="zh-CN"/>
              </w:rPr>
              <w:t>℃</w:t>
            </w:r>
            <w:r>
              <w:rPr>
                <w:rStyle w:val="4"/>
                <w:rFonts w:hint="eastAsia" w:ascii="宋体" w:hAnsi="宋体" w:eastAsia="宋体" w:cs="宋体"/>
                <w:color w:val="auto"/>
                <w:sz w:val="24"/>
                <w:szCs w:val="24"/>
                <w:highlight w:val="none"/>
              </w:rPr>
              <w:t>。</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2、材质：硅橡胶。</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23</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气质联用仪灯丝</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1、用于MSD 的电子轰击 (EI) 离子源。不与 HES 配套使用。</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24</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气质联用仪进样口石墨垫(0.25用)</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1、规格：兼容的色谱柱内径0.1-0.25 mm。</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2、最高温度压强≥350</w:t>
            </w:r>
            <w:r>
              <w:rPr>
                <w:rStyle w:val="4"/>
                <w:rFonts w:hint="eastAsia" w:ascii="宋体" w:hAnsi="宋体" w:eastAsia="宋体" w:cs="宋体"/>
                <w:color w:val="auto"/>
                <w:sz w:val="24"/>
                <w:szCs w:val="24"/>
                <w:highlight w:val="none"/>
                <w:lang w:eastAsia="zh-CN"/>
              </w:rPr>
              <w:t>℃</w:t>
            </w:r>
            <w:r>
              <w:rPr>
                <w:rStyle w:val="4"/>
                <w:rFonts w:hint="eastAsia" w:ascii="宋体" w:hAnsi="宋体" w:eastAsia="宋体" w:cs="宋体"/>
                <w:color w:val="auto"/>
                <w:sz w:val="24"/>
                <w:szCs w:val="24"/>
                <w:highlight w:val="none"/>
              </w:rPr>
              <w:t>，材料15%石墨、85%Vespel。</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25</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气质联用仪质谱端石墨垫(0.25用)</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1、内径尺寸：≥ 0.4 mm。</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2、适用于0.25 mm色谱柱。</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26</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气质联用仪进样口石墨垫(0.32用)</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1、适用兼容的色谱柱内径0.32 mm。</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2、最高温度≥350</w:t>
            </w:r>
            <w:r>
              <w:rPr>
                <w:rStyle w:val="4"/>
                <w:rFonts w:hint="eastAsia" w:ascii="宋体" w:hAnsi="宋体" w:eastAsia="宋体" w:cs="宋体"/>
                <w:color w:val="auto"/>
                <w:sz w:val="24"/>
                <w:szCs w:val="24"/>
                <w:highlight w:val="none"/>
                <w:lang w:eastAsia="zh-CN"/>
              </w:rPr>
              <w:t>℃</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27</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气质联用仪质谱端石墨垫(0.32用)</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1、材料：15%石墨/85% Vespel。</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2、组件类型：密封垫圈。</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28</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气相色谱仪进样口石墨垫(0.53用)</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1、材料：15% 石墨/85% Vespel。</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2、密封垫圈类型：毛细管。</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3、兼容的色谱柱内径 0.45-0.53 mm</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29</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进样瓶内衬管（玻璃）</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带支脚，100PK</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1、带支脚。</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2、100个/PK。</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30</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进样瓶内衬管（塑料）</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带支脚，100PK</w:t>
            </w:r>
          </w:p>
        </w:tc>
        <w:tc>
          <w:tcPr>
            <w:tcW w:w="3933" w:type="dxa"/>
            <w:noWrap w:val="0"/>
            <w:vAlign w:val="center"/>
          </w:tcPr>
          <w:p>
            <w:pPr>
              <w:pStyle w:val="5"/>
              <w:keepNext w:val="0"/>
              <w:keepLines w:val="0"/>
              <w:pageBreakBefore w:val="0"/>
              <w:widowControl w:val="0"/>
              <w:numPr>
                <w:ilvl w:val="0"/>
                <w:numId w:val="1"/>
              </w:numPr>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内插管材料：聚丙烯。</w:t>
            </w:r>
          </w:p>
          <w:p>
            <w:pPr>
              <w:pStyle w:val="5"/>
              <w:keepNext w:val="0"/>
              <w:keepLines w:val="0"/>
              <w:pageBreakBefore w:val="0"/>
              <w:widowControl w:val="0"/>
              <w:numPr>
                <w:ilvl w:val="0"/>
                <w:numId w:val="1"/>
              </w:numPr>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内插管类型：锥形，带支脚。</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3、100/PK。</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31</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蓝色丁腈手套（L型）</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100个/盒</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1、重量≥4.0g。</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2、尺寸</w:t>
            </w:r>
            <w:r>
              <w:rPr>
                <w:rStyle w:val="4"/>
                <w:rFonts w:hint="eastAsia" w:ascii="宋体" w:hAnsi="宋体" w:eastAsia="宋体" w:cs="宋体"/>
                <w:color w:val="auto"/>
                <w:sz w:val="24"/>
                <w:szCs w:val="24"/>
                <w:highlight w:val="none"/>
                <w:lang w:eastAsia="zh-CN"/>
              </w:rPr>
              <w:t>：</w:t>
            </w:r>
            <w:r>
              <w:rPr>
                <w:rStyle w:val="4"/>
                <w:rFonts w:hint="eastAsia" w:ascii="宋体" w:hAnsi="宋体" w:eastAsia="宋体" w:cs="宋体"/>
                <w:color w:val="auto"/>
                <w:sz w:val="24"/>
                <w:szCs w:val="24"/>
                <w:highlight w:val="none"/>
              </w:rPr>
              <w:t>L号</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3、100个/盒。</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32</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蓝色丁腈手套（M型）</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100个/盒</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1、重量≥4.0g。</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2、尺寸：M号。</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3、100个/盒。</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33</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液质在线过滤器</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1、在线过滤器组件，用于 UHPLC 柱. 包括 5 个滤盘（内径 2.1 mm，孔径 0.2 µm），带集成式 Quick Turn 接头，安装在柱前端。</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34</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液质泵油</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1、和真空泵配套使用。</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35</w:t>
            </w:r>
          </w:p>
        </w:tc>
        <w:tc>
          <w:tcPr>
            <w:tcW w:w="1747" w:type="dxa"/>
            <w:vMerge w:val="restart"/>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纯水仪耗材</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预处理柱</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1、预处理柱。</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36</w:t>
            </w:r>
          </w:p>
        </w:tc>
        <w:tc>
          <w:tcPr>
            <w:tcW w:w="1747" w:type="dxa"/>
            <w:vMerge w:val="continue"/>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水箱空气过滤器</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1、水箱空气过滤器。</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37</w:t>
            </w:r>
          </w:p>
        </w:tc>
        <w:tc>
          <w:tcPr>
            <w:tcW w:w="1747" w:type="dxa"/>
            <w:vMerge w:val="continue"/>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双波长紫外灯</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1、双波长紫外灯。</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38</w:t>
            </w:r>
          </w:p>
        </w:tc>
        <w:tc>
          <w:tcPr>
            <w:tcW w:w="1747" w:type="dxa"/>
            <w:vMerge w:val="continue"/>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超纯化柱</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1、超纯化柱。</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39</w:t>
            </w:r>
          </w:p>
        </w:tc>
        <w:tc>
          <w:tcPr>
            <w:tcW w:w="1747" w:type="dxa"/>
            <w:vMerge w:val="continue"/>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r>
              <w:rPr>
                <w:rStyle w:val="4"/>
                <w:rFonts w:hint="eastAsia" w:ascii="宋体" w:hAnsi="宋体" w:eastAsia="宋体" w:cs="宋体"/>
                <w:color w:val="auto"/>
                <w:sz w:val="24"/>
                <w:szCs w:val="24"/>
                <w:highlight w:val="none"/>
                <w:lang w:eastAsia="zh-CN"/>
              </w:rPr>
              <w:t>in</w:t>
            </w:r>
            <w:r>
              <w:rPr>
                <w:rStyle w:val="4"/>
                <w:rFonts w:hint="eastAsia" w:ascii="宋体" w:hAnsi="宋体" w:eastAsia="宋体" w:cs="宋体"/>
                <w:color w:val="auto"/>
                <w:sz w:val="24"/>
                <w:szCs w:val="24"/>
                <w:highlight w:val="none"/>
              </w:rPr>
              <w:t>pp棉滤芯</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1、10</w:t>
            </w:r>
            <w:r>
              <w:rPr>
                <w:rStyle w:val="4"/>
                <w:rFonts w:hint="eastAsia" w:ascii="宋体" w:hAnsi="宋体" w:eastAsia="宋体" w:cs="宋体"/>
                <w:color w:val="auto"/>
                <w:sz w:val="24"/>
                <w:szCs w:val="24"/>
                <w:highlight w:val="none"/>
                <w:lang w:eastAsia="zh-CN"/>
              </w:rPr>
              <w:t>in</w:t>
            </w:r>
            <w:r>
              <w:rPr>
                <w:rStyle w:val="4"/>
                <w:rFonts w:hint="eastAsia" w:ascii="宋体" w:hAnsi="宋体" w:eastAsia="宋体" w:cs="宋体"/>
                <w:color w:val="auto"/>
                <w:sz w:val="24"/>
                <w:szCs w:val="24"/>
                <w:highlight w:val="none"/>
              </w:rPr>
              <w:t>pp棉滤芯。</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40</w:t>
            </w:r>
          </w:p>
        </w:tc>
        <w:tc>
          <w:tcPr>
            <w:tcW w:w="1747" w:type="dxa"/>
            <w:vMerge w:val="continue"/>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r>
              <w:rPr>
                <w:rStyle w:val="4"/>
                <w:rFonts w:hint="eastAsia" w:ascii="宋体" w:hAnsi="宋体" w:eastAsia="宋体" w:cs="宋体"/>
                <w:color w:val="auto"/>
                <w:sz w:val="24"/>
                <w:szCs w:val="24"/>
                <w:highlight w:val="none"/>
                <w:lang w:eastAsia="zh-CN"/>
              </w:rPr>
              <w:t>in</w:t>
            </w:r>
            <w:r>
              <w:rPr>
                <w:rStyle w:val="4"/>
                <w:rFonts w:hint="eastAsia" w:ascii="宋体" w:hAnsi="宋体" w:eastAsia="宋体" w:cs="宋体"/>
                <w:color w:val="auto"/>
                <w:sz w:val="24"/>
                <w:szCs w:val="24"/>
                <w:highlight w:val="none"/>
              </w:rPr>
              <w:t>活性炭滤芯</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1、10</w:t>
            </w:r>
            <w:r>
              <w:rPr>
                <w:rStyle w:val="4"/>
                <w:rFonts w:hint="eastAsia" w:ascii="宋体" w:hAnsi="宋体" w:eastAsia="宋体" w:cs="宋体"/>
                <w:color w:val="auto"/>
                <w:sz w:val="24"/>
                <w:szCs w:val="24"/>
                <w:highlight w:val="none"/>
                <w:lang w:eastAsia="zh-CN"/>
              </w:rPr>
              <w:t>in</w:t>
            </w:r>
            <w:r>
              <w:rPr>
                <w:rStyle w:val="4"/>
                <w:rFonts w:hint="eastAsia" w:ascii="宋体" w:hAnsi="宋体" w:eastAsia="宋体" w:cs="宋体"/>
                <w:color w:val="auto"/>
                <w:sz w:val="24"/>
                <w:szCs w:val="24"/>
                <w:highlight w:val="none"/>
              </w:rPr>
              <w:t>活性炭滤芯。</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41</w:t>
            </w:r>
          </w:p>
        </w:tc>
        <w:tc>
          <w:tcPr>
            <w:tcW w:w="1747" w:type="dxa"/>
            <w:vMerge w:val="continue"/>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离子交换柱</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1、离子交换柱。</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42</w:t>
            </w:r>
          </w:p>
        </w:tc>
        <w:tc>
          <w:tcPr>
            <w:tcW w:w="1747" w:type="dxa"/>
            <w:vMerge w:val="restart"/>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氮气发生器耗材</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除水滤芯</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1、尺寸≤9</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，上门更换。</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43</w:t>
            </w:r>
          </w:p>
        </w:tc>
        <w:tc>
          <w:tcPr>
            <w:tcW w:w="1747" w:type="dxa"/>
            <w:vMerge w:val="continue"/>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滤芯（含上门服务费）</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lang w:eastAsia="zh-CN"/>
              </w:rPr>
            </w:pPr>
            <w:r>
              <w:rPr>
                <w:rStyle w:val="4"/>
                <w:rFonts w:hint="eastAsia" w:ascii="宋体" w:hAnsi="宋体" w:eastAsia="宋体" w:cs="宋体"/>
                <w:color w:val="auto"/>
                <w:sz w:val="24"/>
                <w:szCs w:val="24"/>
                <w:highlight w:val="none"/>
              </w:rPr>
              <w:t>1、尺寸≤9</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，上门更换</w:t>
            </w:r>
            <w:r>
              <w:rPr>
                <w:rStyle w:val="4"/>
                <w:rFonts w:hint="eastAsia" w:ascii="宋体" w:hAnsi="宋体" w:eastAsia="宋体" w:cs="宋体"/>
                <w:color w:val="auto"/>
                <w:sz w:val="24"/>
                <w:szCs w:val="24"/>
                <w:highlight w:val="none"/>
                <w:lang w:eastAsia="zh-CN"/>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44</w:t>
            </w:r>
          </w:p>
        </w:tc>
        <w:tc>
          <w:tcPr>
            <w:tcW w:w="1747" w:type="dxa"/>
            <w:vMerge w:val="continue"/>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除碳氢滤芯</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lang w:eastAsia="zh-CN"/>
              </w:rPr>
            </w:pPr>
            <w:r>
              <w:rPr>
                <w:rStyle w:val="4"/>
                <w:rFonts w:hint="eastAsia" w:ascii="宋体" w:hAnsi="宋体" w:eastAsia="宋体" w:cs="宋体"/>
                <w:color w:val="auto"/>
                <w:sz w:val="24"/>
                <w:szCs w:val="24"/>
                <w:highlight w:val="none"/>
              </w:rPr>
              <w:t>1、尺寸≤12</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，上门更换</w:t>
            </w:r>
            <w:r>
              <w:rPr>
                <w:rStyle w:val="4"/>
                <w:rFonts w:hint="eastAsia" w:ascii="宋体" w:hAnsi="宋体" w:eastAsia="宋体" w:cs="宋体"/>
                <w:color w:val="auto"/>
                <w:sz w:val="24"/>
                <w:szCs w:val="24"/>
                <w:highlight w:val="none"/>
                <w:lang w:eastAsia="zh-CN"/>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45</w:t>
            </w:r>
          </w:p>
        </w:tc>
        <w:tc>
          <w:tcPr>
            <w:tcW w:w="1747" w:type="dxa"/>
            <w:vMerge w:val="continue"/>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空压机维护零件</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lang w:eastAsia="zh-CN"/>
              </w:rPr>
            </w:pPr>
            <w:r>
              <w:rPr>
                <w:rStyle w:val="4"/>
                <w:rFonts w:hint="eastAsia" w:ascii="宋体" w:hAnsi="宋体" w:eastAsia="宋体" w:cs="宋体"/>
                <w:color w:val="auto"/>
                <w:sz w:val="24"/>
                <w:szCs w:val="24"/>
                <w:highlight w:val="none"/>
              </w:rPr>
              <w:t>1、根据滤芯更换配套一套，上门更换</w:t>
            </w:r>
            <w:r>
              <w:rPr>
                <w:rStyle w:val="4"/>
                <w:rFonts w:hint="eastAsia" w:ascii="宋体" w:hAnsi="宋体" w:eastAsia="宋体" w:cs="宋体"/>
                <w:color w:val="auto"/>
                <w:sz w:val="24"/>
                <w:szCs w:val="24"/>
                <w:highlight w:val="none"/>
                <w:lang w:eastAsia="zh-CN"/>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46</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日常易燃易爆化学试剂及玻璃仪器</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如甲醇、乙醇、乙酸乙酯、二氯甲烷等一批</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lang w:eastAsia="zh-CN"/>
              </w:rPr>
            </w:pPr>
            <w:r>
              <w:rPr>
                <w:rStyle w:val="4"/>
                <w:rFonts w:hint="eastAsia" w:ascii="宋体" w:hAnsi="宋体" w:eastAsia="宋体" w:cs="宋体"/>
                <w:color w:val="auto"/>
                <w:sz w:val="24"/>
                <w:szCs w:val="24"/>
                <w:highlight w:val="none"/>
              </w:rPr>
              <w:t>1、甲醇、乙醇、乙酸乙酯、二氯甲烷等一批</w:t>
            </w:r>
            <w:r>
              <w:rPr>
                <w:rStyle w:val="4"/>
                <w:rFonts w:hint="eastAsia" w:ascii="宋体" w:hAnsi="宋体" w:eastAsia="宋体" w:cs="宋体"/>
                <w:color w:val="auto"/>
                <w:sz w:val="24"/>
                <w:szCs w:val="24"/>
                <w:highlight w:val="none"/>
                <w:lang w:eastAsia="zh-CN"/>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47</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标准品</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一批</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lang w:eastAsia="zh-CN"/>
              </w:rPr>
            </w:pPr>
            <w:r>
              <w:rPr>
                <w:rStyle w:val="4"/>
                <w:rFonts w:hint="eastAsia" w:ascii="宋体" w:hAnsi="宋体" w:eastAsia="宋体" w:cs="宋体"/>
                <w:color w:val="auto"/>
                <w:sz w:val="24"/>
                <w:szCs w:val="24"/>
                <w:highlight w:val="none"/>
              </w:rPr>
              <w:t>1、标准品一批</w:t>
            </w:r>
            <w:r>
              <w:rPr>
                <w:rStyle w:val="4"/>
                <w:rFonts w:hint="eastAsia" w:ascii="宋体" w:hAnsi="宋体" w:eastAsia="宋体" w:cs="宋体"/>
                <w:color w:val="auto"/>
                <w:sz w:val="24"/>
                <w:szCs w:val="24"/>
                <w:highlight w:val="none"/>
                <w:lang w:eastAsia="zh-CN"/>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48</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液质联用仪专用色谱醇乙腈</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4L/瓶</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lang w:eastAsia="zh-CN"/>
              </w:rPr>
            </w:pPr>
            <w:r>
              <w:rPr>
                <w:rStyle w:val="4"/>
                <w:rFonts w:hint="eastAsia" w:ascii="宋体" w:hAnsi="宋体" w:eastAsia="宋体" w:cs="宋体"/>
                <w:color w:val="auto"/>
                <w:sz w:val="24"/>
                <w:szCs w:val="24"/>
                <w:highlight w:val="none"/>
              </w:rPr>
              <w:t>1、容量</w:t>
            </w:r>
            <w:r>
              <w:rPr>
                <w:rStyle w:val="4"/>
                <w:rFonts w:hint="eastAsia" w:ascii="宋体" w:hAnsi="宋体" w:eastAsia="宋体" w:cs="宋体"/>
                <w:color w:val="auto"/>
                <w:sz w:val="24"/>
                <w:szCs w:val="24"/>
                <w:highlight w:val="none"/>
                <w:lang w:eastAsia="zh-CN"/>
              </w:rPr>
              <w:t>：</w:t>
            </w:r>
            <w:r>
              <w:rPr>
                <w:rStyle w:val="4"/>
                <w:rFonts w:hint="eastAsia" w:ascii="宋体" w:hAnsi="宋体" w:eastAsia="宋体" w:cs="宋体"/>
                <w:color w:val="auto"/>
                <w:sz w:val="24"/>
                <w:szCs w:val="24"/>
                <w:highlight w:val="none"/>
              </w:rPr>
              <w:t>4L/瓶</w:t>
            </w:r>
            <w:r>
              <w:rPr>
                <w:rStyle w:val="4"/>
                <w:rFonts w:hint="eastAsia" w:ascii="宋体" w:hAnsi="宋体" w:eastAsia="宋体" w:cs="宋体"/>
                <w:color w:val="auto"/>
                <w:sz w:val="24"/>
                <w:szCs w:val="24"/>
                <w:highlight w:val="none"/>
                <w:lang w:eastAsia="zh-CN"/>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16</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49</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液质联用仪专用色谱醇甲醇</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4L/瓶</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1、容量:4L/瓶</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16</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50</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液质联用仪专用色谱醇异丙醇</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4L/瓶</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1、容量:4L/瓶</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51</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尼龙66针式过滤头（有机无机）</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NL-66(13*0.22um.100PK)</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1、符合NL-66(13*0.22um.100PK)工艺。</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52</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GDX－403小柱</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400mg/3</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,50个/盒</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1、规格：400mg/3</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,50个/盒。</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53</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涉火案件现场专用取样袋</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1、具有密封性好，不会引入外来杂质，能够吸附被包装物在运输、储存等环节中挥发出的可能存在的易燃液体残留物成分，有效防止检材中挥发性</w:t>
            </w:r>
            <w:r>
              <w:rPr>
                <w:rStyle w:val="4"/>
                <w:rFonts w:hint="eastAsia" w:ascii="宋体" w:hAnsi="宋体" w:eastAsia="宋体" w:cs="宋体"/>
                <w:color w:val="auto"/>
                <w:sz w:val="24"/>
                <w:szCs w:val="24"/>
                <w:highlight w:val="none"/>
                <w:lang w:eastAsia="zh-CN"/>
              </w:rPr>
              <w:t>组份</w:t>
            </w:r>
            <w:r>
              <w:rPr>
                <w:rStyle w:val="4"/>
                <w:rFonts w:hint="eastAsia" w:ascii="宋体" w:hAnsi="宋体" w:eastAsia="宋体" w:cs="宋体"/>
                <w:color w:val="auto"/>
                <w:sz w:val="24"/>
                <w:szCs w:val="24"/>
                <w:highlight w:val="none"/>
              </w:rPr>
              <w:t>的损失。</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2、活性炭纤维膜通过高温解析后自身基体对所吸附气体</w:t>
            </w:r>
            <w:r>
              <w:rPr>
                <w:rStyle w:val="4"/>
                <w:rFonts w:hint="eastAsia" w:ascii="宋体" w:hAnsi="宋体" w:eastAsia="宋体" w:cs="宋体"/>
                <w:color w:val="auto"/>
                <w:sz w:val="24"/>
                <w:szCs w:val="24"/>
                <w:highlight w:val="none"/>
                <w:lang w:eastAsia="zh-CN"/>
              </w:rPr>
              <w:t>组份</w:t>
            </w:r>
            <w:r>
              <w:rPr>
                <w:rStyle w:val="4"/>
                <w:rFonts w:hint="eastAsia" w:ascii="宋体" w:hAnsi="宋体" w:eastAsia="宋体" w:cs="宋体"/>
                <w:color w:val="auto"/>
                <w:sz w:val="24"/>
                <w:szCs w:val="24"/>
                <w:highlight w:val="none"/>
              </w:rPr>
              <w:t>无干扰。</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lang w:eastAsia="zh-CN"/>
              </w:rPr>
              <w:t>涉火、涉爆</w:t>
            </w:r>
            <w:r>
              <w:rPr>
                <w:rStyle w:val="4"/>
                <w:rFonts w:hint="eastAsia" w:ascii="宋体" w:hAnsi="宋体" w:eastAsia="宋体" w:cs="宋体"/>
                <w:color w:val="auto"/>
                <w:sz w:val="24"/>
                <w:szCs w:val="24"/>
                <w:highlight w:val="none"/>
              </w:rPr>
              <w:t>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54</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15</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离心管带盖无菌</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螺口尖底塑料离心管，500支/箱，</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1、形状：螺口尖底。</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2、材质：塑料。</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3、规格：500支/箱。</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55</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50</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离心管带盖无菌</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螺口尖底塑料离心管，500支/箱，</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1、形状：螺口尖底。</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2、材质：塑料。</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3、规格：500支/箱。</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56</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离心管带盖无菌</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螺口尖底塑料离心管，150支/包，</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1、形状：螺口尖底。</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2、材质：塑料。</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3、规格：150支/包。</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57</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单道可调量程移液枪（5</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 xml:space="preserve">1、采用标准“3按钮”操作设计的手动气体活塞式移液器，可调量程，0.5 - 5 </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58</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lang w:eastAsia="zh-CN"/>
              </w:rPr>
            </w:pPr>
            <w:r>
              <w:rPr>
                <w:rStyle w:val="4"/>
                <w:rFonts w:hint="eastAsia" w:ascii="宋体" w:hAnsi="宋体" w:eastAsia="宋体" w:cs="宋体"/>
                <w:color w:val="auto"/>
                <w:sz w:val="24"/>
                <w:szCs w:val="24"/>
                <w:highlight w:val="none"/>
              </w:rPr>
              <w:t>袋装枪头5</w:t>
            </w:r>
            <w:r>
              <w:rPr>
                <w:rStyle w:val="4"/>
                <w:rFonts w:hint="eastAsia" w:ascii="宋体" w:hAnsi="宋体" w:eastAsia="宋体" w:cs="宋体"/>
                <w:color w:val="auto"/>
                <w:sz w:val="24"/>
                <w:szCs w:val="24"/>
                <w:highlight w:val="none"/>
                <w:lang w:eastAsia="zh-CN"/>
              </w:rPr>
              <w:t>ml</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,500支/盒</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1、规格：5</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，500个(5包×100个)。</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59</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lang w:eastAsia="zh-CN"/>
              </w:rPr>
            </w:pPr>
            <w:r>
              <w:rPr>
                <w:rStyle w:val="4"/>
                <w:rFonts w:hint="eastAsia" w:ascii="宋体" w:hAnsi="宋体" w:eastAsia="宋体" w:cs="宋体"/>
                <w:color w:val="auto"/>
                <w:sz w:val="24"/>
                <w:szCs w:val="24"/>
                <w:highlight w:val="none"/>
              </w:rPr>
              <w:t>袋装枪头10</w:t>
            </w:r>
            <w:r>
              <w:rPr>
                <w:rStyle w:val="4"/>
                <w:rFonts w:hint="eastAsia" w:ascii="宋体" w:hAnsi="宋体" w:eastAsia="宋体" w:cs="宋体"/>
                <w:color w:val="auto"/>
                <w:sz w:val="24"/>
                <w:szCs w:val="24"/>
                <w:highlight w:val="none"/>
                <w:lang w:eastAsia="zh-CN"/>
              </w:rPr>
              <w:t>ml</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,200支/盒</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 xml:space="preserve">1、规格：10 </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，20个 (2包×100个)。</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涉毒检验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60</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lang w:eastAsia="zh-CN"/>
              </w:rPr>
            </w:pPr>
            <w:r>
              <w:rPr>
                <w:rStyle w:val="4"/>
                <w:rFonts w:hint="eastAsia" w:ascii="宋体" w:hAnsi="宋体" w:eastAsia="宋体" w:cs="宋体"/>
                <w:color w:val="auto"/>
                <w:sz w:val="24"/>
                <w:szCs w:val="24"/>
                <w:highlight w:val="none"/>
              </w:rPr>
              <w:t>可视化快显仪</w:t>
            </w:r>
            <w:r>
              <w:rPr>
                <w:rStyle w:val="4"/>
                <w:rFonts w:hint="eastAsia" w:ascii="宋体" w:hAnsi="宋体" w:eastAsia="宋体" w:cs="宋体"/>
                <w:color w:val="auto"/>
                <w:sz w:val="24"/>
                <w:szCs w:val="24"/>
                <w:highlight w:val="none"/>
                <w:lang w:eastAsia="zh-CN"/>
              </w:rPr>
              <w:t>（</w:t>
            </w:r>
            <w:r>
              <w:rPr>
                <w:rStyle w:val="4"/>
                <w:rFonts w:hint="eastAsia" w:ascii="宋体" w:hAnsi="宋体" w:eastAsia="宋体" w:cs="宋体"/>
                <w:color w:val="auto"/>
                <w:sz w:val="24"/>
                <w:szCs w:val="24"/>
                <w:highlight w:val="none"/>
                <w:lang w:val="en-US" w:eastAsia="zh-CN"/>
              </w:rPr>
              <w:t>核心产品</w:t>
            </w:r>
            <w:r>
              <w:rPr>
                <w:rStyle w:val="4"/>
                <w:rFonts w:hint="eastAsia" w:ascii="宋体" w:hAnsi="宋体" w:eastAsia="宋体" w:cs="宋体"/>
                <w:color w:val="auto"/>
                <w:sz w:val="24"/>
                <w:szCs w:val="24"/>
                <w:highlight w:val="none"/>
                <w:lang w:eastAsia="zh-CN"/>
              </w:rPr>
              <w:t>）</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氨基酸靶向荧光标记固定</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主机控制模块：</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1、显示分辨率：≥2K。</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2、网络连接：5G;WIFI、蓝牙。</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3、显示屏：≥6.5</w:t>
            </w:r>
            <w:r>
              <w:rPr>
                <w:rStyle w:val="4"/>
                <w:rFonts w:hint="eastAsia" w:ascii="宋体" w:hAnsi="宋体" w:eastAsia="宋体" w:cs="宋体"/>
                <w:color w:val="auto"/>
                <w:sz w:val="24"/>
                <w:szCs w:val="24"/>
                <w:highlight w:val="none"/>
                <w:lang w:eastAsia="zh-CN"/>
              </w:rPr>
              <w:t>英寸</w:t>
            </w:r>
            <w:r>
              <w:rPr>
                <w:rStyle w:val="4"/>
                <w:rFonts w:hint="eastAsia" w:ascii="宋体" w:hAnsi="宋体" w:eastAsia="宋体" w:cs="宋体"/>
                <w:color w:val="auto"/>
                <w:sz w:val="24"/>
                <w:szCs w:val="24"/>
                <w:highlight w:val="none"/>
              </w:rPr>
              <w:t>，多点触控。</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4、处理器：8核，2.4GHz</w:t>
            </w:r>
            <w:r>
              <w:rPr>
                <w:rStyle w:val="4"/>
                <w:rFonts w:hint="eastAsia" w:ascii="宋体" w:hAnsi="宋体" w:eastAsia="宋体" w:cs="宋体"/>
                <w:color w:val="auto"/>
                <w:sz w:val="24"/>
                <w:szCs w:val="24"/>
                <w:highlight w:val="none"/>
                <w:lang w:eastAsia="zh-CN"/>
              </w:rPr>
              <w:t>及以上</w:t>
            </w:r>
            <w:r>
              <w:rPr>
                <w:rStyle w:val="4"/>
                <w:rFonts w:hint="eastAsia" w:ascii="宋体" w:hAnsi="宋体" w:eastAsia="宋体" w:cs="宋体"/>
                <w:color w:val="auto"/>
                <w:sz w:val="24"/>
                <w:szCs w:val="24"/>
                <w:highlight w:val="none"/>
              </w:rPr>
              <w:t>主频。</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5、主机可通过插入SIM卡达到5G网络连接。</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6、连接方式：USB连接和蓝牙。</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7、操作系统：安卓系统。</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▲8、APP控制方式：仪器能通过主机APP控制超宽模块、微量物证发现模块和技术开锁模块进行拍照等操作。</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▲9、结构检查：仪器的超宽模块、微量物证发现模块、快显模块、指纹拍照模块通过卡扣式与主机连接使用，并由主机供电。</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10、主机供电方式：仪器主机采用内置电池供电。</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11、传感器类型:超高分辨率传感器。</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12、分辨率:≥4800万像素。</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13、光源范围：A光源波段:445nm±10nm，B光源波段:532nm±10nm。</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14、光源功率：A光源最大功率：≥9W，B光源最大功率：≥9W。</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★15、显示功能:仪器能显示电量、雾化开关、光源、光强等信息。</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16雾化单元:仪器有雾化单元。</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★17、雾化单元更换:仪器的雾化单元能通过磁吸式进行拆卸更换。</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61</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超宽光谱搜索发现仪</w:t>
            </w:r>
            <w:r>
              <w:rPr>
                <w:rStyle w:val="4"/>
                <w:rFonts w:hint="eastAsia" w:ascii="宋体" w:hAnsi="宋体" w:eastAsia="宋体" w:cs="宋体"/>
                <w:color w:val="auto"/>
                <w:sz w:val="24"/>
                <w:szCs w:val="24"/>
                <w:highlight w:val="none"/>
                <w:lang w:eastAsia="zh-CN"/>
              </w:rPr>
              <w:t>（</w:t>
            </w:r>
            <w:r>
              <w:rPr>
                <w:rStyle w:val="4"/>
                <w:rFonts w:hint="eastAsia" w:ascii="宋体" w:hAnsi="宋体" w:eastAsia="宋体" w:cs="宋体"/>
                <w:color w:val="auto"/>
                <w:sz w:val="24"/>
                <w:szCs w:val="24"/>
                <w:highlight w:val="none"/>
                <w:lang w:val="en-US" w:eastAsia="zh-CN"/>
              </w:rPr>
              <w:t>核心产品</w:t>
            </w:r>
            <w:r>
              <w:rPr>
                <w:rStyle w:val="4"/>
                <w:rFonts w:hint="eastAsia" w:ascii="宋体" w:hAnsi="宋体" w:eastAsia="宋体" w:cs="宋体"/>
                <w:color w:val="auto"/>
                <w:sz w:val="24"/>
                <w:szCs w:val="24"/>
                <w:highlight w:val="none"/>
                <w:lang w:eastAsia="zh-CN"/>
              </w:rPr>
              <w:t>）</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OS图像传感</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 xml:space="preserve">1、传感器类型： </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OS图像传感器。</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2、光谱响应范围：160-1100nm。</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3、镜头：紫外专用镜头。</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▲4、通讯方式：仪器与超宽模块采用蓝牙和无线WiFi方式进行通讯。</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5、光源范围：A光源波段:365nm±10nm，光源波段B:850nm±10nm。</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6、光源功率： A光源最大功率：≥10W，B光源最大功率：≥5W。</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7、滤光片：A磁吸式滤光片：紫外拍照专用。B磁吸式滤光片：红外拍照专用。</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8、控制方式：触摸屏控制。</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▲9、图像存储功能：使用超宽模块采集图像时，仪器能同时保存原图和图像增强后的图像。</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★10、比例尺功能：仪器能通过触屏移动比例尺位置。</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11、图像增强功能：可通过算法增强指纹图像。</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12、图像传感器：高灵敏度光学传感器。</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62</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便携式智能指纹拍照仪</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定反、暗视场、掠射光、分色</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1、产品尺寸：≤236*100*204mm。</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2、产品重量：≤2320g。</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3、拍照方式：定向反射拍照模式、暗视场拍照模式、掠射光拍照模式、激发光拍照。</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4、液晶屏收纳：可折叠收纳减小体积。</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5、控制方式：触摸屏控制。</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6、显示屏：≥2.8</w:t>
            </w:r>
            <w:r>
              <w:rPr>
                <w:rStyle w:val="4"/>
                <w:rFonts w:hint="eastAsia" w:ascii="宋体" w:hAnsi="宋体" w:eastAsia="宋体" w:cs="宋体"/>
                <w:color w:val="auto"/>
                <w:sz w:val="24"/>
                <w:szCs w:val="24"/>
                <w:highlight w:val="none"/>
                <w:lang w:eastAsia="zh-CN"/>
              </w:rPr>
              <w:t>英寸</w:t>
            </w:r>
            <w:r>
              <w:rPr>
                <w:rStyle w:val="4"/>
                <w:rFonts w:hint="eastAsia" w:ascii="宋体" w:hAnsi="宋体" w:eastAsia="宋体" w:cs="宋体"/>
                <w:color w:val="auto"/>
                <w:sz w:val="24"/>
                <w:szCs w:val="24"/>
                <w:highlight w:val="none"/>
              </w:rPr>
              <w:t>，彩色触摸屏。</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7、屏幕显示内容：设备名称、电量、定反、暗视、灰尘、激发。</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8、屏幕控制内容：关机、重启、各种模式功能操作。</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语音提示：每个功能都有语音提示。</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9、电量显示功能：实时电量显。</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10、供电方式：直流或内置电池。</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11、电池容量：≥4000mah。</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12、待机时间：≥4h。</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13、功能切换：一键切换。</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14、拍照方式：支持手机、相机拍照。</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15、具有磁吸式补光窗口。</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16、打光方式：超平行光照射。调节方式：旋钮式</w:t>
            </w:r>
            <w:r>
              <w:rPr>
                <w:rStyle w:val="4"/>
                <w:rFonts w:hint="eastAsia" w:ascii="宋体" w:hAnsi="宋体" w:eastAsia="宋体" w:cs="宋体"/>
                <w:color w:val="auto"/>
                <w:sz w:val="24"/>
                <w:szCs w:val="24"/>
                <w:highlight w:val="none"/>
                <w:lang w:eastAsia="zh-CN"/>
              </w:rPr>
              <w:t>。</w:t>
            </w:r>
            <w:r>
              <w:rPr>
                <w:rStyle w:val="4"/>
                <w:rFonts w:hint="eastAsia" w:ascii="宋体" w:hAnsi="宋体" w:eastAsia="宋体" w:cs="宋体"/>
                <w:color w:val="auto"/>
                <w:sz w:val="24"/>
                <w:szCs w:val="24"/>
                <w:highlight w:val="none"/>
              </w:rPr>
              <w:t>掠射光调节：0-5°调节</w:t>
            </w:r>
            <w:r>
              <w:rPr>
                <w:rStyle w:val="4"/>
                <w:rFonts w:hint="eastAsia" w:ascii="宋体" w:hAnsi="宋体" w:eastAsia="宋体" w:cs="宋体"/>
                <w:color w:val="auto"/>
                <w:sz w:val="24"/>
                <w:szCs w:val="24"/>
                <w:highlight w:val="none"/>
                <w:lang w:eastAsia="zh-CN"/>
              </w:rPr>
              <w:t>。</w:t>
            </w:r>
            <w:r>
              <w:rPr>
                <w:rStyle w:val="4"/>
                <w:rFonts w:hint="eastAsia" w:ascii="宋体" w:hAnsi="宋体" w:eastAsia="宋体" w:cs="宋体"/>
                <w:color w:val="auto"/>
                <w:sz w:val="24"/>
                <w:szCs w:val="24"/>
                <w:highlight w:val="none"/>
              </w:rPr>
              <w:t>半透半反镜：调节范围：0-45°无级调节。</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17、激发光源：445nm±10nm，针对荧光激发显现。</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18、拍照方式：定向反射拍照模式、暗视场拍照模式、掠射光拍照模式。</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19、定向反射模式和暗视拍照模式，可以调节亮度、背景锐化、纹线增强</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灰尘指纹模式和激光模式:可以打开关闭光源、调节亮度。调节亮度范围：0-100，背景锐化范围：0-4，纹线增强范围：0-100。</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20、图像显示：≥6.5</w:t>
            </w:r>
            <w:r>
              <w:rPr>
                <w:rStyle w:val="4"/>
                <w:rFonts w:hint="eastAsia" w:ascii="宋体" w:hAnsi="宋体" w:eastAsia="宋体" w:cs="宋体"/>
                <w:color w:val="auto"/>
                <w:sz w:val="24"/>
                <w:szCs w:val="24"/>
                <w:highlight w:val="none"/>
                <w:lang w:eastAsia="zh-CN"/>
              </w:rPr>
              <w:t>英寸</w:t>
            </w:r>
            <w:r>
              <w:rPr>
                <w:rStyle w:val="4"/>
                <w:rFonts w:hint="eastAsia" w:ascii="宋体" w:hAnsi="宋体" w:eastAsia="宋体" w:cs="宋体"/>
                <w:color w:val="auto"/>
                <w:sz w:val="24"/>
                <w:szCs w:val="24"/>
                <w:highlight w:val="none"/>
              </w:rPr>
              <w:t>多点触控。</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lang w:eastAsia="zh-CN"/>
              </w:rPr>
            </w:pPr>
            <w:r>
              <w:rPr>
                <w:rStyle w:val="4"/>
                <w:rFonts w:hint="eastAsia" w:ascii="宋体" w:hAnsi="宋体" w:eastAsia="宋体" w:cs="宋体"/>
                <w:color w:val="auto"/>
                <w:sz w:val="24"/>
                <w:szCs w:val="24"/>
                <w:highlight w:val="none"/>
              </w:rPr>
              <w:t>21、操作系统：安卓系统</w:t>
            </w:r>
            <w:r>
              <w:rPr>
                <w:rStyle w:val="4"/>
                <w:rFonts w:hint="eastAsia" w:ascii="宋体" w:hAnsi="宋体" w:eastAsia="宋体" w:cs="宋体"/>
                <w:color w:val="auto"/>
                <w:sz w:val="24"/>
                <w:szCs w:val="24"/>
                <w:highlight w:val="none"/>
                <w:lang w:eastAsia="zh-CN"/>
              </w:rPr>
              <w:t>。</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处理器：8核，2.4GHz</w:t>
            </w:r>
            <w:r>
              <w:rPr>
                <w:rStyle w:val="4"/>
                <w:rFonts w:hint="eastAsia" w:ascii="宋体" w:hAnsi="宋体" w:eastAsia="宋体" w:cs="宋体"/>
                <w:color w:val="auto"/>
                <w:sz w:val="24"/>
                <w:szCs w:val="24"/>
                <w:highlight w:val="none"/>
                <w:lang w:eastAsia="zh-CN"/>
              </w:rPr>
              <w:t>及以上</w:t>
            </w:r>
            <w:r>
              <w:rPr>
                <w:rStyle w:val="4"/>
                <w:rFonts w:hint="eastAsia" w:ascii="宋体" w:hAnsi="宋体" w:eastAsia="宋体" w:cs="宋体"/>
                <w:color w:val="auto"/>
                <w:sz w:val="24"/>
                <w:szCs w:val="24"/>
                <w:highlight w:val="none"/>
              </w:rPr>
              <w:t>主频。</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22、主机可通过插入SIM卡达到5G网络连接。</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63</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手持型可视化生物痕迹发现仪</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蓝绿双波段激光</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lang w:eastAsia="zh-CN"/>
              </w:rPr>
            </w:pPr>
            <w:r>
              <w:rPr>
                <w:rStyle w:val="4"/>
                <w:rFonts w:hint="eastAsia" w:ascii="宋体" w:hAnsi="宋体" w:eastAsia="宋体" w:cs="宋体"/>
                <w:color w:val="auto"/>
                <w:sz w:val="24"/>
                <w:szCs w:val="24"/>
                <w:highlight w:val="none"/>
              </w:rPr>
              <w:t>1、设备主机：设备上面有按钮也可以调节光强</w:t>
            </w:r>
            <w:r>
              <w:rPr>
                <w:rStyle w:val="4"/>
                <w:rFonts w:hint="eastAsia" w:ascii="宋体" w:hAnsi="宋体" w:eastAsia="宋体" w:cs="宋体"/>
                <w:color w:val="auto"/>
                <w:sz w:val="24"/>
                <w:szCs w:val="24"/>
                <w:highlight w:val="none"/>
                <w:lang w:eastAsia="zh-CN"/>
              </w:rPr>
              <w:t>。</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外观尺寸：≤210*61*172mm。</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2、光源寿命：≥10000h。</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3、电池容量：≥4000mah。</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4、待机时间：≥5h。</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5、充电口A：Type-C 支持QC2.0/3.0协议。</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6、充电口B：DC12V。</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7、控制方式：按键控制。</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8、显示屏类型：OLED液晶屏。</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9、显示屏尺寸：≥0.96</w:t>
            </w:r>
            <w:r>
              <w:rPr>
                <w:rStyle w:val="4"/>
                <w:rFonts w:hint="eastAsia" w:ascii="宋体" w:hAnsi="宋体" w:eastAsia="宋体" w:cs="宋体"/>
                <w:color w:val="auto"/>
                <w:sz w:val="24"/>
                <w:szCs w:val="24"/>
                <w:highlight w:val="none"/>
                <w:lang w:eastAsia="zh-CN"/>
              </w:rPr>
              <w:t>英寸</w:t>
            </w:r>
            <w:r>
              <w:rPr>
                <w:rStyle w:val="4"/>
                <w:rFonts w:hint="eastAsia" w:ascii="宋体" w:hAnsi="宋体" w:eastAsia="宋体" w:cs="宋体"/>
                <w:color w:val="auto"/>
                <w:sz w:val="24"/>
                <w:szCs w:val="24"/>
                <w:highlight w:val="none"/>
              </w:rPr>
              <w:t>。屏幕显示内容：设备名称、电量、状态显示、光强。</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10、具有激光缓释输出安全防护功能。</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11、激光头可更换：可更换其他波段或功率激光器。</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12、光源参数：蓝光光功率：≥9.5W；</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绿光光功率：≥3W；</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白光功率：≥11W；</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蓝光波长：445nm±5nm；</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绿光波长：532nm±5nm；</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蓝光光强调节：≥4；</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绿光光强调节：≥4；</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光斑均匀度：≥85%；</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光斑：圆形光斑；</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1m处光斑Φ≥42</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2m处光斑Φ≥83</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13、散热方式：风扇散热。</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14、温控方式：智能温控。</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15、内置雷达，雷达测距范围：≤10</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16、可足迹搜索。</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17、雾化单元：磁吸式单雾化，组合后可喷显试剂。</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18、雾化单元更换：可拆卸更换。</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19、试剂盒容量：≥50</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20、抗干扰功能：荧光试剂对触碰过的指纹或痕迹的客体表面熏显后，该表面应支持茚二酮再次熏显。</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64</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电源及总控终端</w:t>
            </w:r>
            <w:r>
              <w:rPr>
                <w:rStyle w:val="4"/>
                <w:rFonts w:hint="eastAsia" w:ascii="宋体" w:hAnsi="宋体" w:eastAsia="宋体" w:cs="宋体"/>
                <w:color w:val="auto"/>
                <w:sz w:val="24"/>
                <w:szCs w:val="24"/>
                <w:highlight w:val="none"/>
                <w:lang w:eastAsia="zh-CN"/>
              </w:rPr>
              <w:t>（</w:t>
            </w:r>
            <w:r>
              <w:rPr>
                <w:rStyle w:val="4"/>
                <w:rFonts w:hint="eastAsia" w:ascii="宋体" w:hAnsi="宋体" w:eastAsia="宋体" w:cs="宋体"/>
                <w:color w:val="auto"/>
                <w:sz w:val="24"/>
                <w:szCs w:val="24"/>
                <w:highlight w:val="none"/>
                <w:lang w:val="en-US" w:eastAsia="zh-CN"/>
              </w:rPr>
              <w:t>核心产品</w:t>
            </w:r>
            <w:r>
              <w:rPr>
                <w:rStyle w:val="4"/>
                <w:rFonts w:hint="eastAsia" w:ascii="宋体" w:hAnsi="宋体" w:eastAsia="宋体" w:cs="宋体"/>
                <w:color w:val="auto"/>
                <w:sz w:val="24"/>
                <w:szCs w:val="24"/>
                <w:highlight w:val="none"/>
                <w:lang w:eastAsia="zh-CN"/>
              </w:rPr>
              <w:t>）</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设备供电、控制终端</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一、电源、总控参数：</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1、显示分辨率：≥2K。</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2、网络连接：5G、WIFI、蓝牙。</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3、显示屏：≥6.5</w:t>
            </w:r>
            <w:r>
              <w:rPr>
                <w:rStyle w:val="4"/>
                <w:rFonts w:hint="eastAsia" w:ascii="宋体" w:hAnsi="宋体" w:eastAsia="宋体" w:cs="宋体"/>
                <w:color w:val="auto"/>
                <w:sz w:val="24"/>
                <w:szCs w:val="24"/>
                <w:highlight w:val="none"/>
                <w:lang w:eastAsia="zh-CN"/>
              </w:rPr>
              <w:t>英寸</w:t>
            </w:r>
            <w:r>
              <w:rPr>
                <w:rStyle w:val="4"/>
                <w:rFonts w:hint="eastAsia" w:ascii="宋体" w:hAnsi="宋体" w:eastAsia="宋体" w:cs="宋体"/>
                <w:color w:val="auto"/>
                <w:sz w:val="24"/>
                <w:szCs w:val="24"/>
                <w:highlight w:val="none"/>
              </w:rPr>
              <w:t>，多点触控。</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4、处理器：8核，2.4GHz</w:t>
            </w:r>
            <w:r>
              <w:rPr>
                <w:rStyle w:val="4"/>
                <w:rFonts w:hint="eastAsia" w:ascii="宋体" w:hAnsi="宋体" w:eastAsia="宋体" w:cs="宋体"/>
                <w:color w:val="auto"/>
                <w:sz w:val="24"/>
                <w:szCs w:val="24"/>
                <w:highlight w:val="none"/>
                <w:lang w:eastAsia="zh-CN"/>
              </w:rPr>
              <w:t>及以上</w:t>
            </w:r>
            <w:r>
              <w:rPr>
                <w:rStyle w:val="4"/>
                <w:rFonts w:hint="eastAsia" w:ascii="宋体" w:hAnsi="宋体" w:eastAsia="宋体" w:cs="宋体"/>
                <w:color w:val="auto"/>
                <w:sz w:val="24"/>
                <w:szCs w:val="24"/>
                <w:highlight w:val="none"/>
              </w:rPr>
              <w:t>主频。</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5、主机可通过插入SIM卡达到5G网络连接。</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6、连接方式：USB连接和蓝牙。</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7、操作系统：安卓系统。</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▲8、控制方式：APP控制。</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9、连接方式：可视化快显模块、指纹拍照模块、超宽光谱模块、微量物证发现模块对接。</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▲10、供电方式：可视化快显模块、微量物证发现模块、超宽光谱模块无需模块内置电池。</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lang w:eastAsia="zh-CN"/>
              </w:rPr>
            </w:pPr>
            <w:r>
              <w:rPr>
                <w:rStyle w:val="4"/>
                <w:rFonts w:hint="eastAsia" w:ascii="宋体" w:hAnsi="宋体" w:eastAsia="宋体" w:cs="宋体"/>
                <w:color w:val="auto"/>
                <w:sz w:val="24"/>
                <w:szCs w:val="24"/>
                <w:highlight w:val="none"/>
              </w:rPr>
              <w:t>二、配件（自动降噪耳塞）</w:t>
            </w:r>
            <w:r>
              <w:rPr>
                <w:rStyle w:val="4"/>
                <w:rFonts w:hint="eastAsia" w:ascii="宋体" w:hAnsi="宋体" w:eastAsia="宋体" w:cs="宋体"/>
                <w:color w:val="auto"/>
                <w:sz w:val="24"/>
                <w:szCs w:val="24"/>
                <w:highlight w:val="none"/>
                <w:lang w:eastAsia="zh-CN"/>
              </w:rPr>
              <w:t>：</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★11、降噪指数：采用粉红噪音谱，当声源声压设置为100dB时，耳塞衰减量应＞21dB当声源声压设置为65dB时, 耳塞衰减量应＞12dB。降噪方式：物理降噪，无需手动控制耳塞的开关。</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12、佩戴方式：贴合耳道，可以重复使用。</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★13、尺寸：直径10.8mm~14.8mm四种规格可选 (S、M、L、XL)。</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14、质量：一对耳塞质量＜2g。</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▲15、过滤器：可拆卸，可透气。</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16、电源：无，纯物理降噪，不含任何电子元件或电池。</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▲17、包装：圆柱形，可套接，带有钥匙扣环。</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18、外壳防护等级：符合GB/T  4208—2017中IP58等级的要求（不带外包装，水下50m,1h）。</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65</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微量物证痕迹发现仪</w:t>
            </w:r>
            <w:r>
              <w:rPr>
                <w:rStyle w:val="4"/>
                <w:rFonts w:hint="eastAsia" w:ascii="宋体" w:hAnsi="宋体" w:eastAsia="宋体" w:cs="宋体"/>
                <w:color w:val="auto"/>
                <w:sz w:val="24"/>
                <w:szCs w:val="24"/>
                <w:highlight w:val="none"/>
                <w:lang w:eastAsia="zh-CN"/>
              </w:rPr>
              <w:t>（</w:t>
            </w:r>
            <w:r>
              <w:rPr>
                <w:rStyle w:val="4"/>
                <w:rFonts w:hint="eastAsia" w:ascii="宋体" w:hAnsi="宋体" w:eastAsia="宋体" w:cs="宋体"/>
                <w:color w:val="auto"/>
                <w:sz w:val="24"/>
                <w:szCs w:val="24"/>
                <w:highlight w:val="none"/>
                <w:lang w:val="en-US" w:eastAsia="zh-CN"/>
              </w:rPr>
              <w:t>核心产品</w:t>
            </w:r>
            <w:r>
              <w:rPr>
                <w:rStyle w:val="4"/>
                <w:rFonts w:hint="eastAsia" w:ascii="宋体" w:hAnsi="宋体" w:eastAsia="宋体" w:cs="宋体"/>
                <w:color w:val="auto"/>
                <w:sz w:val="24"/>
                <w:szCs w:val="24"/>
                <w:highlight w:val="none"/>
                <w:lang w:eastAsia="zh-CN"/>
              </w:rPr>
              <w:t>）</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用于发现脱落细胞等微量物证</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1、感光度：ISO</w:t>
            </w:r>
            <w:r>
              <w:rPr>
                <w:rStyle w:val="4"/>
                <w:rFonts w:hint="eastAsia" w:ascii="宋体" w:hAnsi="宋体" w:eastAsia="宋体" w:cs="宋体"/>
                <w:color w:val="auto"/>
                <w:sz w:val="24"/>
                <w:szCs w:val="24"/>
                <w:highlight w:val="none"/>
                <w:lang w:val="en-US" w:eastAsia="zh-CN"/>
              </w:rPr>
              <w:t xml:space="preserve"> </w:t>
            </w:r>
            <w:r>
              <w:rPr>
                <w:rStyle w:val="4"/>
                <w:rFonts w:hint="eastAsia" w:ascii="宋体" w:hAnsi="宋体" w:eastAsia="宋体" w:cs="宋体"/>
                <w:color w:val="auto"/>
                <w:sz w:val="24"/>
                <w:szCs w:val="24"/>
                <w:highlight w:val="none"/>
              </w:rPr>
              <w:t>100-ISO</w:t>
            </w:r>
            <w:r>
              <w:rPr>
                <w:rStyle w:val="4"/>
                <w:rFonts w:hint="eastAsia" w:ascii="宋体" w:hAnsi="宋体" w:eastAsia="宋体" w:cs="宋体"/>
                <w:color w:val="auto"/>
                <w:sz w:val="24"/>
                <w:szCs w:val="24"/>
                <w:highlight w:val="none"/>
                <w:lang w:val="en-US" w:eastAsia="zh-CN"/>
              </w:rPr>
              <w:t xml:space="preserve"> </w:t>
            </w:r>
            <w:r>
              <w:rPr>
                <w:rStyle w:val="4"/>
                <w:rFonts w:hint="eastAsia" w:ascii="宋体" w:hAnsi="宋体" w:eastAsia="宋体" w:cs="宋体"/>
                <w:color w:val="auto"/>
                <w:sz w:val="24"/>
                <w:szCs w:val="24"/>
                <w:highlight w:val="none"/>
              </w:rPr>
              <w:t>25600。</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2、光学变倍范围：≥10X-400X。</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3、放大倍数：≥400X。</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4、对焦方式：自动。</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5、变焦方式：自动及手动。</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▲6、连接方式：WiFi。</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光源种类：白光、紫外、红光。</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★7、微量物证发现模块应支持通过主机进行对焦、放大、光源切换、拍照、录像等操作。</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▲8、微量物证发现模块应支持选择10倍、60倍、400倍及其他放大倍率。</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★9、微量物证发现模块应具有电子标记功能，可标记图像中两点之间距离（单位mm）和圆形面积（单位mm</w:t>
            </w:r>
            <w:r>
              <w:rPr>
                <w:rStyle w:val="4"/>
                <w:rFonts w:hint="eastAsia" w:ascii="宋体" w:hAnsi="宋体" w:eastAsia="宋体" w:cs="宋体"/>
                <w:color w:val="auto"/>
                <w:sz w:val="24"/>
                <w:szCs w:val="24"/>
                <w:highlight w:val="none"/>
                <w:vertAlign w:val="superscript"/>
              </w:rPr>
              <w:t>2</w:t>
            </w:r>
            <w:r>
              <w:rPr>
                <w:rStyle w:val="4"/>
                <w:rFonts w:hint="eastAsia" w:ascii="宋体" w:hAnsi="宋体" w:eastAsia="宋体" w:cs="宋体"/>
                <w:color w:val="auto"/>
                <w:sz w:val="24"/>
                <w:szCs w:val="24"/>
                <w:highlight w:val="none"/>
              </w:rPr>
              <w:t>）。</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lang w:eastAsia="zh-CN"/>
              </w:rPr>
            </w:pPr>
            <w:r>
              <w:rPr>
                <w:rStyle w:val="4"/>
                <w:rFonts w:hint="eastAsia" w:ascii="宋体" w:hAnsi="宋体" w:eastAsia="宋体" w:cs="宋体"/>
                <w:color w:val="auto"/>
                <w:sz w:val="24"/>
                <w:szCs w:val="24"/>
                <w:highlight w:val="none"/>
              </w:rPr>
              <w:t>10、接收滤光方式：自动切换</w:t>
            </w:r>
            <w:r>
              <w:rPr>
                <w:rStyle w:val="4"/>
                <w:rFonts w:hint="eastAsia" w:ascii="宋体" w:hAnsi="宋体" w:eastAsia="宋体" w:cs="宋体"/>
                <w:color w:val="auto"/>
                <w:sz w:val="24"/>
                <w:szCs w:val="24"/>
                <w:highlight w:val="none"/>
                <w:lang w:eastAsia="zh-CN"/>
              </w:rPr>
              <w:t>。</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11、大景深：可搜索孔径、缝隙内组织（±2mm）。</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lang w:val="en-US" w:eastAsia="zh-CN"/>
              </w:rPr>
              <w:t>12、</w:t>
            </w:r>
            <w:r>
              <w:rPr>
                <w:rStyle w:val="4"/>
                <w:rFonts w:hint="eastAsia" w:ascii="宋体" w:hAnsi="宋体" w:eastAsia="宋体" w:cs="宋体"/>
                <w:color w:val="auto"/>
                <w:sz w:val="24"/>
                <w:szCs w:val="24"/>
                <w:highlight w:val="none"/>
              </w:rPr>
              <w:t>粘取窗口：磁吸式粘取窗口。</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66</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技术开锁痕迹发现仪</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对技术开锁锁芯痕迹进行观测，取证。</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1、尺寸：≤120x40x30mm。</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2、开启方式：推起式一键开启。</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3、图像传输方式：Type-C连接。</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4、连接设备：安卓设备。</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5、控制方式：APP控制。</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6、操作系统；安卓系统。显示屏：≥6.5</w:t>
            </w:r>
            <w:r>
              <w:rPr>
                <w:rStyle w:val="4"/>
                <w:rFonts w:hint="eastAsia" w:ascii="宋体" w:hAnsi="宋体" w:eastAsia="宋体" w:cs="宋体"/>
                <w:color w:val="auto"/>
                <w:sz w:val="24"/>
                <w:szCs w:val="24"/>
                <w:highlight w:val="none"/>
                <w:lang w:eastAsia="zh-CN"/>
              </w:rPr>
              <w:t>英寸</w:t>
            </w:r>
            <w:r>
              <w:rPr>
                <w:rStyle w:val="4"/>
                <w:rFonts w:hint="eastAsia" w:ascii="宋体" w:hAnsi="宋体" w:eastAsia="宋体" w:cs="宋体"/>
                <w:color w:val="auto"/>
                <w:sz w:val="24"/>
                <w:szCs w:val="24"/>
                <w:highlight w:val="none"/>
              </w:rPr>
              <w:t>。</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7、处理器：8核，2.4GHz</w:t>
            </w:r>
            <w:r>
              <w:rPr>
                <w:rStyle w:val="4"/>
                <w:rFonts w:hint="eastAsia" w:ascii="宋体" w:hAnsi="宋体" w:eastAsia="宋体" w:cs="宋体"/>
                <w:color w:val="auto"/>
                <w:sz w:val="24"/>
                <w:szCs w:val="24"/>
                <w:highlight w:val="none"/>
                <w:lang w:eastAsia="zh-CN"/>
              </w:rPr>
              <w:t>及以上</w:t>
            </w:r>
            <w:r>
              <w:rPr>
                <w:rStyle w:val="4"/>
                <w:rFonts w:hint="eastAsia" w:ascii="宋体" w:hAnsi="宋体" w:eastAsia="宋体" w:cs="宋体"/>
                <w:color w:val="auto"/>
                <w:sz w:val="24"/>
                <w:szCs w:val="24"/>
                <w:highlight w:val="none"/>
              </w:rPr>
              <w:t>主频。</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8、主机可通过插入SIM卡。达到5G网络连接。</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9、内窥头内置光源：内置。</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10光源类型：LED白光。连接方式：Type-C接口连接。</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11、光源控制方式：手机控制。</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12、APP控制程序：光源强度、拍照、录像等。</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13、图片视频保存位置：可直接保存在手机相册里面。</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14、内窥镜直接：≤1.8mm。</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15、检测管材质：铝合金。控制显示屏幕材质：OLED。</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16、控制显示屏幕尺寸：≥0.95</w:t>
            </w:r>
            <w:r>
              <w:rPr>
                <w:rStyle w:val="4"/>
                <w:rFonts w:hint="eastAsia" w:ascii="宋体" w:hAnsi="宋体" w:eastAsia="宋体" w:cs="宋体"/>
                <w:color w:val="auto"/>
                <w:sz w:val="24"/>
                <w:szCs w:val="24"/>
                <w:highlight w:val="none"/>
                <w:lang w:eastAsia="zh-CN"/>
              </w:rPr>
              <w:t>英寸</w:t>
            </w:r>
            <w:r>
              <w:rPr>
                <w:rStyle w:val="4"/>
                <w:rFonts w:hint="eastAsia" w:ascii="宋体" w:hAnsi="宋体" w:eastAsia="宋体" w:cs="宋体"/>
                <w:color w:val="auto"/>
                <w:sz w:val="24"/>
                <w:szCs w:val="24"/>
                <w:highlight w:val="none"/>
              </w:rPr>
              <w:t>。</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17、控制显示屏慕可显示：光强的强度，设备型号。</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18、检测长度：≥55mm。</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19、分辨率：≥400x400。</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67</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5号碱性电池</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5号/20粒（盒）</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1、碱性电池。</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2、规格:5号/20粒（盒）。</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68</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7号碱性电池</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7号/20粒（盒）</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1、碱性电池。</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2、规格：7号/20粒（盒）。</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69</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口罩</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只</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1、无纺布材质，三层防护。</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2000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70</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白大褂</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件</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1、面料：涤棉或化纤。</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lang w:eastAsia="zh-CN"/>
              </w:rPr>
            </w:pPr>
            <w:r>
              <w:rPr>
                <w:rStyle w:val="4"/>
                <w:rFonts w:hint="eastAsia" w:ascii="宋体" w:hAnsi="宋体" w:eastAsia="宋体" w:cs="宋体"/>
                <w:color w:val="auto"/>
                <w:sz w:val="24"/>
                <w:szCs w:val="24"/>
                <w:highlight w:val="none"/>
              </w:rPr>
              <w:t>2、柔软抗皱</w:t>
            </w:r>
            <w:r>
              <w:rPr>
                <w:rStyle w:val="4"/>
                <w:rFonts w:hint="eastAsia" w:ascii="宋体" w:hAnsi="宋体" w:eastAsia="宋体" w:cs="宋体"/>
                <w:color w:val="auto"/>
                <w:sz w:val="24"/>
                <w:szCs w:val="24"/>
                <w:highlight w:val="none"/>
                <w:lang w:eastAsia="zh-CN"/>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71</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冰箱</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lang w:val="en-US" w:eastAsia="zh-CN"/>
              </w:rPr>
            </w:pPr>
            <w:r>
              <w:rPr>
                <w:rStyle w:val="4"/>
                <w:rFonts w:hint="eastAsia" w:ascii="宋体" w:hAnsi="宋体" w:eastAsia="宋体" w:cs="宋体"/>
                <w:color w:val="auto"/>
                <w:sz w:val="24"/>
                <w:szCs w:val="24"/>
                <w:highlight w:val="none"/>
                <w:lang w:val="en-US" w:eastAsia="zh-CN"/>
              </w:rPr>
              <w:t>台</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1、单门，定频，一级能效。</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2、制冷方式：直冷。</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72</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净水机</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lang w:val="en-US" w:eastAsia="zh-CN"/>
              </w:rPr>
              <w:t>台</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1、全自动上水。</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2、多档调温。</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73</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研判学习交流展示器</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lang w:val="en-US" w:eastAsia="zh-CN"/>
              </w:rPr>
              <w:t>台</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1、屏幕尺寸：100</w:t>
            </w:r>
            <w:r>
              <w:rPr>
                <w:rStyle w:val="4"/>
                <w:rFonts w:hint="eastAsia" w:ascii="宋体" w:hAnsi="宋体" w:eastAsia="宋体" w:cs="宋体"/>
                <w:color w:val="auto"/>
                <w:sz w:val="24"/>
                <w:szCs w:val="24"/>
                <w:highlight w:val="none"/>
                <w:lang w:eastAsia="zh-CN"/>
              </w:rPr>
              <w:t>英寸</w:t>
            </w:r>
            <w:r>
              <w:rPr>
                <w:rStyle w:val="4"/>
                <w:rFonts w:hint="eastAsia" w:ascii="宋体" w:hAnsi="宋体" w:eastAsia="宋体" w:cs="宋体"/>
                <w:color w:val="auto"/>
                <w:sz w:val="24"/>
                <w:szCs w:val="24"/>
                <w:highlight w:val="none"/>
              </w:rPr>
              <w:t>。</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2、存储内存≥</w:t>
            </w:r>
            <w:r>
              <w:rPr>
                <w:rStyle w:val="4"/>
                <w:rFonts w:hint="eastAsia" w:ascii="宋体" w:hAnsi="宋体" w:eastAsia="宋体" w:cs="宋体"/>
                <w:color w:val="auto"/>
                <w:sz w:val="24"/>
                <w:szCs w:val="24"/>
                <w:highlight w:val="none"/>
                <w:lang w:val="en-US" w:eastAsia="zh-CN"/>
              </w:rPr>
              <w:t>128</w:t>
            </w:r>
            <w:r>
              <w:rPr>
                <w:rStyle w:val="4"/>
                <w:rFonts w:hint="eastAsia" w:ascii="宋体" w:hAnsi="宋体" w:eastAsia="宋体" w:cs="宋体"/>
                <w:color w:val="auto"/>
                <w:sz w:val="24"/>
                <w:szCs w:val="24"/>
                <w:highlight w:val="none"/>
              </w:rPr>
              <w:t>GB。</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3、CPU架构：四核A73。</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4、运行内存/RAM：</w:t>
            </w:r>
            <w:r>
              <w:rPr>
                <w:rStyle w:val="4"/>
                <w:rFonts w:hint="eastAsia" w:ascii="宋体" w:hAnsi="宋体" w:eastAsia="宋体" w:cs="宋体"/>
                <w:color w:val="auto"/>
                <w:sz w:val="24"/>
                <w:szCs w:val="24"/>
                <w:highlight w:val="none"/>
                <w:lang w:eastAsia="zh-CN"/>
              </w:rPr>
              <w:t>≥</w:t>
            </w:r>
            <w:r>
              <w:rPr>
                <w:rStyle w:val="4"/>
                <w:rFonts w:hint="eastAsia" w:ascii="宋体" w:hAnsi="宋体" w:eastAsia="宋体" w:cs="宋体"/>
                <w:color w:val="auto"/>
                <w:sz w:val="24"/>
                <w:szCs w:val="24"/>
                <w:highlight w:val="none"/>
              </w:rPr>
              <w:t>4GB。</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5、能效：一级能效。</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6、系统：Android。</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default" w:ascii="宋体" w:hAnsi="宋体" w:eastAsia="宋体" w:cs="宋体"/>
                <w:color w:val="auto"/>
                <w:sz w:val="24"/>
                <w:szCs w:val="24"/>
                <w:highlight w:val="none"/>
                <w:lang w:val="en-US" w:eastAsia="zh-CN"/>
              </w:rPr>
            </w:pPr>
            <w:r>
              <w:rPr>
                <w:rStyle w:val="4"/>
                <w:rFonts w:hint="eastAsia" w:ascii="宋体" w:hAnsi="宋体" w:eastAsia="宋体" w:cs="宋体"/>
                <w:color w:val="auto"/>
                <w:sz w:val="24"/>
                <w:szCs w:val="24"/>
                <w:highlight w:val="none"/>
                <w:lang w:val="en-US" w:eastAsia="zh-CN"/>
              </w:rPr>
              <w:t>7、背光方式：Mini-LED。</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default" w:ascii="宋体" w:hAnsi="宋体" w:eastAsia="宋体" w:cs="宋体"/>
                <w:color w:val="auto"/>
                <w:sz w:val="24"/>
                <w:szCs w:val="24"/>
                <w:highlight w:val="none"/>
                <w:lang w:val="en-US" w:eastAsia="zh-CN"/>
              </w:rPr>
            </w:pPr>
            <w:r>
              <w:rPr>
                <w:rStyle w:val="4"/>
                <w:rFonts w:hint="eastAsia" w:ascii="宋体" w:hAnsi="宋体" w:eastAsia="宋体" w:cs="宋体"/>
                <w:color w:val="auto"/>
                <w:sz w:val="24"/>
                <w:szCs w:val="24"/>
                <w:highlight w:val="none"/>
                <w:lang w:val="en-US" w:eastAsia="zh-CN"/>
              </w:rPr>
              <w:t>8、WiFi频段：2.4G和5G。</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vMerge w:val="restart"/>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F14公安网、互联网、视频网全部接口、联网设备（含电脑、打印机、仪器设备等）安装调试到位。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74</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交换机</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lang w:val="en-US" w:eastAsia="zh-CN"/>
              </w:rPr>
              <w:t>台</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1、全千兆交换机。上行端口速率：千兆，下行端口速率：千兆。</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2、端口类型：2千兆以太网电口、千兆光纤口。</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w:t>
            </w:r>
          </w:p>
        </w:tc>
        <w:tc>
          <w:tcPr>
            <w:tcW w:w="1299" w:type="dxa"/>
            <w:vMerge w:val="continue"/>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75</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光模块</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单模千兆光模块</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1、上行端口速率：千兆。端口类型：光口。端口数量：2口。</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w:t>
            </w:r>
          </w:p>
        </w:tc>
        <w:tc>
          <w:tcPr>
            <w:tcW w:w="1299" w:type="dxa"/>
            <w:vMerge w:val="continue"/>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76</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交换机</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lang w:val="en-US" w:eastAsia="zh-CN"/>
              </w:rPr>
              <w:t>台</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1、全千兆交换。</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2、端口类型：千兆电口、口千兆光口。</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vMerge w:val="continue"/>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77</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光纤跳线</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ST-LC单模双芯</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1、外护套材质：PVC。</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w:t>
            </w:r>
          </w:p>
        </w:tc>
        <w:tc>
          <w:tcPr>
            <w:tcW w:w="1299" w:type="dxa"/>
            <w:vMerge w:val="continue"/>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78</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网络跳线</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3米六类网络跳线</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1、性能等级：六类网线。</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2、PVC外被。</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3、长度≥3米。</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w:t>
            </w:r>
          </w:p>
        </w:tc>
        <w:tc>
          <w:tcPr>
            <w:tcW w:w="1299" w:type="dxa"/>
            <w:vMerge w:val="continue"/>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79</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路由器</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符合Wi-Fi 7 6500兆。</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1、符合Wi-Fi 7 6500兆。</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2、调制方式：4K QAM。</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3、外置天线，天线数量：≥4个。</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w:t>
            </w:r>
          </w:p>
        </w:tc>
        <w:tc>
          <w:tcPr>
            <w:tcW w:w="1299" w:type="dxa"/>
            <w:vMerge w:val="continue"/>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80</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交换机</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千兆8口</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1、端口数量：≥8口。</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2、上行端口速率：千兆，下行端口速率：千兆。</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vMerge w:val="continue"/>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81</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网线制作（含辅材）</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批</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1、一批含辅材。</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vMerge w:val="continue"/>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82</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机柜线路整理上架</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批</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1、机柜线路整理上架。</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vMerge w:val="continue"/>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83</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半面式防毒防臭面具</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副</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1、半面式。</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2、能配合配套滤盒、滤棉，面具本体可清洗，配件可更换。</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84</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全面式防毒防臭面具</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副</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1、全面式，宽视窗设计,视野极佳。</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2、面部密封处为硅胶材质。</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3、冷流量呼气阀，四结点头带，易调节。</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85</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医用橡胶手套</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8号/双</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1、尺寸：8号。</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lang w:eastAsia="zh-CN"/>
              </w:rPr>
            </w:pPr>
            <w:r>
              <w:rPr>
                <w:rStyle w:val="4"/>
                <w:rFonts w:hint="eastAsia" w:ascii="宋体" w:hAnsi="宋体" w:eastAsia="宋体" w:cs="宋体"/>
                <w:color w:val="auto"/>
                <w:sz w:val="24"/>
                <w:szCs w:val="24"/>
                <w:highlight w:val="none"/>
              </w:rPr>
              <w:t>2、具有防水、防滑、耐磨</w:t>
            </w:r>
            <w:r>
              <w:rPr>
                <w:rStyle w:val="4"/>
                <w:rFonts w:hint="eastAsia" w:ascii="宋体" w:hAnsi="宋体" w:eastAsia="宋体" w:cs="宋体"/>
                <w:color w:val="auto"/>
                <w:sz w:val="24"/>
                <w:szCs w:val="24"/>
                <w:highlight w:val="none"/>
                <w:lang w:eastAsia="zh-CN"/>
              </w:rPr>
              <w:t>性。</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lang w:val="en-US" w:eastAsia="zh-CN"/>
              </w:rPr>
              <w:t>3、</w:t>
            </w:r>
            <w:r>
              <w:rPr>
                <w:rStyle w:val="4"/>
                <w:rFonts w:hint="eastAsia" w:ascii="宋体" w:hAnsi="宋体" w:eastAsia="宋体" w:cs="宋体"/>
                <w:color w:val="auto"/>
                <w:sz w:val="24"/>
                <w:szCs w:val="24"/>
                <w:highlight w:val="none"/>
              </w:rPr>
              <w:t>材质：天然乳胶。</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86</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医用一次性解剖防护服</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连体式（XL号、XXL号）/套</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1、具有透气、防尘、防飞溅功能。</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2、材质：无纺布。</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3、尺码：XL号、XXL号。</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87</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解剖刀柄</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4号/个</w:t>
            </w:r>
          </w:p>
        </w:tc>
        <w:tc>
          <w:tcPr>
            <w:tcW w:w="3933" w:type="dxa"/>
            <w:noWrap w:val="0"/>
            <w:vAlign w:val="center"/>
          </w:tcPr>
          <w:p>
            <w:pPr>
              <w:pStyle w:val="5"/>
              <w:keepNext w:val="0"/>
              <w:keepLines w:val="0"/>
              <w:pageBreakBefore w:val="0"/>
              <w:widowControl w:val="0"/>
              <w:numPr>
                <w:ilvl w:val="0"/>
                <w:numId w:val="2"/>
              </w:numPr>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规格：4号手术刀柄。</w:t>
            </w:r>
          </w:p>
          <w:p>
            <w:pPr>
              <w:pStyle w:val="5"/>
              <w:keepNext w:val="0"/>
              <w:keepLines w:val="0"/>
              <w:pageBreakBefore w:val="0"/>
              <w:widowControl w:val="0"/>
              <w:numPr>
                <w:ilvl w:val="0"/>
                <w:numId w:val="2"/>
              </w:numPr>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材质：不锈钢或碳钢</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3、长度≥130mm，厚度≥2mm。</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88</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解剖刀片</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圆头、尖头/包</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1、规格：圆头、尖头。</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2、材质：不锈钢或碳钢。</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89</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解剖剪</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18厘米直尖，直圆/把</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1、材质：不锈钢或碳钢。</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2、尺寸≥18</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3、规格；直尖头，直圆头。</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90</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咬骨钳</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大号/把</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1、材质：不锈钢或碳钢。</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2、尺寸：大号。</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91</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止血钳</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直头，弯头，18厘米/把</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1、材质：不锈钢或碳钢。</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2、尺寸：长≥18</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3、规格：直头，弯头。</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92</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眼科剪</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直头/把</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1、材质：不锈钢或碳钢。</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2、规格：直头。</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93</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持针钳</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粗大号，20厘米/把</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1、材质：不锈钢或碳钢。2、尺寸长度≥20</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94</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缝合针</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13*55/包</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1、规格：13*55。</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2、材质：不锈钢或碳钢。</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95</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缝合线</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10号/支</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1、规格：10号。</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2、材质：真丝。</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96</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穿刺针</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个</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1、材质：不锈钢或碳钢。</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97</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尸体测温仪</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个</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1、采用半导体传感电子测温。</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2、把半导体传感器插入尸体的肛门中，传感器将肛门内的温度值转化成电信号，并传输给测温仪，温度数值显示在液晶屏上。</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3、测温范围：-50℃～+100℃，测量精度：0.1℃。</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98</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法医解剖室器材维护</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年</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lang w:eastAsia="zh-CN"/>
              </w:rPr>
            </w:pPr>
            <w:r>
              <w:rPr>
                <w:rStyle w:val="4"/>
                <w:rFonts w:hint="eastAsia" w:ascii="宋体" w:hAnsi="宋体" w:eastAsia="宋体" w:cs="宋体"/>
                <w:color w:val="auto"/>
                <w:sz w:val="24"/>
                <w:szCs w:val="24"/>
                <w:highlight w:val="none"/>
              </w:rPr>
              <w:t>1、器材维护一年</w:t>
            </w:r>
            <w:r>
              <w:rPr>
                <w:rStyle w:val="4"/>
                <w:rFonts w:hint="eastAsia" w:ascii="宋体" w:hAnsi="宋体" w:eastAsia="宋体" w:cs="宋体"/>
                <w:color w:val="auto"/>
                <w:sz w:val="24"/>
                <w:szCs w:val="24"/>
                <w:highlight w:val="none"/>
                <w:lang w:eastAsia="zh-CN"/>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99</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84消毒液</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500毫升/瓶</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1、主要成分：</w:t>
            </w:r>
            <w:r>
              <w:rPr>
                <w:rStyle w:val="4"/>
                <w:rFonts w:hint="eastAsia" w:ascii="宋体" w:hAnsi="宋体" w:eastAsia="宋体" w:cs="宋体"/>
                <w:color w:val="auto"/>
                <w:sz w:val="24"/>
                <w:szCs w:val="24"/>
                <w:highlight w:val="none"/>
                <w:lang w:eastAsia="zh-CN"/>
              </w:rPr>
              <w:t>次</w:t>
            </w:r>
            <w:r>
              <w:rPr>
                <w:rStyle w:val="4"/>
                <w:rFonts w:hint="eastAsia" w:ascii="宋体" w:hAnsi="宋体" w:eastAsia="宋体" w:cs="宋体"/>
                <w:color w:val="auto"/>
                <w:sz w:val="24"/>
                <w:szCs w:val="24"/>
                <w:highlight w:val="none"/>
              </w:rPr>
              <w:t>氯酸钠。</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2、容量：500</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/瓶。</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100</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lang w:eastAsia="zh-CN"/>
              </w:rPr>
              <w:t>络</w:t>
            </w:r>
            <w:r>
              <w:rPr>
                <w:rStyle w:val="4"/>
                <w:rFonts w:hint="eastAsia" w:ascii="宋体" w:hAnsi="宋体" w:eastAsia="宋体" w:cs="宋体"/>
                <w:color w:val="auto"/>
                <w:sz w:val="24"/>
                <w:szCs w:val="24"/>
                <w:highlight w:val="none"/>
              </w:rPr>
              <w:t>合碘</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100毫升/瓶</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1、主要成分：聚维酮碘，有效点含量4.5-5.5g/L。</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2、容量：100</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/瓶。</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101</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插线板</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2米、5米各半/个</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1、尺寸：长度：2米，5米。</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102</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免洗清洁剂</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100毫升/瓶</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1、容量：100</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/瓶。</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103</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消毒酒精</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500毫升/瓶</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1、乙醇有效含量75%±5%。</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2、容量：500</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/瓶。</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104</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皮肤消毒液</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100毫升/瓶</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1、容量：100</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/瓶。</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105</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医用卫生棉签</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包</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1、规格：单头，50支/包。</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106</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带盖试管</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20毫升，50毫升/各50支</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1、规格：带盖，20</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 xml:space="preserve"> 50支，50</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 xml:space="preserve"> 50支。</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107</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油性记号笔</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双头/红黑各10支</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1、规格：红色双头，黑色双头。</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108</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白棉纱手套</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双</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1、加厚工艺。</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109</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医用外科口罩</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独立包装/个</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1、独立包装。挂耳式。2、细菌过滤效率大≥95%。</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110</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无菌医用纱布</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独立包装（大盒包装）/大包</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lang w:eastAsia="zh-CN"/>
              </w:rPr>
            </w:pPr>
            <w:r>
              <w:rPr>
                <w:rStyle w:val="4"/>
                <w:rFonts w:hint="eastAsia" w:ascii="宋体" w:hAnsi="宋体" w:eastAsia="宋体" w:cs="宋体"/>
                <w:color w:val="auto"/>
                <w:sz w:val="24"/>
                <w:szCs w:val="24"/>
                <w:highlight w:val="none"/>
              </w:rPr>
              <w:t>1、灭菌级</w:t>
            </w:r>
            <w:r>
              <w:rPr>
                <w:rStyle w:val="4"/>
                <w:rFonts w:hint="eastAsia" w:ascii="宋体" w:hAnsi="宋体" w:eastAsia="宋体" w:cs="宋体"/>
                <w:color w:val="auto"/>
                <w:sz w:val="24"/>
                <w:szCs w:val="24"/>
                <w:highlight w:val="none"/>
                <w:lang w:eastAsia="zh-CN"/>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111</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医用N95、KN95以上级别口罩</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产品符合GB19083-2010标准/个</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1、符合GB19083-2010标准。</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112</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短筒实验室防滑水鞋浅口</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41和43码各5双/双</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1、短筒，防滑。</w:t>
            </w:r>
          </w:p>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2、鞋面材质PVC。</w:t>
            </w:r>
          </w:p>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3、尺码：41码，43码。各5双。</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113</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长筒雨鞋</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41和43码各5双/双</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1、长筒，防滑。</w:t>
            </w:r>
          </w:p>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2、鞋面材质PVC。</w:t>
            </w:r>
          </w:p>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3、尺码：41码，43码各5双。</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114</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一次性雨衣</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中号、大号各25套/套</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1、材质：EVA或PVC材质。</w:t>
            </w:r>
          </w:p>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2、尺码：中号，大号。</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115</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钢卷尺</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5米/个</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1、外壳材质EVA，尺带材质不锈钢或碳钢。</w:t>
            </w:r>
          </w:p>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2、长度≥5米。</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116</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胶带</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大号/卷</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1、规格：宽≥6</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，大号。</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117</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不锈钢直尺</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20厘米/把</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1、材质：不锈钢。</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2、长度：≥20</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118</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数据存储器</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8T/个</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1、容量≥8TB。</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119</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洗手液</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/瓶</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1、抑菌，去污。</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120</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毛巾</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条（质量好）/条</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1、含棉量≥90%。</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121</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整理箱</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大号/透明/个</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1、尺寸≥41</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×30</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×20</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2、颜色：透明。</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122</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抽纸</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包</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1、规格：100抽/包。</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123</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卷纸</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包</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1、规格150g/卷。</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124</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理发器</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个</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1、全身可水洗，陶瓷刀头，充插两用，两档调速。</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2、充电时间≤3h。</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现勘、尸检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125</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显血试剂</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血迹物证极速显现试剂</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1、血迹快速显现。</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2、规格150</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/套。</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126</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靶向试剂</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痕迹物证极速显现试剂</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1、痕迹物证快速显现。</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2、规格10</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*6支/盒。</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127</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502熏显剂</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1、脱胶指纹熏显剂，环保无毒，熏显后检材表面易清洗。</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2、熏显剂挥发性好﹑颗粒细﹑熏显效果好﹑非熏显客体表面污染少易清除﹑熏显效果反差大。</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128</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粘性表面指纹黑色显现剂</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1、用于显现胶带等各种粘性客体表面的潜在指纹。</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2、在粘性客体表面上用指纹刷均匀地涂抹显现剂，等候15s后，用小水流冲洗掉多余试剂，即可观察显现效果，晾干后可拍照保存。</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3、显现剂不含有害化学物质，并可长期保存。</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4、规格：250</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／瓶。</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0" w:hRule="atLeast"/>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129</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粘性表面指纹白色显现剂</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1、用于显现胶带等各种粘性客体表面的潜在指纹。</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2、在粘性客体表面上用指纹刷均匀地涂抹显现剂，等候15s后，用小水流冲洗掉多余试剂，即可观察显现效果，晾干后可拍照保存。</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3、显现剂不含有害化学物质，并可长期保存。</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4、规格：250</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／瓶。</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0" w:hRule="atLeast"/>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130</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黑色胶粘面手印显现剂</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1、用于显现胶带等各种粘性客体表面的潜在指纹。</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2、在粘性客体表面上用指纹刷均匀地涂抹显现剂，等候15s后，用小水流冲洗掉多余试剂，即可观察显现效果，晾干后可拍照保存。</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3、显现剂不含有害化学物质，并可长期保存。</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4、规格：250</w:t>
            </w:r>
            <w:r>
              <w:rPr>
                <w:rStyle w:val="4"/>
                <w:rFonts w:hint="eastAsia" w:ascii="宋体" w:hAnsi="宋体" w:eastAsia="宋体" w:cs="宋体"/>
                <w:color w:val="auto"/>
                <w:sz w:val="24"/>
                <w:szCs w:val="24"/>
                <w:highlight w:val="none"/>
                <w:lang w:eastAsia="zh-CN"/>
              </w:rPr>
              <w:t>ml</w:t>
            </w:r>
            <w:r>
              <w:rPr>
                <w:rStyle w:val="4"/>
                <w:rFonts w:hint="eastAsia" w:ascii="宋体" w:hAnsi="宋体" w:eastAsia="宋体" w:cs="宋体"/>
                <w:color w:val="auto"/>
                <w:sz w:val="24"/>
                <w:szCs w:val="24"/>
                <w:highlight w:val="none"/>
              </w:rPr>
              <w:t>／瓶。</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131</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胶带剥离液</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1、适用于剥离相互粘连的胶带，也适用于剥离粘贴在纸制品上的胶带。</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7" w:hRule="atLeast"/>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132</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指纹胶带</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1、具有透明度高、涂胶层均匀、洁净无杂质等特点。</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2、粘度大、粘附力强、油性胶质不潮解。50μm厚的涤纶片基硬度大、形变小，粘附指纹时不易产生气泡，胶质与片基结合牢固不脱胶。</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3、适用于粘取指纹、和各种微量物证。</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133</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掌纹胶带</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1、掌纹提取，具有透明度高、涂胶层均匀、洁净无杂质等特点。</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2、粘度大、粘附力强、油性胶质不潮解。50μm厚的涤纶片基硬度大、形变小，粘附掌纹时不易产生气泡，胶质与片基结合牢固不脱胶。</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3、适用于粘取指纹、掌纹和各种微量物证。</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134</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指纹捺印盒（单指型）</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1、采用微孔高分子材料作为印油渗透墨板，其硬质表面保证印油只沾附在乳突纹线上，而不沾染小犁沟，捺印出的指纹纹线清晰细腻。</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lang w:eastAsia="zh-CN"/>
              </w:rPr>
            </w:pPr>
            <w:r>
              <w:rPr>
                <w:rStyle w:val="4"/>
                <w:rFonts w:hint="eastAsia" w:ascii="宋体" w:hAnsi="宋体" w:eastAsia="宋体" w:cs="宋体"/>
                <w:color w:val="auto"/>
                <w:sz w:val="24"/>
                <w:szCs w:val="24"/>
                <w:highlight w:val="none"/>
              </w:rPr>
              <w:t>2、规格：Φ50mm</w:t>
            </w:r>
            <w:r>
              <w:rPr>
                <w:rStyle w:val="4"/>
                <w:rFonts w:hint="eastAsia" w:ascii="宋体" w:hAnsi="宋体" w:eastAsia="宋体" w:cs="宋体"/>
                <w:color w:val="auto"/>
                <w:sz w:val="24"/>
                <w:szCs w:val="24"/>
                <w:highlight w:val="none"/>
                <w:lang w:eastAsia="zh-CN"/>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135</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指纹捺印盒（全掌型）</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1、采用微孔高分子材料作为印油渗透墨板，其硬质表面保证印油只沾附在乳突纹线上，而不沾染小犁沟，捺印出的掌纹纹线清晰细腻。</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2、外观尺寸：≥197×145</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136</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十指指纹信息卡</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1、规格：A4幅面，白色，50张/包。</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137</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尸体指纹采集包</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1、采集包需配备：大号手指扳直器1个，指纹捺印盒1个，小号手指扳直器1个，左手指纹捺印卡1本，尸体指纹捺印器1个，右手指纹捺印卡1本，收纳盒1个。</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4" w:hRule="atLeast"/>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138</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现场勘验检查工作记录</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1、用于现场勘察记录使用，A4纸型。</w:t>
            </w:r>
          </w:p>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勘验检查情况”栏记录内容包括现场方位和环境情况；中心现场情况；现场变动状况；与犯罪有关的痕迹和物品的名称、部位、数量、性状、分布等；尸体的位置、姿势、衣着、随身携带物品、损伤、血迹分布、形状和数量等。</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139</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充电LED触碰变倍马蹄镜</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kern w:val="2"/>
                <w:sz w:val="24"/>
                <w:szCs w:val="24"/>
                <w:highlight w:val="none"/>
                <w:lang w:val="en-US" w:eastAsia="zh-CN" w:bidi="ar-SA"/>
              </w:rPr>
              <w:t>1、</w:t>
            </w:r>
            <w:r>
              <w:rPr>
                <w:rStyle w:val="4"/>
                <w:rFonts w:hint="eastAsia" w:ascii="宋体" w:hAnsi="宋体" w:eastAsia="宋体" w:cs="宋体"/>
                <w:color w:val="auto"/>
                <w:sz w:val="24"/>
                <w:szCs w:val="24"/>
                <w:highlight w:val="none"/>
              </w:rPr>
              <w:t>镜片规格：φ69mm。</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kern w:val="2"/>
                <w:sz w:val="24"/>
                <w:szCs w:val="24"/>
                <w:highlight w:val="none"/>
                <w:lang w:val="en-US" w:eastAsia="zh-CN" w:bidi="ar-SA"/>
              </w:rPr>
              <w:t>2、</w:t>
            </w:r>
            <w:r>
              <w:rPr>
                <w:rStyle w:val="4"/>
                <w:rFonts w:hint="eastAsia" w:ascii="宋体" w:hAnsi="宋体" w:eastAsia="宋体" w:cs="宋体"/>
                <w:color w:val="auto"/>
                <w:sz w:val="24"/>
                <w:szCs w:val="24"/>
                <w:highlight w:val="none"/>
              </w:rPr>
              <w:t>放大倍数：5～7x。</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kern w:val="2"/>
                <w:sz w:val="24"/>
                <w:szCs w:val="24"/>
                <w:highlight w:val="none"/>
                <w:lang w:val="en-US" w:eastAsia="zh-CN" w:bidi="ar-SA"/>
              </w:rPr>
              <w:t>3、</w:t>
            </w:r>
            <w:r>
              <w:rPr>
                <w:rStyle w:val="4"/>
                <w:rFonts w:hint="eastAsia" w:ascii="宋体" w:hAnsi="宋体" w:eastAsia="宋体" w:cs="宋体"/>
                <w:color w:val="auto"/>
                <w:sz w:val="24"/>
                <w:szCs w:val="24"/>
                <w:highlight w:val="none"/>
              </w:rPr>
              <w:t>产品重量≤186g。              4、光源：3个LED白灯。</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5、电源：聚合物锂电池。</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6、充电时长≤2h。</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140</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轮胎痕迹/足迹采集片</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1、用于采集嫌疑车辆的印痕或采集嫌疑人的足迹样本。</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2、尺寸≤40*28</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141</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交通事故绘图模版</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1、材质：硬质塑料。</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2、模板带有车辆、房屋、人体、牲畜等简图。</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142</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物证牌</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双面两色物证牌，一面为黄色，一面为白色。两面均标有数字1-50，其中一面数字下面附有一个直角比例尺；标记牌可以弯折，可以根据需要将其弯折成不同角度；标记牌上带有两个圆孔，可以将其挂在墙上等垂直面上使用。</w:t>
            </w:r>
          </w:p>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2、材质：PVC。</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143</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黑透双色不干胶比例尺</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1、采用特殊的不干胶及相关材料制成，无反光设计印刷，对胶面进行了弱胶处理，使用后不会在客体上遗留胶质，不会破坏客体的完整性。</w:t>
            </w:r>
          </w:p>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2、尺寸≤6</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144</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黑白双色不干胶比例尺</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1、采用特殊的不干胶及相关材料制成，无反光设计印刷，对胶面进行了弱胶处理，使用后不会在客体上遗留胶质，不会破坏客体的完整性。</w:t>
            </w:r>
          </w:p>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2、尺寸≤12</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145</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黑透双色不干胶比例尺</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1、采用特殊的不干胶及相关材料制成，无反光设计印刷，对胶面进行了弱胶处理，使用后不会在客体上遗留胶质，不会破坏客体的完整性。</w:t>
            </w:r>
          </w:p>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2、尺寸≤12</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146</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荧光不干胶比例尺</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1、采用特殊的不干胶及相关材料制成，无反光设计印刷，对胶面进行了弱胶处理，使用后不会在客体上遗留胶质，不会破坏客体的完整性。</w:t>
            </w:r>
          </w:p>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2、尺寸≤12</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147</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可升降比例尺</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1、比例尺由1个可升降的支架、1个15</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黑色比例尺和1个15</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白色比例尺构成。支架和比例尺均为金属材质。</w:t>
            </w:r>
          </w:p>
          <w:p>
            <w:pPr>
              <w:pStyle w:val="5"/>
              <w:keepNext w:val="0"/>
              <w:keepLines w:val="0"/>
              <w:pageBreakBefore w:val="0"/>
              <w:widowControl w:val="0"/>
              <w:kinsoku/>
              <w:wordWrap/>
              <w:overflowPunct/>
              <w:topLinePunct w:val="0"/>
              <w:autoSpaceDE/>
              <w:autoSpaceDN/>
              <w:bidi w:val="0"/>
              <w:adjustRightInd/>
              <w:snapToGrid/>
              <w:spacing w:line="32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2、将比例尺吸附在支架顶端的磁铁上面，比例尺即可随支架进行高度调节。高度调节范围：12～130mm。</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148</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纸质物证袋</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纸物证袋由韧性好、透气性高的优质牛皮纸制成；牛皮纸物证袋不阻止水份蒸发，可防止金属物证锈蚀和生物物证霉变；纸物证袋自带封口条；硫酸纸物证袋对油脂和水的渗透抵抗力强，可用来存放潮湿或浸油的物证。唯一条码，轻松查询，每个物证袋含有唯一条码，方便录入、保管、查询，同时可防止调包。</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2、规格：45</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*30</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*17</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149</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物证箱</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1、材质采用高强度高密度超硬超厚瓦楞纸。</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150</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直圆手术剪</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1、规格：直圆头。</w:t>
            </w:r>
          </w:p>
          <w:p>
            <w:pPr>
              <w:pStyle w:val="5"/>
              <w:keepNext w:val="0"/>
              <w:keepLines w:val="0"/>
              <w:pageBreakBefore w:val="0"/>
              <w:widowControl w:val="0"/>
              <w:kinsoku/>
              <w:wordWrap/>
              <w:overflowPunct/>
              <w:topLinePunct w:val="0"/>
              <w:autoSpaceDE/>
              <w:autoSpaceDN/>
              <w:bidi w:val="0"/>
              <w:adjustRightInd/>
              <w:snapToGrid/>
              <w:spacing w:line="340" w:lineRule="exact"/>
              <w:ind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2、长度≥18</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151</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直头眼科剪</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1、规格：直头。</w:t>
            </w:r>
          </w:p>
          <w:p>
            <w:pPr>
              <w:pStyle w:val="5"/>
              <w:keepNext w:val="0"/>
              <w:keepLines w:val="0"/>
              <w:pageBreakBefore w:val="0"/>
              <w:widowControl w:val="0"/>
              <w:kinsoku/>
              <w:wordWrap/>
              <w:overflowPunct/>
              <w:topLinePunct w:val="0"/>
              <w:autoSpaceDE/>
              <w:autoSpaceDN/>
              <w:bidi w:val="0"/>
              <w:adjustRightInd/>
              <w:snapToGrid/>
              <w:spacing w:line="340" w:lineRule="exact"/>
              <w:ind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2、长度≥10</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152</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分体式现勘防护服</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1、防尘、防液体渗透、防血液、防水等。</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2、材质：透气膜无纺布。</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153</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防割防刺手套</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numPr>
                <w:ilvl w:val="0"/>
                <w:numId w:val="3"/>
              </w:numPr>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材质：高强度纤维。</w:t>
            </w:r>
          </w:p>
          <w:p>
            <w:pPr>
              <w:pStyle w:val="5"/>
              <w:keepNext w:val="0"/>
              <w:keepLines w:val="0"/>
              <w:pageBreakBefore w:val="0"/>
              <w:widowControl w:val="0"/>
              <w:numPr>
                <w:ilvl w:val="0"/>
                <w:numId w:val="3"/>
              </w:numPr>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尺寸≥40</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154</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金属探测器</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1、通过检测显示目标物，清楚的知道所探测的物体深度大小。可适应不同地面环境的变化，保持最佳的探测效果。采用Muli-Flex多频技术。</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2、高分辨率，</w:t>
            </w:r>
            <w:r>
              <w:rPr>
                <w:rStyle w:val="4"/>
                <w:rFonts w:hint="eastAsia" w:ascii="宋体" w:hAnsi="宋体" w:eastAsia="宋体" w:cs="宋体"/>
                <w:color w:val="auto"/>
                <w:sz w:val="24"/>
                <w:szCs w:val="24"/>
                <w:highlight w:val="none"/>
                <w:lang w:eastAsia="zh-CN"/>
              </w:rPr>
              <w:t>≥</w:t>
            </w:r>
            <w:r>
              <w:rPr>
                <w:rStyle w:val="4"/>
                <w:rFonts w:hint="eastAsia" w:ascii="宋体" w:hAnsi="宋体" w:eastAsia="宋体" w:cs="宋体"/>
                <w:color w:val="auto"/>
                <w:sz w:val="24"/>
                <w:szCs w:val="24"/>
                <w:highlight w:val="none"/>
              </w:rPr>
              <w:t>175分辨率点。</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3、带有铁音频，铁音量调节，铁识别光标。音量控制，精准定位。</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4、具有耐水性/耐气候性。</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5、包含国际和美版硬币模式。</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155</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现场勘查单肩斜跨包</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真皮简约版</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1、材质：牛皮。</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156</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USB电热披</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个</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1、可水洗，可充电，碳纤维发热。</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157</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支架</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铝合金可折叠</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1、材质：铝合金。</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2、一体式冲压工艺，可折叠。</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158</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双管生物物证棉签</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双管速干式</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1、双管设计。</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2、速干式。</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159</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数显激光测距仪激光卷尺</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个</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1、激光测距长度≥40M，卷尺长度≥5M。</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2、具备高清背光数显。</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160</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固态硬盘</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4TB</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1、M.2接口。</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2、符合Pcle4.0协议。</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3、容量4TB。</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161</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机械硬盘</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16TB</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1、容量：16TB。</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2、接口类型：SAS。</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3、转速：7200RPM。</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162</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电脑线收纳盒</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1、材质：塑料。</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2、可收纳数据线，电脑线，充电线。</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3、长度≥40</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163</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理线魔术带</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黑色带背胶 50片</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1、可反复粘贴。</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164</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理线带</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灰色手撕 5m</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1、规格：灰色，5M。</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165</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PDU多孔桌下免打孔插座</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八插位防雷款全长2.02m</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1、尺寸：全长≥2.02米。</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2、防雷击。</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166</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快充立式插座</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100W卵石灰</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1、最大电压：250V。</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2、最大功率：2500W。</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167</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显示模块增高架</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单层无线充电款</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1、尺寸≥1100mm*220mm*90mm。</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2、承重≥50</w:t>
            </w:r>
            <w:r>
              <w:rPr>
                <w:rStyle w:val="4"/>
                <w:rFonts w:hint="eastAsia" w:ascii="宋体" w:hAnsi="宋体" w:eastAsia="宋体" w:cs="宋体"/>
                <w:color w:val="auto"/>
                <w:sz w:val="24"/>
                <w:szCs w:val="24"/>
                <w:highlight w:val="none"/>
                <w:lang w:eastAsia="zh-CN"/>
              </w:rPr>
              <w:t>kg</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168</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取证设备升级</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APP解析</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提供涉诈APP和网站检测分析、黑灰要素管理与业务运营、态势感知、智能搜索、黑灰要素全网关联分析、可视化线索经营、联网共享、消息推送等基础应用服务，支撑多跨协同的工作模式。同时包含相关计算服务、网络服务、系统运行技术服务、安全防御服务、定期升级服务等基础支撑服务。</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2、支持对各类手机APP和网站进行智能检测分析。涉诈APP和网站采集。涉诈APP和网站分析检测。</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3、检测过程全程录屏，对实时网络数据流进行标签化处理，自动生成书签记录检测过程关键时间节点及其对应的网络行为信息，用于快速溯源。</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支持录屏视频、网络访问记录、网络数据、系统日志按时序联动回放分析，同时支持搜索、倍速播放、暂停、拖动、卡点等多种方法高效挖掘更多要素信息。支持将关键检测过程添加到书签，辅助准确分析并标注涉案线索，同时支持导出书签标记的关键检测过程。</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5、支持汇聚衡阳市辖区内前端勘查设备采集的涉诈APP和涉诈网站数据，同时支持导入其他来源的涉诈APP和涉诈网站数据，并安全加密存储，形成涉案要素黑灰库，支撑二次检测和研判分析。</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支持通过专用VPN加密安全通道对本辖区及下级单位采集的涉诈APP/网站数据进行统一管理和多维度查询统计，可下载、浏览检测分析结果及历史检测记录，对检测结果进行对比分析。支持二次检测补勘要素信息并上传至现勘系统，为研判分析夯实数据基础。支持导出检测分析报告，包含检测分析结果和下一步侦查建议，为调证提供指引，同时可关联本地和全网检测情况开展研判。</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7、提供IP位置查询服务，定位精度可达区县级别。支持IP查询归属地、所属机构、运营商、自治区编码（ASN）、国家编码、邮政编码、行政编码信息。</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8、深度检测专家服务</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支持在线申请专家服务对涉诈APP和网站进行深度检测，实时查看服务进度，检测结果下载后支持一键上传到现勘系统。</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9、根据使用单位的需求，提供勘查采集情况、设备使用情况、发案态势、发案特征等数据的统计服务，并配合用户完成考核统计。</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2" w:hRule="atLeast"/>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169</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记录仪</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1、传感器类型：</w:t>
            </w:r>
            <w:r>
              <w:rPr>
                <w:rStyle w:val="4"/>
                <w:rFonts w:hint="eastAsia" w:ascii="宋体" w:hAnsi="宋体" w:eastAsia="宋体" w:cs="宋体"/>
                <w:color w:val="auto"/>
                <w:sz w:val="24"/>
                <w:szCs w:val="24"/>
                <w:highlight w:val="none"/>
                <w:lang w:eastAsia="zh-CN"/>
              </w:rPr>
              <w:t>cm</w:t>
            </w:r>
            <w:r>
              <w:rPr>
                <w:rStyle w:val="4"/>
                <w:rFonts w:hint="eastAsia" w:ascii="宋体" w:hAnsi="宋体" w:eastAsia="宋体" w:cs="宋体"/>
                <w:color w:val="auto"/>
                <w:sz w:val="24"/>
                <w:szCs w:val="24"/>
                <w:highlight w:val="none"/>
              </w:rPr>
              <w:t>OS。</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2、有效像素：4000万像素。</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3、镜头：视场角≥155°。</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4、光圈规格：f/2.8。</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5、屏幕：触摸屏，OLED显示屏。</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6、防水功能：裸机≥20米。</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7、内置3个降噪麦克风。</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8、支持蓝牙5.1，Wi-Fi 6.0。</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6" w:hRule="atLeast"/>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170</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便携后备电源</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一、后备电源参数：</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1、端口数量：交流电输出口 × 2，USB-C × 2，USB-A × 2，SDC × 1，SDC Lite × 1，交流电输入口 × 1。</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2、最大使用海拔≥3000 米。</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3、电池规格：电芯材料LFP（磷酸铁锂）。</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4、循环寿命：≥4000次，循环后仍能保持</w:t>
            </w:r>
            <w:r>
              <w:rPr>
                <w:rStyle w:val="4"/>
                <w:rFonts w:hint="eastAsia" w:ascii="宋体" w:hAnsi="宋体" w:eastAsia="宋体" w:cs="宋体"/>
                <w:color w:val="auto"/>
                <w:sz w:val="24"/>
                <w:szCs w:val="24"/>
                <w:highlight w:val="none"/>
                <w:lang w:val="en-US" w:eastAsia="zh-CN"/>
              </w:rPr>
              <w:t>80</w:t>
            </w:r>
            <w:r>
              <w:rPr>
                <w:rStyle w:val="4"/>
                <w:rFonts w:hint="eastAsia" w:ascii="宋体" w:hAnsi="宋体" w:eastAsia="宋体" w:cs="宋体"/>
                <w:color w:val="auto"/>
                <w:sz w:val="24"/>
                <w:szCs w:val="24"/>
                <w:highlight w:val="none"/>
              </w:rPr>
              <w:t>%以上容量。</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二、加电包参数：</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5、容量≥40 安时。</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6、接口：SDC 接口× 2。</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7、电池类型：LFP（磷酸铁锂）。</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8、电池循环寿命：</w:t>
            </w:r>
            <w:r>
              <w:rPr>
                <w:rStyle w:val="4"/>
                <w:rFonts w:hint="eastAsia" w:ascii="宋体" w:hAnsi="宋体" w:eastAsia="宋体" w:cs="宋体"/>
                <w:color w:val="auto"/>
                <w:sz w:val="24"/>
                <w:szCs w:val="24"/>
                <w:highlight w:val="none"/>
                <w:lang w:eastAsia="zh-CN"/>
              </w:rPr>
              <w:t>≥</w:t>
            </w:r>
            <w:r>
              <w:rPr>
                <w:rStyle w:val="4"/>
                <w:rFonts w:hint="eastAsia" w:ascii="宋体" w:hAnsi="宋体" w:eastAsia="宋体" w:cs="宋体"/>
                <w:color w:val="auto"/>
                <w:sz w:val="24"/>
                <w:szCs w:val="24"/>
                <w:highlight w:val="none"/>
              </w:rPr>
              <w:t>4000 次，循环后仍能保持80%以上容量。</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6" w:hRule="atLeast"/>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171</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现场方位高拍仪</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三电带屏遥控增强图像</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1、起飞重量≥724 克。</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2、最大上升速度≥10 米/秒。</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3、最大下降速度≥10 米/秒。</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4、最大水平飞行速度：</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海平面高度，无风环境：21 米/秒。</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5、最大起飞海拔高度≥6000米。</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6、最长飞行时间≥45 分钟。</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7、最长悬停时间≥41 分钟。</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8、最大续航里程≥32 公里。</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9、最大抗风速度≥12 米/秒。</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10、带有卫星导航系统：GPS + Galileo + BeiDou。</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11、悬停精度：≤0.5米。</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12、机载内存：</w:t>
            </w:r>
            <w:r>
              <w:rPr>
                <w:rStyle w:val="4"/>
                <w:rFonts w:hint="eastAsia" w:ascii="宋体" w:hAnsi="宋体" w:eastAsia="宋体" w:cs="宋体"/>
                <w:color w:val="auto"/>
                <w:sz w:val="24"/>
                <w:szCs w:val="24"/>
                <w:highlight w:val="none"/>
                <w:lang w:eastAsia="zh-CN"/>
              </w:rPr>
              <w:t>≥</w:t>
            </w:r>
            <w:r>
              <w:rPr>
                <w:rStyle w:val="4"/>
                <w:rFonts w:hint="eastAsia" w:ascii="宋体" w:hAnsi="宋体" w:eastAsia="宋体" w:cs="宋体"/>
                <w:color w:val="auto"/>
                <w:sz w:val="24"/>
                <w:szCs w:val="24"/>
                <w:highlight w:val="none"/>
              </w:rPr>
              <w:t>42GB。</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13、广角相机有效像素：≥5000万。</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14、有效像素：≥4800万。</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现勘、痕检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172</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音频输出设备</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1、动态频率响应范围45 Hz–20 kHz (-6dB)。</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2、支持蓝牙4.2标准。</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173</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耳机</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1、专业监听耳机，头戴式设计（耳罩完全覆盖耳廓）。</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2、频率响应范围：10～20000Hz。</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174</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监听耳机</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1、头戴开放式。</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2、最大功率：1000mW。</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3、耳机插头：3.5mm插头立体声迷你插头和6.35mm。</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4、频率响应范围：10～30000Hz。</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175</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变焦镜头</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1、镜头画幅：135mm全画幅镜头。</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2、镜头结构：11组14片（包含2个ED镜片，3个非球面镜片和1个纳米结晶涂层）。</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3、镜头卡口：F卡口。</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4、对焦方式：M/A（手动优先自动对焦）和M（手动对焦）。</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5、最大光圈：F2.8。</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6、最小光圈：F22。</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176</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定焦镜头</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1、镜头定位：全画幅。</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2、镜头类型：定焦镜头。</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3、镜头结构：6组7片(含1片非球面镜)。</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4、最大光圈：f/1.8。</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5、最小光圈：f/16。</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177</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三脚架</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1、展开高度：1.4-1.5M。</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2、360°全景云台。</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3、材质：碳纤维。</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4、配快装套件。</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178</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多功能摇臂</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1、材质：铝合金。</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2、长度：410mm-640mm。</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3、重量≥740g。</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179</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独脚架</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1、具备一键安全锁，避免把手误操作。</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2、承重≤10</w:t>
            </w:r>
            <w:r>
              <w:rPr>
                <w:rStyle w:val="4"/>
                <w:rFonts w:hint="eastAsia" w:ascii="宋体" w:hAnsi="宋体" w:eastAsia="宋体" w:cs="宋体"/>
                <w:color w:val="auto"/>
                <w:sz w:val="24"/>
                <w:szCs w:val="24"/>
                <w:highlight w:val="none"/>
                <w:lang w:eastAsia="zh-CN"/>
              </w:rPr>
              <w:t>kg</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180</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云台稳定器</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1、三轴云台。</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2、电池容量≥2600mAh。</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181</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AI智能鼠标</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1、连接方式：无线2.4G，有线，蓝牙。</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2、具备AI智能功能。</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182</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AI键盘</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1、人体工程学设计。</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2、具备AI智能功能，语音识别功能。</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183</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鞋套</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长款加厚雨鞋套（500只）</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1、材质：PE或PVC。</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2、高筒，加厚。</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184</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高筒防雨鞋套</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1、材质：PVC防水面料，黑胶内里。</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2、规格：高筒防水。</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185</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USB数据延长线</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USB3.0合金编织高速延长线 2m</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1、符合USB3.0高速传输。</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2、长度≥2</w:t>
            </w:r>
            <w:r>
              <w:rPr>
                <w:rStyle w:val="4"/>
                <w:rFonts w:hint="eastAsia" w:ascii="宋体" w:hAnsi="宋体" w:eastAsia="宋体" w:cs="宋体"/>
                <w:color w:val="auto"/>
                <w:sz w:val="24"/>
                <w:szCs w:val="24"/>
                <w:highlight w:val="none"/>
                <w:lang w:val="en-US" w:eastAsia="zh-CN"/>
              </w:rPr>
              <w:t>m</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186</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HDMI数字高清线</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1、符合8k高清。</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2、长度≥3</w:t>
            </w:r>
            <w:r>
              <w:rPr>
                <w:rStyle w:val="4"/>
                <w:rFonts w:hint="eastAsia" w:ascii="宋体" w:hAnsi="宋体" w:eastAsia="宋体" w:cs="宋体"/>
                <w:color w:val="auto"/>
                <w:sz w:val="24"/>
                <w:szCs w:val="24"/>
                <w:highlight w:val="none"/>
                <w:lang w:val="en-US" w:eastAsia="zh-CN"/>
              </w:rPr>
              <w:t>m</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187</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视频连接线</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1、符合8K高清。</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2、长度≥3</w:t>
            </w:r>
            <w:r>
              <w:rPr>
                <w:rStyle w:val="4"/>
                <w:rFonts w:hint="eastAsia" w:ascii="宋体" w:hAnsi="宋体" w:eastAsia="宋体" w:cs="宋体"/>
                <w:color w:val="auto"/>
                <w:sz w:val="24"/>
                <w:szCs w:val="24"/>
                <w:highlight w:val="none"/>
                <w:lang w:val="en-US" w:eastAsia="zh-CN"/>
              </w:rPr>
              <w:t>m</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188</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充电器</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1、氮化镓PD160W充电器。</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2、输入电压：240V，输出电压：28V。</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189</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处理器</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2.90GHz 六核</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1、制程工艺：14纳米。</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2、基本频率：2.9GHz，六核。</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190</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处理器</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2.90GHz 八核</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1、制程工艺：14纳米。</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r>
              <w:rPr>
                <w:rStyle w:val="4"/>
                <w:rFonts w:hint="eastAsia" w:ascii="宋体" w:hAnsi="宋体" w:eastAsia="宋体" w:cs="宋体"/>
                <w:color w:val="auto"/>
                <w:sz w:val="24"/>
                <w:szCs w:val="24"/>
                <w:highlight w:val="none"/>
                <w:lang w:eastAsia="zh-CN"/>
              </w:rPr>
              <w:t>基</w:t>
            </w:r>
            <w:r>
              <w:rPr>
                <w:rStyle w:val="4"/>
                <w:rFonts w:hint="eastAsia" w:ascii="宋体" w:hAnsi="宋体" w:eastAsia="宋体" w:cs="宋体"/>
                <w:color w:val="auto"/>
                <w:sz w:val="24"/>
                <w:szCs w:val="24"/>
                <w:highlight w:val="none"/>
              </w:rPr>
              <w:t>本频率：2.9GHz，八核。</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191</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显卡</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numPr>
                <w:ilvl w:val="0"/>
                <w:numId w:val="4"/>
              </w:numPr>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制作工艺‌：14纳米。</w:t>
            </w:r>
          </w:p>
          <w:p>
            <w:pPr>
              <w:pStyle w:val="5"/>
              <w:keepNext w:val="0"/>
              <w:keepLines w:val="0"/>
              <w:pageBreakBefore w:val="0"/>
              <w:widowControl w:val="0"/>
              <w:numPr>
                <w:ilvl w:val="0"/>
                <w:numId w:val="4"/>
              </w:numPr>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支持PCI Express 3.0协议。</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‌3、‌显存容量‌≥4096MB。</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4、显存类型‌：GDDR5。</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192</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显卡</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1、‌显存类型‌：GDDR6。</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2、显存容量‌≥6GB。</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193</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固态硬盘</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≥250GB</w:t>
            </w:r>
          </w:p>
        </w:tc>
        <w:tc>
          <w:tcPr>
            <w:tcW w:w="3933" w:type="dxa"/>
            <w:noWrap w:val="0"/>
            <w:vAlign w:val="center"/>
          </w:tcPr>
          <w:p>
            <w:pPr>
              <w:pStyle w:val="5"/>
              <w:keepNext w:val="0"/>
              <w:keepLines w:val="0"/>
              <w:pageBreakBefore w:val="0"/>
              <w:widowControl w:val="0"/>
              <w:numPr>
                <w:ilvl w:val="0"/>
                <w:numId w:val="5"/>
              </w:numPr>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支持PCIe 3.0协议。</w:t>
            </w:r>
          </w:p>
          <w:p>
            <w:pPr>
              <w:pStyle w:val="5"/>
              <w:keepNext w:val="0"/>
              <w:keepLines w:val="0"/>
              <w:pageBreakBefore w:val="0"/>
              <w:widowControl w:val="0"/>
              <w:numPr>
                <w:ilvl w:val="0"/>
                <w:numId w:val="5"/>
              </w:numPr>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接口类型U.2接口。</w:t>
            </w:r>
          </w:p>
          <w:p>
            <w:pPr>
              <w:pStyle w:val="5"/>
              <w:keepNext w:val="0"/>
              <w:keepLines w:val="0"/>
              <w:pageBreakBefore w:val="0"/>
              <w:widowControl w:val="0"/>
              <w:numPr>
                <w:ilvl w:val="0"/>
                <w:numId w:val="5"/>
              </w:numPr>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容量≥250GB。</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194</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机械硬盘</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 TB</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1、转速：7200转。</w:t>
            </w:r>
          </w:p>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2、容量≥1TB。</w:t>
            </w:r>
          </w:p>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3、接口类型：SATA 6 Bb/s接口，3.5英寸。</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195</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主板</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numPr>
                <w:ilvl w:val="0"/>
                <w:numId w:val="6"/>
              </w:numPr>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支持PCIE3.0协议。</w:t>
            </w:r>
          </w:p>
          <w:p>
            <w:pPr>
              <w:pStyle w:val="5"/>
              <w:keepNext w:val="0"/>
              <w:keepLines w:val="0"/>
              <w:pageBreakBefore w:val="0"/>
              <w:widowControl w:val="0"/>
              <w:numPr>
                <w:ilvl w:val="0"/>
                <w:numId w:val="6"/>
              </w:numPr>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板载千兆网卡。</w:t>
            </w:r>
          </w:p>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3、集成音频芯片。</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196</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显示模块</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1、尺寸：≥27英寸。</w:t>
            </w:r>
          </w:p>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2、分辨率：1920x1080。</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现勘、声像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197</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机械硬盘</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规格：大小3.5寸、4TB内存</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1、转速：5400转。</w:t>
            </w:r>
          </w:p>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2、接口类型：SATA接口，3.5寸。</w:t>
            </w:r>
          </w:p>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3、容量≥4TB。</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4</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电子物证检验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198</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固态硬盘</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规格：4TB，接口：M2</w:t>
            </w:r>
          </w:p>
        </w:tc>
        <w:tc>
          <w:tcPr>
            <w:tcW w:w="3933" w:type="dxa"/>
            <w:noWrap w:val="0"/>
            <w:vAlign w:val="center"/>
          </w:tcPr>
          <w:p>
            <w:pPr>
              <w:pStyle w:val="5"/>
              <w:keepNext w:val="0"/>
              <w:keepLines w:val="0"/>
              <w:pageBreakBefore w:val="0"/>
              <w:widowControl w:val="0"/>
              <w:numPr>
                <w:ilvl w:val="0"/>
                <w:numId w:val="7"/>
              </w:numPr>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接口类型：M.2接口。</w:t>
            </w:r>
          </w:p>
          <w:p>
            <w:pPr>
              <w:pStyle w:val="5"/>
              <w:keepNext w:val="0"/>
              <w:keepLines w:val="0"/>
              <w:pageBreakBefore w:val="0"/>
              <w:widowControl w:val="0"/>
              <w:numPr>
                <w:ilvl w:val="0"/>
                <w:numId w:val="7"/>
              </w:numPr>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容量≥4TB，</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电子物证检验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199</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固态U盘</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3.0接口</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1优盘类型：固态U盘。</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2、容量≥256GB。</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3、接口类型：USB3.2。</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10</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电子物证检验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200</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计算机电源</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1、额定功率≥1200W。</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2、接口类型和数量：SATA接口数量6个，6p</w:t>
            </w:r>
            <w:r>
              <w:rPr>
                <w:rStyle w:val="4"/>
                <w:rFonts w:hint="eastAsia" w:ascii="宋体" w:hAnsi="宋体" w:eastAsia="宋体" w:cs="宋体"/>
                <w:color w:val="auto"/>
                <w:sz w:val="24"/>
                <w:szCs w:val="24"/>
                <w:highlight w:val="none"/>
                <w:lang w:eastAsia="zh-CN"/>
              </w:rPr>
              <w:t>in</w:t>
            </w:r>
            <w:r>
              <w:rPr>
                <w:rStyle w:val="4"/>
                <w:rFonts w:hint="eastAsia" w:ascii="宋体" w:hAnsi="宋体" w:eastAsia="宋体" w:cs="宋体"/>
                <w:color w:val="auto"/>
                <w:sz w:val="24"/>
                <w:szCs w:val="24"/>
                <w:highlight w:val="none"/>
              </w:rPr>
              <w:t xml:space="preserve"> PCI-E接口3个。</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电子物证检验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201</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快充充电器</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充电器66W快充/接口类型：USB Type-C</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1、66W快充。</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2、接口类型：USB Type-C。</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电子物证检验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202</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6A数据线</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接口类型:USB type-A转USB type-C接口 长度1米</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1、USB type-A转USB type-C接口。</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2、长度≥1</w:t>
            </w:r>
            <w:r>
              <w:rPr>
                <w:rStyle w:val="4"/>
                <w:rFonts w:hint="eastAsia" w:ascii="宋体" w:hAnsi="宋体" w:eastAsia="宋体" w:cs="宋体"/>
                <w:color w:val="auto"/>
                <w:sz w:val="24"/>
                <w:szCs w:val="24"/>
                <w:highlight w:val="none"/>
                <w:lang w:val="en-US" w:eastAsia="zh-CN"/>
              </w:rPr>
              <w:t>m</w:t>
            </w:r>
            <w:r>
              <w:rPr>
                <w:rStyle w:val="4"/>
                <w:rFonts w:hint="eastAsia" w:ascii="宋体" w:hAnsi="宋体" w:eastAsia="宋体" w:cs="宋体"/>
                <w:color w:val="auto"/>
                <w:sz w:val="24"/>
                <w:szCs w:val="24"/>
                <w:highlight w:val="none"/>
              </w:rPr>
              <w:t>。</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8</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电子物证检验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203</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无线耳机</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1、头戴式，具有降噪功能。</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2、充电接口Type-C。</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电子物证检验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204</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无线蓝牙键盘鼠标</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lang w:eastAsia="zh-CN"/>
              </w:rPr>
            </w:pPr>
            <w:r>
              <w:rPr>
                <w:rStyle w:val="4"/>
                <w:rFonts w:hint="eastAsia" w:ascii="宋体" w:hAnsi="宋体" w:eastAsia="宋体" w:cs="宋体"/>
                <w:color w:val="auto"/>
                <w:sz w:val="24"/>
                <w:szCs w:val="24"/>
                <w:highlight w:val="none"/>
              </w:rPr>
              <w:t>白</w:t>
            </w:r>
            <w:r>
              <w:rPr>
                <w:rStyle w:val="4"/>
                <w:rFonts w:hint="eastAsia" w:ascii="宋体" w:hAnsi="宋体" w:eastAsia="宋体" w:cs="宋体"/>
                <w:color w:val="auto"/>
                <w:sz w:val="24"/>
                <w:szCs w:val="24"/>
                <w:highlight w:val="none"/>
                <w:lang w:eastAsia="zh-CN"/>
              </w:rPr>
              <w:t>色</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1、支持2.4GHz优联和蓝牙4.1双模无线连接模式。</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电子物证检验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205</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快充充电头</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20W USB-C</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1、支持Apple 20W，USB-C接口充电。</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电子物证检验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206</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数据线</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USB-C转L</w:t>
            </w:r>
            <w:r>
              <w:rPr>
                <w:rStyle w:val="4"/>
                <w:rFonts w:hint="eastAsia" w:ascii="宋体" w:hAnsi="宋体" w:eastAsia="宋体" w:cs="宋体"/>
                <w:color w:val="auto"/>
                <w:sz w:val="24"/>
                <w:szCs w:val="24"/>
                <w:highlight w:val="none"/>
                <w:lang w:eastAsia="zh-CN"/>
              </w:rPr>
              <w:t>in</w:t>
            </w:r>
            <w:r>
              <w:rPr>
                <w:rStyle w:val="4"/>
                <w:rFonts w:hint="eastAsia" w:ascii="宋体" w:hAnsi="宋体" w:eastAsia="宋体" w:cs="宋体"/>
                <w:color w:val="auto"/>
                <w:sz w:val="24"/>
                <w:szCs w:val="24"/>
                <w:highlight w:val="none"/>
              </w:rPr>
              <w:t>ght</w:t>
            </w:r>
            <w:r>
              <w:rPr>
                <w:rStyle w:val="4"/>
                <w:rFonts w:hint="eastAsia" w:ascii="宋体" w:hAnsi="宋体" w:eastAsia="宋体" w:cs="宋体"/>
                <w:color w:val="auto"/>
                <w:sz w:val="24"/>
                <w:szCs w:val="24"/>
                <w:highlight w:val="none"/>
                <w:lang w:eastAsia="zh-CN"/>
              </w:rPr>
              <w:t>in</w:t>
            </w:r>
            <w:r>
              <w:rPr>
                <w:rStyle w:val="4"/>
                <w:rFonts w:hint="eastAsia" w:ascii="宋体" w:hAnsi="宋体" w:eastAsia="宋体" w:cs="宋体"/>
                <w:color w:val="auto"/>
                <w:sz w:val="24"/>
                <w:szCs w:val="24"/>
                <w:highlight w:val="none"/>
              </w:rPr>
              <w:t>g数据线</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1、USB-C接口转L</w:t>
            </w:r>
            <w:r>
              <w:rPr>
                <w:rStyle w:val="4"/>
                <w:rFonts w:hint="eastAsia" w:ascii="宋体" w:hAnsi="宋体" w:eastAsia="宋体" w:cs="宋体"/>
                <w:color w:val="auto"/>
                <w:sz w:val="24"/>
                <w:szCs w:val="24"/>
                <w:highlight w:val="none"/>
                <w:lang w:eastAsia="zh-CN"/>
              </w:rPr>
              <w:t>in</w:t>
            </w:r>
            <w:r>
              <w:rPr>
                <w:rStyle w:val="4"/>
                <w:rFonts w:hint="eastAsia" w:ascii="宋体" w:hAnsi="宋体" w:eastAsia="宋体" w:cs="宋体"/>
                <w:color w:val="auto"/>
                <w:sz w:val="24"/>
                <w:szCs w:val="24"/>
                <w:highlight w:val="none"/>
              </w:rPr>
              <w:t>ght</w:t>
            </w:r>
            <w:r>
              <w:rPr>
                <w:rStyle w:val="4"/>
                <w:rFonts w:hint="eastAsia" w:ascii="宋体" w:hAnsi="宋体" w:eastAsia="宋体" w:cs="宋体"/>
                <w:color w:val="auto"/>
                <w:sz w:val="24"/>
                <w:szCs w:val="24"/>
                <w:highlight w:val="none"/>
                <w:lang w:eastAsia="zh-CN"/>
              </w:rPr>
              <w:t>in</w:t>
            </w:r>
            <w:r>
              <w:rPr>
                <w:rStyle w:val="4"/>
                <w:rFonts w:hint="eastAsia" w:ascii="宋体" w:hAnsi="宋体" w:eastAsia="宋体" w:cs="宋体"/>
                <w:color w:val="auto"/>
                <w:sz w:val="24"/>
                <w:szCs w:val="24"/>
                <w:highlight w:val="none"/>
              </w:rPr>
              <w:t>g接口数据线。</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5</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电子物证检验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207</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处理器</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主频3.2GHz</w:t>
            </w: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1、主频：3.2GHz</w:t>
            </w:r>
            <w:r>
              <w:rPr>
                <w:rStyle w:val="4"/>
                <w:rFonts w:hint="eastAsia" w:ascii="宋体" w:hAnsi="宋体" w:eastAsia="宋体" w:cs="宋体"/>
                <w:color w:val="auto"/>
                <w:sz w:val="24"/>
                <w:szCs w:val="24"/>
                <w:highlight w:val="none"/>
                <w:lang w:eastAsia="zh-CN"/>
              </w:rPr>
              <w:t>及以上</w:t>
            </w:r>
            <w:r>
              <w:rPr>
                <w:rStyle w:val="4"/>
                <w:rFonts w:hint="eastAsia" w:ascii="宋体" w:hAnsi="宋体" w:eastAsia="宋体" w:cs="宋体"/>
                <w:color w:val="auto"/>
                <w:sz w:val="24"/>
                <w:szCs w:val="24"/>
                <w:highlight w:val="none"/>
              </w:rPr>
              <w:t>，24核。</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2、接口类型：LGA 1700。</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电子物证检验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208</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多端口转换器</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1、接口类型：HDMI接口。</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2、接口数量≥2个。</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电子物证检验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noWrap/>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209</w:t>
            </w:r>
          </w:p>
        </w:tc>
        <w:tc>
          <w:tcPr>
            <w:tcW w:w="174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主板</w:t>
            </w:r>
          </w:p>
        </w:tc>
        <w:tc>
          <w:tcPr>
            <w:tcW w:w="1560"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left"/>
              <w:textAlignment w:val="auto"/>
              <w:rPr>
                <w:rStyle w:val="4"/>
                <w:rFonts w:hint="eastAsia" w:ascii="宋体" w:hAnsi="宋体" w:eastAsia="宋体" w:cs="宋体"/>
                <w:color w:val="auto"/>
                <w:sz w:val="24"/>
                <w:szCs w:val="24"/>
                <w:highlight w:val="none"/>
              </w:rPr>
            </w:pPr>
          </w:p>
        </w:tc>
        <w:tc>
          <w:tcPr>
            <w:tcW w:w="3933"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1、内存频率6800MHz，≥DDR5代。</w:t>
            </w:r>
          </w:p>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left"/>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2、内存插槽≥5个。</w:t>
            </w:r>
          </w:p>
        </w:tc>
        <w:tc>
          <w:tcPr>
            <w:tcW w:w="787"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1</w:t>
            </w:r>
          </w:p>
        </w:tc>
        <w:tc>
          <w:tcPr>
            <w:tcW w:w="1299" w:type="dxa"/>
            <w:noWrap w:val="0"/>
            <w:vAlign w:val="center"/>
          </w:tcPr>
          <w:p>
            <w:pPr>
              <w:pStyle w:val="5"/>
              <w:keepNext w:val="0"/>
              <w:keepLines w:val="0"/>
              <w:pageBreakBefore w:val="0"/>
              <w:widowControl w:val="0"/>
              <w:kinsoku/>
              <w:wordWrap/>
              <w:overflowPunct/>
              <w:topLinePunct w:val="0"/>
              <w:autoSpaceDE/>
              <w:autoSpaceDN/>
              <w:bidi w:val="0"/>
              <w:adjustRightInd/>
              <w:snapToGrid/>
              <w:spacing w:line="340" w:lineRule="exact"/>
              <w:ind w:left="-63" w:leftChars="-30" w:right="-84" w:rightChars="-40"/>
              <w:jc w:val="center"/>
              <w:textAlignment w:val="auto"/>
              <w:rPr>
                <w:rStyle w:val="4"/>
                <w:rFonts w:hint="eastAsia" w:ascii="宋体" w:hAnsi="宋体" w:eastAsia="宋体" w:cs="宋体"/>
                <w:color w:val="auto"/>
                <w:sz w:val="24"/>
                <w:szCs w:val="24"/>
                <w:highlight w:val="none"/>
              </w:rPr>
            </w:pPr>
            <w:r>
              <w:rPr>
                <w:rStyle w:val="4"/>
                <w:rFonts w:hint="eastAsia" w:ascii="宋体" w:hAnsi="宋体" w:eastAsia="宋体" w:cs="宋体"/>
                <w:color w:val="auto"/>
                <w:sz w:val="24"/>
                <w:szCs w:val="24"/>
                <w:highlight w:val="none"/>
              </w:rPr>
              <w:t>电子物证检验</w:t>
            </w:r>
          </w:p>
        </w:tc>
      </w:tr>
    </w:tbl>
    <w:p>
      <w:pPr>
        <w:pStyle w:val="7"/>
        <w:widowControl/>
        <w:jc w:val="center"/>
        <w:rPr>
          <w:rStyle w:val="4"/>
          <w:rFonts w:ascii="宋体" w:hAnsi="宋体" w:eastAsia="宋体" w:cs="宋体"/>
          <w:b/>
          <w:bCs/>
          <w:color w:val="auto"/>
          <w:spacing w:val="30"/>
          <w:kern w:val="0"/>
          <w:sz w:val="30"/>
          <w:szCs w:val="30"/>
          <w:highlight w:val="none"/>
        </w:rPr>
      </w:pPr>
      <w:r>
        <w:rPr>
          <w:rStyle w:val="4"/>
          <w:rFonts w:ascii="宋体" w:hAnsi="宋体" w:eastAsia="宋体" w:cs="宋体"/>
          <w:b/>
          <w:bCs/>
          <w:color w:val="auto"/>
          <w:spacing w:val="30"/>
          <w:kern w:val="0"/>
          <w:sz w:val="30"/>
          <w:szCs w:val="30"/>
          <w:highlight w:val="none"/>
        </w:rPr>
        <w:t>第二节 商务要求</w:t>
      </w:r>
    </w:p>
    <w:p>
      <w:pPr>
        <w:pStyle w:val="7"/>
        <w:widowControl/>
        <w:jc w:val="left"/>
        <w:rPr>
          <w:rStyle w:val="4"/>
          <w:rFonts w:ascii="Times New Roman" w:hAnsi="Times New Roman" w:eastAsia="Times New Roman" w:cs="Times New Roman"/>
          <w:color w:val="auto"/>
          <w:kern w:val="0"/>
          <w:sz w:val="24"/>
          <w:szCs w:val="24"/>
          <w:highlight w:val="none"/>
        </w:rPr>
      </w:pPr>
    </w:p>
    <w:p>
      <w:pPr>
        <w:pStyle w:val="7"/>
        <w:widowControl/>
        <w:spacing w:line="360" w:lineRule="auto"/>
        <w:rPr>
          <w:rStyle w:val="4"/>
          <w:rFonts w:ascii="Times New Roman" w:hAnsi="Times New Roman" w:eastAsia="Times New Roman" w:cs="Times New Roman"/>
          <w:b/>
          <w:bCs/>
          <w:color w:val="auto"/>
          <w:kern w:val="0"/>
          <w:sz w:val="24"/>
          <w:szCs w:val="24"/>
          <w:highlight w:val="none"/>
        </w:rPr>
      </w:pPr>
      <w:r>
        <w:rPr>
          <w:rStyle w:val="4"/>
          <w:rFonts w:ascii="宋体" w:hAnsi="宋体" w:eastAsia="宋体" w:cs="宋体"/>
          <w:b/>
          <w:bCs/>
          <w:color w:val="auto"/>
          <w:spacing w:val="30"/>
          <w:kern w:val="0"/>
          <w:sz w:val="24"/>
          <w:szCs w:val="24"/>
          <w:highlight w:val="none"/>
        </w:rPr>
        <w:t>一、主要商务要求</w:t>
      </w:r>
    </w:p>
    <w:tbl>
      <w:tblPr>
        <w:tblStyle w:val="3"/>
        <w:tblW w:w="8502" w:type="dxa"/>
        <w:tblInd w:w="1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4256"/>
        <w:gridCol w:w="424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680" w:hRule="atLeast"/>
        </w:trPr>
        <w:tc>
          <w:tcPr>
            <w:tcW w:w="4497" w:type="dxa"/>
            <w:noWrap w:val="0"/>
            <w:tcMar>
              <w:top w:w="0" w:type="dxa"/>
              <w:left w:w="108" w:type="dxa"/>
              <w:bottom w:w="0" w:type="dxa"/>
              <w:right w:w="108" w:type="dxa"/>
            </w:tcMar>
            <w:vAlign w:val="center"/>
          </w:tcPr>
          <w:p>
            <w:pPr>
              <w:pStyle w:val="7"/>
              <w:widowControl/>
              <w:jc w:val="center"/>
              <w:rPr>
                <w:rStyle w:val="4"/>
                <w:rFonts w:ascii="Times New Roman" w:hAnsi="Times New Roman" w:eastAsia="Times New Roman" w:cs="Times New Roman"/>
                <w:color w:val="auto"/>
                <w:kern w:val="0"/>
                <w:sz w:val="24"/>
                <w:szCs w:val="24"/>
                <w:highlight w:val="none"/>
              </w:rPr>
            </w:pPr>
            <w:r>
              <w:rPr>
                <w:rStyle w:val="4"/>
                <w:rFonts w:ascii="宋体" w:hAnsi="宋体" w:eastAsia="宋体" w:cs="宋体"/>
                <w:color w:val="auto"/>
                <w:kern w:val="0"/>
                <w:sz w:val="24"/>
                <w:szCs w:val="24"/>
                <w:highlight w:val="none"/>
              </w:rPr>
              <w:t>履行合同的时间、地点及方式</w:t>
            </w:r>
          </w:p>
        </w:tc>
        <w:tc>
          <w:tcPr>
            <w:tcW w:w="4487" w:type="dxa"/>
            <w:noWrap w:val="0"/>
            <w:tcMar>
              <w:top w:w="0" w:type="dxa"/>
              <w:left w:w="108" w:type="dxa"/>
              <w:bottom w:w="0" w:type="dxa"/>
              <w:right w:w="108" w:type="dxa"/>
            </w:tcMar>
            <w:vAlign w:val="center"/>
          </w:tcPr>
          <w:p>
            <w:pPr>
              <w:pStyle w:val="8"/>
              <w:widowControl/>
              <w:adjustRightInd w:val="0"/>
              <w:snapToGrid w:val="0"/>
              <w:spacing w:line="336" w:lineRule="auto"/>
              <w:jc w:val="left"/>
              <w:rPr>
                <w:rStyle w:val="4"/>
                <w:rFonts w:hint="eastAsia" w:ascii="宋体" w:hAnsi="宋体" w:eastAsia="宋体" w:cs="宋体"/>
                <w:color w:val="auto"/>
                <w:kern w:val="2"/>
                <w:sz w:val="24"/>
                <w:szCs w:val="24"/>
                <w:highlight w:val="none"/>
                <w:lang w:val="en-US" w:eastAsia="zh-CN" w:bidi="ar-SA"/>
              </w:rPr>
            </w:pPr>
            <w:r>
              <w:rPr>
                <w:rStyle w:val="9"/>
                <w:rFonts w:hint="eastAsia" w:ascii="宋体" w:hAnsi="宋体" w:cs="宋体"/>
                <w:color w:val="auto"/>
                <w:kern w:val="0"/>
                <w:sz w:val="24"/>
                <w:szCs w:val="24"/>
                <w:highlight w:val="none"/>
              </w:rPr>
              <w:t>交货时间：</w:t>
            </w:r>
            <w:r>
              <w:rPr>
                <w:rStyle w:val="4"/>
                <w:rFonts w:hint="eastAsia" w:ascii="宋体" w:hAnsi="宋体" w:eastAsia="宋体" w:cs="宋体"/>
                <w:color w:val="auto"/>
                <w:kern w:val="2"/>
                <w:sz w:val="24"/>
                <w:szCs w:val="24"/>
                <w:highlight w:val="none"/>
                <w:lang w:val="en-US" w:eastAsia="zh-CN" w:bidi="ar-SA"/>
              </w:rPr>
              <w:t>按采购人要求分批供货，供货通知送达之日起10个工作日内到货；采购人将在必要时要求中标人紧急供货，中标人应保证在接到供货需求后3天内送到采购人指定交货地点。</w:t>
            </w:r>
          </w:p>
          <w:p>
            <w:pPr>
              <w:pStyle w:val="8"/>
              <w:widowControl/>
              <w:adjustRightInd w:val="0"/>
              <w:snapToGrid w:val="0"/>
              <w:spacing w:line="336" w:lineRule="auto"/>
              <w:jc w:val="left"/>
              <w:rPr>
                <w:rStyle w:val="9"/>
                <w:rFonts w:hint="eastAsia" w:ascii="宋体" w:hAnsi="宋体" w:cs="宋体"/>
                <w:color w:val="auto"/>
                <w:kern w:val="0"/>
                <w:sz w:val="24"/>
                <w:szCs w:val="24"/>
                <w:highlight w:val="none"/>
              </w:rPr>
            </w:pPr>
            <w:r>
              <w:rPr>
                <w:rStyle w:val="9"/>
                <w:rFonts w:hint="eastAsia" w:ascii="宋体" w:hAnsi="宋体" w:cs="宋体"/>
                <w:color w:val="auto"/>
                <w:kern w:val="0"/>
                <w:sz w:val="24"/>
                <w:szCs w:val="24"/>
                <w:highlight w:val="none"/>
              </w:rPr>
              <w:t>项目现场：</w:t>
            </w:r>
            <w:r>
              <w:rPr>
                <w:rStyle w:val="9"/>
                <w:rFonts w:hint="eastAsia" w:ascii="宋体" w:hAnsi="宋体" w:cs="宋体"/>
                <w:color w:val="auto"/>
                <w:kern w:val="0"/>
                <w:sz w:val="24"/>
                <w:szCs w:val="24"/>
                <w:highlight w:val="none"/>
                <w:lang w:eastAsia="zh-CN"/>
              </w:rPr>
              <w:t>衡阳市公安局</w:t>
            </w:r>
            <w:r>
              <w:rPr>
                <w:rStyle w:val="9"/>
                <w:rFonts w:hint="eastAsia" w:ascii="宋体" w:hAnsi="宋体" w:cs="宋体"/>
                <w:color w:val="auto"/>
                <w:kern w:val="0"/>
                <w:sz w:val="24"/>
                <w:szCs w:val="24"/>
                <w:highlight w:val="none"/>
              </w:rPr>
              <w:t>指定地址</w:t>
            </w:r>
          </w:p>
          <w:p>
            <w:pPr>
              <w:pStyle w:val="7"/>
              <w:widowControl/>
              <w:jc w:val="left"/>
              <w:rPr>
                <w:rStyle w:val="4"/>
                <w:rFonts w:ascii="Times New Roman" w:hAnsi="Times New Roman" w:eastAsia="Times New Roman" w:cs="Times New Roman"/>
                <w:color w:val="auto"/>
                <w:kern w:val="0"/>
                <w:sz w:val="24"/>
                <w:szCs w:val="24"/>
                <w:highlight w:val="none"/>
              </w:rPr>
            </w:pPr>
            <w:r>
              <w:rPr>
                <w:rStyle w:val="9"/>
                <w:rFonts w:hint="eastAsia" w:ascii="宋体" w:hAnsi="宋体" w:eastAsia="宋体" w:cs="宋体"/>
                <w:color w:val="auto"/>
                <w:kern w:val="0"/>
                <w:sz w:val="24"/>
                <w:szCs w:val="24"/>
                <w:highlight w:val="none"/>
              </w:rPr>
              <w:t>交货方式：送货上门至指定地址</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995" w:hRule="atLeast"/>
        </w:trPr>
        <w:tc>
          <w:tcPr>
            <w:tcW w:w="4497" w:type="dxa"/>
            <w:noWrap w:val="0"/>
            <w:tcMar>
              <w:top w:w="0" w:type="dxa"/>
              <w:left w:w="108" w:type="dxa"/>
              <w:bottom w:w="0" w:type="dxa"/>
              <w:right w:w="108" w:type="dxa"/>
            </w:tcMar>
            <w:vAlign w:val="center"/>
          </w:tcPr>
          <w:p>
            <w:pPr>
              <w:pStyle w:val="7"/>
              <w:widowControl/>
              <w:jc w:val="center"/>
              <w:rPr>
                <w:rStyle w:val="4"/>
                <w:rFonts w:ascii="Times New Roman" w:hAnsi="Times New Roman" w:eastAsia="Times New Roman" w:cs="Times New Roman"/>
                <w:color w:val="auto"/>
                <w:kern w:val="0"/>
                <w:sz w:val="24"/>
                <w:szCs w:val="24"/>
                <w:highlight w:val="none"/>
              </w:rPr>
            </w:pPr>
            <w:r>
              <w:rPr>
                <w:rStyle w:val="4"/>
                <w:rFonts w:ascii="宋体" w:hAnsi="宋体" w:eastAsia="宋体" w:cs="宋体"/>
                <w:color w:val="auto"/>
                <w:kern w:val="0"/>
                <w:sz w:val="24"/>
                <w:szCs w:val="24"/>
                <w:highlight w:val="none"/>
              </w:rPr>
              <w:t>质量保证期</w:t>
            </w:r>
          </w:p>
        </w:tc>
        <w:tc>
          <w:tcPr>
            <w:tcW w:w="4487" w:type="dxa"/>
            <w:noWrap w:val="0"/>
            <w:tcMar>
              <w:top w:w="0" w:type="dxa"/>
              <w:left w:w="108" w:type="dxa"/>
              <w:bottom w:w="0" w:type="dxa"/>
              <w:right w:w="108" w:type="dxa"/>
            </w:tcMar>
            <w:vAlign w:val="center"/>
          </w:tcPr>
          <w:p>
            <w:pPr>
              <w:pStyle w:val="7"/>
              <w:widowControl/>
              <w:jc w:val="left"/>
              <w:rPr>
                <w:rStyle w:val="4"/>
                <w:rFonts w:ascii="Times New Roman" w:hAnsi="Times New Roman" w:eastAsia="Times New Roman" w:cs="Times New Roman"/>
                <w:color w:val="auto"/>
                <w:kern w:val="0"/>
                <w:sz w:val="24"/>
                <w:szCs w:val="24"/>
                <w:highlight w:val="none"/>
              </w:rPr>
            </w:pPr>
            <w:r>
              <w:rPr>
                <w:rStyle w:val="9"/>
                <w:rFonts w:hint="eastAsia" w:ascii="宋体" w:hAnsi="宋体" w:eastAsia="宋体" w:cs="宋体"/>
                <w:color w:val="auto"/>
                <w:kern w:val="0"/>
                <w:sz w:val="24"/>
                <w:szCs w:val="24"/>
                <w:highlight w:val="none"/>
                <w:lang w:val="en-US" w:eastAsia="zh-CN"/>
              </w:rPr>
              <w:t>整体项目质保期要求一年,从验收合格之日起开始计算，货物清单及技术参数中另有规定的，按其规定。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489" w:hRule="atLeast"/>
        </w:trPr>
        <w:tc>
          <w:tcPr>
            <w:tcW w:w="4497" w:type="dxa"/>
            <w:noWrap w:val="0"/>
            <w:tcMar>
              <w:top w:w="0" w:type="dxa"/>
              <w:left w:w="108" w:type="dxa"/>
              <w:bottom w:w="0" w:type="dxa"/>
              <w:right w:w="108" w:type="dxa"/>
            </w:tcMar>
            <w:vAlign w:val="center"/>
          </w:tcPr>
          <w:p>
            <w:pPr>
              <w:pStyle w:val="7"/>
              <w:widowControl/>
              <w:jc w:val="center"/>
              <w:rPr>
                <w:rStyle w:val="4"/>
                <w:rFonts w:ascii="Times New Roman" w:hAnsi="Times New Roman" w:eastAsia="Times New Roman" w:cs="Times New Roman"/>
                <w:color w:val="auto"/>
                <w:kern w:val="0"/>
                <w:sz w:val="24"/>
                <w:szCs w:val="24"/>
                <w:highlight w:val="none"/>
              </w:rPr>
            </w:pPr>
            <w:r>
              <w:rPr>
                <w:rStyle w:val="4"/>
                <w:rFonts w:ascii="宋体" w:hAnsi="宋体" w:eastAsia="宋体" w:cs="宋体"/>
                <w:color w:val="auto"/>
                <w:kern w:val="0"/>
                <w:sz w:val="24"/>
                <w:szCs w:val="24"/>
                <w:highlight w:val="none"/>
              </w:rPr>
              <w:t>响应时间</w:t>
            </w:r>
          </w:p>
        </w:tc>
        <w:tc>
          <w:tcPr>
            <w:tcW w:w="4487" w:type="dxa"/>
            <w:noWrap w:val="0"/>
            <w:tcMar>
              <w:top w:w="0" w:type="dxa"/>
              <w:left w:w="108" w:type="dxa"/>
              <w:bottom w:w="0" w:type="dxa"/>
              <w:right w:w="108" w:type="dxa"/>
            </w:tcMar>
            <w:vAlign w:val="center"/>
          </w:tcPr>
          <w:p>
            <w:pPr>
              <w:pStyle w:val="7"/>
              <w:widowControl/>
              <w:jc w:val="left"/>
              <w:rPr>
                <w:rStyle w:val="4"/>
                <w:rFonts w:ascii="Times New Roman" w:hAnsi="Times New Roman" w:eastAsia="Times New Roman" w:cs="Times New Roman"/>
                <w:color w:val="auto"/>
                <w:kern w:val="0"/>
                <w:sz w:val="24"/>
                <w:szCs w:val="24"/>
                <w:highlight w:val="none"/>
              </w:rPr>
            </w:pPr>
            <w:r>
              <w:rPr>
                <w:rStyle w:val="4"/>
                <w:rFonts w:hint="eastAsia" w:ascii="宋体" w:hAnsi="宋体" w:eastAsia="宋体" w:cs="宋体"/>
                <w:color w:val="auto"/>
                <w:kern w:val="0"/>
                <w:sz w:val="24"/>
                <w:szCs w:val="24"/>
                <w:highlight w:val="none"/>
                <w:lang w:val="en-US" w:eastAsia="zh-CN" w:bidi="ar"/>
              </w:rPr>
              <w:t>实时响应</w:t>
            </w:r>
            <w:r>
              <w:rPr>
                <w:rStyle w:val="9"/>
                <w:rFonts w:hint="eastAsia" w:ascii="宋体" w:hAnsi="宋体" w:eastAsia="宋体" w:cs="宋体"/>
                <w:color w:val="auto"/>
                <w:kern w:val="0"/>
                <w:sz w:val="24"/>
                <w:szCs w:val="24"/>
                <w:highlight w:val="none"/>
                <w:lang w:val="en-US" w:eastAsia="zh-CN" w:bidi="ar-SA"/>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165" w:hRule="atLeast"/>
        </w:trPr>
        <w:tc>
          <w:tcPr>
            <w:tcW w:w="4497" w:type="dxa"/>
            <w:noWrap w:val="0"/>
            <w:tcMar>
              <w:top w:w="0" w:type="dxa"/>
              <w:left w:w="108" w:type="dxa"/>
              <w:bottom w:w="0" w:type="dxa"/>
              <w:right w:w="108" w:type="dxa"/>
            </w:tcMar>
            <w:vAlign w:val="center"/>
          </w:tcPr>
          <w:p>
            <w:pPr>
              <w:pStyle w:val="7"/>
              <w:widowControl/>
              <w:jc w:val="center"/>
              <w:rPr>
                <w:rStyle w:val="4"/>
                <w:rFonts w:ascii="Times New Roman" w:hAnsi="Times New Roman" w:eastAsia="Times New Roman" w:cs="Times New Roman"/>
                <w:color w:val="auto"/>
                <w:kern w:val="0"/>
                <w:sz w:val="24"/>
                <w:szCs w:val="24"/>
                <w:highlight w:val="none"/>
              </w:rPr>
            </w:pPr>
            <w:r>
              <w:rPr>
                <w:rStyle w:val="4"/>
                <w:rFonts w:ascii="宋体" w:hAnsi="宋体" w:eastAsia="宋体" w:cs="宋体"/>
                <w:color w:val="auto"/>
                <w:kern w:val="0"/>
                <w:sz w:val="24"/>
                <w:szCs w:val="24"/>
                <w:highlight w:val="none"/>
              </w:rPr>
              <w:t>合同价款支付方式和条件</w:t>
            </w:r>
          </w:p>
        </w:tc>
        <w:tc>
          <w:tcPr>
            <w:tcW w:w="4487" w:type="dxa"/>
            <w:noWrap w:val="0"/>
            <w:tcMar>
              <w:top w:w="0" w:type="dxa"/>
              <w:left w:w="108" w:type="dxa"/>
              <w:bottom w:w="0" w:type="dxa"/>
              <w:right w:w="108" w:type="dxa"/>
            </w:tcMar>
            <w:vAlign w:val="center"/>
          </w:tcPr>
          <w:p>
            <w:pPr>
              <w:pStyle w:val="10"/>
              <w:keepNext w:val="0"/>
              <w:keepLines w:val="0"/>
              <w:widowControl/>
              <w:suppressLineNumbers w:val="0"/>
              <w:jc w:val="both"/>
              <w:rPr>
                <w:rStyle w:val="4"/>
                <w:rFonts w:hint="eastAsia" w:ascii="宋体" w:hAnsi="宋体" w:eastAsia="宋体" w:cs="宋体"/>
                <w:color w:val="auto"/>
                <w:kern w:val="0"/>
                <w:sz w:val="24"/>
                <w:szCs w:val="24"/>
                <w:highlight w:val="none"/>
                <w:lang w:val="en-US" w:eastAsia="zh-CN" w:bidi="ar"/>
              </w:rPr>
            </w:pPr>
            <w:r>
              <w:rPr>
                <w:rStyle w:val="4"/>
                <w:rFonts w:hint="eastAsia" w:ascii="宋体" w:hAnsi="宋体" w:eastAsia="宋体" w:cs="宋体"/>
                <w:color w:val="auto"/>
                <w:kern w:val="0"/>
                <w:sz w:val="24"/>
                <w:szCs w:val="24"/>
                <w:highlight w:val="none"/>
                <w:lang w:val="en-US" w:eastAsia="zh-CN" w:bidi="ar"/>
              </w:rPr>
              <w:t>支付方式：由衡阳市公安局支付。</w:t>
            </w:r>
          </w:p>
          <w:p>
            <w:pPr>
              <w:pStyle w:val="10"/>
              <w:keepNext w:val="0"/>
              <w:keepLines w:val="0"/>
              <w:widowControl/>
              <w:suppressLineNumbers w:val="0"/>
              <w:jc w:val="both"/>
              <w:rPr>
                <w:rStyle w:val="4"/>
                <w:rFonts w:hint="eastAsia" w:ascii="宋体" w:hAnsi="宋体" w:eastAsia="宋体" w:cs="宋体"/>
                <w:color w:val="auto"/>
                <w:kern w:val="0"/>
                <w:sz w:val="24"/>
                <w:szCs w:val="24"/>
                <w:highlight w:val="none"/>
                <w:lang w:val="en-US" w:eastAsia="zh-CN" w:bidi="ar"/>
              </w:rPr>
            </w:pPr>
            <w:r>
              <w:rPr>
                <w:rStyle w:val="4"/>
                <w:rFonts w:hint="eastAsia" w:ascii="宋体" w:hAnsi="宋体" w:eastAsia="宋体" w:cs="宋体"/>
                <w:color w:val="auto"/>
                <w:kern w:val="0"/>
                <w:sz w:val="24"/>
                <w:szCs w:val="24"/>
                <w:highlight w:val="none"/>
                <w:lang w:val="en-US" w:eastAsia="zh-CN" w:bidi="ar"/>
              </w:rPr>
              <w:t>支付条件：经采购人验收合格后，按实际交货数量支付货款，具体支付方式双方合同约定。</w:t>
            </w:r>
          </w:p>
          <w:p>
            <w:pPr>
              <w:pStyle w:val="7"/>
              <w:widowControl/>
              <w:jc w:val="left"/>
              <w:rPr>
                <w:rStyle w:val="4"/>
                <w:rFonts w:ascii="Times New Roman" w:hAnsi="Times New Roman" w:eastAsia="Times New Roman" w:cs="Times New Roman"/>
                <w:color w:val="auto"/>
                <w:kern w:val="0"/>
                <w:sz w:val="24"/>
                <w:szCs w:val="24"/>
                <w:highlight w:val="none"/>
              </w:rPr>
            </w:pPr>
            <w:r>
              <w:rPr>
                <w:rStyle w:val="4"/>
                <w:rFonts w:hint="eastAsia" w:ascii="宋体" w:hAnsi="宋体" w:eastAsia="宋体" w:cs="宋体"/>
                <w:color w:val="auto"/>
                <w:kern w:val="0"/>
                <w:sz w:val="24"/>
                <w:szCs w:val="24"/>
                <w:highlight w:val="none"/>
                <w:lang w:val="en-US" w:eastAsia="zh-CN" w:bidi="ar"/>
              </w:rPr>
              <w:t>本项目采用费用包干方式服务，投标人应根据项目要求和现场情况，详细列明项目所需的人力、物力、财力等，以及所有人工、管理、财务等所有费用，如一旦中标，在服务过程中出现任何遗漏，均由中标人免费提供，采购人不再支付任何费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680" w:hRule="atLeast"/>
        </w:trPr>
        <w:tc>
          <w:tcPr>
            <w:tcW w:w="4497" w:type="dxa"/>
            <w:noWrap w:val="0"/>
            <w:tcMar>
              <w:top w:w="0" w:type="dxa"/>
              <w:left w:w="108" w:type="dxa"/>
              <w:bottom w:w="0" w:type="dxa"/>
              <w:right w:w="108" w:type="dxa"/>
            </w:tcMar>
            <w:vAlign w:val="center"/>
          </w:tcPr>
          <w:p>
            <w:pPr>
              <w:pStyle w:val="7"/>
              <w:widowControl/>
              <w:spacing w:before="210" w:after="210" w:line="360" w:lineRule="auto"/>
              <w:jc w:val="center"/>
              <w:rPr>
                <w:rStyle w:val="4"/>
                <w:rFonts w:ascii="宋体" w:hAnsi="宋体" w:eastAsia="宋体" w:cs="宋体"/>
                <w:color w:val="auto"/>
                <w:kern w:val="0"/>
                <w:sz w:val="24"/>
                <w:szCs w:val="24"/>
                <w:highlight w:val="none"/>
              </w:rPr>
            </w:pPr>
            <w:r>
              <w:rPr>
                <w:rStyle w:val="4"/>
                <w:rFonts w:hint="eastAsia" w:ascii="宋体" w:hAnsi="宋体" w:eastAsia="宋体" w:cs="宋体"/>
                <w:color w:val="auto"/>
                <w:spacing w:val="30"/>
                <w:kern w:val="0"/>
                <w:sz w:val="24"/>
                <w:szCs w:val="24"/>
                <w:highlight w:val="none"/>
              </w:rPr>
              <w:t>解决争议的方式</w:t>
            </w:r>
          </w:p>
        </w:tc>
        <w:tc>
          <w:tcPr>
            <w:tcW w:w="4487" w:type="dxa"/>
            <w:noWrap w:val="0"/>
            <w:tcMar>
              <w:top w:w="0" w:type="dxa"/>
              <w:left w:w="108" w:type="dxa"/>
              <w:bottom w:w="0" w:type="dxa"/>
              <w:right w:w="108" w:type="dxa"/>
            </w:tcMar>
            <w:vAlign w:val="center"/>
          </w:tcPr>
          <w:p>
            <w:pPr>
              <w:pStyle w:val="7"/>
              <w:widowControl/>
              <w:spacing w:before="210" w:after="210" w:line="360" w:lineRule="auto"/>
              <w:jc w:val="left"/>
              <w:rPr>
                <w:rStyle w:val="4"/>
                <w:rFonts w:ascii="Times New Roman" w:hAnsi="Times New Roman" w:eastAsia="Times New Roman" w:cs="Times New Roman"/>
                <w:color w:val="auto"/>
                <w:kern w:val="0"/>
                <w:sz w:val="24"/>
                <w:szCs w:val="24"/>
                <w:highlight w:val="none"/>
              </w:rPr>
            </w:pPr>
            <w:r>
              <w:rPr>
                <w:rStyle w:val="4"/>
                <w:rFonts w:hint="eastAsia" w:ascii="宋体" w:hAnsi="宋体" w:eastAsia="宋体" w:cs="宋体"/>
                <w:bCs/>
                <w:color w:val="auto"/>
                <w:kern w:val="0"/>
                <w:sz w:val="24"/>
                <w:szCs w:val="24"/>
                <w:highlight w:val="none"/>
              </w:rPr>
              <w:t>□</w:t>
            </w:r>
            <w:r>
              <w:rPr>
                <w:rStyle w:val="4"/>
                <w:rFonts w:hint="eastAsia" w:ascii="宋体" w:hAnsi="宋体" w:eastAsia="宋体" w:cs="宋体"/>
                <w:color w:val="auto"/>
                <w:sz w:val="24"/>
                <w:szCs w:val="24"/>
                <w:highlight w:val="none"/>
              </w:rPr>
              <w:t xml:space="preserve">仲裁  </w:t>
            </w:r>
            <w:r>
              <w:rPr>
                <w:rStyle w:val="4"/>
                <w:rFonts w:hint="eastAsia" w:ascii="宋体" w:hAnsi="宋体" w:eastAsia="宋体" w:cs="宋体"/>
                <w:bCs/>
                <w:color w:val="auto"/>
                <w:kern w:val="0"/>
                <w:sz w:val="24"/>
                <w:szCs w:val="24"/>
                <w:highlight w:val="none"/>
                <w:lang w:eastAsia="zh-CN"/>
              </w:rPr>
              <w:t>☑</w:t>
            </w:r>
            <w:r>
              <w:rPr>
                <w:rStyle w:val="4"/>
                <w:rFonts w:hint="eastAsia" w:ascii="宋体" w:hAnsi="宋体" w:eastAsia="宋体" w:cs="宋体"/>
                <w:color w:val="auto"/>
                <w:sz w:val="24"/>
                <w:szCs w:val="24"/>
                <w:highlight w:val="none"/>
              </w:rPr>
              <w:t>诉讼</w:t>
            </w:r>
          </w:p>
        </w:tc>
      </w:tr>
    </w:tbl>
    <w:p>
      <w:pPr>
        <w:pStyle w:val="7"/>
        <w:widowControl/>
        <w:spacing w:line="360" w:lineRule="auto"/>
        <w:ind w:firstLine="600" w:firstLineChars="200"/>
        <w:jc w:val="left"/>
        <w:rPr>
          <w:rStyle w:val="4"/>
          <w:rFonts w:ascii="宋体" w:hAnsi="宋体" w:eastAsia="宋体" w:cs="宋体"/>
          <w:color w:val="auto"/>
          <w:spacing w:val="30"/>
          <w:kern w:val="0"/>
          <w:sz w:val="24"/>
          <w:szCs w:val="24"/>
          <w:highlight w:val="none"/>
        </w:rPr>
      </w:pPr>
    </w:p>
    <w:p>
      <w:pPr>
        <w:pStyle w:val="7"/>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firstLine="482" w:firstLineChars="200"/>
        <w:textAlignment w:val="auto"/>
        <w:rPr>
          <w:rStyle w:val="4"/>
          <w:rFonts w:hint="default" w:ascii="宋体" w:hAnsi="宋体" w:eastAsia="宋体" w:cs="Times New Roman"/>
          <w:b w:val="0"/>
          <w:bCs/>
          <w:color w:val="auto"/>
          <w:sz w:val="24"/>
          <w:highlight w:val="none"/>
          <w:lang w:val="en-US" w:eastAsia="zh-CN"/>
        </w:rPr>
      </w:pPr>
      <w:r>
        <w:rPr>
          <w:rStyle w:val="4"/>
          <w:rFonts w:hint="eastAsia" w:ascii="宋体" w:hAnsi="宋体" w:eastAsia="宋体" w:cs="Times New Roman"/>
          <w:b/>
          <w:bCs w:val="0"/>
          <w:color w:val="auto"/>
          <w:sz w:val="24"/>
          <w:highlight w:val="none"/>
          <w:lang w:val="en-US" w:eastAsia="zh-CN"/>
        </w:rPr>
        <w:t>二、配送基本要求</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宋体"/>
          <w:b w:val="0"/>
          <w:bCs/>
          <w:color w:val="auto"/>
          <w:sz w:val="24"/>
          <w:highlight w:val="none"/>
          <w:lang w:eastAsia="zh-CN"/>
        </w:rPr>
      </w:pPr>
      <w:r>
        <w:rPr>
          <w:rStyle w:val="4"/>
          <w:rFonts w:hint="eastAsia" w:ascii="宋体" w:hAnsi="宋体" w:eastAsia="宋体" w:cs="宋体"/>
          <w:b w:val="0"/>
          <w:bCs/>
          <w:color w:val="auto"/>
          <w:sz w:val="24"/>
          <w:highlight w:val="none"/>
          <w:lang w:eastAsia="zh-CN"/>
        </w:rPr>
        <w:t>1、配送由供应商负责。每次配送的时间和数量以采购人的采购计划为准。</w:t>
      </w:r>
      <w:r>
        <w:rPr>
          <w:rStyle w:val="4"/>
          <w:rFonts w:hint="eastAsia" w:ascii="宋体" w:hAnsi="宋体" w:eastAsia="宋体" w:cs="宋体"/>
          <w:color w:val="auto"/>
          <w:sz w:val="24"/>
          <w:szCs w:val="24"/>
          <w:highlight w:val="none"/>
          <w:lang w:eastAsia="zh-CN"/>
        </w:rPr>
        <w:t>所有耗材</w:t>
      </w:r>
      <w:r>
        <w:rPr>
          <w:rStyle w:val="4"/>
          <w:rFonts w:hint="eastAsia" w:ascii="宋体" w:hAnsi="宋体" w:eastAsia="宋体" w:cs="宋体"/>
          <w:b w:val="0"/>
          <w:bCs/>
          <w:color w:val="auto"/>
          <w:sz w:val="24"/>
          <w:highlight w:val="none"/>
          <w:lang w:eastAsia="zh-CN"/>
        </w:rPr>
        <w:t>的配送地点，以采购人要求的送货地点为准，节假日照常配送。</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Times New Roman"/>
          <w:b w:val="0"/>
          <w:bCs/>
          <w:color w:val="auto"/>
          <w:sz w:val="24"/>
          <w:highlight w:val="none"/>
          <w:lang w:eastAsia="zh-CN"/>
        </w:rPr>
      </w:pPr>
      <w:r>
        <w:rPr>
          <w:rStyle w:val="4"/>
          <w:rFonts w:hint="eastAsia" w:ascii="宋体" w:hAnsi="宋体" w:eastAsia="宋体" w:cs="Times New Roman"/>
          <w:b w:val="0"/>
          <w:bCs/>
          <w:color w:val="auto"/>
          <w:sz w:val="24"/>
          <w:highlight w:val="none"/>
          <w:lang w:eastAsia="zh-CN"/>
        </w:rPr>
        <w:t>2、供应商负责安排运输，并承担产品在运输过程中毁损等风险，运输费由供应商负担。</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Times New Roman"/>
          <w:b w:val="0"/>
          <w:bCs/>
          <w:color w:val="auto"/>
          <w:sz w:val="24"/>
          <w:highlight w:val="none"/>
          <w:lang w:eastAsia="zh-CN"/>
        </w:rPr>
      </w:pPr>
      <w:r>
        <w:rPr>
          <w:rStyle w:val="4"/>
          <w:rFonts w:hint="eastAsia" w:ascii="宋体" w:hAnsi="宋体" w:eastAsia="宋体" w:cs="Times New Roman"/>
          <w:b w:val="0"/>
          <w:bCs/>
          <w:color w:val="auto"/>
          <w:sz w:val="24"/>
          <w:highlight w:val="none"/>
          <w:lang w:eastAsia="zh-CN"/>
        </w:rPr>
        <w:t>3、如果上述情况没有按照采购人要求及时送达的，所产生的一切后果将由供应商负责，</w:t>
      </w:r>
      <w:r>
        <w:rPr>
          <w:rStyle w:val="4"/>
          <w:rFonts w:hint="eastAsia" w:ascii="宋体" w:hAnsi="宋体" w:eastAsia="宋体" w:cs="Times New Roman"/>
          <w:b w:val="0"/>
          <w:bCs/>
          <w:color w:val="auto"/>
          <w:sz w:val="24"/>
          <w:highlight w:val="none"/>
          <w:lang w:val="en-US" w:eastAsia="zh-CN"/>
        </w:rPr>
        <w:t>如造成不良后果，采购人可以终止合同，供应商对此不持异议</w:t>
      </w:r>
      <w:r>
        <w:rPr>
          <w:rStyle w:val="4"/>
          <w:rFonts w:hint="eastAsia" w:ascii="宋体" w:hAnsi="宋体" w:eastAsia="宋体" w:cs="Times New Roman"/>
          <w:b w:val="0"/>
          <w:bCs/>
          <w:color w:val="auto"/>
          <w:sz w:val="24"/>
          <w:highlight w:val="none"/>
          <w:lang w:eastAsia="zh-CN"/>
        </w:rPr>
        <w:t>。</w:t>
      </w:r>
    </w:p>
    <w:p>
      <w:pPr>
        <w:pStyle w:val="7"/>
        <w:keepNext w:val="0"/>
        <w:keepLines w:val="0"/>
        <w:pageBreakBefore w:val="0"/>
        <w:widowControl w:val="0"/>
        <w:kinsoku/>
        <w:wordWrap/>
        <w:overflowPunct/>
        <w:topLinePunct w:val="0"/>
        <w:autoSpaceDE/>
        <w:autoSpaceDN/>
        <w:bidi w:val="0"/>
        <w:spacing w:line="480" w:lineRule="exact"/>
        <w:ind w:left="0" w:firstLine="482" w:firstLineChars="200"/>
        <w:textAlignment w:val="auto"/>
        <w:rPr>
          <w:rStyle w:val="4"/>
          <w:rFonts w:hint="eastAsia" w:ascii="宋体" w:hAnsi="宋体" w:eastAsia="宋体" w:cs="Times New Roman"/>
          <w:b w:val="0"/>
          <w:bCs/>
          <w:color w:val="auto"/>
          <w:sz w:val="24"/>
          <w:highlight w:val="none"/>
          <w:lang w:eastAsia="zh-CN"/>
        </w:rPr>
      </w:pPr>
      <w:r>
        <w:rPr>
          <w:rStyle w:val="4"/>
          <w:rFonts w:hint="eastAsia" w:ascii="宋体" w:hAnsi="宋体" w:eastAsia="宋体" w:cs="Times New Roman"/>
          <w:b/>
          <w:bCs w:val="0"/>
          <w:color w:val="auto"/>
          <w:sz w:val="24"/>
          <w:highlight w:val="none"/>
          <w:lang w:val="en-US" w:eastAsia="zh-CN"/>
        </w:rPr>
        <w:t>三</w:t>
      </w:r>
      <w:r>
        <w:rPr>
          <w:rStyle w:val="4"/>
          <w:rFonts w:hint="eastAsia" w:ascii="宋体" w:hAnsi="宋体" w:eastAsia="宋体" w:cs="Times New Roman"/>
          <w:b/>
          <w:bCs w:val="0"/>
          <w:color w:val="auto"/>
          <w:sz w:val="24"/>
          <w:highlight w:val="none"/>
          <w:lang w:eastAsia="zh-CN"/>
        </w:rPr>
        <w:t>、产品质量保证及检验</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Times New Roman"/>
          <w:b w:val="0"/>
          <w:bCs/>
          <w:color w:val="auto"/>
          <w:sz w:val="24"/>
          <w:highlight w:val="none"/>
          <w:lang w:eastAsia="zh-CN"/>
        </w:rPr>
      </w:pPr>
      <w:r>
        <w:rPr>
          <w:rStyle w:val="4"/>
          <w:rFonts w:hint="eastAsia" w:ascii="宋体" w:hAnsi="宋体" w:eastAsia="宋体" w:cs="Times New Roman"/>
          <w:b w:val="0"/>
          <w:bCs/>
          <w:color w:val="auto"/>
          <w:sz w:val="24"/>
          <w:highlight w:val="none"/>
          <w:lang w:eastAsia="zh-CN"/>
        </w:rPr>
        <w:t>货物送达采购人指定地点后：</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Times New Roman"/>
          <w:b w:val="0"/>
          <w:bCs/>
          <w:color w:val="auto"/>
          <w:sz w:val="24"/>
          <w:highlight w:val="none"/>
          <w:lang w:eastAsia="zh-CN"/>
        </w:rPr>
      </w:pPr>
      <w:r>
        <w:rPr>
          <w:rStyle w:val="4"/>
          <w:rFonts w:hint="eastAsia" w:ascii="宋体" w:hAnsi="宋体" w:eastAsia="宋体" w:cs="Times New Roman"/>
          <w:b w:val="0"/>
          <w:bCs/>
          <w:color w:val="auto"/>
          <w:sz w:val="24"/>
          <w:highlight w:val="none"/>
          <w:lang w:eastAsia="zh-CN"/>
        </w:rPr>
        <w:t>1、按合同交付的产品质量应符合国家承认的相应标准，并与投标时承诺的质量相一致，以确保临床使用安全有效。</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Times New Roman"/>
          <w:b w:val="0"/>
          <w:bCs/>
          <w:color w:val="auto"/>
          <w:sz w:val="24"/>
          <w:highlight w:val="none"/>
          <w:lang w:eastAsia="zh-CN"/>
        </w:rPr>
      </w:pPr>
      <w:r>
        <w:rPr>
          <w:rStyle w:val="4"/>
          <w:rFonts w:hint="eastAsia" w:ascii="宋体" w:hAnsi="宋体" w:eastAsia="宋体" w:cs="Times New Roman"/>
          <w:b w:val="0"/>
          <w:bCs/>
          <w:color w:val="auto"/>
          <w:sz w:val="24"/>
          <w:highlight w:val="none"/>
          <w:lang w:eastAsia="zh-CN"/>
        </w:rPr>
        <w:t>2、供应商所提供的必须是其合法生产或代理的合格产品，并能够按照合同规定的商标、产地、质量、价格、有效期及时供货。如果采购人确认需要进行产品质量检验，供应商须同意进行产品质量检验，或者通过检验证明产品存在质量问题，则进行产品质量检验的费用由供应商承担。检验在供应商交货的最终目的地进行。</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Times New Roman"/>
          <w:b w:val="0"/>
          <w:bCs/>
          <w:color w:val="auto"/>
          <w:sz w:val="24"/>
          <w:highlight w:val="none"/>
          <w:lang w:eastAsia="zh-CN"/>
        </w:rPr>
      </w:pPr>
      <w:r>
        <w:rPr>
          <w:rStyle w:val="4"/>
          <w:rFonts w:hint="eastAsia" w:ascii="宋体" w:hAnsi="宋体" w:eastAsia="宋体" w:cs="Times New Roman"/>
          <w:b w:val="0"/>
          <w:bCs/>
          <w:color w:val="auto"/>
          <w:sz w:val="24"/>
          <w:highlight w:val="none"/>
          <w:lang w:eastAsia="zh-CN"/>
        </w:rPr>
        <w:t>3、产品包装上（包括大包装、小包装等），必须按照国家相关规定附有名称、批号、</w:t>
      </w:r>
      <w:r>
        <w:rPr>
          <w:rStyle w:val="4"/>
          <w:rFonts w:hint="eastAsia" w:ascii="宋体" w:hAnsi="宋体" w:eastAsia="宋体" w:cs="Times New Roman"/>
          <w:b w:val="0"/>
          <w:bCs/>
          <w:color w:val="auto"/>
          <w:sz w:val="24"/>
          <w:highlight w:val="none"/>
          <w:lang w:val="en-US" w:eastAsia="zh-CN"/>
        </w:rPr>
        <w:t>生产厂家</w:t>
      </w:r>
      <w:r>
        <w:rPr>
          <w:rStyle w:val="4"/>
          <w:rFonts w:hint="eastAsia" w:ascii="宋体" w:hAnsi="宋体" w:eastAsia="宋体" w:cs="Times New Roman"/>
          <w:b w:val="0"/>
          <w:bCs/>
          <w:color w:val="auto"/>
          <w:sz w:val="24"/>
          <w:highlight w:val="none"/>
          <w:lang w:eastAsia="zh-CN"/>
        </w:rPr>
        <w:t>、规格型号、</w:t>
      </w:r>
      <w:r>
        <w:rPr>
          <w:rStyle w:val="4"/>
          <w:rFonts w:hint="eastAsia" w:ascii="宋体" w:hAnsi="宋体" w:eastAsia="宋体" w:cs="Times New Roman"/>
          <w:b w:val="0"/>
          <w:bCs/>
          <w:color w:val="auto"/>
          <w:sz w:val="24"/>
          <w:highlight w:val="none"/>
          <w:lang w:val="en-US" w:eastAsia="zh-CN"/>
        </w:rPr>
        <w:t>使用期限</w:t>
      </w:r>
      <w:r>
        <w:rPr>
          <w:rStyle w:val="4"/>
          <w:rFonts w:hint="eastAsia" w:ascii="宋体" w:hAnsi="宋体" w:eastAsia="宋体" w:cs="Times New Roman"/>
          <w:b w:val="0"/>
          <w:bCs/>
          <w:color w:val="auto"/>
          <w:sz w:val="24"/>
          <w:highlight w:val="none"/>
          <w:lang w:eastAsia="zh-CN"/>
        </w:rPr>
        <w:t>等中文标识。采购人在接收产品时，应对产品进行验货确认，对不符合合同质量、数量、包装、标识运输条件等要求的，采购人有权拒绝接受。供应商应及时提供合格的产品，不得影响采购人的临床使用。</w:t>
      </w:r>
      <w:r>
        <w:rPr>
          <w:rStyle w:val="4"/>
          <w:rFonts w:hint="eastAsia" w:ascii="宋体" w:hAnsi="宋体" w:eastAsia="宋体" w:cs="Times New Roman"/>
          <w:b w:val="0"/>
          <w:bCs/>
          <w:color w:val="auto"/>
          <w:sz w:val="24"/>
          <w:highlight w:val="none"/>
          <w:lang w:val="en-US" w:eastAsia="zh-CN"/>
        </w:rPr>
        <w:t>如果因上述原因</w:t>
      </w:r>
      <w:r>
        <w:rPr>
          <w:rStyle w:val="4"/>
          <w:rFonts w:hint="eastAsia" w:ascii="宋体" w:hAnsi="宋体" w:eastAsia="宋体" w:cs="Times New Roman"/>
          <w:b w:val="0"/>
          <w:bCs/>
          <w:color w:val="auto"/>
          <w:sz w:val="24"/>
          <w:highlight w:val="none"/>
          <w:lang w:eastAsia="zh-CN"/>
        </w:rPr>
        <w:t>给</w:t>
      </w:r>
      <w:r>
        <w:rPr>
          <w:rStyle w:val="4"/>
          <w:rFonts w:hint="eastAsia" w:ascii="宋体" w:hAnsi="宋体" w:eastAsia="宋体" w:cs="Times New Roman"/>
          <w:b w:val="0"/>
          <w:bCs/>
          <w:color w:val="auto"/>
          <w:sz w:val="24"/>
          <w:highlight w:val="none"/>
          <w:lang w:val="en-US" w:eastAsia="zh-CN"/>
        </w:rPr>
        <w:t>采购人</w:t>
      </w:r>
      <w:r>
        <w:rPr>
          <w:rStyle w:val="4"/>
          <w:rFonts w:hint="eastAsia" w:ascii="宋体" w:hAnsi="宋体" w:eastAsia="宋体" w:cs="Times New Roman"/>
          <w:b w:val="0"/>
          <w:bCs/>
          <w:color w:val="auto"/>
          <w:sz w:val="24"/>
          <w:highlight w:val="none"/>
          <w:lang w:eastAsia="zh-CN"/>
        </w:rPr>
        <w:t>造成的损失，供应商应承担损害赔偿责任。</w:t>
      </w:r>
    </w:p>
    <w:p>
      <w:pPr>
        <w:pStyle w:val="7"/>
        <w:keepNext w:val="0"/>
        <w:keepLines w:val="0"/>
        <w:pageBreakBefore w:val="0"/>
        <w:widowControl w:val="0"/>
        <w:kinsoku/>
        <w:wordWrap/>
        <w:overflowPunct/>
        <w:topLinePunct w:val="0"/>
        <w:autoSpaceDE/>
        <w:autoSpaceDN/>
        <w:bidi w:val="0"/>
        <w:spacing w:line="480" w:lineRule="exact"/>
        <w:ind w:left="0" w:firstLine="482" w:firstLineChars="200"/>
        <w:textAlignment w:val="auto"/>
        <w:rPr>
          <w:rStyle w:val="4"/>
          <w:rFonts w:hint="eastAsia" w:ascii="宋体" w:hAnsi="宋体" w:eastAsia="宋体" w:cs="Times New Roman"/>
          <w:b w:val="0"/>
          <w:bCs/>
          <w:color w:val="auto"/>
          <w:sz w:val="24"/>
          <w:highlight w:val="none"/>
          <w:lang w:eastAsia="zh-CN"/>
        </w:rPr>
      </w:pPr>
      <w:r>
        <w:rPr>
          <w:rStyle w:val="4"/>
          <w:rFonts w:hint="eastAsia" w:ascii="宋体" w:hAnsi="宋体" w:eastAsia="宋体" w:cs="Times New Roman"/>
          <w:b/>
          <w:bCs w:val="0"/>
          <w:color w:val="auto"/>
          <w:sz w:val="24"/>
          <w:highlight w:val="none"/>
          <w:lang w:val="en-US" w:eastAsia="zh-CN"/>
        </w:rPr>
        <w:t>四</w:t>
      </w:r>
      <w:r>
        <w:rPr>
          <w:rStyle w:val="4"/>
          <w:rFonts w:hint="eastAsia" w:ascii="宋体" w:hAnsi="宋体" w:eastAsia="宋体" w:cs="Times New Roman"/>
          <w:b/>
          <w:bCs w:val="0"/>
          <w:color w:val="auto"/>
          <w:sz w:val="24"/>
          <w:highlight w:val="none"/>
          <w:lang w:eastAsia="zh-CN"/>
        </w:rPr>
        <w:t>、交货及培训</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Times New Roman"/>
          <w:b w:val="0"/>
          <w:bCs/>
          <w:color w:val="auto"/>
          <w:sz w:val="24"/>
          <w:highlight w:val="none"/>
          <w:lang w:eastAsia="zh-CN"/>
        </w:rPr>
      </w:pPr>
      <w:r>
        <w:rPr>
          <w:rStyle w:val="4"/>
          <w:rFonts w:hint="eastAsia" w:ascii="宋体" w:hAnsi="宋体" w:eastAsia="宋体" w:cs="Times New Roman"/>
          <w:b w:val="0"/>
          <w:bCs/>
          <w:color w:val="auto"/>
          <w:sz w:val="24"/>
          <w:highlight w:val="none"/>
          <w:lang w:eastAsia="zh-CN"/>
        </w:rPr>
        <w:t>1、交货方式一般采用现场交货方式，其它交货方式在合同特殊条款中规定。现场交货的方式由供应商负责办理运输和保险，将货物运抵采购人现场。有关运输和保险的一切费用由供应商承担。</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Times New Roman"/>
          <w:b w:val="0"/>
          <w:bCs/>
          <w:color w:val="auto"/>
          <w:sz w:val="24"/>
          <w:highlight w:val="none"/>
          <w:lang w:eastAsia="zh-CN"/>
        </w:rPr>
      </w:pPr>
      <w:r>
        <w:rPr>
          <w:rStyle w:val="4"/>
          <w:rFonts w:hint="eastAsia" w:ascii="宋体" w:hAnsi="宋体" w:eastAsia="宋体" w:cs="Times New Roman"/>
          <w:b w:val="0"/>
          <w:bCs/>
          <w:color w:val="auto"/>
          <w:sz w:val="24"/>
          <w:highlight w:val="none"/>
          <w:lang w:eastAsia="zh-CN"/>
        </w:rPr>
        <w:t>2、供应商负责产品的现场搬运或入库，有关一切费用由供应商承担。</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Times New Roman"/>
          <w:b w:val="0"/>
          <w:bCs/>
          <w:color w:val="auto"/>
          <w:sz w:val="24"/>
          <w:highlight w:val="none"/>
          <w:lang w:eastAsia="zh-CN"/>
        </w:rPr>
      </w:pPr>
      <w:r>
        <w:rPr>
          <w:rStyle w:val="4"/>
          <w:rFonts w:hint="eastAsia" w:ascii="宋体" w:hAnsi="宋体" w:eastAsia="宋体" w:cs="Times New Roman"/>
          <w:b w:val="0"/>
          <w:bCs/>
          <w:color w:val="auto"/>
          <w:sz w:val="24"/>
          <w:highlight w:val="none"/>
          <w:lang w:val="en-US" w:eastAsia="zh-CN"/>
        </w:rPr>
        <w:t>3</w:t>
      </w:r>
      <w:r>
        <w:rPr>
          <w:rStyle w:val="4"/>
          <w:rFonts w:hint="eastAsia" w:ascii="宋体" w:hAnsi="宋体" w:eastAsia="宋体" w:cs="Times New Roman"/>
          <w:b w:val="0"/>
          <w:bCs/>
          <w:color w:val="auto"/>
          <w:sz w:val="24"/>
          <w:highlight w:val="none"/>
          <w:lang w:eastAsia="zh-CN"/>
        </w:rPr>
        <w:t>、</w:t>
      </w:r>
      <w:r>
        <w:rPr>
          <w:rStyle w:val="4"/>
          <w:rFonts w:hint="eastAsia" w:ascii="宋体" w:hAnsi="宋体" w:eastAsia="宋体" w:cs="Times New Roman"/>
          <w:b w:val="0"/>
          <w:bCs w:val="0"/>
          <w:color w:val="auto"/>
          <w:kern w:val="2"/>
          <w:sz w:val="24"/>
          <w:szCs w:val="24"/>
          <w:highlight w:val="none"/>
          <w:lang w:val="en-US" w:eastAsia="zh-CN" w:bidi="ar-SA"/>
        </w:rPr>
        <w:t>对开箱时发现的破损或其它不合格产品供应商应无条件及时更换。</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Times New Roman"/>
          <w:b w:val="0"/>
          <w:bCs/>
          <w:color w:val="auto"/>
          <w:sz w:val="24"/>
          <w:highlight w:val="none"/>
          <w:lang w:eastAsia="zh-CN"/>
        </w:rPr>
      </w:pPr>
      <w:r>
        <w:rPr>
          <w:rStyle w:val="4"/>
          <w:rFonts w:hint="eastAsia" w:ascii="宋体" w:hAnsi="宋体" w:eastAsia="宋体" w:cs="Times New Roman"/>
          <w:b w:val="0"/>
          <w:bCs/>
          <w:color w:val="auto"/>
          <w:sz w:val="24"/>
          <w:highlight w:val="none"/>
          <w:lang w:val="en-US" w:eastAsia="zh-CN"/>
        </w:rPr>
        <w:t>4</w:t>
      </w:r>
      <w:r>
        <w:rPr>
          <w:rStyle w:val="4"/>
          <w:rFonts w:hint="eastAsia" w:ascii="宋体" w:hAnsi="宋体" w:eastAsia="宋体" w:cs="Times New Roman"/>
          <w:b w:val="0"/>
          <w:bCs/>
          <w:color w:val="auto"/>
          <w:sz w:val="24"/>
          <w:highlight w:val="none"/>
          <w:lang w:eastAsia="zh-CN"/>
        </w:rPr>
        <w:t>、在采购人指定地点为所供产品的应用进行现场讲解或培训。</w:t>
      </w:r>
    </w:p>
    <w:p>
      <w:pPr>
        <w:pStyle w:val="7"/>
        <w:keepNext w:val="0"/>
        <w:keepLines w:val="0"/>
        <w:pageBreakBefore w:val="0"/>
        <w:widowControl w:val="0"/>
        <w:kinsoku/>
        <w:wordWrap/>
        <w:overflowPunct/>
        <w:topLinePunct w:val="0"/>
        <w:autoSpaceDE/>
        <w:autoSpaceDN/>
        <w:bidi w:val="0"/>
        <w:spacing w:line="480" w:lineRule="exact"/>
        <w:ind w:left="0" w:firstLine="480" w:firstLineChars="200"/>
        <w:textAlignment w:val="auto"/>
        <w:rPr>
          <w:rStyle w:val="4"/>
          <w:rFonts w:hint="eastAsia" w:ascii="宋体" w:hAnsi="宋体" w:eastAsia="宋体" w:cs="Times New Roman"/>
          <w:b w:val="0"/>
          <w:bCs/>
          <w:color w:val="auto"/>
          <w:sz w:val="24"/>
          <w:highlight w:val="none"/>
          <w:lang w:eastAsia="zh-CN"/>
        </w:rPr>
      </w:pPr>
      <w:r>
        <w:rPr>
          <w:rStyle w:val="4"/>
          <w:rFonts w:hint="eastAsia" w:ascii="宋体" w:hAnsi="宋体" w:eastAsia="宋体" w:cs="Times New Roman"/>
          <w:b w:val="0"/>
          <w:bCs/>
          <w:color w:val="auto"/>
          <w:sz w:val="24"/>
          <w:highlight w:val="none"/>
          <w:lang w:val="en-US" w:eastAsia="zh-CN"/>
        </w:rPr>
        <w:t>5</w:t>
      </w:r>
      <w:r>
        <w:rPr>
          <w:rStyle w:val="4"/>
          <w:rFonts w:hint="eastAsia" w:ascii="宋体" w:hAnsi="宋体" w:eastAsia="宋体" w:cs="Times New Roman"/>
          <w:b w:val="0"/>
          <w:bCs/>
          <w:color w:val="auto"/>
          <w:sz w:val="24"/>
          <w:highlight w:val="none"/>
          <w:lang w:eastAsia="zh-CN"/>
        </w:rPr>
        <w:t>、供应商应具备解决紧急问题的能力，如采购人在使用货物的过程中发现问题，供应商应及时到采购人现场解决。</w:t>
      </w:r>
    </w:p>
    <w:p>
      <w:pPr>
        <w:pStyle w:val="7"/>
        <w:keepNext w:val="0"/>
        <w:keepLines w:val="0"/>
        <w:pageBreakBefore w:val="0"/>
        <w:widowControl w:val="0"/>
        <w:kinsoku/>
        <w:wordWrap/>
        <w:overflowPunct/>
        <w:topLinePunct w:val="0"/>
        <w:autoSpaceDE/>
        <w:autoSpaceDN/>
        <w:bidi w:val="0"/>
        <w:spacing w:line="480" w:lineRule="exact"/>
        <w:ind w:left="0" w:firstLine="482" w:firstLineChars="200"/>
        <w:textAlignment w:val="auto"/>
        <w:rPr>
          <w:rStyle w:val="4"/>
          <w:rFonts w:hint="eastAsia" w:ascii="宋体" w:hAnsi="宋体" w:eastAsia="宋体" w:cs="Times New Roman"/>
          <w:b/>
          <w:bCs w:val="0"/>
          <w:color w:val="auto"/>
          <w:sz w:val="24"/>
          <w:highlight w:val="none"/>
          <w:lang w:val="en-US" w:eastAsia="zh-CN"/>
        </w:rPr>
      </w:pPr>
      <w:r>
        <w:rPr>
          <w:rStyle w:val="4"/>
          <w:rFonts w:hint="eastAsia" w:ascii="宋体" w:hAnsi="宋体" w:eastAsia="宋体" w:cs="Times New Roman"/>
          <w:b/>
          <w:bCs w:val="0"/>
          <w:color w:val="auto"/>
          <w:sz w:val="24"/>
          <w:highlight w:val="none"/>
          <w:lang w:val="en-US" w:eastAsia="zh-CN"/>
        </w:rPr>
        <w:t>五、其他事项说明</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Style w:val="4"/>
          <w:rFonts w:hint="eastAsia" w:ascii="宋体" w:hAnsi="宋体" w:eastAsia="宋体" w:cs="Times New Roman"/>
          <w:b w:val="0"/>
          <w:bCs/>
          <w:color w:val="auto"/>
          <w:kern w:val="2"/>
          <w:sz w:val="24"/>
          <w:szCs w:val="24"/>
          <w:highlight w:val="none"/>
          <w:lang w:val="en-US" w:eastAsia="zh-CN" w:bidi="ar-SA"/>
        </w:rPr>
      </w:pPr>
      <w:r>
        <w:rPr>
          <w:rStyle w:val="4"/>
          <w:rFonts w:hint="eastAsia" w:ascii="宋体" w:hAnsi="宋体" w:eastAsia="宋体" w:cs="Times New Roman"/>
          <w:b w:val="0"/>
          <w:bCs/>
          <w:color w:val="auto"/>
          <w:kern w:val="2"/>
          <w:sz w:val="24"/>
          <w:szCs w:val="24"/>
          <w:highlight w:val="none"/>
          <w:lang w:val="en-US" w:eastAsia="zh-CN" w:bidi="ar-SA"/>
        </w:rPr>
        <w:t>1、储备一定</w:t>
      </w:r>
      <w:r>
        <w:rPr>
          <w:rStyle w:val="4"/>
          <w:rFonts w:hint="eastAsia" w:ascii="宋体" w:hAnsi="宋体" w:eastAsia="宋体" w:cs="宋体"/>
          <w:color w:val="auto"/>
          <w:sz w:val="24"/>
          <w:szCs w:val="24"/>
          <w:highlight w:val="none"/>
          <w:lang w:eastAsia="zh-CN"/>
        </w:rPr>
        <w:t>试剂或耗材</w:t>
      </w:r>
      <w:r>
        <w:rPr>
          <w:rStyle w:val="4"/>
          <w:rFonts w:hint="eastAsia" w:ascii="宋体" w:hAnsi="宋体" w:eastAsia="宋体" w:cs="Times New Roman"/>
          <w:b w:val="0"/>
          <w:bCs/>
          <w:color w:val="auto"/>
          <w:kern w:val="2"/>
          <w:sz w:val="24"/>
          <w:szCs w:val="24"/>
          <w:highlight w:val="none"/>
          <w:lang w:val="en-US" w:eastAsia="zh-CN" w:bidi="ar-SA"/>
        </w:rPr>
        <w:t>，确保应急供应。</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480" w:firstLineChars="200"/>
        <w:textAlignment w:val="auto"/>
        <w:rPr>
          <w:rStyle w:val="4"/>
          <w:rFonts w:hint="eastAsia" w:ascii="宋体" w:hAnsi="宋体" w:eastAsia="宋体" w:cs="Times New Roman"/>
          <w:b w:val="0"/>
          <w:bCs/>
          <w:color w:val="auto"/>
          <w:kern w:val="2"/>
          <w:sz w:val="24"/>
          <w:szCs w:val="24"/>
          <w:highlight w:val="none"/>
          <w:lang w:val="en-US" w:eastAsia="zh-CN" w:bidi="ar-SA"/>
        </w:rPr>
      </w:pPr>
      <w:r>
        <w:rPr>
          <w:rStyle w:val="4"/>
          <w:rFonts w:hint="eastAsia" w:ascii="宋体" w:hAnsi="宋体" w:eastAsia="宋体" w:cs="Times New Roman"/>
          <w:b w:val="0"/>
          <w:bCs/>
          <w:color w:val="auto"/>
          <w:sz w:val="24"/>
          <w:highlight w:val="none"/>
          <w:lang w:val="en-US" w:eastAsia="zh-CN"/>
        </w:rPr>
        <w:t>2、本项目在履约过程中如与行政主管（或政府职能相关部门）出具的法规政策相违背的，以最新法规政策执行为准。</w:t>
      </w:r>
    </w:p>
    <w:p>
      <w:pPr>
        <w:pStyle w:val="11"/>
        <w:keepNext w:val="0"/>
        <w:keepLines w:val="0"/>
        <w:pageBreakBefore w:val="0"/>
        <w:widowControl w:val="0"/>
        <w:kinsoku/>
        <w:wordWrap/>
        <w:overflowPunct/>
        <w:topLinePunct w:val="0"/>
        <w:autoSpaceDE/>
        <w:autoSpaceDN/>
        <w:bidi w:val="0"/>
        <w:spacing w:line="480" w:lineRule="exact"/>
        <w:ind w:left="0" w:firstLine="482" w:firstLineChars="200"/>
        <w:jc w:val="left"/>
        <w:textAlignment w:val="auto"/>
        <w:rPr>
          <w:rStyle w:val="4"/>
          <w:rFonts w:hint="eastAsia" w:ascii="宋体" w:hAnsi="宋体" w:eastAsia="宋体" w:cs="宋体"/>
          <w:b w:val="0"/>
          <w:bCs/>
          <w:color w:val="auto"/>
          <w:kern w:val="0"/>
          <w:sz w:val="24"/>
          <w:szCs w:val="24"/>
          <w:highlight w:val="none"/>
        </w:rPr>
      </w:pPr>
      <w:r>
        <w:rPr>
          <w:rStyle w:val="4"/>
          <w:rFonts w:hint="eastAsia" w:ascii="宋体" w:hAnsi="宋体" w:cs="Times New Roman"/>
          <w:b/>
          <w:bCs w:val="0"/>
          <w:color w:val="auto"/>
          <w:kern w:val="2"/>
          <w:sz w:val="24"/>
          <w:szCs w:val="24"/>
          <w:highlight w:val="none"/>
          <w:lang w:val="en-US" w:eastAsia="zh-CN" w:bidi="ar-SA"/>
        </w:rPr>
        <w:t>3</w:t>
      </w:r>
      <w:r>
        <w:rPr>
          <w:rStyle w:val="4"/>
          <w:rFonts w:hint="eastAsia" w:ascii="宋体" w:hAnsi="宋体" w:cs="宋体"/>
          <w:b w:val="0"/>
          <w:bCs/>
          <w:color w:val="auto"/>
          <w:kern w:val="0"/>
          <w:sz w:val="24"/>
          <w:szCs w:val="24"/>
          <w:highlight w:val="none"/>
          <w:lang w:val="en-US" w:eastAsia="zh-CN"/>
        </w:rPr>
        <w:t>、</w:t>
      </w:r>
      <w:r>
        <w:rPr>
          <w:rStyle w:val="4"/>
          <w:rFonts w:hint="eastAsia" w:ascii="宋体" w:hAnsi="宋体" w:eastAsia="宋体" w:cs="宋体"/>
          <w:b w:val="0"/>
          <w:bCs/>
          <w:color w:val="auto"/>
          <w:kern w:val="0"/>
          <w:sz w:val="24"/>
          <w:szCs w:val="24"/>
          <w:highlight w:val="none"/>
        </w:rPr>
        <w:t>投标报价包含设计、生产、包装、运输、保险、检测等环节所发生的，以及投标人认为完成本项目及合同实施过程中应预见和不可预见的一切含税费用。合同期内，无论市场物价是否有上升因素波动。投标人应充分考虑在采购周期内由于市场波动而引致的风险。</w:t>
      </w:r>
    </w:p>
    <w:p>
      <w:pPr>
        <w:pStyle w:val="7"/>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Style w:val="4"/>
          <w:rFonts w:hint="default" w:ascii="宋体" w:hAnsi="宋体" w:eastAsia="宋体" w:cs="Times New Roman"/>
          <w:b w:val="0"/>
          <w:bCs/>
          <w:color w:val="auto"/>
          <w:sz w:val="24"/>
          <w:highlight w:val="none"/>
          <w:lang w:val="en-US" w:eastAsia="zh-CN"/>
        </w:rPr>
      </w:pPr>
      <w:r>
        <w:rPr>
          <w:rStyle w:val="4"/>
          <w:rFonts w:hint="eastAsia" w:ascii="宋体" w:hAnsi="宋体" w:eastAsia="宋体" w:cs="宋体"/>
          <w:b w:val="0"/>
          <w:bCs/>
          <w:color w:val="auto"/>
          <w:kern w:val="0"/>
          <w:sz w:val="24"/>
          <w:szCs w:val="24"/>
          <w:highlight w:val="none"/>
          <w:lang w:val="en-US" w:eastAsia="zh-CN"/>
        </w:rPr>
        <w:t>4</w:t>
      </w:r>
      <w:r>
        <w:rPr>
          <w:rStyle w:val="4"/>
          <w:rFonts w:hint="eastAsia" w:ascii="宋体" w:hAnsi="宋体" w:eastAsia="宋体" w:cs="Times New Roman"/>
          <w:b w:val="0"/>
          <w:bCs/>
          <w:color w:val="auto"/>
          <w:sz w:val="24"/>
          <w:highlight w:val="none"/>
          <w:lang w:val="en-US" w:eastAsia="zh-CN"/>
        </w:rPr>
        <w:t>、其他未明确的内容签定合同时协商。</w:t>
      </w:r>
    </w:p>
    <w:p>
      <w:pPr>
        <w:pStyle w:val="18"/>
        <w:spacing w:line="460" w:lineRule="exact"/>
        <w:ind w:firstLine="482" w:firstLineChars="200"/>
        <w:rPr>
          <w:rStyle w:val="4"/>
          <w:rFonts w:hint="eastAsia" w:ascii="宋体" w:hAnsi="宋体" w:cs="宋体"/>
          <w:b/>
          <w:bCs/>
          <w:color w:val="auto"/>
          <w:sz w:val="24"/>
          <w:szCs w:val="24"/>
          <w:highlight w:val="none"/>
        </w:rPr>
      </w:pPr>
      <w:r>
        <w:rPr>
          <w:rStyle w:val="4"/>
          <w:rFonts w:hint="eastAsia" w:ascii="宋体" w:hAnsi="宋体" w:cs="宋体"/>
          <w:b/>
          <w:bCs/>
          <w:color w:val="auto"/>
          <w:sz w:val="24"/>
          <w:szCs w:val="24"/>
          <w:highlight w:val="none"/>
          <w:lang w:val="en-US" w:eastAsia="zh-CN"/>
        </w:rPr>
        <w:t>六</w:t>
      </w:r>
      <w:r>
        <w:rPr>
          <w:rStyle w:val="4"/>
          <w:rFonts w:hint="eastAsia" w:ascii="宋体" w:hAnsi="宋体" w:cs="宋体"/>
          <w:b/>
          <w:bCs/>
          <w:color w:val="auto"/>
          <w:sz w:val="24"/>
          <w:szCs w:val="24"/>
          <w:highlight w:val="none"/>
        </w:rPr>
        <w:t>、踏勘</w:t>
      </w:r>
    </w:p>
    <w:p>
      <w:pPr>
        <w:pStyle w:val="18"/>
        <w:spacing w:line="460" w:lineRule="exact"/>
        <w:ind w:firstLine="480" w:firstLineChars="200"/>
        <w:rPr>
          <w:rStyle w:val="4"/>
          <w:rFonts w:hint="eastAsia"/>
        </w:rPr>
      </w:pPr>
      <w:r>
        <w:rPr>
          <w:rStyle w:val="4"/>
          <w:rFonts w:hint="eastAsia" w:ascii="宋体" w:hAnsi="宋体" w:cs="宋体"/>
          <w:color w:val="auto"/>
          <w:sz w:val="24"/>
          <w:szCs w:val="24"/>
          <w:highlight w:val="none"/>
        </w:rPr>
        <w:t>本项目不组织集中踏勘。如投标人需要可自行与采购人联系确定踏勘时间，由踏勘产生的所有费用及相关安全问题均由投标人自行承担。</w:t>
      </w:r>
    </w:p>
    <w:p>
      <w:pPr>
        <w:rPr>
          <w:rFonts w:hint="eastAsia"/>
          <w:color w:val="000080"/>
          <w:sz w:val="20"/>
          <w:highlight w:val="white"/>
        </w:rPr>
      </w:pPr>
      <w:r>
        <w:rPr>
          <w:rFonts w:hint="eastAsia"/>
          <w:color w:val="000080"/>
          <w:sz w:val="20"/>
          <w:highlight w:val="white"/>
        </w:rPr>
        <w:t xml:space="preserve"> </w:t>
      </w:r>
      <w:bookmarkEnd w:id="0"/>
    </w:p>
    <w:p>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6768A9"/>
    <w:multiLevelType w:val="singleLevel"/>
    <w:tmpl w:val="326768A9"/>
    <w:lvl w:ilvl="0" w:tentative="0">
      <w:start w:val="1"/>
      <w:numFmt w:val="decimal"/>
      <w:suff w:val="nothing"/>
      <w:lvlText w:val="%1、"/>
      <w:lvlJc w:val="left"/>
    </w:lvl>
  </w:abstractNum>
  <w:abstractNum w:abstractNumId="1">
    <w:nsid w:val="326768AA"/>
    <w:multiLevelType w:val="singleLevel"/>
    <w:tmpl w:val="326768AA"/>
    <w:lvl w:ilvl="0" w:tentative="0">
      <w:start w:val="1"/>
      <w:numFmt w:val="decimal"/>
      <w:suff w:val="nothing"/>
      <w:lvlText w:val="%1、"/>
      <w:lvlJc w:val="left"/>
    </w:lvl>
  </w:abstractNum>
  <w:abstractNum w:abstractNumId="2">
    <w:nsid w:val="326768AB"/>
    <w:multiLevelType w:val="singleLevel"/>
    <w:tmpl w:val="326768AB"/>
    <w:lvl w:ilvl="0" w:tentative="0">
      <w:start w:val="1"/>
      <w:numFmt w:val="decimal"/>
      <w:suff w:val="nothing"/>
      <w:lvlText w:val="%1、"/>
      <w:lvlJc w:val="left"/>
    </w:lvl>
  </w:abstractNum>
  <w:abstractNum w:abstractNumId="3">
    <w:nsid w:val="326768AC"/>
    <w:multiLevelType w:val="singleLevel"/>
    <w:tmpl w:val="326768AC"/>
    <w:lvl w:ilvl="0" w:tentative="0">
      <w:start w:val="1"/>
      <w:numFmt w:val="decimal"/>
      <w:suff w:val="nothing"/>
      <w:lvlText w:val="%1、"/>
      <w:lvlJc w:val="left"/>
    </w:lvl>
  </w:abstractNum>
  <w:abstractNum w:abstractNumId="4">
    <w:nsid w:val="326768AD"/>
    <w:multiLevelType w:val="singleLevel"/>
    <w:tmpl w:val="326768AD"/>
    <w:lvl w:ilvl="0" w:tentative="0">
      <w:start w:val="1"/>
      <w:numFmt w:val="decimal"/>
      <w:suff w:val="nothing"/>
      <w:lvlText w:val="%1、"/>
      <w:lvlJc w:val="left"/>
    </w:lvl>
  </w:abstractNum>
  <w:abstractNum w:abstractNumId="5">
    <w:nsid w:val="326768AE"/>
    <w:multiLevelType w:val="singleLevel"/>
    <w:tmpl w:val="326768AE"/>
    <w:lvl w:ilvl="0" w:tentative="0">
      <w:start w:val="1"/>
      <w:numFmt w:val="decimal"/>
      <w:suff w:val="nothing"/>
      <w:lvlText w:val="%1、"/>
      <w:lvlJc w:val="left"/>
    </w:lvl>
  </w:abstractNum>
  <w:abstractNum w:abstractNumId="6">
    <w:nsid w:val="326768AF"/>
    <w:multiLevelType w:val="singleLevel"/>
    <w:tmpl w:val="326768AF"/>
    <w:lvl w:ilvl="0" w:tentative="0">
      <w:start w:val="1"/>
      <w:numFmt w:val="decimal"/>
      <w:suff w:val="nothing"/>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AwMDdlOTZlMGI0NDRlODQ0NDVkMThiYjE2NmFlZGQifQ=="/>
    <w:docVar w:name="KSO_WPS_MARK_KEY" w:val="c06b1b5e-0e84-4941-be53-bc863701212d"/>
  </w:docVars>
  <w:rsids>
    <w:rsidRoot w:val="67F02E5A"/>
    <w:rsid w:val="67F02E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spacing w:before="50" w:beforeLines="50" w:after="50" w:afterLines="50" w:line="360" w:lineRule="auto"/>
      <w:jc w:val="center"/>
      <w:outlineLvl w:val="0"/>
    </w:pPr>
    <w:rPr>
      <w:rFonts w:ascii="黑体" w:hAnsi="黑体" w:eastAsia="黑体" w:cs="黑体"/>
      <w:b/>
      <w:bCs/>
      <w:kern w:val="32"/>
      <w:sz w:val="36"/>
      <w:szCs w:val="48"/>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正文_2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
    <w:name w:val="List Paragraph"/>
    <w:basedOn w:val="5"/>
    <w:qFormat/>
    <w:uiPriority w:val="0"/>
    <w:pPr>
      <w:ind w:firstLine="420" w:firstLineChars="200"/>
    </w:pPr>
    <w:rPr>
      <w:rFonts w:ascii="Calibri" w:hAnsi="Calibri"/>
      <w:szCs w:val="22"/>
    </w:rPr>
  </w:style>
  <w:style w:type="paragraph" w:customStyle="1" w:styleId="7">
    <w:name w:val="正文_2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8">
    <w:name w:val="正文_22_1_0"/>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9">
    <w:name w:val="10_0_0"/>
    <w:qFormat/>
    <w:uiPriority w:val="0"/>
    <w:rPr>
      <w:rFonts w:hint="default" w:ascii="Calibri" w:hAnsi="Calibri"/>
    </w:rPr>
  </w:style>
  <w:style w:type="paragraph" w:customStyle="1" w:styleId="10">
    <w:name w:val="正文_2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
    <w:name w:val="正文_22_0"/>
    <w:basedOn w:val="12"/>
    <w:qFormat/>
    <w:uiPriority w:val="0"/>
    <w:rPr>
      <w:rFonts w:ascii="宋体" w:hAnsi="宋体" w:cs="宋体"/>
      <w:szCs w:val="21"/>
    </w:rPr>
  </w:style>
  <w:style w:type="paragraph" w:customStyle="1" w:styleId="12">
    <w:name w:val="正文_23"/>
    <w:next w:val="1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3">
    <w:name w:val="正文首行缩进 2_22"/>
    <w:basedOn w:val="14"/>
    <w:next w:val="17"/>
    <w:qFormat/>
    <w:uiPriority w:val="0"/>
    <w:pPr>
      <w:autoSpaceDE w:val="0"/>
      <w:autoSpaceDN w:val="0"/>
      <w:adjustRightInd w:val="0"/>
      <w:ind w:firstLine="420"/>
      <w:jc w:val="left"/>
    </w:pPr>
    <w:rPr>
      <w:rFonts w:ascii="Calibri" w:hAnsi="Calibri" w:eastAsia="宋体" w:cs="Times New Roman"/>
      <w:kern w:val="0"/>
    </w:rPr>
  </w:style>
  <w:style w:type="paragraph" w:customStyle="1" w:styleId="14">
    <w:name w:val="正文文本缩进_23"/>
    <w:basedOn w:val="12"/>
    <w:next w:val="15"/>
    <w:qFormat/>
    <w:uiPriority w:val="0"/>
    <w:pPr>
      <w:spacing w:after="120"/>
      <w:ind w:left="420" w:leftChars="200"/>
    </w:pPr>
    <w:rPr>
      <w:rFonts w:ascii="Times New Roman" w:hAnsi="Times New Roman" w:eastAsia="宋体" w:cs="Times New Roman"/>
    </w:rPr>
  </w:style>
  <w:style w:type="paragraph" w:customStyle="1" w:styleId="15">
    <w:name w:val="批注主题_23"/>
    <w:basedOn w:val="16"/>
    <w:next w:val="12"/>
    <w:qFormat/>
    <w:uiPriority w:val="0"/>
    <w:rPr>
      <w:b/>
      <w:bCs/>
    </w:rPr>
  </w:style>
  <w:style w:type="paragraph" w:customStyle="1" w:styleId="16">
    <w:name w:val="批注文字_23"/>
    <w:basedOn w:val="12"/>
    <w:semiHidden/>
    <w:qFormat/>
    <w:uiPriority w:val="0"/>
    <w:pPr>
      <w:jc w:val="left"/>
    </w:pPr>
  </w:style>
  <w:style w:type="paragraph" w:customStyle="1" w:styleId="17">
    <w:name w:val="正文文本_23"/>
    <w:basedOn w:val="12"/>
    <w:qFormat/>
    <w:uiPriority w:val="0"/>
    <w:pPr>
      <w:spacing w:after="120"/>
    </w:pPr>
  </w:style>
  <w:style w:type="paragraph" w:customStyle="1" w:styleId="18">
    <w:name w:val="正文_21_0_0"/>
    <w:next w:val="1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
    <w:name w:val="No Spacing"/>
    <w:basedOn w:val="18"/>
    <w:qFormat/>
    <w:uiPriority w:val="0"/>
    <w:pPr>
      <w:widowControl/>
      <w:adjustRightInd w:val="0"/>
      <w:snapToGrid w:val="0"/>
      <w:spacing w:before="100" w:beforeAutospacing="1"/>
      <w:jc w:val="left"/>
    </w:pPr>
    <w:rPr>
      <w:rFonts w:ascii="Tahoma" w:hAnsi="Tahoma" w:eastAsia="微软雅黑"/>
      <w:kern w:val="0"/>
      <w:sz w:val="22"/>
      <w:szCs w:val="22"/>
    </w:rPr>
  </w:style>
  <w:style w:type="table" w:customStyle="1" w:styleId="20">
    <w:name w:val="网格型_0"/>
    <w:basedOn w:val="3"/>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45</Pages>
  <Words>26558</Words>
  <Characters>32025</Characters>
  <Lines>0</Lines>
  <Paragraphs>0</Paragraphs>
  <TotalTime>0</TotalTime>
  <ScaleCrop>false</ScaleCrop>
  <LinksUpToDate>false</LinksUpToDate>
  <CharactersWithSpaces>32311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2025-05-07T08:07:00Z</dcterms:created>
  <dc:creator>WPS_1615425092</dc:creator>
  <cp:lastModifiedBy>WPS_1615425092</cp:lastModifiedBy>
  <dcterms:modified xsi:type="dcterms:W3CDTF">2025-05-07T08:07:37Z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E62DEDD0D9B546C9BA48B1D1620CBA04_11</vt:lpwstr>
  </property>
</Properties>
</file>