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ED58A">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ind w:firstLine="560" w:firstLineChars="200"/>
        <w:jc w:val="center"/>
        <w:outlineLvl w:val="9"/>
        <w:rPr>
          <w:rFonts w:hint="eastAsia" w:ascii="仿宋" w:hAnsi="仿宋" w:eastAsia="仿宋" w:cs="仿宋"/>
          <w:sz w:val="28"/>
          <w:szCs w:val="28"/>
        </w:rPr>
      </w:pPr>
      <w:r>
        <w:rPr>
          <w:rFonts w:hint="eastAsia" w:ascii="仿宋" w:hAnsi="仿宋" w:eastAsia="仿宋" w:cs="仿宋"/>
          <w:sz w:val="28"/>
          <w:szCs w:val="28"/>
        </w:rPr>
        <w:t>{采购项目名称}-{采购包名称}（第{X}包）政府采购合同</w:t>
      </w:r>
    </w:p>
    <w:p w14:paraId="58880E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合同编号：{XX}</w:t>
      </w:r>
      <w:bookmarkStart w:id="0" w:name="_GoBack"/>
      <w:bookmarkEnd w:id="0"/>
    </w:p>
    <w:p w14:paraId="21DB79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采购人（甲方）：{采购单位名称}</w:t>
      </w:r>
    </w:p>
    <w:p w14:paraId="40245F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供应商（乙方）：{供应商名称}</w:t>
      </w:r>
    </w:p>
    <w:p w14:paraId="755789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签订地点：{XX}</w:t>
      </w:r>
    </w:p>
    <w:p w14:paraId="1B47E6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签订时间：{取值供应商签章时间，不可编辑}</w:t>
      </w:r>
    </w:p>
    <w:p w14:paraId="0A0B4C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中华人民共和国民法典》《中华人民共和国政府采购法》《中华人民共和国政府采购法实施条例》等相关法律法规，以及本采购项目的采购文件（项目编号：{采购项目编号}）、乙方的《投标（响应）文件》及《中标（成交）通知书》，甲乙双方本着平等自愿、公平诚信、互利共赢的原则，经充分协商一致，签订本合同，共同遵守如下条款：</w:t>
      </w:r>
    </w:p>
    <w:p w14:paraId="348839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一、项目信息</w:t>
      </w:r>
    </w:p>
    <w:p w14:paraId="08724F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1.1 采购项目名称：{（继承信息，不可编辑）XX}</w:t>
      </w:r>
    </w:p>
    <w:p w14:paraId="551AD2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1.2 采购项目编号：{（继承信息，不可编辑）XX}</w:t>
      </w:r>
    </w:p>
    <w:p w14:paraId="18E4AA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1.3 采购计划编号：{（继承信息，不可编辑）XX}</w:t>
      </w:r>
    </w:p>
    <w:p w14:paraId="42A8F5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1.4 政府采购组织形式：{（继承信息，不可编辑）XX}</w:t>
      </w:r>
    </w:p>
    <w:p w14:paraId="20EA07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1.5 政府采购方式：{（继承信息，不可编辑）XX}</w:t>
      </w:r>
    </w:p>
    <w:p w14:paraId="68DB0A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1.6 落实政府采购政策情况：</w:t>
      </w:r>
    </w:p>
    <w:p w14:paraId="6FDF11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1.6.1 中标（成交）采购的服务单位是否为中小企业：{（继承信息，不可编辑）是/否}</w:t>
      </w:r>
    </w:p>
    <w:p w14:paraId="6A7CC9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1.6.2 本合同是否为专门面向中小企业的采购合同（中小企业预留合同）：{（继承信息，不可编辑）是/否}</w:t>
      </w:r>
    </w:p>
    <w:p w14:paraId="758244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1.6.3 若本项目不专门面向中小企业采购，是否给予小微企业评审优惠：{（继承信息，不可编辑）是/否}</w:t>
      </w:r>
    </w:p>
    <w:p w14:paraId="65FEE3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1.6.4 中标（成交）采购标的供应商是否为残疾人福利性单位：{（继承信息，不可编辑）是/否}</w:t>
      </w:r>
    </w:p>
    <w:p w14:paraId="11BA93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1.6.5 中标（成交）采购标的供应商是否为监狱企业：{（继承信息，不可编辑）是/否}</w:t>
      </w:r>
    </w:p>
    <w:p w14:paraId="6F816C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1.7 中标（成交）供应商是否为外商投资企业：{（预设内容，可选择）是/否}</w:t>
      </w:r>
    </w:p>
    <w:p w14:paraId="46D103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（外商投资企业选择【是】才显示并可选择）本项目外商投资企业类型为{（预设内容，可选择）全部由外国投资者投资/部分由外国投资者投资}。</w:t>
      </w:r>
    </w:p>
    <w:p w14:paraId="3FFC19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1.8 项目内容：</w:t>
      </w:r>
    </w:p>
    <w:tbl>
      <w:tblPr>
        <w:tblStyle w:val="3"/>
        <w:tblW w:w="498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520"/>
        <w:gridCol w:w="1738"/>
        <w:gridCol w:w="1564"/>
        <w:gridCol w:w="1586"/>
        <w:gridCol w:w="1540"/>
        <w:gridCol w:w="1569"/>
      </w:tblGrid>
      <w:tr w14:paraId="7CBE3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293"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top"/>
          </w:tcPr>
          <w:p w14:paraId="484389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1023"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top"/>
          </w:tcPr>
          <w:p w14:paraId="4E2CD1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标的名称</w:t>
            </w:r>
          </w:p>
        </w:tc>
        <w:tc>
          <w:tcPr>
            <w:tcW w:w="920"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top"/>
          </w:tcPr>
          <w:p w14:paraId="6A8116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单价（元）</w:t>
            </w:r>
          </w:p>
        </w:tc>
        <w:tc>
          <w:tcPr>
            <w:tcW w:w="933"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top"/>
          </w:tcPr>
          <w:p w14:paraId="0CA2A3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数量</w:t>
            </w:r>
          </w:p>
        </w:tc>
        <w:tc>
          <w:tcPr>
            <w:tcW w:w="906"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top"/>
          </w:tcPr>
          <w:p w14:paraId="552AA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金额（元）</w:t>
            </w:r>
          </w:p>
        </w:tc>
        <w:tc>
          <w:tcPr>
            <w:tcW w:w="923"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top"/>
          </w:tcPr>
          <w:p w14:paraId="68A5AB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计量单位</w:t>
            </w:r>
          </w:p>
        </w:tc>
      </w:tr>
      <w:tr w14:paraId="1F817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293"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5E2FA6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1023"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5172D3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{（继承信息，不可编辑）XX}</w:t>
            </w:r>
          </w:p>
        </w:tc>
        <w:tc>
          <w:tcPr>
            <w:tcW w:w="920"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7B1BFB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933"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ED6B5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906"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7D0734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923"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245105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r>
    </w:tbl>
    <w:p w14:paraId="55976F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（涉及信息类产品选择【是】才可编辑并展示，选择【否】整个模块不展示）</w:t>
      </w:r>
    </w:p>
    <w:p w14:paraId="51D813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w:t>
      </w:r>
    </w:p>
    <w:tbl>
      <w:tblPr>
        <w:tblStyle w:val="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03"/>
        <w:gridCol w:w="1860"/>
        <w:gridCol w:w="1860"/>
        <w:gridCol w:w="1860"/>
        <w:gridCol w:w="1860"/>
      </w:tblGrid>
      <w:tr w14:paraId="30558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645"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63BDD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108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1FC46C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标的名称</w:t>
            </w:r>
          </w:p>
        </w:tc>
        <w:tc>
          <w:tcPr>
            <w:tcW w:w="108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304CE3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关键部件</w:t>
            </w:r>
          </w:p>
        </w:tc>
        <w:tc>
          <w:tcPr>
            <w:tcW w:w="108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4DFFDA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品牌</w:t>
            </w:r>
          </w:p>
        </w:tc>
        <w:tc>
          <w:tcPr>
            <w:tcW w:w="108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54040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型号</w:t>
            </w:r>
          </w:p>
        </w:tc>
      </w:tr>
      <w:tr w14:paraId="2DFE1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645"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13E0D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108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298AA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108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B6C5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108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4CC0D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108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B2EBB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r>
    </w:tbl>
    <w:p w14:paraId="3A86A4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（注：关键部件是指财政部会同有关部门发布的政府采购需求标准规定的需要通过国家有关部门指定的测评机构开展的安全可靠测评的软硬件，如 CPU 芯片、操作系统、数据库等。）</w:t>
      </w:r>
    </w:p>
    <w:p w14:paraId="5902EE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（涉及信息类产品选择【是】才可编辑并展示，选择【否】整个模块不展示）</w:t>
      </w:r>
    </w:p>
    <w:p w14:paraId="38FB0F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以下采购包允许合同分包：</w:t>
      </w:r>
    </w:p>
    <w:tbl>
      <w:tblPr>
        <w:tblStyle w:val="3"/>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80"/>
        <w:gridCol w:w="1391"/>
        <w:gridCol w:w="1616"/>
        <w:gridCol w:w="1379"/>
        <w:gridCol w:w="3469"/>
      </w:tblGrid>
      <w:tr w14:paraId="13275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39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C1785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815"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42D511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分包方式</w:t>
            </w:r>
          </w:p>
        </w:tc>
        <w:tc>
          <w:tcPr>
            <w:tcW w:w="946"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6AC41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分包主要内容</w:t>
            </w:r>
          </w:p>
        </w:tc>
        <w:tc>
          <w:tcPr>
            <w:tcW w:w="80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55787A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分包供应商名称</w:t>
            </w:r>
          </w:p>
        </w:tc>
        <w:tc>
          <w:tcPr>
            <w:tcW w:w="2032"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4000D5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分包供应商类型</w:t>
            </w:r>
          </w:p>
        </w:tc>
      </w:tr>
      <w:tr w14:paraId="17BD8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39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97D5B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815"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1225A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{（继承信息，不可编辑）XX}</w:t>
            </w:r>
          </w:p>
        </w:tc>
        <w:tc>
          <w:tcPr>
            <w:tcW w:w="946"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A128F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{（继承信息，不可编辑）XX}</w:t>
            </w:r>
          </w:p>
        </w:tc>
        <w:tc>
          <w:tcPr>
            <w:tcW w:w="80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95576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{XX}</w:t>
            </w:r>
          </w:p>
        </w:tc>
        <w:tc>
          <w:tcPr>
            <w:tcW w:w="2032"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068216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left"/>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{（预设内容，可选择）大型企业/中型企业/小微型企业/残疾人福利性单位/监狱企业/其他}</w:t>
            </w:r>
          </w:p>
        </w:tc>
      </w:tr>
      <w:tr w14:paraId="1B16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39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27AAFB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2</w:t>
            </w:r>
          </w:p>
        </w:tc>
        <w:tc>
          <w:tcPr>
            <w:tcW w:w="815"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CCA0E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560" w:firstLineChars="200"/>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w:t>
            </w:r>
          </w:p>
        </w:tc>
        <w:tc>
          <w:tcPr>
            <w:tcW w:w="946"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DC62E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560" w:firstLineChars="200"/>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w:t>
            </w:r>
          </w:p>
        </w:tc>
        <w:tc>
          <w:tcPr>
            <w:tcW w:w="80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7F1320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560" w:firstLineChars="200"/>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w:t>
            </w:r>
          </w:p>
        </w:tc>
        <w:tc>
          <w:tcPr>
            <w:tcW w:w="2032"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280919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560" w:firstLineChars="200"/>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w:t>
            </w:r>
          </w:p>
        </w:tc>
      </w:tr>
    </w:tbl>
    <w:p w14:paraId="473858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（涉及信息类产品选择【是】才可编辑并展示，选择【否】整个模块不展示）</w:t>
      </w:r>
    </w:p>
    <w:p w14:paraId="7974FD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涉及采购进口产品：</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6"/>
        <w:gridCol w:w="1125"/>
        <w:gridCol w:w="1125"/>
        <w:gridCol w:w="1125"/>
        <w:gridCol w:w="1125"/>
        <w:gridCol w:w="1126"/>
        <w:gridCol w:w="1126"/>
        <w:gridCol w:w="1126"/>
      </w:tblGrid>
      <w:tr w14:paraId="3167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389"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6983C4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165A7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采购品目名称</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1824B4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标的名称</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1B6C2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产品名称</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73484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品牌</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52AECB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规格型号</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D0A80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金额（元）</w:t>
            </w:r>
          </w:p>
        </w:tc>
        <w:tc>
          <w:tcPr>
            <w:tcW w:w="65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41D270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国别</w:t>
            </w:r>
          </w:p>
        </w:tc>
      </w:tr>
      <w:tr w14:paraId="37EF4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389"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14155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4C3A1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57BF7C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3A3ED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080F39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A26F0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3EF7E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65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B601A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r>
    </w:tbl>
    <w:p w14:paraId="7B372F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（涉及信息类产品选择【是】才可编辑并展示，选择【否】整个模块不展示）</w:t>
      </w:r>
    </w:p>
    <w:p w14:paraId="049D8B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涉及强制采购节能产品：</w:t>
      </w:r>
    </w:p>
    <w:tbl>
      <w:tblPr>
        <w:tblStyle w:val="3"/>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10"/>
        <w:gridCol w:w="1726"/>
        <w:gridCol w:w="1500"/>
        <w:gridCol w:w="1500"/>
        <w:gridCol w:w="1500"/>
        <w:gridCol w:w="1501"/>
      </w:tblGrid>
      <w:tr w14:paraId="7CC63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474"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16F88A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1010"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6901C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采购品目名称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6F5AFB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标的名称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10B51A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产品名称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6E39C5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品牌</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7729B9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规格型号</w:t>
            </w:r>
          </w:p>
        </w:tc>
      </w:tr>
      <w:tr w14:paraId="4D294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5D40FD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1010"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5AF22C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D33CE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58B84F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D9042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34A2D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r>
    </w:tbl>
    <w:p w14:paraId="7ECCE5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（涉及信息类产品选择【是】才可编辑并展示，选择【否】整个模块不展示）</w:t>
      </w:r>
    </w:p>
    <w:p w14:paraId="1F2BDD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涉及优先采购节能产品：</w:t>
      </w:r>
    </w:p>
    <w:tbl>
      <w:tblPr>
        <w:tblStyle w:val="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36"/>
        <w:gridCol w:w="1501"/>
        <w:gridCol w:w="1501"/>
        <w:gridCol w:w="1501"/>
        <w:gridCol w:w="1501"/>
        <w:gridCol w:w="1501"/>
      </w:tblGrid>
      <w:tr w14:paraId="53F7B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607"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1E98F6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DB9DD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采购品目名称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59D651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标的名称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3098F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产品名称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0AFF5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品牌</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70A4A9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规格型号</w:t>
            </w:r>
          </w:p>
        </w:tc>
      </w:tr>
      <w:tr w14:paraId="53E30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607"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C1AE6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66AFB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0C3319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2FA92D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22EB1C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23B54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r>
    </w:tbl>
    <w:p w14:paraId="1B300E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（涉及信息类产品选择【是】才可编辑并展示，选择【否】整个模块不展示）</w:t>
      </w:r>
    </w:p>
    <w:p w14:paraId="415D1A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涉及优先采购环境标志产品：</w:t>
      </w:r>
    </w:p>
    <w:tbl>
      <w:tblPr>
        <w:tblStyle w:val="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36"/>
        <w:gridCol w:w="1501"/>
        <w:gridCol w:w="1501"/>
        <w:gridCol w:w="1501"/>
        <w:gridCol w:w="1501"/>
        <w:gridCol w:w="1501"/>
      </w:tblGrid>
      <w:tr w14:paraId="2CB8F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607"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17714F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序号</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6AE5F9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采购品目名称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65187A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标的名称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503EB5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产品名称</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229029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品牌</w:t>
            </w:r>
          </w:p>
        </w:tc>
        <w:tc>
          <w:tcPr>
            <w:tcW w:w="87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3EE044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规格型号</w:t>
            </w:r>
          </w:p>
        </w:tc>
      </w:tr>
      <w:tr w14:paraId="44227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607"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273DAE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27AD1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7293D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47FBE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17E54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c>
          <w:tcPr>
            <w:tcW w:w="87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6E8A7F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{（根据响应情况编辑）XX}</w:t>
            </w:r>
          </w:p>
        </w:tc>
      </w:tr>
    </w:tbl>
    <w:p w14:paraId="40CA8C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二、服务要求</w:t>
      </w:r>
    </w:p>
    <w:p w14:paraId="050606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2.1 技术要求：{（继承信息，可编辑）XX}。乙方承诺所提供的服务/产品须完全符合采购文件、投标（响应）文件及本合同约定的技术标准，且不得低于国家、行业现行相关标准；甲方有权委托第三方专业机构对服务/产品技术指标进行检测，检测费用由乙方承担，检测不合格的视为乙方违约。</w:t>
      </w:r>
    </w:p>
    <w:p w14:paraId="614667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2.2 服务要求：{（继承信息，可编辑）XX}。乙方应在合同签订后3个工作日内提交专项服务团队名单（含项目负责人及核心成员姓名、职务、资质证书、联系方式、服务期限承诺等），经甲方书面审核确认后备案；未经甲方书面同意，乙方不得擅自更换团队成员，若确需更换，新成员资质须不低于原成员，且更换流程需经甲方审核通过，否则每更换1人乙方应向甲方支付合同总金额5%的违约金。乙方应每月向甲方提交服务进展报告，重大事项（如技术变更、安全隐患等）须在24小时内书面报备甲方。</w:t>
      </w:r>
    </w:p>
    <w:p w14:paraId="340EFC3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2.3 其他要求：{（继承信息，可编辑）XX}。乙方应承担服务实施过程中产生的全部安全责任（包括但不限于人员安全、财产安全、环境安全等），制定完善的安全管理制度和应急预案并报甲方备案；如发生安全事故，乙方应立即启动应急预案、采取有效措施防止损失扩大，并在12小时内书面通知甲方及相关监管部门，承担由此产生的全部赔偿责任、行政处罚责任及相关法律责任。</w:t>
      </w:r>
    </w:p>
    <w:p w14:paraId="5251EC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三、合同价款、支付方式和付款进度安排</w:t>
      </w:r>
    </w:p>
    <w:p w14:paraId="4294C2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3.1 合同价款：</w:t>
      </w:r>
    </w:p>
    <w:p w14:paraId="7084A9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报价模式为总价时显示）本合同总金额为{（继承信息，不可编辑）XX}元（大写：{（自动生成，不可编辑）XX}元）。此价格为固定总价，包含完成本合同项下全部义务所需的人工、材料、设备、运输、安装、调试、培训、检测、税费、利润及一切不可预见费用，除合同另有约定外，甲方无需另行支付任何其他费用。</w:t>
      </w:r>
    </w:p>
    <w:p w14:paraId="6FE334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（报价模式为单价/百分比/组合报价时显示）本合同总金额为{（继承信息，不可编辑）XX}元（大写：{（自动生成，不可编辑）XX}元）。</w:t>
      </w:r>
    </w:p>
    <w:p w14:paraId="0287CD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报价模式为单价时显示以下预设内容，可编辑）本合同为单价结算方式，具体结算以甲方书面确认的实际服务量及合同约定的单价据实结算，但最终结算金额不得超过本合同总金额。甲方对服务量的确认以双方签字的验收单据为准，未经甲方书面确认的服务量，甲方有权不予结算。</w:t>
      </w:r>
    </w:p>
    <w:p w14:paraId="175501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报价模式为百分比时显示以下预设内容，可编辑）本合同按合同履行过程中实际发生时的价格乘以乙方所报百分比据实结算，但最终结算金额不得超过本合同总金额。实际发生价格须经甲方书面审核确认（必要时甲方可委托第三方审计）后方可作为结算依据，审计费用由乙方承担。</w:t>
      </w:r>
    </w:p>
    <w:p w14:paraId="6A759F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报价模式为组合报价时显示以下预设内容，可编辑）本合同按合同履行情况和乙方所报价格据实结算，但最终结算金额不得超过本合同总金额。结算资料须经甲方书面审核确认（必要时甲方可委托第三方审计）后方可办理结算，审计费用由乙方承担。</w:t>
      </w:r>
    </w:p>
    <w:p w14:paraId="644921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其他情况说明：{（采购人自行编辑）XX}。乙方不得在合同履行过程中以任何理由要求调高价格，如因政策调整、市场波动、原材料涨价等任何因素导致成本增加的，风险均由乙方自行承担；若乙方以成本增加为由拒绝履行合同，视为乙方根本违约。</w:t>
      </w:r>
    </w:p>
    <w:p w14:paraId="64C46C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3.2 支付方式：{（继承信息，可编辑）一次性支付/分期付款}。所有款项均通过银行转账方式支付至乙方本合同约定的账户，乙方账户信息变更的，须提前5个工作日书面通知甲方并提供开户银行出具的证明材料，否则因此产生的付款延迟、错误、资金损失等后果均由乙方自行承担，甲方不承担任何责任。</w:t>
      </w:r>
    </w:p>
    <w:p w14:paraId="79295A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3.3 付款进度安排：</w:t>
      </w:r>
    </w:p>
    <w:tbl>
      <w:tblPr>
        <w:tblStyle w:val="3"/>
        <w:tblW w:w="49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43"/>
        <w:gridCol w:w="1092"/>
        <w:gridCol w:w="1349"/>
        <w:gridCol w:w="1543"/>
        <w:gridCol w:w="2405"/>
        <w:gridCol w:w="1502"/>
      </w:tblGrid>
      <w:tr w14:paraId="5E26F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blHeader/>
        </w:trPr>
        <w:tc>
          <w:tcPr>
            <w:tcW w:w="377"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A33AC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期次</w:t>
            </w:r>
          </w:p>
        </w:tc>
        <w:tc>
          <w:tcPr>
            <w:tcW w:w="639"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9A7B0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支付金额（元）</w:t>
            </w:r>
          </w:p>
        </w:tc>
        <w:tc>
          <w:tcPr>
            <w:tcW w:w="790"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02FCFB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计划支付日期</w:t>
            </w:r>
          </w:p>
        </w:tc>
        <w:tc>
          <w:tcPr>
            <w:tcW w:w="903"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741134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收款人</w:t>
            </w:r>
          </w:p>
        </w:tc>
        <w:tc>
          <w:tcPr>
            <w:tcW w:w="1408"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474FAB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支付说明</w:t>
            </w:r>
          </w:p>
        </w:tc>
        <w:tc>
          <w:tcPr>
            <w:tcW w:w="879" w:type="pct"/>
            <w:tcBorders>
              <w:top w:val="single" w:color="DEE0E3" w:sz="6" w:space="0"/>
              <w:left w:val="single" w:color="DEE0E3" w:sz="6" w:space="0"/>
              <w:bottom w:val="single" w:color="DEE0E3" w:sz="6" w:space="0"/>
              <w:right w:val="single" w:color="DEE0E3" w:sz="6" w:space="0"/>
            </w:tcBorders>
            <w:shd w:val="clear" w:color="auto" w:fill="F2F3F5"/>
            <w:tcMar>
              <w:top w:w="120" w:type="dxa"/>
              <w:left w:w="120" w:type="dxa"/>
              <w:bottom w:w="120" w:type="dxa"/>
              <w:right w:w="120" w:type="dxa"/>
            </w:tcMar>
            <w:vAlign w:val="center"/>
          </w:tcPr>
          <w:p w14:paraId="4F111E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是否预付款</w:t>
            </w:r>
          </w:p>
        </w:tc>
      </w:tr>
      <w:tr w14:paraId="5FEB8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377"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7F936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w:t>
            </w:r>
          </w:p>
        </w:tc>
        <w:tc>
          <w:tcPr>
            <w:tcW w:w="639"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4DBF90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{（采购人自行编辑）XX}</w:t>
            </w:r>
          </w:p>
        </w:tc>
        <w:tc>
          <w:tcPr>
            <w:tcW w:w="790"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08F8D9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{（采购人选择支付日期）XX}</w:t>
            </w:r>
          </w:p>
        </w:tc>
        <w:tc>
          <w:tcPr>
            <w:tcW w:w="903"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3B6EEF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{（采购人选择供应商名称）XX}</w:t>
            </w:r>
          </w:p>
        </w:tc>
        <w:tc>
          <w:tcPr>
            <w:tcW w:w="1408"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16257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乙方须先向甲方提供符合要求的发票、付款申请函及完整的佐证资料（如验收单据、成果文件等），经甲方审核通过后支付；甲方审核期限为收到完整资料后10个工作日，审核期间不计算逾期付款利息。</w:t>
            </w:r>
          </w:p>
        </w:tc>
        <w:tc>
          <w:tcPr>
            <w:tcW w:w="879" w:type="pct"/>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center"/>
          </w:tcPr>
          <w:p w14:paraId="7EFC6E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center"/>
              <w:textAlignment w:val="top"/>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{（继承信息，可编辑）XX}</w:t>
            </w:r>
          </w:p>
        </w:tc>
      </w:tr>
    </w:tbl>
    <w:p w14:paraId="600D3B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若为预付款）预付款支付后，如乙方未按合同约定履行义务（包括但不限于未按时提交服务团队、未按进度开展服务等），甲方有权全额追回预付款，并要求乙方按预付款金额的20%支付违约金；预付款已冲抵部分款项的，甲方有权从后续款项中抵扣相应金额及违约金。</w:t>
      </w:r>
    </w:p>
    <w:p w14:paraId="6F80B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合同履行</w:t>
      </w:r>
    </w:p>
    <w:p w14:paraId="3443C0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4.1 服务期限：{（继承信息，可编辑）}。服务时间：{XXXX 年 XX月 XX 日}-{XXXX 年 XX 月 XX 日}（采购人选择）。乙方应在服务期限届满前完成全部服务内容并通过甲方最终验收，逾期未完成的，视为乙方违约；甲方有权根据项目需要要求乙方提前完成部分服务内容，乙方应积极配合，不得额外收取费用。</w:t>
      </w:r>
    </w:p>
    <w:p w14:paraId="058DEC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4.2 服务地点：{（继承信息，可编辑）XX}。乙方应按甲方要求在指定地点提供服务，未经甲方书面同意，不得擅自变更服务地点；若确需变更，须提前3个工作日书面申请，说明变更理由及新地点，经甲方审核通过后方可变更，变更产生的额外费用由乙方承担。</w:t>
      </w:r>
    </w:p>
    <w:p w14:paraId="4F9916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4.3 分期履行要求：{（继承信息，可编辑）XX}。乙方应在合同签订后5个工作日内提交详细的分期履行计划（含各阶段工作内容、完成时限、成果要求、责任人等），经甲方书面确认后执行；乙方应按分期履行计划提交阶段性成果，阶段性成果须经甲方审核确认后，方可进入下一阶段工作，审核不合格的，乙方应在甲方指定期限内整改，整改期间不计入服务期限。</w:t>
      </w:r>
    </w:p>
    <w:p w14:paraId="35E4FA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4.4 风险处置措施和替代方案：乙方应在合同签订后5个工作日内提交详细的风险处置预案及替代方案（含风险识别、防控措施、应急响应流程、替代服务方案等），经甲方审核通过后执行；如因乙方未履行风险防范义务、风险处置不当或替代方案无法实施导致甲方损失的，由乙方全额赔偿；甲方有权对乙方风险防控工作进行监督检查，发现问题有权要求乙方立即整改。</w:t>
      </w:r>
    </w:p>
    <w:p w14:paraId="120AAA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五、验收、交付标准和方法</w:t>
      </w:r>
    </w:p>
    <w:p w14:paraId="35B9FC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5.1 验收标准：以采购文件、投标（响应）文件、本合同约定及国家/行业现行相关标准为准，若三者存在冲突，以要求更严格的为准。验收分为阶段性验收和最终验收，乙方完成阶段性/全部服务后，应向甲方提交验收申请及完整的验收资料（含工作记录、检测报告、成果文件等），甲方应在收到申请后10个工作日内组织验收（特殊情况可延长5个工作日，需书面通知乙方）。</w:t>
      </w:r>
    </w:p>
    <w:p w14:paraId="2B8EDE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5.2 验收流程：验收合格的，双方签署《验收合格确认书》；验收不合格的，甲方应书面通知乙方整改，明确整改要求及期限，乙方应在期限内完成整改并重新申请验收，整改费用由乙方承担，整改后仍不合格的，可再次整改，累计整改不超过2次，若第2次整改后仍不合格，甲方有权解除合同。</w:t>
      </w:r>
    </w:p>
    <w:p w14:paraId="7BCFC9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5.3 样品参考：是否以采购活动中供应商提供的样品作为参考：{（继承信息，不可编辑）是/否}。若为“是”，则乙方提供的服务/产品须与样品质量一致，样品作为合同附件由甲方保管，乙方不得擅自更换样品；若服务/产品与样品不一致，视为验收不合格。</w:t>
      </w:r>
    </w:p>
    <w:p w14:paraId="6D92FB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5.4 交付成果：乙方应在最终验收合格后7个工作日内，向甲方交付完整的成果资料（包括但不限于纸质版报告、电子版文件、图纸、软件安装包、培训资料、售后服务手册等），纸质版资料须加盖乙方公章，份数按甲方要求执行（至少3份）；交付的成果资料应清晰、完整、准确，满足甲方后续使用需求，若存在缺失、错误等问题，乙方应在甲方指定期限内补齐、修正，否则视为未完成交付义务。</w:t>
      </w:r>
    </w:p>
    <w:p w14:paraId="346145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六、甲方的权利和义务</w:t>
      </w:r>
    </w:p>
    <w:p w14:paraId="27425FE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6.1 甲方有权依据采购文件、投标（响应）文件及本合同约定，对乙方的服务过程、服务质量进行全程监督、检查，有权要求乙方提供服务进展情况报告。</w:t>
      </w:r>
    </w:p>
    <w:p w14:paraId="3781A0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6.2 对于乙方未按约定履行义务的，甲方有权要求乙方限期整改、采取补救措施，直至解除合同；对于乙方的违约行为，有权要求乙方承担违约责任。</w:t>
      </w:r>
    </w:p>
    <w:p w14:paraId="189BF6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6.3 甲方有权根据项目实际需要，在不增加乙方额外成本、不改变合同核心义务的前提下，对服务内容进行合理调整，调整内容须以书面形式通知乙方，乙方应积极配合。</w:t>
      </w:r>
    </w:p>
    <w:p w14:paraId="487563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6.4 甲方应按合同约定向乙方提供必要的工作条件和相关资料（如有），但不承担因提供资料不准确、不完整导致的责任（甲方故意或重大过失除外）。</w:t>
      </w:r>
    </w:p>
    <w:p w14:paraId="6E5BD7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6.5 甲方应根据合同约定和履约验收情况向乙方支付费用。满足约定支付条件的，甲方应自收到符合要求的发票及付款资料后10个工作日内将资金支付到合同约定的供应商账户，不得以机构变动、人员更替、政策调整等为由延迟付款，不得将采购文件和合同中未规定的义务作为向供应商付款的条件。</w:t>
      </w:r>
    </w:p>
    <w:p w14:paraId="21DC7B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6.6 出现因不可抗力致使不能实现合同目的、乙方根本违约等法定或约定情形时，甲方有权解除合同。</w:t>
      </w:r>
    </w:p>
    <w:p w14:paraId="274653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七、乙方的权利和义务</w:t>
      </w:r>
    </w:p>
    <w:p w14:paraId="2380F7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7.1 劳动保障义务：乙方承诺严格遵守《中华人民共和国劳动合同法》《中华人民共和国妇女权益保障法》等相关法律法规关于劳动和社会保障权益的有关要求，承担与自身员工相关的全部责任（包括但不限于工资、社保、公积金、工伤赔偿、劳动争议处理等），若因乙方未履行上述义务导致甲方被牵连或遭受损失的，由乙方全额赔偿。</w:t>
      </w:r>
    </w:p>
    <w:p w14:paraId="6E6DB7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7.2 收款权：乙方有权在完全履行合同约定义务并经甲方验收合格后，根据本合同约定向甲方收取合同价款，但不得要求甲方支付任何合同外的费用；乙方收款前应按约定提供合法、有效、等额的增值税发票，否则甲方有权拒绝付款，不承担违约责任。</w:t>
      </w:r>
    </w:p>
    <w:p w14:paraId="64D202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7.3 质量保障义务：乙方应严格按照采购文件、投标（响应）文件及本合同约定的标准、期限、地点提供服务，确保服务质量合格；应建立健全质量保障体系，对服务过程中的质量问题及时整改，承担因质量问题产生的全部费用。</w:t>
      </w:r>
    </w:p>
    <w:p w14:paraId="7762FD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7.4 禁止转包分包义务：乙方不得将本合同项下的义务转包或违法分包给第三方，未经甲方书面同意，也不得将合同权利转让给第三方。经甲方同意分包的，乙方应向甲方提交分包合同及分包供应商资质证明，分包供应商资质须不低于乙方资质，乙方对分包项目仍承担全部责任，分包供应商的违约行为视为乙方违约，甲方有权直接向乙方主张权利。</w:t>
      </w:r>
    </w:p>
    <w:p w14:paraId="25DF90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7.5 配合义务：乙方应接受项目行业管理部门、政府有关部门及甲方的监督检查，积极配合甲方的履约检查、验收、审计等工作，如实提供相关资料和情况；对甲方提出的合理意见和整改要求，应在规定期限内完成并书面反馈整改结果。</w:t>
      </w:r>
    </w:p>
    <w:p w14:paraId="43F162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7.6 安全责任义务：乙方应承担服务实施过程中的全部安全责任，制定完善的安全管理制度和应急预案并报甲方备案，定期开展安全培训和演练；服务现场应设置明显的安全警示标志，配备必要的安全防护设施；如发生安全事故，乙方应立即启动应急预案、采取有效措施防止损失扩大，在12小时内书面通知甲方及相关监管部门，并承担由此产生的全部赔偿责任、行政处罚责任及相关法律责任。</w:t>
      </w:r>
    </w:p>
    <w:p w14:paraId="4DFD42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7.7 保密义务：乙方应保守在合同履行过程中获悉的甲方商业秘密、工作秘密、技术秘密及其他未公开信息（包括但不限于项目方案、财务数据、客户信息等），未经甲方书面同意，不得向任何第三方泄露、转让或用于本合同以外的其他目的；合同终止后，该保密义务仍然有效，保密期限为5年；乙方应与接触上述信息的员工签订保密协议，明确保密责任。</w:t>
      </w:r>
    </w:p>
    <w:p w14:paraId="091736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7.8 发票义务：乙方应按合同约定向甲方提供合法、有效、等额的增值税专用发票，发票信息须与合同约定、实际交易一致；如发票不符合要求（包括但不限于虚假发票、发票信息错误、税率不符等），甲方有权要求乙方重新开具，由此产生的全部费用由乙方承担，且甲方有权顺延付款，不承担违约责任；若乙方提供虚假发票，甲方有权解除合同，乙方应返还甲方已支付的全部款项，并承担相应的法律责任。</w:t>
      </w:r>
    </w:p>
    <w:p w14:paraId="6F6BAE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八、违约责任</w:t>
      </w:r>
    </w:p>
    <w:p w14:paraId="7F7D87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8.1 质量瑕疵的违约责任：</w:t>
      </w:r>
    </w:p>
    <w:p w14:paraId="1D171E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乙方提供的服务不符合合同约定标准的，甲方有权要求乙方承担修理、重作、更换、减少价款、赔偿损失等违约责任。具体要求为：（1）若乙方在甲方指定的[X]日内完成整改并通过验收，应向甲方支付合同总金额[X]%的违约金；（2）若乙方逾期未整改或整改后仍不合格，甲方有权解除合同，乙方应返还甲方已支付的全部款项，并向甲方支付合同总金额[X]%的违约金；（3）若因服务质量问题给甲方造成损失的（包括但不限于直接损失、间接损失、律师费、诉讼费等），乙方应全额赔偿。</w:t>
      </w:r>
    </w:p>
    <w:p w14:paraId="622CED1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8.2 迟延履行的违约责任：</w:t>
      </w:r>
    </w:p>
    <w:p w14:paraId="60EE46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8.2.1 乙方未按合同规定的期限提供服务或交付成果的，每逾期一日，应向甲方支付合同总金额[X]‰的违约金；逾期超过[X]日的，甲方有权解除合同，乙方应返还已支付的全部款项，并向甲方支付合同总金额[X]%的违约金，给甲方造成损失的，应另行赔偿。</w:t>
      </w:r>
    </w:p>
    <w:p w14:paraId="243E21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8.2.2 乙方在履行合同过程中遇到可能影响按时提供服务的情形时，应在发现情形后[X]个工作日内书面通知甲方，说明迟延的事实、可能迟延的期限和理由，并提交相关证明材料；甲方在收到通知后[X]个工作日内作出是否同意延期的书面答复，未经甲方同意延期的，乙方仍应按原期限履行。</w:t>
      </w:r>
    </w:p>
    <w:p w14:paraId="131E44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8.2.3 甲方无正当理由迟延支付合同款项的，应当按逾期支付金额的[X]‰/日向乙方支付逾期付款利息，但因乙方原因（如未按约定提供发票、验收不合格等）导致付款延迟的，甲方不承担违约责任。</w:t>
      </w:r>
    </w:p>
    <w:p w14:paraId="41DA06C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8.3 违法分包、转包的违约责任：</w:t>
      </w:r>
    </w:p>
    <w:p w14:paraId="478043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乙方将项目转包、违法分包的，甲方有权立即解除合同，乙方应向甲方支付合同总金额[X]%的违约金，并返还甲方已支付的全部款项；给甲方造成损失的，乙方应全额赔偿。</w:t>
      </w:r>
    </w:p>
    <w:p w14:paraId="6D650A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8.4 乙方其他违约情形：</w:t>
      </w:r>
    </w:p>
    <w:p w14:paraId="0D3388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乙方违反保密义务的，应向甲方支付合同总金额[X]%的违约金，给甲方造成损失的，应另行赔偿；（2）乙方擅自更换项目负责人或核心成员的，应向甲方支付合同总金额[X]%的违约金，甲方有权要求乙方限期更换回原人员，逾期未更换的，视为乙方根本违约；（3）乙方提供虚假资料、弄虚作假的，甲方有权解除合同，乙方应向甲方支付合同总金额[X]%的违约金，返还已支付的全部款项，给甲方造成损失的，应全额赔偿。</w:t>
      </w:r>
    </w:p>
    <w:p w14:paraId="1DCA85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8.5 乙方支付的违约金不足以弥补甲方损失的，甲方有权要求乙方赔偿差额部分；甲方有权从应付乙方的款项中直接抵扣乙方应支付的违约金、赔偿金等，不足部分有权向乙方追偿。</w:t>
      </w:r>
    </w:p>
    <w:p w14:paraId="3E2CD0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九、争议解决方法</w:t>
      </w:r>
    </w:p>
    <w:p w14:paraId="1D37EF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因本合同引起的或与本合同有关的任何争议，双方应首先通过友好协商解决；协商不成的，任何一方均有权向甲方所在地有管辖权的人民法院提起诉讼。争议解决期间，除争议事项外，双方应继续履行合同其他义务；乙方不得以争议为由拒绝履行服务义务，否则视为乙方违约。</w:t>
      </w:r>
    </w:p>
    <w:p w14:paraId="0A054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十、其他</w:t>
      </w:r>
    </w:p>
    <w:p w14:paraId="511DE2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10.1 不可抗力：因地震、火灾、洪水、战争、政策调整等不可抗力因素导致合同无法履行或延迟履行的，遭遇不可抗力一方应立即书面通知对方，并在不可抗力发生后7个工作日内提供相关证明材料（由相关部门出具）；双方应根据不可抗力的影响，协商决定部分履行、延期履行或解除合同，遭遇不可抗力一方不承担违约责任，但应采取有效措施减少损失；因不可抗力导致甲方损失的，乙方不承担赔偿责任，但应积极配合甲方减少损失。</w:t>
      </w:r>
    </w:p>
    <w:p w14:paraId="67FD52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10.2 合同变更与补充：本合同的任何变更、补充均须经双方协商一致，并签订书面补充协议；补充协议与本合同具有同等法律效力，补充协议与本合同约定不一致的，以补充协议为准；补充协议须经甲方内部审批流程通过后方可生效。</w:t>
      </w:r>
    </w:p>
    <w:p w14:paraId="5FCBFB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10.3 合同生效与终止：本合同自双方法定代表人/授权委托代理人签字并加盖双方公章（或合同专用章）之日起生效；合同义务全部履行完毕、款项结清、成果交付完毕且无遗留争议的，合同自动终止；合同终止后，乙方的保密义务、质量保证义务等具有延续性的条款仍然有效。</w:t>
      </w:r>
    </w:p>
    <w:p w14:paraId="7538DA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10.4 合同份数：本合同一式[X]份，甲方执[X]份，乙方执[X]份，报送政府采购监督管理部门备案[X]份，均具有同等法律效力；本合同原件及复印件均具有法律效力，复印件须加盖双方公章确认。</w:t>
      </w:r>
    </w:p>
    <w:p w14:paraId="37C941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10.5 通知与送达：本合同项下的所有通知、函件等均应以书面形式（包括但不限于专人送达、挂号信、快递、传真、电子邮箱）送达；双方的送达地址、联系方式以本合同签章页载明的为准，一方变更送达地址或联系方式的，应提前5个工作日书面通知对方，否则视为送达地址或联系方式不变，向原地址寄送的文件视为有效送达，送达时间以邮寄回执或快递签收时间为准。</w:t>
      </w:r>
    </w:p>
    <w:p w14:paraId="1CB266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10.6 廉洁条款：乙方不得向甲方工作人员提供任何形式的贿赂、回扣、礼品等不正当利益，不得串通甲方工作人员损害甲方利益；若乙方违反本条约定，甲方有权解除合同，乙方应向甲方支付合同总金额30%的违约金，给甲方造成损失的，应全额赔偿；甲方有权将乙方列入不良供应商名单，禁止其参与甲方后续采购项目。</w:t>
      </w:r>
    </w:p>
    <w:p w14:paraId="3D9602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（以下无正文）</w:t>
      </w:r>
    </w:p>
    <w:p w14:paraId="796399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bidi="ar"/>
        </w:rPr>
        <w:t>（本页为签章页）</w:t>
      </w:r>
    </w:p>
    <w:p w14:paraId="7DC6874E">
      <w:pPr>
        <w:pStyle w:val="2"/>
        <w:keepNext w:val="0"/>
        <w:keepLines w:val="0"/>
        <w:pageBreakBefore w:val="0"/>
        <w:widowControl w:val="0"/>
        <w:tabs>
          <w:tab w:val="left" w:pos="766"/>
        </w:tabs>
        <w:kinsoku/>
        <w:wordWrap/>
        <w:overflowPunct/>
        <w:topLinePunct w:val="0"/>
        <w:autoSpaceDE/>
        <w:autoSpaceDN/>
        <w:bidi w:val="0"/>
        <w:adjustRightInd/>
        <w:snapToGrid/>
        <w:spacing w:beforeAutospacing="0" w:after="0" w:afterAutospacing="0" w:line="360" w:lineRule="auto"/>
        <w:ind w:left="0" w:right="0" w:firstLine="508" w:firstLineChars="200"/>
        <w:jc w:val="center"/>
        <w:textAlignment w:val="auto"/>
        <w:outlineLvl w:val="9"/>
        <w:rPr>
          <w:rFonts w:hint="eastAsia" w:ascii="仿宋" w:hAnsi="仿宋" w:eastAsia="仿宋" w:cs="仿宋"/>
          <w:spacing w:val="-13"/>
          <w:kern w:val="2"/>
          <w:sz w:val="28"/>
          <w:szCs w:val="28"/>
          <w:lang w:val="en-US" w:eastAsia="zh-CN" w:bidi="ar-SA"/>
        </w:rPr>
      </w:pPr>
    </w:p>
    <w:tbl>
      <w:tblPr>
        <w:tblStyle w:val="5"/>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950"/>
        <w:gridCol w:w="4362"/>
      </w:tblGrid>
      <w:tr w14:paraId="78F470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5000" w:type="pct"/>
            <w:gridSpan w:val="2"/>
            <w:vAlign w:val="top"/>
          </w:tcPr>
          <w:p w14:paraId="1AF08A69">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甲方</w:t>
            </w:r>
          </w:p>
        </w:tc>
      </w:tr>
      <w:tr w14:paraId="1C7C72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376" w:type="pct"/>
            <w:vAlign w:val="top"/>
          </w:tcPr>
          <w:p w14:paraId="6A7D829A">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单位名称</w:t>
            </w:r>
          </w:p>
        </w:tc>
        <w:tc>
          <w:tcPr>
            <w:tcW w:w="2623" w:type="pct"/>
            <w:vAlign w:val="top"/>
          </w:tcPr>
          <w:p w14:paraId="1F644F46">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（盖章）</w:t>
            </w:r>
          </w:p>
        </w:tc>
      </w:tr>
      <w:tr w14:paraId="3C4E6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76C6A0EF">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法定代表人或其授权委托代理人（签章）</w:t>
            </w:r>
          </w:p>
        </w:tc>
        <w:tc>
          <w:tcPr>
            <w:tcW w:w="2623" w:type="pct"/>
            <w:vAlign w:val="top"/>
          </w:tcPr>
          <w:p w14:paraId="682B487D">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61DFB9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7DD68B3E">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住  所</w:t>
            </w:r>
          </w:p>
        </w:tc>
        <w:tc>
          <w:tcPr>
            <w:tcW w:w="2623" w:type="pct"/>
            <w:vAlign w:val="top"/>
          </w:tcPr>
          <w:p w14:paraId="1691738D">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2058D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3226E9CB">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开户银行</w:t>
            </w:r>
          </w:p>
        </w:tc>
        <w:tc>
          <w:tcPr>
            <w:tcW w:w="2623" w:type="pct"/>
            <w:vAlign w:val="top"/>
          </w:tcPr>
          <w:p w14:paraId="5A646ADA">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67C2D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5438175A">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银行账号</w:t>
            </w:r>
          </w:p>
        </w:tc>
        <w:tc>
          <w:tcPr>
            <w:tcW w:w="2623" w:type="pct"/>
            <w:vAlign w:val="top"/>
          </w:tcPr>
          <w:p w14:paraId="21799CFD">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7DE12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5000" w:type="pct"/>
            <w:gridSpan w:val="2"/>
            <w:vAlign w:val="top"/>
          </w:tcPr>
          <w:p w14:paraId="207D88DF">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乙方</w:t>
            </w:r>
          </w:p>
        </w:tc>
      </w:tr>
      <w:tr w14:paraId="5006F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376" w:type="pct"/>
            <w:vAlign w:val="top"/>
          </w:tcPr>
          <w:p w14:paraId="3F4BB271">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单位名称</w:t>
            </w:r>
          </w:p>
        </w:tc>
        <w:tc>
          <w:tcPr>
            <w:tcW w:w="2623" w:type="pct"/>
            <w:vAlign w:val="top"/>
          </w:tcPr>
          <w:p w14:paraId="5279EA61">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（盖章）</w:t>
            </w:r>
          </w:p>
        </w:tc>
      </w:tr>
      <w:tr w14:paraId="42242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26DAB1DC">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法定代表人或其授权委托代理人（签章）</w:t>
            </w:r>
          </w:p>
        </w:tc>
        <w:tc>
          <w:tcPr>
            <w:tcW w:w="2623" w:type="pct"/>
            <w:vAlign w:val="top"/>
          </w:tcPr>
          <w:p w14:paraId="1318353A">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462D6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21239140">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住  所</w:t>
            </w:r>
          </w:p>
        </w:tc>
        <w:tc>
          <w:tcPr>
            <w:tcW w:w="2623" w:type="pct"/>
            <w:vAlign w:val="top"/>
          </w:tcPr>
          <w:p w14:paraId="34DF379B">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14E3A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376" w:type="pct"/>
            <w:vAlign w:val="top"/>
          </w:tcPr>
          <w:p w14:paraId="00E21804">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开户银行</w:t>
            </w:r>
          </w:p>
        </w:tc>
        <w:tc>
          <w:tcPr>
            <w:tcW w:w="2623" w:type="pct"/>
            <w:vAlign w:val="top"/>
          </w:tcPr>
          <w:p w14:paraId="74444200">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76FD6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376" w:type="pct"/>
            <w:vAlign w:val="top"/>
          </w:tcPr>
          <w:p w14:paraId="18A3D288">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银行账号</w:t>
            </w:r>
          </w:p>
        </w:tc>
        <w:tc>
          <w:tcPr>
            <w:tcW w:w="2623" w:type="pct"/>
            <w:vAlign w:val="top"/>
          </w:tcPr>
          <w:p w14:paraId="0882D81E">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p>
        </w:tc>
      </w:tr>
      <w:tr w14:paraId="716BC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2376" w:type="pct"/>
            <w:vAlign w:val="top"/>
          </w:tcPr>
          <w:p w14:paraId="7EF525C1">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w:t>
            </w:r>
          </w:p>
        </w:tc>
        <w:tc>
          <w:tcPr>
            <w:tcW w:w="2623" w:type="pct"/>
            <w:vAlign w:val="top"/>
          </w:tcPr>
          <w:p w14:paraId="030B390E">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right="0" w:firstLine="544" w:firstLineChars="200"/>
              <w:jc w:val="both"/>
              <w:textAlignment w:val="auto"/>
              <w:outlineLvl w:val="9"/>
              <w:rPr>
                <w:rFonts w:hint="eastAsia" w:ascii="仿宋" w:hAnsi="仿宋" w:eastAsia="仿宋" w:cs="仿宋"/>
                <w:spacing w:val="-4"/>
                <w:kern w:val="2"/>
                <w:sz w:val="28"/>
                <w:szCs w:val="28"/>
                <w:lang w:val="en-US" w:eastAsia="zh-CN" w:bidi="ar-SA"/>
              </w:rPr>
            </w:pPr>
            <w:r>
              <w:rPr>
                <w:rFonts w:hint="eastAsia" w:ascii="仿宋" w:hAnsi="仿宋" w:eastAsia="仿宋" w:cs="仿宋"/>
                <w:spacing w:val="-4"/>
                <w:kern w:val="2"/>
                <w:sz w:val="28"/>
                <w:szCs w:val="28"/>
                <w:lang w:val="en-US" w:eastAsia="zh-CN" w:bidi="ar-SA"/>
              </w:rPr>
              <w:t>...</w:t>
            </w:r>
          </w:p>
        </w:tc>
      </w:tr>
    </w:tbl>
    <w:p w14:paraId="085A67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D363C"/>
    <w:rsid w:val="189D3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rFonts w:ascii="Calibri" w:hAnsi="Calibri"/>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2026-01-29T03:34:00Z</dcterms:created>
  <dc:creator>彩虹排骨</dc:creator>
  <cp:lastModifiedBy>彩虹排骨</cp:lastModifiedBy>
  <dcterms:modified xsi:type="dcterms:W3CDTF">2026-01-29T03:34:38Z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31970F0C9A8941E48082C7C4ED197E58_11</vt:lpwstr>
  </property>
  <property fmtid="{D5CDD505-2E9C-101B-9397-08002B2CF9AE}" pid="4" name="KSOTemplateDocerSaveRecord">
    <vt:lpwstr>eyJoZGlkIjoiYjkyM2Y1NmVkN2M4MzA4ZjE5MDQxNjZlNDU5N2ZhZmMiLCJ1c2VySWQiOiIxMjk2NzI4NTE1In0=</vt:lpwstr>
  </property>
</Properties>
</file>